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EC4C" w14:textId="77777777" w:rsidR="00041CC8" w:rsidRPr="005A4FDE" w:rsidRDefault="00041CC8" w:rsidP="00041CC8"/>
    <w:p w14:paraId="57C6F4E0" w14:textId="77777777" w:rsidR="00041CC8" w:rsidRPr="005454C8" w:rsidRDefault="00041CC8" w:rsidP="00041CC8"/>
    <w:p w14:paraId="06AD2A58" w14:textId="77777777" w:rsidR="00041CC8" w:rsidRPr="005454C8" w:rsidRDefault="00041CC8" w:rsidP="00041CC8"/>
    <w:p w14:paraId="3C3E13D6" w14:textId="77777777" w:rsidR="00041CC8" w:rsidRPr="005454C8" w:rsidRDefault="00041CC8" w:rsidP="00041CC8"/>
    <w:p w14:paraId="348BD67A" w14:textId="77777777" w:rsidR="00041CC8" w:rsidRPr="005454C8" w:rsidRDefault="00041CC8" w:rsidP="00041CC8"/>
    <w:p w14:paraId="73AFE913" w14:textId="77777777" w:rsidR="00041CC8" w:rsidRPr="005454C8" w:rsidRDefault="00041CC8" w:rsidP="00041CC8"/>
    <w:p w14:paraId="3E8D672D" w14:textId="77777777" w:rsidR="00041CC8" w:rsidRPr="005454C8" w:rsidRDefault="00041CC8" w:rsidP="00041CC8"/>
    <w:p w14:paraId="51BC0B21" w14:textId="77777777" w:rsidR="00041CC8" w:rsidRPr="005454C8" w:rsidRDefault="00041CC8" w:rsidP="00041CC8">
      <w:pPr>
        <w:widowControl w:val="0"/>
        <w:rPr>
          <w:color w:val="008000"/>
        </w:rPr>
      </w:pPr>
    </w:p>
    <w:p w14:paraId="3603CC67" w14:textId="77777777" w:rsidR="00041CC8" w:rsidRPr="005454C8" w:rsidRDefault="00041CC8" w:rsidP="00041CC8">
      <w:pPr>
        <w:outlineLvl w:val="0"/>
        <w:rPr>
          <w:b/>
        </w:rPr>
      </w:pPr>
    </w:p>
    <w:p w14:paraId="4AC555F9" w14:textId="77777777" w:rsidR="00041CC8" w:rsidRPr="005454C8" w:rsidRDefault="00041CC8" w:rsidP="00041CC8">
      <w:pPr>
        <w:outlineLvl w:val="0"/>
        <w:rPr>
          <w:b/>
        </w:rPr>
      </w:pPr>
    </w:p>
    <w:p w14:paraId="0F800109" w14:textId="77777777" w:rsidR="00041CC8" w:rsidRPr="005454C8" w:rsidRDefault="00041CC8" w:rsidP="00041CC8">
      <w:pPr>
        <w:outlineLvl w:val="0"/>
        <w:rPr>
          <w:b/>
        </w:rPr>
      </w:pPr>
    </w:p>
    <w:p w14:paraId="3CB46600" w14:textId="77777777" w:rsidR="00041CC8" w:rsidRPr="005454C8" w:rsidRDefault="00041CC8" w:rsidP="00041CC8">
      <w:pPr>
        <w:outlineLvl w:val="0"/>
        <w:rPr>
          <w:b/>
        </w:rPr>
      </w:pPr>
    </w:p>
    <w:p w14:paraId="6FB9DC86" w14:textId="77777777" w:rsidR="00041CC8" w:rsidRPr="005454C8" w:rsidRDefault="00041CC8" w:rsidP="00041CC8">
      <w:pPr>
        <w:tabs>
          <w:tab w:val="left" w:pos="-1440"/>
          <w:tab w:val="left" w:pos="-720"/>
        </w:tabs>
        <w:rPr>
          <w:b/>
        </w:rPr>
      </w:pPr>
    </w:p>
    <w:p w14:paraId="484DE84E" w14:textId="77777777" w:rsidR="00041CC8" w:rsidRPr="005454C8" w:rsidRDefault="00041CC8" w:rsidP="00041CC8">
      <w:pPr>
        <w:tabs>
          <w:tab w:val="left" w:pos="-1440"/>
          <w:tab w:val="left" w:pos="-720"/>
        </w:tabs>
        <w:rPr>
          <w:b/>
        </w:rPr>
      </w:pPr>
    </w:p>
    <w:p w14:paraId="6FD5DA44" w14:textId="77777777" w:rsidR="00041CC8" w:rsidRPr="005454C8" w:rsidRDefault="00041CC8" w:rsidP="00041CC8">
      <w:pPr>
        <w:tabs>
          <w:tab w:val="left" w:pos="-1440"/>
          <w:tab w:val="left" w:pos="-720"/>
        </w:tabs>
        <w:rPr>
          <w:b/>
        </w:rPr>
      </w:pPr>
    </w:p>
    <w:p w14:paraId="7A234C0D" w14:textId="77777777" w:rsidR="00041CC8" w:rsidRPr="005454C8" w:rsidRDefault="00041CC8" w:rsidP="00041CC8">
      <w:pPr>
        <w:tabs>
          <w:tab w:val="left" w:pos="-1440"/>
          <w:tab w:val="left" w:pos="-720"/>
        </w:tabs>
        <w:rPr>
          <w:b/>
        </w:rPr>
      </w:pPr>
    </w:p>
    <w:p w14:paraId="3729778C" w14:textId="77777777" w:rsidR="00041CC8" w:rsidRPr="005454C8" w:rsidRDefault="00041CC8" w:rsidP="00041CC8">
      <w:pPr>
        <w:tabs>
          <w:tab w:val="left" w:pos="-1440"/>
          <w:tab w:val="left" w:pos="-720"/>
        </w:tabs>
        <w:rPr>
          <w:b/>
        </w:rPr>
      </w:pPr>
    </w:p>
    <w:p w14:paraId="4CDC1432" w14:textId="77777777" w:rsidR="00041CC8" w:rsidRPr="005454C8" w:rsidRDefault="00041CC8" w:rsidP="00041CC8">
      <w:pPr>
        <w:tabs>
          <w:tab w:val="left" w:pos="-1440"/>
          <w:tab w:val="left" w:pos="-720"/>
        </w:tabs>
        <w:rPr>
          <w:b/>
        </w:rPr>
      </w:pPr>
    </w:p>
    <w:p w14:paraId="31FF8FF1" w14:textId="77777777" w:rsidR="00041CC8" w:rsidRPr="005454C8" w:rsidRDefault="00041CC8" w:rsidP="00041CC8">
      <w:pPr>
        <w:tabs>
          <w:tab w:val="left" w:pos="-1440"/>
          <w:tab w:val="left" w:pos="-720"/>
        </w:tabs>
        <w:rPr>
          <w:b/>
        </w:rPr>
      </w:pPr>
    </w:p>
    <w:p w14:paraId="3441D8DC" w14:textId="77777777" w:rsidR="00041CC8" w:rsidRPr="005454C8" w:rsidRDefault="00041CC8" w:rsidP="00041CC8">
      <w:pPr>
        <w:tabs>
          <w:tab w:val="left" w:pos="-1440"/>
          <w:tab w:val="left" w:pos="-720"/>
        </w:tabs>
        <w:rPr>
          <w:b/>
        </w:rPr>
      </w:pPr>
    </w:p>
    <w:p w14:paraId="5D292E43" w14:textId="77777777" w:rsidR="00041CC8" w:rsidRPr="005454C8" w:rsidRDefault="00041CC8" w:rsidP="00041CC8">
      <w:pPr>
        <w:tabs>
          <w:tab w:val="left" w:pos="-1440"/>
          <w:tab w:val="left" w:pos="-720"/>
        </w:tabs>
        <w:rPr>
          <w:b/>
        </w:rPr>
      </w:pPr>
    </w:p>
    <w:p w14:paraId="0FE09EFA" w14:textId="77777777" w:rsidR="00041CC8" w:rsidRPr="005454C8" w:rsidRDefault="00041CC8" w:rsidP="00041CC8">
      <w:pPr>
        <w:tabs>
          <w:tab w:val="left" w:pos="-1440"/>
          <w:tab w:val="left" w:pos="-720"/>
        </w:tabs>
        <w:rPr>
          <w:b/>
        </w:rPr>
      </w:pPr>
    </w:p>
    <w:p w14:paraId="373FA01B" w14:textId="77777777" w:rsidR="00041CC8" w:rsidRPr="005454C8" w:rsidRDefault="00041CC8" w:rsidP="00041CC8">
      <w:pPr>
        <w:tabs>
          <w:tab w:val="left" w:pos="-1440"/>
          <w:tab w:val="left" w:pos="-720"/>
        </w:tabs>
        <w:rPr>
          <w:b/>
        </w:rPr>
      </w:pPr>
    </w:p>
    <w:p w14:paraId="1EEE09FF" w14:textId="77777777" w:rsidR="00041CC8" w:rsidRPr="005454C8" w:rsidRDefault="00041CC8" w:rsidP="00041CC8">
      <w:pPr>
        <w:keepNext/>
        <w:jc w:val="center"/>
        <w:outlineLvl w:val="1"/>
        <w:rPr>
          <w:b/>
        </w:rPr>
      </w:pPr>
      <w:r w:rsidRPr="005454C8">
        <w:rPr>
          <w:b/>
        </w:rPr>
        <w:t>I PRIEDAS</w:t>
      </w:r>
    </w:p>
    <w:p w14:paraId="2D023B7A" w14:textId="77777777" w:rsidR="00041CC8" w:rsidRPr="005A4FDE" w:rsidRDefault="00041CC8" w:rsidP="00041CC8"/>
    <w:p w14:paraId="49B087DE" w14:textId="77777777" w:rsidR="00041CC8" w:rsidRPr="005454C8" w:rsidRDefault="00041CC8" w:rsidP="00041CC8">
      <w:pPr>
        <w:tabs>
          <w:tab w:val="left" w:pos="-1440"/>
          <w:tab w:val="left" w:pos="-720"/>
        </w:tabs>
        <w:jc w:val="center"/>
        <w:rPr>
          <w:b/>
        </w:rPr>
      </w:pPr>
      <w:r w:rsidRPr="005454C8">
        <w:rPr>
          <w:b/>
        </w:rPr>
        <w:t>PREPARATO CHARAKTERISTIKŲ SANTRAUKA</w:t>
      </w:r>
    </w:p>
    <w:p w14:paraId="1459339B" w14:textId="77777777" w:rsidR="00041CC8" w:rsidRPr="005454C8" w:rsidRDefault="00041CC8" w:rsidP="00041CC8">
      <w:pPr>
        <w:keepNext/>
        <w:ind w:left="567" w:hanging="567"/>
        <w:outlineLvl w:val="2"/>
        <w:rPr>
          <w:b/>
        </w:rPr>
      </w:pPr>
      <w:r w:rsidRPr="005454C8">
        <w:rPr>
          <w:b/>
        </w:rPr>
        <w:br w:type="page"/>
      </w:r>
      <w:r w:rsidRPr="005454C8">
        <w:rPr>
          <w:b/>
        </w:rPr>
        <w:lastRenderedPageBreak/>
        <w:t>1.</w:t>
      </w:r>
      <w:r w:rsidRPr="005454C8">
        <w:rPr>
          <w:b/>
        </w:rPr>
        <w:tab/>
        <w:t>VAISTINIO PREPARATO PAVADINIMAS</w:t>
      </w:r>
    </w:p>
    <w:p w14:paraId="3D1D80A0" w14:textId="77777777" w:rsidR="00041CC8" w:rsidRPr="005454C8" w:rsidRDefault="00041CC8" w:rsidP="00041CC8"/>
    <w:p w14:paraId="2FDC4042" w14:textId="77777777" w:rsidR="00041CC8" w:rsidRPr="005454C8" w:rsidRDefault="00041CC8" w:rsidP="00041CC8">
      <w:pPr>
        <w:autoSpaceDE w:val="0"/>
        <w:autoSpaceDN w:val="0"/>
        <w:adjustRightInd w:val="0"/>
        <w:rPr>
          <w:rFonts w:eastAsia="Calibri"/>
        </w:rPr>
      </w:pPr>
      <w:r w:rsidRPr="005454C8">
        <w:t xml:space="preserve">VERRIA 50 mg plėvele dengtos tabletės </w:t>
      </w:r>
      <w:bookmarkStart w:id="0" w:name="_GoBack"/>
      <w:bookmarkEnd w:id="0"/>
    </w:p>
    <w:p w14:paraId="2F99FE6B" w14:textId="77777777" w:rsidR="00041CC8" w:rsidRPr="005454C8" w:rsidRDefault="00041CC8" w:rsidP="00041CC8">
      <w:r w:rsidRPr="005454C8">
        <w:rPr>
          <w:highlight w:val="lightGray"/>
        </w:rPr>
        <w:t xml:space="preserve">VERRIA </w:t>
      </w:r>
      <w:r w:rsidRPr="005454C8">
        <w:rPr>
          <w:sz w:val="24"/>
          <w:highlight w:val="lightGray"/>
        </w:rPr>
        <w:t>200 mg</w:t>
      </w:r>
      <w:r w:rsidRPr="005454C8">
        <w:rPr>
          <w:highlight w:val="lightGray"/>
        </w:rPr>
        <w:t xml:space="preserve"> plėvele dengtos tabletės</w:t>
      </w:r>
    </w:p>
    <w:p w14:paraId="41C20B90" w14:textId="77777777" w:rsidR="00041CC8" w:rsidRPr="005454C8" w:rsidRDefault="00041CC8" w:rsidP="00041CC8"/>
    <w:p w14:paraId="4C427219" w14:textId="77777777" w:rsidR="00041CC8" w:rsidRPr="005454C8" w:rsidRDefault="00041CC8" w:rsidP="00041CC8"/>
    <w:p w14:paraId="2C1FFA4E" w14:textId="77777777" w:rsidR="00041CC8" w:rsidRPr="005454C8" w:rsidRDefault="00041CC8" w:rsidP="00041CC8">
      <w:pPr>
        <w:keepNext/>
        <w:ind w:left="567" w:hanging="567"/>
        <w:outlineLvl w:val="2"/>
        <w:rPr>
          <w:b/>
        </w:rPr>
      </w:pPr>
      <w:r w:rsidRPr="005454C8">
        <w:rPr>
          <w:b/>
        </w:rPr>
        <w:t>2.</w:t>
      </w:r>
      <w:r w:rsidRPr="005454C8">
        <w:rPr>
          <w:b/>
        </w:rPr>
        <w:tab/>
        <w:t>KOKYBINĖ IR KIEKYBINĖ SUDĖTIS</w:t>
      </w:r>
    </w:p>
    <w:p w14:paraId="61D25847" w14:textId="77777777" w:rsidR="00041CC8" w:rsidRPr="005454C8" w:rsidRDefault="00041CC8" w:rsidP="00041CC8">
      <w:pPr>
        <w:autoSpaceDE w:val="0"/>
        <w:autoSpaceDN w:val="0"/>
        <w:adjustRightInd w:val="0"/>
      </w:pPr>
    </w:p>
    <w:p w14:paraId="5D9182BE" w14:textId="77777777" w:rsidR="00041CC8" w:rsidRPr="005454C8" w:rsidRDefault="00041CC8" w:rsidP="00041CC8">
      <w:pPr>
        <w:autoSpaceDE w:val="0"/>
        <w:autoSpaceDN w:val="0"/>
        <w:adjustRightInd w:val="0"/>
        <w:rPr>
          <w:rFonts w:ascii="Verdana" w:hAnsi="Verdana"/>
        </w:rPr>
      </w:pPr>
      <w:r w:rsidRPr="00F847E4">
        <w:rPr>
          <w:rFonts w:ascii="Verdana" w:hAnsi="Verdana"/>
          <w:highlight w:val="lightGray"/>
        </w:rPr>
        <w:t>[</w:t>
      </w:r>
      <w:r w:rsidRPr="00F847E4">
        <w:rPr>
          <w:highlight w:val="lightGray"/>
        </w:rPr>
        <w:t>50 mg stiprumui:</w:t>
      </w:r>
      <w:r w:rsidRPr="00F847E4">
        <w:rPr>
          <w:rFonts w:ascii="Verdana" w:hAnsi="Verdana"/>
          <w:highlight w:val="lightGray"/>
        </w:rPr>
        <w:t>]</w:t>
      </w:r>
    </w:p>
    <w:p w14:paraId="3251A2E4" w14:textId="77777777" w:rsidR="00041CC8" w:rsidRPr="005454C8" w:rsidRDefault="00041CC8" w:rsidP="00041CC8">
      <w:pPr>
        <w:autoSpaceDE w:val="0"/>
        <w:autoSpaceDN w:val="0"/>
        <w:adjustRightInd w:val="0"/>
        <w:rPr>
          <w:rFonts w:eastAsia="Calibri"/>
        </w:rPr>
      </w:pPr>
      <w:r w:rsidRPr="005454C8">
        <w:rPr>
          <w:rFonts w:eastAsia="Calibri"/>
        </w:rPr>
        <w:t>Kiekvienoje tabletėje yra 50 mg vorikonazolo.</w:t>
      </w:r>
    </w:p>
    <w:p w14:paraId="00E2E5F0" w14:textId="77777777" w:rsidR="00041CC8" w:rsidRPr="005454C8" w:rsidRDefault="00041CC8" w:rsidP="00041CC8"/>
    <w:p w14:paraId="1B9BEB40" w14:textId="77777777" w:rsidR="00041CC8" w:rsidRPr="005454C8" w:rsidRDefault="00041CC8" w:rsidP="00041CC8">
      <w:r w:rsidRPr="005454C8">
        <w:rPr>
          <w:u w:val="single"/>
        </w:rPr>
        <w:t>Pagalbinė medžiaga, kurios poveikis žinomas</w:t>
      </w:r>
      <w:r w:rsidRPr="005454C8">
        <w:t>: 67,8 mg laktozės monohidrato.</w:t>
      </w:r>
    </w:p>
    <w:p w14:paraId="479CBF88" w14:textId="77777777" w:rsidR="00041CC8" w:rsidRPr="005454C8" w:rsidRDefault="00041CC8" w:rsidP="00041CC8">
      <w:pPr>
        <w:rPr>
          <w:highlight w:val="lightGray"/>
        </w:rPr>
      </w:pPr>
    </w:p>
    <w:p w14:paraId="636C9C1C" w14:textId="77777777" w:rsidR="00041CC8" w:rsidRPr="005454C8" w:rsidRDefault="00041CC8" w:rsidP="00041CC8">
      <w:pPr>
        <w:autoSpaceDE w:val="0"/>
        <w:autoSpaceDN w:val="0"/>
        <w:adjustRightInd w:val="0"/>
        <w:rPr>
          <w:rFonts w:ascii="Verdana" w:hAnsi="Verdana"/>
          <w:highlight w:val="lightGray"/>
        </w:rPr>
      </w:pPr>
      <w:r w:rsidRPr="005454C8">
        <w:rPr>
          <w:rFonts w:ascii="Verdana" w:hAnsi="Verdana"/>
          <w:highlight w:val="lightGray"/>
        </w:rPr>
        <w:t>[</w:t>
      </w:r>
      <w:r w:rsidRPr="005454C8">
        <w:rPr>
          <w:highlight w:val="lightGray"/>
        </w:rPr>
        <w:t>200 mg stiprumui:</w:t>
      </w:r>
      <w:r w:rsidRPr="005454C8">
        <w:rPr>
          <w:rFonts w:ascii="Verdana" w:hAnsi="Verdana"/>
          <w:highlight w:val="lightGray"/>
        </w:rPr>
        <w:t>]</w:t>
      </w:r>
    </w:p>
    <w:p w14:paraId="58ADBC48" w14:textId="77777777" w:rsidR="00041CC8" w:rsidRPr="005454C8" w:rsidRDefault="00041CC8" w:rsidP="00041CC8">
      <w:pPr>
        <w:autoSpaceDE w:val="0"/>
        <w:autoSpaceDN w:val="0"/>
        <w:adjustRightInd w:val="0"/>
        <w:rPr>
          <w:rFonts w:eastAsia="Calibri"/>
        </w:rPr>
      </w:pPr>
      <w:r w:rsidRPr="005454C8">
        <w:rPr>
          <w:rFonts w:eastAsia="Calibri"/>
          <w:highlight w:val="lightGray"/>
        </w:rPr>
        <w:t>Kiekvienoje tabletėje yra 200 mg vorikonazolo.</w:t>
      </w:r>
    </w:p>
    <w:p w14:paraId="1C1CF565" w14:textId="77777777" w:rsidR="00041CC8" w:rsidRPr="005454C8" w:rsidRDefault="00041CC8" w:rsidP="00041CC8">
      <w:pPr>
        <w:autoSpaceDE w:val="0"/>
        <w:autoSpaceDN w:val="0"/>
        <w:adjustRightInd w:val="0"/>
        <w:rPr>
          <w:rFonts w:eastAsia="Calibri"/>
        </w:rPr>
      </w:pPr>
    </w:p>
    <w:p w14:paraId="1DFED200" w14:textId="77777777" w:rsidR="00041CC8" w:rsidRPr="005454C8" w:rsidRDefault="00041CC8" w:rsidP="00041CC8">
      <w:r w:rsidRPr="005454C8">
        <w:rPr>
          <w:highlight w:val="lightGray"/>
          <w:u w:val="single"/>
        </w:rPr>
        <w:t>Pagalbinė medžiaga, kurios poveikis žinomas</w:t>
      </w:r>
      <w:r w:rsidRPr="005454C8">
        <w:rPr>
          <w:highlight w:val="lightGray"/>
        </w:rPr>
        <w:t>: 271,2 mg laktozės monohidrato.</w:t>
      </w:r>
    </w:p>
    <w:p w14:paraId="53CB0737" w14:textId="77777777" w:rsidR="00041CC8" w:rsidRPr="005454C8" w:rsidRDefault="00041CC8" w:rsidP="00041CC8"/>
    <w:p w14:paraId="2EE0B22E" w14:textId="77777777" w:rsidR="00041CC8" w:rsidRPr="005454C8" w:rsidRDefault="00041CC8" w:rsidP="00041CC8">
      <w:r w:rsidRPr="005454C8">
        <w:t>Visos pagalbinės medžiagos išvardytos 6.1 skyriuje.</w:t>
      </w:r>
    </w:p>
    <w:p w14:paraId="7D206972" w14:textId="77777777" w:rsidR="00041CC8" w:rsidRPr="005454C8" w:rsidRDefault="00041CC8" w:rsidP="00041CC8"/>
    <w:p w14:paraId="5F7A3957" w14:textId="77777777" w:rsidR="00041CC8" w:rsidRPr="005454C8" w:rsidRDefault="00041CC8" w:rsidP="00041CC8"/>
    <w:p w14:paraId="6EF6B36B" w14:textId="77777777" w:rsidR="00041CC8" w:rsidRPr="005454C8" w:rsidRDefault="00041CC8" w:rsidP="00041CC8">
      <w:pPr>
        <w:keepNext/>
        <w:ind w:left="567" w:hanging="567"/>
        <w:outlineLvl w:val="2"/>
        <w:rPr>
          <w:b/>
        </w:rPr>
      </w:pPr>
      <w:r w:rsidRPr="005454C8">
        <w:rPr>
          <w:b/>
        </w:rPr>
        <w:t>3.</w:t>
      </w:r>
      <w:r w:rsidRPr="005454C8">
        <w:rPr>
          <w:b/>
        </w:rPr>
        <w:tab/>
        <w:t>FARMACINĖ FORMA</w:t>
      </w:r>
    </w:p>
    <w:p w14:paraId="094DF088" w14:textId="77777777" w:rsidR="00041CC8" w:rsidRPr="005454C8" w:rsidRDefault="00041CC8" w:rsidP="00041CC8"/>
    <w:p w14:paraId="0E11512C" w14:textId="77777777" w:rsidR="00041CC8" w:rsidRPr="005454C8" w:rsidRDefault="00041CC8" w:rsidP="00041CC8">
      <w:pPr>
        <w:autoSpaceDE w:val="0"/>
        <w:autoSpaceDN w:val="0"/>
        <w:adjustRightInd w:val="0"/>
        <w:rPr>
          <w:rFonts w:ascii="Verdana" w:hAnsi="Verdana"/>
        </w:rPr>
      </w:pPr>
      <w:r w:rsidRPr="00F847E4">
        <w:rPr>
          <w:rFonts w:ascii="Verdana" w:hAnsi="Verdana"/>
          <w:highlight w:val="lightGray"/>
        </w:rPr>
        <w:t>[</w:t>
      </w:r>
      <w:r w:rsidRPr="00F847E4">
        <w:rPr>
          <w:highlight w:val="lightGray"/>
        </w:rPr>
        <w:t>50 mg stiprumui:</w:t>
      </w:r>
      <w:r w:rsidRPr="00F847E4">
        <w:rPr>
          <w:rFonts w:ascii="Verdana" w:hAnsi="Verdana"/>
          <w:highlight w:val="lightGray"/>
        </w:rPr>
        <w:t>]</w:t>
      </w:r>
    </w:p>
    <w:p w14:paraId="4963CE90" w14:textId="77777777" w:rsidR="00041CC8" w:rsidRPr="005454C8" w:rsidRDefault="00041CC8" w:rsidP="00041CC8">
      <w:r w:rsidRPr="005454C8">
        <w:rPr>
          <w:rFonts w:eastAsia="Calibri"/>
        </w:rPr>
        <w:t>Balta arba balkšva, apvali, maždaug 7,2 mm skersmens plėvele dengta tabletė.</w:t>
      </w:r>
    </w:p>
    <w:p w14:paraId="14F85264" w14:textId="77777777" w:rsidR="00041CC8" w:rsidRPr="005454C8" w:rsidRDefault="00041CC8" w:rsidP="00041CC8">
      <w:pPr>
        <w:autoSpaceDE w:val="0"/>
        <w:autoSpaceDN w:val="0"/>
        <w:adjustRightInd w:val="0"/>
      </w:pPr>
    </w:p>
    <w:p w14:paraId="157D8545" w14:textId="77777777" w:rsidR="00041CC8" w:rsidRPr="005454C8" w:rsidRDefault="00041CC8" w:rsidP="00041CC8">
      <w:pPr>
        <w:autoSpaceDE w:val="0"/>
        <w:autoSpaceDN w:val="0"/>
        <w:adjustRightInd w:val="0"/>
        <w:rPr>
          <w:rFonts w:ascii="Verdana" w:hAnsi="Verdana"/>
          <w:highlight w:val="lightGray"/>
        </w:rPr>
      </w:pPr>
      <w:r w:rsidRPr="005454C8">
        <w:rPr>
          <w:rFonts w:ascii="Verdana" w:hAnsi="Verdana"/>
          <w:highlight w:val="lightGray"/>
        </w:rPr>
        <w:t>[</w:t>
      </w:r>
      <w:r w:rsidRPr="005454C8">
        <w:rPr>
          <w:highlight w:val="lightGray"/>
        </w:rPr>
        <w:t>200 mg stiprumui:</w:t>
      </w:r>
      <w:r w:rsidRPr="005454C8">
        <w:rPr>
          <w:rFonts w:ascii="Verdana" w:hAnsi="Verdana"/>
          <w:highlight w:val="lightGray"/>
        </w:rPr>
        <w:t>]</w:t>
      </w:r>
    </w:p>
    <w:p w14:paraId="0B6E71B9" w14:textId="77777777" w:rsidR="00041CC8" w:rsidRPr="005454C8" w:rsidRDefault="00041CC8" w:rsidP="00041CC8">
      <w:r w:rsidRPr="005454C8">
        <w:rPr>
          <w:rFonts w:eastAsia="Calibri"/>
          <w:highlight w:val="lightGray"/>
        </w:rPr>
        <w:t xml:space="preserve">Balta arba balkšva, kapsulės formos, maždaug 15,9 mm ilgio ir 8 mm pločio plėvele dengta tabletė. </w:t>
      </w:r>
    </w:p>
    <w:p w14:paraId="270D8EE4" w14:textId="77777777" w:rsidR="00041CC8" w:rsidRPr="005454C8" w:rsidRDefault="00041CC8" w:rsidP="00041CC8"/>
    <w:p w14:paraId="4E2F7BA5" w14:textId="77777777" w:rsidR="00041CC8" w:rsidRPr="005454C8" w:rsidRDefault="00041CC8" w:rsidP="00041CC8"/>
    <w:p w14:paraId="0EA75956" w14:textId="77777777" w:rsidR="00041CC8" w:rsidRPr="005454C8" w:rsidRDefault="00041CC8" w:rsidP="00041CC8">
      <w:pPr>
        <w:keepNext/>
        <w:ind w:left="567" w:hanging="567"/>
        <w:outlineLvl w:val="2"/>
        <w:rPr>
          <w:b/>
        </w:rPr>
      </w:pPr>
      <w:r w:rsidRPr="005454C8">
        <w:rPr>
          <w:b/>
        </w:rPr>
        <w:t>4.</w:t>
      </w:r>
      <w:r w:rsidRPr="005454C8">
        <w:rPr>
          <w:b/>
        </w:rPr>
        <w:tab/>
        <w:t>KLINIKINĖ INFORMACIJA</w:t>
      </w:r>
    </w:p>
    <w:p w14:paraId="451AFD67" w14:textId="77777777" w:rsidR="00041CC8" w:rsidRPr="005454C8" w:rsidRDefault="00041CC8" w:rsidP="00041CC8">
      <w:pPr>
        <w:keepNext/>
        <w:spacing w:before="240" w:after="60"/>
        <w:ind w:left="567" w:hanging="567"/>
        <w:outlineLvl w:val="3"/>
        <w:rPr>
          <w:b/>
        </w:rPr>
      </w:pPr>
      <w:r w:rsidRPr="005454C8">
        <w:rPr>
          <w:b/>
        </w:rPr>
        <w:t>4.1</w:t>
      </w:r>
      <w:r w:rsidRPr="005454C8">
        <w:rPr>
          <w:b/>
        </w:rPr>
        <w:tab/>
        <w:t>Terapinės indikacijos</w:t>
      </w:r>
    </w:p>
    <w:p w14:paraId="377824FF" w14:textId="77777777" w:rsidR="00041CC8" w:rsidRPr="005454C8" w:rsidRDefault="00041CC8" w:rsidP="00041CC8"/>
    <w:p w14:paraId="1730168B" w14:textId="77777777" w:rsidR="00041CC8" w:rsidRPr="005454C8" w:rsidRDefault="00041CC8" w:rsidP="00041CC8">
      <w:pPr>
        <w:autoSpaceDE w:val="0"/>
        <w:autoSpaceDN w:val="0"/>
        <w:adjustRightInd w:val="0"/>
        <w:rPr>
          <w:rFonts w:eastAsia="Calibri"/>
        </w:rPr>
      </w:pPr>
      <w:r w:rsidRPr="005454C8">
        <w:rPr>
          <w:rFonts w:eastAsia="Calibri"/>
        </w:rPr>
        <w:t>Vorikonazolas yra plataus priešgrybelinio poveikio triazolų grupės vaistinis preparatas, skirtas suaugusiųjų ir 2 metų bei vyresnių vaikų:</w:t>
      </w:r>
    </w:p>
    <w:p w14:paraId="2ADD860C" w14:textId="77777777" w:rsidR="00041CC8" w:rsidRPr="005454C8" w:rsidRDefault="00041CC8" w:rsidP="00041CC8">
      <w:pPr>
        <w:numPr>
          <w:ilvl w:val="0"/>
          <w:numId w:val="18"/>
        </w:numPr>
        <w:autoSpaceDE w:val="0"/>
        <w:autoSpaceDN w:val="0"/>
        <w:adjustRightInd w:val="0"/>
        <w:contextualSpacing/>
        <w:rPr>
          <w:rFonts w:eastAsia="Calibri"/>
        </w:rPr>
      </w:pPr>
      <w:r w:rsidRPr="005454C8">
        <w:rPr>
          <w:rFonts w:eastAsia="Calibri"/>
        </w:rPr>
        <w:t>invazinės aspergiliozės gydymui;</w:t>
      </w:r>
    </w:p>
    <w:p w14:paraId="0F6C5301" w14:textId="77777777" w:rsidR="00041CC8" w:rsidRPr="005454C8" w:rsidRDefault="00041CC8" w:rsidP="00041CC8">
      <w:pPr>
        <w:numPr>
          <w:ilvl w:val="0"/>
          <w:numId w:val="18"/>
        </w:numPr>
        <w:autoSpaceDE w:val="0"/>
        <w:autoSpaceDN w:val="0"/>
        <w:adjustRightInd w:val="0"/>
        <w:contextualSpacing/>
        <w:rPr>
          <w:rFonts w:eastAsia="Calibri"/>
        </w:rPr>
      </w:pPr>
      <w:r w:rsidRPr="005454C8">
        <w:rPr>
          <w:rFonts w:eastAsia="Calibri"/>
        </w:rPr>
        <w:t>kandidemijos gydymui pacientams, kuriems nėra neutropenijos;</w:t>
      </w:r>
    </w:p>
    <w:p w14:paraId="49B8FC45" w14:textId="77777777" w:rsidR="00041CC8" w:rsidRPr="005454C8" w:rsidRDefault="00041CC8" w:rsidP="00041CC8">
      <w:pPr>
        <w:numPr>
          <w:ilvl w:val="0"/>
          <w:numId w:val="18"/>
        </w:numPr>
        <w:autoSpaceDE w:val="0"/>
        <w:autoSpaceDN w:val="0"/>
        <w:adjustRightInd w:val="0"/>
        <w:contextualSpacing/>
        <w:rPr>
          <w:rFonts w:eastAsia="Calibri"/>
        </w:rPr>
      </w:pPr>
      <w:r w:rsidRPr="005454C8">
        <w:rPr>
          <w:rFonts w:eastAsia="Calibri"/>
        </w:rPr>
        <w:t xml:space="preserve">atsparios flukonazolui, sunkios formos </w:t>
      </w:r>
      <w:r w:rsidRPr="005454C8">
        <w:rPr>
          <w:rFonts w:eastAsia="TimesNewRoman,Italic"/>
          <w:i/>
        </w:rPr>
        <w:t xml:space="preserve">Candida </w:t>
      </w:r>
      <w:r w:rsidRPr="005454C8">
        <w:rPr>
          <w:rFonts w:eastAsia="Calibri"/>
        </w:rPr>
        <w:t xml:space="preserve">(įskaitant </w:t>
      </w:r>
      <w:r w:rsidRPr="005454C8">
        <w:rPr>
          <w:rFonts w:eastAsia="TimesNewRoman,Italic"/>
          <w:i/>
        </w:rPr>
        <w:t>C. krusei</w:t>
      </w:r>
      <w:r w:rsidRPr="005454C8">
        <w:rPr>
          <w:rFonts w:eastAsia="Calibri"/>
        </w:rPr>
        <w:t>) grybelių sukeltos infekcijos gydymui;</w:t>
      </w:r>
    </w:p>
    <w:p w14:paraId="58B2B1AA" w14:textId="77777777" w:rsidR="00041CC8" w:rsidRPr="005454C8" w:rsidRDefault="00041CC8" w:rsidP="00041CC8">
      <w:pPr>
        <w:numPr>
          <w:ilvl w:val="0"/>
          <w:numId w:val="18"/>
        </w:numPr>
        <w:autoSpaceDE w:val="0"/>
        <w:autoSpaceDN w:val="0"/>
        <w:adjustRightInd w:val="0"/>
        <w:contextualSpacing/>
        <w:rPr>
          <w:rFonts w:eastAsia="Calibri"/>
        </w:rPr>
      </w:pPr>
      <w:r w:rsidRPr="005454C8">
        <w:rPr>
          <w:rFonts w:eastAsia="Calibri"/>
        </w:rPr>
        <w:t xml:space="preserve">sunkios grybelių </w:t>
      </w:r>
      <w:r w:rsidRPr="005454C8">
        <w:rPr>
          <w:rFonts w:eastAsia="TimesNewRoman,Italic"/>
          <w:i/>
        </w:rPr>
        <w:t>Scedospo</w:t>
      </w:r>
      <w:r w:rsidRPr="005454C8">
        <w:rPr>
          <w:rFonts w:eastAsia="Calibri"/>
          <w:i/>
        </w:rPr>
        <w:t xml:space="preserve">rium </w:t>
      </w:r>
      <w:r w:rsidRPr="005454C8">
        <w:rPr>
          <w:rFonts w:eastAsia="Calibri"/>
        </w:rPr>
        <w:t xml:space="preserve">ir </w:t>
      </w:r>
      <w:r w:rsidRPr="005454C8">
        <w:rPr>
          <w:rFonts w:eastAsia="Calibri"/>
          <w:i/>
        </w:rPr>
        <w:t>Fus</w:t>
      </w:r>
      <w:r w:rsidRPr="005454C8">
        <w:rPr>
          <w:rFonts w:eastAsia="TimesNewRoman,Italic"/>
          <w:i/>
        </w:rPr>
        <w:t xml:space="preserve">arium </w:t>
      </w:r>
      <w:r w:rsidRPr="005454C8">
        <w:rPr>
          <w:rFonts w:eastAsia="TimesNewRoman,Italic"/>
        </w:rPr>
        <w:t>rūš</w:t>
      </w:r>
      <w:r w:rsidRPr="005454C8">
        <w:rPr>
          <w:rFonts w:eastAsia="Calibri"/>
        </w:rPr>
        <w:t>ių sukeltos infekcijos gydymui.</w:t>
      </w:r>
    </w:p>
    <w:p w14:paraId="5A56B55A" w14:textId="77777777" w:rsidR="00041CC8" w:rsidRPr="005454C8" w:rsidRDefault="00041CC8" w:rsidP="00041CC8">
      <w:pPr>
        <w:autoSpaceDE w:val="0"/>
        <w:autoSpaceDN w:val="0"/>
        <w:adjustRightInd w:val="0"/>
        <w:rPr>
          <w:rFonts w:eastAsia="Calibri"/>
        </w:rPr>
      </w:pPr>
    </w:p>
    <w:p w14:paraId="4B781B6E" w14:textId="77777777" w:rsidR="00041CC8" w:rsidRPr="005454C8" w:rsidRDefault="00041CC8" w:rsidP="00041CC8">
      <w:pPr>
        <w:autoSpaceDE w:val="0"/>
        <w:autoSpaceDN w:val="0"/>
        <w:adjustRightInd w:val="0"/>
        <w:rPr>
          <w:rFonts w:eastAsia="Calibri"/>
        </w:rPr>
      </w:pPr>
      <w:r w:rsidRPr="005454C8">
        <w:rPr>
          <w:rFonts w:eastAsia="Calibri"/>
        </w:rPr>
        <w:t>Pirmiausiai VERRIA yra skirtinas pacientams, sergantiems progresuojančia ir gyvybei pavojinga infekcine liga.</w:t>
      </w:r>
    </w:p>
    <w:p w14:paraId="59C12DB7" w14:textId="77777777" w:rsidR="00041CC8" w:rsidRPr="005454C8" w:rsidRDefault="00041CC8" w:rsidP="00041CC8">
      <w:pPr>
        <w:autoSpaceDE w:val="0"/>
        <w:autoSpaceDN w:val="0"/>
        <w:adjustRightInd w:val="0"/>
        <w:rPr>
          <w:rFonts w:eastAsia="Calibri"/>
        </w:rPr>
      </w:pPr>
    </w:p>
    <w:p w14:paraId="6303AEC1" w14:textId="77777777" w:rsidR="00041CC8" w:rsidRPr="005454C8" w:rsidRDefault="00041CC8" w:rsidP="00041CC8">
      <w:pPr>
        <w:autoSpaceDE w:val="0"/>
        <w:autoSpaceDN w:val="0"/>
        <w:adjustRightInd w:val="0"/>
        <w:rPr>
          <w:rFonts w:eastAsia="Calibri"/>
        </w:rPr>
      </w:pPr>
      <w:r w:rsidRPr="005454C8">
        <w:rPr>
          <w:rFonts w:eastAsia="Calibri"/>
        </w:rPr>
        <w:t>Invazinės grybelių sukeltos infekcijos profilaktika didelės rizikos pacientams, kuriems buvo persodintos alogeninės kamieninės hematopoezinės ląstelės (AKHL).</w:t>
      </w:r>
    </w:p>
    <w:p w14:paraId="1F5403D2" w14:textId="77777777" w:rsidR="00041CC8" w:rsidRPr="005454C8" w:rsidRDefault="00041CC8" w:rsidP="00041CC8">
      <w:pPr>
        <w:keepNext/>
        <w:spacing w:before="240" w:after="60"/>
        <w:ind w:left="567" w:hanging="567"/>
        <w:outlineLvl w:val="3"/>
        <w:rPr>
          <w:b/>
        </w:rPr>
      </w:pPr>
      <w:r w:rsidRPr="005454C8">
        <w:rPr>
          <w:rFonts w:eastAsia="Calibri"/>
          <w:b/>
        </w:rPr>
        <w:t xml:space="preserve">4.2 </w:t>
      </w:r>
      <w:r w:rsidRPr="005454C8">
        <w:rPr>
          <w:rFonts w:eastAsia="Calibri"/>
          <w:b/>
        </w:rPr>
        <w:tab/>
        <w:t>Dozavimas</w:t>
      </w:r>
      <w:r w:rsidRPr="005454C8">
        <w:rPr>
          <w:b/>
        </w:rPr>
        <w:t xml:space="preserve"> ir vartojimo metodas</w:t>
      </w:r>
    </w:p>
    <w:p w14:paraId="752363BB" w14:textId="77777777" w:rsidR="00041CC8" w:rsidRPr="005454C8" w:rsidRDefault="00041CC8" w:rsidP="00041CC8"/>
    <w:p w14:paraId="69B5F1F8" w14:textId="77777777" w:rsidR="00041CC8" w:rsidRPr="005454C8" w:rsidRDefault="00041CC8" w:rsidP="00041CC8">
      <w:pPr>
        <w:autoSpaceDE w:val="0"/>
        <w:autoSpaceDN w:val="0"/>
        <w:adjustRightInd w:val="0"/>
        <w:rPr>
          <w:rFonts w:eastAsia="Calibri"/>
          <w:u w:val="single"/>
        </w:rPr>
      </w:pPr>
      <w:r w:rsidRPr="005454C8">
        <w:rPr>
          <w:rFonts w:eastAsia="Calibri"/>
          <w:u w:val="single"/>
        </w:rPr>
        <w:t>Dozavimas</w:t>
      </w:r>
    </w:p>
    <w:p w14:paraId="0410ACCF" w14:textId="77777777" w:rsidR="00041CC8" w:rsidRPr="005454C8" w:rsidRDefault="00041CC8" w:rsidP="00041CC8">
      <w:pPr>
        <w:autoSpaceDE w:val="0"/>
        <w:autoSpaceDN w:val="0"/>
        <w:adjustRightInd w:val="0"/>
        <w:rPr>
          <w:rFonts w:eastAsia="Calibri"/>
        </w:rPr>
      </w:pPr>
      <w:r w:rsidRPr="005454C8">
        <w:rPr>
          <w:rFonts w:eastAsia="Calibri"/>
        </w:rPr>
        <w:t>Reikia stebėti ir prireikus koreguoti elektrolitų sutrikimus (pvz., hipokalemiją, hipomagnezemiją ir hipokalcemiją) prieš pradedant ir vorikonazolo terapijos metu (žr. 4.4 skyrių).</w:t>
      </w:r>
    </w:p>
    <w:p w14:paraId="0EC24264" w14:textId="77777777" w:rsidR="00041CC8" w:rsidRPr="005454C8" w:rsidRDefault="00041CC8" w:rsidP="00041CC8">
      <w:pPr>
        <w:autoSpaceDE w:val="0"/>
        <w:autoSpaceDN w:val="0"/>
        <w:adjustRightInd w:val="0"/>
        <w:rPr>
          <w:rFonts w:eastAsia="Calibri"/>
        </w:rPr>
      </w:pPr>
    </w:p>
    <w:p w14:paraId="4D79AADA" w14:textId="77777777" w:rsidR="00041CC8" w:rsidRPr="005454C8" w:rsidRDefault="00041CC8" w:rsidP="00041CC8">
      <w:pPr>
        <w:autoSpaceDE w:val="0"/>
        <w:autoSpaceDN w:val="0"/>
        <w:adjustRightInd w:val="0"/>
        <w:rPr>
          <w:rFonts w:eastAsia="Calibri"/>
        </w:rPr>
      </w:pPr>
      <w:r w:rsidRPr="005454C8">
        <w:t xml:space="preserve">VERRIA tiekiamas </w:t>
      </w:r>
      <w:r w:rsidRPr="005454C8">
        <w:rPr>
          <w:rFonts w:eastAsia="Calibri"/>
        </w:rPr>
        <w:t xml:space="preserve">200 mg </w:t>
      </w:r>
      <w:r w:rsidRPr="00837830">
        <w:rPr>
          <w:rFonts w:eastAsia="Calibri"/>
          <w:highlight w:val="lightGray"/>
        </w:rPr>
        <w:t>ir</w:t>
      </w:r>
      <w:r w:rsidRPr="005454C8">
        <w:rPr>
          <w:rFonts w:eastAsia="Calibri"/>
        </w:rPr>
        <w:t xml:space="preserve"> </w:t>
      </w:r>
      <w:r w:rsidRPr="005454C8">
        <w:rPr>
          <w:rFonts w:eastAsia="Calibri"/>
          <w:highlight w:val="lightGray"/>
        </w:rPr>
        <w:t>50 mg</w:t>
      </w:r>
      <w:r w:rsidRPr="005454C8">
        <w:rPr>
          <w:rFonts w:eastAsia="Calibri"/>
        </w:rPr>
        <w:t xml:space="preserve"> plėvele dengtomis tabletėmis.</w:t>
      </w:r>
    </w:p>
    <w:p w14:paraId="4F9C53B2" w14:textId="77777777" w:rsidR="00041CC8" w:rsidRPr="005454C8" w:rsidRDefault="00041CC8" w:rsidP="00041CC8"/>
    <w:p w14:paraId="3B43C016" w14:textId="77777777" w:rsidR="00041CC8" w:rsidRPr="005454C8" w:rsidRDefault="00041CC8" w:rsidP="00041CC8">
      <w:pPr>
        <w:autoSpaceDE w:val="0"/>
        <w:autoSpaceDN w:val="0"/>
        <w:adjustRightInd w:val="0"/>
        <w:rPr>
          <w:rFonts w:eastAsia="Calibri"/>
          <w:u w:val="single"/>
        </w:rPr>
      </w:pPr>
      <w:r w:rsidRPr="005454C8">
        <w:rPr>
          <w:rFonts w:eastAsia="Calibri"/>
          <w:u w:val="single"/>
        </w:rPr>
        <w:lastRenderedPageBreak/>
        <w:t>Gydymas</w:t>
      </w:r>
    </w:p>
    <w:p w14:paraId="312CDF77"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Suaugusiesiems</w:t>
      </w:r>
    </w:p>
    <w:p w14:paraId="2185990C" w14:textId="77777777" w:rsidR="00041CC8" w:rsidRPr="005454C8" w:rsidRDefault="00041CC8" w:rsidP="00041CC8">
      <w:pPr>
        <w:autoSpaceDE w:val="0"/>
        <w:autoSpaceDN w:val="0"/>
        <w:adjustRightInd w:val="0"/>
        <w:rPr>
          <w:rFonts w:eastAsia="Calibri"/>
        </w:rPr>
      </w:pPr>
      <w:r w:rsidRPr="005454C8">
        <w:rPr>
          <w:rFonts w:eastAsia="Calibri"/>
        </w:rPr>
        <w:t xml:space="preserve">Gydymą būtina pradėti pagal specialų įsotinamosios dozės planą į veną arba per burną, kad per pirmąją parą būtų pasiekta vaistinio preparato koncentracija </w:t>
      </w:r>
      <w:r w:rsidRPr="009A1B7F">
        <w:rPr>
          <w:rFonts w:eastAsia="Calibri"/>
          <w:szCs w:val="22"/>
          <w:lang w:eastAsia="en-US"/>
        </w:rPr>
        <w:t xml:space="preserve">kraujo </w:t>
      </w:r>
      <w:r w:rsidRPr="005454C8">
        <w:rPr>
          <w:rFonts w:eastAsia="Calibri"/>
        </w:rPr>
        <w:t>plazmoje, artima koncentracijai nusistovėjus pusiausvyrai. Kadangi išgerto vaistinio preparato biologinis prieinamumas yra didelis (96 %, žr. 5.2 skyrių), į veną vartojamo vaistinio preparato pakeitimas į vartojamą per burną priklauso nuo klinikinės paciento būklės.</w:t>
      </w:r>
    </w:p>
    <w:p w14:paraId="1D4D1968" w14:textId="77777777" w:rsidR="00041CC8" w:rsidRPr="005454C8" w:rsidRDefault="00041CC8" w:rsidP="00041CC8">
      <w:pPr>
        <w:autoSpaceDE w:val="0"/>
        <w:autoSpaceDN w:val="0"/>
        <w:adjustRightInd w:val="0"/>
        <w:rPr>
          <w:rFonts w:eastAsia="Calibri"/>
        </w:rPr>
      </w:pPr>
    </w:p>
    <w:p w14:paraId="31D47F87" w14:textId="77777777" w:rsidR="00041CC8" w:rsidRPr="005454C8" w:rsidRDefault="00041CC8" w:rsidP="00041CC8">
      <w:pPr>
        <w:rPr>
          <w:rFonts w:eastAsia="Calibri"/>
        </w:rPr>
      </w:pPr>
      <w:r w:rsidRPr="005454C8">
        <w:rPr>
          <w:rFonts w:eastAsia="Calibri"/>
        </w:rPr>
        <w:t>Išsami vaistinio preparato dozavimo informacija pateikta toliau esančioje lentelėje.</w:t>
      </w:r>
    </w:p>
    <w:p w14:paraId="402D223A" w14:textId="77777777" w:rsidR="00041CC8" w:rsidRPr="005454C8" w:rsidRDefault="00041CC8" w:rsidP="00041CC8"/>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2337"/>
        <w:gridCol w:w="2346"/>
        <w:gridCol w:w="2446"/>
      </w:tblGrid>
      <w:tr w:rsidR="00041CC8" w:rsidRPr="009A1B7F" w14:paraId="5867BA91" w14:textId="77777777" w:rsidTr="00A136A1">
        <w:tc>
          <w:tcPr>
            <w:tcW w:w="1843" w:type="dxa"/>
            <w:vMerge w:val="restart"/>
            <w:tcBorders>
              <w:top w:val="single" w:sz="4" w:space="0" w:color="000000"/>
              <w:left w:val="single" w:sz="4" w:space="0" w:color="000000"/>
              <w:bottom w:val="single" w:sz="4" w:space="0" w:color="000000"/>
              <w:right w:val="single" w:sz="4" w:space="0" w:color="000000"/>
            </w:tcBorders>
          </w:tcPr>
          <w:p w14:paraId="1E86F027" w14:textId="77777777" w:rsidR="00041CC8" w:rsidRPr="005454C8" w:rsidRDefault="00041CC8" w:rsidP="00A136A1">
            <w:pPr>
              <w:widowControl w:val="0"/>
              <w:autoSpaceDE w:val="0"/>
              <w:autoSpaceDN w:val="0"/>
              <w:adjustRightInd w:val="0"/>
              <w:rPr>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hideMark/>
          </w:tcPr>
          <w:p w14:paraId="39B7BCEB" w14:textId="77777777" w:rsidR="00041CC8" w:rsidRPr="00982D99" w:rsidRDefault="00041CC8" w:rsidP="00A136A1">
            <w:pPr>
              <w:widowControl w:val="0"/>
              <w:autoSpaceDE w:val="0"/>
              <w:autoSpaceDN w:val="0"/>
              <w:adjustRightInd w:val="0"/>
              <w:jc w:val="center"/>
              <w:rPr>
                <w:rFonts w:eastAsia="SimSun"/>
                <w:bCs/>
                <w:i/>
                <w:iCs/>
              </w:rPr>
            </w:pPr>
            <w:r w:rsidRPr="00982D99">
              <w:rPr>
                <w:rFonts w:eastAsia="SimSun"/>
                <w:bCs/>
                <w:i/>
                <w:iCs/>
              </w:rPr>
              <w:t>Į veną</w:t>
            </w:r>
          </w:p>
        </w:tc>
        <w:tc>
          <w:tcPr>
            <w:tcW w:w="4925" w:type="dxa"/>
            <w:gridSpan w:val="2"/>
            <w:tcBorders>
              <w:top w:val="single" w:sz="4" w:space="0" w:color="000000"/>
              <w:left w:val="single" w:sz="4" w:space="0" w:color="000000"/>
              <w:bottom w:val="single" w:sz="4" w:space="0" w:color="000000"/>
              <w:right w:val="single" w:sz="4" w:space="0" w:color="000000"/>
            </w:tcBorders>
            <w:hideMark/>
          </w:tcPr>
          <w:p w14:paraId="58D7586A" w14:textId="77777777" w:rsidR="00041CC8" w:rsidRPr="00982D99" w:rsidRDefault="00041CC8" w:rsidP="00A136A1">
            <w:pPr>
              <w:widowControl w:val="0"/>
              <w:autoSpaceDE w:val="0"/>
              <w:autoSpaceDN w:val="0"/>
              <w:adjustRightInd w:val="0"/>
              <w:jc w:val="center"/>
              <w:rPr>
                <w:bCs/>
                <w:i/>
                <w:iCs/>
                <w:color w:val="000000"/>
              </w:rPr>
            </w:pPr>
            <w:r w:rsidRPr="00982D99">
              <w:rPr>
                <w:bCs/>
                <w:i/>
                <w:iCs/>
                <w:color w:val="000000"/>
              </w:rPr>
              <w:t>Per burną</w:t>
            </w:r>
          </w:p>
        </w:tc>
      </w:tr>
      <w:tr w:rsidR="00041CC8" w:rsidRPr="009A1B7F" w14:paraId="0474F8CA" w14:textId="77777777" w:rsidTr="00A136A1">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E6D2146" w14:textId="77777777" w:rsidR="00041CC8" w:rsidRPr="005454C8" w:rsidRDefault="00041CC8" w:rsidP="00A136A1">
            <w:pPr>
              <w:rPr>
                <w:color w:val="000000"/>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BA230AD" w14:textId="77777777" w:rsidR="00041CC8" w:rsidRPr="005454C8" w:rsidRDefault="00041CC8" w:rsidP="00A136A1"/>
        </w:tc>
        <w:tc>
          <w:tcPr>
            <w:tcW w:w="2410" w:type="dxa"/>
            <w:tcBorders>
              <w:top w:val="single" w:sz="4" w:space="0" w:color="000000"/>
              <w:left w:val="single" w:sz="4" w:space="0" w:color="000000"/>
              <w:bottom w:val="single" w:sz="4" w:space="0" w:color="000000"/>
              <w:right w:val="single" w:sz="4" w:space="0" w:color="000000"/>
            </w:tcBorders>
            <w:hideMark/>
          </w:tcPr>
          <w:p w14:paraId="78324A2A" w14:textId="77777777" w:rsidR="00041CC8" w:rsidRPr="005454C8" w:rsidRDefault="00041CC8" w:rsidP="00A136A1">
            <w:pPr>
              <w:widowControl w:val="0"/>
              <w:autoSpaceDE w:val="0"/>
              <w:autoSpaceDN w:val="0"/>
              <w:adjustRightInd w:val="0"/>
              <w:rPr>
                <w:color w:val="000000"/>
              </w:rPr>
            </w:pPr>
            <w:r w:rsidRPr="005454C8">
              <w:rPr>
                <w:rFonts w:eastAsia="Calibri"/>
              </w:rPr>
              <w:t>40 kg ir daugiau sveriantys pacientai*</w:t>
            </w:r>
            <w:r w:rsidRPr="005454C8">
              <w:rPr>
                <w:color w:val="000000"/>
              </w:rPr>
              <w:t xml:space="preserve"> </w:t>
            </w:r>
          </w:p>
        </w:tc>
        <w:tc>
          <w:tcPr>
            <w:tcW w:w="2515" w:type="dxa"/>
            <w:tcBorders>
              <w:top w:val="single" w:sz="4" w:space="0" w:color="000000"/>
              <w:left w:val="single" w:sz="4" w:space="0" w:color="000000"/>
              <w:bottom w:val="single" w:sz="4" w:space="0" w:color="000000"/>
              <w:right w:val="single" w:sz="4" w:space="0" w:color="000000"/>
            </w:tcBorders>
            <w:hideMark/>
          </w:tcPr>
          <w:p w14:paraId="3C542DFC" w14:textId="7CE77912" w:rsidR="00041CC8" w:rsidRPr="005454C8" w:rsidRDefault="00041CC8" w:rsidP="00A136A1">
            <w:pPr>
              <w:widowControl w:val="0"/>
              <w:autoSpaceDE w:val="0"/>
              <w:autoSpaceDN w:val="0"/>
              <w:adjustRightInd w:val="0"/>
              <w:rPr>
                <w:color w:val="000000"/>
              </w:rPr>
            </w:pPr>
            <w:r w:rsidRPr="005454C8">
              <w:rPr>
                <w:rFonts w:eastAsia="Calibri"/>
              </w:rPr>
              <w:t>Mažiau kaip 40 kg sveriantys pacientai*</w:t>
            </w:r>
            <w:r w:rsidRPr="005454C8">
              <w:rPr>
                <w:color w:val="000000"/>
              </w:rPr>
              <w:t xml:space="preserve"> </w:t>
            </w:r>
          </w:p>
        </w:tc>
      </w:tr>
      <w:tr w:rsidR="00041CC8" w:rsidRPr="009A1B7F" w14:paraId="0E17B477" w14:textId="77777777" w:rsidTr="00A136A1">
        <w:tc>
          <w:tcPr>
            <w:tcW w:w="1843" w:type="dxa"/>
            <w:tcBorders>
              <w:top w:val="single" w:sz="4" w:space="0" w:color="000000"/>
              <w:left w:val="single" w:sz="4" w:space="0" w:color="000000"/>
              <w:bottom w:val="single" w:sz="4" w:space="0" w:color="000000"/>
              <w:right w:val="single" w:sz="4" w:space="0" w:color="000000"/>
            </w:tcBorders>
            <w:hideMark/>
          </w:tcPr>
          <w:p w14:paraId="16790180" w14:textId="77777777" w:rsidR="00041CC8" w:rsidRPr="00982D99" w:rsidRDefault="00041CC8" w:rsidP="00A136A1">
            <w:pPr>
              <w:widowControl w:val="0"/>
              <w:autoSpaceDE w:val="0"/>
              <w:autoSpaceDN w:val="0"/>
              <w:adjustRightInd w:val="0"/>
              <w:rPr>
                <w:bCs/>
                <w:i/>
                <w:iCs/>
                <w:color w:val="000000"/>
              </w:rPr>
            </w:pPr>
            <w:r w:rsidRPr="00982D99">
              <w:rPr>
                <w:rFonts w:eastAsia="Calibri"/>
                <w:bCs/>
                <w:i/>
                <w:iCs/>
              </w:rPr>
              <w:t>Įsotinamosios dozės planas (pirmąsias 24 valandas)</w:t>
            </w:r>
            <w:r w:rsidRPr="00982D99">
              <w:rPr>
                <w:bCs/>
                <w:i/>
                <w:iCs/>
                <w:color w:val="000000"/>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3B3B541B" w14:textId="77777777" w:rsidR="00041CC8" w:rsidRPr="005454C8" w:rsidRDefault="00041CC8" w:rsidP="00A136A1">
            <w:pPr>
              <w:widowControl w:val="0"/>
              <w:autoSpaceDE w:val="0"/>
              <w:autoSpaceDN w:val="0"/>
              <w:adjustRightInd w:val="0"/>
              <w:rPr>
                <w:rFonts w:eastAsia="SimSun"/>
                <w:color w:val="000000"/>
              </w:rPr>
            </w:pPr>
            <w:r w:rsidRPr="005454C8">
              <w:rPr>
                <w:rFonts w:eastAsia="Calibri"/>
                <w:color w:val="000000"/>
              </w:rPr>
              <w:t>6 mg/kg kas 12 valandų</w:t>
            </w:r>
            <w:r w:rsidRPr="005454C8">
              <w:rPr>
                <w:rFonts w:eastAsia="SimSun"/>
                <w:color w:val="000000"/>
              </w:rPr>
              <w:t xml:space="preserve"> </w:t>
            </w:r>
          </w:p>
          <w:p w14:paraId="6E166A05" w14:textId="77777777" w:rsidR="00041CC8" w:rsidRPr="005454C8" w:rsidRDefault="00041CC8" w:rsidP="00A136A1">
            <w:pPr>
              <w:widowControl w:val="0"/>
              <w:autoSpaceDE w:val="0"/>
              <w:autoSpaceDN w:val="0"/>
              <w:adjustRightInd w:val="0"/>
              <w:rPr>
                <w:rFonts w:eastAsia="SimSun"/>
                <w:color w:val="000000"/>
              </w:rPr>
            </w:pPr>
          </w:p>
        </w:tc>
        <w:tc>
          <w:tcPr>
            <w:tcW w:w="2410" w:type="dxa"/>
            <w:tcBorders>
              <w:top w:val="single" w:sz="4" w:space="0" w:color="000000"/>
              <w:left w:val="single" w:sz="4" w:space="0" w:color="000000"/>
              <w:bottom w:val="single" w:sz="4" w:space="0" w:color="000000"/>
              <w:right w:val="single" w:sz="4" w:space="0" w:color="000000"/>
            </w:tcBorders>
            <w:hideMark/>
          </w:tcPr>
          <w:p w14:paraId="6CEE3654" w14:textId="77777777" w:rsidR="00041CC8" w:rsidRPr="005454C8" w:rsidRDefault="00041CC8" w:rsidP="00A136A1">
            <w:pPr>
              <w:widowControl w:val="0"/>
              <w:autoSpaceDE w:val="0"/>
              <w:autoSpaceDN w:val="0"/>
              <w:adjustRightInd w:val="0"/>
              <w:rPr>
                <w:color w:val="000000"/>
              </w:rPr>
            </w:pPr>
            <w:r w:rsidRPr="005454C8">
              <w:rPr>
                <w:rFonts w:eastAsia="Calibri"/>
              </w:rPr>
              <w:t>400 mg kas 12 valandų</w:t>
            </w:r>
            <w:r w:rsidRPr="005454C8">
              <w:rPr>
                <w:color w:val="000000"/>
              </w:rPr>
              <w:t xml:space="preserve"> </w:t>
            </w:r>
          </w:p>
          <w:p w14:paraId="09A71FBE" w14:textId="77777777" w:rsidR="00041CC8" w:rsidRPr="005454C8" w:rsidRDefault="00041CC8" w:rsidP="00A136A1">
            <w:pPr>
              <w:widowControl w:val="0"/>
              <w:autoSpaceDE w:val="0"/>
              <w:autoSpaceDN w:val="0"/>
              <w:adjustRightInd w:val="0"/>
              <w:rPr>
                <w:color w:val="000000"/>
              </w:rPr>
            </w:pPr>
          </w:p>
        </w:tc>
        <w:tc>
          <w:tcPr>
            <w:tcW w:w="2515" w:type="dxa"/>
            <w:tcBorders>
              <w:top w:val="single" w:sz="4" w:space="0" w:color="000000"/>
              <w:left w:val="single" w:sz="4" w:space="0" w:color="000000"/>
              <w:bottom w:val="single" w:sz="4" w:space="0" w:color="000000"/>
              <w:right w:val="single" w:sz="4" w:space="0" w:color="000000"/>
            </w:tcBorders>
            <w:hideMark/>
          </w:tcPr>
          <w:p w14:paraId="6B796CCD" w14:textId="77777777" w:rsidR="00041CC8" w:rsidRPr="005454C8" w:rsidRDefault="00041CC8" w:rsidP="00A136A1">
            <w:pPr>
              <w:widowControl w:val="0"/>
              <w:autoSpaceDE w:val="0"/>
              <w:autoSpaceDN w:val="0"/>
              <w:adjustRightInd w:val="0"/>
              <w:rPr>
                <w:color w:val="000000"/>
              </w:rPr>
            </w:pPr>
            <w:r w:rsidRPr="005454C8">
              <w:rPr>
                <w:rFonts w:eastAsia="Calibri"/>
              </w:rPr>
              <w:t>200 mg kas 12 valandų</w:t>
            </w:r>
            <w:r w:rsidRPr="005454C8">
              <w:rPr>
                <w:color w:val="000000"/>
              </w:rPr>
              <w:t xml:space="preserve"> </w:t>
            </w:r>
          </w:p>
          <w:p w14:paraId="2C4FD7D4" w14:textId="77777777" w:rsidR="00041CC8" w:rsidRPr="005454C8" w:rsidRDefault="00041CC8" w:rsidP="00A136A1">
            <w:pPr>
              <w:widowControl w:val="0"/>
              <w:autoSpaceDE w:val="0"/>
              <w:autoSpaceDN w:val="0"/>
              <w:adjustRightInd w:val="0"/>
              <w:rPr>
                <w:color w:val="000000"/>
              </w:rPr>
            </w:pPr>
          </w:p>
        </w:tc>
      </w:tr>
      <w:tr w:rsidR="00041CC8" w:rsidRPr="009A1B7F" w14:paraId="198199ED" w14:textId="77777777" w:rsidTr="00A136A1">
        <w:tc>
          <w:tcPr>
            <w:tcW w:w="1843" w:type="dxa"/>
            <w:tcBorders>
              <w:top w:val="single" w:sz="4" w:space="0" w:color="000000"/>
              <w:left w:val="single" w:sz="4" w:space="0" w:color="000000"/>
              <w:bottom w:val="single" w:sz="4" w:space="0" w:color="000000"/>
              <w:right w:val="single" w:sz="4" w:space="0" w:color="000000"/>
            </w:tcBorders>
            <w:hideMark/>
          </w:tcPr>
          <w:p w14:paraId="3E72E18B" w14:textId="77777777" w:rsidR="00041CC8" w:rsidRPr="00982D99" w:rsidRDefault="00041CC8" w:rsidP="00A136A1">
            <w:pPr>
              <w:widowControl w:val="0"/>
              <w:autoSpaceDE w:val="0"/>
              <w:autoSpaceDN w:val="0"/>
              <w:adjustRightInd w:val="0"/>
              <w:rPr>
                <w:bCs/>
                <w:i/>
                <w:iCs/>
                <w:color w:val="000000"/>
              </w:rPr>
            </w:pPr>
            <w:r w:rsidRPr="00982D99">
              <w:rPr>
                <w:rFonts w:eastAsia="Calibri"/>
                <w:bCs/>
                <w:i/>
                <w:iCs/>
              </w:rPr>
              <w:t>Palaikomoji dozė</w:t>
            </w:r>
            <w:r w:rsidRPr="00982D99" w:rsidDel="009459E8">
              <w:rPr>
                <w:rFonts w:eastAsia="Calibri"/>
                <w:bCs/>
                <w:i/>
                <w:iCs/>
              </w:rPr>
              <w:t xml:space="preserve"> </w:t>
            </w:r>
            <w:r w:rsidRPr="00982D99">
              <w:rPr>
                <w:rFonts w:eastAsia="Calibri"/>
                <w:bCs/>
                <w:i/>
                <w:iCs/>
              </w:rPr>
              <w:t>(po pirmųjų 24 valandų)</w:t>
            </w:r>
          </w:p>
        </w:tc>
        <w:tc>
          <w:tcPr>
            <w:tcW w:w="2410" w:type="dxa"/>
            <w:tcBorders>
              <w:top w:val="single" w:sz="4" w:space="0" w:color="000000"/>
              <w:left w:val="single" w:sz="4" w:space="0" w:color="000000"/>
              <w:bottom w:val="single" w:sz="4" w:space="0" w:color="000000"/>
              <w:right w:val="single" w:sz="4" w:space="0" w:color="000000"/>
            </w:tcBorders>
            <w:hideMark/>
          </w:tcPr>
          <w:p w14:paraId="584360B2" w14:textId="77777777" w:rsidR="00041CC8" w:rsidRPr="005454C8" w:rsidRDefault="00041CC8" w:rsidP="00A136A1">
            <w:pPr>
              <w:autoSpaceDE w:val="0"/>
              <w:autoSpaceDN w:val="0"/>
              <w:adjustRightInd w:val="0"/>
            </w:pPr>
            <w:r w:rsidRPr="005454C8">
              <w:rPr>
                <w:rFonts w:eastAsia="Calibri"/>
              </w:rPr>
              <w:t>4 mg/kg du kartus per parą</w:t>
            </w:r>
            <w:r w:rsidRPr="005454C8">
              <w:t xml:space="preserve"> </w:t>
            </w:r>
          </w:p>
          <w:p w14:paraId="2BE16648" w14:textId="77777777" w:rsidR="00041CC8" w:rsidRPr="005454C8" w:rsidRDefault="00041CC8" w:rsidP="00A136A1">
            <w:pPr>
              <w:widowControl w:val="0"/>
              <w:autoSpaceDE w:val="0"/>
              <w:autoSpaceDN w:val="0"/>
              <w:adjustRightInd w:val="0"/>
              <w:rPr>
                <w:rFonts w:eastAsia="SimSun"/>
                <w:color w:val="000000"/>
              </w:rPr>
            </w:pPr>
          </w:p>
        </w:tc>
        <w:tc>
          <w:tcPr>
            <w:tcW w:w="2410" w:type="dxa"/>
            <w:tcBorders>
              <w:top w:val="single" w:sz="4" w:space="0" w:color="000000"/>
              <w:left w:val="single" w:sz="4" w:space="0" w:color="000000"/>
              <w:bottom w:val="single" w:sz="4" w:space="0" w:color="000000"/>
              <w:right w:val="single" w:sz="4" w:space="0" w:color="000000"/>
            </w:tcBorders>
            <w:hideMark/>
          </w:tcPr>
          <w:p w14:paraId="011D94ED" w14:textId="77777777" w:rsidR="00041CC8" w:rsidRPr="005454C8" w:rsidRDefault="00041CC8" w:rsidP="00A136A1">
            <w:pPr>
              <w:autoSpaceDE w:val="0"/>
              <w:autoSpaceDN w:val="0"/>
              <w:adjustRightInd w:val="0"/>
              <w:rPr>
                <w:color w:val="000000"/>
              </w:rPr>
            </w:pPr>
            <w:r w:rsidRPr="005454C8">
              <w:rPr>
                <w:rFonts w:eastAsia="Calibri"/>
              </w:rPr>
              <w:t>200 mg du kartus per parą</w:t>
            </w:r>
            <w:r w:rsidRPr="005454C8">
              <w:rPr>
                <w:color w:val="000000"/>
              </w:rPr>
              <w:t xml:space="preserve"> </w:t>
            </w:r>
          </w:p>
          <w:p w14:paraId="66E7077C" w14:textId="77777777" w:rsidR="00041CC8" w:rsidRPr="005454C8" w:rsidRDefault="00041CC8" w:rsidP="00A136A1">
            <w:pPr>
              <w:widowControl w:val="0"/>
              <w:autoSpaceDE w:val="0"/>
              <w:autoSpaceDN w:val="0"/>
              <w:adjustRightInd w:val="0"/>
              <w:rPr>
                <w:color w:val="000000"/>
              </w:rPr>
            </w:pPr>
          </w:p>
        </w:tc>
        <w:tc>
          <w:tcPr>
            <w:tcW w:w="2515" w:type="dxa"/>
            <w:tcBorders>
              <w:top w:val="single" w:sz="4" w:space="0" w:color="000000"/>
              <w:left w:val="single" w:sz="4" w:space="0" w:color="000000"/>
              <w:bottom w:val="single" w:sz="4" w:space="0" w:color="000000"/>
              <w:right w:val="single" w:sz="4" w:space="0" w:color="000000"/>
            </w:tcBorders>
            <w:hideMark/>
          </w:tcPr>
          <w:p w14:paraId="48171383" w14:textId="77777777" w:rsidR="00041CC8" w:rsidRPr="005454C8" w:rsidRDefault="00041CC8" w:rsidP="00A136A1">
            <w:pPr>
              <w:autoSpaceDE w:val="0"/>
              <w:autoSpaceDN w:val="0"/>
              <w:adjustRightInd w:val="0"/>
              <w:rPr>
                <w:color w:val="000000"/>
              </w:rPr>
            </w:pPr>
            <w:r w:rsidRPr="005454C8">
              <w:rPr>
                <w:rFonts w:eastAsia="Calibri"/>
              </w:rPr>
              <w:t>100 mg du kartus per parą</w:t>
            </w:r>
            <w:r w:rsidRPr="005454C8">
              <w:rPr>
                <w:color w:val="000000"/>
              </w:rPr>
              <w:t xml:space="preserve"> </w:t>
            </w:r>
          </w:p>
          <w:p w14:paraId="38546A5F" w14:textId="77777777" w:rsidR="00041CC8" w:rsidRPr="005454C8" w:rsidRDefault="00041CC8" w:rsidP="00A136A1">
            <w:pPr>
              <w:widowControl w:val="0"/>
              <w:autoSpaceDE w:val="0"/>
              <w:autoSpaceDN w:val="0"/>
              <w:adjustRightInd w:val="0"/>
              <w:rPr>
                <w:color w:val="000000"/>
              </w:rPr>
            </w:pPr>
          </w:p>
        </w:tc>
      </w:tr>
    </w:tbl>
    <w:p w14:paraId="1BFAE3A7" w14:textId="77777777" w:rsidR="00041CC8" w:rsidRPr="005454C8" w:rsidRDefault="00041CC8" w:rsidP="00041CC8">
      <w:pPr>
        <w:widowControl w:val="0"/>
      </w:pPr>
      <w:r w:rsidRPr="005454C8">
        <w:t>*</w:t>
      </w:r>
      <w:r w:rsidRPr="005454C8">
        <w:rPr>
          <w:rFonts w:eastAsia="Calibri"/>
        </w:rPr>
        <w:t xml:space="preserve"> Taip pat taikomas 15 metų ir vyresniems pacientams</w:t>
      </w:r>
      <w:r w:rsidRPr="005454C8">
        <w:t>.</w:t>
      </w:r>
    </w:p>
    <w:p w14:paraId="02FC4D3F" w14:textId="77777777" w:rsidR="00041CC8" w:rsidRPr="005454C8" w:rsidRDefault="00041CC8" w:rsidP="00041CC8">
      <w:pPr>
        <w:autoSpaceDE w:val="0"/>
        <w:autoSpaceDN w:val="0"/>
        <w:adjustRightInd w:val="0"/>
        <w:rPr>
          <w:rFonts w:eastAsia="Calibri"/>
          <w:i/>
        </w:rPr>
      </w:pPr>
    </w:p>
    <w:p w14:paraId="242C199E" w14:textId="77777777" w:rsidR="00041CC8" w:rsidRPr="005454C8" w:rsidRDefault="00041CC8" w:rsidP="00041CC8">
      <w:pPr>
        <w:autoSpaceDE w:val="0"/>
        <w:autoSpaceDN w:val="0"/>
        <w:adjustRightInd w:val="0"/>
        <w:rPr>
          <w:rFonts w:eastAsia="Calibri"/>
          <w:i/>
          <w:u w:val="single"/>
        </w:rPr>
      </w:pPr>
      <w:r w:rsidRPr="005454C8">
        <w:rPr>
          <w:rFonts w:eastAsia="Calibri"/>
          <w:i/>
          <w:u w:val="single"/>
        </w:rPr>
        <w:t>Gydymo trukmė</w:t>
      </w:r>
    </w:p>
    <w:p w14:paraId="4ADF90ED" w14:textId="77777777" w:rsidR="00041CC8" w:rsidRPr="005454C8" w:rsidRDefault="00041CC8" w:rsidP="00041CC8">
      <w:pPr>
        <w:autoSpaceDE w:val="0"/>
        <w:autoSpaceDN w:val="0"/>
        <w:adjustRightInd w:val="0"/>
        <w:rPr>
          <w:rFonts w:eastAsia="Calibri"/>
        </w:rPr>
      </w:pPr>
      <w:r w:rsidRPr="005454C8">
        <w:rPr>
          <w:rFonts w:eastAsia="Calibri"/>
        </w:rPr>
        <w:t xml:space="preserve">Atsižvelgiant į paciento klinikinę ir grybelių reakcijas į gydymą, gydymo trukmė turi būti kaip įmanoma trumpesnė. Jei vorikonazolo vartojama ilgiau kaip180 parų (6 mėnesius), reikia atidžiai įvertinti naudos ir rizikos santykį (žr. 4.4 ir 5.1 skyrius). </w:t>
      </w:r>
    </w:p>
    <w:p w14:paraId="7DC7AC5C" w14:textId="77777777" w:rsidR="00041CC8" w:rsidRPr="005454C8" w:rsidRDefault="00041CC8" w:rsidP="00041CC8">
      <w:pPr>
        <w:autoSpaceDE w:val="0"/>
        <w:autoSpaceDN w:val="0"/>
        <w:adjustRightInd w:val="0"/>
        <w:rPr>
          <w:rFonts w:eastAsia="TimesNewRoman,Italic"/>
          <w:i/>
        </w:rPr>
      </w:pPr>
    </w:p>
    <w:p w14:paraId="702C4493" w14:textId="77777777" w:rsidR="00041CC8" w:rsidRPr="005454C8" w:rsidRDefault="00041CC8" w:rsidP="00041CC8">
      <w:pPr>
        <w:autoSpaceDE w:val="0"/>
        <w:autoSpaceDN w:val="0"/>
        <w:adjustRightInd w:val="0"/>
        <w:rPr>
          <w:rFonts w:eastAsia="TimesNewRoman,Italic"/>
          <w:i/>
          <w:u w:val="single"/>
        </w:rPr>
      </w:pPr>
      <w:r w:rsidRPr="005454C8">
        <w:rPr>
          <w:rFonts w:eastAsia="TimesNewRoman,Italic"/>
          <w:i/>
          <w:u w:val="single"/>
        </w:rPr>
        <w:t>Dozės koregavimas (suaugusiesiems)</w:t>
      </w:r>
    </w:p>
    <w:p w14:paraId="6D4F9EAE" w14:textId="77777777" w:rsidR="00041CC8" w:rsidRPr="005454C8" w:rsidRDefault="00041CC8" w:rsidP="00041CC8">
      <w:pPr>
        <w:autoSpaceDE w:val="0"/>
        <w:autoSpaceDN w:val="0"/>
        <w:adjustRightInd w:val="0"/>
        <w:rPr>
          <w:rFonts w:eastAsia="TimesNewRoman,Italic"/>
        </w:rPr>
      </w:pPr>
      <w:r w:rsidRPr="005454C8">
        <w:rPr>
          <w:rFonts w:eastAsia="TimesNewRoman,Italic"/>
        </w:rPr>
        <w:t>Jeigu paciento organizmo atsakas į gydymą yra nepakankamas, palaikomąją dozę galima didinti ir skirti gerti po 300 mg du kartus per parą. Pacientams, sveriantiems mažiau kaip 40 kg, geriamojo vaistinio preparato dozę galima didinti ir skirti gerti po 150 mg du kartus per parą.</w:t>
      </w:r>
    </w:p>
    <w:p w14:paraId="22876CFA" w14:textId="77777777" w:rsidR="00041CC8" w:rsidRPr="005454C8" w:rsidRDefault="00041CC8" w:rsidP="00041CC8">
      <w:pPr>
        <w:autoSpaceDE w:val="0"/>
        <w:autoSpaceDN w:val="0"/>
        <w:adjustRightInd w:val="0"/>
        <w:rPr>
          <w:rFonts w:eastAsia="TimesNewRoman,Italic"/>
        </w:rPr>
      </w:pPr>
    </w:p>
    <w:p w14:paraId="406C7EB9" w14:textId="77777777" w:rsidR="00041CC8" w:rsidRPr="005454C8" w:rsidRDefault="00041CC8" w:rsidP="00041CC8">
      <w:pPr>
        <w:autoSpaceDE w:val="0"/>
        <w:autoSpaceDN w:val="0"/>
        <w:adjustRightInd w:val="0"/>
        <w:rPr>
          <w:rFonts w:eastAsia="TimesNewRoman,Italic"/>
        </w:rPr>
      </w:pPr>
      <w:r w:rsidRPr="005454C8">
        <w:rPr>
          <w:rFonts w:eastAsia="TimesNewRoman,Italic"/>
        </w:rPr>
        <w:t>Jei ligonis didelės palaikomosios dozės netoleruoja, ją reikia palaipsniui po 50 mg mažinti ir gerti 200 mg palaikomąją dozę du kartus per parą (pacientams, sveriantiems mažiau kaip 40 kg, reikia gerti po 100 mg du kartus per parą).</w:t>
      </w:r>
    </w:p>
    <w:p w14:paraId="1D465920" w14:textId="77777777" w:rsidR="00041CC8" w:rsidRPr="005454C8" w:rsidRDefault="00041CC8" w:rsidP="00041CC8">
      <w:pPr>
        <w:autoSpaceDE w:val="0"/>
        <w:autoSpaceDN w:val="0"/>
        <w:adjustRightInd w:val="0"/>
        <w:rPr>
          <w:rFonts w:eastAsia="TimesNewRoman,Italic"/>
        </w:rPr>
      </w:pPr>
    </w:p>
    <w:p w14:paraId="2ED5D2E7" w14:textId="77777777" w:rsidR="00041CC8" w:rsidRPr="005454C8" w:rsidRDefault="00041CC8" w:rsidP="00041CC8">
      <w:pPr>
        <w:autoSpaceDE w:val="0"/>
        <w:autoSpaceDN w:val="0"/>
        <w:adjustRightInd w:val="0"/>
        <w:rPr>
          <w:rFonts w:eastAsia="TimesNewRoman,Italic"/>
        </w:rPr>
      </w:pPr>
      <w:r w:rsidRPr="005454C8">
        <w:rPr>
          <w:rFonts w:eastAsia="TimesNewRoman,Italic"/>
        </w:rPr>
        <w:t>Apie vartojimą profilaktikai žr. toliau.</w:t>
      </w:r>
    </w:p>
    <w:p w14:paraId="5C08BD2F" w14:textId="77777777" w:rsidR="00041CC8" w:rsidRPr="005454C8" w:rsidRDefault="00041CC8" w:rsidP="00041CC8">
      <w:pPr>
        <w:autoSpaceDE w:val="0"/>
        <w:autoSpaceDN w:val="0"/>
        <w:adjustRightInd w:val="0"/>
        <w:rPr>
          <w:rFonts w:eastAsia="TimesNewRoman,Italic"/>
          <w:i/>
        </w:rPr>
      </w:pPr>
    </w:p>
    <w:p w14:paraId="564EA909"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Vaikams (nuo 2 iki &lt; 12 metų) ir jauniems paaugliams, kurių kūno masė yra maža (12-14 metų ir &lt; 50</w:t>
      </w:r>
      <w:bookmarkStart w:id="1" w:name="OLE_LINK2"/>
      <w:bookmarkStart w:id="2" w:name="OLE_LINK3"/>
      <w:r w:rsidRPr="005454C8">
        <w:rPr>
          <w:rFonts w:eastAsia="TimesNewRoman,Italic"/>
          <w:i/>
        </w:rPr>
        <w:t> </w:t>
      </w:r>
      <w:bookmarkEnd w:id="1"/>
      <w:bookmarkEnd w:id="2"/>
      <w:r w:rsidRPr="005454C8">
        <w:rPr>
          <w:rFonts w:eastAsia="TimesNewRoman,Italic"/>
          <w:i/>
        </w:rPr>
        <w:t>kg)</w:t>
      </w:r>
    </w:p>
    <w:p w14:paraId="22B7ACDE" w14:textId="77777777" w:rsidR="00041CC8" w:rsidRPr="005454C8" w:rsidRDefault="00041CC8" w:rsidP="00041CC8">
      <w:pPr>
        <w:autoSpaceDE w:val="0"/>
        <w:autoSpaceDN w:val="0"/>
        <w:adjustRightInd w:val="0"/>
        <w:rPr>
          <w:rFonts w:eastAsia="TimesNewRoman,Italic"/>
        </w:rPr>
      </w:pPr>
      <w:r w:rsidRPr="005454C8">
        <w:rPr>
          <w:rFonts w:eastAsia="TimesNewRoman,Italic"/>
        </w:rPr>
        <w:t>Vorikonazolas dozuojamas taip pat kaip vaikams, nes šiems jauniems paaugliams vorikonazolo metabolizmas labiau panašus į vaikų nei į suaugusių.</w:t>
      </w:r>
    </w:p>
    <w:p w14:paraId="7B6F7804" w14:textId="77777777" w:rsidR="00041CC8" w:rsidRPr="005454C8" w:rsidRDefault="00041CC8" w:rsidP="00041CC8">
      <w:pPr>
        <w:rPr>
          <w:rFonts w:eastAsia="TimesNewRoman,Italic"/>
        </w:rPr>
      </w:pPr>
    </w:p>
    <w:p w14:paraId="7E5C3A92" w14:textId="77777777" w:rsidR="00041CC8" w:rsidRPr="005454C8" w:rsidRDefault="00041CC8" w:rsidP="00041CC8">
      <w:pPr>
        <w:rPr>
          <w:rFonts w:eastAsia="TimesNewRoman,Italic"/>
        </w:rPr>
      </w:pPr>
      <w:r w:rsidRPr="005454C8">
        <w:rPr>
          <w:rFonts w:eastAsia="TimesNewRoman,Italic"/>
        </w:rPr>
        <w:t>Rekomenduojamas toks dozavimo planas:</w:t>
      </w:r>
    </w:p>
    <w:p w14:paraId="333FDC77" w14:textId="77777777" w:rsidR="00041CC8" w:rsidRPr="005454C8" w:rsidRDefault="00041CC8" w:rsidP="00041CC8">
      <w:pPr>
        <w:rPr>
          <w:rFonts w:eastAsia="TimesNewRoman,Italic"/>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3002"/>
        <w:gridCol w:w="3037"/>
      </w:tblGrid>
      <w:tr w:rsidR="00041CC8" w:rsidRPr="009A1B7F" w14:paraId="2D746658" w14:textId="77777777" w:rsidTr="00A136A1">
        <w:trPr>
          <w:tblHeader/>
        </w:trPr>
        <w:tc>
          <w:tcPr>
            <w:tcW w:w="2962" w:type="dxa"/>
          </w:tcPr>
          <w:p w14:paraId="33F98A96" w14:textId="77777777" w:rsidR="00041CC8" w:rsidRPr="005454C8" w:rsidRDefault="00041CC8" w:rsidP="00A136A1">
            <w:pPr>
              <w:widowControl w:val="0"/>
              <w:autoSpaceDE w:val="0"/>
              <w:autoSpaceDN w:val="0"/>
              <w:adjustRightInd w:val="0"/>
              <w:rPr>
                <w:b/>
              </w:rPr>
            </w:pPr>
          </w:p>
        </w:tc>
        <w:tc>
          <w:tcPr>
            <w:tcW w:w="3070" w:type="dxa"/>
          </w:tcPr>
          <w:p w14:paraId="07466FAB" w14:textId="77777777" w:rsidR="00041CC8" w:rsidRPr="00982D99" w:rsidRDefault="00041CC8" w:rsidP="00A136A1">
            <w:pPr>
              <w:widowControl w:val="0"/>
              <w:autoSpaceDE w:val="0"/>
              <w:autoSpaceDN w:val="0"/>
              <w:adjustRightInd w:val="0"/>
              <w:jc w:val="center"/>
              <w:rPr>
                <w:bCs/>
                <w:i/>
                <w:iCs/>
              </w:rPr>
            </w:pPr>
            <w:r w:rsidRPr="00982D99">
              <w:rPr>
                <w:bCs/>
                <w:i/>
                <w:iCs/>
              </w:rPr>
              <w:t>Į veną</w:t>
            </w:r>
          </w:p>
        </w:tc>
        <w:tc>
          <w:tcPr>
            <w:tcW w:w="3071" w:type="dxa"/>
          </w:tcPr>
          <w:p w14:paraId="34369810" w14:textId="77777777" w:rsidR="00041CC8" w:rsidRPr="00982D99" w:rsidRDefault="00041CC8" w:rsidP="00A136A1">
            <w:pPr>
              <w:widowControl w:val="0"/>
              <w:autoSpaceDE w:val="0"/>
              <w:autoSpaceDN w:val="0"/>
              <w:adjustRightInd w:val="0"/>
              <w:jc w:val="center"/>
              <w:rPr>
                <w:bCs/>
                <w:i/>
                <w:iCs/>
              </w:rPr>
            </w:pPr>
            <w:r w:rsidRPr="00982D99">
              <w:rPr>
                <w:bCs/>
                <w:i/>
                <w:iCs/>
              </w:rPr>
              <w:t>Per burną</w:t>
            </w:r>
          </w:p>
        </w:tc>
      </w:tr>
      <w:tr w:rsidR="00041CC8" w:rsidRPr="009A1B7F" w14:paraId="0DCBD8CE" w14:textId="77777777" w:rsidTr="00A136A1">
        <w:tc>
          <w:tcPr>
            <w:tcW w:w="2962" w:type="dxa"/>
          </w:tcPr>
          <w:p w14:paraId="65871136" w14:textId="77777777" w:rsidR="00041CC8" w:rsidRPr="00982D99" w:rsidRDefault="00041CC8" w:rsidP="00A136A1">
            <w:pPr>
              <w:autoSpaceDE w:val="0"/>
              <w:autoSpaceDN w:val="0"/>
              <w:adjustRightInd w:val="0"/>
              <w:rPr>
                <w:bCs/>
                <w:i/>
                <w:iCs/>
              </w:rPr>
            </w:pPr>
            <w:r w:rsidRPr="00982D99">
              <w:rPr>
                <w:rFonts w:eastAsia="Calibri"/>
                <w:bCs/>
                <w:i/>
                <w:iCs/>
              </w:rPr>
              <w:t>Įsotinamosios dozės planas</w:t>
            </w:r>
            <w:r w:rsidRPr="00982D99" w:rsidDel="003A4FD2">
              <w:rPr>
                <w:rFonts w:eastAsia="Calibri"/>
                <w:bCs/>
                <w:i/>
                <w:iCs/>
              </w:rPr>
              <w:t xml:space="preserve"> </w:t>
            </w:r>
            <w:r w:rsidRPr="00982D99">
              <w:rPr>
                <w:rFonts w:eastAsia="Calibri"/>
                <w:bCs/>
                <w:i/>
                <w:iCs/>
              </w:rPr>
              <w:t>(pirmąsias 24 valandas)</w:t>
            </w:r>
          </w:p>
        </w:tc>
        <w:tc>
          <w:tcPr>
            <w:tcW w:w="3070" w:type="dxa"/>
          </w:tcPr>
          <w:p w14:paraId="09AC3D41" w14:textId="77777777" w:rsidR="00041CC8" w:rsidRPr="005454C8" w:rsidRDefault="00041CC8" w:rsidP="00A136A1">
            <w:pPr>
              <w:widowControl w:val="0"/>
              <w:autoSpaceDE w:val="0"/>
              <w:autoSpaceDN w:val="0"/>
              <w:adjustRightInd w:val="0"/>
              <w:rPr>
                <w:b/>
              </w:rPr>
            </w:pPr>
            <w:r w:rsidRPr="005454C8">
              <w:rPr>
                <w:rFonts w:eastAsia="Calibri"/>
              </w:rPr>
              <w:t>9 mg/kg kas 12 valandų</w:t>
            </w:r>
          </w:p>
        </w:tc>
        <w:tc>
          <w:tcPr>
            <w:tcW w:w="3071" w:type="dxa"/>
          </w:tcPr>
          <w:p w14:paraId="2FB6AB06" w14:textId="77777777" w:rsidR="00041CC8" w:rsidRPr="005454C8" w:rsidRDefault="00041CC8" w:rsidP="00A136A1">
            <w:pPr>
              <w:widowControl w:val="0"/>
              <w:autoSpaceDE w:val="0"/>
              <w:autoSpaceDN w:val="0"/>
              <w:adjustRightInd w:val="0"/>
            </w:pPr>
            <w:r w:rsidRPr="005454C8">
              <w:t>Nerekomenduojama</w:t>
            </w:r>
          </w:p>
        </w:tc>
      </w:tr>
      <w:tr w:rsidR="00041CC8" w:rsidRPr="009A1B7F" w14:paraId="1F7A913B" w14:textId="77777777" w:rsidTr="00A136A1">
        <w:tc>
          <w:tcPr>
            <w:tcW w:w="2962" w:type="dxa"/>
          </w:tcPr>
          <w:p w14:paraId="6048FF38" w14:textId="77777777" w:rsidR="00041CC8" w:rsidRPr="00982D99" w:rsidRDefault="00041CC8" w:rsidP="00A136A1">
            <w:pPr>
              <w:autoSpaceDE w:val="0"/>
              <w:autoSpaceDN w:val="0"/>
              <w:adjustRightInd w:val="0"/>
              <w:rPr>
                <w:bCs/>
                <w:i/>
                <w:iCs/>
              </w:rPr>
            </w:pPr>
            <w:r w:rsidRPr="00982D99">
              <w:rPr>
                <w:rFonts w:eastAsia="Calibri"/>
                <w:bCs/>
                <w:i/>
                <w:iCs/>
              </w:rPr>
              <w:t>Palaikomoji dozė</w:t>
            </w:r>
            <w:r w:rsidRPr="00982D99" w:rsidDel="003A4FD2">
              <w:rPr>
                <w:rFonts w:eastAsia="Calibri"/>
                <w:bCs/>
                <w:i/>
                <w:iCs/>
              </w:rPr>
              <w:t xml:space="preserve"> </w:t>
            </w:r>
            <w:r w:rsidRPr="00982D99">
              <w:rPr>
                <w:rFonts w:eastAsia="Calibri"/>
                <w:bCs/>
                <w:i/>
                <w:iCs/>
              </w:rPr>
              <w:t>(po pirmųjų 24 valandų)</w:t>
            </w:r>
          </w:p>
        </w:tc>
        <w:tc>
          <w:tcPr>
            <w:tcW w:w="3070" w:type="dxa"/>
          </w:tcPr>
          <w:p w14:paraId="6B7403DF" w14:textId="77777777" w:rsidR="00041CC8" w:rsidRPr="005454C8" w:rsidRDefault="00041CC8" w:rsidP="00A136A1">
            <w:pPr>
              <w:widowControl w:val="0"/>
              <w:autoSpaceDE w:val="0"/>
              <w:autoSpaceDN w:val="0"/>
              <w:adjustRightInd w:val="0"/>
              <w:rPr>
                <w:b/>
              </w:rPr>
            </w:pPr>
            <w:r w:rsidRPr="005454C8">
              <w:rPr>
                <w:rFonts w:eastAsia="Calibri"/>
              </w:rPr>
              <w:t>8</w:t>
            </w:r>
            <w:bookmarkStart w:id="3" w:name="OLE_LINK4"/>
            <w:bookmarkStart w:id="4" w:name="OLE_LINK5"/>
            <w:r w:rsidRPr="005454C8">
              <w:rPr>
                <w:rFonts w:eastAsia="Calibri"/>
              </w:rPr>
              <w:t> </w:t>
            </w:r>
            <w:bookmarkEnd w:id="3"/>
            <w:bookmarkEnd w:id="4"/>
            <w:r w:rsidRPr="005454C8">
              <w:rPr>
                <w:rFonts w:eastAsia="Calibri"/>
              </w:rPr>
              <w:t>mg/kg du kartus per parą</w:t>
            </w:r>
          </w:p>
        </w:tc>
        <w:tc>
          <w:tcPr>
            <w:tcW w:w="3071" w:type="dxa"/>
          </w:tcPr>
          <w:p w14:paraId="5CC57DDE" w14:textId="77777777" w:rsidR="00041CC8" w:rsidRPr="005454C8" w:rsidRDefault="00041CC8" w:rsidP="00A136A1">
            <w:pPr>
              <w:autoSpaceDE w:val="0"/>
              <w:autoSpaceDN w:val="0"/>
              <w:adjustRightInd w:val="0"/>
            </w:pPr>
            <w:r w:rsidRPr="005454C8">
              <w:rPr>
                <w:rFonts w:eastAsia="Calibri"/>
              </w:rPr>
              <w:t>9 mg/kg du kartus per parą</w:t>
            </w:r>
            <w:r w:rsidRPr="005454C8" w:rsidDel="003A4FD2">
              <w:rPr>
                <w:rFonts w:eastAsia="Calibri"/>
              </w:rPr>
              <w:t xml:space="preserve"> </w:t>
            </w:r>
            <w:r w:rsidRPr="005454C8">
              <w:rPr>
                <w:rFonts w:eastAsia="Calibri"/>
              </w:rPr>
              <w:t>(didžiausia dozė yra 350 mg du kartus per parą</w:t>
            </w:r>
          </w:p>
        </w:tc>
      </w:tr>
    </w:tbl>
    <w:p w14:paraId="3C224745" w14:textId="77777777" w:rsidR="00041CC8" w:rsidRPr="005454C8" w:rsidRDefault="00041CC8" w:rsidP="00041CC8">
      <w:pPr>
        <w:autoSpaceDE w:val="0"/>
        <w:autoSpaceDN w:val="0"/>
        <w:adjustRightInd w:val="0"/>
        <w:rPr>
          <w:rFonts w:eastAsia="Calibri"/>
        </w:rPr>
      </w:pPr>
      <w:r w:rsidRPr="005454C8">
        <w:rPr>
          <w:rFonts w:eastAsia="Calibri"/>
        </w:rPr>
        <w:t>Pastaba: Remiantis farmakokinetikos populiacijoje (112 nuo 2 iki &lt; 12 metų vaikų ir paauglių, kurių imunitetas yra susilpnėjęs, ir 26 nuo 12 iki &lt; 17 metų paaugliai, kurių imunitetas yra susilpnėjęs) duomenų analize.</w:t>
      </w:r>
    </w:p>
    <w:p w14:paraId="0A14FCCF" w14:textId="77777777" w:rsidR="00041CC8" w:rsidRPr="005454C8" w:rsidRDefault="00041CC8" w:rsidP="00041CC8">
      <w:pPr>
        <w:autoSpaceDE w:val="0"/>
        <w:autoSpaceDN w:val="0"/>
        <w:adjustRightInd w:val="0"/>
        <w:rPr>
          <w:rFonts w:eastAsia="Calibri"/>
        </w:rPr>
      </w:pPr>
    </w:p>
    <w:p w14:paraId="62334366" w14:textId="77777777" w:rsidR="00041CC8" w:rsidRPr="005454C8" w:rsidRDefault="00041CC8" w:rsidP="00041CC8">
      <w:pPr>
        <w:autoSpaceDE w:val="0"/>
        <w:autoSpaceDN w:val="0"/>
        <w:adjustRightInd w:val="0"/>
        <w:rPr>
          <w:rFonts w:eastAsia="Calibri"/>
        </w:rPr>
      </w:pPr>
      <w:r w:rsidRPr="005454C8">
        <w:rPr>
          <w:rFonts w:eastAsia="Calibri"/>
        </w:rPr>
        <w:t xml:space="preserve">Gydymą rekomenduojama pradėti pagal vartojimo į veną planą, o gydymo vaistiniu preparatu per burną planą reikia apgalvotai taikyti tik tada, kai paciento būklė reikšmingai pagerėja. Reikia </w:t>
      </w:r>
      <w:r w:rsidRPr="005454C8">
        <w:rPr>
          <w:rFonts w:eastAsia="Calibri"/>
        </w:rPr>
        <w:lastRenderedPageBreak/>
        <w:t>pastebėti, kad vartojant 8 mg/kg dozę į veną, vorikonazolo ekspozicija būna maždaug 2 kartus didesnė nei vartojant 9 mg/kg dozę per burną.</w:t>
      </w:r>
    </w:p>
    <w:p w14:paraId="63AD94B7" w14:textId="77777777" w:rsidR="00041CC8" w:rsidRPr="005454C8" w:rsidRDefault="00041CC8" w:rsidP="00041CC8"/>
    <w:p w14:paraId="152F2991" w14:textId="77777777" w:rsidR="00041CC8" w:rsidRPr="005454C8" w:rsidRDefault="00041CC8" w:rsidP="00041CC8">
      <w:pPr>
        <w:autoSpaceDE w:val="0"/>
        <w:autoSpaceDN w:val="0"/>
        <w:adjustRightInd w:val="0"/>
        <w:rPr>
          <w:rFonts w:eastAsia="Calibri"/>
        </w:rPr>
      </w:pPr>
      <w:r w:rsidRPr="005454C8">
        <w:rPr>
          <w:rFonts w:eastAsia="Calibri"/>
        </w:rPr>
        <w:t>Šios dozavimo per burną rekomendacijos vaikams pagrįstos tyrimais, kurių metu buvo vartoti vorikonazolo milteliai geriamajai suspensijai. Miltelių geriamajai suspensijai ir tablečių bioekvivalentiškumas vaikų populiacijoje nebuvo tirtas. Atsižvelgiant į numanomą trumpesnį slinkimo vaikų skrandžiu ir žarnynu laiką, tablečių absorbcija vaikų organizme gali skirtis nuo suaugusių pacientų. Todėl nuo 2 iki &lt; 12 metų vaikams rekomenduojama vartoti geriamosios suspensijos formą.</w:t>
      </w:r>
      <w:r w:rsidRPr="005454C8" w:rsidDel="009B2BC0">
        <w:rPr>
          <w:rFonts w:eastAsia="Calibri"/>
        </w:rPr>
        <w:t xml:space="preserve"> </w:t>
      </w:r>
    </w:p>
    <w:p w14:paraId="4D5A6788" w14:textId="77777777" w:rsidR="00041CC8" w:rsidRPr="005454C8" w:rsidRDefault="00041CC8" w:rsidP="00041CC8">
      <w:pPr>
        <w:autoSpaceDE w:val="0"/>
        <w:autoSpaceDN w:val="0"/>
        <w:adjustRightInd w:val="0"/>
        <w:rPr>
          <w:rFonts w:eastAsia="Calibri"/>
        </w:rPr>
      </w:pPr>
    </w:p>
    <w:p w14:paraId="2042ADAA" w14:textId="77777777" w:rsidR="00041CC8" w:rsidRPr="005454C8" w:rsidRDefault="00041CC8" w:rsidP="00041CC8">
      <w:pPr>
        <w:autoSpaceDE w:val="0"/>
        <w:autoSpaceDN w:val="0"/>
        <w:adjustRightInd w:val="0"/>
        <w:rPr>
          <w:rFonts w:eastAsia="Calibri"/>
        </w:rPr>
      </w:pPr>
      <w:r w:rsidRPr="005454C8">
        <w:rPr>
          <w:rFonts w:eastAsia="Calibri"/>
          <w:i/>
        </w:rPr>
        <w:t>Visiems kitiems paaugliams</w:t>
      </w:r>
      <w:r w:rsidRPr="005454C8">
        <w:rPr>
          <w:rFonts w:eastAsia="Calibri"/>
        </w:rPr>
        <w:t xml:space="preserve"> </w:t>
      </w:r>
      <w:r w:rsidRPr="005454C8">
        <w:rPr>
          <w:rFonts w:eastAsia="TimesNewRoman,Italic"/>
          <w:i/>
        </w:rPr>
        <w:t>(12-14 metų ir ≥ 50 kg; 15-17 metų, neatsižvelgiant į kūno masę)</w:t>
      </w:r>
      <w:r w:rsidRPr="005454C8" w:rsidDel="00530703">
        <w:rPr>
          <w:rFonts w:eastAsia="TimesNewRoman,Italic"/>
          <w:i/>
        </w:rPr>
        <w:t xml:space="preserve"> </w:t>
      </w:r>
      <w:r w:rsidRPr="005454C8">
        <w:rPr>
          <w:rFonts w:eastAsia="Calibri"/>
        </w:rPr>
        <w:t>Vorikonazolas dozuojamas kaip suaugusiesiems.</w:t>
      </w:r>
    </w:p>
    <w:p w14:paraId="390D23C2" w14:textId="77777777" w:rsidR="00041CC8" w:rsidRPr="005454C8" w:rsidRDefault="00041CC8" w:rsidP="00041CC8">
      <w:pPr>
        <w:autoSpaceDE w:val="0"/>
        <w:autoSpaceDN w:val="0"/>
        <w:adjustRightInd w:val="0"/>
        <w:rPr>
          <w:rFonts w:eastAsia="TimesNewRoman,Italic"/>
          <w:i/>
        </w:rPr>
      </w:pPr>
    </w:p>
    <w:p w14:paraId="48218A84" w14:textId="77777777" w:rsidR="00041CC8" w:rsidRPr="005454C8" w:rsidRDefault="00041CC8" w:rsidP="00041CC8">
      <w:pPr>
        <w:autoSpaceDE w:val="0"/>
        <w:autoSpaceDN w:val="0"/>
        <w:adjustRightInd w:val="0"/>
        <w:rPr>
          <w:rFonts w:eastAsia="TimesNewRoman,Italic"/>
          <w:i/>
          <w:u w:val="single"/>
        </w:rPr>
      </w:pPr>
      <w:r w:rsidRPr="005454C8">
        <w:rPr>
          <w:rFonts w:eastAsia="TimesNewRoman,Italic"/>
          <w:i/>
          <w:u w:val="single"/>
        </w:rPr>
        <w:t>Dozės koregavimas (vaikai (2–&lt;12 metų) ir nedidelio svorio paaugliai (12–14 metų ir sveriantys &lt;50 kg))</w:t>
      </w:r>
    </w:p>
    <w:p w14:paraId="49CBB6E7" w14:textId="77777777" w:rsidR="00041CC8" w:rsidRPr="005454C8" w:rsidRDefault="00041CC8" w:rsidP="00041CC8">
      <w:pPr>
        <w:autoSpaceDE w:val="0"/>
        <w:autoSpaceDN w:val="0"/>
        <w:adjustRightInd w:val="0"/>
        <w:rPr>
          <w:rFonts w:eastAsia="Calibri"/>
        </w:rPr>
      </w:pPr>
      <w:r w:rsidRPr="005454C8">
        <w:rPr>
          <w:rFonts w:eastAsia="Calibri"/>
        </w:rPr>
        <w:t>Jeigu paciento organizmo atsakas į gydymą yra nepakankamas, dozę galima palaipsniui didinti po 1 mg/kg (arba po 50 mg, jeigu iš pradžių buvo vartota didžiausia 350 mg dozė). Jeigu pacientas negali toleruoti gydymo, dozę reikia palaipsniui mažinti po 1 mg/kg (arba po 50 mg, jeigu iš pradžių buvo vartota didžiausia 350 mg dozė).</w:t>
      </w:r>
    </w:p>
    <w:p w14:paraId="2734AAAA" w14:textId="77777777" w:rsidR="00041CC8" w:rsidRPr="005454C8" w:rsidRDefault="00041CC8" w:rsidP="00041CC8">
      <w:pPr>
        <w:autoSpaceDE w:val="0"/>
        <w:autoSpaceDN w:val="0"/>
        <w:adjustRightInd w:val="0"/>
        <w:rPr>
          <w:rFonts w:eastAsia="Calibri"/>
        </w:rPr>
      </w:pPr>
    </w:p>
    <w:p w14:paraId="2A840111" w14:textId="77777777" w:rsidR="00041CC8" w:rsidRPr="005454C8" w:rsidRDefault="00041CC8" w:rsidP="00041CC8">
      <w:pPr>
        <w:autoSpaceDE w:val="0"/>
        <w:autoSpaceDN w:val="0"/>
        <w:adjustRightInd w:val="0"/>
        <w:rPr>
          <w:rFonts w:eastAsia="Calibri"/>
        </w:rPr>
      </w:pPr>
      <w:r w:rsidRPr="005454C8">
        <w:rPr>
          <w:rFonts w:eastAsia="Calibri"/>
        </w:rPr>
        <w:t>Vartojimas 2–&lt;12 metų vaikams, kuriems yra kepenų arba inkstų nepakankamumas,</w:t>
      </w:r>
      <w:r w:rsidRPr="005454C8" w:rsidDel="00530703">
        <w:rPr>
          <w:rFonts w:eastAsia="Calibri"/>
        </w:rPr>
        <w:t xml:space="preserve"> </w:t>
      </w:r>
      <w:r w:rsidRPr="005454C8">
        <w:rPr>
          <w:rFonts w:eastAsia="Calibri"/>
        </w:rPr>
        <w:t>neištirtas (žr. 4.8 ir 5.2 skyrius).</w:t>
      </w:r>
    </w:p>
    <w:p w14:paraId="2529C3B1" w14:textId="77777777" w:rsidR="00041CC8" w:rsidRPr="005454C8" w:rsidRDefault="00041CC8" w:rsidP="00041CC8">
      <w:pPr>
        <w:autoSpaceDE w:val="0"/>
        <w:autoSpaceDN w:val="0"/>
        <w:adjustRightInd w:val="0"/>
        <w:rPr>
          <w:rFonts w:eastAsia="Calibri"/>
        </w:rPr>
      </w:pPr>
    </w:p>
    <w:p w14:paraId="4E4520F6"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Vartojimas suaugusiesiems ir vaikams profilaktikos tikslais</w:t>
      </w:r>
    </w:p>
    <w:p w14:paraId="4D0E5808" w14:textId="77777777" w:rsidR="00041CC8" w:rsidRPr="005454C8" w:rsidRDefault="00041CC8" w:rsidP="00041CC8">
      <w:pPr>
        <w:autoSpaceDE w:val="0"/>
        <w:autoSpaceDN w:val="0"/>
        <w:adjustRightInd w:val="0"/>
        <w:rPr>
          <w:rFonts w:eastAsia="Calibri"/>
        </w:rPr>
      </w:pPr>
      <w:r w:rsidRPr="005454C8">
        <w:rPr>
          <w:rFonts w:eastAsia="Calibri"/>
        </w:rPr>
        <w:t>Profilaktinis gydymas turi būti pradėtas transplantacijos dieną ir gali būti tęsiamas iki 100 parų.</w:t>
      </w:r>
    </w:p>
    <w:p w14:paraId="3A53FC81" w14:textId="77777777" w:rsidR="00041CC8" w:rsidRPr="005454C8" w:rsidRDefault="00041CC8" w:rsidP="00041CC8">
      <w:pPr>
        <w:autoSpaceDE w:val="0"/>
        <w:autoSpaceDN w:val="0"/>
        <w:adjustRightInd w:val="0"/>
        <w:rPr>
          <w:rFonts w:eastAsia="Calibri"/>
        </w:rPr>
      </w:pPr>
      <w:r w:rsidRPr="005454C8">
        <w:rPr>
          <w:rFonts w:eastAsia="Calibri"/>
        </w:rPr>
        <w:t>Profilaktinis gydymas turi būti kuo trumpesnis, priklausomai nuo invazinės grybelių sukeltos infekcijos atsiradimo rizikos, kurią rodo neutropenija arba imunosupresija. Gydymas gali būti tęsiamas iki 180 parų po transplantacijos, jeigu tęsiasi imunosupresija arba atsiranda recipiento ir donoro organų nesuderinamumo liga (žr. 5.1 skyrių).</w:t>
      </w:r>
    </w:p>
    <w:p w14:paraId="430AB349" w14:textId="77777777" w:rsidR="00041CC8" w:rsidRPr="005454C8" w:rsidRDefault="00041CC8" w:rsidP="00041CC8">
      <w:pPr>
        <w:autoSpaceDE w:val="0"/>
        <w:autoSpaceDN w:val="0"/>
        <w:adjustRightInd w:val="0"/>
        <w:rPr>
          <w:rFonts w:eastAsia="TimesNewRoman,Italic"/>
          <w:i/>
        </w:rPr>
      </w:pPr>
    </w:p>
    <w:p w14:paraId="0C8CC9DF"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Dozavimas</w:t>
      </w:r>
    </w:p>
    <w:p w14:paraId="10291508" w14:textId="77777777" w:rsidR="00041CC8" w:rsidRPr="005454C8" w:rsidRDefault="00041CC8" w:rsidP="00041CC8">
      <w:pPr>
        <w:autoSpaceDE w:val="0"/>
        <w:autoSpaceDN w:val="0"/>
        <w:adjustRightInd w:val="0"/>
        <w:rPr>
          <w:rFonts w:eastAsia="Calibri"/>
        </w:rPr>
      </w:pPr>
      <w:r w:rsidRPr="005454C8">
        <w:rPr>
          <w:rFonts w:eastAsia="Calibri"/>
        </w:rPr>
        <w:t>Profilaktikai rekomenduojamas toks pats dozavimo režimas kaip ir atitinkamų amžiaus grupių gydymo režimas. Žr. anksčiau pateiktas gydymo lenteles.</w:t>
      </w:r>
    </w:p>
    <w:p w14:paraId="13187D0C" w14:textId="77777777" w:rsidR="00041CC8" w:rsidRPr="005454C8" w:rsidRDefault="00041CC8" w:rsidP="00041CC8">
      <w:pPr>
        <w:autoSpaceDE w:val="0"/>
        <w:autoSpaceDN w:val="0"/>
        <w:adjustRightInd w:val="0"/>
        <w:rPr>
          <w:rFonts w:eastAsia="TimesNewRoman,Italic"/>
          <w:i/>
        </w:rPr>
      </w:pPr>
    </w:p>
    <w:p w14:paraId="2D81DE1F"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Profilaktikos trukmė</w:t>
      </w:r>
    </w:p>
    <w:p w14:paraId="6A331DE8" w14:textId="77777777" w:rsidR="00041CC8" w:rsidRPr="005454C8" w:rsidRDefault="00041CC8" w:rsidP="00041CC8">
      <w:pPr>
        <w:autoSpaceDE w:val="0"/>
        <w:autoSpaceDN w:val="0"/>
        <w:adjustRightInd w:val="0"/>
        <w:rPr>
          <w:rFonts w:eastAsia="Calibri"/>
        </w:rPr>
      </w:pPr>
      <w:r w:rsidRPr="005454C8">
        <w:rPr>
          <w:rFonts w:eastAsia="Calibri"/>
        </w:rPr>
        <w:t>Vorikonazolo vartojimo ilgesnį nei 180 parų laikotarpį saugumas ir veiksmingumas nebuvo tinkamai ištirtas klinikiniuose tyrimuose.</w:t>
      </w:r>
    </w:p>
    <w:p w14:paraId="460F3488" w14:textId="77777777" w:rsidR="00041CC8" w:rsidRPr="005454C8" w:rsidRDefault="00041CC8" w:rsidP="00041CC8">
      <w:pPr>
        <w:autoSpaceDE w:val="0"/>
        <w:autoSpaceDN w:val="0"/>
        <w:adjustRightInd w:val="0"/>
        <w:rPr>
          <w:rFonts w:eastAsia="Calibri"/>
        </w:rPr>
      </w:pPr>
    </w:p>
    <w:p w14:paraId="505F2AC9" w14:textId="77777777" w:rsidR="00041CC8" w:rsidRPr="005454C8" w:rsidRDefault="00041CC8" w:rsidP="00041CC8">
      <w:r w:rsidRPr="005454C8">
        <w:rPr>
          <w:rFonts w:eastAsia="Calibri"/>
        </w:rPr>
        <w:t>Jeigu profilaktinis gydymas vorikonazolu trunka ilgiau kaip 180 parų (6 mėnesius), reikia atidžiai įvertinti naudos ir rizikos santykį (žr. 4.4 ir 5.1 skyrius).</w:t>
      </w:r>
    </w:p>
    <w:p w14:paraId="6DF931A4" w14:textId="77777777" w:rsidR="00041CC8" w:rsidRPr="005454C8" w:rsidRDefault="00041CC8" w:rsidP="00041CC8">
      <w:pPr>
        <w:autoSpaceDE w:val="0"/>
        <w:autoSpaceDN w:val="0"/>
        <w:adjustRightInd w:val="0"/>
        <w:rPr>
          <w:rFonts w:eastAsia="Calibri"/>
        </w:rPr>
      </w:pPr>
    </w:p>
    <w:p w14:paraId="0BF24B81" w14:textId="77777777" w:rsidR="00041CC8" w:rsidRPr="005454C8" w:rsidRDefault="00041CC8" w:rsidP="00041CC8">
      <w:pPr>
        <w:autoSpaceDE w:val="0"/>
        <w:autoSpaceDN w:val="0"/>
        <w:adjustRightInd w:val="0"/>
        <w:rPr>
          <w:rFonts w:eastAsia="Calibri"/>
          <w:u w:val="single"/>
        </w:rPr>
      </w:pPr>
      <w:r w:rsidRPr="005454C8">
        <w:rPr>
          <w:rFonts w:eastAsia="Calibri"/>
          <w:u w:val="single"/>
        </w:rPr>
        <w:t>Toliau pateikta informacija skirta ir gydymui, ir profilaktikai</w:t>
      </w:r>
    </w:p>
    <w:p w14:paraId="69474F21" w14:textId="77777777" w:rsidR="00041CC8" w:rsidRPr="005454C8" w:rsidRDefault="00041CC8" w:rsidP="00041CC8">
      <w:pPr>
        <w:autoSpaceDE w:val="0"/>
        <w:autoSpaceDN w:val="0"/>
        <w:adjustRightInd w:val="0"/>
        <w:rPr>
          <w:rFonts w:eastAsia="TimesNewRoman,Italic"/>
          <w:i/>
        </w:rPr>
      </w:pPr>
    </w:p>
    <w:p w14:paraId="6FB398D3"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Dozės koregavimas</w:t>
      </w:r>
    </w:p>
    <w:p w14:paraId="57FACFCF" w14:textId="77777777" w:rsidR="00041CC8" w:rsidRPr="005454C8" w:rsidRDefault="00041CC8" w:rsidP="00041CC8">
      <w:pPr>
        <w:autoSpaceDE w:val="0"/>
        <w:autoSpaceDN w:val="0"/>
        <w:adjustRightInd w:val="0"/>
        <w:rPr>
          <w:rFonts w:eastAsia="Calibri"/>
        </w:rPr>
      </w:pPr>
      <w:r w:rsidRPr="005454C8">
        <w:rPr>
          <w:rFonts w:eastAsia="Calibri"/>
        </w:rPr>
        <w:t>Vartojant profilaktikai dozės koreguoti nerekomenduojama, jeigu veiksmingumas nepakankamas arba atsiranda su gydymu susijusių nepageidaujamų reiškinių. Jeigu atsiranda su gydymu susiję nepageidaujami reiškiniai, reikėtų apsvarstyti vorikonazolo vartojimo nutraukimą ir kitų priešgrybelinių preparatų vartojimą (žr. 4.4 ir 4.8 skyrius).</w:t>
      </w:r>
    </w:p>
    <w:p w14:paraId="4C032D76" w14:textId="77777777" w:rsidR="00041CC8" w:rsidRPr="005454C8" w:rsidRDefault="00041CC8" w:rsidP="00041CC8">
      <w:pPr>
        <w:autoSpaceDE w:val="0"/>
        <w:autoSpaceDN w:val="0"/>
        <w:adjustRightInd w:val="0"/>
        <w:rPr>
          <w:rFonts w:eastAsia="TimesNewRoman,Italic"/>
          <w:i/>
        </w:rPr>
      </w:pPr>
    </w:p>
    <w:p w14:paraId="30F3EBF9" w14:textId="77777777" w:rsidR="00041CC8" w:rsidRPr="005454C8" w:rsidRDefault="00041CC8" w:rsidP="00041CC8">
      <w:pPr>
        <w:autoSpaceDE w:val="0"/>
        <w:autoSpaceDN w:val="0"/>
        <w:adjustRightInd w:val="0"/>
        <w:rPr>
          <w:rFonts w:eastAsia="TimesNewRoman,Italic"/>
          <w:i/>
          <w:u w:val="single"/>
        </w:rPr>
      </w:pPr>
      <w:r w:rsidRPr="005454C8">
        <w:rPr>
          <w:rFonts w:eastAsia="TimesNewRoman,Italic"/>
          <w:i/>
          <w:u w:val="single"/>
        </w:rPr>
        <w:t xml:space="preserve">Dozės koregavimas vartojant kartu kitus </w:t>
      </w:r>
      <w:r w:rsidRPr="009A1B7F">
        <w:rPr>
          <w:rFonts w:eastAsia="TimesNewRoman,Italic"/>
          <w:i/>
          <w:iCs/>
          <w:szCs w:val="22"/>
          <w:u w:val="single"/>
          <w:lang w:eastAsia="en-US"/>
        </w:rPr>
        <w:t>vaistinius preparatus</w:t>
      </w:r>
    </w:p>
    <w:p w14:paraId="18B07CB6" w14:textId="77777777" w:rsidR="00041CC8" w:rsidRPr="005454C8" w:rsidRDefault="00041CC8" w:rsidP="00041CC8">
      <w:pPr>
        <w:autoSpaceDE w:val="0"/>
        <w:autoSpaceDN w:val="0"/>
        <w:adjustRightInd w:val="0"/>
        <w:rPr>
          <w:rFonts w:eastAsia="Calibri"/>
        </w:rPr>
      </w:pPr>
      <w:r w:rsidRPr="005454C8">
        <w:rPr>
          <w:rFonts w:eastAsia="Calibri"/>
        </w:rPr>
        <w:t>Fenitoiną galima vartoti kartu su vorikonazolu, jeigu palaikomoji per burną vartojamo vorikonazolo dozė padidinama nuo 200 mg iki 400 mg du kartus per parą (nuo 100 mg iki 200 mg du kartus per parą tuo atveju, kai pacientas sveria mažiau kaip 40 kg) (žr. 4.4 ir 4.5 skyrius).</w:t>
      </w:r>
    </w:p>
    <w:p w14:paraId="45AD1002" w14:textId="77777777" w:rsidR="00041CC8" w:rsidRPr="005454C8" w:rsidRDefault="00041CC8" w:rsidP="00041CC8">
      <w:pPr>
        <w:autoSpaceDE w:val="0"/>
        <w:autoSpaceDN w:val="0"/>
        <w:adjustRightInd w:val="0"/>
        <w:rPr>
          <w:rFonts w:eastAsia="Calibri"/>
        </w:rPr>
      </w:pPr>
    </w:p>
    <w:p w14:paraId="1B4BF7EB" w14:textId="77777777" w:rsidR="00041CC8" w:rsidRPr="005454C8" w:rsidRDefault="00041CC8" w:rsidP="00041CC8">
      <w:pPr>
        <w:autoSpaceDE w:val="0"/>
        <w:autoSpaceDN w:val="0"/>
        <w:adjustRightInd w:val="0"/>
        <w:rPr>
          <w:rFonts w:eastAsia="Calibri"/>
        </w:rPr>
      </w:pPr>
      <w:r w:rsidRPr="005454C8">
        <w:rPr>
          <w:rFonts w:eastAsia="Calibri"/>
        </w:rPr>
        <w:t>Jeigu įmanoma, vorikonazolo geriau nevartoti kartu su rifabutinu. Vis dėlto jeigu tokį derinį vartoti neabejotinai būtina, palaikomąją per burną vartojamo vorikonazolo dozę reikia didinti nuo 200 mg iki 350 mg du kartus per parą (nuo 100 mg iki 200 mg du kartus per parą tuo atveju, kai pacientas sveria mažiau kaip 40 kg) (žr. 4.4 ir 4.5 skyrius).</w:t>
      </w:r>
    </w:p>
    <w:p w14:paraId="4C72A805" w14:textId="77777777" w:rsidR="00041CC8" w:rsidRPr="005454C8" w:rsidRDefault="00041CC8" w:rsidP="00041CC8">
      <w:pPr>
        <w:autoSpaceDE w:val="0"/>
        <w:autoSpaceDN w:val="0"/>
        <w:adjustRightInd w:val="0"/>
        <w:rPr>
          <w:rFonts w:eastAsia="Calibri"/>
        </w:rPr>
      </w:pPr>
    </w:p>
    <w:p w14:paraId="65A4A3C0" w14:textId="77777777" w:rsidR="00041CC8" w:rsidRPr="005454C8" w:rsidRDefault="00041CC8" w:rsidP="00041CC8">
      <w:pPr>
        <w:autoSpaceDE w:val="0"/>
        <w:autoSpaceDN w:val="0"/>
        <w:adjustRightInd w:val="0"/>
      </w:pPr>
      <w:r w:rsidRPr="005454C8">
        <w:rPr>
          <w:rFonts w:eastAsia="Calibri"/>
        </w:rPr>
        <w:t>Efavirenzą galima vartoti kartu su vorikonazolu, jeigu palaikomoji vorikonazolo dozė padidinama ir vartojama po 400 mg kas 12 valandų, o efavirenzo dozė sumažinama 50 %, t. y. vartojama po 300 mg vieną kartą per parą. Baigiant gydymą vorikonazolu, reikia atnaujinti pradinės efavirenzo dozės vartojimą (žr. 4.4 ir 4.5 skyrius).</w:t>
      </w:r>
    </w:p>
    <w:p w14:paraId="782AF814" w14:textId="77777777" w:rsidR="00041CC8" w:rsidRPr="005454C8" w:rsidRDefault="00041CC8" w:rsidP="00041CC8"/>
    <w:p w14:paraId="237C16B9" w14:textId="77777777" w:rsidR="00041CC8" w:rsidRPr="009A1B7F" w:rsidRDefault="00041CC8" w:rsidP="00041CC8">
      <w:pPr>
        <w:contextualSpacing/>
        <w:outlineLvl w:val="0"/>
        <w:rPr>
          <w:i/>
          <w:iCs/>
          <w:color w:val="000000"/>
          <w:szCs w:val="22"/>
          <w:lang w:eastAsia="en-US"/>
        </w:rPr>
      </w:pPr>
      <w:r w:rsidRPr="009A1B7F">
        <w:rPr>
          <w:i/>
          <w:iCs/>
          <w:color w:val="000000"/>
          <w:szCs w:val="22"/>
          <w:lang w:eastAsia="en-US"/>
        </w:rPr>
        <w:t>Senyviems pacientams</w:t>
      </w:r>
    </w:p>
    <w:p w14:paraId="6A8069A2" w14:textId="77777777" w:rsidR="00041CC8" w:rsidRPr="005454C8" w:rsidRDefault="00041CC8" w:rsidP="00041CC8">
      <w:pPr>
        <w:contextualSpacing/>
        <w:outlineLvl w:val="0"/>
        <w:rPr>
          <w:color w:val="000000"/>
        </w:rPr>
      </w:pPr>
      <w:r w:rsidRPr="005454C8">
        <w:rPr>
          <w:rFonts w:eastAsia="Calibri"/>
        </w:rPr>
        <w:t>Dozės koreguoti nebūtina (žr. 5.2 skyrių).</w:t>
      </w:r>
    </w:p>
    <w:p w14:paraId="5B614F0E" w14:textId="77777777" w:rsidR="00041CC8" w:rsidRPr="005454C8" w:rsidRDefault="00041CC8" w:rsidP="00041CC8">
      <w:pPr>
        <w:contextualSpacing/>
        <w:outlineLvl w:val="0"/>
        <w:rPr>
          <w:color w:val="000000"/>
        </w:rPr>
      </w:pPr>
    </w:p>
    <w:p w14:paraId="3F22B8CF" w14:textId="77777777" w:rsidR="00041CC8" w:rsidRPr="005454C8" w:rsidRDefault="00041CC8" w:rsidP="00041CC8">
      <w:pPr>
        <w:contextualSpacing/>
        <w:outlineLvl w:val="0"/>
        <w:rPr>
          <w:i/>
          <w:color w:val="000000"/>
        </w:rPr>
      </w:pPr>
      <w:r w:rsidRPr="005454C8">
        <w:rPr>
          <w:i/>
          <w:color w:val="000000"/>
        </w:rPr>
        <w:t>Inkstų funkcijos sutrikimas</w:t>
      </w:r>
    </w:p>
    <w:p w14:paraId="3218A62E" w14:textId="77777777" w:rsidR="00041CC8" w:rsidRPr="005454C8" w:rsidRDefault="00041CC8" w:rsidP="00041CC8">
      <w:pPr>
        <w:autoSpaceDE w:val="0"/>
        <w:autoSpaceDN w:val="0"/>
        <w:adjustRightInd w:val="0"/>
        <w:rPr>
          <w:rFonts w:eastAsia="Calibri"/>
        </w:rPr>
      </w:pPr>
      <w:r w:rsidRPr="005454C8">
        <w:rPr>
          <w:rFonts w:eastAsia="Calibri"/>
        </w:rPr>
        <w:t>Geriamojo vorikonazolo farmakokinetikai inkstų funkcijos sutrikimas įtakos neturi. Todėl, jei inkstų funkcijos sutrikimas yra vidutinio sunkumo arba sunkus, geriamojo vorikonazolo dozės koreguoti nebūtina (žr. 5.2 skyrių).</w:t>
      </w:r>
    </w:p>
    <w:p w14:paraId="76AC0966" w14:textId="77777777" w:rsidR="00041CC8" w:rsidRPr="005454C8" w:rsidRDefault="00041CC8" w:rsidP="00041CC8">
      <w:pPr>
        <w:autoSpaceDE w:val="0"/>
        <w:autoSpaceDN w:val="0"/>
        <w:adjustRightInd w:val="0"/>
        <w:rPr>
          <w:rFonts w:eastAsia="Calibri"/>
        </w:rPr>
      </w:pPr>
    </w:p>
    <w:p w14:paraId="40F19454" w14:textId="77777777" w:rsidR="00041CC8" w:rsidRPr="005454C8" w:rsidRDefault="00041CC8" w:rsidP="00041CC8">
      <w:pPr>
        <w:autoSpaceDE w:val="0"/>
        <w:autoSpaceDN w:val="0"/>
        <w:adjustRightInd w:val="0"/>
        <w:rPr>
          <w:rFonts w:eastAsia="Calibri"/>
        </w:rPr>
      </w:pPr>
      <w:r w:rsidRPr="005454C8">
        <w:rPr>
          <w:rFonts w:eastAsia="Calibri"/>
        </w:rPr>
        <w:t>Vorikonazolas pašalinamas hemodializės metu</w:t>
      </w:r>
      <w:r w:rsidRPr="009A1B7F">
        <w:rPr>
          <w:rFonts w:eastAsia="Calibri"/>
          <w:szCs w:val="22"/>
          <w:lang w:eastAsia="en-US"/>
        </w:rPr>
        <w:t>,</w:t>
      </w:r>
      <w:r w:rsidRPr="005454C8">
        <w:rPr>
          <w:rFonts w:eastAsia="Calibri"/>
        </w:rPr>
        <w:t xml:space="preserve"> jo klirensas yra 121 ml/min. Keturių valandų trukmės hemodialize tiek vorikonazolo nepašalinama, kad dėl to reikėtų keisti dozę.</w:t>
      </w:r>
    </w:p>
    <w:p w14:paraId="0ED4212D" w14:textId="77777777" w:rsidR="00041CC8" w:rsidRPr="005454C8" w:rsidRDefault="00041CC8" w:rsidP="00041CC8">
      <w:pPr>
        <w:contextualSpacing/>
        <w:outlineLvl w:val="0"/>
        <w:rPr>
          <w:color w:val="000000"/>
        </w:rPr>
      </w:pPr>
    </w:p>
    <w:p w14:paraId="7B0979D6" w14:textId="77777777" w:rsidR="00041CC8" w:rsidRPr="005454C8" w:rsidRDefault="00041CC8" w:rsidP="00041CC8">
      <w:pPr>
        <w:contextualSpacing/>
        <w:outlineLvl w:val="0"/>
        <w:rPr>
          <w:i/>
          <w:color w:val="000000"/>
        </w:rPr>
      </w:pPr>
      <w:r w:rsidRPr="005454C8">
        <w:rPr>
          <w:i/>
          <w:color w:val="000000"/>
        </w:rPr>
        <w:t>Kepenų funkcijos sutrikimas</w:t>
      </w:r>
    </w:p>
    <w:p w14:paraId="3593F350" w14:textId="77777777" w:rsidR="00041CC8" w:rsidRPr="005454C8" w:rsidRDefault="00041CC8" w:rsidP="00041CC8">
      <w:pPr>
        <w:autoSpaceDE w:val="0"/>
        <w:autoSpaceDN w:val="0"/>
        <w:adjustRightInd w:val="0"/>
        <w:rPr>
          <w:rFonts w:eastAsia="Calibri"/>
        </w:rPr>
      </w:pPr>
      <w:r w:rsidRPr="005454C8">
        <w:rPr>
          <w:rFonts w:eastAsia="Calibri"/>
        </w:rPr>
        <w:t xml:space="preserve">Rekomenduojama taikyti įprastinius įsotinamosios dozės planus, tačiau palaikomoji vorikonazolo dozė pacientams, sergantiems </w:t>
      </w:r>
      <w:r w:rsidRPr="009A1B7F">
        <w:rPr>
          <w:rFonts w:eastAsia="Calibri"/>
          <w:szCs w:val="22"/>
          <w:lang w:eastAsia="en-US"/>
        </w:rPr>
        <w:t>lengva</w:t>
      </w:r>
      <w:r w:rsidRPr="005454C8">
        <w:rPr>
          <w:rFonts w:eastAsia="Calibri"/>
        </w:rPr>
        <w:t xml:space="preserve"> arba vidutinio sunkumo kepenų ciroze (A ir B klasės pagal </w:t>
      </w:r>
      <w:r w:rsidRPr="005454C8">
        <w:rPr>
          <w:rFonts w:eastAsia="Calibri"/>
          <w:i/>
        </w:rPr>
        <w:t>Child- Pugh</w:t>
      </w:r>
      <w:r w:rsidRPr="005454C8">
        <w:rPr>
          <w:rFonts w:eastAsia="Calibri"/>
        </w:rPr>
        <w:t>), turi būti mažinama per pusę (žr. 5.2 skyrių).</w:t>
      </w:r>
    </w:p>
    <w:p w14:paraId="07EA258C" w14:textId="77777777" w:rsidR="00041CC8" w:rsidRPr="005454C8" w:rsidRDefault="00041CC8" w:rsidP="00041CC8">
      <w:pPr>
        <w:autoSpaceDE w:val="0"/>
        <w:autoSpaceDN w:val="0"/>
        <w:adjustRightInd w:val="0"/>
        <w:rPr>
          <w:rFonts w:eastAsia="Calibri"/>
        </w:rPr>
      </w:pPr>
    </w:p>
    <w:p w14:paraId="3CAF2B66" w14:textId="77777777" w:rsidR="00041CC8" w:rsidRPr="005454C8" w:rsidRDefault="00041CC8" w:rsidP="00041CC8">
      <w:pPr>
        <w:autoSpaceDE w:val="0"/>
        <w:autoSpaceDN w:val="0"/>
        <w:adjustRightInd w:val="0"/>
        <w:rPr>
          <w:rFonts w:eastAsia="Calibri"/>
        </w:rPr>
      </w:pPr>
      <w:r w:rsidRPr="005454C8">
        <w:rPr>
          <w:rFonts w:eastAsia="Calibri"/>
        </w:rPr>
        <w:t xml:space="preserve">Vorikonazolo poveikis ligoniams, sergantiems sunkia lėtine kepenų ciroze (C klasės pagal </w:t>
      </w:r>
      <w:r w:rsidRPr="005454C8">
        <w:rPr>
          <w:rFonts w:eastAsia="Calibri"/>
          <w:i/>
        </w:rPr>
        <w:t>Child- Pugh</w:t>
      </w:r>
      <w:r w:rsidRPr="005454C8">
        <w:rPr>
          <w:rFonts w:eastAsia="Calibri"/>
        </w:rPr>
        <w:t>) netirtas.</w:t>
      </w:r>
    </w:p>
    <w:p w14:paraId="2720C318" w14:textId="77777777" w:rsidR="00041CC8" w:rsidRPr="005454C8" w:rsidRDefault="00041CC8" w:rsidP="00041CC8">
      <w:pPr>
        <w:autoSpaceDE w:val="0"/>
        <w:autoSpaceDN w:val="0"/>
        <w:adjustRightInd w:val="0"/>
        <w:rPr>
          <w:rFonts w:eastAsia="Calibri"/>
        </w:rPr>
      </w:pPr>
    </w:p>
    <w:p w14:paraId="2EE93DCC" w14:textId="77777777" w:rsidR="00041CC8" w:rsidRPr="005454C8" w:rsidRDefault="00041CC8" w:rsidP="00041CC8">
      <w:pPr>
        <w:autoSpaceDE w:val="0"/>
        <w:autoSpaceDN w:val="0"/>
        <w:adjustRightInd w:val="0"/>
        <w:rPr>
          <w:rFonts w:eastAsia="Calibri"/>
        </w:rPr>
      </w:pPr>
      <w:r w:rsidRPr="005454C8">
        <w:rPr>
          <w:rFonts w:eastAsia="Calibri"/>
        </w:rPr>
        <w:t>Pacientų, kurių kepenų funkcijos tyrimų rodmenys nenormalūs (aspartato transaminazės [AST], alanininės transaminazės [ALT], šarminės fosfatazės [ALP] aktyvumo arba bendrojo bilirubino koncentracija daugiau kaip 5 kartus viršija viršutinę normos ribą), vorikonazolo saugumo duomenys riboti.</w:t>
      </w:r>
    </w:p>
    <w:p w14:paraId="44F478ED" w14:textId="77777777" w:rsidR="00041CC8" w:rsidRPr="005454C8" w:rsidRDefault="00041CC8" w:rsidP="00041CC8">
      <w:pPr>
        <w:autoSpaceDE w:val="0"/>
        <w:autoSpaceDN w:val="0"/>
        <w:adjustRightInd w:val="0"/>
        <w:rPr>
          <w:rFonts w:eastAsia="Calibri"/>
        </w:rPr>
      </w:pPr>
    </w:p>
    <w:p w14:paraId="71CFF050" w14:textId="571C9CA7" w:rsidR="00041CC8" w:rsidRPr="005454C8" w:rsidRDefault="00041CC8" w:rsidP="00041CC8">
      <w:pPr>
        <w:autoSpaceDE w:val="0"/>
        <w:autoSpaceDN w:val="0"/>
        <w:adjustRightInd w:val="0"/>
        <w:rPr>
          <w:rFonts w:eastAsia="Calibri"/>
        </w:rPr>
      </w:pPr>
      <w:r w:rsidRPr="005454C8">
        <w:rPr>
          <w:rFonts w:eastAsia="Calibri"/>
        </w:rPr>
        <w:t xml:space="preserve">Vorikonazolas gali būti susijęs su kepenų funkcijos rodmenų suaktyvėjimu bei kepenų pažeidimo požymiais, pvz., gelta. Todėl ligoniai, </w:t>
      </w:r>
      <w:r w:rsidRPr="009A1B7F">
        <w:rPr>
          <w:rFonts w:eastAsia="Calibri"/>
          <w:szCs w:val="22"/>
          <w:lang w:eastAsia="en-US"/>
        </w:rPr>
        <w:t>kuriems yra sunkus</w:t>
      </w:r>
      <w:r w:rsidRPr="005454C8">
        <w:rPr>
          <w:rFonts w:eastAsia="Calibri"/>
        </w:rPr>
        <w:t xml:space="preserve"> kepenų </w:t>
      </w:r>
      <w:r w:rsidRPr="009A1B7F">
        <w:rPr>
          <w:rFonts w:eastAsia="Calibri"/>
          <w:szCs w:val="22"/>
          <w:lang w:eastAsia="en-US"/>
        </w:rPr>
        <w:t>funkcijos sutrikimas</w:t>
      </w:r>
      <w:r w:rsidRPr="005454C8">
        <w:rPr>
          <w:rFonts w:eastAsia="Calibri"/>
        </w:rPr>
        <w:t xml:space="preserve">, vaistinį preparatą gali vartoti tik tuo atveju, jei nauda viršija riziką. Pacientai, </w:t>
      </w:r>
      <w:r w:rsidRPr="009A1B7F">
        <w:rPr>
          <w:rFonts w:eastAsia="Calibri"/>
          <w:szCs w:val="22"/>
          <w:lang w:eastAsia="en-US"/>
        </w:rPr>
        <w:t xml:space="preserve">kuriems yra sunkus </w:t>
      </w:r>
      <w:r w:rsidRPr="005454C8">
        <w:rPr>
          <w:rFonts w:eastAsia="Calibri"/>
        </w:rPr>
        <w:t xml:space="preserve"> kepenų </w:t>
      </w:r>
      <w:r w:rsidRPr="009A1B7F">
        <w:rPr>
          <w:rFonts w:eastAsia="Calibri"/>
          <w:szCs w:val="22"/>
          <w:lang w:eastAsia="en-US"/>
        </w:rPr>
        <w:t>funkcijos sutrikimas</w:t>
      </w:r>
      <w:r w:rsidRPr="005454C8">
        <w:rPr>
          <w:rFonts w:eastAsia="Calibri"/>
        </w:rPr>
        <w:t xml:space="preserve">, turi būti atidžiai sekami, kad nepasireikštų </w:t>
      </w:r>
      <w:r w:rsidRPr="009A1B7F">
        <w:rPr>
          <w:rFonts w:eastAsia="Calibri"/>
          <w:szCs w:val="22"/>
          <w:lang w:eastAsia="en-US"/>
        </w:rPr>
        <w:t>vaist</w:t>
      </w:r>
      <w:r>
        <w:rPr>
          <w:rFonts w:eastAsia="Calibri"/>
          <w:szCs w:val="22"/>
          <w:lang w:eastAsia="en-US"/>
        </w:rPr>
        <w:t>inio preparato</w:t>
      </w:r>
      <w:r w:rsidRPr="005454C8">
        <w:rPr>
          <w:rFonts w:eastAsia="Calibri"/>
        </w:rPr>
        <w:t xml:space="preserve"> toksinis poveikis (žr. 4.8 skyrių).</w:t>
      </w:r>
    </w:p>
    <w:p w14:paraId="5143338F" w14:textId="77777777" w:rsidR="00041CC8" w:rsidRPr="005454C8" w:rsidRDefault="00041CC8" w:rsidP="00041CC8">
      <w:pPr>
        <w:contextualSpacing/>
        <w:outlineLvl w:val="0"/>
        <w:rPr>
          <w:rFonts w:eastAsia="TimesNewRoman,Italic"/>
          <w:i/>
        </w:rPr>
      </w:pPr>
    </w:p>
    <w:p w14:paraId="1A1DD097" w14:textId="77777777" w:rsidR="00041CC8" w:rsidRPr="005454C8" w:rsidRDefault="00041CC8" w:rsidP="00041CC8">
      <w:pPr>
        <w:contextualSpacing/>
        <w:outlineLvl w:val="0"/>
        <w:rPr>
          <w:color w:val="000000"/>
        </w:rPr>
      </w:pPr>
      <w:r w:rsidRPr="005454C8">
        <w:rPr>
          <w:rFonts w:eastAsia="TimesNewRoman,Italic"/>
          <w:i/>
        </w:rPr>
        <w:t>Vaikų populiacija</w:t>
      </w:r>
    </w:p>
    <w:p w14:paraId="04D7E9F4" w14:textId="77777777" w:rsidR="00041CC8" w:rsidRPr="005454C8" w:rsidRDefault="00041CC8" w:rsidP="00041CC8">
      <w:pPr>
        <w:autoSpaceDE w:val="0"/>
        <w:autoSpaceDN w:val="0"/>
        <w:adjustRightInd w:val="0"/>
        <w:rPr>
          <w:rFonts w:eastAsia="Calibri"/>
        </w:rPr>
      </w:pPr>
      <w:r w:rsidRPr="005454C8">
        <w:rPr>
          <w:rFonts w:eastAsia="Calibri"/>
        </w:rPr>
        <w:t>VERRIA saugumas ir veiksmingumas jaunesniems kaip 2 metų kūdikiams neištirti. Šiuo metu turimi duomenys pateikiami 4.8 ir 5.1 skyriuose, tačiau dozavimo rekomendacijų pateikti negalima.</w:t>
      </w:r>
    </w:p>
    <w:p w14:paraId="6A36F8D9" w14:textId="77777777" w:rsidR="00041CC8" w:rsidRPr="005454C8" w:rsidRDefault="00041CC8" w:rsidP="00041CC8">
      <w:pPr>
        <w:autoSpaceDE w:val="0"/>
        <w:autoSpaceDN w:val="0"/>
        <w:adjustRightInd w:val="0"/>
        <w:rPr>
          <w:rFonts w:eastAsia="Calibri"/>
          <w:i/>
        </w:rPr>
      </w:pPr>
    </w:p>
    <w:p w14:paraId="59F59A69"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Vartojimo metodas</w:t>
      </w:r>
    </w:p>
    <w:p w14:paraId="3E319878" w14:textId="77777777" w:rsidR="00041CC8" w:rsidRPr="005454C8" w:rsidRDefault="00041CC8" w:rsidP="00041CC8">
      <w:pPr>
        <w:autoSpaceDE w:val="0"/>
        <w:autoSpaceDN w:val="0"/>
        <w:adjustRightInd w:val="0"/>
        <w:rPr>
          <w:rFonts w:eastAsia="Calibri"/>
        </w:rPr>
      </w:pPr>
      <w:r w:rsidRPr="005454C8">
        <w:rPr>
          <w:rFonts w:eastAsia="Calibri"/>
        </w:rPr>
        <w:t>VERRIA plėvele dengtas tabletes reikia vartoti mažiausiai 1 valandą prieš valgį arba praėjus 1 valandai po pavalgymo.</w:t>
      </w:r>
    </w:p>
    <w:p w14:paraId="0FB303C5" w14:textId="77777777" w:rsidR="00041CC8" w:rsidRPr="005454C8" w:rsidRDefault="00041CC8" w:rsidP="00041CC8">
      <w:pPr>
        <w:keepNext/>
        <w:spacing w:before="240" w:after="60"/>
        <w:ind w:left="567" w:hanging="567"/>
        <w:outlineLvl w:val="3"/>
        <w:rPr>
          <w:b/>
        </w:rPr>
      </w:pPr>
      <w:r w:rsidRPr="005454C8">
        <w:rPr>
          <w:b/>
        </w:rPr>
        <w:t>4.3</w:t>
      </w:r>
      <w:r w:rsidRPr="005454C8">
        <w:rPr>
          <w:b/>
        </w:rPr>
        <w:tab/>
        <w:t>Kontraindikacijos</w:t>
      </w:r>
    </w:p>
    <w:p w14:paraId="61A45DAD" w14:textId="77777777" w:rsidR="00041CC8" w:rsidRPr="005454C8" w:rsidRDefault="00041CC8" w:rsidP="00041CC8"/>
    <w:p w14:paraId="79AAB021" w14:textId="77777777" w:rsidR="00041CC8" w:rsidRPr="005454C8" w:rsidRDefault="00041CC8" w:rsidP="00041CC8">
      <w:r w:rsidRPr="005454C8">
        <w:t>Padidėjęs jautrumas veikliajai arba bet kuriai 6.1 skyriuje nurodytai pagalbinei medžiagai.</w:t>
      </w:r>
    </w:p>
    <w:p w14:paraId="2433CC9D" w14:textId="77777777" w:rsidR="00041CC8" w:rsidRPr="005454C8" w:rsidRDefault="00041CC8" w:rsidP="00041CC8">
      <w:pPr>
        <w:autoSpaceDE w:val="0"/>
        <w:autoSpaceDN w:val="0"/>
        <w:adjustRightInd w:val="0"/>
        <w:rPr>
          <w:rFonts w:eastAsia="Calibri"/>
        </w:rPr>
      </w:pPr>
    </w:p>
    <w:p w14:paraId="723D68CA" w14:textId="77777777" w:rsidR="00041CC8" w:rsidRPr="005454C8" w:rsidRDefault="00041CC8" w:rsidP="00041CC8">
      <w:pPr>
        <w:autoSpaceDE w:val="0"/>
        <w:autoSpaceDN w:val="0"/>
        <w:adjustRightInd w:val="0"/>
        <w:rPr>
          <w:rFonts w:eastAsia="Calibri"/>
        </w:rPr>
      </w:pPr>
      <w:r w:rsidRPr="005454C8">
        <w:rPr>
          <w:rFonts w:eastAsia="Calibri"/>
        </w:rPr>
        <w:t>Vartojimas kartu su CYP3A4 substratais (terfenadinu, astemizolu, cisapridu, pimozidu</w:t>
      </w:r>
      <w:r>
        <w:rPr>
          <w:rFonts w:eastAsia="Calibri"/>
        </w:rPr>
        <w:t>,</w:t>
      </w:r>
      <w:r w:rsidRPr="005454C8">
        <w:rPr>
          <w:rFonts w:eastAsia="Calibri"/>
        </w:rPr>
        <w:t xml:space="preserve"> chinidinu</w:t>
      </w:r>
      <w:r>
        <w:rPr>
          <w:rFonts w:eastAsia="Calibri"/>
        </w:rPr>
        <w:t xml:space="preserve"> ar ivabradinu</w:t>
      </w:r>
      <w:r w:rsidRPr="005454C8">
        <w:rPr>
          <w:rFonts w:eastAsia="Calibri"/>
        </w:rPr>
        <w:t xml:space="preserve">), nes dėl padidėjusių šių vaistinių preparatų koncentracijų </w:t>
      </w:r>
      <w:r w:rsidRPr="009A1B7F">
        <w:rPr>
          <w:rFonts w:eastAsia="Calibri"/>
          <w:szCs w:val="22"/>
          <w:lang w:eastAsia="en-US"/>
        </w:rPr>
        <w:t xml:space="preserve">kraujo </w:t>
      </w:r>
      <w:r w:rsidRPr="005454C8">
        <w:rPr>
          <w:rFonts w:eastAsia="Calibri"/>
        </w:rPr>
        <w:t xml:space="preserve">plazmoje gali prailgėti QTc intervalas ir retais atvejais atsirasti </w:t>
      </w:r>
      <w:r w:rsidRPr="005454C8">
        <w:rPr>
          <w:rFonts w:eastAsia="TimesNewRoman,Italic"/>
          <w:i/>
        </w:rPr>
        <w:t xml:space="preserve">torsades de pointes </w:t>
      </w:r>
      <w:r w:rsidRPr="005454C8">
        <w:rPr>
          <w:rFonts w:eastAsia="Calibri"/>
        </w:rPr>
        <w:t>(žr. 4.5 skyrių).</w:t>
      </w:r>
    </w:p>
    <w:p w14:paraId="38EA11B5" w14:textId="77777777" w:rsidR="00041CC8" w:rsidRPr="005454C8" w:rsidRDefault="00041CC8" w:rsidP="00041CC8">
      <w:pPr>
        <w:autoSpaceDE w:val="0"/>
        <w:autoSpaceDN w:val="0"/>
        <w:adjustRightInd w:val="0"/>
        <w:rPr>
          <w:rFonts w:eastAsia="Calibri"/>
        </w:rPr>
      </w:pPr>
    </w:p>
    <w:p w14:paraId="06B61E34" w14:textId="77777777" w:rsidR="00041CC8" w:rsidRPr="005454C8" w:rsidRDefault="00041CC8" w:rsidP="00041CC8">
      <w:pPr>
        <w:autoSpaceDE w:val="0"/>
        <w:autoSpaceDN w:val="0"/>
        <w:adjustRightInd w:val="0"/>
        <w:rPr>
          <w:rFonts w:eastAsia="Calibri"/>
        </w:rPr>
      </w:pPr>
      <w:r w:rsidRPr="005454C8">
        <w:rPr>
          <w:rFonts w:eastAsia="Calibri"/>
        </w:rPr>
        <w:t xml:space="preserve">Vartojimas kartu su rifampicinu, karbamazepinu ar fenobarbitaliu, nes šie vaistiniai preparatai gali reikšmingai sumažinti vorikonazolo koncentracijas </w:t>
      </w:r>
      <w:r w:rsidRPr="009A1B7F">
        <w:rPr>
          <w:rFonts w:eastAsia="Calibri"/>
          <w:szCs w:val="22"/>
          <w:lang w:eastAsia="en-US"/>
        </w:rPr>
        <w:t xml:space="preserve">kraujo </w:t>
      </w:r>
      <w:r w:rsidRPr="005454C8">
        <w:rPr>
          <w:rFonts w:eastAsia="Calibri"/>
        </w:rPr>
        <w:t>plazmoje (žr. 4.5 skyrių).</w:t>
      </w:r>
    </w:p>
    <w:p w14:paraId="13B17561" w14:textId="77777777" w:rsidR="00041CC8" w:rsidRPr="005454C8" w:rsidRDefault="00041CC8" w:rsidP="00041CC8">
      <w:pPr>
        <w:autoSpaceDE w:val="0"/>
        <w:autoSpaceDN w:val="0"/>
        <w:adjustRightInd w:val="0"/>
        <w:rPr>
          <w:rFonts w:eastAsia="Calibri"/>
        </w:rPr>
      </w:pPr>
    </w:p>
    <w:p w14:paraId="19F0BE77" w14:textId="77777777" w:rsidR="00041CC8" w:rsidRPr="005454C8" w:rsidRDefault="00041CC8" w:rsidP="00041CC8">
      <w:pPr>
        <w:autoSpaceDE w:val="0"/>
        <w:autoSpaceDN w:val="0"/>
        <w:adjustRightInd w:val="0"/>
        <w:rPr>
          <w:rFonts w:eastAsia="Calibri"/>
        </w:rPr>
      </w:pPr>
      <w:r w:rsidRPr="005454C8">
        <w:rPr>
          <w:rFonts w:eastAsia="Calibri"/>
        </w:rPr>
        <w:t xml:space="preserve">Įprastinės vorikonazolo dozės vartojimas kartu su 400 mg ir didesne efavirenzo doze vieną kartą per parą yra negalimas, nes efavirenzas reikšmingai sumažina vorikonazolo koncentracijas sveikų </w:t>
      </w:r>
      <w:r w:rsidRPr="005454C8">
        <w:rPr>
          <w:rFonts w:eastAsia="Calibri"/>
        </w:rPr>
        <w:lastRenderedPageBreak/>
        <w:t xml:space="preserve">savanorių, vartojančių šias dozes, </w:t>
      </w:r>
      <w:r w:rsidRPr="009A1B7F">
        <w:rPr>
          <w:rFonts w:eastAsia="Calibri"/>
          <w:szCs w:val="22"/>
          <w:lang w:eastAsia="en-US"/>
        </w:rPr>
        <w:t xml:space="preserve">kraujo </w:t>
      </w:r>
      <w:r w:rsidRPr="005454C8">
        <w:rPr>
          <w:rFonts w:eastAsia="Calibri"/>
        </w:rPr>
        <w:t xml:space="preserve">plazmoje. Vorikonazolas taip pat reikšmingai padidina efavirenzo koncentracijas </w:t>
      </w:r>
      <w:r w:rsidRPr="009A1B7F">
        <w:rPr>
          <w:rFonts w:eastAsia="Calibri"/>
          <w:szCs w:val="22"/>
          <w:lang w:eastAsia="en-US"/>
        </w:rPr>
        <w:t xml:space="preserve">kraujo </w:t>
      </w:r>
      <w:r w:rsidRPr="005454C8">
        <w:rPr>
          <w:rFonts w:eastAsia="Calibri"/>
        </w:rPr>
        <w:t>plazmoje (žr. 4.5 skyrių, apie mažesnes dozes žr. 4.4 skyriuje).</w:t>
      </w:r>
    </w:p>
    <w:p w14:paraId="43C7A5DC" w14:textId="77777777" w:rsidR="00041CC8" w:rsidRPr="005454C8" w:rsidRDefault="00041CC8" w:rsidP="00041CC8">
      <w:pPr>
        <w:autoSpaceDE w:val="0"/>
        <w:autoSpaceDN w:val="0"/>
        <w:adjustRightInd w:val="0"/>
        <w:rPr>
          <w:rFonts w:eastAsia="Calibri"/>
        </w:rPr>
      </w:pPr>
    </w:p>
    <w:p w14:paraId="5D32BF76" w14:textId="77777777" w:rsidR="00041CC8" w:rsidRPr="005454C8" w:rsidRDefault="00041CC8" w:rsidP="00041CC8">
      <w:pPr>
        <w:autoSpaceDE w:val="0"/>
        <w:autoSpaceDN w:val="0"/>
        <w:adjustRightInd w:val="0"/>
      </w:pPr>
      <w:r w:rsidRPr="005454C8">
        <w:rPr>
          <w:rFonts w:eastAsia="Calibri"/>
        </w:rPr>
        <w:t xml:space="preserve">Vartojimas kartu su didele ritonaviro doze (400 mg ir didesne du kartus per parą), nes tokia ritonaviro dozė sveikiems asmenims reikšmingai sumažino vorikonazolo koncentracijas </w:t>
      </w:r>
      <w:r w:rsidRPr="009A1B7F">
        <w:rPr>
          <w:rFonts w:eastAsia="Calibri"/>
          <w:szCs w:val="22"/>
          <w:lang w:eastAsia="en-US"/>
        </w:rPr>
        <w:t xml:space="preserve">kraujo </w:t>
      </w:r>
      <w:r w:rsidRPr="005454C8">
        <w:rPr>
          <w:rFonts w:eastAsia="Calibri"/>
        </w:rPr>
        <w:t>plazmoje (žr. 4.5 skyrių, apie mažesnes dozes žr. 4.4 skyriuje).</w:t>
      </w:r>
    </w:p>
    <w:p w14:paraId="7EE80A33" w14:textId="77777777" w:rsidR="00041CC8" w:rsidRPr="005454C8" w:rsidRDefault="00041CC8" w:rsidP="00041CC8">
      <w:pPr>
        <w:autoSpaceDE w:val="0"/>
        <w:autoSpaceDN w:val="0"/>
        <w:adjustRightInd w:val="0"/>
        <w:rPr>
          <w:rFonts w:eastAsia="Calibri"/>
        </w:rPr>
      </w:pPr>
    </w:p>
    <w:p w14:paraId="26DC3BCB" w14:textId="77777777" w:rsidR="00041CC8" w:rsidRPr="005454C8" w:rsidRDefault="00041CC8" w:rsidP="00041CC8">
      <w:pPr>
        <w:autoSpaceDE w:val="0"/>
        <w:autoSpaceDN w:val="0"/>
        <w:adjustRightInd w:val="0"/>
        <w:rPr>
          <w:rFonts w:eastAsia="Calibri"/>
        </w:rPr>
      </w:pPr>
      <w:r w:rsidRPr="005454C8">
        <w:rPr>
          <w:rFonts w:eastAsia="Calibri"/>
        </w:rPr>
        <w:t xml:space="preserve">Vartojimas kartu su skalsių alkaloidais (ergotaminu, dihidroergotaminu), kurie yra CYP3A4 substratai, nes </w:t>
      </w:r>
      <w:r w:rsidRPr="009A1B7F">
        <w:rPr>
          <w:rFonts w:eastAsia="Calibri"/>
          <w:szCs w:val="22"/>
          <w:lang w:eastAsia="en-US"/>
        </w:rPr>
        <w:t xml:space="preserve">kraujo </w:t>
      </w:r>
      <w:r w:rsidRPr="005454C8">
        <w:rPr>
          <w:rFonts w:eastAsia="Calibri"/>
        </w:rPr>
        <w:t>plazmoje padidėja šių vaistinių preparatų koncentracijos ir gali pasireikšti ergotizmas (žr. 4.5 skyrių).</w:t>
      </w:r>
    </w:p>
    <w:p w14:paraId="69EE988F" w14:textId="77777777" w:rsidR="00041CC8" w:rsidRPr="005454C8" w:rsidRDefault="00041CC8" w:rsidP="00041CC8">
      <w:pPr>
        <w:autoSpaceDE w:val="0"/>
        <w:autoSpaceDN w:val="0"/>
        <w:adjustRightInd w:val="0"/>
        <w:rPr>
          <w:rFonts w:eastAsia="Calibri"/>
        </w:rPr>
      </w:pPr>
    </w:p>
    <w:p w14:paraId="015FA089" w14:textId="77777777" w:rsidR="00041CC8" w:rsidRPr="005454C8" w:rsidRDefault="00041CC8" w:rsidP="00041CC8">
      <w:pPr>
        <w:autoSpaceDE w:val="0"/>
        <w:autoSpaceDN w:val="0"/>
        <w:adjustRightInd w:val="0"/>
        <w:rPr>
          <w:rFonts w:eastAsia="Calibri"/>
        </w:rPr>
      </w:pPr>
      <w:r w:rsidRPr="005454C8">
        <w:rPr>
          <w:rFonts w:eastAsia="Calibri"/>
        </w:rPr>
        <w:t xml:space="preserve">Vartojimas kartu su sirolimuzu, nes vorikonazolas reikšmingai padidina sirolimuzo koncentracijas </w:t>
      </w:r>
      <w:r w:rsidRPr="009A1B7F">
        <w:rPr>
          <w:rFonts w:eastAsia="Calibri"/>
          <w:szCs w:val="22"/>
          <w:lang w:eastAsia="en-US"/>
        </w:rPr>
        <w:t xml:space="preserve">kraujo </w:t>
      </w:r>
      <w:r w:rsidRPr="005454C8">
        <w:rPr>
          <w:rFonts w:eastAsia="Calibri"/>
        </w:rPr>
        <w:t>plazmoje (žr. 4.5 skyrių).</w:t>
      </w:r>
    </w:p>
    <w:p w14:paraId="4C9E618A" w14:textId="77777777" w:rsidR="00041CC8" w:rsidRPr="005454C8" w:rsidRDefault="00041CC8" w:rsidP="00041CC8">
      <w:pPr>
        <w:autoSpaceDE w:val="0"/>
        <w:autoSpaceDN w:val="0"/>
        <w:adjustRightInd w:val="0"/>
        <w:rPr>
          <w:rFonts w:eastAsia="Calibri"/>
        </w:rPr>
      </w:pPr>
    </w:p>
    <w:p w14:paraId="7310C6B2" w14:textId="77777777" w:rsidR="00041CC8" w:rsidRDefault="00041CC8" w:rsidP="00041CC8">
      <w:pPr>
        <w:autoSpaceDE w:val="0"/>
        <w:autoSpaceDN w:val="0"/>
        <w:adjustRightInd w:val="0"/>
        <w:rPr>
          <w:rFonts w:eastAsia="Calibri"/>
        </w:rPr>
      </w:pPr>
      <w:bookmarkStart w:id="5" w:name="_Hlk87626311"/>
      <w:r w:rsidRPr="00E23A5E">
        <w:rPr>
          <w:rFonts w:eastAsia="Calibri"/>
        </w:rPr>
        <w:t>Vorikonazolo vartojimas kartu su naloksegolu (CYP3A4 substratu), nes dėl padidėjusios naloksegolo</w:t>
      </w:r>
      <w:r>
        <w:rPr>
          <w:rFonts w:eastAsia="Calibri"/>
        </w:rPr>
        <w:t xml:space="preserve"> </w:t>
      </w:r>
      <w:r w:rsidRPr="00E23A5E">
        <w:rPr>
          <w:rFonts w:eastAsia="Calibri"/>
        </w:rPr>
        <w:t>koncentracijos gali atsirasti opioidų abstinencijos simptomų (žr. 4.5 skyrių).</w:t>
      </w:r>
    </w:p>
    <w:p w14:paraId="65A37E9E" w14:textId="77777777" w:rsidR="00041CC8" w:rsidRPr="00E23A5E" w:rsidRDefault="00041CC8" w:rsidP="00041CC8">
      <w:pPr>
        <w:autoSpaceDE w:val="0"/>
        <w:autoSpaceDN w:val="0"/>
        <w:adjustRightInd w:val="0"/>
        <w:rPr>
          <w:rFonts w:eastAsia="Calibri"/>
        </w:rPr>
      </w:pPr>
    </w:p>
    <w:p w14:paraId="4C3D593A" w14:textId="77777777" w:rsidR="00041CC8" w:rsidRDefault="00041CC8" w:rsidP="00041CC8">
      <w:pPr>
        <w:autoSpaceDE w:val="0"/>
        <w:autoSpaceDN w:val="0"/>
        <w:adjustRightInd w:val="0"/>
        <w:rPr>
          <w:rFonts w:eastAsia="Calibri"/>
        </w:rPr>
      </w:pPr>
      <w:r w:rsidRPr="00E23A5E">
        <w:rPr>
          <w:rFonts w:eastAsia="Calibri"/>
        </w:rPr>
        <w:t>Vorikonazolo vartojimas kartu su tolvaptanu, nes stiprūs CYP3A4 inhibitoriai, tokie kaip</w:t>
      </w:r>
      <w:r>
        <w:rPr>
          <w:rFonts w:eastAsia="Calibri"/>
        </w:rPr>
        <w:t xml:space="preserve"> </w:t>
      </w:r>
      <w:r w:rsidRPr="00E23A5E">
        <w:rPr>
          <w:rFonts w:eastAsia="Calibri"/>
        </w:rPr>
        <w:t>vorikonazolas, reikšmingai padidina tolvaptano koncentraciją plazmoje (žr. 4.5 skyrių).</w:t>
      </w:r>
    </w:p>
    <w:p w14:paraId="6894DA23" w14:textId="77777777" w:rsidR="00041CC8" w:rsidRPr="00E23A5E" w:rsidRDefault="00041CC8" w:rsidP="00041CC8">
      <w:pPr>
        <w:autoSpaceDE w:val="0"/>
        <w:autoSpaceDN w:val="0"/>
        <w:adjustRightInd w:val="0"/>
        <w:rPr>
          <w:rFonts w:eastAsia="Calibri"/>
        </w:rPr>
      </w:pPr>
    </w:p>
    <w:p w14:paraId="31816947" w14:textId="77777777" w:rsidR="00041CC8" w:rsidRDefault="00041CC8" w:rsidP="00041CC8">
      <w:pPr>
        <w:autoSpaceDE w:val="0"/>
        <w:autoSpaceDN w:val="0"/>
        <w:adjustRightInd w:val="0"/>
        <w:rPr>
          <w:rFonts w:eastAsia="Calibri"/>
        </w:rPr>
      </w:pPr>
      <w:r w:rsidRPr="00E23A5E">
        <w:rPr>
          <w:rFonts w:eastAsia="Calibri"/>
        </w:rPr>
        <w:t>Vorikonazolo vartojimas kartu su lurazidonu, nes reikšmingai padidėjus lurazidono ekspozicijai gali</w:t>
      </w:r>
      <w:r>
        <w:rPr>
          <w:rFonts w:eastAsia="Calibri"/>
        </w:rPr>
        <w:t xml:space="preserve"> </w:t>
      </w:r>
      <w:r w:rsidRPr="00E23A5E">
        <w:rPr>
          <w:rFonts w:eastAsia="Calibri"/>
        </w:rPr>
        <w:t>atsirasti sunkių nepageidaujamų reakcijų (žr. 4.5 skyrių).</w:t>
      </w:r>
    </w:p>
    <w:p w14:paraId="4CB0863C" w14:textId="77777777" w:rsidR="00041CC8" w:rsidRDefault="00041CC8" w:rsidP="00041CC8">
      <w:pPr>
        <w:autoSpaceDE w:val="0"/>
        <w:autoSpaceDN w:val="0"/>
        <w:adjustRightInd w:val="0"/>
        <w:rPr>
          <w:rFonts w:eastAsia="Calibri"/>
        </w:rPr>
      </w:pPr>
    </w:p>
    <w:p w14:paraId="2B1A838A" w14:textId="77777777" w:rsidR="00041CC8" w:rsidRPr="005454C8" w:rsidRDefault="00041CC8" w:rsidP="00041CC8">
      <w:pPr>
        <w:autoSpaceDE w:val="0"/>
        <w:autoSpaceDN w:val="0"/>
        <w:adjustRightInd w:val="0"/>
        <w:rPr>
          <w:rFonts w:eastAsia="Calibri"/>
        </w:rPr>
      </w:pPr>
      <w:r w:rsidRPr="000D1EC8">
        <w:rPr>
          <w:rFonts w:eastAsia="Calibri"/>
        </w:rPr>
        <w:t>Vartojimas kartu su venetoklaksu pradedant gydymą venetoklaksu bei dozės titravimo fazės metu,</w:t>
      </w:r>
      <w:r>
        <w:rPr>
          <w:rFonts w:eastAsia="Calibri"/>
        </w:rPr>
        <w:t xml:space="preserve"> </w:t>
      </w:r>
      <w:r w:rsidRPr="000D1EC8">
        <w:rPr>
          <w:rFonts w:eastAsia="Calibri"/>
        </w:rPr>
        <w:t>kadangi vorikonazolas gali reikšmingai didinti venetoklakso koncentraciją plazmoje bei didinti naviko</w:t>
      </w:r>
      <w:r>
        <w:rPr>
          <w:rFonts w:eastAsia="Calibri"/>
        </w:rPr>
        <w:t xml:space="preserve"> </w:t>
      </w:r>
      <w:r w:rsidRPr="000D1EC8">
        <w:rPr>
          <w:rFonts w:eastAsia="Calibri"/>
        </w:rPr>
        <w:t>lizės sindromo riziką (žr. 4.5 skyrių).</w:t>
      </w:r>
    </w:p>
    <w:bookmarkEnd w:id="5"/>
    <w:p w14:paraId="33351382" w14:textId="77777777" w:rsidR="00041CC8" w:rsidRPr="005454C8" w:rsidRDefault="00041CC8" w:rsidP="00041CC8">
      <w:pPr>
        <w:keepNext/>
        <w:spacing w:before="240" w:after="60"/>
        <w:ind w:left="567" w:hanging="567"/>
        <w:outlineLvl w:val="3"/>
        <w:rPr>
          <w:b/>
        </w:rPr>
      </w:pPr>
      <w:r w:rsidRPr="005454C8">
        <w:rPr>
          <w:b/>
        </w:rPr>
        <w:t>4.4</w:t>
      </w:r>
      <w:r w:rsidRPr="005454C8">
        <w:rPr>
          <w:b/>
        </w:rPr>
        <w:tab/>
        <w:t>Specialūs įspėjimai ir atsargumo priemonės</w:t>
      </w:r>
    </w:p>
    <w:p w14:paraId="163A3BEB" w14:textId="77777777" w:rsidR="00041CC8" w:rsidRPr="005454C8" w:rsidRDefault="00041CC8" w:rsidP="00041CC8">
      <w:pPr>
        <w:autoSpaceDE w:val="0"/>
        <w:autoSpaceDN w:val="0"/>
        <w:adjustRightInd w:val="0"/>
        <w:rPr>
          <w:rFonts w:eastAsia="Calibri"/>
        </w:rPr>
      </w:pPr>
    </w:p>
    <w:p w14:paraId="53196A1B" w14:textId="77777777" w:rsidR="00041CC8" w:rsidRPr="005454C8" w:rsidRDefault="00041CC8" w:rsidP="00041CC8">
      <w:pPr>
        <w:autoSpaceDE w:val="0"/>
        <w:autoSpaceDN w:val="0"/>
        <w:adjustRightInd w:val="0"/>
        <w:rPr>
          <w:rFonts w:eastAsia="Calibri"/>
          <w:u w:val="single"/>
        </w:rPr>
      </w:pPr>
      <w:r w:rsidRPr="005454C8">
        <w:rPr>
          <w:rFonts w:eastAsia="Calibri"/>
          <w:u w:val="single"/>
        </w:rPr>
        <w:t>Padidėjęs jautrumas</w:t>
      </w:r>
    </w:p>
    <w:p w14:paraId="11086F71" w14:textId="77777777" w:rsidR="00041CC8" w:rsidRPr="005454C8" w:rsidRDefault="00041CC8" w:rsidP="00041CC8">
      <w:pPr>
        <w:autoSpaceDE w:val="0"/>
        <w:autoSpaceDN w:val="0"/>
        <w:adjustRightInd w:val="0"/>
        <w:rPr>
          <w:rFonts w:eastAsia="Calibri"/>
        </w:rPr>
      </w:pPr>
      <w:r w:rsidRPr="005454C8">
        <w:rPr>
          <w:rFonts w:eastAsia="Calibri"/>
        </w:rPr>
        <w:t>Gydytojas atsargiai turi skirti vorikonazolo ligoniui, kurio jautrumas kitiems azolo dariniams yra padidėjęs (žr. 4.8 skyrių).</w:t>
      </w:r>
    </w:p>
    <w:p w14:paraId="0BA80F88" w14:textId="77777777" w:rsidR="00041CC8" w:rsidRPr="005454C8" w:rsidRDefault="00041CC8" w:rsidP="00041CC8">
      <w:pPr>
        <w:autoSpaceDE w:val="0"/>
        <w:autoSpaceDN w:val="0"/>
        <w:adjustRightInd w:val="0"/>
        <w:rPr>
          <w:rFonts w:eastAsia="Calibri"/>
        </w:rPr>
      </w:pPr>
    </w:p>
    <w:p w14:paraId="496880D7" w14:textId="77777777" w:rsidR="00041CC8" w:rsidRPr="005454C8" w:rsidRDefault="00041CC8" w:rsidP="00041CC8">
      <w:pPr>
        <w:autoSpaceDE w:val="0"/>
        <w:autoSpaceDN w:val="0"/>
        <w:adjustRightInd w:val="0"/>
        <w:rPr>
          <w:rFonts w:eastAsia="Calibri"/>
          <w:u w:val="single"/>
        </w:rPr>
      </w:pPr>
      <w:r w:rsidRPr="005454C8">
        <w:rPr>
          <w:rFonts w:eastAsia="Calibri"/>
          <w:u w:val="single"/>
        </w:rPr>
        <w:t>Širdies ir kraujagyslių sistema</w:t>
      </w:r>
    </w:p>
    <w:p w14:paraId="492386EE" w14:textId="77777777" w:rsidR="00041CC8" w:rsidRPr="005454C8" w:rsidRDefault="00041CC8" w:rsidP="00041CC8">
      <w:pPr>
        <w:autoSpaceDE w:val="0"/>
        <w:autoSpaceDN w:val="0"/>
        <w:adjustRightInd w:val="0"/>
        <w:rPr>
          <w:rFonts w:eastAsia="Calibri"/>
        </w:rPr>
      </w:pPr>
      <w:r w:rsidRPr="005454C8">
        <w:rPr>
          <w:rFonts w:eastAsia="Calibri"/>
        </w:rPr>
        <w:t xml:space="preserve">Vorikonazolas buvo susijęs su QTc intervalo pailgėjimu. Buvo nustatyti reti </w:t>
      </w:r>
      <w:r w:rsidRPr="005454C8">
        <w:rPr>
          <w:rFonts w:eastAsia="TimesNewRoman,Italic"/>
          <w:i/>
        </w:rPr>
        <w:t xml:space="preserve">torsades de pointes </w:t>
      </w:r>
      <w:r w:rsidRPr="005454C8">
        <w:rPr>
          <w:rFonts w:eastAsia="Calibri"/>
        </w:rPr>
        <w:t>atvejai pacientams, vartojusiems vorikonazolą, kuriems buvo tokių rizikos veiksnių, kaip širdies ir kraujagyslių sistemai toksiškas chemoterapijos kursas, kardiomiopatija, hipokalemija ir kartu vartojami vaistiniai preparatai, kurie gali turėti įtakos. Vorikonazolas turi būti skiriamas atsargiai pacientams, kuriems yra širdies ritmo sutrikimo rizika, pavyzdžiui:</w:t>
      </w:r>
    </w:p>
    <w:p w14:paraId="72FC3598" w14:textId="77777777" w:rsidR="00041CC8" w:rsidRPr="005454C8" w:rsidRDefault="00041CC8" w:rsidP="00041CC8">
      <w:pPr>
        <w:autoSpaceDE w:val="0"/>
        <w:autoSpaceDN w:val="0"/>
        <w:adjustRightInd w:val="0"/>
        <w:rPr>
          <w:rFonts w:eastAsia="Calibri"/>
        </w:rPr>
      </w:pPr>
    </w:p>
    <w:p w14:paraId="50A0FFF4" w14:textId="77777777" w:rsidR="00041CC8" w:rsidRPr="005454C8" w:rsidRDefault="00041CC8" w:rsidP="00041CC8">
      <w:pPr>
        <w:numPr>
          <w:ilvl w:val="0"/>
          <w:numId w:val="17"/>
        </w:numPr>
        <w:autoSpaceDE w:val="0"/>
        <w:autoSpaceDN w:val="0"/>
        <w:adjustRightInd w:val="0"/>
        <w:ind w:left="567" w:hanging="567"/>
        <w:rPr>
          <w:rFonts w:eastAsia="Calibri"/>
        </w:rPr>
      </w:pPr>
      <w:r w:rsidRPr="005454C8">
        <w:rPr>
          <w:rFonts w:eastAsia="Calibri"/>
        </w:rPr>
        <w:t>įgimtas arba įgytas QTc intervalo pailgėjimas;</w:t>
      </w:r>
    </w:p>
    <w:p w14:paraId="4B8817AB" w14:textId="77777777" w:rsidR="00041CC8" w:rsidRPr="005454C8" w:rsidRDefault="00041CC8" w:rsidP="00041CC8">
      <w:pPr>
        <w:numPr>
          <w:ilvl w:val="0"/>
          <w:numId w:val="17"/>
        </w:numPr>
        <w:autoSpaceDE w:val="0"/>
        <w:autoSpaceDN w:val="0"/>
        <w:adjustRightInd w:val="0"/>
        <w:ind w:left="567" w:hanging="567"/>
        <w:rPr>
          <w:rFonts w:eastAsia="Calibri"/>
        </w:rPr>
      </w:pPr>
      <w:r w:rsidRPr="005454C8">
        <w:rPr>
          <w:rFonts w:eastAsia="Calibri"/>
        </w:rPr>
        <w:t>kardiomiopatija, ypač esant širdies nepakankamumui;</w:t>
      </w:r>
    </w:p>
    <w:p w14:paraId="3F00E7C4" w14:textId="77777777" w:rsidR="00041CC8" w:rsidRPr="005454C8" w:rsidRDefault="00041CC8" w:rsidP="00041CC8">
      <w:pPr>
        <w:numPr>
          <w:ilvl w:val="0"/>
          <w:numId w:val="17"/>
        </w:numPr>
        <w:autoSpaceDE w:val="0"/>
        <w:autoSpaceDN w:val="0"/>
        <w:adjustRightInd w:val="0"/>
        <w:ind w:left="567" w:hanging="567"/>
        <w:rPr>
          <w:rFonts w:eastAsia="Calibri"/>
        </w:rPr>
      </w:pPr>
      <w:r w:rsidRPr="005454C8">
        <w:rPr>
          <w:rFonts w:eastAsia="Calibri"/>
        </w:rPr>
        <w:t>sinusinė bradikardija;</w:t>
      </w:r>
    </w:p>
    <w:p w14:paraId="20C83295" w14:textId="77777777" w:rsidR="00041CC8" w:rsidRPr="005454C8" w:rsidRDefault="00041CC8" w:rsidP="00041CC8">
      <w:pPr>
        <w:numPr>
          <w:ilvl w:val="0"/>
          <w:numId w:val="17"/>
        </w:numPr>
        <w:autoSpaceDE w:val="0"/>
        <w:autoSpaceDN w:val="0"/>
        <w:adjustRightInd w:val="0"/>
        <w:ind w:left="567" w:hanging="567"/>
        <w:rPr>
          <w:rFonts w:eastAsia="Calibri"/>
        </w:rPr>
      </w:pPr>
      <w:r w:rsidRPr="005454C8">
        <w:rPr>
          <w:rFonts w:eastAsia="Calibri"/>
        </w:rPr>
        <w:t>esamas simptominis širdies ritmo sutrikimas;</w:t>
      </w:r>
    </w:p>
    <w:p w14:paraId="3B493294" w14:textId="77777777" w:rsidR="00041CC8" w:rsidRPr="005454C8" w:rsidRDefault="00041CC8" w:rsidP="00041CC8">
      <w:pPr>
        <w:numPr>
          <w:ilvl w:val="0"/>
          <w:numId w:val="17"/>
        </w:numPr>
        <w:autoSpaceDE w:val="0"/>
        <w:autoSpaceDN w:val="0"/>
        <w:adjustRightInd w:val="0"/>
        <w:ind w:left="567" w:hanging="567"/>
        <w:rPr>
          <w:rFonts w:eastAsia="Calibri"/>
        </w:rPr>
      </w:pPr>
      <w:r w:rsidRPr="005454C8">
        <w:rPr>
          <w:rFonts w:eastAsia="Calibri"/>
        </w:rPr>
        <w:t>kartu vartojami vaistiniai preparatai, kurie ilgina QTc intervalą. Reikia stebėti ir prireikus koreguoti elektrolitų sutrikimus (pvz., hipokalemiją, hipomagnezemiją ir hipokalcemiją) prieš pradedant ir vorikonazolo terapijos metu (žr. 4.2 skyrių). Buvo atliktas tyrimas su sveikais savanoriais, kurio metu tirtas vorikonazolo poveikis į QTc intervalą geriant vienkartines ir iki 4 kartų didesnes už įprastą vaistinio preparato paros dozes. Nei vieno iš tirtų žmonių intervalas nepasiekė kliniškai svarbios 500 ms reikšmės (žr. 5.1 skyrių).</w:t>
      </w:r>
    </w:p>
    <w:p w14:paraId="0226374E" w14:textId="77777777" w:rsidR="00041CC8" w:rsidRPr="005454C8" w:rsidRDefault="00041CC8" w:rsidP="00041CC8">
      <w:pPr>
        <w:rPr>
          <w:rFonts w:eastAsia="Calibri"/>
        </w:rPr>
      </w:pPr>
    </w:p>
    <w:p w14:paraId="0F244F28" w14:textId="77777777" w:rsidR="00041CC8" w:rsidRPr="005454C8" w:rsidRDefault="00041CC8" w:rsidP="00041CC8">
      <w:pPr>
        <w:autoSpaceDE w:val="0"/>
        <w:autoSpaceDN w:val="0"/>
        <w:adjustRightInd w:val="0"/>
        <w:rPr>
          <w:rFonts w:eastAsia="Calibri"/>
          <w:u w:val="single"/>
        </w:rPr>
      </w:pPr>
      <w:r w:rsidRPr="005454C8">
        <w:rPr>
          <w:rFonts w:eastAsia="Calibri"/>
          <w:u w:val="single"/>
        </w:rPr>
        <w:t>Toksinis poveikis kepenims</w:t>
      </w:r>
    </w:p>
    <w:p w14:paraId="7EFD5E43" w14:textId="77777777" w:rsidR="00041CC8" w:rsidRPr="005454C8" w:rsidRDefault="00041CC8" w:rsidP="00041CC8">
      <w:pPr>
        <w:autoSpaceDE w:val="0"/>
        <w:autoSpaceDN w:val="0"/>
        <w:adjustRightInd w:val="0"/>
        <w:rPr>
          <w:rFonts w:eastAsia="Calibri"/>
        </w:rPr>
      </w:pPr>
      <w:r w:rsidRPr="005454C8">
        <w:rPr>
          <w:rFonts w:eastAsia="Calibri"/>
        </w:rPr>
        <w:t xml:space="preserve">Klinikinių tyrimų metu nustatyta, kad gydymo vorikonazolu metu gali pasireikšti sunkus kepenų funkcijos pažeidimas: hepatitas, </w:t>
      </w:r>
      <w:r w:rsidRPr="009A1B7F">
        <w:rPr>
          <w:rFonts w:eastAsia="Calibri"/>
          <w:szCs w:val="22"/>
          <w:lang w:eastAsia="en-US"/>
        </w:rPr>
        <w:t>cholestazė</w:t>
      </w:r>
      <w:r w:rsidRPr="005454C8">
        <w:rPr>
          <w:rFonts w:eastAsia="Calibri"/>
        </w:rPr>
        <w:t xml:space="preserve"> ir žaibinis kepenų </w:t>
      </w:r>
      <w:r w:rsidRPr="009A1B7F">
        <w:rPr>
          <w:rFonts w:eastAsia="Calibri"/>
          <w:szCs w:val="22"/>
          <w:lang w:eastAsia="en-US"/>
        </w:rPr>
        <w:t>nepakankamumas</w:t>
      </w:r>
      <w:r w:rsidRPr="005454C8">
        <w:rPr>
          <w:rFonts w:eastAsia="Calibri"/>
        </w:rPr>
        <w:t xml:space="preserve">, įskaitant mirtiną. Kepenų reakcija daugiausia pasireiškia pacientams, kurie serga sunkiomis ligomis, ypač piktybine kraujo liga. Trumpalaikis kepenų funkcijos sutrikimas, įskaitant hepatitą ir geltą, gali atsirasti ir tiems </w:t>
      </w:r>
      <w:r w:rsidRPr="005454C8">
        <w:rPr>
          <w:rFonts w:eastAsia="Calibri"/>
        </w:rPr>
        <w:lastRenderedPageBreak/>
        <w:t xml:space="preserve">ligoniams, kuriems rizikos faktorių nenustatyta. Paprastai kepenų funkcijos sutrikimas praeina, nutraukus </w:t>
      </w:r>
      <w:r w:rsidRPr="009A1B7F">
        <w:rPr>
          <w:rFonts w:eastAsia="Calibri"/>
          <w:szCs w:val="22"/>
          <w:lang w:eastAsia="en-US"/>
        </w:rPr>
        <w:t xml:space="preserve">vaistinio </w:t>
      </w:r>
      <w:r w:rsidRPr="005454C8">
        <w:rPr>
          <w:rFonts w:eastAsia="Calibri"/>
        </w:rPr>
        <w:t>preparato vartojimą (žr. 4.8 skyrių).</w:t>
      </w:r>
    </w:p>
    <w:p w14:paraId="5916320A" w14:textId="77777777" w:rsidR="00041CC8" w:rsidRPr="005454C8" w:rsidRDefault="00041CC8" w:rsidP="00041CC8">
      <w:pPr>
        <w:autoSpaceDE w:val="0"/>
        <w:autoSpaceDN w:val="0"/>
        <w:adjustRightInd w:val="0"/>
        <w:rPr>
          <w:rFonts w:eastAsia="Calibri"/>
        </w:rPr>
      </w:pPr>
    </w:p>
    <w:p w14:paraId="438A93A8" w14:textId="77777777" w:rsidR="00041CC8" w:rsidRPr="005454C8" w:rsidRDefault="00041CC8" w:rsidP="00041CC8">
      <w:pPr>
        <w:autoSpaceDE w:val="0"/>
        <w:autoSpaceDN w:val="0"/>
        <w:adjustRightInd w:val="0"/>
        <w:rPr>
          <w:rFonts w:eastAsia="Calibri"/>
          <w:u w:val="single"/>
        </w:rPr>
      </w:pPr>
      <w:r w:rsidRPr="005454C8">
        <w:rPr>
          <w:rFonts w:eastAsia="Calibri"/>
          <w:u w:val="single"/>
        </w:rPr>
        <w:t>Kepenų funkcijos stebėjimas</w:t>
      </w:r>
    </w:p>
    <w:p w14:paraId="364F6EB2" w14:textId="77777777" w:rsidR="00041CC8" w:rsidRPr="005454C8" w:rsidRDefault="00041CC8" w:rsidP="00041CC8">
      <w:pPr>
        <w:autoSpaceDE w:val="0"/>
        <w:autoSpaceDN w:val="0"/>
        <w:adjustRightInd w:val="0"/>
        <w:rPr>
          <w:rFonts w:eastAsia="Calibri"/>
        </w:rPr>
      </w:pPr>
      <w:r w:rsidRPr="005454C8">
        <w:rPr>
          <w:rFonts w:eastAsia="Calibri"/>
        </w:rPr>
        <w:t xml:space="preserve">Vorikonazolu gydomus pacientus reikia atidžiai stebėti, ar nepasireiškia toksinis poveikis kepenims. Pradėjus gydyti vorikonazolu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 </w:t>
      </w:r>
    </w:p>
    <w:p w14:paraId="20567443" w14:textId="77777777" w:rsidR="00041CC8" w:rsidRPr="005454C8" w:rsidRDefault="00041CC8" w:rsidP="00041CC8">
      <w:pPr>
        <w:autoSpaceDE w:val="0"/>
        <w:autoSpaceDN w:val="0"/>
        <w:adjustRightInd w:val="0"/>
        <w:rPr>
          <w:rFonts w:eastAsia="Calibri"/>
        </w:rPr>
      </w:pPr>
    </w:p>
    <w:p w14:paraId="2FB700C3" w14:textId="77777777" w:rsidR="00041CC8" w:rsidRPr="005454C8" w:rsidRDefault="00041CC8" w:rsidP="00041CC8">
      <w:pPr>
        <w:autoSpaceDE w:val="0"/>
        <w:autoSpaceDN w:val="0"/>
        <w:adjustRightInd w:val="0"/>
        <w:rPr>
          <w:rFonts w:eastAsia="Calibri"/>
        </w:rPr>
      </w:pPr>
      <w:r w:rsidRPr="005454C8">
        <w:rPr>
          <w:rFonts w:eastAsia="Calibri"/>
        </w:rPr>
        <w:t>Jei kepenų funkcijos tyrimų rodmenys gerokai padidėję, gydymą vorikonazolu reikia nutraukti, nebent įvertinus gydymo riziką ir naudą nusprendžiama gydyti toliau. Reikia stebėti tiek vaikų, tiek suaugusiųjų kepenų funkciją.</w:t>
      </w:r>
    </w:p>
    <w:p w14:paraId="1AA50B30" w14:textId="77777777" w:rsidR="00041CC8" w:rsidRPr="005454C8" w:rsidRDefault="00041CC8" w:rsidP="00041CC8"/>
    <w:p w14:paraId="48AAFBD1" w14:textId="77777777" w:rsidR="00041CC8" w:rsidRPr="009A1B7F" w:rsidRDefault="00041CC8" w:rsidP="00041CC8">
      <w:pPr>
        <w:rPr>
          <w:szCs w:val="22"/>
          <w:u w:val="single"/>
          <w:lang w:eastAsia="en-US"/>
        </w:rPr>
      </w:pPr>
      <w:r w:rsidRPr="009A1B7F">
        <w:rPr>
          <w:szCs w:val="22"/>
          <w:u w:val="single"/>
          <w:lang w:eastAsia="en-US"/>
        </w:rPr>
        <w:t>Sunkios nepageidaujamos dermatologinės reakcijos</w:t>
      </w:r>
    </w:p>
    <w:p w14:paraId="628B506C" w14:textId="77777777" w:rsidR="00041CC8" w:rsidRPr="009A1B7F" w:rsidRDefault="00041CC8" w:rsidP="00041CC8">
      <w:pPr>
        <w:numPr>
          <w:ilvl w:val="0"/>
          <w:numId w:val="19"/>
        </w:numPr>
        <w:ind w:left="567" w:hanging="567"/>
        <w:rPr>
          <w:szCs w:val="22"/>
          <w:u w:val="single"/>
          <w:lang w:eastAsia="en-US"/>
        </w:rPr>
      </w:pPr>
      <w:r w:rsidRPr="009A1B7F">
        <w:rPr>
          <w:szCs w:val="22"/>
          <w:u w:val="single"/>
          <w:lang w:eastAsia="en-US"/>
        </w:rPr>
        <w:t>Fototoksiškumas</w:t>
      </w:r>
    </w:p>
    <w:p w14:paraId="159934BA" w14:textId="624A11ED" w:rsidR="00041CC8" w:rsidRPr="009A1B7F" w:rsidRDefault="00041CC8" w:rsidP="00A54F44">
      <w:pPr>
        <w:rPr>
          <w:szCs w:val="22"/>
          <w:lang w:eastAsia="en-US"/>
        </w:rPr>
      </w:pPr>
      <w:r w:rsidRPr="009A1B7F">
        <w:rPr>
          <w:szCs w:val="22"/>
          <w:lang w:eastAsia="en-US"/>
        </w:rPr>
        <w:t>Be to, vorikonazolas buvo susijęs su fototoksiniu poveikiu, įskaitant tokias reakcijas, kaip strazdanos, šlakai (</w:t>
      </w:r>
      <w:r w:rsidRPr="009A1B7F">
        <w:rPr>
          <w:i/>
          <w:szCs w:val="22"/>
          <w:lang w:eastAsia="en-US"/>
        </w:rPr>
        <w:t>lentigo</w:t>
      </w:r>
      <w:r w:rsidRPr="009A1B7F">
        <w:rPr>
          <w:szCs w:val="22"/>
          <w:lang w:eastAsia="en-US"/>
        </w:rPr>
        <w:t>), spindulinė (aktininė) keratozė (</w:t>
      </w:r>
      <w:r w:rsidRPr="009A1B7F">
        <w:rPr>
          <w:i/>
          <w:szCs w:val="22"/>
          <w:lang w:eastAsia="en-US"/>
        </w:rPr>
        <w:t>actinic keratosis</w:t>
      </w:r>
      <w:r w:rsidRPr="009A1B7F">
        <w:rPr>
          <w:szCs w:val="22"/>
          <w:lang w:eastAsia="en-US"/>
        </w:rPr>
        <w:t xml:space="preserve">), ir pseudoporfirija. </w:t>
      </w:r>
      <w:r w:rsidR="00A54F44" w:rsidRPr="00A54F44">
        <w:rPr>
          <w:szCs w:val="22"/>
          <w:lang w:eastAsia="en-US"/>
        </w:rPr>
        <w:t>Yra padid</w:t>
      </w:r>
      <w:r w:rsidR="00A54F44">
        <w:rPr>
          <w:szCs w:val="22"/>
          <w:lang w:eastAsia="en-US"/>
        </w:rPr>
        <w:t>ė</w:t>
      </w:r>
      <w:r w:rsidR="00A54F44" w:rsidRPr="00A54F44">
        <w:rPr>
          <w:szCs w:val="22"/>
          <w:lang w:eastAsia="en-US"/>
        </w:rPr>
        <w:t>jusi odos reakcij</w:t>
      </w:r>
      <w:r w:rsidR="00A54F44">
        <w:rPr>
          <w:szCs w:val="22"/>
          <w:lang w:eastAsia="en-US"/>
        </w:rPr>
        <w:t>ų</w:t>
      </w:r>
      <w:r w:rsidR="00A54F44" w:rsidRPr="00A54F44">
        <w:rPr>
          <w:szCs w:val="22"/>
          <w:lang w:eastAsia="en-US"/>
        </w:rPr>
        <w:t xml:space="preserve"> / toksiškumo</w:t>
      </w:r>
      <w:r w:rsidR="00A54F44">
        <w:rPr>
          <w:szCs w:val="22"/>
          <w:lang w:eastAsia="en-US"/>
        </w:rPr>
        <w:t xml:space="preserve"> </w:t>
      </w:r>
      <w:r w:rsidR="00A54F44" w:rsidRPr="00A54F44">
        <w:rPr>
          <w:szCs w:val="22"/>
          <w:lang w:eastAsia="en-US"/>
        </w:rPr>
        <w:t>rizika, kai kartu vartojamos fotosensibilizuojan</w:t>
      </w:r>
      <w:r w:rsidR="00A54F44">
        <w:rPr>
          <w:szCs w:val="22"/>
          <w:lang w:eastAsia="en-US"/>
        </w:rPr>
        <w:t>č</w:t>
      </w:r>
      <w:r w:rsidR="00A54F44" w:rsidRPr="00A54F44">
        <w:rPr>
          <w:szCs w:val="22"/>
          <w:lang w:eastAsia="en-US"/>
        </w:rPr>
        <w:t>ios medžiagos (pvz.,</w:t>
      </w:r>
      <w:r w:rsidR="00A54F44">
        <w:rPr>
          <w:szCs w:val="22"/>
          <w:lang w:eastAsia="en-US"/>
        </w:rPr>
        <w:t xml:space="preserve"> </w:t>
      </w:r>
      <w:r w:rsidR="00A54F44" w:rsidRPr="00A54F44">
        <w:rPr>
          <w:szCs w:val="22"/>
          <w:lang w:eastAsia="en-US"/>
        </w:rPr>
        <w:t>metotreksatas ir kt.).</w:t>
      </w:r>
      <w:r w:rsidR="00A54F44">
        <w:rPr>
          <w:szCs w:val="22"/>
          <w:lang w:eastAsia="en-US"/>
        </w:rPr>
        <w:t xml:space="preserve"> </w:t>
      </w:r>
      <w:r w:rsidRPr="009A1B7F">
        <w:rPr>
          <w:szCs w:val="22"/>
          <w:lang w:eastAsia="en-US"/>
        </w:rPr>
        <w:t>Rekomenduojama, kad visi pacientai, įskaitant vaikus, vengtų tiesioginių saulės spindulių ekspozicijos gydymo vorikonazolu laikotarpiu ir naudotų apsaugos priemones, pavyzdžiui: apsauginius drabužius ir preparatus nuo saulės nudegimo, kurių apsaugos nuo saulės faktorius (ANSF) yra didelis.</w:t>
      </w:r>
    </w:p>
    <w:p w14:paraId="31886FDB" w14:textId="77777777" w:rsidR="00041CC8" w:rsidRPr="009A1B7F" w:rsidRDefault="00041CC8" w:rsidP="00041CC8">
      <w:pPr>
        <w:numPr>
          <w:ilvl w:val="0"/>
          <w:numId w:val="19"/>
        </w:numPr>
        <w:ind w:left="567" w:hanging="567"/>
        <w:rPr>
          <w:szCs w:val="22"/>
          <w:u w:val="single"/>
          <w:lang w:eastAsia="en-US"/>
        </w:rPr>
      </w:pPr>
      <w:r w:rsidRPr="009A1B7F">
        <w:rPr>
          <w:szCs w:val="22"/>
          <w:u w:val="single"/>
          <w:lang w:eastAsia="en-US"/>
        </w:rPr>
        <w:t>Odos plokščiųjų ląstelių karcinoma (PLK)</w:t>
      </w:r>
    </w:p>
    <w:p w14:paraId="5A37E572" w14:textId="77777777" w:rsidR="00041CC8" w:rsidRPr="009A1B7F" w:rsidRDefault="00041CC8" w:rsidP="00041CC8">
      <w:pPr>
        <w:rPr>
          <w:szCs w:val="22"/>
          <w:lang w:eastAsia="en-US"/>
        </w:rPr>
      </w:pPr>
      <w:r w:rsidRPr="00C426C7">
        <w:rPr>
          <w:szCs w:val="22"/>
          <w:lang w:eastAsia="en-US"/>
        </w:rPr>
        <w:t>Buvo pranešta, kad pacientams, daliai kurių anksčiau buvo pasireiškusios fototoksinės reakcijos, buvo</w:t>
      </w:r>
      <w:r>
        <w:rPr>
          <w:szCs w:val="22"/>
          <w:lang w:eastAsia="en-US"/>
        </w:rPr>
        <w:t xml:space="preserve"> </w:t>
      </w:r>
      <w:r w:rsidRPr="00C426C7">
        <w:rPr>
          <w:szCs w:val="22"/>
          <w:lang w:eastAsia="en-US"/>
        </w:rPr>
        <w:t xml:space="preserve">diagnozuotas odos plokščiųjų ląstelių vėžys (įskaitant odos PLV </w:t>
      </w:r>
      <w:r w:rsidRPr="00C426C7">
        <w:rPr>
          <w:i/>
          <w:iCs/>
          <w:szCs w:val="22"/>
          <w:lang w:eastAsia="en-US"/>
        </w:rPr>
        <w:t>in situ</w:t>
      </w:r>
      <w:r w:rsidRPr="00C426C7">
        <w:rPr>
          <w:szCs w:val="22"/>
          <w:lang w:eastAsia="en-US"/>
        </w:rPr>
        <w:t xml:space="preserve"> arba Boveno (</w:t>
      </w:r>
      <w:r w:rsidRPr="00C426C7">
        <w:rPr>
          <w:i/>
          <w:iCs/>
          <w:szCs w:val="22"/>
          <w:lang w:eastAsia="en-US"/>
        </w:rPr>
        <w:t>Bowen</w:t>
      </w:r>
      <w:r w:rsidRPr="00C426C7">
        <w:rPr>
          <w:szCs w:val="22"/>
          <w:lang w:eastAsia="en-US"/>
        </w:rPr>
        <w:t>)</w:t>
      </w:r>
      <w:r>
        <w:rPr>
          <w:szCs w:val="22"/>
          <w:lang w:eastAsia="en-US"/>
        </w:rPr>
        <w:t xml:space="preserve"> </w:t>
      </w:r>
      <w:r w:rsidRPr="00C426C7">
        <w:rPr>
          <w:szCs w:val="22"/>
          <w:lang w:eastAsia="en-US"/>
        </w:rPr>
        <w:t>ligą).</w:t>
      </w:r>
      <w:r w:rsidRPr="009A1B7F">
        <w:rPr>
          <w:szCs w:val="22"/>
          <w:lang w:eastAsia="en-US"/>
        </w:rPr>
        <w:t>Jeigu pasireiškia fototoksinės reakcijos, reikia konsultuotis su įvairių sričių specialistais, apsvarstyti vorikonazolo vartojimo nutraukimo bei alternatyvių priešgrybelinių vaistinių preparatų vartojimo galimybę ir pacientą nukreipti pas dermatologą. Jeigu vorikonazolo vartojimas tęsiamas, turi būti atliekamas sisteminis ir reguliarus dermatologinis įvertinimas, nes tik taip galima anksti nustatyti ir gydyti ikivėžinius pažeidimus. Jeigu yra nustatyta ikivėžinių odos pažeidimų arba odos plokščiųjų ląstelių karcinoma, vorikonazolo vartojimas turi būti nutrauktas (žr. toliau skyrių „Ilgalaikis gydymas“).</w:t>
      </w:r>
    </w:p>
    <w:p w14:paraId="2D6A2BCB" w14:textId="77777777" w:rsidR="00041CC8" w:rsidRPr="009A1B7F" w:rsidRDefault="00041CC8" w:rsidP="00041CC8">
      <w:pPr>
        <w:numPr>
          <w:ilvl w:val="0"/>
          <w:numId w:val="19"/>
        </w:numPr>
        <w:ind w:left="567" w:hanging="567"/>
        <w:rPr>
          <w:szCs w:val="22"/>
          <w:u w:val="single"/>
          <w:lang w:eastAsia="en-US"/>
        </w:rPr>
      </w:pPr>
      <w:r w:rsidRPr="000D1EC8">
        <w:rPr>
          <w:szCs w:val="22"/>
          <w:u w:val="single"/>
          <w:lang w:eastAsia="en-US"/>
        </w:rPr>
        <w:t>Sunkios nepageidaujamos odos reakcijos</w:t>
      </w:r>
    </w:p>
    <w:p w14:paraId="5D1EDB5E" w14:textId="77777777" w:rsidR="00041CC8" w:rsidRPr="009A1B7F" w:rsidRDefault="00041CC8" w:rsidP="00041CC8">
      <w:pPr>
        <w:rPr>
          <w:szCs w:val="22"/>
          <w:lang w:eastAsia="en-US"/>
        </w:rPr>
      </w:pPr>
      <w:r w:rsidRPr="009A1B7F">
        <w:rPr>
          <w:szCs w:val="22"/>
          <w:lang w:eastAsia="en-US"/>
        </w:rPr>
        <w:t>Gauta pranešimų apie vartojant vorikonazolą pasireiškusias sunkias nepageidaujamas odos</w:t>
      </w:r>
      <w:r>
        <w:rPr>
          <w:szCs w:val="22"/>
          <w:lang w:eastAsia="en-US"/>
        </w:rPr>
        <w:t xml:space="preserve"> </w:t>
      </w:r>
      <w:r w:rsidRPr="009A1B7F">
        <w:rPr>
          <w:szCs w:val="22"/>
          <w:lang w:eastAsia="en-US"/>
        </w:rPr>
        <w:t xml:space="preserve">reakcijas (SNOR), </w:t>
      </w:r>
      <w:r>
        <w:rPr>
          <w:szCs w:val="22"/>
          <w:lang w:eastAsia="en-US"/>
        </w:rPr>
        <w:t>įskaitant</w:t>
      </w:r>
      <w:r w:rsidRPr="009A1B7F">
        <w:rPr>
          <w:szCs w:val="22"/>
          <w:lang w:eastAsia="en-US"/>
        </w:rPr>
        <w:t xml:space="preserve"> Stevens-Johnson </w:t>
      </w:r>
      <w:r>
        <w:rPr>
          <w:szCs w:val="22"/>
          <w:lang w:eastAsia="en-US"/>
        </w:rPr>
        <w:t xml:space="preserve">(Stivenso-Džonsono) </w:t>
      </w:r>
      <w:r w:rsidRPr="009A1B7F">
        <w:rPr>
          <w:szCs w:val="22"/>
          <w:lang w:eastAsia="en-US"/>
        </w:rPr>
        <w:t>sindrom</w:t>
      </w:r>
      <w:r>
        <w:rPr>
          <w:szCs w:val="22"/>
          <w:lang w:eastAsia="en-US"/>
        </w:rPr>
        <w:t>ą</w:t>
      </w:r>
      <w:r w:rsidRPr="009A1B7F">
        <w:rPr>
          <w:szCs w:val="22"/>
          <w:lang w:eastAsia="en-US"/>
        </w:rPr>
        <w:t>, toksin</w:t>
      </w:r>
      <w:r>
        <w:rPr>
          <w:szCs w:val="22"/>
          <w:lang w:eastAsia="en-US"/>
        </w:rPr>
        <w:t>ę</w:t>
      </w:r>
      <w:r w:rsidRPr="009A1B7F">
        <w:rPr>
          <w:szCs w:val="22"/>
          <w:lang w:eastAsia="en-US"/>
        </w:rPr>
        <w:t xml:space="preserve"> epidermio nekroliz</w:t>
      </w:r>
      <w:r>
        <w:rPr>
          <w:szCs w:val="22"/>
          <w:lang w:eastAsia="en-US"/>
        </w:rPr>
        <w:t xml:space="preserve">ę </w:t>
      </w:r>
      <w:r w:rsidRPr="009A1B7F">
        <w:rPr>
          <w:szCs w:val="22"/>
          <w:lang w:eastAsia="en-US"/>
        </w:rPr>
        <w:t>(TEN) ir reakcij</w:t>
      </w:r>
      <w:r>
        <w:rPr>
          <w:szCs w:val="22"/>
          <w:lang w:eastAsia="en-US"/>
        </w:rPr>
        <w:t>ą</w:t>
      </w:r>
      <w:r w:rsidRPr="009A1B7F">
        <w:rPr>
          <w:szCs w:val="22"/>
          <w:lang w:eastAsia="en-US"/>
        </w:rPr>
        <w:t xml:space="preserve"> </w:t>
      </w:r>
      <w:r>
        <w:rPr>
          <w:szCs w:val="22"/>
          <w:lang w:eastAsia="en-US"/>
        </w:rPr>
        <w:t xml:space="preserve">į vaistą </w:t>
      </w:r>
      <w:r w:rsidRPr="009A1B7F">
        <w:rPr>
          <w:szCs w:val="22"/>
          <w:lang w:eastAsia="en-US"/>
        </w:rPr>
        <w:t>su eozinofilija ir sisteminiais simptomais (</w:t>
      </w:r>
      <w:r w:rsidRPr="005A4FDE">
        <w:rPr>
          <w:i/>
          <w:szCs w:val="22"/>
          <w:lang w:eastAsia="en-US"/>
        </w:rPr>
        <w:t>angl.</w:t>
      </w:r>
      <w:r>
        <w:rPr>
          <w:szCs w:val="22"/>
          <w:lang w:eastAsia="en-US"/>
        </w:rPr>
        <w:t xml:space="preserve"> D</w:t>
      </w:r>
      <w:r w:rsidRPr="009A1B7F">
        <w:rPr>
          <w:szCs w:val="22"/>
          <w:lang w:eastAsia="en-US"/>
        </w:rPr>
        <w:t>RESS), kurios gali būti</w:t>
      </w:r>
      <w:r>
        <w:rPr>
          <w:szCs w:val="22"/>
          <w:lang w:eastAsia="en-US"/>
        </w:rPr>
        <w:t xml:space="preserve"> </w:t>
      </w:r>
      <w:r w:rsidRPr="009A1B7F">
        <w:rPr>
          <w:szCs w:val="22"/>
          <w:lang w:eastAsia="en-US"/>
        </w:rPr>
        <w:t>pavojingos gyvybei arba mirtinos. Jeigu pacientą išberia, jis turi būti atidžiai stebimas ir, jeigu pažeidimas progresuoja, turi būti nutrauktas vorikonazolo vartojimas.</w:t>
      </w:r>
    </w:p>
    <w:p w14:paraId="03D29013" w14:textId="77777777" w:rsidR="00041CC8" w:rsidRDefault="00041CC8" w:rsidP="00041CC8">
      <w:pPr>
        <w:rPr>
          <w:szCs w:val="22"/>
          <w:lang w:eastAsia="en-US"/>
        </w:rPr>
      </w:pPr>
    </w:p>
    <w:p w14:paraId="3FEDE419" w14:textId="77777777" w:rsidR="00041CC8" w:rsidRPr="00904C29" w:rsidRDefault="00041CC8" w:rsidP="00041CC8">
      <w:pPr>
        <w:rPr>
          <w:szCs w:val="22"/>
          <w:u w:val="single"/>
          <w:lang w:eastAsia="en-US"/>
        </w:rPr>
      </w:pPr>
      <w:r w:rsidRPr="00904C29">
        <w:rPr>
          <w:szCs w:val="22"/>
          <w:u w:val="single"/>
          <w:lang w:eastAsia="en-US"/>
        </w:rPr>
        <w:t>Su antinksčiais susiję reiškiniai</w:t>
      </w:r>
    </w:p>
    <w:p w14:paraId="24545997" w14:textId="77777777" w:rsidR="00041CC8" w:rsidRDefault="00041CC8" w:rsidP="00041CC8">
      <w:pPr>
        <w:rPr>
          <w:szCs w:val="22"/>
          <w:lang w:eastAsia="en-US"/>
        </w:rPr>
      </w:pPr>
      <w:bookmarkStart w:id="6" w:name="_Hlk87626297"/>
      <w:r w:rsidRPr="00075461">
        <w:rPr>
          <w:szCs w:val="22"/>
          <w:lang w:eastAsia="en-US"/>
        </w:rPr>
        <w:t>Gauta pranešimų apie grįžtamojo antinksčių nepakankamumo atvejus pacientams, vartojantiems</w:t>
      </w:r>
      <w:r>
        <w:rPr>
          <w:szCs w:val="22"/>
          <w:lang w:eastAsia="en-US"/>
        </w:rPr>
        <w:t xml:space="preserve"> </w:t>
      </w:r>
      <w:r w:rsidRPr="00075461">
        <w:rPr>
          <w:szCs w:val="22"/>
          <w:lang w:eastAsia="en-US"/>
        </w:rPr>
        <w:t>azolus, įskaitant vorikonazolą. Gauta pranešimų apie antinksčių nepakankamumą, išsivysčiusį</w:t>
      </w:r>
      <w:r>
        <w:rPr>
          <w:szCs w:val="22"/>
          <w:lang w:eastAsia="en-US"/>
        </w:rPr>
        <w:t xml:space="preserve"> </w:t>
      </w:r>
      <w:r w:rsidRPr="00075461">
        <w:rPr>
          <w:szCs w:val="22"/>
          <w:lang w:eastAsia="en-US"/>
        </w:rPr>
        <w:t>pacientams, vartojantiems azolus kartu su kortikosteroidais arba be jų. Pacientams, vartojantiems</w:t>
      </w:r>
      <w:r>
        <w:rPr>
          <w:szCs w:val="22"/>
          <w:lang w:eastAsia="en-US"/>
        </w:rPr>
        <w:t xml:space="preserve"> </w:t>
      </w:r>
      <w:r w:rsidRPr="00075461">
        <w:rPr>
          <w:szCs w:val="22"/>
          <w:lang w:eastAsia="en-US"/>
        </w:rPr>
        <w:t>azolus be kortikosteroidų, antinksčių nepakankamumas susijęs su tiesioginiu azolų sukeliamu</w:t>
      </w:r>
      <w:r>
        <w:rPr>
          <w:szCs w:val="22"/>
          <w:lang w:eastAsia="en-US"/>
        </w:rPr>
        <w:t xml:space="preserve"> </w:t>
      </w:r>
      <w:r w:rsidRPr="00075461">
        <w:rPr>
          <w:szCs w:val="22"/>
          <w:lang w:eastAsia="en-US"/>
        </w:rPr>
        <w:t>steroidogenezės slopinimu. Pacientams, vartojantiems kortikosteroidus, su vorikonazolu susijęs</w:t>
      </w:r>
      <w:r>
        <w:rPr>
          <w:szCs w:val="22"/>
          <w:lang w:eastAsia="en-US"/>
        </w:rPr>
        <w:t xml:space="preserve"> </w:t>
      </w:r>
      <w:r w:rsidRPr="00075461">
        <w:rPr>
          <w:szCs w:val="22"/>
          <w:lang w:eastAsia="en-US"/>
        </w:rPr>
        <w:t>CYP3A4 metabolizmo slopinimas gali sukelti kortikosteroidų perteklių ir slopinti antinksčius (žr.</w:t>
      </w:r>
      <w:r>
        <w:rPr>
          <w:szCs w:val="22"/>
          <w:lang w:eastAsia="en-US"/>
        </w:rPr>
        <w:t xml:space="preserve"> </w:t>
      </w:r>
      <w:r w:rsidRPr="00075461">
        <w:rPr>
          <w:szCs w:val="22"/>
          <w:lang w:eastAsia="en-US"/>
        </w:rPr>
        <w:t>4.5 skyrių). Pacientams, vorikonazolą vartojantiems kartu su kortikosteroidais, taip pat stebėtas</w:t>
      </w:r>
      <w:r>
        <w:rPr>
          <w:szCs w:val="22"/>
          <w:lang w:eastAsia="en-US"/>
        </w:rPr>
        <w:t xml:space="preserve"> </w:t>
      </w:r>
      <w:r w:rsidRPr="00075461">
        <w:rPr>
          <w:szCs w:val="22"/>
          <w:lang w:eastAsia="en-US"/>
        </w:rPr>
        <w:t>Kušingo (</w:t>
      </w:r>
      <w:r w:rsidRPr="00075461">
        <w:rPr>
          <w:i/>
          <w:iCs/>
          <w:szCs w:val="22"/>
          <w:lang w:eastAsia="en-US"/>
        </w:rPr>
        <w:t>Cushing</w:t>
      </w:r>
      <w:r w:rsidRPr="00075461">
        <w:rPr>
          <w:szCs w:val="22"/>
          <w:lang w:eastAsia="en-US"/>
        </w:rPr>
        <w:t>) sindromas, su arba be antinksčių nepakankamumo.</w:t>
      </w:r>
    </w:p>
    <w:p w14:paraId="52FDCCC5" w14:textId="77777777" w:rsidR="00041CC8" w:rsidRPr="00075461" w:rsidRDefault="00041CC8" w:rsidP="00041CC8">
      <w:pPr>
        <w:rPr>
          <w:szCs w:val="22"/>
          <w:lang w:eastAsia="en-US"/>
        </w:rPr>
      </w:pPr>
    </w:p>
    <w:p w14:paraId="6DA59661" w14:textId="77777777" w:rsidR="00041CC8" w:rsidRDefault="00041CC8" w:rsidP="00041CC8">
      <w:pPr>
        <w:rPr>
          <w:szCs w:val="22"/>
          <w:lang w:eastAsia="en-US"/>
        </w:rPr>
      </w:pPr>
      <w:r w:rsidRPr="00075461">
        <w:rPr>
          <w:szCs w:val="22"/>
          <w:lang w:eastAsia="en-US"/>
        </w:rPr>
        <w:t>Pacientus, kurie ilgą laiką gydomi vorikonazolu ir kortikosteroidais (įskaitant įkvepiamuosius</w:t>
      </w:r>
      <w:r>
        <w:rPr>
          <w:szCs w:val="22"/>
          <w:lang w:eastAsia="en-US"/>
        </w:rPr>
        <w:t xml:space="preserve"> </w:t>
      </w:r>
      <w:r w:rsidRPr="00075461">
        <w:rPr>
          <w:szCs w:val="22"/>
          <w:lang w:eastAsia="en-US"/>
        </w:rPr>
        <w:t>kortikosteroidus, pvz., budezonidą ir į nosį vartojamus kortikosteroidus), reikia atidžiai stebėti dėl</w:t>
      </w:r>
      <w:r>
        <w:rPr>
          <w:szCs w:val="22"/>
          <w:lang w:eastAsia="en-US"/>
        </w:rPr>
        <w:t xml:space="preserve"> </w:t>
      </w:r>
      <w:r w:rsidRPr="00075461">
        <w:rPr>
          <w:szCs w:val="22"/>
          <w:lang w:eastAsia="en-US"/>
        </w:rPr>
        <w:t>antinksčių žievės disfunkcijos gydymo metu ir nutraukus gydymą vorikonazolu (žr. 4.5 skyrių).</w:t>
      </w:r>
      <w:r>
        <w:rPr>
          <w:szCs w:val="22"/>
          <w:lang w:eastAsia="en-US"/>
        </w:rPr>
        <w:t xml:space="preserve"> </w:t>
      </w:r>
      <w:r w:rsidRPr="00075461">
        <w:rPr>
          <w:szCs w:val="22"/>
          <w:lang w:eastAsia="en-US"/>
        </w:rPr>
        <w:t>Pacientams reikia nurodyti, kad nedelsdami kreiptųsi į gydytoją, jeigu jiems išsivysto Kušingo</w:t>
      </w:r>
      <w:r>
        <w:rPr>
          <w:szCs w:val="22"/>
          <w:lang w:eastAsia="en-US"/>
        </w:rPr>
        <w:t xml:space="preserve"> </w:t>
      </w:r>
      <w:r w:rsidRPr="00075461">
        <w:rPr>
          <w:szCs w:val="22"/>
          <w:lang w:eastAsia="en-US"/>
        </w:rPr>
        <w:t>sindromo arba antinksčių nepakankamumo požymių arba simptomų</w:t>
      </w:r>
      <w:bookmarkEnd w:id="6"/>
      <w:r w:rsidRPr="00075461">
        <w:rPr>
          <w:szCs w:val="22"/>
          <w:lang w:eastAsia="en-US"/>
        </w:rPr>
        <w:t>.</w:t>
      </w:r>
    </w:p>
    <w:p w14:paraId="0486E7E6" w14:textId="77777777" w:rsidR="00041CC8" w:rsidRPr="009A1B7F" w:rsidRDefault="00041CC8" w:rsidP="00041CC8">
      <w:pPr>
        <w:rPr>
          <w:szCs w:val="22"/>
          <w:lang w:eastAsia="en-US"/>
        </w:rPr>
      </w:pPr>
    </w:p>
    <w:p w14:paraId="467B2252" w14:textId="77777777" w:rsidR="00041CC8" w:rsidRPr="009A1B7F" w:rsidRDefault="00041CC8" w:rsidP="00041CC8">
      <w:pPr>
        <w:rPr>
          <w:szCs w:val="22"/>
          <w:u w:val="single"/>
          <w:lang w:eastAsia="en-US"/>
        </w:rPr>
      </w:pPr>
      <w:r w:rsidRPr="009A1B7F">
        <w:rPr>
          <w:szCs w:val="22"/>
          <w:u w:val="single"/>
          <w:lang w:eastAsia="en-US"/>
        </w:rPr>
        <w:t>Ilgalaikis gydymas</w:t>
      </w:r>
    </w:p>
    <w:p w14:paraId="7CE06D5E" w14:textId="77777777" w:rsidR="00041CC8" w:rsidRPr="009A1B7F" w:rsidRDefault="00041CC8" w:rsidP="00041CC8">
      <w:pPr>
        <w:rPr>
          <w:szCs w:val="22"/>
          <w:lang w:eastAsia="en-US"/>
        </w:rPr>
      </w:pPr>
      <w:r w:rsidRPr="009A1B7F">
        <w:rPr>
          <w:szCs w:val="22"/>
          <w:lang w:eastAsia="en-US"/>
        </w:rPr>
        <w:lastRenderedPageBreak/>
        <w:t xml:space="preserve">Ilgalaikės ekspozicijos (vartojant gydymui ar profilaktikai), trunkančios ilgiau kaip 180 parų (6 mėnesius) atveju reikalingas atidus naudos ir rizikos santykio įvertinimas ir gydytojas dėl to turi nuspręsti, ar būtina riboti ekspoziciją vorikonazolu (žr. </w:t>
      </w:r>
      <w:r w:rsidRPr="005454C8">
        <w:t>4.2 ir 5.1 skyrius).</w:t>
      </w:r>
    </w:p>
    <w:p w14:paraId="48D09739" w14:textId="1E0C99A1" w:rsidR="00041CC8" w:rsidRPr="009A1B7F" w:rsidRDefault="00041CC8" w:rsidP="00041CC8">
      <w:pPr>
        <w:rPr>
          <w:szCs w:val="22"/>
          <w:lang w:eastAsia="en-US"/>
        </w:rPr>
      </w:pPr>
      <w:r w:rsidRPr="004A5841">
        <w:rPr>
          <w:szCs w:val="22"/>
          <w:lang w:eastAsia="en-US"/>
        </w:rPr>
        <w:t xml:space="preserve">Buvo pranešta apie odos plokščiųjų ląstelių vėžį (PLV) (įskaitant odos PLV </w:t>
      </w:r>
      <w:r w:rsidRPr="004A5841">
        <w:rPr>
          <w:i/>
          <w:iCs/>
          <w:szCs w:val="22"/>
          <w:lang w:eastAsia="en-US"/>
        </w:rPr>
        <w:t>in situ</w:t>
      </w:r>
      <w:r w:rsidRPr="004A5841">
        <w:rPr>
          <w:szCs w:val="22"/>
          <w:lang w:eastAsia="en-US"/>
        </w:rPr>
        <w:t xml:space="preserve"> arba Boveno</w:t>
      </w:r>
      <w:r>
        <w:rPr>
          <w:szCs w:val="22"/>
          <w:lang w:eastAsia="en-US"/>
        </w:rPr>
        <w:t xml:space="preserve"> </w:t>
      </w:r>
      <w:r w:rsidRPr="004A5841">
        <w:rPr>
          <w:szCs w:val="22"/>
          <w:lang w:eastAsia="en-US"/>
        </w:rPr>
        <w:t>ligą), susijusį su ilgalaikiu gydymu vorikonazolu</w:t>
      </w:r>
      <w:r w:rsidR="00A54F44">
        <w:rPr>
          <w:szCs w:val="22"/>
          <w:lang w:eastAsia="en-US"/>
        </w:rPr>
        <w:t xml:space="preserve"> (žr. 4.8 skyrių)</w:t>
      </w:r>
      <w:r w:rsidRPr="004A5841">
        <w:rPr>
          <w:szCs w:val="22"/>
          <w:lang w:eastAsia="en-US"/>
        </w:rPr>
        <w:t>.</w:t>
      </w:r>
    </w:p>
    <w:p w14:paraId="05464B17" w14:textId="3B7C489F" w:rsidR="00041CC8" w:rsidRPr="009A1B7F" w:rsidRDefault="00041CC8" w:rsidP="00041CC8">
      <w:pPr>
        <w:rPr>
          <w:szCs w:val="22"/>
          <w:lang w:eastAsia="en-US"/>
        </w:rPr>
      </w:pPr>
      <w:r w:rsidRPr="009A1B7F">
        <w:rPr>
          <w:szCs w:val="22"/>
          <w:lang w:eastAsia="en-US"/>
        </w:rPr>
        <w:t>Gauta pranešimų apie neinfekcinį periostitą, kurio metu buvo padidėję fluorido ir šarminės fosfatazės aktyvumo lygiai, pacientams, kuriems buvo persodintas organas. Jeigu pacientui pasireiškia skeleto skausmas ir radiologinio tyrimo duomenys rodo periostitą, po konsultacijų su įvairių sričių specialistais turi būti apsvarstytas vorikonazolo vartojimo nutraukimas</w:t>
      </w:r>
      <w:r w:rsidR="001C0368">
        <w:rPr>
          <w:szCs w:val="22"/>
          <w:lang w:eastAsia="en-US"/>
        </w:rPr>
        <w:t xml:space="preserve"> </w:t>
      </w:r>
      <w:r w:rsidR="001C0368" w:rsidRPr="001C0368">
        <w:rPr>
          <w:szCs w:val="22"/>
          <w:lang w:eastAsia="en-US"/>
        </w:rPr>
        <w:t>(žr. 4.8 skyrių)</w:t>
      </w:r>
      <w:r w:rsidRPr="009A1B7F">
        <w:rPr>
          <w:szCs w:val="22"/>
          <w:lang w:eastAsia="en-US"/>
        </w:rPr>
        <w:t>.</w:t>
      </w:r>
    </w:p>
    <w:p w14:paraId="74BB5B9D" w14:textId="77777777" w:rsidR="00041CC8" w:rsidRPr="009A1B7F" w:rsidRDefault="00041CC8" w:rsidP="00041CC8">
      <w:pPr>
        <w:rPr>
          <w:szCs w:val="22"/>
          <w:lang w:eastAsia="en-US"/>
        </w:rPr>
      </w:pPr>
    </w:p>
    <w:p w14:paraId="52B680F5" w14:textId="77777777" w:rsidR="00041CC8" w:rsidRPr="005454C8" w:rsidRDefault="00041CC8" w:rsidP="00041CC8">
      <w:pPr>
        <w:autoSpaceDE w:val="0"/>
        <w:autoSpaceDN w:val="0"/>
        <w:adjustRightInd w:val="0"/>
        <w:rPr>
          <w:rFonts w:eastAsia="Calibri"/>
          <w:u w:val="single"/>
        </w:rPr>
      </w:pPr>
      <w:r w:rsidRPr="005454C8">
        <w:rPr>
          <w:rFonts w:eastAsia="Calibri"/>
          <w:u w:val="single"/>
        </w:rPr>
        <w:t>Nepageidaujamos akių reakcijos</w:t>
      </w:r>
    </w:p>
    <w:p w14:paraId="3E7E18A3" w14:textId="77777777" w:rsidR="00041CC8" w:rsidRPr="005454C8" w:rsidRDefault="00041CC8" w:rsidP="00041CC8">
      <w:pPr>
        <w:autoSpaceDE w:val="0"/>
        <w:autoSpaceDN w:val="0"/>
        <w:adjustRightInd w:val="0"/>
        <w:rPr>
          <w:rFonts w:eastAsia="Calibri"/>
        </w:rPr>
      </w:pPr>
      <w:r w:rsidRPr="005454C8">
        <w:rPr>
          <w:rFonts w:eastAsia="Calibri"/>
        </w:rPr>
        <w:t>Gauta pranešimų apie ilgalaikes nepageidaujamas akių reakcijas, įskaitant miglotą matymą, regos nervo uždegimą ir regos nervo disko edemą (žr. 4.8 skyrių).</w:t>
      </w:r>
    </w:p>
    <w:p w14:paraId="0683F2B2" w14:textId="77777777" w:rsidR="00041CC8" w:rsidRPr="005454C8" w:rsidRDefault="00041CC8" w:rsidP="00041CC8">
      <w:pPr>
        <w:autoSpaceDE w:val="0"/>
        <w:autoSpaceDN w:val="0"/>
        <w:adjustRightInd w:val="0"/>
        <w:rPr>
          <w:rFonts w:eastAsia="Calibri"/>
        </w:rPr>
      </w:pPr>
    </w:p>
    <w:p w14:paraId="0F02431A" w14:textId="77777777" w:rsidR="00041CC8" w:rsidRPr="005454C8" w:rsidRDefault="00041CC8" w:rsidP="00041CC8">
      <w:pPr>
        <w:autoSpaceDE w:val="0"/>
        <w:autoSpaceDN w:val="0"/>
        <w:adjustRightInd w:val="0"/>
        <w:rPr>
          <w:rFonts w:eastAsia="Calibri"/>
          <w:u w:val="single"/>
        </w:rPr>
      </w:pPr>
      <w:r w:rsidRPr="005454C8">
        <w:rPr>
          <w:rFonts w:eastAsia="Calibri"/>
          <w:u w:val="single"/>
        </w:rPr>
        <w:t>Nepageidaujamos reakcijos inkstams</w:t>
      </w:r>
    </w:p>
    <w:p w14:paraId="64D4E4E8" w14:textId="77777777" w:rsidR="00041CC8" w:rsidRPr="005454C8" w:rsidRDefault="00041CC8" w:rsidP="00041CC8">
      <w:pPr>
        <w:autoSpaceDE w:val="0"/>
        <w:autoSpaceDN w:val="0"/>
        <w:adjustRightInd w:val="0"/>
        <w:rPr>
          <w:rFonts w:eastAsia="Calibri"/>
        </w:rPr>
      </w:pPr>
      <w:r w:rsidRPr="005454C8">
        <w:rPr>
          <w:rFonts w:eastAsia="Calibri"/>
        </w:rPr>
        <w:t>Sunkiai sergantiems vorikonazolu gydytiems pacientams pasireiškė ūminis inkstų nepakankamumas. Tačiau tikėtina, kad pacientai, kurie buvo gydyti vorikonazolu, buvo gydomi ir nefrotoksinio poveikio vaistiniais preparatais bei sirgo ligomis, kurios galėjo silpninti inkstų funkciją (žr. 4.8 skyrių).</w:t>
      </w:r>
    </w:p>
    <w:p w14:paraId="565E756B" w14:textId="77777777" w:rsidR="00041CC8" w:rsidRPr="005454C8" w:rsidRDefault="00041CC8" w:rsidP="00041CC8">
      <w:pPr>
        <w:autoSpaceDE w:val="0"/>
        <w:autoSpaceDN w:val="0"/>
        <w:adjustRightInd w:val="0"/>
        <w:rPr>
          <w:rFonts w:eastAsia="Calibri"/>
        </w:rPr>
      </w:pPr>
    </w:p>
    <w:p w14:paraId="00CB5B3F" w14:textId="77777777" w:rsidR="00041CC8" w:rsidRPr="005454C8" w:rsidRDefault="00041CC8" w:rsidP="00041CC8">
      <w:pPr>
        <w:autoSpaceDE w:val="0"/>
        <w:autoSpaceDN w:val="0"/>
        <w:adjustRightInd w:val="0"/>
        <w:rPr>
          <w:rFonts w:eastAsia="Calibri"/>
          <w:u w:val="single"/>
        </w:rPr>
      </w:pPr>
      <w:r w:rsidRPr="005454C8">
        <w:rPr>
          <w:rFonts w:eastAsia="Calibri"/>
          <w:u w:val="single"/>
        </w:rPr>
        <w:t>Inkstų funkcijos stebėjimas</w:t>
      </w:r>
    </w:p>
    <w:p w14:paraId="14783D68" w14:textId="77777777" w:rsidR="00041CC8" w:rsidRPr="005454C8" w:rsidRDefault="00041CC8" w:rsidP="00041CC8">
      <w:pPr>
        <w:autoSpaceDE w:val="0"/>
        <w:autoSpaceDN w:val="0"/>
        <w:adjustRightInd w:val="0"/>
        <w:rPr>
          <w:rFonts w:eastAsia="Calibri"/>
        </w:rPr>
      </w:pPr>
      <w:r w:rsidRPr="005454C8">
        <w:rPr>
          <w:rFonts w:eastAsia="Calibri"/>
        </w:rPr>
        <w:t xml:space="preserve">Reikia stebėti, ar pacientams neatsiranda inkstų funkcijos sutrikimo. Dėl to būtina atlikti laboratorinius tyrimus, ypač kreatinino koncentracijos </w:t>
      </w:r>
      <w:r w:rsidRPr="009A1B7F">
        <w:rPr>
          <w:rFonts w:eastAsia="Calibri"/>
          <w:szCs w:val="22"/>
          <w:lang w:eastAsia="en-US"/>
        </w:rPr>
        <w:t xml:space="preserve">kraujo </w:t>
      </w:r>
      <w:r w:rsidRPr="005454C8">
        <w:rPr>
          <w:rFonts w:eastAsia="Calibri"/>
        </w:rPr>
        <w:t>serume.</w:t>
      </w:r>
    </w:p>
    <w:p w14:paraId="63D87720" w14:textId="77777777" w:rsidR="00041CC8" w:rsidRPr="005454C8" w:rsidRDefault="00041CC8" w:rsidP="00041CC8">
      <w:pPr>
        <w:autoSpaceDE w:val="0"/>
        <w:autoSpaceDN w:val="0"/>
        <w:adjustRightInd w:val="0"/>
        <w:rPr>
          <w:rFonts w:eastAsia="Calibri"/>
        </w:rPr>
      </w:pPr>
    </w:p>
    <w:p w14:paraId="025F02BF" w14:textId="77777777" w:rsidR="00041CC8" w:rsidRPr="005454C8" w:rsidRDefault="00041CC8" w:rsidP="00041CC8">
      <w:pPr>
        <w:autoSpaceDE w:val="0"/>
        <w:autoSpaceDN w:val="0"/>
        <w:adjustRightInd w:val="0"/>
        <w:rPr>
          <w:rFonts w:eastAsia="Calibri"/>
          <w:u w:val="single"/>
        </w:rPr>
      </w:pPr>
      <w:r w:rsidRPr="005454C8">
        <w:rPr>
          <w:rFonts w:eastAsia="Calibri"/>
          <w:u w:val="single"/>
        </w:rPr>
        <w:t>Kasos funkcijos stebėjimas</w:t>
      </w:r>
    </w:p>
    <w:p w14:paraId="11F91BC7" w14:textId="77777777" w:rsidR="00041CC8" w:rsidRPr="005454C8" w:rsidRDefault="00041CC8" w:rsidP="00041CC8">
      <w:pPr>
        <w:autoSpaceDE w:val="0"/>
        <w:autoSpaceDN w:val="0"/>
        <w:adjustRightInd w:val="0"/>
        <w:rPr>
          <w:rFonts w:eastAsia="Calibri"/>
        </w:rPr>
      </w:pPr>
      <w:r w:rsidRPr="005454C8">
        <w:rPr>
          <w:rFonts w:eastAsia="Calibri"/>
        </w:rPr>
        <w:t xml:space="preserve">Gydant vorikonazolu, reikia atidžiai stebėti pacientus, ypač vaikus, kuriems yra ūminio pankreatito rizikos veiksnių (pvz., neseniai taikyta chemoterapija, kamieninių </w:t>
      </w:r>
      <w:r w:rsidRPr="009A1B7F">
        <w:rPr>
          <w:rFonts w:eastAsia="Calibri"/>
          <w:szCs w:val="22"/>
          <w:lang w:eastAsia="en-US"/>
        </w:rPr>
        <w:t>kraujodaros</w:t>
      </w:r>
      <w:r w:rsidRPr="005454C8">
        <w:rPr>
          <w:rFonts w:eastAsia="Calibri"/>
        </w:rPr>
        <w:t xml:space="preserve"> ląstelių persodinimas [KHLP]). Tokiomis aplinkybėmis galima stebėti amilazės ar lipazės aktyvumą</w:t>
      </w:r>
      <w:r w:rsidRPr="009A1B7F">
        <w:rPr>
          <w:rFonts w:eastAsia="Calibri"/>
          <w:szCs w:val="22"/>
          <w:lang w:eastAsia="en-US"/>
        </w:rPr>
        <w:t xml:space="preserve"> kraujo</w:t>
      </w:r>
      <w:r w:rsidRPr="005454C8">
        <w:rPr>
          <w:rFonts w:eastAsia="Calibri"/>
        </w:rPr>
        <w:t xml:space="preserve"> serume.</w:t>
      </w:r>
    </w:p>
    <w:p w14:paraId="1CAB523A" w14:textId="77777777" w:rsidR="00041CC8" w:rsidRPr="005454C8" w:rsidRDefault="00041CC8" w:rsidP="00041CC8">
      <w:pPr>
        <w:autoSpaceDE w:val="0"/>
        <w:autoSpaceDN w:val="0"/>
        <w:adjustRightInd w:val="0"/>
        <w:rPr>
          <w:rFonts w:eastAsia="Calibri"/>
        </w:rPr>
      </w:pPr>
    </w:p>
    <w:p w14:paraId="737E36A3"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Vaikų populiacija</w:t>
      </w:r>
    </w:p>
    <w:p w14:paraId="4C02F490" w14:textId="77777777" w:rsidR="00041CC8" w:rsidRPr="005454C8" w:rsidRDefault="00041CC8" w:rsidP="00041CC8">
      <w:pPr>
        <w:autoSpaceDE w:val="0"/>
        <w:autoSpaceDN w:val="0"/>
        <w:adjustRightInd w:val="0"/>
        <w:rPr>
          <w:rFonts w:eastAsia="Calibri"/>
        </w:rPr>
      </w:pPr>
      <w:r w:rsidRPr="005454C8">
        <w:rPr>
          <w:rFonts w:eastAsia="Calibri"/>
        </w:rPr>
        <w:t>Saugumas ir veiksmingumas jaunesniems kaip 2 metų kūdikiams neištirti (žr. 4.8 ir 5.1 skyrius).</w:t>
      </w:r>
    </w:p>
    <w:p w14:paraId="286D2124" w14:textId="77777777" w:rsidR="00041CC8" w:rsidRPr="005454C8" w:rsidRDefault="00041CC8" w:rsidP="00041CC8">
      <w:pPr>
        <w:autoSpaceDE w:val="0"/>
        <w:autoSpaceDN w:val="0"/>
        <w:adjustRightInd w:val="0"/>
        <w:rPr>
          <w:rFonts w:eastAsia="Calibri"/>
        </w:rPr>
      </w:pPr>
      <w:r w:rsidRPr="005454C8">
        <w:rPr>
          <w:rFonts w:eastAsia="Calibri"/>
        </w:rPr>
        <w:t xml:space="preserve">Vorikonazolas skiriamas vartoti dviejų metų ir vyresniems vaikams. </w:t>
      </w:r>
      <w:r w:rsidRPr="005454C8">
        <w:rPr>
          <w:rFonts w:eastAsia="TimesNewRoman,Italic"/>
        </w:rPr>
        <w:t xml:space="preserve">Pastebėta, kad vaikų populiacijai dažniau padidėja kepenų fermentų aktyvumas (žr. 4.8 skyrių). </w:t>
      </w:r>
      <w:r w:rsidRPr="005454C8">
        <w:rPr>
          <w:rFonts w:eastAsia="Calibri"/>
        </w:rPr>
        <w:t>Reikia stebėti ir suaugusiųjų, ir vaikų kepenų funkciją. 2-&lt; 12 metų vaikų, kurie serga malabsorbcija ir kurių pagal amžių yra labai maža kūno masė, išgerto vaistinio preparato biologinis prieinamumas gali būti mažesnis. Tokiu atveju rekomenduojama skirti vartoti vorikonazolą į veną.</w:t>
      </w:r>
    </w:p>
    <w:p w14:paraId="7D9D19F9" w14:textId="77777777" w:rsidR="00041CC8" w:rsidRPr="005454C8" w:rsidRDefault="00041CC8" w:rsidP="00041CC8">
      <w:pPr>
        <w:autoSpaceDE w:val="0"/>
        <w:autoSpaceDN w:val="0"/>
        <w:adjustRightInd w:val="0"/>
        <w:rPr>
          <w:rFonts w:eastAsia="Calibri"/>
        </w:rPr>
      </w:pPr>
    </w:p>
    <w:p w14:paraId="0EFA52A2" w14:textId="77777777" w:rsidR="00041CC8" w:rsidRPr="009A1B7F" w:rsidRDefault="00041CC8" w:rsidP="00041CC8">
      <w:pPr>
        <w:autoSpaceDE w:val="0"/>
        <w:autoSpaceDN w:val="0"/>
        <w:adjustRightInd w:val="0"/>
        <w:rPr>
          <w:rFonts w:eastAsia="Calibri"/>
          <w:szCs w:val="22"/>
          <w:u w:val="single"/>
          <w:lang w:eastAsia="en-US"/>
        </w:rPr>
      </w:pPr>
      <w:r w:rsidRPr="009A1B7F">
        <w:rPr>
          <w:rFonts w:eastAsia="Calibri"/>
          <w:szCs w:val="22"/>
          <w:u w:val="single"/>
          <w:lang w:eastAsia="en-US"/>
        </w:rPr>
        <w:t>Sunkios nepageidaujamos dermatologinės reakcijos (įskaitant PLK)</w:t>
      </w:r>
    </w:p>
    <w:p w14:paraId="3440B6FE" w14:textId="77777777" w:rsidR="00041CC8" w:rsidRPr="005454C8" w:rsidRDefault="00041CC8" w:rsidP="00041CC8">
      <w:pPr>
        <w:autoSpaceDE w:val="0"/>
        <w:autoSpaceDN w:val="0"/>
        <w:adjustRightInd w:val="0"/>
        <w:rPr>
          <w:rFonts w:eastAsia="Calibri"/>
        </w:rPr>
      </w:pPr>
      <w:r w:rsidRPr="005454C8">
        <w:rPr>
          <w:rFonts w:eastAsia="Calibri"/>
        </w:rPr>
        <w:t xml:space="preserve">Fototoksiškumo reakcijos dažniau pasireiškia vaikų populiacijos pacientams. Kai buvo pranešta apie odos plokščiųjų ląstelių </w:t>
      </w:r>
      <w:r w:rsidRPr="009A1B7F">
        <w:rPr>
          <w:rFonts w:eastAsia="Calibri"/>
          <w:szCs w:val="22"/>
          <w:lang w:eastAsia="en-US"/>
        </w:rPr>
        <w:t>karcinomos (PLK)</w:t>
      </w:r>
      <w:r w:rsidRPr="005454C8">
        <w:rPr>
          <w:rFonts w:eastAsia="Calibri"/>
        </w:rPr>
        <w:t xml:space="preserve"> atsiradimą, buvo imtasi griežtų priemonių siekiant užtikrinti šioje pacientų populiacijoje apsaugos nuo saulės spindulių  priemones. Vaikams, kuriems atsiranda odos senėjimui būdingų pažeidimų, pavyzdžiui, pigmentinių dėmių arba strazdanų, rekomenduojama vengti saulės ir netgi nutraukus gydymą rekomenduojamas odos būklės stebėjimas.</w:t>
      </w:r>
    </w:p>
    <w:p w14:paraId="31B8F335" w14:textId="77777777" w:rsidR="00041CC8" w:rsidRPr="005454C8" w:rsidRDefault="00041CC8" w:rsidP="00041CC8">
      <w:pPr>
        <w:autoSpaceDE w:val="0"/>
        <w:autoSpaceDN w:val="0"/>
        <w:adjustRightInd w:val="0"/>
        <w:rPr>
          <w:rFonts w:eastAsia="Calibri"/>
        </w:rPr>
      </w:pPr>
    </w:p>
    <w:p w14:paraId="1F57164B" w14:textId="77777777" w:rsidR="00041CC8" w:rsidRPr="005454C8" w:rsidRDefault="00041CC8" w:rsidP="00041CC8">
      <w:pPr>
        <w:autoSpaceDE w:val="0"/>
        <w:autoSpaceDN w:val="0"/>
        <w:adjustRightInd w:val="0"/>
        <w:rPr>
          <w:rFonts w:eastAsia="Calibri"/>
          <w:u w:val="single"/>
        </w:rPr>
      </w:pPr>
      <w:r w:rsidRPr="005454C8">
        <w:rPr>
          <w:rFonts w:eastAsia="Calibri"/>
          <w:u w:val="single"/>
        </w:rPr>
        <w:t>Profilaktika</w:t>
      </w:r>
    </w:p>
    <w:p w14:paraId="6AFEED25" w14:textId="77777777" w:rsidR="00041CC8" w:rsidRPr="005454C8" w:rsidRDefault="00041CC8" w:rsidP="00041CC8">
      <w:pPr>
        <w:autoSpaceDE w:val="0"/>
        <w:autoSpaceDN w:val="0"/>
        <w:adjustRightInd w:val="0"/>
        <w:rPr>
          <w:rFonts w:eastAsia="Calibri"/>
        </w:rPr>
      </w:pPr>
      <w:r w:rsidRPr="005454C8">
        <w:rPr>
          <w:rFonts w:eastAsia="Calibri"/>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grybelių vartojimą.</w:t>
      </w:r>
    </w:p>
    <w:p w14:paraId="50DCA398" w14:textId="77777777" w:rsidR="00041CC8" w:rsidRPr="005454C8" w:rsidRDefault="00041CC8" w:rsidP="00041CC8">
      <w:pPr>
        <w:autoSpaceDE w:val="0"/>
        <w:autoSpaceDN w:val="0"/>
        <w:adjustRightInd w:val="0"/>
        <w:rPr>
          <w:rFonts w:eastAsia="Calibri"/>
        </w:rPr>
      </w:pPr>
    </w:p>
    <w:p w14:paraId="3B7CE180" w14:textId="77777777" w:rsidR="00041CC8" w:rsidRPr="005454C8" w:rsidRDefault="00041CC8" w:rsidP="00041CC8">
      <w:pPr>
        <w:autoSpaceDE w:val="0"/>
        <w:autoSpaceDN w:val="0"/>
        <w:adjustRightInd w:val="0"/>
        <w:rPr>
          <w:rFonts w:eastAsia="Calibri"/>
          <w:u w:val="single"/>
        </w:rPr>
      </w:pPr>
      <w:r w:rsidRPr="005454C8">
        <w:rPr>
          <w:rFonts w:eastAsia="Calibri"/>
          <w:u w:val="single"/>
        </w:rPr>
        <w:t>Fenitoinas (CYP2C9 substratas ir stipraus poveikio CYP450 sužadinantis vaistinis preparatas)</w:t>
      </w:r>
    </w:p>
    <w:p w14:paraId="40E3B8D4" w14:textId="77777777" w:rsidR="00041CC8" w:rsidRPr="005454C8" w:rsidRDefault="00041CC8" w:rsidP="00041CC8">
      <w:pPr>
        <w:autoSpaceDE w:val="0"/>
        <w:autoSpaceDN w:val="0"/>
        <w:adjustRightInd w:val="0"/>
        <w:rPr>
          <w:rFonts w:eastAsia="Calibri"/>
        </w:rPr>
      </w:pPr>
      <w:r w:rsidRPr="005454C8">
        <w:rPr>
          <w:rFonts w:eastAsia="Calibri"/>
        </w:rPr>
        <w:t>Jei kartu vartojama vorikonazolo, rekomenduojama atidžiai stebėti fenitoino koncentracijas. Reikia vengti vartoti vorikonazolą kartu su fenitoinu, išskyrus atvejus, kai nauda yra didesnė už riziką (žr. 4.5 skyrių).</w:t>
      </w:r>
    </w:p>
    <w:p w14:paraId="7B3661DF" w14:textId="77777777" w:rsidR="00041CC8" w:rsidRPr="005454C8" w:rsidRDefault="00041CC8" w:rsidP="00041CC8">
      <w:pPr>
        <w:autoSpaceDE w:val="0"/>
        <w:autoSpaceDN w:val="0"/>
        <w:adjustRightInd w:val="0"/>
        <w:rPr>
          <w:rFonts w:eastAsia="Calibri"/>
        </w:rPr>
      </w:pPr>
    </w:p>
    <w:p w14:paraId="7055A570" w14:textId="77777777" w:rsidR="00041CC8" w:rsidRPr="005454C8" w:rsidRDefault="00041CC8" w:rsidP="00041CC8">
      <w:pPr>
        <w:autoSpaceDE w:val="0"/>
        <w:autoSpaceDN w:val="0"/>
        <w:adjustRightInd w:val="0"/>
        <w:rPr>
          <w:rFonts w:eastAsia="Calibri"/>
          <w:u w:val="single"/>
        </w:rPr>
      </w:pPr>
      <w:r w:rsidRPr="005454C8">
        <w:rPr>
          <w:rFonts w:eastAsia="Calibri"/>
          <w:u w:val="single"/>
        </w:rPr>
        <w:t>Efavirenzas (CYP450 sužadinantis vaistinis preparatas, CYP3A4 inhibitorius ir substratas)</w:t>
      </w:r>
    </w:p>
    <w:p w14:paraId="20B8BC97" w14:textId="77777777" w:rsidR="00041CC8" w:rsidRDefault="00041CC8" w:rsidP="00041CC8">
      <w:pPr>
        <w:autoSpaceDE w:val="0"/>
        <w:autoSpaceDN w:val="0"/>
        <w:adjustRightInd w:val="0"/>
        <w:rPr>
          <w:rFonts w:eastAsia="Calibri"/>
        </w:rPr>
      </w:pPr>
      <w:r w:rsidRPr="005454C8">
        <w:rPr>
          <w:rFonts w:eastAsia="Calibri"/>
        </w:rPr>
        <w:t>Vorikonazolą vartojant kartu su efavirenzu, vorikonazolo dozę reikia padidinti iki 400 mg kas 12 valandų, efavirenzo dozę sumažinti iki 300 mg kas 24 valandas (žr. 4.2, 4.3 ir 4.5 skyrius).</w:t>
      </w:r>
    </w:p>
    <w:p w14:paraId="6A27ACEB" w14:textId="77777777" w:rsidR="00041CC8" w:rsidRDefault="00041CC8" w:rsidP="00041CC8">
      <w:pPr>
        <w:autoSpaceDE w:val="0"/>
        <w:autoSpaceDN w:val="0"/>
        <w:adjustRightInd w:val="0"/>
        <w:rPr>
          <w:rFonts w:eastAsia="Calibri"/>
        </w:rPr>
      </w:pPr>
    </w:p>
    <w:p w14:paraId="0F2198D4" w14:textId="77777777" w:rsidR="00041CC8" w:rsidRPr="005736C1" w:rsidRDefault="00041CC8" w:rsidP="00041CC8">
      <w:pPr>
        <w:autoSpaceDE w:val="0"/>
        <w:autoSpaceDN w:val="0"/>
        <w:adjustRightInd w:val="0"/>
        <w:rPr>
          <w:rFonts w:eastAsia="Calibri"/>
          <w:u w:val="single"/>
        </w:rPr>
      </w:pPr>
      <w:bookmarkStart w:id="7" w:name="_Hlk87626283"/>
      <w:r w:rsidRPr="005736C1">
        <w:rPr>
          <w:rFonts w:eastAsia="Calibri"/>
          <w:u w:val="single"/>
        </w:rPr>
        <w:t>Glasdegibas (CYP3A4 substratas)</w:t>
      </w:r>
    </w:p>
    <w:p w14:paraId="16F0AE3F" w14:textId="77777777" w:rsidR="00041CC8" w:rsidRPr="005736C1" w:rsidRDefault="00041CC8" w:rsidP="00041CC8">
      <w:pPr>
        <w:autoSpaceDE w:val="0"/>
        <w:autoSpaceDN w:val="0"/>
        <w:adjustRightInd w:val="0"/>
        <w:rPr>
          <w:rFonts w:eastAsia="Calibri"/>
        </w:rPr>
      </w:pPr>
      <w:r w:rsidRPr="005736C1">
        <w:rPr>
          <w:rFonts w:eastAsia="Calibri"/>
        </w:rPr>
        <w:t>Manoma, kad kartu vartojant vorikonazolo didėja glasdegibo koncentracija plazmoje ir QTc</w:t>
      </w:r>
      <w:r>
        <w:rPr>
          <w:rFonts w:eastAsia="Calibri"/>
        </w:rPr>
        <w:t xml:space="preserve"> </w:t>
      </w:r>
      <w:r w:rsidRPr="005736C1">
        <w:rPr>
          <w:rFonts w:eastAsia="Calibri"/>
        </w:rPr>
        <w:t>pailgėjimo rizika (žr. 4.5 skyrių). Jei negalima išvengti vartojimo kartu, rekomenduojama dažnai</w:t>
      </w:r>
      <w:r>
        <w:rPr>
          <w:rFonts w:eastAsia="Calibri"/>
        </w:rPr>
        <w:t xml:space="preserve"> </w:t>
      </w:r>
      <w:r w:rsidRPr="005736C1">
        <w:rPr>
          <w:rFonts w:eastAsia="Calibri"/>
        </w:rPr>
        <w:t>stebėti EKG.</w:t>
      </w:r>
    </w:p>
    <w:p w14:paraId="2A596754" w14:textId="77777777" w:rsidR="00041CC8" w:rsidRDefault="00041CC8" w:rsidP="00041CC8">
      <w:pPr>
        <w:autoSpaceDE w:val="0"/>
        <w:autoSpaceDN w:val="0"/>
        <w:adjustRightInd w:val="0"/>
        <w:rPr>
          <w:rFonts w:eastAsia="Calibri"/>
        </w:rPr>
      </w:pPr>
    </w:p>
    <w:p w14:paraId="42DDBD15" w14:textId="77777777" w:rsidR="00041CC8" w:rsidRPr="005736C1" w:rsidRDefault="00041CC8" w:rsidP="00041CC8">
      <w:pPr>
        <w:autoSpaceDE w:val="0"/>
        <w:autoSpaceDN w:val="0"/>
        <w:adjustRightInd w:val="0"/>
        <w:rPr>
          <w:rFonts w:eastAsia="Calibri"/>
          <w:u w:val="single"/>
        </w:rPr>
      </w:pPr>
      <w:r w:rsidRPr="005736C1">
        <w:rPr>
          <w:rFonts w:eastAsia="Calibri"/>
          <w:u w:val="single"/>
        </w:rPr>
        <w:t>Tirozinkinazės inhibitoriai (CYP3A4 substratas)</w:t>
      </w:r>
    </w:p>
    <w:p w14:paraId="4FABB7FA" w14:textId="77777777" w:rsidR="00041CC8" w:rsidRPr="005454C8" w:rsidRDefault="00041CC8" w:rsidP="00041CC8">
      <w:pPr>
        <w:autoSpaceDE w:val="0"/>
        <w:autoSpaceDN w:val="0"/>
        <w:adjustRightInd w:val="0"/>
        <w:rPr>
          <w:rFonts w:eastAsia="Calibri"/>
        </w:rPr>
      </w:pPr>
      <w:r w:rsidRPr="005736C1">
        <w:rPr>
          <w:rFonts w:eastAsia="Calibri"/>
        </w:rPr>
        <w:t>Manoma, kad vorikonazolą vartojant kartu su tirozinkinazės inhibitoriais, metabolizuojamais</w:t>
      </w:r>
      <w:r>
        <w:rPr>
          <w:rFonts w:eastAsia="Calibri"/>
        </w:rPr>
        <w:t xml:space="preserve"> </w:t>
      </w:r>
      <w:r w:rsidRPr="005736C1">
        <w:rPr>
          <w:rFonts w:eastAsia="Calibri"/>
        </w:rPr>
        <w:t>CYP3A4, padidėja tirozinkinazės inhibitoriaus koncentracija plazmoje ir nepageidaujamų reakcijų</w:t>
      </w:r>
      <w:r>
        <w:rPr>
          <w:rFonts w:eastAsia="Calibri"/>
        </w:rPr>
        <w:t xml:space="preserve"> </w:t>
      </w:r>
      <w:r w:rsidRPr="005736C1">
        <w:rPr>
          <w:rFonts w:eastAsia="Calibri"/>
        </w:rPr>
        <w:t>rizika. Jei negalima išvengti vartojimo kartu, rekomenduojama sumažinti tirozinkinazės inhibitoriaus</w:t>
      </w:r>
      <w:r>
        <w:rPr>
          <w:rFonts w:eastAsia="Calibri"/>
        </w:rPr>
        <w:t xml:space="preserve"> </w:t>
      </w:r>
      <w:r w:rsidRPr="005736C1">
        <w:rPr>
          <w:rFonts w:eastAsia="Calibri"/>
        </w:rPr>
        <w:t>dozę ir atidžiai stebėti klinikinę būklę (žr. 4.5 skyrių).</w:t>
      </w:r>
    </w:p>
    <w:bookmarkEnd w:id="7"/>
    <w:p w14:paraId="09BDDA80" w14:textId="77777777" w:rsidR="00041CC8" w:rsidRPr="005454C8" w:rsidRDefault="00041CC8" w:rsidP="00041CC8">
      <w:pPr>
        <w:autoSpaceDE w:val="0"/>
        <w:autoSpaceDN w:val="0"/>
        <w:adjustRightInd w:val="0"/>
        <w:rPr>
          <w:rFonts w:eastAsia="Calibri"/>
          <w:i/>
        </w:rPr>
      </w:pPr>
    </w:p>
    <w:p w14:paraId="53740A76" w14:textId="77777777" w:rsidR="00041CC8" w:rsidRPr="005454C8" w:rsidRDefault="00041CC8" w:rsidP="00041CC8">
      <w:pPr>
        <w:autoSpaceDE w:val="0"/>
        <w:autoSpaceDN w:val="0"/>
        <w:adjustRightInd w:val="0"/>
        <w:rPr>
          <w:rFonts w:eastAsia="Calibri"/>
          <w:u w:val="single"/>
        </w:rPr>
      </w:pPr>
      <w:r w:rsidRPr="005454C8">
        <w:rPr>
          <w:rFonts w:eastAsia="Calibri"/>
          <w:u w:val="single"/>
        </w:rPr>
        <w:t>Rifabutinas (stipraus poveikio CYP450 sužadinantis vaistinis preparatas)</w:t>
      </w:r>
    </w:p>
    <w:p w14:paraId="25C21FEB" w14:textId="77777777" w:rsidR="00041CC8" w:rsidRPr="005454C8" w:rsidRDefault="00041CC8" w:rsidP="00041CC8">
      <w:pPr>
        <w:autoSpaceDE w:val="0"/>
        <w:autoSpaceDN w:val="0"/>
        <w:adjustRightInd w:val="0"/>
        <w:rPr>
          <w:rFonts w:eastAsia="Calibri"/>
        </w:rPr>
      </w:pPr>
      <w:r w:rsidRPr="005454C8">
        <w:rPr>
          <w:rFonts w:eastAsia="Calibri"/>
        </w:rPr>
        <w:t>Jei rifabutino vartojama kartu su vorikonazolu, rekomenduojama atidžiai stebėti kraujo ląstelių kiekį ir nepageidaujamas reakcijas į rifabutiną (gali pasireikšti uveitas). Reikia vengti vartoti vorikonazolą kartu su rifabutinu, išskyrus atvejus, kai nauda yra didesnė už riziką (žr. 4.5 skyrių).</w:t>
      </w:r>
    </w:p>
    <w:p w14:paraId="234F460D" w14:textId="77777777" w:rsidR="00041CC8" w:rsidRPr="005454C8" w:rsidRDefault="00041CC8" w:rsidP="00041CC8">
      <w:pPr>
        <w:rPr>
          <w:rFonts w:eastAsia="Calibri"/>
          <w:i/>
        </w:rPr>
      </w:pPr>
    </w:p>
    <w:p w14:paraId="333F25BC" w14:textId="77777777" w:rsidR="00041CC8" w:rsidRPr="005454C8" w:rsidRDefault="00041CC8" w:rsidP="00041CC8">
      <w:pPr>
        <w:rPr>
          <w:rFonts w:eastAsia="Calibri"/>
          <w:u w:val="single"/>
        </w:rPr>
      </w:pPr>
      <w:r w:rsidRPr="005454C8">
        <w:rPr>
          <w:rFonts w:eastAsia="Calibri"/>
          <w:u w:val="single"/>
        </w:rPr>
        <w:t>Ritonaviras (stipraus poveikio CYP450 sužadinantis vaistinis preparatas, CYP3A4 inhibitorius ir substratas)</w:t>
      </w:r>
    </w:p>
    <w:p w14:paraId="18975BF1" w14:textId="77777777" w:rsidR="00041CC8" w:rsidRPr="005454C8" w:rsidRDefault="00041CC8" w:rsidP="00041CC8">
      <w:pPr>
        <w:autoSpaceDE w:val="0"/>
        <w:autoSpaceDN w:val="0"/>
        <w:adjustRightInd w:val="0"/>
        <w:rPr>
          <w:rFonts w:eastAsia="Calibri"/>
        </w:rPr>
      </w:pPr>
      <w:r w:rsidRPr="005454C8">
        <w:rPr>
          <w:rFonts w:eastAsia="Calibri"/>
        </w:rPr>
        <w:t>Reikia vengti vartoti vorikonazolą kartu su maža ritonaviro doze (100 mg du kartus per parą), išskyrus atvejus, kai įvertinus naudą ir riziką pacientui, vorikonazolo vartojimas yra pateisinamas (žr. 4.3 ir 4.5 skyrius).</w:t>
      </w:r>
    </w:p>
    <w:p w14:paraId="01AEDA56" w14:textId="77777777" w:rsidR="00041CC8" w:rsidRPr="005454C8" w:rsidRDefault="00041CC8" w:rsidP="00041CC8">
      <w:pPr>
        <w:autoSpaceDE w:val="0"/>
        <w:autoSpaceDN w:val="0"/>
        <w:adjustRightInd w:val="0"/>
        <w:rPr>
          <w:rFonts w:eastAsia="Calibri"/>
        </w:rPr>
      </w:pPr>
    </w:p>
    <w:p w14:paraId="2BFAC80C" w14:textId="77777777" w:rsidR="00041CC8" w:rsidRPr="005454C8" w:rsidRDefault="00041CC8" w:rsidP="00041CC8">
      <w:pPr>
        <w:autoSpaceDE w:val="0"/>
        <w:autoSpaceDN w:val="0"/>
        <w:adjustRightInd w:val="0"/>
        <w:rPr>
          <w:rFonts w:eastAsia="Calibri"/>
          <w:u w:val="single"/>
        </w:rPr>
      </w:pPr>
      <w:r w:rsidRPr="005454C8">
        <w:rPr>
          <w:rFonts w:eastAsia="Calibri"/>
          <w:u w:val="single"/>
        </w:rPr>
        <w:t>Everolimuzas (CYP3A4 substratas, P-gp substratas)</w:t>
      </w:r>
    </w:p>
    <w:p w14:paraId="4ED92DAE" w14:textId="77777777" w:rsidR="00041CC8" w:rsidRPr="005454C8" w:rsidRDefault="00041CC8" w:rsidP="00041CC8">
      <w:pPr>
        <w:autoSpaceDE w:val="0"/>
        <w:autoSpaceDN w:val="0"/>
        <w:adjustRightInd w:val="0"/>
        <w:rPr>
          <w:rFonts w:eastAsia="Calibri"/>
        </w:rPr>
      </w:pPr>
      <w:r w:rsidRPr="005454C8">
        <w:rPr>
          <w:rFonts w:eastAsia="Calibri"/>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14:paraId="7CBA5B54" w14:textId="77777777" w:rsidR="00041CC8" w:rsidRDefault="00041CC8" w:rsidP="00041CC8">
      <w:pPr>
        <w:autoSpaceDE w:val="0"/>
        <w:autoSpaceDN w:val="0"/>
        <w:adjustRightInd w:val="0"/>
        <w:rPr>
          <w:rFonts w:eastAsia="Calibri"/>
        </w:rPr>
      </w:pPr>
    </w:p>
    <w:p w14:paraId="144E8DAB" w14:textId="77777777" w:rsidR="00041CC8" w:rsidRPr="005454C8" w:rsidRDefault="00041CC8" w:rsidP="00041CC8">
      <w:pPr>
        <w:autoSpaceDE w:val="0"/>
        <w:autoSpaceDN w:val="0"/>
        <w:adjustRightInd w:val="0"/>
        <w:rPr>
          <w:rFonts w:eastAsia="Calibri"/>
          <w:u w:val="single"/>
        </w:rPr>
      </w:pPr>
      <w:r w:rsidRPr="005454C8">
        <w:rPr>
          <w:rFonts w:eastAsia="Calibri"/>
          <w:u w:val="single"/>
        </w:rPr>
        <w:t>Metadonas (CYP3A4 substratas)</w:t>
      </w:r>
    </w:p>
    <w:p w14:paraId="249D9F2E" w14:textId="77777777" w:rsidR="00041CC8" w:rsidRPr="005454C8" w:rsidRDefault="00041CC8" w:rsidP="00041CC8">
      <w:pPr>
        <w:autoSpaceDE w:val="0"/>
        <w:autoSpaceDN w:val="0"/>
        <w:adjustRightInd w:val="0"/>
        <w:rPr>
          <w:rFonts w:eastAsia="Calibri"/>
        </w:rPr>
      </w:pPr>
      <w:r w:rsidRPr="005454C8">
        <w:rPr>
          <w:rFonts w:eastAsia="Calibri"/>
        </w:rPr>
        <w:t>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w:t>
      </w:r>
    </w:p>
    <w:p w14:paraId="4DF07B2E" w14:textId="77777777" w:rsidR="00041CC8" w:rsidRPr="005454C8" w:rsidRDefault="00041CC8" w:rsidP="00041CC8">
      <w:pPr>
        <w:autoSpaceDE w:val="0"/>
        <w:autoSpaceDN w:val="0"/>
        <w:adjustRightInd w:val="0"/>
        <w:rPr>
          <w:rFonts w:eastAsia="Calibri"/>
        </w:rPr>
      </w:pPr>
    </w:p>
    <w:p w14:paraId="1DB27AE4" w14:textId="77777777" w:rsidR="00041CC8" w:rsidRPr="005454C8" w:rsidRDefault="00041CC8" w:rsidP="00041CC8">
      <w:pPr>
        <w:autoSpaceDE w:val="0"/>
        <w:autoSpaceDN w:val="0"/>
        <w:adjustRightInd w:val="0"/>
        <w:rPr>
          <w:rFonts w:eastAsia="Calibri"/>
          <w:u w:val="single"/>
        </w:rPr>
      </w:pPr>
      <w:r w:rsidRPr="005454C8">
        <w:rPr>
          <w:rFonts w:eastAsia="Calibri"/>
          <w:u w:val="single"/>
        </w:rPr>
        <w:t>Trumpai veikiantys opioidai (CYP3A4 substratai)</w:t>
      </w:r>
    </w:p>
    <w:p w14:paraId="632134DF" w14:textId="77777777" w:rsidR="00041CC8" w:rsidRPr="005454C8" w:rsidRDefault="00041CC8" w:rsidP="00041CC8">
      <w:pPr>
        <w:autoSpaceDE w:val="0"/>
        <w:autoSpaceDN w:val="0"/>
        <w:adjustRightInd w:val="0"/>
      </w:pPr>
      <w:r w:rsidRPr="005454C8">
        <w:rPr>
          <w:rFonts w:eastAsia="Calibri"/>
        </w:rPr>
        <w:t>Reikia apgalvotai sumažinti kartu su vorikonazolu vartojamų alfentanilio, fentanilio ar kitų į alfentanilį panašios sandaros trumpai veikiančių opioidų, kurie metabolizuojami veikiant CYP3A4 (pvz., sufentanilio), dozę (žr. 4.5 skyrių). Alfentanilį vartojant kartu su vorikonazolu, alfentanilio pusinis gyvavimo periodas pailgėjo 4 kartus, o paskelbto nepriklausomo tyrimo duomenimis, fentanilį vartojant kartu su vorikonazolu, pailgėjo vidutinė fentanilio AUC</w:t>
      </w:r>
      <w:r w:rsidRPr="005454C8">
        <w:rPr>
          <w:rFonts w:eastAsia="Calibri"/>
          <w:vertAlign w:val="subscript"/>
        </w:rPr>
        <w:t>0-∞</w:t>
      </w:r>
      <w:r w:rsidRPr="005454C8">
        <w:rPr>
          <w:rFonts w:eastAsia="Calibri"/>
        </w:rPr>
        <w:t>, todėl gali prireikti dažnai stebėti,</w:t>
      </w:r>
      <w:r w:rsidRPr="005454C8">
        <w:t xml:space="preserve"> </w:t>
      </w:r>
      <w:r w:rsidRPr="005454C8">
        <w:rPr>
          <w:rFonts w:eastAsia="Calibri"/>
        </w:rPr>
        <w:t>ar neatsiranda su opioidais susijusių nepageidaujamų reakcijų (įskaitant ilgesnį kvėpavimo funkcijos stebėjimo laikotarpį).</w:t>
      </w:r>
    </w:p>
    <w:p w14:paraId="0BF64A1F" w14:textId="77777777" w:rsidR="00041CC8" w:rsidRPr="005454C8" w:rsidRDefault="00041CC8" w:rsidP="00041CC8">
      <w:pPr>
        <w:autoSpaceDE w:val="0"/>
        <w:autoSpaceDN w:val="0"/>
        <w:adjustRightInd w:val="0"/>
        <w:rPr>
          <w:rFonts w:eastAsia="Calibri"/>
        </w:rPr>
      </w:pPr>
    </w:p>
    <w:p w14:paraId="02864B73" w14:textId="77777777" w:rsidR="00041CC8" w:rsidRPr="005454C8" w:rsidRDefault="00041CC8" w:rsidP="00041CC8">
      <w:pPr>
        <w:autoSpaceDE w:val="0"/>
        <w:autoSpaceDN w:val="0"/>
        <w:adjustRightInd w:val="0"/>
        <w:rPr>
          <w:rFonts w:eastAsia="Calibri"/>
          <w:u w:val="single"/>
        </w:rPr>
      </w:pPr>
      <w:r w:rsidRPr="005454C8">
        <w:rPr>
          <w:rFonts w:eastAsia="Calibri"/>
          <w:u w:val="single"/>
        </w:rPr>
        <w:t>Ilgai veikiantys opioidai (CYP3A4 substratai)</w:t>
      </w:r>
    </w:p>
    <w:p w14:paraId="7509397D" w14:textId="77777777" w:rsidR="00041CC8" w:rsidRPr="005454C8" w:rsidRDefault="00041CC8" w:rsidP="00041CC8">
      <w:pPr>
        <w:autoSpaceDE w:val="0"/>
        <w:autoSpaceDN w:val="0"/>
        <w:adjustRightInd w:val="0"/>
        <w:rPr>
          <w:rFonts w:eastAsia="Calibri"/>
        </w:rPr>
      </w:pPr>
      <w:r w:rsidRPr="005454C8">
        <w:rPr>
          <w:rFonts w:eastAsia="Calibri"/>
        </w:rPr>
        <w:t>Reikia apgalvotai sumažinti kartu su vorikonazolu vartojamų oksikodono ar kitų ilgai veikiančių opioidų, kurie metabolizuojami veikiant CYP3A4 (pvz., hidrokodono), dozę. Gali prireikti dažnai stebėti, ar neatsiranda su opioidais susijusių nepageidaujamų reakcijų (žr. 4.5 skyrių).</w:t>
      </w:r>
    </w:p>
    <w:p w14:paraId="7DEF71E3" w14:textId="77777777" w:rsidR="00041CC8" w:rsidRPr="005454C8" w:rsidRDefault="00041CC8" w:rsidP="00041CC8">
      <w:pPr>
        <w:autoSpaceDE w:val="0"/>
        <w:autoSpaceDN w:val="0"/>
        <w:adjustRightInd w:val="0"/>
        <w:rPr>
          <w:rFonts w:eastAsia="Calibri"/>
        </w:rPr>
      </w:pPr>
    </w:p>
    <w:p w14:paraId="65F0FD96" w14:textId="77777777" w:rsidR="00041CC8" w:rsidRPr="005454C8" w:rsidRDefault="00041CC8" w:rsidP="00041CC8">
      <w:pPr>
        <w:autoSpaceDE w:val="0"/>
        <w:autoSpaceDN w:val="0"/>
        <w:adjustRightInd w:val="0"/>
        <w:rPr>
          <w:rFonts w:eastAsia="Calibri"/>
          <w:u w:val="single"/>
        </w:rPr>
      </w:pPr>
      <w:r w:rsidRPr="005454C8">
        <w:rPr>
          <w:rFonts w:eastAsia="Calibri"/>
          <w:u w:val="single"/>
        </w:rPr>
        <w:t>Flukonazolas (CYP2C9, CYP2C19 ir CYP3A4 inhibitorius)</w:t>
      </w:r>
    </w:p>
    <w:p w14:paraId="693D4186" w14:textId="77777777" w:rsidR="00041CC8" w:rsidRPr="005454C8" w:rsidRDefault="00041CC8" w:rsidP="00041CC8">
      <w:pPr>
        <w:autoSpaceDE w:val="0"/>
        <w:autoSpaceDN w:val="0"/>
        <w:adjustRightInd w:val="0"/>
        <w:rPr>
          <w:rFonts w:eastAsia="Calibri"/>
        </w:rPr>
      </w:pPr>
      <w:r w:rsidRPr="005454C8">
        <w:rPr>
          <w:rFonts w:eastAsia="Calibri"/>
        </w:rPr>
        <w:t>Vartojant vorikonazolą per burną kartu su per burną vartojamu flukonazolu, sveikų savanorių organizme reikšmingai padidėjo vorikonazolo C</w:t>
      </w:r>
      <w:r w:rsidRPr="005454C8">
        <w:rPr>
          <w:rFonts w:eastAsia="Calibri"/>
          <w:vertAlign w:val="subscript"/>
        </w:rPr>
        <w:t>max</w:t>
      </w:r>
      <w:r w:rsidRPr="005454C8">
        <w:rPr>
          <w:rFonts w:eastAsia="Calibri"/>
        </w:rPr>
        <w:t xml:space="preserve"> ir AUC</w:t>
      </w:r>
      <w:r w:rsidRPr="005454C8">
        <w:rPr>
          <w:rFonts w:eastAsia="Calibri"/>
          <w:vertAlign w:val="subscript"/>
        </w:rPr>
        <w:t>τ</w:t>
      </w:r>
      <w:r w:rsidRPr="005454C8">
        <w:rPr>
          <w:rFonts w:eastAsia="Calibri"/>
        </w:rPr>
        <w:t>.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14:paraId="6E07B04E" w14:textId="77777777" w:rsidR="00041CC8" w:rsidRDefault="00041CC8" w:rsidP="00041CC8">
      <w:pPr>
        <w:autoSpaceDE w:val="0"/>
        <w:autoSpaceDN w:val="0"/>
        <w:adjustRightInd w:val="0"/>
        <w:rPr>
          <w:rFonts w:eastAsia="Calibri"/>
        </w:rPr>
      </w:pPr>
    </w:p>
    <w:p w14:paraId="38039F7D" w14:textId="77777777" w:rsidR="00041CC8" w:rsidRPr="00BB3991" w:rsidRDefault="00041CC8" w:rsidP="00041CC8">
      <w:pPr>
        <w:autoSpaceDE w:val="0"/>
        <w:autoSpaceDN w:val="0"/>
        <w:adjustRightInd w:val="0"/>
        <w:rPr>
          <w:rFonts w:eastAsia="Calibri"/>
          <w:u w:val="single"/>
        </w:rPr>
      </w:pPr>
      <w:r w:rsidRPr="00BB3991">
        <w:rPr>
          <w:rFonts w:eastAsia="Calibri"/>
          <w:u w:val="single"/>
        </w:rPr>
        <w:t>Laktozė</w:t>
      </w:r>
    </w:p>
    <w:p w14:paraId="7E0A61B0" w14:textId="77777777" w:rsidR="00041CC8" w:rsidRDefault="00041CC8" w:rsidP="00041CC8">
      <w:pPr>
        <w:autoSpaceDE w:val="0"/>
        <w:autoSpaceDN w:val="0"/>
        <w:adjustRightInd w:val="0"/>
        <w:rPr>
          <w:rFonts w:eastAsia="Calibri"/>
        </w:rPr>
      </w:pPr>
      <w:r w:rsidRPr="005454C8">
        <w:rPr>
          <w:rFonts w:eastAsia="Calibri"/>
        </w:rPr>
        <w:lastRenderedPageBreak/>
        <w:t xml:space="preserve">VERRIA </w:t>
      </w:r>
      <w:r>
        <w:rPr>
          <w:rFonts w:eastAsia="Calibri"/>
        </w:rPr>
        <w:t xml:space="preserve">plėvele dengtų </w:t>
      </w:r>
      <w:r w:rsidRPr="005454C8">
        <w:rPr>
          <w:rFonts w:eastAsia="Calibri"/>
        </w:rPr>
        <w:t xml:space="preserve">tablečių sudėtyje yra laktozės. </w:t>
      </w:r>
      <w:r w:rsidRPr="00BB3991">
        <w:rPr>
          <w:rFonts w:eastAsia="Calibri"/>
        </w:rPr>
        <w:t>Šio vaistinio preparato negalima vartoti</w:t>
      </w:r>
      <w:r>
        <w:rPr>
          <w:rFonts w:eastAsia="Calibri"/>
        </w:rPr>
        <w:t xml:space="preserve"> </w:t>
      </w:r>
      <w:r w:rsidRPr="00BB3991">
        <w:rPr>
          <w:rFonts w:eastAsia="Calibri"/>
        </w:rPr>
        <w:t>pacientams, kuriems nustatytas retas paveldimas sutrikimas – galaktozės netoleravimas, visiškas</w:t>
      </w:r>
      <w:r>
        <w:rPr>
          <w:rFonts w:eastAsia="Calibri"/>
        </w:rPr>
        <w:t xml:space="preserve"> </w:t>
      </w:r>
      <w:r w:rsidRPr="00BB3991">
        <w:rPr>
          <w:rFonts w:eastAsia="Calibri"/>
        </w:rPr>
        <w:t>laktazės stygius arba gliukozės ir galaktozės malabsorbcija.</w:t>
      </w:r>
    </w:p>
    <w:p w14:paraId="6F5290A0" w14:textId="77777777" w:rsidR="00041CC8" w:rsidRDefault="00041CC8" w:rsidP="00041CC8">
      <w:pPr>
        <w:autoSpaceDE w:val="0"/>
        <w:autoSpaceDN w:val="0"/>
        <w:adjustRightInd w:val="0"/>
        <w:rPr>
          <w:rFonts w:eastAsia="Calibri"/>
        </w:rPr>
      </w:pPr>
    </w:p>
    <w:p w14:paraId="4D833559" w14:textId="77777777" w:rsidR="00041CC8" w:rsidRPr="00BB3991" w:rsidRDefault="00041CC8" w:rsidP="00041CC8">
      <w:pPr>
        <w:autoSpaceDE w:val="0"/>
        <w:autoSpaceDN w:val="0"/>
        <w:adjustRightInd w:val="0"/>
        <w:rPr>
          <w:rFonts w:eastAsia="Calibri"/>
          <w:u w:val="single"/>
        </w:rPr>
      </w:pPr>
      <w:r w:rsidRPr="00BB3991">
        <w:rPr>
          <w:rFonts w:eastAsia="Calibri"/>
          <w:u w:val="single"/>
        </w:rPr>
        <w:t>Natris</w:t>
      </w:r>
    </w:p>
    <w:p w14:paraId="3DA26E79" w14:textId="77777777" w:rsidR="00041CC8" w:rsidRPr="005454C8" w:rsidRDefault="00041CC8" w:rsidP="00041CC8">
      <w:pPr>
        <w:autoSpaceDE w:val="0"/>
        <w:autoSpaceDN w:val="0"/>
        <w:adjustRightInd w:val="0"/>
        <w:rPr>
          <w:rFonts w:eastAsia="Calibri"/>
        </w:rPr>
      </w:pPr>
      <w:r w:rsidRPr="00BB3991">
        <w:rPr>
          <w:rFonts w:eastAsia="Calibri"/>
        </w:rPr>
        <w:t>Šio vaistinio preparato tabletėje yra mažiau kaip 1 mmol (23</w:t>
      </w:r>
      <w:r>
        <w:rPr>
          <w:rFonts w:eastAsia="Calibri"/>
        </w:rPr>
        <w:t> </w:t>
      </w:r>
      <w:r w:rsidRPr="00BB3991">
        <w:rPr>
          <w:rFonts w:eastAsia="Calibri"/>
        </w:rPr>
        <w:t>mg) natrio</w:t>
      </w:r>
      <w:r>
        <w:rPr>
          <w:rFonts w:eastAsia="Calibri"/>
        </w:rPr>
        <w:t>, t.y. jis beveik neturi reikšmės.</w:t>
      </w:r>
    </w:p>
    <w:p w14:paraId="1B74FB51" w14:textId="77777777" w:rsidR="00041CC8" w:rsidRPr="009A1B7F" w:rsidRDefault="00041CC8" w:rsidP="00041CC8">
      <w:pPr>
        <w:rPr>
          <w:szCs w:val="24"/>
          <w:lang w:eastAsia="en-US"/>
        </w:rPr>
      </w:pPr>
    </w:p>
    <w:p w14:paraId="71DA005B" w14:textId="77777777" w:rsidR="00041CC8" w:rsidRPr="005454C8" w:rsidRDefault="00041CC8" w:rsidP="00041CC8">
      <w:pPr>
        <w:rPr>
          <w:b/>
        </w:rPr>
      </w:pPr>
      <w:r w:rsidRPr="005454C8">
        <w:rPr>
          <w:b/>
        </w:rPr>
        <w:t>4.5</w:t>
      </w:r>
      <w:r w:rsidRPr="005454C8">
        <w:rPr>
          <w:b/>
        </w:rPr>
        <w:tab/>
        <w:t>Sąveika su kitais vaistiniais preparatais ir kitokia sąveika</w:t>
      </w:r>
    </w:p>
    <w:p w14:paraId="534C8A29" w14:textId="77777777" w:rsidR="00041CC8" w:rsidRPr="005454C8" w:rsidRDefault="00041CC8" w:rsidP="00041CC8">
      <w:pPr>
        <w:autoSpaceDE w:val="0"/>
        <w:autoSpaceDN w:val="0"/>
        <w:adjustRightInd w:val="0"/>
        <w:rPr>
          <w:rFonts w:eastAsia="Calibri"/>
        </w:rPr>
      </w:pPr>
    </w:p>
    <w:p w14:paraId="3A5D1E56" w14:textId="77777777" w:rsidR="00041CC8" w:rsidRDefault="00041CC8" w:rsidP="00041CC8">
      <w:pPr>
        <w:autoSpaceDE w:val="0"/>
        <w:autoSpaceDN w:val="0"/>
        <w:adjustRightInd w:val="0"/>
        <w:rPr>
          <w:rFonts w:eastAsia="Calibri"/>
        </w:rPr>
      </w:pPr>
      <w:r w:rsidRPr="005454C8">
        <w:rPr>
          <w:rFonts w:eastAsia="Calibri"/>
        </w:rPr>
        <w:t xml:space="preserve">Vorikonazolas metabolizuojamas veikiant citochromo P450 CYP2C19, CYP2C9 ir CYP3A4 izofermentams ir slopina šių fermentų aktyvumą. Šiuos izofermentus slopinantys arba sužadinantys vaistiniai preparatai gali atitinkamai didinti arba mažinti vorikonazolo koncentracijas </w:t>
      </w:r>
      <w:r w:rsidRPr="009A1B7F">
        <w:rPr>
          <w:rFonts w:eastAsia="Calibri"/>
          <w:szCs w:val="22"/>
          <w:lang w:eastAsia="en-US"/>
        </w:rPr>
        <w:t xml:space="preserve">kraujo </w:t>
      </w:r>
      <w:r w:rsidRPr="005454C8">
        <w:rPr>
          <w:rFonts w:eastAsia="Calibri"/>
        </w:rPr>
        <w:t xml:space="preserve">plazmoje ir vorikonazolas gali didinti medžiagų, kurios metabolizuojamos veikiant šiems citochromo P450 izofermentams, koncentracijas </w:t>
      </w:r>
      <w:r w:rsidRPr="009A1B7F">
        <w:rPr>
          <w:rFonts w:eastAsia="Calibri"/>
          <w:szCs w:val="22"/>
          <w:lang w:eastAsia="en-US"/>
        </w:rPr>
        <w:t xml:space="preserve">kraujo </w:t>
      </w:r>
      <w:r w:rsidRPr="005454C8">
        <w:rPr>
          <w:rFonts w:eastAsia="Calibri"/>
        </w:rPr>
        <w:t>plazmoje.</w:t>
      </w:r>
      <w:r w:rsidRPr="00541970">
        <w:t xml:space="preserve"> </w:t>
      </w:r>
      <w:bookmarkStart w:id="8" w:name="_Hlk87626274"/>
      <w:r w:rsidRPr="00541970">
        <w:rPr>
          <w:rFonts w:eastAsia="Calibri"/>
        </w:rPr>
        <w:t>Ypač tai taikoma medžiagoms, kurias metabolizuoja</w:t>
      </w:r>
      <w:r>
        <w:rPr>
          <w:rFonts w:eastAsia="Calibri"/>
        </w:rPr>
        <w:t xml:space="preserve"> </w:t>
      </w:r>
      <w:r w:rsidRPr="00541970">
        <w:rPr>
          <w:rFonts w:eastAsia="Calibri"/>
        </w:rPr>
        <w:t>CYP3A4, nes vorikonazolas yra stiprus CYP3A4 inhibitorius, nors AUC augimas priklauso nuo</w:t>
      </w:r>
      <w:r>
        <w:rPr>
          <w:rFonts w:eastAsia="Calibri"/>
        </w:rPr>
        <w:t xml:space="preserve"> </w:t>
      </w:r>
      <w:r w:rsidRPr="00541970">
        <w:rPr>
          <w:rFonts w:eastAsia="Calibri"/>
        </w:rPr>
        <w:t>substrato (žr. lentelę žemiau).</w:t>
      </w:r>
    </w:p>
    <w:bookmarkEnd w:id="8"/>
    <w:p w14:paraId="2161A21C" w14:textId="77777777" w:rsidR="00041CC8" w:rsidRPr="005454C8" w:rsidRDefault="00041CC8" w:rsidP="00041CC8">
      <w:pPr>
        <w:autoSpaceDE w:val="0"/>
        <w:autoSpaceDN w:val="0"/>
        <w:adjustRightInd w:val="0"/>
        <w:rPr>
          <w:rFonts w:eastAsia="Calibri"/>
        </w:rPr>
      </w:pPr>
    </w:p>
    <w:p w14:paraId="3994CFFC" w14:textId="77777777" w:rsidR="00041CC8" w:rsidRPr="005454C8" w:rsidRDefault="00041CC8" w:rsidP="00041CC8">
      <w:pPr>
        <w:autoSpaceDE w:val="0"/>
        <w:autoSpaceDN w:val="0"/>
        <w:adjustRightInd w:val="0"/>
        <w:rPr>
          <w:rFonts w:eastAsia="Calibri"/>
        </w:rPr>
      </w:pPr>
      <w:r w:rsidRPr="005454C8">
        <w:rPr>
          <w:rFonts w:eastAsia="Calibri"/>
        </w:rPr>
        <w:t>Jeigu nenurodyta kitaip, vaistinių preparatų sąveikos tyrimai atlikti su sveikais savanoriais vyrais,</w:t>
      </w:r>
      <w:r w:rsidRPr="005454C8" w:rsidDel="00997679">
        <w:rPr>
          <w:rFonts w:eastAsia="Calibri"/>
        </w:rPr>
        <w:t xml:space="preserve"> </w:t>
      </w:r>
      <w:r w:rsidRPr="005454C8">
        <w:rPr>
          <w:rFonts w:eastAsia="Calibri"/>
        </w:rPr>
        <w:t>kurie pusiausvyros apykaitos sąlygomis vartojo kartotines 200 mg vorikonazolo dozes du kartus per parą (2 x per parą). Šie rezultatai yra svarbūs kitoms populiacijoms ir vartojimo būdams.</w:t>
      </w:r>
    </w:p>
    <w:p w14:paraId="1CFBB8C9" w14:textId="77777777" w:rsidR="00041CC8" w:rsidRPr="005454C8" w:rsidRDefault="00041CC8" w:rsidP="00041CC8">
      <w:pPr>
        <w:autoSpaceDE w:val="0"/>
        <w:autoSpaceDN w:val="0"/>
        <w:adjustRightInd w:val="0"/>
        <w:rPr>
          <w:rFonts w:eastAsia="Calibri"/>
        </w:rPr>
      </w:pPr>
    </w:p>
    <w:p w14:paraId="7FECC05F" w14:textId="77777777" w:rsidR="00041CC8" w:rsidRPr="005454C8" w:rsidRDefault="00041CC8" w:rsidP="00041CC8">
      <w:pPr>
        <w:autoSpaceDE w:val="0"/>
        <w:autoSpaceDN w:val="0"/>
        <w:adjustRightInd w:val="0"/>
        <w:rPr>
          <w:rFonts w:eastAsia="Calibri"/>
        </w:rPr>
      </w:pPr>
      <w:r w:rsidRPr="005454C8">
        <w:rPr>
          <w:rFonts w:eastAsia="Calibri"/>
        </w:rPr>
        <w:t xml:space="preserve">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w:t>
      </w:r>
      <w:r w:rsidRPr="009A1B7F">
        <w:rPr>
          <w:rFonts w:eastAsia="Calibri"/>
          <w:szCs w:val="22"/>
          <w:lang w:eastAsia="en-US"/>
        </w:rPr>
        <w:t>chinidino</w:t>
      </w:r>
      <w:r w:rsidRPr="005454C8">
        <w:rPr>
          <w:rFonts w:eastAsia="Calibri"/>
        </w:rPr>
        <w:t>, cisaprido, pimozido</w:t>
      </w:r>
      <w:r>
        <w:rPr>
          <w:rFonts w:eastAsia="Calibri"/>
        </w:rPr>
        <w:t xml:space="preserve"> ir ivabradino</w:t>
      </w:r>
      <w:r w:rsidRPr="005454C8">
        <w:rPr>
          <w:rFonts w:eastAsia="Calibri"/>
        </w:rPr>
        <w:t xml:space="preserve">), koncentracijas </w:t>
      </w:r>
      <w:r w:rsidRPr="009A1B7F">
        <w:rPr>
          <w:rFonts w:eastAsia="Calibri"/>
          <w:szCs w:val="22"/>
          <w:lang w:eastAsia="en-US"/>
        </w:rPr>
        <w:t xml:space="preserve">kraujo </w:t>
      </w:r>
      <w:r w:rsidRPr="005454C8">
        <w:rPr>
          <w:rFonts w:eastAsia="Calibri"/>
        </w:rPr>
        <w:t>plazmoje (žr. toliau ir 4.3 skyriuje).</w:t>
      </w:r>
    </w:p>
    <w:p w14:paraId="389CF60C" w14:textId="77777777" w:rsidR="00041CC8" w:rsidRPr="005454C8" w:rsidRDefault="00041CC8" w:rsidP="00041CC8">
      <w:pPr>
        <w:autoSpaceDE w:val="0"/>
        <w:autoSpaceDN w:val="0"/>
        <w:adjustRightInd w:val="0"/>
        <w:rPr>
          <w:rFonts w:eastAsia="Calibri"/>
        </w:rPr>
      </w:pPr>
    </w:p>
    <w:p w14:paraId="7897F5CF" w14:textId="77777777" w:rsidR="00041CC8" w:rsidRPr="005454C8" w:rsidRDefault="00041CC8" w:rsidP="00041CC8">
      <w:pPr>
        <w:autoSpaceDE w:val="0"/>
        <w:autoSpaceDN w:val="0"/>
        <w:adjustRightInd w:val="0"/>
        <w:rPr>
          <w:rFonts w:eastAsia="Calibri"/>
          <w:u w:val="single"/>
        </w:rPr>
      </w:pPr>
      <w:r w:rsidRPr="005454C8">
        <w:rPr>
          <w:rFonts w:eastAsia="Calibri"/>
          <w:u w:val="single"/>
        </w:rPr>
        <w:t>Sąveikos lentelė</w:t>
      </w:r>
    </w:p>
    <w:p w14:paraId="78BE0307" w14:textId="77777777" w:rsidR="00041CC8" w:rsidRPr="005454C8" w:rsidRDefault="00041CC8" w:rsidP="00041CC8">
      <w:pPr>
        <w:autoSpaceDE w:val="0"/>
        <w:autoSpaceDN w:val="0"/>
        <w:adjustRightInd w:val="0"/>
        <w:rPr>
          <w:rFonts w:eastAsia="Calibri"/>
        </w:rPr>
      </w:pPr>
      <w:r w:rsidRPr="005454C8">
        <w:rPr>
          <w:rFonts w:eastAsia="Calibri"/>
        </w:rPr>
        <w:t xml:space="preserve">Vorikonazolo sąveika su kitais vaistiniais preparatais yra išvardyta toliau esančioje lentelėje (vieną kartą per parą nurodyta ,,1 x per parą”, du kartus per parą – ,,2 x per parą”, tris kartus per parą –,,3 x per parą ir nenustatytas ,,NN”). Rodyklės kryptis kiekvienam farmakokinetiniam parametrui pagrįsta geometrinio vidurkio koeficiento 90 % pasikliautinuoju intervalu: (↔) reiškia neviršijant ribų, (↓) – žemiau arba (↑) – virš 80 - 125 % ribos. Žvaigždute (*) pažymėti abipusės sąveikos atvejai. </w:t>
      </w:r>
      <w:r w:rsidRPr="005454C8">
        <w:t>AUC</w:t>
      </w:r>
      <w:r w:rsidRPr="005454C8">
        <w:rPr>
          <w:vertAlign w:val="subscript"/>
        </w:rPr>
        <w:t>τ</w:t>
      </w:r>
      <w:r w:rsidRPr="005454C8">
        <w:t>, AUC</w:t>
      </w:r>
      <w:r w:rsidRPr="005454C8">
        <w:rPr>
          <w:vertAlign w:val="subscript"/>
        </w:rPr>
        <w:t>t</w:t>
      </w:r>
      <w:r w:rsidRPr="005454C8">
        <w:t xml:space="preserve"> </w:t>
      </w:r>
      <w:r w:rsidRPr="005454C8">
        <w:rPr>
          <w:rFonts w:eastAsia="Calibri"/>
        </w:rPr>
        <w:t xml:space="preserve">ir </w:t>
      </w:r>
      <w:r w:rsidRPr="005454C8">
        <w:t>AUC</w:t>
      </w:r>
      <w:r w:rsidRPr="005454C8">
        <w:rPr>
          <w:vertAlign w:val="subscript"/>
        </w:rPr>
        <w:t>0-∞</w:t>
      </w:r>
      <w:r w:rsidRPr="005454C8">
        <w:rPr>
          <w:rFonts w:ascii="Verdana" w:hAnsi="Verdana"/>
        </w:rPr>
        <w:t xml:space="preserve"> </w:t>
      </w:r>
      <w:r w:rsidRPr="005454C8">
        <w:rPr>
          <w:rFonts w:eastAsia="Calibri"/>
        </w:rPr>
        <w:t>- nurodo plotą po koncentracijų laiko atžvilgiu kreive atitinkamai per dozavimo intervalą, nuo nulinio laiko iki laiko, kuriuo koncentracijos buvo išmatuojamos, ir nuo nulinio laiko iki begalybės.</w:t>
      </w:r>
    </w:p>
    <w:p w14:paraId="2C871510" w14:textId="77777777" w:rsidR="00041CC8" w:rsidRPr="005454C8" w:rsidRDefault="00041CC8" w:rsidP="00041CC8">
      <w:pPr>
        <w:autoSpaceDE w:val="0"/>
        <w:autoSpaceDN w:val="0"/>
        <w:adjustRightInd w:val="0"/>
      </w:pPr>
    </w:p>
    <w:p w14:paraId="553FC17B" w14:textId="77777777" w:rsidR="00041CC8" w:rsidRPr="005454C8" w:rsidRDefault="00041CC8" w:rsidP="00041CC8">
      <w:pPr>
        <w:autoSpaceDE w:val="0"/>
        <w:autoSpaceDN w:val="0"/>
        <w:adjustRightInd w:val="0"/>
      </w:pPr>
      <w:r w:rsidRPr="005454C8">
        <w:rPr>
          <w:rFonts w:eastAsia="Calibri"/>
        </w:rPr>
        <w:t>Sąveikos lentelėje duomenys pateikiami tokia tvarka: kontraindikacijos, vaistiniai preparatai, kurių dozę dėl sąveikos reikia keisti ir juos vartojant būtinas atidus klinikinis ir (arba) biologinis stebėjimas, ir galiausiai vaistiniai preparatai, farmakokinetinė sąveika su kuriais yra nereikšminga, bet gali kelti klinikinį susidomėjimą gydant.</w:t>
      </w:r>
    </w:p>
    <w:p w14:paraId="09EE6E25" w14:textId="77777777" w:rsidR="00041CC8" w:rsidRPr="005454C8" w:rsidRDefault="00041CC8" w:rsidP="00041C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3010"/>
        <w:gridCol w:w="3506"/>
        <w:gridCol w:w="2544"/>
      </w:tblGrid>
      <w:tr w:rsidR="00041CC8" w:rsidRPr="009A1B7F" w14:paraId="2CDD898E" w14:textId="77777777" w:rsidTr="00A136A1">
        <w:trPr>
          <w:trHeight w:val="557"/>
          <w:tblHeader/>
        </w:trPr>
        <w:tc>
          <w:tcPr>
            <w:tcW w:w="1661" w:type="pct"/>
          </w:tcPr>
          <w:p w14:paraId="1B04287B" w14:textId="77777777" w:rsidR="00041CC8" w:rsidRPr="00982D99" w:rsidRDefault="00041CC8" w:rsidP="00A136A1">
            <w:pPr>
              <w:widowControl w:val="0"/>
              <w:autoSpaceDE w:val="0"/>
              <w:autoSpaceDN w:val="0"/>
              <w:adjustRightInd w:val="0"/>
              <w:rPr>
                <w:rFonts w:eastAsia="Calibri"/>
                <w:bCs/>
                <w:i/>
                <w:iCs/>
              </w:rPr>
            </w:pPr>
            <w:r w:rsidRPr="00982D99">
              <w:rPr>
                <w:rFonts w:eastAsia="Calibri"/>
                <w:bCs/>
                <w:i/>
                <w:iCs/>
              </w:rPr>
              <w:t xml:space="preserve">Vaistinis preparatas </w:t>
            </w:r>
          </w:p>
          <w:p w14:paraId="0991C284" w14:textId="77777777" w:rsidR="00041CC8" w:rsidRPr="00982D99" w:rsidRDefault="00041CC8" w:rsidP="00A136A1">
            <w:pPr>
              <w:widowControl w:val="0"/>
              <w:autoSpaceDE w:val="0"/>
              <w:autoSpaceDN w:val="0"/>
              <w:adjustRightInd w:val="0"/>
              <w:rPr>
                <w:bCs/>
                <w:i/>
                <w:iCs/>
              </w:rPr>
            </w:pPr>
            <w:r w:rsidRPr="00982D99">
              <w:rPr>
                <w:rFonts w:eastAsia="TimesNewRoman,BoldItalic"/>
                <w:bCs/>
                <w:i/>
                <w:iCs/>
              </w:rPr>
              <w:t>[sąveikos mechanizmas]</w:t>
            </w:r>
          </w:p>
        </w:tc>
        <w:tc>
          <w:tcPr>
            <w:tcW w:w="1935" w:type="pct"/>
          </w:tcPr>
          <w:p w14:paraId="37DFEE89" w14:textId="77777777" w:rsidR="00041CC8" w:rsidRPr="00982D99" w:rsidRDefault="00041CC8" w:rsidP="00A136A1">
            <w:pPr>
              <w:autoSpaceDE w:val="0"/>
              <w:autoSpaceDN w:val="0"/>
              <w:adjustRightInd w:val="0"/>
              <w:rPr>
                <w:rFonts w:eastAsia="Calibri"/>
                <w:bCs/>
                <w:i/>
                <w:iCs/>
              </w:rPr>
            </w:pPr>
            <w:r w:rsidRPr="00982D99">
              <w:rPr>
                <w:bCs/>
                <w:i/>
                <w:iCs/>
              </w:rPr>
              <w:t xml:space="preserve"> </w:t>
            </w:r>
            <w:r w:rsidRPr="00982D99">
              <w:rPr>
                <w:rFonts w:eastAsia="Calibri"/>
                <w:bCs/>
                <w:i/>
                <w:iCs/>
              </w:rPr>
              <w:t>Sąveika</w:t>
            </w:r>
          </w:p>
          <w:p w14:paraId="24CEDA88" w14:textId="77777777" w:rsidR="00041CC8" w:rsidRPr="00982D99" w:rsidRDefault="00041CC8" w:rsidP="00A136A1">
            <w:pPr>
              <w:widowControl w:val="0"/>
              <w:autoSpaceDE w:val="0"/>
              <w:autoSpaceDN w:val="0"/>
              <w:adjustRightInd w:val="0"/>
              <w:rPr>
                <w:bCs/>
                <w:i/>
                <w:iCs/>
              </w:rPr>
            </w:pPr>
            <w:r w:rsidRPr="00982D99">
              <w:rPr>
                <w:rFonts w:eastAsia="Calibri"/>
                <w:bCs/>
                <w:i/>
                <w:iCs/>
              </w:rPr>
              <w:t>Geometrinio vidurkio pokytis (%)</w:t>
            </w:r>
          </w:p>
        </w:tc>
        <w:tc>
          <w:tcPr>
            <w:tcW w:w="1404" w:type="pct"/>
          </w:tcPr>
          <w:p w14:paraId="2EA2684D" w14:textId="77777777" w:rsidR="00041CC8" w:rsidRPr="00982D99" w:rsidRDefault="00041CC8" w:rsidP="00A136A1">
            <w:pPr>
              <w:autoSpaceDE w:val="0"/>
              <w:autoSpaceDN w:val="0"/>
              <w:adjustRightInd w:val="0"/>
              <w:rPr>
                <w:rFonts w:eastAsia="Calibri"/>
                <w:bCs/>
                <w:i/>
                <w:iCs/>
              </w:rPr>
            </w:pPr>
            <w:r w:rsidRPr="00982D99">
              <w:rPr>
                <w:rFonts w:eastAsia="Calibri"/>
                <w:bCs/>
                <w:i/>
                <w:iCs/>
              </w:rPr>
              <w:t>Vartojimo kartu rekomendacijos</w:t>
            </w:r>
          </w:p>
          <w:p w14:paraId="27882419" w14:textId="77777777" w:rsidR="00041CC8" w:rsidRPr="00982D99" w:rsidRDefault="00041CC8" w:rsidP="00A136A1">
            <w:pPr>
              <w:widowControl w:val="0"/>
              <w:autoSpaceDE w:val="0"/>
              <w:autoSpaceDN w:val="0"/>
              <w:adjustRightInd w:val="0"/>
              <w:rPr>
                <w:bCs/>
                <w:i/>
                <w:iCs/>
              </w:rPr>
            </w:pPr>
          </w:p>
        </w:tc>
      </w:tr>
      <w:tr w:rsidR="00041CC8" w:rsidRPr="009A1B7F" w14:paraId="2252628A" w14:textId="77777777" w:rsidTr="00A136A1">
        <w:trPr>
          <w:trHeight w:val="651"/>
        </w:trPr>
        <w:tc>
          <w:tcPr>
            <w:tcW w:w="1661" w:type="pct"/>
          </w:tcPr>
          <w:p w14:paraId="49F2E873" w14:textId="77777777" w:rsidR="00041CC8" w:rsidRPr="005454C8" w:rsidRDefault="00041CC8" w:rsidP="00A136A1">
            <w:pPr>
              <w:widowControl w:val="0"/>
              <w:autoSpaceDE w:val="0"/>
              <w:autoSpaceDN w:val="0"/>
              <w:adjustRightInd w:val="0"/>
              <w:rPr>
                <w:rFonts w:eastAsia="Calibri"/>
              </w:rPr>
            </w:pPr>
            <w:r w:rsidRPr="005454C8">
              <w:rPr>
                <w:rFonts w:eastAsia="Calibri"/>
              </w:rPr>
              <w:t>Astemizolas, cisapridas,</w:t>
            </w:r>
            <w:r w:rsidRPr="005454C8" w:rsidDel="00273899">
              <w:rPr>
                <w:rFonts w:eastAsia="Calibri"/>
              </w:rPr>
              <w:t xml:space="preserve"> </w:t>
            </w:r>
            <w:r w:rsidRPr="005454C8">
              <w:rPr>
                <w:rFonts w:eastAsia="Calibri"/>
              </w:rPr>
              <w:t>pimozidas, chinidinas</w:t>
            </w:r>
            <w:r>
              <w:rPr>
                <w:rFonts w:eastAsia="Calibri"/>
              </w:rPr>
              <w:t xml:space="preserve">, </w:t>
            </w:r>
            <w:r w:rsidRPr="005454C8">
              <w:rPr>
                <w:rFonts w:eastAsia="Calibri"/>
              </w:rPr>
              <w:t>terfenadinas</w:t>
            </w:r>
            <w:r>
              <w:rPr>
                <w:rFonts w:eastAsia="Calibri"/>
              </w:rPr>
              <w:t xml:space="preserve"> ir ivabradinas</w:t>
            </w:r>
          </w:p>
          <w:p w14:paraId="06CC51C8" w14:textId="77777777" w:rsidR="00041CC8" w:rsidRPr="005454C8" w:rsidRDefault="00041CC8" w:rsidP="00A136A1">
            <w:pPr>
              <w:widowControl w:val="0"/>
              <w:autoSpaceDE w:val="0"/>
              <w:autoSpaceDN w:val="0"/>
              <w:adjustRightInd w:val="0"/>
            </w:pPr>
            <w:r w:rsidRPr="005454C8">
              <w:rPr>
                <w:rFonts w:eastAsia="TimesNewRoman,Italic"/>
                <w:i/>
              </w:rPr>
              <w:t>[CYP3A4 substratai]</w:t>
            </w:r>
          </w:p>
        </w:tc>
        <w:tc>
          <w:tcPr>
            <w:tcW w:w="1935" w:type="pct"/>
          </w:tcPr>
          <w:p w14:paraId="676A1C80" w14:textId="77777777" w:rsidR="00041CC8" w:rsidRPr="005454C8" w:rsidRDefault="00041CC8" w:rsidP="00A136A1">
            <w:pPr>
              <w:widowControl w:val="0"/>
              <w:autoSpaceDE w:val="0"/>
              <w:autoSpaceDN w:val="0"/>
              <w:adjustRightInd w:val="0"/>
            </w:pPr>
            <w:r w:rsidRPr="005454C8">
              <w:rPr>
                <w:rFonts w:eastAsia="Calibri"/>
              </w:rPr>
              <w:t>Nors tyrimai neatlikti, dėl šių vaistinių preparatų koncentracijų</w:t>
            </w:r>
            <w:r w:rsidRPr="009A1B7F">
              <w:rPr>
                <w:rFonts w:eastAsia="Calibri"/>
                <w:szCs w:val="22"/>
                <w:lang w:eastAsia="en-US"/>
              </w:rPr>
              <w:t xml:space="preserve"> kraujo</w:t>
            </w:r>
            <w:r w:rsidRPr="005454C8">
              <w:rPr>
                <w:rFonts w:eastAsia="Calibri"/>
              </w:rPr>
              <w:t xml:space="preserve"> plazmoje padidėjimo gali pailgėti QTc intervalas ir retais atvejais pasireikšti </w:t>
            </w:r>
            <w:r w:rsidRPr="005454C8">
              <w:rPr>
                <w:rFonts w:eastAsia="TimesNewRoman,Italic"/>
                <w:i/>
              </w:rPr>
              <w:t>torsades de pointes</w:t>
            </w:r>
            <w:r w:rsidRPr="005454C8">
              <w:rPr>
                <w:rFonts w:eastAsia="Calibri"/>
              </w:rPr>
              <w:t>.</w:t>
            </w:r>
          </w:p>
        </w:tc>
        <w:tc>
          <w:tcPr>
            <w:tcW w:w="1404" w:type="pct"/>
          </w:tcPr>
          <w:p w14:paraId="6CD45934" w14:textId="77777777" w:rsidR="00041CC8" w:rsidRPr="00982D99" w:rsidRDefault="00041CC8" w:rsidP="00A136A1">
            <w:pPr>
              <w:widowControl w:val="0"/>
              <w:autoSpaceDE w:val="0"/>
              <w:autoSpaceDN w:val="0"/>
              <w:adjustRightInd w:val="0"/>
              <w:rPr>
                <w:rFonts w:eastAsia="Calibri"/>
                <w:bCs/>
                <w:i/>
                <w:iCs/>
              </w:rPr>
            </w:pPr>
            <w:r w:rsidRPr="00982D99">
              <w:rPr>
                <w:rFonts w:eastAsia="Calibri"/>
                <w:bCs/>
                <w:i/>
                <w:iCs/>
              </w:rPr>
              <w:t>Kontraindikacija</w:t>
            </w:r>
          </w:p>
          <w:p w14:paraId="296EFFA7" w14:textId="77777777" w:rsidR="00041CC8" w:rsidRPr="005F01A1" w:rsidRDefault="00041CC8" w:rsidP="00A136A1">
            <w:pPr>
              <w:widowControl w:val="0"/>
              <w:autoSpaceDE w:val="0"/>
              <w:autoSpaceDN w:val="0"/>
              <w:adjustRightInd w:val="0"/>
              <w:rPr>
                <w:bCs/>
              </w:rPr>
            </w:pPr>
            <w:r w:rsidRPr="005F01A1">
              <w:rPr>
                <w:rFonts w:eastAsia="Calibri"/>
                <w:bCs/>
              </w:rPr>
              <w:t>(žr. 4.3 skyrių)</w:t>
            </w:r>
          </w:p>
        </w:tc>
      </w:tr>
      <w:tr w:rsidR="00041CC8" w:rsidRPr="009A1B7F" w14:paraId="30EC2D86" w14:textId="77777777" w:rsidTr="00A136A1">
        <w:trPr>
          <w:trHeight w:val="651"/>
        </w:trPr>
        <w:tc>
          <w:tcPr>
            <w:tcW w:w="1661" w:type="pct"/>
          </w:tcPr>
          <w:p w14:paraId="78AFC54B" w14:textId="7F3B2F1A" w:rsidR="008A7B68" w:rsidRDefault="00041CC8" w:rsidP="00A136A1">
            <w:pPr>
              <w:widowControl w:val="0"/>
              <w:autoSpaceDE w:val="0"/>
              <w:autoSpaceDN w:val="0"/>
              <w:adjustRightInd w:val="0"/>
              <w:rPr>
                <w:rFonts w:eastAsia="Calibri"/>
              </w:rPr>
            </w:pPr>
            <w:r w:rsidRPr="005454C8">
              <w:rPr>
                <w:rFonts w:eastAsia="Calibri"/>
              </w:rPr>
              <w:t>Karbamazepinas ir ilgai veikiantys barbitūratai (</w:t>
            </w:r>
            <w:r w:rsidR="008A7B68">
              <w:rPr>
                <w:rFonts w:eastAsia="Calibri"/>
              </w:rPr>
              <w:t>įskaitant šiuos, bet jais neapsiribojant:</w:t>
            </w:r>
            <w:r w:rsidRPr="005454C8" w:rsidDel="00273899">
              <w:rPr>
                <w:rFonts w:eastAsia="Calibri"/>
              </w:rPr>
              <w:t xml:space="preserve"> </w:t>
            </w:r>
            <w:r w:rsidRPr="005454C8">
              <w:rPr>
                <w:rFonts w:eastAsia="Calibri"/>
              </w:rPr>
              <w:t>fenobarbitalis, mefobarbitalis)</w:t>
            </w:r>
          </w:p>
          <w:p w14:paraId="4D9B1CCD" w14:textId="1C8AFE58" w:rsidR="00041CC8" w:rsidRPr="005454C8" w:rsidRDefault="00041CC8" w:rsidP="00A136A1">
            <w:pPr>
              <w:widowControl w:val="0"/>
              <w:autoSpaceDE w:val="0"/>
              <w:autoSpaceDN w:val="0"/>
              <w:adjustRightInd w:val="0"/>
            </w:pPr>
            <w:r w:rsidRPr="005454C8">
              <w:rPr>
                <w:rFonts w:eastAsia="TimesNewRoman,Italic"/>
                <w:i/>
              </w:rPr>
              <w:t>[stiprus CYP450 induktorius]</w:t>
            </w:r>
          </w:p>
        </w:tc>
        <w:tc>
          <w:tcPr>
            <w:tcW w:w="1935" w:type="pct"/>
          </w:tcPr>
          <w:p w14:paraId="52ACC80D" w14:textId="77777777" w:rsidR="00041CC8" w:rsidRPr="005454C8" w:rsidRDefault="00041CC8" w:rsidP="00A136A1">
            <w:pPr>
              <w:widowControl w:val="0"/>
              <w:autoSpaceDE w:val="0"/>
              <w:autoSpaceDN w:val="0"/>
              <w:adjustRightInd w:val="0"/>
            </w:pPr>
            <w:r w:rsidRPr="005454C8">
              <w:rPr>
                <w:rFonts w:eastAsia="Calibri"/>
              </w:rPr>
              <w:t xml:space="preserve">Nors tyrimai neatlikti, tikėtina, kad karbamazepinas ir ilgai veikiantys barbitūratai reikšmingai mažins vorikonazolo koncentracijas </w:t>
            </w:r>
            <w:r w:rsidRPr="009A1B7F">
              <w:rPr>
                <w:rFonts w:eastAsia="Calibri"/>
                <w:szCs w:val="22"/>
                <w:lang w:eastAsia="en-US"/>
              </w:rPr>
              <w:t xml:space="preserve">kraujo </w:t>
            </w:r>
            <w:r w:rsidRPr="005454C8">
              <w:rPr>
                <w:rFonts w:eastAsia="Calibri"/>
              </w:rPr>
              <w:t>plazmoje.</w:t>
            </w:r>
          </w:p>
        </w:tc>
        <w:tc>
          <w:tcPr>
            <w:tcW w:w="1404" w:type="pct"/>
          </w:tcPr>
          <w:p w14:paraId="498383EC" w14:textId="77777777" w:rsidR="00041CC8" w:rsidRPr="00982D99" w:rsidRDefault="00041CC8" w:rsidP="00A136A1">
            <w:pPr>
              <w:widowControl w:val="0"/>
              <w:autoSpaceDE w:val="0"/>
              <w:autoSpaceDN w:val="0"/>
              <w:adjustRightInd w:val="0"/>
              <w:rPr>
                <w:rFonts w:eastAsia="Calibri"/>
                <w:bCs/>
                <w:i/>
                <w:iCs/>
              </w:rPr>
            </w:pPr>
            <w:r w:rsidRPr="00982D99">
              <w:rPr>
                <w:rFonts w:eastAsia="Calibri"/>
                <w:bCs/>
                <w:i/>
                <w:iCs/>
              </w:rPr>
              <w:t>Kontraindikacija</w:t>
            </w:r>
          </w:p>
          <w:p w14:paraId="5568CF79" w14:textId="77777777" w:rsidR="00041CC8" w:rsidRPr="005454C8" w:rsidRDefault="00041CC8" w:rsidP="00A136A1">
            <w:pPr>
              <w:widowControl w:val="0"/>
              <w:autoSpaceDE w:val="0"/>
              <w:autoSpaceDN w:val="0"/>
              <w:adjustRightInd w:val="0"/>
            </w:pPr>
            <w:r w:rsidRPr="005454C8">
              <w:rPr>
                <w:rFonts w:eastAsia="Calibri"/>
              </w:rPr>
              <w:t>(žr. 4.3 skyrių)</w:t>
            </w:r>
          </w:p>
        </w:tc>
      </w:tr>
      <w:tr w:rsidR="00041CC8" w:rsidRPr="009A1B7F" w14:paraId="692213EF" w14:textId="77777777" w:rsidTr="00A136A1">
        <w:trPr>
          <w:trHeight w:val="651"/>
        </w:trPr>
        <w:tc>
          <w:tcPr>
            <w:tcW w:w="1661" w:type="pct"/>
          </w:tcPr>
          <w:p w14:paraId="6F9B3BFA" w14:textId="77777777" w:rsidR="00041CC8" w:rsidRPr="005454C8" w:rsidRDefault="00041CC8" w:rsidP="00A136A1">
            <w:pPr>
              <w:autoSpaceDE w:val="0"/>
              <w:autoSpaceDN w:val="0"/>
              <w:adjustRightInd w:val="0"/>
              <w:rPr>
                <w:rFonts w:eastAsia="TimesNewRoman,Italic"/>
                <w:i/>
              </w:rPr>
            </w:pPr>
            <w:r w:rsidRPr="005454C8">
              <w:rPr>
                <w:rFonts w:eastAsia="Calibri"/>
              </w:rPr>
              <w:lastRenderedPageBreak/>
              <w:t xml:space="preserve">Efavirenzas (nenukleozido atvirkštinės transkriptazės inhibitorius) </w:t>
            </w:r>
            <w:r w:rsidRPr="005454C8">
              <w:rPr>
                <w:rFonts w:eastAsia="TimesNewRoman,Italic"/>
                <w:i/>
              </w:rPr>
              <w:t>[CYP450  sužadinantis vaistinis preparatas, CYP3A4 inhibitorius ir substratas]</w:t>
            </w:r>
          </w:p>
          <w:p w14:paraId="3158DEE8" w14:textId="77777777" w:rsidR="00041CC8" w:rsidRPr="005454C8" w:rsidRDefault="00041CC8" w:rsidP="00A136A1">
            <w:pPr>
              <w:autoSpaceDE w:val="0"/>
              <w:autoSpaceDN w:val="0"/>
              <w:adjustRightInd w:val="0"/>
              <w:rPr>
                <w:rFonts w:eastAsia="TimesNewRoman,Italic"/>
                <w:i/>
              </w:rPr>
            </w:pPr>
          </w:p>
          <w:p w14:paraId="396C3223" w14:textId="1B4C403A" w:rsidR="00041CC8" w:rsidRPr="005454C8" w:rsidRDefault="00041CC8" w:rsidP="00A136A1">
            <w:pPr>
              <w:autoSpaceDE w:val="0"/>
              <w:autoSpaceDN w:val="0"/>
              <w:adjustRightInd w:val="0"/>
              <w:rPr>
                <w:rFonts w:eastAsia="Calibri"/>
              </w:rPr>
            </w:pPr>
            <w:r w:rsidRPr="005454C8">
              <w:rPr>
                <w:rFonts w:eastAsia="Calibri"/>
              </w:rPr>
              <w:t>400 mg efavirenzo dozė 1 x per parą vartojama kartu su 200 mg vorikonazolo 2 x per parą*</w:t>
            </w:r>
          </w:p>
          <w:p w14:paraId="06CC49FA" w14:textId="77777777" w:rsidR="00041CC8" w:rsidRPr="005454C8" w:rsidRDefault="00041CC8" w:rsidP="00A136A1">
            <w:pPr>
              <w:autoSpaceDE w:val="0"/>
              <w:autoSpaceDN w:val="0"/>
              <w:adjustRightInd w:val="0"/>
              <w:rPr>
                <w:rFonts w:eastAsia="Calibri"/>
              </w:rPr>
            </w:pPr>
          </w:p>
          <w:p w14:paraId="663EA674" w14:textId="77777777" w:rsidR="00041CC8" w:rsidRPr="005454C8" w:rsidRDefault="00041CC8" w:rsidP="00A136A1">
            <w:pPr>
              <w:autoSpaceDE w:val="0"/>
              <w:autoSpaceDN w:val="0"/>
              <w:adjustRightInd w:val="0"/>
              <w:rPr>
                <w:rFonts w:eastAsia="Calibri"/>
              </w:rPr>
            </w:pPr>
          </w:p>
          <w:p w14:paraId="0C84978C" w14:textId="77777777" w:rsidR="00041CC8" w:rsidRPr="005454C8" w:rsidRDefault="00041CC8" w:rsidP="00A136A1">
            <w:pPr>
              <w:widowControl w:val="0"/>
              <w:autoSpaceDE w:val="0"/>
              <w:autoSpaceDN w:val="0"/>
              <w:adjustRightInd w:val="0"/>
            </w:pPr>
            <w:r w:rsidRPr="005454C8">
              <w:rPr>
                <w:rFonts w:eastAsia="Calibri"/>
              </w:rPr>
              <w:t>300 mg efavirenzo dozė  1 x per parą, vartojama kartu su 400 mg vorikonazolo 2 x per parą*</w:t>
            </w:r>
          </w:p>
        </w:tc>
        <w:tc>
          <w:tcPr>
            <w:tcW w:w="1935" w:type="pct"/>
          </w:tcPr>
          <w:p w14:paraId="55B67C72" w14:textId="77777777" w:rsidR="00041CC8" w:rsidRPr="005454C8" w:rsidRDefault="00041CC8" w:rsidP="00A136A1">
            <w:pPr>
              <w:widowControl w:val="0"/>
              <w:autoSpaceDE w:val="0"/>
              <w:autoSpaceDN w:val="0"/>
              <w:adjustRightInd w:val="0"/>
            </w:pPr>
          </w:p>
          <w:p w14:paraId="54D11028" w14:textId="77777777" w:rsidR="00041CC8" w:rsidRPr="005454C8" w:rsidRDefault="00041CC8" w:rsidP="00A136A1">
            <w:pPr>
              <w:widowControl w:val="0"/>
              <w:autoSpaceDE w:val="0"/>
              <w:autoSpaceDN w:val="0"/>
              <w:adjustRightInd w:val="0"/>
            </w:pPr>
          </w:p>
          <w:p w14:paraId="7365BA33" w14:textId="77777777" w:rsidR="00041CC8" w:rsidRPr="005454C8" w:rsidRDefault="00041CC8" w:rsidP="00A136A1">
            <w:pPr>
              <w:widowControl w:val="0"/>
              <w:autoSpaceDE w:val="0"/>
              <w:autoSpaceDN w:val="0"/>
              <w:adjustRightInd w:val="0"/>
            </w:pPr>
          </w:p>
          <w:p w14:paraId="20A53768" w14:textId="77777777" w:rsidR="00041CC8" w:rsidRPr="005454C8" w:rsidRDefault="00041CC8" w:rsidP="00A136A1">
            <w:pPr>
              <w:widowControl w:val="0"/>
              <w:autoSpaceDE w:val="0"/>
              <w:autoSpaceDN w:val="0"/>
              <w:adjustRightInd w:val="0"/>
            </w:pPr>
          </w:p>
          <w:p w14:paraId="7D4B5470" w14:textId="77777777" w:rsidR="00041CC8" w:rsidRPr="005454C8" w:rsidRDefault="00041CC8" w:rsidP="00A136A1">
            <w:pPr>
              <w:widowControl w:val="0"/>
              <w:autoSpaceDE w:val="0"/>
              <w:autoSpaceDN w:val="0"/>
              <w:adjustRightInd w:val="0"/>
            </w:pPr>
          </w:p>
          <w:p w14:paraId="4DF34DB7" w14:textId="77777777" w:rsidR="00041CC8" w:rsidRPr="005454C8" w:rsidRDefault="00041CC8" w:rsidP="00A136A1">
            <w:pPr>
              <w:widowControl w:val="0"/>
              <w:autoSpaceDE w:val="0"/>
              <w:autoSpaceDN w:val="0"/>
              <w:adjustRightInd w:val="0"/>
            </w:pPr>
          </w:p>
          <w:p w14:paraId="09F9373B" w14:textId="77777777" w:rsidR="00041CC8" w:rsidRPr="005454C8" w:rsidRDefault="00041CC8" w:rsidP="00A136A1">
            <w:pPr>
              <w:autoSpaceDE w:val="0"/>
              <w:autoSpaceDN w:val="0"/>
              <w:adjustRightInd w:val="0"/>
              <w:rPr>
                <w:rFonts w:eastAsia="Calibri"/>
              </w:rPr>
            </w:pPr>
          </w:p>
          <w:p w14:paraId="38C88C6E" w14:textId="77777777" w:rsidR="00041CC8" w:rsidRPr="005454C8" w:rsidRDefault="00041CC8" w:rsidP="00A136A1">
            <w:pPr>
              <w:autoSpaceDE w:val="0"/>
              <w:autoSpaceDN w:val="0"/>
              <w:adjustRightInd w:val="0"/>
              <w:rPr>
                <w:rFonts w:eastAsia="Calibri"/>
              </w:rPr>
            </w:pPr>
            <w:r w:rsidRPr="005454C8">
              <w:rPr>
                <w:rFonts w:eastAsia="Calibri"/>
              </w:rPr>
              <w:t>Efavirenzo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38 %</w:t>
            </w:r>
          </w:p>
          <w:p w14:paraId="00C02212" w14:textId="77777777" w:rsidR="00041CC8" w:rsidRPr="005454C8" w:rsidRDefault="00041CC8" w:rsidP="00A136A1">
            <w:pPr>
              <w:widowControl w:val="0"/>
              <w:autoSpaceDE w:val="0"/>
              <w:autoSpaceDN w:val="0"/>
              <w:adjustRightInd w:val="0"/>
            </w:pPr>
            <w:r w:rsidRPr="005454C8">
              <w:rPr>
                <w:rFonts w:eastAsia="Calibri"/>
              </w:rPr>
              <w:t xml:space="preserve">Efavirenzo </w:t>
            </w:r>
            <w:r w:rsidRPr="005454C8">
              <w:t>AUC</w:t>
            </w:r>
            <w:r w:rsidRPr="005454C8">
              <w:rPr>
                <w:vertAlign w:val="subscript"/>
              </w:rPr>
              <w:t>τ</w:t>
            </w:r>
            <w:r w:rsidRPr="005454C8">
              <w:t xml:space="preserve"> ↑ 44% </w:t>
            </w:r>
          </w:p>
          <w:p w14:paraId="65E7B24D"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61 %</w:t>
            </w:r>
          </w:p>
          <w:p w14:paraId="04B022CC"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r w:rsidRPr="005454C8">
              <w:t>↓</w:t>
            </w:r>
            <w:r w:rsidRPr="005454C8">
              <w:rPr>
                <w:rFonts w:eastAsia="Calibri"/>
              </w:rPr>
              <w:t xml:space="preserve"> 77 %</w:t>
            </w:r>
          </w:p>
          <w:p w14:paraId="74339D7C" w14:textId="77777777" w:rsidR="00041CC8" w:rsidRPr="005454C8" w:rsidRDefault="00041CC8" w:rsidP="00A136A1">
            <w:pPr>
              <w:autoSpaceDE w:val="0"/>
              <w:autoSpaceDN w:val="0"/>
              <w:adjustRightInd w:val="0"/>
              <w:rPr>
                <w:rFonts w:eastAsia="Calibri"/>
              </w:rPr>
            </w:pPr>
          </w:p>
          <w:p w14:paraId="7B2D92C8" w14:textId="77777777" w:rsidR="00041CC8" w:rsidRPr="005454C8" w:rsidRDefault="00041CC8" w:rsidP="00A136A1">
            <w:pPr>
              <w:autoSpaceDE w:val="0"/>
              <w:autoSpaceDN w:val="0"/>
              <w:adjustRightInd w:val="0"/>
              <w:rPr>
                <w:rFonts w:eastAsia="Calibri"/>
              </w:rPr>
            </w:pPr>
            <w:r w:rsidRPr="005454C8">
              <w:rPr>
                <w:rFonts w:eastAsia="Calibri"/>
              </w:rPr>
              <w:t>Palyginti su 600 mg efavirenzo doze 1 x per parą,</w:t>
            </w:r>
            <w:r w:rsidRPr="005454C8" w:rsidDel="009E2CB5">
              <w:rPr>
                <w:rFonts w:eastAsia="Calibri"/>
              </w:rPr>
              <w:t xml:space="preserve"> </w:t>
            </w:r>
            <w:r w:rsidRPr="005454C8">
              <w:rPr>
                <w:rFonts w:eastAsia="Calibri"/>
              </w:rPr>
              <w:t>efavirenzo C</w:t>
            </w:r>
            <w:r w:rsidRPr="005454C8">
              <w:rPr>
                <w:rFonts w:eastAsia="Calibri"/>
                <w:vertAlign w:val="subscript"/>
              </w:rPr>
              <w:t>max</w:t>
            </w:r>
            <w:r w:rsidRPr="005454C8">
              <w:rPr>
                <w:rFonts w:eastAsia="Calibri"/>
              </w:rPr>
              <w:t xml:space="preserve"> ↔ efavirenzo </w:t>
            </w:r>
            <w:r w:rsidRPr="005454C8">
              <w:t>AUC</w:t>
            </w:r>
            <w:r w:rsidRPr="005454C8">
              <w:rPr>
                <w:vertAlign w:val="subscript"/>
              </w:rPr>
              <w:t>τ</w:t>
            </w:r>
            <w:r w:rsidRPr="005454C8">
              <w:t xml:space="preserve"> ↑</w:t>
            </w:r>
            <w:r w:rsidRPr="005454C8">
              <w:rPr>
                <w:rFonts w:eastAsia="Calibri"/>
              </w:rPr>
              <w:t>17 %</w:t>
            </w:r>
          </w:p>
          <w:p w14:paraId="1E6502DC" w14:textId="77777777" w:rsidR="00041CC8" w:rsidRPr="005454C8" w:rsidRDefault="00041CC8" w:rsidP="00A136A1">
            <w:pPr>
              <w:autoSpaceDE w:val="0"/>
              <w:autoSpaceDN w:val="0"/>
              <w:adjustRightInd w:val="0"/>
              <w:rPr>
                <w:rFonts w:eastAsia="Calibri"/>
              </w:rPr>
            </w:pPr>
          </w:p>
          <w:p w14:paraId="242B83AC" w14:textId="77777777" w:rsidR="00041CC8" w:rsidRPr="005454C8" w:rsidRDefault="00041CC8" w:rsidP="00A136A1">
            <w:pPr>
              <w:widowControl w:val="0"/>
              <w:autoSpaceDE w:val="0"/>
              <w:autoSpaceDN w:val="0"/>
              <w:adjustRightInd w:val="0"/>
              <w:rPr>
                <w:rFonts w:eastAsia="Calibri"/>
              </w:rPr>
            </w:pPr>
            <w:r w:rsidRPr="005454C8">
              <w:rPr>
                <w:rFonts w:eastAsia="Calibri"/>
              </w:rPr>
              <w:t xml:space="preserve">Palyginti su 200 mg vorikonazolo doze 2 x per parą, </w:t>
            </w:r>
          </w:p>
          <w:p w14:paraId="3467177B" w14:textId="77777777" w:rsidR="00041CC8" w:rsidRPr="005454C8" w:rsidRDefault="00041CC8" w:rsidP="00A136A1">
            <w:pPr>
              <w:widowControl w:val="0"/>
              <w:autoSpaceDE w:val="0"/>
              <w:autoSpaceDN w:val="0"/>
              <w:adjustRightInd w:val="0"/>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23 % vorikonazolo </w:t>
            </w:r>
            <w:r w:rsidRPr="005454C8">
              <w:t>AUC</w:t>
            </w:r>
            <w:r w:rsidRPr="005454C8">
              <w:rPr>
                <w:vertAlign w:val="subscript"/>
              </w:rPr>
              <w:t>τ</w:t>
            </w:r>
            <w:r w:rsidRPr="005454C8">
              <w:t xml:space="preserve"> ↓ </w:t>
            </w:r>
            <w:r w:rsidRPr="005454C8">
              <w:rPr>
                <w:rFonts w:eastAsia="Calibri"/>
              </w:rPr>
              <w:t>7 %</w:t>
            </w:r>
          </w:p>
        </w:tc>
        <w:tc>
          <w:tcPr>
            <w:tcW w:w="1404" w:type="pct"/>
          </w:tcPr>
          <w:p w14:paraId="71FC93C9" w14:textId="77777777" w:rsidR="00041CC8" w:rsidRPr="005454C8" w:rsidRDefault="00041CC8" w:rsidP="00A136A1">
            <w:pPr>
              <w:autoSpaceDE w:val="0"/>
              <w:autoSpaceDN w:val="0"/>
              <w:adjustRightInd w:val="0"/>
              <w:rPr>
                <w:rFonts w:eastAsia="Calibri"/>
                <w:b/>
              </w:rPr>
            </w:pPr>
          </w:p>
          <w:p w14:paraId="01BE7884" w14:textId="77777777" w:rsidR="00041CC8" w:rsidRPr="005454C8" w:rsidRDefault="00041CC8" w:rsidP="00A136A1">
            <w:pPr>
              <w:autoSpaceDE w:val="0"/>
              <w:autoSpaceDN w:val="0"/>
              <w:adjustRightInd w:val="0"/>
              <w:rPr>
                <w:rFonts w:eastAsia="Calibri"/>
                <w:b/>
              </w:rPr>
            </w:pPr>
          </w:p>
          <w:p w14:paraId="0322020D" w14:textId="77777777" w:rsidR="00041CC8" w:rsidRPr="005454C8" w:rsidRDefault="00041CC8" w:rsidP="00A136A1">
            <w:pPr>
              <w:autoSpaceDE w:val="0"/>
              <w:autoSpaceDN w:val="0"/>
              <w:adjustRightInd w:val="0"/>
              <w:rPr>
                <w:rFonts w:eastAsia="Calibri"/>
                <w:b/>
              </w:rPr>
            </w:pPr>
          </w:p>
          <w:p w14:paraId="4AB552A3" w14:textId="77777777" w:rsidR="00041CC8" w:rsidRPr="005454C8" w:rsidRDefault="00041CC8" w:rsidP="00A136A1">
            <w:pPr>
              <w:autoSpaceDE w:val="0"/>
              <w:autoSpaceDN w:val="0"/>
              <w:adjustRightInd w:val="0"/>
              <w:rPr>
                <w:rFonts w:eastAsia="Calibri"/>
                <w:b/>
              </w:rPr>
            </w:pPr>
          </w:p>
          <w:p w14:paraId="2930249B" w14:textId="77777777" w:rsidR="00041CC8" w:rsidRPr="005454C8" w:rsidRDefault="00041CC8" w:rsidP="00A136A1">
            <w:pPr>
              <w:autoSpaceDE w:val="0"/>
              <w:autoSpaceDN w:val="0"/>
              <w:adjustRightInd w:val="0"/>
              <w:rPr>
                <w:rFonts w:eastAsia="Calibri"/>
                <w:b/>
              </w:rPr>
            </w:pPr>
          </w:p>
          <w:p w14:paraId="36F92800"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Pr>
                <w:rFonts w:eastAsia="Calibri"/>
                <w:b/>
              </w:rPr>
              <w:t xml:space="preserve"> </w:t>
            </w:r>
            <w:r w:rsidRPr="005454C8">
              <w:rPr>
                <w:rFonts w:eastAsia="Calibri"/>
              </w:rPr>
              <w:t>vartoti įprastas vorikonazolo dozes kartu su efavirenzo 400 mg 1 x per parą arba didesnėmis dozėmis (žr. 4.3 skyrių).</w:t>
            </w:r>
          </w:p>
          <w:p w14:paraId="0F804BBD" w14:textId="77777777" w:rsidR="00041CC8" w:rsidRPr="005454C8" w:rsidRDefault="00041CC8" w:rsidP="00A136A1">
            <w:pPr>
              <w:autoSpaceDE w:val="0"/>
              <w:autoSpaceDN w:val="0"/>
              <w:adjustRightInd w:val="0"/>
              <w:rPr>
                <w:rFonts w:eastAsia="Calibri"/>
              </w:rPr>
            </w:pPr>
          </w:p>
          <w:p w14:paraId="47E64CEE" w14:textId="77777777" w:rsidR="00041CC8" w:rsidRPr="005454C8" w:rsidRDefault="00041CC8" w:rsidP="00A136A1">
            <w:pPr>
              <w:autoSpaceDE w:val="0"/>
              <w:autoSpaceDN w:val="0"/>
              <w:adjustRightInd w:val="0"/>
            </w:pPr>
            <w:r w:rsidRPr="005454C8">
              <w:rPr>
                <w:rFonts w:eastAsia="Calibri"/>
              </w:rPr>
              <w:t>Vorikonazolą galima vartoti kartu su efavirenzu, jeigu vorikonazolo palaikomoji dozė padidinama iki 400 mg 2 x per parą, o efavirenzo dozė sumažinama iki 300 mg 1 x per parą. Nutraukus gydymą vorikonazolu, reikia vėl atnaujinti pradinės efavirenzo dozės vartojimą (žr.</w:t>
            </w:r>
            <w:r w:rsidRPr="005454C8" w:rsidDel="009E2CB5">
              <w:rPr>
                <w:rFonts w:eastAsia="Calibri"/>
              </w:rPr>
              <w:t xml:space="preserve"> </w:t>
            </w:r>
            <w:r w:rsidRPr="005454C8">
              <w:rPr>
                <w:rFonts w:eastAsia="Calibri"/>
              </w:rPr>
              <w:t>4.2 ir 4.4 skyrius).</w:t>
            </w:r>
          </w:p>
        </w:tc>
      </w:tr>
      <w:tr w:rsidR="00041CC8" w:rsidRPr="009A1B7F" w14:paraId="191948BB" w14:textId="77777777" w:rsidTr="00A136A1">
        <w:trPr>
          <w:trHeight w:val="651"/>
        </w:trPr>
        <w:tc>
          <w:tcPr>
            <w:tcW w:w="1661" w:type="pct"/>
          </w:tcPr>
          <w:p w14:paraId="5B63B0FB" w14:textId="5748A4C5" w:rsidR="00041CC8" w:rsidRPr="005454C8" w:rsidRDefault="00041CC8" w:rsidP="00A136A1">
            <w:pPr>
              <w:widowControl w:val="0"/>
              <w:autoSpaceDE w:val="0"/>
              <w:autoSpaceDN w:val="0"/>
              <w:adjustRightInd w:val="0"/>
              <w:rPr>
                <w:rFonts w:eastAsia="Calibri"/>
              </w:rPr>
            </w:pPr>
            <w:r w:rsidRPr="005454C8">
              <w:rPr>
                <w:rFonts w:eastAsia="Calibri"/>
              </w:rPr>
              <w:t>Skalsių alkaloidai (</w:t>
            </w:r>
            <w:r w:rsidR="00190419">
              <w:rPr>
                <w:rFonts w:eastAsia="Calibri"/>
              </w:rPr>
              <w:t>įskaitant šiuos, bet jais neapsiribojant:</w:t>
            </w:r>
            <w:r w:rsidR="00190419" w:rsidRPr="005454C8" w:rsidDel="00273899">
              <w:rPr>
                <w:rFonts w:eastAsia="Calibri"/>
              </w:rPr>
              <w:t xml:space="preserve"> </w:t>
            </w:r>
            <w:r w:rsidRPr="005454C8">
              <w:rPr>
                <w:rFonts w:eastAsia="Calibri"/>
              </w:rPr>
              <w:t>ergotaminas ir dihidroergotaminas)</w:t>
            </w:r>
          </w:p>
          <w:p w14:paraId="1A898260" w14:textId="77777777" w:rsidR="00041CC8" w:rsidRPr="005454C8" w:rsidRDefault="00041CC8" w:rsidP="00A136A1">
            <w:pPr>
              <w:widowControl w:val="0"/>
              <w:autoSpaceDE w:val="0"/>
              <w:autoSpaceDN w:val="0"/>
              <w:adjustRightInd w:val="0"/>
            </w:pPr>
            <w:r w:rsidRPr="005454C8">
              <w:rPr>
                <w:rFonts w:eastAsia="TimesNewRoman,Italic"/>
                <w:i/>
              </w:rPr>
              <w:t>[CYP3A4 substratai]</w:t>
            </w:r>
          </w:p>
        </w:tc>
        <w:tc>
          <w:tcPr>
            <w:tcW w:w="1935" w:type="pct"/>
          </w:tcPr>
          <w:p w14:paraId="285B53A6" w14:textId="77777777" w:rsidR="00041CC8" w:rsidRPr="005454C8" w:rsidRDefault="00041CC8" w:rsidP="00A136A1">
            <w:pPr>
              <w:widowControl w:val="0"/>
              <w:autoSpaceDE w:val="0"/>
              <w:autoSpaceDN w:val="0"/>
              <w:adjustRightInd w:val="0"/>
            </w:pPr>
            <w:r w:rsidRPr="005454C8">
              <w:rPr>
                <w:rFonts w:eastAsia="Calibri"/>
              </w:rPr>
              <w:t xml:space="preserve">Nors tyrimų neatlikta, tikėtina, kad vorikonazolas didins skalsių alkaloidų koncentracijas </w:t>
            </w:r>
            <w:r w:rsidRPr="009A1B7F">
              <w:rPr>
                <w:rFonts w:eastAsia="Calibri"/>
                <w:szCs w:val="22"/>
                <w:lang w:eastAsia="en-US"/>
              </w:rPr>
              <w:t xml:space="preserve">kraujo </w:t>
            </w:r>
            <w:r w:rsidRPr="005454C8">
              <w:rPr>
                <w:rFonts w:eastAsia="Calibri"/>
              </w:rPr>
              <w:t>plazmoje ir gali sukelti ergotizmą.</w:t>
            </w:r>
          </w:p>
        </w:tc>
        <w:tc>
          <w:tcPr>
            <w:tcW w:w="1404" w:type="pct"/>
          </w:tcPr>
          <w:p w14:paraId="52A4D8AD" w14:textId="77777777" w:rsidR="00041CC8" w:rsidRPr="005454C8" w:rsidRDefault="00041CC8" w:rsidP="00A136A1">
            <w:pPr>
              <w:autoSpaceDE w:val="0"/>
              <w:autoSpaceDN w:val="0"/>
              <w:adjustRightInd w:val="0"/>
            </w:pPr>
            <w:r w:rsidRPr="00982D99">
              <w:rPr>
                <w:rFonts w:eastAsia="Calibri"/>
                <w:bCs/>
                <w:i/>
                <w:iCs/>
              </w:rPr>
              <w:t>Kontraindikacija</w:t>
            </w:r>
            <w:r w:rsidRPr="005454C8">
              <w:rPr>
                <w:rFonts w:eastAsia="Calibri"/>
                <w:b/>
              </w:rPr>
              <w:t xml:space="preserve"> </w:t>
            </w:r>
            <w:r w:rsidRPr="005454C8">
              <w:rPr>
                <w:rFonts w:eastAsia="Calibri"/>
              </w:rPr>
              <w:t>(žr. 4.3 skyrių)</w:t>
            </w:r>
          </w:p>
        </w:tc>
      </w:tr>
      <w:tr w:rsidR="00041CC8" w:rsidRPr="009A1B7F" w14:paraId="4331AD4C" w14:textId="77777777" w:rsidTr="00A136A1">
        <w:trPr>
          <w:trHeight w:val="651"/>
        </w:trPr>
        <w:tc>
          <w:tcPr>
            <w:tcW w:w="1661" w:type="pct"/>
          </w:tcPr>
          <w:p w14:paraId="7A07E647" w14:textId="77777777" w:rsidR="00041CC8" w:rsidRPr="00EB44C3" w:rsidRDefault="00041CC8" w:rsidP="00A136A1">
            <w:pPr>
              <w:autoSpaceDE w:val="0"/>
              <w:autoSpaceDN w:val="0"/>
              <w:adjustRightInd w:val="0"/>
              <w:rPr>
                <w:rFonts w:eastAsia="Calibri"/>
              </w:rPr>
            </w:pPr>
            <w:bookmarkStart w:id="9" w:name="_Hlk87626252"/>
            <w:r w:rsidRPr="00EB44C3">
              <w:rPr>
                <w:rFonts w:eastAsia="Calibri"/>
              </w:rPr>
              <w:t>Lurazidonas</w:t>
            </w:r>
          </w:p>
          <w:p w14:paraId="1C1A226A" w14:textId="77777777" w:rsidR="00041CC8" w:rsidRPr="00EB44C3" w:rsidRDefault="00041CC8" w:rsidP="00A136A1">
            <w:pPr>
              <w:autoSpaceDE w:val="0"/>
              <w:autoSpaceDN w:val="0"/>
              <w:adjustRightInd w:val="0"/>
              <w:rPr>
                <w:rFonts w:eastAsia="Calibri"/>
                <w:i/>
                <w:iCs/>
              </w:rPr>
            </w:pPr>
            <w:r w:rsidRPr="00EB44C3">
              <w:rPr>
                <w:rFonts w:eastAsia="Calibri"/>
                <w:i/>
                <w:iCs/>
              </w:rPr>
              <w:t>[CYP3A4 substratas]</w:t>
            </w:r>
          </w:p>
        </w:tc>
        <w:tc>
          <w:tcPr>
            <w:tcW w:w="1935" w:type="pct"/>
          </w:tcPr>
          <w:p w14:paraId="31A6F049" w14:textId="77777777" w:rsidR="00041CC8" w:rsidRPr="005454C8" w:rsidRDefault="00041CC8" w:rsidP="00A136A1">
            <w:pPr>
              <w:widowControl w:val="0"/>
              <w:autoSpaceDE w:val="0"/>
              <w:autoSpaceDN w:val="0"/>
              <w:adjustRightInd w:val="0"/>
            </w:pPr>
            <w:r>
              <w:t>Nors tyrimų neatlikta, tikėtina, kad vorikonazolas reikšmingai didina lurazidono koncentraciją plazmoje.</w:t>
            </w:r>
          </w:p>
        </w:tc>
        <w:tc>
          <w:tcPr>
            <w:tcW w:w="1404" w:type="pct"/>
          </w:tcPr>
          <w:p w14:paraId="6C5CE7B3"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Pr>
                <w:rFonts w:eastAsia="Calibri"/>
                <w:b/>
              </w:rPr>
              <w:t xml:space="preserve"> </w:t>
            </w:r>
            <w:r w:rsidRPr="005454C8">
              <w:rPr>
                <w:rFonts w:eastAsia="Calibri"/>
              </w:rPr>
              <w:t>(žr. 4.3 skyrių)</w:t>
            </w:r>
          </w:p>
        </w:tc>
      </w:tr>
      <w:tr w:rsidR="00041CC8" w:rsidRPr="009A1B7F" w14:paraId="7D902C23" w14:textId="77777777" w:rsidTr="00A136A1">
        <w:trPr>
          <w:trHeight w:val="651"/>
        </w:trPr>
        <w:tc>
          <w:tcPr>
            <w:tcW w:w="1661" w:type="pct"/>
          </w:tcPr>
          <w:p w14:paraId="63D20C68" w14:textId="77777777" w:rsidR="00041CC8" w:rsidRPr="00EB44C3" w:rsidRDefault="00041CC8" w:rsidP="00A136A1">
            <w:pPr>
              <w:autoSpaceDE w:val="0"/>
              <w:autoSpaceDN w:val="0"/>
              <w:adjustRightInd w:val="0"/>
              <w:rPr>
                <w:rFonts w:eastAsia="Calibri"/>
              </w:rPr>
            </w:pPr>
            <w:r w:rsidRPr="00EB44C3">
              <w:rPr>
                <w:rFonts w:eastAsia="Calibri"/>
              </w:rPr>
              <w:t>Naloksegolas</w:t>
            </w:r>
          </w:p>
          <w:p w14:paraId="0C32DCC8" w14:textId="77777777" w:rsidR="00041CC8" w:rsidRPr="00EB44C3" w:rsidRDefault="00041CC8" w:rsidP="00A136A1">
            <w:pPr>
              <w:autoSpaceDE w:val="0"/>
              <w:autoSpaceDN w:val="0"/>
              <w:adjustRightInd w:val="0"/>
              <w:rPr>
                <w:rFonts w:eastAsia="Calibri"/>
                <w:i/>
                <w:iCs/>
              </w:rPr>
            </w:pPr>
            <w:r w:rsidRPr="00EB44C3">
              <w:rPr>
                <w:rFonts w:eastAsia="Calibri"/>
                <w:i/>
                <w:iCs/>
              </w:rPr>
              <w:t>[CYP3A4 substratas]</w:t>
            </w:r>
          </w:p>
        </w:tc>
        <w:tc>
          <w:tcPr>
            <w:tcW w:w="1935" w:type="pct"/>
          </w:tcPr>
          <w:p w14:paraId="164CA6D2" w14:textId="77777777" w:rsidR="00041CC8" w:rsidRPr="005454C8" w:rsidRDefault="00041CC8" w:rsidP="00A136A1">
            <w:pPr>
              <w:widowControl w:val="0"/>
              <w:autoSpaceDE w:val="0"/>
              <w:autoSpaceDN w:val="0"/>
              <w:adjustRightInd w:val="0"/>
            </w:pPr>
            <w:r>
              <w:t>Nors tyrimų neatlikta, tikėtina, kad vorikonazolas reikšmingai didina lurazidono koncentraciją plazmoje.</w:t>
            </w:r>
          </w:p>
        </w:tc>
        <w:tc>
          <w:tcPr>
            <w:tcW w:w="1404" w:type="pct"/>
          </w:tcPr>
          <w:p w14:paraId="15A888AE"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Pr>
                <w:rFonts w:eastAsia="Calibri"/>
                <w:b/>
              </w:rPr>
              <w:t xml:space="preserve"> </w:t>
            </w:r>
            <w:r w:rsidRPr="005454C8">
              <w:rPr>
                <w:rFonts w:eastAsia="Calibri"/>
              </w:rPr>
              <w:t>(žr. 4.3 skyrių)</w:t>
            </w:r>
          </w:p>
        </w:tc>
      </w:tr>
      <w:bookmarkEnd w:id="9"/>
      <w:tr w:rsidR="00041CC8" w:rsidRPr="009A1B7F" w14:paraId="4F0C310D" w14:textId="77777777" w:rsidTr="00A136A1">
        <w:trPr>
          <w:trHeight w:val="651"/>
        </w:trPr>
        <w:tc>
          <w:tcPr>
            <w:tcW w:w="1661" w:type="pct"/>
          </w:tcPr>
          <w:p w14:paraId="1EFA2C02" w14:textId="77777777" w:rsidR="00041CC8" w:rsidRPr="005454C8" w:rsidRDefault="00041CC8" w:rsidP="00A136A1">
            <w:pPr>
              <w:autoSpaceDE w:val="0"/>
              <w:autoSpaceDN w:val="0"/>
              <w:adjustRightInd w:val="0"/>
              <w:rPr>
                <w:rFonts w:eastAsia="Calibri"/>
              </w:rPr>
            </w:pPr>
            <w:r w:rsidRPr="005454C8">
              <w:rPr>
                <w:rFonts w:eastAsia="Calibri"/>
              </w:rPr>
              <w:t xml:space="preserve">Rifabutinas </w:t>
            </w:r>
            <w:r w:rsidRPr="005454C8">
              <w:rPr>
                <w:rFonts w:eastAsia="TimesNewRoman,Italic"/>
                <w:i/>
              </w:rPr>
              <w:t xml:space="preserve">[stipraus poveikio CYP450 sužadinantis vaistinis preparatas] </w:t>
            </w:r>
          </w:p>
          <w:p w14:paraId="7E7714C6" w14:textId="77777777" w:rsidR="00041CC8" w:rsidRPr="005454C8" w:rsidRDefault="00041CC8" w:rsidP="00A136A1">
            <w:pPr>
              <w:autoSpaceDE w:val="0"/>
              <w:autoSpaceDN w:val="0"/>
              <w:adjustRightInd w:val="0"/>
              <w:rPr>
                <w:rFonts w:eastAsia="Calibri"/>
              </w:rPr>
            </w:pPr>
            <w:r w:rsidRPr="005454C8">
              <w:rPr>
                <w:rFonts w:eastAsia="Calibri"/>
              </w:rPr>
              <w:t>300 mg dozė 1 x per parą</w:t>
            </w:r>
          </w:p>
          <w:p w14:paraId="3964FE25" w14:textId="77777777" w:rsidR="00041CC8" w:rsidRPr="005454C8" w:rsidRDefault="00041CC8" w:rsidP="00A136A1">
            <w:pPr>
              <w:autoSpaceDE w:val="0"/>
              <w:autoSpaceDN w:val="0"/>
              <w:adjustRightInd w:val="0"/>
              <w:rPr>
                <w:rFonts w:eastAsia="Calibri"/>
              </w:rPr>
            </w:pPr>
          </w:p>
          <w:p w14:paraId="7276A1FD" w14:textId="77777777" w:rsidR="00041CC8" w:rsidRPr="005454C8" w:rsidRDefault="00041CC8" w:rsidP="00A136A1">
            <w:pPr>
              <w:autoSpaceDE w:val="0"/>
              <w:autoSpaceDN w:val="0"/>
              <w:adjustRightInd w:val="0"/>
              <w:rPr>
                <w:rFonts w:eastAsia="Calibri"/>
              </w:rPr>
            </w:pPr>
          </w:p>
          <w:p w14:paraId="4C314ADD" w14:textId="77777777" w:rsidR="00041CC8" w:rsidRPr="005454C8" w:rsidRDefault="00041CC8" w:rsidP="00A136A1">
            <w:pPr>
              <w:autoSpaceDE w:val="0"/>
              <w:autoSpaceDN w:val="0"/>
              <w:adjustRightInd w:val="0"/>
              <w:rPr>
                <w:rFonts w:eastAsia="Calibri"/>
              </w:rPr>
            </w:pPr>
            <w:r w:rsidRPr="005454C8">
              <w:rPr>
                <w:rFonts w:eastAsia="Calibri"/>
              </w:rPr>
              <w:t>300 mg dozė 1 x per parą (vartojama kartu su 350 mg vorikonazolo 2 x per parą)*</w:t>
            </w:r>
          </w:p>
          <w:p w14:paraId="1A11E61E" w14:textId="77777777" w:rsidR="00041CC8" w:rsidRPr="005454C8" w:rsidRDefault="00041CC8" w:rsidP="00A136A1">
            <w:pPr>
              <w:autoSpaceDE w:val="0"/>
              <w:autoSpaceDN w:val="0"/>
              <w:adjustRightInd w:val="0"/>
              <w:rPr>
                <w:rFonts w:eastAsia="Calibri"/>
              </w:rPr>
            </w:pPr>
          </w:p>
          <w:p w14:paraId="3BB5BA9B" w14:textId="77777777" w:rsidR="00041CC8" w:rsidRPr="005454C8" w:rsidRDefault="00041CC8" w:rsidP="00A136A1">
            <w:pPr>
              <w:autoSpaceDE w:val="0"/>
              <w:autoSpaceDN w:val="0"/>
              <w:adjustRightInd w:val="0"/>
              <w:rPr>
                <w:rFonts w:eastAsia="Calibri"/>
              </w:rPr>
            </w:pPr>
          </w:p>
          <w:p w14:paraId="45C49E81" w14:textId="77777777" w:rsidR="00041CC8" w:rsidRPr="005454C8" w:rsidRDefault="00041CC8" w:rsidP="00A136A1">
            <w:pPr>
              <w:autoSpaceDE w:val="0"/>
              <w:autoSpaceDN w:val="0"/>
              <w:adjustRightInd w:val="0"/>
              <w:rPr>
                <w:rFonts w:eastAsia="Calibri"/>
              </w:rPr>
            </w:pPr>
            <w:r w:rsidRPr="005454C8">
              <w:rPr>
                <w:rFonts w:eastAsia="Calibri"/>
              </w:rPr>
              <w:t>300 mg dozė 1 x per parą</w:t>
            </w:r>
          </w:p>
          <w:p w14:paraId="23019EAB" w14:textId="77777777" w:rsidR="00041CC8" w:rsidRPr="005454C8" w:rsidRDefault="00041CC8" w:rsidP="00A136A1">
            <w:pPr>
              <w:widowControl w:val="0"/>
              <w:autoSpaceDE w:val="0"/>
              <w:autoSpaceDN w:val="0"/>
              <w:adjustRightInd w:val="0"/>
            </w:pPr>
            <w:r w:rsidRPr="005454C8">
              <w:rPr>
                <w:rFonts w:eastAsia="Calibri"/>
              </w:rPr>
              <w:t>(vartojama kartu su 400 mg vorikonazolo 2 x per parą)*</w:t>
            </w:r>
          </w:p>
        </w:tc>
        <w:tc>
          <w:tcPr>
            <w:tcW w:w="1935" w:type="pct"/>
          </w:tcPr>
          <w:p w14:paraId="1030DDDE" w14:textId="77777777" w:rsidR="00041CC8" w:rsidRPr="005454C8" w:rsidRDefault="00041CC8" w:rsidP="00A136A1">
            <w:pPr>
              <w:widowControl w:val="0"/>
              <w:autoSpaceDE w:val="0"/>
              <w:autoSpaceDN w:val="0"/>
              <w:adjustRightInd w:val="0"/>
            </w:pPr>
          </w:p>
          <w:p w14:paraId="3DBC35A9" w14:textId="77777777" w:rsidR="00041CC8" w:rsidRPr="005454C8" w:rsidRDefault="00041CC8" w:rsidP="00A136A1">
            <w:pPr>
              <w:widowControl w:val="0"/>
              <w:autoSpaceDE w:val="0"/>
              <w:autoSpaceDN w:val="0"/>
              <w:adjustRightInd w:val="0"/>
            </w:pPr>
          </w:p>
          <w:p w14:paraId="78636E15" w14:textId="77777777" w:rsidR="00041CC8" w:rsidRPr="005454C8" w:rsidRDefault="00041CC8" w:rsidP="00A136A1">
            <w:pPr>
              <w:widowControl w:val="0"/>
              <w:autoSpaceDE w:val="0"/>
              <w:autoSpaceDN w:val="0"/>
              <w:adjustRightInd w:val="0"/>
            </w:pPr>
          </w:p>
          <w:p w14:paraId="198305BB"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69 %</w:t>
            </w:r>
          </w:p>
          <w:p w14:paraId="527F9233" w14:textId="77777777" w:rsidR="00041CC8" w:rsidRPr="005454C8" w:rsidRDefault="00041CC8" w:rsidP="00A136A1">
            <w:pPr>
              <w:autoSpaceDE w:val="0"/>
              <w:autoSpaceDN w:val="0"/>
              <w:adjustRightInd w:val="0"/>
              <w:rPr>
                <w:rFonts w:eastAsia="Calibri"/>
              </w:rPr>
            </w:pPr>
            <w:r w:rsidRPr="005454C8">
              <w:rPr>
                <w:rFonts w:eastAsia="Calibri"/>
              </w:rPr>
              <w:t xml:space="preserve">Vorikonazolo </w:t>
            </w:r>
            <w:r w:rsidRPr="005454C8">
              <w:t>AUC</w:t>
            </w:r>
            <w:r w:rsidRPr="005454C8">
              <w:rPr>
                <w:vertAlign w:val="subscript"/>
              </w:rPr>
              <w:t>τ</w:t>
            </w:r>
            <w:r w:rsidRPr="005454C8">
              <w:t xml:space="preserve"> ↓</w:t>
            </w:r>
            <w:r w:rsidRPr="005454C8">
              <w:rPr>
                <w:rFonts w:eastAsia="Calibri"/>
              </w:rPr>
              <w:t xml:space="preserve"> 78 %</w:t>
            </w:r>
          </w:p>
          <w:p w14:paraId="0318A25F" w14:textId="77777777" w:rsidR="00041CC8" w:rsidRPr="005454C8" w:rsidRDefault="00041CC8" w:rsidP="00A136A1">
            <w:pPr>
              <w:autoSpaceDE w:val="0"/>
              <w:autoSpaceDN w:val="0"/>
              <w:adjustRightInd w:val="0"/>
              <w:rPr>
                <w:rFonts w:eastAsia="Calibri"/>
              </w:rPr>
            </w:pPr>
          </w:p>
          <w:p w14:paraId="6319C2F1" w14:textId="77777777" w:rsidR="00041CC8" w:rsidRPr="005454C8" w:rsidRDefault="00041CC8" w:rsidP="00A136A1">
            <w:pPr>
              <w:autoSpaceDE w:val="0"/>
              <w:autoSpaceDN w:val="0"/>
              <w:adjustRightInd w:val="0"/>
              <w:rPr>
                <w:rFonts w:eastAsia="Calibri"/>
              </w:rPr>
            </w:pPr>
            <w:r w:rsidRPr="005454C8">
              <w:rPr>
                <w:rFonts w:eastAsia="Calibri"/>
              </w:rPr>
              <w:t xml:space="preserve">Palyginti su 200 mg vorikonazolo doze 2 x per parą, vorikonazolo Cmax ↓ 4 % vorikonazolo </w:t>
            </w:r>
            <w:r w:rsidRPr="005454C8">
              <w:t>AUC</w:t>
            </w:r>
            <w:r w:rsidRPr="005454C8">
              <w:rPr>
                <w:vertAlign w:val="subscript"/>
              </w:rPr>
              <w:t>τ</w:t>
            </w:r>
            <w:r w:rsidRPr="005454C8">
              <w:t xml:space="preserve"> ↓</w:t>
            </w:r>
            <w:r w:rsidRPr="005454C8">
              <w:rPr>
                <w:rFonts w:eastAsia="Calibri"/>
              </w:rPr>
              <w:t xml:space="preserve"> 32 %</w:t>
            </w:r>
          </w:p>
          <w:p w14:paraId="6E588CBD" w14:textId="77777777" w:rsidR="00041CC8" w:rsidRPr="005454C8" w:rsidRDefault="00041CC8" w:rsidP="00A136A1">
            <w:pPr>
              <w:autoSpaceDE w:val="0"/>
              <w:autoSpaceDN w:val="0"/>
              <w:adjustRightInd w:val="0"/>
              <w:rPr>
                <w:rFonts w:eastAsia="Calibri"/>
              </w:rPr>
            </w:pPr>
          </w:p>
          <w:p w14:paraId="561C22CC" w14:textId="77777777" w:rsidR="00041CC8" w:rsidRPr="005454C8" w:rsidRDefault="00041CC8" w:rsidP="00A136A1">
            <w:pPr>
              <w:autoSpaceDE w:val="0"/>
              <w:autoSpaceDN w:val="0"/>
              <w:adjustRightInd w:val="0"/>
              <w:rPr>
                <w:rFonts w:eastAsia="Calibri"/>
              </w:rPr>
            </w:pPr>
            <w:r w:rsidRPr="005454C8">
              <w:rPr>
                <w:rFonts w:eastAsia="Calibri"/>
              </w:rPr>
              <w:t>Rifabutino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195 % Rifabutino </w:t>
            </w:r>
            <w:r w:rsidRPr="005454C8">
              <w:t>AUC</w:t>
            </w:r>
            <w:r w:rsidRPr="005454C8">
              <w:rPr>
                <w:vertAlign w:val="subscript"/>
              </w:rPr>
              <w:t>τ</w:t>
            </w:r>
            <w:r w:rsidRPr="005454C8">
              <w:rPr>
                <w:rFonts w:eastAsia="Calibri"/>
              </w:rPr>
              <w:t xml:space="preserve"> </w:t>
            </w:r>
            <w:r w:rsidRPr="005454C8">
              <w:t>↑</w:t>
            </w:r>
            <w:r w:rsidRPr="005454C8">
              <w:rPr>
                <w:rFonts w:eastAsia="Calibri"/>
              </w:rPr>
              <w:t xml:space="preserve">331 % </w:t>
            </w:r>
          </w:p>
          <w:p w14:paraId="106FDAEE" w14:textId="77777777" w:rsidR="00041CC8" w:rsidRPr="005454C8" w:rsidRDefault="00041CC8" w:rsidP="00A136A1">
            <w:pPr>
              <w:widowControl w:val="0"/>
              <w:autoSpaceDE w:val="0"/>
              <w:autoSpaceDN w:val="0"/>
              <w:adjustRightInd w:val="0"/>
            </w:pPr>
            <w:r w:rsidRPr="005454C8">
              <w:rPr>
                <w:rFonts w:eastAsia="Calibri"/>
              </w:rPr>
              <w:t>Palyginti su 200 mg vorikonazolo doze 2 x per parą,</w:t>
            </w:r>
            <w:r w:rsidRPr="005454C8" w:rsidDel="00E27C17">
              <w:rPr>
                <w:rFonts w:eastAsia="Calibri"/>
              </w:rPr>
              <w:t xml:space="preserve"> </w:t>
            </w:r>
            <w:r w:rsidRPr="005454C8">
              <w:rPr>
                <w:rFonts w:eastAsia="Calibri"/>
              </w:rPr>
              <w:t xml:space="preserve">vorikonazolo Cmax  </w:t>
            </w:r>
            <w:r w:rsidRPr="005454C8">
              <w:t>↑</w:t>
            </w:r>
            <w:r w:rsidRPr="005454C8">
              <w:rPr>
                <w:rFonts w:eastAsia="Calibri"/>
              </w:rPr>
              <w:t xml:space="preserve">104 % vorikonazolo </w:t>
            </w:r>
            <w:r w:rsidRPr="005454C8">
              <w:t>AUC</w:t>
            </w:r>
            <w:r w:rsidRPr="005454C8">
              <w:rPr>
                <w:vertAlign w:val="subscript"/>
              </w:rPr>
              <w:t>τ</w:t>
            </w:r>
            <w:r w:rsidRPr="005454C8">
              <w:rPr>
                <w:rFonts w:eastAsia="Calibri"/>
              </w:rPr>
              <w:t xml:space="preserve"> </w:t>
            </w:r>
            <w:r w:rsidRPr="005454C8">
              <w:t>↑</w:t>
            </w:r>
            <w:r w:rsidRPr="005454C8">
              <w:rPr>
                <w:rFonts w:eastAsia="Calibri"/>
              </w:rPr>
              <w:t xml:space="preserve"> 87 %</w:t>
            </w:r>
          </w:p>
        </w:tc>
        <w:tc>
          <w:tcPr>
            <w:tcW w:w="1404" w:type="pct"/>
          </w:tcPr>
          <w:p w14:paraId="2E2EA8BD" w14:textId="77777777" w:rsidR="00041CC8" w:rsidRPr="005454C8" w:rsidRDefault="00041CC8" w:rsidP="00A136A1">
            <w:pPr>
              <w:autoSpaceDE w:val="0"/>
              <w:autoSpaceDN w:val="0"/>
              <w:adjustRightInd w:val="0"/>
            </w:pPr>
            <w:r w:rsidRPr="005454C8">
              <w:rPr>
                <w:rFonts w:eastAsia="Calibri"/>
              </w:rPr>
              <w:t>Reikia vengti vorikonazolą vartoti kartu su rifabutinu,</w:t>
            </w:r>
            <w:r w:rsidRPr="005454C8" w:rsidDel="007B07FF">
              <w:rPr>
                <w:rFonts w:eastAsia="Calibri"/>
              </w:rPr>
              <w:t xml:space="preserve"> </w:t>
            </w:r>
            <w:r w:rsidRPr="005454C8">
              <w:rPr>
                <w:rFonts w:eastAsia="Calibri"/>
              </w:rPr>
              <w:t>išskyrus atvejus, kai nauda nusveria riziką. Palaikomąją vorikonazolo dozę galima padidinti iki 5 mg/kg į veną 2 x per parą arba nuo 200 mg iki 350 mg per burną 2 x per parą (nuo 100 mg iki 200 mg per burną 2 x per parą pacientams, kurių kūno masė mažesnė kaip 40 kg) (žr.</w:t>
            </w:r>
            <w:r w:rsidRPr="005454C8" w:rsidDel="00E27C17">
              <w:rPr>
                <w:rFonts w:eastAsia="Calibri"/>
              </w:rPr>
              <w:t xml:space="preserve"> </w:t>
            </w:r>
            <w:r w:rsidRPr="005454C8">
              <w:rPr>
                <w:rFonts w:eastAsia="Calibri"/>
              </w:rPr>
              <w:t xml:space="preserve">4.2 skyrių). Rekomenduojama atidžiai stebėti visų kraujo ląstelių </w:t>
            </w:r>
            <w:r w:rsidRPr="005454C8">
              <w:rPr>
                <w:rFonts w:eastAsia="Calibri"/>
              </w:rPr>
              <w:lastRenderedPageBreak/>
              <w:t>kiekį ir nepageidaujamas reakcijas į rifabutiną (pvz., uveitas),</w:t>
            </w:r>
            <w:r w:rsidRPr="005454C8" w:rsidDel="00E27C17">
              <w:rPr>
                <w:rFonts w:eastAsia="Calibri"/>
              </w:rPr>
              <w:t xml:space="preserve"> </w:t>
            </w:r>
            <w:r w:rsidRPr="005454C8">
              <w:rPr>
                <w:rFonts w:eastAsia="Calibri"/>
              </w:rPr>
              <w:t>vartojant rifabutiną kartu su vorikonazolu.</w:t>
            </w:r>
          </w:p>
        </w:tc>
      </w:tr>
      <w:tr w:rsidR="00041CC8" w:rsidRPr="009A1B7F" w14:paraId="3183F83A" w14:textId="77777777" w:rsidTr="00A136A1">
        <w:trPr>
          <w:trHeight w:val="651"/>
        </w:trPr>
        <w:tc>
          <w:tcPr>
            <w:tcW w:w="1661" w:type="pct"/>
          </w:tcPr>
          <w:p w14:paraId="21C2AA1F" w14:textId="77777777" w:rsidR="00041CC8" w:rsidRPr="005454C8" w:rsidRDefault="00041CC8" w:rsidP="00A136A1">
            <w:pPr>
              <w:widowControl w:val="0"/>
              <w:autoSpaceDE w:val="0"/>
              <w:autoSpaceDN w:val="0"/>
              <w:adjustRightInd w:val="0"/>
            </w:pPr>
            <w:r w:rsidRPr="005454C8">
              <w:rPr>
                <w:rFonts w:eastAsia="Calibri"/>
              </w:rPr>
              <w:lastRenderedPageBreak/>
              <w:t xml:space="preserve">Rifampicinas (600 mg dozė 1 x per parą) </w:t>
            </w:r>
            <w:r w:rsidRPr="005454C8">
              <w:rPr>
                <w:rFonts w:eastAsia="TimesNewRoman,Italic"/>
                <w:i/>
              </w:rPr>
              <w:t>[stipraus poveikio CYP450 sužadinantis vaistinis preparatas]</w:t>
            </w:r>
          </w:p>
        </w:tc>
        <w:tc>
          <w:tcPr>
            <w:tcW w:w="1935" w:type="pct"/>
          </w:tcPr>
          <w:p w14:paraId="44053E67" w14:textId="77777777" w:rsidR="00041CC8" w:rsidRPr="005454C8" w:rsidRDefault="00041CC8" w:rsidP="00A136A1">
            <w:pPr>
              <w:widowControl w:val="0"/>
              <w:autoSpaceDE w:val="0"/>
              <w:autoSpaceDN w:val="0"/>
              <w:adjustRightInd w:val="0"/>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93 % Vorikonazolo </w:t>
            </w:r>
            <w:r w:rsidRPr="005454C8">
              <w:t>AUC</w:t>
            </w:r>
            <w:r w:rsidRPr="005454C8">
              <w:rPr>
                <w:vertAlign w:val="subscript"/>
              </w:rPr>
              <w:t>τ</w:t>
            </w:r>
            <w:r w:rsidRPr="005454C8">
              <w:t xml:space="preserve"> ↓</w:t>
            </w:r>
            <w:r w:rsidRPr="005454C8">
              <w:rPr>
                <w:rFonts w:eastAsia="Calibri"/>
              </w:rPr>
              <w:t xml:space="preserve"> 96 %</w:t>
            </w:r>
          </w:p>
        </w:tc>
        <w:tc>
          <w:tcPr>
            <w:tcW w:w="1404" w:type="pct"/>
          </w:tcPr>
          <w:p w14:paraId="1837D8C7" w14:textId="77777777" w:rsidR="00041CC8" w:rsidRPr="005454C8" w:rsidRDefault="00041CC8" w:rsidP="00A136A1">
            <w:pPr>
              <w:autoSpaceDE w:val="0"/>
              <w:autoSpaceDN w:val="0"/>
              <w:adjustRightInd w:val="0"/>
            </w:pPr>
            <w:r w:rsidRPr="00982D99">
              <w:rPr>
                <w:rFonts w:eastAsia="Calibri"/>
                <w:bCs/>
                <w:i/>
                <w:iCs/>
              </w:rPr>
              <w:t>Kontraindikacija</w:t>
            </w:r>
            <w:r w:rsidRPr="005454C8">
              <w:rPr>
                <w:rFonts w:eastAsia="Calibri"/>
                <w:b/>
              </w:rPr>
              <w:t xml:space="preserve"> </w:t>
            </w:r>
            <w:r w:rsidRPr="005454C8">
              <w:rPr>
                <w:rFonts w:eastAsia="Calibri"/>
              </w:rPr>
              <w:t>(žr. 4.3 skyrių)</w:t>
            </w:r>
          </w:p>
        </w:tc>
      </w:tr>
      <w:tr w:rsidR="00041CC8" w:rsidRPr="009A1B7F" w14:paraId="0C9825F3" w14:textId="77777777" w:rsidTr="00A136A1">
        <w:trPr>
          <w:trHeight w:val="651"/>
        </w:trPr>
        <w:tc>
          <w:tcPr>
            <w:tcW w:w="1661" w:type="pct"/>
          </w:tcPr>
          <w:p w14:paraId="2ED689CF" w14:textId="77777777" w:rsidR="00041CC8" w:rsidRPr="005454C8" w:rsidRDefault="00041CC8" w:rsidP="00A136A1">
            <w:pPr>
              <w:autoSpaceDE w:val="0"/>
              <w:autoSpaceDN w:val="0"/>
              <w:adjustRightInd w:val="0"/>
              <w:rPr>
                <w:rFonts w:eastAsia="TimesNewRoman,Italic"/>
                <w:i/>
              </w:rPr>
            </w:pPr>
            <w:r w:rsidRPr="005454C8">
              <w:rPr>
                <w:rFonts w:eastAsia="Calibri"/>
              </w:rPr>
              <w:t xml:space="preserve">Ritonaviras (proteazės inhibitorius) </w:t>
            </w:r>
            <w:r w:rsidRPr="005454C8">
              <w:rPr>
                <w:rFonts w:eastAsia="TimesNewRoman,Italic"/>
                <w:i/>
              </w:rPr>
              <w:t>[stipraus poveikio CYP450 sužadinantis vaistinis preparatas, CYP3A4 inhibitorius ir substratas]</w:t>
            </w:r>
          </w:p>
          <w:p w14:paraId="7771A1A3" w14:textId="77777777" w:rsidR="00041CC8" w:rsidRPr="005454C8" w:rsidRDefault="00041CC8" w:rsidP="00A136A1">
            <w:pPr>
              <w:autoSpaceDE w:val="0"/>
              <w:autoSpaceDN w:val="0"/>
              <w:adjustRightInd w:val="0"/>
              <w:rPr>
                <w:rFonts w:eastAsia="Calibri"/>
              </w:rPr>
            </w:pPr>
          </w:p>
          <w:p w14:paraId="5D52E971" w14:textId="77777777" w:rsidR="00041CC8" w:rsidRPr="005454C8" w:rsidRDefault="00041CC8" w:rsidP="00A136A1">
            <w:pPr>
              <w:autoSpaceDE w:val="0"/>
              <w:autoSpaceDN w:val="0"/>
              <w:adjustRightInd w:val="0"/>
              <w:rPr>
                <w:rFonts w:eastAsia="Calibri"/>
              </w:rPr>
            </w:pPr>
            <w:r w:rsidRPr="005454C8">
              <w:rPr>
                <w:rFonts w:eastAsia="Calibri"/>
              </w:rPr>
              <w:t>Didelė dozė (400 mg dozė 2 x per parą)</w:t>
            </w:r>
          </w:p>
          <w:p w14:paraId="50D27E60" w14:textId="77777777" w:rsidR="00041CC8" w:rsidRPr="005454C8" w:rsidRDefault="00041CC8" w:rsidP="00A136A1">
            <w:pPr>
              <w:autoSpaceDE w:val="0"/>
              <w:autoSpaceDN w:val="0"/>
              <w:adjustRightInd w:val="0"/>
              <w:rPr>
                <w:rFonts w:eastAsia="Calibri"/>
              </w:rPr>
            </w:pPr>
          </w:p>
          <w:p w14:paraId="3646F90D" w14:textId="77777777" w:rsidR="00041CC8" w:rsidRPr="005454C8" w:rsidRDefault="00041CC8" w:rsidP="00A136A1">
            <w:pPr>
              <w:autoSpaceDE w:val="0"/>
              <w:autoSpaceDN w:val="0"/>
              <w:adjustRightInd w:val="0"/>
              <w:rPr>
                <w:rFonts w:eastAsia="Calibri"/>
              </w:rPr>
            </w:pPr>
          </w:p>
          <w:p w14:paraId="5BCD28D5" w14:textId="77777777" w:rsidR="00041CC8" w:rsidRPr="005454C8" w:rsidRDefault="00041CC8" w:rsidP="00A136A1">
            <w:pPr>
              <w:autoSpaceDE w:val="0"/>
              <w:autoSpaceDN w:val="0"/>
              <w:adjustRightInd w:val="0"/>
              <w:rPr>
                <w:rFonts w:eastAsia="Calibri"/>
              </w:rPr>
            </w:pPr>
            <w:r w:rsidRPr="005454C8">
              <w:rPr>
                <w:rFonts w:eastAsia="Calibri"/>
              </w:rPr>
              <w:t>Maža dozė (100 mg dozė 2 x per parą)*</w:t>
            </w:r>
          </w:p>
        </w:tc>
        <w:tc>
          <w:tcPr>
            <w:tcW w:w="1935" w:type="pct"/>
          </w:tcPr>
          <w:p w14:paraId="68A46DA9" w14:textId="77777777" w:rsidR="00041CC8" w:rsidRPr="005454C8" w:rsidRDefault="00041CC8" w:rsidP="00A136A1">
            <w:pPr>
              <w:autoSpaceDE w:val="0"/>
              <w:autoSpaceDN w:val="0"/>
              <w:adjustRightInd w:val="0"/>
              <w:rPr>
                <w:rFonts w:eastAsia="Calibri"/>
              </w:rPr>
            </w:pPr>
          </w:p>
          <w:p w14:paraId="070FD705" w14:textId="77777777" w:rsidR="00041CC8" w:rsidRPr="005454C8" w:rsidRDefault="00041CC8" w:rsidP="00A136A1">
            <w:pPr>
              <w:autoSpaceDE w:val="0"/>
              <w:autoSpaceDN w:val="0"/>
              <w:adjustRightInd w:val="0"/>
              <w:rPr>
                <w:rFonts w:eastAsia="Calibri"/>
              </w:rPr>
            </w:pPr>
          </w:p>
          <w:p w14:paraId="05B8A081" w14:textId="77777777" w:rsidR="00041CC8" w:rsidRPr="005454C8" w:rsidRDefault="00041CC8" w:rsidP="00A136A1">
            <w:pPr>
              <w:autoSpaceDE w:val="0"/>
              <w:autoSpaceDN w:val="0"/>
              <w:adjustRightInd w:val="0"/>
              <w:rPr>
                <w:rFonts w:eastAsia="Calibri"/>
              </w:rPr>
            </w:pPr>
          </w:p>
          <w:p w14:paraId="16F2257F" w14:textId="77777777" w:rsidR="00041CC8" w:rsidRPr="005454C8" w:rsidRDefault="00041CC8" w:rsidP="00A136A1">
            <w:pPr>
              <w:autoSpaceDE w:val="0"/>
              <w:autoSpaceDN w:val="0"/>
              <w:adjustRightInd w:val="0"/>
              <w:rPr>
                <w:rFonts w:eastAsia="Calibri"/>
              </w:rPr>
            </w:pPr>
          </w:p>
          <w:p w14:paraId="62952831" w14:textId="77777777" w:rsidR="00041CC8" w:rsidRPr="005454C8" w:rsidRDefault="00041CC8" w:rsidP="00A136A1">
            <w:pPr>
              <w:autoSpaceDE w:val="0"/>
              <w:autoSpaceDN w:val="0"/>
              <w:adjustRightInd w:val="0"/>
              <w:rPr>
                <w:rFonts w:eastAsia="Calibri"/>
              </w:rPr>
            </w:pPr>
          </w:p>
          <w:p w14:paraId="0F33BC57" w14:textId="77777777" w:rsidR="00041CC8" w:rsidRPr="005454C8" w:rsidRDefault="00041CC8" w:rsidP="00A136A1">
            <w:pPr>
              <w:autoSpaceDE w:val="0"/>
              <w:autoSpaceDN w:val="0"/>
              <w:adjustRightInd w:val="0"/>
              <w:rPr>
                <w:rFonts w:eastAsia="Calibri"/>
              </w:rPr>
            </w:pPr>
          </w:p>
          <w:p w14:paraId="4ECD1598" w14:textId="77777777" w:rsidR="00041CC8" w:rsidRPr="005454C8" w:rsidRDefault="00041CC8" w:rsidP="00A136A1">
            <w:pPr>
              <w:autoSpaceDE w:val="0"/>
              <w:autoSpaceDN w:val="0"/>
              <w:adjustRightInd w:val="0"/>
              <w:rPr>
                <w:rFonts w:eastAsia="Calibri"/>
              </w:rPr>
            </w:pPr>
            <w:r w:rsidRPr="005454C8">
              <w:rPr>
                <w:rFonts w:eastAsia="Calibri"/>
              </w:rPr>
              <w:t>Ritonaviro C</w:t>
            </w:r>
            <w:r w:rsidRPr="005454C8">
              <w:rPr>
                <w:rFonts w:eastAsia="Calibri"/>
                <w:vertAlign w:val="subscript"/>
              </w:rPr>
              <w:t>max</w:t>
            </w:r>
            <w:r w:rsidRPr="005454C8">
              <w:rPr>
                <w:rFonts w:eastAsia="Calibri"/>
              </w:rPr>
              <w:t xml:space="preserve"> ir </w:t>
            </w:r>
            <w:r w:rsidRPr="005454C8">
              <w:t>AUC</w:t>
            </w:r>
            <w:r w:rsidRPr="005454C8">
              <w:rPr>
                <w:vertAlign w:val="subscript"/>
              </w:rPr>
              <w:t>τ</w:t>
            </w:r>
            <w:r w:rsidRPr="005454C8">
              <w:rPr>
                <w:rFonts w:eastAsia="Calibri"/>
              </w:rPr>
              <w:t xml:space="preserve"> ↔</w:t>
            </w:r>
          </w:p>
          <w:p w14:paraId="2CC246B4"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66 %</w:t>
            </w:r>
          </w:p>
          <w:p w14:paraId="341F431B" w14:textId="77777777" w:rsidR="00041CC8" w:rsidRPr="005454C8" w:rsidRDefault="00041CC8" w:rsidP="00A136A1">
            <w:pPr>
              <w:autoSpaceDE w:val="0"/>
              <w:autoSpaceDN w:val="0"/>
              <w:adjustRightInd w:val="0"/>
              <w:rPr>
                <w:rFonts w:eastAsia="Calibri"/>
              </w:rPr>
            </w:pPr>
            <w:r w:rsidRPr="005454C8">
              <w:rPr>
                <w:rFonts w:eastAsia="Calibri"/>
              </w:rPr>
              <w:t xml:space="preserve">Vorikonazolo </w:t>
            </w:r>
            <w:r w:rsidRPr="005454C8">
              <w:t>AUC</w:t>
            </w:r>
            <w:r w:rsidRPr="005454C8">
              <w:rPr>
                <w:vertAlign w:val="subscript"/>
              </w:rPr>
              <w:t>τ</w:t>
            </w:r>
            <w:r w:rsidRPr="005454C8">
              <w:t xml:space="preserve"> ↓</w:t>
            </w:r>
            <w:r w:rsidRPr="005454C8">
              <w:rPr>
                <w:rFonts w:eastAsia="Calibri"/>
              </w:rPr>
              <w:t xml:space="preserve"> 82 %</w:t>
            </w:r>
          </w:p>
          <w:p w14:paraId="2E5E22E0" w14:textId="77777777" w:rsidR="00041CC8" w:rsidRPr="005454C8" w:rsidRDefault="00041CC8" w:rsidP="00A136A1">
            <w:pPr>
              <w:autoSpaceDE w:val="0"/>
              <w:autoSpaceDN w:val="0"/>
              <w:adjustRightInd w:val="0"/>
              <w:rPr>
                <w:rFonts w:eastAsia="Calibri"/>
              </w:rPr>
            </w:pPr>
          </w:p>
          <w:p w14:paraId="6C6CAA76" w14:textId="77777777" w:rsidR="00041CC8" w:rsidRPr="005454C8" w:rsidRDefault="00041CC8" w:rsidP="00A136A1">
            <w:pPr>
              <w:autoSpaceDE w:val="0"/>
              <w:autoSpaceDN w:val="0"/>
              <w:adjustRightInd w:val="0"/>
              <w:rPr>
                <w:rFonts w:eastAsia="Calibri"/>
              </w:rPr>
            </w:pPr>
            <w:r w:rsidRPr="005454C8">
              <w:rPr>
                <w:rFonts w:eastAsia="Calibri"/>
              </w:rPr>
              <w:t>Ritonaviro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25 %</w:t>
            </w:r>
          </w:p>
          <w:p w14:paraId="1FD46ED3" w14:textId="77777777" w:rsidR="00041CC8" w:rsidRPr="005454C8" w:rsidRDefault="00041CC8" w:rsidP="00A136A1">
            <w:pPr>
              <w:autoSpaceDE w:val="0"/>
              <w:autoSpaceDN w:val="0"/>
              <w:adjustRightInd w:val="0"/>
              <w:rPr>
                <w:rFonts w:eastAsia="Calibri"/>
              </w:rPr>
            </w:pPr>
            <w:r w:rsidRPr="005454C8">
              <w:rPr>
                <w:rFonts w:eastAsia="Calibri"/>
              </w:rPr>
              <w:t xml:space="preserve">Ritonaviro </w:t>
            </w:r>
            <w:r w:rsidRPr="005454C8">
              <w:t>AUC</w:t>
            </w:r>
            <w:r w:rsidRPr="005454C8">
              <w:rPr>
                <w:vertAlign w:val="subscript"/>
              </w:rPr>
              <w:t>τ</w:t>
            </w:r>
            <w:r w:rsidRPr="005454C8">
              <w:t xml:space="preserve"> ↓</w:t>
            </w:r>
            <w:r w:rsidRPr="005454C8">
              <w:rPr>
                <w:rFonts w:eastAsia="Calibri"/>
              </w:rPr>
              <w:t xml:space="preserve">  13 %</w:t>
            </w:r>
          </w:p>
          <w:p w14:paraId="33AC552B"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24 %</w:t>
            </w:r>
          </w:p>
          <w:p w14:paraId="754C1528" w14:textId="77777777" w:rsidR="00041CC8" w:rsidRPr="005454C8" w:rsidRDefault="00041CC8" w:rsidP="00A136A1">
            <w:pPr>
              <w:autoSpaceDE w:val="0"/>
              <w:autoSpaceDN w:val="0"/>
              <w:adjustRightInd w:val="0"/>
              <w:rPr>
                <w:rFonts w:eastAsia="Calibri"/>
              </w:rPr>
            </w:pPr>
            <w:r w:rsidRPr="005454C8">
              <w:rPr>
                <w:rFonts w:eastAsia="Calibri"/>
              </w:rPr>
              <w:t xml:space="preserve">Vorikonazolo </w:t>
            </w:r>
            <w:r w:rsidRPr="005454C8">
              <w:t>AUC</w:t>
            </w:r>
            <w:r w:rsidRPr="005454C8">
              <w:rPr>
                <w:vertAlign w:val="subscript"/>
              </w:rPr>
              <w:t>τ</w:t>
            </w:r>
            <w:r w:rsidRPr="005454C8">
              <w:t xml:space="preserve"> ↓</w:t>
            </w:r>
            <w:r w:rsidRPr="005454C8">
              <w:rPr>
                <w:rFonts w:eastAsia="Calibri"/>
              </w:rPr>
              <w:t xml:space="preserve"> 39 %</w:t>
            </w:r>
          </w:p>
        </w:tc>
        <w:tc>
          <w:tcPr>
            <w:tcW w:w="1404" w:type="pct"/>
          </w:tcPr>
          <w:p w14:paraId="02D484C3" w14:textId="77777777" w:rsidR="00041CC8" w:rsidRPr="005454C8" w:rsidRDefault="00041CC8" w:rsidP="00A136A1">
            <w:pPr>
              <w:autoSpaceDE w:val="0"/>
              <w:autoSpaceDN w:val="0"/>
              <w:adjustRightInd w:val="0"/>
              <w:rPr>
                <w:rFonts w:eastAsia="Calibri"/>
                <w:b/>
              </w:rPr>
            </w:pPr>
          </w:p>
          <w:p w14:paraId="2DF5EF9A" w14:textId="77777777" w:rsidR="00041CC8" w:rsidRPr="005454C8" w:rsidRDefault="00041CC8" w:rsidP="00A136A1">
            <w:pPr>
              <w:autoSpaceDE w:val="0"/>
              <w:autoSpaceDN w:val="0"/>
              <w:adjustRightInd w:val="0"/>
              <w:rPr>
                <w:rFonts w:eastAsia="Calibri"/>
                <w:b/>
              </w:rPr>
            </w:pPr>
          </w:p>
          <w:p w14:paraId="4EF5BAB8" w14:textId="77777777" w:rsidR="00041CC8" w:rsidRPr="005454C8" w:rsidRDefault="00041CC8" w:rsidP="00A136A1">
            <w:pPr>
              <w:autoSpaceDE w:val="0"/>
              <w:autoSpaceDN w:val="0"/>
              <w:adjustRightInd w:val="0"/>
              <w:rPr>
                <w:rFonts w:eastAsia="Calibri"/>
                <w:b/>
              </w:rPr>
            </w:pPr>
          </w:p>
          <w:p w14:paraId="4408F22B"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Pr>
                <w:rFonts w:eastAsia="Calibri"/>
                <w:b/>
              </w:rPr>
              <w:t xml:space="preserve"> </w:t>
            </w:r>
            <w:r w:rsidRPr="005454C8">
              <w:rPr>
                <w:rFonts w:eastAsia="Calibri"/>
              </w:rPr>
              <w:t>vartoti vorikonazolą kartu su didelėmis ritonaviro dozėmis (400 mg ir didesnėmis 2 x per parą) (žr. 4.3 skyrių).</w:t>
            </w:r>
          </w:p>
          <w:p w14:paraId="263F46D8" w14:textId="77777777" w:rsidR="00041CC8" w:rsidRPr="005454C8" w:rsidRDefault="00041CC8" w:rsidP="00A136A1">
            <w:pPr>
              <w:autoSpaceDE w:val="0"/>
              <w:autoSpaceDN w:val="0"/>
              <w:adjustRightInd w:val="0"/>
              <w:rPr>
                <w:rFonts w:eastAsia="Calibri"/>
              </w:rPr>
            </w:pPr>
          </w:p>
          <w:p w14:paraId="648DA389" w14:textId="77777777" w:rsidR="00041CC8" w:rsidRPr="005454C8" w:rsidRDefault="00041CC8" w:rsidP="00A136A1">
            <w:pPr>
              <w:autoSpaceDE w:val="0"/>
              <w:autoSpaceDN w:val="0"/>
              <w:adjustRightInd w:val="0"/>
              <w:rPr>
                <w:rFonts w:eastAsia="Calibri"/>
              </w:rPr>
            </w:pPr>
          </w:p>
          <w:p w14:paraId="28C79B28" w14:textId="77777777" w:rsidR="00041CC8" w:rsidRPr="005454C8" w:rsidRDefault="00041CC8" w:rsidP="00A136A1">
            <w:pPr>
              <w:autoSpaceDE w:val="0"/>
              <w:autoSpaceDN w:val="0"/>
              <w:adjustRightInd w:val="0"/>
              <w:rPr>
                <w:rFonts w:eastAsia="Calibri"/>
                <w:b/>
              </w:rPr>
            </w:pPr>
            <w:r w:rsidRPr="005454C8">
              <w:rPr>
                <w:rFonts w:eastAsia="Calibri"/>
              </w:rPr>
              <w:t>Reikia vengti vorikonazolą vartoti kartu su maža ritonaviro doze (100 mg doze 2 x per parą), išskyrus atvejus,</w:t>
            </w:r>
            <w:r w:rsidRPr="005454C8" w:rsidDel="004E6D46">
              <w:rPr>
                <w:rFonts w:eastAsia="Calibri"/>
              </w:rPr>
              <w:t xml:space="preserve"> </w:t>
            </w:r>
            <w:r w:rsidRPr="005454C8">
              <w:rPr>
                <w:rFonts w:eastAsia="Calibri"/>
              </w:rPr>
              <w:t>kai įvertinus naudos ir rizikos santykį, vorikonazolo vartojimas pacientui yra pateisinamas.</w:t>
            </w:r>
          </w:p>
        </w:tc>
      </w:tr>
      <w:tr w:rsidR="00041CC8" w:rsidRPr="009A1B7F" w14:paraId="0C7CCD97" w14:textId="77777777" w:rsidTr="00A136A1">
        <w:trPr>
          <w:trHeight w:val="651"/>
        </w:trPr>
        <w:tc>
          <w:tcPr>
            <w:tcW w:w="1661" w:type="pct"/>
          </w:tcPr>
          <w:p w14:paraId="43F49BA4" w14:textId="77777777" w:rsidR="00041CC8" w:rsidRPr="005454C8" w:rsidRDefault="00041CC8" w:rsidP="00A136A1">
            <w:pPr>
              <w:autoSpaceDE w:val="0"/>
              <w:autoSpaceDN w:val="0"/>
              <w:adjustRightInd w:val="0"/>
              <w:rPr>
                <w:rFonts w:eastAsia="Calibri"/>
              </w:rPr>
            </w:pPr>
            <w:r w:rsidRPr="005454C8">
              <w:rPr>
                <w:rFonts w:eastAsia="Calibri"/>
              </w:rPr>
              <w:t>Jonažolės preparatai</w:t>
            </w:r>
          </w:p>
          <w:p w14:paraId="1A03BD8B"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[CYP450 sužadinantis vaistinis preparatas, P-gp sužadinantis vaistinis preparatas]</w:t>
            </w:r>
          </w:p>
          <w:p w14:paraId="1C8B449B" w14:textId="77777777" w:rsidR="00041CC8" w:rsidRPr="005454C8" w:rsidRDefault="00041CC8" w:rsidP="00A136A1">
            <w:pPr>
              <w:autoSpaceDE w:val="0"/>
              <w:autoSpaceDN w:val="0"/>
              <w:adjustRightInd w:val="0"/>
              <w:rPr>
                <w:rFonts w:eastAsia="Calibri"/>
              </w:rPr>
            </w:pPr>
            <w:r w:rsidRPr="005454C8">
              <w:rPr>
                <w:rFonts w:eastAsia="Calibri"/>
              </w:rPr>
              <w:t>300 mg dozė 3 x per parą (pavartota kartu su vienkartine 400 mg vorikonazolo doze)</w:t>
            </w:r>
          </w:p>
        </w:tc>
        <w:tc>
          <w:tcPr>
            <w:tcW w:w="1935" w:type="pct"/>
          </w:tcPr>
          <w:p w14:paraId="25D3B03F" w14:textId="77777777" w:rsidR="00041CC8" w:rsidRPr="005454C8" w:rsidRDefault="00041CC8" w:rsidP="00A136A1">
            <w:pPr>
              <w:autoSpaceDE w:val="0"/>
              <w:autoSpaceDN w:val="0"/>
              <w:adjustRightInd w:val="0"/>
              <w:rPr>
                <w:rFonts w:eastAsia="Calibri"/>
              </w:rPr>
            </w:pPr>
            <w:r w:rsidRPr="005454C8">
              <w:rPr>
                <w:rFonts w:eastAsia="Calibri"/>
              </w:rPr>
              <w:t>Paskelbto nepriklausomo tyrimo duomenimis,</w:t>
            </w:r>
            <w:r w:rsidRPr="005454C8" w:rsidDel="004E6D46">
              <w:rPr>
                <w:rFonts w:eastAsia="Calibri"/>
              </w:rPr>
              <w:t xml:space="preserve"> </w:t>
            </w:r>
            <w:r w:rsidRPr="005454C8">
              <w:rPr>
                <w:rFonts w:eastAsia="Calibri"/>
              </w:rPr>
              <w:t>vorikonazolo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59 %</w:t>
            </w:r>
          </w:p>
        </w:tc>
        <w:tc>
          <w:tcPr>
            <w:tcW w:w="1404" w:type="pct"/>
          </w:tcPr>
          <w:p w14:paraId="451D34BB" w14:textId="77777777" w:rsidR="00041CC8" w:rsidRPr="005454C8" w:rsidRDefault="00041CC8" w:rsidP="00A136A1">
            <w:pPr>
              <w:autoSpaceDE w:val="0"/>
              <w:autoSpaceDN w:val="0"/>
              <w:adjustRightInd w:val="0"/>
              <w:rPr>
                <w:rFonts w:eastAsia="Calibri"/>
                <w:b/>
              </w:rPr>
            </w:pPr>
            <w:r w:rsidRPr="00982D99">
              <w:rPr>
                <w:rFonts w:eastAsia="Calibri"/>
                <w:bCs/>
                <w:i/>
                <w:iCs/>
              </w:rPr>
              <w:t>Kontraindikacija</w:t>
            </w:r>
            <w:r w:rsidRPr="005454C8" w:rsidDel="004E6D46">
              <w:rPr>
                <w:rFonts w:eastAsia="Calibri"/>
                <w:b/>
              </w:rPr>
              <w:t xml:space="preserve"> </w:t>
            </w:r>
            <w:r w:rsidRPr="005454C8">
              <w:rPr>
                <w:rFonts w:eastAsia="Calibri"/>
              </w:rPr>
              <w:t>(žr. 4.3 skyrių)</w:t>
            </w:r>
          </w:p>
        </w:tc>
      </w:tr>
      <w:tr w:rsidR="00041CC8" w:rsidRPr="009A1B7F" w14:paraId="6F8AD80D" w14:textId="77777777" w:rsidTr="00A136A1">
        <w:trPr>
          <w:trHeight w:val="921"/>
        </w:trPr>
        <w:tc>
          <w:tcPr>
            <w:tcW w:w="1661" w:type="pct"/>
          </w:tcPr>
          <w:p w14:paraId="2AE7E3A9" w14:textId="77777777" w:rsidR="00041CC8" w:rsidRPr="00343C1B" w:rsidRDefault="00041CC8" w:rsidP="00A136A1">
            <w:pPr>
              <w:autoSpaceDE w:val="0"/>
              <w:autoSpaceDN w:val="0"/>
              <w:adjustRightInd w:val="0"/>
              <w:rPr>
                <w:rFonts w:eastAsia="Calibri"/>
              </w:rPr>
            </w:pPr>
            <w:bookmarkStart w:id="10" w:name="_Hlk87626244"/>
            <w:r w:rsidRPr="00343C1B">
              <w:rPr>
                <w:rFonts w:eastAsia="Calibri"/>
              </w:rPr>
              <w:t>Tolvaptanas</w:t>
            </w:r>
          </w:p>
          <w:p w14:paraId="1D15A104" w14:textId="77777777" w:rsidR="00041CC8" w:rsidRPr="00541970" w:rsidRDefault="00041CC8" w:rsidP="00A136A1">
            <w:pPr>
              <w:autoSpaceDE w:val="0"/>
              <w:autoSpaceDN w:val="0"/>
              <w:adjustRightInd w:val="0"/>
              <w:rPr>
                <w:rFonts w:eastAsia="Calibri"/>
                <w:i/>
                <w:iCs/>
              </w:rPr>
            </w:pPr>
            <w:r w:rsidRPr="00343C1B">
              <w:rPr>
                <w:rFonts w:eastAsia="Calibri"/>
                <w:i/>
                <w:iCs/>
              </w:rPr>
              <w:t>[CYP3A substratas]</w:t>
            </w:r>
          </w:p>
        </w:tc>
        <w:tc>
          <w:tcPr>
            <w:tcW w:w="1935" w:type="pct"/>
          </w:tcPr>
          <w:p w14:paraId="61CEC907" w14:textId="77777777" w:rsidR="00041CC8" w:rsidRPr="005454C8" w:rsidRDefault="00041CC8" w:rsidP="00A136A1">
            <w:pPr>
              <w:autoSpaceDE w:val="0"/>
              <w:autoSpaceDN w:val="0"/>
              <w:adjustRightInd w:val="0"/>
              <w:rPr>
                <w:rFonts w:eastAsia="Calibri"/>
              </w:rPr>
            </w:pPr>
            <w:r w:rsidRPr="00343C1B">
              <w:rPr>
                <w:rFonts w:eastAsia="Calibri"/>
              </w:rPr>
              <w:t>Nors tyrimų neatlikta, tikėtina, kad</w:t>
            </w:r>
            <w:r>
              <w:rPr>
                <w:rFonts w:eastAsia="Calibri"/>
              </w:rPr>
              <w:t xml:space="preserve"> </w:t>
            </w:r>
            <w:r w:rsidRPr="00343C1B">
              <w:rPr>
                <w:rFonts w:eastAsia="Calibri"/>
              </w:rPr>
              <w:t>vorikonazolas reikšmingai padidina</w:t>
            </w:r>
            <w:r>
              <w:rPr>
                <w:rFonts w:eastAsia="Calibri"/>
              </w:rPr>
              <w:t xml:space="preserve"> </w:t>
            </w:r>
            <w:r w:rsidRPr="00343C1B">
              <w:rPr>
                <w:rFonts w:eastAsia="Calibri"/>
              </w:rPr>
              <w:t>tolvaptano koncentraciją plazmoje.</w:t>
            </w:r>
          </w:p>
        </w:tc>
        <w:tc>
          <w:tcPr>
            <w:tcW w:w="1404" w:type="pct"/>
          </w:tcPr>
          <w:p w14:paraId="550302AF"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sidDel="004E6D46">
              <w:rPr>
                <w:rFonts w:eastAsia="Calibri"/>
                <w:b/>
              </w:rPr>
              <w:t xml:space="preserve"> </w:t>
            </w:r>
            <w:r w:rsidRPr="005454C8">
              <w:rPr>
                <w:rFonts w:eastAsia="Calibri"/>
              </w:rPr>
              <w:t>(žr. 4.3 skyrių)</w:t>
            </w:r>
          </w:p>
        </w:tc>
      </w:tr>
      <w:tr w:rsidR="00041CC8" w:rsidRPr="009A1B7F" w14:paraId="407B14DA" w14:textId="77777777" w:rsidTr="00A136A1">
        <w:trPr>
          <w:trHeight w:val="2203"/>
        </w:trPr>
        <w:tc>
          <w:tcPr>
            <w:tcW w:w="1661" w:type="pct"/>
          </w:tcPr>
          <w:p w14:paraId="3C8F5AD1" w14:textId="77777777" w:rsidR="00041CC8" w:rsidRPr="00541970" w:rsidRDefault="00041CC8" w:rsidP="00A136A1">
            <w:pPr>
              <w:autoSpaceDE w:val="0"/>
              <w:autoSpaceDN w:val="0"/>
              <w:adjustRightInd w:val="0"/>
              <w:rPr>
                <w:rFonts w:eastAsia="Calibri"/>
              </w:rPr>
            </w:pPr>
            <w:bookmarkStart w:id="11" w:name="_Hlk87626237"/>
            <w:bookmarkEnd w:id="10"/>
            <w:r w:rsidRPr="00541970">
              <w:rPr>
                <w:rFonts w:eastAsia="Calibri"/>
              </w:rPr>
              <w:t>Venetoklaksas</w:t>
            </w:r>
          </w:p>
          <w:p w14:paraId="629BD393" w14:textId="77777777" w:rsidR="00041CC8" w:rsidRPr="00541970" w:rsidRDefault="00041CC8" w:rsidP="00A136A1">
            <w:pPr>
              <w:autoSpaceDE w:val="0"/>
              <w:autoSpaceDN w:val="0"/>
              <w:adjustRightInd w:val="0"/>
              <w:rPr>
                <w:rFonts w:eastAsia="Calibri"/>
              </w:rPr>
            </w:pPr>
            <w:r w:rsidRPr="00541970">
              <w:rPr>
                <w:rFonts w:eastAsia="Calibri"/>
                <w:i/>
                <w:iCs/>
              </w:rPr>
              <w:t>[CYP3A substratas]</w:t>
            </w:r>
          </w:p>
        </w:tc>
        <w:tc>
          <w:tcPr>
            <w:tcW w:w="1935" w:type="pct"/>
          </w:tcPr>
          <w:p w14:paraId="0F108B77" w14:textId="77777777" w:rsidR="00041CC8" w:rsidRPr="00541970" w:rsidRDefault="00041CC8" w:rsidP="00A136A1">
            <w:pPr>
              <w:autoSpaceDE w:val="0"/>
              <w:autoSpaceDN w:val="0"/>
              <w:adjustRightInd w:val="0"/>
              <w:rPr>
                <w:rFonts w:eastAsia="Calibri"/>
              </w:rPr>
            </w:pPr>
            <w:r w:rsidRPr="00541970">
              <w:rPr>
                <w:rFonts w:eastAsia="Calibri"/>
              </w:rPr>
              <w:t>Nors klinikinių tyrimų neatlikta, yra</w:t>
            </w:r>
            <w:r>
              <w:rPr>
                <w:rFonts w:eastAsia="Calibri"/>
              </w:rPr>
              <w:t xml:space="preserve"> </w:t>
            </w:r>
            <w:r w:rsidRPr="00541970">
              <w:rPr>
                <w:rFonts w:eastAsia="Calibri"/>
              </w:rPr>
              <w:t>tikėtina, kad vorikonazolas gali</w:t>
            </w:r>
            <w:r>
              <w:rPr>
                <w:rFonts w:eastAsia="Calibri"/>
              </w:rPr>
              <w:t xml:space="preserve"> </w:t>
            </w:r>
            <w:r w:rsidRPr="00541970">
              <w:rPr>
                <w:rFonts w:eastAsia="Calibri"/>
              </w:rPr>
              <w:t>reikšmingai didinti venetoklakso</w:t>
            </w:r>
            <w:r>
              <w:rPr>
                <w:rFonts w:eastAsia="Calibri"/>
              </w:rPr>
              <w:t xml:space="preserve"> </w:t>
            </w:r>
            <w:r w:rsidRPr="00541970">
              <w:rPr>
                <w:rFonts w:eastAsia="Calibri"/>
              </w:rPr>
              <w:t>koncentraciją plazmoje.</w:t>
            </w:r>
          </w:p>
        </w:tc>
        <w:tc>
          <w:tcPr>
            <w:tcW w:w="1404" w:type="pct"/>
          </w:tcPr>
          <w:p w14:paraId="08C31EA3" w14:textId="77777777" w:rsidR="00041CC8" w:rsidRPr="00541970" w:rsidRDefault="00041CC8" w:rsidP="00A136A1">
            <w:pPr>
              <w:autoSpaceDE w:val="0"/>
              <w:autoSpaceDN w:val="0"/>
              <w:adjustRightInd w:val="0"/>
              <w:rPr>
                <w:rFonts w:eastAsia="Calibri"/>
              </w:rPr>
            </w:pPr>
            <w:r w:rsidRPr="00541970">
              <w:rPr>
                <w:rFonts w:eastAsia="Calibri"/>
              </w:rPr>
              <w:t>Pradedant gydymą</w:t>
            </w:r>
            <w:r>
              <w:rPr>
                <w:rFonts w:eastAsia="Calibri"/>
              </w:rPr>
              <w:t xml:space="preserve"> </w:t>
            </w:r>
            <w:r w:rsidRPr="00541970">
              <w:rPr>
                <w:rFonts w:eastAsia="Calibri"/>
              </w:rPr>
              <w:t>venetoklaksu bei</w:t>
            </w:r>
            <w:r>
              <w:rPr>
                <w:rFonts w:eastAsia="Calibri"/>
              </w:rPr>
              <w:t xml:space="preserve"> </w:t>
            </w:r>
            <w:r w:rsidRPr="00541970">
              <w:rPr>
                <w:rFonts w:eastAsia="Calibri"/>
              </w:rPr>
              <w:t>venetoklakso</w:t>
            </w:r>
            <w:r>
              <w:rPr>
                <w:rFonts w:eastAsia="Calibri"/>
              </w:rPr>
              <w:t xml:space="preserve"> </w:t>
            </w:r>
            <w:r w:rsidRPr="00541970">
              <w:rPr>
                <w:rFonts w:eastAsia="Calibri"/>
              </w:rPr>
              <w:t>dozės titravimo fazės metu</w:t>
            </w:r>
            <w:r>
              <w:rPr>
                <w:rFonts w:eastAsia="Calibri"/>
              </w:rPr>
              <w:t xml:space="preserve"> </w:t>
            </w:r>
            <w:r w:rsidRPr="00541970">
              <w:rPr>
                <w:rFonts w:eastAsia="Calibri"/>
              </w:rPr>
              <w:t>kartu vartoti vorikonazolo</w:t>
            </w:r>
            <w:r>
              <w:rPr>
                <w:rFonts w:eastAsia="Calibri"/>
              </w:rPr>
              <w:t xml:space="preserve"> </w:t>
            </w:r>
            <w:r w:rsidRPr="00541970">
              <w:rPr>
                <w:rFonts w:eastAsia="Calibri"/>
              </w:rPr>
              <w:t>draudžiama (žr. 4.3 skyrių).</w:t>
            </w:r>
            <w:r>
              <w:rPr>
                <w:rFonts w:eastAsia="Calibri"/>
              </w:rPr>
              <w:t xml:space="preserve"> </w:t>
            </w:r>
            <w:r w:rsidRPr="00541970">
              <w:rPr>
                <w:rFonts w:eastAsia="Calibri"/>
              </w:rPr>
              <w:t>Kasdien vartojant nuolatines</w:t>
            </w:r>
            <w:r>
              <w:rPr>
                <w:rFonts w:eastAsia="Calibri"/>
              </w:rPr>
              <w:t xml:space="preserve"> </w:t>
            </w:r>
            <w:r w:rsidRPr="00541970">
              <w:rPr>
                <w:rFonts w:eastAsia="Calibri"/>
              </w:rPr>
              <w:t>dozes, reikia sumažinti</w:t>
            </w:r>
            <w:r>
              <w:rPr>
                <w:rFonts w:eastAsia="Calibri"/>
              </w:rPr>
              <w:t xml:space="preserve"> </w:t>
            </w:r>
            <w:r w:rsidRPr="00541970">
              <w:rPr>
                <w:rFonts w:eastAsia="Calibri"/>
              </w:rPr>
              <w:t>venetoklakso dozę, kaip</w:t>
            </w:r>
            <w:r>
              <w:rPr>
                <w:rFonts w:eastAsia="Calibri"/>
              </w:rPr>
              <w:t xml:space="preserve"> </w:t>
            </w:r>
            <w:r w:rsidRPr="00541970">
              <w:rPr>
                <w:rFonts w:eastAsia="Calibri"/>
              </w:rPr>
              <w:t>nurodyta venetoklakso</w:t>
            </w:r>
            <w:r>
              <w:rPr>
                <w:rFonts w:eastAsia="Calibri"/>
              </w:rPr>
              <w:t xml:space="preserve"> </w:t>
            </w:r>
            <w:r w:rsidRPr="00541970">
              <w:rPr>
                <w:rFonts w:eastAsia="Calibri"/>
              </w:rPr>
              <w:t>skyrimo informacijoje;</w:t>
            </w:r>
            <w:r>
              <w:rPr>
                <w:rFonts w:eastAsia="Calibri"/>
              </w:rPr>
              <w:t xml:space="preserve"> </w:t>
            </w:r>
            <w:r w:rsidRPr="00541970">
              <w:rPr>
                <w:rFonts w:eastAsia="Calibri"/>
              </w:rPr>
              <w:t>rekomenduojama atidžiai</w:t>
            </w:r>
            <w:r>
              <w:rPr>
                <w:rFonts w:eastAsia="Calibri"/>
              </w:rPr>
              <w:t xml:space="preserve"> </w:t>
            </w:r>
            <w:r w:rsidRPr="00541970">
              <w:rPr>
                <w:rFonts w:eastAsia="Calibri"/>
              </w:rPr>
              <w:lastRenderedPageBreak/>
              <w:t>stebėti, ar nėra toksinio</w:t>
            </w:r>
            <w:r>
              <w:rPr>
                <w:rFonts w:eastAsia="Calibri"/>
              </w:rPr>
              <w:t xml:space="preserve"> </w:t>
            </w:r>
            <w:r w:rsidRPr="00541970">
              <w:rPr>
                <w:rFonts w:eastAsia="Calibri"/>
              </w:rPr>
              <w:t>poveikio požymių.</w:t>
            </w:r>
          </w:p>
        </w:tc>
      </w:tr>
      <w:bookmarkEnd w:id="11"/>
      <w:tr w:rsidR="00041CC8" w:rsidRPr="009A1B7F" w14:paraId="0E1499F8" w14:textId="77777777" w:rsidTr="00A136A1">
        <w:trPr>
          <w:trHeight w:val="651"/>
        </w:trPr>
        <w:tc>
          <w:tcPr>
            <w:tcW w:w="1661" w:type="pct"/>
          </w:tcPr>
          <w:p w14:paraId="4CDBCD88" w14:textId="77777777" w:rsidR="00041CC8" w:rsidRPr="005454C8" w:rsidRDefault="00041CC8" w:rsidP="00A136A1">
            <w:pPr>
              <w:autoSpaceDE w:val="0"/>
              <w:autoSpaceDN w:val="0"/>
              <w:adjustRightInd w:val="0"/>
              <w:rPr>
                <w:rFonts w:eastAsia="Calibri"/>
              </w:rPr>
            </w:pPr>
            <w:r w:rsidRPr="005454C8">
              <w:rPr>
                <w:rFonts w:eastAsia="Calibri"/>
              </w:rPr>
              <w:lastRenderedPageBreak/>
              <w:t>Flukonazolas (200 mg dozė 1 x per parą)</w:t>
            </w:r>
          </w:p>
          <w:p w14:paraId="2768A82F"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[CYP2C9, CYP2C19 ir CYP3A4 inhibitorius]</w:t>
            </w:r>
          </w:p>
          <w:p w14:paraId="7508DB61" w14:textId="77777777" w:rsidR="00041CC8" w:rsidRPr="005454C8" w:rsidRDefault="00041CC8" w:rsidP="00A136A1">
            <w:pPr>
              <w:autoSpaceDE w:val="0"/>
              <w:autoSpaceDN w:val="0"/>
              <w:adjustRightInd w:val="0"/>
              <w:rPr>
                <w:rFonts w:eastAsia="Calibri"/>
              </w:rPr>
            </w:pPr>
          </w:p>
        </w:tc>
        <w:tc>
          <w:tcPr>
            <w:tcW w:w="1935" w:type="pct"/>
          </w:tcPr>
          <w:p w14:paraId="6FD4FCF0" w14:textId="77777777" w:rsidR="00041CC8" w:rsidRPr="005454C8" w:rsidRDefault="00041CC8" w:rsidP="00A136A1">
            <w:pPr>
              <w:autoSpaceDE w:val="0"/>
              <w:autoSpaceDN w:val="0"/>
              <w:adjustRightInd w:val="0"/>
              <w:rPr>
                <w:rFonts w:eastAsia="Calibri"/>
              </w:rPr>
            </w:pPr>
            <w:r w:rsidRPr="005454C8">
              <w:rPr>
                <w:rFonts w:eastAsia="Calibri"/>
              </w:rPr>
              <w:t xml:space="preserve">Vorikonazolo Cmax  </w:t>
            </w:r>
            <w:r w:rsidRPr="005454C8">
              <w:t>↑</w:t>
            </w:r>
            <w:r w:rsidRPr="005454C8">
              <w:rPr>
                <w:rFonts w:eastAsia="Calibri"/>
              </w:rPr>
              <w:t>57 %</w:t>
            </w:r>
          </w:p>
          <w:p w14:paraId="58F8882F"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r w:rsidRPr="005454C8">
              <w:t>↑</w:t>
            </w:r>
            <w:r w:rsidRPr="005454C8">
              <w:rPr>
                <w:rFonts w:eastAsia="Calibri"/>
              </w:rPr>
              <w:t xml:space="preserve"> 79 %</w:t>
            </w:r>
          </w:p>
          <w:p w14:paraId="518D5CCC" w14:textId="77777777" w:rsidR="00041CC8" w:rsidRPr="005454C8" w:rsidRDefault="00041CC8" w:rsidP="00A136A1">
            <w:pPr>
              <w:autoSpaceDE w:val="0"/>
              <w:autoSpaceDN w:val="0"/>
              <w:adjustRightInd w:val="0"/>
              <w:rPr>
                <w:rFonts w:eastAsia="Calibri"/>
              </w:rPr>
            </w:pPr>
            <w:r w:rsidRPr="005454C8">
              <w:rPr>
                <w:rFonts w:eastAsia="Calibri"/>
              </w:rPr>
              <w:t>Flukonazolo C</w:t>
            </w:r>
            <w:r w:rsidRPr="00D2038C">
              <w:rPr>
                <w:rFonts w:eastAsia="Calibri"/>
                <w:vertAlign w:val="subscript"/>
              </w:rPr>
              <w:t>max</w:t>
            </w:r>
            <w:r w:rsidRPr="005454C8">
              <w:rPr>
                <w:rFonts w:eastAsia="Calibri"/>
              </w:rPr>
              <w:t xml:space="preserve"> NN</w:t>
            </w:r>
          </w:p>
          <w:p w14:paraId="372DE343" w14:textId="77777777" w:rsidR="00041CC8" w:rsidRPr="005454C8" w:rsidRDefault="00041CC8" w:rsidP="00A136A1">
            <w:pPr>
              <w:autoSpaceDE w:val="0"/>
              <w:autoSpaceDN w:val="0"/>
              <w:adjustRightInd w:val="0"/>
              <w:rPr>
                <w:rFonts w:eastAsia="Calibri"/>
              </w:rPr>
            </w:pPr>
            <w:r w:rsidRPr="005454C8">
              <w:rPr>
                <w:rFonts w:eastAsia="Calibri"/>
              </w:rPr>
              <w:t>Flukonazolo AUC</w:t>
            </w:r>
            <w:r w:rsidRPr="005454C8">
              <w:rPr>
                <w:vertAlign w:val="subscript"/>
              </w:rPr>
              <w:t>τ</w:t>
            </w:r>
            <w:r>
              <w:rPr>
                <w:vertAlign w:val="subscript"/>
              </w:rPr>
              <w:t xml:space="preserve"> </w:t>
            </w:r>
            <w:r w:rsidRPr="005454C8">
              <w:rPr>
                <w:rFonts w:eastAsia="Calibri"/>
              </w:rPr>
              <w:t>NN</w:t>
            </w:r>
          </w:p>
        </w:tc>
        <w:tc>
          <w:tcPr>
            <w:tcW w:w="1404" w:type="pct"/>
          </w:tcPr>
          <w:p w14:paraId="7674636B" w14:textId="77777777" w:rsidR="00041CC8" w:rsidRPr="005454C8" w:rsidRDefault="00041CC8" w:rsidP="00A136A1">
            <w:pPr>
              <w:autoSpaceDE w:val="0"/>
              <w:autoSpaceDN w:val="0"/>
              <w:adjustRightInd w:val="0"/>
              <w:rPr>
                <w:rFonts w:eastAsia="Calibri"/>
              </w:rPr>
            </w:pPr>
            <w:r w:rsidRPr="005454C8">
              <w:rPr>
                <w:rFonts w:eastAsia="Calibri"/>
              </w:rPr>
              <w:t>Mažesnės vorikonazolo ir (arba) flukonazolo dozės ir vartojimo dažnis, kurie panaikintų tokį poveikį,</w:t>
            </w:r>
            <w:r w:rsidRPr="005454C8" w:rsidDel="000114DC">
              <w:rPr>
                <w:rFonts w:eastAsia="Calibri"/>
              </w:rPr>
              <w:t xml:space="preserve"> </w:t>
            </w:r>
            <w:r w:rsidRPr="005454C8">
              <w:rPr>
                <w:rFonts w:eastAsia="Calibri"/>
              </w:rPr>
              <w:t>nebuvo nustatyti.</w:t>
            </w:r>
          </w:p>
          <w:p w14:paraId="6A16F728" w14:textId="77777777" w:rsidR="00041CC8" w:rsidRPr="005454C8" w:rsidRDefault="00041CC8" w:rsidP="00A136A1">
            <w:pPr>
              <w:autoSpaceDE w:val="0"/>
              <w:autoSpaceDN w:val="0"/>
              <w:adjustRightInd w:val="0"/>
              <w:rPr>
                <w:rFonts w:eastAsia="Calibri"/>
              </w:rPr>
            </w:pPr>
            <w:r w:rsidRPr="005454C8">
              <w:rPr>
                <w:rFonts w:eastAsia="Calibri"/>
              </w:rPr>
              <w:t>Rekomenduojama stebėti, ar neatsiranda su vorikonazolo vartojimu susijusių nepageidaujamų reakcijų,</w:t>
            </w:r>
            <w:r w:rsidRPr="005454C8" w:rsidDel="000114DC">
              <w:rPr>
                <w:rFonts w:eastAsia="Calibri"/>
              </w:rPr>
              <w:t xml:space="preserve"> </w:t>
            </w:r>
            <w:r w:rsidRPr="005454C8">
              <w:rPr>
                <w:rFonts w:eastAsia="Calibri"/>
              </w:rPr>
              <w:t>jeigu vorikonazolas vartojamas nuosekliai po flukonazolo.</w:t>
            </w:r>
          </w:p>
        </w:tc>
      </w:tr>
      <w:tr w:rsidR="00041CC8" w:rsidRPr="009A1B7F" w14:paraId="150C3928" w14:textId="77777777" w:rsidTr="00A136A1">
        <w:trPr>
          <w:trHeight w:val="651"/>
        </w:trPr>
        <w:tc>
          <w:tcPr>
            <w:tcW w:w="1661" w:type="pct"/>
          </w:tcPr>
          <w:p w14:paraId="476369CE" w14:textId="77777777" w:rsidR="00041CC8" w:rsidRPr="005454C8" w:rsidRDefault="00041CC8" w:rsidP="00A136A1">
            <w:pPr>
              <w:autoSpaceDE w:val="0"/>
              <w:autoSpaceDN w:val="0"/>
              <w:adjustRightInd w:val="0"/>
              <w:rPr>
                <w:rFonts w:eastAsia="Calibri"/>
              </w:rPr>
            </w:pPr>
            <w:r w:rsidRPr="005454C8">
              <w:rPr>
                <w:rFonts w:eastAsia="Calibri"/>
              </w:rPr>
              <w:t>Fenitoinas</w:t>
            </w:r>
          </w:p>
          <w:p w14:paraId="4BDECBD7"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[CYP2C9 substratas ir stipraus poveikio CYP450 sužadinantis vaistinis preparatas]</w:t>
            </w:r>
          </w:p>
          <w:p w14:paraId="3D3EE64D" w14:textId="77777777" w:rsidR="00041CC8" w:rsidRPr="005454C8" w:rsidRDefault="00041CC8" w:rsidP="00A136A1">
            <w:pPr>
              <w:autoSpaceDE w:val="0"/>
              <w:autoSpaceDN w:val="0"/>
              <w:adjustRightInd w:val="0"/>
              <w:rPr>
                <w:rFonts w:eastAsia="Calibri"/>
              </w:rPr>
            </w:pPr>
            <w:r w:rsidRPr="005454C8">
              <w:rPr>
                <w:rFonts w:eastAsia="Calibri"/>
              </w:rPr>
              <w:t>300 mg dozė 1 x per parą</w:t>
            </w:r>
          </w:p>
          <w:p w14:paraId="3115E0BB" w14:textId="77777777" w:rsidR="00041CC8" w:rsidRPr="005454C8" w:rsidRDefault="00041CC8" w:rsidP="00A136A1">
            <w:pPr>
              <w:autoSpaceDE w:val="0"/>
              <w:autoSpaceDN w:val="0"/>
              <w:adjustRightInd w:val="0"/>
              <w:rPr>
                <w:rFonts w:eastAsia="Calibri"/>
              </w:rPr>
            </w:pPr>
          </w:p>
          <w:p w14:paraId="2F5B27B9" w14:textId="77777777" w:rsidR="00041CC8" w:rsidRPr="005454C8" w:rsidRDefault="00041CC8" w:rsidP="00A136A1">
            <w:pPr>
              <w:autoSpaceDE w:val="0"/>
              <w:autoSpaceDN w:val="0"/>
              <w:adjustRightInd w:val="0"/>
              <w:rPr>
                <w:rFonts w:eastAsia="Calibri"/>
              </w:rPr>
            </w:pPr>
          </w:p>
          <w:p w14:paraId="570FAA1D" w14:textId="77777777" w:rsidR="00041CC8" w:rsidRPr="005454C8" w:rsidRDefault="00041CC8" w:rsidP="00A136A1">
            <w:pPr>
              <w:autoSpaceDE w:val="0"/>
              <w:autoSpaceDN w:val="0"/>
              <w:adjustRightInd w:val="0"/>
              <w:rPr>
                <w:rFonts w:eastAsia="Calibri"/>
              </w:rPr>
            </w:pPr>
            <w:r w:rsidRPr="005454C8">
              <w:rPr>
                <w:rFonts w:eastAsia="Calibri"/>
              </w:rPr>
              <w:t>300 mg dozė 1 x per parą (vartojama kartu su 400 mg vorikonazolo 2 x per parą)*</w:t>
            </w:r>
          </w:p>
        </w:tc>
        <w:tc>
          <w:tcPr>
            <w:tcW w:w="1935" w:type="pct"/>
          </w:tcPr>
          <w:p w14:paraId="0EFE066F" w14:textId="77777777" w:rsidR="00041CC8" w:rsidRPr="005454C8" w:rsidRDefault="00041CC8" w:rsidP="00A136A1">
            <w:pPr>
              <w:autoSpaceDE w:val="0"/>
              <w:autoSpaceDN w:val="0"/>
              <w:adjustRightInd w:val="0"/>
              <w:rPr>
                <w:rFonts w:eastAsia="Calibri"/>
              </w:rPr>
            </w:pPr>
          </w:p>
          <w:p w14:paraId="42499961" w14:textId="77777777" w:rsidR="00041CC8" w:rsidRPr="005454C8" w:rsidRDefault="00041CC8" w:rsidP="00A136A1">
            <w:pPr>
              <w:autoSpaceDE w:val="0"/>
              <w:autoSpaceDN w:val="0"/>
              <w:adjustRightInd w:val="0"/>
              <w:rPr>
                <w:rFonts w:eastAsia="Calibri"/>
              </w:rPr>
            </w:pPr>
          </w:p>
          <w:p w14:paraId="1C8DFBE7" w14:textId="77777777" w:rsidR="00041CC8" w:rsidRPr="005454C8" w:rsidRDefault="00041CC8" w:rsidP="00A136A1">
            <w:pPr>
              <w:autoSpaceDE w:val="0"/>
              <w:autoSpaceDN w:val="0"/>
              <w:adjustRightInd w:val="0"/>
              <w:rPr>
                <w:rFonts w:eastAsia="Calibri"/>
              </w:rPr>
            </w:pPr>
          </w:p>
          <w:p w14:paraId="0E058258" w14:textId="77777777" w:rsidR="00041CC8" w:rsidRPr="005454C8" w:rsidRDefault="00041CC8" w:rsidP="00A136A1">
            <w:pPr>
              <w:autoSpaceDE w:val="0"/>
              <w:autoSpaceDN w:val="0"/>
              <w:adjustRightInd w:val="0"/>
              <w:rPr>
                <w:rFonts w:eastAsia="Calibri"/>
              </w:rPr>
            </w:pPr>
          </w:p>
          <w:p w14:paraId="04663101"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49 %</w:t>
            </w:r>
          </w:p>
          <w:p w14:paraId="5F72AE55"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r w:rsidRPr="005454C8">
              <w:t>↓</w:t>
            </w:r>
            <w:r w:rsidRPr="005454C8">
              <w:rPr>
                <w:rFonts w:eastAsia="Calibri"/>
              </w:rPr>
              <w:t xml:space="preserve"> 69 %</w:t>
            </w:r>
          </w:p>
          <w:p w14:paraId="4D96CAD8" w14:textId="77777777" w:rsidR="00041CC8" w:rsidRPr="005454C8" w:rsidRDefault="00041CC8" w:rsidP="00A136A1">
            <w:pPr>
              <w:autoSpaceDE w:val="0"/>
              <w:autoSpaceDN w:val="0"/>
              <w:adjustRightInd w:val="0"/>
              <w:rPr>
                <w:rFonts w:eastAsia="Calibri"/>
              </w:rPr>
            </w:pPr>
          </w:p>
          <w:p w14:paraId="2CF0A3C0" w14:textId="77777777" w:rsidR="00041CC8" w:rsidRPr="005454C8" w:rsidRDefault="00041CC8" w:rsidP="00A136A1">
            <w:pPr>
              <w:autoSpaceDE w:val="0"/>
              <w:autoSpaceDN w:val="0"/>
              <w:adjustRightInd w:val="0"/>
              <w:rPr>
                <w:rFonts w:eastAsia="Calibri"/>
              </w:rPr>
            </w:pPr>
          </w:p>
          <w:p w14:paraId="26C6CA14" w14:textId="77777777" w:rsidR="00041CC8" w:rsidRPr="005454C8" w:rsidRDefault="00041CC8" w:rsidP="00A136A1">
            <w:pPr>
              <w:autoSpaceDE w:val="0"/>
              <w:autoSpaceDN w:val="0"/>
              <w:adjustRightInd w:val="0"/>
              <w:rPr>
                <w:rFonts w:eastAsia="Calibri"/>
              </w:rPr>
            </w:pPr>
            <w:r w:rsidRPr="005454C8">
              <w:rPr>
                <w:rFonts w:eastAsia="Calibri"/>
              </w:rPr>
              <w:t>Fenitoino C</w:t>
            </w:r>
            <w:r w:rsidRPr="005454C8">
              <w:rPr>
                <w:rFonts w:eastAsia="Calibri"/>
                <w:vertAlign w:val="subscript"/>
              </w:rPr>
              <w:t>max</w:t>
            </w:r>
            <w:r w:rsidRPr="005454C8">
              <w:rPr>
                <w:rFonts w:eastAsia="Calibri"/>
              </w:rPr>
              <w:t xml:space="preserve"> </w:t>
            </w:r>
            <w:r w:rsidRPr="005454C8">
              <w:t>↑</w:t>
            </w:r>
            <w:r w:rsidRPr="005454C8">
              <w:rPr>
                <w:rFonts w:eastAsia="Calibri"/>
              </w:rPr>
              <w:t>67 %</w:t>
            </w:r>
          </w:p>
          <w:p w14:paraId="33432620" w14:textId="77777777" w:rsidR="00041CC8" w:rsidRPr="005454C8" w:rsidRDefault="00041CC8" w:rsidP="00A136A1">
            <w:pPr>
              <w:autoSpaceDE w:val="0"/>
              <w:autoSpaceDN w:val="0"/>
              <w:adjustRightInd w:val="0"/>
              <w:rPr>
                <w:rFonts w:eastAsia="Calibri"/>
              </w:rPr>
            </w:pPr>
            <w:r w:rsidRPr="005454C8">
              <w:rPr>
                <w:rFonts w:eastAsia="Calibri"/>
              </w:rPr>
              <w:t>Fenitoino AUC</w:t>
            </w:r>
            <w:r w:rsidRPr="005454C8">
              <w:rPr>
                <w:vertAlign w:val="subscript"/>
              </w:rPr>
              <w:t>τ</w:t>
            </w:r>
            <w:r w:rsidRPr="005454C8">
              <w:rPr>
                <w:rFonts w:eastAsia="Calibri"/>
              </w:rPr>
              <w:t xml:space="preserve"> </w:t>
            </w:r>
            <w:r w:rsidRPr="005454C8">
              <w:t>↑</w:t>
            </w:r>
            <w:r w:rsidRPr="005454C8">
              <w:rPr>
                <w:rFonts w:eastAsia="Calibri"/>
              </w:rPr>
              <w:t>81 %</w:t>
            </w:r>
          </w:p>
          <w:p w14:paraId="321A70B1" w14:textId="77777777" w:rsidR="00041CC8" w:rsidRPr="005454C8" w:rsidRDefault="00041CC8" w:rsidP="00A136A1">
            <w:pPr>
              <w:autoSpaceDE w:val="0"/>
              <w:autoSpaceDN w:val="0"/>
              <w:adjustRightInd w:val="0"/>
              <w:rPr>
                <w:rFonts w:eastAsia="Calibri"/>
              </w:rPr>
            </w:pPr>
            <w:r w:rsidRPr="005454C8">
              <w:rPr>
                <w:rFonts w:eastAsia="Calibri"/>
              </w:rPr>
              <w:t>Palyginti su 200 mg vorikonazolo 2 x per parą,</w:t>
            </w:r>
          </w:p>
          <w:p w14:paraId="3B6212B0"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34 %</w:t>
            </w:r>
          </w:p>
          <w:p w14:paraId="3C73C25A"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t>↑</w:t>
            </w:r>
            <w:r w:rsidRPr="005454C8">
              <w:rPr>
                <w:rFonts w:eastAsia="Calibri"/>
              </w:rPr>
              <w:t xml:space="preserve"> 39 %</w:t>
            </w:r>
          </w:p>
        </w:tc>
        <w:tc>
          <w:tcPr>
            <w:tcW w:w="1404" w:type="pct"/>
          </w:tcPr>
          <w:p w14:paraId="3FF3DD6C" w14:textId="77777777" w:rsidR="00041CC8" w:rsidRPr="005454C8" w:rsidRDefault="00041CC8" w:rsidP="00A136A1">
            <w:pPr>
              <w:autoSpaceDE w:val="0"/>
              <w:autoSpaceDN w:val="0"/>
              <w:adjustRightInd w:val="0"/>
              <w:rPr>
                <w:rFonts w:eastAsia="Calibri"/>
              </w:rPr>
            </w:pPr>
            <w:r w:rsidRPr="005454C8">
              <w:rPr>
                <w:rFonts w:eastAsia="Calibri"/>
              </w:rPr>
              <w:t>Reikia vengti vorikonazolą vartoti kartu su fenitoinu,</w:t>
            </w:r>
            <w:r w:rsidRPr="005454C8" w:rsidDel="00CB662A">
              <w:rPr>
                <w:rFonts w:eastAsia="Calibri"/>
              </w:rPr>
              <w:t xml:space="preserve"> </w:t>
            </w:r>
            <w:r w:rsidRPr="005454C8">
              <w:rPr>
                <w:rFonts w:eastAsia="Calibri"/>
              </w:rPr>
              <w:t>išskyrus atvejus, kai nauda persveria riziką.</w:t>
            </w:r>
          </w:p>
          <w:p w14:paraId="09825333" w14:textId="77777777" w:rsidR="00041CC8" w:rsidRPr="005454C8" w:rsidRDefault="00041CC8" w:rsidP="00A136A1">
            <w:pPr>
              <w:autoSpaceDE w:val="0"/>
              <w:autoSpaceDN w:val="0"/>
              <w:adjustRightInd w:val="0"/>
              <w:rPr>
                <w:rFonts w:eastAsia="Calibri"/>
              </w:rPr>
            </w:pPr>
            <w:r w:rsidRPr="005454C8">
              <w:rPr>
                <w:rFonts w:eastAsia="Calibri"/>
              </w:rPr>
              <w:t xml:space="preserve">Rekomenduojama atidžiai stebėti fenitoino koncentracijas </w:t>
            </w:r>
            <w:r w:rsidRPr="009A1B7F">
              <w:rPr>
                <w:rFonts w:eastAsia="Calibri"/>
                <w:szCs w:val="22"/>
                <w:lang w:eastAsia="en-US"/>
              </w:rPr>
              <w:t xml:space="preserve">kraujo </w:t>
            </w:r>
            <w:r w:rsidRPr="005454C8">
              <w:rPr>
                <w:rFonts w:eastAsia="Calibri"/>
              </w:rPr>
              <w:t>plazmoje.</w:t>
            </w:r>
          </w:p>
          <w:p w14:paraId="67BE92A2" w14:textId="77777777" w:rsidR="00041CC8" w:rsidRPr="005454C8" w:rsidRDefault="00041CC8" w:rsidP="00A136A1">
            <w:pPr>
              <w:autoSpaceDE w:val="0"/>
              <w:autoSpaceDN w:val="0"/>
              <w:adjustRightInd w:val="0"/>
              <w:rPr>
                <w:rFonts w:eastAsia="Calibri"/>
              </w:rPr>
            </w:pPr>
            <w:r w:rsidRPr="005454C8">
              <w:rPr>
                <w:rFonts w:eastAsia="Calibri"/>
              </w:rPr>
              <w:t>Fenitoiną galima vartoti kartu su vorikonazolu, jeigu vorikonazolo palaikomoji dozė padidinama iki 5 mg/kg į veną 2 x per parą arba nuo 200 mg iki 400 mg dozės per burną 2 x per parą (nuo 100 mg iki 200 mg dozės per burną 2 x per parą pacientams, kurių kūno masė yra mažesnė kaip 40 kg) (žr. 4.2 skyrių).</w:t>
            </w:r>
          </w:p>
        </w:tc>
      </w:tr>
      <w:tr w:rsidR="00041CC8" w:rsidRPr="009A1B7F" w14:paraId="1D708AF5" w14:textId="77777777" w:rsidTr="00A136A1">
        <w:trPr>
          <w:trHeight w:val="651"/>
        </w:trPr>
        <w:tc>
          <w:tcPr>
            <w:tcW w:w="1661" w:type="pct"/>
          </w:tcPr>
          <w:p w14:paraId="10F96104" w14:textId="77777777" w:rsidR="00041CC8" w:rsidRPr="00C63A17" w:rsidRDefault="00041CC8" w:rsidP="00A136A1">
            <w:pPr>
              <w:autoSpaceDE w:val="0"/>
              <w:autoSpaceDN w:val="0"/>
              <w:adjustRightInd w:val="0"/>
              <w:rPr>
                <w:rFonts w:eastAsia="Calibri"/>
              </w:rPr>
            </w:pPr>
            <w:r w:rsidRPr="00C63A17">
              <w:rPr>
                <w:rFonts w:eastAsia="Calibri"/>
              </w:rPr>
              <w:t>Letermoviras</w:t>
            </w:r>
          </w:p>
          <w:p w14:paraId="4A0B93BF" w14:textId="77777777" w:rsidR="00041CC8" w:rsidRPr="005454C8" w:rsidRDefault="00041CC8" w:rsidP="00A136A1">
            <w:pPr>
              <w:autoSpaceDE w:val="0"/>
              <w:autoSpaceDN w:val="0"/>
              <w:adjustRightInd w:val="0"/>
              <w:rPr>
                <w:rFonts w:eastAsia="Calibri"/>
              </w:rPr>
            </w:pPr>
            <w:r w:rsidRPr="00C63A17">
              <w:rPr>
                <w:rFonts w:eastAsia="Calibri"/>
                <w:i/>
                <w:iCs/>
              </w:rPr>
              <w:t>[CYP2C9 ir CYP2C19</w:t>
            </w:r>
            <w:r>
              <w:rPr>
                <w:rFonts w:eastAsia="Calibri"/>
                <w:i/>
                <w:iCs/>
              </w:rPr>
              <w:t xml:space="preserve"> </w:t>
            </w:r>
            <w:r w:rsidRPr="00C63A17">
              <w:rPr>
                <w:rFonts w:eastAsia="Calibri"/>
                <w:i/>
                <w:iCs/>
              </w:rPr>
              <w:t>sužadinantis vaistinis</w:t>
            </w:r>
            <w:r>
              <w:rPr>
                <w:rFonts w:eastAsia="Calibri"/>
                <w:i/>
                <w:iCs/>
              </w:rPr>
              <w:t xml:space="preserve"> </w:t>
            </w:r>
            <w:r w:rsidRPr="00C63A17">
              <w:rPr>
                <w:rFonts w:eastAsia="Calibri"/>
                <w:i/>
                <w:iCs/>
              </w:rPr>
              <w:t>preparatas]</w:t>
            </w:r>
          </w:p>
        </w:tc>
        <w:tc>
          <w:tcPr>
            <w:tcW w:w="1935" w:type="pct"/>
          </w:tcPr>
          <w:p w14:paraId="392FD031" w14:textId="77777777" w:rsidR="00041CC8" w:rsidRPr="00C63A17" w:rsidRDefault="00041CC8" w:rsidP="00A136A1">
            <w:pPr>
              <w:autoSpaceDE w:val="0"/>
              <w:autoSpaceDN w:val="0"/>
              <w:adjustRightInd w:val="0"/>
              <w:rPr>
                <w:rFonts w:eastAsia="Calibri"/>
              </w:rPr>
            </w:pPr>
            <w:r w:rsidRPr="00C63A17">
              <w:rPr>
                <w:rFonts w:eastAsia="Calibri"/>
              </w:rPr>
              <w:t>Vorikonazolo C</w:t>
            </w:r>
            <w:r w:rsidRPr="00C63A17">
              <w:rPr>
                <w:rFonts w:eastAsia="Calibri"/>
                <w:vertAlign w:val="subscript"/>
              </w:rPr>
              <w:t>max</w:t>
            </w:r>
            <w:r w:rsidRPr="00C63A17">
              <w:rPr>
                <w:rFonts w:eastAsia="Calibri"/>
              </w:rPr>
              <w:t xml:space="preserve"> ↓ 39</w:t>
            </w:r>
            <w:r>
              <w:rPr>
                <w:rFonts w:eastAsia="Calibri"/>
              </w:rPr>
              <w:t> </w:t>
            </w:r>
            <w:r w:rsidRPr="00C63A17">
              <w:rPr>
                <w:rFonts w:eastAsia="Calibri"/>
              </w:rPr>
              <w:t>%</w:t>
            </w:r>
          </w:p>
          <w:p w14:paraId="7A52BE6A" w14:textId="77777777" w:rsidR="00041CC8" w:rsidRPr="00C63A17" w:rsidRDefault="00041CC8" w:rsidP="00A136A1">
            <w:pPr>
              <w:autoSpaceDE w:val="0"/>
              <w:autoSpaceDN w:val="0"/>
              <w:adjustRightInd w:val="0"/>
              <w:rPr>
                <w:rFonts w:eastAsia="Calibri"/>
              </w:rPr>
            </w:pPr>
            <w:r w:rsidRPr="00C63A17">
              <w:rPr>
                <w:rFonts w:eastAsia="Calibri"/>
              </w:rPr>
              <w:t>Vorikonazolo AUC</w:t>
            </w:r>
            <w:r w:rsidRPr="00C63A17">
              <w:rPr>
                <w:rFonts w:eastAsia="Calibri"/>
                <w:vertAlign w:val="subscript"/>
              </w:rPr>
              <w:t xml:space="preserve">0-12 </w:t>
            </w:r>
            <w:r w:rsidRPr="00C63A17">
              <w:rPr>
                <w:rFonts w:eastAsia="Calibri"/>
              </w:rPr>
              <w:t>↓ 44</w:t>
            </w:r>
            <w:r>
              <w:rPr>
                <w:rFonts w:eastAsia="Calibri"/>
              </w:rPr>
              <w:t> </w:t>
            </w:r>
            <w:r w:rsidRPr="00C63A17">
              <w:rPr>
                <w:rFonts w:eastAsia="Calibri"/>
              </w:rPr>
              <w:t>%</w:t>
            </w:r>
          </w:p>
          <w:p w14:paraId="535FE7CF" w14:textId="77777777" w:rsidR="00041CC8" w:rsidRPr="005454C8" w:rsidRDefault="00041CC8" w:rsidP="00A136A1">
            <w:pPr>
              <w:autoSpaceDE w:val="0"/>
              <w:autoSpaceDN w:val="0"/>
              <w:adjustRightInd w:val="0"/>
              <w:rPr>
                <w:rFonts w:eastAsia="Calibri"/>
              </w:rPr>
            </w:pPr>
            <w:r w:rsidRPr="00C63A17">
              <w:rPr>
                <w:rFonts w:eastAsia="Calibri"/>
              </w:rPr>
              <w:t>Vorikonazolo C</w:t>
            </w:r>
            <w:r w:rsidRPr="00C63A17">
              <w:rPr>
                <w:rFonts w:eastAsia="Calibri"/>
                <w:vertAlign w:val="subscript"/>
              </w:rPr>
              <w:t>12</w:t>
            </w:r>
            <w:r w:rsidRPr="00C63A17">
              <w:rPr>
                <w:rFonts w:eastAsia="Calibri"/>
              </w:rPr>
              <w:t xml:space="preserve"> ↓ 51</w:t>
            </w:r>
            <w:r>
              <w:rPr>
                <w:rFonts w:eastAsia="Calibri"/>
              </w:rPr>
              <w:t> </w:t>
            </w:r>
            <w:r w:rsidRPr="00C63A17">
              <w:rPr>
                <w:rFonts w:eastAsia="Calibri"/>
              </w:rPr>
              <w:t>%</w:t>
            </w:r>
          </w:p>
        </w:tc>
        <w:tc>
          <w:tcPr>
            <w:tcW w:w="1404" w:type="pct"/>
          </w:tcPr>
          <w:p w14:paraId="214CE16B" w14:textId="77777777" w:rsidR="00041CC8" w:rsidRPr="005454C8" w:rsidRDefault="00041CC8" w:rsidP="00A136A1">
            <w:pPr>
              <w:autoSpaceDE w:val="0"/>
              <w:autoSpaceDN w:val="0"/>
              <w:adjustRightInd w:val="0"/>
              <w:rPr>
                <w:rFonts w:eastAsia="Calibri"/>
              </w:rPr>
            </w:pPr>
            <w:r w:rsidRPr="00C63A17">
              <w:rPr>
                <w:rFonts w:eastAsia="Calibri"/>
              </w:rPr>
              <w:t>Jei negalima išvengti</w:t>
            </w:r>
            <w:r>
              <w:rPr>
                <w:rFonts w:eastAsia="Calibri"/>
              </w:rPr>
              <w:t xml:space="preserve"> </w:t>
            </w:r>
            <w:r w:rsidRPr="00C63A17">
              <w:rPr>
                <w:rFonts w:eastAsia="Calibri"/>
              </w:rPr>
              <w:t>vorikonazolo vartojimo</w:t>
            </w:r>
            <w:r>
              <w:rPr>
                <w:rFonts w:eastAsia="Calibri"/>
              </w:rPr>
              <w:t xml:space="preserve"> </w:t>
            </w:r>
            <w:r w:rsidRPr="00C63A17">
              <w:rPr>
                <w:rFonts w:eastAsia="Calibri"/>
              </w:rPr>
              <w:t>kartu</w:t>
            </w:r>
            <w:r>
              <w:rPr>
                <w:rFonts w:eastAsia="Calibri"/>
              </w:rPr>
              <w:t xml:space="preserve"> </w:t>
            </w:r>
            <w:r w:rsidRPr="00C63A17">
              <w:rPr>
                <w:rFonts w:eastAsia="Calibri"/>
              </w:rPr>
              <w:t>su letermoviru,</w:t>
            </w:r>
            <w:r>
              <w:rPr>
                <w:rFonts w:eastAsia="Calibri"/>
              </w:rPr>
              <w:t xml:space="preserve"> </w:t>
            </w:r>
            <w:r w:rsidRPr="00C63A17">
              <w:rPr>
                <w:rFonts w:eastAsia="Calibri"/>
              </w:rPr>
              <w:t>reikia stebėti,</w:t>
            </w:r>
            <w:r>
              <w:rPr>
                <w:rFonts w:eastAsia="Calibri"/>
              </w:rPr>
              <w:t xml:space="preserve"> </w:t>
            </w:r>
            <w:r w:rsidRPr="00C63A17">
              <w:rPr>
                <w:rFonts w:eastAsia="Calibri"/>
              </w:rPr>
              <w:t>ar nesusilpnėja vorikonazolo</w:t>
            </w:r>
            <w:r>
              <w:rPr>
                <w:rFonts w:eastAsia="Calibri"/>
              </w:rPr>
              <w:t xml:space="preserve"> </w:t>
            </w:r>
            <w:r w:rsidRPr="00C63A17">
              <w:rPr>
                <w:rFonts w:eastAsia="Calibri"/>
              </w:rPr>
              <w:t>veiksmingumas.</w:t>
            </w:r>
          </w:p>
        </w:tc>
      </w:tr>
      <w:tr w:rsidR="007C0BD6" w:rsidRPr="009A1B7F" w14:paraId="18AE8F3F" w14:textId="77777777" w:rsidTr="00A136A1">
        <w:trPr>
          <w:trHeight w:val="651"/>
        </w:trPr>
        <w:tc>
          <w:tcPr>
            <w:tcW w:w="1661" w:type="pct"/>
          </w:tcPr>
          <w:p w14:paraId="78C03544" w14:textId="77777777" w:rsidR="007C0BD6" w:rsidRPr="007C0BD6" w:rsidRDefault="007C0BD6" w:rsidP="007C0BD6">
            <w:pPr>
              <w:autoSpaceDE w:val="0"/>
              <w:autoSpaceDN w:val="0"/>
              <w:adjustRightInd w:val="0"/>
              <w:rPr>
                <w:rFonts w:eastAsia="Calibri"/>
              </w:rPr>
            </w:pPr>
            <w:r w:rsidRPr="007C0BD6">
              <w:rPr>
                <w:rFonts w:eastAsia="Calibri"/>
              </w:rPr>
              <w:t>Flukloksacilinas</w:t>
            </w:r>
          </w:p>
          <w:p w14:paraId="1F384CA4" w14:textId="00C87954" w:rsidR="007C0BD6" w:rsidRPr="00F847E4" w:rsidRDefault="007C0BD6" w:rsidP="007C0BD6">
            <w:pPr>
              <w:autoSpaceDE w:val="0"/>
              <w:autoSpaceDN w:val="0"/>
              <w:adjustRightInd w:val="0"/>
              <w:rPr>
                <w:rFonts w:eastAsia="Calibri"/>
                <w:i/>
                <w:iCs/>
              </w:rPr>
            </w:pPr>
            <w:r w:rsidRPr="00F847E4">
              <w:rPr>
                <w:rFonts w:eastAsia="Calibri"/>
                <w:i/>
                <w:iCs/>
              </w:rPr>
              <w:t>[CYP450 induktorius]</w:t>
            </w:r>
          </w:p>
        </w:tc>
        <w:tc>
          <w:tcPr>
            <w:tcW w:w="1935" w:type="pct"/>
          </w:tcPr>
          <w:p w14:paraId="4DE0E9A6" w14:textId="4FD48D47" w:rsidR="007C0BD6" w:rsidRPr="00C63A17" w:rsidRDefault="007C0BD6" w:rsidP="007C0BD6">
            <w:pPr>
              <w:autoSpaceDE w:val="0"/>
              <w:autoSpaceDN w:val="0"/>
              <w:adjustRightInd w:val="0"/>
              <w:rPr>
                <w:rFonts w:eastAsia="Calibri"/>
              </w:rPr>
            </w:pPr>
            <w:r w:rsidRPr="007C0BD6">
              <w:rPr>
                <w:rFonts w:eastAsia="Calibri"/>
              </w:rPr>
              <w:t>Gauta pranešimų apie reikšmingai</w:t>
            </w:r>
            <w:r>
              <w:rPr>
                <w:rFonts w:eastAsia="Calibri"/>
              </w:rPr>
              <w:t xml:space="preserve"> </w:t>
            </w:r>
            <w:r w:rsidRPr="007C0BD6">
              <w:rPr>
                <w:rFonts w:eastAsia="Calibri"/>
              </w:rPr>
              <w:t>sumažėjusią vorikonazolo</w:t>
            </w:r>
            <w:r>
              <w:rPr>
                <w:rFonts w:eastAsia="Calibri"/>
              </w:rPr>
              <w:t xml:space="preserve"> </w:t>
            </w:r>
            <w:r w:rsidRPr="007C0BD6">
              <w:rPr>
                <w:rFonts w:eastAsia="Calibri"/>
              </w:rPr>
              <w:t>koncentraciją plazmoje.</w:t>
            </w:r>
          </w:p>
        </w:tc>
        <w:tc>
          <w:tcPr>
            <w:tcW w:w="1404" w:type="pct"/>
          </w:tcPr>
          <w:p w14:paraId="48705660" w14:textId="6AF22AE9" w:rsidR="007C0BD6" w:rsidRPr="00C63A17" w:rsidRDefault="007C0BD6" w:rsidP="007C0BD6">
            <w:pPr>
              <w:autoSpaceDE w:val="0"/>
              <w:autoSpaceDN w:val="0"/>
              <w:adjustRightInd w:val="0"/>
              <w:rPr>
                <w:rFonts w:eastAsia="Calibri"/>
              </w:rPr>
            </w:pPr>
            <w:r w:rsidRPr="007C0BD6">
              <w:rPr>
                <w:rFonts w:eastAsia="Calibri"/>
              </w:rPr>
              <w:t>Jei vorikonazolo ir</w:t>
            </w:r>
            <w:r>
              <w:rPr>
                <w:rFonts w:eastAsia="Calibri"/>
              </w:rPr>
              <w:t xml:space="preserve"> </w:t>
            </w:r>
            <w:r w:rsidRPr="007C0BD6">
              <w:rPr>
                <w:rFonts w:eastAsia="Calibri"/>
              </w:rPr>
              <w:t>flukloksacilino vartojimo kartu</w:t>
            </w:r>
            <w:r>
              <w:rPr>
                <w:rFonts w:eastAsia="Calibri"/>
              </w:rPr>
              <w:t xml:space="preserve"> </w:t>
            </w:r>
            <w:r w:rsidRPr="007C0BD6">
              <w:rPr>
                <w:rFonts w:eastAsia="Calibri"/>
              </w:rPr>
              <w:t xml:space="preserve">negalima išvengti, </w:t>
            </w:r>
            <w:r w:rsidRPr="007C0BD6">
              <w:rPr>
                <w:rFonts w:eastAsia="Calibri"/>
              </w:rPr>
              <w:lastRenderedPageBreak/>
              <w:t>reikia</w:t>
            </w:r>
            <w:r>
              <w:rPr>
                <w:rFonts w:eastAsia="Calibri"/>
              </w:rPr>
              <w:t xml:space="preserve"> </w:t>
            </w:r>
            <w:r w:rsidRPr="007C0BD6">
              <w:rPr>
                <w:rFonts w:eastAsia="Calibri"/>
              </w:rPr>
              <w:t>stebėti, ar nesumažėja</w:t>
            </w:r>
            <w:r>
              <w:rPr>
                <w:rFonts w:eastAsia="Calibri"/>
              </w:rPr>
              <w:t xml:space="preserve"> </w:t>
            </w:r>
            <w:r w:rsidRPr="007C0BD6">
              <w:rPr>
                <w:rFonts w:eastAsia="Calibri"/>
              </w:rPr>
              <w:t>vorikonazolo veiksmingumas</w:t>
            </w:r>
            <w:r>
              <w:rPr>
                <w:rFonts w:eastAsia="Calibri"/>
              </w:rPr>
              <w:t xml:space="preserve"> </w:t>
            </w:r>
            <w:r w:rsidRPr="007C0BD6">
              <w:rPr>
                <w:rFonts w:eastAsia="Calibri"/>
              </w:rPr>
              <w:t>(pvz. atlikti vaist</w:t>
            </w:r>
            <w:r w:rsidR="00A24E81">
              <w:rPr>
                <w:rFonts w:eastAsia="Calibri"/>
              </w:rPr>
              <w:t>ini</w:t>
            </w:r>
            <w:r w:rsidRPr="007C0BD6">
              <w:rPr>
                <w:rFonts w:eastAsia="Calibri"/>
              </w:rPr>
              <w:t>o</w:t>
            </w:r>
            <w:r>
              <w:rPr>
                <w:rFonts w:eastAsia="Calibri"/>
              </w:rPr>
              <w:t xml:space="preserve"> </w:t>
            </w:r>
            <w:r w:rsidR="00A24E81">
              <w:rPr>
                <w:rFonts w:eastAsia="Calibri"/>
              </w:rPr>
              <w:t xml:space="preserve">preparato </w:t>
            </w:r>
            <w:r w:rsidRPr="007C0BD6">
              <w:rPr>
                <w:rFonts w:eastAsia="Calibri"/>
              </w:rPr>
              <w:t>koncentracijos kraujyje</w:t>
            </w:r>
            <w:r>
              <w:rPr>
                <w:rFonts w:eastAsia="Calibri"/>
              </w:rPr>
              <w:t xml:space="preserve"> </w:t>
            </w:r>
            <w:r w:rsidRPr="007C0BD6">
              <w:rPr>
                <w:rFonts w:eastAsia="Calibri"/>
              </w:rPr>
              <w:t>stebėseną); gali reikėti</w:t>
            </w:r>
            <w:r>
              <w:rPr>
                <w:rFonts w:eastAsia="Calibri"/>
              </w:rPr>
              <w:t xml:space="preserve"> </w:t>
            </w:r>
            <w:r w:rsidRPr="007C0BD6">
              <w:rPr>
                <w:rFonts w:eastAsia="Calibri"/>
              </w:rPr>
              <w:t>padidinti vorikonazolo dozę.</w:t>
            </w:r>
          </w:p>
        </w:tc>
      </w:tr>
      <w:tr w:rsidR="00041CC8" w:rsidRPr="009A1B7F" w14:paraId="42B49F71" w14:textId="77777777" w:rsidTr="00A136A1">
        <w:trPr>
          <w:trHeight w:val="651"/>
        </w:trPr>
        <w:tc>
          <w:tcPr>
            <w:tcW w:w="1661" w:type="pct"/>
          </w:tcPr>
          <w:p w14:paraId="018F9E9E" w14:textId="77777777" w:rsidR="00041CC8" w:rsidRPr="00343C1B" w:rsidRDefault="00041CC8" w:rsidP="00A136A1">
            <w:pPr>
              <w:autoSpaceDE w:val="0"/>
              <w:autoSpaceDN w:val="0"/>
              <w:adjustRightInd w:val="0"/>
              <w:rPr>
                <w:rFonts w:eastAsia="Calibri"/>
              </w:rPr>
            </w:pPr>
            <w:bookmarkStart w:id="12" w:name="_Hlk87626226"/>
            <w:r w:rsidRPr="00343C1B">
              <w:rPr>
                <w:rFonts w:eastAsia="Calibri"/>
              </w:rPr>
              <w:lastRenderedPageBreak/>
              <w:t>Glasdegibas</w:t>
            </w:r>
          </w:p>
          <w:p w14:paraId="7DC4BD0E" w14:textId="77777777" w:rsidR="00041CC8" w:rsidRPr="00343C1B" w:rsidRDefault="00041CC8" w:rsidP="00A136A1">
            <w:pPr>
              <w:autoSpaceDE w:val="0"/>
              <w:autoSpaceDN w:val="0"/>
              <w:adjustRightInd w:val="0"/>
              <w:rPr>
                <w:rFonts w:eastAsia="Calibri"/>
                <w:i/>
                <w:iCs/>
              </w:rPr>
            </w:pPr>
            <w:r w:rsidRPr="00343C1B">
              <w:rPr>
                <w:rFonts w:eastAsia="Calibri"/>
                <w:i/>
                <w:iCs/>
              </w:rPr>
              <w:t>[CYP3A4 substratas]</w:t>
            </w:r>
          </w:p>
        </w:tc>
        <w:tc>
          <w:tcPr>
            <w:tcW w:w="1935" w:type="pct"/>
          </w:tcPr>
          <w:p w14:paraId="7F95C1FC" w14:textId="77777777" w:rsidR="00041CC8" w:rsidRPr="00C63A17" w:rsidRDefault="00041CC8" w:rsidP="00A136A1">
            <w:pPr>
              <w:autoSpaceDE w:val="0"/>
              <w:autoSpaceDN w:val="0"/>
              <w:adjustRightInd w:val="0"/>
              <w:rPr>
                <w:rFonts w:eastAsia="Calibri"/>
              </w:rPr>
            </w:pPr>
            <w:r w:rsidRPr="00343C1B">
              <w:rPr>
                <w:rFonts w:eastAsia="Calibri"/>
              </w:rPr>
              <w:t>Nors tyrimų neatlikta, tikėtina, kad</w:t>
            </w:r>
            <w:r>
              <w:rPr>
                <w:rFonts w:eastAsia="Calibri"/>
              </w:rPr>
              <w:t xml:space="preserve"> </w:t>
            </w:r>
            <w:r w:rsidRPr="00343C1B">
              <w:rPr>
                <w:rFonts w:eastAsia="Calibri"/>
              </w:rPr>
              <w:t>vorikonazolas didina glasdegibo</w:t>
            </w:r>
            <w:r>
              <w:rPr>
                <w:rFonts w:eastAsia="Calibri"/>
              </w:rPr>
              <w:t xml:space="preserve"> </w:t>
            </w:r>
            <w:r w:rsidRPr="00343C1B">
              <w:rPr>
                <w:rFonts w:eastAsia="Calibri"/>
              </w:rPr>
              <w:t>koncentraciją plazmoje ir didina</w:t>
            </w:r>
            <w:r>
              <w:rPr>
                <w:rFonts w:eastAsia="Calibri"/>
              </w:rPr>
              <w:t xml:space="preserve"> </w:t>
            </w:r>
            <w:r w:rsidRPr="00343C1B">
              <w:rPr>
                <w:rFonts w:eastAsia="Calibri"/>
              </w:rPr>
              <w:t>QTc pailgėjimo riziką.</w:t>
            </w:r>
          </w:p>
        </w:tc>
        <w:tc>
          <w:tcPr>
            <w:tcW w:w="1404" w:type="pct"/>
          </w:tcPr>
          <w:p w14:paraId="2F3FEEB0" w14:textId="77777777" w:rsidR="00041CC8" w:rsidRPr="00C63A17" w:rsidRDefault="00041CC8" w:rsidP="00A136A1">
            <w:pPr>
              <w:autoSpaceDE w:val="0"/>
              <w:autoSpaceDN w:val="0"/>
              <w:adjustRightInd w:val="0"/>
              <w:rPr>
                <w:rFonts w:eastAsia="Calibri"/>
              </w:rPr>
            </w:pPr>
            <w:r w:rsidRPr="00343C1B">
              <w:rPr>
                <w:rFonts w:eastAsia="Calibri"/>
              </w:rPr>
              <w:t>Jei negalima išvengti</w:t>
            </w:r>
            <w:r>
              <w:rPr>
                <w:rFonts w:eastAsia="Calibri"/>
              </w:rPr>
              <w:t xml:space="preserve"> </w:t>
            </w:r>
            <w:r w:rsidRPr="00343C1B">
              <w:rPr>
                <w:rFonts w:eastAsia="Calibri"/>
              </w:rPr>
              <w:t>vartojimo kartu,</w:t>
            </w:r>
            <w:r>
              <w:rPr>
                <w:rFonts w:eastAsia="Calibri"/>
              </w:rPr>
              <w:t xml:space="preserve"> </w:t>
            </w:r>
            <w:r w:rsidRPr="00343C1B">
              <w:rPr>
                <w:rFonts w:eastAsia="Calibri"/>
              </w:rPr>
              <w:t>rekomenduojama dažnai</w:t>
            </w:r>
            <w:r>
              <w:rPr>
                <w:rFonts w:eastAsia="Calibri"/>
              </w:rPr>
              <w:t xml:space="preserve"> </w:t>
            </w:r>
            <w:r w:rsidRPr="00343C1B">
              <w:rPr>
                <w:rFonts w:eastAsia="Calibri"/>
              </w:rPr>
              <w:t>stebėti EKG (žr. 4.4</w:t>
            </w:r>
            <w:r>
              <w:rPr>
                <w:rFonts w:eastAsia="Calibri"/>
              </w:rPr>
              <w:t xml:space="preserve"> </w:t>
            </w:r>
            <w:r w:rsidRPr="00343C1B">
              <w:rPr>
                <w:rFonts w:eastAsia="Calibri"/>
              </w:rPr>
              <w:t>skyrių).</w:t>
            </w:r>
          </w:p>
        </w:tc>
      </w:tr>
      <w:tr w:rsidR="00041CC8" w:rsidRPr="009A1B7F" w14:paraId="5A44175B" w14:textId="77777777" w:rsidTr="00A136A1">
        <w:trPr>
          <w:trHeight w:val="651"/>
        </w:trPr>
        <w:tc>
          <w:tcPr>
            <w:tcW w:w="1661" w:type="pct"/>
          </w:tcPr>
          <w:p w14:paraId="26559329" w14:textId="77777777" w:rsidR="00041CC8" w:rsidRPr="00343C1B" w:rsidRDefault="00041CC8" w:rsidP="00A136A1">
            <w:pPr>
              <w:autoSpaceDE w:val="0"/>
              <w:autoSpaceDN w:val="0"/>
              <w:adjustRightInd w:val="0"/>
              <w:rPr>
                <w:rFonts w:eastAsia="Calibri"/>
              </w:rPr>
            </w:pPr>
            <w:r w:rsidRPr="00343C1B">
              <w:rPr>
                <w:rFonts w:eastAsia="Calibri"/>
              </w:rPr>
              <w:t>Tirozinkinazės inhibitoriai</w:t>
            </w:r>
          </w:p>
          <w:p w14:paraId="6C27C07E" w14:textId="35971A62" w:rsidR="00041CC8" w:rsidRPr="00343C1B" w:rsidRDefault="00041CC8" w:rsidP="00A136A1">
            <w:pPr>
              <w:autoSpaceDE w:val="0"/>
              <w:autoSpaceDN w:val="0"/>
              <w:adjustRightInd w:val="0"/>
              <w:rPr>
                <w:rFonts w:eastAsia="Calibri"/>
              </w:rPr>
            </w:pPr>
            <w:r w:rsidRPr="00343C1B">
              <w:rPr>
                <w:rFonts w:eastAsia="Calibri"/>
              </w:rPr>
              <w:t>(</w:t>
            </w:r>
            <w:r w:rsidR="007C0BD6" w:rsidRPr="007C0BD6">
              <w:rPr>
                <w:rFonts w:eastAsia="Calibri"/>
              </w:rPr>
              <w:t>įskaitant šiuos, bet jais neapsiribojant:</w:t>
            </w:r>
            <w:r w:rsidRPr="00343C1B">
              <w:rPr>
                <w:rFonts w:eastAsia="Calibri"/>
              </w:rPr>
              <w:t xml:space="preserve"> aksitinibas, bozutinibas,</w:t>
            </w:r>
            <w:r w:rsidR="007C0BD6">
              <w:rPr>
                <w:rFonts w:eastAsia="Calibri"/>
              </w:rPr>
              <w:t xml:space="preserve"> </w:t>
            </w:r>
            <w:r w:rsidRPr="00343C1B">
              <w:rPr>
                <w:rFonts w:eastAsia="Calibri"/>
              </w:rPr>
              <w:t>kabozantinibas, ceritinibas,</w:t>
            </w:r>
            <w:r w:rsidR="007C0BD6">
              <w:rPr>
                <w:rFonts w:eastAsia="Calibri"/>
              </w:rPr>
              <w:t xml:space="preserve"> </w:t>
            </w:r>
            <w:r w:rsidRPr="00343C1B">
              <w:rPr>
                <w:rFonts w:eastAsia="Calibri"/>
              </w:rPr>
              <w:t>kobimetinibas, dabrafenibas,</w:t>
            </w:r>
            <w:r w:rsidR="007C0BD6">
              <w:rPr>
                <w:rFonts w:eastAsia="Calibri"/>
              </w:rPr>
              <w:t xml:space="preserve"> </w:t>
            </w:r>
            <w:r w:rsidRPr="00343C1B">
              <w:rPr>
                <w:rFonts w:eastAsia="Calibri"/>
              </w:rPr>
              <w:t>dazatinibas, nilotinibas,</w:t>
            </w:r>
            <w:r w:rsidR="007C0BD6">
              <w:rPr>
                <w:rFonts w:eastAsia="Calibri"/>
              </w:rPr>
              <w:t xml:space="preserve"> </w:t>
            </w:r>
            <w:r w:rsidRPr="00343C1B">
              <w:rPr>
                <w:rFonts w:eastAsia="Calibri"/>
              </w:rPr>
              <w:t>sunitinibas, ibrutinibas,</w:t>
            </w:r>
            <w:r w:rsidR="007C0BD6">
              <w:rPr>
                <w:rFonts w:eastAsia="Calibri"/>
              </w:rPr>
              <w:t xml:space="preserve"> </w:t>
            </w:r>
            <w:r w:rsidRPr="00343C1B">
              <w:rPr>
                <w:rFonts w:eastAsia="Calibri"/>
              </w:rPr>
              <w:t>ribociklibas)</w:t>
            </w:r>
          </w:p>
          <w:p w14:paraId="4C1088A6" w14:textId="77777777" w:rsidR="00041CC8" w:rsidRPr="00343C1B" w:rsidRDefault="00041CC8" w:rsidP="00A136A1">
            <w:pPr>
              <w:autoSpaceDE w:val="0"/>
              <w:autoSpaceDN w:val="0"/>
              <w:adjustRightInd w:val="0"/>
              <w:rPr>
                <w:rFonts w:eastAsia="Calibri"/>
                <w:i/>
                <w:iCs/>
              </w:rPr>
            </w:pPr>
            <w:r w:rsidRPr="00343C1B">
              <w:rPr>
                <w:rFonts w:eastAsia="Calibri"/>
                <w:i/>
                <w:iCs/>
              </w:rPr>
              <w:t>[CYP3A4 substratai]</w:t>
            </w:r>
          </w:p>
        </w:tc>
        <w:tc>
          <w:tcPr>
            <w:tcW w:w="1935" w:type="pct"/>
          </w:tcPr>
          <w:p w14:paraId="31573148" w14:textId="77777777" w:rsidR="00041CC8" w:rsidRPr="00C63A17" w:rsidRDefault="00041CC8" w:rsidP="00A136A1">
            <w:pPr>
              <w:autoSpaceDE w:val="0"/>
              <w:autoSpaceDN w:val="0"/>
              <w:adjustRightInd w:val="0"/>
              <w:rPr>
                <w:rFonts w:eastAsia="Calibri"/>
              </w:rPr>
            </w:pPr>
            <w:r w:rsidRPr="00343C1B">
              <w:rPr>
                <w:rFonts w:eastAsia="Calibri"/>
              </w:rPr>
              <w:t>Nors tyrimų neatlikta,</w:t>
            </w:r>
            <w:r>
              <w:rPr>
                <w:rFonts w:eastAsia="Calibri"/>
              </w:rPr>
              <w:t xml:space="preserve"> </w:t>
            </w:r>
            <w:r w:rsidRPr="00343C1B">
              <w:rPr>
                <w:rFonts w:eastAsia="Calibri"/>
              </w:rPr>
              <w:t>vorikonazolas gali padidinti</w:t>
            </w:r>
            <w:r>
              <w:rPr>
                <w:rFonts w:eastAsia="Calibri"/>
              </w:rPr>
              <w:t xml:space="preserve"> </w:t>
            </w:r>
            <w:r w:rsidRPr="00343C1B">
              <w:rPr>
                <w:rFonts w:eastAsia="Calibri"/>
              </w:rPr>
              <w:t>CYP3A4</w:t>
            </w:r>
            <w:r>
              <w:rPr>
                <w:rFonts w:eastAsia="Calibri"/>
              </w:rPr>
              <w:t xml:space="preserve"> </w:t>
            </w:r>
            <w:r w:rsidRPr="00343C1B">
              <w:rPr>
                <w:rFonts w:eastAsia="Calibri"/>
              </w:rPr>
              <w:t>metabolizuojamų</w:t>
            </w:r>
            <w:r>
              <w:rPr>
                <w:rFonts w:eastAsia="Calibri"/>
              </w:rPr>
              <w:t xml:space="preserve"> </w:t>
            </w:r>
            <w:r w:rsidRPr="00343C1B">
              <w:rPr>
                <w:rFonts w:eastAsia="Calibri"/>
              </w:rPr>
              <w:t>tirozinkinazės inhibitorių</w:t>
            </w:r>
            <w:r>
              <w:rPr>
                <w:rFonts w:eastAsia="Calibri"/>
              </w:rPr>
              <w:t xml:space="preserve"> </w:t>
            </w:r>
            <w:r w:rsidRPr="00343C1B">
              <w:rPr>
                <w:rFonts w:eastAsia="Calibri"/>
              </w:rPr>
              <w:t>koncentraciją plazmoje.</w:t>
            </w:r>
          </w:p>
        </w:tc>
        <w:tc>
          <w:tcPr>
            <w:tcW w:w="1404" w:type="pct"/>
          </w:tcPr>
          <w:p w14:paraId="1D9E3AD7" w14:textId="0F5311DE" w:rsidR="00041CC8" w:rsidRPr="00C63A17" w:rsidRDefault="00041CC8" w:rsidP="007C0BD6">
            <w:pPr>
              <w:autoSpaceDE w:val="0"/>
              <w:autoSpaceDN w:val="0"/>
              <w:adjustRightInd w:val="0"/>
              <w:rPr>
                <w:rFonts w:eastAsia="Calibri"/>
              </w:rPr>
            </w:pPr>
            <w:r w:rsidRPr="00343C1B">
              <w:rPr>
                <w:rFonts w:eastAsia="Calibri"/>
              </w:rPr>
              <w:t>Jei negalima išvengti</w:t>
            </w:r>
            <w:r>
              <w:rPr>
                <w:rFonts w:eastAsia="Calibri"/>
              </w:rPr>
              <w:t xml:space="preserve"> </w:t>
            </w:r>
            <w:r w:rsidRPr="00343C1B">
              <w:rPr>
                <w:rFonts w:eastAsia="Calibri"/>
              </w:rPr>
              <w:t>vartojimo kartu,</w:t>
            </w:r>
            <w:r>
              <w:rPr>
                <w:rFonts w:eastAsia="Calibri"/>
              </w:rPr>
              <w:t xml:space="preserve"> </w:t>
            </w:r>
            <w:r w:rsidRPr="00343C1B">
              <w:rPr>
                <w:rFonts w:eastAsia="Calibri"/>
              </w:rPr>
              <w:t>rekomenduojama</w:t>
            </w:r>
            <w:r>
              <w:rPr>
                <w:rFonts w:eastAsia="Calibri"/>
              </w:rPr>
              <w:t xml:space="preserve"> </w:t>
            </w:r>
            <w:r w:rsidRPr="00343C1B">
              <w:rPr>
                <w:rFonts w:eastAsia="Calibri"/>
              </w:rPr>
              <w:t>sumažinti</w:t>
            </w:r>
            <w:r w:rsidR="007C0BD6">
              <w:rPr>
                <w:rFonts w:eastAsia="Calibri"/>
              </w:rPr>
              <w:t xml:space="preserve"> t</w:t>
            </w:r>
            <w:r w:rsidRPr="00343C1B">
              <w:rPr>
                <w:rFonts w:eastAsia="Calibri"/>
              </w:rPr>
              <w:t>irozinkinazės</w:t>
            </w:r>
            <w:r>
              <w:rPr>
                <w:rFonts w:eastAsia="Calibri"/>
              </w:rPr>
              <w:t xml:space="preserve"> </w:t>
            </w:r>
            <w:r w:rsidRPr="00343C1B">
              <w:rPr>
                <w:rFonts w:eastAsia="Calibri"/>
              </w:rPr>
              <w:t>inhibitoriaus</w:t>
            </w:r>
            <w:r>
              <w:rPr>
                <w:rFonts w:eastAsia="Calibri"/>
              </w:rPr>
              <w:t xml:space="preserve"> </w:t>
            </w:r>
            <w:r w:rsidRPr="00343C1B">
              <w:rPr>
                <w:rFonts w:eastAsia="Calibri"/>
              </w:rPr>
              <w:t>dozę</w:t>
            </w:r>
            <w:r w:rsidR="007C0BD6">
              <w:rPr>
                <w:rFonts w:eastAsia="Calibri"/>
              </w:rPr>
              <w:t xml:space="preserve"> ir atidžiai stebėti klinikinę būklę</w:t>
            </w:r>
            <w:r w:rsidRPr="00343C1B">
              <w:rPr>
                <w:rFonts w:eastAsia="Calibri"/>
              </w:rPr>
              <w:t xml:space="preserve"> (žr. 4.4 skyrių).</w:t>
            </w:r>
          </w:p>
        </w:tc>
      </w:tr>
      <w:bookmarkEnd w:id="12"/>
      <w:tr w:rsidR="00041CC8" w:rsidRPr="009A1B7F" w14:paraId="338A1B01" w14:textId="77777777" w:rsidTr="00A136A1">
        <w:trPr>
          <w:trHeight w:val="651"/>
        </w:trPr>
        <w:tc>
          <w:tcPr>
            <w:tcW w:w="1661" w:type="pct"/>
          </w:tcPr>
          <w:p w14:paraId="0140E251" w14:textId="77777777" w:rsidR="00041CC8" w:rsidRPr="005454C8" w:rsidRDefault="00041CC8" w:rsidP="00A136A1">
            <w:pPr>
              <w:autoSpaceDE w:val="0"/>
              <w:autoSpaceDN w:val="0"/>
              <w:adjustRightInd w:val="0"/>
              <w:rPr>
                <w:rFonts w:eastAsia="Calibri"/>
              </w:rPr>
            </w:pPr>
            <w:r w:rsidRPr="005454C8">
              <w:rPr>
                <w:rFonts w:eastAsia="Calibri"/>
              </w:rPr>
              <w:t>Antikoaguliantai</w:t>
            </w:r>
          </w:p>
          <w:p w14:paraId="3136F240" w14:textId="79E490C6" w:rsidR="00041CC8" w:rsidRPr="005454C8" w:rsidRDefault="00041CC8" w:rsidP="00A136A1">
            <w:pPr>
              <w:autoSpaceDE w:val="0"/>
              <w:autoSpaceDN w:val="0"/>
              <w:adjustRightInd w:val="0"/>
              <w:rPr>
                <w:rFonts w:eastAsia="Calibri"/>
              </w:rPr>
            </w:pPr>
            <w:r w:rsidRPr="005454C8">
              <w:rPr>
                <w:rFonts w:eastAsia="Calibri"/>
              </w:rPr>
              <w:t>Varfarinas (30</w:t>
            </w:r>
            <w:r w:rsidR="00303EB9">
              <w:rPr>
                <w:rFonts w:eastAsia="Calibri"/>
              </w:rPr>
              <w:t> </w:t>
            </w:r>
            <w:r w:rsidRPr="005454C8">
              <w:rPr>
                <w:rFonts w:eastAsia="Calibri"/>
              </w:rPr>
              <w:t>mg vienkartinė dozė, vartojama kartu su 300</w:t>
            </w:r>
            <w:r w:rsidR="00303EB9">
              <w:rPr>
                <w:rFonts w:eastAsia="Calibri"/>
              </w:rPr>
              <w:t> </w:t>
            </w:r>
            <w:r w:rsidRPr="005454C8">
              <w:rPr>
                <w:rFonts w:eastAsia="Calibri"/>
              </w:rPr>
              <w:t>mg vorikonazolo 2 x per parą)</w:t>
            </w:r>
          </w:p>
          <w:p w14:paraId="23F85D44"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[CYP2C9 substratas]</w:t>
            </w:r>
          </w:p>
          <w:p w14:paraId="0A1EBAC8" w14:textId="77777777" w:rsidR="00041CC8" w:rsidRPr="005454C8" w:rsidRDefault="00041CC8" w:rsidP="00A136A1">
            <w:pPr>
              <w:autoSpaceDE w:val="0"/>
              <w:autoSpaceDN w:val="0"/>
              <w:adjustRightInd w:val="0"/>
              <w:rPr>
                <w:rFonts w:eastAsia="TimesNewRoman,Italic"/>
                <w:i/>
              </w:rPr>
            </w:pPr>
          </w:p>
          <w:p w14:paraId="57F047E9" w14:textId="77777777" w:rsidR="00041CC8" w:rsidRPr="005454C8" w:rsidRDefault="00041CC8" w:rsidP="00A136A1">
            <w:pPr>
              <w:autoSpaceDE w:val="0"/>
              <w:autoSpaceDN w:val="0"/>
              <w:adjustRightInd w:val="0"/>
              <w:rPr>
                <w:rFonts w:eastAsia="Calibri"/>
              </w:rPr>
            </w:pPr>
            <w:r w:rsidRPr="005454C8">
              <w:rPr>
                <w:rFonts w:eastAsia="Calibri"/>
              </w:rPr>
              <w:t>Kiti geriamieji kumarinai</w:t>
            </w:r>
          </w:p>
          <w:p w14:paraId="38038F26" w14:textId="5092FA55" w:rsidR="00041CC8" w:rsidRPr="005454C8" w:rsidRDefault="00041CC8" w:rsidP="00A136A1">
            <w:pPr>
              <w:autoSpaceDE w:val="0"/>
              <w:autoSpaceDN w:val="0"/>
              <w:adjustRightInd w:val="0"/>
              <w:rPr>
                <w:rFonts w:eastAsia="Calibri"/>
              </w:rPr>
            </w:pPr>
            <w:r w:rsidRPr="005454C8">
              <w:rPr>
                <w:rFonts w:eastAsia="Calibri"/>
              </w:rPr>
              <w:t>(</w:t>
            </w:r>
            <w:r w:rsidR="00303EB9" w:rsidRPr="00303EB9">
              <w:rPr>
                <w:rFonts w:eastAsia="Calibri"/>
              </w:rPr>
              <w:t>įskaitant šiuos, bet jais neapsiribojant:</w:t>
            </w:r>
            <w:r w:rsidRPr="005454C8">
              <w:rPr>
                <w:rFonts w:eastAsia="Calibri"/>
              </w:rPr>
              <w:t xml:space="preserve"> fenprokumonas,</w:t>
            </w:r>
            <w:r w:rsidRPr="005454C8" w:rsidDel="00CB662A">
              <w:rPr>
                <w:rFonts w:eastAsia="Calibri"/>
              </w:rPr>
              <w:t xml:space="preserve"> </w:t>
            </w:r>
            <w:r w:rsidRPr="005454C8">
              <w:rPr>
                <w:rFonts w:eastAsia="Calibri"/>
              </w:rPr>
              <w:t>acenokumarolis)</w:t>
            </w:r>
          </w:p>
          <w:p w14:paraId="7B976A56" w14:textId="77777777" w:rsidR="00041CC8" w:rsidRPr="005454C8" w:rsidRDefault="00041CC8" w:rsidP="00A136A1">
            <w:pPr>
              <w:autoSpaceDE w:val="0"/>
              <w:autoSpaceDN w:val="0"/>
              <w:adjustRightInd w:val="0"/>
              <w:rPr>
                <w:rFonts w:eastAsia="Calibri"/>
              </w:rPr>
            </w:pPr>
            <w:r w:rsidRPr="005454C8">
              <w:rPr>
                <w:rFonts w:eastAsia="TimesNewRoman,Italic"/>
                <w:i/>
              </w:rPr>
              <w:t>[CYP2C9 ir CYP3A4 substratai]</w:t>
            </w:r>
          </w:p>
        </w:tc>
        <w:tc>
          <w:tcPr>
            <w:tcW w:w="1935" w:type="pct"/>
          </w:tcPr>
          <w:p w14:paraId="7AD754A8" w14:textId="77777777" w:rsidR="00041CC8" w:rsidRPr="005454C8" w:rsidRDefault="00041CC8" w:rsidP="00A136A1">
            <w:pPr>
              <w:autoSpaceDE w:val="0"/>
              <w:autoSpaceDN w:val="0"/>
              <w:adjustRightInd w:val="0"/>
              <w:rPr>
                <w:rFonts w:eastAsia="Calibri"/>
              </w:rPr>
            </w:pPr>
          </w:p>
          <w:p w14:paraId="31D7B522" w14:textId="77777777" w:rsidR="00041CC8" w:rsidRPr="005454C8" w:rsidRDefault="00041CC8" w:rsidP="00A136A1">
            <w:pPr>
              <w:autoSpaceDE w:val="0"/>
              <w:autoSpaceDN w:val="0"/>
              <w:adjustRightInd w:val="0"/>
              <w:rPr>
                <w:rFonts w:eastAsia="Calibri"/>
              </w:rPr>
            </w:pPr>
            <w:r w:rsidRPr="005454C8">
              <w:rPr>
                <w:rFonts w:eastAsia="Calibri"/>
              </w:rPr>
              <w:t>Protrombino laikas daugiausiai pailgėjo maždaug 2 kartus.</w:t>
            </w:r>
          </w:p>
          <w:p w14:paraId="3B4C95D2" w14:textId="77777777" w:rsidR="00041CC8" w:rsidRPr="005454C8" w:rsidRDefault="00041CC8" w:rsidP="00A136A1">
            <w:pPr>
              <w:autoSpaceDE w:val="0"/>
              <w:autoSpaceDN w:val="0"/>
              <w:adjustRightInd w:val="0"/>
              <w:rPr>
                <w:rFonts w:eastAsia="Calibri"/>
              </w:rPr>
            </w:pPr>
          </w:p>
          <w:p w14:paraId="041C632C" w14:textId="77777777" w:rsidR="00041CC8" w:rsidRPr="005454C8" w:rsidRDefault="00041CC8" w:rsidP="00A136A1">
            <w:pPr>
              <w:autoSpaceDE w:val="0"/>
              <w:autoSpaceDN w:val="0"/>
              <w:adjustRightInd w:val="0"/>
              <w:rPr>
                <w:rFonts w:eastAsia="Calibri"/>
              </w:rPr>
            </w:pPr>
          </w:p>
          <w:p w14:paraId="50154635" w14:textId="77777777" w:rsidR="00041CC8" w:rsidRPr="005454C8" w:rsidRDefault="00041CC8" w:rsidP="00A136A1">
            <w:pPr>
              <w:autoSpaceDE w:val="0"/>
              <w:autoSpaceDN w:val="0"/>
              <w:adjustRightInd w:val="0"/>
              <w:rPr>
                <w:rFonts w:eastAsia="Calibri"/>
              </w:rPr>
            </w:pPr>
          </w:p>
          <w:p w14:paraId="5B333412" w14:textId="77777777" w:rsidR="00041CC8" w:rsidRPr="005454C8" w:rsidRDefault="00041CC8" w:rsidP="00A136A1">
            <w:pPr>
              <w:autoSpaceDE w:val="0"/>
              <w:autoSpaceDN w:val="0"/>
              <w:adjustRightInd w:val="0"/>
              <w:rPr>
                <w:rFonts w:eastAsia="Calibri"/>
              </w:rPr>
            </w:pPr>
            <w:r w:rsidRPr="005454C8">
              <w:rPr>
                <w:rFonts w:eastAsia="Calibri"/>
              </w:rPr>
              <w:t>Nors tyrimų neatlikta,</w:t>
            </w:r>
            <w:r w:rsidRPr="005454C8" w:rsidDel="00CB662A">
              <w:rPr>
                <w:rFonts w:eastAsia="Calibri"/>
              </w:rPr>
              <w:t xml:space="preserve"> </w:t>
            </w:r>
            <w:r w:rsidRPr="005454C8">
              <w:rPr>
                <w:rFonts w:eastAsia="Calibri"/>
              </w:rPr>
              <w:t xml:space="preserve">vorikonazolas gali didinti kumarinų koncentracijas </w:t>
            </w:r>
            <w:r w:rsidRPr="009A1B7F">
              <w:rPr>
                <w:rFonts w:eastAsia="Calibri"/>
                <w:szCs w:val="22"/>
                <w:lang w:eastAsia="en-US"/>
              </w:rPr>
              <w:t xml:space="preserve">kraujo </w:t>
            </w:r>
            <w:r w:rsidRPr="005454C8">
              <w:rPr>
                <w:rFonts w:eastAsia="Calibri"/>
              </w:rPr>
              <w:t>plazmoje ir dėl to pailgėti protrombino laikas.</w:t>
            </w:r>
          </w:p>
          <w:p w14:paraId="5661880E" w14:textId="77777777" w:rsidR="00041CC8" w:rsidRPr="005454C8" w:rsidRDefault="00041CC8" w:rsidP="00A136A1">
            <w:pPr>
              <w:autoSpaceDE w:val="0"/>
              <w:autoSpaceDN w:val="0"/>
              <w:adjustRightInd w:val="0"/>
              <w:rPr>
                <w:rFonts w:eastAsia="Calibri"/>
              </w:rPr>
            </w:pPr>
          </w:p>
        </w:tc>
        <w:tc>
          <w:tcPr>
            <w:tcW w:w="1404" w:type="pct"/>
          </w:tcPr>
          <w:p w14:paraId="76AD620A" w14:textId="77777777" w:rsidR="00041CC8" w:rsidRPr="005454C8" w:rsidRDefault="00041CC8" w:rsidP="00A136A1">
            <w:pPr>
              <w:autoSpaceDE w:val="0"/>
              <w:autoSpaceDN w:val="0"/>
              <w:adjustRightInd w:val="0"/>
              <w:rPr>
                <w:rFonts w:eastAsia="Calibri"/>
              </w:rPr>
            </w:pPr>
          </w:p>
          <w:p w14:paraId="74971B7B" w14:textId="77777777" w:rsidR="00041CC8" w:rsidRPr="005454C8" w:rsidRDefault="00041CC8" w:rsidP="00A136A1">
            <w:pPr>
              <w:autoSpaceDE w:val="0"/>
              <w:autoSpaceDN w:val="0"/>
              <w:adjustRightInd w:val="0"/>
              <w:rPr>
                <w:rFonts w:eastAsia="Calibri"/>
              </w:rPr>
            </w:pPr>
            <w:r w:rsidRPr="005454C8">
              <w:rPr>
                <w:rFonts w:eastAsia="Calibri"/>
              </w:rPr>
              <w:t>Rekomenduojama atidžiai stebėti protrombino laiką arba kitus tinkamus krešumo tyrimus ir atitinkamai keisti antikoaguliantų dozes.</w:t>
            </w:r>
          </w:p>
          <w:p w14:paraId="640635A4" w14:textId="77777777" w:rsidR="00041CC8" w:rsidRPr="005454C8" w:rsidRDefault="00041CC8" w:rsidP="00A136A1">
            <w:pPr>
              <w:autoSpaceDE w:val="0"/>
              <w:autoSpaceDN w:val="0"/>
              <w:adjustRightInd w:val="0"/>
              <w:rPr>
                <w:rFonts w:eastAsia="Calibri"/>
              </w:rPr>
            </w:pPr>
          </w:p>
          <w:p w14:paraId="5D44CD70" w14:textId="77777777" w:rsidR="00041CC8" w:rsidRPr="005454C8" w:rsidRDefault="00041CC8" w:rsidP="00A136A1">
            <w:pPr>
              <w:autoSpaceDE w:val="0"/>
              <w:autoSpaceDN w:val="0"/>
              <w:adjustRightInd w:val="0"/>
              <w:rPr>
                <w:rFonts w:eastAsia="Calibri"/>
              </w:rPr>
            </w:pPr>
          </w:p>
        </w:tc>
      </w:tr>
      <w:tr w:rsidR="00041CC8" w:rsidRPr="009F128F" w14:paraId="0267A084" w14:textId="77777777" w:rsidTr="00A136A1">
        <w:trPr>
          <w:trHeight w:val="651"/>
        </w:trPr>
        <w:tc>
          <w:tcPr>
            <w:tcW w:w="1661" w:type="pct"/>
          </w:tcPr>
          <w:p w14:paraId="543ABC9F" w14:textId="77777777" w:rsidR="00041CC8" w:rsidRPr="007A467A" w:rsidRDefault="00041CC8" w:rsidP="00A136A1">
            <w:pPr>
              <w:autoSpaceDE w:val="0"/>
              <w:autoSpaceDN w:val="0"/>
              <w:adjustRightInd w:val="0"/>
              <w:rPr>
                <w:rFonts w:eastAsiaTheme="minorHAnsi"/>
                <w:szCs w:val="22"/>
                <w:lang w:eastAsia="en-US"/>
              </w:rPr>
            </w:pPr>
            <w:r w:rsidRPr="007A467A">
              <w:rPr>
                <w:rFonts w:eastAsiaTheme="minorHAnsi"/>
                <w:szCs w:val="22"/>
                <w:lang w:eastAsia="en-US"/>
              </w:rPr>
              <w:t>Ivakaftoras</w:t>
            </w:r>
          </w:p>
          <w:p w14:paraId="6C62EFA2" w14:textId="77777777" w:rsidR="00041CC8" w:rsidRPr="007A467A" w:rsidRDefault="00041CC8" w:rsidP="00A136A1">
            <w:pPr>
              <w:autoSpaceDE w:val="0"/>
              <w:autoSpaceDN w:val="0"/>
              <w:adjustRightInd w:val="0"/>
              <w:rPr>
                <w:rFonts w:eastAsia="Calibri"/>
                <w:i/>
                <w:iCs/>
              </w:rPr>
            </w:pPr>
            <w:r w:rsidRPr="007A467A">
              <w:rPr>
                <w:rFonts w:eastAsiaTheme="minorHAnsi"/>
                <w:i/>
                <w:iCs/>
                <w:szCs w:val="22"/>
                <w:lang w:eastAsia="en-US"/>
              </w:rPr>
              <w:t>[CYP3A4 substratas]</w:t>
            </w:r>
          </w:p>
        </w:tc>
        <w:tc>
          <w:tcPr>
            <w:tcW w:w="1935" w:type="pct"/>
          </w:tcPr>
          <w:p w14:paraId="2A900BD2" w14:textId="77777777" w:rsidR="00041CC8" w:rsidRPr="007A467A" w:rsidRDefault="00041CC8" w:rsidP="00A136A1">
            <w:pPr>
              <w:autoSpaceDE w:val="0"/>
              <w:autoSpaceDN w:val="0"/>
              <w:adjustRightInd w:val="0"/>
              <w:rPr>
                <w:rFonts w:eastAsia="Calibri"/>
              </w:rPr>
            </w:pPr>
            <w:r w:rsidRPr="007A467A">
              <w:rPr>
                <w:rFonts w:eastAsiaTheme="minorHAnsi"/>
                <w:szCs w:val="22"/>
                <w:lang w:eastAsia="en-US"/>
              </w:rPr>
              <w:t>Nors tyrimų neatlikta, tikėtina, kad</w:t>
            </w:r>
            <w:r>
              <w:rPr>
                <w:rFonts w:eastAsiaTheme="minorHAnsi"/>
                <w:szCs w:val="22"/>
                <w:lang w:eastAsia="en-US"/>
              </w:rPr>
              <w:t xml:space="preserve"> </w:t>
            </w:r>
            <w:r w:rsidRPr="007A467A">
              <w:rPr>
                <w:rFonts w:eastAsiaTheme="minorHAnsi"/>
                <w:szCs w:val="22"/>
                <w:lang w:eastAsia="en-US"/>
              </w:rPr>
              <w:t>vorikonazolas didina ivakaftoro</w:t>
            </w:r>
            <w:r>
              <w:rPr>
                <w:rFonts w:eastAsiaTheme="minorHAnsi"/>
                <w:szCs w:val="22"/>
                <w:lang w:eastAsia="en-US"/>
              </w:rPr>
              <w:t xml:space="preserve"> </w:t>
            </w:r>
            <w:r w:rsidRPr="007A467A">
              <w:rPr>
                <w:rFonts w:eastAsiaTheme="minorHAnsi"/>
                <w:szCs w:val="22"/>
                <w:lang w:eastAsia="en-US"/>
              </w:rPr>
              <w:t>koncentraciją plazmoje, todėl gali</w:t>
            </w:r>
            <w:r>
              <w:rPr>
                <w:rFonts w:eastAsiaTheme="minorHAnsi"/>
                <w:szCs w:val="22"/>
                <w:lang w:eastAsia="en-US"/>
              </w:rPr>
              <w:t xml:space="preserve"> </w:t>
            </w:r>
            <w:r w:rsidRPr="007A467A">
              <w:rPr>
                <w:rFonts w:eastAsiaTheme="minorHAnsi"/>
                <w:szCs w:val="22"/>
                <w:lang w:eastAsia="en-US"/>
              </w:rPr>
              <w:t>padidėti nepageidaujamo poveikio</w:t>
            </w:r>
            <w:r>
              <w:rPr>
                <w:rFonts w:eastAsiaTheme="minorHAnsi"/>
                <w:szCs w:val="22"/>
                <w:lang w:eastAsia="en-US"/>
              </w:rPr>
              <w:t xml:space="preserve"> </w:t>
            </w:r>
            <w:r w:rsidRPr="007A467A">
              <w:rPr>
                <w:rFonts w:eastAsiaTheme="minorHAnsi"/>
                <w:szCs w:val="22"/>
                <w:lang w:eastAsia="en-US"/>
              </w:rPr>
              <w:t>rizika.</w:t>
            </w:r>
          </w:p>
        </w:tc>
        <w:tc>
          <w:tcPr>
            <w:tcW w:w="1404" w:type="pct"/>
          </w:tcPr>
          <w:p w14:paraId="73223567" w14:textId="77777777" w:rsidR="00041CC8" w:rsidRPr="007A467A" w:rsidRDefault="00041CC8" w:rsidP="00A136A1">
            <w:pPr>
              <w:autoSpaceDE w:val="0"/>
              <w:autoSpaceDN w:val="0"/>
              <w:adjustRightInd w:val="0"/>
              <w:rPr>
                <w:rFonts w:eastAsia="Calibri"/>
              </w:rPr>
            </w:pPr>
            <w:r w:rsidRPr="007A467A">
              <w:rPr>
                <w:rFonts w:eastAsiaTheme="minorHAnsi"/>
                <w:szCs w:val="22"/>
                <w:lang w:eastAsia="en-US"/>
              </w:rPr>
              <w:t>Rekomenduojama mažinti</w:t>
            </w:r>
            <w:r>
              <w:rPr>
                <w:rFonts w:eastAsiaTheme="minorHAnsi"/>
                <w:szCs w:val="22"/>
                <w:lang w:eastAsia="en-US"/>
              </w:rPr>
              <w:t xml:space="preserve"> </w:t>
            </w:r>
            <w:r w:rsidRPr="007A467A">
              <w:rPr>
                <w:rFonts w:eastAsiaTheme="minorHAnsi"/>
                <w:szCs w:val="22"/>
                <w:lang w:eastAsia="en-US"/>
              </w:rPr>
              <w:t>ivakaftoro dozę.</w:t>
            </w:r>
          </w:p>
        </w:tc>
      </w:tr>
      <w:tr w:rsidR="00041CC8" w:rsidRPr="009A1B7F" w14:paraId="47E951FA" w14:textId="77777777" w:rsidTr="00A136A1">
        <w:trPr>
          <w:trHeight w:val="651"/>
        </w:trPr>
        <w:tc>
          <w:tcPr>
            <w:tcW w:w="1661" w:type="pct"/>
          </w:tcPr>
          <w:p w14:paraId="5C85913D" w14:textId="77777777" w:rsidR="00041CC8" w:rsidRDefault="00041CC8" w:rsidP="00A136A1">
            <w:pPr>
              <w:autoSpaceDE w:val="0"/>
              <w:autoSpaceDN w:val="0"/>
              <w:adjustRightInd w:val="0"/>
            </w:pPr>
            <w:r w:rsidRPr="005454C8">
              <w:rPr>
                <w:rFonts w:eastAsia="Calibri"/>
              </w:rPr>
              <w:t xml:space="preserve">Benzodiazepinai </w:t>
            </w:r>
          </w:p>
          <w:p w14:paraId="0B21AE3A" w14:textId="77777777" w:rsidR="00041CC8" w:rsidRDefault="00041CC8" w:rsidP="00A136A1">
            <w:pPr>
              <w:autoSpaceDE w:val="0"/>
              <w:autoSpaceDN w:val="0"/>
              <w:adjustRightInd w:val="0"/>
              <w:rPr>
                <w:rFonts w:eastAsia="TimesNewRoman,Italic"/>
                <w:i/>
              </w:rPr>
            </w:pPr>
            <w:r w:rsidRPr="005454C8">
              <w:rPr>
                <w:rFonts w:eastAsia="TimesNewRoman,Italic"/>
                <w:i/>
              </w:rPr>
              <w:t>[CYP3A4 substratai]</w:t>
            </w:r>
          </w:p>
          <w:p w14:paraId="2625A21E" w14:textId="77777777" w:rsidR="00041CC8" w:rsidRDefault="00041CC8" w:rsidP="00A136A1">
            <w:pPr>
              <w:autoSpaceDE w:val="0"/>
              <w:autoSpaceDN w:val="0"/>
              <w:adjustRightInd w:val="0"/>
              <w:rPr>
                <w:rFonts w:eastAsia="Calibri"/>
              </w:rPr>
            </w:pPr>
          </w:p>
          <w:p w14:paraId="0CC91179" w14:textId="77777777" w:rsidR="00041CC8" w:rsidRPr="00EE50D6" w:rsidRDefault="00041CC8" w:rsidP="00A136A1">
            <w:pPr>
              <w:autoSpaceDE w:val="0"/>
              <w:autoSpaceDN w:val="0"/>
              <w:adjustRightInd w:val="0"/>
              <w:rPr>
                <w:rFonts w:eastAsia="Calibri"/>
              </w:rPr>
            </w:pPr>
            <w:bookmarkStart w:id="13" w:name="_Hlk87626209"/>
            <w:r w:rsidRPr="00EE50D6">
              <w:rPr>
                <w:rFonts w:eastAsia="Calibri"/>
              </w:rPr>
              <w:t>Midazolamas (0,05</w:t>
            </w:r>
            <w:r>
              <w:rPr>
                <w:rFonts w:eastAsia="Calibri"/>
              </w:rPr>
              <w:t> </w:t>
            </w:r>
            <w:r w:rsidRPr="00EE50D6">
              <w:rPr>
                <w:rFonts w:eastAsia="Calibri"/>
              </w:rPr>
              <w:t>mg/kg</w:t>
            </w:r>
          </w:p>
          <w:p w14:paraId="18B007C1" w14:textId="77777777" w:rsidR="00041CC8" w:rsidRDefault="00041CC8" w:rsidP="00A136A1">
            <w:pPr>
              <w:autoSpaceDE w:val="0"/>
              <w:autoSpaceDN w:val="0"/>
              <w:adjustRightInd w:val="0"/>
              <w:rPr>
                <w:rFonts w:eastAsia="Calibri"/>
              </w:rPr>
            </w:pPr>
            <w:r w:rsidRPr="00EE50D6">
              <w:rPr>
                <w:rFonts w:eastAsia="Calibri"/>
              </w:rPr>
              <w:t>vienkartinė dozė i.v.)</w:t>
            </w:r>
          </w:p>
          <w:p w14:paraId="342644D1" w14:textId="77777777" w:rsidR="00041CC8" w:rsidRDefault="00041CC8" w:rsidP="00A136A1">
            <w:pPr>
              <w:autoSpaceDE w:val="0"/>
              <w:autoSpaceDN w:val="0"/>
              <w:adjustRightInd w:val="0"/>
              <w:rPr>
                <w:rFonts w:eastAsia="Calibri"/>
              </w:rPr>
            </w:pPr>
          </w:p>
          <w:p w14:paraId="3B2AC744" w14:textId="77777777" w:rsidR="00041CC8" w:rsidRDefault="00041CC8" w:rsidP="00A136A1">
            <w:pPr>
              <w:autoSpaceDE w:val="0"/>
              <w:autoSpaceDN w:val="0"/>
              <w:adjustRightInd w:val="0"/>
              <w:rPr>
                <w:rFonts w:eastAsia="Calibri"/>
              </w:rPr>
            </w:pPr>
            <w:r w:rsidRPr="00EE50D6">
              <w:rPr>
                <w:rFonts w:eastAsia="Calibri"/>
              </w:rPr>
              <w:t>Midazolamas (7,5</w:t>
            </w:r>
            <w:r>
              <w:rPr>
                <w:rFonts w:eastAsia="Calibri"/>
              </w:rPr>
              <w:t> </w:t>
            </w:r>
            <w:r w:rsidRPr="00EE50D6">
              <w:rPr>
                <w:rFonts w:eastAsia="Calibri"/>
              </w:rPr>
              <w:t>mg</w:t>
            </w:r>
            <w:r>
              <w:rPr>
                <w:rFonts w:eastAsia="Calibri"/>
              </w:rPr>
              <w:t xml:space="preserve"> </w:t>
            </w:r>
            <w:r w:rsidRPr="00EE50D6">
              <w:rPr>
                <w:rFonts w:eastAsia="Calibri"/>
              </w:rPr>
              <w:t>vienkartinė dozė per burną)</w:t>
            </w:r>
          </w:p>
          <w:p w14:paraId="732B3E29" w14:textId="77777777" w:rsidR="00041CC8" w:rsidRDefault="00041CC8" w:rsidP="00A136A1">
            <w:pPr>
              <w:autoSpaceDE w:val="0"/>
              <w:autoSpaceDN w:val="0"/>
              <w:adjustRightInd w:val="0"/>
              <w:rPr>
                <w:rFonts w:eastAsia="Calibri"/>
              </w:rPr>
            </w:pPr>
          </w:p>
          <w:p w14:paraId="5CFCAF84" w14:textId="77777777" w:rsidR="00041CC8" w:rsidRDefault="00041CC8" w:rsidP="00A136A1">
            <w:pPr>
              <w:autoSpaceDE w:val="0"/>
              <w:autoSpaceDN w:val="0"/>
              <w:adjustRightInd w:val="0"/>
              <w:rPr>
                <w:rFonts w:eastAsia="Calibri"/>
              </w:rPr>
            </w:pPr>
          </w:p>
          <w:p w14:paraId="64E64846" w14:textId="319A7934" w:rsidR="00041CC8" w:rsidRPr="005454C8" w:rsidRDefault="00041CC8" w:rsidP="00A136A1">
            <w:pPr>
              <w:autoSpaceDE w:val="0"/>
              <w:autoSpaceDN w:val="0"/>
              <w:adjustRightInd w:val="0"/>
              <w:rPr>
                <w:rFonts w:eastAsia="Calibri"/>
              </w:rPr>
            </w:pPr>
            <w:r>
              <w:rPr>
                <w:rFonts w:eastAsia="Calibri"/>
              </w:rPr>
              <w:t>Kiti benzodiazepinai (</w:t>
            </w:r>
            <w:r w:rsidR="00303EB9" w:rsidRPr="007C0BD6">
              <w:rPr>
                <w:rFonts w:eastAsia="Calibri"/>
              </w:rPr>
              <w:t>įskaitant šiuos, bet jais neapsiribojant:</w:t>
            </w:r>
            <w:r>
              <w:rPr>
                <w:rFonts w:eastAsia="Calibri"/>
              </w:rPr>
              <w:t xml:space="preserve"> triazolamas, alprazolamas)</w:t>
            </w:r>
            <w:bookmarkEnd w:id="13"/>
          </w:p>
        </w:tc>
        <w:tc>
          <w:tcPr>
            <w:tcW w:w="1935" w:type="pct"/>
          </w:tcPr>
          <w:p w14:paraId="716F7FCA" w14:textId="77777777" w:rsidR="00041CC8" w:rsidRDefault="00041CC8" w:rsidP="00A136A1">
            <w:pPr>
              <w:autoSpaceDE w:val="0"/>
              <w:autoSpaceDN w:val="0"/>
              <w:adjustRightInd w:val="0"/>
              <w:rPr>
                <w:rFonts w:eastAsia="Calibri"/>
              </w:rPr>
            </w:pPr>
          </w:p>
          <w:p w14:paraId="5D866AD5" w14:textId="77777777" w:rsidR="00041CC8" w:rsidRDefault="00041CC8" w:rsidP="00A136A1">
            <w:pPr>
              <w:autoSpaceDE w:val="0"/>
              <w:autoSpaceDN w:val="0"/>
              <w:adjustRightInd w:val="0"/>
              <w:rPr>
                <w:rFonts w:eastAsia="Calibri"/>
              </w:rPr>
            </w:pPr>
          </w:p>
          <w:p w14:paraId="08BD505D" w14:textId="77777777" w:rsidR="00041CC8" w:rsidRDefault="00041CC8" w:rsidP="00A136A1">
            <w:pPr>
              <w:autoSpaceDE w:val="0"/>
              <w:autoSpaceDN w:val="0"/>
              <w:adjustRightInd w:val="0"/>
              <w:rPr>
                <w:rFonts w:eastAsia="Calibri"/>
              </w:rPr>
            </w:pPr>
          </w:p>
          <w:p w14:paraId="61C0B13C" w14:textId="77777777" w:rsidR="00041CC8" w:rsidRPr="00EE50D6" w:rsidRDefault="00041CC8" w:rsidP="00A136A1">
            <w:pPr>
              <w:autoSpaceDE w:val="0"/>
              <w:autoSpaceDN w:val="0"/>
              <w:adjustRightInd w:val="0"/>
              <w:rPr>
                <w:rFonts w:eastAsia="Calibri"/>
              </w:rPr>
            </w:pPr>
            <w:bookmarkStart w:id="14" w:name="_Hlk87626218"/>
            <w:r w:rsidRPr="00EE50D6">
              <w:rPr>
                <w:rFonts w:eastAsia="Calibri"/>
              </w:rPr>
              <w:t>Nepriklausomai paskelbtame</w:t>
            </w:r>
            <w:r>
              <w:rPr>
                <w:rFonts w:eastAsia="Calibri"/>
              </w:rPr>
              <w:t xml:space="preserve"> </w:t>
            </w:r>
            <w:r w:rsidRPr="00EE50D6">
              <w:rPr>
                <w:rFonts w:eastAsia="Calibri"/>
              </w:rPr>
              <w:t>tyrime,</w:t>
            </w:r>
          </w:p>
          <w:p w14:paraId="385C4681" w14:textId="77777777" w:rsidR="00041CC8" w:rsidRDefault="00041CC8" w:rsidP="00A136A1">
            <w:pPr>
              <w:autoSpaceDE w:val="0"/>
              <w:autoSpaceDN w:val="0"/>
              <w:adjustRightInd w:val="0"/>
              <w:rPr>
                <w:rFonts w:eastAsia="Calibri"/>
              </w:rPr>
            </w:pPr>
            <w:r w:rsidRPr="00EE50D6">
              <w:rPr>
                <w:rFonts w:eastAsia="Calibri"/>
              </w:rPr>
              <w:t xml:space="preserve">midazolamo </w:t>
            </w:r>
            <w:r w:rsidRPr="00261583">
              <w:rPr>
                <w:szCs w:val="22"/>
              </w:rPr>
              <w:t>AUC</w:t>
            </w:r>
            <w:r w:rsidRPr="00184850">
              <w:rPr>
                <w:szCs w:val="22"/>
                <w:vertAlign w:val="subscript"/>
              </w:rPr>
              <w:t>0-∞</w:t>
            </w:r>
            <w:r w:rsidRPr="00261583">
              <w:rPr>
                <w:szCs w:val="22"/>
              </w:rPr>
              <w:t xml:space="preserve"> </w:t>
            </w:r>
            <w:r w:rsidRPr="00B1700E">
              <w:rPr>
                <w:szCs w:val="22"/>
              </w:rPr>
              <w:t>↑</w:t>
            </w:r>
            <w:r>
              <w:rPr>
                <w:szCs w:val="22"/>
              </w:rPr>
              <w:t xml:space="preserve"> </w:t>
            </w:r>
            <w:r w:rsidRPr="00EE50D6">
              <w:rPr>
                <w:rFonts w:eastAsia="Calibri"/>
              </w:rPr>
              <w:t>3,7 karto</w:t>
            </w:r>
          </w:p>
          <w:p w14:paraId="4709986E" w14:textId="77777777" w:rsidR="00041CC8" w:rsidRDefault="00041CC8" w:rsidP="00A136A1">
            <w:pPr>
              <w:autoSpaceDE w:val="0"/>
              <w:autoSpaceDN w:val="0"/>
              <w:adjustRightInd w:val="0"/>
              <w:rPr>
                <w:rFonts w:eastAsia="Calibri"/>
              </w:rPr>
            </w:pPr>
          </w:p>
          <w:p w14:paraId="56299E6F" w14:textId="77777777" w:rsidR="00041CC8" w:rsidRDefault="00041CC8" w:rsidP="00A136A1">
            <w:pPr>
              <w:autoSpaceDE w:val="0"/>
              <w:autoSpaceDN w:val="0"/>
              <w:adjustRightInd w:val="0"/>
              <w:rPr>
                <w:rFonts w:eastAsia="Calibri"/>
              </w:rPr>
            </w:pPr>
            <w:r w:rsidRPr="00440A39">
              <w:rPr>
                <w:rFonts w:eastAsia="Calibri"/>
              </w:rPr>
              <w:t>Nepriklausomai paskelbtame</w:t>
            </w:r>
            <w:r>
              <w:rPr>
                <w:rFonts w:eastAsia="Calibri"/>
              </w:rPr>
              <w:t xml:space="preserve"> </w:t>
            </w:r>
            <w:r w:rsidRPr="00440A39">
              <w:rPr>
                <w:rFonts w:eastAsia="Calibri"/>
              </w:rPr>
              <w:t>tyrime,</w:t>
            </w:r>
            <w:r>
              <w:rPr>
                <w:rFonts w:eastAsia="Calibri"/>
              </w:rPr>
              <w:t xml:space="preserve"> </w:t>
            </w:r>
            <w:r w:rsidRPr="00440A39">
              <w:rPr>
                <w:rFonts w:eastAsia="Calibri"/>
              </w:rPr>
              <w:t xml:space="preserve">midazolamo </w:t>
            </w:r>
            <w:r w:rsidRPr="00261583">
              <w:rPr>
                <w:szCs w:val="22"/>
              </w:rPr>
              <w:t>C</w:t>
            </w:r>
            <w:r w:rsidRPr="00184850">
              <w:rPr>
                <w:szCs w:val="22"/>
                <w:vertAlign w:val="subscript"/>
              </w:rPr>
              <w:t>max</w:t>
            </w:r>
            <w:r w:rsidRPr="00261583">
              <w:rPr>
                <w:szCs w:val="22"/>
              </w:rPr>
              <w:t xml:space="preserve"> </w:t>
            </w:r>
            <w:r w:rsidRPr="00B1700E">
              <w:rPr>
                <w:szCs w:val="22"/>
              </w:rPr>
              <w:t>↑</w:t>
            </w:r>
            <w:r w:rsidRPr="00440A39">
              <w:rPr>
                <w:rFonts w:eastAsia="Calibri"/>
              </w:rPr>
              <w:t xml:space="preserve"> 3,8 karto</w:t>
            </w:r>
            <w:r>
              <w:rPr>
                <w:rFonts w:eastAsia="Calibri"/>
              </w:rPr>
              <w:t xml:space="preserve"> </w:t>
            </w:r>
            <w:r w:rsidRPr="00440A39">
              <w:rPr>
                <w:rFonts w:eastAsia="Calibri"/>
              </w:rPr>
              <w:t xml:space="preserve">midazolamo </w:t>
            </w:r>
            <w:r w:rsidRPr="00261583">
              <w:rPr>
                <w:szCs w:val="22"/>
              </w:rPr>
              <w:t>AUC</w:t>
            </w:r>
            <w:r w:rsidRPr="00465A78">
              <w:rPr>
                <w:szCs w:val="22"/>
                <w:vertAlign w:val="subscript"/>
              </w:rPr>
              <w:t>0-∞</w:t>
            </w:r>
            <w:r w:rsidRPr="00261583">
              <w:rPr>
                <w:szCs w:val="22"/>
              </w:rPr>
              <w:t xml:space="preserve"> </w:t>
            </w:r>
            <w:r w:rsidRPr="00B1700E">
              <w:rPr>
                <w:szCs w:val="22"/>
              </w:rPr>
              <w:t>↑</w:t>
            </w:r>
            <w:r>
              <w:rPr>
                <w:szCs w:val="22"/>
              </w:rPr>
              <w:t xml:space="preserve"> </w:t>
            </w:r>
            <w:r w:rsidRPr="00440A39">
              <w:rPr>
                <w:rFonts w:eastAsia="Calibri"/>
              </w:rPr>
              <w:t>10,3 karto</w:t>
            </w:r>
          </w:p>
          <w:bookmarkEnd w:id="14"/>
          <w:p w14:paraId="15AFE670" w14:textId="77777777" w:rsidR="00041CC8" w:rsidRDefault="00041CC8" w:rsidP="00A136A1">
            <w:pPr>
              <w:autoSpaceDE w:val="0"/>
              <w:autoSpaceDN w:val="0"/>
              <w:adjustRightInd w:val="0"/>
              <w:rPr>
                <w:rFonts w:eastAsia="Calibri"/>
              </w:rPr>
            </w:pPr>
          </w:p>
          <w:p w14:paraId="18280F90" w14:textId="77777777" w:rsidR="00041CC8" w:rsidRPr="005454C8" w:rsidRDefault="00041CC8" w:rsidP="00A136A1">
            <w:pPr>
              <w:autoSpaceDE w:val="0"/>
              <w:autoSpaceDN w:val="0"/>
              <w:adjustRightInd w:val="0"/>
              <w:rPr>
                <w:rFonts w:eastAsia="Calibri"/>
              </w:rPr>
            </w:pPr>
            <w:r w:rsidRPr="005454C8">
              <w:rPr>
                <w:rFonts w:eastAsia="Calibri"/>
              </w:rPr>
              <w:t>Nors klinikinių tyrimų neatlikta,</w:t>
            </w:r>
            <w:r w:rsidRPr="005454C8" w:rsidDel="00BF6C3D">
              <w:rPr>
                <w:rFonts w:eastAsia="Calibri"/>
              </w:rPr>
              <w:t xml:space="preserve"> </w:t>
            </w:r>
            <w:r w:rsidRPr="005454C8">
              <w:rPr>
                <w:rFonts w:eastAsia="Calibri"/>
              </w:rPr>
              <w:t xml:space="preserve">tikėtina, kad vorikonazolas didina benzodiazepinų, kurių metabolizmą veikia CYP3A4, koncentracijas </w:t>
            </w:r>
            <w:r w:rsidRPr="009A1B7F">
              <w:rPr>
                <w:rFonts w:eastAsia="Calibri"/>
                <w:szCs w:val="22"/>
                <w:lang w:eastAsia="en-US"/>
              </w:rPr>
              <w:lastRenderedPageBreak/>
              <w:t xml:space="preserve">kraujo </w:t>
            </w:r>
            <w:r w:rsidRPr="005454C8">
              <w:rPr>
                <w:rFonts w:eastAsia="Calibri"/>
              </w:rPr>
              <w:t>plazmoje ir pailgina sedacinį poveikį.</w:t>
            </w:r>
          </w:p>
        </w:tc>
        <w:tc>
          <w:tcPr>
            <w:tcW w:w="1404" w:type="pct"/>
          </w:tcPr>
          <w:p w14:paraId="53E9B59E" w14:textId="77777777" w:rsidR="00041CC8" w:rsidRPr="005454C8" w:rsidRDefault="00041CC8" w:rsidP="00A136A1">
            <w:pPr>
              <w:autoSpaceDE w:val="0"/>
              <w:autoSpaceDN w:val="0"/>
              <w:adjustRightInd w:val="0"/>
              <w:rPr>
                <w:rFonts w:eastAsia="Calibri"/>
              </w:rPr>
            </w:pPr>
            <w:r w:rsidRPr="005454C8">
              <w:rPr>
                <w:rFonts w:eastAsia="Calibri"/>
              </w:rPr>
              <w:lastRenderedPageBreak/>
              <w:t>Reikia apsvarstyti benzodiazepinų dozės mažinimo galimybę.</w:t>
            </w:r>
          </w:p>
        </w:tc>
      </w:tr>
      <w:tr w:rsidR="00041CC8" w:rsidRPr="009A1B7F" w14:paraId="2CDDAC49" w14:textId="77777777" w:rsidTr="00A136A1">
        <w:trPr>
          <w:trHeight w:val="651"/>
        </w:trPr>
        <w:tc>
          <w:tcPr>
            <w:tcW w:w="1661" w:type="pct"/>
          </w:tcPr>
          <w:p w14:paraId="5CFACD05" w14:textId="77777777" w:rsidR="00041CC8" w:rsidRPr="005454C8" w:rsidRDefault="00041CC8" w:rsidP="00A136A1">
            <w:pPr>
              <w:autoSpaceDE w:val="0"/>
              <w:autoSpaceDN w:val="0"/>
              <w:adjustRightInd w:val="0"/>
              <w:rPr>
                <w:rFonts w:eastAsia="Calibri"/>
              </w:rPr>
            </w:pPr>
            <w:r w:rsidRPr="005454C8">
              <w:rPr>
                <w:rFonts w:eastAsia="Calibri"/>
              </w:rPr>
              <w:t>Imunosupresantai</w:t>
            </w:r>
          </w:p>
          <w:p w14:paraId="1C98138F"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[CYP3A4 substratai]</w:t>
            </w:r>
          </w:p>
          <w:p w14:paraId="11330728" w14:textId="77777777" w:rsidR="00041CC8" w:rsidRPr="005454C8" w:rsidRDefault="00041CC8" w:rsidP="00A136A1">
            <w:pPr>
              <w:autoSpaceDE w:val="0"/>
              <w:autoSpaceDN w:val="0"/>
              <w:adjustRightInd w:val="0"/>
              <w:rPr>
                <w:rFonts w:eastAsia="Calibri"/>
              </w:rPr>
            </w:pPr>
          </w:p>
          <w:p w14:paraId="6DA63177" w14:textId="77777777" w:rsidR="00041CC8" w:rsidRDefault="00041CC8" w:rsidP="00A136A1">
            <w:pPr>
              <w:autoSpaceDE w:val="0"/>
              <w:autoSpaceDN w:val="0"/>
              <w:adjustRightInd w:val="0"/>
              <w:rPr>
                <w:rFonts w:eastAsia="Calibri"/>
              </w:rPr>
            </w:pPr>
            <w:r w:rsidRPr="005454C8">
              <w:rPr>
                <w:rFonts w:eastAsia="Calibri"/>
              </w:rPr>
              <w:t>Sirolimuzas (vienkartinė 2 mg dozė)</w:t>
            </w:r>
          </w:p>
          <w:p w14:paraId="1BC49B51" w14:textId="77777777" w:rsidR="00041CC8" w:rsidRDefault="00041CC8" w:rsidP="00A136A1">
            <w:pPr>
              <w:autoSpaceDE w:val="0"/>
              <w:autoSpaceDN w:val="0"/>
              <w:adjustRightInd w:val="0"/>
              <w:rPr>
                <w:rFonts w:eastAsia="Calibri"/>
              </w:rPr>
            </w:pPr>
          </w:p>
          <w:p w14:paraId="60873A48" w14:textId="77777777" w:rsidR="00041CC8" w:rsidRPr="005454C8" w:rsidRDefault="00041CC8" w:rsidP="00A136A1">
            <w:pPr>
              <w:autoSpaceDE w:val="0"/>
              <w:autoSpaceDN w:val="0"/>
              <w:adjustRightInd w:val="0"/>
              <w:rPr>
                <w:rFonts w:eastAsia="Calibri"/>
              </w:rPr>
            </w:pPr>
          </w:p>
          <w:p w14:paraId="3ED3BD6A" w14:textId="77777777" w:rsidR="00041CC8" w:rsidRDefault="00041CC8" w:rsidP="00A136A1">
            <w:pPr>
              <w:autoSpaceDE w:val="0"/>
              <w:autoSpaceDN w:val="0"/>
              <w:adjustRightInd w:val="0"/>
              <w:rPr>
                <w:rFonts w:eastAsia="Calibri"/>
              </w:rPr>
            </w:pPr>
          </w:p>
          <w:p w14:paraId="5C165C81" w14:textId="77777777" w:rsidR="00041CC8" w:rsidRPr="00024E23" w:rsidRDefault="00041CC8" w:rsidP="00A136A1">
            <w:pPr>
              <w:autoSpaceDE w:val="0"/>
              <w:autoSpaceDN w:val="0"/>
              <w:adjustRightInd w:val="0"/>
              <w:rPr>
                <w:rFonts w:eastAsia="Calibri"/>
              </w:rPr>
            </w:pPr>
            <w:bookmarkStart w:id="15" w:name="_Hlk87626173"/>
            <w:r w:rsidRPr="00024E23">
              <w:rPr>
                <w:rFonts w:eastAsia="Calibri"/>
              </w:rPr>
              <w:t>Everolimuzas</w:t>
            </w:r>
          </w:p>
          <w:p w14:paraId="60E7A843" w14:textId="77777777" w:rsidR="00041CC8" w:rsidRPr="00024E23" w:rsidRDefault="00041CC8" w:rsidP="00A136A1">
            <w:pPr>
              <w:autoSpaceDE w:val="0"/>
              <w:autoSpaceDN w:val="0"/>
              <w:adjustRightInd w:val="0"/>
              <w:rPr>
                <w:rFonts w:eastAsia="Calibri"/>
                <w:i/>
                <w:iCs/>
              </w:rPr>
            </w:pPr>
            <w:r w:rsidRPr="00024E23">
              <w:rPr>
                <w:rFonts w:eastAsia="Calibri"/>
                <w:i/>
                <w:iCs/>
              </w:rPr>
              <w:t>[taip pat P-gP substratas]</w:t>
            </w:r>
          </w:p>
          <w:bookmarkEnd w:id="15"/>
          <w:p w14:paraId="322F05A8" w14:textId="77777777" w:rsidR="00041CC8" w:rsidRPr="005454C8" w:rsidRDefault="00041CC8" w:rsidP="00A136A1">
            <w:pPr>
              <w:autoSpaceDE w:val="0"/>
              <w:autoSpaceDN w:val="0"/>
              <w:adjustRightInd w:val="0"/>
              <w:rPr>
                <w:rFonts w:eastAsia="Calibri"/>
              </w:rPr>
            </w:pPr>
          </w:p>
          <w:p w14:paraId="50F8C669" w14:textId="77777777" w:rsidR="00041CC8" w:rsidRDefault="00041CC8" w:rsidP="00A136A1">
            <w:pPr>
              <w:autoSpaceDE w:val="0"/>
              <w:autoSpaceDN w:val="0"/>
              <w:adjustRightInd w:val="0"/>
              <w:rPr>
                <w:rFonts w:eastAsia="Calibri"/>
              </w:rPr>
            </w:pPr>
          </w:p>
          <w:p w14:paraId="72E095D0" w14:textId="77777777" w:rsidR="00041CC8" w:rsidRDefault="00041CC8" w:rsidP="00A136A1">
            <w:pPr>
              <w:autoSpaceDE w:val="0"/>
              <w:autoSpaceDN w:val="0"/>
              <w:adjustRightInd w:val="0"/>
              <w:rPr>
                <w:rFonts w:eastAsia="Calibri"/>
              </w:rPr>
            </w:pPr>
          </w:p>
          <w:p w14:paraId="2CE04D71" w14:textId="77777777" w:rsidR="00041CC8" w:rsidRDefault="00041CC8" w:rsidP="00A136A1">
            <w:pPr>
              <w:autoSpaceDE w:val="0"/>
              <w:autoSpaceDN w:val="0"/>
              <w:adjustRightInd w:val="0"/>
              <w:rPr>
                <w:rFonts w:eastAsia="Calibri"/>
              </w:rPr>
            </w:pPr>
          </w:p>
          <w:p w14:paraId="3407ABB6" w14:textId="77777777" w:rsidR="00041CC8" w:rsidRDefault="00041CC8" w:rsidP="00A136A1">
            <w:pPr>
              <w:autoSpaceDE w:val="0"/>
              <w:autoSpaceDN w:val="0"/>
              <w:adjustRightInd w:val="0"/>
              <w:rPr>
                <w:rFonts w:eastAsia="Calibri"/>
              </w:rPr>
            </w:pPr>
          </w:p>
          <w:p w14:paraId="25533FC8" w14:textId="77777777" w:rsidR="00041CC8" w:rsidRDefault="00041CC8" w:rsidP="00A136A1">
            <w:pPr>
              <w:autoSpaceDE w:val="0"/>
              <w:autoSpaceDN w:val="0"/>
              <w:adjustRightInd w:val="0"/>
              <w:rPr>
                <w:rFonts w:eastAsia="Calibri"/>
              </w:rPr>
            </w:pPr>
          </w:p>
          <w:p w14:paraId="05C2AD42" w14:textId="77777777" w:rsidR="00041CC8" w:rsidRDefault="00041CC8" w:rsidP="00A136A1">
            <w:pPr>
              <w:autoSpaceDE w:val="0"/>
              <w:autoSpaceDN w:val="0"/>
              <w:adjustRightInd w:val="0"/>
              <w:rPr>
                <w:rFonts w:eastAsia="Calibri"/>
              </w:rPr>
            </w:pPr>
          </w:p>
          <w:p w14:paraId="187D690A" w14:textId="77777777" w:rsidR="00041CC8" w:rsidRPr="005454C8" w:rsidRDefault="00041CC8" w:rsidP="00A136A1">
            <w:pPr>
              <w:autoSpaceDE w:val="0"/>
              <w:autoSpaceDN w:val="0"/>
              <w:adjustRightInd w:val="0"/>
              <w:rPr>
                <w:rFonts w:eastAsia="Calibri"/>
              </w:rPr>
            </w:pPr>
            <w:r w:rsidRPr="005454C8">
              <w:rPr>
                <w:rFonts w:eastAsia="Calibri"/>
              </w:rPr>
              <w:t>Ciklosporinas (pacientų, kurių būklė po inksto persodinimo yra stabili, ir kuriems taikomas ilgalaikis gydymas ciklosporinu)</w:t>
            </w:r>
          </w:p>
          <w:p w14:paraId="1E33509E" w14:textId="77777777" w:rsidR="00041CC8" w:rsidRPr="005454C8" w:rsidRDefault="00041CC8" w:rsidP="00A136A1">
            <w:pPr>
              <w:autoSpaceDE w:val="0"/>
              <w:autoSpaceDN w:val="0"/>
              <w:adjustRightInd w:val="0"/>
              <w:rPr>
                <w:rFonts w:eastAsia="Calibri"/>
              </w:rPr>
            </w:pPr>
          </w:p>
          <w:p w14:paraId="31A888C7" w14:textId="77777777" w:rsidR="00041CC8" w:rsidRPr="005454C8" w:rsidRDefault="00041CC8" w:rsidP="00A136A1">
            <w:pPr>
              <w:autoSpaceDE w:val="0"/>
              <w:autoSpaceDN w:val="0"/>
              <w:adjustRightInd w:val="0"/>
              <w:rPr>
                <w:rFonts w:eastAsia="Calibri"/>
              </w:rPr>
            </w:pPr>
          </w:p>
          <w:p w14:paraId="299409CB" w14:textId="77777777" w:rsidR="00041CC8" w:rsidRPr="005454C8" w:rsidRDefault="00041CC8" w:rsidP="00A136A1">
            <w:pPr>
              <w:autoSpaceDE w:val="0"/>
              <w:autoSpaceDN w:val="0"/>
              <w:adjustRightInd w:val="0"/>
              <w:rPr>
                <w:rFonts w:eastAsia="Calibri"/>
              </w:rPr>
            </w:pPr>
          </w:p>
          <w:p w14:paraId="2F487FDF" w14:textId="77777777" w:rsidR="00041CC8" w:rsidRPr="005454C8" w:rsidRDefault="00041CC8" w:rsidP="00A136A1">
            <w:pPr>
              <w:autoSpaceDE w:val="0"/>
              <w:autoSpaceDN w:val="0"/>
              <w:adjustRightInd w:val="0"/>
              <w:rPr>
                <w:rFonts w:eastAsia="Calibri"/>
              </w:rPr>
            </w:pPr>
          </w:p>
          <w:p w14:paraId="0B5E60A9" w14:textId="77777777" w:rsidR="00041CC8" w:rsidRPr="005454C8" w:rsidRDefault="00041CC8" w:rsidP="00A136A1">
            <w:pPr>
              <w:autoSpaceDE w:val="0"/>
              <w:autoSpaceDN w:val="0"/>
              <w:adjustRightInd w:val="0"/>
              <w:rPr>
                <w:rFonts w:eastAsia="Calibri"/>
              </w:rPr>
            </w:pPr>
          </w:p>
          <w:p w14:paraId="3EAEF448" w14:textId="77777777" w:rsidR="00041CC8" w:rsidRPr="005454C8" w:rsidRDefault="00041CC8" w:rsidP="00A136A1">
            <w:pPr>
              <w:autoSpaceDE w:val="0"/>
              <w:autoSpaceDN w:val="0"/>
              <w:adjustRightInd w:val="0"/>
              <w:rPr>
                <w:rFonts w:eastAsia="Calibri"/>
              </w:rPr>
            </w:pPr>
          </w:p>
          <w:p w14:paraId="58DE5388" w14:textId="77777777" w:rsidR="00041CC8" w:rsidRPr="005454C8" w:rsidRDefault="00041CC8" w:rsidP="00A136A1">
            <w:pPr>
              <w:autoSpaceDE w:val="0"/>
              <w:autoSpaceDN w:val="0"/>
              <w:adjustRightInd w:val="0"/>
              <w:rPr>
                <w:rFonts w:eastAsia="Calibri"/>
              </w:rPr>
            </w:pPr>
          </w:p>
          <w:p w14:paraId="64377F64" w14:textId="77777777" w:rsidR="00041CC8" w:rsidRPr="009A1B7F" w:rsidRDefault="00041CC8" w:rsidP="00A136A1">
            <w:pPr>
              <w:autoSpaceDE w:val="0"/>
              <w:autoSpaceDN w:val="0"/>
              <w:adjustRightInd w:val="0"/>
              <w:rPr>
                <w:rFonts w:eastAsia="Calibri"/>
                <w:szCs w:val="22"/>
                <w:lang w:eastAsia="en-US"/>
              </w:rPr>
            </w:pPr>
          </w:p>
          <w:p w14:paraId="401F0A40" w14:textId="77777777" w:rsidR="00041CC8" w:rsidRPr="009A1B7F" w:rsidRDefault="00041CC8" w:rsidP="00A136A1">
            <w:pPr>
              <w:autoSpaceDE w:val="0"/>
              <w:autoSpaceDN w:val="0"/>
              <w:adjustRightInd w:val="0"/>
              <w:rPr>
                <w:rFonts w:eastAsia="Calibri"/>
                <w:szCs w:val="22"/>
                <w:lang w:eastAsia="en-US"/>
              </w:rPr>
            </w:pPr>
          </w:p>
          <w:p w14:paraId="01D91AD0" w14:textId="77777777" w:rsidR="00041CC8" w:rsidRPr="009A1B7F" w:rsidRDefault="00041CC8" w:rsidP="00A136A1">
            <w:pPr>
              <w:autoSpaceDE w:val="0"/>
              <w:autoSpaceDN w:val="0"/>
              <w:adjustRightInd w:val="0"/>
              <w:rPr>
                <w:rFonts w:eastAsia="Calibri"/>
                <w:szCs w:val="22"/>
                <w:lang w:eastAsia="en-US"/>
              </w:rPr>
            </w:pPr>
          </w:p>
          <w:p w14:paraId="00E63DB6" w14:textId="77777777" w:rsidR="00041CC8" w:rsidRPr="009A1B7F" w:rsidRDefault="00041CC8" w:rsidP="00A136A1">
            <w:pPr>
              <w:autoSpaceDE w:val="0"/>
              <w:autoSpaceDN w:val="0"/>
              <w:adjustRightInd w:val="0"/>
              <w:rPr>
                <w:rFonts w:eastAsia="Calibri"/>
                <w:szCs w:val="22"/>
                <w:lang w:eastAsia="en-US"/>
              </w:rPr>
            </w:pPr>
          </w:p>
          <w:p w14:paraId="1BDA1FAD" w14:textId="77777777" w:rsidR="00041CC8" w:rsidRPr="009A1B7F" w:rsidRDefault="00041CC8" w:rsidP="00A136A1">
            <w:pPr>
              <w:autoSpaceDE w:val="0"/>
              <w:autoSpaceDN w:val="0"/>
              <w:adjustRightInd w:val="0"/>
              <w:rPr>
                <w:rFonts w:eastAsia="Calibri"/>
                <w:szCs w:val="22"/>
                <w:lang w:eastAsia="en-US"/>
              </w:rPr>
            </w:pPr>
          </w:p>
          <w:p w14:paraId="19FDEEEF" w14:textId="77777777" w:rsidR="00041CC8" w:rsidRPr="009A1B7F" w:rsidRDefault="00041CC8" w:rsidP="00A136A1">
            <w:pPr>
              <w:autoSpaceDE w:val="0"/>
              <w:autoSpaceDN w:val="0"/>
              <w:adjustRightInd w:val="0"/>
              <w:rPr>
                <w:rFonts w:eastAsia="Calibri"/>
                <w:szCs w:val="22"/>
                <w:lang w:eastAsia="en-US"/>
              </w:rPr>
            </w:pPr>
          </w:p>
          <w:p w14:paraId="3DC40B46" w14:textId="77777777" w:rsidR="00041CC8" w:rsidRPr="009A1B7F" w:rsidRDefault="00041CC8" w:rsidP="00A136A1">
            <w:pPr>
              <w:autoSpaceDE w:val="0"/>
              <w:autoSpaceDN w:val="0"/>
              <w:adjustRightInd w:val="0"/>
              <w:rPr>
                <w:rFonts w:eastAsia="Calibri"/>
                <w:szCs w:val="22"/>
                <w:lang w:eastAsia="en-US"/>
              </w:rPr>
            </w:pPr>
          </w:p>
          <w:p w14:paraId="24F1405B" w14:textId="77777777" w:rsidR="00041CC8" w:rsidRPr="005454C8" w:rsidRDefault="00041CC8" w:rsidP="00A136A1">
            <w:pPr>
              <w:autoSpaceDE w:val="0"/>
              <w:autoSpaceDN w:val="0"/>
              <w:adjustRightInd w:val="0"/>
              <w:rPr>
                <w:rFonts w:eastAsia="Calibri"/>
              </w:rPr>
            </w:pPr>
            <w:r w:rsidRPr="005454C8">
              <w:rPr>
                <w:rFonts w:eastAsia="Calibri"/>
              </w:rPr>
              <w:t>Takrolimuzas (vienkartinė 0,1 mg/kg dozė)</w:t>
            </w:r>
          </w:p>
          <w:p w14:paraId="563E9C9A" w14:textId="77777777" w:rsidR="00041CC8" w:rsidRPr="005454C8" w:rsidRDefault="00041CC8" w:rsidP="00A136A1">
            <w:pPr>
              <w:autoSpaceDE w:val="0"/>
              <w:autoSpaceDN w:val="0"/>
              <w:adjustRightInd w:val="0"/>
              <w:rPr>
                <w:rFonts w:eastAsia="Calibri"/>
              </w:rPr>
            </w:pPr>
          </w:p>
        </w:tc>
        <w:tc>
          <w:tcPr>
            <w:tcW w:w="1935" w:type="pct"/>
          </w:tcPr>
          <w:p w14:paraId="3B0AACF7" w14:textId="77777777" w:rsidR="00041CC8" w:rsidRPr="005454C8" w:rsidRDefault="00041CC8" w:rsidP="00A136A1">
            <w:pPr>
              <w:autoSpaceDE w:val="0"/>
              <w:autoSpaceDN w:val="0"/>
              <w:adjustRightInd w:val="0"/>
              <w:rPr>
                <w:rFonts w:eastAsia="Calibri"/>
              </w:rPr>
            </w:pPr>
          </w:p>
          <w:p w14:paraId="239A6496" w14:textId="77777777" w:rsidR="00041CC8" w:rsidRPr="005454C8" w:rsidRDefault="00041CC8" w:rsidP="00A136A1">
            <w:pPr>
              <w:autoSpaceDE w:val="0"/>
              <w:autoSpaceDN w:val="0"/>
              <w:adjustRightInd w:val="0"/>
              <w:rPr>
                <w:rFonts w:eastAsia="Calibri"/>
              </w:rPr>
            </w:pPr>
          </w:p>
          <w:p w14:paraId="751194B2" w14:textId="77777777" w:rsidR="00041CC8" w:rsidRPr="005454C8" w:rsidRDefault="00041CC8" w:rsidP="00A136A1">
            <w:pPr>
              <w:autoSpaceDE w:val="0"/>
              <w:autoSpaceDN w:val="0"/>
              <w:adjustRightInd w:val="0"/>
              <w:rPr>
                <w:rFonts w:eastAsia="Calibri"/>
              </w:rPr>
            </w:pPr>
          </w:p>
          <w:p w14:paraId="3E82786F" w14:textId="77777777" w:rsidR="00041CC8" w:rsidRPr="005454C8" w:rsidRDefault="00041CC8" w:rsidP="00A136A1">
            <w:pPr>
              <w:autoSpaceDE w:val="0"/>
              <w:autoSpaceDN w:val="0"/>
              <w:adjustRightInd w:val="0"/>
              <w:rPr>
                <w:rFonts w:eastAsia="Calibri"/>
              </w:rPr>
            </w:pPr>
            <w:r w:rsidRPr="005454C8">
              <w:rPr>
                <w:rFonts w:eastAsia="Calibri"/>
              </w:rPr>
              <w:t>Paskelbto nepriklausomo tyrimo duomenimis,</w:t>
            </w:r>
            <w:r w:rsidRPr="005454C8" w:rsidDel="00BF6C3D">
              <w:rPr>
                <w:rFonts w:eastAsia="Calibri"/>
              </w:rPr>
              <w:t xml:space="preserve"> </w:t>
            </w:r>
            <w:r w:rsidRPr="005454C8">
              <w:rPr>
                <w:rFonts w:eastAsia="Calibri"/>
              </w:rPr>
              <w:t>sirolimuzo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6,6 karto </w:t>
            </w:r>
          </w:p>
          <w:p w14:paraId="2E531943" w14:textId="77777777" w:rsidR="00041CC8" w:rsidRPr="005454C8" w:rsidRDefault="00041CC8" w:rsidP="00A136A1">
            <w:pPr>
              <w:autoSpaceDE w:val="0"/>
              <w:autoSpaceDN w:val="0"/>
              <w:adjustRightInd w:val="0"/>
              <w:rPr>
                <w:rFonts w:eastAsia="Calibri"/>
              </w:rPr>
            </w:pPr>
            <w:r w:rsidRPr="005454C8">
              <w:rPr>
                <w:rFonts w:eastAsia="Calibri"/>
              </w:rPr>
              <w:t>sirolimuzo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 xml:space="preserve"> 11 kartų</w:t>
            </w:r>
          </w:p>
          <w:p w14:paraId="44FCD823" w14:textId="77777777" w:rsidR="00041CC8" w:rsidRDefault="00041CC8" w:rsidP="00A136A1">
            <w:pPr>
              <w:autoSpaceDE w:val="0"/>
              <w:autoSpaceDN w:val="0"/>
              <w:adjustRightInd w:val="0"/>
              <w:rPr>
                <w:rFonts w:eastAsia="Calibri"/>
              </w:rPr>
            </w:pPr>
          </w:p>
          <w:p w14:paraId="32FC846B" w14:textId="77777777" w:rsidR="00041CC8" w:rsidRDefault="00041CC8" w:rsidP="00A136A1">
            <w:pPr>
              <w:autoSpaceDE w:val="0"/>
              <w:autoSpaceDN w:val="0"/>
              <w:adjustRightInd w:val="0"/>
              <w:rPr>
                <w:rFonts w:eastAsia="Calibri"/>
              </w:rPr>
            </w:pPr>
            <w:bookmarkStart w:id="16" w:name="_Hlk87626181"/>
            <w:r w:rsidRPr="00430A1F">
              <w:rPr>
                <w:rFonts w:eastAsia="Calibri"/>
              </w:rPr>
              <w:t>Nors tyrimų neatlikta, tikėtina, kad</w:t>
            </w:r>
            <w:r>
              <w:rPr>
                <w:rFonts w:eastAsia="Calibri"/>
              </w:rPr>
              <w:t xml:space="preserve"> </w:t>
            </w:r>
            <w:r w:rsidRPr="00430A1F">
              <w:rPr>
                <w:rFonts w:eastAsia="Calibri"/>
              </w:rPr>
              <w:t>vorikonazolas reikšmingai didina</w:t>
            </w:r>
            <w:r>
              <w:rPr>
                <w:rFonts w:eastAsia="Calibri"/>
              </w:rPr>
              <w:t xml:space="preserve"> </w:t>
            </w:r>
            <w:r w:rsidRPr="00430A1F">
              <w:rPr>
                <w:rFonts w:eastAsia="Calibri"/>
              </w:rPr>
              <w:t>everolimuzo koncentraciją</w:t>
            </w:r>
            <w:r>
              <w:rPr>
                <w:rFonts w:eastAsia="Calibri"/>
              </w:rPr>
              <w:t xml:space="preserve"> </w:t>
            </w:r>
            <w:r w:rsidRPr="00430A1F">
              <w:rPr>
                <w:rFonts w:eastAsia="Calibri"/>
              </w:rPr>
              <w:t>plazmoje.</w:t>
            </w:r>
          </w:p>
          <w:bookmarkEnd w:id="16"/>
          <w:p w14:paraId="1C70BE36" w14:textId="77777777" w:rsidR="00041CC8" w:rsidRPr="005454C8" w:rsidRDefault="00041CC8" w:rsidP="00A136A1">
            <w:pPr>
              <w:autoSpaceDE w:val="0"/>
              <w:autoSpaceDN w:val="0"/>
              <w:adjustRightInd w:val="0"/>
              <w:rPr>
                <w:rFonts w:eastAsia="Calibri"/>
              </w:rPr>
            </w:pPr>
          </w:p>
          <w:p w14:paraId="2C3DE015" w14:textId="77777777" w:rsidR="00041CC8" w:rsidRDefault="00041CC8" w:rsidP="00A136A1">
            <w:pPr>
              <w:autoSpaceDE w:val="0"/>
              <w:autoSpaceDN w:val="0"/>
              <w:adjustRightInd w:val="0"/>
              <w:rPr>
                <w:rFonts w:eastAsia="Calibri"/>
              </w:rPr>
            </w:pPr>
          </w:p>
          <w:p w14:paraId="5CCA3D86" w14:textId="77777777" w:rsidR="00041CC8" w:rsidRDefault="00041CC8" w:rsidP="00A136A1">
            <w:pPr>
              <w:autoSpaceDE w:val="0"/>
              <w:autoSpaceDN w:val="0"/>
              <w:adjustRightInd w:val="0"/>
              <w:rPr>
                <w:rFonts w:eastAsia="Calibri"/>
              </w:rPr>
            </w:pPr>
          </w:p>
          <w:p w14:paraId="55A72AD9" w14:textId="77777777" w:rsidR="00041CC8" w:rsidRDefault="00041CC8" w:rsidP="00A136A1">
            <w:pPr>
              <w:autoSpaceDE w:val="0"/>
              <w:autoSpaceDN w:val="0"/>
              <w:adjustRightInd w:val="0"/>
              <w:rPr>
                <w:rFonts w:eastAsia="Calibri"/>
              </w:rPr>
            </w:pPr>
          </w:p>
          <w:p w14:paraId="0923B9A0" w14:textId="77777777" w:rsidR="00041CC8" w:rsidRDefault="00041CC8" w:rsidP="00A136A1">
            <w:pPr>
              <w:autoSpaceDE w:val="0"/>
              <w:autoSpaceDN w:val="0"/>
              <w:adjustRightInd w:val="0"/>
              <w:rPr>
                <w:rFonts w:eastAsia="Calibri"/>
              </w:rPr>
            </w:pPr>
          </w:p>
          <w:p w14:paraId="3A94ED17" w14:textId="77777777" w:rsidR="00041CC8" w:rsidRDefault="00041CC8" w:rsidP="00A136A1">
            <w:pPr>
              <w:autoSpaceDE w:val="0"/>
              <w:autoSpaceDN w:val="0"/>
              <w:adjustRightInd w:val="0"/>
              <w:rPr>
                <w:rFonts w:eastAsia="Calibri"/>
              </w:rPr>
            </w:pPr>
          </w:p>
          <w:p w14:paraId="7E586D82" w14:textId="77777777" w:rsidR="00041CC8" w:rsidRPr="005454C8" w:rsidRDefault="00041CC8" w:rsidP="00A136A1">
            <w:pPr>
              <w:autoSpaceDE w:val="0"/>
              <w:autoSpaceDN w:val="0"/>
              <w:adjustRightInd w:val="0"/>
              <w:rPr>
                <w:rFonts w:eastAsia="Calibri"/>
              </w:rPr>
            </w:pPr>
            <w:r w:rsidRPr="005454C8">
              <w:rPr>
                <w:rFonts w:eastAsia="Calibri"/>
              </w:rPr>
              <w:t>Ciklosporino C</w:t>
            </w:r>
            <w:r w:rsidRPr="005454C8">
              <w:rPr>
                <w:rFonts w:eastAsia="Calibri"/>
                <w:vertAlign w:val="subscript"/>
              </w:rPr>
              <w:t>max</w:t>
            </w:r>
            <w:r w:rsidRPr="005454C8">
              <w:rPr>
                <w:rFonts w:eastAsia="Calibri"/>
              </w:rPr>
              <w:t xml:space="preserve">  </w:t>
            </w:r>
            <w:r w:rsidRPr="005454C8">
              <w:t>↑</w:t>
            </w:r>
            <w:r w:rsidRPr="005454C8">
              <w:rPr>
                <w:rFonts w:eastAsia="Calibri"/>
              </w:rPr>
              <w:t>13 %</w:t>
            </w:r>
          </w:p>
          <w:p w14:paraId="216E127C" w14:textId="77777777" w:rsidR="00041CC8" w:rsidRPr="005454C8" w:rsidRDefault="00041CC8" w:rsidP="00A136A1">
            <w:pPr>
              <w:autoSpaceDE w:val="0"/>
              <w:autoSpaceDN w:val="0"/>
              <w:adjustRightInd w:val="0"/>
              <w:rPr>
                <w:rFonts w:eastAsia="Calibri"/>
              </w:rPr>
            </w:pPr>
            <w:r w:rsidRPr="005454C8">
              <w:rPr>
                <w:rFonts w:eastAsia="Calibri"/>
              </w:rPr>
              <w:t>Ciklosporino AUC</w:t>
            </w:r>
            <w:r w:rsidRPr="005454C8">
              <w:rPr>
                <w:vertAlign w:val="subscript"/>
              </w:rPr>
              <w:t>τ</w:t>
            </w:r>
            <w:r w:rsidRPr="005454C8">
              <w:rPr>
                <w:rFonts w:eastAsia="Calibri"/>
              </w:rPr>
              <w:t xml:space="preserve"> </w:t>
            </w:r>
            <w:r w:rsidRPr="005454C8">
              <w:t>↑</w:t>
            </w:r>
            <w:r w:rsidRPr="005454C8">
              <w:rPr>
                <w:rFonts w:eastAsia="Calibri"/>
              </w:rPr>
              <w:t xml:space="preserve"> 70 %</w:t>
            </w:r>
          </w:p>
          <w:p w14:paraId="16C7D513" w14:textId="77777777" w:rsidR="00041CC8" w:rsidRPr="005454C8" w:rsidRDefault="00041CC8" w:rsidP="00A136A1">
            <w:pPr>
              <w:autoSpaceDE w:val="0"/>
              <w:autoSpaceDN w:val="0"/>
              <w:adjustRightInd w:val="0"/>
              <w:rPr>
                <w:rFonts w:eastAsia="Calibri"/>
              </w:rPr>
            </w:pPr>
          </w:p>
          <w:p w14:paraId="0B45EBF5" w14:textId="77777777" w:rsidR="00041CC8" w:rsidRPr="005454C8" w:rsidRDefault="00041CC8" w:rsidP="00A136A1">
            <w:pPr>
              <w:autoSpaceDE w:val="0"/>
              <w:autoSpaceDN w:val="0"/>
              <w:adjustRightInd w:val="0"/>
              <w:rPr>
                <w:rFonts w:eastAsia="Calibri"/>
              </w:rPr>
            </w:pPr>
          </w:p>
          <w:p w14:paraId="1479D65F" w14:textId="77777777" w:rsidR="00041CC8" w:rsidRPr="005454C8" w:rsidRDefault="00041CC8" w:rsidP="00A136A1">
            <w:pPr>
              <w:autoSpaceDE w:val="0"/>
              <w:autoSpaceDN w:val="0"/>
              <w:adjustRightInd w:val="0"/>
              <w:rPr>
                <w:rFonts w:eastAsia="Calibri"/>
              </w:rPr>
            </w:pPr>
          </w:p>
          <w:p w14:paraId="2121AF1D" w14:textId="77777777" w:rsidR="00041CC8" w:rsidRPr="005454C8" w:rsidRDefault="00041CC8" w:rsidP="00A136A1">
            <w:pPr>
              <w:autoSpaceDE w:val="0"/>
              <w:autoSpaceDN w:val="0"/>
              <w:adjustRightInd w:val="0"/>
              <w:rPr>
                <w:rFonts w:eastAsia="Calibri"/>
              </w:rPr>
            </w:pPr>
          </w:p>
          <w:p w14:paraId="2447B2A5" w14:textId="77777777" w:rsidR="00041CC8" w:rsidRPr="005454C8" w:rsidRDefault="00041CC8" w:rsidP="00A136A1">
            <w:pPr>
              <w:autoSpaceDE w:val="0"/>
              <w:autoSpaceDN w:val="0"/>
              <w:adjustRightInd w:val="0"/>
              <w:rPr>
                <w:rFonts w:eastAsia="Calibri"/>
              </w:rPr>
            </w:pPr>
          </w:p>
          <w:p w14:paraId="6D9D25E0" w14:textId="77777777" w:rsidR="00041CC8" w:rsidRPr="005454C8" w:rsidRDefault="00041CC8" w:rsidP="00A136A1">
            <w:pPr>
              <w:autoSpaceDE w:val="0"/>
              <w:autoSpaceDN w:val="0"/>
              <w:adjustRightInd w:val="0"/>
              <w:rPr>
                <w:rFonts w:eastAsia="Calibri"/>
              </w:rPr>
            </w:pPr>
          </w:p>
          <w:p w14:paraId="40C2FC95" w14:textId="77777777" w:rsidR="00041CC8" w:rsidRPr="005454C8" w:rsidRDefault="00041CC8" w:rsidP="00A136A1">
            <w:pPr>
              <w:autoSpaceDE w:val="0"/>
              <w:autoSpaceDN w:val="0"/>
              <w:adjustRightInd w:val="0"/>
              <w:rPr>
                <w:rFonts w:eastAsia="Calibri"/>
              </w:rPr>
            </w:pPr>
          </w:p>
          <w:p w14:paraId="1360C3DD" w14:textId="77777777" w:rsidR="00041CC8" w:rsidRPr="005454C8" w:rsidRDefault="00041CC8" w:rsidP="00A136A1">
            <w:pPr>
              <w:autoSpaceDE w:val="0"/>
              <w:autoSpaceDN w:val="0"/>
              <w:adjustRightInd w:val="0"/>
              <w:rPr>
                <w:rFonts w:eastAsia="Calibri"/>
              </w:rPr>
            </w:pPr>
          </w:p>
          <w:p w14:paraId="02469FB3" w14:textId="77777777" w:rsidR="00041CC8" w:rsidRPr="005454C8" w:rsidRDefault="00041CC8" w:rsidP="00A136A1">
            <w:pPr>
              <w:autoSpaceDE w:val="0"/>
              <w:autoSpaceDN w:val="0"/>
              <w:adjustRightInd w:val="0"/>
              <w:rPr>
                <w:rFonts w:eastAsia="Calibri"/>
              </w:rPr>
            </w:pPr>
          </w:p>
          <w:p w14:paraId="6A694228" w14:textId="77777777" w:rsidR="00041CC8" w:rsidRPr="005454C8" w:rsidRDefault="00041CC8" w:rsidP="00A136A1">
            <w:pPr>
              <w:autoSpaceDE w:val="0"/>
              <w:autoSpaceDN w:val="0"/>
              <w:adjustRightInd w:val="0"/>
              <w:rPr>
                <w:rFonts w:eastAsia="Calibri"/>
              </w:rPr>
            </w:pPr>
          </w:p>
          <w:p w14:paraId="631BF836" w14:textId="77777777" w:rsidR="00041CC8" w:rsidRPr="009A1B7F" w:rsidRDefault="00041CC8" w:rsidP="00A136A1">
            <w:pPr>
              <w:autoSpaceDE w:val="0"/>
              <w:autoSpaceDN w:val="0"/>
              <w:adjustRightInd w:val="0"/>
              <w:rPr>
                <w:rFonts w:eastAsia="Calibri"/>
                <w:szCs w:val="22"/>
                <w:lang w:eastAsia="en-US"/>
              </w:rPr>
            </w:pPr>
          </w:p>
          <w:p w14:paraId="430E0DE1" w14:textId="77777777" w:rsidR="00041CC8" w:rsidRPr="009A1B7F" w:rsidRDefault="00041CC8" w:rsidP="00A136A1">
            <w:pPr>
              <w:autoSpaceDE w:val="0"/>
              <w:autoSpaceDN w:val="0"/>
              <w:adjustRightInd w:val="0"/>
              <w:rPr>
                <w:rFonts w:eastAsia="Calibri"/>
                <w:szCs w:val="22"/>
                <w:lang w:eastAsia="en-US"/>
              </w:rPr>
            </w:pPr>
          </w:p>
          <w:p w14:paraId="0D37378D" w14:textId="77777777" w:rsidR="00041CC8" w:rsidRPr="009A1B7F" w:rsidRDefault="00041CC8" w:rsidP="00A136A1">
            <w:pPr>
              <w:autoSpaceDE w:val="0"/>
              <w:autoSpaceDN w:val="0"/>
              <w:adjustRightInd w:val="0"/>
              <w:rPr>
                <w:rFonts w:eastAsia="Calibri"/>
                <w:szCs w:val="22"/>
                <w:lang w:eastAsia="en-US"/>
              </w:rPr>
            </w:pPr>
          </w:p>
          <w:p w14:paraId="1A5AC24A" w14:textId="77777777" w:rsidR="00041CC8" w:rsidRPr="009A1B7F" w:rsidRDefault="00041CC8" w:rsidP="00A136A1">
            <w:pPr>
              <w:autoSpaceDE w:val="0"/>
              <w:autoSpaceDN w:val="0"/>
              <w:adjustRightInd w:val="0"/>
              <w:rPr>
                <w:rFonts w:eastAsia="Calibri"/>
                <w:szCs w:val="22"/>
                <w:lang w:eastAsia="en-US"/>
              </w:rPr>
            </w:pPr>
          </w:p>
          <w:p w14:paraId="26DC4EDA" w14:textId="77777777" w:rsidR="00041CC8" w:rsidRPr="009A1B7F" w:rsidRDefault="00041CC8" w:rsidP="00A136A1">
            <w:pPr>
              <w:autoSpaceDE w:val="0"/>
              <w:autoSpaceDN w:val="0"/>
              <w:adjustRightInd w:val="0"/>
              <w:rPr>
                <w:rFonts w:eastAsia="Calibri"/>
                <w:szCs w:val="22"/>
                <w:lang w:eastAsia="en-US"/>
              </w:rPr>
            </w:pPr>
          </w:p>
          <w:p w14:paraId="6CC9BCFC" w14:textId="77777777" w:rsidR="00041CC8" w:rsidRPr="009A1B7F" w:rsidRDefault="00041CC8" w:rsidP="00A136A1">
            <w:pPr>
              <w:autoSpaceDE w:val="0"/>
              <w:autoSpaceDN w:val="0"/>
              <w:adjustRightInd w:val="0"/>
              <w:rPr>
                <w:rFonts w:eastAsia="Calibri"/>
                <w:szCs w:val="22"/>
                <w:lang w:eastAsia="en-US"/>
              </w:rPr>
            </w:pPr>
          </w:p>
          <w:p w14:paraId="12640DCE" w14:textId="77777777" w:rsidR="00041CC8" w:rsidRDefault="00041CC8" w:rsidP="00A136A1">
            <w:pPr>
              <w:autoSpaceDE w:val="0"/>
              <w:autoSpaceDN w:val="0"/>
              <w:adjustRightInd w:val="0"/>
              <w:rPr>
                <w:rFonts w:eastAsia="Calibri"/>
              </w:rPr>
            </w:pPr>
          </w:p>
          <w:p w14:paraId="23724DDC" w14:textId="77777777" w:rsidR="00041CC8" w:rsidRPr="005454C8" w:rsidRDefault="00041CC8" w:rsidP="00A136A1">
            <w:pPr>
              <w:autoSpaceDE w:val="0"/>
              <w:autoSpaceDN w:val="0"/>
              <w:adjustRightInd w:val="0"/>
              <w:rPr>
                <w:rFonts w:eastAsia="Calibri"/>
              </w:rPr>
            </w:pPr>
            <w:r w:rsidRPr="005454C8">
              <w:rPr>
                <w:rFonts w:eastAsia="Calibri"/>
              </w:rPr>
              <w:t>Takrolimuzo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117 %</w:t>
            </w:r>
          </w:p>
          <w:p w14:paraId="7321C956" w14:textId="77777777" w:rsidR="00041CC8" w:rsidRPr="005454C8" w:rsidRDefault="00041CC8" w:rsidP="00A136A1">
            <w:pPr>
              <w:autoSpaceDE w:val="0"/>
              <w:autoSpaceDN w:val="0"/>
              <w:adjustRightInd w:val="0"/>
              <w:rPr>
                <w:rFonts w:eastAsia="Calibri"/>
              </w:rPr>
            </w:pPr>
            <w:r w:rsidRPr="005454C8">
              <w:rPr>
                <w:rFonts w:eastAsia="Calibri"/>
              </w:rPr>
              <w:t>Takrolimuzo AUC</w:t>
            </w:r>
            <w:r w:rsidRPr="005454C8">
              <w:rPr>
                <w:vertAlign w:val="subscript"/>
              </w:rPr>
              <w:t>τ</w:t>
            </w:r>
            <w:r w:rsidRPr="005454C8">
              <w:rPr>
                <w:rFonts w:eastAsia="Calibri"/>
              </w:rPr>
              <w:t xml:space="preserve"> </w:t>
            </w:r>
            <w:r w:rsidRPr="005454C8">
              <w:t>↑</w:t>
            </w:r>
            <w:r w:rsidRPr="005454C8">
              <w:rPr>
                <w:rFonts w:eastAsia="Calibri"/>
              </w:rPr>
              <w:t>221 %</w:t>
            </w:r>
          </w:p>
        </w:tc>
        <w:tc>
          <w:tcPr>
            <w:tcW w:w="1404" w:type="pct"/>
          </w:tcPr>
          <w:p w14:paraId="7235CEF7" w14:textId="77777777" w:rsidR="00041CC8" w:rsidRPr="005454C8" w:rsidRDefault="00041CC8" w:rsidP="00A136A1">
            <w:pPr>
              <w:autoSpaceDE w:val="0"/>
              <w:autoSpaceDN w:val="0"/>
              <w:adjustRightInd w:val="0"/>
              <w:rPr>
                <w:rFonts w:eastAsia="Calibri"/>
                <w:b/>
              </w:rPr>
            </w:pPr>
          </w:p>
          <w:p w14:paraId="1551DB22" w14:textId="77777777" w:rsidR="00041CC8" w:rsidRPr="005454C8" w:rsidRDefault="00041CC8" w:rsidP="00A136A1">
            <w:pPr>
              <w:autoSpaceDE w:val="0"/>
              <w:autoSpaceDN w:val="0"/>
              <w:adjustRightInd w:val="0"/>
              <w:rPr>
                <w:rFonts w:eastAsia="Calibri"/>
                <w:b/>
              </w:rPr>
            </w:pPr>
          </w:p>
          <w:p w14:paraId="00507582" w14:textId="77777777" w:rsidR="00041CC8" w:rsidRPr="005454C8" w:rsidRDefault="00041CC8" w:rsidP="00A136A1">
            <w:pPr>
              <w:autoSpaceDE w:val="0"/>
              <w:autoSpaceDN w:val="0"/>
              <w:adjustRightInd w:val="0"/>
              <w:rPr>
                <w:rFonts w:eastAsia="Calibri"/>
                <w:b/>
              </w:rPr>
            </w:pPr>
          </w:p>
          <w:p w14:paraId="29B89AA6" w14:textId="77777777" w:rsidR="00041CC8" w:rsidRPr="005454C8" w:rsidRDefault="00041CC8" w:rsidP="00A136A1">
            <w:pPr>
              <w:autoSpaceDE w:val="0"/>
              <w:autoSpaceDN w:val="0"/>
              <w:adjustRightInd w:val="0"/>
              <w:rPr>
                <w:rFonts w:eastAsia="Calibri"/>
              </w:rPr>
            </w:pPr>
            <w:r w:rsidRPr="00982D99">
              <w:rPr>
                <w:rFonts w:eastAsia="Calibri"/>
                <w:bCs/>
                <w:i/>
                <w:iCs/>
              </w:rPr>
              <w:t>Kontraindikacija</w:t>
            </w:r>
            <w:r w:rsidRPr="005454C8">
              <w:rPr>
                <w:rFonts w:eastAsia="Calibri"/>
                <w:b/>
              </w:rPr>
              <w:t xml:space="preserve"> </w:t>
            </w:r>
            <w:r w:rsidRPr="005454C8">
              <w:rPr>
                <w:rFonts w:eastAsia="Calibri"/>
              </w:rPr>
              <w:t>vartoti vorikonazolą kartu su sirolimuzu (žr. 4.3 skyrių).</w:t>
            </w:r>
          </w:p>
          <w:p w14:paraId="2A11A268" w14:textId="77777777" w:rsidR="00041CC8" w:rsidRDefault="00041CC8" w:rsidP="00A136A1">
            <w:pPr>
              <w:autoSpaceDE w:val="0"/>
              <w:autoSpaceDN w:val="0"/>
              <w:adjustRightInd w:val="0"/>
              <w:rPr>
                <w:rFonts w:eastAsia="Calibri"/>
              </w:rPr>
            </w:pPr>
          </w:p>
          <w:p w14:paraId="01903851" w14:textId="77777777" w:rsidR="00041CC8" w:rsidRPr="00430A1F" w:rsidRDefault="00041CC8" w:rsidP="00A136A1">
            <w:pPr>
              <w:autoSpaceDE w:val="0"/>
              <w:autoSpaceDN w:val="0"/>
              <w:adjustRightInd w:val="0"/>
              <w:rPr>
                <w:rFonts w:eastAsia="Calibri"/>
              </w:rPr>
            </w:pPr>
            <w:bookmarkStart w:id="17" w:name="_Hlk87626188"/>
            <w:r w:rsidRPr="00430A1F">
              <w:rPr>
                <w:rFonts w:eastAsia="Calibri"/>
              </w:rPr>
              <w:t>Vorikonazolą vartoti</w:t>
            </w:r>
            <w:r>
              <w:rPr>
                <w:rFonts w:eastAsia="Calibri"/>
              </w:rPr>
              <w:t xml:space="preserve"> </w:t>
            </w:r>
            <w:r w:rsidRPr="00430A1F">
              <w:rPr>
                <w:rFonts w:eastAsia="Calibri"/>
              </w:rPr>
              <w:t>kartu su</w:t>
            </w:r>
            <w:r>
              <w:rPr>
                <w:rFonts w:eastAsia="Calibri"/>
              </w:rPr>
              <w:t xml:space="preserve"> </w:t>
            </w:r>
            <w:r w:rsidRPr="00430A1F">
              <w:rPr>
                <w:rFonts w:eastAsia="Calibri"/>
              </w:rPr>
              <w:t>everolimuzu</w:t>
            </w:r>
            <w:r>
              <w:rPr>
                <w:rFonts w:eastAsia="Calibri"/>
              </w:rPr>
              <w:t xml:space="preserve"> </w:t>
            </w:r>
            <w:r w:rsidRPr="00430A1F">
              <w:rPr>
                <w:rFonts w:eastAsia="Calibri"/>
              </w:rPr>
              <w:t>nerekomenduojama, nes</w:t>
            </w:r>
          </w:p>
          <w:p w14:paraId="14CD2850" w14:textId="77777777" w:rsidR="00041CC8" w:rsidRDefault="00041CC8" w:rsidP="00A136A1">
            <w:pPr>
              <w:autoSpaceDE w:val="0"/>
              <w:autoSpaceDN w:val="0"/>
              <w:adjustRightInd w:val="0"/>
              <w:rPr>
                <w:rFonts w:eastAsia="Calibri"/>
              </w:rPr>
            </w:pPr>
            <w:r w:rsidRPr="00430A1F">
              <w:rPr>
                <w:rFonts w:eastAsia="Calibri"/>
              </w:rPr>
              <w:t>manoma, kad</w:t>
            </w:r>
            <w:r>
              <w:rPr>
                <w:rFonts w:eastAsia="Calibri"/>
              </w:rPr>
              <w:t xml:space="preserve"> </w:t>
            </w:r>
            <w:r w:rsidRPr="00430A1F">
              <w:rPr>
                <w:rFonts w:eastAsia="Calibri"/>
              </w:rPr>
              <w:t>vorikonazolas</w:t>
            </w:r>
            <w:r>
              <w:rPr>
                <w:rFonts w:eastAsia="Calibri"/>
              </w:rPr>
              <w:t xml:space="preserve"> </w:t>
            </w:r>
            <w:r w:rsidRPr="00430A1F">
              <w:rPr>
                <w:rFonts w:eastAsia="Calibri"/>
              </w:rPr>
              <w:t>reikšmingai padidina</w:t>
            </w:r>
            <w:r>
              <w:rPr>
                <w:rFonts w:eastAsia="Calibri"/>
              </w:rPr>
              <w:t xml:space="preserve"> </w:t>
            </w:r>
            <w:r w:rsidRPr="00430A1F">
              <w:rPr>
                <w:rFonts w:eastAsia="Calibri"/>
              </w:rPr>
              <w:t>everolimuzo</w:t>
            </w:r>
            <w:r>
              <w:rPr>
                <w:rFonts w:eastAsia="Calibri"/>
              </w:rPr>
              <w:t xml:space="preserve"> </w:t>
            </w:r>
            <w:r w:rsidRPr="00430A1F">
              <w:rPr>
                <w:rFonts w:eastAsia="Calibri"/>
              </w:rPr>
              <w:t>koncentracijas</w:t>
            </w:r>
            <w:r>
              <w:rPr>
                <w:rFonts w:eastAsia="Calibri"/>
              </w:rPr>
              <w:t xml:space="preserve"> </w:t>
            </w:r>
            <w:r w:rsidRPr="00430A1F">
              <w:rPr>
                <w:rFonts w:eastAsia="Calibri"/>
              </w:rPr>
              <w:t>(žr. 4.4 skyrių).</w:t>
            </w:r>
          </w:p>
          <w:bookmarkEnd w:id="17"/>
          <w:p w14:paraId="1D9030F9" w14:textId="77777777" w:rsidR="00041CC8" w:rsidRPr="005454C8" w:rsidRDefault="00041CC8" w:rsidP="00A136A1">
            <w:pPr>
              <w:autoSpaceDE w:val="0"/>
              <w:autoSpaceDN w:val="0"/>
              <w:adjustRightInd w:val="0"/>
              <w:rPr>
                <w:rFonts w:eastAsia="Calibri"/>
              </w:rPr>
            </w:pPr>
          </w:p>
          <w:p w14:paraId="3FB3905E" w14:textId="77777777" w:rsidR="00041CC8" w:rsidRPr="005454C8" w:rsidRDefault="00041CC8" w:rsidP="00A136A1">
            <w:pPr>
              <w:autoSpaceDE w:val="0"/>
              <w:autoSpaceDN w:val="0"/>
              <w:adjustRightInd w:val="0"/>
              <w:rPr>
                <w:rFonts w:eastAsia="Calibri"/>
                <w:u w:val="single"/>
              </w:rPr>
            </w:pPr>
            <w:r w:rsidRPr="005454C8">
              <w:rPr>
                <w:rFonts w:eastAsia="Calibri"/>
              </w:rPr>
              <w:t>Pradedant gydymą vorikonazolu pacientams,</w:t>
            </w:r>
            <w:r w:rsidRPr="005454C8" w:rsidDel="00BF6C3D">
              <w:rPr>
                <w:rFonts w:eastAsia="Calibri"/>
              </w:rPr>
              <w:t xml:space="preserve"> </w:t>
            </w:r>
            <w:r w:rsidRPr="005454C8">
              <w:rPr>
                <w:rFonts w:eastAsia="Calibri"/>
              </w:rPr>
              <w:t>kurie jau vartoja ciklosporiną,</w:t>
            </w:r>
            <w:r w:rsidRPr="005454C8" w:rsidDel="00BF6C3D">
              <w:rPr>
                <w:rFonts w:eastAsia="Calibri"/>
              </w:rPr>
              <w:t xml:space="preserve"> </w:t>
            </w:r>
            <w:r w:rsidRPr="005454C8">
              <w:rPr>
                <w:rFonts w:eastAsia="Calibri"/>
              </w:rPr>
              <w:t xml:space="preserve">rekomenduojama ciklosporino dozę perpus sumažinti ir atidžiai stebėti ciklosporino koncentraciją. Ciklosporino koncentracijų padidėjimas buvo susijęs su nefrotoksiniu poveikiu. </w:t>
            </w:r>
            <w:r w:rsidRPr="005454C8">
              <w:rPr>
                <w:rFonts w:eastAsia="Calibri"/>
                <w:u w:val="single"/>
              </w:rPr>
              <w:t>Nutraukus vorikonazolo vartojimą, reikia atidžiai stebėti ciklosporino koncentracijas ir, jeigu reikia,</w:t>
            </w:r>
            <w:r w:rsidRPr="005454C8" w:rsidDel="00BF6C3D">
              <w:rPr>
                <w:rFonts w:eastAsia="Calibri"/>
                <w:u w:val="single"/>
              </w:rPr>
              <w:t xml:space="preserve"> </w:t>
            </w:r>
            <w:r w:rsidRPr="005454C8">
              <w:rPr>
                <w:rFonts w:eastAsia="Calibri"/>
                <w:u w:val="single"/>
              </w:rPr>
              <w:t>padidinti dozę.</w:t>
            </w:r>
          </w:p>
          <w:p w14:paraId="66B6486A" w14:textId="77777777" w:rsidR="00041CC8" w:rsidRPr="005454C8" w:rsidRDefault="00041CC8" w:rsidP="00A136A1">
            <w:pPr>
              <w:autoSpaceDE w:val="0"/>
              <w:autoSpaceDN w:val="0"/>
              <w:adjustRightInd w:val="0"/>
              <w:rPr>
                <w:rFonts w:eastAsia="Calibri"/>
              </w:rPr>
            </w:pPr>
          </w:p>
          <w:p w14:paraId="7A04FFFE" w14:textId="77777777" w:rsidR="00041CC8" w:rsidRPr="005454C8" w:rsidRDefault="00041CC8" w:rsidP="00A136A1">
            <w:pPr>
              <w:autoSpaceDE w:val="0"/>
              <w:autoSpaceDN w:val="0"/>
              <w:adjustRightInd w:val="0"/>
              <w:rPr>
                <w:rFonts w:eastAsia="Calibri"/>
              </w:rPr>
            </w:pPr>
            <w:r w:rsidRPr="005454C8">
              <w:rPr>
                <w:rFonts w:eastAsia="Calibri"/>
              </w:rPr>
              <w:t>Pradedant gydymą vorikonazolu pacientams,</w:t>
            </w:r>
            <w:r w:rsidRPr="005454C8" w:rsidDel="00BF6C3D">
              <w:rPr>
                <w:rFonts w:eastAsia="Calibri"/>
              </w:rPr>
              <w:t xml:space="preserve"> </w:t>
            </w:r>
            <w:r w:rsidRPr="005454C8">
              <w:rPr>
                <w:rFonts w:eastAsia="Calibri"/>
              </w:rPr>
              <w:t>kurie jau vartoja takrolimuzą,</w:t>
            </w:r>
            <w:r w:rsidRPr="005454C8" w:rsidDel="00BF6C3D">
              <w:rPr>
                <w:rFonts w:eastAsia="Calibri"/>
              </w:rPr>
              <w:t xml:space="preserve"> </w:t>
            </w:r>
            <w:r w:rsidRPr="005454C8">
              <w:rPr>
                <w:rFonts w:eastAsia="Calibri"/>
              </w:rPr>
              <w:t xml:space="preserve">rekomenduojama takrolimuzo dozę sumažinti trečdaliu pradinės dozės ir atidžiai stebėti takrolimuzo koncentraciją. Takrolimuzo koncentracijų padidėjimas buvo susijęs su nefrotoksiniu poveikiu. </w:t>
            </w:r>
            <w:r w:rsidRPr="005454C8">
              <w:rPr>
                <w:rFonts w:eastAsia="Calibri"/>
                <w:u w:val="single"/>
              </w:rPr>
              <w:t xml:space="preserve">Nutraukus vorikonazolo </w:t>
            </w:r>
            <w:r w:rsidRPr="005454C8">
              <w:rPr>
                <w:rFonts w:eastAsia="Calibri"/>
                <w:u w:val="single"/>
              </w:rPr>
              <w:lastRenderedPageBreak/>
              <w:t>vartojimą, reikia atidžiai stebėti takrolimuzo koncentracijas ir, jeigu reikia, padidinti doze.</w:t>
            </w:r>
          </w:p>
        </w:tc>
      </w:tr>
      <w:tr w:rsidR="00041CC8" w:rsidRPr="009A1B7F" w14:paraId="5A9D9F67" w14:textId="77777777" w:rsidTr="00A136A1">
        <w:trPr>
          <w:trHeight w:val="651"/>
        </w:trPr>
        <w:tc>
          <w:tcPr>
            <w:tcW w:w="1661" w:type="pct"/>
          </w:tcPr>
          <w:p w14:paraId="4F272D7B" w14:textId="77777777" w:rsidR="00041CC8" w:rsidRPr="005454C8" w:rsidRDefault="00041CC8" w:rsidP="00A136A1">
            <w:pPr>
              <w:autoSpaceDE w:val="0"/>
              <w:autoSpaceDN w:val="0"/>
              <w:adjustRightInd w:val="0"/>
              <w:rPr>
                <w:rFonts w:eastAsia="Calibri"/>
              </w:rPr>
            </w:pPr>
            <w:r w:rsidRPr="005454C8">
              <w:rPr>
                <w:rFonts w:eastAsia="Calibri"/>
              </w:rPr>
              <w:lastRenderedPageBreak/>
              <w:t xml:space="preserve">Ilgai veikiantys opioidai </w:t>
            </w:r>
            <w:r w:rsidRPr="005454C8">
              <w:rPr>
                <w:rFonts w:eastAsia="TimesNewRoman,Italic"/>
                <w:i/>
              </w:rPr>
              <w:t xml:space="preserve">[CYP3A4 substratai] </w:t>
            </w:r>
          </w:p>
          <w:p w14:paraId="2D08B408" w14:textId="77777777" w:rsidR="00041CC8" w:rsidRPr="005454C8" w:rsidRDefault="00041CC8" w:rsidP="00A136A1">
            <w:pPr>
              <w:autoSpaceDE w:val="0"/>
              <w:autoSpaceDN w:val="0"/>
              <w:adjustRightInd w:val="0"/>
              <w:rPr>
                <w:rFonts w:eastAsia="Calibri"/>
              </w:rPr>
            </w:pPr>
          </w:p>
          <w:p w14:paraId="41EF6369" w14:textId="77777777" w:rsidR="00041CC8" w:rsidRPr="005454C8" w:rsidRDefault="00041CC8" w:rsidP="00A136A1">
            <w:pPr>
              <w:autoSpaceDE w:val="0"/>
              <w:autoSpaceDN w:val="0"/>
              <w:adjustRightInd w:val="0"/>
              <w:rPr>
                <w:rFonts w:eastAsia="Calibri"/>
              </w:rPr>
            </w:pPr>
            <w:r w:rsidRPr="005454C8">
              <w:rPr>
                <w:rFonts w:eastAsia="Calibri"/>
              </w:rPr>
              <w:t>Oksikodonas (vienkartinė 10 mg dozė)</w:t>
            </w:r>
          </w:p>
        </w:tc>
        <w:tc>
          <w:tcPr>
            <w:tcW w:w="1935" w:type="pct"/>
          </w:tcPr>
          <w:p w14:paraId="17C57815" w14:textId="77777777" w:rsidR="00041CC8" w:rsidRPr="005454C8" w:rsidRDefault="00041CC8" w:rsidP="00A136A1">
            <w:pPr>
              <w:autoSpaceDE w:val="0"/>
              <w:autoSpaceDN w:val="0"/>
              <w:adjustRightInd w:val="0"/>
              <w:rPr>
                <w:rFonts w:eastAsia="Calibri"/>
              </w:rPr>
            </w:pPr>
            <w:r w:rsidRPr="005454C8">
              <w:rPr>
                <w:rFonts w:eastAsia="Calibri"/>
              </w:rPr>
              <w:t>Paskelbto nepriklausomo tyrimo duomenimis,</w:t>
            </w:r>
          </w:p>
          <w:p w14:paraId="0D9C754E" w14:textId="77777777" w:rsidR="00041CC8" w:rsidRPr="005454C8" w:rsidRDefault="00041CC8" w:rsidP="00A136A1">
            <w:pPr>
              <w:autoSpaceDE w:val="0"/>
              <w:autoSpaceDN w:val="0"/>
              <w:adjustRightInd w:val="0"/>
              <w:rPr>
                <w:rFonts w:eastAsia="Calibri"/>
              </w:rPr>
            </w:pPr>
            <w:r w:rsidRPr="005454C8">
              <w:rPr>
                <w:rFonts w:eastAsia="Calibri"/>
              </w:rPr>
              <w:t>oksikodono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1,7 karto </w:t>
            </w:r>
          </w:p>
          <w:p w14:paraId="464CE33D" w14:textId="77777777" w:rsidR="00041CC8" w:rsidRPr="005454C8" w:rsidRDefault="00041CC8" w:rsidP="00A136A1">
            <w:pPr>
              <w:autoSpaceDE w:val="0"/>
              <w:autoSpaceDN w:val="0"/>
              <w:adjustRightInd w:val="0"/>
              <w:rPr>
                <w:rFonts w:eastAsia="Calibri"/>
              </w:rPr>
            </w:pPr>
            <w:r w:rsidRPr="005454C8">
              <w:rPr>
                <w:rFonts w:eastAsia="Calibri"/>
              </w:rPr>
              <w:t>oksikodono AUC</w:t>
            </w:r>
            <w:r w:rsidRPr="005454C8">
              <w:rPr>
                <w:vertAlign w:val="subscript"/>
              </w:rPr>
              <w:t>0−∞</w:t>
            </w:r>
            <w:r w:rsidRPr="005454C8">
              <w:t xml:space="preserve"> ↑</w:t>
            </w:r>
            <w:r w:rsidRPr="005454C8">
              <w:rPr>
                <w:rFonts w:eastAsia="Calibri"/>
              </w:rPr>
              <w:t xml:space="preserve"> 3,6 karto</w:t>
            </w:r>
          </w:p>
        </w:tc>
        <w:tc>
          <w:tcPr>
            <w:tcW w:w="1404" w:type="pct"/>
          </w:tcPr>
          <w:p w14:paraId="0EB673F4" w14:textId="77777777" w:rsidR="00041CC8" w:rsidRPr="005454C8" w:rsidRDefault="00041CC8" w:rsidP="00A136A1">
            <w:pPr>
              <w:autoSpaceDE w:val="0"/>
              <w:autoSpaceDN w:val="0"/>
              <w:adjustRightInd w:val="0"/>
              <w:rPr>
                <w:rFonts w:eastAsia="Calibri"/>
              </w:rPr>
            </w:pPr>
            <w:r w:rsidRPr="005454C8">
              <w:rPr>
                <w:rFonts w:eastAsia="Calibri"/>
              </w:rPr>
              <w:t>Reikia apsvarstyti oksikodono ir kitų ilgai veikiančių opioidų,</w:t>
            </w:r>
            <w:r w:rsidRPr="005454C8" w:rsidDel="00BF6C3D">
              <w:rPr>
                <w:rFonts w:eastAsia="Calibri"/>
              </w:rPr>
              <w:t xml:space="preserve"> </w:t>
            </w:r>
            <w:r w:rsidRPr="005454C8">
              <w:rPr>
                <w:rFonts w:eastAsia="Calibri"/>
              </w:rPr>
              <w:t>kurių metabolizmą veikia CYP3A4 (pvz., hidrokodono),</w:t>
            </w:r>
            <w:r w:rsidRPr="005454C8" w:rsidDel="00BF6C3D">
              <w:rPr>
                <w:rFonts w:eastAsia="Calibri"/>
              </w:rPr>
              <w:t xml:space="preserve"> </w:t>
            </w:r>
            <w:r w:rsidRPr="005454C8">
              <w:rPr>
                <w:rFonts w:eastAsia="Calibri"/>
              </w:rPr>
              <w:t>dozės mažinimo galimybę.</w:t>
            </w:r>
          </w:p>
          <w:p w14:paraId="088B147C" w14:textId="77777777" w:rsidR="00041CC8" w:rsidRPr="005454C8" w:rsidRDefault="00041CC8" w:rsidP="00A136A1">
            <w:pPr>
              <w:autoSpaceDE w:val="0"/>
              <w:autoSpaceDN w:val="0"/>
              <w:adjustRightInd w:val="0"/>
              <w:rPr>
                <w:rFonts w:eastAsia="Calibri"/>
              </w:rPr>
            </w:pPr>
            <w:r w:rsidRPr="005454C8">
              <w:rPr>
                <w:rFonts w:eastAsia="Calibri"/>
              </w:rPr>
              <w:t>Gali prireikti dažnai stebėti, ar nepasireiškia su opioidų vartojimu susijusios nepageidaujamos reakcijos.</w:t>
            </w:r>
          </w:p>
        </w:tc>
      </w:tr>
      <w:tr w:rsidR="00041CC8" w:rsidRPr="009A1B7F" w14:paraId="321FACBC" w14:textId="77777777" w:rsidTr="00A136A1">
        <w:trPr>
          <w:trHeight w:val="651"/>
        </w:trPr>
        <w:tc>
          <w:tcPr>
            <w:tcW w:w="1661" w:type="pct"/>
          </w:tcPr>
          <w:p w14:paraId="6BF921C2" w14:textId="77777777" w:rsidR="00041CC8" w:rsidRPr="005454C8" w:rsidRDefault="00041CC8" w:rsidP="00A136A1">
            <w:pPr>
              <w:autoSpaceDE w:val="0"/>
              <w:autoSpaceDN w:val="0"/>
              <w:adjustRightInd w:val="0"/>
              <w:rPr>
                <w:rFonts w:eastAsia="Calibri"/>
              </w:rPr>
            </w:pPr>
            <w:r w:rsidRPr="005454C8">
              <w:rPr>
                <w:rFonts w:eastAsia="Calibri"/>
              </w:rPr>
              <w:t>Metadonas (32-100 mg 1 x per parą)</w:t>
            </w:r>
          </w:p>
          <w:p w14:paraId="4F910C88" w14:textId="77777777" w:rsidR="00041CC8" w:rsidRPr="005454C8" w:rsidRDefault="00041CC8" w:rsidP="00A136A1">
            <w:pPr>
              <w:autoSpaceDE w:val="0"/>
              <w:autoSpaceDN w:val="0"/>
              <w:adjustRightInd w:val="0"/>
              <w:rPr>
                <w:rFonts w:eastAsia="Calibri"/>
              </w:rPr>
            </w:pPr>
            <w:r w:rsidRPr="005454C8">
              <w:rPr>
                <w:rFonts w:eastAsia="TimesNewRoman,Italic"/>
                <w:i/>
              </w:rPr>
              <w:t>[CYP3A4 substratas]</w:t>
            </w:r>
          </w:p>
        </w:tc>
        <w:tc>
          <w:tcPr>
            <w:tcW w:w="1935" w:type="pct"/>
          </w:tcPr>
          <w:p w14:paraId="0A9A9D65" w14:textId="77777777" w:rsidR="00041CC8" w:rsidRPr="005454C8" w:rsidRDefault="00041CC8" w:rsidP="00A136A1">
            <w:pPr>
              <w:autoSpaceDE w:val="0"/>
              <w:autoSpaceDN w:val="0"/>
              <w:adjustRightInd w:val="0"/>
              <w:rPr>
                <w:rFonts w:eastAsia="Calibri"/>
              </w:rPr>
            </w:pPr>
            <w:r w:rsidRPr="005454C8">
              <w:rPr>
                <w:rFonts w:eastAsia="Calibri"/>
              </w:rPr>
              <w:t>R-metadono (aktyvus)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31 %</w:t>
            </w:r>
          </w:p>
          <w:p w14:paraId="6894D2F4" w14:textId="77777777" w:rsidR="00041CC8" w:rsidRPr="005454C8" w:rsidRDefault="00041CC8" w:rsidP="00A136A1">
            <w:pPr>
              <w:autoSpaceDE w:val="0"/>
              <w:autoSpaceDN w:val="0"/>
              <w:adjustRightInd w:val="0"/>
              <w:rPr>
                <w:rFonts w:eastAsia="Calibri"/>
              </w:rPr>
            </w:pPr>
            <w:r w:rsidRPr="005454C8">
              <w:rPr>
                <w:rFonts w:eastAsia="Calibri"/>
              </w:rPr>
              <w:t xml:space="preserve">R-metadono (aktyvus) AUC </w:t>
            </w:r>
            <w:r w:rsidRPr="005454C8">
              <w:rPr>
                <w:vertAlign w:val="subscript"/>
              </w:rPr>
              <w:t>τ</w:t>
            </w:r>
            <w:r w:rsidRPr="005454C8">
              <w:t xml:space="preserve">↑ </w:t>
            </w:r>
            <w:r w:rsidRPr="005454C8">
              <w:rPr>
                <w:rFonts w:eastAsia="Calibri"/>
              </w:rPr>
              <w:t>47 %</w:t>
            </w:r>
          </w:p>
          <w:p w14:paraId="306DBB60" w14:textId="77777777" w:rsidR="00041CC8" w:rsidRPr="005454C8" w:rsidRDefault="00041CC8" w:rsidP="00A136A1">
            <w:pPr>
              <w:autoSpaceDE w:val="0"/>
              <w:autoSpaceDN w:val="0"/>
              <w:adjustRightInd w:val="0"/>
              <w:rPr>
                <w:rFonts w:eastAsia="Calibri"/>
              </w:rPr>
            </w:pPr>
            <w:r w:rsidRPr="005454C8">
              <w:rPr>
                <w:rFonts w:eastAsia="Calibri"/>
              </w:rPr>
              <w:t>S-metadono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65 %</w:t>
            </w:r>
          </w:p>
          <w:p w14:paraId="7CBA1874" w14:textId="77777777" w:rsidR="00041CC8" w:rsidRPr="005454C8" w:rsidRDefault="00041CC8" w:rsidP="00A136A1">
            <w:pPr>
              <w:autoSpaceDE w:val="0"/>
              <w:autoSpaceDN w:val="0"/>
              <w:adjustRightInd w:val="0"/>
              <w:rPr>
                <w:rFonts w:eastAsia="Calibri"/>
              </w:rPr>
            </w:pPr>
            <w:r w:rsidRPr="005454C8">
              <w:rPr>
                <w:rFonts w:eastAsia="Calibri"/>
              </w:rPr>
              <w:t>S-metadono AUC</w:t>
            </w:r>
            <w:r w:rsidRPr="005454C8">
              <w:rPr>
                <w:vertAlign w:val="subscript"/>
              </w:rPr>
              <w:t>τ</w:t>
            </w:r>
            <w:r w:rsidRPr="005454C8">
              <w:rPr>
                <w:rFonts w:eastAsia="Calibri"/>
              </w:rPr>
              <w:t xml:space="preserve"> </w:t>
            </w:r>
            <w:r w:rsidRPr="005454C8">
              <w:t>↑</w:t>
            </w:r>
            <w:r w:rsidRPr="005454C8">
              <w:rPr>
                <w:rFonts w:eastAsia="Calibri"/>
              </w:rPr>
              <w:t xml:space="preserve"> 103 %</w:t>
            </w:r>
          </w:p>
        </w:tc>
        <w:tc>
          <w:tcPr>
            <w:tcW w:w="1404" w:type="pct"/>
          </w:tcPr>
          <w:p w14:paraId="0A491E65" w14:textId="77777777" w:rsidR="00041CC8" w:rsidRPr="005454C8" w:rsidRDefault="00041CC8" w:rsidP="00A136A1">
            <w:pPr>
              <w:autoSpaceDE w:val="0"/>
              <w:autoSpaceDN w:val="0"/>
              <w:adjustRightInd w:val="0"/>
              <w:rPr>
                <w:rFonts w:eastAsia="Calibri"/>
              </w:rPr>
            </w:pPr>
            <w:r w:rsidRPr="005454C8">
              <w:rPr>
                <w:rFonts w:eastAsia="Calibri"/>
              </w:rPr>
              <w:t>Rekomenduojama dažnai stebėti, ar nepasireiškia su metadono vartojimu susijusios nepageidaujamos reakcijos ir toksinis poveikis,</w:t>
            </w:r>
            <w:r w:rsidRPr="005454C8" w:rsidDel="008B3974">
              <w:rPr>
                <w:rFonts w:eastAsia="Calibri"/>
              </w:rPr>
              <w:t xml:space="preserve"> </w:t>
            </w:r>
            <w:r w:rsidRPr="005454C8">
              <w:rPr>
                <w:rFonts w:eastAsia="Calibri"/>
              </w:rPr>
              <w:t>įskaitant QTc intervalo pailgėjimą. Gali prireikti sumažinti metadono dozę.</w:t>
            </w:r>
          </w:p>
        </w:tc>
      </w:tr>
      <w:tr w:rsidR="00041CC8" w:rsidRPr="009A1B7F" w14:paraId="669074CF" w14:textId="77777777" w:rsidTr="00A136A1">
        <w:trPr>
          <w:trHeight w:val="651"/>
        </w:trPr>
        <w:tc>
          <w:tcPr>
            <w:tcW w:w="1661" w:type="pct"/>
          </w:tcPr>
          <w:p w14:paraId="043269F0" w14:textId="77777777" w:rsidR="00041CC8" w:rsidRPr="005454C8" w:rsidRDefault="00041CC8" w:rsidP="00A136A1">
            <w:pPr>
              <w:autoSpaceDE w:val="0"/>
              <w:autoSpaceDN w:val="0"/>
              <w:adjustRightInd w:val="0"/>
              <w:rPr>
                <w:rFonts w:eastAsia="Calibri"/>
              </w:rPr>
            </w:pPr>
            <w:r w:rsidRPr="005454C8">
              <w:rPr>
                <w:rFonts w:eastAsia="Calibri"/>
              </w:rPr>
              <w:t>Nesteroidiniai vaistai nuo uždegimo (NVNU)</w:t>
            </w:r>
          </w:p>
          <w:p w14:paraId="1D16D429" w14:textId="77777777" w:rsidR="00041CC8" w:rsidRPr="005454C8" w:rsidRDefault="00041CC8" w:rsidP="00A136A1">
            <w:pPr>
              <w:autoSpaceDE w:val="0"/>
              <w:autoSpaceDN w:val="0"/>
              <w:adjustRightInd w:val="0"/>
              <w:rPr>
                <w:rFonts w:eastAsia="Calibri"/>
              </w:rPr>
            </w:pPr>
            <w:r w:rsidRPr="005454C8">
              <w:rPr>
                <w:rFonts w:eastAsia="TimesNewRoman,Italic"/>
                <w:i/>
              </w:rPr>
              <w:t xml:space="preserve">[CYP2C9 substratai] </w:t>
            </w:r>
          </w:p>
          <w:p w14:paraId="0FD5F6AC" w14:textId="77777777" w:rsidR="00041CC8" w:rsidRPr="005454C8" w:rsidRDefault="00041CC8" w:rsidP="00A136A1">
            <w:pPr>
              <w:autoSpaceDE w:val="0"/>
              <w:autoSpaceDN w:val="0"/>
              <w:adjustRightInd w:val="0"/>
              <w:rPr>
                <w:rFonts w:eastAsia="Calibri"/>
              </w:rPr>
            </w:pPr>
          </w:p>
          <w:p w14:paraId="1E64ECCB" w14:textId="77777777" w:rsidR="00041CC8" w:rsidRPr="005454C8" w:rsidRDefault="00041CC8" w:rsidP="00A136A1">
            <w:pPr>
              <w:autoSpaceDE w:val="0"/>
              <w:autoSpaceDN w:val="0"/>
              <w:adjustRightInd w:val="0"/>
              <w:rPr>
                <w:rFonts w:eastAsia="Calibri"/>
              </w:rPr>
            </w:pPr>
            <w:r w:rsidRPr="005454C8">
              <w:rPr>
                <w:rFonts w:eastAsia="Calibri"/>
              </w:rPr>
              <w:t xml:space="preserve">Ibuprofenas (vienkartinė 400 mg dozė) </w:t>
            </w:r>
          </w:p>
          <w:p w14:paraId="20DCE617" w14:textId="77777777" w:rsidR="00041CC8" w:rsidRPr="005454C8" w:rsidRDefault="00041CC8" w:rsidP="00A136A1">
            <w:pPr>
              <w:autoSpaceDE w:val="0"/>
              <w:autoSpaceDN w:val="0"/>
              <w:adjustRightInd w:val="0"/>
              <w:rPr>
                <w:rFonts w:eastAsia="Calibri"/>
              </w:rPr>
            </w:pPr>
            <w:r w:rsidRPr="005454C8">
              <w:rPr>
                <w:rFonts w:eastAsia="Calibri"/>
              </w:rPr>
              <w:t>Diklofenakas (vienkartinė 50 mg doze)</w:t>
            </w:r>
          </w:p>
        </w:tc>
        <w:tc>
          <w:tcPr>
            <w:tcW w:w="1935" w:type="pct"/>
          </w:tcPr>
          <w:p w14:paraId="5573B8A0" w14:textId="77777777" w:rsidR="00041CC8" w:rsidRPr="005454C8" w:rsidRDefault="00041CC8" w:rsidP="00A136A1">
            <w:pPr>
              <w:autoSpaceDE w:val="0"/>
              <w:autoSpaceDN w:val="0"/>
              <w:adjustRightInd w:val="0"/>
              <w:rPr>
                <w:rFonts w:eastAsia="Calibri"/>
              </w:rPr>
            </w:pPr>
          </w:p>
          <w:p w14:paraId="537EBBC6" w14:textId="77777777" w:rsidR="00041CC8" w:rsidRPr="005454C8" w:rsidRDefault="00041CC8" w:rsidP="00A136A1">
            <w:pPr>
              <w:autoSpaceDE w:val="0"/>
              <w:autoSpaceDN w:val="0"/>
              <w:adjustRightInd w:val="0"/>
              <w:rPr>
                <w:rFonts w:eastAsia="Calibri"/>
              </w:rPr>
            </w:pPr>
          </w:p>
          <w:p w14:paraId="3FF6791D" w14:textId="77777777" w:rsidR="00041CC8" w:rsidRPr="005454C8" w:rsidRDefault="00041CC8" w:rsidP="00A136A1">
            <w:pPr>
              <w:autoSpaceDE w:val="0"/>
              <w:autoSpaceDN w:val="0"/>
              <w:adjustRightInd w:val="0"/>
              <w:rPr>
                <w:rFonts w:eastAsia="Calibri"/>
              </w:rPr>
            </w:pPr>
          </w:p>
          <w:p w14:paraId="6D9133BC" w14:textId="77777777" w:rsidR="00041CC8" w:rsidRPr="005454C8" w:rsidRDefault="00041CC8" w:rsidP="00A136A1">
            <w:pPr>
              <w:autoSpaceDE w:val="0"/>
              <w:autoSpaceDN w:val="0"/>
              <w:adjustRightInd w:val="0"/>
              <w:rPr>
                <w:rFonts w:eastAsia="Calibri"/>
              </w:rPr>
            </w:pPr>
          </w:p>
          <w:p w14:paraId="767AAA35" w14:textId="77777777" w:rsidR="00041CC8" w:rsidRPr="005454C8" w:rsidRDefault="00041CC8" w:rsidP="00A136A1">
            <w:pPr>
              <w:autoSpaceDE w:val="0"/>
              <w:autoSpaceDN w:val="0"/>
              <w:adjustRightInd w:val="0"/>
              <w:rPr>
                <w:rFonts w:eastAsia="Calibri"/>
              </w:rPr>
            </w:pPr>
            <w:r w:rsidRPr="005454C8">
              <w:rPr>
                <w:rFonts w:eastAsia="Calibri"/>
              </w:rPr>
              <w:t>S-ibuprofeno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20 %</w:t>
            </w:r>
          </w:p>
          <w:p w14:paraId="5AE09748" w14:textId="77777777" w:rsidR="00041CC8" w:rsidRPr="005454C8" w:rsidRDefault="00041CC8" w:rsidP="00A136A1">
            <w:pPr>
              <w:autoSpaceDE w:val="0"/>
              <w:autoSpaceDN w:val="0"/>
              <w:adjustRightInd w:val="0"/>
              <w:rPr>
                <w:rFonts w:eastAsia="Calibri"/>
              </w:rPr>
            </w:pPr>
            <w:r w:rsidRPr="005454C8">
              <w:rPr>
                <w:rFonts w:eastAsia="Calibri"/>
              </w:rPr>
              <w:t>S-ibuprofeno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 xml:space="preserve"> 100 %</w:t>
            </w:r>
          </w:p>
          <w:p w14:paraId="751891E0" w14:textId="77777777" w:rsidR="00041CC8" w:rsidRPr="005454C8" w:rsidRDefault="00041CC8" w:rsidP="00A136A1">
            <w:pPr>
              <w:autoSpaceDE w:val="0"/>
              <w:autoSpaceDN w:val="0"/>
              <w:adjustRightInd w:val="0"/>
              <w:rPr>
                <w:rFonts w:eastAsia="Calibri"/>
              </w:rPr>
            </w:pPr>
          </w:p>
          <w:p w14:paraId="4AA12DB8" w14:textId="77777777" w:rsidR="00041CC8" w:rsidRPr="005454C8" w:rsidRDefault="00041CC8" w:rsidP="00A136A1">
            <w:pPr>
              <w:autoSpaceDE w:val="0"/>
              <w:autoSpaceDN w:val="0"/>
              <w:adjustRightInd w:val="0"/>
              <w:rPr>
                <w:rFonts w:eastAsia="Calibri"/>
              </w:rPr>
            </w:pPr>
            <w:r w:rsidRPr="005454C8">
              <w:rPr>
                <w:rFonts w:eastAsia="Calibri"/>
              </w:rPr>
              <w:t>Diklofenako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114 %</w:t>
            </w:r>
          </w:p>
          <w:p w14:paraId="2463C2B0" w14:textId="77777777" w:rsidR="00041CC8" w:rsidRPr="005454C8" w:rsidRDefault="00041CC8" w:rsidP="00A136A1">
            <w:pPr>
              <w:autoSpaceDE w:val="0"/>
              <w:autoSpaceDN w:val="0"/>
              <w:adjustRightInd w:val="0"/>
              <w:rPr>
                <w:rFonts w:eastAsia="Calibri"/>
              </w:rPr>
            </w:pPr>
            <w:r w:rsidRPr="005454C8">
              <w:rPr>
                <w:rFonts w:eastAsia="Calibri"/>
              </w:rPr>
              <w:t>Diklofenako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 xml:space="preserve"> 78 %</w:t>
            </w:r>
          </w:p>
        </w:tc>
        <w:tc>
          <w:tcPr>
            <w:tcW w:w="1404" w:type="pct"/>
          </w:tcPr>
          <w:p w14:paraId="2230A16C" w14:textId="77777777" w:rsidR="00041CC8" w:rsidRPr="005454C8" w:rsidRDefault="00041CC8" w:rsidP="00A136A1">
            <w:pPr>
              <w:autoSpaceDE w:val="0"/>
              <w:autoSpaceDN w:val="0"/>
              <w:adjustRightInd w:val="0"/>
              <w:rPr>
                <w:rFonts w:eastAsia="Calibri"/>
              </w:rPr>
            </w:pPr>
          </w:p>
          <w:p w14:paraId="3EAD6AA6" w14:textId="77777777" w:rsidR="00041CC8" w:rsidRPr="005454C8" w:rsidRDefault="00041CC8" w:rsidP="00A136A1">
            <w:pPr>
              <w:autoSpaceDE w:val="0"/>
              <w:autoSpaceDN w:val="0"/>
              <w:adjustRightInd w:val="0"/>
              <w:rPr>
                <w:rFonts w:eastAsia="Calibri"/>
              </w:rPr>
            </w:pPr>
          </w:p>
          <w:p w14:paraId="1DE147E9" w14:textId="77777777" w:rsidR="00041CC8" w:rsidRPr="005454C8" w:rsidRDefault="00041CC8" w:rsidP="00A136A1">
            <w:pPr>
              <w:autoSpaceDE w:val="0"/>
              <w:autoSpaceDN w:val="0"/>
              <w:adjustRightInd w:val="0"/>
              <w:rPr>
                <w:rFonts w:eastAsia="Calibri"/>
              </w:rPr>
            </w:pPr>
            <w:r w:rsidRPr="005454C8">
              <w:rPr>
                <w:rFonts w:eastAsia="Calibri"/>
              </w:rPr>
              <w:t>Rekomenduojama dažnai stebėti, ar nepasireiškia su NVNU vartojimu susijusios nepageidaujamos reakcijos ir toksinis poveikis. Gali prireikti sumažinti NVNU dozę.</w:t>
            </w:r>
          </w:p>
        </w:tc>
      </w:tr>
      <w:tr w:rsidR="00041CC8" w:rsidRPr="009A1B7F" w14:paraId="15BB5D74" w14:textId="77777777" w:rsidTr="00A136A1">
        <w:trPr>
          <w:trHeight w:val="651"/>
        </w:trPr>
        <w:tc>
          <w:tcPr>
            <w:tcW w:w="1661" w:type="pct"/>
          </w:tcPr>
          <w:p w14:paraId="4EDE07C2" w14:textId="77777777" w:rsidR="00041CC8" w:rsidRPr="005454C8" w:rsidRDefault="00041CC8" w:rsidP="00A136A1">
            <w:pPr>
              <w:autoSpaceDE w:val="0"/>
              <w:autoSpaceDN w:val="0"/>
              <w:adjustRightInd w:val="0"/>
              <w:rPr>
                <w:rFonts w:eastAsia="Calibri"/>
              </w:rPr>
            </w:pPr>
            <w:r w:rsidRPr="005454C8">
              <w:rPr>
                <w:rFonts w:eastAsia="Calibri"/>
              </w:rPr>
              <w:t>Omeprazolas (40 mg 1 x per parą)*</w:t>
            </w:r>
          </w:p>
          <w:p w14:paraId="36DC8028" w14:textId="77777777" w:rsidR="00041CC8" w:rsidRPr="005454C8" w:rsidRDefault="00041CC8" w:rsidP="00A136A1">
            <w:pPr>
              <w:autoSpaceDE w:val="0"/>
              <w:autoSpaceDN w:val="0"/>
              <w:adjustRightInd w:val="0"/>
              <w:rPr>
                <w:rFonts w:eastAsia="Calibri"/>
              </w:rPr>
            </w:pPr>
            <w:r w:rsidRPr="005454C8">
              <w:rPr>
                <w:rFonts w:eastAsia="TimesNewRoman,Italic"/>
                <w:i/>
              </w:rPr>
              <w:t>[CYP2C19 inhibitorius;</w:t>
            </w:r>
            <w:r w:rsidRPr="005454C8" w:rsidDel="008B3974">
              <w:rPr>
                <w:rFonts w:eastAsia="TimesNewRoman,Italic"/>
                <w:i/>
              </w:rPr>
              <w:t xml:space="preserve"> </w:t>
            </w:r>
            <w:r w:rsidRPr="005454C8">
              <w:rPr>
                <w:rFonts w:eastAsia="TimesNewRoman,Italic"/>
                <w:i/>
              </w:rPr>
              <w:t>CYP2C19 ir CYP3A4 substratas]</w:t>
            </w:r>
          </w:p>
        </w:tc>
        <w:tc>
          <w:tcPr>
            <w:tcW w:w="1935" w:type="pct"/>
          </w:tcPr>
          <w:p w14:paraId="442D60D6" w14:textId="77777777" w:rsidR="00041CC8" w:rsidRPr="005454C8" w:rsidRDefault="00041CC8" w:rsidP="00A136A1">
            <w:pPr>
              <w:autoSpaceDE w:val="0"/>
              <w:autoSpaceDN w:val="0"/>
              <w:adjustRightInd w:val="0"/>
              <w:rPr>
                <w:rFonts w:eastAsia="Calibri"/>
              </w:rPr>
            </w:pPr>
            <w:r w:rsidRPr="005454C8">
              <w:rPr>
                <w:rFonts w:eastAsia="Calibri"/>
              </w:rPr>
              <w:t>Omeprazolo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116 %</w:t>
            </w:r>
          </w:p>
          <w:p w14:paraId="1BE8D792" w14:textId="77777777" w:rsidR="00041CC8" w:rsidRPr="005454C8" w:rsidRDefault="00041CC8" w:rsidP="00A136A1">
            <w:pPr>
              <w:autoSpaceDE w:val="0"/>
              <w:autoSpaceDN w:val="0"/>
              <w:adjustRightInd w:val="0"/>
              <w:rPr>
                <w:rFonts w:eastAsia="Calibri"/>
              </w:rPr>
            </w:pPr>
            <w:r w:rsidRPr="005454C8">
              <w:rPr>
                <w:rFonts w:eastAsia="Calibri"/>
              </w:rPr>
              <w:t>Omeprazolo AUC</w:t>
            </w:r>
            <w:r w:rsidRPr="005454C8">
              <w:rPr>
                <w:vertAlign w:val="subscript"/>
              </w:rPr>
              <w:t>τ</w:t>
            </w:r>
            <w:r w:rsidRPr="005454C8">
              <w:rPr>
                <w:rFonts w:eastAsia="Calibri"/>
              </w:rPr>
              <w:t xml:space="preserve"> </w:t>
            </w:r>
            <w:r w:rsidRPr="005454C8">
              <w:t>↑</w:t>
            </w:r>
            <w:r w:rsidRPr="005454C8">
              <w:rPr>
                <w:rFonts w:eastAsia="Calibri"/>
              </w:rPr>
              <w:t xml:space="preserve"> 280 %</w:t>
            </w:r>
          </w:p>
          <w:p w14:paraId="4EA2D01C"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15 %</w:t>
            </w:r>
          </w:p>
          <w:p w14:paraId="5716945E"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r w:rsidRPr="005454C8">
              <w:t>↑</w:t>
            </w:r>
            <w:r w:rsidRPr="005454C8">
              <w:rPr>
                <w:rFonts w:eastAsia="Calibri"/>
              </w:rPr>
              <w:t xml:space="preserve"> 41 %</w:t>
            </w:r>
          </w:p>
          <w:p w14:paraId="1846BDF5" w14:textId="77777777" w:rsidR="00041CC8" w:rsidRPr="005454C8" w:rsidRDefault="00041CC8" w:rsidP="00A136A1">
            <w:pPr>
              <w:autoSpaceDE w:val="0"/>
              <w:autoSpaceDN w:val="0"/>
              <w:adjustRightInd w:val="0"/>
              <w:rPr>
                <w:rFonts w:eastAsia="Calibri"/>
              </w:rPr>
            </w:pPr>
          </w:p>
          <w:p w14:paraId="6CF21161" w14:textId="77777777" w:rsidR="00041CC8" w:rsidRPr="005454C8" w:rsidRDefault="00041CC8" w:rsidP="00A136A1">
            <w:pPr>
              <w:autoSpaceDE w:val="0"/>
              <w:autoSpaceDN w:val="0"/>
              <w:adjustRightInd w:val="0"/>
              <w:rPr>
                <w:rFonts w:eastAsia="Calibri"/>
              </w:rPr>
            </w:pPr>
            <w:r w:rsidRPr="005454C8">
              <w:rPr>
                <w:rFonts w:eastAsia="Calibri"/>
              </w:rPr>
              <w:t>Vorikonazolas gali slopinti kitų protonų siurblio inhibitorių, kurie yra CYP2C19 substratai,</w:t>
            </w:r>
            <w:r w:rsidRPr="005454C8" w:rsidDel="008B3974">
              <w:rPr>
                <w:rFonts w:eastAsia="Calibri"/>
              </w:rPr>
              <w:t xml:space="preserve"> </w:t>
            </w:r>
            <w:r w:rsidRPr="005454C8">
              <w:rPr>
                <w:rFonts w:eastAsia="Calibri"/>
              </w:rPr>
              <w:t xml:space="preserve">metabolizmą ir dėl to gali padidėti šių vaistinių preparatų koncentracijos </w:t>
            </w:r>
            <w:r w:rsidRPr="009A1B7F">
              <w:rPr>
                <w:rFonts w:eastAsia="Calibri"/>
                <w:szCs w:val="22"/>
                <w:lang w:eastAsia="en-US"/>
              </w:rPr>
              <w:t xml:space="preserve">kraujo  </w:t>
            </w:r>
            <w:r w:rsidRPr="005454C8">
              <w:rPr>
                <w:rFonts w:eastAsia="Calibri"/>
              </w:rPr>
              <w:t>plazmoje.</w:t>
            </w:r>
          </w:p>
        </w:tc>
        <w:tc>
          <w:tcPr>
            <w:tcW w:w="1404" w:type="pct"/>
          </w:tcPr>
          <w:p w14:paraId="1D91AAFB" w14:textId="77777777" w:rsidR="00041CC8" w:rsidRPr="005454C8" w:rsidRDefault="00041CC8" w:rsidP="00A136A1">
            <w:pPr>
              <w:autoSpaceDE w:val="0"/>
              <w:autoSpaceDN w:val="0"/>
              <w:adjustRightInd w:val="0"/>
              <w:rPr>
                <w:rFonts w:eastAsia="Calibri"/>
              </w:rPr>
            </w:pPr>
            <w:r w:rsidRPr="005454C8">
              <w:rPr>
                <w:rFonts w:eastAsia="Calibri"/>
              </w:rPr>
              <w:t>Rekomenduojama nekeisti vorikonazolo dozės.</w:t>
            </w:r>
          </w:p>
          <w:p w14:paraId="785912A8" w14:textId="77777777" w:rsidR="00041CC8" w:rsidRPr="005454C8" w:rsidRDefault="00041CC8" w:rsidP="00A136A1">
            <w:pPr>
              <w:autoSpaceDE w:val="0"/>
              <w:autoSpaceDN w:val="0"/>
              <w:adjustRightInd w:val="0"/>
              <w:rPr>
                <w:rFonts w:eastAsia="Calibri"/>
              </w:rPr>
            </w:pPr>
          </w:p>
          <w:p w14:paraId="0C2DAF12" w14:textId="77777777" w:rsidR="00041CC8" w:rsidRPr="005454C8" w:rsidRDefault="00041CC8" w:rsidP="00A136A1">
            <w:pPr>
              <w:autoSpaceDE w:val="0"/>
              <w:autoSpaceDN w:val="0"/>
              <w:adjustRightInd w:val="0"/>
              <w:rPr>
                <w:rFonts w:eastAsia="Calibri"/>
              </w:rPr>
            </w:pPr>
          </w:p>
          <w:p w14:paraId="4FA1F8B7" w14:textId="77777777" w:rsidR="00041CC8" w:rsidRPr="005454C8" w:rsidRDefault="00041CC8" w:rsidP="00A136A1">
            <w:pPr>
              <w:autoSpaceDE w:val="0"/>
              <w:autoSpaceDN w:val="0"/>
              <w:adjustRightInd w:val="0"/>
              <w:rPr>
                <w:rFonts w:eastAsia="Calibri"/>
              </w:rPr>
            </w:pPr>
          </w:p>
          <w:p w14:paraId="13CF60A5" w14:textId="77777777" w:rsidR="00041CC8" w:rsidRPr="005454C8" w:rsidRDefault="00041CC8" w:rsidP="00A136A1">
            <w:pPr>
              <w:autoSpaceDE w:val="0"/>
              <w:autoSpaceDN w:val="0"/>
              <w:adjustRightInd w:val="0"/>
              <w:rPr>
                <w:rFonts w:eastAsia="Calibri"/>
              </w:rPr>
            </w:pPr>
            <w:r w:rsidRPr="005454C8">
              <w:rPr>
                <w:rFonts w:eastAsia="Calibri"/>
              </w:rPr>
              <w:t>Pradedant gydymą vorikonazolu pacientams,</w:t>
            </w:r>
            <w:r w:rsidRPr="005454C8" w:rsidDel="008B3974">
              <w:rPr>
                <w:rFonts w:eastAsia="Calibri"/>
              </w:rPr>
              <w:t xml:space="preserve"> </w:t>
            </w:r>
            <w:r w:rsidRPr="005454C8">
              <w:rPr>
                <w:rFonts w:eastAsia="Calibri"/>
              </w:rPr>
              <w:t>kurie jau vartoja 40 mg arba didesnes omeprazolo dozes,</w:t>
            </w:r>
            <w:r w:rsidRPr="005454C8" w:rsidDel="008B3974">
              <w:rPr>
                <w:rFonts w:eastAsia="Calibri"/>
              </w:rPr>
              <w:t xml:space="preserve"> </w:t>
            </w:r>
            <w:r w:rsidRPr="005454C8">
              <w:rPr>
                <w:rFonts w:eastAsia="Calibri"/>
              </w:rPr>
              <w:t>rekomenduojama omeprazolo dozę sumažinti perpus.</w:t>
            </w:r>
          </w:p>
        </w:tc>
      </w:tr>
      <w:tr w:rsidR="00041CC8" w:rsidRPr="009A1B7F" w14:paraId="312097A9" w14:textId="77777777" w:rsidTr="00A136A1">
        <w:trPr>
          <w:trHeight w:val="651"/>
        </w:trPr>
        <w:tc>
          <w:tcPr>
            <w:tcW w:w="1661" w:type="pct"/>
          </w:tcPr>
          <w:p w14:paraId="4FFCF7DE" w14:textId="77777777" w:rsidR="00041CC8" w:rsidRPr="005454C8" w:rsidRDefault="00041CC8" w:rsidP="00A136A1">
            <w:pPr>
              <w:autoSpaceDE w:val="0"/>
              <w:autoSpaceDN w:val="0"/>
              <w:adjustRightInd w:val="0"/>
              <w:rPr>
                <w:rFonts w:eastAsia="Calibri"/>
              </w:rPr>
            </w:pPr>
            <w:r w:rsidRPr="005454C8">
              <w:rPr>
                <w:rFonts w:eastAsia="Calibri"/>
              </w:rPr>
              <w:t xml:space="preserve">Geriamieji kontraceptikai* </w:t>
            </w:r>
            <w:r w:rsidRPr="005454C8">
              <w:rPr>
                <w:rFonts w:eastAsia="TimesNewRoman,Italic"/>
                <w:i/>
              </w:rPr>
              <w:t xml:space="preserve">[CYP3A4 substratas; CYP2C19 inhibitorius] </w:t>
            </w:r>
            <w:r w:rsidRPr="005454C8">
              <w:rPr>
                <w:rFonts w:eastAsia="Calibri"/>
              </w:rPr>
              <w:lastRenderedPageBreak/>
              <w:t>Noretisteronas/etinilestradiolis (1 mg/0,035 mg 1 x per parą)</w:t>
            </w:r>
          </w:p>
        </w:tc>
        <w:tc>
          <w:tcPr>
            <w:tcW w:w="1935" w:type="pct"/>
          </w:tcPr>
          <w:p w14:paraId="36BDD97D" w14:textId="77777777" w:rsidR="00041CC8" w:rsidRPr="005454C8" w:rsidRDefault="00041CC8" w:rsidP="00A136A1">
            <w:pPr>
              <w:autoSpaceDE w:val="0"/>
              <w:autoSpaceDN w:val="0"/>
              <w:adjustRightInd w:val="0"/>
              <w:rPr>
                <w:rFonts w:eastAsia="Calibri"/>
              </w:rPr>
            </w:pPr>
            <w:r w:rsidRPr="005454C8">
              <w:rPr>
                <w:rFonts w:eastAsia="Calibri"/>
              </w:rPr>
              <w:lastRenderedPageBreak/>
              <w:t>Etinilestradiolio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36 %</w:t>
            </w:r>
          </w:p>
          <w:p w14:paraId="2C4D6215" w14:textId="77777777" w:rsidR="00041CC8" w:rsidRPr="005454C8" w:rsidRDefault="00041CC8" w:rsidP="00A136A1">
            <w:pPr>
              <w:autoSpaceDE w:val="0"/>
              <w:autoSpaceDN w:val="0"/>
              <w:adjustRightInd w:val="0"/>
              <w:rPr>
                <w:rFonts w:eastAsia="Calibri"/>
              </w:rPr>
            </w:pPr>
            <w:r w:rsidRPr="005454C8">
              <w:rPr>
                <w:rFonts w:eastAsia="Calibri"/>
              </w:rPr>
              <w:t>Etinilestradiolio AUC</w:t>
            </w:r>
            <w:r w:rsidRPr="005454C8">
              <w:rPr>
                <w:vertAlign w:val="subscript"/>
              </w:rPr>
              <w:t>τ</w:t>
            </w:r>
            <w:r w:rsidRPr="005454C8">
              <w:rPr>
                <w:rFonts w:eastAsia="Calibri"/>
              </w:rPr>
              <w:t xml:space="preserve"> </w:t>
            </w:r>
            <w:r w:rsidRPr="005454C8">
              <w:t>↑</w:t>
            </w:r>
            <w:r w:rsidRPr="005454C8">
              <w:rPr>
                <w:rFonts w:eastAsia="Calibri"/>
              </w:rPr>
              <w:t xml:space="preserve"> 61 %</w:t>
            </w:r>
          </w:p>
          <w:p w14:paraId="2FB89905" w14:textId="77777777" w:rsidR="00041CC8" w:rsidRPr="005454C8" w:rsidRDefault="00041CC8" w:rsidP="00A136A1">
            <w:pPr>
              <w:autoSpaceDE w:val="0"/>
              <w:autoSpaceDN w:val="0"/>
              <w:adjustRightInd w:val="0"/>
              <w:rPr>
                <w:rFonts w:eastAsia="Calibri"/>
              </w:rPr>
            </w:pPr>
            <w:r w:rsidRPr="005454C8">
              <w:rPr>
                <w:rFonts w:eastAsia="Calibri"/>
              </w:rPr>
              <w:t>Noretisterono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15 %</w:t>
            </w:r>
          </w:p>
          <w:p w14:paraId="57D3230A" w14:textId="77777777" w:rsidR="00041CC8" w:rsidRPr="005454C8" w:rsidRDefault="00041CC8" w:rsidP="00A136A1">
            <w:pPr>
              <w:autoSpaceDE w:val="0"/>
              <w:autoSpaceDN w:val="0"/>
              <w:adjustRightInd w:val="0"/>
              <w:rPr>
                <w:rFonts w:eastAsia="Calibri"/>
              </w:rPr>
            </w:pPr>
            <w:r w:rsidRPr="005454C8">
              <w:rPr>
                <w:rFonts w:eastAsia="Calibri"/>
              </w:rPr>
              <w:t>Noretisterono AUC</w:t>
            </w:r>
            <w:r w:rsidRPr="005454C8">
              <w:rPr>
                <w:vertAlign w:val="subscript"/>
              </w:rPr>
              <w:t>τ</w:t>
            </w:r>
            <w:r w:rsidRPr="005454C8">
              <w:rPr>
                <w:rFonts w:eastAsia="Calibri"/>
              </w:rPr>
              <w:t xml:space="preserve"> </w:t>
            </w:r>
            <w:r w:rsidRPr="005454C8">
              <w:t>↑</w:t>
            </w:r>
            <w:r w:rsidRPr="005454C8">
              <w:rPr>
                <w:rFonts w:eastAsia="Calibri"/>
              </w:rPr>
              <w:t xml:space="preserve"> 53 %</w:t>
            </w:r>
          </w:p>
          <w:p w14:paraId="59F428BF" w14:textId="77777777" w:rsidR="00041CC8" w:rsidRPr="005454C8" w:rsidRDefault="00041CC8" w:rsidP="00A136A1">
            <w:pPr>
              <w:autoSpaceDE w:val="0"/>
              <w:autoSpaceDN w:val="0"/>
              <w:adjustRightInd w:val="0"/>
              <w:rPr>
                <w:rFonts w:eastAsia="Calibri"/>
              </w:rPr>
            </w:pPr>
            <w:r w:rsidRPr="005454C8">
              <w:rPr>
                <w:rFonts w:eastAsia="Calibri"/>
              </w:rPr>
              <w:lastRenderedPageBreak/>
              <w:t>Vorikonazolo C</w:t>
            </w:r>
            <w:r w:rsidRPr="005454C8">
              <w:rPr>
                <w:rFonts w:eastAsia="Calibri"/>
                <w:vertAlign w:val="subscript"/>
              </w:rPr>
              <w:t xml:space="preserve">max </w:t>
            </w:r>
            <w:r w:rsidRPr="005454C8">
              <w:rPr>
                <w:rFonts w:eastAsia="Calibri"/>
              </w:rPr>
              <w:t xml:space="preserve"> </w:t>
            </w:r>
            <w:r w:rsidRPr="005454C8">
              <w:t>↑</w:t>
            </w:r>
            <w:r w:rsidRPr="005454C8">
              <w:rPr>
                <w:rFonts w:eastAsia="Calibri"/>
              </w:rPr>
              <w:t>14 %</w:t>
            </w:r>
          </w:p>
          <w:p w14:paraId="06CC19BB"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r w:rsidRPr="005454C8">
              <w:t>↑</w:t>
            </w:r>
            <w:r w:rsidRPr="005454C8">
              <w:rPr>
                <w:rFonts w:eastAsia="Calibri"/>
              </w:rPr>
              <w:t xml:space="preserve"> 46 %</w:t>
            </w:r>
          </w:p>
        </w:tc>
        <w:tc>
          <w:tcPr>
            <w:tcW w:w="1404" w:type="pct"/>
          </w:tcPr>
          <w:p w14:paraId="5F03D573" w14:textId="77777777" w:rsidR="00041CC8" w:rsidRPr="005454C8" w:rsidRDefault="00041CC8" w:rsidP="00A136A1">
            <w:pPr>
              <w:autoSpaceDE w:val="0"/>
              <w:autoSpaceDN w:val="0"/>
              <w:adjustRightInd w:val="0"/>
              <w:rPr>
                <w:rFonts w:eastAsia="Calibri"/>
              </w:rPr>
            </w:pPr>
            <w:r w:rsidRPr="005454C8">
              <w:rPr>
                <w:rFonts w:eastAsia="Calibri"/>
              </w:rPr>
              <w:lastRenderedPageBreak/>
              <w:t xml:space="preserve">Rekomenduojama stebėti, ar nepasireiškia su geriamųjų kontraceptikų vartojimu susijusios </w:t>
            </w:r>
            <w:r w:rsidRPr="005454C8">
              <w:rPr>
                <w:rFonts w:eastAsia="Calibri"/>
              </w:rPr>
              <w:lastRenderedPageBreak/>
              <w:t>nepageidaujamos reakcijos kartu su tomis,</w:t>
            </w:r>
            <w:r w:rsidRPr="005454C8" w:rsidDel="008B3974">
              <w:rPr>
                <w:rFonts w:eastAsia="Calibri"/>
              </w:rPr>
              <w:t xml:space="preserve"> </w:t>
            </w:r>
            <w:r w:rsidRPr="005454C8">
              <w:rPr>
                <w:rFonts w:eastAsia="Calibri"/>
              </w:rPr>
              <w:t>kurios būdingos vorikonazolui.</w:t>
            </w:r>
          </w:p>
        </w:tc>
      </w:tr>
      <w:tr w:rsidR="00041CC8" w:rsidRPr="009A1B7F" w14:paraId="793C18E9" w14:textId="77777777" w:rsidTr="00A136A1">
        <w:trPr>
          <w:trHeight w:val="651"/>
        </w:trPr>
        <w:tc>
          <w:tcPr>
            <w:tcW w:w="1661" w:type="pct"/>
          </w:tcPr>
          <w:p w14:paraId="4A67040A" w14:textId="77777777" w:rsidR="00041CC8" w:rsidRPr="005454C8" w:rsidRDefault="00041CC8" w:rsidP="00A136A1">
            <w:pPr>
              <w:autoSpaceDE w:val="0"/>
              <w:autoSpaceDN w:val="0"/>
              <w:adjustRightInd w:val="0"/>
              <w:rPr>
                <w:rFonts w:eastAsia="TimesNewRoman,Italic"/>
                <w:i/>
              </w:rPr>
            </w:pPr>
            <w:r w:rsidRPr="005454C8">
              <w:rPr>
                <w:rFonts w:eastAsia="Calibri"/>
              </w:rPr>
              <w:lastRenderedPageBreak/>
              <w:t xml:space="preserve">Trumpai veikiantys opioidai </w:t>
            </w:r>
            <w:r w:rsidRPr="005454C8">
              <w:rPr>
                <w:rFonts w:eastAsia="TimesNewRoman,Italic"/>
                <w:i/>
              </w:rPr>
              <w:t xml:space="preserve">[CYP3A4 substratai]  </w:t>
            </w:r>
          </w:p>
          <w:p w14:paraId="6D12BEB5" w14:textId="77777777" w:rsidR="00041CC8" w:rsidRPr="005454C8" w:rsidRDefault="00041CC8" w:rsidP="00A136A1">
            <w:pPr>
              <w:autoSpaceDE w:val="0"/>
              <w:autoSpaceDN w:val="0"/>
              <w:adjustRightInd w:val="0"/>
              <w:rPr>
                <w:rFonts w:eastAsia="TimesNewRoman,Italic"/>
                <w:i/>
              </w:rPr>
            </w:pPr>
          </w:p>
          <w:p w14:paraId="032B261C" w14:textId="77777777" w:rsidR="00041CC8" w:rsidRPr="005454C8" w:rsidRDefault="00041CC8" w:rsidP="00A136A1">
            <w:pPr>
              <w:autoSpaceDE w:val="0"/>
              <w:autoSpaceDN w:val="0"/>
              <w:adjustRightInd w:val="0"/>
              <w:rPr>
                <w:rFonts w:eastAsia="Calibri"/>
              </w:rPr>
            </w:pPr>
            <w:r w:rsidRPr="005454C8">
              <w:rPr>
                <w:rFonts w:eastAsia="Calibri"/>
              </w:rPr>
              <w:t>Alfentanilis (vienkartinė 20 μg/kg dozė, kartu vartojant naloksoną)</w:t>
            </w:r>
          </w:p>
          <w:p w14:paraId="2961B97E" w14:textId="77777777" w:rsidR="00041CC8" w:rsidRPr="005454C8" w:rsidRDefault="00041CC8" w:rsidP="00A136A1">
            <w:pPr>
              <w:autoSpaceDE w:val="0"/>
              <w:autoSpaceDN w:val="0"/>
              <w:adjustRightInd w:val="0"/>
              <w:rPr>
                <w:rFonts w:eastAsia="Calibri"/>
              </w:rPr>
            </w:pPr>
          </w:p>
          <w:p w14:paraId="2515EEE5" w14:textId="77777777" w:rsidR="00041CC8" w:rsidRPr="005454C8" w:rsidRDefault="00041CC8" w:rsidP="00A136A1">
            <w:pPr>
              <w:autoSpaceDE w:val="0"/>
              <w:autoSpaceDN w:val="0"/>
              <w:adjustRightInd w:val="0"/>
              <w:rPr>
                <w:rFonts w:eastAsia="Calibri"/>
              </w:rPr>
            </w:pPr>
            <w:r w:rsidRPr="005454C8">
              <w:rPr>
                <w:rFonts w:eastAsia="Calibri"/>
              </w:rPr>
              <w:t>Fentanilis (vienkartinė 5 μg/kg</w:t>
            </w:r>
          </w:p>
          <w:p w14:paraId="557A82AF" w14:textId="77777777" w:rsidR="00041CC8" w:rsidRPr="005454C8" w:rsidRDefault="00041CC8" w:rsidP="00A136A1">
            <w:pPr>
              <w:autoSpaceDE w:val="0"/>
              <w:autoSpaceDN w:val="0"/>
              <w:adjustRightInd w:val="0"/>
              <w:rPr>
                <w:rFonts w:eastAsia="Calibri"/>
              </w:rPr>
            </w:pPr>
            <w:r w:rsidRPr="005454C8">
              <w:rPr>
                <w:rFonts w:eastAsia="Calibri"/>
              </w:rPr>
              <w:t>dozė)</w:t>
            </w:r>
          </w:p>
        </w:tc>
        <w:tc>
          <w:tcPr>
            <w:tcW w:w="1935" w:type="pct"/>
          </w:tcPr>
          <w:p w14:paraId="57F455F4" w14:textId="77777777" w:rsidR="00041CC8" w:rsidRPr="005454C8" w:rsidRDefault="00041CC8" w:rsidP="00A136A1">
            <w:pPr>
              <w:autoSpaceDE w:val="0"/>
              <w:autoSpaceDN w:val="0"/>
              <w:adjustRightInd w:val="0"/>
              <w:rPr>
                <w:rFonts w:eastAsia="Calibri"/>
              </w:rPr>
            </w:pPr>
          </w:p>
          <w:p w14:paraId="53925E70" w14:textId="77777777" w:rsidR="00041CC8" w:rsidRPr="005454C8" w:rsidRDefault="00041CC8" w:rsidP="00A136A1">
            <w:pPr>
              <w:autoSpaceDE w:val="0"/>
              <w:autoSpaceDN w:val="0"/>
              <w:adjustRightInd w:val="0"/>
              <w:rPr>
                <w:rFonts w:eastAsia="Calibri"/>
              </w:rPr>
            </w:pPr>
          </w:p>
          <w:p w14:paraId="313DBEA3" w14:textId="77777777" w:rsidR="00041CC8" w:rsidRPr="005454C8" w:rsidRDefault="00041CC8" w:rsidP="00A136A1">
            <w:pPr>
              <w:autoSpaceDE w:val="0"/>
              <w:autoSpaceDN w:val="0"/>
              <w:adjustRightInd w:val="0"/>
              <w:rPr>
                <w:rFonts w:eastAsia="Calibri"/>
              </w:rPr>
            </w:pPr>
          </w:p>
          <w:p w14:paraId="28C745CA" w14:textId="77777777" w:rsidR="00041CC8" w:rsidRPr="005454C8" w:rsidRDefault="00041CC8" w:rsidP="00A136A1">
            <w:pPr>
              <w:autoSpaceDE w:val="0"/>
              <w:autoSpaceDN w:val="0"/>
              <w:adjustRightInd w:val="0"/>
              <w:rPr>
                <w:rFonts w:eastAsia="Calibri"/>
              </w:rPr>
            </w:pPr>
            <w:r w:rsidRPr="005454C8">
              <w:rPr>
                <w:rFonts w:eastAsia="Calibri"/>
              </w:rPr>
              <w:t>Paskelbto nepriklausomo tyrimo duomenimis,</w:t>
            </w:r>
            <w:r w:rsidRPr="005454C8" w:rsidDel="004A358B">
              <w:rPr>
                <w:rFonts w:eastAsia="Calibri"/>
              </w:rPr>
              <w:t xml:space="preserve"> </w:t>
            </w:r>
            <w:r w:rsidRPr="005454C8">
              <w:rPr>
                <w:rFonts w:eastAsia="Calibri"/>
              </w:rPr>
              <w:t>alfentanilio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 xml:space="preserve"> 6 kartus </w:t>
            </w:r>
          </w:p>
          <w:p w14:paraId="7FCD104C" w14:textId="77777777" w:rsidR="00041CC8" w:rsidRPr="005454C8" w:rsidRDefault="00041CC8" w:rsidP="00A136A1">
            <w:pPr>
              <w:autoSpaceDE w:val="0"/>
              <w:autoSpaceDN w:val="0"/>
              <w:adjustRightInd w:val="0"/>
              <w:rPr>
                <w:rFonts w:eastAsia="Calibri"/>
              </w:rPr>
            </w:pPr>
          </w:p>
          <w:p w14:paraId="78F74378" w14:textId="77777777" w:rsidR="00041CC8" w:rsidRPr="005454C8" w:rsidRDefault="00041CC8" w:rsidP="00A136A1">
            <w:pPr>
              <w:autoSpaceDE w:val="0"/>
              <w:autoSpaceDN w:val="0"/>
              <w:adjustRightInd w:val="0"/>
              <w:rPr>
                <w:rFonts w:eastAsia="Calibri"/>
              </w:rPr>
            </w:pPr>
            <w:r w:rsidRPr="005454C8">
              <w:rPr>
                <w:rFonts w:eastAsia="Calibri"/>
              </w:rPr>
              <w:t>Paskelbto nepriklausomo tyrimo duomenimis,</w:t>
            </w:r>
            <w:r w:rsidRPr="005454C8" w:rsidDel="004A358B">
              <w:rPr>
                <w:rFonts w:eastAsia="Calibri"/>
              </w:rPr>
              <w:t xml:space="preserve"> </w:t>
            </w:r>
            <w:r w:rsidRPr="005454C8">
              <w:rPr>
                <w:rFonts w:eastAsia="Calibri"/>
              </w:rPr>
              <w:t>fentanilio AUC</w:t>
            </w:r>
            <w:r w:rsidRPr="005454C8">
              <w:rPr>
                <w:vertAlign w:val="subscript"/>
              </w:rPr>
              <w:t>0−∞</w:t>
            </w:r>
            <w:r w:rsidRPr="005454C8">
              <w:t xml:space="preserve"> </w:t>
            </w:r>
            <w:r w:rsidRPr="005454C8">
              <w:rPr>
                <w:rFonts w:eastAsia="Calibri"/>
              </w:rPr>
              <w:t xml:space="preserve"> </w:t>
            </w:r>
            <w:r w:rsidRPr="005454C8">
              <w:t>↑</w:t>
            </w:r>
            <w:r w:rsidRPr="005454C8">
              <w:rPr>
                <w:rFonts w:eastAsia="Calibri"/>
              </w:rPr>
              <w:t xml:space="preserve"> 1,34 karto</w:t>
            </w:r>
          </w:p>
        </w:tc>
        <w:tc>
          <w:tcPr>
            <w:tcW w:w="1404" w:type="pct"/>
          </w:tcPr>
          <w:p w14:paraId="10D93E6A" w14:textId="4B2786C4" w:rsidR="00041CC8" w:rsidRPr="005454C8" w:rsidRDefault="00041CC8" w:rsidP="00303EB9">
            <w:pPr>
              <w:autoSpaceDE w:val="0"/>
              <w:autoSpaceDN w:val="0"/>
              <w:adjustRightInd w:val="0"/>
              <w:rPr>
                <w:rFonts w:eastAsia="Calibri"/>
              </w:rPr>
            </w:pPr>
            <w:r w:rsidRPr="005454C8">
              <w:rPr>
                <w:rFonts w:eastAsia="Calibri"/>
              </w:rPr>
              <w:t>Reikia apsvarstyti alfentanilio,</w:t>
            </w:r>
            <w:r w:rsidRPr="005454C8" w:rsidDel="004A358B">
              <w:rPr>
                <w:rFonts w:eastAsia="Calibri"/>
              </w:rPr>
              <w:t xml:space="preserve"> </w:t>
            </w:r>
            <w:r w:rsidRPr="005454C8">
              <w:rPr>
                <w:rFonts w:eastAsia="Calibri"/>
              </w:rPr>
              <w:t>fentanilio ir kitų savo struktūra į alfentanilį panašių trumpai veikiančių opioidų, kurių metabolizmą veikia CYP3A4 (sufentanilio), dozės mažinimo galimybę.</w:t>
            </w:r>
            <w:r w:rsidR="00303EB9">
              <w:rPr>
                <w:rFonts w:eastAsia="Calibri"/>
              </w:rPr>
              <w:t xml:space="preserve"> </w:t>
            </w:r>
            <w:r w:rsidRPr="005454C8">
              <w:rPr>
                <w:rFonts w:eastAsia="Calibri"/>
              </w:rPr>
              <w:t>Rekomenduojama intensyviai ir dažnai stebėti, ar nepasireiškia kvėpavimo slopinimas ir kiti su opioidų vartojimu susiję nepageidaujami reiškiniai.</w:t>
            </w:r>
          </w:p>
        </w:tc>
      </w:tr>
      <w:tr w:rsidR="00041CC8" w:rsidRPr="009A1B7F" w14:paraId="45AD7732" w14:textId="77777777" w:rsidTr="00A136A1">
        <w:trPr>
          <w:trHeight w:val="651"/>
        </w:trPr>
        <w:tc>
          <w:tcPr>
            <w:tcW w:w="1661" w:type="pct"/>
          </w:tcPr>
          <w:p w14:paraId="11948986" w14:textId="77777777" w:rsidR="00041CC8" w:rsidRPr="005454C8" w:rsidRDefault="00041CC8" w:rsidP="00A136A1">
            <w:pPr>
              <w:autoSpaceDE w:val="0"/>
              <w:autoSpaceDN w:val="0"/>
              <w:adjustRightInd w:val="0"/>
              <w:rPr>
                <w:rFonts w:eastAsia="Calibri"/>
              </w:rPr>
            </w:pPr>
            <w:r w:rsidRPr="005454C8">
              <w:rPr>
                <w:rFonts w:eastAsia="Calibri"/>
              </w:rPr>
              <w:t xml:space="preserve">Statinai (pvz., lovastatinas) </w:t>
            </w:r>
            <w:r w:rsidRPr="005454C8">
              <w:rPr>
                <w:rFonts w:eastAsia="TimesNewRoman,Italic"/>
                <w:i/>
              </w:rPr>
              <w:t>[CYP3A4 substratai]</w:t>
            </w:r>
          </w:p>
        </w:tc>
        <w:tc>
          <w:tcPr>
            <w:tcW w:w="1935" w:type="pct"/>
          </w:tcPr>
          <w:p w14:paraId="0A6C9C4B" w14:textId="77777777" w:rsidR="00041CC8" w:rsidRPr="005454C8" w:rsidRDefault="00041CC8" w:rsidP="00A136A1">
            <w:pPr>
              <w:autoSpaceDE w:val="0"/>
              <w:autoSpaceDN w:val="0"/>
              <w:adjustRightInd w:val="0"/>
              <w:rPr>
                <w:rFonts w:eastAsia="Calibri"/>
              </w:rPr>
            </w:pPr>
            <w:r w:rsidRPr="005454C8">
              <w:rPr>
                <w:rFonts w:eastAsia="Calibri"/>
              </w:rPr>
              <w:t>Nors tyrimų neatlikta,</w:t>
            </w:r>
            <w:r w:rsidRPr="005454C8" w:rsidDel="004A358B">
              <w:rPr>
                <w:rFonts w:eastAsia="Calibri"/>
              </w:rPr>
              <w:t xml:space="preserve"> </w:t>
            </w:r>
            <w:r w:rsidRPr="005454C8">
              <w:rPr>
                <w:rFonts w:eastAsia="Calibri"/>
              </w:rPr>
              <w:t xml:space="preserve">tikėtina, kad vorikonazolas didins statinų, kurių metabolizmą veikia CYP3A4, koncentracijas </w:t>
            </w:r>
            <w:r w:rsidRPr="009A1B7F">
              <w:rPr>
                <w:rFonts w:eastAsia="Calibri"/>
                <w:szCs w:val="22"/>
                <w:lang w:eastAsia="en-US"/>
              </w:rPr>
              <w:t xml:space="preserve">kraujo </w:t>
            </w:r>
            <w:r w:rsidRPr="005454C8">
              <w:rPr>
                <w:rFonts w:eastAsia="Calibri"/>
              </w:rPr>
              <w:t>plazmoje ir dėl to gali pasireikšti rabdomiolizė.</w:t>
            </w:r>
          </w:p>
        </w:tc>
        <w:tc>
          <w:tcPr>
            <w:tcW w:w="1404" w:type="pct"/>
          </w:tcPr>
          <w:p w14:paraId="03B4AF15" w14:textId="77777777" w:rsidR="00041CC8" w:rsidRPr="005454C8" w:rsidRDefault="00041CC8" w:rsidP="00A136A1">
            <w:pPr>
              <w:autoSpaceDE w:val="0"/>
              <w:autoSpaceDN w:val="0"/>
              <w:adjustRightInd w:val="0"/>
              <w:rPr>
                <w:rFonts w:eastAsia="Calibri"/>
              </w:rPr>
            </w:pPr>
            <w:bookmarkStart w:id="18" w:name="_Hlk87626161"/>
            <w:r w:rsidRPr="00CA689D">
              <w:rPr>
                <w:rFonts w:eastAsia="Calibri"/>
              </w:rPr>
              <w:t>Jeigu negalima išvengti</w:t>
            </w:r>
            <w:r>
              <w:rPr>
                <w:rFonts w:eastAsia="Calibri"/>
              </w:rPr>
              <w:t xml:space="preserve"> </w:t>
            </w:r>
            <w:r w:rsidRPr="00CA689D">
              <w:rPr>
                <w:rFonts w:eastAsia="Calibri"/>
              </w:rPr>
              <w:t>vorikonazolo skyrimo</w:t>
            </w:r>
            <w:r>
              <w:rPr>
                <w:rFonts w:eastAsia="Calibri"/>
              </w:rPr>
              <w:t xml:space="preserve"> </w:t>
            </w:r>
            <w:r w:rsidRPr="00CA689D">
              <w:rPr>
                <w:rFonts w:eastAsia="Calibri"/>
              </w:rPr>
              <w:t>kartu su</w:t>
            </w:r>
            <w:r>
              <w:rPr>
                <w:rFonts w:eastAsia="Calibri"/>
              </w:rPr>
              <w:t xml:space="preserve"> </w:t>
            </w:r>
            <w:r w:rsidRPr="00CA689D">
              <w:rPr>
                <w:rFonts w:eastAsia="Calibri"/>
              </w:rPr>
              <w:t>statinais,</w:t>
            </w:r>
            <w:r>
              <w:rPr>
                <w:rFonts w:eastAsia="Calibri"/>
              </w:rPr>
              <w:t xml:space="preserve"> </w:t>
            </w:r>
            <w:r w:rsidRPr="00CA689D">
              <w:rPr>
                <w:rFonts w:eastAsia="Calibri"/>
              </w:rPr>
              <w:t>metabolizuojamais</w:t>
            </w:r>
            <w:r>
              <w:rPr>
                <w:rFonts w:eastAsia="Calibri"/>
              </w:rPr>
              <w:t xml:space="preserve"> </w:t>
            </w:r>
            <w:r w:rsidRPr="00CA689D">
              <w:rPr>
                <w:rFonts w:eastAsia="Calibri"/>
              </w:rPr>
              <w:t>CYP3A4, reikia apsvarstyti</w:t>
            </w:r>
            <w:r>
              <w:rPr>
                <w:rFonts w:eastAsia="Calibri"/>
              </w:rPr>
              <w:t xml:space="preserve"> </w:t>
            </w:r>
            <w:r w:rsidRPr="00CA689D">
              <w:rPr>
                <w:rFonts w:eastAsia="Calibri"/>
              </w:rPr>
              <w:t>statino dozės mažinimo</w:t>
            </w:r>
            <w:r>
              <w:rPr>
                <w:rFonts w:eastAsia="Calibri"/>
              </w:rPr>
              <w:t xml:space="preserve"> </w:t>
            </w:r>
            <w:r w:rsidRPr="00CA689D">
              <w:rPr>
                <w:rFonts w:eastAsia="Calibri"/>
              </w:rPr>
              <w:t>galimybę</w:t>
            </w:r>
            <w:bookmarkEnd w:id="18"/>
            <w:r w:rsidRPr="00CA689D">
              <w:rPr>
                <w:rFonts w:eastAsia="Calibri"/>
              </w:rPr>
              <w:t>.</w:t>
            </w:r>
          </w:p>
        </w:tc>
      </w:tr>
      <w:tr w:rsidR="00041CC8" w:rsidRPr="009A1B7F" w14:paraId="3744F05A" w14:textId="77777777" w:rsidTr="00A136A1">
        <w:trPr>
          <w:trHeight w:val="651"/>
        </w:trPr>
        <w:tc>
          <w:tcPr>
            <w:tcW w:w="1661" w:type="pct"/>
          </w:tcPr>
          <w:p w14:paraId="2AC28658" w14:textId="4669E432" w:rsidR="00041CC8" w:rsidRPr="005454C8" w:rsidRDefault="00041CC8" w:rsidP="00A136A1">
            <w:pPr>
              <w:autoSpaceDE w:val="0"/>
              <w:autoSpaceDN w:val="0"/>
              <w:adjustRightInd w:val="0"/>
              <w:rPr>
                <w:rFonts w:eastAsia="Calibri"/>
              </w:rPr>
            </w:pPr>
            <w:r w:rsidRPr="005454C8">
              <w:rPr>
                <w:rFonts w:eastAsia="Calibri"/>
              </w:rPr>
              <w:t>Sulfonilkarbamido dariniai (</w:t>
            </w:r>
            <w:r w:rsidR="00303EB9" w:rsidRPr="00303EB9">
              <w:rPr>
                <w:rFonts w:eastAsia="Calibri"/>
              </w:rPr>
              <w:t>įskaitant šiuos, bet jais neapsiribojant:</w:t>
            </w:r>
            <w:r w:rsidRPr="005454C8">
              <w:rPr>
                <w:rFonts w:eastAsia="Calibri"/>
              </w:rPr>
              <w:t xml:space="preserve"> tolbutamidas, glipizidas,</w:t>
            </w:r>
            <w:r w:rsidRPr="005454C8" w:rsidDel="004A358B">
              <w:rPr>
                <w:rFonts w:eastAsia="Calibri"/>
              </w:rPr>
              <w:t xml:space="preserve"> </w:t>
            </w:r>
            <w:r w:rsidRPr="005454C8">
              <w:rPr>
                <w:rFonts w:eastAsia="Calibri"/>
              </w:rPr>
              <w:t xml:space="preserve">gliburidas) </w:t>
            </w:r>
            <w:r w:rsidRPr="005454C8">
              <w:rPr>
                <w:rFonts w:eastAsia="TimesNewRoman,Italic"/>
                <w:i/>
              </w:rPr>
              <w:t>[CYP2C9 substratai]</w:t>
            </w:r>
          </w:p>
        </w:tc>
        <w:tc>
          <w:tcPr>
            <w:tcW w:w="1935" w:type="pct"/>
          </w:tcPr>
          <w:p w14:paraId="03A894E5" w14:textId="77777777" w:rsidR="00041CC8" w:rsidRPr="005454C8" w:rsidRDefault="00041CC8" w:rsidP="00A136A1">
            <w:pPr>
              <w:autoSpaceDE w:val="0"/>
              <w:autoSpaceDN w:val="0"/>
              <w:adjustRightInd w:val="0"/>
              <w:rPr>
                <w:rFonts w:eastAsia="Calibri"/>
              </w:rPr>
            </w:pPr>
            <w:r w:rsidRPr="005454C8">
              <w:rPr>
                <w:rFonts w:eastAsia="Calibri"/>
              </w:rPr>
              <w:t xml:space="preserve">Nors tyrimų neatlikta, tikėtina, kad vorikonazolas didins sulfonilkarbamido darinių koncentracijas </w:t>
            </w:r>
            <w:r w:rsidRPr="009A1B7F">
              <w:rPr>
                <w:rFonts w:eastAsia="Calibri"/>
                <w:szCs w:val="22"/>
                <w:lang w:eastAsia="en-US"/>
              </w:rPr>
              <w:t xml:space="preserve">kraujo </w:t>
            </w:r>
            <w:r w:rsidRPr="005454C8">
              <w:rPr>
                <w:rFonts w:eastAsia="Calibri"/>
              </w:rPr>
              <w:t>plazmoje ir dėl to gali pasireikšti hipoglikemija.</w:t>
            </w:r>
          </w:p>
        </w:tc>
        <w:tc>
          <w:tcPr>
            <w:tcW w:w="1404" w:type="pct"/>
          </w:tcPr>
          <w:p w14:paraId="7564CE22" w14:textId="77777777" w:rsidR="00041CC8" w:rsidRPr="005454C8" w:rsidRDefault="00041CC8" w:rsidP="00A136A1">
            <w:pPr>
              <w:autoSpaceDE w:val="0"/>
              <w:autoSpaceDN w:val="0"/>
              <w:adjustRightInd w:val="0"/>
              <w:rPr>
                <w:rFonts w:eastAsia="Calibri"/>
              </w:rPr>
            </w:pPr>
            <w:r w:rsidRPr="005454C8">
              <w:rPr>
                <w:rFonts w:eastAsia="Calibri"/>
              </w:rPr>
              <w:t>Rekomenduojama atidžiai stebėti gliukozės koncentraciją kraujyje. Reikia apgalvotai sumažinti sulfonilkarbamido darinių dozę.</w:t>
            </w:r>
          </w:p>
        </w:tc>
      </w:tr>
      <w:tr w:rsidR="00041CC8" w:rsidRPr="009A1B7F" w14:paraId="06BC736E" w14:textId="77777777" w:rsidTr="00A136A1">
        <w:trPr>
          <w:trHeight w:val="651"/>
        </w:trPr>
        <w:tc>
          <w:tcPr>
            <w:tcW w:w="1661" w:type="pct"/>
          </w:tcPr>
          <w:p w14:paraId="2B57C723" w14:textId="67642795" w:rsidR="00303EB9" w:rsidRDefault="00041CC8" w:rsidP="00A136A1">
            <w:pPr>
              <w:autoSpaceDE w:val="0"/>
              <w:autoSpaceDN w:val="0"/>
              <w:adjustRightInd w:val="0"/>
              <w:rPr>
                <w:rFonts w:eastAsia="Calibri"/>
              </w:rPr>
            </w:pPr>
            <w:r w:rsidRPr="005454C8">
              <w:rPr>
                <w:rFonts w:eastAsia="Calibri"/>
              </w:rPr>
              <w:t>Žiemės (</w:t>
            </w:r>
            <w:r w:rsidRPr="005454C8">
              <w:rPr>
                <w:rFonts w:eastAsia="TimesNewRoman,Italic"/>
                <w:i/>
              </w:rPr>
              <w:t>vinca</w:t>
            </w:r>
            <w:r w:rsidRPr="005454C8">
              <w:rPr>
                <w:rFonts w:eastAsia="Calibri"/>
              </w:rPr>
              <w:t>) alkaloidai (</w:t>
            </w:r>
            <w:r w:rsidR="00303EB9" w:rsidRPr="00303EB9">
              <w:rPr>
                <w:rFonts w:eastAsia="Calibri"/>
              </w:rPr>
              <w:t>įskaitant šiuos, bet jais neapsiribojant:</w:t>
            </w:r>
            <w:r w:rsidRPr="005454C8" w:rsidDel="004A358B">
              <w:rPr>
                <w:rFonts w:eastAsia="Calibri"/>
              </w:rPr>
              <w:t xml:space="preserve"> </w:t>
            </w:r>
            <w:r w:rsidRPr="005454C8">
              <w:rPr>
                <w:rFonts w:eastAsia="Calibri"/>
              </w:rPr>
              <w:t>vinkristinas ir vinblastinas)</w:t>
            </w:r>
          </w:p>
          <w:p w14:paraId="6AC58C3A" w14:textId="084F5BAB" w:rsidR="00041CC8" w:rsidRPr="005454C8" w:rsidRDefault="00041CC8" w:rsidP="00A136A1">
            <w:pPr>
              <w:autoSpaceDE w:val="0"/>
              <w:autoSpaceDN w:val="0"/>
              <w:adjustRightInd w:val="0"/>
              <w:rPr>
                <w:rFonts w:eastAsia="Calibri"/>
              </w:rPr>
            </w:pPr>
            <w:r w:rsidRPr="005454C8">
              <w:rPr>
                <w:rFonts w:eastAsia="TimesNewRoman,Italic"/>
                <w:i/>
              </w:rPr>
              <w:t>[CYP3A4 substratai]</w:t>
            </w:r>
          </w:p>
        </w:tc>
        <w:tc>
          <w:tcPr>
            <w:tcW w:w="1935" w:type="pct"/>
          </w:tcPr>
          <w:p w14:paraId="37A17D9D" w14:textId="77777777" w:rsidR="00041CC8" w:rsidRPr="005454C8" w:rsidRDefault="00041CC8" w:rsidP="00A136A1">
            <w:pPr>
              <w:autoSpaceDE w:val="0"/>
              <w:autoSpaceDN w:val="0"/>
              <w:adjustRightInd w:val="0"/>
              <w:rPr>
                <w:rFonts w:eastAsia="Calibri"/>
              </w:rPr>
            </w:pPr>
            <w:r w:rsidRPr="005454C8">
              <w:rPr>
                <w:rFonts w:eastAsia="Calibri"/>
              </w:rPr>
              <w:t xml:space="preserve">Nors tyrimų neatlikta, tikėtina, kad vorikonazolas didins žiemės alkaloidų koncentracijas </w:t>
            </w:r>
            <w:r w:rsidRPr="009A1B7F">
              <w:rPr>
                <w:rFonts w:eastAsia="Calibri"/>
                <w:szCs w:val="22"/>
                <w:lang w:eastAsia="en-US"/>
              </w:rPr>
              <w:t xml:space="preserve">kraujo </w:t>
            </w:r>
            <w:r w:rsidRPr="005454C8">
              <w:rPr>
                <w:rFonts w:eastAsia="Calibri"/>
              </w:rPr>
              <w:t>plazmoje ir dėl to gali pasireikšti neurotoksinis poveikis.</w:t>
            </w:r>
          </w:p>
        </w:tc>
        <w:tc>
          <w:tcPr>
            <w:tcW w:w="1404" w:type="pct"/>
          </w:tcPr>
          <w:p w14:paraId="495CC348" w14:textId="77777777" w:rsidR="00041CC8" w:rsidRPr="005454C8" w:rsidRDefault="00041CC8" w:rsidP="00A136A1">
            <w:pPr>
              <w:autoSpaceDE w:val="0"/>
              <w:autoSpaceDN w:val="0"/>
              <w:adjustRightInd w:val="0"/>
              <w:rPr>
                <w:rFonts w:eastAsia="Calibri"/>
              </w:rPr>
            </w:pPr>
            <w:r w:rsidRPr="005454C8">
              <w:rPr>
                <w:rFonts w:eastAsia="Calibri"/>
              </w:rPr>
              <w:t>Reikia apsvarstyti žiemės alkaloidų dozės mažinimo galimybę.</w:t>
            </w:r>
          </w:p>
        </w:tc>
      </w:tr>
      <w:tr w:rsidR="00041CC8" w:rsidRPr="009A1B7F" w14:paraId="1F9C599D" w14:textId="77777777" w:rsidTr="00A136A1">
        <w:trPr>
          <w:trHeight w:val="651"/>
        </w:trPr>
        <w:tc>
          <w:tcPr>
            <w:tcW w:w="1661" w:type="pct"/>
          </w:tcPr>
          <w:p w14:paraId="06A50760" w14:textId="677C6F1C" w:rsidR="00041CC8" w:rsidRPr="005454C8" w:rsidRDefault="00041CC8" w:rsidP="00A136A1">
            <w:pPr>
              <w:autoSpaceDE w:val="0"/>
              <w:autoSpaceDN w:val="0"/>
              <w:adjustRightInd w:val="0"/>
              <w:rPr>
                <w:rFonts w:eastAsia="Calibri"/>
              </w:rPr>
            </w:pPr>
            <w:r w:rsidRPr="005454C8">
              <w:rPr>
                <w:rFonts w:eastAsia="Calibri"/>
              </w:rPr>
              <w:t>Kiti ŽIV proteazės inhibitoriai (</w:t>
            </w:r>
            <w:r w:rsidR="00303EB9" w:rsidRPr="007C0BD6">
              <w:rPr>
                <w:rFonts w:eastAsia="Calibri"/>
              </w:rPr>
              <w:t>įskaitant šiuos, bet jais neapsiribojant:</w:t>
            </w:r>
            <w:r w:rsidRPr="005454C8">
              <w:rPr>
                <w:rFonts w:eastAsia="Calibri"/>
              </w:rPr>
              <w:t xml:space="preserve"> sakvinaviras,</w:t>
            </w:r>
            <w:r w:rsidRPr="005454C8" w:rsidDel="004A358B">
              <w:rPr>
                <w:rFonts w:eastAsia="Calibri"/>
              </w:rPr>
              <w:t xml:space="preserve"> </w:t>
            </w:r>
            <w:r w:rsidRPr="005454C8">
              <w:rPr>
                <w:rFonts w:eastAsia="Calibri"/>
              </w:rPr>
              <w:t>amprenaviras ir nelfinaviras)*</w:t>
            </w:r>
            <w:r w:rsidRPr="005454C8" w:rsidDel="004A358B">
              <w:rPr>
                <w:rFonts w:eastAsia="Calibri"/>
              </w:rPr>
              <w:t xml:space="preserve"> </w:t>
            </w:r>
            <w:r w:rsidRPr="005454C8">
              <w:rPr>
                <w:rFonts w:eastAsia="TimesNewRoman,Italic"/>
                <w:i/>
              </w:rPr>
              <w:t>[CYP3A4 substratai ir inhibitoriai]</w:t>
            </w:r>
          </w:p>
        </w:tc>
        <w:tc>
          <w:tcPr>
            <w:tcW w:w="1935" w:type="pct"/>
          </w:tcPr>
          <w:p w14:paraId="04189B23" w14:textId="77777777" w:rsidR="00041CC8" w:rsidRPr="005454C8" w:rsidRDefault="00041CC8" w:rsidP="00A136A1">
            <w:pPr>
              <w:autoSpaceDE w:val="0"/>
              <w:autoSpaceDN w:val="0"/>
              <w:adjustRightInd w:val="0"/>
              <w:rPr>
                <w:rFonts w:eastAsia="Calibri"/>
              </w:rPr>
            </w:pPr>
            <w:r w:rsidRPr="005454C8">
              <w:rPr>
                <w:rFonts w:eastAsia="Calibri"/>
              </w:rPr>
              <w:t xml:space="preserve">Klinikinių tyrimų neatlikta. Tyrimai </w:t>
            </w:r>
            <w:r w:rsidRPr="005454C8">
              <w:rPr>
                <w:rFonts w:eastAsia="TimesNewRoman,Italic"/>
                <w:i/>
              </w:rPr>
              <w:t xml:space="preserve">in vitro </w:t>
            </w:r>
            <w:r w:rsidRPr="005454C8">
              <w:rPr>
                <w:rFonts w:eastAsia="Calibri"/>
              </w:rPr>
              <w:t>rodo, kad vorikonazolas gali slopinti ŽIV proteazės inhibitorių metabolizmą, o ŽIV proteazės inhibitoriai irgi gali slopinti vorikonazolo metabolizmą.</w:t>
            </w:r>
          </w:p>
        </w:tc>
        <w:tc>
          <w:tcPr>
            <w:tcW w:w="1404" w:type="pct"/>
          </w:tcPr>
          <w:p w14:paraId="3F04361A" w14:textId="77777777" w:rsidR="00041CC8" w:rsidRPr="005454C8" w:rsidRDefault="00041CC8" w:rsidP="00A136A1">
            <w:pPr>
              <w:autoSpaceDE w:val="0"/>
              <w:autoSpaceDN w:val="0"/>
              <w:adjustRightInd w:val="0"/>
              <w:rPr>
                <w:rFonts w:eastAsia="Calibri"/>
              </w:rPr>
            </w:pPr>
            <w:r w:rsidRPr="005454C8">
              <w:rPr>
                <w:rFonts w:eastAsia="Calibri"/>
              </w:rPr>
              <w:t>Reikia atidžiai stebėti, ar nepasireiškia koks nors vaistinių preparatų sukeltas toksinis poveikis ir (arba) ar nemažėja veiksmingumas, ir gali prireikti keisti dozę.</w:t>
            </w:r>
          </w:p>
        </w:tc>
      </w:tr>
      <w:tr w:rsidR="00041CC8" w:rsidRPr="009A1B7F" w14:paraId="61D7ACCE" w14:textId="77777777" w:rsidTr="00A136A1">
        <w:trPr>
          <w:trHeight w:val="651"/>
        </w:trPr>
        <w:tc>
          <w:tcPr>
            <w:tcW w:w="1661" w:type="pct"/>
          </w:tcPr>
          <w:p w14:paraId="4C26B187" w14:textId="2BBF63A8" w:rsidR="00041CC8" w:rsidRPr="005454C8" w:rsidRDefault="00041CC8" w:rsidP="00A136A1">
            <w:pPr>
              <w:autoSpaceDE w:val="0"/>
              <w:autoSpaceDN w:val="0"/>
              <w:adjustRightInd w:val="0"/>
              <w:rPr>
                <w:rFonts w:eastAsia="Calibri"/>
              </w:rPr>
            </w:pPr>
            <w:r w:rsidRPr="005454C8">
              <w:rPr>
                <w:rFonts w:eastAsia="Calibri"/>
              </w:rPr>
              <w:t>Kiti nenukleozido atvirkštinės transkriptazės inhibitoriai (NNATI) (</w:t>
            </w:r>
            <w:r w:rsidR="00303EB9" w:rsidRPr="00303EB9">
              <w:rPr>
                <w:rFonts w:eastAsia="Calibri"/>
              </w:rPr>
              <w:t>įskaitant šiuos, bet jais neapsiribojant:</w:t>
            </w:r>
            <w:r w:rsidRPr="005454C8">
              <w:rPr>
                <w:rFonts w:eastAsia="Calibri"/>
              </w:rPr>
              <w:t xml:space="preserve"> delavirdinas,</w:t>
            </w:r>
            <w:r w:rsidRPr="005454C8" w:rsidDel="00EA0A6D">
              <w:rPr>
                <w:rFonts w:eastAsia="Calibri"/>
              </w:rPr>
              <w:t xml:space="preserve"> </w:t>
            </w:r>
            <w:r w:rsidRPr="005454C8">
              <w:rPr>
                <w:rFonts w:eastAsia="Calibri"/>
              </w:rPr>
              <w:t>nevirapinas)*</w:t>
            </w:r>
          </w:p>
          <w:p w14:paraId="03756B8D" w14:textId="77777777" w:rsidR="00041CC8" w:rsidRPr="005454C8" w:rsidRDefault="00041CC8" w:rsidP="00A136A1">
            <w:pPr>
              <w:autoSpaceDE w:val="0"/>
              <w:autoSpaceDN w:val="0"/>
              <w:adjustRightInd w:val="0"/>
              <w:rPr>
                <w:rFonts w:eastAsia="Calibri"/>
              </w:rPr>
            </w:pPr>
            <w:r w:rsidRPr="005454C8">
              <w:rPr>
                <w:rFonts w:eastAsia="TimesNewRoman,Italic"/>
                <w:i/>
              </w:rPr>
              <w:t>[CYP3A4 substratai,</w:t>
            </w:r>
            <w:r w:rsidRPr="005454C8" w:rsidDel="00EA0A6D">
              <w:rPr>
                <w:rFonts w:eastAsia="TimesNewRoman,Italic"/>
                <w:i/>
              </w:rPr>
              <w:t xml:space="preserve"> </w:t>
            </w:r>
            <w:r w:rsidRPr="005454C8">
              <w:rPr>
                <w:rFonts w:eastAsia="TimesNewRoman,Italic"/>
                <w:i/>
              </w:rPr>
              <w:t xml:space="preserve">inhibitoriai arba CYP450 </w:t>
            </w:r>
            <w:r w:rsidRPr="005454C8">
              <w:rPr>
                <w:rFonts w:eastAsia="TimesNewRoman,Italic"/>
                <w:i/>
              </w:rPr>
              <w:lastRenderedPageBreak/>
              <w:t>sužadinantys vaistiniai preparatai]</w:t>
            </w:r>
          </w:p>
        </w:tc>
        <w:tc>
          <w:tcPr>
            <w:tcW w:w="1935" w:type="pct"/>
          </w:tcPr>
          <w:p w14:paraId="4AABBC17" w14:textId="77777777" w:rsidR="00041CC8" w:rsidRPr="005454C8" w:rsidRDefault="00041CC8" w:rsidP="00A136A1">
            <w:pPr>
              <w:autoSpaceDE w:val="0"/>
              <w:autoSpaceDN w:val="0"/>
              <w:adjustRightInd w:val="0"/>
              <w:rPr>
                <w:rFonts w:eastAsia="Calibri"/>
              </w:rPr>
            </w:pPr>
            <w:r w:rsidRPr="005454C8">
              <w:rPr>
                <w:rFonts w:eastAsia="Calibri"/>
              </w:rPr>
              <w:lastRenderedPageBreak/>
              <w:t xml:space="preserve">Klinikinių tyrimų neatlikta. Tyrimai </w:t>
            </w:r>
            <w:r w:rsidRPr="005454C8">
              <w:rPr>
                <w:rFonts w:eastAsia="TimesNewRoman,Italic"/>
                <w:i/>
              </w:rPr>
              <w:t xml:space="preserve">in vitro </w:t>
            </w:r>
            <w:r w:rsidRPr="005454C8">
              <w:rPr>
                <w:rFonts w:eastAsia="Calibri"/>
              </w:rPr>
              <w:t>rodo, kad NNATI gali slopinti vorikonazolo metabolizmą,</w:t>
            </w:r>
            <w:r w:rsidRPr="005454C8" w:rsidDel="00EA0A6D">
              <w:rPr>
                <w:rFonts w:eastAsia="Calibri"/>
              </w:rPr>
              <w:t xml:space="preserve"> </w:t>
            </w:r>
            <w:r w:rsidRPr="005454C8">
              <w:rPr>
                <w:rFonts w:eastAsia="Calibri"/>
              </w:rPr>
              <w:t>o vorikonazolas gali slopinti NNATI metabolizmą.</w:t>
            </w:r>
          </w:p>
          <w:p w14:paraId="395B9D37" w14:textId="77777777" w:rsidR="00041CC8" w:rsidRPr="005454C8" w:rsidRDefault="00041CC8" w:rsidP="00A136A1">
            <w:pPr>
              <w:autoSpaceDE w:val="0"/>
              <w:autoSpaceDN w:val="0"/>
              <w:adjustRightInd w:val="0"/>
              <w:rPr>
                <w:rFonts w:eastAsia="Calibri"/>
              </w:rPr>
            </w:pPr>
            <w:r w:rsidRPr="005454C8">
              <w:rPr>
                <w:rFonts w:eastAsia="Calibri"/>
              </w:rPr>
              <w:lastRenderedPageBreak/>
              <w:t>Efavirenzo poveikio vorikonazolui duomenys rodo, kad NNATI gali sužadinti vorikonazolo metabolizmą.</w:t>
            </w:r>
          </w:p>
        </w:tc>
        <w:tc>
          <w:tcPr>
            <w:tcW w:w="1404" w:type="pct"/>
          </w:tcPr>
          <w:p w14:paraId="0AAB1F2D" w14:textId="77777777" w:rsidR="00041CC8" w:rsidRPr="005454C8" w:rsidRDefault="00041CC8" w:rsidP="00A136A1">
            <w:pPr>
              <w:autoSpaceDE w:val="0"/>
              <w:autoSpaceDN w:val="0"/>
              <w:adjustRightInd w:val="0"/>
              <w:rPr>
                <w:rFonts w:eastAsia="Calibri"/>
              </w:rPr>
            </w:pPr>
            <w:r w:rsidRPr="005454C8">
              <w:rPr>
                <w:rFonts w:eastAsia="Calibri"/>
              </w:rPr>
              <w:lastRenderedPageBreak/>
              <w:t>Reikia atidžiai stebėti, ar nepasireiškia koks nors vaistinių preparatų sukeltas toksinis poveikis ir (arba) ar nemažėja veiksmingumas, ir gali prireikti keisti dozę.</w:t>
            </w:r>
          </w:p>
        </w:tc>
      </w:tr>
      <w:tr w:rsidR="00041CC8" w:rsidRPr="009A1B7F" w14:paraId="1285595C" w14:textId="77777777" w:rsidTr="00A136A1">
        <w:trPr>
          <w:trHeight w:val="651"/>
        </w:trPr>
        <w:tc>
          <w:tcPr>
            <w:tcW w:w="1661" w:type="pct"/>
          </w:tcPr>
          <w:p w14:paraId="2A0D422A" w14:textId="77777777" w:rsidR="00041CC8" w:rsidRPr="00020954" w:rsidRDefault="00041CC8" w:rsidP="00A136A1">
            <w:pPr>
              <w:autoSpaceDE w:val="0"/>
              <w:autoSpaceDN w:val="0"/>
              <w:adjustRightInd w:val="0"/>
              <w:rPr>
                <w:rFonts w:eastAsia="Calibri"/>
              </w:rPr>
            </w:pPr>
            <w:bookmarkStart w:id="19" w:name="_Hlk87626152"/>
            <w:r w:rsidRPr="00020954">
              <w:rPr>
                <w:rFonts w:eastAsia="Calibri"/>
              </w:rPr>
              <w:t>Tretinoinas</w:t>
            </w:r>
          </w:p>
          <w:p w14:paraId="59B00B3D" w14:textId="77777777" w:rsidR="00041CC8" w:rsidRPr="00020954" w:rsidRDefault="00041CC8" w:rsidP="00A136A1">
            <w:pPr>
              <w:autoSpaceDE w:val="0"/>
              <w:autoSpaceDN w:val="0"/>
              <w:adjustRightInd w:val="0"/>
              <w:rPr>
                <w:rFonts w:eastAsia="Calibri"/>
                <w:i/>
                <w:iCs/>
              </w:rPr>
            </w:pPr>
            <w:r w:rsidRPr="00020954">
              <w:rPr>
                <w:rFonts w:eastAsia="Calibri"/>
                <w:i/>
                <w:iCs/>
              </w:rPr>
              <w:t>[CYP3A4 substratas]</w:t>
            </w:r>
          </w:p>
        </w:tc>
        <w:tc>
          <w:tcPr>
            <w:tcW w:w="1935" w:type="pct"/>
          </w:tcPr>
          <w:p w14:paraId="51AC1606" w14:textId="77777777" w:rsidR="00041CC8" w:rsidRPr="005454C8" w:rsidRDefault="00041CC8" w:rsidP="00A136A1">
            <w:pPr>
              <w:autoSpaceDE w:val="0"/>
              <w:autoSpaceDN w:val="0"/>
              <w:adjustRightInd w:val="0"/>
              <w:rPr>
                <w:rFonts w:eastAsia="Calibri"/>
              </w:rPr>
            </w:pPr>
            <w:r w:rsidRPr="00C84EBF">
              <w:rPr>
                <w:rFonts w:eastAsia="Calibri"/>
              </w:rPr>
              <w:t>Nors tyrimų neatlikta,</w:t>
            </w:r>
            <w:r>
              <w:rPr>
                <w:rFonts w:eastAsia="Calibri"/>
              </w:rPr>
              <w:t xml:space="preserve"> </w:t>
            </w:r>
            <w:r w:rsidRPr="00C84EBF">
              <w:rPr>
                <w:rFonts w:eastAsia="Calibri"/>
              </w:rPr>
              <w:t>vorikonazolas gali padidinti</w:t>
            </w:r>
            <w:r>
              <w:rPr>
                <w:rFonts w:eastAsia="Calibri"/>
              </w:rPr>
              <w:t xml:space="preserve"> </w:t>
            </w:r>
            <w:r w:rsidRPr="00C84EBF">
              <w:rPr>
                <w:rFonts w:eastAsia="Calibri"/>
              </w:rPr>
              <w:t>tretinoino</w:t>
            </w:r>
            <w:r>
              <w:rPr>
                <w:rFonts w:eastAsia="Calibri"/>
              </w:rPr>
              <w:t xml:space="preserve"> </w:t>
            </w:r>
            <w:r w:rsidRPr="00C84EBF">
              <w:rPr>
                <w:rFonts w:eastAsia="Calibri"/>
              </w:rPr>
              <w:t>koncentraciją ir</w:t>
            </w:r>
            <w:r>
              <w:rPr>
                <w:rFonts w:eastAsia="Calibri"/>
              </w:rPr>
              <w:t xml:space="preserve"> </w:t>
            </w:r>
            <w:r w:rsidRPr="00C84EBF">
              <w:rPr>
                <w:rFonts w:eastAsia="Calibri"/>
              </w:rPr>
              <w:t>nepageidaujamų</w:t>
            </w:r>
            <w:r>
              <w:rPr>
                <w:rFonts w:eastAsia="Calibri"/>
              </w:rPr>
              <w:t xml:space="preserve"> </w:t>
            </w:r>
            <w:r w:rsidRPr="00C84EBF">
              <w:rPr>
                <w:rFonts w:eastAsia="Calibri"/>
              </w:rPr>
              <w:t>reakcijų (smegenų</w:t>
            </w:r>
            <w:r>
              <w:rPr>
                <w:rFonts w:eastAsia="Calibri"/>
              </w:rPr>
              <w:t xml:space="preserve"> </w:t>
            </w:r>
            <w:r w:rsidRPr="00C84EBF">
              <w:rPr>
                <w:rFonts w:eastAsia="Calibri"/>
              </w:rPr>
              <w:t>pseudonavikų atsiradimo,</w:t>
            </w:r>
            <w:r>
              <w:rPr>
                <w:rFonts w:eastAsia="Calibri"/>
              </w:rPr>
              <w:t xml:space="preserve"> </w:t>
            </w:r>
            <w:r w:rsidRPr="00C84EBF">
              <w:rPr>
                <w:rFonts w:eastAsia="Calibri"/>
              </w:rPr>
              <w:t>hiperkalcemijos) riziką.</w:t>
            </w:r>
          </w:p>
        </w:tc>
        <w:tc>
          <w:tcPr>
            <w:tcW w:w="1404" w:type="pct"/>
          </w:tcPr>
          <w:p w14:paraId="51D5CF7A" w14:textId="77777777" w:rsidR="00041CC8" w:rsidRPr="005454C8" w:rsidRDefault="00041CC8" w:rsidP="00A136A1">
            <w:pPr>
              <w:autoSpaceDE w:val="0"/>
              <w:autoSpaceDN w:val="0"/>
              <w:adjustRightInd w:val="0"/>
              <w:rPr>
                <w:rFonts w:eastAsia="Calibri"/>
              </w:rPr>
            </w:pPr>
            <w:r w:rsidRPr="00C84EBF">
              <w:rPr>
                <w:rFonts w:eastAsia="Calibri"/>
              </w:rPr>
              <w:t>Gydymo vorikonazolu</w:t>
            </w:r>
            <w:r>
              <w:rPr>
                <w:rFonts w:eastAsia="Calibri"/>
              </w:rPr>
              <w:t xml:space="preserve"> </w:t>
            </w:r>
            <w:r w:rsidRPr="00C84EBF">
              <w:rPr>
                <w:rFonts w:eastAsia="Calibri"/>
              </w:rPr>
              <w:t>metu ir</w:t>
            </w:r>
            <w:r>
              <w:rPr>
                <w:rFonts w:eastAsia="Calibri"/>
              </w:rPr>
              <w:t xml:space="preserve"> </w:t>
            </w:r>
            <w:r w:rsidRPr="00C84EBF">
              <w:rPr>
                <w:rFonts w:eastAsia="Calibri"/>
              </w:rPr>
              <w:t>jį nutraukus</w:t>
            </w:r>
            <w:r>
              <w:rPr>
                <w:rFonts w:eastAsia="Calibri"/>
              </w:rPr>
              <w:t xml:space="preserve"> </w:t>
            </w:r>
            <w:r w:rsidRPr="00C84EBF">
              <w:rPr>
                <w:rFonts w:eastAsia="Calibri"/>
              </w:rPr>
              <w:t>rekomenduojama</w:t>
            </w:r>
            <w:r>
              <w:rPr>
                <w:rFonts w:eastAsia="Calibri"/>
              </w:rPr>
              <w:t xml:space="preserve"> </w:t>
            </w:r>
            <w:r w:rsidRPr="00C84EBF">
              <w:rPr>
                <w:rFonts w:eastAsia="Calibri"/>
              </w:rPr>
              <w:t>koreguoti tretinoino dozę.</w:t>
            </w:r>
          </w:p>
        </w:tc>
      </w:tr>
      <w:bookmarkEnd w:id="19"/>
      <w:tr w:rsidR="00041CC8" w:rsidRPr="009A1B7F" w14:paraId="0E928ABA" w14:textId="77777777" w:rsidTr="00A136A1">
        <w:trPr>
          <w:trHeight w:val="651"/>
        </w:trPr>
        <w:tc>
          <w:tcPr>
            <w:tcW w:w="1661" w:type="pct"/>
          </w:tcPr>
          <w:p w14:paraId="20C1D054" w14:textId="77777777" w:rsidR="00041CC8" w:rsidRPr="005454C8" w:rsidRDefault="00041CC8" w:rsidP="00A136A1">
            <w:pPr>
              <w:autoSpaceDE w:val="0"/>
              <w:autoSpaceDN w:val="0"/>
              <w:adjustRightInd w:val="0"/>
              <w:rPr>
                <w:rFonts w:eastAsia="Calibri"/>
              </w:rPr>
            </w:pPr>
            <w:r w:rsidRPr="005454C8">
              <w:rPr>
                <w:rFonts w:eastAsia="Calibri"/>
              </w:rPr>
              <w:t xml:space="preserve">Cimetidinas (400 mg dozė 2 x per parą) </w:t>
            </w:r>
            <w:r w:rsidRPr="005454C8">
              <w:rPr>
                <w:rFonts w:eastAsia="TimesNewRoman,Italic"/>
                <w:i/>
              </w:rPr>
              <w:t>[nespecifinis CYP450 inhibitorius ir skrandžio pH didinantis vaistinis preparatas]</w:t>
            </w:r>
          </w:p>
        </w:tc>
        <w:tc>
          <w:tcPr>
            <w:tcW w:w="1935" w:type="pct"/>
          </w:tcPr>
          <w:p w14:paraId="4661D8F1"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18 %</w:t>
            </w:r>
          </w:p>
          <w:p w14:paraId="32CC78C2"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t>↑</w:t>
            </w:r>
            <w:r w:rsidRPr="005454C8">
              <w:rPr>
                <w:rFonts w:eastAsia="Calibri"/>
              </w:rPr>
              <w:t xml:space="preserve"> 23 %</w:t>
            </w:r>
          </w:p>
        </w:tc>
        <w:tc>
          <w:tcPr>
            <w:tcW w:w="1404" w:type="pct"/>
          </w:tcPr>
          <w:p w14:paraId="694170D5"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r w:rsidR="00041CC8" w:rsidRPr="009A1B7F" w14:paraId="19BF26CA" w14:textId="77777777" w:rsidTr="00A136A1">
        <w:trPr>
          <w:trHeight w:val="651"/>
        </w:trPr>
        <w:tc>
          <w:tcPr>
            <w:tcW w:w="1661" w:type="pct"/>
          </w:tcPr>
          <w:p w14:paraId="26E0B1E7" w14:textId="77777777" w:rsidR="00041CC8" w:rsidRPr="005454C8" w:rsidRDefault="00041CC8" w:rsidP="00A136A1">
            <w:pPr>
              <w:autoSpaceDE w:val="0"/>
              <w:autoSpaceDN w:val="0"/>
              <w:adjustRightInd w:val="0"/>
              <w:rPr>
                <w:rFonts w:eastAsia="Calibri"/>
              </w:rPr>
            </w:pPr>
            <w:r w:rsidRPr="005454C8">
              <w:rPr>
                <w:rFonts w:eastAsia="Calibri"/>
              </w:rPr>
              <w:t>Digoksinas (0,25 mg 1 x per parą)</w:t>
            </w:r>
          </w:p>
          <w:p w14:paraId="1515A477" w14:textId="77777777" w:rsidR="00041CC8" w:rsidRPr="005454C8" w:rsidRDefault="00041CC8" w:rsidP="00A136A1">
            <w:pPr>
              <w:autoSpaceDE w:val="0"/>
              <w:autoSpaceDN w:val="0"/>
              <w:adjustRightInd w:val="0"/>
              <w:rPr>
                <w:rFonts w:eastAsia="Calibri"/>
              </w:rPr>
            </w:pPr>
            <w:r w:rsidRPr="005454C8">
              <w:rPr>
                <w:rFonts w:eastAsia="TimesNewRoman,Italic"/>
                <w:i/>
              </w:rPr>
              <w:t>[P-gp substratas]</w:t>
            </w:r>
          </w:p>
        </w:tc>
        <w:tc>
          <w:tcPr>
            <w:tcW w:w="1935" w:type="pct"/>
          </w:tcPr>
          <w:p w14:paraId="7A532FE2" w14:textId="77777777" w:rsidR="00041CC8" w:rsidRPr="005454C8" w:rsidRDefault="00041CC8" w:rsidP="00A136A1">
            <w:pPr>
              <w:autoSpaceDE w:val="0"/>
              <w:autoSpaceDN w:val="0"/>
              <w:adjustRightInd w:val="0"/>
              <w:rPr>
                <w:rFonts w:eastAsia="Calibri"/>
              </w:rPr>
            </w:pPr>
            <w:r w:rsidRPr="005454C8">
              <w:rPr>
                <w:rFonts w:eastAsia="Calibri"/>
              </w:rPr>
              <w:t>Digoksino C</w:t>
            </w:r>
            <w:r w:rsidRPr="005454C8">
              <w:rPr>
                <w:rFonts w:eastAsia="Calibri"/>
                <w:vertAlign w:val="subscript"/>
              </w:rPr>
              <w:t>max</w:t>
            </w:r>
            <w:r w:rsidRPr="005454C8">
              <w:rPr>
                <w:rFonts w:eastAsia="Calibri"/>
              </w:rPr>
              <w:t xml:space="preserve"> ↔</w:t>
            </w:r>
          </w:p>
          <w:p w14:paraId="6460FC51" w14:textId="77777777" w:rsidR="00041CC8" w:rsidRPr="005454C8" w:rsidRDefault="00041CC8" w:rsidP="00A136A1">
            <w:pPr>
              <w:autoSpaceDE w:val="0"/>
              <w:autoSpaceDN w:val="0"/>
              <w:adjustRightInd w:val="0"/>
              <w:rPr>
                <w:rFonts w:eastAsia="Calibri"/>
              </w:rPr>
            </w:pPr>
            <w:r w:rsidRPr="005454C8">
              <w:rPr>
                <w:rFonts w:eastAsia="Calibri"/>
              </w:rPr>
              <w:t>Digoksino AUC</w:t>
            </w:r>
            <w:r w:rsidRPr="005454C8">
              <w:rPr>
                <w:vertAlign w:val="subscript"/>
              </w:rPr>
              <w:t>τ</w:t>
            </w:r>
            <w:r w:rsidRPr="005454C8">
              <w:rPr>
                <w:rFonts w:eastAsia="Calibri"/>
              </w:rPr>
              <w:t xml:space="preserve"> ↔</w:t>
            </w:r>
          </w:p>
        </w:tc>
        <w:tc>
          <w:tcPr>
            <w:tcW w:w="1404" w:type="pct"/>
          </w:tcPr>
          <w:p w14:paraId="77BC9C25"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r w:rsidR="00041CC8" w:rsidRPr="009A1B7F" w14:paraId="35AE2D8D" w14:textId="77777777" w:rsidTr="00A136A1">
        <w:trPr>
          <w:trHeight w:val="651"/>
        </w:trPr>
        <w:tc>
          <w:tcPr>
            <w:tcW w:w="1661" w:type="pct"/>
          </w:tcPr>
          <w:p w14:paraId="553FC3DC" w14:textId="77777777" w:rsidR="00041CC8" w:rsidRPr="005454C8" w:rsidRDefault="00041CC8" w:rsidP="00A136A1">
            <w:pPr>
              <w:autoSpaceDE w:val="0"/>
              <w:autoSpaceDN w:val="0"/>
              <w:adjustRightInd w:val="0"/>
              <w:rPr>
                <w:rFonts w:eastAsia="Calibri"/>
              </w:rPr>
            </w:pPr>
            <w:r w:rsidRPr="005454C8">
              <w:rPr>
                <w:rFonts w:eastAsia="Calibri"/>
              </w:rPr>
              <w:t xml:space="preserve">Indinaviras (800 mg dozė 3 x per parą) </w:t>
            </w:r>
            <w:r w:rsidRPr="005454C8">
              <w:rPr>
                <w:rFonts w:eastAsia="TimesNewRoman,Italic"/>
                <w:i/>
              </w:rPr>
              <w:t>[CYP3A4 inhibitorius ir substratas]</w:t>
            </w:r>
          </w:p>
        </w:tc>
        <w:tc>
          <w:tcPr>
            <w:tcW w:w="1935" w:type="pct"/>
          </w:tcPr>
          <w:p w14:paraId="0A49BCC5" w14:textId="77777777" w:rsidR="00041CC8" w:rsidRPr="005454C8" w:rsidRDefault="00041CC8" w:rsidP="00A136A1">
            <w:pPr>
              <w:autoSpaceDE w:val="0"/>
              <w:autoSpaceDN w:val="0"/>
              <w:adjustRightInd w:val="0"/>
              <w:rPr>
                <w:rFonts w:eastAsia="Calibri"/>
              </w:rPr>
            </w:pPr>
            <w:r w:rsidRPr="005454C8">
              <w:rPr>
                <w:rFonts w:eastAsia="Calibri"/>
              </w:rPr>
              <w:t>Indinaviro C</w:t>
            </w:r>
            <w:r w:rsidRPr="005454C8">
              <w:rPr>
                <w:rFonts w:eastAsia="Calibri"/>
                <w:vertAlign w:val="subscript"/>
              </w:rPr>
              <w:t>max</w:t>
            </w:r>
            <w:r w:rsidRPr="005454C8">
              <w:rPr>
                <w:rFonts w:eastAsia="Calibri"/>
              </w:rPr>
              <w:t xml:space="preserve"> ↔</w:t>
            </w:r>
          </w:p>
          <w:p w14:paraId="49DB8FFB" w14:textId="77777777" w:rsidR="00041CC8" w:rsidRPr="005454C8" w:rsidRDefault="00041CC8" w:rsidP="00A136A1">
            <w:pPr>
              <w:autoSpaceDE w:val="0"/>
              <w:autoSpaceDN w:val="0"/>
              <w:adjustRightInd w:val="0"/>
              <w:rPr>
                <w:rFonts w:eastAsia="Calibri"/>
              </w:rPr>
            </w:pPr>
            <w:r w:rsidRPr="005454C8">
              <w:rPr>
                <w:rFonts w:eastAsia="Calibri"/>
              </w:rPr>
              <w:t>Indinaviro AUC</w:t>
            </w:r>
            <w:r w:rsidRPr="005454C8">
              <w:rPr>
                <w:vertAlign w:val="subscript"/>
              </w:rPr>
              <w:t>τ</w:t>
            </w:r>
            <w:r w:rsidRPr="005454C8">
              <w:rPr>
                <w:rFonts w:eastAsia="Calibri"/>
              </w:rPr>
              <w:t xml:space="preserve"> ↔</w:t>
            </w:r>
          </w:p>
          <w:p w14:paraId="072F75CA"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w:t>
            </w:r>
          </w:p>
          <w:p w14:paraId="42C6858C" w14:textId="77777777" w:rsidR="00041CC8" w:rsidRPr="005454C8" w:rsidRDefault="00041CC8" w:rsidP="00A136A1">
            <w:pPr>
              <w:autoSpaceDE w:val="0"/>
              <w:autoSpaceDN w:val="0"/>
              <w:adjustRightInd w:val="0"/>
              <w:rPr>
                <w:rFonts w:eastAsia="Calibri"/>
              </w:rPr>
            </w:pPr>
            <w:r w:rsidRPr="005454C8">
              <w:rPr>
                <w:rFonts w:eastAsia="Calibri"/>
              </w:rPr>
              <w:t>Vorikonazolo AUC</w:t>
            </w:r>
            <w:r w:rsidRPr="005454C8">
              <w:rPr>
                <w:vertAlign w:val="subscript"/>
              </w:rPr>
              <w:t>τ</w:t>
            </w:r>
            <w:r w:rsidRPr="005454C8">
              <w:rPr>
                <w:rFonts w:eastAsia="Calibri"/>
              </w:rPr>
              <w:t xml:space="preserve"> ↔</w:t>
            </w:r>
          </w:p>
        </w:tc>
        <w:tc>
          <w:tcPr>
            <w:tcW w:w="1404" w:type="pct"/>
          </w:tcPr>
          <w:p w14:paraId="54FE2A6B"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r w:rsidR="00041CC8" w:rsidRPr="009A1B7F" w14:paraId="1F67E6A2" w14:textId="77777777" w:rsidTr="00A136A1">
        <w:trPr>
          <w:trHeight w:val="651"/>
        </w:trPr>
        <w:tc>
          <w:tcPr>
            <w:tcW w:w="1661" w:type="pct"/>
          </w:tcPr>
          <w:p w14:paraId="76165C87" w14:textId="77777777" w:rsidR="00041CC8" w:rsidRPr="005454C8" w:rsidRDefault="00041CC8" w:rsidP="00A136A1">
            <w:pPr>
              <w:autoSpaceDE w:val="0"/>
              <w:autoSpaceDN w:val="0"/>
              <w:adjustRightInd w:val="0"/>
              <w:rPr>
                <w:rFonts w:eastAsia="TimesNewRoman,Italic"/>
                <w:i/>
              </w:rPr>
            </w:pPr>
            <w:r w:rsidRPr="005454C8">
              <w:rPr>
                <w:rFonts w:eastAsia="Calibri"/>
              </w:rPr>
              <w:t xml:space="preserve">Makrolidų grupės antibiotikai Eritromicinas (1 g 2 x per parą) </w:t>
            </w:r>
            <w:r w:rsidRPr="005454C8">
              <w:rPr>
                <w:rFonts w:eastAsia="TimesNewRoman,Italic"/>
                <w:i/>
              </w:rPr>
              <w:t>[CYP3A4 inhibitorius]</w:t>
            </w:r>
          </w:p>
          <w:p w14:paraId="52E88CDF" w14:textId="77777777" w:rsidR="00041CC8" w:rsidRPr="005454C8" w:rsidRDefault="00041CC8" w:rsidP="00A136A1">
            <w:pPr>
              <w:autoSpaceDE w:val="0"/>
              <w:autoSpaceDN w:val="0"/>
              <w:adjustRightInd w:val="0"/>
              <w:rPr>
                <w:rFonts w:eastAsia="Calibri"/>
              </w:rPr>
            </w:pPr>
            <w:r w:rsidRPr="005454C8">
              <w:rPr>
                <w:rFonts w:eastAsia="Calibri"/>
              </w:rPr>
              <w:t>Azitromicinas (500 mg 1 x per parą)</w:t>
            </w:r>
          </w:p>
        </w:tc>
        <w:tc>
          <w:tcPr>
            <w:tcW w:w="1935" w:type="pct"/>
          </w:tcPr>
          <w:p w14:paraId="3E711B28"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w:t>
            </w:r>
          </w:p>
          <w:p w14:paraId="142BA6B3"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w:t>
            </w:r>
          </w:p>
          <w:p w14:paraId="69A6DA58" w14:textId="77777777" w:rsidR="00041CC8" w:rsidRPr="005454C8" w:rsidRDefault="00041CC8" w:rsidP="00A136A1">
            <w:pPr>
              <w:autoSpaceDE w:val="0"/>
              <w:autoSpaceDN w:val="0"/>
              <w:adjustRightInd w:val="0"/>
              <w:rPr>
                <w:rFonts w:eastAsia="Calibri"/>
              </w:rPr>
            </w:pPr>
            <w:r w:rsidRPr="005454C8">
              <w:rPr>
                <w:rFonts w:eastAsia="Calibri"/>
              </w:rPr>
              <w:t>Vorikonazolo poveikis eritromicinui arba azitromicinui nežinomas.</w:t>
            </w:r>
          </w:p>
        </w:tc>
        <w:tc>
          <w:tcPr>
            <w:tcW w:w="1404" w:type="pct"/>
          </w:tcPr>
          <w:p w14:paraId="41136073"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r w:rsidR="00041CC8" w:rsidRPr="009A1B7F" w14:paraId="35576FB5" w14:textId="77777777" w:rsidTr="00A136A1">
        <w:trPr>
          <w:trHeight w:val="651"/>
        </w:trPr>
        <w:tc>
          <w:tcPr>
            <w:tcW w:w="1661" w:type="pct"/>
          </w:tcPr>
          <w:p w14:paraId="700799EF" w14:textId="77777777" w:rsidR="00041CC8" w:rsidRPr="005454C8" w:rsidRDefault="00041CC8" w:rsidP="00A136A1">
            <w:pPr>
              <w:autoSpaceDE w:val="0"/>
              <w:autoSpaceDN w:val="0"/>
              <w:adjustRightInd w:val="0"/>
              <w:rPr>
                <w:rFonts w:eastAsia="Calibri"/>
              </w:rPr>
            </w:pPr>
            <w:r w:rsidRPr="005454C8">
              <w:rPr>
                <w:rFonts w:eastAsia="Calibri"/>
              </w:rPr>
              <w:t>Mikofenolio rūgštis (vienkartinė</w:t>
            </w:r>
          </w:p>
          <w:p w14:paraId="6EA951CB" w14:textId="77777777" w:rsidR="00041CC8" w:rsidRPr="005454C8" w:rsidRDefault="00041CC8" w:rsidP="00A136A1">
            <w:pPr>
              <w:autoSpaceDE w:val="0"/>
              <w:autoSpaceDN w:val="0"/>
              <w:adjustRightInd w:val="0"/>
              <w:rPr>
                <w:rFonts w:eastAsia="Calibri"/>
              </w:rPr>
            </w:pPr>
            <w:r w:rsidRPr="005454C8">
              <w:rPr>
                <w:rFonts w:eastAsia="Calibri"/>
              </w:rPr>
              <w:t>1 g dozė)</w:t>
            </w:r>
          </w:p>
          <w:p w14:paraId="70B3CF35" w14:textId="77777777" w:rsidR="00041CC8" w:rsidRPr="005454C8" w:rsidRDefault="00041CC8" w:rsidP="00A136A1">
            <w:pPr>
              <w:autoSpaceDE w:val="0"/>
              <w:autoSpaceDN w:val="0"/>
              <w:adjustRightInd w:val="0"/>
              <w:rPr>
                <w:rFonts w:eastAsia="TimesNewRoman,Italic"/>
                <w:i/>
              </w:rPr>
            </w:pPr>
            <w:r w:rsidRPr="005454C8">
              <w:rPr>
                <w:rFonts w:eastAsia="TimesNewRoman,Italic"/>
                <w:i/>
              </w:rPr>
              <w:t>[UDF-gliukuroniltransferazės</w:t>
            </w:r>
          </w:p>
          <w:p w14:paraId="3D2104D6" w14:textId="77777777" w:rsidR="00041CC8" w:rsidRPr="005454C8" w:rsidRDefault="00041CC8" w:rsidP="00A136A1">
            <w:pPr>
              <w:autoSpaceDE w:val="0"/>
              <w:autoSpaceDN w:val="0"/>
              <w:adjustRightInd w:val="0"/>
              <w:rPr>
                <w:rFonts w:eastAsia="Calibri"/>
              </w:rPr>
            </w:pPr>
            <w:r w:rsidRPr="005454C8">
              <w:rPr>
                <w:rFonts w:eastAsia="TimesNewRoman,Italic"/>
                <w:i/>
              </w:rPr>
              <w:t>substratas]</w:t>
            </w:r>
          </w:p>
        </w:tc>
        <w:tc>
          <w:tcPr>
            <w:tcW w:w="1935" w:type="pct"/>
          </w:tcPr>
          <w:p w14:paraId="36C364D4" w14:textId="77777777" w:rsidR="00041CC8" w:rsidRPr="005454C8" w:rsidRDefault="00041CC8" w:rsidP="00A136A1">
            <w:pPr>
              <w:autoSpaceDE w:val="0"/>
              <w:autoSpaceDN w:val="0"/>
              <w:adjustRightInd w:val="0"/>
              <w:rPr>
                <w:rFonts w:eastAsia="Calibri"/>
              </w:rPr>
            </w:pPr>
            <w:r w:rsidRPr="005454C8">
              <w:rPr>
                <w:rFonts w:eastAsia="Calibri"/>
              </w:rPr>
              <w:t>Mikofenolio rūgšties C</w:t>
            </w:r>
            <w:r w:rsidRPr="005454C8">
              <w:rPr>
                <w:rFonts w:eastAsia="Calibri"/>
                <w:vertAlign w:val="subscript"/>
              </w:rPr>
              <w:t>max</w:t>
            </w:r>
            <w:r w:rsidRPr="005454C8">
              <w:rPr>
                <w:rFonts w:eastAsia="Calibri"/>
              </w:rPr>
              <w:t xml:space="preserve"> ↔</w:t>
            </w:r>
          </w:p>
          <w:p w14:paraId="00FFDFC1" w14:textId="77777777" w:rsidR="00041CC8" w:rsidRPr="005454C8" w:rsidRDefault="00041CC8" w:rsidP="00A136A1">
            <w:pPr>
              <w:autoSpaceDE w:val="0"/>
              <w:autoSpaceDN w:val="0"/>
              <w:adjustRightInd w:val="0"/>
              <w:rPr>
                <w:rFonts w:eastAsia="Calibri"/>
              </w:rPr>
            </w:pPr>
            <w:r w:rsidRPr="005454C8">
              <w:rPr>
                <w:rFonts w:eastAsia="Calibri"/>
              </w:rPr>
              <w:t>Mikofenolio rūgšties AUCt ↔</w:t>
            </w:r>
          </w:p>
        </w:tc>
        <w:tc>
          <w:tcPr>
            <w:tcW w:w="1404" w:type="pct"/>
          </w:tcPr>
          <w:p w14:paraId="73378E35"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r w:rsidR="00041CC8" w:rsidRPr="009A1B7F" w14:paraId="4DF9A1B6" w14:textId="77777777" w:rsidTr="00A136A1">
        <w:trPr>
          <w:trHeight w:val="651"/>
        </w:trPr>
        <w:tc>
          <w:tcPr>
            <w:tcW w:w="1661" w:type="pct"/>
          </w:tcPr>
          <w:p w14:paraId="766539B5" w14:textId="77777777" w:rsidR="00041CC8" w:rsidRDefault="00041CC8" w:rsidP="00A136A1">
            <w:pPr>
              <w:autoSpaceDE w:val="0"/>
              <w:autoSpaceDN w:val="0"/>
              <w:adjustRightInd w:val="0"/>
              <w:rPr>
                <w:rFonts w:eastAsia="Calibri"/>
              </w:rPr>
            </w:pPr>
            <w:r>
              <w:rPr>
                <w:rFonts w:eastAsia="Calibri"/>
              </w:rPr>
              <w:t>Kortikosteroidai</w:t>
            </w:r>
          </w:p>
          <w:p w14:paraId="2463D57C" w14:textId="77777777" w:rsidR="00041CC8" w:rsidRDefault="00041CC8" w:rsidP="00A136A1">
            <w:pPr>
              <w:autoSpaceDE w:val="0"/>
              <w:autoSpaceDN w:val="0"/>
              <w:adjustRightInd w:val="0"/>
              <w:rPr>
                <w:rFonts w:eastAsia="Calibri"/>
              </w:rPr>
            </w:pPr>
          </w:p>
          <w:p w14:paraId="288D2BA1" w14:textId="77777777" w:rsidR="00303EB9" w:rsidRDefault="00041CC8" w:rsidP="00A136A1">
            <w:pPr>
              <w:autoSpaceDE w:val="0"/>
              <w:autoSpaceDN w:val="0"/>
              <w:adjustRightInd w:val="0"/>
              <w:rPr>
                <w:rFonts w:eastAsia="Calibri"/>
              </w:rPr>
            </w:pPr>
            <w:r w:rsidRPr="005454C8">
              <w:rPr>
                <w:rFonts w:eastAsia="Calibri"/>
              </w:rPr>
              <w:t>Prednizolonas (vienkartinė 60 mg dozė)</w:t>
            </w:r>
          </w:p>
          <w:p w14:paraId="2501ABEC" w14:textId="685EFFBE" w:rsidR="00041CC8" w:rsidRPr="005454C8" w:rsidRDefault="00041CC8" w:rsidP="00A136A1">
            <w:pPr>
              <w:autoSpaceDE w:val="0"/>
              <w:autoSpaceDN w:val="0"/>
              <w:adjustRightInd w:val="0"/>
              <w:rPr>
                <w:rFonts w:eastAsia="Calibri"/>
              </w:rPr>
            </w:pPr>
            <w:r w:rsidRPr="005454C8">
              <w:rPr>
                <w:rFonts w:eastAsia="TimesNewRoman,Italic"/>
                <w:i/>
              </w:rPr>
              <w:t>[CYP3A4 substratas]</w:t>
            </w:r>
          </w:p>
        </w:tc>
        <w:tc>
          <w:tcPr>
            <w:tcW w:w="1935" w:type="pct"/>
          </w:tcPr>
          <w:p w14:paraId="4C2D4736" w14:textId="77777777" w:rsidR="00041CC8" w:rsidRDefault="00041CC8" w:rsidP="00A136A1">
            <w:pPr>
              <w:autoSpaceDE w:val="0"/>
              <w:autoSpaceDN w:val="0"/>
              <w:adjustRightInd w:val="0"/>
              <w:rPr>
                <w:rFonts w:eastAsia="Calibri"/>
              </w:rPr>
            </w:pPr>
          </w:p>
          <w:p w14:paraId="0011D197" w14:textId="77777777" w:rsidR="00041CC8" w:rsidRDefault="00041CC8" w:rsidP="00A136A1">
            <w:pPr>
              <w:autoSpaceDE w:val="0"/>
              <w:autoSpaceDN w:val="0"/>
              <w:adjustRightInd w:val="0"/>
              <w:rPr>
                <w:rFonts w:eastAsia="Calibri"/>
              </w:rPr>
            </w:pPr>
          </w:p>
          <w:p w14:paraId="46A241B5" w14:textId="77777777" w:rsidR="00041CC8" w:rsidRPr="005454C8" w:rsidRDefault="00041CC8" w:rsidP="00A136A1">
            <w:pPr>
              <w:autoSpaceDE w:val="0"/>
              <w:autoSpaceDN w:val="0"/>
              <w:adjustRightInd w:val="0"/>
              <w:rPr>
                <w:rFonts w:eastAsia="Calibri"/>
              </w:rPr>
            </w:pPr>
            <w:r w:rsidRPr="005454C8">
              <w:rPr>
                <w:rFonts w:eastAsia="Calibri"/>
              </w:rPr>
              <w:t>Prednizolono C</w:t>
            </w:r>
            <w:r w:rsidRPr="005454C8">
              <w:rPr>
                <w:rFonts w:eastAsia="Calibri"/>
                <w:vertAlign w:val="subscript"/>
              </w:rPr>
              <w:t>max</w:t>
            </w:r>
            <w:r w:rsidRPr="005454C8">
              <w:rPr>
                <w:rFonts w:eastAsia="Calibri"/>
              </w:rPr>
              <w:t xml:space="preserve"> </w:t>
            </w:r>
            <w:r w:rsidRPr="005454C8">
              <w:t>↑</w:t>
            </w:r>
            <w:r w:rsidRPr="005454C8">
              <w:rPr>
                <w:rFonts w:eastAsia="Calibri"/>
              </w:rPr>
              <w:t xml:space="preserve"> 11</w:t>
            </w:r>
            <w:r>
              <w:rPr>
                <w:rFonts w:eastAsia="Calibri"/>
              </w:rPr>
              <w:t> </w:t>
            </w:r>
            <w:r w:rsidRPr="005454C8">
              <w:rPr>
                <w:rFonts w:eastAsia="Calibri"/>
              </w:rPr>
              <w:t>%</w:t>
            </w:r>
          </w:p>
          <w:p w14:paraId="59BF8AE7" w14:textId="77777777" w:rsidR="00041CC8" w:rsidRPr="005454C8" w:rsidRDefault="00041CC8" w:rsidP="00A136A1">
            <w:pPr>
              <w:autoSpaceDE w:val="0"/>
              <w:autoSpaceDN w:val="0"/>
              <w:adjustRightInd w:val="0"/>
              <w:rPr>
                <w:rFonts w:eastAsia="Calibri"/>
              </w:rPr>
            </w:pPr>
            <w:r w:rsidRPr="005454C8">
              <w:rPr>
                <w:rFonts w:eastAsia="Calibri"/>
              </w:rPr>
              <w:t>Prednizolono AUC</w:t>
            </w:r>
            <w:r w:rsidRPr="005454C8">
              <w:rPr>
                <w:vertAlign w:val="subscript"/>
              </w:rPr>
              <w:t>0−∞</w:t>
            </w:r>
            <w:r w:rsidRPr="005454C8">
              <w:rPr>
                <w:rFonts w:eastAsia="Calibri"/>
              </w:rPr>
              <w:t xml:space="preserve"> </w:t>
            </w:r>
            <w:r w:rsidRPr="005454C8">
              <w:t>↑</w:t>
            </w:r>
            <w:r w:rsidRPr="005454C8">
              <w:rPr>
                <w:rFonts w:eastAsia="Calibri"/>
              </w:rPr>
              <w:t xml:space="preserve"> 34</w:t>
            </w:r>
            <w:r>
              <w:rPr>
                <w:rFonts w:eastAsia="Calibri"/>
              </w:rPr>
              <w:t> </w:t>
            </w:r>
            <w:r w:rsidRPr="005454C8">
              <w:rPr>
                <w:rFonts w:eastAsia="Calibri"/>
              </w:rPr>
              <w:t>%</w:t>
            </w:r>
          </w:p>
        </w:tc>
        <w:tc>
          <w:tcPr>
            <w:tcW w:w="1404" w:type="pct"/>
          </w:tcPr>
          <w:p w14:paraId="2440B8B4" w14:textId="77777777" w:rsidR="00041CC8" w:rsidRDefault="00041CC8" w:rsidP="00A136A1">
            <w:pPr>
              <w:autoSpaceDE w:val="0"/>
              <w:autoSpaceDN w:val="0"/>
              <w:adjustRightInd w:val="0"/>
              <w:rPr>
                <w:rFonts w:eastAsia="Calibri"/>
              </w:rPr>
            </w:pPr>
          </w:p>
          <w:p w14:paraId="61FAA3BC" w14:textId="77777777" w:rsidR="00041CC8" w:rsidRDefault="00041CC8" w:rsidP="00A136A1">
            <w:pPr>
              <w:autoSpaceDE w:val="0"/>
              <w:autoSpaceDN w:val="0"/>
              <w:adjustRightInd w:val="0"/>
              <w:rPr>
                <w:rFonts w:eastAsia="Calibri"/>
              </w:rPr>
            </w:pPr>
          </w:p>
          <w:p w14:paraId="67685509" w14:textId="77777777" w:rsidR="00041CC8" w:rsidRDefault="00041CC8" w:rsidP="00A136A1">
            <w:pPr>
              <w:autoSpaceDE w:val="0"/>
              <w:autoSpaceDN w:val="0"/>
              <w:adjustRightInd w:val="0"/>
              <w:rPr>
                <w:rFonts w:eastAsia="Calibri"/>
              </w:rPr>
            </w:pPr>
            <w:r w:rsidRPr="005454C8">
              <w:rPr>
                <w:rFonts w:eastAsia="Calibri"/>
              </w:rPr>
              <w:t>Dozės keisti nereikia.</w:t>
            </w:r>
          </w:p>
          <w:p w14:paraId="28933022" w14:textId="77777777" w:rsidR="00041CC8" w:rsidRDefault="00041CC8" w:rsidP="00A136A1">
            <w:pPr>
              <w:autoSpaceDE w:val="0"/>
              <w:autoSpaceDN w:val="0"/>
              <w:adjustRightInd w:val="0"/>
              <w:rPr>
                <w:rFonts w:eastAsia="Calibri"/>
              </w:rPr>
            </w:pPr>
          </w:p>
          <w:p w14:paraId="3D53ABFB" w14:textId="7318DB3A" w:rsidR="00041CC8" w:rsidRPr="005454C8" w:rsidRDefault="00041CC8" w:rsidP="0053524C">
            <w:pPr>
              <w:autoSpaceDE w:val="0"/>
              <w:autoSpaceDN w:val="0"/>
              <w:adjustRightInd w:val="0"/>
              <w:rPr>
                <w:rFonts w:eastAsia="Calibri"/>
              </w:rPr>
            </w:pPr>
            <w:r w:rsidRPr="00BB329F">
              <w:rPr>
                <w:rFonts w:eastAsia="Calibri"/>
              </w:rPr>
              <w:t>Pacientus, kurie ilgą laiką</w:t>
            </w:r>
            <w:r>
              <w:rPr>
                <w:rFonts w:eastAsia="Calibri"/>
              </w:rPr>
              <w:t xml:space="preserve"> </w:t>
            </w:r>
            <w:r w:rsidRPr="00BB329F">
              <w:rPr>
                <w:rFonts w:eastAsia="Calibri"/>
              </w:rPr>
              <w:t>gydomi vorikonazolu ir</w:t>
            </w:r>
            <w:r>
              <w:rPr>
                <w:rFonts w:eastAsia="Calibri"/>
              </w:rPr>
              <w:t xml:space="preserve"> </w:t>
            </w:r>
            <w:r w:rsidRPr="00BB329F">
              <w:rPr>
                <w:rFonts w:eastAsia="Calibri"/>
              </w:rPr>
              <w:t>kortikosteroidais</w:t>
            </w:r>
            <w:r>
              <w:rPr>
                <w:rFonts w:eastAsia="Calibri"/>
              </w:rPr>
              <w:t xml:space="preserve"> </w:t>
            </w:r>
            <w:r w:rsidRPr="00BB329F">
              <w:rPr>
                <w:rFonts w:eastAsia="Calibri"/>
              </w:rPr>
              <w:t>(įskaitant</w:t>
            </w:r>
            <w:r>
              <w:rPr>
                <w:rFonts w:eastAsia="Calibri"/>
              </w:rPr>
              <w:t xml:space="preserve"> </w:t>
            </w:r>
            <w:r w:rsidRPr="00BB329F">
              <w:rPr>
                <w:rFonts w:eastAsia="Calibri"/>
              </w:rPr>
              <w:t>įkvepiamuosius</w:t>
            </w:r>
            <w:r>
              <w:rPr>
                <w:rFonts w:eastAsia="Calibri"/>
              </w:rPr>
              <w:t xml:space="preserve"> </w:t>
            </w:r>
            <w:r w:rsidRPr="00BB329F">
              <w:rPr>
                <w:rFonts w:eastAsia="Calibri"/>
              </w:rPr>
              <w:t>kortikosteroidus, pvz.,</w:t>
            </w:r>
            <w:r>
              <w:rPr>
                <w:rFonts w:eastAsia="Calibri"/>
              </w:rPr>
              <w:t xml:space="preserve"> </w:t>
            </w:r>
            <w:r w:rsidRPr="00BB329F">
              <w:rPr>
                <w:rFonts w:eastAsia="Calibri"/>
              </w:rPr>
              <w:t>budezonidą ir į nosį</w:t>
            </w:r>
            <w:r w:rsidR="0053524C">
              <w:rPr>
                <w:rFonts w:eastAsia="Calibri"/>
              </w:rPr>
              <w:t xml:space="preserve"> </w:t>
            </w:r>
            <w:r>
              <w:rPr>
                <w:rFonts w:eastAsia="Calibri"/>
              </w:rPr>
              <w:t>v</w:t>
            </w:r>
            <w:r w:rsidRPr="00BB329F">
              <w:rPr>
                <w:rFonts w:eastAsia="Calibri"/>
              </w:rPr>
              <w:t>artojamus</w:t>
            </w:r>
            <w:r>
              <w:rPr>
                <w:rFonts w:eastAsia="Calibri"/>
              </w:rPr>
              <w:t xml:space="preserve"> </w:t>
            </w:r>
            <w:r w:rsidRPr="00BB329F">
              <w:rPr>
                <w:rFonts w:eastAsia="Calibri"/>
              </w:rPr>
              <w:t>kortikosteroidus),</w:t>
            </w:r>
            <w:r w:rsidR="0053524C">
              <w:rPr>
                <w:rFonts w:eastAsia="Calibri"/>
              </w:rPr>
              <w:t xml:space="preserve"> </w:t>
            </w:r>
            <w:r w:rsidRPr="00BB329F">
              <w:rPr>
                <w:rFonts w:eastAsia="Calibri"/>
              </w:rPr>
              <w:t>reikia atidžiai stebėti dėl</w:t>
            </w:r>
            <w:r>
              <w:rPr>
                <w:rFonts w:eastAsia="Calibri"/>
              </w:rPr>
              <w:t xml:space="preserve"> </w:t>
            </w:r>
            <w:r w:rsidRPr="00BB329F">
              <w:rPr>
                <w:rFonts w:eastAsia="Calibri"/>
              </w:rPr>
              <w:t>antinksčių žievės</w:t>
            </w:r>
            <w:r>
              <w:rPr>
                <w:rFonts w:eastAsia="Calibri"/>
              </w:rPr>
              <w:t xml:space="preserve"> </w:t>
            </w:r>
            <w:r w:rsidRPr="00BB329F">
              <w:rPr>
                <w:rFonts w:eastAsia="Calibri"/>
              </w:rPr>
              <w:t>disfunkcijos</w:t>
            </w:r>
            <w:r>
              <w:rPr>
                <w:rFonts w:eastAsia="Calibri"/>
              </w:rPr>
              <w:t xml:space="preserve"> </w:t>
            </w:r>
            <w:r w:rsidRPr="00BB329F">
              <w:rPr>
                <w:rFonts w:eastAsia="Calibri"/>
              </w:rPr>
              <w:t>gydymo</w:t>
            </w:r>
            <w:r>
              <w:rPr>
                <w:rFonts w:eastAsia="Calibri"/>
              </w:rPr>
              <w:t xml:space="preserve"> </w:t>
            </w:r>
            <w:r w:rsidRPr="00BB329F">
              <w:rPr>
                <w:rFonts w:eastAsia="Calibri"/>
              </w:rPr>
              <w:t>metu ir nutraukus</w:t>
            </w:r>
            <w:r>
              <w:rPr>
                <w:rFonts w:eastAsia="Calibri"/>
              </w:rPr>
              <w:t xml:space="preserve"> </w:t>
            </w:r>
            <w:r w:rsidRPr="00BB329F">
              <w:rPr>
                <w:rFonts w:eastAsia="Calibri"/>
              </w:rPr>
              <w:t>gydymą vorikonazolu (žr.</w:t>
            </w:r>
            <w:r>
              <w:rPr>
                <w:rFonts w:eastAsia="Calibri"/>
              </w:rPr>
              <w:t xml:space="preserve"> </w:t>
            </w:r>
            <w:r w:rsidRPr="00BB329F">
              <w:rPr>
                <w:rFonts w:eastAsia="Calibri"/>
              </w:rPr>
              <w:t>4.4 skyrių).</w:t>
            </w:r>
          </w:p>
        </w:tc>
      </w:tr>
      <w:tr w:rsidR="00041CC8" w:rsidRPr="009A1B7F" w14:paraId="123A5109" w14:textId="77777777" w:rsidTr="00A136A1">
        <w:trPr>
          <w:trHeight w:val="651"/>
        </w:trPr>
        <w:tc>
          <w:tcPr>
            <w:tcW w:w="1661" w:type="pct"/>
          </w:tcPr>
          <w:p w14:paraId="7CBDA1AC" w14:textId="77777777" w:rsidR="00041CC8" w:rsidRPr="005454C8" w:rsidRDefault="00041CC8" w:rsidP="00A136A1">
            <w:pPr>
              <w:autoSpaceDE w:val="0"/>
              <w:autoSpaceDN w:val="0"/>
              <w:adjustRightInd w:val="0"/>
              <w:rPr>
                <w:rFonts w:eastAsia="Calibri"/>
              </w:rPr>
            </w:pPr>
            <w:r w:rsidRPr="005454C8">
              <w:rPr>
                <w:rFonts w:eastAsia="Calibri"/>
              </w:rPr>
              <w:t xml:space="preserve">Ranitidinas (150 mg dozė 2 x per parą) </w:t>
            </w:r>
            <w:r w:rsidRPr="005454C8">
              <w:rPr>
                <w:rFonts w:eastAsia="TimesNewRoman,Italic"/>
                <w:i/>
              </w:rPr>
              <w:t>[skrandžio pH didinantis vaistinis preparatas]</w:t>
            </w:r>
          </w:p>
        </w:tc>
        <w:tc>
          <w:tcPr>
            <w:tcW w:w="1935" w:type="pct"/>
          </w:tcPr>
          <w:p w14:paraId="11F04C88" w14:textId="77777777" w:rsidR="00041CC8" w:rsidRPr="005454C8" w:rsidRDefault="00041CC8" w:rsidP="00A136A1">
            <w:pPr>
              <w:autoSpaceDE w:val="0"/>
              <w:autoSpaceDN w:val="0"/>
              <w:adjustRightInd w:val="0"/>
              <w:rPr>
                <w:rFonts w:eastAsia="Calibri"/>
              </w:rPr>
            </w:pPr>
            <w:r w:rsidRPr="005454C8">
              <w:rPr>
                <w:rFonts w:eastAsia="Calibri"/>
              </w:rPr>
              <w:t>Vorikonazolo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w:t>
            </w:r>
          </w:p>
        </w:tc>
        <w:tc>
          <w:tcPr>
            <w:tcW w:w="1404" w:type="pct"/>
          </w:tcPr>
          <w:p w14:paraId="4AB4B96C" w14:textId="77777777" w:rsidR="00041CC8" w:rsidRPr="005454C8" w:rsidRDefault="00041CC8" w:rsidP="00A136A1">
            <w:pPr>
              <w:autoSpaceDE w:val="0"/>
              <w:autoSpaceDN w:val="0"/>
              <w:adjustRightInd w:val="0"/>
              <w:rPr>
                <w:rFonts w:eastAsia="Calibri"/>
              </w:rPr>
            </w:pPr>
            <w:r w:rsidRPr="005454C8">
              <w:rPr>
                <w:rFonts w:eastAsia="Calibri"/>
              </w:rPr>
              <w:t>Dozės keisti nereikia.</w:t>
            </w:r>
          </w:p>
        </w:tc>
      </w:tr>
    </w:tbl>
    <w:p w14:paraId="13D77FEE" w14:textId="77777777" w:rsidR="00041CC8" w:rsidRPr="005454C8" w:rsidRDefault="00041CC8" w:rsidP="00041CC8"/>
    <w:p w14:paraId="4D53862E" w14:textId="77777777" w:rsidR="00041CC8" w:rsidRPr="005454C8" w:rsidRDefault="00041CC8" w:rsidP="00041CC8">
      <w:pPr>
        <w:keepNext/>
        <w:spacing w:before="240" w:after="60"/>
        <w:ind w:left="567" w:hanging="567"/>
        <w:outlineLvl w:val="3"/>
        <w:rPr>
          <w:b/>
        </w:rPr>
      </w:pPr>
      <w:r w:rsidRPr="005454C8">
        <w:rPr>
          <w:b/>
        </w:rPr>
        <w:lastRenderedPageBreak/>
        <w:t>4.6</w:t>
      </w:r>
      <w:r w:rsidRPr="005454C8">
        <w:rPr>
          <w:b/>
        </w:rPr>
        <w:tab/>
        <w:t>Vaisingumas, nėštumo ir žindymo laikotarpis</w:t>
      </w:r>
    </w:p>
    <w:p w14:paraId="184F7FCF" w14:textId="77777777" w:rsidR="00041CC8" w:rsidRPr="005454C8" w:rsidRDefault="00041CC8" w:rsidP="00041CC8"/>
    <w:p w14:paraId="3CE6EDA9" w14:textId="77777777" w:rsidR="00041CC8" w:rsidRPr="005454C8" w:rsidRDefault="00041CC8" w:rsidP="00041CC8">
      <w:pPr>
        <w:rPr>
          <w:color w:val="0D0D0D"/>
          <w:u w:val="single"/>
        </w:rPr>
      </w:pPr>
      <w:r w:rsidRPr="005454C8">
        <w:rPr>
          <w:color w:val="0D0D0D"/>
          <w:u w:val="single"/>
        </w:rPr>
        <w:t>Nėštumas</w:t>
      </w:r>
    </w:p>
    <w:p w14:paraId="02382E7C" w14:textId="77777777" w:rsidR="00041CC8" w:rsidRPr="005454C8" w:rsidRDefault="00041CC8" w:rsidP="00041CC8">
      <w:pPr>
        <w:rPr>
          <w:rFonts w:eastAsia="Calibri"/>
        </w:rPr>
      </w:pPr>
      <w:r w:rsidRPr="005454C8">
        <w:rPr>
          <w:rFonts w:eastAsia="Calibri"/>
        </w:rPr>
        <w:t>Reikiamų duomenų apie vorikonazolo vartojimą nėštumo metu nėra.</w:t>
      </w:r>
    </w:p>
    <w:p w14:paraId="405C0677" w14:textId="77777777" w:rsidR="00041CC8" w:rsidRPr="005454C8" w:rsidRDefault="00041CC8" w:rsidP="00041CC8">
      <w:pPr>
        <w:rPr>
          <w:rFonts w:eastAsia="Calibri"/>
        </w:rPr>
      </w:pPr>
    </w:p>
    <w:p w14:paraId="2570DEA6" w14:textId="77777777" w:rsidR="00041CC8" w:rsidRPr="005454C8" w:rsidRDefault="00041CC8" w:rsidP="00041CC8">
      <w:pPr>
        <w:autoSpaceDE w:val="0"/>
        <w:autoSpaceDN w:val="0"/>
        <w:adjustRightInd w:val="0"/>
        <w:rPr>
          <w:rFonts w:eastAsia="Calibri"/>
        </w:rPr>
      </w:pPr>
      <w:r w:rsidRPr="005454C8">
        <w:rPr>
          <w:rFonts w:eastAsia="Calibri"/>
        </w:rPr>
        <w:t>Su gyvūnais atlikti tyrimai parodė toksinį poveikį reprodukcijai (žr. 5.3 skyrių). Galimas pavojus žmogui nežinomas.</w:t>
      </w:r>
    </w:p>
    <w:p w14:paraId="761A417F" w14:textId="77777777" w:rsidR="00041CC8" w:rsidRPr="005454C8" w:rsidRDefault="00041CC8" w:rsidP="00041CC8">
      <w:pPr>
        <w:autoSpaceDE w:val="0"/>
        <w:autoSpaceDN w:val="0"/>
        <w:adjustRightInd w:val="0"/>
        <w:rPr>
          <w:rFonts w:eastAsia="Calibri"/>
        </w:rPr>
      </w:pPr>
    </w:p>
    <w:p w14:paraId="684F9201" w14:textId="77777777" w:rsidR="00041CC8" w:rsidRPr="005454C8" w:rsidRDefault="00041CC8" w:rsidP="00041CC8">
      <w:pPr>
        <w:autoSpaceDE w:val="0"/>
        <w:autoSpaceDN w:val="0"/>
        <w:adjustRightInd w:val="0"/>
        <w:rPr>
          <w:rFonts w:eastAsia="Calibri"/>
        </w:rPr>
      </w:pPr>
      <w:r w:rsidRPr="005454C8">
        <w:rPr>
          <w:rFonts w:eastAsia="Calibri"/>
        </w:rPr>
        <w:t>Vorikonazolo nėštumo metu vartoti negalima, išskyrus atvejus, kai nauda motinai persveria galimą riziką vaisiui.</w:t>
      </w:r>
    </w:p>
    <w:p w14:paraId="4FA12DB8" w14:textId="77777777" w:rsidR="00041CC8" w:rsidRPr="005454C8" w:rsidRDefault="00041CC8" w:rsidP="00041CC8">
      <w:pPr>
        <w:autoSpaceDE w:val="0"/>
        <w:autoSpaceDN w:val="0"/>
        <w:adjustRightInd w:val="0"/>
        <w:rPr>
          <w:rFonts w:eastAsia="Calibri"/>
          <w:u w:val="single"/>
        </w:rPr>
      </w:pPr>
    </w:p>
    <w:p w14:paraId="7563C142"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Vaisingos moterys</w:t>
      </w:r>
    </w:p>
    <w:p w14:paraId="0EFA03E1" w14:textId="77777777" w:rsidR="00041CC8" w:rsidRPr="005454C8" w:rsidRDefault="00041CC8" w:rsidP="00041CC8">
      <w:pPr>
        <w:rPr>
          <w:rFonts w:eastAsia="Calibri"/>
        </w:rPr>
      </w:pPr>
      <w:r w:rsidRPr="005454C8">
        <w:rPr>
          <w:rFonts w:eastAsia="Calibri"/>
        </w:rPr>
        <w:t>Vaisingos moterys turi naudoti veiksmingą kontracepcijos metodą gydymo metu.</w:t>
      </w:r>
    </w:p>
    <w:p w14:paraId="28738ECE" w14:textId="77777777" w:rsidR="00041CC8" w:rsidRPr="005454C8" w:rsidRDefault="00041CC8" w:rsidP="00041CC8">
      <w:pPr>
        <w:rPr>
          <w:color w:val="0D0D0D"/>
        </w:rPr>
      </w:pPr>
    </w:p>
    <w:p w14:paraId="743A33EC" w14:textId="77777777" w:rsidR="00041CC8" w:rsidRPr="005454C8" w:rsidRDefault="00041CC8" w:rsidP="00041CC8">
      <w:pPr>
        <w:rPr>
          <w:color w:val="0D0D0D"/>
          <w:u w:val="single"/>
        </w:rPr>
      </w:pPr>
      <w:r w:rsidRPr="005454C8">
        <w:rPr>
          <w:color w:val="0D0D0D"/>
          <w:u w:val="single"/>
        </w:rPr>
        <w:t>Žindymas</w:t>
      </w:r>
    </w:p>
    <w:p w14:paraId="77E6E2B0" w14:textId="77777777" w:rsidR="00041CC8" w:rsidRPr="005454C8" w:rsidRDefault="00041CC8" w:rsidP="00041CC8">
      <w:pPr>
        <w:autoSpaceDE w:val="0"/>
        <w:autoSpaceDN w:val="0"/>
        <w:adjustRightInd w:val="0"/>
        <w:rPr>
          <w:rFonts w:eastAsia="Calibri"/>
        </w:rPr>
      </w:pPr>
      <w:r w:rsidRPr="005454C8">
        <w:rPr>
          <w:rFonts w:eastAsia="Calibri"/>
        </w:rPr>
        <w:t>Ar vorikonazolo prasiskverbia į motinos pieną, nenustatyta. Vis dėlto, pradėjus vartoti vorikonazolo, žindymą būtina nutraukti.</w:t>
      </w:r>
    </w:p>
    <w:p w14:paraId="6F9360D0" w14:textId="77777777" w:rsidR="00041CC8" w:rsidRPr="005454C8" w:rsidRDefault="00041CC8" w:rsidP="00041CC8">
      <w:pPr>
        <w:autoSpaceDE w:val="0"/>
        <w:autoSpaceDN w:val="0"/>
        <w:adjustRightInd w:val="0"/>
        <w:rPr>
          <w:rFonts w:eastAsia="Calibri"/>
        </w:rPr>
      </w:pPr>
    </w:p>
    <w:p w14:paraId="03F5F48B"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Vaisingumas</w:t>
      </w:r>
    </w:p>
    <w:p w14:paraId="0DB3180B" w14:textId="77777777" w:rsidR="00041CC8" w:rsidRPr="005454C8" w:rsidRDefault="00041CC8" w:rsidP="00041CC8">
      <w:pPr>
        <w:autoSpaceDE w:val="0"/>
        <w:autoSpaceDN w:val="0"/>
        <w:adjustRightInd w:val="0"/>
        <w:rPr>
          <w:rFonts w:eastAsia="Calibri"/>
        </w:rPr>
      </w:pPr>
      <w:r w:rsidRPr="005454C8">
        <w:rPr>
          <w:rFonts w:eastAsia="Calibri"/>
        </w:rPr>
        <w:t>Tyrimų su gyvūnais duomenimis, žiurkių patinų ir patelių vislumo sutrikimo nepastebėta (žr.5.3 skyrių).</w:t>
      </w:r>
    </w:p>
    <w:p w14:paraId="2AAE2388" w14:textId="77777777" w:rsidR="00041CC8" w:rsidRPr="005454C8" w:rsidRDefault="00041CC8" w:rsidP="00041CC8">
      <w:pPr>
        <w:autoSpaceDE w:val="0"/>
        <w:autoSpaceDN w:val="0"/>
        <w:adjustRightInd w:val="0"/>
        <w:rPr>
          <w:color w:val="0D0D0D"/>
        </w:rPr>
      </w:pPr>
    </w:p>
    <w:p w14:paraId="7595E175" w14:textId="77777777" w:rsidR="00041CC8" w:rsidRPr="005454C8" w:rsidRDefault="00041CC8" w:rsidP="00041CC8">
      <w:pPr>
        <w:keepNext/>
        <w:ind w:left="567" w:hanging="567"/>
        <w:outlineLvl w:val="3"/>
        <w:rPr>
          <w:b/>
        </w:rPr>
      </w:pPr>
      <w:r w:rsidRPr="005454C8">
        <w:rPr>
          <w:b/>
        </w:rPr>
        <w:t>4.7</w:t>
      </w:r>
      <w:r w:rsidRPr="005454C8">
        <w:rPr>
          <w:b/>
        </w:rPr>
        <w:tab/>
        <w:t>Poveikis gebėjimui vairuoti ir valdyti mechanizmus</w:t>
      </w:r>
    </w:p>
    <w:p w14:paraId="11F74988" w14:textId="77777777" w:rsidR="00041CC8" w:rsidRPr="005454C8" w:rsidRDefault="00041CC8" w:rsidP="00041CC8"/>
    <w:p w14:paraId="56CC9BFB" w14:textId="77777777" w:rsidR="00041CC8" w:rsidRPr="005454C8" w:rsidRDefault="00041CC8" w:rsidP="00041CC8">
      <w:pPr>
        <w:autoSpaceDE w:val="0"/>
        <w:autoSpaceDN w:val="0"/>
        <w:adjustRightInd w:val="0"/>
      </w:pPr>
      <w:r w:rsidRPr="005454C8">
        <w:rPr>
          <w:rFonts w:eastAsia="Calibri"/>
        </w:rPr>
        <w:t>Vorikonazolas gebėjimą vairuoti ir valdyti mechanizmus veikia vidutiniškai. Vaistinis preparatas gali laikinai sukelti grįžtamų regos pokyčių, įskaitant matymą lyg per miglą, pakitusį matymo suvokimą ir (arba) fotofobiją. Jei pacientui pasireiškia tokių simptomų, jam reikia vengti pavojingo darbo, pvz., vairavimo ar mechanizmų valdymo.</w:t>
      </w:r>
      <w:r w:rsidRPr="005454C8">
        <w:t xml:space="preserve"> </w:t>
      </w:r>
    </w:p>
    <w:p w14:paraId="0288C128" w14:textId="77777777" w:rsidR="00041CC8" w:rsidRPr="005454C8" w:rsidRDefault="00041CC8" w:rsidP="00041CC8">
      <w:pPr>
        <w:ind w:left="567" w:hanging="567"/>
      </w:pPr>
    </w:p>
    <w:p w14:paraId="5366CE42" w14:textId="77777777" w:rsidR="00041CC8" w:rsidRPr="005454C8" w:rsidRDefault="00041CC8" w:rsidP="00041CC8">
      <w:pPr>
        <w:ind w:left="567" w:hanging="567"/>
        <w:outlineLvl w:val="0"/>
      </w:pPr>
      <w:r w:rsidRPr="005454C8">
        <w:rPr>
          <w:b/>
        </w:rPr>
        <w:t>4.8</w:t>
      </w:r>
      <w:r w:rsidRPr="005454C8">
        <w:rPr>
          <w:b/>
        </w:rPr>
        <w:tab/>
        <w:t>Nepageidaujamas poveikis</w:t>
      </w:r>
    </w:p>
    <w:p w14:paraId="2A0392B2" w14:textId="77777777" w:rsidR="00041CC8" w:rsidRPr="005454C8" w:rsidRDefault="00041CC8" w:rsidP="00041CC8">
      <w:pPr>
        <w:autoSpaceDE w:val="0"/>
        <w:autoSpaceDN w:val="0"/>
        <w:adjustRightInd w:val="0"/>
        <w:rPr>
          <w:rFonts w:eastAsia="Calibri"/>
        </w:rPr>
      </w:pPr>
    </w:p>
    <w:p w14:paraId="661F838A" w14:textId="77777777" w:rsidR="00041CC8" w:rsidRPr="005454C8" w:rsidRDefault="00041CC8" w:rsidP="00041CC8">
      <w:pPr>
        <w:autoSpaceDE w:val="0"/>
        <w:autoSpaceDN w:val="0"/>
        <w:adjustRightInd w:val="0"/>
        <w:rPr>
          <w:rFonts w:eastAsia="Calibri"/>
          <w:u w:val="single"/>
        </w:rPr>
      </w:pPr>
      <w:r w:rsidRPr="005454C8">
        <w:rPr>
          <w:rFonts w:eastAsia="Calibri"/>
          <w:u w:val="single"/>
        </w:rPr>
        <w:t>Saugumo duomenų santrauka</w:t>
      </w:r>
    </w:p>
    <w:p w14:paraId="62062CE8" w14:textId="77777777" w:rsidR="00041CC8" w:rsidRPr="005454C8" w:rsidRDefault="00041CC8" w:rsidP="00041CC8">
      <w:pPr>
        <w:autoSpaceDE w:val="0"/>
        <w:autoSpaceDN w:val="0"/>
        <w:adjustRightInd w:val="0"/>
        <w:rPr>
          <w:rFonts w:eastAsia="Calibri"/>
        </w:rPr>
      </w:pPr>
      <w:r w:rsidRPr="005454C8">
        <w:rPr>
          <w:rFonts w:eastAsia="Calibri"/>
        </w:rPr>
        <w:t xml:space="preserve">Duomenys apie vorikonazolo vartojimo saugumą suaugusiesiems remiasi bendra daugiau kaip 2000 tiriamųjų saugumo duomenų baze (įskaitant  1603 suaugusius pacientus klinikinių tyrimų metu vartojusius vaistinio preparato gydymui) ir dar  270 suaugusiųjų,  klinikinių tyrimų metu vaistinio preparato vartojusių profilaktikai). Tai buvo heterogeninė populiacija, įskaitant pacientus, sergančius kraujo piktybinėmis ligomis, ŽIV užsikrėtusius pacientus, kurie sirgo stemplės kandidamikoze ir </w:t>
      </w:r>
      <w:r w:rsidRPr="009A1B7F">
        <w:rPr>
          <w:rFonts w:eastAsia="Calibri"/>
          <w:szCs w:val="22"/>
          <w:lang w:eastAsia="en-US"/>
        </w:rPr>
        <w:t>vaistiniams preparatams</w:t>
      </w:r>
      <w:r w:rsidRPr="005454C8">
        <w:rPr>
          <w:rFonts w:eastAsia="Calibri"/>
        </w:rPr>
        <w:t xml:space="preserve"> atsparia grybelių sukelta infekcine liga, pacientus, kuriems nebuvo neutropenijos, bet buvo kandidemija ar aspergiliozė, bei sveikus savanorius. </w:t>
      </w:r>
    </w:p>
    <w:p w14:paraId="21F5B014" w14:textId="77777777" w:rsidR="00041CC8" w:rsidRPr="005454C8" w:rsidRDefault="00041CC8" w:rsidP="00041CC8">
      <w:pPr>
        <w:autoSpaceDE w:val="0"/>
        <w:autoSpaceDN w:val="0"/>
        <w:adjustRightInd w:val="0"/>
        <w:rPr>
          <w:rFonts w:eastAsia="Calibri"/>
        </w:rPr>
      </w:pPr>
    </w:p>
    <w:p w14:paraId="6970A30A" w14:textId="77777777" w:rsidR="00041CC8" w:rsidRPr="005454C8" w:rsidRDefault="00041CC8" w:rsidP="00041CC8">
      <w:pPr>
        <w:autoSpaceDE w:val="0"/>
        <w:autoSpaceDN w:val="0"/>
        <w:adjustRightInd w:val="0"/>
        <w:rPr>
          <w:rFonts w:eastAsia="Calibri"/>
        </w:rPr>
      </w:pPr>
      <w:r w:rsidRPr="005454C8">
        <w:rPr>
          <w:rFonts w:eastAsia="Calibri"/>
        </w:rPr>
        <w:t>Nepageidaujamos reakcijos, apie kurias buvo pranešta dažniausiai, buvo regėjimo sutrikimas, karščiavimas, išbėrimas, vėmimas, pykinimas, viduriavimas, galvos skausmas, periferinė edema, nukrypę nuo normos kepenų funkcijos tyrimai, kvėpavimo sutrikimo sindromas ir pilvo skausmas.</w:t>
      </w:r>
    </w:p>
    <w:p w14:paraId="212BA42E" w14:textId="77777777" w:rsidR="00041CC8" w:rsidRPr="005454C8" w:rsidRDefault="00041CC8" w:rsidP="00041CC8">
      <w:pPr>
        <w:autoSpaceDE w:val="0"/>
        <w:autoSpaceDN w:val="0"/>
        <w:adjustRightInd w:val="0"/>
        <w:rPr>
          <w:rFonts w:eastAsia="Calibri"/>
        </w:rPr>
      </w:pPr>
    </w:p>
    <w:p w14:paraId="2246419E" w14:textId="77777777" w:rsidR="00041CC8" w:rsidRPr="005454C8" w:rsidRDefault="00041CC8" w:rsidP="00041CC8">
      <w:pPr>
        <w:autoSpaceDE w:val="0"/>
        <w:autoSpaceDN w:val="0"/>
        <w:adjustRightInd w:val="0"/>
        <w:rPr>
          <w:rFonts w:eastAsia="Calibri"/>
        </w:rPr>
      </w:pPr>
      <w:r w:rsidRPr="005454C8">
        <w:rPr>
          <w:rFonts w:eastAsia="Calibri"/>
        </w:rPr>
        <w:t>Nepageidaujamos reakcijos dažniausiai buvo lengvos ar vidutinio sunkumo. Kliniškai reikšmingų saugumo pokyčių atsižvelgiant į amžių, rasę ar lytį nepastebėta.</w:t>
      </w:r>
    </w:p>
    <w:p w14:paraId="7C501A1E" w14:textId="77777777" w:rsidR="00041CC8" w:rsidRPr="005454C8" w:rsidRDefault="00041CC8" w:rsidP="00041CC8">
      <w:pPr>
        <w:autoSpaceDE w:val="0"/>
        <w:autoSpaceDN w:val="0"/>
        <w:adjustRightInd w:val="0"/>
        <w:rPr>
          <w:rFonts w:eastAsia="Calibri"/>
          <w:u w:val="single"/>
        </w:rPr>
      </w:pPr>
    </w:p>
    <w:p w14:paraId="2806FB4B" w14:textId="77777777" w:rsidR="00041CC8" w:rsidRPr="005454C8" w:rsidRDefault="00041CC8" w:rsidP="00041CC8">
      <w:pPr>
        <w:autoSpaceDE w:val="0"/>
        <w:autoSpaceDN w:val="0"/>
        <w:adjustRightInd w:val="0"/>
        <w:rPr>
          <w:rFonts w:eastAsia="Calibri"/>
          <w:u w:val="single"/>
        </w:rPr>
      </w:pPr>
      <w:r w:rsidRPr="005454C8">
        <w:rPr>
          <w:rFonts w:eastAsia="Calibri"/>
          <w:u w:val="single"/>
        </w:rPr>
        <w:t>Nepageidaujamos reakcijos lentelėje.</w:t>
      </w:r>
    </w:p>
    <w:p w14:paraId="2EE3329B" w14:textId="471B530E" w:rsidR="00041CC8" w:rsidRPr="005454C8" w:rsidRDefault="00041CC8" w:rsidP="00041CC8">
      <w:pPr>
        <w:autoSpaceDE w:val="0"/>
        <w:autoSpaceDN w:val="0"/>
        <w:adjustRightInd w:val="0"/>
        <w:rPr>
          <w:rFonts w:eastAsia="Calibri"/>
          <w:u w:val="single"/>
        </w:rPr>
      </w:pPr>
      <w:r w:rsidRPr="005454C8">
        <w:rPr>
          <w:rFonts w:eastAsia="Calibri"/>
        </w:rPr>
        <w:t>Toliau esančioje lentelėje nurodytos atvirų klinikinių tyrimų metu nustatytos dėl įvairių priežasčių bendrai 1873 suaugusiesiems iš gydomųjų (1603) ir profilaktinių (270) tyrimų pasireiškusios nepageidaujamos reakcijos ir jų dažnio kategorijos, kurios išvardytos pagal organų sistemų klases.</w:t>
      </w:r>
    </w:p>
    <w:p w14:paraId="5D192D4A" w14:textId="77777777" w:rsidR="00041CC8" w:rsidRPr="005454C8" w:rsidRDefault="00041CC8" w:rsidP="00041CC8">
      <w:pPr>
        <w:autoSpaceDE w:val="0"/>
        <w:autoSpaceDN w:val="0"/>
        <w:adjustRightInd w:val="0"/>
      </w:pPr>
    </w:p>
    <w:p w14:paraId="29EB4694" w14:textId="77777777" w:rsidR="00041CC8" w:rsidRPr="009A1B7F" w:rsidRDefault="00041CC8" w:rsidP="00041CC8">
      <w:pPr>
        <w:autoSpaceDE w:val="0"/>
        <w:autoSpaceDN w:val="0"/>
        <w:adjustRightInd w:val="0"/>
        <w:rPr>
          <w:szCs w:val="22"/>
          <w:lang w:eastAsia="en-US"/>
        </w:rPr>
      </w:pPr>
      <w:r w:rsidRPr="005454C8">
        <w:t xml:space="preserve">Nepageidaujamo poveikio dažnis apibūdinamas taip: labai dažnas (≥ 1/10), dažnas (nuo ≥ 1/100 iki </w:t>
      </w:r>
      <w:r>
        <w:rPr>
          <w:spacing w:val="-1"/>
          <w:szCs w:val="22"/>
        </w:rPr>
        <w:t>&lt;</w:t>
      </w:r>
      <w:r w:rsidRPr="005454C8">
        <w:t xml:space="preserve"> 1/10), nedažnas (nuo ≥ 1/1000 iki </w:t>
      </w:r>
      <w:r>
        <w:rPr>
          <w:spacing w:val="-1"/>
          <w:szCs w:val="22"/>
        </w:rPr>
        <w:t>&lt;</w:t>
      </w:r>
      <w:r w:rsidRPr="005454C8">
        <w:t> 1/100), retas (nuo ≥ 1/</w:t>
      </w:r>
      <w:r w:rsidRPr="00EC01CE">
        <w:rPr>
          <w:szCs w:val="22"/>
        </w:rPr>
        <w:t>10000</w:t>
      </w:r>
      <w:r w:rsidRPr="00AB35E0">
        <w:t xml:space="preserve"> iki </w:t>
      </w:r>
      <w:r>
        <w:rPr>
          <w:spacing w:val="-1"/>
          <w:szCs w:val="22"/>
        </w:rPr>
        <w:t>&lt;</w:t>
      </w:r>
      <w:r w:rsidRPr="00AB35E0">
        <w:t xml:space="preserve"> 1/1000), </w:t>
      </w:r>
    </w:p>
    <w:p w14:paraId="41FF5550" w14:textId="77777777" w:rsidR="00041CC8" w:rsidRPr="00AB35E0" w:rsidRDefault="00041CC8" w:rsidP="00041CC8">
      <w:pPr>
        <w:autoSpaceDE w:val="0"/>
        <w:autoSpaceDN w:val="0"/>
        <w:adjustRightInd w:val="0"/>
      </w:pPr>
      <w:r w:rsidRPr="005454C8">
        <w:t>labai retas (</w:t>
      </w:r>
      <w:r>
        <w:rPr>
          <w:spacing w:val="-1"/>
          <w:szCs w:val="22"/>
        </w:rPr>
        <w:t>&lt;</w:t>
      </w:r>
      <w:r w:rsidRPr="005454C8">
        <w:t> 1/</w:t>
      </w:r>
      <w:r w:rsidRPr="00EC01CE">
        <w:rPr>
          <w:szCs w:val="22"/>
        </w:rPr>
        <w:t>10000</w:t>
      </w:r>
      <w:r w:rsidRPr="00AB35E0">
        <w:t>) ir nežinomas (negali būti apskaičiuotas pagal turimus duomenis).</w:t>
      </w:r>
    </w:p>
    <w:p w14:paraId="7B78A4B7" w14:textId="77777777" w:rsidR="00041CC8" w:rsidRPr="00AB35E0" w:rsidRDefault="00041CC8" w:rsidP="00041CC8">
      <w:pPr>
        <w:autoSpaceDE w:val="0"/>
        <w:autoSpaceDN w:val="0"/>
        <w:adjustRightInd w:val="0"/>
        <w:rPr>
          <w:rFonts w:eastAsia="Calibri"/>
        </w:rPr>
      </w:pPr>
      <w:r w:rsidRPr="00AB35E0">
        <w:rPr>
          <w:rFonts w:eastAsia="Calibri"/>
        </w:rPr>
        <w:t>Kiekvienoje grupėje nepageidaujamas poveikis pateiktas pagal jo sunkumo pobūdį.</w:t>
      </w:r>
    </w:p>
    <w:p w14:paraId="5E540BB2" w14:textId="77777777" w:rsidR="00041CC8" w:rsidRPr="00AB35E0" w:rsidRDefault="00041CC8" w:rsidP="00041CC8">
      <w:pPr>
        <w:autoSpaceDE w:val="0"/>
        <w:autoSpaceDN w:val="0"/>
        <w:adjustRightInd w:val="0"/>
        <w:jc w:val="both"/>
        <w:rPr>
          <w:rFonts w:eastAsia="Calibri"/>
        </w:rPr>
      </w:pPr>
    </w:p>
    <w:p w14:paraId="59519862" w14:textId="77777777" w:rsidR="00041CC8" w:rsidRDefault="00041CC8" w:rsidP="00041CC8">
      <w:pPr>
        <w:autoSpaceDE w:val="0"/>
        <w:autoSpaceDN w:val="0"/>
        <w:adjustRightInd w:val="0"/>
        <w:jc w:val="both"/>
        <w:rPr>
          <w:rFonts w:eastAsia="Calibri"/>
        </w:rPr>
      </w:pPr>
      <w:r w:rsidRPr="00AB35E0">
        <w:rPr>
          <w:rFonts w:eastAsia="Calibri"/>
        </w:rPr>
        <w:lastRenderedPageBreak/>
        <w:t>Nepageidaujamas poveikis, nustatytas asmenims, vartojantiems vorikonazolą.</w:t>
      </w:r>
    </w:p>
    <w:p w14:paraId="2A4FD6F2" w14:textId="77777777" w:rsidR="00041CC8" w:rsidRPr="00AB35E0" w:rsidRDefault="00041CC8" w:rsidP="00041CC8">
      <w:pPr>
        <w:autoSpaceDE w:val="0"/>
        <w:autoSpaceDN w:val="0"/>
        <w:adjustRightInd w:val="0"/>
        <w:jc w:val="both"/>
        <w:rPr>
          <w:rFonts w:eastAsia="Calibri"/>
        </w:rPr>
      </w:pPr>
    </w:p>
    <w:tbl>
      <w:tblPr>
        <w:tblW w:w="1007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20"/>
        <w:gridCol w:w="1902"/>
        <w:gridCol w:w="2165"/>
        <w:gridCol w:w="1695"/>
        <w:gridCol w:w="1376"/>
      </w:tblGrid>
      <w:tr w:rsidR="00041CC8" w:rsidRPr="009A1B7F" w14:paraId="32A98D0B" w14:textId="77777777" w:rsidTr="00A136A1">
        <w:trPr>
          <w:tblHeader/>
        </w:trPr>
        <w:tc>
          <w:tcPr>
            <w:tcW w:w="1658" w:type="dxa"/>
            <w:shd w:val="clear" w:color="auto" w:fill="auto"/>
          </w:tcPr>
          <w:p w14:paraId="53F5D89B"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Organų sistemų klasė</w:t>
            </w:r>
          </w:p>
        </w:tc>
        <w:tc>
          <w:tcPr>
            <w:tcW w:w="1301" w:type="dxa"/>
            <w:shd w:val="clear" w:color="auto" w:fill="auto"/>
          </w:tcPr>
          <w:p w14:paraId="19839238"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 xml:space="preserve">Labai </w:t>
            </w:r>
            <w:r w:rsidRPr="00982D99">
              <w:rPr>
                <w:bCs/>
                <w:i/>
                <w:iCs/>
                <w:position w:val="-1"/>
                <w:szCs w:val="22"/>
                <w:lang w:eastAsia="de-DE"/>
              </w:rPr>
              <w:t>dažnas</w:t>
            </w:r>
            <w:r w:rsidRPr="00982D99">
              <w:rPr>
                <w:bCs/>
                <w:i/>
                <w:iCs/>
                <w:position w:val="-1"/>
              </w:rPr>
              <w:t xml:space="preserve"> </w:t>
            </w:r>
          </w:p>
          <w:p w14:paraId="678D3500"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 xml:space="preserve"> ≥ 1/10</w:t>
            </w:r>
          </w:p>
        </w:tc>
        <w:tc>
          <w:tcPr>
            <w:tcW w:w="1942" w:type="dxa"/>
            <w:shd w:val="clear" w:color="auto" w:fill="auto"/>
          </w:tcPr>
          <w:p w14:paraId="2F3725DB" w14:textId="77777777" w:rsidR="00041CC8" w:rsidRPr="00982D99" w:rsidRDefault="00041CC8" w:rsidP="00A136A1">
            <w:pPr>
              <w:widowControl w:val="0"/>
              <w:autoSpaceDE w:val="0"/>
              <w:autoSpaceDN w:val="0"/>
              <w:adjustRightInd w:val="0"/>
              <w:spacing w:before="31" w:line="248" w:lineRule="exact"/>
              <w:jc w:val="center"/>
              <w:rPr>
                <w:bCs/>
                <w:i/>
                <w:iCs/>
                <w:position w:val="-1"/>
                <w:szCs w:val="22"/>
                <w:lang w:eastAsia="de-DE"/>
              </w:rPr>
            </w:pPr>
            <w:r w:rsidRPr="00982D99">
              <w:rPr>
                <w:bCs/>
                <w:i/>
                <w:iCs/>
                <w:position w:val="-1"/>
                <w:szCs w:val="22"/>
                <w:lang w:eastAsia="de-DE"/>
              </w:rPr>
              <w:t>Dažnas</w:t>
            </w:r>
          </w:p>
          <w:p w14:paraId="71B408C4"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nuo ≥ 1/100 iki</w:t>
            </w:r>
          </w:p>
          <w:p w14:paraId="22C1289D"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 xml:space="preserve"> &lt; 1/10</w:t>
            </w:r>
          </w:p>
        </w:tc>
        <w:tc>
          <w:tcPr>
            <w:tcW w:w="1988" w:type="dxa"/>
            <w:shd w:val="clear" w:color="auto" w:fill="auto"/>
          </w:tcPr>
          <w:p w14:paraId="673FC79B" w14:textId="77777777" w:rsidR="00041CC8" w:rsidRPr="00982D99" w:rsidRDefault="00041CC8" w:rsidP="00A136A1">
            <w:pPr>
              <w:widowControl w:val="0"/>
              <w:autoSpaceDE w:val="0"/>
              <w:autoSpaceDN w:val="0"/>
              <w:adjustRightInd w:val="0"/>
              <w:spacing w:before="31" w:line="248" w:lineRule="exact"/>
              <w:jc w:val="center"/>
              <w:rPr>
                <w:bCs/>
                <w:i/>
                <w:iCs/>
                <w:position w:val="-1"/>
                <w:szCs w:val="22"/>
                <w:lang w:eastAsia="de-DE"/>
              </w:rPr>
            </w:pPr>
            <w:r w:rsidRPr="00982D99">
              <w:rPr>
                <w:bCs/>
                <w:i/>
                <w:iCs/>
                <w:position w:val="-1"/>
                <w:szCs w:val="22"/>
                <w:lang w:eastAsia="de-DE"/>
              </w:rPr>
              <w:t>Nedažnas</w:t>
            </w:r>
          </w:p>
          <w:p w14:paraId="14D96478"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nuo  ≥ 1/1000</w:t>
            </w:r>
          </w:p>
          <w:p w14:paraId="72F01D4B"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 xml:space="preserve"> iki &lt; 1/100</w:t>
            </w:r>
          </w:p>
        </w:tc>
        <w:tc>
          <w:tcPr>
            <w:tcW w:w="1695" w:type="dxa"/>
            <w:shd w:val="clear" w:color="auto" w:fill="auto"/>
          </w:tcPr>
          <w:p w14:paraId="00A0ADF3" w14:textId="77777777" w:rsidR="00041CC8" w:rsidRPr="00982D99" w:rsidRDefault="00041CC8" w:rsidP="00A136A1">
            <w:pPr>
              <w:widowControl w:val="0"/>
              <w:autoSpaceDE w:val="0"/>
              <w:autoSpaceDN w:val="0"/>
              <w:adjustRightInd w:val="0"/>
              <w:spacing w:before="31" w:line="248" w:lineRule="exact"/>
              <w:jc w:val="center"/>
              <w:rPr>
                <w:bCs/>
                <w:i/>
                <w:iCs/>
                <w:position w:val="-1"/>
                <w:szCs w:val="22"/>
                <w:lang w:eastAsia="de-DE"/>
              </w:rPr>
            </w:pPr>
            <w:r w:rsidRPr="00982D99">
              <w:rPr>
                <w:bCs/>
                <w:i/>
                <w:iCs/>
                <w:position w:val="-1"/>
                <w:szCs w:val="22"/>
                <w:lang w:eastAsia="de-DE"/>
              </w:rPr>
              <w:t>Retas</w:t>
            </w:r>
          </w:p>
          <w:p w14:paraId="2F3E05BD"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nuo ≥ 1/10000 iki &lt; 1/1000</w:t>
            </w:r>
          </w:p>
        </w:tc>
        <w:tc>
          <w:tcPr>
            <w:tcW w:w="1487" w:type="dxa"/>
            <w:shd w:val="clear" w:color="auto" w:fill="auto"/>
          </w:tcPr>
          <w:p w14:paraId="796F01EB" w14:textId="77777777" w:rsidR="00041CC8" w:rsidRPr="00982D99" w:rsidRDefault="00041CC8" w:rsidP="00A136A1">
            <w:pPr>
              <w:widowControl w:val="0"/>
              <w:autoSpaceDE w:val="0"/>
              <w:autoSpaceDN w:val="0"/>
              <w:adjustRightInd w:val="0"/>
              <w:spacing w:before="31" w:line="248" w:lineRule="exact"/>
              <w:jc w:val="center"/>
              <w:rPr>
                <w:bCs/>
                <w:i/>
                <w:iCs/>
                <w:position w:val="-1"/>
              </w:rPr>
            </w:pPr>
            <w:r w:rsidRPr="00982D99">
              <w:rPr>
                <w:bCs/>
                <w:i/>
                <w:iCs/>
                <w:position w:val="-1"/>
              </w:rPr>
              <w:t>Dažnis nežinomas (negali būti įvertintas pagal turimus duomenis)</w:t>
            </w:r>
          </w:p>
        </w:tc>
      </w:tr>
      <w:tr w:rsidR="00041CC8" w:rsidRPr="009A1B7F" w14:paraId="2C2A77ED" w14:textId="77777777" w:rsidTr="00A136A1">
        <w:tc>
          <w:tcPr>
            <w:tcW w:w="1658" w:type="dxa"/>
            <w:shd w:val="clear" w:color="auto" w:fill="auto"/>
          </w:tcPr>
          <w:p w14:paraId="2D94BA2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Infekcijos ir infestacijos</w:t>
            </w:r>
          </w:p>
        </w:tc>
        <w:tc>
          <w:tcPr>
            <w:tcW w:w="1301" w:type="dxa"/>
            <w:shd w:val="clear" w:color="auto" w:fill="auto"/>
          </w:tcPr>
          <w:p w14:paraId="3DB77916"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42AD1CEE"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sinusitas</w:t>
            </w:r>
          </w:p>
        </w:tc>
        <w:tc>
          <w:tcPr>
            <w:tcW w:w="1988" w:type="dxa"/>
            <w:shd w:val="clear" w:color="auto" w:fill="auto"/>
          </w:tcPr>
          <w:p w14:paraId="063BAB6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pseudomembraninis kolitas</w:t>
            </w:r>
          </w:p>
        </w:tc>
        <w:tc>
          <w:tcPr>
            <w:tcW w:w="1695" w:type="dxa"/>
            <w:shd w:val="clear" w:color="auto" w:fill="auto"/>
          </w:tcPr>
          <w:p w14:paraId="3A2C740D"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566CEF70"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5059A97B" w14:textId="77777777" w:rsidTr="00A136A1">
        <w:tc>
          <w:tcPr>
            <w:tcW w:w="1658" w:type="dxa"/>
            <w:shd w:val="clear" w:color="auto" w:fill="auto"/>
          </w:tcPr>
          <w:p w14:paraId="74478993"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Gerybiniai, piktybiniai ir nepatikslinti navikai (tarp jų cistos ir polipai)</w:t>
            </w:r>
          </w:p>
        </w:tc>
        <w:tc>
          <w:tcPr>
            <w:tcW w:w="1301" w:type="dxa"/>
            <w:shd w:val="clear" w:color="auto" w:fill="auto"/>
          </w:tcPr>
          <w:p w14:paraId="7775BB5E"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42" w:type="dxa"/>
            <w:shd w:val="clear" w:color="auto" w:fill="auto"/>
          </w:tcPr>
          <w:p w14:paraId="7AA205CC" w14:textId="10714F62" w:rsidR="00041CC8" w:rsidRPr="005454C8" w:rsidRDefault="00303EB9" w:rsidP="00303EB9">
            <w:pPr>
              <w:widowControl w:val="0"/>
              <w:autoSpaceDE w:val="0"/>
              <w:autoSpaceDN w:val="0"/>
              <w:adjustRightInd w:val="0"/>
              <w:spacing w:before="31" w:line="248" w:lineRule="exact"/>
              <w:rPr>
                <w:position w:val="-1"/>
                <w:u w:val="single"/>
              </w:rPr>
            </w:pPr>
            <w:r w:rsidRPr="00303EB9">
              <w:rPr>
                <w:position w:val="-1"/>
                <w:u w:val="single"/>
              </w:rPr>
              <w:t>plokščiųjų ląstelių</w:t>
            </w:r>
            <w:r>
              <w:rPr>
                <w:position w:val="-1"/>
                <w:u w:val="single"/>
              </w:rPr>
              <w:t xml:space="preserve"> </w:t>
            </w:r>
            <w:r w:rsidRPr="00303EB9">
              <w:rPr>
                <w:position w:val="-1"/>
                <w:u w:val="single"/>
              </w:rPr>
              <w:t>karcinoma</w:t>
            </w:r>
            <w:r>
              <w:rPr>
                <w:position w:val="-1"/>
                <w:u w:val="single"/>
              </w:rPr>
              <w:t xml:space="preserve"> </w:t>
            </w:r>
            <w:r w:rsidRPr="00303EB9">
              <w:rPr>
                <w:position w:val="-1"/>
                <w:u w:val="single"/>
              </w:rPr>
              <w:t>(įskaitant odos PLV</w:t>
            </w:r>
            <w:r>
              <w:rPr>
                <w:position w:val="-1"/>
                <w:u w:val="single"/>
              </w:rPr>
              <w:t xml:space="preserve"> </w:t>
            </w:r>
            <w:r w:rsidRPr="00303EB9">
              <w:rPr>
                <w:i/>
                <w:iCs/>
                <w:position w:val="-1"/>
                <w:u w:val="single"/>
              </w:rPr>
              <w:t>in situ</w:t>
            </w:r>
            <w:r w:rsidRPr="00303EB9">
              <w:rPr>
                <w:position w:val="-1"/>
                <w:u w:val="single"/>
              </w:rPr>
              <w:t xml:space="preserve"> arba Boveno</w:t>
            </w:r>
            <w:r>
              <w:rPr>
                <w:position w:val="-1"/>
                <w:u w:val="single"/>
              </w:rPr>
              <w:t xml:space="preserve"> </w:t>
            </w:r>
            <w:r w:rsidRPr="00303EB9">
              <w:rPr>
                <w:position w:val="-1"/>
                <w:u w:val="single"/>
              </w:rPr>
              <w:t>(</w:t>
            </w:r>
            <w:r w:rsidRPr="00303EB9">
              <w:rPr>
                <w:i/>
                <w:iCs/>
                <w:position w:val="-1"/>
                <w:u w:val="single"/>
              </w:rPr>
              <w:t>Bowen‘s</w:t>
            </w:r>
            <w:r w:rsidRPr="00303EB9">
              <w:rPr>
                <w:position w:val="-1"/>
                <w:u w:val="single"/>
              </w:rPr>
              <w:t>) ligą)*,**</w:t>
            </w:r>
          </w:p>
        </w:tc>
        <w:tc>
          <w:tcPr>
            <w:tcW w:w="1988" w:type="dxa"/>
            <w:shd w:val="clear" w:color="auto" w:fill="auto"/>
          </w:tcPr>
          <w:p w14:paraId="34C55EAB"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695" w:type="dxa"/>
            <w:shd w:val="clear" w:color="auto" w:fill="auto"/>
          </w:tcPr>
          <w:p w14:paraId="12CD8DD5"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72C6D155" w14:textId="3935573F"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1871AEFF" w14:textId="77777777" w:rsidTr="00A136A1">
        <w:tc>
          <w:tcPr>
            <w:tcW w:w="1658" w:type="dxa"/>
            <w:shd w:val="clear" w:color="auto" w:fill="auto"/>
          </w:tcPr>
          <w:p w14:paraId="1AC7BA6A"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Kraujo ir limfinės sistemos sutrikimai</w:t>
            </w:r>
          </w:p>
        </w:tc>
        <w:tc>
          <w:tcPr>
            <w:tcW w:w="1301" w:type="dxa"/>
            <w:shd w:val="clear" w:color="auto" w:fill="auto"/>
          </w:tcPr>
          <w:p w14:paraId="7B47291B"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42" w:type="dxa"/>
            <w:shd w:val="clear" w:color="auto" w:fill="auto"/>
          </w:tcPr>
          <w:p w14:paraId="7400DE47"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agranuliocitozė</w:t>
            </w:r>
            <w:r w:rsidRPr="005454C8">
              <w:rPr>
                <w:rFonts w:eastAsia="Calibri"/>
                <w:vertAlign w:val="superscript"/>
              </w:rPr>
              <w:t>1</w:t>
            </w:r>
            <w:r w:rsidRPr="005454C8">
              <w:rPr>
                <w:rFonts w:eastAsia="Calibri"/>
              </w:rPr>
              <w:t>, pancitopenija, trombocitopenija, leukopenija, anemija</w:t>
            </w:r>
          </w:p>
        </w:tc>
        <w:tc>
          <w:tcPr>
            <w:tcW w:w="1988" w:type="dxa"/>
            <w:shd w:val="clear" w:color="auto" w:fill="auto"/>
          </w:tcPr>
          <w:p w14:paraId="605C322B"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kaulų čiulpų nepakankamumas, limfadenopatija, eozinofilija</w:t>
            </w:r>
          </w:p>
        </w:tc>
        <w:tc>
          <w:tcPr>
            <w:tcW w:w="1695" w:type="dxa"/>
            <w:shd w:val="clear" w:color="auto" w:fill="auto"/>
          </w:tcPr>
          <w:p w14:paraId="4BFD7682"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diseminuota intravaskuliarinė koaguliacija</w:t>
            </w:r>
          </w:p>
        </w:tc>
        <w:tc>
          <w:tcPr>
            <w:tcW w:w="1487" w:type="dxa"/>
            <w:shd w:val="clear" w:color="auto" w:fill="auto"/>
          </w:tcPr>
          <w:p w14:paraId="55B83FBA"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2735EDF3" w14:textId="77777777" w:rsidTr="00A136A1">
        <w:tc>
          <w:tcPr>
            <w:tcW w:w="1658" w:type="dxa"/>
            <w:shd w:val="clear" w:color="auto" w:fill="auto"/>
          </w:tcPr>
          <w:p w14:paraId="5C5319BE"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Imuninės sistemos sutrikimai</w:t>
            </w:r>
          </w:p>
        </w:tc>
        <w:tc>
          <w:tcPr>
            <w:tcW w:w="1301" w:type="dxa"/>
            <w:shd w:val="clear" w:color="auto" w:fill="auto"/>
          </w:tcPr>
          <w:p w14:paraId="7B0F7532"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1B1003F1" w14:textId="77777777" w:rsidR="00041CC8" w:rsidRPr="005454C8" w:rsidRDefault="00041CC8" w:rsidP="00A136A1">
            <w:pPr>
              <w:widowControl w:val="0"/>
              <w:autoSpaceDE w:val="0"/>
              <w:autoSpaceDN w:val="0"/>
              <w:adjustRightInd w:val="0"/>
              <w:spacing w:before="31" w:line="248" w:lineRule="exact"/>
              <w:rPr>
                <w:position w:val="-1"/>
              </w:rPr>
            </w:pPr>
          </w:p>
        </w:tc>
        <w:tc>
          <w:tcPr>
            <w:tcW w:w="1988" w:type="dxa"/>
            <w:shd w:val="clear" w:color="auto" w:fill="auto"/>
          </w:tcPr>
          <w:p w14:paraId="5073E2EE" w14:textId="77777777" w:rsidR="00041CC8" w:rsidRPr="005454C8" w:rsidRDefault="00041CC8" w:rsidP="00A136A1">
            <w:pPr>
              <w:widowControl w:val="0"/>
              <w:autoSpaceDE w:val="0"/>
              <w:autoSpaceDN w:val="0"/>
              <w:adjustRightInd w:val="0"/>
              <w:spacing w:before="31" w:line="248" w:lineRule="exact"/>
              <w:jc w:val="both"/>
              <w:rPr>
                <w:position w:val="-1"/>
              </w:rPr>
            </w:pPr>
            <w:r w:rsidRPr="005454C8">
              <w:rPr>
                <w:position w:val="-1"/>
              </w:rPr>
              <w:t>padidėjęs jautrumas</w:t>
            </w:r>
          </w:p>
        </w:tc>
        <w:tc>
          <w:tcPr>
            <w:tcW w:w="1695" w:type="dxa"/>
            <w:shd w:val="clear" w:color="auto" w:fill="auto"/>
          </w:tcPr>
          <w:p w14:paraId="08D5AF03"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anafilaktoidinė reakcija</w:t>
            </w:r>
          </w:p>
        </w:tc>
        <w:tc>
          <w:tcPr>
            <w:tcW w:w="1487" w:type="dxa"/>
            <w:shd w:val="clear" w:color="auto" w:fill="auto"/>
          </w:tcPr>
          <w:p w14:paraId="08A7C4CF"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3CF0764A" w14:textId="77777777" w:rsidTr="00A136A1">
        <w:tc>
          <w:tcPr>
            <w:tcW w:w="1658" w:type="dxa"/>
            <w:shd w:val="clear" w:color="auto" w:fill="auto"/>
          </w:tcPr>
          <w:p w14:paraId="5AF65852"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Endokrininiai sutrikimai</w:t>
            </w:r>
          </w:p>
        </w:tc>
        <w:tc>
          <w:tcPr>
            <w:tcW w:w="1301" w:type="dxa"/>
            <w:shd w:val="clear" w:color="auto" w:fill="auto"/>
          </w:tcPr>
          <w:p w14:paraId="37A721D9"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21CA566E" w14:textId="77777777" w:rsidR="00041CC8" w:rsidRPr="005454C8" w:rsidRDefault="00041CC8" w:rsidP="00A136A1">
            <w:pPr>
              <w:widowControl w:val="0"/>
              <w:autoSpaceDE w:val="0"/>
              <w:autoSpaceDN w:val="0"/>
              <w:adjustRightInd w:val="0"/>
              <w:spacing w:before="31" w:line="248" w:lineRule="exact"/>
              <w:rPr>
                <w:position w:val="-1"/>
              </w:rPr>
            </w:pPr>
          </w:p>
        </w:tc>
        <w:tc>
          <w:tcPr>
            <w:tcW w:w="1988" w:type="dxa"/>
            <w:shd w:val="clear" w:color="auto" w:fill="auto"/>
          </w:tcPr>
          <w:p w14:paraId="6A627035"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antinksčių nepakankamumas, </w:t>
            </w:r>
            <w:r w:rsidRPr="009A1B7F">
              <w:rPr>
                <w:position w:val="-1"/>
                <w:szCs w:val="22"/>
                <w:lang w:eastAsia="de-DE"/>
              </w:rPr>
              <w:t>hipotirozė</w:t>
            </w:r>
          </w:p>
        </w:tc>
        <w:tc>
          <w:tcPr>
            <w:tcW w:w="1695" w:type="dxa"/>
            <w:shd w:val="clear" w:color="auto" w:fill="auto"/>
          </w:tcPr>
          <w:p w14:paraId="5D778E93" w14:textId="77777777" w:rsidR="00041CC8" w:rsidRPr="005454C8" w:rsidRDefault="00041CC8" w:rsidP="00A136A1">
            <w:pPr>
              <w:widowControl w:val="0"/>
              <w:autoSpaceDE w:val="0"/>
              <w:autoSpaceDN w:val="0"/>
              <w:adjustRightInd w:val="0"/>
              <w:spacing w:before="31" w:line="248" w:lineRule="exact"/>
              <w:rPr>
                <w:position w:val="-1"/>
              </w:rPr>
            </w:pPr>
            <w:r w:rsidRPr="009A1B7F">
              <w:rPr>
                <w:position w:val="-1"/>
                <w:szCs w:val="22"/>
                <w:lang w:eastAsia="de-DE"/>
              </w:rPr>
              <w:t>hipertirozė</w:t>
            </w:r>
          </w:p>
        </w:tc>
        <w:tc>
          <w:tcPr>
            <w:tcW w:w="1487" w:type="dxa"/>
            <w:shd w:val="clear" w:color="auto" w:fill="auto"/>
          </w:tcPr>
          <w:p w14:paraId="4EA577C4"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1B9710D6" w14:textId="77777777" w:rsidTr="00A136A1">
        <w:tc>
          <w:tcPr>
            <w:tcW w:w="1658" w:type="dxa"/>
            <w:shd w:val="clear" w:color="auto" w:fill="auto"/>
          </w:tcPr>
          <w:p w14:paraId="6FF6D7C9"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Metabolizmo ir mitybos sutrikimai</w:t>
            </w:r>
          </w:p>
        </w:tc>
        <w:tc>
          <w:tcPr>
            <w:tcW w:w="1301" w:type="dxa"/>
            <w:shd w:val="clear" w:color="auto" w:fill="auto"/>
          </w:tcPr>
          <w:p w14:paraId="6BC1313A" w14:textId="77777777" w:rsidR="00041CC8" w:rsidRPr="005454C8" w:rsidRDefault="00041CC8" w:rsidP="00A136A1">
            <w:pPr>
              <w:widowControl w:val="0"/>
              <w:autoSpaceDE w:val="0"/>
              <w:autoSpaceDN w:val="0"/>
              <w:adjustRightInd w:val="0"/>
              <w:spacing w:before="31" w:line="248" w:lineRule="exact"/>
            </w:pPr>
            <w:r w:rsidRPr="005454C8">
              <w:rPr>
                <w:position w:val="-1"/>
              </w:rPr>
              <w:t>periferinė edema</w:t>
            </w:r>
          </w:p>
        </w:tc>
        <w:tc>
          <w:tcPr>
            <w:tcW w:w="1942" w:type="dxa"/>
            <w:shd w:val="clear" w:color="auto" w:fill="auto"/>
          </w:tcPr>
          <w:p w14:paraId="6D8A7DF8"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hipoglikemija,</w:t>
            </w:r>
          </w:p>
          <w:p w14:paraId="750F95B1"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hipokalemija,</w:t>
            </w:r>
          </w:p>
          <w:p w14:paraId="71EE9837"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hiponatremija</w:t>
            </w:r>
          </w:p>
        </w:tc>
        <w:tc>
          <w:tcPr>
            <w:tcW w:w="1988" w:type="dxa"/>
            <w:shd w:val="clear" w:color="auto" w:fill="auto"/>
          </w:tcPr>
          <w:p w14:paraId="69526BFE" w14:textId="77777777" w:rsidR="00041CC8" w:rsidRPr="005454C8" w:rsidRDefault="00041CC8" w:rsidP="00A136A1">
            <w:pPr>
              <w:widowControl w:val="0"/>
              <w:autoSpaceDE w:val="0"/>
              <w:autoSpaceDN w:val="0"/>
              <w:adjustRightInd w:val="0"/>
              <w:spacing w:before="31" w:line="248" w:lineRule="exact"/>
              <w:rPr>
                <w:position w:val="-1"/>
              </w:rPr>
            </w:pPr>
          </w:p>
        </w:tc>
        <w:tc>
          <w:tcPr>
            <w:tcW w:w="1695" w:type="dxa"/>
            <w:shd w:val="clear" w:color="auto" w:fill="auto"/>
          </w:tcPr>
          <w:p w14:paraId="1A05CC69"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6B7FA984"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6635A4E8" w14:textId="77777777" w:rsidTr="00A136A1">
        <w:tc>
          <w:tcPr>
            <w:tcW w:w="1658" w:type="dxa"/>
            <w:shd w:val="clear" w:color="auto" w:fill="auto"/>
          </w:tcPr>
          <w:p w14:paraId="0D6D9A2B"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Psichikos sutrikimai</w:t>
            </w:r>
          </w:p>
        </w:tc>
        <w:tc>
          <w:tcPr>
            <w:tcW w:w="1301" w:type="dxa"/>
            <w:shd w:val="clear" w:color="auto" w:fill="auto"/>
          </w:tcPr>
          <w:p w14:paraId="40C00E7B"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22F85AA1"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depresija, haliucinacijos, nerimas, nemiga, sujaudinimas, sumišimo būklė</w:t>
            </w:r>
          </w:p>
        </w:tc>
        <w:tc>
          <w:tcPr>
            <w:tcW w:w="1988" w:type="dxa"/>
            <w:shd w:val="clear" w:color="auto" w:fill="auto"/>
          </w:tcPr>
          <w:p w14:paraId="2CB99314" w14:textId="77777777" w:rsidR="00041CC8" w:rsidRPr="005454C8" w:rsidRDefault="00041CC8" w:rsidP="00A136A1">
            <w:pPr>
              <w:widowControl w:val="0"/>
              <w:autoSpaceDE w:val="0"/>
              <w:autoSpaceDN w:val="0"/>
              <w:adjustRightInd w:val="0"/>
              <w:spacing w:before="31" w:line="248" w:lineRule="exact"/>
              <w:rPr>
                <w:position w:val="-1"/>
              </w:rPr>
            </w:pPr>
          </w:p>
        </w:tc>
        <w:tc>
          <w:tcPr>
            <w:tcW w:w="1695" w:type="dxa"/>
            <w:shd w:val="clear" w:color="auto" w:fill="auto"/>
          </w:tcPr>
          <w:p w14:paraId="664C2FC5"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13D179AD"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36A68A39" w14:textId="77777777" w:rsidTr="00A136A1">
        <w:tc>
          <w:tcPr>
            <w:tcW w:w="1658" w:type="dxa"/>
            <w:shd w:val="clear" w:color="auto" w:fill="auto"/>
          </w:tcPr>
          <w:p w14:paraId="330447ED"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Nervų sistemos sutrikimai</w:t>
            </w:r>
          </w:p>
        </w:tc>
        <w:tc>
          <w:tcPr>
            <w:tcW w:w="1301" w:type="dxa"/>
            <w:shd w:val="clear" w:color="auto" w:fill="auto"/>
          </w:tcPr>
          <w:p w14:paraId="46481B4D" w14:textId="77777777" w:rsidR="00041CC8" w:rsidRPr="005454C8" w:rsidRDefault="00041CC8" w:rsidP="00A136A1">
            <w:pPr>
              <w:widowControl w:val="0"/>
              <w:autoSpaceDE w:val="0"/>
              <w:autoSpaceDN w:val="0"/>
              <w:adjustRightInd w:val="0"/>
              <w:spacing w:before="31" w:line="248" w:lineRule="exact"/>
            </w:pPr>
            <w:r w:rsidRPr="005454C8">
              <w:rPr>
                <w:position w:val="-1"/>
              </w:rPr>
              <w:t>galvos skausmas</w:t>
            </w:r>
          </w:p>
        </w:tc>
        <w:tc>
          <w:tcPr>
            <w:tcW w:w="1942" w:type="dxa"/>
            <w:shd w:val="clear" w:color="auto" w:fill="auto"/>
          </w:tcPr>
          <w:p w14:paraId="574C2865" w14:textId="77777777" w:rsidR="00041CC8" w:rsidRPr="005454C8" w:rsidRDefault="00041CC8" w:rsidP="00A136A1">
            <w:pPr>
              <w:widowControl w:val="0"/>
              <w:autoSpaceDE w:val="0"/>
              <w:autoSpaceDN w:val="0"/>
              <w:adjustRightInd w:val="0"/>
              <w:spacing w:before="31" w:line="248" w:lineRule="exact"/>
              <w:rPr>
                <w:position w:val="-1"/>
              </w:rPr>
            </w:pPr>
            <w:r w:rsidRPr="005454C8">
              <w:rPr>
                <w:rFonts w:eastAsia="Calibri"/>
              </w:rPr>
              <w:t>traukuliai, sinkopė, drebulys, hipertonija</w:t>
            </w:r>
            <w:r w:rsidRPr="005454C8">
              <w:rPr>
                <w:rFonts w:eastAsia="Calibri"/>
                <w:vertAlign w:val="superscript"/>
              </w:rPr>
              <w:t>3</w:t>
            </w:r>
            <w:r w:rsidRPr="005454C8">
              <w:rPr>
                <w:rFonts w:eastAsia="Calibri"/>
              </w:rPr>
              <w:t xml:space="preserve">, parestezija, mieguistumas, </w:t>
            </w:r>
            <w:r w:rsidRPr="005454C8">
              <w:t>svaigulys</w:t>
            </w:r>
          </w:p>
        </w:tc>
        <w:tc>
          <w:tcPr>
            <w:tcW w:w="1988" w:type="dxa"/>
            <w:shd w:val="clear" w:color="auto" w:fill="auto"/>
          </w:tcPr>
          <w:p w14:paraId="1FB69937"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smegenų edema, encefalopatija</w:t>
            </w:r>
            <w:r w:rsidRPr="005454C8">
              <w:rPr>
                <w:position w:val="-1"/>
                <w:vertAlign w:val="superscript"/>
              </w:rPr>
              <w:t>4</w:t>
            </w:r>
            <w:r w:rsidRPr="005454C8">
              <w:rPr>
                <w:position w:val="-1"/>
              </w:rPr>
              <w:t>, ekstrapiramidinis sutrikimas</w:t>
            </w:r>
            <w:r w:rsidRPr="005454C8">
              <w:rPr>
                <w:position w:val="-1"/>
                <w:vertAlign w:val="superscript"/>
              </w:rPr>
              <w:t>5</w:t>
            </w:r>
            <w:r w:rsidRPr="005454C8">
              <w:rPr>
                <w:position w:val="-1"/>
              </w:rPr>
              <w:t xml:space="preserve">, periferinė neuropatija, ataksija, </w:t>
            </w:r>
            <w:r w:rsidRPr="009A1B7F">
              <w:rPr>
                <w:position w:val="-1"/>
                <w:szCs w:val="22"/>
                <w:lang w:eastAsia="de-DE"/>
              </w:rPr>
              <w:t>hipestezija</w:t>
            </w:r>
            <w:r w:rsidRPr="005454C8">
              <w:rPr>
                <w:position w:val="-1"/>
              </w:rPr>
              <w:t>, disgeuzija</w:t>
            </w:r>
          </w:p>
        </w:tc>
        <w:tc>
          <w:tcPr>
            <w:tcW w:w="1695" w:type="dxa"/>
            <w:shd w:val="clear" w:color="auto" w:fill="auto"/>
          </w:tcPr>
          <w:p w14:paraId="3B208363"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hepatinė encefalopatija, </w:t>
            </w:r>
            <w:r w:rsidRPr="005454C8">
              <w:rPr>
                <w:i/>
                <w:position w:val="-1"/>
              </w:rPr>
              <w:t>Guillain-Barre</w:t>
            </w:r>
            <w:r w:rsidRPr="005454C8">
              <w:rPr>
                <w:position w:val="-1"/>
              </w:rPr>
              <w:t xml:space="preserve"> sindromas, nistagmas</w:t>
            </w:r>
          </w:p>
        </w:tc>
        <w:tc>
          <w:tcPr>
            <w:tcW w:w="1487" w:type="dxa"/>
            <w:shd w:val="clear" w:color="auto" w:fill="auto"/>
          </w:tcPr>
          <w:p w14:paraId="695D2D7A"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4A02C769" w14:textId="77777777" w:rsidTr="00A136A1">
        <w:tc>
          <w:tcPr>
            <w:tcW w:w="1658" w:type="dxa"/>
            <w:shd w:val="clear" w:color="auto" w:fill="auto"/>
          </w:tcPr>
          <w:p w14:paraId="2E116B93"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Akių sutrikimai</w:t>
            </w:r>
          </w:p>
        </w:tc>
        <w:tc>
          <w:tcPr>
            <w:tcW w:w="1301" w:type="dxa"/>
            <w:shd w:val="clear" w:color="auto" w:fill="auto"/>
          </w:tcPr>
          <w:p w14:paraId="6D58A916"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regėjimo sutrikimas</w:t>
            </w:r>
            <w:r w:rsidRPr="005454C8">
              <w:rPr>
                <w:position w:val="-1"/>
                <w:vertAlign w:val="superscript"/>
              </w:rPr>
              <w:t>6</w:t>
            </w:r>
          </w:p>
        </w:tc>
        <w:tc>
          <w:tcPr>
            <w:tcW w:w="1942" w:type="dxa"/>
            <w:shd w:val="clear" w:color="auto" w:fill="auto"/>
          </w:tcPr>
          <w:p w14:paraId="7D5BA427"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tinklainės </w:t>
            </w:r>
            <w:r w:rsidRPr="009A1B7F">
              <w:rPr>
                <w:position w:val="-1"/>
                <w:szCs w:val="22"/>
                <w:lang w:eastAsia="de-DE"/>
              </w:rPr>
              <w:t>kraujosruva</w:t>
            </w:r>
          </w:p>
        </w:tc>
        <w:tc>
          <w:tcPr>
            <w:tcW w:w="1988" w:type="dxa"/>
            <w:shd w:val="clear" w:color="auto" w:fill="auto"/>
          </w:tcPr>
          <w:p w14:paraId="3FB5736A"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regos nervo sutrikimas</w:t>
            </w:r>
            <w:r w:rsidRPr="005454C8">
              <w:rPr>
                <w:position w:val="-1"/>
                <w:vertAlign w:val="superscript"/>
              </w:rPr>
              <w:t>7</w:t>
            </w:r>
            <w:r w:rsidRPr="005454C8">
              <w:rPr>
                <w:position w:val="-1"/>
              </w:rPr>
              <w:t xml:space="preserve">, </w:t>
            </w:r>
          </w:p>
          <w:p w14:paraId="2F197E1A"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regos nervo disko edema/papiloedema</w:t>
            </w:r>
            <w:r w:rsidRPr="005454C8">
              <w:rPr>
                <w:position w:val="-1"/>
                <w:vertAlign w:val="superscript"/>
              </w:rPr>
              <w:t>8</w:t>
            </w:r>
            <w:r w:rsidRPr="005454C8">
              <w:rPr>
                <w:position w:val="-1"/>
              </w:rPr>
              <w:t>, okulogirinė krizė,</w:t>
            </w:r>
          </w:p>
          <w:p w14:paraId="00078810"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diplopija, skleritas, blefaritas</w:t>
            </w:r>
          </w:p>
        </w:tc>
        <w:tc>
          <w:tcPr>
            <w:tcW w:w="1695" w:type="dxa"/>
            <w:shd w:val="clear" w:color="auto" w:fill="auto"/>
          </w:tcPr>
          <w:p w14:paraId="3BFB6E68"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regos nervo atrofija, ragenos drumstis</w:t>
            </w:r>
          </w:p>
          <w:p w14:paraId="37C76626"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77A6832A"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0E20B207" w14:textId="77777777" w:rsidTr="00A136A1">
        <w:tc>
          <w:tcPr>
            <w:tcW w:w="1658" w:type="dxa"/>
            <w:shd w:val="clear" w:color="auto" w:fill="auto"/>
          </w:tcPr>
          <w:p w14:paraId="67A8E960"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Ausų ir labirintų sutrikimai</w:t>
            </w:r>
          </w:p>
        </w:tc>
        <w:tc>
          <w:tcPr>
            <w:tcW w:w="1301" w:type="dxa"/>
            <w:shd w:val="clear" w:color="auto" w:fill="auto"/>
          </w:tcPr>
          <w:p w14:paraId="560DE6BC"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42" w:type="dxa"/>
            <w:shd w:val="clear" w:color="auto" w:fill="auto"/>
          </w:tcPr>
          <w:p w14:paraId="6E59927C"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88" w:type="dxa"/>
            <w:shd w:val="clear" w:color="auto" w:fill="auto"/>
          </w:tcPr>
          <w:p w14:paraId="7D55973A"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klausos aštrumo sumažėjimas, galvos svaigimas (</w:t>
            </w:r>
            <w:r w:rsidRPr="005454C8">
              <w:rPr>
                <w:i/>
                <w:position w:val="-1"/>
              </w:rPr>
              <w:t>vertigo</w:t>
            </w:r>
            <w:r w:rsidRPr="005454C8">
              <w:rPr>
                <w:position w:val="-1"/>
              </w:rPr>
              <w:t>), ūžesys</w:t>
            </w:r>
          </w:p>
        </w:tc>
        <w:tc>
          <w:tcPr>
            <w:tcW w:w="1695" w:type="dxa"/>
            <w:shd w:val="clear" w:color="auto" w:fill="auto"/>
          </w:tcPr>
          <w:p w14:paraId="579799C2"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6DF293E5"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419DC0B7" w14:textId="77777777" w:rsidTr="00A136A1">
        <w:tc>
          <w:tcPr>
            <w:tcW w:w="1658" w:type="dxa"/>
            <w:shd w:val="clear" w:color="auto" w:fill="auto"/>
          </w:tcPr>
          <w:p w14:paraId="175A7782"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Širdies sutrikimai</w:t>
            </w:r>
          </w:p>
        </w:tc>
        <w:tc>
          <w:tcPr>
            <w:tcW w:w="1301" w:type="dxa"/>
            <w:shd w:val="clear" w:color="auto" w:fill="auto"/>
          </w:tcPr>
          <w:p w14:paraId="04A77C37"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2854F01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supraventrikulinė aritmija, </w:t>
            </w:r>
            <w:r w:rsidRPr="005454C8">
              <w:rPr>
                <w:position w:val="-1"/>
              </w:rPr>
              <w:lastRenderedPageBreak/>
              <w:t>tachikardija, bradikardija</w:t>
            </w:r>
          </w:p>
          <w:p w14:paraId="5D8C9A32" w14:textId="77777777" w:rsidR="00041CC8" w:rsidRPr="005454C8" w:rsidRDefault="00041CC8" w:rsidP="00A136A1">
            <w:pPr>
              <w:widowControl w:val="0"/>
              <w:autoSpaceDE w:val="0"/>
              <w:autoSpaceDN w:val="0"/>
              <w:adjustRightInd w:val="0"/>
              <w:spacing w:before="31" w:line="248" w:lineRule="exact"/>
              <w:rPr>
                <w:position w:val="-1"/>
              </w:rPr>
            </w:pPr>
          </w:p>
        </w:tc>
        <w:tc>
          <w:tcPr>
            <w:tcW w:w="1988" w:type="dxa"/>
            <w:shd w:val="clear" w:color="auto" w:fill="auto"/>
          </w:tcPr>
          <w:p w14:paraId="76044E32" w14:textId="77777777" w:rsidR="00041CC8" w:rsidRPr="005454C8" w:rsidRDefault="00041CC8" w:rsidP="00A136A1">
            <w:r w:rsidRPr="005454C8">
              <w:lastRenderedPageBreak/>
              <w:t xml:space="preserve">skilvelių virpėjimas, skilvelių </w:t>
            </w:r>
            <w:r w:rsidRPr="005454C8">
              <w:lastRenderedPageBreak/>
              <w:t>ekstrasistolės,  skilvelių tachikardija, pailgėjęs QT intervalas elektrokardiogramoje, supraventrikulinė tachikardija</w:t>
            </w:r>
          </w:p>
        </w:tc>
        <w:tc>
          <w:tcPr>
            <w:tcW w:w="1695" w:type="dxa"/>
            <w:shd w:val="clear" w:color="auto" w:fill="auto"/>
          </w:tcPr>
          <w:p w14:paraId="1E38D2CC" w14:textId="77777777" w:rsidR="00041CC8" w:rsidRPr="005454C8" w:rsidRDefault="00041CC8" w:rsidP="00A136A1">
            <w:pPr>
              <w:widowControl w:val="0"/>
              <w:autoSpaceDE w:val="0"/>
              <w:autoSpaceDN w:val="0"/>
              <w:adjustRightInd w:val="0"/>
              <w:spacing w:before="31" w:line="248" w:lineRule="exact"/>
              <w:rPr>
                <w:position w:val="-1"/>
              </w:rPr>
            </w:pPr>
            <w:r w:rsidRPr="005454C8">
              <w:rPr>
                <w:i/>
                <w:position w:val="-1"/>
              </w:rPr>
              <w:lastRenderedPageBreak/>
              <w:t>torsades de pointes</w:t>
            </w:r>
            <w:r w:rsidRPr="005454C8">
              <w:rPr>
                <w:position w:val="-1"/>
              </w:rPr>
              <w:t xml:space="preserve">, visiška </w:t>
            </w:r>
            <w:r w:rsidRPr="005454C8">
              <w:rPr>
                <w:position w:val="-1"/>
              </w:rPr>
              <w:lastRenderedPageBreak/>
              <w:t xml:space="preserve">atrioventrikulinė blokada, </w:t>
            </w:r>
            <w:r w:rsidRPr="005454C8">
              <w:rPr>
                <w:i/>
                <w:position w:val="-1"/>
              </w:rPr>
              <w:t>Hiso</w:t>
            </w:r>
            <w:r w:rsidRPr="005454C8">
              <w:rPr>
                <w:position w:val="-1"/>
              </w:rPr>
              <w:t xml:space="preserve"> pluošto kojytės blokada, mazginis ritmas</w:t>
            </w:r>
          </w:p>
        </w:tc>
        <w:tc>
          <w:tcPr>
            <w:tcW w:w="1487" w:type="dxa"/>
            <w:shd w:val="clear" w:color="auto" w:fill="auto"/>
          </w:tcPr>
          <w:p w14:paraId="04FB8EB1"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4231E7A7" w14:textId="77777777" w:rsidTr="00A136A1">
        <w:tc>
          <w:tcPr>
            <w:tcW w:w="1658" w:type="dxa"/>
            <w:shd w:val="clear" w:color="auto" w:fill="auto"/>
          </w:tcPr>
          <w:p w14:paraId="5BF710F5"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Kraujagyslių sutrikimai</w:t>
            </w:r>
          </w:p>
        </w:tc>
        <w:tc>
          <w:tcPr>
            <w:tcW w:w="1301" w:type="dxa"/>
            <w:shd w:val="clear" w:color="auto" w:fill="auto"/>
          </w:tcPr>
          <w:p w14:paraId="30527719" w14:textId="77777777" w:rsidR="00041CC8" w:rsidRPr="005454C8" w:rsidRDefault="00041CC8" w:rsidP="00A136A1">
            <w:pPr>
              <w:widowControl w:val="0"/>
              <w:autoSpaceDE w:val="0"/>
              <w:autoSpaceDN w:val="0"/>
              <w:adjustRightInd w:val="0"/>
              <w:spacing w:before="31" w:line="248" w:lineRule="exact"/>
              <w:rPr>
                <w:position w:val="-1"/>
              </w:rPr>
            </w:pPr>
          </w:p>
        </w:tc>
        <w:tc>
          <w:tcPr>
            <w:tcW w:w="1942" w:type="dxa"/>
            <w:shd w:val="clear" w:color="auto" w:fill="auto"/>
          </w:tcPr>
          <w:p w14:paraId="66AFC9BB"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hipotenzija, flebitas</w:t>
            </w:r>
          </w:p>
        </w:tc>
        <w:tc>
          <w:tcPr>
            <w:tcW w:w="1988" w:type="dxa"/>
            <w:shd w:val="clear" w:color="auto" w:fill="auto"/>
          </w:tcPr>
          <w:p w14:paraId="00DAE800"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tromboflebitas, limfagitas</w:t>
            </w:r>
          </w:p>
        </w:tc>
        <w:tc>
          <w:tcPr>
            <w:tcW w:w="1695" w:type="dxa"/>
            <w:shd w:val="clear" w:color="auto" w:fill="auto"/>
          </w:tcPr>
          <w:p w14:paraId="6902EC0A"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302623A3" w14:textId="77777777"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4F215E8C" w14:textId="77777777" w:rsidTr="00A136A1">
        <w:tc>
          <w:tcPr>
            <w:tcW w:w="1658" w:type="dxa"/>
            <w:shd w:val="clear" w:color="auto" w:fill="auto"/>
          </w:tcPr>
          <w:p w14:paraId="0F90B76E"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Kvėpavimo sistemos, krūtinės ląstos ir tarpuplaučio sutrikimai</w:t>
            </w:r>
          </w:p>
        </w:tc>
        <w:tc>
          <w:tcPr>
            <w:tcW w:w="1301" w:type="dxa"/>
            <w:shd w:val="clear" w:color="auto" w:fill="auto"/>
          </w:tcPr>
          <w:p w14:paraId="3DD9AE8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kvėpavimo sutrikimo (distreso) sindromas</w:t>
            </w:r>
            <w:r w:rsidRPr="005454C8">
              <w:rPr>
                <w:position w:val="-1"/>
                <w:vertAlign w:val="superscript"/>
              </w:rPr>
              <w:t>2</w:t>
            </w:r>
          </w:p>
        </w:tc>
        <w:tc>
          <w:tcPr>
            <w:tcW w:w="1942" w:type="dxa"/>
            <w:shd w:val="clear" w:color="auto" w:fill="auto"/>
          </w:tcPr>
          <w:p w14:paraId="630A753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ūminis kvėpavimo distreso sindromas, plaučių edema</w:t>
            </w:r>
          </w:p>
        </w:tc>
        <w:tc>
          <w:tcPr>
            <w:tcW w:w="1988" w:type="dxa"/>
            <w:shd w:val="clear" w:color="auto" w:fill="auto"/>
          </w:tcPr>
          <w:p w14:paraId="2340CECD"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695" w:type="dxa"/>
            <w:shd w:val="clear" w:color="auto" w:fill="auto"/>
          </w:tcPr>
          <w:p w14:paraId="084A4AF2"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2529C96F"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0741A962" w14:textId="77777777" w:rsidTr="00A136A1">
        <w:tc>
          <w:tcPr>
            <w:tcW w:w="1658" w:type="dxa"/>
            <w:shd w:val="clear" w:color="auto" w:fill="auto"/>
          </w:tcPr>
          <w:p w14:paraId="4E34F5AD"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Virškinimo trakto sutrikimai</w:t>
            </w:r>
          </w:p>
        </w:tc>
        <w:tc>
          <w:tcPr>
            <w:tcW w:w="1301" w:type="dxa"/>
            <w:shd w:val="clear" w:color="auto" w:fill="auto"/>
          </w:tcPr>
          <w:p w14:paraId="60C1DF5D"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viduriavimas, vėmimas, pilvo skausmas, pykinimas</w:t>
            </w:r>
          </w:p>
        </w:tc>
        <w:tc>
          <w:tcPr>
            <w:tcW w:w="1942" w:type="dxa"/>
            <w:shd w:val="clear" w:color="auto" w:fill="auto"/>
          </w:tcPr>
          <w:p w14:paraId="08A2D3B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cheilitas,</w:t>
            </w:r>
            <w:r w:rsidRPr="005454C8" w:rsidDel="009D4A61">
              <w:rPr>
                <w:position w:val="-1"/>
              </w:rPr>
              <w:t xml:space="preserve"> </w:t>
            </w:r>
            <w:r w:rsidRPr="005454C8">
              <w:rPr>
                <w:position w:val="-1"/>
              </w:rPr>
              <w:t>dispepsija, vidurių užkietėjimas, gingivitas</w:t>
            </w:r>
          </w:p>
        </w:tc>
        <w:tc>
          <w:tcPr>
            <w:tcW w:w="1988" w:type="dxa"/>
            <w:shd w:val="clear" w:color="auto" w:fill="auto"/>
          </w:tcPr>
          <w:p w14:paraId="69A1FB82"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peritonitas, pankreatitas, liežuvio patinimas, duodenitas, </w:t>
            </w:r>
            <w:r w:rsidRPr="009A1B7F">
              <w:rPr>
                <w:position w:val="-1"/>
                <w:szCs w:val="22"/>
                <w:lang w:eastAsia="de-DE"/>
              </w:rPr>
              <w:t>gastroenteritas</w:t>
            </w:r>
            <w:r w:rsidRPr="005454C8">
              <w:rPr>
                <w:position w:val="-1"/>
              </w:rPr>
              <w:t>, glositas</w:t>
            </w:r>
          </w:p>
        </w:tc>
        <w:tc>
          <w:tcPr>
            <w:tcW w:w="1695" w:type="dxa"/>
            <w:shd w:val="clear" w:color="auto" w:fill="auto"/>
          </w:tcPr>
          <w:p w14:paraId="063AA21E"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1269FDFE"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6E860445" w14:textId="77777777" w:rsidTr="00A136A1">
        <w:tc>
          <w:tcPr>
            <w:tcW w:w="1658" w:type="dxa"/>
            <w:shd w:val="clear" w:color="auto" w:fill="auto"/>
          </w:tcPr>
          <w:p w14:paraId="7D0BB93D"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Kepenų, tulžies pūslės ir latakų sutrikimai</w:t>
            </w:r>
          </w:p>
          <w:p w14:paraId="45CE528B"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301" w:type="dxa"/>
            <w:shd w:val="clear" w:color="auto" w:fill="auto"/>
          </w:tcPr>
          <w:p w14:paraId="1741823A"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nuo normos nukrypę kepenų funkcijos tyrimai</w:t>
            </w:r>
          </w:p>
        </w:tc>
        <w:tc>
          <w:tcPr>
            <w:tcW w:w="1942" w:type="dxa"/>
            <w:shd w:val="clear" w:color="auto" w:fill="auto"/>
          </w:tcPr>
          <w:p w14:paraId="472DBBD8" w14:textId="77777777" w:rsidR="00041CC8" w:rsidRPr="005454C8" w:rsidRDefault="00041CC8" w:rsidP="00A136A1">
            <w:pPr>
              <w:widowControl w:val="0"/>
              <w:autoSpaceDE w:val="0"/>
              <w:autoSpaceDN w:val="0"/>
              <w:adjustRightInd w:val="0"/>
              <w:spacing w:before="31" w:line="248" w:lineRule="exact"/>
              <w:jc w:val="both"/>
              <w:rPr>
                <w:position w:val="-1"/>
              </w:rPr>
            </w:pPr>
            <w:r w:rsidRPr="005454C8">
              <w:rPr>
                <w:position w:val="-1"/>
              </w:rPr>
              <w:t>gelta, cholestazinė gelta, hepatitas</w:t>
            </w:r>
            <w:r w:rsidRPr="005454C8">
              <w:rPr>
                <w:position w:val="-1"/>
                <w:vertAlign w:val="superscript"/>
              </w:rPr>
              <w:t>10</w:t>
            </w:r>
          </w:p>
        </w:tc>
        <w:tc>
          <w:tcPr>
            <w:tcW w:w="1988" w:type="dxa"/>
            <w:shd w:val="clear" w:color="auto" w:fill="auto"/>
          </w:tcPr>
          <w:p w14:paraId="408C1FF7"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kepenų nepakankamumas, hepatomegalija, cholecistitas, tulžies pūslės akmenligė</w:t>
            </w:r>
          </w:p>
        </w:tc>
        <w:tc>
          <w:tcPr>
            <w:tcW w:w="1695" w:type="dxa"/>
            <w:shd w:val="clear" w:color="auto" w:fill="auto"/>
          </w:tcPr>
          <w:p w14:paraId="5AB3200B"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24E1339E"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4744F23B" w14:textId="77777777" w:rsidTr="00A136A1">
        <w:trPr>
          <w:trHeight w:val="3330"/>
        </w:trPr>
        <w:tc>
          <w:tcPr>
            <w:tcW w:w="1658" w:type="dxa"/>
            <w:shd w:val="clear" w:color="auto" w:fill="auto"/>
          </w:tcPr>
          <w:p w14:paraId="265EBD09"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Odos ir poodinio audinio sutrikimai</w:t>
            </w:r>
          </w:p>
          <w:p w14:paraId="1B86C063"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301" w:type="dxa"/>
            <w:shd w:val="clear" w:color="auto" w:fill="auto"/>
          </w:tcPr>
          <w:p w14:paraId="1B8F5FB2"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išbėrimas</w:t>
            </w:r>
          </w:p>
        </w:tc>
        <w:tc>
          <w:tcPr>
            <w:tcW w:w="1942" w:type="dxa"/>
            <w:shd w:val="clear" w:color="auto" w:fill="auto"/>
          </w:tcPr>
          <w:p w14:paraId="6656FF50" w14:textId="2E414A62"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eksfoliacinis dermatitas, alopecija, makulopapulinis išbėrimas, </w:t>
            </w:r>
            <w:r w:rsidRPr="009A1B7F">
              <w:rPr>
                <w:position w:val="-1"/>
                <w:szCs w:val="22"/>
                <w:lang w:eastAsia="de-DE"/>
              </w:rPr>
              <w:t>niežėjimas</w:t>
            </w:r>
            <w:r w:rsidRPr="005454C8">
              <w:rPr>
                <w:position w:val="-1"/>
              </w:rPr>
              <w:t>, eritema</w:t>
            </w:r>
            <w:r w:rsidR="00E6039D">
              <w:rPr>
                <w:position w:val="-1"/>
              </w:rPr>
              <w:t xml:space="preserve">, </w:t>
            </w:r>
            <w:r w:rsidR="00E6039D" w:rsidRPr="00E6039D">
              <w:rPr>
                <w:position w:val="-1"/>
              </w:rPr>
              <w:t>fototoksiškumas**</w:t>
            </w:r>
          </w:p>
        </w:tc>
        <w:tc>
          <w:tcPr>
            <w:tcW w:w="1988" w:type="dxa"/>
            <w:shd w:val="clear" w:color="auto" w:fill="auto"/>
          </w:tcPr>
          <w:p w14:paraId="328D7D20" w14:textId="4E60D9D0" w:rsidR="00041CC8" w:rsidRPr="005454C8" w:rsidRDefault="00041CC8" w:rsidP="00A136A1">
            <w:pPr>
              <w:widowControl w:val="0"/>
              <w:autoSpaceDE w:val="0"/>
              <w:autoSpaceDN w:val="0"/>
              <w:adjustRightInd w:val="0"/>
              <w:spacing w:before="31" w:line="248" w:lineRule="exact"/>
              <w:rPr>
                <w:position w:val="-1"/>
              </w:rPr>
            </w:pPr>
            <w:r w:rsidRPr="005454C8">
              <w:rPr>
                <w:position w:val="-1"/>
              </w:rPr>
              <w:t>Stivenso - Džonsono (</w:t>
            </w:r>
            <w:r w:rsidRPr="00F847E4">
              <w:rPr>
                <w:i/>
                <w:iCs/>
                <w:position w:val="-1"/>
              </w:rPr>
              <w:t>Stevens-Johnson</w:t>
            </w:r>
            <w:r w:rsidRPr="005454C8">
              <w:rPr>
                <w:position w:val="-1"/>
              </w:rPr>
              <w:t>) sindromas</w:t>
            </w:r>
            <w:r w:rsidRPr="001C79DD">
              <w:rPr>
                <w:position w:val="-1"/>
                <w:vertAlign w:val="superscript"/>
              </w:rPr>
              <w:t>8</w:t>
            </w:r>
            <w:r w:rsidRPr="005454C8">
              <w:rPr>
                <w:position w:val="-1"/>
              </w:rPr>
              <w:t>,</w:t>
            </w:r>
            <w:r w:rsidRPr="005454C8" w:rsidDel="00187A5C">
              <w:rPr>
                <w:position w:val="-1"/>
              </w:rPr>
              <w:t xml:space="preserve"> </w:t>
            </w:r>
            <w:r w:rsidRPr="005454C8">
              <w:rPr>
                <w:position w:val="-1"/>
              </w:rPr>
              <w:t>purpura, urtikarija, alerginis dermatitas, papulinis išbėrimas, makulinis išbėrimas, egzema</w:t>
            </w:r>
          </w:p>
        </w:tc>
        <w:tc>
          <w:tcPr>
            <w:tcW w:w="1695" w:type="dxa"/>
            <w:shd w:val="clear" w:color="auto" w:fill="auto"/>
          </w:tcPr>
          <w:p w14:paraId="7905FF07" w14:textId="77777777" w:rsidR="00041CC8" w:rsidRDefault="00041CC8" w:rsidP="00A136A1">
            <w:pPr>
              <w:widowControl w:val="0"/>
              <w:autoSpaceDE w:val="0"/>
              <w:autoSpaceDN w:val="0"/>
              <w:adjustRightInd w:val="0"/>
              <w:spacing w:before="31" w:line="248" w:lineRule="exact"/>
              <w:rPr>
                <w:szCs w:val="22"/>
                <w:lang w:eastAsia="en-US"/>
              </w:rPr>
            </w:pPr>
            <w:r w:rsidRPr="005454C8">
              <w:rPr>
                <w:position w:val="-1"/>
              </w:rPr>
              <w:t>toksinė epidermio nekrolizė</w:t>
            </w:r>
            <w:r w:rsidRPr="001C79DD">
              <w:rPr>
                <w:position w:val="-1"/>
                <w:vertAlign w:val="superscript"/>
              </w:rPr>
              <w:t>8</w:t>
            </w:r>
            <w:r w:rsidRPr="005454C8">
              <w:rPr>
                <w:position w:val="-1"/>
              </w:rPr>
              <w:t xml:space="preserve">, </w:t>
            </w:r>
            <w:r w:rsidRPr="009A1B7F">
              <w:rPr>
                <w:szCs w:val="22"/>
                <w:lang w:eastAsia="en-US"/>
              </w:rPr>
              <w:t xml:space="preserve">reakcija </w:t>
            </w:r>
            <w:r>
              <w:rPr>
                <w:szCs w:val="22"/>
                <w:lang w:eastAsia="en-US"/>
              </w:rPr>
              <w:t xml:space="preserve">į vaistą </w:t>
            </w:r>
            <w:r w:rsidRPr="009A1B7F">
              <w:rPr>
                <w:szCs w:val="22"/>
                <w:lang w:eastAsia="en-US"/>
              </w:rPr>
              <w:t>su eozinofilija ir sisteminiais simptomais (</w:t>
            </w:r>
            <w:r w:rsidRPr="004724EF">
              <w:rPr>
                <w:i/>
                <w:szCs w:val="22"/>
                <w:lang w:eastAsia="en-US"/>
              </w:rPr>
              <w:t>angl.</w:t>
            </w:r>
            <w:r>
              <w:rPr>
                <w:szCs w:val="22"/>
                <w:lang w:eastAsia="en-US"/>
              </w:rPr>
              <w:t xml:space="preserve"> D</w:t>
            </w:r>
            <w:r w:rsidRPr="009A1B7F">
              <w:rPr>
                <w:szCs w:val="22"/>
                <w:lang w:eastAsia="en-US"/>
              </w:rPr>
              <w:t>RESS)</w:t>
            </w:r>
            <w:r w:rsidRPr="001C79DD">
              <w:rPr>
                <w:position w:val="-1"/>
                <w:vertAlign w:val="superscript"/>
              </w:rPr>
              <w:t xml:space="preserve"> 8</w:t>
            </w:r>
            <w:r>
              <w:rPr>
                <w:szCs w:val="22"/>
                <w:lang w:eastAsia="en-US"/>
              </w:rPr>
              <w:t>,</w:t>
            </w:r>
          </w:p>
          <w:p w14:paraId="7615978A" w14:textId="77777777" w:rsidR="00041CC8" w:rsidRPr="005454C8" w:rsidRDefault="00041CC8" w:rsidP="00A136A1">
            <w:pPr>
              <w:widowControl w:val="0"/>
              <w:autoSpaceDE w:val="0"/>
              <w:autoSpaceDN w:val="0"/>
              <w:adjustRightInd w:val="0"/>
              <w:spacing w:before="31" w:line="248" w:lineRule="exact"/>
              <w:rPr>
                <w:position w:val="-1"/>
                <w:u w:val="single"/>
              </w:rPr>
            </w:pPr>
            <w:r w:rsidRPr="009A1B7F">
              <w:rPr>
                <w:position w:val="-1"/>
                <w:szCs w:val="22"/>
                <w:lang w:eastAsia="de-DE"/>
              </w:rPr>
              <w:t>angio</w:t>
            </w:r>
            <w:r>
              <w:rPr>
                <w:position w:val="-1"/>
                <w:szCs w:val="22"/>
                <w:lang w:eastAsia="de-DE"/>
              </w:rPr>
              <w:t xml:space="preserve">neurozinė </w:t>
            </w:r>
            <w:r w:rsidRPr="009A1B7F">
              <w:rPr>
                <w:position w:val="-1"/>
                <w:szCs w:val="22"/>
                <w:lang w:eastAsia="de-DE"/>
              </w:rPr>
              <w:t>edema</w:t>
            </w:r>
            <w:r w:rsidRPr="005454C8">
              <w:rPr>
                <w:position w:val="-1"/>
              </w:rPr>
              <w:t>, spindulinė (aktininė) keratozė</w:t>
            </w:r>
            <w:r w:rsidRPr="009A1B7F">
              <w:rPr>
                <w:position w:val="-1"/>
                <w:szCs w:val="22"/>
                <w:lang w:eastAsia="de-DE"/>
              </w:rPr>
              <w:t xml:space="preserve"> (</w:t>
            </w:r>
            <w:r w:rsidRPr="009A1B7F">
              <w:rPr>
                <w:i/>
                <w:position w:val="-1"/>
                <w:szCs w:val="22"/>
                <w:lang w:eastAsia="de-DE"/>
              </w:rPr>
              <w:t>actinic keratosis</w:t>
            </w:r>
            <w:r w:rsidRPr="009A1B7F">
              <w:rPr>
                <w:position w:val="-1"/>
                <w:szCs w:val="22"/>
                <w:lang w:eastAsia="de-DE"/>
              </w:rPr>
              <w:t>)*,</w:t>
            </w:r>
            <w:r w:rsidRPr="005454C8">
              <w:rPr>
                <w:position w:val="-1"/>
                <w:u w:val="single"/>
              </w:rPr>
              <w:t xml:space="preserve"> </w:t>
            </w:r>
            <w:r w:rsidRPr="005454C8">
              <w:rPr>
                <w:position w:val="-1"/>
              </w:rPr>
              <w:t xml:space="preserve">pseudoporfirija, daugiaformė </w:t>
            </w:r>
            <w:r w:rsidRPr="009A1B7F">
              <w:rPr>
                <w:position w:val="-1"/>
                <w:szCs w:val="22"/>
                <w:lang w:eastAsia="de-DE"/>
              </w:rPr>
              <w:t>raudonė (</w:t>
            </w:r>
            <w:r w:rsidRPr="009A1B7F">
              <w:rPr>
                <w:i/>
                <w:position w:val="-1"/>
                <w:szCs w:val="22"/>
                <w:lang w:eastAsia="de-DE"/>
              </w:rPr>
              <w:t>erythema multiforme</w:t>
            </w:r>
            <w:r w:rsidRPr="009A1B7F">
              <w:rPr>
                <w:position w:val="-1"/>
                <w:szCs w:val="22"/>
                <w:lang w:eastAsia="de-DE"/>
              </w:rPr>
              <w:t>),</w:t>
            </w:r>
            <w:r w:rsidRPr="005454C8">
              <w:rPr>
                <w:position w:val="-1"/>
              </w:rPr>
              <w:t xml:space="preserve"> psoriazė, medikamentinis išbėrimas</w:t>
            </w:r>
          </w:p>
        </w:tc>
        <w:tc>
          <w:tcPr>
            <w:tcW w:w="1487" w:type="dxa"/>
            <w:shd w:val="clear" w:color="auto" w:fill="auto"/>
          </w:tcPr>
          <w:p w14:paraId="35638DD5" w14:textId="77777777" w:rsidR="00041CC8" w:rsidRPr="00982D99" w:rsidRDefault="00041CC8" w:rsidP="00A136A1">
            <w:pPr>
              <w:widowControl w:val="0"/>
              <w:autoSpaceDE w:val="0"/>
              <w:autoSpaceDN w:val="0"/>
              <w:adjustRightInd w:val="0"/>
              <w:spacing w:before="31" w:line="248" w:lineRule="exact"/>
              <w:rPr>
                <w:position w:val="-1"/>
              </w:rPr>
            </w:pPr>
            <w:r w:rsidRPr="00982D99">
              <w:rPr>
                <w:position w:val="-1"/>
              </w:rPr>
              <w:t>odos raudonoji vilkligė*, strazdanos*, šlakai (</w:t>
            </w:r>
            <w:r w:rsidRPr="00982D99">
              <w:rPr>
                <w:i/>
                <w:position w:val="-1"/>
              </w:rPr>
              <w:t>lentigo</w:t>
            </w:r>
            <w:r w:rsidRPr="00982D99">
              <w:rPr>
                <w:position w:val="-1"/>
              </w:rPr>
              <w:t>)*</w:t>
            </w:r>
          </w:p>
        </w:tc>
      </w:tr>
      <w:tr w:rsidR="00041CC8" w:rsidRPr="009A1B7F" w14:paraId="27403C4E" w14:textId="77777777" w:rsidTr="00A136A1">
        <w:tc>
          <w:tcPr>
            <w:tcW w:w="1658" w:type="dxa"/>
            <w:shd w:val="clear" w:color="auto" w:fill="auto"/>
          </w:tcPr>
          <w:p w14:paraId="3B0D90B5"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 xml:space="preserve">Skeleto, raumenų ir </w:t>
            </w:r>
            <w:r w:rsidRPr="005454C8">
              <w:rPr>
                <w:position w:val="-1"/>
              </w:rPr>
              <w:lastRenderedPageBreak/>
              <w:t>jungiamojo audinio sutrikimai</w:t>
            </w:r>
          </w:p>
        </w:tc>
        <w:tc>
          <w:tcPr>
            <w:tcW w:w="1301" w:type="dxa"/>
            <w:shd w:val="clear" w:color="auto" w:fill="auto"/>
          </w:tcPr>
          <w:p w14:paraId="12755057" w14:textId="77777777" w:rsidR="00041CC8" w:rsidRPr="005454C8" w:rsidRDefault="00041CC8" w:rsidP="00A136A1">
            <w:pPr>
              <w:widowControl w:val="0"/>
              <w:autoSpaceDE w:val="0"/>
              <w:autoSpaceDN w:val="0"/>
              <w:adjustRightInd w:val="0"/>
              <w:spacing w:before="31" w:line="248" w:lineRule="exact"/>
              <w:rPr>
                <w:position w:val="-1"/>
                <w:highlight w:val="yellow"/>
                <w:u w:val="single"/>
              </w:rPr>
            </w:pPr>
          </w:p>
        </w:tc>
        <w:tc>
          <w:tcPr>
            <w:tcW w:w="1942" w:type="dxa"/>
            <w:shd w:val="clear" w:color="auto" w:fill="auto"/>
          </w:tcPr>
          <w:p w14:paraId="3997D241" w14:textId="77777777" w:rsidR="00041CC8" w:rsidRPr="005454C8" w:rsidRDefault="00041CC8" w:rsidP="00A136A1">
            <w:r w:rsidRPr="005454C8">
              <w:t>nugaros skausmas</w:t>
            </w:r>
          </w:p>
        </w:tc>
        <w:tc>
          <w:tcPr>
            <w:tcW w:w="1988" w:type="dxa"/>
            <w:shd w:val="clear" w:color="auto" w:fill="auto"/>
          </w:tcPr>
          <w:p w14:paraId="1069C761" w14:textId="3BBE4052" w:rsidR="00041CC8" w:rsidRPr="005454C8" w:rsidRDefault="00E6039D" w:rsidP="00A136A1">
            <w:pPr>
              <w:widowControl w:val="0"/>
              <w:autoSpaceDE w:val="0"/>
              <w:autoSpaceDN w:val="0"/>
              <w:adjustRightInd w:val="0"/>
              <w:spacing w:before="31" w:line="248" w:lineRule="exact"/>
              <w:rPr>
                <w:position w:val="-1"/>
              </w:rPr>
            </w:pPr>
            <w:r w:rsidRPr="005454C8">
              <w:rPr>
                <w:position w:val="-1"/>
              </w:rPr>
              <w:t>A</w:t>
            </w:r>
            <w:r w:rsidR="00041CC8" w:rsidRPr="005454C8">
              <w:rPr>
                <w:position w:val="-1"/>
              </w:rPr>
              <w:t>rtritas</w:t>
            </w:r>
            <w:r>
              <w:rPr>
                <w:position w:val="-1"/>
              </w:rPr>
              <w:t xml:space="preserve">, </w:t>
            </w:r>
            <w:r w:rsidRPr="005454C8">
              <w:rPr>
                <w:position w:val="-1"/>
              </w:rPr>
              <w:t>periostitas*</w:t>
            </w:r>
            <w:r>
              <w:rPr>
                <w:position w:val="-1"/>
              </w:rPr>
              <w:t>,**</w:t>
            </w:r>
          </w:p>
        </w:tc>
        <w:tc>
          <w:tcPr>
            <w:tcW w:w="1695" w:type="dxa"/>
            <w:shd w:val="clear" w:color="auto" w:fill="auto"/>
          </w:tcPr>
          <w:p w14:paraId="45129DD1" w14:textId="77777777" w:rsidR="00041CC8" w:rsidRPr="005454C8" w:rsidRDefault="00041CC8" w:rsidP="00A136A1">
            <w:pPr>
              <w:widowControl w:val="0"/>
              <w:autoSpaceDE w:val="0"/>
              <w:autoSpaceDN w:val="0"/>
              <w:adjustRightInd w:val="0"/>
              <w:spacing w:before="31" w:line="248" w:lineRule="exact"/>
              <w:rPr>
                <w:position w:val="-1"/>
              </w:rPr>
            </w:pPr>
          </w:p>
        </w:tc>
        <w:tc>
          <w:tcPr>
            <w:tcW w:w="1487" w:type="dxa"/>
            <w:shd w:val="clear" w:color="auto" w:fill="auto"/>
          </w:tcPr>
          <w:p w14:paraId="763D4300" w14:textId="7490D6CD" w:rsidR="00041CC8" w:rsidRPr="005454C8" w:rsidRDefault="00041CC8" w:rsidP="00A136A1">
            <w:pPr>
              <w:widowControl w:val="0"/>
              <w:autoSpaceDE w:val="0"/>
              <w:autoSpaceDN w:val="0"/>
              <w:adjustRightInd w:val="0"/>
              <w:spacing w:before="31" w:line="248" w:lineRule="exact"/>
              <w:rPr>
                <w:position w:val="-1"/>
              </w:rPr>
            </w:pPr>
          </w:p>
        </w:tc>
      </w:tr>
      <w:tr w:rsidR="00041CC8" w:rsidRPr="009A1B7F" w14:paraId="1824E148" w14:textId="77777777" w:rsidTr="00A136A1">
        <w:tc>
          <w:tcPr>
            <w:tcW w:w="1658" w:type="dxa"/>
            <w:shd w:val="clear" w:color="auto" w:fill="auto"/>
          </w:tcPr>
          <w:p w14:paraId="665645FD"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Inkstų ir šlapimo takų sutrikimai</w:t>
            </w:r>
          </w:p>
        </w:tc>
        <w:tc>
          <w:tcPr>
            <w:tcW w:w="1301" w:type="dxa"/>
            <w:shd w:val="clear" w:color="auto" w:fill="auto"/>
          </w:tcPr>
          <w:p w14:paraId="16C7E9F5"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42" w:type="dxa"/>
            <w:shd w:val="clear" w:color="auto" w:fill="auto"/>
          </w:tcPr>
          <w:p w14:paraId="0E6716D3"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ūminis inkstų nepakankamumas, hematurija</w:t>
            </w:r>
          </w:p>
        </w:tc>
        <w:tc>
          <w:tcPr>
            <w:tcW w:w="1988" w:type="dxa"/>
            <w:shd w:val="clear" w:color="auto" w:fill="auto"/>
          </w:tcPr>
          <w:p w14:paraId="23E366A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inkstų kanalėlių nekrozė, proteinurija, nefritas</w:t>
            </w:r>
          </w:p>
        </w:tc>
        <w:tc>
          <w:tcPr>
            <w:tcW w:w="1695" w:type="dxa"/>
            <w:shd w:val="clear" w:color="auto" w:fill="auto"/>
          </w:tcPr>
          <w:p w14:paraId="65E70CBB"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6BE054DF"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088D9C79" w14:textId="77777777" w:rsidTr="00A136A1">
        <w:tc>
          <w:tcPr>
            <w:tcW w:w="1658" w:type="dxa"/>
            <w:shd w:val="clear" w:color="auto" w:fill="auto"/>
          </w:tcPr>
          <w:p w14:paraId="59E33AC8"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Bendrieji sutrikimai ir vartojimo vietos pažeidimai</w:t>
            </w:r>
          </w:p>
        </w:tc>
        <w:tc>
          <w:tcPr>
            <w:tcW w:w="1301" w:type="dxa"/>
            <w:shd w:val="clear" w:color="auto" w:fill="auto"/>
          </w:tcPr>
          <w:p w14:paraId="7D52EA43"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karščiavimas</w:t>
            </w:r>
          </w:p>
        </w:tc>
        <w:tc>
          <w:tcPr>
            <w:tcW w:w="1942" w:type="dxa"/>
            <w:shd w:val="clear" w:color="auto" w:fill="auto"/>
          </w:tcPr>
          <w:p w14:paraId="70F203D9"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krūtinės skausmas, veido edema</w:t>
            </w:r>
            <w:r w:rsidRPr="005454C8">
              <w:rPr>
                <w:position w:val="-1"/>
                <w:vertAlign w:val="superscript"/>
              </w:rPr>
              <w:t>11</w:t>
            </w:r>
            <w:r w:rsidRPr="005454C8">
              <w:rPr>
                <w:position w:val="-1"/>
              </w:rPr>
              <w:t xml:space="preserve">, astenija, </w:t>
            </w:r>
            <w:r w:rsidRPr="009A1B7F">
              <w:rPr>
                <w:position w:val="-1"/>
                <w:szCs w:val="22"/>
                <w:lang w:eastAsia="de-DE"/>
              </w:rPr>
              <w:t>drebulys</w:t>
            </w:r>
          </w:p>
        </w:tc>
        <w:tc>
          <w:tcPr>
            <w:tcW w:w="1988" w:type="dxa"/>
            <w:shd w:val="clear" w:color="auto" w:fill="auto"/>
          </w:tcPr>
          <w:p w14:paraId="0F8A913F"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infuzijos vietos reakcija, į gripą panaši liga</w:t>
            </w:r>
          </w:p>
        </w:tc>
        <w:tc>
          <w:tcPr>
            <w:tcW w:w="1695" w:type="dxa"/>
            <w:shd w:val="clear" w:color="auto" w:fill="auto"/>
          </w:tcPr>
          <w:p w14:paraId="51F2E9A3"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6EFA048E" w14:textId="77777777" w:rsidR="00041CC8" w:rsidRPr="005454C8" w:rsidRDefault="00041CC8" w:rsidP="00A136A1">
            <w:pPr>
              <w:widowControl w:val="0"/>
              <w:autoSpaceDE w:val="0"/>
              <w:autoSpaceDN w:val="0"/>
              <w:adjustRightInd w:val="0"/>
              <w:spacing w:before="31" w:line="248" w:lineRule="exact"/>
              <w:rPr>
                <w:position w:val="-1"/>
                <w:u w:val="single"/>
              </w:rPr>
            </w:pPr>
          </w:p>
        </w:tc>
      </w:tr>
      <w:tr w:rsidR="00041CC8" w:rsidRPr="009A1B7F" w14:paraId="75005145" w14:textId="77777777" w:rsidTr="00A136A1">
        <w:tc>
          <w:tcPr>
            <w:tcW w:w="1658" w:type="dxa"/>
            <w:shd w:val="clear" w:color="auto" w:fill="auto"/>
          </w:tcPr>
          <w:p w14:paraId="3BB87C30" w14:textId="77777777" w:rsidR="00041CC8" w:rsidRPr="005454C8" w:rsidRDefault="00041CC8" w:rsidP="00A136A1">
            <w:pPr>
              <w:widowControl w:val="0"/>
              <w:autoSpaceDE w:val="0"/>
              <w:autoSpaceDN w:val="0"/>
              <w:adjustRightInd w:val="0"/>
              <w:spacing w:before="31" w:line="248" w:lineRule="exact"/>
              <w:rPr>
                <w:position w:val="-1"/>
              </w:rPr>
            </w:pPr>
            <w:r w:rsidRPr="005454C8">
              <w:rPr>
                <w:position w:val="-1"/>
              </w:rPr>
              <w:t>Tyrimai</w:t>
            </w:r>
          </w:p>
        </w:tc>
        <w:tc>
          <w:tcPr>
            <w:tcW w:w="1301" w:type="dxa"/>
            <w:shd w:val="clear" w:color="auto" w:fill="auto"/>
          </w:tcPr>
          <w:p w14:paraId="2F811A0D"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942" w:type="dxa"/>
            <w:shd w:val="clear" w:color="auto" w:fill="auto"/>
          </w:tcPr>
          <w:p w14:paraId="06D12BAF"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kreatinino kraujyje padaugėjimas</w:t>
            </w:r>
          </w:p>
        </w:tc>
        <w:tc>
          <w:tcPr>
            <w:tcW w:w="1988" w:type="dxa"/>
            <w:shd w:val="clear" w:color="auto" w:fill="auto"/>
          </w:tcPr>
          <w:p w14:paraId="21858C94" w14:textId="77777777" w:rsidR="00041CC8" w:rsidRPr="005454C8" w:rsidRDefault="00041CC8" w:rsidP="00A136A1">
            <w:pPr>
              <w:widowControl w:val="0"/>
              <w:autoSpaceDE w:val="0"/>
              <w:autoSpaceDN w:val="0"/>
              <w:adjustRightInd w:val="0"/>
              <w:spacing w:before="31" w:line="248" w:lineRule="exact"/>
              <w:rPr>
                <w:position w:val="-1"/>
                <w:u w:val="single"/>
              </w:rPr>
            </w:pPr>
            <w:r w:rsidRPr="005454C8">
              <w:rPr>
                <w:rFonts w:eastAsia="Calibri"/>
              </w:rPr>
              <w:t>šlapalo kraujyje padaugėjimas,</w:t>
            </w:r>
            <w:r w:rsidRPr="005454C8" w:rsidDel="00187A5C">
              <w:rPr>
                <w:rFonts w:eastAsia="Calibri"/>
              </w:rPr>
              <w:t xml:space="preserve"> </w:t>
            </w:r>
            <w:r w:rsidRPr="005454C8">
              <w:rPr>
                <w:rFonts w:eastAsia="Calibri"/>
              </w:rPr>
              <w:t>cholesterolio kraujyje padaugėjimas</w:t>
            </w:r>
          </w:p>
        </w:tc>
        <w:tc>
          <w:tcPr>
            <w:tcW w:w="1695" w:type="dxa"/>
            <w:shd w:val="clear" w:color="auto" w:fill="auto"/>
          </w:tcPr>
          <w:p w14:paraId="1B6EBF7E" w14:textId="77777777" w:rsidR="00041CC8" w:rsidRPr="005454C8" w:rsidRDefault="00041CC8" w:rsidP="00A136A1">
            <w:pPr>
              <w:widowControl w:val="0"/>
              <w:autoSpaceDE w:val="0"/>
              <w:autoSpaceDN w:val="0"/>
              <w:adjustRightInd w:val="0"/>
              <w:spacing w:before="31" w:line="248" w:lineRule="exact"/>
              <w:rPr>
                <w:position w:val="-1"/>
                <w:u w:val="single"/>
              </w:rPr>
            </w:pPr>
          </w:p>
        </w:tc>
        <w:tc>
          <w:tcPr>
            <w:tcW w:w="1487" w:type="dxa"/>
            <w:shd w:val="clear" w:color="auto" w:fill="auto"/>
          </w:tcPr>
          <w:p w14:paraId="02B50152" w14:textId="77777777" w:rsidR="00041CC8" w:rsidRPr="005454C8" w:rsidRDefault="00041CC8" w:rsidP="00A136A1">
            <w:pPr>
              <w:widowControl w:val="0"/>
              <w:autoSpaceDE w:val="0"/>
              <w:autoSpaceDN w:val="0"/>
              <w:adjustRightInd w:val="0"/>
              <w:spacing w:before="31" w:line="248" w:lineRule="exact"/>
              <w:rPr>
                <w:position w:val="-1"/>
                <w:u w:val="single"/>
              </w:rPr>
            </w:pPr>
          </w:p>
        </w:tc>
      </w:tr>
    </w:tbl>
    <w:p w14:paraId="283AC3E6" w14:textId="77777777" w:rsidR="00041CC8" w:rsidRDefault="00041CC8" w:rsidP="00041CC8">
      <w:pPr>
        <w:autoSpaceDE w:val="0"/>
        <w:autoSpaceDN w:val="0"/>
        <w:adjustRightInd w:val="0"/>
      </w:pPr>
      <w:r w:rsidRPr="00F847E4">
        <w:t>*Nepageidaujami reiškiniai nustatyti poregistracinio stebėjimo metu</w:t>
      </w:r>
    </w:p>
    <w:p w14:paraId="6C7BBA92" w14:textId="4841B7AB" w:rsidR="00E6039D" w:rsidRPr="00F847E4" w:rsidRDefault="00E6039D" w:rsidP="00E6039D">
      <w:pPr>
        <w:autoSpaceDE w:val="0"/>
        <w:autoSpaceDN w:val="0"/>
        <w:adjustRightInd w:val="0"/>
      </w:pPr>
      <w:r>
        <w:t>** Dažnio kategorija pagrįsta stebėjimo tyrimu, kuriame naudojami realios praktikos duomenys, gauti iš antrinių duomenų šaltinių Švedijoje.</w:t>
      </w:r>
    </w:p>
    <w:p w14:paraId="717A1476" w14:textId="77777777" w:rsidR="00041CC8" w:rsidRPr="005454C8" w:rsidRDefault="00041CC8" w:rsidP="00041CC8">
      <w:pPr>
        <w:autoSpaceDE w:val="0"/>
        <w:autoSpaceDN w:val="0"/>
        <w:adjustRightInd w:val="0"/>
      </w:pPr>
      <w:r w:rsidRPr="005454C8">
        <w:rPr>
          <w:vertAlign w:val="superscript"/>
        </w:rPr>
        <w:t>1</w:t>
      </w:r>
      <w:r w:rsidRPr="005454C8">
        <w:t xml:space="preserve"> Įskaitant febrilinę neutropeniją ir neutropeniją.</w:t>
      </w:r>
    </w:p>
    <w:p w14:paraId="736FDEC3" w14:textId="77777777" w:rsidR="00041CC8" w:rsidRPr="005454C8" w:rsidRDefault="00041CC8" w:rsidP="00041CC8">
      <w:pPr>
        <w:autoSpaceDE w:val="0"/>
        <w:autoSpaceDN w:val="0"/>
        <w:adjustRightInd w:val="0"/>
      </w:pPr>
      <w:r w:rsidRPr="005454C8">
        <w:rPr>
          <w:vertAlign w:val="superscript"/>
        </w:rPr>
        <w:t>2</w:t>
      </w:r>
      <w:r w:rsidRPr="005454C8">
        <w:t xml:space="preserve"> Įskaitant imuninę trombocitopeninę purpurą.</w:t>
      </w:r>
    </w:p>
    <w:p w14:paraId="25C1CE43" w14:textId="77777777" w:rsidR="00041CC8" w:rsidRPr="005454C8" w:rsidRDefault="00041CC8" w:rsidP="00041CC8">
      <w:pPr>
        <w:autoSpaceDE w:val="0"/>
        <w:autoSpaceDN w:val="0"/>
        <w:adjustRightInd w:val="0"/>
      </w:pPr>
      <w:r w:rsidRPr="005454C8">
        <w:rPr>
          <w:vertAlign w:val="superscript"/>
        </w:rPr>
        <w:t>3</w:t>
      </w:r>
      <w:r w:rsidRPr="005454C8">
        <w:t xml:space="preserve"> Įskaitant sprando rigidiškumą ir tetaniją.</w:t>
      </w:r>
    </w:p>
    <w:p w14:paraId="171297B7" w14:textId="77777777" w:rsidR="00041CC8" w:rsidRPr="005454C8" w:rsidRDefault="00041CC8" w:rsidP="00041CC8">
      <w:pPr>
        <w:autoSpaceDE w:val="0"/>
        <w:autoSpaceDN w:val="0"/>
        <w:adjustRightInd w:val="0"/>
      </w:pPr>
      <w:r w:rsidRPr="005454C8">
        <w:rPr>
          <w:vertAlign w:val="superscript"/>
        </w:rPr>
        <w:t>4</w:t>
      </w:r>
      <w:r w:rsidRPr="005454C8">
        <w:t xml:space="preserve"> Įskaitant hipoksinę-išeminę encefalopatiją ir metabolinę encefalopatiją.</w:t>
      </w:r>
    </w:p>
    <w:p w14:paraId="3F5303DF" w14:textId="77777777" w:rsidR="00041CC8" w:rsidRPr="005454C8" w:rsidRDefault="00041CC8" w:rsidP="00041CC8">
      <w:pPr>
        <w:autoSpaceDE w:val="0"/>
        <w:autoSpaceDN w:val="0"/>
        <w:adjustRightInd w:val="0"/>
      </w:pPr>
      <w:r w:rsidRPr="005454C8">
        <w:rPr>
          <w:vertAlign w:val="superscript"/>
        </w:rPr>
        <w:t>5</w:t>
      </w:r>
      <w:r w:rsidRPr="005454C8">
        <w:t xml:space="preserve"> Įskaitant akatiziją ir parkinsonizmą.</w:t>
      </w:r>
    </w:p>
    <w:p w14:paraId="6EC86B49" w14:textId="77777777" w:rsidR="00041CC8" w:rsidRPr="005454C8" w:rsidRDefault="00041CC8" w:rsidP="00041CC8">
      <w:pPr>
        <w:autoSpaceDE w:val="0"/>
        <w:autoSpaceDN w:val="0"/>
        <w:adjustRightInd w:val="0"/>
      </w:pPr>
      <w:r w:rsidRPr="005454C8">
        <w:rPr>
          <w:vertAlign w:val="superscript"/>
        </w:rPr>
        <w:t>6</w:t>
      </w:r>
      <w:r w:rsidRPr="005454C8">
        <w:t xml:space="preserve"> Žr. „Regos sutrikimų“ paragrafą 4.8 skyriuje.</w:t>
      </w:r>
    </w:p>
    <w:p w14:paraId="19C8B13B" w14:textId="77777777" w:rsidR="00041CC8" w:rsidRPr="005454C8" w:rsidRDefault="00041CC8" w:rsidP="00041CC8">
      <w:pPr>
        <w:autoSpaceDE w:val="0"/>
        <w:autoSpaceDN w:val="0"/>
        <w:adjustRightInd w:val="0"/>
      </w:pPr>
      <w:r w:rsidRPr="005454C8">
        <w:rPr>
          <w:vertAlign w:val="superscript"/>
        </w:rPr>
        <w:t>7</w:t>
      </w:r>
      <w:r w:rsidRPr="005454C8">
        <w:t xml:space="preserve"> Pateikus vaistinį preparatą į rinką buvo pranešta apie užsitęsusį regos nervo neuritą. Žr. 4.4 skyrių.</w:t>
      </w:r>
    </w:p>
    <w:p w14:paraId="4343D284" w14:textId="77777777" w:rsidR="00041CC8" w:rsidRPr="005454C8" w:rsidRDefault="00041CC8" w:rsidP="00041CC8">
      <w:pPr>
        <w:autoSpaceDE w:val="0"/>
        <w:autoSpaceDN w:val="0"/>
        <w:adjustRightInd w:val="0"/>
      </w:pPr>
      <w:r w:rsidRPr="005454C8">
        <w:rPr>
          <w:vertAlign w:val="superscript"/>
        </w:rPr>
        <w:t>8</w:t>
      </w:r>
      <w:r w:rsidRPr="005454C8">
        <w:t xml:space="preserve"> Žr. 4.4 skyrių.</w:t>
      </w:r>
    </w:p>
    <w:p w14:paraId="1BEFE0A1" w14:textId="77777777" w:rsidR="00041CC8" w:rsidRPr="005454C8" w:rsidRDefault="00041CC8" w:rsidP="00041CC8">
      <w:pPr>
        <w:autoSpaceDE w:val="0"/>
        <w:autoSpaceDN w:val="0"/>
        <w:adjustRightInd w:val="0"/>
      </w:pPr>
      <w:r w:rsidRPr="005454C8">
        <w:rPr>
          <w:vertAlign w:val="superscript"/>
        </w:rPr>
        <w:t>9</w:t>
      </w:r>
      <w:r w:rsidRPr="005454C8">
        <w:t xml:space="preserve"> Įskaitant dusulį ir dusulį fizinio krūvio metu.</w:t>
      </w:r>
    </w:p>
    <w:p w14:paraId="5C894FB0" w14:textId="77777777" w:rsidR="00041CC8" w:rsidRPr="005454C8" w:rsidRDefault="00041CC8" w:rsidP="00041CC8">
      <w:pPr>
        <w:autoSpaceDE w:val="0"/>
        <w:autoSpaceDN w:val="0"/>
        <w:adjustRightInd w:val="0"/>
      </w:pPr>
      <w:r w:rsidRPr="005454C8">
        <w:rPr>
          <w:vertAlign w:val="superscript"/>
        </w:rPr>
        <w:t>10</w:t>
      </w:r>
      <w:r w:rsidRPr="005454C8">
        <w:t xml:space="preserve"> Įskaitant vaistų sukeltą kepenų pažeidimą, toksinį hepatitą, kepenų ląstelių pažeidimą ir toksinį poveikį kepenims.</w:t>
      </w:r>
    </w:p>
    <w:p w14:paraId="1AC2EC8E" w14:textId="77777777" w:rsidR="00041CC8" w:rsidRPr="005454C8" w:rsidRDefault="00041CC8" w:rsidP="00041CC8">
      <w:pPr>
        <w:autoSpaceDE w:val="0"/>
        <w:autoSpaceDN w:val="0"/>
        <w:adjustRightInd w:val="0"/>
      </w:pPr>
      <w:r w:rsidRPr="005454C8">
        <w:rPr>
          <w:vertAlign w:val="superscript"/>
        </w:rPr>
        <w:t>11</w:t>
      </w:r>
      <w:r w:rsidRPr="005454C8">
        <w:t xml:space="preserve"> Įskaitant periorbitalinę edemą, lūpų edemą ir burnos edemą.</w:t>
      </w:r>
    </w:p>
    <w:p w14:paraId="42F9C05A" w14:textId="77777777" w:rsidR="00041CC8" w:rsidRPr="005454C8" w:rsidRDefault="00041CC8" w:rsidP="00041CC8">
      <w:pPr>
        <w:autoSpaceDE w:val="0"/>
        <w:autoSpaceDN w:val="0"/>
        <w:adjustRightInd w:val="0"/>
        <w:rPr>
          <w:rFonts w:eastAsia="TimesNewRoman,Italic"/>
        </w:rPr>
      </w:pPr>
    </w:p>
    <w:p w14:paraId="02552274" w14:textId="77777777" w:rsidR="00041CC8" w:rsidRPr="005454C8" w:rsidRDefault="00041CC8" w:rsidP="00041CC8">
      <w:pPr>
        <w:autoSpaceDE w:val="0"/>
        <w:autoSpaceDN w:val="0"/>
        <w:adjustRightInd w:val="0"/>
        <w:rPr>
          <w:rFonts w:eastAsia="TimesNewRoman,Italic"/>
          <w:u w:val="single"/>
        </w:rPr>
      </w:pPr>
      <w:r w:rsidRPr="005454C8">
        <w:rPr>
          <w:rFonts w:eastAsia="TimesNewRoman,Italic"/>
          <w:u w:val="single"/>
        </w:rPr>
        <w:t>Atrinktų nepageidaujamų reakcijų apibūdinimas</w:t>
      </w:r>
    </w:p>
    <w:p w14:paraId="171762E2" w14:textId="77777777" w:rsidR="00041CC8" w:rsidRPr="005454C8" w:rsidRDefault="00041CC8" w:rsidP="00041CC8">
      <w:pPr>
        <w:autoSpaceDE w:val="0"/>
        <w:autoSpaceDN w:val="0"/>
        <w:adjustRightInd w:val="0"/>
        <w:rPr>
          <w:rFonts w:eastAsia="TimesNewRoman,Italic"/>
          <w:u w:val="single"/>
        </w:rPr>
      </w:pPr>
    </w:p>
    <w:p w14:paraId="7739280E"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Regos sutrikimai</w:t>
      </w:r>
    </w:p>
    <w:p w14:paraId="66C29B84" w14:textId="77777777" w:rsidR="00041CC8" w:rsidRPr="005454C8" w:rsidRDefault="00041CC8" w:rsidP="00041CC8">
      <w:pPr>
        <w:autoSpaceDE w:val="0"/>
        <w:autoSpaceDN w:val="0"/>
        <w:adjustRightInd w:val="0"/>
        <w:rPr>
          <w:rFonts w:eastAsia="Calibri"/>
        </w:rPr>
      </w:pPr>
      <w:r w:rsidRPr="005454C8">
        <w:rPr>
          <w:rFonts w:eastAsia="Calibri"/>
        </w:rPr>
        <w:t>Klinikinių tyrimų duomenimis, su vorikonazolo vartojimu susiję regos sutrikimai (įskaitant neryškų matymą, fotofobiją, chloropsiją, chromatopsiją, daltonizmą, cianopsiją, akių sutrikimą, aureolių matymą, vištakumą, oscilopsiją, fotopsiją, mirgančią skotomą, sumažėjusį regos aštrumą, regėjimo ryškumą, regos lauko defektą, „skraidančias museles“ ir ksantopsiją) pasireiškė labai dažnai. Šie regos sutrikimai buvo laikini ir visiškai grįžtami, dauguma jų savaime visiškai išnyko per 60 minučių ir nesukėlė kliniškai reikšmingo ilgai trunkančio regėjimo sutrikimo. Nustatyta,</w:t>
      </w:r>
      <w:r w:rsidRPr="005454C8" w:rsidDel="00187A5C">
        <w:rPr>
          <w:rFonts w:eastAsia="Calibri"/>
        </w:rPr>
        <w:t xml:space="preserve"> </w:t>
      </w:r>
      <w:r w:rsidRPr="005454C8">
        <w:rPr>
          <w:rFonts w:eastAsia="Calibri"/>
        </w:rPr>
        <w:t xml:space="preserve">kad sutrikimai silpnėjo, vartojant kartotines vorikonazolo dozes. Paprastai, regos sutrikimai buvo nesunkūs, jie nesukėlė ilgalaikių pasekmių, retai dėl sukeltų pokyčių gydymą prireikė nutraukti. Regos sutrikimai gali būti siejami su didele </w:t>
      </w:r>
      <w:r w:rsidRPr="009A1B7F">
        <w:rPr>
          <w:rFonts w:eastAsia="Calibri"/>
          <w:szCs w:val="22"/>
          <w:lang w:eastAsia="en-US"/>
        </w:rPr>
        <w:t xml:space="preserve">vaistinio </w:t>
      </w:r>
      <w:r w:rsidRPr="005454C8">
        <w:rPr>
          <w:rFonts w:eastAsia="Calibri"/>
        </w:rPr>
        <w:t>preparato koncentracija</w:t>
      </w:r>
      <w:r w:rsidRPr="009A1B7F">
        <w:rPr>
          <w:rFonts w:eastAsia="Calibri"/>
          <w:szCs w:val="22"/>
          <w:lang w:eastAsia="en-US"/>
        </w:rPr>
        <w:t xml:space="preserve"> kraujo</w:t>
      </w:r>
      <w:r w:rsidRPr="005454C8">
        <w:rPr>
          <w:rFonts w:eastAsia="Calibri"/>
        </w:rPr>
        <w:t xml:space="preserve"> plazmoje ir (arba) doze.</w:t>
      </w:r>
    </w:p>
    <w:p w14:paraId="52D50FA9" w14:textId="77777777" w:rsidR="00041CC8" w:rsidRPr="005454C8" w:rsidRDefault="00041CC8" w:rsidP="00041CC8">
      <w:pPr>
        <w:autoSpaceDE w:val="0"/>
        <w:autoSpaceDN w:val="0"/>
        <w:adjustRightInd w:val="0"/>
        <w:rPr>
          <w:rFonts w:eastAsia="Calibri"/>
        </w:rPr>
      </w:pPr>
    </w:p>
    <w:p w14:paraId="52C6B823" w14:textId="77777777" w:rsidR="00041CC8" w:rsidRPr="005454C8" w:rsidRDefault="00041CC8" w:rsidP="00041CC8">
      <w:pPr>
        <w:autoSpaceDE w:val="0"/>
        <w:autoSpaceDN w:val="0"/>
        <w:adjustRightInd w:val="0"/>
        <w:rPr>
          <w:rFonts w:eastAsia="Calibri"/>
        </w:rPr>
      </w:pPr>
      <w:r w:rsidRPr="005454C8">
        <w:rPr>
          <w:rFonts w:eastAsia="Calibri"/>
        </w:rPr>
        <w:t xml:space="preserve">Poveikio mechanizmas nežinomas, labiausiai tikėtina, kad vaistinio preparato veikimo vieta yra tinklainė. Vorikonazolo poveikio tinklainės funkcijai tyrimai su sveikais savanoriais parodė, kad </w:t>
      </w:r>
      <w:r w:rsidRPr="009A1B7F">
        <w:rPr>
          <w:rFonts w:eastAsia="Calibri"/>
          <w:szCs w:val="22"/>
          <w:lang w:eastAsia="en-US"/>
        </w:rPr>
        <w:t xml:space="preserve">vaistinis </w:t>
      </w:r>
      <w:r w:rsidRPr="005454C8">
        <w:rPr>
          <w:rFonts w:eastAsia="Calibri"/>
        </w:rPr>
        <w:t>preparatas sukelia elektroretinogramos (ERG) bangos formos amplitudės sumažėjimą. ERG rodo tinklainės elektros sroves. ERG pokyčiai neprogresavo 29 parų gydymo laikotarpio metu ir ERG visiškai sunormalėja nutraukus vorikonazolo vartojimą.</w:t>
      </w:r>
    </w:p>
    <w:p w14:paraId="2C92E637" w14:textId="77777777" w:rsidR="00041CC8" w:rsidRPr="005454C8" w:rsidRDefault="00041CC8" w:rsidP="00041CC8">
      <w:pPr>
        <w:autoSpaceDE w:val="0"/>
        <w:autoSpaceDN w:val="0"/>
        <w:adjustRightInd w:val="0"/>
        <w:rPr>
          <w:rFonts w:eastAsia="Calibri"/>
        </w:rPr>
      </w:pPr>
    </w:p>
    <w:p w14:paraId="1A969B1B" w14:textId="77777777" w:rsidR="00041CC8" w:rsidRPr="005454C8" w:rsidRDefault="00041CC8" w:rsidP="00041CC8">
      <w:pPr>
        <w:autoSpaceDE w:val="0"/>
        <w:autoSpaceDN w:val="0"/>
        <w:adjustRightInd w:val="0"/>
        <w:rPr>
          <w:rFonts w:eastAsia="Calibri"/>
        </w:rPr>
      </w:pPr>
      <w:r w:rsidRPr="005454C8">
        <w:rPr>
          <w:rFonts w:eastAsia="Calibri"/>
        </w:rPr>
        <w:lastRenderedPageBreak/>
        <w:t>Po vaistinio preparato pateikimo į rinką buvo gauta pranešimų apie nepageidaujamas ilgalaikes akių reakcijas (žr. 4.4 skyrių).</w:t>
      </w:r>
    </w:p>
    <w:p w14:paraId="1EC92D75" w14:textId="77777777" w:rsidR="00041CC8" w:rsidRPr="005454C8" w:rsidRDefault="00041CC8" w:rsidP="00041CC8">
      <w:pPr>
        <w:autoSpaceDE w:val="0"/>
        <w:autoSpaceDN w:val="0"/>
        <w:adjustRightInd w:val="0"/>
        <w:rPr>
          <w:rFonts w:eastAsia="Calibri"/>
        </w:rPr>
      </w:pPr>
    </w:p>
    <w:p w14:paraId="26E1A265" w14:textId="77777777" w:rsidR="00041CC8" w:rsidRPr="005454C8" w:rsidRDefault="00041CC8" w:rsidP="00041CC8">
      <w:pPr>
        <w:autoSpaceDE w:val="0"/>
        <w:autoSpaceDN w:val="0"/>
        <w:adjustRightInd w:val="0"/>
        <w:rPr>
          <w:rFonts w:eastAsia="Calibri"/>
        </w:rPr>
      </w:pPr>
      <w:r w:rsidRPr="005454C8">
        <w:rPr>
          <w:rFonts w:eastAsia="TimesNewRoman,Italic"/>
          <w:i/>
        </w:rPr>
        <w:t>Odos reakcijos</w:t>
      </w:r>
    </w:p>
    <w:p w14:paraId="391FBBB5" w14:textId="77777777" w:rsidR="00041CC8" w:rsidRPr="005454C8" w:rsidRDefault="00041CC8" w:rsidP="00041CC8">
      <w:pPr>
        <w:autoSpaceDE w:val="0"/>
        <w:autoSpaceDN w:val="0"/>
        <w:adjustRightInd w:val="0"/>
        <w:rPr>
          <w:rFonts w:eastAsia="Calibri"/>
        </w:rPr>
      </w:pPr>
      <w:r w:rsidRPr="005454C8">
        <w:rPr>
          <w:rFonts w:eastAsia="Calibri"/>
        </w:rPr>
        <w:t xml:space="preserve">Klinikinių tyrimų metu nustatyta, kad pacientams, gydytiems vorikonazolu, odos reakcijos pasireiškia labai dažnai, tačiau tie ligoniai sirgo ir sunkiomis gretutinėmis ligomis bei kartu vartojo daug vaistinių preparatų. Daugelis išbėrimų buvo nesunkūs arba vidutinio sunkumo. Vorikonazolo vartojusiems pacientams pasireikšdavo sunkios </w:t>
      </w:r>
      <w:r>
        <w:rPr>
          <w:rFonts w:eastAsia="Calibri"/>
          <w:szCs w:val="22"/>
          <w:lang w:eastAsia="en-US"/>
        </w:rPr>
        <w:t xml:space="preserve">nepageidaujamos </w:t>
      </w:r>
      <w:r w:rsidRPr="005454C8">
        <w:rPr>
          <w:rFonts w:eastAsia="Calibri"/>
        </w:rPr>
        <w:t>odos reakcijos</w:t>
      </w:r>
      <w:r>
        <w:rPr>
          <w:rFonts w:eastAsia="Calibri"/>
          <w:szCs w:val="22"/>
          <w:lang w:eastAsia="en-US"/>
        </w:rPr>
        <w:t xml:space="preserve"> (SNOR)</w:t>
      </w:r>
      <w:r w:rsidRPr="009A1B7F">
        <w:rPr>
          <w:rFonts w:eastAsia="Calibri"/>
          <w:szCs w:val="22"/>
          <w:lang w:eastAsia="en-US"/>
        </w:rPr>
        <w:t>,</w:t>
      </w:r>
      <w:r w:rsidRPr="005454C8">
        <w:rPr>
          <w:rFonts w:eastAsia="Calibri"/>
        </w:rPr>
        <w:t xml:space="preserve"> įskaitant Stivenso </w:t>
      </w:r>
      <w:r w:rsidRPr="009A1B7F">
        <w:rPr>
          <w:rFonts w:eastAsia="Calibri"/>
          <w:szCs w:val="22"/>
          <w:lang w:eastAsia="en-US"/>
        </w:rPr>
        <w:t>–</w:t>
      </w:r>
      <w:r w:rsidRPr="005454C8">
        <w:rPr>
          <w:rFonts w:eastAsia="Calibri"/>
        </w:rPr>
        <w:t xml:space="preserve"> Džonsono </w:t>
      </w:r>
      <w:r w:rsidRPr="009A1B7F">
        <w:rPr>
          <w:rFonts w:eastAsia="Calibri"/>
          <w:szCs w:val="22"/>
          <w:lang w:eastAsia="en-US"/>
        </w:rPr>
        <w:t>(</w:t>
      </w:r>
      <w:r w:rsidRPr="002C7DF7">
        <w:rPr>
          <w:rFonts w:eastAsia="Calibri"/>
          <w:i/>
        </w:rPr>
        <w:t>Stevens-Johnson</w:t>
      </w:r>
      <w:r w:rsidRPr="009A1B7F">
        <w:rPr>
          <w:rFonts w:eastAsia="Calibri"/>
          <w:szCs w:val="22"/>
          <w:lang w:eastAsia="en-US"/>
        </w:rPr>
        <w:t xml:space="preserve">) </w:t>
      </w:r>
      <w:r w:rsidRPr="005454C8">
        <w:rPr>
          <w:rFonts w:eastAsia="Calibri"/>
        </w:rPr>
        <w:t>sindromą (</w:t>
      </w:r>
      <w:r w:rsidRPr="005A4FDE">
        <w:rPr>
          <w:rFonts w:eastAsia="Calibri"/>
          <w:i/>
          <w:szCs w:val="22"/>
          <w:lang w:eastAsia="en-US"/>
        </w:rPr>
        <w:t>angl</w:t>
      </w:r>
      <w:r>
        <w:rPr>
          <w:rFonts w:eastAsia="Calibri"/>
          <w:i/>
          <w:szCs w:val="22"/>
          <w:lang w:eastAsia="en-US"/>
        </w:rPr>
        <w:t>.</w:t>
      </w:r>
      <w:r>
        <w:rPr>
          <w:rFonts w:eastAsia="Calibri"/>
          <w:szCs w:val="22"/>
          <w:lang w:eastAsia="en-US"/>
        </w:rPr>
        <w:t xml:space="preserve"> SJS)</w:t>
      </w:r>
      <w:r w:rsidRPr="009A1B7F">
        <w:rPr>
          <w:rFonts w:eastAsia="Calibri"/>
          <w:szCs w:val="22"/>
          <w:lang w:eastAsia="en-US"/>
        </w:rPr>
        <w:t xml:space="preserve"> (</w:t>
      </w:r>
      <w:r w:rsidRPr="005454C8">
        <w:rPr>
          <w:rFonts w:eastAsia="Calibri"/>
        </w:rPr>
        <w:t xml:space="preserve">nedažnai), toksinę epidermio nekrolizę </w:t>
      </w:r>
      <w:r w:rsidRPr="009A1B7F">
        <w:rPr>
          <w:rFonts w:eastAsia="Calibri"/>
          <w:szCs w:val="22"/>
          <w:lang w:eastAsia="en-US"/>
        </w:rPr>
        <w:t>[Lajelio (</w:t>
      </w:r>
      <w:r w:rsidRPr="009A1B7F">
        <w:rPr>
          <w:rFonts w:eastAsia="Calibri"/>
          <w:i/>
          <w:szCs w:val="22"/>
          <w:lang w:eastAsia="en-US"/>
        </w:rPr>
        <w:t>Lyell</w:t>
      </w:r>
      <w:r w:rsidRPr="009A1B7F">
        <w:rPr>
          <w:rFonts w:eastAsia="Calibri"/>
          <w:szCs w:val="22"/>
          <w:lang w:eastAsia="en-US"/>
        </w:rPr>
        <w:t>)</w:t>
      </w:r>
      <w:r>
        <w:rPr>
          <w:rFonts w:eastAsia="Calibri"/>
          <w:szCs w:val="22"/>
          <w:lang w:eastAsia="en-US"/>
        </w:rPr>
        <w:t xml:space="preserve"> sindromą</w:t>
      </w:r>
      <w:r w:rsidRPr="009A1B7F">
        <w:rPr>
          <w:rFonts w:eastAsia="Calibri"/>
          <w:szCs w:val="22"/>
          <w:lang w:eastAsia="en-US"/>
        </w:rPr>
        <w:t>]</w:t>
      </w:r>
      <w:r w:rsidRPr="00E23B25">
        <w:rPr>
          <w:rFonts w:eastAsia="Calibri"/>
          <w:szCs w:val="22"/>
          <w:lang w:eastAsia="en-US"/>
        </w:rPr>
        <w:t xml:space="preserve"> </w:t>
      </w:r>
      <w:r>
        <w:rPr>
          <w:rFonts w:eastAsia="Calibri"/>
          <w:szCs w:val="22"/>
          <w:lang w:eastAsia="en-US"/>
        </w:rPr>
        <w:t xml:space="preserve">(TEN) </w:t>
      </w:r>
      <w:r w:rsidRPr="009A1B7F">
        <w:rPr>
          <w:rFonts w:eastAsia="Calibri"/>
          <w:szCs w:val="22"/>
          <w:lang w:eastAsia="en-US"/>
        </w:rPr>
        <w:t>(retai)</w:t>
      </w:r>
      <w:r>
        <w:rPr>
          <w:rFonts w:eastAsia="Calibri"/>
          <w:szCs w:val="22"/>
          <w:lang w:eastAsia="en-US"/>
        </w:rPr>
        <w:t xml:space="preserve">, reakciją į vaistą </w:t>
      </w:r>
      <w:r w:rsidRPr="00E23B25">
        <w:rPr>
          <w:rFonts w:eastAsia="Calibri"/>
          <w:szCs w:val="22"/>
          <w:lang w:eastAsia="en-US"/>
        </w:rPr>
        <w:t>su eozinofilija ir sisteminiais simptomais (</w:t>
      </w:r>
      <w:r w:rsidRPr="005A4FDE">
        <w:rPr>
          <w:rFonts w:eastAsia="Calibri"/>
          <w:i/>
          <w:szCs w:val="22"/>
          <w:lang w:eastAsia="en-US"/>
        </w:rPr>
        <w:t>angl.</w:t>
      </w:r>
      <w:r>
        <w:rPr>
          <w:rFonts w:eastAsia="Calibri"/>
          <w:szCs w:val="22"/>
          <w:lang w:eastAsia="en-US"/>
        </w:rPr>
        <w:t xml:space="preserve"> D</w:t>
      </w:r>
      <w:r w:rsidRPr="00E23B25">
        <w:rPr>
          <w:rFonts w:eastAsia="Calibri"/>
          <w:szCs w:val="22"/>
          <w:lang w:eastAsia="en-US"/>
        </w:rPr>
        <w:t xml:space="preserve">RESS) </w:t>
      </w:r>
      <w:r w:rsidRPr="005454C8">
        <w:rPr>
          <w:rFonts w:eastAsia="Calibri"/>
        </w:rPr>
        <w:t xml:space="preserve">(retai) ir daugiaformę </w:t>
      </w:r>
      <w:r w:rsidRPr="009A1B7F">
        <w:rPr>
          <w:rFonts w:eastAsia="Calibri"/>
          <w:szCs w:val="22"/>
          <w:lang w:eastAsia="en-US"/>
        </w:rPr>
        <w:t>raudonę (</w:t>
      </w:r>
      <w:r w:rsidRPr="009A1B7F">
        <w:rPr>
          <w:rFonts w:eastAsia="Calibri"/>
          <w:i/>
          <w:szCs w:val="22"/>
          <w:lang w:eastAsia="en-US"/>
        </w:rPr>
        <w:t>erythema multiforme</w:t>
      </w:r>
      <w:r w:rsidRPr="009A1B7F">
        <w:rPr>
          <w:rFonts w:eastAsia="Calibri"/>
          <w:szCs w:val="22"/>
          <w:lang w:eastAsia="en-US"/>
        </w:rPr>
        <w:t>)</w:t>
      </w:r>
      <w:r w:rsidRPr="005454C8">
        <w:rPr>
          <w:rFonts w:eastAsia="Calibri"/>
          <w:i/>
        </w:rPr>
        <w:t xml:space="preserve"> </w:t>
      </w:r>
      <w:r w:rsidRPr="005454C8">
        <w:rPr>
          <w:rFonts w:eastAsia="Calibri"/>
        </w:rPr>
        <w:t>(retai</w:t>
      </w:r>
      <w:r w:rsidRPr="009A1B7F">
        <w:rPr>
          <w:rFonts w:eastAsia="Calibri"/>
          <w:szCs w:val="22"/>
          <w:lang w:eastAsia="en-US"/>
        </w:rPr>
        <w:t>)</w:t>
      </w:r>
      <w:r>
        <w:rPr>
          <w:rFonts w:eastAsia="Calibri"/>
          <w:szCs w:val="22"/>
          <w:lang w:eastAsia="en-US"/>
        </w:rPr>
        <w:t xml:space="preserve"> (žr. 4.4 skyrių</w:t>
      </w:r>
      <w:r w:rsidRPr="005454C8">
        <w:rPr>
          <w:rFonts w:eastAsia="Calibri"/>
        </w:rPr>
        <w:t>).</w:t>
      </w:r>
    </w:p>
    <w:p w14:paraId="1170DF61" w14:textId="77777777" w:rsidR="00041CC8" w:rsidRPr="005454C8" w:rsidRDefault="00041CC8" w:rsidP="00041CC8">
      <w:pPr>
        <w:autoSpaceDE w:val="0"/>
        <w:autoSpaceDN w:val="0"/>
        <w:adjustRightInd w:val="0"/>
        <w:rPr>
          <w:rFonts w:eastAsia="Calibri"/>
        </w:rPr>
      </w:pPr>
    </w:p>
    <w:p w14:paraId="323650CD" w14:textId="593D5FBA" w:rsidR="00041CC8" w:rsidRPr="009A1B7F" w:rsidRDefault="00041CC8" w:rsidP="00041CC8">
      <w:pPr>
        <w:autoSpaceDE w:val="0"/>
        <w:autoSpaceDN w:val="0"/>
        <w:adjustRightInd w:val="0"/>
        <w:rPr>
          <w:rFonts w:eastAsia="Calibri"/>
          <w:szCs w:val="22"/>
          <w:lang w:eastAsia="en-US"/>
        </w:rPr>
      </w:pPr>
      <w:r w:rsidRPr="005454C8">
        <w:rPr>
          <w:rFonts w:eastAsia="Calibri"/>
        </w:rPr>
        <w:t>Jei atsiranda išbėrimas, ligonį reikia atidžiai sekti ir, jei pažeidimas sunkėja, gydymą vorikonazolu nutraukti. Pastebėta pavienių fotosensibilizacijos</w:t>
      </w:r>
      <w:r w:rsidR="00E6039D">
        <w:rPr>
          <w:rFonts w:eastAsia="Calibri"/>
        </w:rPr>
        <w:t xml:space="preserve"> (pavyzdžiui, </w:t>
      </w:r>
      <w:r w:rsidRPr="005454C8">
        <w:rPr>
          <w:rFonts w:eastAsia="TimesNewRoman"/>
        </w:rPr>
        <w:t>strazdan</w:t>
      </w:r>
      <w:r w:rsidR="00E6039D">
        <w:rPr>
          <w:rFonts w:eastAsia="TimesNewRoman"/>
        </w:rPr>
        <w:t>ų</w:t>
      </w:r>
      <w:r w:rsidRPr="005454C8">
        <w:rPr>
          <w:rFonts w:eastAsia="TimesNewRoman"/>
        </w:rPr>
        <w:t xml:space="preserve">, </w:t>
      </w:r>
      <w:r w:rsidR="00E6039D" w:rsidRPr="005454C8">
        <w:rPr>
          <w:rFonts w:eastAsia="TimesNewRoman"/>
        </w:rPr>
        <w:t>šlak</w:t>
      </w:r>
      <w:r w:rsidR="00E6039D">
        <w:rPr>
          <w:rFonts w:eastAsia="TimesNewRoman"/>
        </w:rPr>
        <w:t>ų</w:t>
      </w:r>
      <w:r w:rsidR="00E6039D" w:rsidRPr="005454C8">
        <w:rPr>
          <w:rFonts w:eastAsia="TimesNewRoman"/>
        </w:rPr>
        <w:t xml:space="preserve"> </w:t>
      </w:r>
      <w:r w:rsidRPr="005454C8">
        <w:rPr>
          <w:rFonts w:eastAsia="TimesNewRoman"/>
        </w:rPr>
        <w:t>(</w:t>
      </w:r>
      <w:r w:rsidRPr="005454C8">
        <w:rPr>
          <w:rFonts w:eastAsia="TimesNewRoman"/>
          <w:i/>
        </w:rPr>
        <w:t>lentigo</w:t>
      </w:r>
      <w:r w:rsidRPr="005454C8">
        <w:rPr>
          <w:rFonts w:eastAsia="TimesNewRoman"/>
        </w:rPr>
        <w:t>), spindulinė</w:t>
      </w:r>
      <w:r w:rsidR="00E6039D">
        <w:rPr>
          <w:rFonts w:eastAsia="TimesNewRoman"/>
        </w:rPr>
        <w:t>s</w:t>
      </w:r>
      <w:r w:rsidRPr="005454C8">
        <w:rPr>
          <w:rFonts w:eastAsia="TimesNewRoman"/>
        </w:rPr>
        <w:t xml:space="preserve"> (aktininė</w:t>
      </w:r>
      <w:r w:rsidR="00E6039D">
        <w:rPr>
          <w:rFonts w:eastAsia="TimesNewRoman"/>
        </w:rPr>
        <w:t>s</w:t>
      </w:r>
      <w:r w:rsidRPr="005454C8">
        <w:rPr>
          <w:rFonts w:eastAsia="TimesNewRoman"/>
        </w:rPr>
        <w:t>) keratozė</w:t>
      </w:r>
      <w:r w:rsidR="00E6039D">
        <w:rPr>
          <w:rFonts w:eastAsia="TimesNewRoman"/>
        </w:rPr>
        <w:t>s</w:t>
      </w:r>
      <w:r w:rsidRPr="009A1B7F">
        <w:rPr>
          <w:rFonts w:eastAsia="TimesNewRoman"/>
          <w:szCs w:val="22"/>
          <w:lang w:eastAsia="en-US"/>
        </w:rPr>
        <w:t xml:space="preserve"> (</w:t>
      </w:r>
      <w:r w:rsidRPr="009A1B7F">
        <w:rPr>
          <w:rFonts w:eastAsia="TimesNewRoman"/>
          <w:i/>
          <w:szCs w:val="22"/>
          <w:lang w:eastAsia="en-US"/>
        </w:rPr>
        <w:t>actinic keratosis</w:t>
      </w:r>
      <w:r w:rsidRPr="009A1B7F">
        <w:rPr>
          <w:rFonts w:eastAsia="TimesNewRoman"/>
          <w:szCs w:val="22"/>
          <w:lang w:eastAsia="en-US"/>
        </w:rPr>
        <w:t>)</w:t>
      </w:r>
      <w:r w:rsidR="00E6039D">
        <w:rPr>
          <w:rFonts w:eastAsia="TimesNewRoman"/>
          <w:szCs w:val="22"/>
          <w:lang w:eastAsia="en-US"/>
        </w:rPr>
        <w:t>)</w:t>
      </w:r>
      <w:r w:rsidRPr="005454C8">
        <w:rPr>
          <w:rFonts w:eastAsia="TimesNewRoman"/>
        </w:rPr>
        <w:t>,</w:t>
      </w:r>
      <w:r w:rsidRPr="005454C8">
        <w:rPr>
          <w:rFonts w:eastAsia="Calibri"/>
        </w:rPr>
        <w:t xml:space="preserve"> ypač vaistinį preparatą vartojant ilgai, atvejų (žr. 4.4 skyrių).</w:t>
      </w:r>
    </w:p>
    <w:p w14:paraId="68C683AA" w14:textId="77777777" w:rsidR="00041CC8" w:rsidRPr="005454C8" w:rsidRDefault="00041CC8" w:rsidP="00041CC8">
      <w:pPr>
        <w:autoSpaceDE w:val="0"/>
        <w:autoSpaceDN w:val="0"/>
        <w:adjustRightInd w:val="0"/>
        <w:rPr>
          <w:rFonts w:eastAsia="Calibri"/>
        </w:rPr>
      </w:pPr>
    </w:p>
    <w:p w14:paraId="22B5FDA1" w14:textId="57780840" w:rsidR="00041CC8" w:rsidRPr="005454C8" w:rsidRDefault="00041CC8" w:rsidP="00041CC8">
      <w:pPr>
        <w:autoSpaceDE w:val="0"/>
        <w:autoSpaceDN w:val="0"/>
        <w:adjustRightInd w:val="0"/>
        <w:rPr>
          <w:rFonts w:eastAsia="Calibri"/>
        </w:rPr>
      </w:pPr>
      <w:r w:rsidRPr="005454C8">
        <w:rPr>
          <w:rFonts w:eastAsia="Calibri"/>
        </w:rPr>
        <w:t xml:space="preserve">Buvo pranešta apie odos plokščiųjų ląstelių vėžį </w:t>
      </w:r>
      <w:r w:rsidRPr="004B03C0">
        <w:rPr>
          <w:rFonts w:eastAsia="Calibri"/>
        </w:rPr>
        <w:t xml:space="preserve">(įskaitant odos PLV </w:t>
      </w:r>
      <w:r w:rsidRPr="004B03C0">
        <w:rPr>
          <w:rFonts w:eastAsia="Calibri"/>
          <w:i/>
          <w:iCs/>
        </w:rPr>
        <w:t>in situ</w:t>
      </w:r>
      <w:r w:rsidRPr="004B03C0">
        <w:rPr>
          <w:rFonts w:eastAsia="Calibri"/>
        </w:rPr>
        <w:t xml:space="preserve"> arba Boveno ligą)</w:t>
      </w:r>
      <w:r>
        <w:rPr>
          <w:rFonts w:eastAsia="Calibri"/>
        </w:rPr>
        <w:t xml:space="preserve"> </w:t>
      </w:r>
      <w:r w:rsidRPr="005454C8">
        <w:rPr>
          <w:rFonts w:eastAsia="Calibri"/>
        </w:rPr>
        <w:t>pacientams, kurie ilgą laiką gydėsi vorikonazolu.</w:t>
      </w:r>
      <w:r w:rsidR="00E6039D">
        <w:rPr>
          <w:rFonts w:eastAsia="Calibri"/>
        </w:rPr>
        <w:t xml:space="preserve"> </w:t>
      </w:r>
      <w:r w:rsidRPr="005454C8">
        <w:rPr>
          <w:rFonts w:eastAsia="Calibri"/>
        </w:rPr>
        <w:t>Mechanizmas nenustatytas (žr. 4.4 skyrių).</w:t>
      </w:r>
    </w:p>
    <w:p w14:paraId="3ACFE068" w14:textId="77777777" w:rsidR="00041CC8" w:rsidRPr="005454C8" w:rsidRDefault="00041CC8" w:rsidP="00041CC8">
      <w:pPr>
        <w:autoSpaceDE w:val="0"/>
        <w:autoSpaceDN w:val="0"/>
        <w:adjustRightInd w:val="0"/>
        <w:rPr>
          <w:rFonts w:eastAsia="Calibri"/>
        </w:rPr>
      </w:pPr>
    </w:p>
    <w:p w14:paraId="53E0C43B" w14:textId="77777777" w:rsidR="00041CC8" w:rsidRPr="005454C8" w:rsidRDefault="00041CC8" w:rsidP="00041CC8">
      <w:pPr>
        <w:autoSpaceDE w:val="0"/>
        <w:autoSpaceDN w:val="0"/>
        <w:adjustRightInd w:val="0"/>
        <w:rPr>
          <w:rFonts w:eastAsia="Calibri"/>
        </w:rPr>
      </w:pPr>
      <w:r w:rsidRPr="005454C8">
        <w:rPr>
          <w:rFonts w:eastAsia="TimesNewRoman,Italic"/>
          <w:i/>
        </w:rPr>
        <w:t>Kepenų funkcijos tyrimai</w:t>
      </w:r>
    </w:p>
    <w:p w14:paraId="70D4EC17" w14:textId="77777777" w:rsidR="00041CC8" w:rsidRPr="005454C8" w:rsidRDefault="00041CC8" w:rsidP="00041CC8">
      <w:pPr>
        <w:autoSpaceDE w:val="0"/>
        <w:autoSpaceDN w:val="0"/>
        <w:adjustRightInd w:val="0"/>
        <w:rPr>
          <w:rFonts w:eastAsia="Calibri"/>
        </w:rPr>
      </w:pPr>
      <w:r w:rsidRPr="005454C8">
        <w:rPr>
          <w:rFonts w:eastAsia="Calibri"/>
        </w:rPr>
        <w:t>Bendro transaminazių aktyvumo padaugėjimo &gt; 3 x VNR (nebūtinai nepageidaujamos reakcijos)</w:t>
      </w:r>
      <w:r w:rsidRPr="005454C8" w:rsidDel="0038157E">
        <w:rPr>
          <w:rFonts w:eastAsia="Calibri"/>
        </w:rPr>
        <w:t xml:space="preserve"> </w:t>
      </w:r>
      <w:r w:rsidRPr="005454C8">
        <w:rPr>
          <w:rFonts w:eastAsia="Calibri"/>
        </w:rPr>
        <w:t>pacientams, kurie vartojo vorikonazolą gydymo ir profilaktikos tikslais, dažnis vorikonazolo klinikinės programos metu buvo 18,0 % (319 atvejų iš 1768) suaugusiesiems ir 25,8 % (73 atvejai iš 283)</w:t>
      </w:r>
      <w:r w:rsidRPr="005454C8" w:rsidDel="0038157E">
        <w:rPr>
          <w:rFonts w:eastAsia="Calibri"/>
        </w:rPr>
        <w:t xml:space="preserve"> </w:t>
      </w:r>
      <w:r w:rsidRPr="005454C8">
        <w:rPr>
          <w:rFonts w:eastAsia="Calibri"/>
        </w:rPr>
        <w:t xml:space="preserve">vaikams. Tyrimais nustatytas kepenų funkcijos sutrikimas gali būti siejamas su didele vaistinio preparato koncentracija </w:t>
      </w:r>
      <w:r w:rsidRPr="009A1B7F">
        <w:rPr>
          <w:rFonts w:eastAsia="Calibri"/>
          <w:szCs w:val="22"/>
          <w:lang w:eastAsia="en-US"/>
        </w:rPr>
        <w:t xml:space="preserve">kraujo </w:t>
      </w:r>
      <w:r w:rsidRPr="005454C8">
        <w:rPr>
          <w:rFonts w:eastAsia="Calibri"/>
        </w:rPr>
        <w:t>plazmoje ir (arba) doze. Dauguma pakitusių kepenų funkcijos rodmenų sunormalėja gydymo metu nekeičiant dozės arba ją sumažinus, įskaitant gydymo nutraukimą.</w:t>
      </w:r>
    </w:p>
    <w:p w14:paraId="33721455" w14:textId="77777777" w:rsidR="00041CC8" w:rsidRPr="005454C8" w:rsidRDefault="00041CC8" w:rsidP="00041CC8">
      <w:pPr>
        <w:autoSpaceDE w:val="0"/>
        <w:autoSpaceDN w:val="0"/>
        <w:adjustRightInd w:val="0"/>
        <w:rPr>
          <w:rFonts w:eastAsia="Calibri"/>
        </w:rPr>
      </w:pPr>
    </w:p>
    <w:p w14:paraId="3A82E2F6" w14:textId="228E4927" w:rsidR="00041CC8" w:rsidRPr="005454C8" w:rsidRDefault="00041CC8" w:rsidP="00041CC8">
      <w:pPr>
        <w:autoSpaceDE w:val="0"/>
        <w:autoSpaceDN w:val="0"/>
        <w:adjustRightInd w:val="0"/>
        <w:rPr>
          <w:rFonts w:eastAsia="Calibri"/>
        </w:rPr>
      </w:pPr>
      <w:r w:rsidRPr="005454C8">
        <w:rPr>
          <w:rFonts w:eastAsia="Calibri"/>
        </w:rPr>
        <w:t>Sunkus toksinis vorikonazolo poveikis kepenims gali būti siejamas su kitokiomis sunkiomis gretutinėmis pacientų ligomis, įskaitant geltą, hepatitą bei kepenų nepakankamumą, sukeliantį mirtį (žr. 4.4 skyrių).</w:t>
      </w:r>
    </w:p>
    <w:p w14:paraId="4A49C84A" w14:textId="77777777" w:rsidR="00041CC8" w:rsidRPr="005454C8" w:rsidRDefault="00041CC8" w:rsidP="00041CC8">
      <w:pPr>
        <w:autoSpaceDE w:val="0"/>
        <w:autoSpaceDN w:val="0"/>
        <w:adjustRightInd w:val="0"/>
        <w:rPr>
          <w:rFonts w:eastAsia="TimesNewRoman,Italic"/>
          <w:i/>
        </w:rPr>
      </w:pPr>
    </w:p>
    <w:p w14:paraId="0B959F52"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Profilaktika</w:t>
      </w:r>
    </w:p>
    <w:p w14:paraId="060DB781" w14:textId="77777777" w:rsidR="00041CC8" w:rsidRPr="005454C8" w:rsidRDefault="00041CC8" w:rsidP="00041CC8">
      <w:pPr>
        <w:autoSpaceDE w:val="0"/>
        <w:autoSpaceDN w:val="0"/>
        <w:adjustRightInd w:val="0"/>
        <w:rPr>
          <w:rFonts w:eastAsia="Calibri"/>
        </w:rPr>
      </w:pPr>
      <w:r w:rsidRPr="005454C8">
        <w:rPr>
          <w:rFonts w:eastAsia="Calibri"/>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 tiriamojo preparato vartojimas buvo visiškai nutrauktas 50 tiriamųjų (21,4 %), kurie buvo gydomi vorikonazolu, ir 18 tiriamųjų (7,1 %), gydomų itrakonazolu.</w:t>
      </w:r>
    </w:p>
    <w:p w14:paraId="57457181" w14:textId="77777777" w:rsidR="00041CC8" w:rsidRPr="005454C8" w:rsidRDefault="00041CC8" w:rsidP="00041CC8">
      <w:pPr>
        <w:autoSpaceDE w:val="0"/>
        <w:autoSpaceDN w:val="0"/>
        <w:adjustRightInd w:val="0"/>
        <w:rPr>
          <w:rFonts w:eastAsia="TimesNewRoman,Italic"/>
          <w:i/>
        </w:rPr>
      </w:pPr>
    </w:p>
    <w:p w14:paraId="1E20510F" w14:textId="77777777" w:rsidR="00041CC8" w:rsidRPr="005454C8" w:rsidRDefault="00041CC8" w:rsidP="00041CC8">
      <w:pPr>
        <w:autoSpaceDE w:val="0"/>
        <w:autoSpaceDN w:val="0"/>
        <w:adjustRightInd w:val="0"/>
        <w:rPr>
          <w:rFonts w:eastAsia="TimesNewRoman,Italic"/>
          <w:i/>
        </w:rPr>
      </w:pPr>
      <w:r w:rsidRPr="005454C8">
        <w:rPr>
          <w:rFonts w:eastAsia="TimesNewRoman,Italic"/>
          <w:i/>
        </w:rPr>
        <w:t>Vaikų populiacija</w:t>
      </w:r>
    </w:p>
    <w:p w14:paraId="58D27534" w14:textId="77777777" w:rsidR="00041CC8" w:rsidRPr="005454C8" w:rsidRDefault="00041CC8" w:rsidP="00041CC8">
      <w:pPr>
        <w:autoSpaceDE w:val="0"/>
        <w:autoSpaceDN w:val="0"/>
        <w:adjustRightInd w:val="0"/>
        <w:rPr>
          <w:rFonts w:eastAsia="Calibri"/>
        </w:rPr>
      </w:pPr>
      <w:r w:rsidRPr="005454C8">
        <w:rPr>
          <w:rFonts w:eastAsia="Calibri"/>
        </w:rPr>
        <w:t>Vorikonazolo saugumas buvo tirtas tyrimuose, kuriuose dalyvavo 288 vaikai nuo 2 iki &lt; 12 metų</w:t>
      </w:r>
      <w:r>
        <w:rPr>
          <w:rFonts w:eastAsia="Calibri"/>
        </w:rPr>
        <w:t xml:space="preserve"> </w:t>
      </w:r>
      <w:r w:rsidRPr="005454C8">
        <w:rPr>
          <w:rFonts w:eastAsia="Calibri"/>
        </w:rPr>
        <w:t>(169) ir nuo 12 iki &lt; 18 metų (119), kurie klinikinių tyrimų metu vartojo vorikonazolą profilaktikai</w:t>
      </w:r>
      <w:r>
        <w:rPr>
          <w:rFonts w:eastAsia="Calibri"/>
        </w:rPr>
        <w:t xml:space="preserve"> </w:t>
      </w:r>
      <w:r w:rsidRPr="005454C8">
        <w:rPr>
          <w:rFonts w:eastAsia="Calibri"/>
        </w:rPr>
        <w:t>(183) ir gydymui (105). Vorikonazolo saugumas papildomai buvo tirtas nuo 2 iki &lt; 12 metų amžiaus</w:t>
      </w:r>
      <w:r>
        <w:rPr>
          <w:rFonts w:eastAsia="Calibri"/>
        </w:rPr>
        <w:t xml:space="preserve"> </w:t>
      </w:r>
      <w:r w:rsidRPr="005454C8">
        <w:rPr>
          <w:rFonts w:eastAsia="Calibri"/>
        </w:rPr>
        <w:t>vaikams, kurie buvo stebimi labdaros programose (158 vaikai). Apskritai, vorikonazolo saugumo</w:t>
      </w:r>
      <w:r>
        <w:rPr>
          <w:rFonts w:eastAsia="Calibri"/>
        </w:rPr>
        <w:t xml:space="preserve"> </w:t>
      </w:r>
      <w:r w:rsidRPr="005454C8">
        <w:rPr>
          <w:rFonts w:eastAsia="Calibri"/>
        </w:rPr>
        <w:t>pobūdis vaikų populiacijoje buvo panašus į suaugusiųjų. Tačiau klinikinių tyrimų metu dažniau</w:t>
      </w:r>
      <w:r>
        <w:rPr>
          <w:rFonts w:eastAsia="Calibri"/>
        </w:rPr>
        <w:t xml:space="preserve"> </w:t>
      </w:r>
      <w:r w:rsidRPr="005454C8">
        <w:rPr>
          <w:rFonts w:eastAsia="Calibri"/>
        </w:rPr>
        <w:t>pranešta apie kepenų fermentų aktyvumo padidėjimo tendenciją kaip apie nepageidaujamą reakciją</w:t>
      </w:r>
      <w:r>
        <w:rPr>
          <w:rFonts w:eastAsia="Calibri"/>
        </w:rPr>
        <w:t xml:space="preserve"> </w:t>
      </w:r>
      <w:r w:rsidRPr="005454C8">
        <w:rPr>
          <w:rFonts w:eastAsia="Calibri"/>
        </w:rPr>
        <w:t>(transaminazių aktyvumas padidėjo 14,2 % vaikų, palyginti su 5,3 % suaugusiųjų) vaikų populiacijai,</w:t>
      </w:r>
      <w:r>
        <w:rPr>
          <w:rFonts w:eastAsia="Calibri"/>
        </w:rPr>
        <w:t xml:space="preserve"> </w:t>
      </w:r>
      <w:r w:rsidRPr="005454C8">
        <w:rPr>
          <w:rFonts w:eastAsia="Calibri"/>
        </w:rPr>
        <w:t xml:space="preserve">palyginti su suaugusiaisiais. Po vaistinio preparato patekimo į rinką gauti duomenys rodo, kad vaikams odos reakcijų (ypač eritema) gali atsirasti dažniau nei suaugusiesiems. 22 jaunesniems kaip 2 metų ligoniams, gydytiems vorikonazolu pagal labdaros programą, pasireiškė tokios nepageidaujamos reakcijos (jų sąsajos su vorikonazolu paneigti negalima): padidėjusio jautrumo šviesai reakcija (1), aritmija (1), pankreatitas (1), bilirubino koncentracijos kraujyje padidėjimas (1), kepenų fermentų </w:t>
      </w:r>
      <w:r w:rsidRPr="009A1B7F">
        <w:rPr>
          <w:rFonts w:eastAsia="Calibri"/>
          <w:szCs w:val="22"/>
          <w:lang w:eastAsia="en-US"/>
        </w:rPr>
        <w:t>aktyvumo</w:t>
      </w:r>
      <w:r w:rsidRPr="005454C8">
        <w:rPr>
          <w:rFonts w:eastAsia="Calibri"/>
        </w:rPr>
        <w:t xml:space="preserve"> padidėjimas (1), išbėrimas (1), regos nervo disko edema (1). Po vaistinio preparato patekimo į rinką gauta pranešimų apie vaikus ir paauglius, susirgusius pankreatitu.</w:t>
      </w:r>
    </w:p>
    <w:p w14:paraId="1CE7340B" w14:textId="77777777" w:rsidR="00041CC8" w:rsidRPr="005454C8" w:rsidRDefault="00041CC8" w:rsidP="00041CC8">
      <w:pPr>
        <w:autoSpaceDE w:val="0"/>
        <w:autoSpaceDN w:val="0"/>
        <w:adjustRightInd w:val="0"/>
        <w:rPr>
          <w:rFonts w:eastAsia="Calibri"/>
          <w:u w:val="single"/>
        </w:rPr>
      </w:pPr>
    </w:p>
    <w:p w14:paraId="6CC44FE7" w14:textId="77777777" w:rsidR="00041CC8" w:rsidRPr="005454C8" w:rsidRDefault="00041CC8" w:rsidP="00041CC8">
      <w:pPr>
        <w:autoSpaceDE w:val="0"/>
        <w:autoSpaceDN w:val="0"/>
        <w:adjustRightInd w:val="0"/>
        <w:rPr>
          <w:rFonts w:eastAsia="Calibri"/>
          <w:u w:val="single"/>
        </w:rPr>
      </w:pPr>
      <w:r w:rsidRPr="005454C8">
        <w:rPr>
          <w:rFonts w:eastAsia="Calibri"/>
          <w:u w:val="single"/>
        </w:rPr>
        <w:lastRenderedPageBreak/>
        <w:t>Pranešimas apie įtariamas nepageidaujamas reakcijas</w:t>
      </w:r>
    </w:p>
    <w:p w14:paraId="423A3CD1" w14:textId="77777777" w:rsidR="00041CC8" w:rsidRPr="0045601F" w:rsidRDefault="00041CC8" w:rsidP="00041CC8">
      <w:pPr>
        <w:tabs>
          <w:tab w:val="left" w:pos="567"/>
        </w:tabs>
        <w:autoSpaceDE w:val="0"/>
        <w:autoSpaceDN w:val="0"/>
        <w:adjustRightInd w:val="0"/>
        <w:spacing w:line="260" w:lineRule="exact"/>
        <w:rPr>
          <w:noProof/>
          <w:snapToGrid w:val="0"/>
          <w:szCs w:val="24"/>
          <w:lang w:eastAsia="en-US"/>
        </w:rPr>
      </w:pPr>
      <w:r w:rsidRPr="0045601F">
        <w:rPr>
          <w:noProof/>
          <w:snapToGrid w:val="0"/>
          <w:szCs w:val="24"/>
          <w:lang w:eastAsia="en-US"/>
        </w:rPr>
        <w:t>Svarbu pranešti apie įtariamas nepageidaujamas reakcijas, pastebėtas po vaistinio preparato registracijos, nes tai leidžia nuolat stebėti vaistinio preparato naudos ir rizikos santykį.</w:t>
      </w:r>
      <w:r w:rsidRPr="0045601F">
        <w:rPr>
          <w:snapToGrid w:val="0"/>
          <w:szCs w:val="24"/>
          <w:lang w:eastAsia="en-US"/>
        </w:rPr>
        <w:t xml:space="preserve"> </w:t>
      </w:r>
      <w:r w:rsidRPr="0045601F">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5601F">
          <w:rPr>
            <w:noProof/>
            <w:snapToGrid w:val="0"/>
            <w:color w:val="0000FF"/>
            <w:szCs w:val="24"/>
            <w:u w:val="single"/>
            <w:lang w:eastAsia="en-US"/>
          </w:rPr>
          <w:t>https://vapris.vvkt.lt/vvkt-web/public/nrvSpecialist</w:t>
        </w:r>
      </w:hyperlink>
      <w:r w:rsidRPr="0045601F">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45601F">
          <w:rPr>
            <w:noProof/>
            <w:snapToGrid w:val="0"/>
            <w:color w:val="0000FF"/>
            <w:szCs w:val="24"/>
            <w:u w:val="single"/>
            <w:lang w:eastAsia="en-US"/>
          </w:rPr>
          <w:t>https://www.vvkt.lt/index.php?1399030386</w:t>
        </w:r>
      </w:hyperlink>
      <w:r w:rsidRPr="0045601F">
        <w:rPr>
          <w:noProof/>
          <w:snapToGrid w:val="0"/>
          <w:szCs w:val="24"/>
          <w:lang w:eastAsia="en-US"/>
        </w:rPr>
        <w:t>, ir atsiųsti elektroniniu paštu (adresu NepageidaujamaR@vvkt.lt).</w:t>
      </w:r>
    </w:p>
    <w:p w14:paraId="4F3BE6FB" w14:textId="77777777" w:rsidR="00041CC8" w:rsidRPr="009A1B7F" w:rsidRDefault="00041CC8" w:rsidP="00041CC8">
      <w:pPr>
        <w:rPr>
          <w:b/>
          <w:szCs w:val="24"/>
          <w:lang w:eastAsia="en-US"/>
        </w:rPr>
      </w:pPr>
    </w:p>
    <w:p w14:paraId="481908D8" w14:textId="77777777" w:rsidR="00041CC8" w:rsidRPr="005454C8" w:rsidRDefault="00041CC8" w:rsidP="00041CC8">
      <w:pPr>
        <w:rPr>
          <w:b/>
        </w:rPr>
      </w:pPr>
      <w:r w:rsidRPr="005454C8">
        <w:rPr>
          <w:b/>
        </w:rPr>
        <w:t>4.9</w:t>
      </w:r>
      <w:r w:rsidRPr="005454C8">
        <w:rPr>
          <w:b/>
        </w:rPr>
        <w:tab/>
        <w:t>Perdozavimas</w:t>
      </w:r>
    </w:p>
    <w:p w14:paraId="03752243" w14:textId="77777777" w:rsidR="00041CC8" w:rsidRPr="005454C8" w:rsidRDefault="00041CC8" w:rsidP="00041CC8"/>
    <w:p w14:paraId="3FB00502" w14:textId="77777777" w:rsidR="00041CC8" w:rsidRPr="005454C8" w:rsidRDefault="00041CC8" w:rsidP="00041CC8">
      <w:pPr>
        <w:autoSpaceDE w:val="0"/>
        <w:autoSpaceDN w:val="0"/>
        <w:adjustRightInd w:val="0"/>
        <w:rPr>
          <w:rFonts w:eastAsia="Calibri"/>
        </w:rPr>
      </w:pPr>
      <w:r w:rsidRPr="005454C8">
        <w:rPr>
          <w:rFonts w:eastAsia="Calibri"/>
        </w:rPr>
        <w:t>Klinikinių tyrimų metu buvo 3 perdozavimo atvejai (visi atvejai įvyko vaikams, kuriems į veną buvo infuzuota dozė iki penkių kartų didesnė už rekomenduojamą). Vienam pacientui pasireiškė 10 minučių trukusi nepageidaujama reakcija - fotofobija.</w:t>
      </w:r>
    </w:p>
    <w:p w14:paraId="5EBCFF0F" w14:textId="77777777" w:rsidR="00041CC8" w:rsidRPr="005454C8" w:rsidRDefault="00041CC8" w:rsidP="00041CC8">
      <w:pPr>
        <w:autoSpaceDE w:val="0"/>
        <w:autoSpaceDN w:val="0"/>
        <w:adjustRightInd w:val="0"/>
        <w:rPr>
          <w:rFonts w:eastAsia="Calibri"/>
        </w:rPr>
      </w:pPr>
    </w:p>
    <w:p w14:paraId="1391BA6B" w14:textId="77777777" w:rsidR="00041CC8" w:rsidRPr="005454C8" w:rsidRDefault="00041CC8" w:rsidP="00041CC8">
      <w:pPr>
        <w:autoSpaceDE w:val="0"/>
        <w:autoSpaceDN w:val="0"/>
        <w:adjustRightInd w:val="0"/>
        <w:rPr>
          <w:rFonts w:eastAsia="Calibri"/>
        </w:rPr>
      </w:pPr>
      <w:r w:rsidRPr="005454C8">
        <w:rPr>
          <w:rFonts w:eastAsia="Calibri"/>
        </w:rPr>
        <w:t>Priešnuodis vorikonazolui nežinomas.</w:t>
      </w:r>
    </w:p>
    <w:p w14:paraId="58A957C9" w14:textId="77777777" w:rsidR="00041CC8" w:rsidRPr="005454C8" w:rsidRDefault="00041CC8" w:rsidP="00041CC8">
      <w:pPr>
        <w:autoSpaceDE w:val="0"/>
        <w:autoSpaceDN w:val="0"/>
        <w:adjustRightInd w:val="0"/>
        <w:rPr>
          <w:rFonts w:eastAsia="Calibri"/>
        </w:rPr>
      </w:pPr>
    </w:p>
    <w:p w14:paraId="7399ADB5" w14:textId="77777777" w:rsidR="00041CC8" w:rsidRPr="005454C8" w:rsidRDefault="00041CC8" w:rsidP="00041CC8">
      <w:pPr>
        <w:autoSpaceDE w:val="0"/>
        <w:autoSpaceDN w:val="0"/>
        <w:adjustRightInd w:val="0"/>
      </w:pPr>
      <w:r w:rsidRPr="005454C8">
        <w:rPr>
          <w:rFonts w:eastAsia="Calibri"/>
        </w:rPr>
        <w:t>Vorikonazolą galima pašalinti hemodialize, jo klirensas yra 121 ml/min. Jei</w:t>
      </w:r>
      <w:r w:rsidRPr="009A1B7F">
        <w:rPr>
          <w:rFonts w:eastAsia="Calibri"/>
          <w:szCs w:val="22"/>
          <w:lang w:eastAsia="en-US"/>
        </w:rPr>
        <w:t xml:space="preserve"> vaistinio</w:t>
      </w:r>
      <w:r w:rsidRPr="005454C8">
        <w:rPr>
          <w:rFonts w:eastAsia="Calibri"/>
        </w:rPr>
        <w:t xml:space="preserve"> preparato perdozuojama, vorikonazolą iš organizmo galima šalinti hemodializuojant.</w:t>
      </w:r>
    </w:p>
    <w:p w14:paraId="69A9E3F9" w14:textId="77777777" w:rsidR="00041CC8" w:rsidRPr="005454C8" w:rsidRDefault="00041CC8" w:rsidP="00041CC8"/>
    <w:p w14:paraId="359BC4F6" w14:textId="77777777" w:rsidR="00041CC8" w:rsidRPr="005454C8" w:rsidRDefault="00041CC8" w:rsidP="00041CC8"/>
    <w:p w14:paraId="33DFF4B9" w14:textId="77777777" w:rsidR="00041CC8" w:rsidRPr="005454C8" w:rsidRDefault="00041CC8" w:rsidP="00041CC8">
      <w:pPr>
        <w:keepNext/>
        <w:ind w:left="567" w:hanging="567"/>
        <w:outlineLvl w:val="2"/>
        <w:rPr>
          <w:b/>
        </w:rPr>
      </w:pPr>
      <w:r w:rsidRPr="005454C8">
        <w:rPr>
          <w:b/>
        </w:rPr>
        <w:t>5.</w:t>
      </w:r>
      <w:r w:rsidRPr="005454C8">
        <w:rPr>
          <w:b/>
        </w:rPr>
        <w:tab/>
        <w:t>FARMAKOLOGINĖS SAVYBĖS</w:t>
      </w:r>
    </w:p>
    <w:p w14:paraId="31BC3181" w14:textId="77777777" w:rsidR="00041CC8" w:rsidRPr="005454C8" w:rsidRDefault="00041CC8" w:rsidP="00041CC8">
      <w:pPr>
        <w:keepNext/>
        <w:spacing w:before="240" w:after="60"/>
        <w:ind w:left="567" w:hanging="567"/>
        <w:outlineLvl w:val="3"/>
        <w:rPr>
          <w:b/>
        </w:rPr>
      </w:pPr>
      <w:r w:rsidRPr="005454C8">
        <w:rPr>
          <w:b/>
        </w:rPr>
        <w:t xml:space="preserve">5.1 </w:t>
      </w:r>
      <w:r w:rsidRPr="005454C8">
        <w:rPr>
          <w:b/>
        </w:rPr>
        <w:tab/>
        <w:t>Farmakodinaminės savybės</w:t>
      </w:r>
    </w:p>
    <w:p w14:paraId="1BC3E29B" w14:textId="77777777" w:rsidR="00041CC8" w:rsidRPr="005454C8" w:rsidRDefault="00041CC8" w:rsidP="00041CC8"/>
    <w:p w14:paraId="44D90563" w14:textId="77777777" w:rsidR="00041CC8" w:rsidRPr="005454C8" w:rsidRDefault="00041CC8" w:rsidP="00041CC8">
      <w:r w:rsidRPr="005454C8">
        <w:t xml:space="preserve">Farmakoterapinė grupė – </w:t>
      </w:r>
      <w:r w:rsidRPr="005454C8">
        <w:rPr>
          <w:rFonts w:eastAsia="Calibri"/>
        </w:rPr>
        <w:t>sisteminio poveikio priešgrybeliniai vaistiniai preparatai (triazolo dariniai)</w:t>
      </w:r>
      <w:r w:rsidRPr="005454C8">
        <w:t xml:space="preserve">, ATC kodas – </w:t>
      </w:r>
      <w:r w:rsidRPr="005454C8">
        <w:rPr>
          <w:rFonts w:eastAsia="Calibri"/>
        </w:rPr>
        <w:t>J02A C0</w:t>
      </w:r>
      <w:r w:rsidRPr="005454C8">
        <w:t>3.</w:t>
      </w:r>
    </w:p>
    <w:p w14:paraId="54B07FD4" w14:textId="77777777" w:rsidR="00041CC8" w:rsidRPr="005454C8" w:rsidRDefault="00041CC8" w:rsidP="00041CC8"/>
    <w:p w14:paraId="1224D231" w14:textId="77777777" w:rsidR="00041CC8" w:rsidRPr="005454C8" w:rsidRDefault="00041CC8" w:rsidP="00041CC8">
      <w:pPr>
        <w:autoSpaceDE w:val="0"/>
        <w:autoSpaceDN w:val="0"/>
        <w:adjustRightInd w:val="0"/>
        <w:rPr>
          <w:rFonts w:eastAsia="Calibri"/>
          <w:u w:val="single"/>
        </w:rPr>
      </w:pPr>
      <w:r w:rsidRPr="005454C8">
        <w:rPr>
          <w:rFonts w:eastAsia="Calibri"/>
          <w:u w:val="single"/>
        </w:rPr>
        <w:t>Veikimo mechanizmas</w:t>
      </w:r>
    </w:p>
    <w:p w14:paraId="29A0640A" w14:textId="77777777" w:rsidR="00041CC8" w:rsidRPr="005454C8" w:rsidRDefault="00041CC8" w:rsidP="00041CC8">
      <w:pPr>
        <w:autoSpaceDE w:val="0"/>
        <w:autoSpaceDN w:val="0"/>
        <w:adjustRightInd w:val="0"/>
        <w:rPr>
          <w:rFonts w:eastAsia="Calibri"/>
        </w:rPr>
      </w:pPr>
      <w:r w:rsidRPr="005454C8">
        <w:rPr>
          <w:rFonts w:eastAsia="Calibri"/>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14:paraId="092A9CFE" w14:textId="77777777" w:rsidR="00041CC8" w:rsidRPr="005454C8" w:rsidRDefault="00041CC8" w:rsidP="00041CC8">
      <w:pPr>
        <w:autoSpaceDE w:val="0"/>
        <w:autoSpaceDN w:val="0"/>
        <w:adjustRightInd w:val="0"/>
        <w:rPr>
          <w:rFonts w:eastAsia="Calibri"/>
        </w:rPr>
      </w:pPr>
    </w:p>
    <w:p w14:paraId="42D56915" w14:textId="77777777" w:rsidR="00041CC8" w:rsidRPr="005454C8" w:rsidRDefault="00041CC8" w:rsidP="00041CC8">
      <w:pPr>
        <w:autoSpaceDE w:val="0"/>
        <w:autoSpaceDN w:val="0"/>
        <w:adjustRightInd w:val="0"/>
        <w:rPr>
          <w:rFonts w:eastAsia="Calibri"/>
          <w:u w:val="single"/>
        </w:rPr>
      </w:pPr>
      <w:r w:rsidRPr="005454C8">
        <w:rPr>
          <w:rFonts w:eastAsia="Calibri"/>
          <w:u w:val="single"/>
        </w:rPr>
        <w:t>Farmakokinetikos / farmakodinamikos ryšys</w:t>
      </w:r>
    </w:p>
    <w:p w14:paraId="102D15EF" w14:textId="77777777" w:rsidR="00041CC8" w:rsidRPr="005454C8" w:rsidRDefault="00041CC8" w:rsidP="00041CC8">
      <w:pPr>
        <w:autoSpaceDE w:val="0"/>
        <w:autoSpaceDN w:val="0"/>
        <w:adjustRightInd w:val="0"/>
        <w:rPr>
          <w:rFonts w:eastAsia="Calibri"/>
        </w:rPr>
      </w:pPr>
      <w:r w:rsidRPr="005454C8">
        <w:rPr>
          <w:rFonts w:eastAsia="Calibri"/>
        </w:rPr>
        <w:t xml:space="preserve">Dešimties gydymo tyrimų duomenimis, atskirų tiriamųjų vidutinių ir didžiausių koncentracijų </w:t>
      </w:r>
      <w:r w:rsidRPr="009A1B7F">
        <w:rPr>
          <w:rFonts w:eastAsia="Calibri"/>
          <w:szCs w:val="22"/>
          <w:lang w:eastAsia="en-US"/>
        </w:rPr>
        <w:t xml:space="preserve">kraujo </w:t>
      </w:r>
      <w:r w:rsidRPr="005454C8">
        <w:rPr>
          <w:rFonts w:eastAsia="Calibri"/>
        </w:rPr>
        <w:t xml:space="preserve">plazmoje mediana visuose tyrimuose buvo atitinkamai 2425 ng/ml (intervalas tarp kvartilių nuo 1193 iki 4380 ng/ml) ir 3742 ng/ml (intervalas tarp kvartilių nuo 2027 iki 6302 ng/ml). Teigiamo vidutinės, didžiausios arba mažiausios vorikonazolo koncentracijų </w:t>
      </w:r>
      <w:r w:rsidRPr="009A1B7F">
        <w:rPr>
          <w:rFonts w:eastAsia="Calibri"/>
          <w:szCs w:val="22"/>
          <w:lang w:eastAsia="en-US"/>
        </w:rPr>
        <w:t xml:space="preserve">kraujo </w:t>
      </w:r>
      <w:r w:rsidRPr="005454C8">
        <w:rPr>
          <w:rFonts w:eastAsia="Calibri"/>
        </w:rPr>
        <w:t>plazmoje ryšio su veiksmingumu gydymo tyrimuose nepastebėta ir šis ryšys nebuvo tiriamas profilaktikos tyrimuose.</w:t>
      </w:r>
    </w:p>
    <w:p w14:paraId="2CAF3A5B" w14:textId="77777777" w:rsidR="00041CC8" w:rsidRPr="005454C8" w:rsidRDefault="00041CC8" w:rsidP="00041CC8">
      <w:pPr>
        <w:autoSpaceDE w:val="0"/>
        <w:autoSpaceDN w:val="0"/>
        <w:adjustRightInd w:val="0"/>
        <w:rPr>
          <w:rFonts w:eastAsia="Calibri"/>
        </w:rPr>
      </w:pPr>
    </w:p>
    <w:p w14:paraId="595E884D" w14:textId="77777777" w:rsidR="00041CC8" w:rsidRPr="005454C8" w:rsidRDefault="00041CC8" w:rsidP="00041CC8">
      <w:pPr>
        <w:autoSpaceDE w:val="0"/>
        <w:autoSpaceDN w:val="0"/>
        <w:adjustRightInd w:val="0"/>
        <w:rPr>
          <w:rFonts w:eastAsia="Calibri"/>
          <w:u w:val="single"/>
        </w:rPr>
      </w:pPr>
      <w:r w:rsidRPr="005454C8">
        <w:rPr>
          <w:rFonts w:eastAsia="Calibri"/>
        </w:rPr>
        <w:t xml:space="preserve">Klinikinių tyrimų farmakokinetikos ir farmakodinamikos duomenų analizės parodė teigiamą vorikonazolo koncentracijų </w:t>
      </w:r>
      <w:r w:rsidRPr="009A1B7F">
        <w:rPr>
          <w:rFonts w:eastAsia="Calibri"/>
          <w:szCs w:val="22"/>
          <w:lang w:eastAsia="en-US"/>
        </w:rPr>
        <w:t xml:space="preserve">kraujo </w:t>
      </w:r>
      <w:r w:rsidRPr="005454C8">
        <w:rPr>
          <w:rFonts w:eastAsia="Calibri"/>
        </w:rPr>
        <w:t>plazmoje ryšį su nenormaliais kepenų funkcijos tyrimų rodmenimis bei regėjimo sutrikimais. Dozės koregavimas profilaktikos tyrimuose nebuvo tiriamas.</w:t>
      </w:r>
    </w:p>
    <w:p w14:paraId="1A9FEA9C" w14:textId="77777777" w:rsidR="00041CC8" w:rsidRPr="005454C8" w:rsidRDefault="00041CC8" w:rsidP="00041CC8">
      <w:pPr>
        <w:autoSpaceDE w:val="0"/>
        <w:autoSpaceDN w:val="0"/>
        <w:adjustRightInd w:val="0"/>
        <w:rPr>
          <w:rFonts w:eastAsia="Calibri"/>
          <w:u w:val="single"/>
        </w:rPr>
      </w:pPr>
    </w:p>
    <w:p w14:paraId="03F82716" w14:textId="77777777" w:rsidR="00041CC8" w:rsidRPr="005454C8" w:rsidRDefault="00041CC8" w:rsidP="00041CC8">
      <w:pPr>
        <w:autoSpaceDE w:val="0"/>
        <w:autoSpaceDN w:val="0"/>
        <w:adjustRightInd w:val="0"/>
        <w:rPr>
          <w:rFonts w:eastAsia="Calibri"/>
          <w:u w:val="single"/>
        </w:rPr>
      </w:pPr>
      <w:r w:rsidRPr="005454C8">
        <w:rPr>
          <w:rFonts w:eastAsia="Calibri"/>
          <w:u w:val="single"/>
        </w:rPr>
        <w:t>Klinikinis veiksmingumas ir saugumas</w:t>
      </w:r>
    </w:p>
    <w:p w14:paraId="6200243F" w14:textId="77777777" w:rsidR="00041CC8" w:rsidRPr="005454C8" w:rsidRDefault="00041CC8" w:rsidP="00041CC8">
      <w:pPr>
        <w:autoSpaceDE w:val="0"/>
        <w:autoSpaceDN w:val="0"/>
        <w:adjustRightInd w:val="0"/>
        <w:rPr>
          <w:rFonts w:eastAsia="Calibri"/>
        </w:rPr>
      </w:pPr>
      <w:r w:rsidRPr="005454C8">
        <w:rPr>
          <w:rFonts w:eastAsia="Calibri"/>
        </w:rPr>
        <w:t xml:space="preserve">Tyrimų </w:t>
      </w:r>
      <w:r w:rsidRPr="005454C8">
        <w:rPr>
          <w:rFonts w:eastAsia="TimesNewRoman,Italic"/>
          <w:i/>
        </w:rPr>
        <w:t xml:space="preserve">in vitro </w:t>
      </w:r>
      <w:r w:rsidRPr="005454C8">
        <w:rPr>
          <w:rFonts w:eastAsia="Calibri"/>
        </w:rPr>
        <w:t xml:space="preserve">duomenimis, vorikonazolui būdingas plataus spektro priešgrybelinis aktyvumas su stipriu priešgrybeliniu poveikiu </w:t>
      </w:r>
      <w:r w:rsidRPr="005454C8">
        <w:rPr>
          <w:rFonts w:eastAsia="TimesNewRoman,Italic"/>
          <w:i/>
        </w:rPr>
        <w:t xml:space="preserve">Candida </w:t>
      </w:r>
      <w:r w:rsidRPr="005454C8">
        <w:rPr>
          <w:rFonts w:eastAsia="Calibri"/>
        </w:rPr>
        <w:t xml:space="preserve">rūšims (įskaitant flukonazolui atsparias </w:t>
      </w:r>
      <w:r w:rsidRPr="005454C8">
        <w:rPr>
          <w:rFonts w:eastAsia="TimesNewRoman,Italic"/>
          <w:i/>
        </w:rPr>
        <w:t xml:space="preserve">C. krusei </w:t>
      </w:r>
      <w:r w:rsidRPr="005454C8">
        <w:rPr>
          <w:rFonts w:eastAsia="Calibri"/>
        </w:rPr>
        <w:t xml:space="preserve">ir atsparias </w:t>
      </w:r>
      <w:r w:rsidRPr="005454C8">
        <w:rPr>
          <w:rFonts w:eastAsia="TimesNewRoman,Italic"/>
          <w:i/>
        </w:rPr>
        <w:t xml:space="preserve">C. glabrata </w:t>
      </w:r>
      <w:r w:rsidRPr="005454C8">
        <w:rPr>
          <w:rFonts w:eastAsia="Calibri"/>
        </w:rPr>
        <w:t xml:space="preserve">bei </w:t>
      </w:r>
      <w:r w:rsidRPr="005454C8">
        <w:rPr>
          <w:rFonts w:eastAsia="TimesNewRoman,Italic"/>
          <w:i/>
        </w:rPr>
        <w:t xml:space="preserve">C. albicans </w:t>
      </w:r>
      <w:r w:rsidRPr="005454C8">
        <w:rPr>
          <w:rFonts w:eastAsia="Calibri"/>
        </w:rPr>
        <w:t xml:space="preserve">padermes) ir fungicidiniu poveikiu visoms tirtoms </w:t>
      </w:r>
      <w:r w:rsidRPr="005454C8">
        <w:rPr>
          <w:rFonts w:eastAsia="TimesNewRoman,Italic"/>
          <w:i/>
        </w:rPr>
        <w:t xml:space="preserve">Aspergillus </w:t>
      </w:r>
      <w:r w:rsidRPr="005454C8">
        <w:rPr>
          <w:rFonts w:eastAsia="Calibri"/>
        </w:rPr>
        <w:t xml:space="preserve">rūšims. Be to, vorikonazolas parodė fungicidinį aktyvumą </w:t>
      </w:r>
      <w:r w:rsidRPr="005454C8">
        <w:rPr>
          <w:rFonts w:eastAsia="TimesNewRoman,Italic"/>
          <w:i/>
        </w:rPr>
        <w:t xml:space="preserve">in vitro </w:t>
      </w:r>
      <w:r w:rsidRPr="005454C8">
        <w:rPr>
          <w:rFonts w:eastAsia="Calibri"/>
        </w:rPr>
        <w:t xml:space="preserve">prieš sparčiai besidauginančius grybelinius sukėlėjus, įskaitant, pavyzdžiui, </w:t>
      </w:r>
      <w:r w:rsidRPr="005454C8">
        <w:rPr>
          <w:rFonts w:eastAsia="TimesNewRoman,Italic"/>
          <w:i/>
        </w:rPr>
        <w:t xml:space="preserve">Scedosporium </w:t>
      </w:r>
      <w:r w:rsidRPr="005454C8">
        <w:rPr>
          <w:rFonts w:eastAsia="Calibri"/>
        </w:rPr>
        <w:t xml:space="preserve">arba </w:t>
      </w:r>
      <w:r w:rsidRPr="005454C8">
        <w:rPr>
          <w:rFonts w:eastAsia="TimesNewRoman,Italic"/>
          <w:i/>
        </w:rPr>
        <w:t>Fusarium</w:t>
      </w:r>
      <w:r w:rsidRPr="005454C8">
        <w:rPr>
          <w:rFonts w:eastAsia="Calibri"/>
        </w:rPr>
        <w:t>, kurių jautrumas esamiems priešgrybeliniams vaistiniams preparatams yra ribotas.</w:t>
      </w:r>
    </w:p>
    <w:p w14:paraId="3A7B7A00" w14:textId="77777777" w:rsidR="00041CC8" w:rsidRPr="005454C8" w:rsidRDefault="00041CC8" w:rsidP="00041CC8">
      <w:pPr>
        <w:autoSpaceDE w:val="0"/>
        <w:autoSpaceDN w:val="0"/>
        <w:adjustRightInd w:val="0"/>
        <w:rPr>
          <w:rFonts w:eastAsia="Calibri"/>
        </w:rPr>
      </w:pPr>
    </w:p>
    <w:p w14:paraId="2E04282B" w14:textId="77777777" w:rsidR="00041CC8" w:rsidRPr="005454C8" w:rsidRDefault="00041CC8" w:rsidP="00041CC8">
      <w:pPr>
        <w:autoSpaceDE w:val="0"/>
        <w:autoSpaceDN w:val="0"/>
        <w:adjustRightInd w:val="0"/>
        <w:rPr>
          <w:rFonts w:eastAsia="TimesNewRoman,Italic"/>
        </w:rPr>
      </w:pPr>
      <w:r w:rsidRPr="005454C8">
        <w:rPr>
          <w:rFonts w:eastAsia="Calibri"/>
        </w:rPr>
        <w:lastRenderedPageBreak/>
        <w:t xml:space="preserve">Klinikinis veiksmingumas (visiškas arba dalinis atsakas) buvo nustatytas prieš </w:t>
      </w:r>
      <w:r w:rsidRPr="005454C8">
        <w:rPr>
          <w:rFonts w:eastAsia="TimesNewRoman,Italic"/>
          <w:i/>
        </w:rPr>
        <w:t xml:space="preserve">Aspergillus </w:t>
      </w:r>
      <w:r w:rsidRPr="005454C8">
        <w:rPr>
          <w:rFonts w:eastAsia="Calibri"/>
        </w:rPr>
        <w:t>rūšis,</w:t>
      </w:r>
      <w:r w:rsidRPr="005454C8" w:rsidDel="00C45CA0">
        <w:rPr>
          <w:rFonts w:eastAsia="Calibri"/>
        </w:rPr>
        <w:t xml:space="preserve"> </w:t>
      </w:r>
      <w:r w:rsidRPr="005454C8">
        <w:rPr>
          <w:rFonts w:eastAsia="Calibri"/>
        </w:rPr>
        <w:t xml:space="preserve">įskaitant </w:t>
      </w:r>
      <w:r w:rsidRPr="005454C8">
        <w:rPr>
          <w:rFonts w:eastAsia="TimesNewRoman,Italic"/>
          <w:i/>
        </w:rPr>
        <w:t xml:space="preserve">A. flavus, A. fumigatus, A. terreus, A. niger, A. nidulans, Candida </w:t>
      </w:r>
      <w:r w:rsidRPr="005454C8">
        <w:rPr>
          <w:rFonts w:eastAsia="Calibri"/>
        </w:rPr>
        <w:t xml:space="preserve">rūšis, įskaitant </w:t>
      </w:r>
      <w:r w:rsidRPr="005454C8">
        <w:rPr>
          <w:rFonts w:eastAsia="TimesNewRoman,Italic"/>
          <w:i/>
        </w:rPr>
        <w:t xml:space="preserve">C. albicans C. glabrata, C. krusei, C. parapsilosis </w:t>
      </w:r>
      <w:r w:rsidRPr="005454C8">
        <w:rPr>
          <w:rFonts w:eastAsia="TimesNewRoman,Italic"/>
        </w:rPr>
        <w:t xml:space="preserve">ir </w:t>
      </w:r>
      <w:r w:rsidRPr="005454C8">
        <w:rPr>
          <w:rFonts w:eastAsia="TimesNewRoman,Italic"/>
          <w:i/>
        </w:rPr>
        <w:t xml:space="preserve">C. tropicalis </w:t>
      </w:r>
      <w:r w:rsidRPr="005454C8">
        <w:rPr>
          <w:rFonts w:eastAsia="TimesNewRoman,Italic"/>
        </w:rPr>
        <w:t xml:space="preserve">ir nedidelį skaičių </w:t>
      </w:r>
      <w:r w:rsidRPr="005454C8">
        <w:rPr>
          <w:rFonts w:eastAsia="TimesNewRoman,Italic"/>
          <w:i/>
        </w:rPr>
        <w:t>C. dubliniensis, C.</w:t>
      </w:r>
      <w:r w:rsidRPr="005454C8" w:rsidDel="00C45CA0">
        <w:rPr>
          <w:rFonts w:eastAsia="TimesNewRoman,Italic"/>
          <w:i/>
        </w:rPr>
        <w:t xml:space="preserve"> </w:t>
      </w:r>
      <w:r w:rsidRPr="005454C8">
        <w:rPr>
          <w:rFonts w:eastAsia="TimesNewRoman,Italic"/>
          <w:i/>
        </w:rPr>
        <w:t xml:space="preserve">inconspicua </w:t>
      </w:r>
      <w:r w:rsidRPr="005454C8">
        <w:rPr>
          <w:rFonts w:eastAsia="TimesNewRoman,Italic"/>
        </w:rPr>
        <w:t xml:space="preserve">ir </w:t>
      </w:r>
      <w:r w:rsidRPr="005454C8">
        <w:rPr>
          <w:rFonts w:eastAsia="TimesNewRoman,Italic"/>
          <w:i/>
        </w:rPr>
        <w:t xml:space="preserve">C. guilliermondii, Scedosporium </w:t>
      </w:r>
      <w:r w:rsidRPr="005454C8">
        <w:rPr>
          <w:rFonts w:eastAsia="TimesNewRoman,Italic"/>
        </w:rPr>
        <w:t xml:space="preserve">rūšis, įskaitant </w:t>
      </w:r>
      <w:r w:rsidRPr="005454C8">
        <w:rPr>
          <w:rFonts w:eastAsia="TimesNewRoman,Italic"/>
          <w:i/>
        </w:rPr>
        <w:t xml:space="preserve">S. apiospermum, S. prolificans </w:t>
      </w:r>
      <w:r w:rsidRPr="005454C8">
        <w:rPr>
          <w:rFonts w:eastAsia="TimesNewRoman,Italic"/>
        </w:rPr>
        <w:t xml:space="preserve">ir </w:t>
      </w:r>
      <w:r w:rsidRPr="005454C8">
        <w:rPr>
          <w:rFonts w:eastAsia="TimesNewRoman,Italic"/>
          <w:i/>
        </w:rPr>
        <w:t xml:space="preserve">Fusarium </w:t>
      </w:r>
      <w:r w:rsidRPr="005454C8">
        <w:rPr>
          <w:rFonts w:eastAsia="TimesNewRoman,Italic"/>
        </w:rPr>
        <w:t>rūšis.</w:t>
      </w:r>
    </w:p>
    <w:p w14:paraId="7085CF1D" w14:textId="77777777" w:rsidR="00041CC8" w:rsidRPr="005454C8" w:rsidRDefault="00041CC8" w:rsidP="00041CC8">
      <w:pPr>
        <w:autoSpaceDE w:val="0"/>
        <w:autoSpaceDN w:val="0"/>
        <w:adjustRightInd w:val="0"/>
        <w:rPr>
          <w:rFonts w:eastAsia="TimesNewRoman,Italic"/>
        </w:rPr>
      </w:pPr>
    </w:p>
    <w:p w14:paraId="58676F0A" w14:textId="77777777" w:rsidR="00041CC8" w:rsidRPr="005454C8" w:rsidRDefault="00041CC8" w:rsidP="00041CC8">
      <w:pPr>
        <w:autoSpaceDE w:val="0"/>
        <w:autoSpaceDN w:val="0"/>
        <w:adjustRightInd w:val="0"/>
        <w:rPr>
          <w:rFonts w:eastAsia="TimesNewRoman,Italic"/>
        </w:rPr>
      </w:pPr>
      <w:r w:rsidRPr="005454C8">
        <w:rPr>
          <w:rFonts w:eastAsia="TimesNewRoman,Italic"/>
        </w:rPr>
        <w:t xml:space="preserve">Kitos gydytos grybelių sukeltos infekcinės ligos (atsakas dažnai buvo arba dalinis, arba visiškas) buvo pavieniai </w:t>
      </w:r>
      <w:r w:rsidRPr="005454C8">
        <w:rPr>
          <w:rFonts w:eastAsia="TimesNewRoman,Italic"/>
          <w:i/>
        </w:rPr>
        <w:t xml:space="preserve">Alternaria </w:t>
      </w:r>
      <w:r w:rsidRPr="005454C8">
        <w:rPr>
          <w:rFonts w:eastAsia="TimesNewRoman,Italic"/>
        </w:rPr>
        <w:t xml:space="preserve">rūšių, </w:t>
      </w:r>
      <w:r w:rsidRPr="005454C8">
        <w:rPr>
          <w:rFonts w:eastAsia="TimesNewRoman,Italic"/>
          <w:i/>
        </w:rPr>
        <w:t xml:space="preserve">Blastomyces dermatitidis, Blastoschizomyces capitatus, Cladosporium </w:t>
      </w:r>
      <w:r w:rsidRPr="005454C8">
        <w:rPr>
          <w:rFonts w:eastAsia="TimesNewRoman,Italic"/>
        </w:rPr>
        <w:t xml:space="preserve">rūšių, </w:t>
      </w:r>
      <w:r w:rsidRPr="005454C8">
        <w:rPr>
          <w:rFonts w:eastAsia="TimesNewRoman,Italic"/>
          <w:i/>
        </w:rPr>
        <w:t>Coccidioides immitis, Conidiobolus coronatus, Cryptococcus neoformans, Exserohilum rostratum, Exophiala spinifera, Fonsecaea pedrosoi, Madurella mycetomatis, Paecilomyces lilacinus,</w:t>
      </w:r>
      <w:r w:rsidRPr="005454C8" w:rsidDel="00847298">
        <w:rPr>
          <w:rFonts w:eastAsia="TimesNewRoman,Italic"/>
          <w:i/>
        </w:rPr>
        <w:t xml:space="preserve"> </w:t>
      </w:r>
      <w:r w:rsidRPr="005454C8">
        <w:rPr>
          <w:rFonts w:eastAsia="TimesNewRoman,Italic"/>
          <w:i/>
        </w:rPr>
        <w:t xml:space="preserve">Penicillium </w:t>
      </w:r>
      <w:r w:rsidRPr="005454C8">
        <w:rPr>
          <w:rFonts w:eastAsia="TimesNewRoman,Italic"/>
        </w:rPr>
        <w:t xml:space="preserve">rūšių, įskaitant </w:t>
      </w:r>
      <w:r w:rsidRPr="005454C8">
        <w:rPr>
          <w:rFonts w:eastAsia="TimesNewRoman,Italic"/>
          <w:i/>
        </w:rPr>
        <w:t xml:space="preserve">P. marneffei, Phialophora richardsiae, Scopulariopsis brevicaulis </w:t>
      </w:r>
      <w:r w:rsidRPr="005454C8">
        <w:rPr>
          <w:rFonts w:eastAsia="TimesNewRoman,Italic"/>
        </w:rPr>
        <w:t xml:space="preserve">ir </w:t>
      </w:r>
      <w:r w:rsidRPr="005454C8">
        <w:rPr>
          <w:rFonts w:eastAsia="TimesNewRoman,Italic"/>
          <w:i/>
        </w:rPr>
        <w:t xml:space="preserve">Trichosporon </w:t>
      </w:r>
      <w:r w:rsidRPr="005454C8">
        <w:rPr>
          <w:rFonts w:eastAsia="TimesNewRoman,Italic"/>
        </w:rPr>
        <w:t xml:space="preserve">rūšių, įskaitant </w:t>
      </w:r>
      <w:r w:rsidRPr="005454C8">
        <w:rPr>
          <w:rFonts w:eastAsia="TimesNewRoman,Italic"/>
          <w:i/>
        </w:rPr>
        <w:t xml:space="preserve">T. beigelii </w:t>
      </w:r>
      <w:r w:rsidRPr="005454C8">
        <w:rPr>
          <w:rFonts w:eastAsia="TimesNewRoman,Italic"/>
        </w:rPr>
        <w:t>sukeltų infekcinių ligų atvejai.</w:t>
      </w:r>
    </w:p>
    <w:p w14:paraId="131BB4DE" w14:textId="77777777" w:rsidR="00041CC8" w:rsidRPr="005454C8" w:rsidRDefault="00041CC8" w:rsidP="00041CC8">
      <w:pPr>
        <w:autoSpaceDE w:val="0"/>
        <w:autoSpaceDN w:val="0"/>
        <w:adjustRightInd w:val="0"/>
        <w:rPr>
          <w:rFonts w:eastAsia="TimesNewRoman,Italic"/>
        </w:rPr>
      </w:pPr>
    </w:p>
    <w:p w14:paraId="28F66125" w14:textId="77777777" w:rsidR="00041CC8" w:rsidRPr="005454C8" w:rsidRDefault="00041CC8" w:rsidP="00041CC8">
      <w:pPr>
        <w:autoSpaceDE w:val="0"/>
        <w:autoSpaceDN w:val="0"/>
        <w:adjustRightInd w:val="0"/>
        <w:rPr>
          <w:rFonts w:eastAsia="TimesNewRoman,Italic"/>
        </w:rPr>
      </w:pPr>
      <w:r w:rsidRPr="005454C8">
        <w:rPr>
          <w:rFonts w:eastAsia="TimesNewRoman,Italic"/>
        </w:rPr>
        <w:t xml:space="preserve">Tyrimais </w:t>
      </w:r>
      <w:r w:rsidRPr="005454C8">
        <w:rPr>
          <w:rFonts w:eastAsia="TimesNewRoman,Italic"/>
          <w:i/>
        </w:rPr>
        <w:t xml:space="preserve">in vitro </w:t>
      </w:r>
      <w:r w:rsidRPr="005454C8">
        <w:rPr>
          <w:rFonts w:eastAsia="TimesNewRoman,Italic"/>
        </w:rPr>
        <w:t xml:space="preserve">nustatyta, kad vaistinis preparatas veikia iš ligonio organizmo išskirtas </w:t>
      </w:r>
      <w:r w:rsidRPr="005454C8">
        <w:rPr>
          <w:rFonts w:eastAsia="TimesNewRoman,Italic"/>
          <w:i/>
        </w:rPr>
        <w:t>Acremonium</w:t>
      </w:r>
      <w:r w:rsidRPr="005454C8">
        <w:rPr>
          <w:rFonts w:eastAsia="TimesNewRoman,Italic"/>
        </w:rPr>
        <w:t>,</w:t>
      </w:r>
      <w:r w:rsidRPr="005454C8" w:rsidDel="00847298">
        <w:rPr>
          <w:rFonts w:eastAsia="TimesNewRoman,Italic"/>
        </w:rPr>
        <w:t xml:space="preserve"> </w:t>
      </w:r>
      <w:r w:rsidRPr="005454C8">
        <w:rPr>
          <w:rFonts w:eastAsia="TimesNewRoman,Italic"/>
          <w:i/>
        </w:rPr>
        <w:t>Alternari</w:t>
      </w:r>
      <w:r w:rsidRPr="005454C8">
        <w:rPr>
          <w:rFonts w:eastAsia="TimesNewRoman,Italic"/>
        </w:rPr>
        <w:t xml:space="preserve">a, </w:t>
      </w:r>
      <w:r w:rsidRPr="005454C8">
        <w:rPr>
          <w:rFonts w:eastAsia="TimesNewRoman,Italic"/>
          <w:i/>
        </w:rPr>
        <w:t>Bipolaris</w:t>
      </w:r>
      <w:r w:rsidRPr="005454C8">
        <w:rPr>
          <w:rFonts w:eastAsia="TimesNewRoman,Italic"/>
        </w:rPr>
        <w:t xml:space="preserve">, </w:t>
      </w:r>
      <w:r w:rsidRPr="005454C8">
        <w:rPr>
          <w:rFonts w:eastAsia="TimesNewRoman,Italic"/>
          <w:i/>
        </w:rPr>
        <w:t xml:space="preserve">Cladophialophora </w:t>
      </w:r>
      <w:r w:rsidRPr="005454C8">
        <w:rPr>
          <w:rFonts w:eastAsia="TimesNewRoman,Italic"/>
        </w:rPr>
        <w:t xml:space="preserve">rūšis ir </w:t>
      </w:r>
      <w:r w:rsidRPr="005454C8">
        <w:rPr>
          <w:rFonts w:eastAsia="TimesNewRoman,Italic"/>
          <w:i/>
        </w:rPr>
        <w:t xml:space="preserve">Histoplasma capsulatum. </w:t>
      </w:r>
      <w:r w:rsidRPr="005454C8">
        <w:rPr>
          <w:rFonts w:eastAsia="TimesNewRoman,Italic"/>
        </w:rPr>
        <w:t>Daugumos padermių mikroorganizmus vorikonazolas slopina, kai jo koncentracija būna 0,05-2 µg/ml.</w:t>
      </w:r>
    </w:p>
    <w:p w14:paraId="0EF9A0A3" w14:textId="77777777" w:rsidR="00041CC8" w:rsidRPr="005454C8" w:rsidRDefault="00041CC8" w:rsidP="00041CC8">
      <w:pPr>
        <w:autoSpaceDE w:val="0"/>
        <w:autoSpaceDN w:val="0"/>
        <w:adjustRightInd w:val="0"/>
        <w:rPr>
          <w:rFonts w:eastAsia="TimesNewRoman,Italic"/>
        </w:rPr>
      </w:pPr>
    </w:p>
    <w:p w14:paraId="199438AD" w14:textId="77777777" w:rsidR="00041CC8" w:rsidRPr="005454C8" w:rsidRDefault="00041CC8" w:rsidP="00041CC8">
      <w:pPr>
        <w:autoSpaceDE w:val="0"/>
        <w:autoSpaceDN w:val="0"/>
        <w:adjustRightInd w:val="0"/>
        <w:rPr>
          <w:rFonts w:eastAsia="TimesNewRoman,Italic"/>
        </w:rPr>
      </w:pPr>
      <w:r w:rsidRPr="005454C8">
        <w:rPr>
          <w:rFonts w:eastAsia="TimesNewRoman,Italic"/>
          <w:i/>
        </w:rPr>
        <w:t xml:space="preserve">In vitro </w:t>
      </w:r>
      <w:r w:rsidRPr="005454C8">
        <w:rPr>
          <w:rFonts w:eastAsia="TimesNewRoman,Italic"/>
        </w:rPr>
        <w:t xml:space="preserve">vorikonazolas veikia </w:t>
      </w:r>
      <w:r w:rsidRPr="005454C8">
        <w:rPr>
          <w:rFonts w:eastAsia="TimesNewRoman,Italic"/>
          <w:i/>
        </w:rPr>
        <w:t xml:space="preserve">Curvularia </w:t>
      </w:r>
      <w:r w:rsidRPr="005454C8">
        <w:rPr>
          <w:rFonts w:eastAsia="TimesNewRoman,Italic"/>
        </w:rPr>
        <w:t xml:space="preserve">ir </w:t>
      </w:r>
      <w:r w:rsidRPr="005454C8">
        <w:rPr>
          <w:rFonts w:eastAsia="TimesNewRoman,Italic"/>
          <w:i/>
        </w:rPr>
        <w:t xml:space="preserve">Sporothrix </w:t>
      </w:r>
      <w:r w:rsidRPr="005454C8">
        <w:rPr>
          <w:rFonts w:eastAsia="TimesNewRoman,Italic"/>
        </w:rPr>
        <w:t>rūšis, tačiau klinikinė šio reiškinio reikšmė nežinoma.</w:t>
      </w:r>
    </w:p>
    <w:p w14:paraId="664F05CF" w14:textId="77777777" w:rsidR="00041CC8" w:rsidRPr="005454C8" w:rsidRDefault="00041CC8" w:rsidP="00041CC8">
      <w:pPr>
        <w:rPr>
          <w:rFonts w:eastAsia="TimesNewRoman,Italic"/>
          <w:u w:val="single"/>
        </w:rPr>
      </w:pPr>
    </w:p>
    <w:p w14:paraId="009EC28D" w14:textId="77777777" w:rsidR="00041CC8" w:rsidRPr="005454C8" w:rsidRDefault="00041CC8" w:rsidP="00041CC8">
      <w:pPr>
        <w:rPr>
          <w:rFonts w:eastAsia="Calibri"/>
          <w:u w:val="single"/>
        </w:rPr>
      </w:pPr>
      <w:r w:rsidRPr="005454C8">
        <w:rPr>
          <w:rFonts w:eastAsia="TimesNewRoman,Italic"/>
          <w:u w:val="single"/>
        </w:rPr>
        <w:t>Jautrumo ribos</w:t>
      </w:r>
    </w:p>
    <w:p w14:paraId="659A415C" w14:textId="77777777" w:rsidR="00041CC8" w:rsidRPr="005454C8" w:rsidRDefault="00041CC8" w:rsidP="00041CC8">
      <w:pPr>
        <w:autoSpaceDE w:val="0"/>
        <w:autoSpaceDN w:val="0"/>
        <w:adjustRightInd w:val="0"/>
        <w:rPr>
          <w:rFonts w:eastAsia="Calibri"/>
        </w:rPr>
      </w:pPr>
      <w:r w:rsidRPr="005454C8">
        <w:rPr>
          <w:rFonts w:eastAsia="Calibri"/>
        </w:rPr>
        <w:t>Prieš gydymą, iš ligonio organizmo reikia išskirti ir nustatyti ligą sukėlusį mikroorganizmą: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14:paraId="69CA51B8" w14:textId="77777777" w:rsidR="00041CC8" w:rsidRPr="005454C8" w:rsidRDefault="00041CC8" w:rsidP="00041CC8">
      <w:pPr>
        <w:autoSpaceDE w:val="0"/>
        <w:autoSpaceDN w:val="0"/>
        <w:adjustRightInd w:val="0"/>
        <w:rPr>
          <w:rFonts w:eastAsia="Calibri"/>
        </w:rPr>
      </w:pPr>
      <w:r w:rsidRPr="005454C8">
        <w:rPr>
          <w:rFonts w:eastAsia="Calibri"/>
        </w:rPr>
        <w:t xml:space="preserve">Rūšys, kurios dažniausiai sukelia infekciją žmogui, yra </w:t>
      </w:r>
      <w:r w:rsidRPr="005454C8">
        <w:rPr>
          <w:rFonts w:eastAsia="TimesNewRoman,Italic"/>
          <w:i/>
        </w:rPr>
        <w:t>C. albicans</w:t>
      </w:r>
      <w:r w:rsidRPr="005454C8">
        <w:rPr>
          <w:rFonts w:eastAsia="Calibri"/>
        </w:rPr>
        <w:t xml:space="preserve">, </w:t>
      </w:r>
      <w:r w:rsidRPr="005454C8">
        <w:rPr>
          <w:rFonts w:eastAsia="TimesNewRoman,Italic"/>
          <w:i/>
        </w:rPr>
        <w:t>C. parapsilosis</w:t>
      </w:r>
      <w:r w:rsidRPr="005454C8">
        <w:rPr>
          <w:rFonts w:eastAsia="Calibri"/>
        </w:rPr>
        <w:t xml:space="preserve">, </w:t>
      </w:r>
      <w:r w:rsidRPr="005454C8">
        <w:rPr>
          <w:rFonts w:eastAsia="TimesNewRoman,Italic"/>
          <w:i/>
        </w:rPr>
        <w:t>C. tropicalis</w:t>
      </w:r>
      <w:r w:rsidRPr="005454C8">
        <w:rPr>
          <w:rFonts w:eastAsia="Calibri"/>
        </w:rPr>
        <w:t xml:space="preserve">, </w:t>
      </w:r>
      <w:r w:rsidRPr="005454C8">
        <w:rPr>
          <w:rFonts w:eastAsia="TimesNewRoman,Italic"/>
          <w:i/>
        </w:rPr>
        <w:t xml:space="preserve">C. glabrata </w:t>
      </w:r>
      <w:r w:rsidRPr="005454C8">
        <w:rPr>
          <w:rFonts w:eastAsia="Calibri"/>
        </w:rPr>
        <w:t xml:space="preserve">ir </w:t>
      </w:r>
      <w:r w:rsidRPr="005454C8">
        <w:rPr>
          <w:rFonts w:eastAsia="TimesNewRoman,Italic"/>
          <w:i/>
        </w:rPr>
        <w:t>C. krusei</w:t>
      </w:r>
      <w:r w:rsidRPr="005454C8">
        <w:rPr>
          <w:rFonts w:eastAsia="Calibri"/>
        </w:rPr>
        <w:t>, visoms joms vorikonazolo mažiausia slopinamoji koncentracija (MSK) dažniausiai yra mažesnė kaip 1 mg/l.</w:t>
      </w:r>
    </w:p>
    <w:p w14:paraId="11ADE959" w14:textId="77777777" w:rsidR="00041CC8" w:rsidRPr="005454C8" w:rsidRDefault="00041CC8" w:rsidP="00041CC8">
      <w:pPr>
        <w:autoSpaceDE w:val="0"/>
        <w:autoSpaceDN w:val="0"/>
        <w:adjustRightInd w:val="0"/>
        <w:rPr>
          <w:rFonts w:eastAsia="Calibri"/>
        </w:rPr>
      </w:pPr>
    </w:p>
    <w:p w14:paraId="57DDA537" w14:textId="77777777" w:rsidR="00041CC8" w:rsidRPr="005454C8" w:rsidRDefault="00041CC8" w:rsidP="00041CC8">
      <w:pPr>
        <w:autoSpaceDE w:val="0"/>
        <w:autoSpaceDN w:val="0"/>
        <w:adjustRightInd w:val="0"/>
        <w:rPr>
          <w:rFonts w:eastAsia="Calibri"/>
        </w:rPr>
      </w:pPr>
      <w:r w:rsidRPr="005454C8">
        <w:rPr>
          <w:rFonts w:eastAsia="Calibri"/>
        </w:rPr>
        <w:t xml:space="preserve">Vis dėlto </w:t>
      </w:r>
      <w:r w:rsidRPr="005454C8">
        <w:rPr>
          <w:rFonts w:eastAsia="TimesNewRoman,Italic"/>
          <w:i/>
        </w:rPr>
        <w:t xml:space="preserve">in vitro </w:t>
      </w:r>
      <w:r w:rsidRPr="005454C8">
        <w:rPr>
          <w:rFonts w:eastAsia="Calibri"/>
        </w:rPr>
        <w:t xml:space="preserve">vorikonazolo aktyvumas </w:t>
      </w:r>
      <w:r w:rsidRPr="005454C8">
        <w:rPr>
          <w:rFonts w:eastAsia="TimesNewRoman,Italic"/>
          <w:i/>
        </w:rPr>
        <w:t xml:space="preserve">Candida </w:t>
      </w:r>
      <w:r w:rsidRPr="005454C8">
        <w:rPr>
          <w:rFonts w:eastAsia="Calibri"/>
        </w:rPr>
        <w:t xml:space="preserve">rūšims yra nevienodas. Konkrečiai </w:t>
      </w:r>
      <w:r w:rsidRPr="005454C8">
        <w:rPr>
          <w:rFonts w:eastAsia="TimesNewRoman,Italic"/>
          <w:i/>
        </w:rPr>
        <w:t xml:space="preserve">C. glabrata </w:t>
      </w:r>
      <w:r w:rsidRPr="005454C8">
        <w:rPr>
          <w:rFonts w:eastAsia="Calibri"/>
        </w:rPr>
        <w:t xml:space="preserve">atžvilgiu vorikonazolo MSK flukonazolui atspariems izoliatams yra proporcingai didesnė nei flukonazolui jautriems izoliatams. Todėl kiekvieną kartą reikia stengtis identifikuoti </w:t>
      </w:r>
      <w:r w:rsidRPr="005454C8">
        <w:rPr>
          <w:rFonts w:eastAsia="TimesNewRoman,Italic"/>
          <w:i/>
        </w:rPr>
        <w:t xml:space="preserve">Candida </w:t>
      </w:r>
      <w:r w:rsidRPr="005454C8">
        <w:rPr>
          <w:rFonts w:eastAsia="Calibri"/>
        </w:rPr>
        <w:t>rūšį.</w:t>
      </w:r>
    </w:p>
    <w:p w14:paraId="6D181D6C" w14:textId="77777777" w:rsidR="00041CC8" w:rsidRPr="005454C8" w:rsidRDefault="00041CC8" w:rsidP="00041CC8">
      <w:pPr>
        <w:autoSpaceDE w:val="0"/>
        <w:autoSpaceDN w:val="0"/>
        <w:adjustRightInd w:val="0"/>
        <w:rPr>
          <w:rFonts w:eastAsia="Calibri"/>
        </w:rPr>
      </w:pPr>
      <w:r w:rsidRPr="005454C8">
        <w:rPr>
          <w:rFonts w:eastAsia="Calibri"/>
        </w:rPr>
        <w:t>Jeigu yra galimybė atlikti priešgrybelinio jautrumo mėginį, MSK duomenis galima interpretuoti, naudojant jautrumo ribų kriterijus, kuriuos nustatė Europos antimikrobinio jautrumo tyrimų komitetas</w:t>
      </w:r>
      <w:r w:rsidRPr="005454C8" w:rsidDel="00847298">
        <w:rPr>
          <w:rFonts w:eastAsia="Calibri"/>
        </w:rPr>
        <w:t xml:space="preserve"> </w:t>
      </w:r>
      <w:r w:rsidRPr="005454C8">
        <w:rPr>
          <w:rFonts w:eastAsia="Calibri"/>
        </w:rPr>
        <w:t xml:space="preserve">(angl. </w:t>
      </w:r>
      <w:r w:rsidRPr="005454C8">
        <w:rPr>
          <w:rFonts w:eastAsia="TimesNewRoman,Italic"/>
          <w:i/>
        </w:rPr>
        <w:t xml:space="preserve">the European Committee on Antimicrobial Susceptibility Testing, </w:t>
      </w:r>
      <w:r w:rsidRPr="005454C8">
        <w:rPr>
          <w:rFonts w:eastAsia="TimesNewRoman,Italic"/>
        </w:rPr>
        <w:t>EUCAST</w:t>
      </w:r>
      <w:r w:rsidRPr="005454C8">
        <w:rPr>
          <w:rFonts w:eastAsia="Calibri"/>
        </w:rPr>
        <w:t>).</w:t>
      </w:r>
    </w:p>
    <w:p w14:paraId="512DAE65" w14:textId="77777777" w:rsidR="00041CC8" w:rsidRPr="005454C8" w:rsidRDefault="00041CC8" w:rsidP="00041CC8">
      <w:pPr>
        <w:autoSpaceDE w:val="0"/>
        <w:autoSpaceDN w:val="0"/>
        <w:adjustRightInd w:val="0"/>
        <w:rPr>
          <w:rFonts w:eastAsia="Calibri"/>
        </w:rPr>
      </w:pPr>
    </w:p>
    <w:p w14:paraId="608843C3" w14:textId="77777777" w:rsidR="00041CC8" w:rsidRPr="005454C8" w:rsidRDefault="00041CC8" w:rsidP="00041CC8">
      <w:pPr>
        <w:autoSpaceDE w:val="0"/>
        <w:autoSpaceDN w:val="0"/>
        <w:adjustRightInd w:val="0"/>
        <w:rPr>
          <w:rFonts w:eastAsia="Calibri"/>
          <w:u w:val="single"/>
        </w:rPr>
      </w:pPr>
      <w:r w:rsidRPr="005454C8">
        <w:rPr>
          <w:rFonts w:eastAsia="TimesNewRoman,Italic"/>
          <w:u w:val="single"/>
        </w:rPr>
        <w:t xml:space="preserve">EUCAST </w:t>
      </w:r>
      <w:r w:rsidRPr="005454C8">
        <w:rPr>
          <w:rFonts w:eastAsia="Calibri"/>
          <w:u w:val="single"/>
        </w:rPr>
        <w:t>jautrumo ribos</w:t>
      </w:r>
    </w:p>
    <w:p w14:paraId="669C7F55" w14:textId="77777777" w:rsidR="00041CC8" w:rsidRPr="005454C8" w:rsidRDefault="00041CC8" w:rsidP="00041CC8">
      <w:pPr>
        <w:autoSpaceDE w:val="0"/>
        <w:autoSpaceDN w:val="0"/>
        <w:adjustRightInd w:val="0"/>
        <w:rPr>
          <w:rFonts w:eastAsia="Calibri"/>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6"/>
        <w:gridCol w:w="2301"/>
        <w:gridCol w:w="2283"/>
      </w:tblGrid>
      <w:tr w:rsidR="00041CC8" w:rsidRPr="009A1B7F" w14:paraId="055BC69A" w14:textId="77777777" w:rsidTr="00A136A1">
        <w:trPr>
          <w:trHeight w:val="107"/>
        </w:trPr>
        <w:tc>
          <w:tcPr>
            <w:tcW w:w="2470" w:type="pct"/>
            <w:vMerge w:val="restart"/>
          </w:tcPr>
          <w:p w14:paraId="1CCDC483" w14:textId="77777777" w:rsidR="00041CC8" w:rsidRPr="00494DD0" w:rsidRDefault="00041CC8" w:rsidP="00A136A1">
            <w:pPr>
              <w:widowControl w:val="0"/>
              <w:autoSpaceDE w:val="0"/>
              <w:autoSpaceDN w:val="0"/>
              <w:adjustRightInd w:val="0"/>
              <w:rPr>
                <w:bCs/>
                <w:i/>
                <w:iCs/>
              </w:rPr>
            </w:pPr>
            <w:r w:rsidRPr="00494DD0">
              <w:rPr>
                <w:bCs/>
                <w:i/>
                <w:iCs/>
              </w:rPr>
              <w:t>Candida ir Aspergillus rūšys</w:t>
            </w:r>
          </w:p>
        </w:tc>
        <w:tc>
          <w:tcPr>
            <w:tcW w:w="2530" w:type="pct"/>
            <w:gridSpan w:val="2"/>
          </w:tcPr>
          <w:p w14:paraId="1CF886E5" w14:textId="77777777" w:rsidR="00041CC8" w:rsidRPr="00494DD0" w:rsidRDefault="00041CC8" w:rsidP="00A136A1">
            <w:pPr>
              <w:widowControl w:val="0"/>
              <w:autoSpaceDE w:val="0"/>
              <w:autoSpaceDN w:val="0"/>
              <w:adjustRightInd w:val="0"/>
              <w:jc w:val="center"/>
              <w:rPr>
                <w:bCs/>
                <w:i/>
                <w:iCs/>
              </w:rPr>
            </w:pPr>
            <w:r w:rsidRPr="00494DD0">
              <w:rPr>
                <w:rFonts w:eastAsia="Calibri"/>
                <w:bCs/>
                <w:i/>
                <w:iCs/>
              </w:rPr>
              <w:t>MSK ribos (mg/l)</w:t>
            </w:r>
          </w:p>
        </w:tc>
      </w:tr>
      <w:tr w:rsidR="00041CC8" w:rsidRPr="009A1B7F" w14:paraId="7B13C19A" w14:textId="77777777" w:rsidTr="00A136A1">
        <w:trPr>
          <w:trHeight w:val="106"/>
        </w:trPr>
        <w:tc>
          <w:tcPr>
            <w:tcW w:w="2470" w:type="pct"/>
            <w:vMerge/>
          </w:tcPr>
          <w:p w14:paraId="2CDEB965" w14:textId="77777777" w:rsidR="00041CC8" w:rsidRPr="00494DD0" w:rsidRDefault="00041CC8" w:rsidP="00A136A1">
            <w:pPr>
              <w:widowControl w:val="0"/>
              <w:autoSpaceDE w:val="0"/>
              <w:autoSpaceDN w:val="0"/>
              <w:adjustRightInd w:val="0"/>
              <w:rPr>
                <w:b/>
              </w:rPr>
            </w:pPr>
          </w:p>
        </w:tc>
        <w:tc>
          <w:tcPr>
            <w:tcW w:w="1270" w:type="pct"/>
          </w:tcPr>
          <w:p w14:paraId="777B1B0D" w14:textId="77777777" w:rsidR="00041CC8" w:rsidRPr="00982D99" w:rsidRDefault="00041CC8" w:rsidP="00A136A1">
            <w:pPr>
              <w:widowControl w:val="0"/>
              <w:autoSpaceDE w:val="0"/>
              <w:autoSpaceDN w:val="0"/>
              <w:adjustRightInd w:val="0"/>
              <w:jc w:val="center"/>
              <w:rPr>
                <w:bCs/>
                <w:i/>
                <w:iCs/>
              </w:rPr>
            </w:pPr>
            <w:r w:rsidRPr="00982D99">
              <w:rPr>
                <w:rFonts w:eastAsia="Calibri"/>
                <w:bCs/>
                <w:i/>
                <w:iCs/>
              </w:rPr>
              <w:t xml:space="preserve">≤J (jautrios) </w:t>
            </w:r>
          </w:p>
        </w:tc>
        <w:tc>
          <w:tcPr>
            <w:tcW w:w="1260" w:type="pct"/>
          </w:tcPr>
          <w:p w14:paraId="48C9A6E0" w14:textId="77777777" w:rsidR="00041CC8" w:rsidRPr="00982D99" w:rsidRDefault="00041CC8" w:rsidP="00A136A1">
            <w:pPr>
              <w:widowControl w:val="0"/>
              <w:autoSpaceDE w:val="0"/>
              <w:autoSpaceDN w:val="0"/>
              <w:adjustRightInd w:val="0"/>
              <w:jc w:val="center"/>
              <w:rPr>
                <w:bCs/>
                <w:i/>
                <w:iCs/>
              </w:rPr>
            </w:pPr>
            <w:r w:rsidRPr="00494DD0">
              <w:rPr>
                <w:rFonts w:eastAsia="Calibri"/>
                <w:bCs/>
                <w:i/>
                <w:iCs/>
              </w:rPr>
              <w:t>&gt;A (atsparios)</w:t>
            </w:r>
          </w:p>
        </w:tc>
      </w:tr>
      <w:tr w:rsidR="00041CC8" w:rsidRPr="009A1B7F" w14:paraId="383EB2B6" w14:textId="77777777" w:rsidTr="00A136A1">
        <w:tc>
          <w:tcPr>
            <w:tcW w:w="2470" w:type="pct"/>
          </w:tcPr>
          <w:p w14:paraId="3FF7362B" w14:textId="77777777" w:rsidR="00041CC8" w:rsidRPr="00494DD0" w:rsidRDefault="00041CC8" w:rsidP="00A136A1">
            <w:pPr>
              <w:widowControl w:val="0"/>
              <w:autoSpaceDE w:val="0"/>
              <w:autoSpaceDN w:val="0"/>
              <w:adjustRightInd w:val="0"/>
            </w:pPr>
            <w:r w:rsidRPr="00494DD0">
              <w:rPr>
                <w:i/>
              </w:rPr>
              <w:t>Candida albicans</w:t>
            </w:r>
            <w:r w:rsidRPr="00494DD0">
              <w:rPr>
                <w:i/>
                <w:vertAlign w:val="superscript"/>
              </w:rPr>
              <w:t>1</w:t>
            </w:r>
          </w:p>
        </w:tc>
        <w:tc>
          <w:tcPr>
            <w:tcW w:w="1270" w:type="pct"/>
          </w:tcPr>
          <w:p w14:paraId="09E5E7F7" w14:textId="77777777" w:rsidR="00041CC8" w:rsidRPr="00494DD0" w:rsidRDefault="00041CC8" w:rsidP="00A136A1">
            <w:pPr>
              <w:widowControl w:val="0"/>
              <w:autoSpaceDE w:val="0"/>
              <w:autoSpaceDN w:val="0"/>
              <w:adjustRightInd w:val="0"/>
              <w:jc w:val="center"/>
            </w:pPr>
            <w:r w:rsidRPr="00494DD0">
              <w:t>0,06</w:t>
            </w:r>
          </w:p>
        </w:tc>
        <w:tc>
          <w:tcPr>
            <w:tcW w:w="1260" w:type="pct"/>
          </w:tcPr>
          <w:p w14:paraId="5400A820" w14:textId="77777777" w:rsidR="00041CC8" w:rsidRPr="00494DD0" w:rsidRDefault="00041CC8" w:rsidP="00A136A1">
            <w:pPr>
              <w:widowControl w:val="0"/>
              <w:autoSpaceDE w:val="0"/>
              <w:autoSpaceDN w:val="0"/>
              <w:adjustRightInd w:val="0"/>
              <w:jc w:val="center"/>
            </w:pPr>
            <w:r w:rsidRPr="00494DD0">
              <w:t>0,25</w:t>
            </w:r>
          </w:p>
        </w:tc>
      </w:tr>
      <w:tr w:rsidR="00041CC8" w:rsidRPr="009F128F" w14:paraId="25A5B1AF" w14:textId="77777777" w:rsidTr="00A136A1">
        <w:tc>
          <w:tcPr>
            <w:tcW w:w="2470" w:type="pct"/>
          </w:tcPr>
          <w:p w14:paraId="585AB6D9"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Candida dubliniensis</w:t>
            </w:r>
            <w:r w:rsidRPr="00494DD0">
              <w:rPr>
                <w:rFonts w:eastAsiaTheme="minorHAnsi"/>
                <w:i/>
                <w:iCs/>
                <w:szCs w:val="22"/>
                <w:vertAlign w:val="superscript"/>
                <w:lang w:eastAsia="en-US"/>
              </w:rPr>
              <w:t>1</w:t>
            </w:r>
          </w:p>
        </w:tc>
        <w:tc>
          <w:tcPr>
            <w:tcW w:w="1270" w:type="pct"/>
          </w:tcPr>
          <w:p w14:paraId="2B258EA8" w14:textId="77777777" w:rsidR="00041CC8" w:rsidRPr="00494DD0" w:rsidRDefault="00041CC8" w:rsidP="00A136A1">
            <w:pPr>
              <w:widowControl w:val="0"/>
              <w:autoSpaceDE w:val="0"/>
              <w:autoSpaceDN w:val="0"/>
              <w:adjustRightInd w:val="0"/>
              <w:jc w:val="center"/>
            </w:pPr>
            <w:r w:rsidRPr="00494DD0">
              <w:t>0,06</w:t>
            </w:r>
          </w:p>
        </w:tc>
        <w:tc>
          <w:tcPr>
            <w:tcW w:w="1260" w:type="pct"/>
          </w:tcPr>
          <w:p w14:paraId="5ADE851E" w14:textId="77777777" w:rsidR="00041CC8" w:rsidRPr="00494DD0" w:rsidRDefault="00041CC8" w:rsidP="00A136A1">
            <w:pPr>
              <w:widowControl w:val="0"/>
              <w:autoSpaceDE w:val="0"/>
              <w:autoSpaceDN w:val="0"/>
              <w:adjustRightInd w:val="0"/>
              <w:jc w:val="center"/>
            </w:pPr>
            <w:r w:rsidRPr="00494DD0">
              <w:t>0,25</w:t>
            </w:r>
          </w:p>
        </w:tc>
      </w:tr>
      <w:tr w:rsidR="00041CC8" w:rsidRPr="009F128F" w14:paraId="10981A1E" w14:textId="77777777" w:rsidTr="00A136A1">
        <w:tc>
          <w:tcPr>
            <w:tcW w:w="2470" w:type="pct"/>
          </w:tcPr>
          <w:p w14:paraId="609E3B9F"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Candida glabrata</w:t>
            </w:r>
          </w:p>
        </w:tc>
        <w:tc>
          <w:tcPr>
            <w:tcW w:w="1270" w:type="pct"/>
          </w:tcPr>
          <w:p w14:paraId="316233AE" w14:textId="77777777" w:rsidR="00041CC8" w:rsidRPr="00494DD0" w:rsidRDefault="00041CC8" w:rsidP="00A136A1">
            <w:pPr>
              <w:widowControl w:val="0"/>
              <w:autoSpaceDE w:val="0"/>
              <w:autoSpaceDN w:val="0"/>
              <w:adjustRightInd w:val="0"/>
              <w:jc w:val="center"/>
            </w:pPr>
            <w:r w:rsidRPr="00494DD0">
              <w:t>ĮN</w:t>
            </w:r>
          </w:p>
        </w:tc>
        <w:tc>
          <w:tcPr>
            <w:tcW w:w="1260" w:type="pct"/>
          </w:tcPr>
          <w:p w14:paraId="1F6569C9" w14:textId="77777777" w:rsidR="00041CC8" w:rsidRPr="00494DD0" w:rsidRDefault="00041CC8" w:rsidP="00A136A1">
            <w:pPr>
              <w:widowControl w:val="0"/>
              <w:autoSpaceDE w:val="0"/>
              <w:autoSpaceDN w:val="0"/>
              <w:adjustRightInd w:val="0"/>
              <w:jc w:val="center"/>
            </w:pPr>
            <w:r w:rsidRPr="00494DD0">
              <w:t>ĮN</w:t>
            </w:r>
          </w:p>
        </w:tc>
      </w:tr>
      <w:tr w:rsidR="00041CC8" w:rsidRPr="009F128F" w14:paraId="5E9E22DB" w14:textId="77777777" w:rsidTr="00A136A1">
        <w:tc>
          <w:tcPr>
            <w:tcW w:w="2470" w:type="pct"/>
          </w:tcPr>
          <w:p w14:paraId="362E9910"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Candida krusei</w:t>
            </w:r>
          </w:p>
        </w:tc>
        <w:tc>
          <w:tcPr>
            <w:tcW w:w="1270" w:type="pct"/>
          </w:tcPr>
          <w:p w14:paraId="34B2BC13" w14:textId="77777777" w:rsidR="00041CC8" w:rsidRPr="00494DD0" w:rsidRDefault="00041CC8" w:rsidP="00A136A1">
            <w:pPr>
              <w:widowControl w:val="0"/>
              <w:autoSpaceDE w:val="0"/>
              <w:autoSpaceDN w:val="0"/>
              <w:adjustRightInd w:val="0"/>
              <w:jc w:val="center"/>
            </w:pPr>
            <w:r w:rsidRPr="00494DD0">
              <w:t>ĮN</w:t>
            </w:r>
          </w:p>
        </w:tc>
        <w:tc>
          <w:tcPr>
            <w:tcW w:w="1260" w:type="pct"/>
          </w:tcPr>
          <w:p w14:paraId="47E606C2" w14:textId="77777777" w:rsidR="00041CC8" w:rsidRPr="00494DD0" w:rsidRDefault="00041CC8" w:rsidP="00A136A1">
            <w:pPr>
              <w:widowControl w:val="0"/>
              <w:autoSpaceDE w:val="0"/>
              <w:autoSpaceDN w:val="0"/>
              <w:adjustRightInd w:val="0"/>
              <w:jc w:val="center"/>
            </w:pPr>
            <w:r w:rsidRPr="00494DD0">
              <w:t>ĮN</w:t>
            </w:r>
          </w:p>
        </w:tc>
      </w:tr>
      <w:tr w:rsidR="00041CC8" w:rsidRPr="009F128F" w14:paraId="7A4129C2" w14:textId="77777777" w:rsidTr="00A136A1">
        <w:tc>
          <w:tcPr>
            <w:tcW w:w="2470" w:type="pct"/>
          </w:tcPr>
          <w:p w14:paraId="73AC185A"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Candida parapsilosis</w:t>
            </w:r>
            <w:r w:rsidRPr="00494DD0">
              <w:rPr>
                <w:rFonts w:eastAsiaTheme="minorHAnsi"/>
                <w:i/>
                <w:iCs/>
                <w:szCs w:val="22"/>
                <w:vertAlign w:val="superscript"/>
                <w:lang w:eastAsia="en-US"/>
              </w:rPr>
              <w:t>1</w:t>
            </w:r>
          </w:p>
        </w:tc>
        <w:tc>
          <w:tcPr>
            <w:tcW w:w="1270" w:type="pct"/>
          </w:tcPr>
          <w:p w14:paraId="2C2F2B02" w14:textId="77777777" w:rsidR="00041CC8" w:rsidRPr="00494DD0" w:rsidRDefault="00041CC8" w:rsidP="00A136A1">
            <w:pPr>
              <w:widowControl w:val="0"/>
              <w:autoSpaceDE w:val="0"/>
              <w:autoSpaceDN w:val="0"/>
              <w:adjustRightInd w:val="0"/>
              <w:jc w:val="center"/>
            </w:pPr>
            <w:r w:rsidRPr="00494DD0">
              <w:t>0,125</w:t>
            </w:r>
          </w:p>
        </w:tc>
        <w:tc>
          <w:tcPr>
            <w:tcW w:w="1260" w:type="pct"/>
          </w:tcPr>
          <w:p w14:paraId="2891BE60" w14:textId="77777777" w:rsidR="00041CC8" w:rsidRPr="00494DD0" w:rsidRDefault="00041CC8" w:rsidP="00A136A1">
            <w:pPr>
              <w:widowControl w:val="0"/>
              <w:autoSpaceDE w:val="0"/>
              <w:autoSpaceDN w:val="0"/>
              <w:adjustRightInd w:val="0"/>
              <w:jc w:val="center"/>
            </w:pPr>
            <w:r w:rsidRPr="00494DD0">
              <w:t>0,25</w:t>
            </w:r>
          </w:p>
        </w:tc>
      </w:tr>
      <w:tr w:rsidR="00041CC8" w:rsidRPr="009A1B7F" w14:paraId="5AE1AB1D" w14:textId="77777777" w:rsidTr="00A136A1">
        <w:tc>
          <w:tcPr>
            <w:tcW w:w="2470" w:type="pct"/>
          </w:tcPr>
          <w:p w14:paraId="30EC0338" w14:textId="77777777" w:rsidR="00041CC8" w:rsidRPr="00494DD0" w:rsidRDefault="00041CC8" w:rsidP="00A136A1">
            <w:pPr>
              <w:widowControl w:val="0"/>
              <w:autoSpaceDE w:val="0"/>
              <w:autoSpaceDN w:val="0"/>
              <w:adjustRightInd w:val="0"/>
            </w:pPr>
            <w:r w:rsidRPr="00494DD0">
              <w:rPr>
                <w:i/>
              </w:rPr>
              <w:t>Candida tropicalis</w:t>
            </w:r>
            <w:r w:rsidRPr="00494DD0">
              <w:rPr>
                <w:i/>
                <w:vertAlign w:val="superscript"/>
              </w:rPr>
              <w:t>1</w:t>
            </w:r>
          </w:p>
        </w:tc>
        <w:tc>
          <w:tcPr>
            <w:tcW w:w="1270" w:type="pct"/>
          </w:tcPr>
          <w:p w14:paraId="69444C0A" w14:textId="77777777" w:rsidR="00041CC8" w:rsidRPr="00494DD0" w:rsidRDefault="00041CC8" w:rsidP="00A136A1">
            <w:pPr>
              <w:widowControl w:val="0"/>
              <w:autoSpaceDE w:val="0"/>
              <w:autoSpaceDN w:val="0"/>
              <w:adjustRightInd w:val="0"/>
              <w:jc w:val="center"/>
            </w:pPr>
            <w:r w:rsidRPr="00494DD0">
              <w:t>0,125</w:t>
            </w:r>
          </w:p>
        </w:tc>
        <w:tc>
          <w:tcPr>
            <w:tcW w:w="1260" w:type="pct"/>
          </w:tcPr>
          <w:p w14:paraId="7C260D85" w14:textId="77777777" w:rsidR="00041CC8" w:rsidRPr="00494DD0" w:rsidRDefault="00041CC8" w:rsidP="00A136A1">
            <w:pPr>
              <w:widowControl w:val="0"/>
              <w:autoSpaceDE w:val="0"/>
              <w:autoSpaceDN w:val="0"/>
              <w:adjustRightInd w:val="0"/>
              <w:jc w:val="center"/>
            </w:pPr>
            <w:r>
              <w:t>0,25</w:t>
            </w:r>
          </w:p>
        </w:tc>
      </w:tr>
      <w:tr w:rsidR="00041CC8" w:rsidRPr="009A1B7F" w14:paraId="09894733" w14:textId="77777777" w:rsidTr="00A136A1">
        <w:tc>
          <w:tcPr>
            <w:tcW w:w="2470" w:type="pct"/>
          </w:tcPr>
          <w:p w14:paraId="1E6E64DC" w14:textId="77777777" w:rsidR="00041CC8" w:rsidRPr="00494DD0" w:rsidRDefault="00041CC8" w:rsidP="00A136A1">
            <w:pPr>
              <w:autoSpaceDE w:val="0"/>
              <w:autoSpaceDN w:val="0"/>
              <w:adjustRightInd w:val="0"/>
              <w:rPr>
                <w:rFonts w:eastAsiaTheme="minorHAnsi"/>
                <w:i/>
                <w:iCs/>
                <w:szCs w:val="22"/>
                <w:lang w:eastAsia="en-US"/>
              </w:rPr>
            </w:pPr>
            <w:r w:rsidRPr="00494DD0">
              <w:rPr>
                <w:rFonts w:eastAsiaTheme="minorHAnsi"/>
                <w:i/>
                <w:iCs/>
                <w:szCs w:val="22"/>
                <w:lang w:eastAsia="en-US"/>
              </w:rPr>
              <w:t>Candida guilliermondii</w:t>
            </w:r>
            <w:r w:rsidRPr="00494DD0">
              <w:rPr>
                <w:rFonts w:eastAsiaTheme="minorHAnsi"/>
                <w:i/>
                <w:iCs/>
                <w:szCs w:val="22"/>
                <w:vertAlign w:val="superscript"/>
                <w:lang w:eastAsia="en-US"/>
              </w:rPr>
              <w:t>2</w:t>
            </w:r>
          </w:p>
        </w:tc>
        <w:tc>
          <w:tcPr>
            <w:tcW w:w="1270" w:type="pct"/>
          </w:tcPr>
          <w:p w14:paraId="0C1FFFED" w14:textId="77777777" w:rsidR="00041CC8" w:rsidRPr="00494DD0" w:rsidRDefault="00041CC8" w:rsidP="00A136A1">
            <w:pPr>
              <w:widowControl w:val="0"/>
              <w:autoSpaceDE w:val="0"/>
              <w:autoSpaceDN w:val="0"/>
              <w:adjustRightInd w:val="0"/>
              <w:jc w:val="center"/>
            </w:pPr>
            <w:r>
              <w:t>ĮN</w:t>
            </w:r>
          </w:p>
        </w:tc>
        <w:tc>
          <w:tcPr>
            <w:tcW w:w="1260" w:type="pct"/>
          </w:tcPr>
          <w:p w14:paraId="42A9DCD2" w14:textId="77777777" w:rsidR="00041CC8" w:rsidRPr="00494DD0" w:rsidRDefault="00041CC8" w:rsidP="00A136A1">
            <w:pPr>
              <w:widowControl w:val="0"/>
              <w:autoSpaceDE w:val="0"/>
              <w:autoSpaceDN w:val="0"/>
              <w:adjustRightInd w:val="0"/>
              <w:jc w:val="center"/>
            </w:pPr>
            <w:r>
              <w:t>ĮN</w:t>
            </w:r>
          </w:p>
        </w:tc>
      </w:tr>
      <w:tr w:rsidR="00041CC8" w:rsidRPr="009A1B7F" w14:paraId="300ADA08" w14:textId="77777777" w:rsidTr="00A136A1">
        <w:tc>
          <w:tcPr>
            <w:tcW w:w="2470" w:type="pct"/>
          </w:tcPr>
          <w:p w14:paraId="727D1A02" w14:textId="77777777" w:rsidR="00041CC8" w:rsidRPr="00494DD0" w:rsidRDefault="00041CC8" w:rsidP="00A136A1">
            <w:pPr>
              <w:autoSpaceDE w:val="0"/>
              <w:autoSpaceDN w:val="0"/>
              <w:adjustRightInd w:val="0"/>
              <w:rPr>
                <w:rFonts w:eastAsiaTheme="minorHAnsi"/>
                <w:i/>
                <w:iCs/>
                <w:szCs w:val="22"/>
                <w:lang w:eastAsia="en-US"/>
              </w:rPr>
            </w:pPr>
            <w:r w:rsidRPr="00494DD0">
              <w:rPr>
                <w:rFonts w:eastAsiaTheme="minorHAnsi"/>
                <w:i/>
                <w:iCs/>
                <w:szCs w:val="22"/>
                <w:lang w:eastAsia="en-US"/>
              </w:rPr>
              <w:t>Su rūšimi nesusijusios ribos, nustatytos Candida</w:t>
            </w:r>
            <w:r w:rsidRPr="00494DD0">
              <w:rPr>
                <w:rFonts w:eastAsiaTheme="minorHAnsi"/>
                <w:i/>
                <w:iCs/>
                <w:szCs w:val="22"/>
                <w:vertAlign w:val="superscript"/>
                <w:lang w:eastAsia="en-US"/>
              </w:rPr>
              <w:t>3</w:t>
            </w:r>
          </w:p>
        </w:tc>
        <w:tc>
          <w:tcPr>
            <w:tcW w:w="1270" w:type="pct"/>
          </w:tcPr>
          <w:p w14:paraId="445BBE8E" w14:textId="77777777" w:rsidR="00041CC8" w:rsidRPr="00494DD0" w:rsidRDefault="00041CC8" w:rsidP="00A136A1">
            <w:pPr>
              <w:widowControl w:val="0"/>
              <w:autoSpaceDE w:val="0"/>
              <w:autoSpaceDN w:val="0"/>
              <w:adjustRightInd w:val="0"/>
              <w:jc w:val="center"/>
            </w:pPr>
            <w:r>
              <w:t>ĮN</w:t>
            </w:r>
          </w:p>
        </w:tc>
        <w:tc>
          <w:tcPr>
            <w:tcW w:w="1260" w:type="pct"/>
          </w:tcPr>
          <w:p w14:paraId="0EAA22EF" w14:textId="77777777" w:rsidR="00041CC8" w:rsidRPr="00494DD0" w:rsidRDefault="00041CC8" w:rsidP="00A136A1">
            <w:pPr>
              <w:widowControl w:val="0"/>
              <w:autoSpaceDE w:val="0"/>
              <w:autoSpaceDN w:val="0"/>
              <w:adjustRightInd w:val="0"/>
              <w:jc w:val="center"/>
            </w:pPr>
            <w:r>
              <w:t>ĮN</w:t>
            </w:r>
          </w:p>
        </w:tc>
      </w:tr>
      <w:tr w:rsidR="00041CC8" w:rsidRPr="009A1B7F" w14:paraId="66F4D287" w14:textId="77777777" w:rsidTr="00A136A1">
        <w:tc>
          <w:tcPr>
            <w:tcW w:w="2470" w:type="pct"/>
          </w:tcPr>
          <w:p w14:paraId="2B5B2905" w14:textId="77777777" w:rsidR="00041CC8" w:rsidRPr="00494DD0" w:rsidRDefault="00041CC8" w:rsidP="00A136A1">
            <w:pPr>
              <w:autoSpaceDE w:val="0"/>
              <w:autoSpaceDN w:val="0"/>
              <w:adjustRightInd w:val="0"/>
              <w:rPr>
                <w:rFonts w:eastAsiaTheme="minorHAnsi"/>
                <w:i/>
                <w:iCs/>
                <w:szCs w:val="22"/>
                <w:lang w:eastAsia="en-US"/>
              </w:rPr>
            </w:pPr>
            <w:r w:rsidRPr="00494DD0">
              <w:rPr>
                <w:rFonts w:eastAsiaTheme="minorHAnsi"/>
                <w:i/>
                <w:iCs/>
                <w:szCs w:val="22"/>
                <w:lang w:eastAsia="en-US"/>
              </w:rPr>
              <w:t>Aspergillus fumigatus</w:t>
            </w:r>
            <w:r w:rsidRPr="00494DD0">
              <w:rPr>
                <w:rFonts w:eastAsiaTheme="minorHAnsi"/>
                <w:i/>
                <w:iCs/>
                <w:szCs w:val="22"/>
                <w:vertAlign w:val="superscript"/>
                <w:lang w:eastAsia="en-US"/>
              </w:rPr>
              <w:t>4</w:t>
            </w:r>
          </w:p>
        </w:tc>
        <w:tc>
          <w:tcPr>
            <w:tcW w:w="1270" w:type="pct"/>
          </w:tcPr>
          <w:p w14:paraId="63415C90" w14:textId="77777777" w:rsidR="00041CC8" w:rsidRPr="00494DD0" w:rsidRDefault="00041CC8" w:rsidP="00A136A1">
            <w:pPr>
              <w:widowControl w:val="0"/>
              <w:autoSpaceDE w:val="0"/>
              <w:autoSpaceDN w:val="0"/>
              <w:adjustRightInd w:val="0"/>
              <w:jc w:val="center"/>
            </w:pPr>
            <w:r>
              <w:t>1</w:t>
            </w:r>
          </w:p>
        </w:tc>
        <w:tc>
          <w:tcPr>
            <w:tcW w:w="1260" w:type="pct"/>
          </w:tcPr>
          <w:p w14:paraId="5D88DF8B" w14:textId="77777777" w:rsidR="00041CC8" w:rsidRPr="00494DD0" w:rsidRDefault="00041CC8" w:rsidP="00A136A1">
            <w:pPr>
              <w:widowControl w:val="0"/>
              <w:autoSpaceDE w:val="0"/>
              <w:autoSpaceDN w:val="0"/>
              <w:adjustRightInd w:val="0"/>
              <w:jc w:val="center"/>
            </w:pPr>
            <w:r>
              <w:t>1</w:t>
            </w:r>
          </w:p>
        </w:tc>
      </w:tr>
      <w:tr w:rsidR="00041CC8" w:rsidRPr="009A1B7F" w14:paraId="7F87605F" w14:textId="77777777" w:rsidTr="00A136A1">
        <w:tc>
          <w:tcPr>
            <w:tcW w:w="2470" w:type="pct"/>
          </w:tcPr>
          <w:p w14:paraId="593D689F"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Aspergillus nidulans</w:t>
            </w:r>
            <w:r w:rsidRPr="00494DD0">
              <w:rPr>
                <w:rFonts w:eastAsiaTheme="minorHAnsi"/>
                <w:i/>
                <w:iCs/>
                <w:szCs w:val="22"/>
                <w:vertAlign w:val="superscript"/>
                <w:lang w:eastAsia="en-US"/>
              </w:rPr>
              <w:t>4</w:t>
            </w:r>
          </w:p>
        </w:tc>
        <w:tc>
          <w:tcPr>
            <w:tcW w:w="1270" w:type="pct"/>
          </w:tcPr>
          <w:p w14:paraId="23E384F7" w14:textId="77777777" w:rsidR="00041CC8" w:rsidRPr="00494DD0" w:rsidRDefault="00041CC8" w:rsidP="00A136A1">
            <w:pPr>
              <w:widowControl w:val="0"/>
              <w:autoSpaceDE w:val="0"/>
              <w:autoSpaceDN w:val="0"/>
              <w:adjustRightInd w:val="0"/>
              <w:jc w:val="center"/>
            </w:pPr>
            <w:r>
              <w:t>1</w:t>
            </w:r>
          </w:p>
        </w:tc>
        <w:tc>
          <w:tcPr>
            <w:tcW w:w="1260" w:type="pct"/>
          </w:tcPr>
          <w:p w14:paraId="6A70AC1A" w14:textId="77777777" w:rsidR="00041CC8" w:rsidRPr="00494DD0" w:rsidRDefault="00041CC8" w:rsidP="00A136A1">
            <w:pPr>
              <w:widowControl w:val="0"/>
              <w:autoSpaceDE w:val="0"/>
              <w:autoSpaceDN w:val="0"/>
              <w:adjustRightInd w:val="0"/>
              <w:jc w:val="center"/>
            </w:pPr>
            <w:r>
              <w:t>1</w:t>
            </w:r>
          </w:p>
        </w:tc>
      </w:tr>
      <w:tr w:rsidR="00041CC8" w:rsidRPr="009A1B7F" w14:paraId="4B7CEDD7" w14:textId="77777777" w:rsidTr="00A136A1">
        <w:tc>
          <w:tcPr>
            <w:tcW w:w="2470" w:type="pct"/>
          </w:tcPr>
          <w:p w14:paraId="0789112E"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Aspergillus flavus</w:t>
            </w:r>
          </w:p>
        </w:tc>
        <w:tc>
          <w:tcPr>
            <w:tcW w:w="1270" w:type="pct"/>
          </w:tcPr>
          <w:p w14:paraId="3064BE25"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c>
          <w:tcPr>
            <w:tcW w:w="1260" w:type="pct"/>
          </w:tcPr>
          <w:p w14:paraId="23DF6045"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r>
      <w:tr w:rsidR="00041CC8" w:rsidRPr="009A1B7F" w14:paraId="4632BB6A" w14:textId="77777777" w:rsidTr="00A136A1">
        <w:tc>
          <w:tcPr>
            <w:tcW w:w="2470" w:type="pct"/>
          </w:tcPr>
          <w:p w14:paraId="12BD227B" w14:textId="77777777" w:rsidR="00041CC8" w:rsidRPr="00494DD0" w:rsidRDefault="00041CC8" w:rsidP="00A136A1">
            <w:pPr>
              <w:widowControl w:val="0"/>
              <w:autoSpaceDE w:val="0"/>
              <w:autoSpaceDN w:val="0"/>
              <w:adjustRightInd w:val="0"/>
              <w:rPr>
                <w:i/>
                <w:iCs/>
              </w:rPr>
            </w:pPr>
            <w:r w:rsidRPr="00494DD0">
              <w:rPr>
                <w:rFonts w:eastAsiaTheme="minorHAnsi"/>
                <w:i/>
                <w:iCs/>
                <w:szCs w:val="22"/>
                <w:lang w:eastAsia="en-US"/>
              </w:rPr>
              <w:t>Aspergillus niger</w:t>
            </w:r>
          </w:p>
        </w:tc>
        <w:tc>
          <w:tcPr>
            <w:tcW w:w="1270" w:type="pct"/>
          </w:tcPr>
          <w:p w14:paraId="7CE08632"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c>
          <w:tcPr>
            <w:tcW w:w="1260" w:type="pct"/>
          </w:tcPr>
          <w:p w14:paraId="4C89313C"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r>
      <w:tr w:rsidR="00041CC8" w:rsidRPr="009A1B7F" w14:paraId="5CCA0CF2" w14:textId="77777777" w:rsidTr="00A136A1">
        <w:tc>
          <w:tcPr>
            <w:tcW w:w="2470" w:type="pct"/>
          </w:tcPr>
          <w:p w14:paraId="234CAB93" w14:textId="77777777" w:rsidR="00041CC8" w:rsidRPr="00494DD0" w:rsidRDefault="00041CC8" w:rsidP="00A136A1">
            <w:pPr>
              <w:autoSpaceDE w:val="0"/>
              <w:autoSpaceDN w:val="0"/>
              <w:adjustRightInd w:val="0"/>
              <w:rPr>
                <w:rFonts w:eastAsiaTheme="minorHAnsi"/>
                <w:i/>
                <w:iCs/>
                <w:sz w:val="14"/>
                <w:szCs w:val="14"/>
                <w:lang w:eastAsia="en-US"/>
              </w:rPr>
            </w:pPr>
            <w:r w:rsidRPr="00494DD0">
              <w:rPr>
                <w:rFonts w:eastAsiaTheme="minorHAnsi"/>
                <w:i/>
                <w:iCs/>
                <w:szCs w:val="22"/>
                <w:lang w:eastAsia="en-US"/>
              </w:rPr>
              <w:t>Aspergillus terreus</w:t>
            </w:r>
          </w:p>
        </w:tc>
        <w:tc>
          <w:tcPr>
            <w:tcW w:w="1270" w:type="pct"/>
          </w:tcPr>
          <w:p w14:paraId="4F5EE69E"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c>
          <w:tcPr>
            <w:tcW w:w="1260" w:type="pct"/>
          </w:tcPr>
          <w:p w14:paraId="06C2086E" w14:textId="77777777" w:rsidR="00041CC8" w:rsidRPr="00494DD0" w:rsidRDefault="00041CC8" w:rsidP="00A136A1">
            <w:pPr>
              <w:widowControl w:val="0"/>
              <w:autoSpaceDE w:val="0"/>
              <w:autoSpaceDN w:val="0"/>
              <w:adjustRightInd w:val="0"/>
              <w:jc w:val="center"/>
            </w:pPr>
            <w:r>
              <w:t>ĮN</w:t>
            </w:r>
            <w:r w:rsidRPr="00494DD0">
              <w:rPr>
                <w:vertAlign w:val="superscript"/>
              </w:rPr>
              <w:t>5</w:t>
            </w:r>
          </w:p>
        </w:tc>
      </w:tr>
      <w:tr w:rsidR="00041CC8" w:rsidRPr="009A1B7F" w14:paraId="36C9B97A" w14:textId="77777777" w:rsidTr="00A136A1">
        <w:tc>
          <w:tcPr>
            <w:tcW w:w="2470" w:type="pct"/>
          </w:tcPr>
          <w:p w14:paraId="4E5F8777" w14:textId="77777777" w:rsidR="00041CC8" w:rsidRPr="00494DD0" w:rsidRDefault="00041CC8" w:rsidP="00A136A1">
            <w:pPr>
              <w:widowControl w:val="0"/>
              <w:autoSpaceDE w:val="0"/>
              <w:autoSpaceDN w:val="0"/>
              <w:adjustRightInd w:val="0"/>
              <w:rPr>
                <w:rFonts w:eastAsiaTheme="minorHAnsi"/>
                <w:i/>
                <w:iCs/>
                <w:szCs w:val="22"/>
                <w:lang w:eastAsia="en-US"/>
              </w:rPr>
            </w:pPr>
            <w:r w:rsidRPr="00494DD0">
              <w:rPr>
                <w:rFonts w:eastAsiaTheme="minorHAnsi"/>
                <w:i/>
                <w:iCs/>
                <w:szCs w:val="22"/>
                <w:lang w:eastAsia="en-US"/>
              </w:rPr>
              <w:t>Su rūšimi nesusijusios ribos</w:t>
            </w:r>
            <w:r w:rsidRPr="00494DD0">
              <w:rPr>
                <w:rFonts w:eastAsiaTheme="minorHAnsi"/>
                <w:i/>
                <w:iCs/>
                <w:szCs w:val="22"/>
                <w:vertAlign w:val="superscript"/>
                <w:lang w:eastAsia="en-US"/>
              </w:rPr>
              <w:t>6</w:t>
            </w:r>
          </w:p>
        </w:tc>
        <w:tc>
          <w:tcPr>
            <w:tcW w:w="1270" w:type="pct"/>
          </w:tcPr>
          <w:p w14:paraId="41DCBB1E" w14:textId="77777777" w:rsidR="00041CC8" w:rsidRPr="00494DD0" w:rsidRDefault="00041CC8" w:rsidP="00A136A1">
            <w:pPr>
              <w:widowControl w:val="0"/>
              <w:autoSpaceDE w:val="0"/>
              <w:autoSpaceDN w:val="0"/>
              <w:adjustRightInd w:val="0"/>
              <w:jc w:val="center"/>
            </w:pPr>
            <w:r>
              <w:t>ĮN</w:t>
            </w:r>
          </w:p>
        </w:tc>
        <w:tc>
          <w:tcPr>
            <w:tcW w:w="1260" w:type="pct"/>
          </w:tcPr>
          <w:p w14:paraId="4C035466" w14:textId="77777777" w:rsidR="00041CC8" w:rsidRPr="00494DD0" w:rsidRDefault="00041CC8" w:rsidP="00A136A1">
            <w:pPr>
              <w:widowControl w:val="0"/>
              <w:autoSpaceDE w:val="0"/>
              <w:autoSpaceDN w:val="0"/>
              <w:adjustRightInd w:val="0"/>
              <w:jc w:val="center"/>
            </w:pPr>
            <w:r>
              <w:t>ĮN</w:t>
            </w:r>
          </w:p>
        </w:tc>
      </w:tr>
      <w:tr w:rsidR="00041CC8" w:rsidRPr="009A1B7F" w14:paraId="2AAFD337" w14:textId="77777777" w:rsidTr="00A136A1">
        <w:tc>
          <w:tcPr>
            <w:tcW w:w="5000" w:type="pct"/>
            <w:gridSpan w:val="3"/>
          </w:tcPr>
          <w:p w14:paraId="73DD50CA" w14:textId="77777777" w:rsidR="00041CC8" w:rsidRPr="00FB5740" w:rsidRDefault="00041CC8" w:rsidP="00A136A1">
            <w:pPr>
              <w:widowControl w:val="0"/>
              <w:autoSpaceDE w:val="0"/>
              <w:autoSpaceDN w:val="0"/>
              <w:adjustRightInd w:val="0"/>
              <w:rPr>
                <w:rFonts w:eastAsia="Calibri"/>
              </w:rPr>
            </w:pPr>
            <w:r w:rsidRPr="00FB5740">
              <w:rPr>
                <w:rFonts w:eastAsia="Calibri"/>
                <w:vertAlign w:val="superscript"/>
              </w:rPr>
              <w:t>1</w:t>
            </w:r>
            <w:r w:rsidRPr="00FB5740">
              <w:rPr>
                <w:rFonts w:eastAsia="Calibri"/>
              </w:rPr>
              <w:t xml:space="preserve"> Padermės, kurių MSK didesnės už jautrių/ tarpinių (J / T) mikroorganizmų jautrumo ribas</w:t>
            </w:r>
            <w:r>
              <w:rPr>
                <w:rFonts w:eastAsia="Calibri"/>
              </w:rPr>
              <w:t xml:space="preserve"> </w:t>
            </w:r>
            <w:r w:rsidRPr="00FB5740">
              <w:rPr>
                <w:rFonts w:eastAsia="Calibri"/>
              </w:rPr>
              <w:lastRenderedPageBreak/>
              <w:t>pasitaiko</w:t>
            </w:r>
            <w:r>
              <w:rPr>
                <w:rFonts w:eastAsia="Calibri"/>
              </w:rPr>
              <w:t xml:space="preserve"> </w:t>
            </w:r>
            <w:r w:rsidRPr="00FB5740">
              <w:rPr>
                <w:rFonts w:eastAsia="Calibri"/>
              </w:rPr>
              <w:t>retai arba jų iki šiol nenustatyta. Bet kurio tokio izoliato identifikaciją ir antimikrobinio jautrumo</w:t>
            </w:r>
            <w:r>
              <w:rPr>
                <w:rFonts w:eastAsia="Calibri"/>
              </w:rPr>
              <w:t xml:space="preserve"> </w:t>
            </w:r>
            <w:r w:rsidRPr="00FB5740">
              <w:rPr>
                <w:rFonts w:eastAsia="Calibri"/>
              </w:rPr>
              <w:t>mėginį reikia kartoti ir, jeigu duomenys pasitvirtina, izoliatą nusiųsti į etaloninę</w:t>
            </w:r>
            <w:r>
              <w:rPr>
                <w:rFonts w:eastAsia="Calibri"/>
              </w:rPr>
              <w:t xml:space="preserve"> </w:t>
            </w:r>
            <w:r w:rsidRPr="00FB5740">
              <w:rPr>
                <w:rFonts w:eastAsia="Calibri"/>
              </w:rPr>
              <w:t>laboratoriją. Kol bus</w:t>
            </w:r>
            <w:r>
              <w:rPr>
                <w:rFonts w:eastAsia="Calibri"/>
              </w:rPr>
              <w:t xml:space="preserve"> </w:t>
            </w:r>
            <w:r w:rsidRPr="00FB5740">
              <w:rPr>
                <w:rFonts w:eastAsia="Calibri"/>
              </w:rPr>
              <w:t>gauta įrodymų, susijusių su patvirtintų izoliatų, kurių MSK didesnė nei</w:t>
            </w:r>
            <w:r>
              <w:rPr>
                <w:rFonts w:eastAsia="Calibri"/>
              </w:rPr>
              <w:t xml:space="preserve"> </w:t>
            </w:r>
            <w:r w:rsidRPr="00FB5740">
              <w:rPr>
                <w:rFonts w:eastAsia="Calibri"/>
              </w:rPr>
              <w:t>dabartinės atsparumo ribos,</w:t>
            </w:r>
            <w:r>
              <w:rPr>
                <w:rFonts w:eastAsia="Calibri"/>
              </w:rPr>
              <w:t xml:space="preserve"> </w:t>
            </w:r>
            <w:r w:rsidRPr="00FB5740">
              <w:rPr>
                <w:rFonts w:eastAsia="Calibri"/>
              </w:rPr>
              <w:t>klinikiniu atsaku, jie turi būti registruojami kaip atsparūs. 76</w:t>
            </w:r>
            <w:r>
              <w:rPr>
                <w:rFonts w:eastAsia="Calibri"/>
              </w:rPr>
              <w:t> </w:t>
            </w:r>
            <w:r w:rsidRPr="00FB5740">
              <w:rPr>
                <w:rFonts w:eastAsia="Calibri"/>
              </w:rPr>
              <w:t>%</w:t>
            </w:r>
            <w:r>
              <w:rPr>
                <w:rFonts w:eastAsia="Calibri"/>
              </w:rPr>
              <w:t xml:space="preserve"> </w:t>
            </w:r>
            <w:r w:rsidRPr="00FB5740">
              <w:rPr>
                <w:rFonts w:eastAsia="Calibri"/>
              </w:rPr>
              <w:t>klinikinis atsakas pasiektas</w:t>
            </w:r>
            <w:r>
              <w:rPr>
                <w:rFonts w:eastAsia="Calibri"/>
              </w:rPr>
              <w:t xml:space="preserve"> </w:t>
            </w:r>
            <w:r w:rsidRPr="00FB5740">
              <w:rPr>
                <w:rFonts w:eastAsia="Calibri"/>
              </w:rPr>
              <w:t>infekcijoms, sukeltoms žemiau išvardytų rūšių, kai MSK buvo mažesnės</w:t>
            </w:r>
            <w:r>
              <w:rPr>
                <w:rFonts w:eastAsia="Calibri"/>
              </w:rPr>
              <w:t xml:space="preserve"> </w:t>
            </w:r>
            <w:r w:rsidRPr="00FB5740">
              <w:rPr>
                <w:rFonts w:eastAsia="Calibri"/>
              </w:rPr>
              <w:t>nei epidemiologinės</w:t>
            </w:r>
            <w:r>
              <w:rPr>
                <w:rFonts w:eastAsia="Calibri"/>
              </w:rPr>
              <w:t xml:space="preserve"> </w:t>
            </w:r>
            <w:r w:rsidRPr="00FB5740">
              <w:rPr>
                <w:rFonts w:eastAsia="Calibri"/>
              </w:rPr>
              <w:t xml:space="preserve">kirpinio vertės arba joms lygios. Todėl laikoma, kad laukinio tipo </w:t>
            </w:r>
            <w:r w:rsidRPr="00FB5740">
              <w:rPr>
                <w:rFonts w:eastAsia="Calibri"/>
                <w:i/>
                <w:iCs/>
              </w:rPr>
              <w:t>C. albicans,</w:t>
            </w:r>
            <w:r>
              <w:rPr>
                <w:rFonts w:eastAsia="Calibri"/>
                <w:i/>
                <w:iCs/>
              </w:rPr>
              <w:t xml:space="preserve"> </w:t>
            </w:r>
            <w:r w:rsidRPr="00FB5740">
              <w:rPr>
                <w:rFonts w:eastAsia="Calibri"/>
                <w:i/>
                <w:iCs/>
              </w:rPr>
              <w:t>C. dubliniensis, C.</w:t>
            </w:r>
            <w:r>
              <w:rPr>
                <w:rFonts w:eastAsia="Calibri"/>
                <w:i/>
                <w:iCs/>
              </w:rPr>
              <w:t xml:space="preserve"> </w:t>
            </w:r>
            <w:r w:rsidRPr="00FB5740">
              <w:rPr>
                <w:rFonts w:eastAsia="Calibri"/>
                <w:i/>
                <w:iCs/>
              </w:rPr>
              <w:t>parapsilosis ir C. tropicalis</w:t>
            </w:r>
            <w:r w:rsidRPr="00FB5740">
              <w:rPr>
                <w:rFonts w:eastAsia="Calibri"/>
              </w:rPr>
              <w:t xml:space="preserve"> populiacijos yra jautrios.</w:t>
            </w:r>
          </w:p>
          <w:p w14:paraId="0C713C90" w14:textId="77777777" w:rsidR="00041CC8" w:rsidRPr="00600878" w:rsidRDefault="00041CC8" w:rsidP="00A136A1">
            <w:pPr>
              <w:widowControl w:val="0"/>
              <w:autoSpaceDE w:val="0"/>
              <w:autoSpaceDN w:val="0"/>
              <w:adjustRightInd w:val="0"/>
              <w:rPr>
                <w:rFonts w:eastAsia="Calibri"/>
                <w:i/>
                <w:iCs/>
              </w:rPr>
            </w:pPr>
            <w:r w:rsidRPr="00FB5740">
              <w:rPr>
                <w:rFonts w:eastAsia="Calibri"/>
                <w:vertAlign w:val="superscript"/>
              </w:rPr>
              <w:t>2</w:t>
            </w:r>
            <w:r w:rsidRPr="00FB5740">
              <w:rPr>
                <w:rFonts w:eastAsia="Calibri"/>
              </w:rPr>
              <w:t xml:space="preserve"> Šių rūšių epidemiologinio kirpinio vertės (angl. ECOFF) iš esmės aukštesnės, nei nustatytos </w:t>
            </w:r>
            <w:r w:rsidRPr="00600878">
              <w:rPr>
                <w:rFonts w:eastAsia="Calibri"/>
                <w:i/>
                <w:iCs/>
              </w:rPr>
              <w:t>C.</w:t>
            </w:r>
          </w:p>
          <w:p w14:paraId="6F2D186E" w14:textId="77777777" w:rsidR="00041CC8" w:rsidRPr="00FB5740" w:rsidRDefault="00041CC8" w:rsidP="00A136A1">
            <w:pPr>
              <w:widowControl w:val="0"/>
              <w:autoSpaceDE w:val="0"/>
              <w:autoSpaceDN w:val="0"/>
              <w:adjustRightInd w:val="0"/>
              <w:rPr>
                <w:rFonts w:eastAsia="Calibri"/>
              </w:rPr>
            </w:pPr>
            <w:r w:rsidRPr="00600878">
              <w:rPr>
                <w:rFonts w:eastAsia="Calibri"/>
                <w:i/>
                <w:iCs/>
              </w:rPr>
              <w:t>albicans.</w:t>
            </w:r>
          </w:p>
          <w:p w14:paraId="300F360A" w14:textId="77777777" w:rsidR="00041CC8" w:rsidRPr="00FB5740" w:rsidRDefault="00041CC8" w:rsidP="00A136A1">
            <w:pPr>
              <w:widowControl w:val="0"/>
              <w:autoSpaceDE w:val="0"/>
              <w:autoSpaceDN w:val="0"/>
              <w:adjustRightInd w:val="0"/>
              <w:rPr>
                <w:rFonts w:eastAsia="Calibri"/>
              </w:rPr>
            </w:pPr>
            <w:r w:rsidRPr="00600878">
              <w:rPr>
                <w:rFonts w:eastAsia="Calibri"/>
                <w:vertAlign w:val="superscript"/>
              </w:rPr>
              <w:t>3</w:t>
            </w:r>
            <w:r w:rsidRPr="00FB5740">
              <w:rPr>
                <w:rFonts w:eastAsia="Calibri"/>
              </w:rPr>
              <w:t xml:space="preserve"> Su rūšimi nesusijusios ribos nustatytos daugiausia remiantis FK / FD duomenimis ir nuo konkrečių</w:t>
            </w:r>
            <w:r>
              <w:rPr>
                <w:rFonts w:eastAsia="Calibri"/>
              </w:rPr>
              <w:t xml:space="preserve"> </w:t>
            </w:r>
            <w:r w:rsidRPr="00600878">
              <w:rPr>
                <w:rFonts w:eastAsia="Calibri"/>
                <w:i/>
                <w:iCs/>
              </w:rPr>
              <w:t>Candida</w:t>
            </w:r>
            <w:r w:rsidRPr="00FB5740">
              <w:rPr>
                <w:rFonts w:eastAsia="Calibri"/>
              </w:rPr>
              <w:t xml:space="preserve"> rūšių MSK pasiskirstymo nepriklauso. Jos skirtos naudoti tik tiems mikroorganizmams,</w:t>
            </w:r>
            <w:r>
              <w:rPr>
                <w:rFonts w:eastAsia="Calibri"/>
              </w:rPr>
              <w:t xml:space="preserve"> </w:t>
            </w:r>
            <w:r w:rsidRPr="00FB5740">
              <w:rPr>
                <w:rFonts w:eastAsia="Calibri"/>
              </w:rPr>
              <w:t>kuriems konkrečių ribų nenustatyta.</w:t>
            </w:r>
          </w:p>
          <w:p w14:paraId="5298DDB2" w14:textId="77777777" w:rsidR="00041CC8" w:rsidRPr="00FB5740" w:rsidRDefault="00041CC8" w:rsidP="00A136A1">
            <w:pPr>
              <w:widowControl w:val="0"/>
              <w:autoSpaceDE w:val="0"/>
              <w:autoSpaceDN w:val="0"/>
              <w:adjustRightInd w:val="0"/>
              <w:rPr>
                <w:rFonts w:eastAsia="Calibri"/>
              </w:rPr>
            </w:pPr>
            <w:r w:rsidRPr="00600878">
              <w:rPr>
                <w:rFonts w:eastAsia="Calibri"/>
                <w:vertAlign w:val="superscript"/>
              </w:rPr>
              <w:t>4</w:t>
            </w:r>
            <w:r w:rsidRPr="00FB5740">
              <w:rPr>
                <w:rFonts w:eastAsia="Calibri"/>
              </w:rPr>
              <w:t xml:space="preserve"> Techninio neapibrėžtumo sritis (angl. ATU) lygi 2. Registruoti kaip „A“ pridedant šią pastabą:</w:t>
            </w:r>
            <w:r>
              <w:rPr>
                <w:rFonts w:eastAsia="Calibri"/>
              </w:rPr>
              <w:t xml:space="preserve"> </w:t>
            </w:r>
            <w:r w:rsidRPr="00FB5740">
              <w:rPr>
                <w:rFonts w:eastAsia="Calibri"/>
              </w:rPr>
              <w:t>„Tam tikromis klinikinėmis aplinkybėmis (neinvazinės formos infekcijų atveju) vorikonazolą naudoti</w:t>
            </w:r>
            <w:r>
              <w:rPr>
                <w:rFonts w:eastAsia="Calibri"/>
              </w:rPr>
              <w:t xml:space="preserve"> </w:t>
            </w:r>
            <w:r w:rsidRPr="00FB5740">
              <w:rPr>
                <w:rFonts w:eastAsia="Calibri"/>
              </w:rPr>
              <w:t>galima, jeigu užtikrinama pakankama ekspozicija“.</w:t>
            </w:r>
          </w:p>
          <w:p w14:paraId="4D7DDB1E" w14:textId="77777777" w:rsidR="00041CC8" w:rsidRPr="00FB5740" w:rsidRDefault="00041CC8" w:rsidP="00A136A1">
            <w:pPr>
              <w:widowControl w:val="0"/>
              <w:autoSpaceDE w:val="0"/>
              <w:autoSpaceDN w:val="0"/>
              <w:adjustRightInd w:val="0"/>
              <w:rPr>
                <w:rFonts w:eastAsia="Calibri"/>
              </w:rPr>
            </w:pPr>
            <w:r w:rsidRPr="00600878">
              <w:rPr>
                <w:rFonts w:eastAsia="Calibri"/>
                <w:vertAlign w:val="superscript"/>
              </w:rPr>
              <w:t>5</w:t>
            </w:r>
            <w:r w:rsidRPr="00FB5740">
              <w:rPr>
                <w:rFonts w:eastAsia="Calibri"/>
              </w:rPr>
              <w:t xml:space="preserve"> Šių rūšių epidemiologinio kirpinio vertės (angl. ECOFF) iš esmės vienu dvigubu skiedimu</w:t>
            </w:r>
            <w:r>
              <w:rPr>
                <w:rFonts w:eastAsia="Calibri"/>
              </w:rPr>
              <w:t xml:space="preserve"> </w:t>
            </w:r>
            <w:r w:rsidRPr="00FB5740">
              <w:rPr>
                <w:rFonts w:eastAsia="Calibri"/>
              </w:rPr>
              <w:t xml:space="preserve">aukštesnės, nei nustatytos </w:t>
            </w:r>
            <w:r w:rsidRPr="00F212BA">
              <w:rPr>
                <w:rFonts w:eastAsia="Calibri"/>
                <w:i/>
                <w:iCs/>
              </w:rPr>
              <w:t>A. fumigatus</w:t>
            </w:r>
            <w:r w:rsidRPr="00FB5740">
              <w:rPr>
                <w:rFonts w:eastAsia="Calibri"/>
              </w:rPr>
              <w:t>.</w:t>
            </w:r>
          </w:p>
          <w:p w14:paraId="704BE57D" w14:textId="77777777" w:rsidR="00041CC8" w:rsidRPr="00494DD0" w:rsidRDefault="00041CC8" w:rsidP="00A136A1">
            <w:pPr>
              <w:widowControl w:val="0"/>
              <w:autoSpaceDE w:val="0"/>
              <w:autoSpaceDN w:val="0"/>
              <w:adjustRightInd w:val="0"/>
            </w:pPr>
            <w:r w:rsidRPr="00600878">
              <w:rPr>
                <w:rFonts w:eastAsia="Calibri"/>
                <w:vertAlign w:val="superscript"/>
              </w:rPr>
              <w:t>6</w:t>
            </w:r>
            <w:r w:rsidRPr="00FB5740">
              <w:rPr>
                <w:rFonts w:eastAsia="Calibri"/>
              </w:rPr>
              <w:t xml:space="preserve"> Su rūšimi nesusijusių ribų nenustatyta.</w:t>
            </w:r>
          </w:p>
        </w:tc>
      </w:tr>
    </w:tbl>
    <w:p w14:paraId="3646A08D" w14:textId="77777777" w:rsidR="00041CC8" w:rsidRPr="005454C8" w:rsidRDefault="00041CC8" w:rsidP="00041CC8">
      <w:pPr>
        <w:autoSpaceDE w:val="0"/>
        <w:autoSpaceDN w:val="0"/>
        <w:adjustRightInd w:val="0"/>
        <w:rPr>
          <w:rFonts w:eastAsia="Calibri"/>
        </w:rPr>
      </w:pPr>
    </w:p>
    <w:p w14:paraId="4E8A0435" w14:textId="77777777" w:rsidR="00041CC8" w:rsidRPr="005454C8" w:rsidRDefault="00041CC8" w:rsidP="00041CC8">
      <w:pPr>
        <w:autoSpaceDE w:val="0"/>
        <w:autoSpaceDN w:val="0"/>
        <w:adjustRightInd w:val="0"/>
        <w:rPr>
          <w:rFonts w:eastAsia="Calibri"/>
          <w:u w:val="single"/>
        </w:rPr>
      </w:pPr>
      <w:r w:rsidRPr="00422901">
        <w:rPr>
          <w:rFonts w:eastAsia="Calibri"/>
          <w:u w:val="single"/>
        </w:rPr>
        <w:t>Klinikinių tyrimų duomenys</w:t>
      </w:r>
    </w:p>
    <w:p w14:paraId="1FD04DEE" w14:textId="77777777" w:rsidR="00041CC8" w:rsidRPr="005454C8" w:rsidRDefault="00041CC8" w:rsidP="00041CC8">
      <w:pPr>
        <w:autoSpaceDE w:val="0"/>
        <w:autoSpaceDN w:val="0"/>
        <w:adjustRightInd w:val="0"/>
        <w:rPr>
          <w:rFonts w:eastAsia="Calibri"/>
        </w:rPr>
      </w:pPr>
      <w:r w:rsidRPr="005454C8">
        <w:rPr>
          <w:rFonts w:eastAsia="Calibri"/>
        </w:rPr>
        <w:t>Šiame skyrelyje aprašytas sėkmingo gydymo (t. y. visiško arba dalinio atsako) rezultatas.</w:t>
      </w:r>
    </w:p>
    <w:p w14:paraId="154A73C9" w14:textId="77777777" w:rsidR="00041CC8" w:rsidRPr="005454C8" w:rsidRDefault="00041CC8" w:rsidP="00041CC8">
      <w:pPr>
        <w:autoSpaceDE w:val="0"/>
        <w:autoSpaceDN w:val="0"/>
        <w:adjustRightInd w:val="0"/>
        <w:rPr>
          <w:rFonts w:eastAsia="TimesNewRoman,Italic"/>
          <w:i/>
        </w:rPr>
      </w:pPr>
    </w:p>
    <w:p w14:paraId="6448B511" w14:textId="77777777" w:rsidR="00041CC8" w:rsidRPr="005454C8" w:rsidRDefault="00041CC8" w:rsidP="00041CC8">
      <w:pPr>
        <w:autoSpaceDE w:val="0"/>
        <w:autoSpaceDN w:val="0"/>
        <w:adjustRightInd w:val="0"/>
        <w:rPr>
          <w:rFonts w:eastAsia="Calibri"/>
          <w:u w:val="single"/>
        </w:rPr>
      </w:pPr>
      <w:r w:rsidRPr="005454C8">
        <w:rPr>
          <w:rFonts w:eastAsia="TimesNewRoman,Italic"/>
          <w:i/>
          <w:u w:val="single"/>
        </w:rPr>
        <w:t xml:space="preserve">Aspergillus </w:t>
      </w:r>
      <w:r w:rsidRPr="005454C8">
        <w:rPr>
          <w:rFonts w:eastAsia="Calibri"/>
          <w:u w:val="single"/>
        </w:rPr>
        <w:t xml:space="preserve">infekcija. </w:t>
      </w:r>
      <w:r w:rsidRPr="009A1B7F">
        <w:rPr>
          <w:rFonts w:eastAsia="Calibri"/>
          <w:szCs w:val="22"/>
          <w:u w:val="single"/>
          <w:lang w:eastAsia="en-US"/>
        </w:rPr>
        <w:t>Vaistinio preparato</w:t>
      </w:r>
      <w:r w:rsidRPr="005454C8">
        <w:rPr>
          <w:rFonts w:eastAsia="Calibri"/>
          <w:u w:val="single"/>
        </w:rPr>
        <w:t xml:space="preserve"> efektyvumas, gydant aspergilioze sergančius pacientus, kurių prognozė bloga</w:t>
      </w:r>
    </w:p>
    <w:p w14:paraId="54573F37" w14:textId="77777777" w:rsidR="00041CC8" w:rsidRPr="005454C8" w:rsidRDefault="00041CC8" w:rsidP="00041CC8">
      <w:pPr>
        <w:autoSpaceDE w:val="0"/>
        <w:autoSpaceDN w:val="0"/>
        <w:adjustRightInd w:val="0"/>
        <w:rPr>
          <w:rFonts w:eastAsia="Calibri"/>
        </w:rPr>
      </w:pPr>
      <w:r w:rsidRPr="005454C8">
        <w:rPr>
          <w:rFonts w:eastAsia="TimesNewRoman,Italic"/>
          <w:i/>
        </w:rPr>
        <w:t xml:space="preserve">In vitro </w:t>
      </w:r>
      <w:r w:rsidRPr="005454C8">
        <w:rPr>
          <w:rFonts w:eastAsia="Calibri"/>
        </w:rPr>
        <w:t xml:space="preserve">vorikonazolas sukelia fungicidinį poveikį </w:t>
      </w:r>
      <w:r w:rsidRPr="005454C8">
        <w:rPr>
          <w:rFonts w:eastAsia="TimesNewRoman,Italic"/>
          <w:i/>
        </w:rPr>
        <w:t xml:space="preserve">Aspergillus </w:t>
      </w:r>
      <w:r w:rsidRPr="005454C8">
        <w:rPr>
          <w:rFonts w:eastAsia="Calibri"/>
        </w:rPr>
        <w:t>rūšims. Ūminės invazinės aspergiliozės pagrindinio gydymo vorikonazolu poveikio efektyvumo ir pacientų išgyvenamumo pailgėjimo,</w:t>
      </w:r>
      <w:r w:rsidRPr="005454C8" w:rsidDel="00847298">
        <w:rPr>
          <w:rFonts w:eastAsia="Calibri"/>
        </w:rPr>
        <w:t xml:space="preserve"> </w:t>
      </w:r>
      <w:r w:rsidRPr="005454C8">
        <w:rPr>
          <w:rFonts w:eastAsia="Calibri"/>
        </w:rPr>
        <w:t>palyginti su įprastiniu gydymu amfotericinu B, atviras tyrimas buvo atliktas keliuose centruose,</w:t>
      </w:r>
      <w:r w:rsidRPr="005454C8" w:rsidDel="00847298">
        <w:rPr>
          <w:rFonts w:eastAsia="Calibri"/>
        </w:rPr>
        <w:t xml:space="preserve"> </w:t>
      </w:r>
      <w:r w:rsidRPr="005454C8">
        <w:rPr>
          <w:rFonts w:eastAsia="Calibri"/>
        </w:rPr>
        <w:t>kuriuose 12 savaičių buvo gydomi 277 atsitiktiniu būdu parinkti ligoniai, kurių imuninės sistemos funkcija buvo nepakankama. Į veną buvo vartota įsotinamoji 6 mg/kg vorikonazolo dozė kas 12 valandų pirmąsias 24 valandas, vėliau – palaikomoji 4 mg/kg dozė kas 12 valandų mažiausiai 7 paras. Vėliau gydymą galima keisti į geriamąją formą ir vartoti 200 mg dozę kas 12 valandų. Gydymas vorikonazolu į veną truko vidutiniškai 10 parų (kitimo sritis nuo 2 iki 85 parų). Baigus gydymą vorikonazolu į veną, gydymas geriamu vorikonazolu truko vidutiniškai 76 paras (nuo 2 iki 232 parų).</w:t>
      </w:r>
    </w:p>
    <w:p w14:paraId="32210C5B" w14:textId="77777777" w:rsidR="00041CC8" w:rsidRPr="005454C8" w:rsidRDefault="00041CC8" w:rsidP="00041CC8">
      <w:pPr>
        <w:autoSpaceDE w:val="0"/>
        <w:autoSpaceDN w:val="0"/>
        <w:adjustRightInd w:val="0"/>
        <w:rPr>
          <w:rFonts w:eastAsia="Calibri"/>
        </w:rPr>
      </w:pPr>
    </w:p>
    <w:p w14:paraId="38E3BDB3" w14:textId="77777777" w:rsidR="00041CC8" w:rsidRPr="005454C8" w:rsidRDefault="00041CC8" w:rsidP="00041CC8">
      <w:pPr>
        <w:autoSpaceDE w:val="0"/>
        <w:autoSpaceDN w:val="0"/>
        <w:adjustRightInd w:val="0"/>
        <w:rPr>
          <w:rFonts w:eastAsia="Calibri"/>
        </w:rPr>
      </w:pPr>
      <w:r w:rsidRPr="005454C8">
        <w:rPr>
          <w:rFonts w:eastAsia="Calibri"/>
        </w:rPr>
        <w:t>53 % vorikonazolu gydytų pacientų bendras vaistinio preparato poveikis buvo patenkinamas (iš dalies arba visiškai išnyko visi būdingi simptomų požymiai, išnyko rentgenologinių arba bronchoskopinių tyrimų metu nustatyti pradiniai pokyčiai), o gydant palyginamuoju preparatu, toks poveikis pasireiškė 31 % pacientų. 84 paras išgyvenusių vorikonazolu gydytų pacientų procentas buvo statistiškai patikimai didesnis nei gydytų palyginamuoju vaistiniu preparatu. Be to, laiko iki mirties ir laiko iki gydymo nutraukimo dėl vorikonazolo toksinio poveikio atžvilgiu, klinikiniai ir statistiniai duomenys rodė, kad pastarasis vaistinis preparatas yra efektyvesnis.</w:t>
      </w:r>
    </w:p>
    <w:p w14:paraId="13F1502D" w14:textId="77777777" w:rsidR="00041CC8" w:rsidRPr="005454C8" w:rsidRDefault="00041CC8" w:rsidP="00041CC8">
      <w:pPr>
        <w:autoSpaceDE w:val="0"/>
        <w:autoSpaceDN w:val="0"/>
        <w:adjustRightInd w:val="0"/>
        <w:rPr>
          <w:rFonts w:eastAsia="Calibri"/>
        </w:rPr>
      </w:pPr>
    </w:p>
    <w:p w14:paraId="2B9D8127" w14:textId="77777777" w:rsidR="00041CC8" w:rsidRPr="005454C8" w:rsidRDefault="00041CC8" w:rsidP="00041CC8">
      <w:pPr>
        <w:autoSpaceDE w:val="0"/>
        <w:autoSpaceDN w:val="0"/>
        <w:adjustRightInd w:val="0"/>
        <w:rPr>
          <w:rFonts w:eastAsia="Calibri"/>
        </w:rPr>
      </w:pPr>
      <w:r w:rsidRPr="005454C8">
        <w:rPr>
          <w:rFonts w:eastAsia="Calibri"/>
        </w:rPr>
        <w:t>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 mirtingumu).</w:t>
      </w:r>
    </w:p>
    <w:p w14:paraId="54706E7D" w14:textId="77777777" w:rsidR="00041CC8" w:rsidRPr="005454C8" w:rsidRDefault="00041CC8" w:rsidP="00041CC8">
      <w:pPr>
        <w:autoSpaceDE w:val="0"/>
        <w:autoSpaceDN w:val="0"/>
        <w:adjustRightInd w:val="0"/>
        <w:rPr>
          <w:rFonts w:eastAsia="Calibri"/>
        </w:rPr>
      </w:pPr>
    </w:p>
    <w:p w14:paraId="784B8986" w14:textId="77777777" w:rsidR="00041CC8" w:rsidRPr="005454C8" w:rsidRDefault="00041CC8" w:rsidP="00041CC8">
      <w:pPr>
        <w:autoSpaceDE w:val="0"/>
        <w:autoSpaceDN w:val="0"/>
        <w:adjustRightInd w:val="0"/>
        <w:rPr>
          <w:rFonts w:eastAsia="Calibri"/>
        </w:rPr>
      </w:pPr>
      <w:r w:rsidRPr="005454C8">
        <w:rPr>
          <w:rFonts w:eastAsia="Calibri"/>
        </w:rPr>
        <w:t>Tyrimai atlikti įtraukiant ligonius, sergančius smegenų, sinusų, plaučių ir išsėtine aspergilioze,</w:t>
      </w:r>
      <w:r w:rsidRPr="005454C8" w:rsidDel="00847298">
        <w:rPr>
          <w:rFonts w:eastAsia="Calibri"/>
        </w:rPr>
        <w:t xml:space="preserve"> </w:t>
      </w:r>
      <w:r w:rsidRPr="005454C8">
        <w:rPr>
          <w:rFonts w:eastAsia="Calibri"/>
        </w:rPr>
        <w:t>kuriems buvo transplantuoti kaulų čiulpai, standieji organai bei kurie sirgo kraujo ar kitokiu vėžiu arba AIDS.</w:t>
      </w:r>
    </w:p>
    <w:p w14:paraId="04E7CAE6" w14:textId="77777777" w:rsidR="00041CC8" w:rsidRPr="005454C8" w:rsidRDefault="00041CC8" w:rsidP="00041CC8">
      <w:pPr>
        <w:autoSpaceDE w:val="0"/>
        <w:autoSpaceDN w:val="0"/>
        <w:adjustRightInd w:val="0"/>
        <w:rPr>
          <w:rFonts w:eastAsia="Calibri"/>
          <w:u w:val="single"/>
        </w:rPr>
      </w:pPr>
    </w:p>
    <w:p w14:paraId="4B5F9EB7" w14:textId="77777777" w:rsidR="00041CC8" w:rsidRPr="005454C8" w:rsidRDefault="00041CC8" w:rsidP="00041CC8">
      <w:pPr>
        <w:autoSpaceDE w:val="0"/>
        <w:autoSpaceDN w:val="0"/>
        <w:adjustRightInd w:val="0"/>
        <w:rPr>
          <w:rFonts w:eastAsia="Calibri"/>
          <w:u w:val="single"/>
        </w:rPr>
      </w:pPr>
      <w:r w:rsidRPr="005454C8">
        <w:rPr>
          <w:rFonts w:eastAsia="Calibri"/>
          <w:u w:val="single"/>
        </w:rPr>
        <w:t>Kandidemija pacientams, kuriems nėra neutropenijos</w:t>
      </w:r>
    </w:p>
    <w:p w14:paraId="2E589F0F" w14:textId="77777777" w:rsidR="00041CC8" w:rsidRPr="005454C8" w:rsidRDefault="00041CC8" w:rsidP="00041CC8">
      <w:pPr>
        <w:autoSpaceDE w:val="0"/>
        <w:autoSpaceDN w:val="0"/>
        <w:adjustRightInd w:val="0"/>
        <w:rPr>
          <w:rFonts w:eastAsia="Calibri"/>
        </w:rPr>
      </w:pPr>
      <w:r w:rsidRPr="005454C8">
        <w:rPr>
          <w:rFonts w:eastAsia="Calibri"/>
        </w:rPr>
        <w:t xml:space="preserve">Atviro palyginamojo tyrimo metu buvo palygintas vorikonazolo veiksmingumas su amfotericino B ir vėliau flukonazolo, kaip pirmaeilio </w:t>
      </w:r>
      <w:r w:rsidRPr="009A1B7F">
        <w:rPr>
          <w:rFonts w:eastAsia="Calibri"/>
          <w:szCs w:val="22"/>
          <w:lang w:eastAsia="en-US"/>
        </w:rPr>
        <w:t xml:space="preserve">vaistinio </w:t>
      </w:r>
      <w:r w:rsidRPr="005454C8">
        <w:rPr>
          <w:rFonts w:eastAsia="Calibri"/>
        </w:rPr>
        <w:t xml:space="preserve">preparato kandidemijos gydymui, veiksmingumu. Tyrime dalyvavo trys šimtai septyniasdešimt pacientų, kuriems nebuvo neutropenijos (vyresnių kaip 12 metų) ir kuriems buvo nustatyta kandidemija, iš jų 248 vartojo vorikonazolą. Devyniems vorikonazolą ir 5 </w:t>
      </w:r>
      <w:r w:rsidRPr="005454C8">
        <w:rPr>
          <w:rFonts w:eastAsia="Calibri"/>
        </w:rPr>
        <w:lastRenderedPageBreak/>
        <w:t>amfotericiną B ir vėliau flukonazolą vartojusiems asmenims buvo patvirtinta grybelių sukelta giliųjų audinių infekcinė liga. Pacientai, kurie sirgo inkstų nepakankamumu, buvo pašalinti iš tyrimo.</w:t>
      </w:r>
    </w:p>
    <w:p w14:paraId="18DACE5B" w14:textId="47991238" w:rsidR="00041CC8" w:rsidRPr="005454C8" w:rsidRDefault="00041CC8" w:rsidP="00041CC8">
      <w:pPr>
        <w:autoSpaceDE w:val="0"/>
        <w:autoSpaceDN w:val="0"/>
        <w:adjustRightInd w:val="0"/>
        <w:rPr>
          <w:rFonts w:eastAsia="Calibri"/>
        </w:rPr>
      </w:pPr>
      <w:r w:rsidRPr="005454C8">
        <w:rPr>
          <w:rFonts w:eastAsia="Calibri"/>
        </w:rPr>
        <w:t xml:space="preserve">Vidutinė gydymo trukmė abiejose tyrimo grupėse buvo 15 parų. Atliekant pirminę analizę, Duomenų peržiūrėjimo komitetas (DPK), kuris nežinojo tiriamojo </w:t>
      </w:r>
      <w:r w:rsidR="0067649F">
        <w:rPr>
          <w:rFonts w:eastAsia="Calibri"/>
        </w:rPr>
        <w:t>vaistinio preparato</w:t>
      </w:r>
      <w:r w:rsidR="0067649F" w:rsidRPr="005454C8">
        <w:rPr>
          <w:rFonts w:eastAsia="Calibri"/>
        </w:rPr>
        <w:t xml:space="preserve"> </w:t>
      </w:r>
      <w:r w:rsidRPr="005454C8">
        <w:rPr>
          <w:rFonts w:eastAsia="Calibri"/>
        </w:rPr>
        <w:t xml:space="preserve">(aklasis būdas), gerą vaistinio preparato veiksmingumą vertino pasveikus arba pagerėjus visiems klinikiniams infekcinės ligos simptomams ir požymiams, išnaikinus </w:t>
      </w:r>
      <w:r w:rsidRPr="005454C8">
        <w:rPr>
          <w:rFonts w:eastAsia="TimesNewRoman,Italic"/>
          <w:i/>
        </w:rPr>
        <w:t xml:space="preserve">Candida </w:t>
      </w:r>
      <w:r w:rsidRPr="005454C8">
        <w:rPr>
          <w:rFonts w:eastAsia="Calibri"/>
        </w:rPr>
        <w:t>kraujyje ir infekcijos pažeistuose giliuosiuose audiniuose, praėjus 12 savaičių po gydymo pabaigos (GP). Pacientai, kurių būklė 12 savaitę po GP nebuvo įvertinta, priskirti prie tų, kuriems gydymas buvo neveiksmingas. Šios analizės metu geras veiksmingumas nustatytas 41 % pacientų abiejose gydymo grupėse.</w:t>
      </w:r>
    </w:p>
    <w:p w14:paraId="1D2B2C9D" w14:textId="77777777" w:rsidR="00041CC8" w:rsidRPr="005454C8" w:rsidRDefault="00041CC8" w:rsidP="00041CC8">
      <w:pPr>
        <w:autoSpaceDE w:val="0"/>
        <w:autoSpaceDN w:val="0"/>
        <w:adjustRightInd w:val="0"/>
        <w:rPr>
          <w:rFonts w:eastAsia="Calibri"/>
        </w:rPr>
      </w:pPr>
    </w:p>
    <w:p w14:paraId="1C5B3551" w14:textId="77777777" w:rsidR="00041CC8" w:rsidRPr="005454C8" w:rsidRDefault="00041CC8" w:rsidP="00041CC8">
      <w:pPr>
        <w:autoSpaceDE w:val="0"/>
        <w:autoSpaceDN w:val="0"/>
        <w:adjustRightInd w:val="0"/>
        <w:rPr>
          <w:rFonts w:eastAsia="Calibri"/>
        </w:rPr>
      </w:pPr>
      <w:r w:rsidRPr="005454C8">
        <w:rPr>
          <w:rFonts w:eastAsia="Calibri"/>
        </w:rPr>
        <w:t>Antrinės analizės, kurios metu DPK vertino paskiausiu laiku (GP, arba 2, 6, 12 savaičių po GP), vorikonazolo ir amfoter</w:t>
      </w:r>
      <w:r>
        <w:rPr>
          <w:rFonts w:eastAsia="Calibri"/>
        </w:rPr>
        <w:t>i</w:t>
      </w:r>
      <w:r w:rsidRPr="005454C8">
        <w:rPr>
          <w:rFonts w:eastAsia="Calibri"/>
        </w:rPr>
        <w:t>cino B, vėliau vartojant flukonazolą, geras veiksmingumas buvo atitinkamai 65 % ir 71 %.</w:t>
      </w:r>
    </w:p>
    <w:p w14:paraId="72191354" w14:textId="77777777" w:rsidR="00041CC8" w:rsidRPr="005454C8" w:rsidRDefault="00041CC8" w:rsidP="00041CC8">
      <w:pPr>
        <w:autoSpaceDE w:val="0"/>
        <w:autoSpaceDN w:val="0"/>
        <w:adjustRightInd w:val="0"/>
        <w:rPr>
          <w:rFonts w:eastAsia="Calibri"/>
        </w:rPr>
      </w:pPr>
    </w:p>
    <w:p w14:paraId="4707727B" w14:textId="77777777" w:rsidR="00041CC8" w:rsidRPr="005454C8" w:rsidRDefault="00041CC8" w:rsidP="00041CC8">
      <w:pPr>
        <w:autoSpaceDE w:val="0"/>
        <w:autoSpaceDN w:val="0"/>
        <w:adjustRightInd w:val="0"/>
        <w:rPr>
          <w:rFonts w:eastAsia="Calibri"/>
        </w:rPr>
      </w:pPr>
      <w:r w:rsidRPr="005454C8">
        <w:rPr>
          <w:rFonts w:eastAsia="Calibri"/>
        </w:rPr>
        <w:t>Tyrėjo nustatytas geras veiksmingumas kiekvieną vertinimo laikotarpį pateiktas lentelėje.</w:t>
      </w:r>
    </w:p>
    <w:p w14:paraId="03BFA0FE" w14:textId="77777777" w:rsidR="00041CC8" w:rsidRPr="005454C8" w:rsidRDefault="00041CC8" w:rsidP="00041CC8">
      <w:pPr>
        <w:autoSpaceDE w:val="0"/>
        <w:autoSpaceDN w:val="0"/>
        <w:adjustRightInd w:val="0"/>
        <w:rPr>
          <w:rFonts w:eastAsia="Calibri"/>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3020"/>
        <w:gridCol w:w="3027"/>
      </w:tblGrid>
      <w:tr w:rsidR="00041CC8" w:rsidRPr="009A1B7F" w14:paraId="513EB330" w14:textId="77777777" w:rsidTr="00A136A1">
        <w:trPr>
          <w:trHeight w:val="958"/>
        </w:trPr>
        <w:tc>
          <w:tcPr>
            <w:tcW w:w="1624" w:type="pct"/>
            <w:vAlign w:val="center"/>
          </w:tcPr>
          <w:p w14:paraId="698FEE9D" w14:textId="77777777" w:rsidR="00041CC8" w:rsidRPr="0061524C" w:rsidRDefault="00041CC8" w:rsidP="00A136A1">
            <w:pPr>
              <w:widowControl w:val="0"/>
              <w:autoSpaceDE w:val="0"/>
              <w:autoSpaceDN w:val="0"/>
              <w:adjustRightInd w:val="0"/>
              <w:rPr>
                <w:bCs/>
              </w:rPr>
            </w:pPr>
            <w:r w:rsidRPr="00982D99">
              <w:rPr>
                <w:rFonts w:eastAsia="TimesNewRoman,BoldItalic"/>
                <w:bCs/>
                <w:i/>
              </w:rPr>
              <w:t>Vertinimo laikas</w:t>
            </w:r>
          </w:p>
        </w:tc>
        <w:tc>
          <w:tcPr>
            <w:tcW w:w="1686" w:type="pct"/>
            <w:vAlign w:val="center"/>
          </w:tcPr>
          <w:p w14:paraId="51C1DBAB" w14:textId="77777777" w:rsidR="00041CC8" w:rsidRPr="00982D99" w:rsidRDefault="00041CC8" w:rsidP="00A136A1">
            <w:pPr>
              <w:widowControl w:val="0"/>
              <w:autoSpaceDE w:val="0"/>
              <w:autoSpaceDN w:val="0"/>
              <w:adjustRightInd w:val="0"/>
              <w:jc w:val="center"/>
              <w:rPr>
                <w:bCs/>
                <w:i/>
              </w:rPr>
            </w:pPr>
            <w:r w:rsidRPr="00982D99">
              <w:rPr>
                <w:bCs/>
                <w:i/>
              </w:rPr>
              <w:t>Vorikonazolas</w:t>
            </w:r>
          </w:p>
          <w:p w14:paraId="151518C6" w14:textId="77777777" w:rsidR="00041CC8" w:rsidRPr="0061524C" w:rsidRDefault="00041CC8" w:rsidP="00A136A1">
            <w:pPr>
              <w:widowControl w:val="0"/>
              <w:autoSpaceDE w:val="0"/>
              <w:autoSpaceDN w:val="0"/>
              <w:adjustRightInd w:val="0"/>
              <w:jc w:val="center"/>
              <w:rPr>
                <w:bCs/>
              </w:rPr>
            </w:pPr>
            <w:r w:rsidRPr="00982D99">
              <w:rPr>
                <w:bCs/>
                <w:i/>
              </w:rPr>
              <w:t>(N=248)</w:t>
            </w:r>
          </w:p>
        </w:tc>
        <w:tc>
          <w:tcPr>
            <w:tcW w:w="1690" w:type="pct"/>
            <w:vAlign w:val="center"/>
          </w:tcPr>
          <w:p w14:paraId="65641BC0" w14:textId="77777777" w:rsidR="00041CC8" w:rsidRPr="0061524C" w:rsidRDefault="00041CC8" w:rsidP="00A136A1">
            <w:pPr>
              <w:widowControl w:val="0"/>
              <w:autoSpaceDE w:val="0"/>
              <w:autoSpaceDN w:val="0"/>
              <w:adjustRightInd w:val="0"/>
              <w:jc w:val="center"/>
              <w:rPr>
                <w:bCs/>
              </w:rPr>
            </w:pPr>
            <w:r w:rsidRPr="00982D99">
              <w:rPr>
                <w:bCs/>
                <w:i/>
              </w:rPr>
              <w:t>Amfotericinas B → flukonazolas</w:t>
            </w:r>
          </w:p>
          <w:p w14:paraId="4C897AF4" w14:textId="77777777" w:rsidR="00041CC8" w:rsidRPr="00982D99" w:rsidRDefault="00041CC8" w:rsidP="00A136A1">
            <w:pPr>
              <w:widowControl w:val="0"/>
              <w:autoSpaceDE w:val="0"/>
              <w:autoSpaceDN w:val="0"/>
              <w:adjustRightInd w:val="0"/>
              <w:jc w:val="center"/>
              <w:rPr>
                <w:bCs/>
              </w:rPr>
            </w:pPr>
            <w:r w:rsidRPr="00982D99">
              <w:rPr>
                <w:bCs/>
              </w:rPr>
              <w:t>(N=122)</w:t>
            </w:r>
          </w:p>
        </w:tc>
      </w:tr>
      <w:tr w:rsidR="00041CC8" w:rsidRPr="009A1B7F" w14:paraId="515C3A3B" w14:textId="77777777" w:rsidTr="00A136A1">
        <w:tc>
          <w:tcPr>
            <w:tcW w:w="1624" w:type="pct"/>
          </w:tcPr>
          <w:p w14:paraId="6D6D1C64" w14:textId="77777777" w:rsidR="00041CC8" w:rsidRPr="005454C8" w:rsidRDefault="00041CC8" w:rsidP="00A136A1">
            <w:pPr>
              <w:widowControl w:val="0"/>
              <w:autoSpaceDE w:val="0"/>
              <w:autoSpaceDN w:val="0"/>
              <w:adjustRightInd w:val="0"/>
            </w:pPr>
            <w:r w:rsidRPr="005454C8">
              <w:t>GP</w:t>
            </w:r>
          </w:p>
        </w:tc>
        <w:tc>
          <w:tcPr>
            <w:tcW w:w="1686" w:type="pct"/>
          </w:tcPr>
          <w:p w14:paraId="0DE70E02" w14:textId="77777777" w:rsidR="00041CC8" w:rsidRPr="005454C8" w:rsidRDefault="00041CC8" w:rsidP="00A136A1">
            <w:pPr>
              <w:widowControl w:val="0"/>
              <w:autoSpaceDE w:val="0"/>
              <w:autoSpaceDN w:val="0"/>
              <w:adjustRightInd w:val="0"/>
              <w:jc w:val="center"/>
            </w:pPr>
            <w:r w:rsidRPr="005454C8">
              <w:t>178 (72 %)</w:t>
            </w:r>
          </w:p>
        </w:tc>
        <w:tc>
          <w:tcPr>
            <w:tcW w:w="1690" w:type="pct"/>
          </w:tcPr>
          <w:p w14:paraId="741128EE" w14:textId="77777777" w:rsidR="00041CC8" w:rsidRPr="005454C8" w:rsidRDefault="00041CC8" w:rsidP="00A136A1">
            <w:pPr>
              <w:widowControl w:val="0"/>
              <w:autoSpaceDE w:val="0"/>
              <w:autoSpaceDN w:val="0"/>
              <w:adjustRightInd w:val="0"/>
              <w:jc w:val="center"/>
            </w:pPr>
            <w:r w:rsidRPr="005454C8">
              <w:t>88 (72 %)</w:t>
            </w:r>
          </w:p>
        </w:tc>
      </w:tr>
      <w:tr w:rsidR="00041CC8" w:rsidRPr="009A1B7F" w14:paraId="5CB109C1" w14:textId="77777777" w:rsidTr="00A136A1">
        <w:tc>
          <w:tcPr>
            <w:tcW w:w="1624" w:type="pct"/>
          </w:tcPr>
          <w:p w14:paraId="5A32C85E" w14:textId="77777777" w:rsidR="00041CC8" w:rsidRPr="005454C8" w:rsidRDefault="00041CC8" w:rsidP="00A136A1">
            <w:pPr>
              <w:widowControl w:val="0"/>
              <w:autoSpaceDE w:val="0"/>
              <w:autoSpaceDN w:val="0"/>
              <w:adjustRightInd w:val="0"/>
            </w:pPr>
            <w:r w:rsidRPr="005454C8">
              <w:rPr>
                <w:rFonts w:eastAsia="TimesNewRoman,Italic"/>
                <w:i/>
              </w:rPr>
              <w:t xml:space="preserve">2 savaitės po GP </w:t>
            </w:r>
          </w:p>
        </w:tc>
        <w:tc>
          <w:tcPr>
            <w:tcW w:w="1686" w:type="pct"/>
          </w:tcPr>
          <w:p w14:paraId="693D9D4E" w14:textId="77777777" w:rsidR="00041CC8" w:rsidRPr="005454C8" w:rsidRDefault="00041CC8" w:rsidP="00A136A1">
            <w:pPr>
              <w:widowControl w:val="0"/>
              <w:autoSpaceDE w:val="0"/>
              <w:autoSpaceDN w:val="0"/>
              <w:adjustRightInd w:val="0"/>
              <w:jc w:val="center"/>
            </w:pPr>
            <w:r w:rsidRPr="005454C8">
              <w:t>125 (50 %)</w:t>
            </w:r>
          </w:p>
        </w:tc>
        <w:tc>
          <w:tcPr>
            <w:tcW w:w="1690" w:type="pct"/>
          </w:tcPr>
          <w:p w14:paraId="7BC8AD66" w14:textId="77777777" w:rsidR="00041CC8" w:rsidRPr="005454C8" w:rsidRDefault="00041CC8" w:rsidP="00A136A1">
            <w:pPr>
              <w:widowControl w:val="0"/>
              <w:autoSpaceDE w:val="0"/>
              <w:autoSpaceDN w:val="0"/>
              <w:adjustRightInd w:val="0"/>
              <w:jc w:val="center"/>
            </w:pPr>
            <w:r w:rsidRPr="005454C8">
              <w:t>62 (51 %)</w:t>
            </w:r>
          </w:p>
        </w:tc>
      </w:tr>
      <w:tr w:rsidR="00041CC8" w:rsidRPr="009A1B7F" w14:paraId="3386BAEC" w14:textId="77777777" w:rsidTr="00A136A1">
        <w:tc>
          <w:tcPr>
            <w:tcW w:w="1624" w:type="pct"/>
          </w:tcPr>
          <w:p w14:paraId="0ED019F1" w14:textId="77777777" w:rsidR="00041CC8" w:rsidRPr="005454C8" w:rsidRDefault="00041CC8" w:rsidP="00A136A1">
            <w:pPr>
              <w:widowControl w:val="0"/>
              <w:autoSpaceDE w:val="0"/>
              <w:autoSpaceDN w:val="0"/>
              <w:adjustRightInd w:val="0"/>
            </w:pPr>
            <w:r w:rsidRPr="005454C8">
              <w:t xml:space="preserve">6 </w:t>
            </w:r>
            <w:r w:rsidRPr="005454C8">
              <w:rPr>
                <w:rFonts w:eastAsia="TimesNewRoman,Italic"/>
                <w:i/>
              </w:rPr>
              <w:t xml:space="preserve"> savaitės po GP </w:t>
            </w:r>
          </w:p>
        </w:tc>
        <w:tc>
          <w:tcPr>
            <w:tcW w:w="1686" w:type="pct"/>
          </w:tcPr>
          <w:p w14:paraId="607FEA72" w14:textId="77777777" w:rsidR="00041CC8" w:rsidRPr="005454C8" w:rsidRDefault="00041CC8" w:rsidP="00A136A1">
            <w:pPr>
              <w:widowControl w:val="0"/>
              <w:autoSpaceDE w:val="0"/>
              <w:autoSpaceDN w:val="0"/>
              <w:adjustRightInd w:val="0"/>
              <w:jc w:val="center"/>
            </w:pPr>
            <w:r w:rsidRPr="005454C8">
              <w:t>104 (42 %)</w:t>
            </w:r>
          </w:p>
        </w:tc>
        <w:tc>
          <w:tcPr>
            <w:tcW w:w="1690" w:type="pct"/>
          </w:tcPr>
          <w:p w14:paraId="26520496" w14:textId="77777777" w:rsidR="00041CC8" w:rsidRPr="005454C8" w:rsidRDefault="00041CC8" w:rsidP="00A136A1">
            <w:pPr>
              <w:widowControl w:val="0"/>
              <w:autoSpaceDE w:val="0"/>
              <w:autoSpaceDN w:val="0"/>
              <w:adjustRightInd w:val="0"/>
              <w:jc w:val="center"/>
            </w:pPr>
            <w:r w:rsidRPr="005454C8">
              <w:t>55 (45 %)</w:t>
            </w:r>
          </w:p>
        </w:tc>
      </w:tr>
      <w:tr w:rsidR="00041CC8" w:rsidRPr="009A1B7F" w14:paraId="76A1780A" w14:textId="77777777" w:rsidTr="00A136A1">
        <w:tc>
          <w:tcPr>
            <w:tcW w:w="1624" w:type="pct"/>
          </w:tcPr>
          <w:p w14:paraId="52BDADB3" w14:textId="77777777" w:rsidR="00041CC8" w:rsidRPr="005454C8" w:rsidRDefault="00041CC8" w:rsidP="00A136A1">
            <w:pPr>
              <w:widowControl w:val="0"/>
              <w:autoSpaceDE w:val="0"/>
              <w:autoSpaceDN w:val="0"/>
              <w:adjustRightInd w:val="0"/>
            </w:pPr>
            <w:r w:rsidRPr="005454C8">
              <w:t xml:space="preserve">12 </w:t>
            </w:r>
            <w:r w:rsidRPr="005454C8">
              <w:rPr>
                <w:rFonts w:eastAsia="TimesNewRoman,Italic"/>
                <w:i/>
              </w:rPr>
              <w:t xml:space="preserve"> savaičių po GP </w:t>
            </w:r>
          </w:p>
        </w:tc>
        <w:tc>
          <w:tcPr>
            <w:tcW w:w="1686" w:type="pct"/>
          </w:tcPr>
          <w:p w14:paraId="51BD8E2F" w14:textId="77777777" w:rsidR="00041CC8" w:rsidRPr="005454C8" w:rsidRDefault="00041CC8" w:rsidP="00A136A1">
            <w:pPr>
              <w:widowControl w:val="0"/>
              <w:autoSpaceDE w:val="0"/>
              <w:autoSpaceDN w:val="0"/>
              <w:adjustRightInd w:val="0"/>
              <w:jc w:val="center"/>
            </w:pPr>
            <w:r w:rsidRPr="005454C8">
              <w:t>104 (42 %)</w:t>
            </w:r>
          </w:p>
        </w:tc>
        <w:tc>
          <w:tcPr>
            <w:tcW w:w="1690" w:type="pct"/>
          </w:tcPr>
          <w:p w14:paraId="700478F6" w14:textId="77777777" w:rsidR="00041CC8" w:rsidRPr="005454C8" w:rsidRDefault="00041CC8" w:rsidP="00A136A1">
            <w:pPr>
              <w:widowControl w:val="0"/>
              <w:autoSpaceDE w:val="0"/>
              <w:autoSpaceDN w:val="0"/>
              <w:adjustRightInd w:val="0"/>
              <w:jc w:val="center"/>
            </w:pPr>
            <w:r w:rsidRPr="005454C8">
              <w:t>51 (42 %)</w:t>
            </w:r>
          </w:p>
        </w:tc>
      </w:tr>
    </w:tbl>
    <w:p w14:paraId="2B870F72" w14:textId="77777777" w:rsidR="00041CC8" w:rsidRPr="005454C8" w:rsidRDefault="00041CC8" w:rsidP="00041CC8">
      <w:pPr>
        <w:autoSpaceDE w:val="0"/>
        <w:autoSpaceDN w:val="0"/>
        <w:adjustRightInd w:val="0"/>
        <w:rPr>
          <w:rFonts w:eastAsia="TimesNewRoman,Italic"/>
          <w:i/>
        </w:rPr>
      </w:pPr>
    </w:p>
    <w:p w14:paraId="77684CF8" w14:textId="77777777" w:rsidR="00041CC8" w:rsidRPr="005454C8" w:rsidRDefault="00041CC8" w:rsidP="00041CC8">
      <w:pPr>
        <w:autoSpaceDE w:val="0"/>
        <w:autoSpaceDN w:val="0"/>
        <w:adjustRightInd w:val="0"/>
        <w:rPr>
          <w:rFonts w:eastAsia="TimesNewRoman,Italic"/>
          <w:u w:val="single"/>
        </w:rPr>
      </w:pPr>
      <w:r w:rsidRPr="005454C8">
        <w:rPr>
          <w:rFonts w:eastAsia="TimesNewRoman,Italic"/>
          <w:i/>
          <w:u w:val="single"/>
        </w:rPr>
        <w:t xml:space="preserve">Candida </w:t>
      </w:r>
      <w:r w:rsidRPr="005454C8">
        <w:rPr>
          <w:rFonts w:eastAsia="TimesNewRoman,Italic"/>
          <w:u w:val="single"/>
        </w:rPr>
        <w:t>sukeltos sunkios atsparios infekcinės ligos</w:t>
      </w:r>
    </w:p>
    <w:p w14:paraId="775DCE03" w14:textId="77777777" w:rsidR="00041CC8" w:rsidRPr="005454C8" w:rsidRDefault="00041CC8" w:rsidP="00041CC8">
      <w:pPr>
        <w:autoSpaceDE w:val="0"/>
        <w:autoSpaceDN w:val="0"/>
        <w:adjustRightInd w:val="0"/>
        <w:rPr>
          <w:rFonts w:eastAsia="TimesNewRoman,Italic"/>
        </w:rPr>
      </w:pPr>
      <w:r w:rsidRPr="005454C8">
        <w:rPr>
          <w:rFonts w:eastAsia="TimesNewRoman,Italic"/>
        </w:rPr>
        <w:t xml:space="preserve">Tyrimai atlikti su 55 pacientais, sergančiais sunkia atsparia sistemine </w:t>
      </w:r>
      <w:r w:rsidRPr="005454C8">
        <w:rPr>
          <w:rFonts w:eastAsia="TimesNewRoman,Italic"/>
          <w:i/>
        </w:rPr>
        <w:t xml:space="preserve">Candida </w:t>
      </w:r>
      <w:r w:rsidRPr="005454C8">
        <w:rPr>
          <w:rFonts w:eastAsia="TimesNewRoman,Italic"/>
        </w:rPr>
        <w:t xml:space="preserve">sukelta infekcine liga (įskaitant kandidemiją, išsėtinę arba kitokią invazinę kandidamikozę), kuriai priešgrybelinio poveikio </w:t>
      </w:r>
      <w:r w:rsidRPr="009A1B7F">
        <w:rPr>
          <w:rFonts w:eastAsia="TimesNewRoman,Italic"/>
          <w:szCs w:val="22"/>
          <w:lang w:eastAsia="en-US"/>
        </w:rPr>
        <w:t xml:space="preserve">vaistiniai </w:t>
      </w:r>
      <w:r w:rsidRPr="005454C8">
        <w:rPr>
          <w:rFonts w:eastAsia="TimesNewRoman,Italic"/>
        </w:rPr>
        <w:t xml:space="preserve">preparatai, ypač flukonazolas, buvo neefektyvūs. Geras poveikis pasireiškė 24 pacientams: 15 iš jų visiškai pasveiko, 9 iš dalies. Gydant flukonazolo poveikiui atsparių ne </w:t>
      </w:r>
      <w:r w:rsidRPr="005454C8">
        <w:rPr>
          <w:rFonts w:eastAsia="TimesNewRoman,Italic"/>
          <w:i/>
        </w:rPr>
        <w:t xml:space="preserve">albicans </w:t>
      </w:r>
      <w:r w:rsidRPr="005454C8">
        <w:rPr>
          <w:rFonts w:eastAsia="TimesNewRoman,Italic"/>
        </w:rPr>
        <w:t xml:space="preserve">rūšių sukeltą infekcinę ligą, geras poveikis pasireiškė 3 pacientams (visiškai pasveiko) iš 3, sergančių </w:t>
      </w:r>
      <w:r w:rsidRPr="005454C8">
        <w:rPr>
          <w:rFonts w:eastAsia="TimesNewRoman,Italic"/>
          <w:i/>
        </w:rPr>
        <w:t xml:space="preserve">C. krusei </w:t>
      </w:r>
      <w:r w:rsidRPr="005454C8">
        <w:rPr>
          <w:rFonts w:eastAsia="TimesNewRoman,Italic"/>
        </w:rPr>
        <w:t xml:space="preserve">sukelta infekcine liga, ir 6 pacientams iš 8, sergančių </w:t>
      </w:r>
      <w:r w:rsidRPr="005454C8">
        <w:rPr>
          <w:rFonts w:eastAsia="TimesNewRoman,Italic"/>
          <w:i/>
        </w:rPr>
        <w:t xml:space="preserve">C. glabrata </w:t>
      </w:r>
      <w:r w:rsidRPr="005454C8">
        <w:rPr>
          <w:rFonts w:eastAsia="TimesNewRoman,Italic"/>
        </w:rPr>
        <w:t>sukelta liga (5 ligoniai pasveiko visiškai, 1 iš dalies). Klinikinio poveikio veiksmingumas buvo paremtas ribotais mikroorganizmų jautrumo duomenimis.</w:t>
      </w:r>
    </w:p>
    <w:p w14:paraId="64B5361C" w14:textId="77777777" w:rsidR="00041CC8" w:rsidRPr="005454C8" w:rsidRDefault="00041CC8" w:rsidP="00041CC8">
      <w:pPr>
        <w:autoSpaceDE w:val="0"/>
        <w:autoSpaceDN w:val="0"/>
        <w:adjustRightInd w:val="0"/>
        <w:rPr>
          <w:rFonts w:eastAsia="TimesNewRoman,Italic"/>
          <w:i/>
        </w:rPr>
      </w:pPr>
    </w:p>
    <w:p w14:paraId="16E9B51A" w14:textId="77777777" w:rsidR="00041CC8" w:rsidRPr="005454C8" w:rsidRDefault="00041CC8" w:rsidP="00041CC8">
      <w:pPr>
        <w:autoSpaceDE w:val="0"/>
        <w:autoSpaceDN w:val="0"/>
        <w:adjustRightInd w:val="0"/>
        <w:rPr>
          <w:rFonts w:eastAsia="TimesNewRoman,Italic"/>
          <w:u w:val="single"/>
        </w:rPr>
      </w:pPr>
      <w:r w:rsidRPr="005454C8">
        <w:rPr>
          <w:rFonts w:eastAsia="TimesNewRoman,Italic"/>
          <w:i/>
          <w:u w:val="single"/>
        </w:rPr>
        <w:t xml:space="preserve">Scedosporium </w:t>
      </w:r>
      <w:r w:rsidRPr="005454C8">
        <w:rPr>
          <w:rFonts w:eastAsia="TimesNewRoman,Italic"/>
          <w:u w:val="single"/>
        </w:rPr>
        <w:t xml:space="preserve">ir </w:t>
      </w:r>
      <w:r w:rsidRPr="005454C8">
        <w:rPr>
          <w:rFonts w:eastAsia="TimesNewRoman,Italic"/>
          <w:i/>
          <w:u w:val="single"/>
        </w:rPr>
        <w:t xml:space="preserve">Fusarium </w:t>
      </w:r>
      <w:r w:rsidRPr="005454C8">
        <w:rPr>
          <w:rFonts w:eastAsia="TimesNewRoman,Italic"/>
          <w:u w:val="single"/>
        </w:rPr>
        <w:t>sukeltos infekcinės ligos</w:t>
      </w:r>
    </w:p>
    <w:p w14:paraId="1ED573A0" w14:textId="77777777" w:rsidR="00041CC8" w:rsidRPr="005454C8" w:rsidRDefault="00041CC8" w:rsidP="00041CC8">
      <w:pPr>
        <w:autoSpaceDE w:val="0"/>
        <w:autoSpaceDN w:val="0"/>
        <w:adjustRightInd w:val="0"/>
        <w:rPr>
          <w:rFonts w:eastAsia="TimesNewRoman,Italic"/>
        </w:rPr>
      </w:pPr>
      <w:r w:rsidRPr="005454C8">
        <w:rPr>
          <w:rFonts w:eastAsia="TimesNewRoman,Italic"/>
        </w:rPr>
        <w:t>Vorikonazolas efektyviai veikia toliau išvardytas retas grybelių rūšis.</w:t>
      </w:r>
    </w:p>
    <w:p w14:paraId="7DC1780B" w14:textId="77777777" w:rsidR="00041CC8" w:rsidRPr="005454C8" w:rsidRDefault="00041CC8" w:rsidP="00041CC8">
      <w:pPr>
        <w:autoSpaceDE w:val="0"/>
        <w:autoSpaceDN w:val="0"/>
        <w:adjustRightInd w:val="0"/>
        <w:rPr>
          <w:rFonts w:eastAsia="TimesNewRoman,Italic"/>
          <w:i/>
        </w:rPr>
      </w:pPr>
    </w:p>
    <w:p w14:paraId="022743AC" w14:textId="77777777" w:rsidR="00041CC8" w:rsidRPr="005454C8" w:rsidRDefault="00041CC8" w:rsidP="00041CC8">
      <w:pPr>
        <w:autoSpaceDE w:val="0"/>
        <w:autoSpaceDN w:val="0"/>
        <w:adjustRightInd w:val="0"/>
        <w:rPr>
          <w:rFonts w:eastAsia="TimesNewRoman,Italic"/>
        </w:rPr>
      </w:pPr>
      <w:r w:rsidRPr="005454C8">
        <w:rPr>
          <w:rFonts w:eastAsia="TimesNewRoman,Italic"/>
          <w:i/>
        </w:rPr>
        <w:t xml:space="preserve">Scedosporium </w:t>
      </w:r>
      <w:r w:rsidRPr="005454C8">
        <w:rPr>
          <w:rFonts w:eastAsia="TimesNewRoman,Italic"/>
        </w:rPr>
        <w:t xml:space="preserve">rūšys: vorikonazolo poveikis buvo geras 16 pacientų iš 28, sergančių </w:t>
      </w:r>
      <w:r w:rsidRPr="005454C8">
        <w:rPr>
          <w:rFonts w:eastAsia="TimesNewRoman,Italic"/>
          <w:i/>
        </w:rPr>
        <w:t xml:space="preserve">S. apiospermium </w:t>
      </w:r>
      <w:r w:rsidRPr="005454C8">
        <w:rPr>
          <w:rFonts w:eastAsia="TimesNewRoman,Italic"/>
        </w:rPr>
        <w:t xml:space="preserve">sukelta infekcine liga (6 ligoniai išgijo visiškai, 10 iš dalies), bei 2 pacientams (abu išgijo iš dalies) iš 7, užsikrėtusių </w:t>
      </w:r>
      <w:r w:rsidRPr="005454C8">
        <w:rPr>
          <w:rFonts w:eastAsia="TimesNewRoman,Italic"/>
          <w:i/>
        </w:rPr>
        <w:t xml:space="preserve">S. prolificans </w:t>
      </w:r>
      <w:r w:rsidRPr="005454C8">
        <w:rPr>
          <w:rFonts w:eastAsia="TimesNewRoman,Italic"/>
        </w:rPr>
        <w:t xml:space="preserve">sukelta infekcine liga. Be to, gerą poveikį preparatas sukėlė 1 ligoniui iš 3, kurie sirgo daugiau kaip vieno mikroorganizmo, įskaitant </w:t>
      </w:r>
      <w:r w:rsidRPr="005454C8">
        <w:rPr>
          <w:rFonts w:eastAsia="TimesNewRoman,Italic"/>
          <w:i/>
        </w:rPr>
        <w:t xml:space="preserve">Scedosporium </w:t>
      </w:r>
      <w:r w:rsidRPr="005454C8">
        <w:rPr>
          <w:rFonts w:eastAsia="TimesNewRoman,Italic"/>
        </w:rPr>
        <w:t>rūšių, sukelta infekcine liga.</w:t>
      </w:r>
    </w:p>
    <w:p w14:paraId="375BD2C2" w14:textId="77777777" w:rsidR="00041CC8" w:rsidRPr="005454C8" w:rsidRDefault="00041CC8" w:rsidP="00041CC8">
      <w:pPr>
        <w:autoSpaceDE w:val="0"/>
        <w:autoSpaceDN w:val="0"/>
        <w:adjustRightInd w:val="0"/>
        <w:rPr>
          <w:rFonts w:eastAsia="TimesNewRoman,Italic"/>
        </w:rPr>
      </w:pPr>
    </w:p>
    <w:p w14:paraId="58B13BF0" w14:textId="77777777" w:rsidR="00041CC8" w:rsidRPr="005454C8" w:rsidRDefault="00041CC8" w:rsidP="00041CC8">
      <w:pPr>
        <w:autoSpaceDE w:val="0"/>
        <w:autoSpaceDN w:val="0"/>
        <w:adjustRightInd w:val="0"/>
        <w:rPr>
          <w:rFonts w:eastAsia="TimesNewRoman,Italic"/>
        </w:rPr>
      </w:pPr>
      <w:r w:rsidRPr="005454C8">
        <w:rPr>
          <w:rFonts w:eastAsia="TimesNewRoman,Italic"/>
          <w:i/>
        </w:rPr>
        <w:t xml:space="preserve">Fusarium </w:t>
      </w:r>
      <w:r w:rsidRPr="005454C8">
        <w:rPr>
          <w:rFonts w:eastAsia="TimesNewRoman,Italic"/>
        </w:rPr>
        <w:t xml:space="preserve">rūšys: geras gydomasis vorikonazolo poveikis pasireiškė 7 pacientams (3 išgijo visiškai, 4 iš dalies) iš 17. Iš šių 7 ligonių 3 sirgo akių, 1 – sinusų ir 3 - išsėtine grybelių sukelta infekcine liga. Be to, keturi ligoniai, sergantys </w:t>
      </w:r>
      <w:r w:rsidRPr="005454C8">
        <w:rPr>
          <w:rFonts w:eastAsia="TimesNewRoman,Italic"/>
          <w:i/>
        </w:rPr>
        <w:t xml:space="preserve">Fusarium </w:t>
      </w:r>
      <w:r w:rsidRPr="005454C8">
        <w:rPr>
          <w:rFonts w:eastAsia="TimesNewRoman,Italic"/>
        </w:rPr>
        <w:t>rūšių sukelta liga, sirgo ir kitokių mikroorganizmų sukelta infekcine liga. 2 iš jų gydymas buvo sėkmingas.</w:t>
      </w:r>
    </w:p>
    <w:p w14:paraId="22554067" w14:textId="77777777" w:rsidR="00041CC8" w:rsidRPr="005454C8" w:rsidRDefault="00041CC8" w:rsidP="00041CC8">
      <w:pPr>
        <w:autoSpaceDE w:val="0"/>
        <w:autoSpaceDN w:val="0"/>
        <w:adjustRightInd w:val="0"/>
        <w:rPr>
          <w:rFonts w:eastAsia="TimesNewRoman,Italic"/>
        </w:rPr>
      </w:pPr>
    </w:p>
    <w:p w14:paraId="3B947D92" w14:textId="77777777" w:rsidR="00041CC8" w:rsidRPr="005454C8" w:rsidRDefault="00041CC8" w:rsidP="00041CC8">
      <w:pPr>
        <w:autoSpaceDE w:val="0"/>
        <w:autoSpaceDN w:val="0"/>
        <w:adjustRightInd w:val="0"/>
        <w:rPr>
          <w:rFonts w:eastAsia="TimesNewRoman,Italic"/>
        </w:rPr>
      </w:pPr>
      <w:r w:rsidRPr="005454C8">
        <w:rPr>
          <w:rFonts w:eastAsia="TimesNewRoman,Italic"/>
        </w:rPr>
        <w:t>Dauguma pacientų, vartojusių vorikonazolo aukščiau aprašytoms retoms infekcinėms ligoms gydyti,</w:t>
      </w:r>
      <w:r w:rsidRPr="005454C8" w:rsidDel="000650D9">
        <w:rPr>
          <w:rFonts w:eastAsia="TimesNewRoman,Italic"/>
        </w:rPr>
        <w:t xml:space="preserve"> </w:t>
      </w:r>
      <w:r w:rsidRPr="005454C8">
        <w:rPr>
          <w:rFonts w:eastAsia="TimesNewRoman,Italic"/>
        </w:rPr>
        <w:t>anksčiau buvo gydyti kitokiais vaistiniais preparatais nuo grybelių. Ligoniai šių</w:t>
      </w:r>
      <w:r w:rsidRPr="009A1B7F">
        <w:rPr>
          <w:rFonts w:eastAsia="TimesNewRoman,Italic"/>
          <w:szCs w:val="22"/>
          <w:lang w:eastAsia="en-US"/>
        </w:rPr>
        <w:t xml:space="preserve"> vaistinių</w:t>
      </w:r>
      <w:r w:rsidRPr="005454C8">
        <w:rPr>
          <w:rFonts w:eastAsia="TimesNewRoman,Italic"/>
        </w:rPr>
        <w:t xml:space="preserve"> preparatų netoleravo arba infekcija jų poveikiui buvo atspari.</w:t>
      </w:r>
    </w:p>
    <w:p w14:paraId="4AA20ED3" w14:textId="77777777" w:rsidR="00041CC8" w:rsidRPr="005454C8" w:rsidRDefault="00041CC8" w:rsidP="00041CC8">
      <w:pPr>
        <w:autoSpaceDE w:val="0"/>
        <w:autoSpaceDN w:val="0"/>
        <w:adjustRightInd w:val="0"/>
        <w:rPr>
          <w:rFonts w:eastAsia="TimesNewRoman,Italic"/>
        </w:rPr>
      </w:pPr>
    </w:p>
    <w:p w14:paraId="461F84C0" w14:textId="77777777" w:rsidR="00041CC8" w:rsidRPr="005454C8" w:rsidRDefault="00041CC8" w:rsidP="00041CC8">
      <w:pPr>
        <w:autoSpaceDE w:val="0"/>
        <w:autoSpaceDN w:val="0"/>
        <w:adjustRightInd w:val="0"/>
        <w:rPr>
          <w:rFonts w:eastAsia="TimesNewRoman,Italic"/>
          <w:u w:val="single"/>
        </w:rPr>
      </w:pPr>
      <w:r w:rsidRPr="005454C8">
        <w:rPr>
          <w:rFonts w:eastAsia="TimesNewRoman,Italic"/>
          <w:u w:val="single"/>
        </w:rPr>
        <w:t>Pirminė invazinių grybelinių infekcijų profilaktika – veiksmingumas pacientams, kuriems buvo atlikta hemopoezinių kamieninių ląstelių transplantacija be anksčiau nustatytos ar įtariamos invazinės grybelių sukeltos infekcinės ligos</w:t>
      </w:r>
    </w:p>
    <w:p w14:paraId="42349A42" w14:textId="77777777" w:rsidR="00041CC8" w:rsidRPr="005454C8" w:rsidRDefault="00041CC8" w:rsidP="00041CC8">
      <w:pPr>
        <w:autoSpaceDE w:val="0"/>
        <w:autoSpaceDN w:val="0"/>
        <w:adjustRightInd w:val="0"/>
        <w:rPr>
          <w:rFonts w:eastAsia="TimesNewRoman,Italic"/>
        </w:rPr>
      </w:pPr>
      <w:r w:rsidRPr="005454C8">
        <w:rPr>
          <w:rFonts w:eastAsia="TimesNewRoman,Italic"/>
        </w:rPr>
        <w:lastRenderedPageBreak/>
        <w:t>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hemopoezinių kamieninių ląstelių transplantacija, iš jų 45 % pacientų sirgo ūmine mieloleukemija. 58 %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paros, o itrakonazolu – 68 paros MITT grupėje.</w:t>
      </w:r>
    </w:p>
    <w:p w14:paraId="770EAE04" w14:textId="77777777" w:rsidR="00041CC8" w:rsidRPr="005454C8" w:rsidRDefault="00041CC8" w:rsidP="00041CC8">
      <w:pPr>
        <w:autoSpaceDE w:val="0"/>
        <w:autoSpaceDN w:val="0"/>
        <w:adjustRightInd w:val="0"/>
        <w:rPr>
          <w:rFonts w:eastAsia="TimesNewRoman,Italic"/>
        </w:rPr>
      </w:pPr>
    </w:p>
    <w:p w14:paraId="0936B9B5" w14:textId="77777777" w:rsidR="00041CC8" w:rsidRPr="005454C8" w:rsidRDefault="00041CC8" w:rsidP="00041CC8">
      <w:pPr>
        <w:autoSpaceDE w:val="0"/>
        <w:autoSpaceDN w:val="0"/>
        <w:adjustRightInd w:val="0"/>
        <w:rPr>
          <w:rFonts w:eastAsia="TimesNewRoman,Italic"/>
        </w:rPr>
      </w:pPr>
      <w:r w:rsidRPr="005454C8">
        <w:rPr>
          <w:rFonts w:eastAsia="TimesNewRoman,Italic"/>
        </w:rPr>
        <w:t>Sėkmės lygis ir kiti antriniai vertinimo kriterijai yra pateikti toliau lentelėje.</w:t>
      </w:r>
    </w:p>
    <w:p w14:paraId="137EF7C0" w14:textId="77777777" w:rsidR="00041CC8" w:rsidRPr="005454C8" w:rsidRDefault="00041CC8" w:rsidP="00041CC8">
      <w:pPr>
        <w:autoSpaceDE w:val="0"/>
        <w:autoSpaceDN w:val="0"/>
        <w:adjustRightInd w:val="0"/>
        <w:rPr>
          <w:rFonts w:eastAsia="TimesNewRoman,Italic"/>
        </w:rPr>
      </w:pPr>
    </w:p>
    <w:tbl>
      <w:tblPr>
        <w:tblW w:w="9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2"/>
        <w:gridCol w:w="1842"/>
        <w:gridCol w:w="2553"/>
        <w:gridCol w:w="1103"/>
      </w:tblGrid>
      <w:tr w:rsidR="00041CC8" w:rsidRPr="009A1B7F" w14:paraId="50752ED5" w14:textId="77777777" w:rsidTr="00A136A1">
        <w:tc>
          <w:tcPr>
            <w:tcW w:w="2093" w:type="dxa"/>
          </w:tcPr>
          <w:p w14:paraId="08F32D90" w14:textId="77777777" w:rsidR="00041CC8" w:rsidRPr="005454C8" w:rsidRDefault="00041CC8" w:rsidP="00A136A1">
            <w:pPr>
              <w:widowControl w:val="0"/>
              <w:autoSpaceDE w:val="0"/>
              <w:autoSpaceDN w:val="0"/>
              <w:adjustRightInd w:val="0"/>
            </w:pPr>
            <w:r w:rsidRPr="00D46A2B">
              <w:rPr>
                <w:bCs/>
                <w:i/>
                <w:iCs/>
              </w:rPr>
              <w:t>Tyrimo vertinimo kriterijai</w:t>
            </w:r>
          </w:p>
        </w:tc>
        <w:tc>
          <w:tcPr>
            <w:tcW w:w="1842" w:type="dxa"/>
          </w:tcPr>
          <w:p w14:paraId="74279240" w14:textId="77777777" w:rsidR="00041CC8" w:rsidRPr="006A2CC1" w:rsidRDefault="00041CC8" w:rsidP="00A136A1">
            <w:pPr>
              <w:widowControl w:val="0"/>
              <w:autoSpaceDE w:val="0"/>
              <w:autoSpaceDN w:val="0"/>
              <w:adjustRightInd w:val="0"/>
              <w:rPr>
                <w:bCs/>
                <w:i/>
                <w:iCs/>
              </w:rPr>
            </w:pPr>
            <w:r w:rsidRPr="006A2CC1">
              <w:rPr>
                <w:bCs/>
                <w:i/>
                <w:iCs/>
              </w:rPr>
              <w:t>Vorikonazolas</w:t>
            </w:r>
          </w:p>
          <w:p w14:paraId="2D229025" w14:textId="77777777" w:rsidR="00041CC8" w:rsidRPr="006A2CC1" w:rsidRDefault="00041CC8" w:rsidP="00A136A1">
            <w:pPr>
              <w:widowControl w:val="0"/>
              <w:autoSpaceDE w:val="0"/>
              <w:autoSpaceDN w:val="0"/>
              <w:adjustRightInd w:val="0"/>
              <w:rPr>
                <w:bCs/>
                <w:i/>
                <w:iCs/>
              </w:rPr>
            </w:pPr>
            <w:r w:rsidRPr="006A2CC1">
              <w:rPr>
                <w:bCs/>
                <w:i/>
                <w:iCs/>
              </w:rPr>
              <w:t>N=224</w:t>
            </w:r>
          </w:p>
          <w:p w14:paraId="2200AEB0" w14:textId="77777777" w:rsidR="00041CC8" w:rsidRPr="005454C8" w:rsidRDefault="00041CC8" w:rsidP="00A136A1">
            <w:pPr>
              <w:widowControl w:val="0"/>
              <w:autoSpaceDE w:val="0"/>
              <w:autoSpaceDN w:val="0"/>
              <w:adjustRightInd w:val="0"/>
            </w:pPr>
          </w:p>
        </w:tc>
        <w:tc>
          <w:tcPr>
            <w:tcW w:w="1842" w:type="dxa"/>
          </w:tcPr>
          <w:p w14:paraId="0F3A6836" w14:textId="77777777" w:rsidR="00041CC8" w:rsidRPr="00D1122B" w:rsidRDefault="00041CC8" w:rsidP="00A136A1">
            <w:pPr>
              <w:widowControl w:val="0"/>
              <w:autoSpaceDE w:val="0"/>
              <w:autoSpaceDN w:val="0"/>
              <w:adjustRightInd w:val="0"/>
              <w:rPr>
                <w:bCs/>
                <w:i/>
                <w:iCs/>
              </w:rPr>
            </w:pPr>
            <w:r w:rsidRPr="00D1122B">
              <w:rPr>
                <w:bCs/>
                <w:i/>
                <w:iCs/>
              </w:rPr>
              <w:t>Itrakonazolas</w:t>
            </w:r>
          </w:p>
          <w:p w14:paraId="4EBCA407" w14:textId="77777777" w:rsidR="00041CC8" w:rsidRPr="00D1122B" w:rsidRDefault="00041CC8" w:rsidP="00A136A1">
            <w:pPr>
              <w:widowControl w:val="0"/>
              <w:autoSpaceDE w:val="0"/>
              <w:autoSpaceDN w:val="0"/>
              <w:adjustRightInd w:val="0"/>
              <w:rPr>
                <w:bCs/>
                <w:i/>
                <w:iCs/>
              </w:rPr>
            </w:pPr>
            <w:r w:rsidRPr="00D1122B">
              <w:rPr>
                <w:bCs/>
                <w:i/>
                <w:iCs/>
              </w:rPr>
              <w:t>N=241</w:t>
            </w:r>
          </w:p>
          <w:p w14:paraId="35ED742A" w14:textId="77777777" w:rsidR="00041CC8" w:rsidRPr="005454C8" w:rsidRDefault="00041CC8" w:rsidP="00A136A1">
            <w:pPr>
              <w:widowControl w:val="0"/>
              <w:autoSpaceDE w:val="0"/>
              <w:autoSpaceDN w:val="0"/>
              <w:adjustRightInd w:val="0"/>
            </w:pPr>
          </w:p>
        </w:tc>
        <w:tc>
          <w:tcPr>
            <w:tcW w:w="2553" w:type="dxa"/>
          </w:tcPr>
          <w:p w14:paraId="718E3E01" w14:textId="77777777" w:rsidR="00041CC8" w:rsidRPr="005454C8" w:rsidRDefault="00041CC8" w:rsidP="00A136A1">
            <w:pPr>
              <w:widowControl w:val="0"/>
              <w:autoSpaceDE w:val="0"/>
              <w:autoSpaceDN w:val="0"/>
              <w:adjustRightInd w:val="0"/>
            </w:pPr>
            <w:r w:rsidRPr="007F53DA">
              <w:rPr>
                <w:rFonts w:eastAsia="Calibri"/>
                <w:bCs/>
                <w:i/>
                <w:iCs/>
              </w:rPr>
              <w:t xml:space="preserve">Proporcijų skirtumas ir 95 % pasikliovimo intervalas </w:t>
            </w:r>
            <w:r w:rsidRPr="007F53DA">
              <w:rPr>
                <w:bCs/>
                <w:i/>
                <w:iCs/>
              </w:rPr>
              <w:t>(PI)</w:t>
            </w:r>
          </w:p>
        </w:tc>
        <w:tc>
          <w:tcPr>
            <w:tcW w:w="1103" w:type="dxa"/>
          </w:tcPr>
          <w:p w14:paraId="78EDA8E4" w14:textId="77777777" w:rsidR="00041CC8" w:rsidRPr="005454C8" w:rsidRDefault="00041CC8" w:rsidP="00A136A1">
            <w:pPr>
              <w:widowControl w:val="0"/>
              <w:autoSpaceDE w:val="0"/>
              <w:autoSpaceDN w:val="0"/>
              <w:adjustRightInd w:val="0"/>
            </w:pPr>
            <w:r w:rsidRPr="005D59CF">
              <w:rPr>
                <w:bCs/>
                <w:i/>
                <w:iCs/>
              </w:rPr>
              <w:t>P-Vertė</w:t>
            </w:r>
          </w:p>
        </w:tc>
      </w:tr>
      <w:tr w:rsidR="00041CC8" w:rsidRPr="009A1B7F" w14:paraId="7FBFBE48" w14:textId="77777777" w:rsidTr="00A136A1">
        <w:tc>
          <w:tcPr>
            <w:tcW w:w="2093" w:type="dxa"/>
          </w:tcPr>
          <w:p w14:paraId="3A9292E5" w14:textId="77777777" w:rsidR="00041CC8" w:rsidRPr="005454C8" w:rsidRDefault="00041CC8" w:rsidP="00A136A1">
            <w:pPr>
              <w:widowControl w:val="0"/>
              <w:autoSpaceDE w:val="0"/>
              <w:autoSpaceDN w:val="0"/>
              <w:adjustRightInd w:val="0"/>
            </w:pPr>
            <w:r w:rsidRPr="005454C8">
              <w:t>Sėkmė 180* parą</w:t>
            </w:r>
          </w:p>
        </w:tc>
        <w:tc>
          <w:tcPr>
            <w:tcW w:w="1842" w:type="dxa"/>
          </w:tcPr>
          <w:p w14:paraId="241A3C27" w14:textId="77777777" w:rsidR="00041CC8" w:rsidRPr="005454C8" w:rsidRDefault="00041CC8" w:rsidP="00A136A1">
            <w:pPr>
              <w:widowControl w:val="0"/>
              <w:autoSpaceDE w:val="0"/>
              <w:autoSpaceDN w:val="0"/>
              <w:adjustRightInd w:val="0"/>
            </w:pPr>
            <w:r w:rsidRPr="005454C8">
              <w:t>109 (48,7 %)</w:t>
            </w:r>
          </w:p>
        </w:tc>
        <w:tc>
          <w:tcPr>
            <w:tcW w:w="1842" w:type="dxa"/>
          </w:tcPr>
          <w:p w14:paraId="1D82594B" w14:textId="77777777" w:rsidR="00041CC8" w:rsidRPr="005454C8" w:rsidRDefault="00041CC8" w:rsidP="00A136A1">
            <w:pPr>
              <w:widowControl w:val="0"/>
              <w:autoSpaceDE w:val="0"/>
              <w:autoSpaceDN w:val="0"/>
              <w:adjustRightInd w:val="0"/>
            </w:pPr>
            <w:r w:rsidRPr="005454C8">
              <w:t>80 (33,2 %)</w:t>
            </w:r>
          </w:p>
        </w:tc>
        <w:tc>
          <w:tcPr>
            <w:tcW w:w="2553" w:type="dxa"/>
          </w:tcPr>
          <w:p w14:paraId="2CA863C5" w14:textId="77777777" w:rsidR="00041CC8" w:rsidRPr="005454C8" w:rsidRDefault="00041CC8" w:rsidP="00A136A1">
            <w:pPr>
              <w:widowControl w:val="0"/>
              <w:autoSpaceDE w:val="0"/>
              <w:autoSpaceDN w:val="0"/>
              <w:adjustRightInd w:val="0"/>
            </w:pPr>
            <w:r w:rsidRPr="005454C8">
              <w:t>16,4% (7,7 %, 25,1 %)**</w:t>
            </w:r>
          </w:p>
        </w:tc>
        <w:tc>
          <w:tcPr>
            <w:tcW w:w="1103" w:type="dxa"/>
          </w:tcPr>
          <w:p w14:paraId="53084805" w14:textId="77777777" w:rsidR="00041CC8" w:rsidRPr="005454C8" w:rsidRDefault="00041CC8" w:rsidP="00A136A1">
            <w:pPr>
              <w:widowControl w:val="0"/>
              <w:autoSpaceDE w:val="0"/>
              <w:autoSpaceDN w:val="0"/>
              <w:adjustRightInd w:val="0"/>
            </w:pPr>
            <w:r w:rsidRPr="005454C8">
              <w:t>0,0002**</w:t>
            </w:r>
          </w:p>
        </w:tc>
      </w:tr>
      <w:tr w:rsidR="00041CC8" w:rsidRPr="009A1B7F" w14:paraId="5674D246" w14:textId="77777777" w:rsidTr="00A136A1">
        <w:tc>
          <w:tcPr>
            <w:tcW w:w="2093" w:type="dxa"/>
          </w:tcPr>
          <w:p w14:paraId="79F3C185" w14:textId="77777777" w:rsidR="00041CC8" w:rsidRPr="005454C8" w:rsidRDefault="00041CC8" w:rsidP="00A136A1">
            <w:pPr>
              <w:widowControl w:val="0"/>
              <w:autoSpaceDE w:val="0"/>
              <w:autoSpaceDN w:val="0"/>
              <w:adjustRightInd w:val="0"/>
            </w:pPr>
            <w:r w:rsidRPr="005454C8">
              <w:t>Sėkmė 100 parą</w:t>
            </w:r>
          </w:p>
        </w:tc>
        <w:tc>
          <w:tcPr>
            <w:tcW w:w="1842" w:type="dxa"/>
          </w:tcPr>
          <w:p w14:paraId="175404C7" w14:textId="77777777" w:rsidR="00041CC8" w:rsidRPr="005454C8" w:rsidRDefault="00041CC8" w:rsidP="00A136A1">
            <w:pPr>
              <w:widowControl w:val="0"/>
              <w:autoSpaceDE w:val="0"/>
              <w:autoSpaceDN w:val="0"/>
              <w:adjustRightInd w:val="0"/>
            </w:pPr>
            <w:r w:rsidRPr="005454C8">
              <w:t>121 (54,0 %)</w:t>
            </w:r>
          </w:p>
        </w:tc>
        <w:tc>
          <w:tcPr>
            <w:tcW w:w="1842" w:type="dxa"/>
          </w:tcPr>
          <w:p w14:paraId="0D480AB5" w14:textId="77777777" w:rsidR="00041CC8" w:rsidRPr="005454C8" w:rsidRDefault="00041CC8" w:rsidP="00A136A1">
            <w:pPr>
              <w:widowControl w:val="0"/>
              <w:autoSpaceDE w:val="0"/>
              <w:autoSpaceDN w:val="0"/>
              <w:adjustRightInd w:val="0"/>
            </w:pPr>
            <w:r w:rsidRPr="005454C8">
              <w:t>96 (39,8 %)</w:t>
            </w:r>
          </w:p>
        </w:tc>
        <w:tc>
          <w:tcPr>
            <w:tcW w:w="2553" w:type="dxa"/>
          </w:tcPr>
          <w:p w14:paraId="1FCF6F03" w14:textId="77777777" w:rsidR="00041CC8" w:rsidRPr="005454C8" w:rsidRDefault="00041CC8" w:rsidP="00A136A1">
            <w:pPr>
              <w:widowControl w:val="0"/>
              <w:autoSpaceDE w:val="0"/>
              <w:autoSpaceDN w:val="0"/>
              <w:adjustRightInd w:val="0"/>
            </w:pPr>
            <w:r w:rsidRPr="005454C8">
              <w:t>15,4% (6,6%, 24,2 %)**</w:t>
            </w:r>
          </w:p>
        </w:tc>
        <w:tc>
          <w:tcPr>
            <w:tcW w:w="1103" w:type="dxa"/>
          </w:tcPr>
          <w:p w14:paraId="73E294D6" w14:textId="77777777" w:rsidR="00041CC8" w:rsidRPr="005454C8" w:rsidRDefault="00041CC8" w:rsidP="00A136A1">
            <w:pPr>
              <w:widowControl w:val="0"/>
              <w:autoSpaceDE w:val="0"/>
              <w:autoSpaceDN w:val="0"/>
              <w:adjustRightInd w:val="0"/>
            </w:pPr>
            <w:r w:rsidRPr="005454C8">
              <w:t>0,0006**</w:t>
            </w:r>
          </w:p>
        </w:tc>
      </w:tr>
      <w:tr w:rsidR="00041CC8" w:rsidRPr="009A1B7F" w14:paraId="7D82DF5E" w14:textId="77777777" w:rsidTr="00A136A1">
        <w:tc>
          <w:tcPr>
            <w:tcW w:w="2093" w:type="dxa"/>
          </w:tcPr>
          <w:p w14:paraId="5AB39D12" w14:textId="77777777" w:rsidR="00041CC8" w:rsidRPr="005454C8" w:rsidRDefault="00041CC8" w:rsidP="00A136A1">
            <w:pPr>
              <w:autoSpaceDE w:val="0"/>
              <w:autoSpaceDN w:val="0"/>
              <w:adjustRightInd w:val="0"/>
            </w:pPr>
            <w:r w:rsidRPr="005454C8">
              <w:rPr>
                <w:rFonts w:eastAsia="Calibri"/>
              </w:rPr>
              <w:t xml:space="preserve">Atlikta bent 100 parų profilaktinio gydymo tiriamuoju preparatu  </w:t>
            </w:r>
          </w:p>
          <w:p w14:paraId="379DACFB" w14:textId="77777777" w:rsidR="00041CC8" w:rsidRPr="005454C8" w:rsidRDefault="00041CC8" w:rsidP="00A136A1">
            <w:pPr>
              <w:widowControl w:val="0"/>
              <w:autoSpaceDE w:val="0"/>
              <w:autoSpaceDN w:val="0"/>
              <w:adjustRightInd w:val="0"/>
            </w:pPr>
          </w:p>
        </w:tc>
        <w:tc>
          <w:tcPr>
            <w:tcW w:w="1842" w:type="dxa"/>
          </w:tcPr>
          <w:p w14:paraId="3701F32C" w14:textId="77777777" w:rsidR="00041CC8" w:rsidRPr="005454C8" w:rsidRDefault="00041CC8" w:rsidP="00A136A1">
            <w:pPr>
              <w:widowControl w:val="0"/>
              <w:autoSpaceDE w:val="0"/>
              <w:autoSpaceDN w:val="0"/>
              <w:adjustRightInd w:val="0"/>
            </w:pPr>
            <w:r w:rsidRPr="005454C8">
              <w:t>120 (53,6 %)</w:t>
            </w:r>
          </w:p>
          <w:p w14:paraId="60DABE97" w14:textId="77777777" w:rsidR="00041CC8" w:rsidRPr="005454C8" w:rsidRDefault="00041CC8" w:rsidP="00A136A1">
            <w:pPr>
              <w:widowControl w:val="0"/>
              <w:autoSpaceDE w:val="0"/>
              <w:autoSpaceDN w:val="0"/>
              <w:adjustRightInd w:val="0"/>
            </w:pPr>
          </w:p>
        </w:tc>
        <w:tc>
          <w:tcPr>
            <w:tcW w:w="1842" w:type="dxa"/>
          </w:tcPr>
          <w:p w14:paraId="42CE9E5E" w14:textId="77777777" w:rsidR="00041CC8" w:rsidRPr="005454C8" w:rsidRDefault="00041CC8" w:rsidP="00A136A1">
            <w:pPr>
              <w:widowControl w:val="0"/>
              <w:autoSpaceDE w:val="0"/>
              <w:autoSpaceDN w:val="0"/>
              <w:adjustRightInd w:val="0"/>
            </w:pPr>
            <w:r w:rsidRPr="005454C8">
              <w:t>94 (39,0 %)</w:t>
            </w:r>
          </w:p>
        </w:tc>
        <w:tc>
          <w:tcPr>
            <w:tcW w:w="2553" w:type="dxa"/>
          </w:tcPr>
          <w:p w14:paraId="0B9E4B20" w14:textId="77777777" w:rsidR="00041CC8" w:rsidRPr="005454C8" w:rsidRDefault="00041CC8" w:rsidP="00A136A1">
            <w:pPr>
              <w:widowControl w:val="0"/>
              <w:autoSpaceDE w:val="0"/>
              <w:autoSpaceDN w:val="0"/>
              <w:adjustRightInd w:val="0"/>
            </w:pPr>
            <w:r w:rsidRPr="005454C8">
              <w:t>14,6% (5,6%, 23,5 %)</w:t>
            </w:r>
          </w:p>
        </w:tc>
        <w:tc>
          <w:tcPr>
            <w:tcW w:w="1103" w:type="dxa"/>
          </w:tcPr>
          <w:p w14:paraId="52B4CF55" w14:textId="77777777" w:rsidR="00041CC8" w:rsidRPr="005454C8" w:rsidRDefault="00041CC8" w:rsidP="00A136A1">
            <w:pPr>
              <w:widowControl w:val="0"/>
              <w:autoSpaceDE w:val="0"/>
              <w:autoSpaceDN w:val="0"/>
              <w:adjustRightInd w:val="0"/>
            </w:pPr>
            <w:r w:rsidRPr="005454C8">
              <w:t>0,0015</w:t>
            </w:r>
          </w:p>
        </w:tc>
      </w:tr>
      <w:tr w:rsidR="00041CC8" w:rsidRPr="009A1B7F" w14:paraId="1723FF39" w14:textId="77777777" w:rsidTr="00A136A1">
        <w:tc>
          <w:tcPr>
            <w:tcW w:w="2093" w:type="dxa"/>
          </w:tcPr>
          <w:p w14:paraId="20C02425" w14:textId="77777777" w:rsidR="00041CC8" w:rsidRPr="005454C8" w:rsidRDefault="00041CC8" w:rsidP="00A136A1">
            <w:pPr>
              <w:widowControl w:val="0"/>
              <w:autoSpaceDE w:val="0"/>
              <w:autoSpaceDN w:val="0"/>
              <w:adjustRightInd w:val="0"/>
            </w:pPr>
            <w:r w:rsidRPr="005454C8">
              <w:t>Išgyveno iki 180 paros</w:t>
            </w:r>
          </w:p>
        </w:tc>
        <w:tc>
          <w:tcPr>
            <w:tcW w:w="1842" w:type="dxa"/>
          </w:tcPr>
          <w:p w14:paraId="063750D3" w14:textId="77777777" w:rsidR="00041CC8" w:rsidRPr="005454C8" w:rsidRDefault="00041CC8" w:rsidP="00A136A1">
            <w:pPr>
              <w:widowControl w:val="0"/>
              <w:autoSpaceDE w:val="0"/>
              <w:autoSpaceDN w:val="0"/>
              <w:adjustRightInd w:val="0"/>
            </w:pPr>
            <w:r w:rsidRPr="005454C8">
              <w:t>184 (82,1 %)</w:t>
            </w:r>
          </w:p>
        </w:tc>
        <w:tc>
          <w:tcPr>
            <w:tcW w:w="1842" w:type="dxa"/>
          </w:tcPr>
          <w:p w14:paraId="132456AB" w14:textId="77777777" w:rsidR="00041CC8" w:rsidRPr="005454C8" w:rsidRDefault="00041CC8" w:rsidP="00A136A1">
            <w:pPr>
              <w:widowControl w:val="0"/>
              <w:autoSpaceDE w:val="0"/>
              <w:autoSpaceDN w:val="0"/>
              <w:adjustRightInd w:val="0"/>
            </w:pPr>
            <w:r w:rsidRPr="005454C8">
              <w:t>197 (81,7 %)</w:t>
            </w:r>
          </w:p>
        </w:tc>
        <w:tc>
          <w:tcPr>
            <w:tcW w:w="2553" w:type="dxa"/>
          </w:tcPr>
          <w:p w14:paraId="741D9172" w14:textId="77777777" w:rsidR="00041CC8" w:rsidRPr="005454C8" w:rsidRDefault="00041CC8" w:rsidP="00A136A1">
            <w:pPr>
              <w:widowControl w:val="0"/>
              <w:autoSpaceDE w:val="0"/>
              <w:autoSpaceDN w:val="0"/>
              <w:adjustRightInd w:val="0"/>
            </w:pPr>
            <w:r w:rsidRPr="005454C8">
              <w:t>0,4 % (-6.6 %, 7,4%)</w:t>
            </w:r>
          </w:p>
        </w:tc>
        <w:tc>
          <w:tcPr>
            <w:tcW w:w="1103" w:type="dxa"/>
          </w:tcPr>
          <w:p w14:paraId="2D61AC84" w14:textId="77777777" w:rsidR="00041CC8" w:rsidRPr="005454C8" w:rsidRDefault="00041CC8" w:rsidP="00A136A1">
            <w:pPr>
              <w:widowControl w:val="0"/>
              <w:autoSpaceDE w:val="0"/>
              <w:autoSpaceDN w:val="0"/>
              <w:adjustRightInd w:val="0"/>
            </w:pPr>
            <w:r w:rsidRPr="005454C8">
              <w:t>0,9107</w:t>
            </w:r>
          </w:p>
        </w:tc>
      </w:tr>
      <w:tr w:rsidR="00041CC8" w:rsidRPr="009A1B7F" w14:paraId="2C9CAB6F" w14:textId="77777777" w:rsidTr="00A136A1">
        <w:tc>
          <w:tcPr>
            <w:tcW w:w="2093" w:type="dxa"/>
          </w:tcPr>
          <w:p w14:paraId="5B02FB2E" w14:textId="77777777" w:rsidR="00041CC8" w:rsidRPr="005454C8" w:rsidRDefault="00041CC8" w:rsidP="00A136A1">
            <w:pPr>
              <w:widowControl w:val="0"/>
              <w:autoSpaceDE w:val="0"/>
              <w:autoSpaceDN w:val="0"/>
              <w:adjustRightInd w:val="0"/>
            </w:pPr>
            <w:r w:rsidRPr="005454C8">
              <w:rPr>
                <w:rFonts w:eastAsia="Calibri"/>
              </w:rPr>
              <w:t xml:space="preserve">Nustatyta arba įtariama invazinė grybelių sukelta infekcinė liga iki 180 paros </w:t>
            </w:r>
          </w:p>
        </w:tc>
        <w:tc>
          <w:tcPr>
            <w:tcW w:w="1842" w:type="dxa"/>
          </w:tcPr>
          <w:p w14:paraId="1C6B0CDF" w14:textId="77777777" w:rsidR="00041CC8" w:rsidRPr="005454C8" w:rsidRDefault="00041CC8" w:rsidP="00A136A1">
            <w:pPr>
              <w:widowControl w:val="0"/>
              <w:autoSpaceDE w:val="0"/>
              <w:autoSpaceDN w:val="0"/>
              <w:adjustRightInd w:val="0"/>
            </w:pPr>
            <w:r w:rsidRPr="005454C8">
              <w:t>3 (1,3 %)</w:t>
            </w:r>
          </w:p>
          <w:p w14:paraId="51D995D6" w14:textId="77777777" w:rsidR="00041CC8" w:rsidRPr="005454C8" w:rsidRDefault="00041CC8" w:rsidP="00A136A1">
            <w:pPr>
              <w:widowControl w:val="0"/>
              <w:autoSpaceDE w:val="0"/>
              <w:autoSpaceDN w:val="0"/>
              <w:adjustRightInd w:val="0"/>
            </w:pPr>
          </w:p>
        </w:tc>
        <w:tc>
          <w:tcPr>
            <w:tcW w:w="1842" w:type="dxa"/>
          </w:tcPr>
          <w:p w14:paraId="23560FE1" w14:textId="77777777" w:rsidR="00041CC8" w:rsidRPr="005454C8" w:rsidRDefault="00041CC8" w:rsidP="00A136A1">
            <w:pPr>
              <w:widowControl w:val="0"/>
              <w:autoSpaceDE w:val="0"/>
              <w:autoSpaceDN w:val="0"/>
              <w:adjustRightInd w:val="0"/>
            </w:pPr>
            <w:r w:rsidRPr="005454C8">
              <w:t>5 (2,1 %)</w:t>
            </w:r>
          </w:p>
        </w:tc>
        <w:tc>
          <w:tcPr>
            <w:tcW w:w="2553" w:type="dxa"/>
          </w:tcPr>
          <w:p w14:paraId="37ABFC1C" w14:textId="77777777" w:rsidR="00041CC8" w:rsidRPr="005454C8" w:rsidRDefault="00041CC8" w:rsidP="00A136A1">
            <w:pPr>
              <w:widowControl w:val="0"/>
              <w:autoSpaceDE w:val="0"/>
              <w:autoSpaceDN w:val="0"/>
              <w:adjustRightInd w:val="0"/>
            </w:pPr>
            <w:r w:rsidRPr="005454C8">
              <w:t>-0.7 % (-3.1 %, 1,6 %)</w:t>
            </w:r>
          </w:p>
        </w:tc>
        <w:tc>
          <w:tcPr>
            <w:tcW w:w="1103" w:type="dxa"/>
          </w:tcPr>
          <w:p w14:paraId="5BF3A20D" w14:textId="77777777" w:rsidR="00041CC8" w:rsidRPr="005454C8" w:rsidRDefault="00041CC8" w:rsidP="00A136A1">
            <w:pPr>
              <w:widowControl w:val="0"/>
              <w:autoSpaceDE w:val="0"/>
              <w:autoSpaceDN w:val="0"/>
              <w:adjustRightInd w:val="0"/>
            </w:pPr>
            <w:r w:rsidRPr="005454C8">
              <w:t>0.5390</w:t>
            </w:r>
          </w:p>
        </w:tc>
      </w:tr>
      <w:tr w:rsidR="00041CC8" w:rsidRPr="009A1B7F" w14:paraId="412B2F38" w14:textId="77777777" w:rsidTr="00A136A1">
        <w:tc>
          <w:tcPr>
            <w:tcW w:w="2093" w:type="dxa"/>
          </w:tcPr>
          <w:p w14:paraId="11698B95" w14:textId="77777777" w:rsidR="00041CC8" w:rsidRPr="005454C8" w:rsidRDefault="00041CC8" w:rsidP="00A136A1">
            <w:pPr>
              <w:widowControl w:val="0"/>
              <w:autoSpaceDE w:val="0"/>
              <w:autoSpaceDN w:val="0"/>
              <w:adjustRightInd w:val="0"/>
            </w:pPr>
            <w:r w:rsidRPr="005454C8">
              <w:rPr>
                <w:rFonts w:eastAsia="Calibri"/>
              </w:rPr>
              <w:t xml:space="preserve">Nustatyta arba įtariama invazinė grybelių sukelta infekcinė liga iki 100 paros </w:t>
            </w:r>
          </w:p>
        </w:tc>
        <w:tc>
          <w:tcPr>
            <w:tcW w:w="1842" w:type="dxa"/>
          </w:tcPr>
          <w:p w14:paraId="191C86D5" w14:textId="77777777" w:rsidR="00041CC8" w:rsidRPr="005454C8" w:rsidRDefault="00041CC8" w:rsidP="00A136A1">
            <w:pPr>
              <w:widowControl w:val="0"/>
              <w:autoSpaceDE w:val="0"/>
              <w:autoSpaceDN w:val="0"/>
              <w:adjustRightInd w:val="0"/>
            </w:pPr>
            <w:r w:rsidRPr="005454C8">
              <w:t>2 (0,9 %)</w:t>
            </w:r>
          </w:p>
          <w:p w14:paraId="766D5997" w14:textId="77777777" w:rsidR="00041CC8" w:rsidRPr="005454C8" w:rsidRDefault="00041CC8" w:rsidP="00A136A1">
            <w:pPr>
              <w:widowControl w:val="0"/>
              <w:autoSpaceDE w:val="0"/>
              <w:autoSpaceDN w:val="0"/>
              <w:adjustRightInd w:val="0"/>
            </w:pPr>
          </w:p>
        </w:tc>
        <w:tc>
          <w:tcPr>
            <w:tcW w:w="1842" w:type="dxa"/>
          </w:tcPr>
          <w:p w14:paraId="5C12E93E" w14:textId="77777777" w:rsidR="00041CC8" w:rsidRPr="005454C8" w:rsidRDefault="00041CC8" w:rsidP="00A136A1">
            <w:pPr>
              <w:widowControl w:val="0"/>
              <w:autoSpaceDE w:val="0"/>
              <w:autoSpaceDN w:val="0"/>
              <w:adjustRightInd w:val="0"/>
            </w:pPr>
            <w:r w:rsidRPr="005454C8">
              <w:t>4 (1,7 %)</w:t>
            </w:r>
          </w:p>
        </w:tc>
        <w:tc>
          <w:tcPr>
            <w:tcW w:w="2553" w:type="dxa"/>
          </w:tcPr>
          <w:p w14:paraId="5C8AE53C" w14:textId="77777777" w:rsidR="00041CC8" w:rsidRPr="005454C8" w:rsidRDefault="00041CC8" w:rsidP="00A136A1">
            <w:pPr>
              <w:widowControl w:val="0"/>
              <w:autoSpaceDE w:val="0"/>
              <w:autoSpaceDN w:val="0"/>
              <w:adjustRightInd w:val="0"/>
            </w:pPr>
            <w:r w:rsidRPr="005454C8">
              <w:t>-0,8 % (-2,8 %, 1.3%)</w:t>
            </w:r>
          </w:p>
        </w:tc>
        <w:tc>
          <w:tcPr>
            <w:tcW w:w="1103" w:type="dxa"/>
          </w:tcPr>
          <w:p w14:paraId="57891659" w14:textId="77777777" w:rsidR="00041CC8" w:rsidRPr="005454C8" w:rsidRDefault="00041CC8" w:rsidP="00A136A1">
            <w:pPr>
              <w:widowControl w:val="0"/>
              <w:autoSpaceDE w:val="0"/>
              <w:autoSpaceDN w:val="0"/>
              <w:adjustRightInd w:val="0"/>
            </w:pPr>
            <w:r w:rsidRPr="005454C8">
              <w:t>0,4589</w:t>
            </w:r>
          </w:p>
        </w:tc>
      </w:tr>
      <w:tr w:rsidR="00041CC8" w:rsidRPr="009A1B7F" w14:paraId="42960004" w14:textId="77777777" w:rsidTr="00A136A1">
        <w:tc>
          <w:tcPr>
            <w:tcW w:w="2093" w:type="dxa"/>
          </w:tcPr>
          <w:p w14:paraId="30BF5DD9" w14:textId="77777777" w:rsidR="00041CC8" w:rsidRPr="005454C8" w:rsidRDefault="00041CC8" w:rsidP="00A136A1">
            <w:pPr>
              <w:widowControl w:val="0"/>
              <w:autoSpaceDE w:val="0"/>
              <w:autoSpaceDN w:val="0"/>
              <w:adjustRightInd w:val="0"/>
            </w:pPr>
            <w:r w:rsidRPr="005454C8">
              <w:rPr>
                <w:rFonts w:eastAsia="Calibri"/>
              </w:rPr>
              <w:t xml:space="preserve">Nustatyta arba įtariama invazinė grybelių sukelta infekcinė liga vartojant tiriamąjį preparatą </w:t>
            </w:r>
          </w:p>
        </w:tc>
        <w:tc>
          <w:tcPr>
            <w:tcW w:w="1842" w:type="dxa"/>
          </w:tcPr>
          <w:p w14:paraId="388013E4" w14:textId="77777777" w:rsidR="00041CC8" w:rsidRPr="005454C8" w:rsidRDefault="00041CC8" w:rsidP="00A136A1">
            <w:pPr>
              <w:widowControl w:val="0"/>
              <w:autoSpaceDE w:val="0"/>
              <w:autoSpaceDN w:val="0"/>
              <w:adjustRightInd w:val="0"/>
            </w:pPr>
            <w:r w:rsidRPr="005454C8">
              <w:t>0</w:t>
            </w:r>
          </w:p>
          <w:p w14:paraId="2487E54D" w14:textId="77777777" w:rsidR="00041CC8" w:rsidRPr="005454C8" w:rsidRDefault="00041CC8" w:rsidP="00A136A1">
            <w:pPr>
              <w:widowControl w:val="0"/>
              <w:autoSpaceDE w:val="0"/>
              <w:autoSpaceDN w:val="0"/>
              <w:adjustRightInd w:val="0"/>
            </w:pPr>
          </w:p>
        </w:tc>
        <w:tc>
          <w:tcPr>
            <w:tcW w:w="1842" w:type="dxa"/>
          </w:tcPr>
          <w:p w14:paraId="0C747BCA" w14:textId="77777777" w:rsidR="00041CC8" w:rsidRPr="005454C8" w:rsidRDefault="00041CC8" w:rsidP="00A136A1">
            <w:pPr>
              <w:widowControl w:val="0"/>
              <w:autoSpaceDE w:val="0"/>
              <w:autoSpaceDN w:val="0"/>
              <w:adjustRightInd w:val="0"/>
            </w:pPr>
            <w:r w:rsidRPr="005454C8">
              <w:t>3 (1,2 %)</w:t>
            </w:r>
          </w:p>
        </w:tc>
        <w:tc>
          <w:tcPr>
            <w:tcW w:w="2553" w:type="dxa"/>
          </w:tcPr>
          <w:p w14:paraId="6BBDAC6D" w14:textId="77777777" w:rsidR="00041CC8" w:rsidRPr="005454C8" w:rsidRDefault="00041CC8" w:rsidP="00A136A1">
            <w:pPr>
              <w:widowControl w:val="0"/>
              <w:autoSpaceDE w:val="0"/>
              <w:autoSpaceDN w:val="0"/>
              <w:adjustRightInd w:val="0"/>
            </w:pPr>
            <w:r w:rsidRPr="005454C8">
              <w:t>-1,2 % (-2,6 %, 0,2 %)</w:t>
            </w:r>
          </w:p>
        </w:tc>
        <w:tc>
          <w:tcPr>
            <w:tcW w:w="1103" w:type="dxa"/>
          </w:tcPr>
          <w:p w14:paraId="668CCCB4" w14:textId="77777777" w:rsidR="00041CC8" w:rsidRPr="005454C8" w:rsidRDefault="00041CC8" w:rsidP="00A136A1">
            <w:pPr>
              <w:widowControl w:val="0"/>
              <w:autoSpaceDE w:val="0"/>
              <w:autoSpaceDN w:val="0"/>
              <w:adjustRightInd w:val="0"/>
            </w:pPr>
            <w:r w:rsidRPr="005454C8">
              <w:t>0,0813</w:t>
            </w:r>
          </w:p>
        </w:tc>
      </w:tr>
    </w:tbl>
    <w:p w14:paraId="0F8B5F24" w14:textId="77777777" w:rsidR="00041CC8" w:rsidRPr="005454C8" w:rsidRDefault="00041CC8" w:rsidP="00041CC8">
      <w:pPr>
        <w:autoSpaceDE w:val="0"/>
        <w:autoSpaceDN w:val="0"/>
        <w:adjustRightInd w:val="0"/>
        <w:rPr>
          <w:rFonts w:eastAsia="Calibri"/>
        </w:rPr>
      </w:pPr>
      <w:r w:rsidRPr="005454C8">
        <w:rPr>
          <w:rFonts w:eastAsia="Calibri"/>
        </w:rPr>
        <w:t>* Pagrindinis tyrimo vertinimo kriterijus</w:t>
      </w:r>
    </w:p>
    <w:p w14:paraId="70CD98B4" w14:textId="77777777" w:rsidR="00041CC8" w:rsidRPr="005454C8" w:rsidRDefault="00041CC8" w:rsidP="00041CC8">
      <w:pPr>
        <w:autoSpaceDE w:val="0"/>
        <w:autoSpaceDN w:val="0"/>
        <w:adjustRightInd w:val="0"/>
        <w:rPr>
          <w:rFonts w:eastAsia="Calibri"/>
        </w:rPr>
      </w:pPr>
      <w:r w:rsidRPr="005454C8">
        <w:rPr>
          <w:rFonts w:eastAsia="Calibri"/>
        </w:rPr>
        <w:t xml:space="preserve">** Proporcijų skirtumas, 95 % PI ir p vertės, gautos po atsitiktinės atrankos koregavimo </w:t>
      </w:r>
    </w:p>
    <w:p w14:paraId="1A682D2D" w14:textId="77777777" w:rsidR="00041CC8" w:rsidRPr="005454C8" w:rsidRDefault="00041CC8" w:rsidP="00041CC8">
      <w:pPr>
        <w:autoSpaceDE w:val="0"/>
        <w:autoSpaceDN w:val="0"/>
        <w:adjustRightInd w:val="0"/>
        <w:rPr>
          <w:rFonts w:eastAsia="Calibri"/>
        </w:rPr>
      </w:pPr>
    </w:p>
    <w:p w14:paraId="2999CD86" w14:textId="77777777" w:rsidR="00041CC8" w:rsidRPr="005454C8" w:rsidRDefault="00041CC8" w:rsidP="00041CC8">
      <w:pPr>
        <w:autoSpaceDE w:val="0"/>
        <w:autoSpaceDN w:val="0"/>
        <w:adjustRightInd w:val="0"/>
        <w:rPr>
          <w:u w:val="single"/>
        </w:rPr>
      </w:pPr>
      <w:r w:rsidRPr="005454C8">
        <w:rPr>
          <w:rFonts w:eastAsia="Calibri"/>
        </w:rPr>
        <w:t>Invazinės grybelių sukeltos infekcinės ligos protrūkio dažnis iki 180 paros ir pagrindinis tyrimo vertinimo kriterijus, kuris yra sėkmė 180 parą, pacientams, sergantiems AML ir kuriems yra taikomas mieloabliacinis gydymas, atitinkamai yra pateikta toliau lentelėje.</w:t>
      </w:r>
    </w:p>
    <w:p w14:paraId="0C6E4DAC" w14:textId="77777777" w:rsidR="00041CC8" w:rsidRPr="005454C8" w:rsidRDefault="00041CC8" w:rsidP="00041CC8"/>
    <w:p w14:paraId="7EA6779A" w14:textId="77777777" w:rsidR="00041CC8" w:rsidRPr="00982D99" w:rsidRDefault="00041CC8" w:rsidP="00041CC8">
      <w:pPr>
        <w:rPr>
          <w:bCs/>
          <w:i/>
          <w:iCs/>
        </w:rPr>
      </w:pPr>
      <w:r w:rsidRPr="00982D99">
        <w:rPr>
          <w:bCs/>
          <w:i/>
          <w:iCs/>
        </w:rPr>
        <w:t>AML</w:t>
      </w:r>
    </w:p>
    <w:p w14:paraId="53475105" w14:textId="77777777" w:rsidR="00041CC8" w:rsidRPr="00982D99" w:rsidRDefault="00041CC8" w:rsidP="00041CC8">
      <w:pPr>
        <w:rPr>
          <w:bCs/>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725"/>
        <w:gridCol w:w="1690"/>
        <w:gridCol w:w="2939"/>
      </w:tblGrid>
      <w:tr w:rsidR="00041CC8" w:rsidRPr="009A1B7F" w14:paraId="3C4EBC3A" w14:textId="77777777" w:rsidTr="00A136A1">
        <w:tc>
          <w:tcPr>
            <w:tcW w:w="2706" w:type="dxa"/>
          </w:tcPr>
          <w:p w14:paraId="71FC133E" w14:textId="77777777" w:rsidR="00041CC8" w:rsidRPr="005454C8" w:rsidRDefault="00041CC8" w:rsidP="00A136A1">
            <w:pPr>
              <w:widowControl w:val="0"/>
              <w:autoSpaceDE w:val="0"/>
              <w:autoSpaceDN w:val="0"/>
              <w:adjustRightInd w:val="0"/>
              <w:rPr>
                <w:rFonts w:eastAsia="Calibri"/>
              </w:rPr>
            </w:pPr>
            <w:r w:rsidRPr="00B6441E">
              <w:rPr>
                <w:rFonts w:eastAsia="Calibri"/>
                <w:bCs/>
                <w:i/>
                <w:iCs/>
              </w:rPr>
              <w:t>Tyrimo vertinimo kriterijai</w:t>
            </w:r>
          </w:p>
        </w:tc>
        <w:tc>
          <w:tcPr>
            <w:tcW w:w="1725" w:type="dxa"/>
          </w:tcPr>
          <w:p w14:paraId="6E7B16F9" w14:textId="77777777" w:rsidR="00041CC8" w:rsidRPr="00C5413B" w:rsidRDefault="00041CC8" w:rsidP="00A136A1">
            <w:pPr>
              <w:widowControl w:val="0"/>
              <w:autoSpaceDE w:val="0"/>
              <w:autoSpaceDN w:val="0"/>
              <w:adjustRightInd w:val="0"/>
              <w:rPr>
                <w:bCs/>
                <w:i/>
                <w:iCs/>
              </w:rPr>
            </w:pPr>
            <w:r w:rsidRPr="00C5413B">
              <w:rPr>
                <w:bCs/>
                <w:i/>
                <w:iCs/>
              </w:rPr>
              <w:t>Vorikonazolas</w:t>
            </w:r>
          </w:p>
          <w:p w14:paraId="032D4C91" w14:textId="77777777" w:rsidR="00041CC8" w:rsidRPr="00C5413B" w:rsidRDefault="00041CC8" w:rsidP="00A136A1">
            <w:pPr>
              <w:widowControl w:val="0"/>
              <w:autoSpaceDE w:val="0"/>
              <w:autoSpaceDN w:val="0"/>
              <w:adjustRightInd w:val="0"/>
              <w:rPr>
                <w:bCs/>
                <w:i/>
                <w:iCs/>
              </w:rPr>
            </w:pPr>
            <w:r w:rsidRPr="00C5413B">
              <w:rPr>
                <w:bCs/>
                <w:i/>
                <w:iCs/>
              </w:rPr>
              <w:t>(N=98)</w:t>
            </w:r>
          </w:p>
          <w:p w14:paraId="7BDEFEC2" w14:textId="77777777" w:rsidR="00041CC8" w:rsidRPr="005454C8" w:rsidRDefault="00041CC8" w:rsidP="00A136A1">
            <w:pPr>
              <w:widowControl w:val="0"/>
              <w:autoSpaceDE w:val="0"/>
              <w:autoSpaceDN w:val="0"/>
              <w:adjustRightInd w:val="0"/>
            </w:pPr>
          </w:p>
        </w:tc>
        <w:tc>
          <w:tcPr>
            <w:tcW w:w="1690" w:type="dxa"/>
          </w:tcPr>
          <w:p w14:paraId="34E05F80" w14:textId="77777777" w:rsidR="00041CC8" w:rsidRPr="00CE0EE2" w:rsidRDefault="00041CC8" w:rsidP="00A136A1">
            <w:pPr>
              <w:widowControl w:val="0"/>
              <w:autoSpaceDE w:val="0"/>
              <w:autoSpaceDN w:val="0"/>
              <w:adjustRightInd w:val="0"/>
              <w:rPr>
                <w:bCs/>
                <w:i/>
                <w:iCs/>
              </w:rPr>
            </w:pPr>
            <w:r w:rsidRPr="00CE0EE2">
              <w:rPr>
                <w:bCs/>
                <w:i/>
                <w:iCs/>
              </w:rPr>
              <w:t>Itrakonazolas</w:t>
            </w:r>
          </w:p>
          <w:p w14:paraId="1EBC8832" w14:textId="77777777" w:rsidR="00041CC8" w:rsidRPr="00CE0EE2" w:rsidRDefault="00041CC8" w:rsidP="00A136A1">
            <w:pPr>
              <w:widowControl w:val="0"/>
              <w:autoSpaceDE w:val="0"/>
              <w:autoSpaceDN w:val="0"/>
              <w:adjustRightInd w:val="0"/>
              <w:rPr>
                <w:bCs/>
                <w:i/>
                <w:iCs/>
              </w:rPr>
            </w:pPr>
            <w:r w:rsidRPr="00CE0EE2">
              <w:rPr>
                <w:bCs/>
                <w:i/>
                <w:iCs/>
              </w:rPr>
              <w:t>(N=109)</w:t>
            </w:r>
          </w:p>
          <w:p w14:paraId="41C19FB6" w14:textId="77777777" w:rsidR="00041CC8" w:rsidRPr="005454C8" w:rsidRDefault="00041CC8" w:rsidP="00A136A1">
            <w:pPr>
              <w:widowControl w:val="0"/>
              <w:autoSpaceDE w:val="0"/>
              <w:autoSpaceDN w:val="0"/>
              <w:adjustRightInd w:val="0"/>
            </w:pPr>
          </w:p>
        </w:tc>
        <w:tc>
          <w:tcPr>
            <w:tcW w:w="2939" w:type="dxa"/>
          </w:tcPr>
          <w:p w14:paraId="3C18CFC6" w14:textId="77777777" w:rsidR="00041CC8" w:rsidRPr="00E0421F" w:rsidRDefault="00041CC8" w:rsidP="00A136A1">
            <w:pPr>
              <w:autoSpaceDE w:val="0"/>
              <w:autoSpaceDN w:val="0"/>
              <w:adjustRightInd w:val="0"/>
              <w:rPr>
                <w:bCs/>
                <w:i/>
                <w:iCs/>
              </w:rPr>
            </w:pPr>
            <w:r w:rsidRPr="00E0421F">
              <w:rPr>
                <w:rFonts w:eastAsia="Calibri"/>
                <w:bCs/>
                <w:i/>
                <w:iCs/>
              </w:rPr>
              <w:t xml:space="preserve">Proporcijų skirtumas ir 95% pasikliovimo intervalas </w:t>
            </w:r>
            <w:r w:rsidRPr="00E0421F">
              <w:rPr>
                <w:bCs/>
                <w:i/>
                <w:iCs/>
              </w:rPr>
              <w:t>(PI)</w:t>
            </w:r>
          </w:p>
          <w:p w14:paraId="1EE7C3C9" w14:textId="77777777" w:rsidR="00041CC8" w:rsidRPr="005454C8" w:rsidRDefault="00041CC8" w:rsidP="00A136A1">
            <w:pPr>
              <w:widowControl w:val="0"/>
              <w:autoSpaceDE w:val="0"/>
              <w:autoSpaceDN w:val="0"/>
              <w:adjustRightInd w:val="0"/>
            </w:pPr>
          </w:p>
        </w:tc>
      </w:tr>
      <w:tr w:rsidR="00041CC8" w:rsidRPr="009A1B7F" w14:paraId="1DD77A31" w14:textId="77777777" w:rsidTr="00A136A1">
        <w:tc>
          <w:tcPr>
            <w:tcW w:w="2706" w:type="dxa"/>
          </w:tcPr>
          <w:p w14:paraId="3397DE7A" w14:textId="77777777" w:rsidR="00041CC8" w:rsidRPr="005454C8" w:rsidRDefault="00041CC8" w:rsidP="00A136A1">
            <w:pPr>
              <w:widowControl w:val="0"/>
              <w:autoSpaceDE w:val="0"/>
              <w:autoSpaceDN w:val="0"/>
              <w:adjustRightInd w:val="0"/>
            </w:pPr>
            <w:r w:rsidRPr="005454C8">
              <w:rPr>
                <w:rFonts w:eastAsia="Calibri"/>
              </w:rPr>
              <w:t xml:space="preserve">Invazinės grybelių sukeltos infekcinės ligos protrūkis </w:t>
            </w:r>
            <w:r w:rsidRPr="005454C8">
              <w:rPr>
                <w:rFonts w:eastAsia="Calibri"/>
              </w:rPr>
              <w:lastRenderedPageBreak/>
              <w:t xml:space="preserve">iki 180 paros </w:t>
            </w:r>
          </w:p>
        </w:tc>
        <w:tc>
          <w:tcPr>
            <w:tcW w:w="1725" w:type="dxa"/>
          </w:tcPr>
          <w:p w14:paraId="643ECD41" w14:textId="77777777" w:rsidR="00041CC8" w:rsidRPr="005454C8" w:rsidRDefault="00041CC8" w:rsidP="00A136A1">
            <w:pPr>
              <w:widowControl w:val="0"/>
              <w:autoSpaceDE w:val="0"/>
              <w:autoSpaceDN w:val="0"/>
              <w:adjustRightInd w:val="0"/>
              <w:rPr>
                <w:b/>
              </w:rPr>
            </w:pPr>
            <w:r w:rsidRPr="005454C8">
              <w:lastRenderedPageBreak/>
              <w:t>1 (1,0 %)</w:t>
            </w:r>
          </w:p>
        </w:tc>
        <w:tc>
          <w:tcPr>
            <w:tcW w:w="1690" w:type="dxa"/>
          </w:tcPr>
          <w:p w14:paraId="585515C5" w14:textId="77777777" w:rsidR="00041CC8" w:rsidRPr="005454C8" w:rsidRDefault="00041CC8" w:rsidP="00A136A1">
            <w:pPr>
              <w:widowControl w:val="0"/>
              <w:autoSpaceDE w:val="0"/>
              <w:autoSpaceDN w:val="0"/>
              <w:adjustRightInd w:val="0"/>
              <w:rPr>
                <w:b/>
              </w:rPr>
            </w:pPr>
            <w:r w:rsidRPr="005454C8">
              <w:t>2 (1,8 %)</w:t>
            </w:r>
          </w:p>
        </w:tc>
        <w:tc>
          <w:tcPr>
            <w:tcW w:w="2939" w:type="dxa"/>
          </w:tcPr>
          <w:p w14:paraId="53311AA1" w14:textId="77777777" w:rsidR="00041CC8" w:rsidRPr="005454C8" w:rsidRDefault="00041CC8" w:rsidP="00A136A1">
            <w:pPr>
              <w:widowControl w:val="0"/>
              <w:autoSpaceDE w:val="0"/>
              <w:autoSpaceDN w:val="0"/>
              <w:adjustRightInd w:val="0"/>
              <w:rPr>
                <w:b/>
              </w:rPr>
            </w:pPr>
            <w:r w:rsidRPr="005454C8">
              <w:t>-0,8 % (-4,0 %, 2,4 %) **</w:t>
            </w:r>
          </w:p>
        </w:tc>
      </w:tr>
      <w:tr w:rsidR="00041CC8" w:rsidRPr="009A1B7F" w14:paraId="54E6FC1D" w14:textId="77777777" w:rsidTr="00A136A1">
        <w:tc>
          <w:tcPr>
            <w:tcW w:w="2706" w:type="dxa"/>
          </w:tcPr>
          <w:p w14:paraId="6E776C42" w14:textId="77777777" w:rsidR="00041CC8" w:rsidRPr="005454C8" w:rsidRDefault="00041CC8" w:rsidP="00A136A1">
            <w:pPr>
              <w:widowControl w:val="0"/>
              <w:autoSpaceDE w:val="0"/>
              <w:autoSpaceDN w:val="0"/>
              <w:adjustRightInd w:val="0"/>
            </w:pPr>
            <w:r w:rsidRPr="005454C8">
              <w:t>Sėkmė180* parą</w:t>
            </w:r>
          </w:p>
        </w:tc>
        <w:tc>
          <w:tcPr>
            <w:tcW w:w="1725" w:type="dxa"/>
          </w:tcPr>
          <w:p w14:paraId="76812499" w14:textId="77777777" w:rsidR="00041CC8" w:rsidRPr="005454C8" w:rsidRDefault="00041CC8" w:rsidP="00A136A1">
            <w:pPr>
              <w:widowControl w:val="0"/>
              <w:autoSpaceDE w:val="0"/>
              <w:autoSpaceDN w:val="0"/>
              <w:adjustRightInd w:val="0"/>
              <w:rPr>
                <w:b/>
              </w:rPr>
            </w:pPr>
            <w:r w:rsidRPr="005454C8">
              <w:t>55 (56,1 %)</w:t>
            </w:r>
          </w:p>
        </w:tc>
        <w:tc>
          <w:tcPr>
            <w:tcW w:w="1690" w:type="dxa"/>
          </w:tcPr>
          <w:p w14:paraId="5365EEE7" w14:textId="77777777" w:rsidR="00041CC8" w:rsidRPr="005454C8" w:rsidRDefault="00041CC8" w:rsidP="00A136A1">
            <w:pPr>
              <w:widowControl w:val="0"/>
              <w:autoSpaceDE w:val="0"/>
              <w:autoSpaceDN w:val="0"/>
              <w:adjustRightInd w:val="0"/>
              <w:rPr>
                <w:b/>
              </w:rPr>
            </w:pPr>
            <w:r w:rsidRPr="005454C8">
              <w:t>45 (41,3 %)</w:t>
            </w:r>
          </w:p>
        </w:tc>
        <w:tc>
          <w:tcPr>
            <w:tcW w:w="2939" w:type="dxa"/>
          </w:tcPr>
          <w:p w14:paraId="088AEE5C" w14:textId="77777777" w:rsidR="00041CC8" w:rsidRPr="005454C8" w:rsidRDefault="00041CC8" w:rsidP="00A136A1">
            <w:pPr>
              <w:widowControl w:val="0"/>
              <w:autoSpaceDE w:val="0"/>
              <w:autoSpaceDN w:val="0"/>
              <w:adjustRightInd w:val="0"/>
              <w:rPr>
                <w:b/>
              </w:rPr>
            </w:pPr>
            <w:r w:rsidRPr="005454C8">
              <w:t>14,7 % (1,7 %, 27,7 %)***</w:t>
            </w:r>
          </w:p>
        </w:tc>
      </w:tr>
    </w:tbl>
    <w:p w14:paraId="3C62C352" w14:textId="77777777" w:rsidR="00041CC8" w:rsidRPr="005454C8" w:rsidRDefault="00041CC8" w:rsidP="00041CC8">
      <w:pPr>
        <w:autoSpaceDE w:val="0"/>
        <w:autoSpaceDN w:val="0"/>
        <w:adjustRightInd w:val="0"/>
        <w:rPr>
          <w:rFonts w:eastAsia="Calibri"/>
        </w:rPr>
      </w:pPr>
      <w:r w:rsidRPr="005454C8">
        <w:rPr>
          <w:rFonts w:eastAsia="Calibri"/>
        </w:rPr>
        <w:t>* Pagrindinis tyrimo vertinimo kriterijus</w:t>
      </w:r>
    </w:p>
    <w:p w14:paraId="33EBF203" w14:textId="77777777" w:rsidR="00041CC8" w:rsidRPr="005454C8" w:rsidRDefault="00041CC8" w:rsidP="00041CC8">
      <w:pPr>
        <w:autoSpaceDE w:val="0"/>
        <w:autoSpaceDN w:val="0"/>
        <w:adjustRightInd w:val="0"/>
        <w:rPr>
          <w:rFonts w:eastAsia="Calibri"/>
        </w:rPr>
      </w:pPr>
      <w:r w:rsidRPr="005454C8">
        <w:rPr>
          <w:rFonts w:eastAsia="Calibri"/>
        </w:rPr>
        <w:t>** Vartojant 5 % ribą parodytas ne mažesnis veiksmingumas</w:t>
      </w:r>
    </w:p>
    <w:p w14:paraId="7DB03307" w14:textId="77777777" w:rsidR="00041CC8" w:rsidRPr="005454C8" w:rsidRDefault="00041CC8" w:rsidP="00041CC8">
      <w:pPr>
        <w:autoSpaceDE w:val="0"/>
        <w:autoSpaceDN w:val="0"/>
        <w:adjustRightInd w:val="0"/>
        <w:rPr>
          <w:rFonts w:eastAsia="Calibri"/>
        </w:rPr>
      </w:pPr>
      <w:r w:rsidRPr="005454C8">
        <w:rPr>
          <w:rFonts w:eastAsia="Calibri"/>
        </w:rPr>
        <w:t>** Proporcijų skirtumas, 95 % PI gautos po atsitiktinės atrankos koregavimo</w:t>
      </w:r>
    </w:p>
    <w:p w14:paraId="6BA2A0DB" w14:textId="77777777" w:rsidR="00041CC8" w:rsidRPr="005454C8" w:rsidRDefault="00041CC8" w:rsidP="00041CC8">
      <w:pPr>
        <w:rPr>
          <w:rFonts w:eastAsia="Calibri"/>
          <w:b/>
        </w:rPr>
      </w:pPr>
    </w:p>
    <w:p w14:paraId="5901E193" w14:textId="77777777" w:rsidR="00041CC8" w:rsidRPr="00982D99" w:rsidRDefault="00041CC8" w:rsidP="00041CC8">
      <w:pPr>
        <w:rPr>
          <w:rFonts w:eastAsia="Calibri"/>
          <w:bCs/>
          <w:i/>
          <w:iCs/>
        </w:rPr>
      </w:pPr>
      <w:r w:rsidRPr="00982D99">
        <w:rPr>
          <w:rFonts w:eastAsia="Calibri"/>
          <w:bCs/>
          <w:i/>
          <w:iCs/>
        </w:rPr>
        <w:t>Mieloabliacinio gydymo režimai</w:t>
      </w:r>
    </w:p>
    <w:p w14:paraId="3837B386" w14:textId="77777777" w:rsidR="00041CC8" w:rsidRPr="00982D99" w:rsidRDefault="00041CC8" w:rsidP="00041CC8">
      <w:pPr>
        <w:rPr>
          <w:bCs/>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4"/>
        <w:gridCol w:w="1725"/>
        <w:gridCol w:w="1690"/>
        <w:gridCol w:w="2941"/>
      </w:tblGrid>
      <w:tr w:rsidR="00041CC8" w:rsidRPr="009A1B7F" w14:paraId="0B22F10D" w14:textId="77777777" w:rsidTr="00A136A1">
        <w:tc>
          <w:tcPr>
            <w:tcW w:w="2704" w:type="dxa"/>
          </w:tcPr>
          <w:p w14:paraId="4BEEDD77" w14:textId="77777777" w:rsidR="00041CC8" w:rsidRPr="005454C8" w:rsidRDefault="00041CC8" w:rsidP="00A136A1">
            <w:pPr>
              <w:widowControl w:val="0"/>
              <w:autoSpaceDE w:val="0"/>
              <w:autoSpaceDN w:val="0"/>
              <w:adjustRightInd w:val="0"/>
              <w:rPr>
                <w:rFonts w:eastAsia="Calibri"/>
              </w:rPr>
            </w:pPr>
            <w:r w:rsidRPr="0095640F">
              <w:rPr>
                <w:bCs/>
                <w:i/>
                <w:iCs/>
              </w:rPr>
              <w:t>Tyrimo vertinimo kriterijai</w:t>
            </w:r>
          </w:p>
        </w:tc>
        <w:tc>
          <w:tcPr>
            <w:tcW w:w="1725" w:type="dxa"/>
          </w:tcPr>
          <w:p w14:paraId="25B30A81" w14:textId="77777777" w:rsidR="00041CC8" w:rsidRPr="008202DF" w:rsidRDefault="00041CC8" w:rsidP="00A136A1">
            <w:pPr>
              <w:widowControl w:val="0"/>
              <w:autoSpaceDE w:val="0"/>
              <w:autoSpaceDN w:val="0"/>
              <w:adjustRightInd w:val="0"/>
              <w:rPr>
                <w:bCs/>
                <w:i/>
                <w:iCs/>
              </w:rPr>
            </w:pPr>
            <w:r w:rsidRPr="008202DF">
              <w:rPr>
                <w:bCs/>
                <w:i/>
                <w:iCs/>
              </w:rPr>
              <w:t>Vorikonazolas</w:t>
            </w:r>
          </w:p>
          <w:p w14:paraId="60A6BC65" w14:textId="77777777" w:rsidR="00041CC8" w:rsidRPr="008202DF" w:rsidRDefault="00041CC8" w:rsidP="00A136A1">
            <w:pPr>
              <w:widowControl w:val="0"/>
              <w:autoSpaceDE w:val="0"/>
              <w:autoSpaceDN w:val="0"/>
              <w:adjustRightInd w:val="0"/>
              <w:rPr>
                <w:bCs/>
                <w:i/>
                <w:iCs/>
              </w:rPr>
            </w:pPr>
            <w:r w:rsidRPr="008202DF">
              <w:rPr>
                <w:bCs/>
                <w:i/>
                <w:iCs/>
              </w:rPr>
              <w:t>(N=125)</w:t>
            </w:r>
          </w:p>
          <w:p w14:paraId="77965E1B" w14:textId="77777777" w:rsidR="00041CC8" w:rsidRPr="005454C8" w:rsidRDefault="00041CC8" w:rsidP="00A136A1">
            <w:pPr>
              <w:widowControl w:val="0"/>
              <w:autoSpaceDE w:val="0"/>
              <w:autoSpaceDN w:val="0"/>
              <w:adjustRightInd w:val="0"/>
            </w:pPr>
          </w:p>
        </w:tc>
        <w:tc>
          <w:tcPr>
            <w:tcW w:w="1690" w:type="dxa"/>
          </w:tcPr>
          <w:p w14:paraId="5EA535D5" w14:textId="77777777" w:rsidR="00041CC8" w:rsidRPr="003C5425" w:rsidRDefault="00041CC8" w:rsidP="00A136A1">
            <w:pPr>
              <w:widowControl w:val="0"/>
              <w:autoSpaceDE w:val="0"/>
              <w:autoSpaceDN w:val="0"/>
              <w:adjustRightInd w:val="0"/>
              <w:rPr>
                <w:bCs/>
                <w:i/>
                <w:iCs/>
              </w:rPr>
            </w:pPr>
            <w:r w:rsidRPr="003C5425">
              <w:rPr>
                <w:bCs/>
                <w:i/>
                <w:iCs/>
              </w:rPr>
              <w:t>Itrakonazolas</w:t>
            </w:r>
          </w:p>
          <w:p w14:paraId="030F0852" w14:textId="77777777" w:rsidR="00041CC8" w:rsidRPr="003C5425" w:rsidRDefault="00041CC8" w:rsidP="00A136A1">
            <w:pPr>
              <w:widowControl w:val="0"/>
              <w:autoSpaceDE w:val="0"/>
              <w:autoSpaceDN w:val="0"/>
              <w:adjustRightInd w:val="0"/>
              <w:rPr>
                <w:bCs/>
                <w:i/>
                <w:iCs/>
              </w:rPr>
            </w:pPr>
            <w:r w:rsidRPr="003C5425">
              <w:rPr>
                <w:bCs/>
                <w:i/>
                <w:iCs/>
              </w:rPr>
              <w:t>(N=143)</w:t>
            </w:r>
          </w:p>
          <w:p w14:paraId="72BEE064" w14:textId="77777777" w:rsidR="00041CC8" w:rsidRPr="005454C8" w:rsidRDefault="00041CC8" w:rsidP="00A136A1">
            <w:pPr>
              <w:widowControl w:val="0"/>
              <w:autoSpaceDE w:val="0"/>
              <w:autoSpaceDN w:val="0"/>
              <w:adjustRightInd w:val="0"/>
            </w:pPr>
          </w:p>
        </w:tc>
        <w:tc>
          <w:tcPr>
            <w:tcW w:w="2941" w:type="dxa"/>
          </w:tcPr>
          <w:p w14:paraId="1FB35BC9" w14:textId="77777777" w:rsidR="00041CC8" w:rsidRPr="00300057" w:rsidRDefault="00041CC8" w:rsidP="00A136A1">
            <w:pPr>
              <w:autoSpaceDE w:val="0"/>
              <w:autoSpaceDN w:val="0"/>
              <w:adjustRightInd w:val="0"/>
              <w:rPr>
                <w:bCs/>
                <w:i/>
                <w:iCs/>
              </w:rPr>
            </w:pPr>
            <w:r w:rsidRPr="00300057">
              <w:rPr>
                <w:rFonts w:eastAsia="Calibri"/>
                <w:bCs/>
                <w:i/>
                <w:iCs/>
              </w:rPr>
              <w:t xml:space="preserve">Proporcijų skirtumas ir 95% pasikliovimo intervalas </w:t>
            </w:r>
            <w:r w:rsidRPr="00300057">
              <w:rPr>
                <w:bCs/>
                <w:i/>
                <w:iCs/>
              </w:rPr>
              <w:t>(CI)</w:t>
            </w:r>
          </w:p>
          <w:p w14:paraId="3ED4F760" w14:textId="77777777" w:rsidR="00041CC8" w:rsidRPr="005454C8" w:rsidRDefault="00041CC8" w:rsidP="00A136A1">
            <w:pPr>
              <w:widowControl w:val="0"/>
              <w:autoSpaceDE w:val="0"/>
              <w:autoSpaceDN w:val="0"/>
              <w:adjustRightInd w:val="0"/>
            </w:pPr>
          </w:p>
        </w:tc>
      </w:tr>
      <w:tr w:rsidR="00041CC8" w:rsidRPr="009A1B7F" w14:paraId="047D4AB3" w14:textId="77777777" w:rsidTr="00A136A1">
        <w:tc>
          <w:tcPr>
            <w:tcW w:w="2704" w:type="dxa"/>
          </w:tcPr>
          <w:p w14:paraId="568624A9" w14:textId="77777777" w:rsidR="00041CC8" w:rsidRPr="005454C8" w:rsidRDefault="00041CC8" w:rsidP="00A136A1">
            <w:pPr>
              <w:widowControl w:val="0"/>
              <w:autoSpaceDE w:val="0"/>
              <w:autoSpaceDN w:val="0"/>
              <w:adjustRightInd w:val="0"/>
            </w:pPr>
            <w:r w:rsidRPr="005454C8">
              <w:rPr>
                <w:rFonts w:eastAsia="Calibri"/>
              </w:rPr>
              <w:t xml:space="preserve">Invazinės grybelių sukeltos infekcinės ligos protrūkis iki 180 paros </w:t>
            </w:r>
          </w:p>
        </w:tc>
        <w:tc>
          <w:tcPr>
            <w:tcW w:w="1725" w:type="dxa"/>
          </w:tcPr>
          <w:p w14:paraId="73395649" w14:textId="77777777" w:rsidR="00041CC8" w:rsidRPr="005454C8" w:rsidRDefault="00041CC8" w:rsidP="00A136A1">
            <w:pPr>
              <w:widowControl w:val="0"/>
              <w:autoSpaceDE w:val="0"/>
              <w:autoSpaceDN w:val="0"/>
              <w:adjustRightInd w:val="0"/>
              <w:rPr>
                <w:b/>
              </w:rPr>
            </w:pPr>
            <w:r w:rsidRPr="005454C8">
              <w:t>2 (1,6 %)</w:t>
            </w:r>
          </w:p>
        </w:tc>
        <w:tc>
          <w:tcPr>
            <w:tcW w:w="1690" w:type="dxa"/>
          </w:tcPr>
          <w:p w14:paraId="79B02820" w14:textId="77777777" w:rsidR="00041CC8" w:rsidRPr="005454C8" w:rsidRDefault="00041CC8" w:rsidP="00A136A1">
            <w:pPr>
              <w:widowControl w:val="0"/>
              <w:autoSpaceDE w:val="0"/>
              <w:autoSpaceDN w:val="0"/>
              <w:adjustRightInd w:val="0"/>
              <w:rPr>
                <w:b/>
              </w:rPr>
            </w:pPr>
            <w:r w:rsidRPr="005454C8">
              <w:t>3 (2,1 %)</w:t>
            </w:r>
          </w:p>
        </w:tc>
        <w:tc>
          <w:tcPr>
            <w:tcW w:w="2941" w:type="dxa"/>
          </w:tcPr>
          <w:p w14:paraId="76004C55" w14:textId="77777777" w:rsidR="00041CC8" w:rsidRPr="005454C8" w:rsidRDefault="00041CC8" w:rsidP="00A136A1">
            <w:pPr>
              <w:widowControl w:val="0"/>
              <w:autoSpaceDE w:val="0"/>
              <w:autoSpaceDN w:val="0"/>
              <w:adjustRightInd w:val="0"/>
              <w:rPr>
                <w:b/>
              </w:rPr>
            </w:pPr>
            <w:r w:rsidRPr="005454C8">
              <w:t>-0,5 % (-3,7 %, 2,7 %) **</w:t>
            </w:r>
          </w:p>
        </w:tc>
      </w:tr>
      <w:tr w:rsidR="00041CC8" w:rsidRPr="009A1B7F" w14:paraId="2E0782C8" w14:textId="77777777" w:rsidTr="00A136A1">
        <w:tc>
          <w:tcPr>
            <w:tcW w:w="2704" w:type="dxa"/>
          </w:tcPr>
          <w:p w14:paraId="55A76535" w14:textId="77777777" w:rsidR="00041CC8" w:rsidRPr="005454C8" w:rsidRDefault="00041CC8" w:rsidP="00A136A1">
            <w:pPr>
              <w:widowControl w:val="0"/>
              <w:autoSpaceDE w:val="0"/>
              <w:autoSpaceDN w:val="0"/>
              <w:adjustRightInd w:val="0"/>
            </w:pPr>
            <w:r w:rsidRPr="005454C8">
              <w:t>Sėkmė 180* parą</w:t>
            </w:r>
          </w:p>
        </w:tc>
        <w:tc>
          <w:tcPr>
            <w:tcW w:w="1725" w:type="dxa"/>
          </w:tcPr>
          <w:p w14:paraId="11E2743B" w14:textId="77777777" w:rsidR="00041CC8" w:rsidRPr="005454C8" w:rsidRDefault="00041CC8" w:rsidP="00A136A1">
            <w:pPr>
              <w:widowControl w:val="0"/>
              <w:autoSpaceDE w:val="0"/>
              <w:autoSpaceDN w:val="0"/>
              <w:adjustRightInd w:val="0"/>
              <w:rPr>
                <w:b/>
              </w:rPr>
            </w:pPr>
            <w:r w:rsidRPr="005454C8">
              <w:t>70 (56,0 %)</w:t>
            </w:r>
          </w:p>
        </w:tc>
        <w:tc>
          <w:tcPr>
            <w:tcW w:w="1690" w:type="dxa"/>
          </w:tcPr>
          <w:p w14:paraId="3791A3F8" w14:textId="77777777" w:rsidR="00041CC8" w:rsidRPr="005454C8" w:rsidRDefault="00041CC8" w:rsidP="00A136A1">
            <w:pPr>
              <w:widowControl w:val="0"/>
              <w:autoSpaceDE w:val="0"/>
              <w:autoSpaceDN w:val="0"/>
              <w:adjustRightInd w:val="0"/>
              <w:rPr>
                <w:b/>
              </w:rPr>
            </w:pPr>
            <w:r w:rsidRPr="005454C8">
              <w:t>53 (37,1 %)</w:t>
            </w:r>
          </w:p>
        </w:tc>
        <w:tc>
          <w:tcPr>
            <w:tcW w:w="2941" w:type="dxa"/>
          </w:tcPr>
          <w:p w14:paraId="694C4532" w14:textId="77777777" w:rsidR="00041CC8" w:rsidRPr="005454C8" w:rsidRDefault="00041CC8" w:rsidP="00A136A1">
            <w:pPr>
              <w:widowControl w:val="0"/>
              <w:autoSpaceDE w:val="0"/>
              <w:autoSpaceDN w:val="0"/>
              <w:adjustRightInd w:val="0"/>
              <w:rPr>
                <w:b/>
              </w:rPr>
            </w:pPr>
            <w:r w:rsidRPr="005454C8">
              <w:t>20,1 % (8,5 %, 31,7 %)***</w:t>
            </w:r>
          </w:p>
        </w:tc>
      </w:tr>
    </w:tbl>
    <w:p w14:paraId="7130F08B" w14:textId="77777777" w:rsidR="00041CC8" w:rsidRPr="005454C8" w:rsidRDefault="00041CC8" w:rsidP="00041CC8">
      <w:pPr>
        <w:autoSpaceDE w:val="0"/>
        <w:autoSpaceDN w:val="0"/>
        <w:adjustRightInd w:val="0"/>
        <w:rPr>
          <w:rFonts w:eastAsia="Calibri"/>
        </w:rPr>
      </w:pPr>
      <w:r w:rsidRPr="005454C8">
        <w:rPr>
          <w:rFonts w:eastAsia="Calibri"/>
        </w:rPr>
        <w:t>* Pagrindinis tyrimo vertinimo kriterijus</w:t>
      </w:r>
    </w:p>
    <w:p w14:paraId="7D89060B" w14:textId="77777777" w:rsidR="00041CC8" w:rsidRPr="005454C8" w:rsidRDefault="00041CC8" w:rsidP="00041CC8">
      <w:pPr>
        <w:autoSpaceDE w:val="0"/>
        <w:autoSpaceDN w:val="0"/>
        <w:adjustRightInd w:val="0"/>
        <w:rPr>
          <w:rFonts w:eastAsia="Calibri"/>
        </w:rPr>
      </w:pPr>
      <w:r w:rsidRPr="005454C8">
        <w:rPr>
          <w:rFonts w:eastAsia="Calibri"/>
        </w:rPr>
        <w:t>** Vartojant 5 % ribą parodytas ne mažesnis veiksmingumas</w:t>
      </w:r>
    </w:p>
    <w:p w14:paraId="0CB9D673" w14:textId="77777777" w:rsidR="00041CC8" w:rsidRPr="005454C8" w:rsidRDefault="00041CC8" w:rsidP="00041CC8">
      <w:pPr>
        <w:autoSpaceDE w:val="0"/>
        <w:autoSpaceDN w:val="0"/>
        <w:adjustRightInd w:val="0"/>
        <w:rPr>
          <w:rFonts w:eastAsia="Calibri"/>
        </w:rPr>
      </w:pPr>
      <w:r w:rsidRPr="005454C8">
        <w:rPr>
          <w:rFonts w:eastAsia="Calibri"/>
        </w:rPr>
        <w:t>*** Proporcijų skirtumas, 95 % PI gautos po atsitiktinės atrankos koregavimo</w:t>
      </w:r>
    </w:p>
    <w:p w14:paraId="5064B665" w14:textId="77777777" w:rsidR="00041CC8" w:rsidRPr="005454C8" w:rsidRDefault="00041CC8" w:rsidP="00041CC8">
      <w:pPr>
        <w:autoSpaceDE w:val="0"/>
        <w:autoSpaceDN w:val="0"/>
        <w:adjustRightInd w:val="0"/>
        <w:rPr>
          <w:rFonts w:eastAsia="Calibri"/>
        </w:rPr>
      </w:pPr>
    </w:p>
    <w:p w14:paraId="42B61882" w14:textId="77777777" w:rsidR="00041CC8" w:rsidRPr="005454C8" w:rsidRDefault="00041CC8" w:rsidP="00041CC8">
      <w:pPr>
        <w:autoSpaceDE w:val="0"/>
        <w:autoSpaceDN w:val="0"/>
        <w:adjustRightInd w:val="0"/>
        <w:rPr>
          <w:rFonts w:eastAsia="Calibri"/>
          <w:u w:val="single"/>
        </w:rPr>
      </w:pPr>
      <w:r w:rsidRPr="005454C8">
        <w:rPr>
          <w:rFonts w:eastAsia="Calibri"/>
          <w:u w:val="single"/>
        </w:rPr>
        <w:t>Antrinė invazinių grybelinių infekcijų profilaktika – veiksmingumas pacientams, kuriems buvo atlikta hemopoezinių kamieninių ląstelių transplantacija ir anksčiau nustatyta ar įtariama invazinė grybelių sukelta infekcinė liga.</w:t>
      </w:r>
    </w:p>
    <w:p w14:paraId="5ED70891" w14:textId="77777777" w:rsidR="00041CC8" w:rsidRPr="005454C8" w:rsidRDefault="00041CC8" w:rsidP="00041CC8">
      <w:pPr>
        <w:autoSpaceDE w:val="0"/>
        <w:autoSpaceDN w:val="0"/>
        <w:adjustRightInd w:val="0"/>
        <w:rPr>
          <w:rFonts w:eastAsia="Calibri"/>
        </w:rPr>
      </w:pPr>
      <w:r w:rsidRPr="005454C8">
        <w:rPr>
          <w:rFonts w:eastAsia="Calibri"/>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w:t>
      </w:r>
    </w:p>
    <w:p w14:paraId="7A709E9B" w14:textId="77777777" w:rsidR="00041CC8" w:rsidRPr="005454C8" w:rsidRDefault="00041CC8" w:rsidP="00041CC8">
      <w:pPr>
        <w:autoSpaceDE w:val="0"/>
        <w:autoSpaceDN w:val="0"/>
        <w:adjustRightInd w:val="0"/>
        <w:rPr>
          <w:rFonts w:eastAsia="Calibri"/>
        </w:rPr>
      </w:pPr>
      <w:r w:rsidRPr="005454C8">
        <w:rPr>
          <w:rFonts w:eastAsia="Calibri"/>
        </w:rPr>
        <w:t>Pagrindinis vertinimo kriterijus buvo nustatytos ir įtariamos invazinės grybelių sukeltos infekcinės ligos atsiradimo dažnis per pirmuosius metus po hemopoezinių kamieninių ląstelių transplantacijos.</w:t>
      </w:r>
    </w:p>
    <w:p w14:paraId="4D818AC8" w14:textId="77777777" w:rsidR="00041CC8" w:rsidRPr="005454C8" w:rsidRDefault="00041CC8" w:rsidP="00041CC8">
      <w:pPr>
        <w:autoSpaceDE w:val="0"/>
        <w:autoSpaceDN w:val="0"/>
        <w:adjustRightInd w:val="0"/>
        <w:rPr>
          <w:rFonts w:eastAsia="Calibri"/>
        </w:rPr>
      </w:pPr>
      <w:r w:rsidRPr="005454C8">
        <w:rPr>
          <w:rFonts w:eastAsia="Calibri"/>
        </w:rPr>
        <w:t>Modifikuoto tikslingo gydymo (MITT) grupėje buvo 40 pacientų, kurie anksčiau sirgo invazine grybelių sukelta infekcine liga, įskaitant 31 sergantį aspergilioze, 5 kandidiaze ir 4 kitomis invazinėmis grybelių sukeltomis infekcinėmis ligomis. Vidutinė profilaktinio gydymo tiriamuoju preparatu trukmė buvo 95,5 paros MITT grupėje.</w:t>
      </w:r>
    </w:p>
    <w:p w14:paraId="7DB5F8D6" w14:textId="77777777" w:rsidR="00041CC8" w:rsidRPr="005454C8" w:rsidRDefault="00041CC8" w:rsidP="00041CC8">
      <w:pPr>
        <w:autoSpaceDE w:val="0"/>
        <w:autoSpaceDN w:val="0"/>
        <w:adjustRightInd w:val="0"/>
        <w:rPr>
          <w:rFonts w:eastAsia="Calibri"/>
        </w:rPr>
      </w:pPr>
    </w:p>
    <w:p w14:paraId="4918364F" w14:textId="77777777" w:rsidR="00041CC8" w:rsidRPr="005454C8" w:rsidRDefault="00041CC8" w:rsidP="00041CC8">
      <w:pPr>
        <w:autoSpaceDE w:val="0"/>
        <w:autoSpaceDN w:val="0"/>
        <w:adjustRightInd w:val="0"/>
        <w:rPr>
          <w:rFonts w:eastAsia="Calibri"/>
        </w:rPr>
      </w:pPr>
      <w:r w:rsidRPr="005454C8">
        <w:rPr>
          <w:rFonts w:eastAsia="Calibri"/>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 parą buvo 80,0 % (32 iš 40 pacientų), po 1 metų – 70,0 % (28 iš 40 pacientų).</w:t>
      </w:r>
    </w:p>
    <w:p w14:paraId="40E8453F" w14:textId="77777777" w:rsidR="00041CC8" w:rsidRPr="005454C8" w:rsidRDefault="00041CC8" w:rsidP="00041CC8">
      <w:pPr>
        <w:rPr>
          <w:rFonts w:eastAsia="Calibri"/>
        </w:rPr>
      </w:pPr>
    </w:p>
    <w:p w14:paraId="29B565D8" w14:textId="77777777" w:rsidR="00041CC8" w:rsidRPr="005454C8" w:rsidRDefault="00041CC8" w:rsidP="00041CC8">
      <w:pPr>
        <w:autoSpaceDE w:val="0"/>
        <w:autoSpaceDN w:val="0"/>
        <w:adjustRightInd w:val="0"/>
        <w:rPr>
          <w:rFonts w:eastAsia="Calibri"/>
          <w:u w:val="single"/>
        </w:rPr>
      </w:pPr>
      <w:r w:rsidRPr="005454C8">
        <w:rPr>
          <w:rFonts w:eastAsia="Calibri"/>
          <w:u w:val="single"/>
        </w:rPr>
        <w:t>Gydymo trukmė</w:t>
      </w:r>
    </w:p>
    <w:p w14:paraId="2F10CEC9" w14:textId="77777777" w:rsidR="00041CC8" w:rsidRPr="005454C8" w:rsidRDefault="00041CC8" w:rsidP="00041CC8">
      <w:pPr>
        <w:autoSpaceDE w:val="0"/>
        <w:autoSpaceDN w:val="0"/>
        <w:adjustRightInd w:val="0"/>
      </w:pPr>
      <w:r w:rsidRPr="005454C8">
        <w:rPr>
          <w:rFonts w:eastAsia="Calibri"/>
        </w:rPr>
        <w:t>Klinikinių tyrimų metu ilgiau kaip 12 savaičių vorikonazolo vartojo 705 pacientai, daugiau kaip 6 mėnesius – 164 ligoniai.</w:t>
      </w:r>
    </w:p>
    <w:p w14:paraId="32D9BB27" w14:textId="77777777" w:rsidR="00041CC8" w:rsidRPr="005454C8" w:rsidRDefault="00041CC8" w:rsidP="00041CC8">
      <w:pPr>
        <w:autoSpaceDE w:val="0"/>
        <w:autoSpaceDN w:val="0"/>
        <w:adjustRightInd w:val="0"/>
        <w:rPr>
          <w:rFonts w:eastAsia="Calibri"/>
        </w:rPr>
      </w:pPr>
    </w:p>
    <w:p w14:paraId="65EDA19B" w14:textId="77777777" w:rsidR="00041CC8" w:rsidRPr="005454C8" w:rsidRDefault="00041CC8" w:rsidP="00041CC8">
      <w:pPr>
        <w:autoSpaceDE w:val="0"/>
        <w:autoSpaceDN w:val="0"/>
        <w:adjustRightInd w:val="0"/>
        <w:rPr>
          <w:rFonts w:eastAsia="Calibri"/>
          <w:u w:val="single"/>
        </w:rPr>
      </w:pPr>
      <w:r w:rsidRPr="005454C8">
        <w:rPr>
          <w:rFonts w:eastAsia="Calibri"/>
          <w:u w:val="single"/>
        </w:rPr>
        <w:t>Vaikų populiacija</w:t>
      </w:r>
    </w:p>
    <w:p w14:paraId="685D9A5D" w14:textId="77777777" w:rsidR="00041CC8" w:rsidRPr="005454C8" w:rsidRDefault="00041CC8" w:rsidP="00041CC8">
      <w:pPr>
        <w:autoSpaceDE w:val="0"/>
        <w:autoSpaceDN w:val="0"/>
        <w:adjustRightInd w:val="0"/>
        <w:rPr>
          <w:rFonts w:eastAsia="Calibri"/>
        </w:rPr>
      </w:pPr>
      <w:r w:rsidRPr="005454C8">
        <w:rPr>
          <w:rFonts w:eastAsia="Calibri"/>
        </w:rPr>
        <w:t>Penkiasdešimt trys vaikai nuo 2 iki &lt; 18 metų buvo gydomi vorikonazolu dviejuose perspektyviniuose, atviruose, nelyginamuosiuose, daugiacentriuose klinikiniuose tyrimuose. Viename tyrime dalyvavo 31 pacientas, sergantis galima, patvirtinta ar tikėtina invazine aspergiloze (IA), iš kurių 14 pacientų sirgo patvirtinta arba tikėtina IA ir jiems buvo atliekamos MITT veiksmingumo analizės. Kitame tyrime dalyvavo 22 pacientai, sergantys invazine kandidoze, įskaitant kandidemiją (ICC) ir ezofaginę kandidozę (EC), kuriems buvo reikalingas pirminis ar gelbstintis gydymas; 17 iš jų buvo atliekamos MITT veiksmingumo analizės. Per 6 savaites vaistinis preparatas padarė poveikį 64,3 % (9 iš 14)</w:t>
      </w:r>
      <w:r w:rsidRPr="005454C8" w:rsidDel="0038157E">
        <w:rPr>
          <w:rFonts w:eastAsia="Calibri"/>
        </w:rPr>
        <w:t xml:space="preserve"> </w:t>
      </w:r>
      <w:r w:rsidRPr="005454C8">
        <w:rPr>
          <w:rFonts w:eastAsia="Calibri"/>
        </w:rPr>
        <w:t xml:space="preserve">pacientų, sergančių IA (40 % (2 iš 5) pacientų nuo 2 iki &lt; 12 metų ir 77,8 % (7 iš 9) pacientų nuo 12 iki &lt; 18 metų). Vaistinis preparatas GP padarė poveikį 85,7 % (6 iš 7) pacientų, sergančių ICC, ir 70 % (7 iš 10) pacientų, sergančių EC. Bendras atsako dažnis (ICC ir EC kartu sudėjus) – 88,9 % (8 iš 9) pacientų nuo 2 iki &lt; 12 metų grupėje ir 62,5 % (5 iš 8) pacientų nuo 12 iki &lt; 18 metų grupėje. </w:t>
      </w:r>
    </w:p>
    <w:p w14:paraId="69F7C091" w14:textId="77777777" w:rsidR="00041CC8" w:rsidRPr="005454C8" w:rsidRDefault="00041CC8" w:rsidP="00041CC8">
      <w:pPr>
        <w:autoSpaceDE w:val="0"/>
        <w:autoSpaceDN w:val="0"/>
        <w:adjustRightInd w:val="0"/>
        <w:rPr>
          <w:rFonts w:eastAsia="Calibri"/>
        </w:rPr>
      </w:pPr>
    </w:p>
    <w:p w14:paraId="60A37242" w14:textId="77777777" w:rsidR="00041CC8" w:rsidRPr="005454C8" w:rsidRDefault="00041CC8" w:rsidP="00041CC8">
      <w:pPr>
        <w:autoSpaceDE w:val="0"/>
        <w:autoSpaceDN w:val="0"/>
        <w:adjustRightInd w:val="0"/>
        <w:rPr>
          <w:rFonts w:eastAsia="Calibri"/>
          <w:u w:val="single"/>
        </w:rPr>
      </w:pPr>
      <w:r w:rsidRPr="005454C8">
        <w:rPr>
          <w:rFonts w:eastAsia="Calibri"/>
          <w:u w:val="single"/>
        </w:rPr>
        <w:t>Klinikinės studijos vertinant QTc intervalą</w:t>
      </w:r>
    </w:p>
    <w:p w14:paraId="79634A48" w14:textId="77777777" w:rsidR="00041CC8" w:rsidRPr="005454C8" w:rsidRDefault="00041CC8" w:rsidP="00041CC8">
      <w:pPr>
        <w:autoSpaceDE w:val="0"/>
        <w:autoSpaceDN w:val="0"/>
        <w:adjustRightInd w:val="0"/>
      </w:pPr>
      <w:r w:rsidRPr="005454C8">
        <w:rPr>
          <w:rFonts w:eastAsia="Calibri"/>
        </w:rPr>
        <w:lastRenderedPageBreak/>
        <w:t>Buvo atlikta placebo (neveiklaus preparato) panaudojimo, atsitiktinio tiriamųjų parinkimo ir vienos vaisto dozės skyrimo studija, siekiant išsiaiškinti, kaip kinta QTc intervalas tarp sveikų savanorių, gavusių ketokonazolą ir tris skirtingas geriamas vorikonazolo dozes. Įvertinus placebo įtaką rezultatui,</w:t>
      </w:r>
      <w:r w:rsidRPr="005454C8" w:rsidDel="009E1824">
        <w:rPr>
          <w:rFonts w:eastAsia="Calibri"/>
        </w:rPr>
        <w:t xml:space="preserve"> </w:t>
      </w:r>
      <w:r w:rsidRPr="005454C8">
        <w:rPr>
          <w:rFonts w:eastAsia="Calibri"/>
        </w:rPr>
        <w:t>didžiausias QTc pokytis nuo bazinės linijos buvo 5,1, 4,8 ir 8,2 ms, vartojant atitinkamai 800, 1200 ir 1600 mg vorikonazolo dozes, ir 7,0 ms po 800 mg ketokonazolo dozės. Nei vienoje iš tirtų grupių nebuvo QTc reikšmės nukrypimo nuo bazinės linijos daugiau kaip 60 ms. Tyrimo metu nebuvo nustatyta QTc intervalo didesnio už kliniškai svarbią 500 ms reikšmę.</w:t>
      </w:r>
    </w:p>
    <w:p w14:paraId="7125931B" w14:textId="77777777" w:rsidR="00041CC8" w:rsidRPr="005454C8" w:rsidRDefault="00041CC8" w:rsidP="00041CC8">
      <w:pPr>
        <w:keepNext/>
        <w:spacing w:before="240" w:after="60"/>
        <w:ind w:left="567" w:hanging="567"/>
        <w:outlineLvl w:val="3"/>
        <w:rPr>
          <w:b/>
        </w:rPr>
      </w:pPr>
      <w:r w:rsidRPr="005454C8">
        <w:rPr>
          <w:b/>
        </w:rPr>
        <w:t>5.2</w:t>
      </w:r>
      <w:r w:rsidRPr="005454C8">
        <w:rPr>
          <w:b/>
        </w:rPr>
        <w:tab/>
        <w:t>Farmakokinetinės savybės</w:t>
      </w:r>
    </w:p>
    <w:p w14:paraId="498962D3" w14:textId="77777777" w:rsidR="00041CC8" w:rsidRPr="005454C8" w:rsidRDefault="00041CC8" w:rsidP="00041CC8"/>
    <w:p w14:paraId="36A127C6" w14:textId="77777777" w:rsidR="00041CC8" w:rsidRPr="005454C8" w:rsidRDefault="00041CC8" w:rsidP="00041CC8">
      <w:pPr>
        <w:autoSpaceDE w:val="0"/>
        <w:autoSpaceDN w:val="0"/>
        <w:adjustRightInd w:val="0"/>
        <w:rPr>
          <w:rFonts w:eastAsia="Calibri"/>
          <w:u w:val="single"/>
        </w:rPr>
      </w:pPr>
      <w:r w:rsidRPr="005454C8">
        <w:rPr>
          <w:rFonts w:eastAsia="Calibri"/>
          <w:u w:val="single"/>
        </w:rPr>
        <w:t>Bendras farmakokinetikos apibūdinimas</w:t>
      </w:r>
    </w:p>
    <w:p w14:paraId="5F7F98B7" w14:textId="77777777" w:rsidR="00041CC8" w:rsidRPr="005454C8" w:rsidRDefault="00041CC8" w:rsidP="00041CC8">
      <w:pPr>
        <w:autoSpaceDE w:val="0"/>
        <w:autoSpaceDN w:val="0"/>
        <w:adjustRightInd w:val="0"/>
        <w:rPr>
          <w:rFonts w:eastAsia="Calibri"/>
        </w:rPr>
      </w:pPr>
      <w:r w:rsidRPr="005454C8">
        <w:rPr>
          <w:rFonts w:eastAsia="Calibri"/>
        </w:rPr>
        <w:t>Buvo tirta vorikonazolo farmakokinetika sveikų savanorių, specialių žmonių grupių ir ligonių organizme. Pacientai, kuriems buvo aspergiliozės rizika (daugelis jų sirgo piktybiniais limfinių audinių arba kraujodaros organų piktybiniais navikais), 14 dienų du kartus per parą gėrė po 200 mg arba 300 mg vorikonazolo. Nustatyta, kad preparato rezorbcija vyksta greitai ir vienodai, vaistinio preparato kaupimasis ir nelinijinė farmakokinetika yra tokia pati kaip ir sveikų žmonių organizme.</w:t>
      </w:r>
    </w:p>
    <w:p w14:paraId="3D1290C1" w14:textId="77777777" w:rsidR="00041CC8" w:rsidRPr="005454C8" w:rsidRDefault="00041CC8" w:rsidP="00041CC8">
      <w:pPr>
        <w:autoSpaceDE w:val="0"/>
        <w:autoSpaceDN w:val="0"/>
        <w:adjustRightInd w:val="0"/>
        <w:rPr>
          <w:rFonts w:eastAsia="Calibri"/>
        </w:rPr>
      </w:pPr>
    </w:p>
    <w:p w14:paraId="0C4801A6" w14:textId="77777777" w:rsidR="00041CC8" w:rsidRPr="005454C8" w:rsidRDefault="00041CC8" w:rsidP="00041CC8">
      <w:pPr>
        <w:autoSpaceDE w:val="0"/>
        <w:autoSpaceDN w:val="0"/>
        <w:adjustRightInd w:val="0"/>
        <w:rPr>
          <w:rFonts w:eastAsia="Calibri"/>
        </w:rPr>
      </w:pPr>
      <w:r w:rsidRPr="005454C8">
        <w:rPr>
          <w:rFonts w:eastAsia="Calibri"/>
        </w:rPr>
        <w:t>Dėl vorikonazolo metabolizmo įsotinimo jo farmakokinetika būna nelinijinė. Didinant dozę, daugiau nei proporcingai didėja vaistinio preparato ekspozicija (AUC</w:t>
      </w:r>
      <w:r w:rsidRPr="005454C8">
        <w:rPr>
          <w:vertAlign w:val="subscript"/>
        </w:rPr>
        <w:t>τ</w:t>
      </w:r>
      <w:r w:rsidRPr="005454C8">
        <w:rPr>
          <w:rFonts w:eastAsia="Calibri"/>
        </w:rPr>
        <w:t>). Nustatyta, kad vietoj 200 mg geriamojo vorikonazolo dozės, vartojamos du kartus per parą, pradėjus vartoti po 300 mg du kartus per parą, 2,5 karto padidėja jo ekspozicija (AUC</w:t>
      </w:r>
      <w:r w:rsidRPr="005454C8">
        <w:rPr>
          <w:vertAlign w:val="subscript"/>
        </w:rPr>
        <w:t>τ</w:t>
      </w:r>
      <w:r w:rsidRPr="005454C8">
        <w:rPr>
          <w:rFonts w:eastAsia="Calibri"/>
        </w:rPr>
        <w:t xml:space="preserve">). Vartojant palaikomąją 200 mg dozę per burną (arba 100 mg pacientams, kurių kūno masė yra mažesnė kaip 40 kg), buvo pasiekta panaši vorikonazolo ekspozicija, kaip vartojant 3 mg/kg dozę į veną. Vartojant palaikomąją 300 mg dozę per burną (arba 150 mg pacientams, kurių kūno masė yra mažesnė kaip 40 kg), buvo pasiekta panaši vorikonazolo ekspozicija, kaip vartojant 4 mg/kg dozę į veną. Vartojant pagal rekomenduojamą planą į veną arba įsotinamąją dozę per burną, vaistinio preparato koncentracijos </w:t>
      </w:r>
      <w:r w:rsidRPr="009A1B7F">
        <w:rPr>
          <w:rFonts w:eastAsia="Calibri"/>
          <w:szCs w:val="22"/>
          <w:lang w:eastAsia="en-US"/>
        </w:rPr>
        <w:t xml:space="preserve">kraujo </w:t>
      </w:r>
      <w:r w:rsidRPr="005454C8">
        <w:rPr>
          <w:rFonts w:eastAsia="Calibri"/>
        </w:rPr>
        <w:t xml:space="preserve">plazmoje pusiausvyra nusistovi per pirmąsias 24 valandas. Jei įsotinamoji dozė nevartojama, vartojant kartotines vorikonazolo dozes du kartus per parą, daugelio tiriamųjų organizme vaistinis preparatas kaupiasi ir koncentracijos </w:t>
      </w:r>
      <w:r w:rsidRPr="009A1B7F">
        <w:rPr>
          <w:rFonts w:eastAsia="Calibri"/>
          <w:szCs w:val="22"/>
          <w:lang w:eastAsia="en-US"/>
        </w:rPr>
        <w:t xml:space="preserve">kraujo </w:t>
      </w:r>
      <w:r w:rsidRPr="005454C8">
        <w:rPr>
          <w:rFonts w:eastAsia="Calibri"/>
        </w:rPr>
        <w:t xml:space="preserve">plazmoje pusiausvyra nusistovi 6-ą parą. </w:t>
      </w:r>
    </w:p>
    <w:p w14:paraId="4174065C" w14:textId="77777777" w:rsidR="00041CC8" w:rsidRPr="005454C8" w:rsidRDefault="00041CC8" w:rsidP="00041CC8">
      <w:pPr>
        <w:autoSpaceDE w:val="0"/>
        <w:autoSpaceDN w:val="0"/>
        <w:adjustRightInd w:val="0"/>
        <w:rPr>
          <w:rFonts w:eastAsia="Calibri"/>
        </w:rPr>
      </w:pPr>
    </w:p>
    <w:p w14:paraId="1B24D516" w14:textId="77777777" w:rsidR="00041CC8" w:rsidRPr="005454C8" w:rsidRDefault="00041CC8" w:rsidP="00041CC8">
      <w:pPr>
        <w:autoSpaceDE w:val="0"/>
        <w:autoSpaceDN w:val="0"/>
        <w:adjustRightInd w:val="0"/>
        <w:rPr>
          <w:rFonts w:eastAsia="Calibri"/>
          <w:u w:val="single"/>
        </w:rPr>
      </w:pPr>
      <w:r w:rsidRPr="005454C8">
        <w:rPr>
          <w:rFonts w:eastAsia="Calibri"/>
          <w:u w:val="single"/>
        </w:rPr>
        <w:t>Absorbcija</w:t>
      </w:r>
    </w:p>
    <w:p w14:paraId="6F0F626A" w14:textId="77777777" w:rsidR="00041CC8" w:rsidRPr="005454C8" w:rsidRDefault="00041CC8" w:rsidP="00041CC8">
      <w:pPr>
        <w:autoSpaceDE w:val="0"/>
        <w:autoSpaceDN w:val="0"/>
        <w:adjustRightInd w:val="0"/>
        <w:rPr>
          <w:rFonts w:eastAsia="Calibri"/>
        </w:rPr>
      </w:pPr>
      <w:r w:rsidRPr="005454C8">
        <w:rPr>
          <w:rFonts w:eastAsia="Calibri"/>
        </w:rPr>
        <w:t>Išgertas vorikonazolas greitai ir visiškai absorbuojamas. Jo didžiausia koncentracija</w:t>
      </w:r>
      <w:r w:rsidRPr="009A1B7F">
        <w:rPr>
          <w:rFonts w:eastAsia="Calibri"/>
          <w:szCs w:val="22"/>
          <w:lang w:eastAsia="en-US"/>
        </w:rPr>
        <w:t xml:space="preserve"> kraujo</w:t>
      </w:r>
      <w:r w:rsidRPr="005454C8">
        <w:rPr>
          <w:rFonts w:eastAsia="Calibri"/>
        </w:rPr>
        <w:t xml:space="preserve"> plazmoje (C</w:t>
      </w:r>
      <w:r w:rsidRPr="005454C8">
        <w:rPr>
          <w:rFonts w:eastAsia="Calibri"/>
          <w:vertAlign w:val="subscript"/>
        </w:rPr>
        <w:t>max</w:t>
      </w:r>
      <w:r w:rsidRPr="005454C8">
        <w:rPr>
          <w:rFonts w:eastAsia="Calibri"/>
        </w:rPr>
        <w:t>) pasiekiama praėjus 1-2 val. po dozės pavartojimo. Išgerto vorikonazolo absoliutus biologinis prieinamumas yra maždaug 96 %. Vartojant kartotines vorikonazolo dozes su labai riebiu maistu, C</w:t>
      </w:r>
      <w:r w:rsidRPr="00D2038C">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atitinkamai sumažėja 34 % ir 24 %. Skrandžio pH pokytis vorikonazolo absorbcijai įtakos nedaro.</w:t>
      </w:r>
    </w:p>
    <w:p w14:paraId="3C3F69E7" w14:textId="77777777" w:rsidR="00041CC8" w:rsidRPr="005454C8" w:rsidRDefault="00041CC8" w:rsidP="00041CC8">
      <w:pPr>
        <w:autoSpaceDE w:val="0"/>
        <w:autoSpaceDN w:val="0"/>
        <w:adjustRightInd w:val="0"/>
        <w:rPr>
          <w:rFonts w:eastAsia="Calibri"/>
        </w:rPr>
      </w:pPr>
    </w:p>
    <w:p w14:paraId="67CEA43F" w14:textId="77777777" w:rsidR="00041CC8" w:rsidRPr="005454C8" w:rsidRDefault="00041CC8" w:rsidP="00041CC8">
      <w:pPr>
        <w:autoSpaceDE w:val="0"/>
        <w:autoSpaceDN w:val="0"/>
        <w:adjustRightInd w:val="0"/>
        <w:rPr>
          <w:rFonts w:eastAsia="Calibri"/>
          <w:u w:val="single"/>
        </w:rPr>
      </w:pPr>
      <w:r w:rsidRPr="005454C8">
        <w:rPr>
          <w:rFonts w:eastAsia="Calibri"/>
          <w:u w:val="single"/>
        </w:rPr>
        <w:t>Pasiskirstymas</w:t>
      </w:r>
    </w:p>
    <w:p w14:paraId="7D800336" w14:textId="77777777" w:rsidR="00041CC8" w:rsidRPr="005454C8" w:rsidRDefault="00041CC8" w:rsidP="00041CC8">
      <w:pPr>
        <w:autoSpaceDE w:val="0"/>
        <w:autoSpaceDN w:val="0"/>
        <w:adjustRightInd w:val="0"/>
        <w:rPr>
          <w:rFonts w:eastAsia="Calibri"/>
        </w:rPr>
      </w:pPr>
      <w:r w:rsidRPr="005454C8">
        <w:rPr>
          <w:rFonts w:eastAsia="Calibri"/>
        </w:rPr>
        <w:t>Vorikonazolas plačiai pasiskirsto organizmo audiniuose, nusistovėjusios koncentracijos pasiskirstymo tūris yra maždaug 4,6 l/kg kūno masės. Su</w:t>
      </w:r>
      <w:r w:rsidRPr="009A1B7F">
        <w:rPr>
          <w:rFonts w:eastAsia="Calibri"/>
          <w:szCs w:val="22"/>
          <w:lang w:eastAsia="en-US"/>
        </w:rPr>
        <w:t xml:space="preserve"> kraujo</w:t>
      </w:r>
      <w:r w:rsidRPr="005454C8">
        <w:rPr>
          <w:rFonts w:eastAsia="Calibri"/>
        </w:rPr>
        <w:t xml:space="preserve"> plazmos baltymais jungiasi maždaug 58 % preparato. Iš aštuonių žmonių, dalyvavusių labdaros programoje, paimtuose cerebrospinalinio skysčio pavyzdžiuose vorikonazolo koncentracija buvo tokia, kurią nustatyti įmanoma.</w:t>
      </w:r>
    </w:p>
    <w:p w14:paraId="33083843" w14:textId="77777777" w:rsidR="00041CC8" w:rsidRPr="005454C8" w:rsidRDefault="00041CC8" w:rsidP="00041CC8">
      <w:pPr>
        <w:autoSpaceDE w:val="0"/>
        <w:autoSpaceDN w:val="0"/>
        <w:adjustRightInd w:val="0"/>
        <w:rPr>
          <w:rFonts w:eastAsia="Calibri"/>
        </w:rPr>
      </w:pPr>
    </w:p>
    <w:p w14:paraId="5D632FBD" w14:textId="77777777" w:rsidR="00041CC8" w:rsidRPr="005454C8" w:rsidRDefault="00041CC8" w:rsidP="00041CC8">
      <w:pPr>
        <w:autoSpaceDE w:val="0"/>
        <w:autoSpaceDN w:val="0"/>
        <w:adjustRightInd w:val="0"/>
        <w:rPr>
          <w:rFonts w:eastAsia="Calibri"/>
          <w:u w:val="single"/>
        </w:rPr>
      </w:pPr>
      <w:r w:rsidRPr="005454C8">
        <w:rPr>
          <w:rFonts w:eastAsia="Calibri"/>
          <w:u w:val="single"/>
        </w:rPr>
        <w:t>Biotransformacija</w:t>
      </w:r>
    </w:p>
    <w:p w14:paraId="412B57DA" w14:textId="77777777" w:rsidR="00041CC8" w:rsidRPr="005454C8" w:rsidRDefault="00041CC8" w:rsidP="00041CC8">
      <w:pPr>
        <w:autoSpaceDE w:val="0"/>
        <w:autoSpaceDN w:val="0"/>
        <w:adjustRightInd w:val="0"/>
        <w:rPr>
          <w:rFonts w:eastAsia="Calibri"/>
        </w:rPr>
      </w:pPr>
      <w:r w:rsidRPr="005454C8">
        <w:rPr>
          <w:rFonts w:eastAsia="Calibri"/>
        </w:rPr>
        <w:t xml:space="preserve">Tyrimai </w:t>
      </w:r>
      <w:r w:rsidRPr="005454C8">
        <w:rPr>
          <w:rFonts w:eastAsia="TimesNewRoman,Italic"/>
          <w:i/>
        </w:rPr>
        <w:t xml:space="preserve">in vitro </w:t>
      </w:r>
      <w:r w:rsidRPr="005454C8">
        <w:rPr>
          <w:rFonts w:eastAsia="Calibri"/>
        </w:rPr>
        <w:t>parodė, kad vorikonazolo metabolizmą veikia kepenų citochromo P450 CYP2C19,</w:t>
      </w:r>
      <w:r w:rsidRPr="005454C8" w:rsidDel="00590746">
        <w:rPr>
          <w:rFonts w:eastAsia="Calibri"/>
        </w:rPr>
        <w:t xml:space="preserve"> </w:t>
      </w:r>
      <w:r w:rsidRPr="005454C8">
        <w:rPr>
          <w:rFonts w:eastAsia="Calibri"/>
        </w:rPr>
        <w:t>CYP2C9 ir CYP3A4 izofermentai.</w:t>
      </w:r>
    </w:p>
    <w:p w14:paraId="36D61924" w14:textId="77777777" w:rsidR="00041CC8" w:rsidRPr="005454C8" w:rsidRDefault="00041CC8" w:rsidP="00041CC8">
      <w:pPr>
        <w:autoSpaceDE w:val="0"/>
        <w:autoSpaceDN w:val="0"/>
        <w:adjustRightInd w:val="0"/>
        <w:rPr>
          <w:rFonts w:eastAsia="Calibri"/>
        </w:rPr>
      </w:pPr>
    </w:p>
    <w:p w14:paraId="4E8F56D7" w14:textId="77777777" w:rsidR="00041CC8" w:rsidRPr="005454C8" w:rsidRDefault="00041CC8" w:rsidP="00041CC8">
      <w:pPr>
        <w:autoSpaceDE w:val="0"/>
        <w:autoSpaceDN w:val="0"/>
        <w:adjustRightInd w:val="0"/>
        <w:rPr>
          <w:rFonts w:eastAsia="Calibri"/>
        </w:rPr>
      </w:pPr>
      <w:r w:rsidRPr="005454C8">
        <w:rPr>
          <w:rFonts w:eastAsia="Calibri"/>
        </w:rPr>
        <w:t>Vorikonazolo farmakokinetikos kintamumas skirtingų pacientų organizme yra labai didelis.</w:t>
      </w:r>
    </w:p>
    <w:p w14:paraId="6C034AFF" w14:textId="77777777" w:rsidR="00041CC8" w:rsidRPr="005454C8" w:rsidRDefault="00041CC8" w:rsidP="00041CC8">
      <w:pPr>
        <w:autoSpaceDE w:val="0"/>
        <w:autoSpaceDN w:val="0"/>
        <w:adjustRightInd w:val="0"/>
        <w:rPr>
          <w:rFonts w:eastAsia="Calibri"/>
        </w:rPr>
      </w:pPr>
    </w:p>
    <w:p w14:paraId="5561111F" w14:textId="77777777" w:rsidR="00041CC8" w:rsidRPr="005454C8" w:rsidRDefault="00041CC8" w:rsidP="00041CC8">
      <w:pPr>
        <w:autoSpaceDE w:val="0"/>
        <w:autoSpaceDN w:val="0"/>
        <w:adjustRightInd w:val="0"/>
        <w:rPr>
          <w:rFonts w:eastAsia="Calibri"/>
        </w:rPr>
      </w:pPr>
      <w:r w:rsidRPr="005454C8">
        <w:rPr>
          <w:rFonts w:eastAsia="Calibri"/>
        </w:rPr>
        <w:t xml:space="preserve">Tyrimais </w:t>
      </w:r>
      <w:r w:rsidRPr="005454C8">
        <w:rPr>
          <w:rFonts w:eastAsia="TimesNewRoman,Italic"/>
          <w:i/>
        </w:rPr>
        <w:t xml:space="preserve">in vivo </w:t>
      </w:r>
      <w:r w:rsidRPr="005454C8">
        <w:rPr>
          <w:rFonts w:eastAsia="Calibri"/>
        </w:rPr>
        <w:t>nustatyta, kad CYP2C19 yra labai svarbus vorikonazolo metabolizmui. Šis fermentas rodo genetinį polimorfizmą. Pavyzdžiui, 15-20 % azijiečių organizme metabolizmas yra silpnas ir tik 3-5 % baltosios ir juodosios rasės žmonių organizme metabolizmas yra silpnas. Tyrimai, atlikti su sveikais baltosios ir japonų rasės tiriamaisiais, parodė, kad jei ligonio organizme metabolizmas yra silpnas, vorikonazolo ekspozicija (AUC</w:t>
      </w:r>
      <w:r w:rsidRPr="005454C8">
        <w:rPr>
          <w:vertAlign w:val="subscript"/>
        </w:rPr>
        <w:t>τ</w:t>
      </w:r>
      <w:r w:rsidRPr="005454C8">
        <w:rPr>
          <w:rFonts w:eastAsia="Calibri"/>
        </w:rPr>
        <w: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14:paraId="07DAAF1A" w14:textId="77777777" w:rsidR="00041CC8" w:rsidRPr="005454C8" w:rsidRDefault="00041CC8" w:rsidP="00041CC8">
      <w:pPr>
        <w:autoSpaceDE w:val="0"/>
        <w:autoSpaceDN w:val="0"/>
        <w:adjustRightInd w:val="0"/>
        <w:rPr>
          <w:rFonts w:eastAsia="Calibri"/>
        </w:rPr>
      </w:pPr>
    </w:p>
    <w:p w14:paraId="6B7C2DF1" w14:textId="77777777" w:rsidR="00041CC8" w:rsidRPr="005454C8" w:rsidRDefault="00041CC8" w:rsidP="00041CC8">
      <w:pPr>
        <w:autoSpaceDE w:val="0"/>
        <w:autoSpaceDN w:val="0"/>
        <w:adjustRightInd w:val="0"/>
        <w:rPr>
          <w:rFonts w:eastAsia="Calibri"/>
        </w:rPr>
      </w:pPr>
      <w:r w:rsidRPr="005454C8">
        <w:rPr>
          <w:rFonts w:eastAsia="Calibri"/>
        </w:rPr>
        <w:t>Svarbiausias vorikonazolo metabolitas yra N-oksidas, kuris sudaro 72 % visų plazmoje esančių radioaktyvių metabolitų. Šis metabolitas sukelia labai nedidelį priešgrybelinį poveikį ir bendram vorikonazolo poveikiui įtakos nedaro.</w:t>
      </w:r>
    </w:p>
    <w:p w14:paraId="15FB6AEB" w14:textId="77777777" w:rsidR="00041CC8" w:rsidRPr="005454C8" w:rsidRDefault="00041CC8" w:rsidP="00041CC8">
      <w:pPr>
        <w:autoSpaceDE w:val="0"/>
        <w:autoSpaceDN w:val="0"/>
        <w:adjustRightInd w:val="0"/>
        <w:rPr>
          <w:rFonts w:eastAsia="Calibri"/>
        </w:rPr>
      </w:pPr>
    </w:p>
    <w:p w14:paraId="6941704B" w14:textId="77777777" w:rsidR="00041CC8" w:rsidRPr="005454C8" w:rsidRDefault="00041CC8" w:rsidP="00041CC8">
      <w:pPr>
        <w:autoSpaceDE w:val="0"/>
        <w:autoSpaceDN w:val="0"/>
        <w:adjustRightInd w:val="0"/>
        <w:rPr>
          <w:rFonts w:eastAsia="Calibri"/>
          <w:u w:val="single"/>
        </w:rPr>
      </w:pPr>
      <w:r w:rsidRPr="005454C8">
        <w:rPr>
          <w:rFonts w:eastAsia="Calibri"/>
          <w:u w:val="single"/>
        </w:rPr>
        <w:t>Eliminacija</w:t>
      </w:r>
    </w:p>
    <w:p w14:paraId="0E7DCC8F" w14:textId="77777777" w:rsidR="00041CC8" w:rsidRPr="005454C8" w:rsidRDefault="00041CC8" w:rsidP="00041CC8">
      <w:pPr>
        <w:autoSpaceDE w:val="0"/>
        <w:autoSpaceDN w:val="0"/>
        <w:adjustRightInd w:val="0"/>
        <w:rPr>
          <w:rFonts w:eastAsia="Calibri"/>
        </w:rPr>
      </w:pPr>
      <w:r w:rsidRPr="005454C8">
        <w:rPr>
          <w:rFonts w:eastAsia="Calibri"/>
        </w:rPr>
        <w:t>Vorikonazolas eliminuojamas per kepenis metabolizmo būdu, mažiau kaip 2 % dozės šalinama nepakitusio vaistinio preparato pavidalu su šlapimu.</w:t>
      </w:r>
    </w:p>
    <w:p w14:paraId="0B1D3F3A" w14:textId="77777777" w:rsidR="00041CC8" w:rsidRPr="005454C8" w:rsidRDefault="00041CC8" w:rsidP="00041CC8">
      <w:pPr>
        <w:autoSpaceDE w:val="0"/>
        <w:autoSpaceDN w:val="0"/>
        <w:adjustRightInd w:val="0"/>
        <w:rPr>
          <w:rFonts w:eastAsia="Calibri"/>
        </w:rPr>
      </w:pPr>
    </w:p>
    <w:p w14:paraId="7C0F4D2A" w14:textId="77777777" w:rsidR="00041CC8" w:rsidRPr="005454C8" w:rsidRDefault="00041CC8" w:rsidP="00041CC8">
      <w:pPr>
        <w:autoSpaceDE w:val="0"/>
        <w:autoSpaceDN w:val="0"/>
        <w:adjustRightInd w:val="0"/>
        <w:rPr>
          <w:rFonts w:eastAsia="Calibri"/>
        </w:rPr>
      </w:pPr>
      <w:r w:rsidRPr="005454C8">
        <w:rPr>
          <w:rFonts w:eastAsia="Calibri"/>
        </w:rPr>
        <w:t>Į veną suleidus kelias radioaktyvaus vorikonazolo dozes, maždaug 80 % radioaktyvumo nustatoma šlapime, 83 % - jei vaistinio preparato kelis kartus buvo išgerta. Daugiausia (&gt; 94 %) radioaktyvios medžiagos išsiskiria per pirmąsias 96 valandas ir vartojant vaistinį preparatą per burną, ir į veną.</w:t>
      </w:r>
    </w:p>
    <w:p w14:paraId="72102DD4" w14:textId="77777777" w:rsidR="00041CC8" w:rsidRPr="005454C8" w:rsidRDefault="00041CC8" w:rsidP="00041CC8">
      <w:pPr>
        <w:autoSpaceDE w:val="0"/>
        <w:autoSpaceDN w:val="0"/>
        <w:adjustRightInd w:val="0"/>
        <w:rPr>
          <w:rFonts w:eastAsia="Calibri"/>
        </w:rPr>
      </w:pPr>
    </w:p>
    <w:p w14:paraId="71BB1BAB" w14:textId="77777777" w:rsidR="00041CC8" w:rsidRPr="005454C8" w:rsidRDefault="00041CC8" w:rsidP="00041CC8">
      <w:pPr>
        <w:autoSpaceDE w:val="0"/>
        <w:autoSpaceDN w:val="0"/>
        <w:adjustRightInd w:val="0"/>
        <w:rPr>
          <w:rFonts w:eastAsia="Calibri"/>
        </w:rPr>
      </w:pPr>
      <w:r w:rsidRPr="005454C8">
        <w:rPr>
          <w:rFonts w:eastAsia="Calibri"/>
        </w:rPr>
        <w:t>Galutinis vorikonazolo pusinės eliminacijos periodas priklauso nuo dozės ir, išgėrus 200 mg dozę,</w:t>
      </w:r>
      <w:r w:rsidRPr="005454C8" w:rsidDel="00590746">
        <w:rPr>
          <w:rFonts w:eastAsia="Calibri"/>
        </w:rPr>
        <w:t xml:space="preserve"> </w:t>
      </w:r>
      <w:r w:rsidRPr="005454C8">
        <w:rPr>
          <w:rFonts w:eastAsia="Calibri"/>
        </w:rPr>
        <w:t>trunka maždaug 6 val. Kadangi vaistinio preparato farmakokinetika yra nelinijinė, galutinio pusinės eliminacijos periodo rodmenys netinka vorikonazolo kaupimuisi organizme arba išsiskyrimui iš jo prognozuoti.</w:t>
      </w:r>
    </w:p>
    <w:p w14:paraId="3221607D" w14:textId="77777777" w:rsidR="00041CC8" w:rsidRPr="005454C8" w:rsidRDefault="00041CC8" w:rsidP="00041CC8">
      <w:pPr>
        <w:autoSpaceDE w:val="0"/>
        <w:autoSpaceDN w:val="0"/>
        <w:adjustRightInd w:val="0"/>
        <w:rPr>
          <w:rFonts w:eastAsia="Calibri"/>
        </w:rPr>
      </w:pPr>
    </w:p>
    <w:p w14:paraId="457F6E81" w14:textId="77777777" w:rsidR="00041CC8" w:rsidRPr="005454C8" w:rsidRDefault="00041CC8" w:rsidP="00041CC8">
      <w:pPr>
        <w:autoSpaceDE w:val="0"/>
        <w:autoSpaceDN w:val="0"/>
        <w:adjustRightInd w:val="0"/>
        <w:rPr>
          <w:rFonts w:eastAsia="Calibri"/>
          <w:u w:val="single"/>
        </w:rPr>
      </w:pPr>
      <w:r w:rsidRPr="005454C8">
        <w:rPr>
          <w:rFonts w:eastAsia="Calibri"/>
          <w:u w:val="single"/>
        </w:rPr>
        <w:t>Farmakokinetika specialių grupių ligonių organizme</w:t>
      </w:r>
    </w:p>
    <w:p w14:paraId="44BF3590" w14:textId="77777777" w:rsidR="00041CC8" w:rsidRPr="005454C8" w:rsidRDefault="00041CC8" w:rsidP="00041CC8">
      <w:pPr>
        <w:autoSpaceDE w:val="0"/>
        <w:autoSpaceDN w:val="0"/>
        <w:adjustRightInd w:val="0"/>
        <w:rPr>
          <w:rFonts w:eastAsia="Calibri"/>
          <w:u w:val="single"/>
        </w:rPr>
      </w:pPr>
    </w:p>
    <w:p w14:paraId="7676A1F6" w14:textId="77777777" w:rsidR="00041CC8" w:rsidRPr="005454C8" w:rsidRDefault="00041CC8" w:rsidP="00041CC8">
      <w:pPr>
        <w:autoSpaceDE w:val="0"/>
        <w:autoSpaceDN w:val="0"/>
        <w:adjustRightInd w:val="0"/>
        <w:rPr>
          <w:rFonts w:eastAsia="Calibri"/>
          <w:u w:val="single"/>
        </w:rPr>
      </w:pPr>
      <w:r w:rsidRPr="005454C8">
        <w:rPr>
          <w:rFonts w:eastAsia="Calibri"/>
          <w:u w:val="single"/>
        </w:rPr>
        <w:t>Lytis</w:t>
      </w:r>
    </w:p>
    <w:p w14:paraId="4030539A" w14:textId="77777777" w:rsidR="00041CC8" w:rsidRPr="005454C8" w:rsidRDefault="00041CC8" w:rsidP="00041CC8">
      <w:pPr>
        <w:autoSpaceDE w:val="0"/>
        <w:autoSpaceDN w:val="0"/>
        <w:adjustRightInd w:val="0"/>
        <w:rPr>
          <w:rFonts w:eastAsia="Calibri"/>
        </w:rPr>
      </w:pPr>
      <w:r w:rsidRPr="005454C8">
        <w:rPr>
          <w:rFonts w:eastAsia="Calibri"/>
        </w:rPr>
        <w:t>Kartotinių dozių tyrimo duomenimis,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jaunų sveikų moterų organizme buvo atitinkamai 83 % ir 113 % didesni, palyginti su sveikų jaunų (18-45 metų) vyrų. To paties tyrimo duomenimis,</w:t>
      </w:r>
      <w:r w:rsidRPr="005454C8" w:rsidDel="00590746">
        <w:rPr>
          <w:rFonts w:eastAsia="Calibri"/>
        </w:rPr>
        <w:t xml:space="preserve"> </w:t>
      </w:r>
      <w:r w:rsidRPr="005454C8">
        <w:rPr>
          <w:rFonts w:eastAsia="Calibri"/>
        </w:rPr>
        <w:t>didelio sveikų senyvų (≥ 65 metų) vyrų ir moterų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rodmenų skirtumo nepastebėta.</w:t>
      </w:r>
    </w:p>
    <w:p w14:paraId="190410E4" w14:textId="77777777" w:rsidR="00041CC8" w:rsidRPr="005454C8" w:rsidRDefault="00041CC8" w:rsidP="00041CC8">
      <w:pPr>
        <w:autoSpaceDE w:val="0"/>
        <w:autoSpaceDN w:val="0"/>
        <w:adjustRightInd w:val="0"/>
        <w:rPr>
          <w:rFonts w:eastAsia="Calibri"/>
        </w:rPr>
      </w:pPr>
    </w:p>
    <w:p w14:paraId="4C08BB6A" w14:textId="77777777" w:rsidR="00041CC8" w:rsidRPr="005454C8" w:rsidRDefault="00041CC8" w:rsidP="00041CC8">
      <w:pPr>
        <w:autoSpaceDE w:val="0"/>
        <w:autoSpaceDN w:val="0"/>
        <w:adjustRightInd w:val="0"/>
        <w:rPr>
          <w:rFonts w:eastAsia="Calibri"/>
        </w:rPr>
      </w:pPr>
      <w:r w:rsidRPr="005454C8">
        <w:rPr>
          <w:rFonts w:eastAsia="Calibri"/>
        </w:rPr>
        <w:t xml:space="preserve">Klinikinių tyrimų metu dozės nebuvo koreguojamos dėl lyčių skirtumo. Vaistinio preparato saugumo duomenys ir koncentracijos vyrų ir moterų </w:t>
      </w:r>
      <w:r w:rsidRPr="009A1B7F">
        <w:rPr>
          <w:rFonts w:eastAsia="Calibri"/>
          <w:szCs w:val="22"/>
          <w:lang w:eastAsia="en-US"/>
        </w:rPr>
        <w:t xml:space="preserve">kraujo </w:t>
      </w:r>
      <w:r w:rsidRPr="005454C8">
        <w:rPr>
          <w:rFonts w:eastAsia="Calibri"/>
        </w:rPr>
        <w:t>plazmoje buvo panašūs. Todėl atsižvelgiant į lytį, dozės koreguoti nereikia.</w:t>
      </w:r>
    </w:p>
    <w:p w14:paraId="060AC161" w14:textId="77777777" w:rsidR="00041CC8" w:rsidRPr="005454C8" w:rsidRDefault="00041CC8" w:rsidP="00041CC8">
      <w:pPr>
        <w:autoSpaceDE w:val="0"/>
        <w:autoSpaceDN w:val="0"/>
        <w:adjustRightInd w:val="0"/>
        <w:rPr>
          <w:rFonts w:eastAsia="Calibri"/>
        </w:rPr>
      </w:pPr>
    </w:p>
    <w:p w14:paraId="65A960FB" w14:textId="77777777" w:rsidR="00041CC8" w:rsidRPr="005454C8" w:rsidRDefault="00041CC8" w:rsidP="00041CC8">
      <w:pPr>
        <w:autoSpaceDE w:val="0"/>
        <w:autoSpaceDN w:val="0"/>
        <w:adjustRightInd w:val="0"/>
        <w:rPr>
          <w:rFonts w:eastAsia="Calibri"/>
          <w:u w:val="single"/>
        </w:rPr>
      </w:pPr>
      <w:r w:rsidRPr="005454C8">
        <w:rPr>
          <w:rFonts w:eastAsia="Calibri"/>
          <w:u w:val="single"/>
        </w:rPr>
        <w:t>Senyvi žmonės</w:t>
      </w:r>
    </w:p>
    <w:p w14:paraId="2DFA669C" w14:textId="77777777" w:rsidR="00041CC8" w:rsidRPr="005454C8" w:rsidRDefault="00041CC8" w:rsidP="00041CC8">
      <w:pPr>
        <w:autoSpaceDE w:val="0"/>
        <w:autoSpaceDN w:val="0"/>
        <w:adjustRightInd w:val="0"/>
        <w:rPr>
          <w:rFonts w:eastAsia="Calibri"/>
        </w:rPr>
      </w:pPr>
      <w:r w:rsidRPr="005454C8">
        <w:rPr>
          <w:rFonts w:eastAsia="Calibri"/>
        </w:rPr>
        <w:t>Nustatyta, kad sveikiems senyviems (≥ 65 metų) vyrams geriant kartotines vorikonazolo dozes,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rodmenys būna atitinkamai 61 % ir 86 % didesni nei sveikų jaunų (18 - 45 metų) vyrų. Didelio sveikų senyvų (≥ 65 metų) moterų ir sveikų jaunų (18 - 45 metų) moterų C</w:t>
      </w:r>
      <w:r w:rsidRPr="005454C8">
        <w:rPr>
          <w:rFonts w:eastAsia="Calibri"/>
          <w:vertAlign w:val="subscript"/>
        </w:rPr>
        <w:t>max</w:t>
      </w:r>
      <w:r w:rsidRPr="005454C8">
        <w:rPr>
          <w:rFonts w:eastAsia="Calibri"/>
        </w:rPr>
        <w:t xml:space="preserve"> ir AUC</w:t>
      </w:r>
      <w:r w:rsidRPr="005454C8">
        <w:rPr>
          <w:vertAlign w:val="subscript"/>
        </w:rPr>
        <w:t>τ</w:t>
      </w:r>
      <w:r w:rsidRPr="005454C8">
        <w:rPr>
          <w:rFonts w:eastAsia="Calibri"/>
        </w:rPr>
        <w:t xml:space="preserve"> rodmenų skirtumo nėra.</w:t>
      </w:r>
    </w:p>
    <w:p w14:paraId="7A3F37F3" w14:textId="77777777" w:rsidR="00041CC8" w:rsidRPr="005454C8" w:rsidRDefault="00041CC8" w:rsidP="00041CC8">
      <w:pPr>
        <w:autoSpaceDE w:val="0"/>
        <w:autoSpaceDN w:val="0"/>
        <w:adjustRightInd w:val="0"/>
        <w:rPr>
          <w:rFonts w:eastAsia="Calibri"/>
        </w:rPr>
      </w:pPr>
    </w:p>
    <w:p w14:paraId="665257D7" w14:textId="77777777" w:rsidR="00041CC8" w:rsidRPr="005454C8" w:rsidRDefault="00041CC8" w:rsidP="00041CC8">
      <w:pPr>
        <w:autoSpaceDE w:val="0"/>
        <w:autoSpaceDN w:val="0"/>
        <w:adjustRightInd w:val="0"/>
        <w:rPr>
          <w:rFonts w:eastAsia="Calibri"/>
        </w:rPr>
      </w:pPr>
      <w:r w:rsidRPr="005454C8">
        <w:rPr>
          <w:rFonts w:eastAsia="Calibri"/>
        </w:rPr>
        <w:t xml:space="preserve">Klinikinių tyrimų metu dozė atsižvelgiant į amžių nebuvo koreguojama. Buvo tirtas ryšys tarp vaistinio preparato koncentracijos </w:t>
      </w:r>
      <w:r w:rsidRPr="009A1B7F">
        <w:rPr>
          <w:rFonts w:eastAsia="Calibri"/>
          <w:szCs w:val="22"/>
          <w:lang w:eastAsia="en-US"/>
        </w:rPr>
        <w:t xml:space="preserve">kraujo </w:t>
      </w:r>
      <w:r w:rsidRPr="005454C8">
        <w:rPr>
          <w:rFonts w:eastAsia="Calibri"/>
        </w:rPr>
        <w:t>plazmoje ir ligonio amžiaus. Vorikonazolo saugumo jauniems ir senyviems pacientams duomenys buvo panašūs, todėl senyviems žmonėms dozės koreguoti nebūtina (žr. 4.2 skyrių).</w:t>
      </w:r>
    </w:p>
    <w:p w14:paraId="0000C8F9" w14:textId="77777777" w:rsidR="00041CC8" w:rsidRPr="005454C8" w:rsidRDefault="00041CC8" w:rsidP="00041CC8">
      <w:pPr>
        <w:autoSpaceDE w:val="0"/>
        <w:autoSpaceDN w:val="0"/>
        <w:adjustRightInd w:val="0"/>
        <w:rPr>
          <w:rFonts w:eastAsia="Calibri"/>
        </w:rPr>
      </w:pPr>
    </w:p>
    <w:p w14:paraId="392AA138" w14:textId="77777777" w:rsidR="00041CC8" w:rsidRPr="005454C8" w:rsidRDefault="00041CC8" w:rsidP="00041CC8">
      <w:pPr>
        <w:rPr>
          <w:rFonts w:eastAsia="Calibri"/>
          <w:u w:val="single"/>
        </w:rPr>
      </w:pPr>
      <w:r w:rsidRPr="005454C8">
        <w:rPr>
          <w:rFonts w:eastAsia="Calibri"/>
          <w:u w:val="single"/>
        </w:rPr>
        <w:t>Vaikų populiacija</w:t>
      </w:r>
    </w:p>
    <w:p w14:paraId="3377B3FE" w14:textId="77777777" w:rsidR="00041CC8" w:rsidRPr="005454C8" w:rsidRDefault="00041CC8" w:rsidP="00041CC8">
      <w:pPr>
        <w:autoSpaceDE w:val="0"/>
        <w:autoSpaceDN w:val="0"/>
        <w:adjustRightInd w:val="0"/>
        <w:rPr>
          <w:rFonts w:eastAsia="Calibri"/>
        </w:rPr>
      </w:pPr>
      <w:r w:rsidRPr="005454C8">
        <w:rPr>
          <w:rFonts w:eastAsia="Calibri"/>
        </w:rPr>
        <w:t>Rekomenduojamos dozės vaikams ir paaugliams buvo nustatytos, remiantis populiacijos farmakokinetikos tyrimų, kuriuose dalyvavo 112 nuo 2 iki &lt; 12 metų vaikų, kurių imunitetas sutrikęs,</w:t>
      </w:r>
      <w:r w:rsidRPr="005454C8" w:rsidDel="00590746">
        <w:rPr>
          <w:rFonts w:eastAsia="Calibri"/>
        </w:rPr>
        <w:t xml:space="preserve"> </w:t>
      </w:r>
      <w:r w:rsidRPr="005454C8">
        <w:rPr>
          <w:rFonts w:eastAsia="Calibri"/>
        </w:rPr>
        <w:t xml:space="preserve">ir 26 nuo 12 iki &lt; 17 metų paaugliai, kurių imunitetas sutrikęs, duomenimis. Trijų farmakokinetikos vaikų organizme tyrimų metu buvo tirtos kartotinės 3, 4, 6, 7 ir 8 mg/kg dozės du kartus per parą į veną ir kartotinės 4 mg/kg, 6 mg/kg ir 200 mg dozės 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 duomenų kintamumas buvo didesnis, palyginti su suaugusiųjų. </w:t>
      </w:r>
    </w:p>
    <w:p w14:paraId="1240E5F4" w14:textId="77777777" w:rsidR="00041CC8" w:rsidRPr="005454C8" w:rsidRDefault="00041CC8" w:rsidP="00041CC8">
      <w:pPr>
        <w:autoSpaceDE w:val="0"/>
        <w:autoSpaceDN w:val="0"/>
        <w:adjustRightInd w:val="0"/>
        <w:rPr>
          <w:rFonts w:eastAsia="Calibri"/>
        </w:rPr>
      </w:pPr>
    </w:p>
    <w:p w14:paraId="5EC26A7A" w14:textId="77777777" w:rsidR="00041CC8" w:rsidRPr="005454C8" w:rsidRDefault="00041CC8" w:rsidP="00041CC8">
      <w:pPr>
        <w:autoSpaceDE w:val="0"/>
        <w:autoSpaceDN w:val="0"/>
        <w:adjustRightInd w:val="0"/>
        <w:rPr>
          <w:rFonts w:eastAsia="Calibri"/>
        </w:rPr>
      </w:pPr>
      <w:r w:rsidRPr="005454C8">
        <w:rPr>
          <w:rFonts w:eastAsia="Calibri"/>
        </w:rPr>
        <w:t>Vaikų ir suaugusiųjų populiacijos pacientų farmakokinetikos duomenų palyginimas rodo, kad numatytoji bendroji ekspozicija (AUC</w:t>
      </w:r>
      <w:r w:rsidRPr="005454C8">
        <w:rPr>
          <w:vertAlign w:val="subscript"/>
        </w:rPr>
        <w:t>τ</w:t>
      </w:r>
      <w:r w:rsidRPr="005454C8">
        <w:rPr>
          <w:rFonts w:eastAsia="Calibri"/>
        </w:rPr>
        <w:t>) vaikų organizme po 9 mg/kg įsotinamosios dozės į veną pavartojimo buvo panaši į suaugusiųjų po 6 mg/kg įsotinamosios dozės į veną pavartojimo.</w:t>
      </w:r>
    </w:p>
    <w:p w14:paraId="637BA3EF" w14:textId="77777777" w:rsidR="00041CC8" w:rsidRPr="005454C8" w:rsidRDefault="00041CC8" w:rsidP="00041CC8">
      <w:pPr>
        <w:autoSpaceDE w:val="0"/>
        <w:autoSpaceDN w:val="0"/>
        <w:adjustRightInd w:val="0"/>
        <w:rPr>
          <w:rFonts w:eastAsia="Calibri"/>
        </w:rPr>
      </w:pPr>
      <w:r w:rsidRPr="005454C8">
        <w:rPr>
          <w:rFonts w:eastAsia="Calibri"/>
        </w:rPr>
        <w:t xml:space="preserve">Numatytoji bendroji ekspozicija vaikų organizme vartojant 4 ir 8 mg/kg palaikomąsias dozes į veną du kartus per parą buvo panaši į tas, kurios būna suaugusiųjų, kuriems vartojamos atitinkamai 3 ir 4 mg/kg palaikomosios dozės į veną du kartus per parą, organizme. Numatytoji bendroji ekspozicija </w:t>
      </w:r>
      <w:r w:rsidRPr="005454C8">
        <w:rPr>
          <w:rFonts w:eastAsia="Calibri"/>
        </w:rPr>
        <w:lastRenderedPageBreak/>
        <w:t>vaikų organizme vartojant 9 mg/kg palaikomąsias dozes per burną du kartus per parą (didžiausia 350 mg dozė) buvo panaši į tas, kurios būna suaugusiųjų, vartojančių 200 mg dozę per burną du kartus per parą, organizme. Vartojant 8 mg/kg dozę į veną, vorikonazolo ekspozicija būna maždaug 2 kartus didesnė nei vartojant 9 mg/kg dozę per burną.</w:t>
      </w:r>
    </w:p>
    <w:p w14:paraId="194CEAF5" w14:textId="77777777" w:rsidR="00041CC8" w:rsidRPr="005454C8" w:rsidRDefault="00041CC8" w:rsidP="00041CC8">
      <w:pPr>
        <w:autoSpaceDE w:val="0"/>
        <w:autoSpaceDN w:val="0"/>
        <w:adjustRightInd w:val="0"/>
        <w:rPr>
          <w:rFonts w:eastAsia="Calibri"/>
        </w:rPr>
      </w:pPr>
    </w:p>
    <w:p w14:paraId="36DE7865" w14:textId="77777777" w:rsidR="00041CC8" w:rsidRPr="005454C8" w:rsidRDefault="00041CC8" w:rsidP="00041CC8">
      <w:pPr>
        <w:autoSpaceDE w:val="0"/>
        <w:autoSpaceDN w:val="0"/>
        <w:adjustRightInd w:val="0"/>
        <w:rPr>
          <w:rFonts w:eastAsia="Calibri"/>
        </w:rPr>
      </w:pPr>
      <w:r w:rsidRPr="005454C8">
        <w:rPr>
          <w:rFonts w:eastAsia="Calibri"/>
        </w:rPr>
        <w:t>Didesnė palaikomoji dozė į veną vaikų populiacijos pacientams, palyginti su suaugusiaisiais, rodo didesnį eliminacijos pajėgumą vaikų populiacijos pacientų organizme dėl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14:paraId="0FBD87CC" w14:textId="77777777" w:rsidR="00041CC8" w:rsidRPr="005454C8" w:rsidRDefault="00041CC8" w:rsidP="00041CC8">
      <w:pPr>
        <w:autoSpaceDE w:val="0"/>
        <w:autoSpaceDN w:val="0"/>
        <w:adjustRightInd w:val="0"/>
        <w:rPr>
          <w:rFonts w:eastAsia="Calibri"/>
        </w:rPr>
      </w:pPr>
    </w:p>
    <w:p w14:paraId="750F4D10" w14:textId="77777777" w:rsidR="00041CC8" w:rsidRPr="005454C8" w:rsidRDefault="00041CC8" w:rsidP="00041CC8">
      <w:pPr>
        <w:autoSpaceDE w:val="0"/>
        <w:autoSpaceDN w:val="0"/>
        <w:adjustRightInd w:val="0"/>
        <w:rPr>
          <w:rFonts w:eastAsia="Calibri"/>
        </w:rPr>
      </w:pPr>
      <w:r w:rsidRPr="005454C8">
        <w:rPr>
          <w:rFonts w:eastAsia="Calibri"/>
        </w:rPr>
        <w:t>Vorikonazolo ekspozicijos daugumos paauglių populiacijos pacientų organizme buvo panašios į suaugusiųjų, kurie gydyti pagal tą patį dozavimo planą. Vis dėlto kai kurių jaunų paauglių, kurių kūno masė buvo maža, organizme buvo nustatyta mažesnė vorikonazolo ekspozicija, palyginti su suaugusiųjų. Tikėtina, kad tokių asmenų organizme vorikonazolas metabolizuojamas panašiai kaip suaugusiųjų. Remiantis farmakokinetikos duomenų populiacijoje analize, 12-14 metų paaugliai, kurių kūno masė yra mažesnė kaip 50 kg, turi vartoti vaikų dozes (žr. 4.2 skyrių).</w:t>
      </w:r>
    </w:p>
    <w:p w14:paraId="670C423E" w14:textId="77777777" w:rsidR="00041CC8" w:rsidRPr="005454C8" w:rsidRDefault="00041CC8" w:rsidP="00041CC8">
      <w:pPr>
        <w:autoSpaceDE w:val="0"/>
        <w:autoSpaceDN w:val="0"/>
        <w:adjustRightInd w:val="0"/>
        <w:rPr>
          <w:rFonts w:eastAsia="Calibri"/>
        </w:rPr>
      </w:pPr>
    </w:p>
    <w:p w14:paraId="5C561FDC" w14:textId="77777777" w:rsidR="00041CC8" w:rsidRPr="005454C8" w:rsidRDefault="00041CC8" w:rsidP="00041CC8">
      <w:pPr>
        <w:autoSpaceDE w:val="0"/>
        <w:autoSpaceDN w:val="0"/>
        <w:adjustRightInd w:val="0"/>
        <w:rPr>
          <w:rFonts w:eastAsia="Calibri"/>
          <w:u w:val="single"/>
        </w:rPr>
      </w:pPr>
      <w:r w:rsidRPr="005454C8">
        <w:rPr>
          <w:color w:val="000000"/>
          <w:u w:val="single"/>
        </w:rPr>
        <w:t>Inkstų funkcijos sutrikimas</w:t>
      </w:r>
      <w:r w:rsidRPr="005454C8">
        <w:rPr>
          <w:rFonts w:eastAsia="Calibri"/>
          <w:u w:val="single"/>
        </w:rPr>
        <w:t xml:space="preserve"> </w:t>
      </w:r>
    </w:p>
    <w:p w14:paraId="6F1124DE" w14:textId="77777777" w:rsidR="00041CC8" w:rsidRPr="005454C8" w:rsidRDefault="00041CC8" w:rsidP="00041CC8">
      <w:pPr>
        <w:autoSpaceDE w:val="0"/>
        <w:autoSpaceDN w:val="0"/>
        <w:adjustRightInd w:val="0"/>
        <w:rPr>
          <w:rFonts w:eastAsia="Calibri"/>
        </w:rPr>
      </w:pPr>
      <w:r w:rsidRPr="005454C8">
        <w:rPr>
          <w:rFonts w:eastAsia="Calibri"/>
        </w:rPr>
        <w:t xml:space="preserve">Vienkartinės per burną vartojamos vorikonazolo dozės (200 mg) tyrimo su tiriamaisiais, kurių inkstų funkcija yra normali arba kuriems yra lengvas (kreatinino klirensas yra 41 – 60 ml/min.) ar sunkus inkstų funkcijos sutrikimas (kreatinino klirensas &lt; 20 ml/min.) duomenimis, inkstų funkcijos sutrikimas neturi didelės įtakos vorikonazolo farmakokinetikai. Ligonių, kurių inkstų funkcijos sutrikimas buvo įvairaus laipsnio, </w:t>
      </w:r>
      <w:r w:rsidRPr="009A1B7F">
        <w:rPr>
          <w:rFonts w:eastAsia="Calibri"/>
          <w:szCs w:val="22"/>
          <w:lang w:eastAsia="en-US"/>
        </w:rPr>
        <w:t xml:space="preserve">kraujo </w:t>
      </w:r>
      <w:r w:rsidRPr="005454C8">
        <w:rPr>
          <w:rFonts w:eastAsia="Calibri"/>
        </w:rPr>
        <w:t>plazmoje vorikonazolas su plazmos baltymais jungėsi vienodai (žr. 4.2 ir 4.4 skyrius).</w:t>
      </w:r>
    </w:p>
    <w:p w14:paraId="7FC052B4" w14:textId="77777777" w:rsidR="00041CC8" w:rsidRPr="005454C8" w:rsidRDefault="00041CC8" w:rsidP="00041CC8">
      <w:pPr>
        <w:rPr>
          <w:color w:val="000000"/>
        </w:rPr>
      </w:pPr>
    </w:p>
    <w:p w14:paraId="1031BF8D" w14:textId="77777777" w:rsidR="00041CC8" w:rsidRPr="005454C8" w:rsidRDefault="00041CC8" w:rsidP="00041CC8">
      <w:pPr>
        <w:rPr>
          <w:rFonts w:eastAsia="Calibri"/>
          <w:u w:val="single"/>
        </w:rPr>
      </w:pPr>
      <w:r w:rsidRPr="005454C8">
        <w:rPr>
          <w:color w:val="000000"/>
          <w:u w:val="single"/>
        </w:rPr>
        <w:t>Kepenų funkcijos sutrikimas</w:t>
      </w:r>
      <w:r w:rsidRPr="005454C8">
        <w:rPr>
          <w:rFonts w:eastAsia="Calibri"/>
          <w:u w:val="single"/>
        </w:rPr>
        <w:t xml:space="preserve"> </w:t>
      </w:r>
    </w:p>
    <w:p w14:paraId="5F8E36F3" w14:textId="77777777" w:rsidR="00041CC8" w:rsidRPr="005454C8" w:rsidRDefault="00041CC8" w:rsidP="00041CC8">
      <w:pPr>
        <w:autoSpaceDE w:val="0"/>
        <w:autoSpaceDN w:val="0"/>
        <w:adjustRightInd w:val="0"/>
        <w:rPr>
          <w:rFonts w:eastAsia="Calibri"/>
        </w:rPr>
      </w:pPr>
      <w:r w:rsidRPr="005454C8">
        <w:rPr>
          <w:rFonts w:eastAsia="Calibri"/>
        </w:rPr>
        <w:t xml:space="preserve">Tiriamųjų, kuriems yra lengva arba vidutinio sunkumo kepenų cirozė (A ir B klasės pagal </w:t>
      </w:r>
      <w:r w:rsidRPr="005454C8">
        <w:rPr>
          <w:rFonts w:eastAsia="Calibri"/>
          <w:i/>
        </w:rPr>
        <w:t>Child-Pugh</w:t>
      </w:r>
      <w:r w:rsidRPr="005454C8">
        <w:rPr>
          <w:rFonts w:eastAsia="Calibri"/>
        </w:rPr>
        <w:t>), išgėrusių vienkartinę vorikonazolo 200 mg dozę, AUC buvo 233 % didesnis nei tiriamųjų,</w:t>
      </w:r>
      <w:r w:rsidRPr="005454C8" w:rsidDel="009E1824">
        <w:rPr>
          <w:rFonts w:eastAsia="Calibri"/>
        </w:rPr>
        <w:t xml:space="preserve"> </w:t>
      </w:r>
      <w:r w:rsidRPr="005454C8">
        <w:rPr>
          <w:rFonts w:eastAsia="Calibri"/>
        </w:rPr>
        <w:t>kurių kepenų funkcija buvo normali. Vaistinio preparato jungimasis prie baltymų nuo kepenų funkcijos sutrikimo nepriklauso.</w:t>
      </w:r>
    </w:p>
    <w:p w14:paraId="6DDEE0FD" w14:textId="77777777" w:rsidR="00041CC8" w:rsidRPr="005454C8" w:rsidRDefault="00041CC8" w:rsidP="00041CC8">
      <w:pPr>
        <w:autoSpaceDE w:val="0"/>
        <w:autoSpaceDN w:val="0"/>
        <w:adjustRightInd w:val="0"/>
        <w:rPr>
          <w:rFonts w:eastAsia="Calibri"/>
        </w:rPr>
      </w:pPr>
    </w:p>
    <w:p w14:paraId="1A6A4C83" w14:textId="77777777" w:rsidR="00041CC8" w:rsidRPr="005454C8" w:rsidRDefault="00041CC8" w:rsidP="00041CC8">
      <w:pPr>
        <w:autoSpaceDE w:val="0"/>
        <w:autoSpaceDN w:val="0"/>
        <w:adjustRightInd w:val="0"/>
        <w:rPr>
          <w:color w:val="000000"/>
        </w:rPr>
      </w:pPr>
      <w:r w:rsidRPr="005454C8">
        <w:rPr>
          <w:rFonts w:eastAsia="Calibri"/>
        </w:rPr>
        <w:t xml:space="preserve">Kartotinių dozių vartojimo per burną tyrimo duomenimis, tiriamųjų, sergančių vidutinio sunkumo kepenų ciroze (B klasės pagal </w:t>
      </w:r>
      <w:r w:rsidRPr="005454C8">
        <w:rPr>
          <w:rFonts w:eastAsia="Calibri"/>
          <w:i/>
        </w:rPr>
        <w:t>Child-Pugh</w:t>
      </w:r>
      <w:r w:rsidRPr="005454C8">
        <w:rPr>
          <w:rFonts w:eastAsia="Calibri"/>
        </w:rPr>
        <w:t>) ir vartojančių palaikomąją 100 mg dozę du kartus per parą,</w:t>
      </w:r>
      <w:r w:rsidRPr="005454C8" w:rsidDel="009E1824">
        <w:rPr>
          <w:rFonts w:eastAsia="Calibri"/>
        </w:rPr>
        <w:t xml:space="preserve"> </w:t>
      </w:r>
      <w:r w:rsidRPr="005454C8">
        <w:rPr>
          <w:rFonts w:eastAsia="Calibri"/>
        </w:rPr>
        <w:t>ir tiriamųjų, kurių kepenų funkcija yra normali, vartojančių palaikomąją 200 mg dozę du kartus per parą, AUC</w:t>
      </w:r>
      <w:r w:rsidRPr="005454C8">
        <w:rPr>
          <w:vertAlign w:val="subscript"/>
        </w:rPr>
        <w:t>τ</w:t>
      </w:r>
      <w:r w:rsidRPr="005454C8">
        <w:rPr>
          <w:rFonts w:eastAsia="Calibri"/>
        </w:rPr>
        <w:t xml:space="preserve"> rodmenys buvo panašūs. Duomenų apie vaistinio preparato farmakokinetiką pacientų,</w:t>
      </w:r>
      <w:r w:rsidRPr="005454C8" w:rsidDel="009E1824">
        <w:rPr>
          <w:rFonts w:eastAsia="Calibri"/>
        </w:rPr>
        <w:t xml:space="preserve"> </w:t>
      </w:r>
      <w:r w:rsidRPr="005454C8">
        <w:rPr>
          <w:rFonts w:eastAsia="Calibri"/>
        </w:rPr>
        <w:t xml:space="preserve">sergančių sunkia kepenų ciroze (C klasės pagal </w:t>
      </w:r>
      <w:r w:rsidRPr="005454C8">
        <w:rPr>
          <w:rFonts w:eastAsia="Calibri"/>
          <w:i/>
        </w:rPr>
        <w:t>Child-Pugh</w:t>
      </w:r>
      <w:r w:rsidRPr="005454C8">
        <w:rPr>
          <w:rFonts w:eastAsia="Calibri"/>
        </w:rPr>
        <w:t>), organizme nėra (žr. 4.2 ir 4.4 skyrius).</w:t>
      </w:r>
    </w:p>
    <w:p w14:paraId="7B060824" w14:textId="77777777" w:rsidR="00041CC8" w:rsidRPr="005454C8" w:rsidRDefault="00041CC8" w:rsidP="00041CC8">
      <w:pPr>
        <w:keepNext/>
        <w:spacing w:before="240" w:after="60"/>
        <w:ind w:left="567" w:hanging="567"/>
        <w:outlineLvl w:val="3"/>
        <w:rPr>
          <w:b/>
        </w:rPr>
      </w:pPr>
      <w:r w:rsidRPr="005454C8">
        <w:rPr>
          <w:b/>
        </w:rPr>
        <w:t>5.3</w:t>
      </w:r>
      <w:r w:rsidRPr="005454C8">
        <w:rPr>
          <w:b/>
        </w:rPr>
        <w:tab/>
        <w:t>Ikiklinikinių saugumo tyrimų duomenys</w:t>
      </w:r>
    </w:p>
    <w:p w14:paraId="31734304" w14:textId="77777777" w:rsidR="00041CC8" w:rsidRPr="005454C8" w:rsidRDefault="00041CC8" w:rsidP="00041CC8"/>
    <w:p w14:paraId="2DDEC6B2" w14:textId="77777777" w:rsidR="00041CC8" w:rsidRPr="005454C8" w:rsidRDefault="00041CC8" w:rsidP="00041CC8">
      <w:pPr>
        <w:autoSpaceDE w:val="0"/>
        <w:autoSpaceDN w:val="0"/>
        <w:adjustRightInd w:val="0"/>
        <w:rPr>
          <w:rFonts w:eastAsia="Calibri"/>
        </w:rPr>
      </w:pPr>
      <w:r w:rsidRPr="005454C8">
        <w:rPr>
          <w:rFonts w:eastAsia="Calibri"/>
        </w:rPr>
        <w:t>Vorikonazolo kartotinių dozių toksiškumo tyrimai parodė, kad organas – „taikinys“ yra kepenys.</w:t>
      </w:r>
    </w:p>
    <w:p w14:paraId="56797720" w14:textId="77777777" w:rsidR="00041CC8" w:rsidRPr="005454C8" w:rsidRDefault="00041CC8" w:rsidP="00041CC8">
      <w:pPr>
        <w:autoSpaceDE w:val="0"/>
        <w:autoSpaceDN w:val="0"/>
        <w:adjustRightInd w:val="0"/>
        <w:rPr>
          <w:rFonts w:eastAsia="Calibri"/>
        </w:rPr>
      </w:pPr>
      <w:r w:rsidRPr="005454C8">
        <w:rPr>
          <w:rFonts w:eastAsia="Calibri"/>
        </w:rPr>
        <w:t>Hepatotoksinis poveikis pasireiškia, kai vorikonazolo ekspozicija</w:t>
      </w:r>
      <w:r w:rsidRPr="009A1B7F">
        <w:rPr>
          <w:rFonts w:eastAsia="Calibri"/>
          <w:szCs w:val="22"/>
          <w:lang w:eastAsia="en-US"/>
        </w:rPr>
        <w:t xml:space="preserve"> kraujo</w:t>
      </w:r>
      <w:r w:rsidRPr="005454C8">
        <w:rPr>
          <w:rFonts w:eastAsia="Calibri"/>
        </w:rPr>
        <w:t xml:space="preserve"> plazmoje buvo panaši į tą, kuri būna gydomąsias dozes vartojančio žmogaus organizme (panašiai kaip ir kitų priešgrybelinių preparatų atveju). Be to, žiurkėms, pelėms ir šunims vorikonazolas sukėlė nežymius antinksčių pokyčius. </w:t>
      </w:r>
    </w:p>
    <w:p w14:paraId="0CDBE603" w14:textId="77777777" w:rsidR="00041CC8" w:rsidRPr="005454C8" w:rsidRDefault="00041CC8" w:rsidP="00041CC8">
      <w:pPr>
        <w:autoSpaceDE w:val="0"/>
        <w:autoSpaceDN w:val="0"/>
        <w:adjustRightInd w:val="0"/>
        <w:rPr>
          <w:rFonts w:eastAsia="Calibri"/>
        </w:rPr>
      </w:pPr>
      <w:r w:rsidRPr="005454C8">
        <w:rPr>
          <w:rFonts w:eastAsia="Calibri"/>
        </w:rPr>
        <w:t xml:space="preserve">Įprastų farmakologinio saugumo, genotoksiškumo ir galimo kancerogeniškumo tyrimai specifinio pavojaus žmogui nerodo. </w:t>
      </w:r>
    </w:p>
    <w:p w14:paraId="6B13BD54" w14:textId="77777777" w:rsidR="00041CC8" w:rsidRPr="005454C8" w:rsidRDefault="00041CC8" w:rsidP="00041CC8">
      <w:pPr>
        <w:autoSpaceDE w:val="0"/>
        <w:autoSpaceDN w:val="0"/>
        <w:adjustRightInd w:val="0"/>
        <w:rPr>
          <w:rFonts w:eastAsia="Calibri"/>
        </w:rPr>
      </w:pPr>
    </w:p>
    <w:p w14:paraId="6F534137" w14:textId="77777777" w:rsidR="00041CC8" w:rsidRPr="005454C8" w:rsidRDefault="00041CC8" w:rsidP="00041CC8">
      <w:pPr>
        <w:autoSpaceDE w:val="0"/>
        <w:autoSpaceDN w:val="0"/>
        <w:adjustRightInd w:val="0"/>
        <w:rPr>
          <w:rFonts w:eastAsia="Calibri"/>
        </w:rPr>
      </w:pPr>
      <w:r w:rsidRPr="005454C8">
        <w:rPr>
          <w:rFonts w:eastAsia="Calibri"/>
        </w:rPr>
        <w:t xml:space="preserve">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jauniklių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w:t>
      </w:r>
      <w:r w:rsidRPr="005454C8">
        <w:rPr>
          <w:rFonts w:eastAsia="Calibri"/>
        </w:rPr>
        <w:lastRenderedPageBreak/>
        <w:t>vislumo, kai ekspozicija žiurkių organizme buvo panaši į tą, kuri būna gydomąsias dozes vartojančio žmogaus organizme.</w:t>
      </w:r>
    </w:p>
    <w:p w14:paraId="67F9C500" w14:textId="77777777" w:rsidR="00041CC8" w:rsidRPr="005454C8" w:rsidRDefault="00041CC8" w:rsidP="00041CC8"/>
    <w:p w14:paraId="74079219" w14:textId="77777777" w:rsidR="00041CC8" w:rsidRPr="005454C8" w:rsidRDefault="00041CC8" w:rsidP="00041CC8"/>
    <w:p w14:paraId="617CC802" w14:textId="77777777" w:rsidR="00041CC8" w:rsidRPr="005454C8" w:rsidRDefault="00041CC8" w:rsidP="00041CC8">
      <w:pPr>
        <w:keepNext/>
        <w:ind w:left="567" w:hanging="567"/>
        <w:outlineLvl w:val="2"/>
        <w:rPr>
          <w:b/>
        </w:rPr>
      </w:pPr>
      <w:r w:rsidRPr="005454C8">
        <w:rPr>
          <w:b/>
        </w:rPr>
        <w:t>6.</w:t>
      </w:r>
      <w:r w:rsidRPr="005454C8">
        <w:rPr>
          <w:b/>
        </w:rPr>
        <w:tab/>
        <w:t>FARMACINĖ INFORMACIJA</w:t>
      </w:r>
    </w:p>
    <w:p w14:paraId="0B11E98B" w14:textId="77777777" w:rsidR="00041CC8" w:rsidRPr="005454C8" w:rsidRDefault="00041CC8" w:rsidP="00041CC8">
      <w:pPr>
        <w:rPr>
          <w:rFonts w:ascii="Verdana" w:hAnsi="Verdana"/>
          <w:sz w:val="20"/>
        </w:rPr>
      </w:pPr>
    </w:p>
    <w:p w14:paraId="493933CA" w14:textId="77777777" w:rsidR="00041CC8" w:rsidRPr="005454C8" w:rsidRDefault="00041CC8" w:rsidP="00041CC8">
      <w:pPr>
        <w:keepNext/>
        <w:ind w:left="567" w:hanging="567"/>
        <w:outlineLvl w:val="3"/>
        <w:rPr>
          <w:b/>
        </w:rPr>
      </w:pPr>
      <w:r w:rsidRPr="005454C8">
        <w:rPr>
          <w:b/>
        </w:rPr>
        <w:t>6.1</w:t>
      </w:r>
      <w:r w:rsidRPr="005454C8">
        <w:rPr>
          <w:b/>
        </w:rPr>
        <w:tab/>
        <w:t>Pagalbinių medžiagų sąrašas</w:t>
      </w:r>
    </w:p>
    <w:p w14:paraId="3284B25D" w14:textId="77777777" w:rsidR="00041CC8" w:rsidRPr="005454C8" w:rsidRDefault="00041CC8" w:rsidP="00041CC8"/>
    <w:p w14:paraId="27BB556E" w14:textId="77777777" w:rsidR="00041CC8" w:rsidRPr="005454C8" w:rsidRDefault="00041CC8" w:rsidP="00041CC8">
      <w:pPr>
        <w:autoSpaceDE w:val="0"/>
        <w:autoSpaceDN w:val="0"/>
        <w:adjustRightInd w:val="0"/>
        <w:rPr>
          <w:rFonts w:eastAsia="Calibri"/>
          <w:u w:val="single"/>
        </w:rPr>
      </w:pPr>
      <w:r w:rsidRPr="005454C8">
        <w:rPr>
          <w:rFonts w:eastAsia="Calibri"/>
          <w:u w:val="single"/>
        </w:rPr>
        <w:t>Tabletės branduolys</w:t>
      </w:r>
    </w:p>
    <w:p w14:paraId="58C926EA" w14:textId="77777777" w:rsidR="00041CC8" w:rsidRPr="005454C8" w:rsidRDefault="00041CC8" w:rsidP="00041CC8">
      <w:pPr>
        <w:autoSpaceDE w:val="0"/>
        <w:autoSpaceDN w:val="0"/>
        <w:adjustRightInd w:val="0"/>
        <w:rPr>
          <w:rFonts w:eastAsia="Calibri"/>
        </w:rPr>
      </w:pPr>
      <w:r w:rsidRPr="005454C8">
        <w:rPr>
          <w:rFonts w:eastAsia="Calibri"/>
        </w:rPr>
        <w:t>Laktozė monohidratas</w:t>
      </w:r>
    </w:p>
    <w:p w14:paraId="37E6C390" w14:textId="77777777" w:rsidR="00041CC8" w:rsidRPr="005454C8" w:rsidRDefault="00041CC8" w:rsidP="00041CC8">
      <w:pPr>
        <w:autoSpaceDE w:val="0"/>
        <w:autoSpaceDN w:val="0"/>
        <w:adjustRightInd w:val="0"/>
        <w:rPr>
          <w:rFonts w:eastAsia="Calibri"/>
        </w:rPr>
      </w:pPr>
      <w:r w:rsidRPr="005454C8">
        <w:rPr>
          <w:rFonts w:eastAsia="Calibri"/>
        </w:rPr>
        <w:t>Pregelifikuotas kukurūzų krakmolas</w:t>
      </w:r>
    </w:p>
    <w:p w14:paraId="2AE93C03" w14:textId="77777777" w:rsidR="00041CC8" w:rsidRPr="005454C8" w:rsidRDefault="00041CC8" w:rsidP="00041CC8">
      <w:pPr>
        <w:autoSpaceDE w:val="0"/>
        <w:autoSpaceDN w:val="0"/>
        <w:adjustRightInd w:val="0"/>
        <w:rPr>
          <w:rFonts w:eastAsia="Calibri"/>
        </w:rPr>
      </w:pPr>
      <w:r w:rsidRPr="005454C8">
        <w:rPr>
          <w:rFonts w:eastAsia="Calibri"/>
        </w:rPr>
        <w:t>Kroskarmeliozės natrio druska</w:t>
      </w:r>
    </w:p>
    <w:p w14:paraId="50B00A9E" w14:textId="77777777" w:rsidR="00041CC8" w:rsidRPr="005454C8" w:rsidRDefault="00041CC8" w:rsidP="00041CC8">
      <w:pPr>
        <w:autoSpaceDE w:val="0"/>
        <w:autoSpaceDN w:val="0"/>
        <w:adjustRightInd w:val="0"/>
        <w:rPr>
          <w:rFonts w:eastAsia="Calibri"/>
        </w:rPr>
      </w:pPr>
      <w:r w:rsidRPr="005454C8">
        <w:rPr>
          <w:rFonts w:eastAsia="Calibri"/>
        </w:rPr>
        <w:t>Povidonas K30</w:t>
      </w:r>
    </w:p>
    <w:p w14:paraId="0C942CD6" w14:textId="77777777" w:rsidR="00041CC8" w:rsidRPr="005454C8" w:rsidRDefault="00041CC8" w:rsidP="00041CC8">
      <w:pPr>
        <w:autoSpaceDE w:val="0"/>
        <w:autoSpaceDN w:val="0"/>
        <w:adjustRightInd w:val="0"/>
        <w:rPr>
          <w:rFonts w:eastAsia="Calibri"/>
        </w:rPr>
      </w:pPr>
      <w:r w:rsidRPr="005454C8">
        <w:rPr>
          <w:rFonts w:eastAsia="Calibri"/>
        </w:rPr>
        <w:t>Magnio stearatas</w:t>
      </w:r>
    </w:p>
    <w:p w14:paraId="2B88D4A0" w14:textId="77777777" w:rsidR="00041CC8" w:rsidRPr="005454C8" w:rsidRDefault="00041CC8" w:rsidP="00041CC8">
      <w:pPr>
        <w:autoSpaceDE w:val="0"/>
        <w:autoSpaceDN w:val="0"/>
        <w:adjustRightInd w:val="0"/>
        <w:rPr>
          <w:rFonts w:eastAsia="Calibri"/>
        </w:rPr>
      </w:pPr>
    </w:p>
    <w:p w14:paraId="3B51D185" w14:textId="77777777" w:rsidR="00041CC8" w:rsidRPr="005454C8" w:rsidRDefault="00041CC8" w:rsidP="00041CC8">
      <w:pPr>
        <w:autoSpaceDE w:val="0"/>
        <w:autoSpaceDN w:val="0"/>
        <w:adjustRightInd w:val="0"/>
        <w:rPr>
          <w:rFonts w:eastAsia="Calibri"/>
          <w:u w:val="single"/>
        </w:rPr>
      </w:pPr>
      <w:r w:rsidRPr="005454C8">
        <w:rPr>
          <w:rFonts w:eastAsia="Calibri"/>
          <w:u w:val="single"/>
        </w:rPr>
        <w:t>Tabletės plėvelė</w:t>
      </w:r>
    </w:p>
    <w:p w14:paraId="4CDFBB86" w14:textId="77777777" w:rsidR="00041CC8" w:rsidRPr="005454C8" w:rsidRDefault="00041CC8" w:rsidP="00041CC8">
      <w:pPr>
        <w:autoSpaceDE w:val="0"/>
        <w:autoSpaceDN w:val="0"/>
        <w:adjustRightInd w:val="0"/>
        <w:rPr>
          <w:rFonts w:eastAsia="Calibri"/>
        </w:rPr>
      </w:pPr>
      <w:r w:rsidRPr="005454C8">
        <w:rPr>
          <w:rFonts w:eastAsia="Calibri"/>
        </w:rPr>
        <w:t>Baltasis Opadry II 31K58875, kurį sudaro:</w:t>
      </w:r>
    </w:p>
    <w:p w14:paraId="3E29E636" w14:textId="77777777" w:rsidR="00041CC8" w:rsidRPr="005454C8" w:rsidRDefault="00041CC8" w:rsidP="00041CC8">
      <w:pPr>
        <w:autoSpaceDE w:val="0"/>
        <w:autoSpaceDN w:val="0"/>
        <w:adjustRightInd w:val="0"/>
        <w:rPr>
          <w:rFonts w:eastAsia="Calibri"/>
        </w:rPr>
      </w:pPr>
      <w:r w:rsidRPr="005454C8">
        <w:rPr>
          <w:rFonts w:eastAsia="Calibri"/>
        </w:rPr>
        <w:t>Laktozė monohidratas</w:t>
      </w:r>
    </w:p>
    <w:p w14:paraId="687179FC" w14:textId="77777777" w:rsidR="00041CC8" w:rsidRPr="005454C8" w:rsidRDefault="00041CC8" w:rsidP="00041CC8">
      <w:pPr>
        <w:autoSpaceDE w:val="0"/>
        <w:autoSpaceDN w:val="0"/>
        <w:adjustRightInd w:val="0"/>
        <w:rPr>
          <w:rFonts w:eastAsia="Calibri"/>
        </w:rPr>
      </w:pPr>
      <w:r w:rsidRPr="005454C8">
        <w:rPr>
          <w:rFonts w:eastAsia="Calibri"/>
        </w:rPr>
        <w:t>Hipromeliozė (E464)</w:t>
      </w:r>
    </w:p>
    <w:p w14:paraId="6461A69D" w14:textId="77777777" w:rsidR="00041CC8" w:rsidRPr="005454C8" w:rsidRDefault="00041CC8" w:rsidP="00041CC8">
      <w:pPr>
        <w:autoSpaceDE w:val="0"/>
        <w:autoSpaceDN w:val="0"/>
        <w:adjustRightInd w:val="0"/>
        <w:rPr>
          <w:rFonts w:eastAsia="Calibri"/>
        </w:rPr>
      </w:pPr>
      <w:r w:rsidRPr="005454C8">
        <w:rPr>
          <w:rFonts w:eastAsia="Calibri"/>
        </w:rPr>
        <w:t>Titano dioksidas (E171)</w:t>
      </w:r>
    </w:p>
    <w:p w14:paraId="1141CEB9" w14:textId="77777777" w:rsidR="00041CC8" w:rsidRPr="005454C8" w:rsidRDefault="00041CC8" w:rsidP="00041CC8">
      <w:pPr>
        <w:autoSpaceDE w:val="0"/>
        <w:autoSpaceDN w:val="0"/>
        <w:adjustRightInd w:val="0"/>
        <w:rPr>
          <w:rFonts w:eastAsia="Calibri"/>
        </w:rPr>
      </w:pPr>
      <w:r w:rsidRPr="005454C8">
        <w:rPr>
          <w:rFonts w:eastAsia="Calibri"/>
        </w:rPr>
        <w:t>Triacetinas</w:t>
      </w:r>
    </w:p>
    <w:p w14:paraId="24A44216" w14:textId="77777777" w:rsidR="00041CC8" w:rsidRPr="005454C8" w:rsidRDefault="00041CC8" w:rsidP="00041CC8">
      <w:pPr>
        <w:autoSpaceDE w:val="0"/>
        <w:autoSpaceDN w:val="0"/>
        <w:adjustRightInd w:val="0"/>
        <w:rPr>
          <w:rFonts w:eastAsia="Calibri"/>
        </w:rPr>
      </w:pPr>
    </w:p>
    <w:p w14:paraId="4C880648" w14:textId="77777777" w:rsidR="00041CC8" w:rsidRPr="005454C8" w:rsidRDefault="00041CC8" w:rsidP="00041CC8">
      <w:pPr>
        <w:keepNext/>
        <w:ind w:left="567" w:hanging="567"/>
        <w:outlineLvl w:val="3"/>
        <w:rPr>
          <w:b/>
        </w:rPr>
      </w:pPr>
      <w:r w:rsidRPr="005454C8">
        <w:rPr>
          <w:b/>
        </w:rPr>
        <w:t>6.2</w:t>
      </w:r>
      <w:r w:rsidRPr="005454C8">
        <w:rPr>
          <w:b/>
        </w:rPr>
        <w:tab/>
        <w:t>Nesuderinamumas</w:t>
      </w:r>
    </w:p>
    <w:p w14:paraId="1965CC27" w14:textId="77777777" w:rsidR="00041CC8" w:rsidRPr="005454C8" w:rsidRDefault="00041CC8" w:rsidP="00041CC8"/>
    <w:p w14:paraId="7155BF65" w14:textId="77777777" w:rsidR="00041CC8" w:rsidRPr="005454C8" w:rsidRDefault="00041CC8" w:rsidP="00041CC8">
      <w:r w:rsidRPr="005454C8">
        <w:t xml:space="preserve">Duomenys nebūtini. </w:t>
      </w:r>
    </w:p>
    <w:p w14:paraId="019C6D9F" w14:textId="77777777" w:rsidR="00041CC8" w:rsidRPr="005454C8" w:rsidRDefault="00041CC8" w:rsidP="00041CC8"/>
    <w:p w14:paraId="69261DD6" w14:textId="77777777" w:rsidR="00041CC8" w:rsidRPr="005454C8" w:rsidRDefault="00041CC8" w:rsidP="00041CC8">
      <w:pPr>
        <w:keepNext/>
        <w:ind w:left="567" w:hanging="567"/>
        <w:outlineLvl w:val="3"/>
        <w:rPr>
          <w:b/>
        </w:rPr>
      </w:pPr>
      <w:r w:rsidRPr="005454C8">
        <w:rPr>
          <w:b/>
        </w:rPr>
        <w:t>6.3</w:t>
      </w:r>
      <w:r w:rsidRPr="005454C8">
        <w:rPr>
          <w:b/>
        </w:rPr>
        <w:tab/>
        <w:t>Tinkamumo laikas</w:t>
      </w:r>
    </w:p>
    <w:p w14:paraId="765399F8" w14:textId="77777777" w:rsidR="00041CC8" w:rsidRPr="005454C8" w:rsidRDefault="00041CC8" w:rsidP="00041CC8"/>
    <w:p w14:paraId="0046B4BC" w14:textId="77777777" w:rsidR="00041CC8" w:rsidRPr="005454C8" w:rsidRDefault="00041CC8" w:rsidP="00041CC8">
      <w:r w:rsidRPr="005454C8">
        <w:t>3 metai.</w:t>
      </w:r>
    </w:p>
    <w:p w14:paraId="33904AAB" w14:textId="77777777" w:rsidR="00041CC8" w:rsidRPr="005454C8" w:rsidRDefault="00041CC8" w:rsidP="00041CC8"/>
    <w:p w14:paraId="418D48B5" w14:textId="77777777" w:rsidR="00041CC8" w:rsidRPr="005454C8" w:rsidRDefault="00041CC8" w:rsidP="00041CC8">
      <w:pPr>
        <w:keepNext/>
        <w:ind w:left="567" w:hanging="567"/>
        <w:outlineLvl w:val="3"/>
        <w:rPr>
          <w:b/>
        </w:rPr>
      </w:pPr>
      <w:r w:rsidRPr="005454C8">
        <w:rPr>
          <w:b/>
        </w:rPr>
        <w:t>6.4</w:t>
      </w:r>
      <w:r w:rsidRPr="005454C8">
        <w:rPr>
          <w:b/>
        </w:rPr>
        <w:tab/>
        <w:t>Specialios laikymo sąlygos</w:t>
      </w:r>
    </w:p>
    <w:p w14:paraId="642B0DA9" w14:textId="77777777" w:rsidR="00041CC8" w:rsidRPr="005454C8" w:rsidRDefault="00041CC8" w:rsidP="00041CC8"/>
    <w:p w14:paraId="62B7F84A" w14:textId="77777777" w:rsidR="00041CC8" w:rsidRPr="005454C8" w:rsidRDefault="00041CC8" w:rsidP="00041CC8">
      <w:pPr>
        <w:rPr>
          <w:rFonts w:eastAsia="Calibri"/>
        </w:rPr>
      </w:pPr>
      <w:r w:rsidRPr="005454C8">
        <w:rPr>
          <w:rFonts w:eastAsia="Calibri"/>
        </w:rPr>
        <w:t>Laikyti gamintojo pakuotėje, kad vaistinis preparatas būtų apsaugotas nuo drėgmės.</w:t>
      </w:r>
    </w:p>
    <w:p w14:paraId="46BD1E4D" w14:textId="77777777" w:rsidR="00041CC8" w:rsidRPr="005454C8" w:rsidRDefault="00041CC8" w:rsidP="00041CC8">
      <w:pPr>
        <w:rPr>
          <w:rFonts w:eastAsia="Calibri"/>
        </w:rPr>
      </w:pPr>
      <w:r w:rsidRPr="005454C8">
        <w:t>Šio vaistinio preparato laikymui specialių temperatūros sąlygų nereikalaujama.</w:t>
      </w:r>
    </w:p>
    <w:p w14:paraId="60404DA2" w14:textId="77777777" w:rsidR="00041CC8" w:rsidRPr="005454C8" w:rsidRDefault="00041CC8" w:rsidP="00041CC8">
      <w:pPr>
        <w:rPr>
          <w:rFonts w:eastAsia="Calibri"/>
        </w:rPr>
      </w:pPr>
    </w:p>
    <w:p w14:paraId="1DEF1BA4" w14:textId="77777777" w:rsidR="00041CC8" w:rsidRPr="005454C8" w:rsidRDefault="00041CC8" w:rsidP="00041CC8">
      <w:pPr>
        <w:keepNext/>
        <w:ind w:left="567" w:hanging="567"/>
        <w:outlineLvl w:val="3"/>
        <w:rPr>
          <w:b/>
        </w:rPr>
      </w:pPr>
      <w:r w:rsidRPr="005454C8">
        <w:rPr>
          <w:b/>
        </w:rPr>
        <w:t>6.5</w:t>
      </w:r>
      <w:r w:rsidRPr="005454C8">
        <w:rPr>
          <w:b/>
        </w:rPr>
        <w:tab/>
        <w:t xml:space="preserve">Talpyklės pobūdis ir jos turinys </w:t>
      </w:r>
    </w:p>
    <w:p w14:paraId="7904299B" w14:textId="77777777" w:rsidR="00041CC8" w:rsidRPr="005454C8" w:rsidRDefault="00041CC8" w:rsidP="00041CC8"/>
    <w:p w14:paraId="2FBD2701" w14:textId="77777777" w:rsidR="00041CC8" w:rsidRPr="005454C8" w:rsidRDefault="00041CC8" w:rsidP="00041CC8">
      <w:r w:rsidRPr="005454C8">
        <w:t>Kartono dėžutėse yra PVC / aliuminio folijos lizdinės plokštelės su 2, 10, 14, 20, 28, 30, 50, 56 arba 100 plėvele dengtų tablečių.</w:t>
      </w:r>
    </w:p>
    <w:p w14:paraId="068E2968" w14:textId="77777777" w:rsidR="00041CC8" w:rsidRPr="005454C8" w:rsidRDefault="00041CC8" w:rsidP="00041CC8"/>
    <w:p w14:paraId="16D73EAB" w14:textId="77777777" w:rsidR="00041CC8" w:rsidRPr="005454C8" w:rsidRDefault="00041CC8" w:rsidP="00041CC8">
      <w:r w:rsidRPr="005454C8">
        <w:t>Gali būti tiekiamos ne visų dydžių pakuotės.</w:t>
      </w:r>
    </w:p>
    <w:p w14:paraId="5A8BEF53" w14:textId="77777777" w:rsidR="00041CC8" w:rsidRPr="005454C8" w:rsidRDefault="00041CC8" w:rsidP="00041CC8"/>
    <w:p w14:paraId="45692EC0" w14:textId="77777777" w:rsidR="00041CC8" w:rsidRPr="005454C8" w:rsidRDefault="00041CC8" w:rsidP="00041CC8">
      <w:pPr>
        <w:keepNext/>
        <w:ind w:left="567" w:hanging="567"/>
        <w:outlineLvl w:val="3"/>
        <w:rPr>
          <w:b/>
        </w:rPr>
      </w:pPr>
      <w:bookmarkStart w:id="20" w:name="OLE_LINK1"/>
      <w:r w:rsidRPr="005454C8">
        <w:rPr>
          <w:b/>
        </w:rPr>
        <w:t>6.6</w:t>
      </w:r>
      <w:r w:rsidRPr="005454C8">
        <w:rPr>
          <w:b/>
        </w:rPr>
        <w:tab/>
        <w:t xml:space="preserve">Specialūs reikalavimai atliekoms tvarkyti </w:t>
      </w:r>
      <w:bookmarkEnd w:id="20"/>
    </w:p>
    <w:p w14:paraId="6F334F4B" w14:textId="77777777" w:rsidR="00041CC8" w:rsidRPr="005454C8" w:rsidRDefault="00041CC8" w:rsidP="00041CC8"/>
    <w:p w14:paraId="1E75DE65" w14:textId="77777777" w:rsidR="00041CC8" w:rsidRPr="005454C8" w:rsidRDefault="00041CC8" w:rsidP="00041CC8">
      <w:r w:rsidRPr="005454C8">
        <w:t xml:space="preserve">Specialių reikalavimų atliekoms tvarkyti nėra. </w:t>
      </w:r>
    </w:p>
    <w:p w14:paraId="2AE17CC5" w14:textId="77777777" w:rsidR="00041CC8" w:rsidRPr="005454C8" w:rsidRDefault="00041CC8" w:rsidP="00041CC8"/>
    <w:p w14:paraId="277C4E43" w14:textId="77777777" w:rsidR="00041CC8" w:rsidRPr="005454C8" w:rsidRDefault="00041CC8" w:rsidP="00041CC8"/>
    <w:p w14:paraId="66D318C2" w14:textId="77777777" w:rsidR="00041CC8" w:rsidRPr="005454C8" w:rsidRDefault="00041CC8" w:rsidP="00041CC8">
      <w:pPr>
        <w:keepNext/>
        <w:ind w:left="567" w:hanging="567"/>
        <w:outlineLvl w:val="2"/>
        <w:rPr>
          <w:b/>
        </w:rPr>
      </w:pPr>
      <w:r w:rsidRPr="005454C8">
        <w:rPr>
          <w:b/>
        </w:rPr>
        <w:t>7.</w:t>
      </w:r>
      <w:r w:rsidRPr="005454C8">
        <w:rPr>
          <w:b/>
        </w:rPr>
        <w:tab/>
        <w:t>REGISTRUOTOJAS</w:t>
      </w:r>
    </w:p>
    <w:p w14:paraId="4B69C210" w14:textId="77777777" w:rsidR="00041CC8" w:rsidRPr="005454C8" w:rsidRDefault="00041CC8" w:rsidP="00041CC8"/>
    <w:p w14:paraId="3346B5C2" w14:textId="77777777" w:rsidR="00041CC8" w:rsidRPr="005454C8" w:rsidRDefault="00041CC8" w:rsidP="00041CC8">
      <w:pPr>
        <w:rPr>
          <w:spacing w:val="-2"/>
        </w:rPr>
      </w:pPr>
      <w:r w:rsidRPr="005454C8">
        <w:rPr>
          <w:spacing w:val="-2"/>
        </w:rPr>
        <w:t>Medochemie Ltd</w:t>
      </w:r>
      <w:r>
        <w:rPr>
          <w:spacing w:val="-2"/>
        </w:rPr>
        <w:t>.</w:t>
      </w:r>
    </w:p>
    <w:p w14:paraId="3AB79411" w14:textId="77777777" w:rsidR="00041CC8" w:rsidRPr="005454C8" w:rsidRDefault="00041CC8" w:rsidP="00041CC8">
      <w:pPr>
        <w:rPr>
          <w:spacing w:val="-2"/>
        </w:rPr>
      </w:pPr>
      <w:r w:rsidRPr="005454C8">
        <w:rPr>
          <w:spacing w:val="-2"/>
        </w:rPr>
        <w:t xml:space="preserve">1-10 Constantinoupoleos Street </w:t>
      </w:r>
    </w:p>
    <w:p w14:paraId="2FB819AF" w14:textId="77777777" w:rsidR="00041CC8" w:rsidRPr="005454C8" w:rsidRDefault="00041CC8" w:rsidP="00041CC8">
      <w:pPr>
        <w:rPr>
          <w:spacing w:val="-2"/>
        </w:rPr>
      </w:pPr>
      <w:r w:rsidRPr="005454C8">
        <w:rPr>
          <w:spacing w:val="-2"/>
        </w:rPr>
        <w:t>3011 Limassol</w:t>
      </w:r>
    </w:p>
    <w:p w14:paraId="44BE0951" w14:textId="77777777" w:rsidR="00041CC8" w:rsidRPr="005454C8" w:rsidRDefault="00041CC8" w:rsidP="00041CC8">
      <w:pPr>
        <w:rPr>
          <w:spacing w:val="-2"/>
        </w:rPr>
      </w:pPr>
      <w:r w:rsidRPr="005454C8">
        <w:rPr>
          <w:spacing w:val="-2"/>
        </w:rPr>
        <w:t>Kipras</w:t>
      </w:r>
    </w:p>
    <w:p w14:paraId="497851DA" w14:textId="77777777" w:rsidR="00041CC8" w:rsidRPr="005454C8" w:rsidRDefault="00041CC8" w:rsidP="00041CC8"/>
    <w:p w14:paraId="27E8E17A" w14:textId="77777777" w:rsidR="00041CC8" w:rsidRPr="005454C8" w:rsidRDefault="00041CC8" w:rsidP="00041CC8"/>
    <w:p w14:paraId="2C1ED186" w14:textId="77777777" w:rsidR="00041CC8" w:rsidRPr="005454C8" w:rsidRDefault="00041CC8" w:rsidP="00041CC8">
      <w:pPr>
        <w:keepNext/>
        <w:ind w:left="567" w:hanging="567"/>
        <w:outlineLvl w:val="2"/>
        <w:rPr>
          <w:b/>
        </w:rPr>
      </w:pPr>
      <w:r w:rsidRPr="005454C8">
        <w:rPr>
          <w:b/>
        </w:rPr>
        <w:t>8.</w:t>
      </w:r>
      <w:r w:rsidRPr="005454C8">
        <w:rPr>
          <w:b/>
        </w:rPr>
        <w:tab/>
        <w:t xml:space="preserve">REGISTRACIJOS PAŽYMĖJIMO NUMERIS (-IAI) </w:t>
      </w:r>
    </w:p>
    <w:p w14:paraId="3558D11B" w14:textId="77777777" w:rsidR="00041CC8" w:rsidRPr="005454C8" w:rsidRDefault="00041CC8" w:rsidP="00041CC8"/>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41CC8" w:rsidRPr="001A69A0" w14:paraId="23AEC184" w14:textId="77777777" w:rsidTr="00A136A1">
        <w:tc>
          <w:tcPr>
            <w:tcW w:w="4530" w:type="dxa"/>
          </w:tcPr>
          <w:p w14:paraId="2B5AC0F7" w14:textId="77777777" w:rsidR="00041CC8" w:rsidRPr="001A69A0" w:rsidRDefault="00041CC8" w:rsidP="00A136A1">
            <w:pPr>
              <w:rPr>
                <w:sz w:val="22"/>
                <w:szCs w:val="22"/>
                <w:lang w:eastAsia="en-US"/>
              </w:rPr>
            </w:pPr>
            <w:r w:rsidRPr="001A69A0">
              <w:rPr>
                <w:sz w:val="22"/>
                <w:szCs w:val="22"/>
                <w:lang w:eastAsia="en-US"/>
              </w:rPr>
              <w:lastRenderedPageBreak/>
              <w:t>VERRIA 50 mg</w:t>
            </w:r>
          </w:p>
          <w:p w14:paraId="53A99A7F" w14:textId="77777777" w:rsidR="00041CC8" w:rsidRPr="001A69A0" w:rsidRDefault="00041CC8" w:rsidP="00A136A1">
            <w:pPr>
              <w:rPr>
                <w:bCs/>
                <w:sz w:val="22"/>
                <w:szCs w:val="22"/>
                <w:lang w:eastAsia="en-US"/>
              </w:rPr>
            </w:pPr>
            <w:r w:rsidRPr="001A69A0">
              <w:rPr>
                <w:sz w:val="22"/>
                <w:szCs w:val="22"/>
                <w:lang w:eastAsia="en-US"/>
              </w:rPr>
              <w:t>LT/1/17/4049/001</w:t>
            </w:r>
            <w:r w:rsidRPr="001A69A0">
              <w:rPr>
                <w:bCs/>
                <w:sz w:val="22"/>
                <w:szCs w:val="22"/>
                <w:lang w:eastAsia="en-US"/>
              </w:rPr>
              <w:t xml:space="preserve"> – lizdinė plokštelė, N2</w:t>
            </w:r>
          </w:p>
          <w:p w14:paraId="2C98E104" w14:textId="77777777" w:rsidR="00041CC8" w:rsidRPr="001A69A0" w:rsidRDefault="00041CC8" w:rsidP="00A136A1">
            <w:pPr>
              <w:rPr>
                <w:bCs/>
                <w:sz w:val="22"/>
                <w:szCs w:val="22"/>
                <w:lang w:eastAsia="en-US"/>
              </w:rPr>
            </w:pPr>
            <w:r w:rsidRPr="001A69A0">
              <w:rPr>
                <w:sz w:val="22"/>
                <w:szCs w:val="22"/>
                <w:lang w:eastAsia="en-US"/>
              </w:rPr>
              <w:t>LT/1/17/4049/002</w:t>
            </w:r>
            <w:r w:rsidRPr="001A69A0">
              <w:rPr>
                <w:bCs/>
                <w:sz w:val="22"/>
                <w:szCs w:val="22"/>
                <w:lang w:eastAsia="en-US"/>
              </w:rPr>
              <w:t xml:space="preserve"> – lizdinė plokštelė, N10</w:t>
            </w:r>
          </w:p>
          <w:p w14:paraId="7FFD18FC" w14:textId="77777777" w:rsidR="00041CC8" w:rsidRPr="001A69A0" w:rsidRDefault="00041CC8" w:rsidP="00A136A1">
            <w:pPr>
              <w:rPr>
                <w:bCs/>
                <w:sz w:val="22"/>
                <w:szCs w:val="22"/>
                <w:lang w:eastAsia="en-US"/>
              </w:rPr>
            </w:pPr>
            <w:r w:rsidRPr="001A69A0">
              <w:rPr>
                <w:sz w:val="22"/>
                <w:szCs w:val="22"/>
                <w:lang w:eastAsia="en-US"/>
              </w:rPr>
              <w:t>LT/1/17/4049/003</w:t>
            </w:r>
            <w:r w:rsidRPr="001A69A0">
              <w:rPr>
                <w:bCs/>
                <w:sz w:val="22"/>
                <w:szCs w:val="22"/>
                <w:lang w:eastAsia="en-US"/>
              </w:rPr>
              <w:t xml:space="preserve"> – lizdinė plokštelė, N14</w:t>
            </w:r>
          </w:p>
          <w:p w14:paraId="2BB48724" w14:textId="77777777" w:rsidR="00041CC8" w:rsidRPr="001A69A0" w:rsidRDefault="00041CC8" w:rsidP="00A136A1">
            <w:pPr>
              <w:rPr>
                <w:bCs/>
                <w:sz w:val="22"/>
                <w:szCs w:val="22"/>
                <w:lang w:eastAsia="en-US"/>
              </w:rPr>
            </w:pPr>
            <w:r w:rsidRPr="001A69A0">
              <w:rPr>
                <w:sz w:val="22"/>
                <w:szCs w:val="22"/>
                <w:lang w:eastAsia="en-US"/>
              </w:rPr>
              <w:t>LT/1/17/4049/004</w:t>
            </w:r>
            <w:r w:rsidRPr="001A69A0">
              <w:rPr>
                <w:bCs/>
                <w:sz w:val="22"/>
                <w:szCs w:val="22"/>
                <w:lang w:eastAsia="en-US"/>
              </w:rPr>
              <w:t xml:space="preserve"> – lizdinė plokštelė, N20</w:t>
            </w:r>
          </w:p>
          <w:p w14:paraId="47B132D7" w14:textId="77777777" w:rsidR="00041CC8" w:rsidRPr="001A69A0" w:rsidRDefault="00041CC8" w:rsidP="00A136A1">
            <w:pPr>
              <w:rPr>
                <w:bCs/>
                <w:sz w:val="22"/>
                <w:szCs w:val="22"/>
                <w:lang w:eastAsia="en-US"/>
              </w:rPr>
            </w:pPr>
            <w:r w:rsidRPr="001A69A0">
              <w:rPr>
                <w:sz w:val="22"/>
                <w:szCs w:val="22"/>
                <w:lang w:eastAsia="en-US"/>
              </w:rPr>
              <w:t>LT/1/17/4049/005</w:t>
            </w:r>
            <w:r w:rsidRPr="001A69A0">
              <w:rPr>
                <w:bCs/>
                <w:sz w:val="22"/>
                <w:szCs w:val="22"/>
                <w:lang w:eastAsia="en-US"/>
              </w:rPr>
              <w:t xml:space="preserve"> – lizdinė plokštelė, N28</w:t>
            </w:r>
          </w:p>
          <w:p w14:paraId="73F835DF" w14:textId="77777777" w:rsidR="00041CC8" w:rsidRPr="001A69A0" w:rsidRDefault="00041CC8" w:rsidP="00A136A1">
            <w:pPr>
              <w:rPr>
                <w:bCs/>
                <w:sz w:val="22"/>
                <w:szCs w:val="22"/>
                <w:lang w:eastAsia="en-US"/>
              </w:rPr>
            </w:pPr>
            <w:r w:rsidRPr="001A69A0">
              <w:rPr>
                <w:sz w:val="22"/>
                <w:szCs w:val="22"/>
                <w:lang w:eastAsia="en-US"/>
              </w:rPr>
              <w:t>LT/1/17/4049/006</w:t>
            </w:r>
            <w:r w:rsidRPr="001A69A0">
              <w:rPr>
                <w:bCs/>
                <w:sz w:val="22"/>
                <w:szCs w:val="22"/>
                <w:lang w:eastAsia="en-US"/>
              </w:rPr>
              <w:t xml:space="preserve"> – lizdinė plokštelė, N30</w:t>
            </w:r>
          </w:p>
          <w:p w14:paraId="1437AF10" w14:textId="77777777" w:rsidR="00041CC8" w:rsidRPr="001A69A0" w:rsidRDefault="00041CC8" w:rsidP="00A136A1">
            <w:pPr>
              <w:rPr>
                <w:bCs/>
                <w:sz w:val="22"/>
                <w:szCs w:val="22"/>
                <w:lang w:eastAsia="en-US"/>
              </w:rPr>
            </w:pPr>
            <w:r w:rsidRPr="001A69A0">
              <w:rPr>
                <w:sz w:val="22"/>
                <w:szCs w:val="22"/>
                <w:lang w:eastAsia="en-US"/>
              </w:rPr>
              <w:t>LT/1/17/4049/007</w:t>
            </w:r>
            <w:r w:rsidRPr="001A69A0">
              <w:rPr>
                <w:bCs/>
                <w:sz w:val="22"/>
                <w:szCs w:val="22"/>
                <w:lang w:eastAsia="en-US"/>
              </w:rPr>
              <w:t xml:space="preserve"> – lizdinė plokštelė, N50</w:t>
            </w:r>
          </w:p>
          <w:p w14:paraId="3743C6D0" w14:textId="77777777" w:rsidR="00041CC8" w:rsidRPr="001A69A0" w:rsidRDefault="00041CC8" w:rsidP="00A136A1">
            <w:pPr>
              <w:rPr>
                <w:bCs/>
                <w:sz w:val="22"/>
                <w:szCs w:val="22"/>
                <w:lang w:eastAsia="en-US"/>
              </w:rPr>
            </w:pPr>
            <w:r w:rsidRPr="001A69A0">
              <w:rPr>
                <w:sz w:val="22"/>
                <w:szCs w:val="22"/>
                <w:lang w:eastAsia="en-US"/>
              </w:rPr>
              <w:t>LT/1/17/4049/008</w:t>
            </w:r>
            <w:r w:rsidRPr="001A69A0">
              <w:rPr>
                <w:bCs/>
                <w:sz w:val="22"/>
                <w:szCs w:val="22"/>
                <w:lang w:eastAsia="en-US"/>
              </w:rPr>
              <w:t xml:space="preserve"> – lizdinė plokštelė, N56</w:t>
            </w:r>
          </w:p>
          <w:p w14:paraId="3E2EF6C6" w14:textId="77777777" w:rsidR="00041CC8" w:rsidRPr="001A69A0" w:rsidRDefault="00041CC8" w:rsidP="00A136A1">
            <w:pPr>
              <w:rPr>
                <w:sz w:val="22"/>
                <w:szCs w:val="22"/>
                <w:lang w:eastAsia="en-US"/>
              </w:rPr>
            </w:pPr>
            <w:r w:rsidRPr="001A69A0">
              <w:rPr>
                <w:sz w:val="22"/>
                <w:szCs w:val="22"/>
                <w:lang w:eastAsia="en-US"/>
              </w:rPr>
              <w:t>LT/1/17/4049/009</w:t>
            </w:r>
            <w:r w:rsidRPr="001A69A0">
              <w:rPr>
                <w:bCs/>
                <w:sz w:val="22"/>
                <w:szCs w:val="22"/>
                <w:lang w:eastAsia="en-US"/>
              </w:rPr>
              <w:t xml:space="preserve"> – lizdinė plokštelė, N100</w:t>
            </w:r>
          </w:p>
        </w:tc>
        <w:tc>
          <w:tcPr>
            <w:tcW w:w="4530" w:type="dxa"/>
          </w:tcPr>
          <w:p w14:paraId="2ABDE246" w14:textId="77777777" w:rsidR="00041CC8" w:rsidRPr="001A69A0" w:rsidRDefault="00041CC8" w:rsidP="00A136A1">
            <w:pPr>
              <w:ind w:right="-224"/>
              <w:rPr>
                <w:sz w:val="22"/>
                <w:szCs w:val="22"/>
                <w:lang w:eastAsia="en-US"/>
              </w:rPr>
            </w:pPr>
            <w:r w:rsidRPr="001A69A0">
              <w:rPr>
                <w:sz w:val="22"/>
                <w:szCs w:val="22"/>
                <w:lang w:eastAsia="en-US"/>
              </w:rPr>
              <w:t>VERRIA 200 mg</w:t>
            </w:r>
          </w:p>
          <w:p w14:paraId="519E50D3" w14:textId="77777777" w:rsidR="00041CC8" w:rsidRPr="001A69A0" w:rsidRDefault="00041CC8" w:rsidP="00A136A1">
            <w:pPr>
              <w:rPr>
                <w:bCs/>
                <w:sz w:val="22"/>
                <w:szCs w:val="22"/>
                <w:lang w:eastAsia="en-US"/>
              </w:rPr>
            </w:pPr>
            <w:r w:rsidRPr="001A69A0">
              <w:rPr>
                <w:sz w:val="22"/>
                <w:szCs w:val="22"/>
                <w:lang w:eastAsia="en-US"/>
              </w:rPr>
              <w:t>LT/1/17/4049/010</w:t>
            </w:r>
            <w:r w:rsidRPr="001A69A0">
              <w:rPr>
                <w:bCs/>
                <w:sz w:val="22"/>
                <w:szCs w:val="22"/>
                <w:lang w:eastAsia="en-US"/>
              </w:rPr>
              <w:t xml:space="preserve"> – lizdinė plokštelė, N2</w:t>
            </w:r>
          </w:p>
          <w:p w14:paraId="418F8DBD" w14:textId="77777777" w:rsidR="00041CC8" w:rsidRPr="001A69A0" w:rsidRDefault="00041CC8" w:rsidP="00A136A1">
            <w:pPr>
              <w:rPr>
                <w:bCs/>
                <w:sz w:val="22"/>
                <w:szCs w:val="22"/>
                <w:lang w:eastAsia="en-US"/>
              </w:rPr>
            </w:pPr>
            <w:r w:rsidRPr="001A69A0">
              <w:rPr>
                <w:sz w:val="22"/>
                <w:szCs w:val="22"/>
                <w:lang w:eastAsia="en-US"/>
              </w:rPr>
              <w:t>LT/1/17/4049/011</w:t>
            </w:r>
            <w:r w:rsidRPr="001A69A0">
              <w:rPr>
                <w:bCs/>
                <w:sz w:val="22"/>
                <w:szCs w:val="22"/>
                <w:lang w:eastAsia="en-US"/>
              </w:rPr>
              <w:t xml:space="preserve"> – lizdinė plokštelė, N10</w:t>
            </w:r>
          </w:p>
          <w:p w14:paraId="3B3D5265" w14:textId="77777777" w:rsidR="00041CC8" w:rsidRPr="001A69A0" w:rsidRDefault="00041CC8" w:rsidP="00A136A1">
            <w:pPr>
              <w:rPr>
                <w:bCs/>
                <w:sz w:val="22"/>
                <w:szCs w:val="22"/>
                <w:lang w:eastAsia="en-US"/>
              </w:rPr>
            </w:pPr>
            <w:r w:rsidRPr="001A69A0">
              <w:rPr>
                <w:sz w:val="22"/>
                <w:szCs w:val="22"/>
                <w:lang w:eastAsia="en-US"/>
              </w:rPr>
              <w:t>LT/1/17/4049/012</w:t>
            </w:r>
            <w:r w:rsidRPr="001A69A0">
              <w:rPr>
                <w:bCs/>
                <w:sz w:val="22"/>
                <w:szCs w:val="22"/>
                <w:lang w:eastAsia="en-US"/>
              </w:rPr>
              <w:t xml:space="preserve"> – lizdinė plokštelė, N14</w:t>
            </w:r>
          </w:p>
          <w:p w14:paraId="3A8EB227" w14:textId="77777777" w:rsidR="00041CC8" w:rsidRPr="001A69A0" w:rsidRDefault="00041CC8" w:rsidP="00A136A1">
            <w:pPr>
              <w:rPr>
                <w:bCs/>
                <w:sz w:val="22"/>
                <w:szCs w:val="22"/>
                <w:lang w:eastAsia="en-US"/>
              </w:rPr>
            </w:pPr>
            <w:r w:rsidRPr="001A69A0">
              <w:rPr>
                <w:sz w:val="22"/>
                <w:szCs w:val="22"/>
                <w:lang w:eastAsia="en-US"/>
              </w:rPr>
              <w:t>LT/1/17/4049/013</w:t>
            </w:r>
            <w:r w:rsidRPr="001A69A0">
              <w:rPr>
                <w:bCs/>
                <w:sz w:val="22"/>
                <w:szCs w:val="22"/>
                <w:lang w:eastAsia="en-US"/>
              </w:rPr>
              <w:t xml:space="preserve"> – lizdinė plokštelė, N20</w:t>
            </w:r>
          </w:p>
          <w:p w14:paraId="0F554442" w14:textId="77777777" w:rsidR="00041CC8" w:rsidRPr="001A69A0" w:rsidRDefault="00041CC8" w:rsidP="00A136A1">
            <w:pPr>
              <w:rPr>
                <w:bCs/>
                <w:sz w:val="22"/>
                <w:szCs w:val="22"/>
                <w:lang w:eastAsia="en-US"/>
              </w:rPr>
            </w:pPr>
            <w:r w:rsidRPr="001A69A0">
              <w:rPr>
                <w:sz w:val="22"/>
                <w:szCs w:val="22"/>
                <w:lang w:eastAsia="en-US"/>
              </w:rPr>
              <w:t>LT/1/17/4049/014</w:t>
            </w:r>
            <w:r w:rsidRPr="001A69A0">
              <w:rPr>
                <w:bCs/>
                <w:sz w:val="22"/>
                <w:szCs w:val="22"/>
                <w:lang w:eastAsia="en-US"/>
              </w:rPr>
              <w:t xml:space="preserve"> – lizdinė plokštelė, N28</w:t>
            </w:r>
          </w:p>
          <w:p w14:paraId="55285365" w14:textId="77777777" w:rsidR="00041CC8" w:rsidRPr="001A69A0" w:rsidRDefault="00041CC8" w:rsidP="00A136A1">
            <w:pPr>
              <w:rPr>
                <w:bCs/>
                <w:sz w:val="22"/>
                <w:szCs w:val="22"/>
                <w:lang w:eastAsia="en-US"/>
              </w:rPr>
            </w:pPr>
            <w:r w:rsidRPr="001A69A0">
              <w:rPr>
                <w:sz w:val="22"/>
                <w:szCs w:val="22"/>
                <w:lang w:eastAsia="en-US"/>
              </w:rPr>
              <w:t>LT/1/17/4049/015</w:t>
            </w:r>
            <w:r w:rsidRPr="001A69A0">
              <w:rPr>
                <w:bCs/>
                <w:sz w:val="22"/>
                <w:szCs w:val="22"/>
                <w:lang w:eastAsia="en-US"/>
              </w:rPr>
              <w:t xml:space="preserve"> – lizdinė plokštelė, N30</w:t>
            </w:r>
          </w:p>
          <w:p w14:paraId="0714251C" w14:textId="77777777" w:rsidR="00041CC8" w:rsidRPr="001A69A0" w:rsidRDefault="00041CC8" w:rsidP="00A136A1">
            <w:pPr>
              <w:rPr>
                <w:bCs/>
                <w:sz w:val="22"/>
                <w:szCs w:val="22"/>
                <w:lang w:eastAsia="en-US"/>
              </w:rPr>
            </w:pPr>
            <w:r w:rsidRPr="001A69A0">
              <w:rPr>
                <w:sz w:val="22"/>
                <w:szCs w:val="22"/>
                <w:lang w:eastAsia="en-US"/>
              </w:rPr>
              <w:t>LT/1/17/4049/016</w:t>
            </w:r>
            <w:r w:rsidRPr="001A69A0">
              <w:rPr>
                <w:bCs/>
                <w:sz w:val="22"/>
                <w:szCs w:val="22"/>
                <w:lang w:eastAsia="en-US"/>
              </w:rPr>
              <w:t xml:space="preserve"> – lizdinė plokštelė, N50</w:t>
            </w:r>
          </w:p>
          <w:p w14:paraId="2AE0475D" w14:textId="77777777" w:rsidR="00041CC8" w:rsidRPr="001A69A0" w:rsidRDefault="00041CC8" w:rsidP="00A136A1">
            <w:pPr>
              <w:rPr>
                <w:bCs/>
                <w:sz w:val="22"/>
                <w:szCs w:val="22"/>
                <w:lang w:eastAsia="en-US"/>
              </w:rPr>
            </w:pPr>
            <w:r w:rsidRPr="001A69A0">
              <w:rPr>
                <w:sz w:val="22"/>
                <w:szCs w:val="22"/>
                <w:lang w:eastAsia="en-US"/>
              </w:rPr>
              <w:t>LT/1/17/4049/017</w:t>
            </w:r>
            <w:r w:rsidRPr="001A69A0">
              <w:rPr>
                <w:bCs/>
                <w:sz w:val="22"/>
                <w:szCs w:val="22"/>
                <w:lang w:eastAsia="en-US"/>
              </w:rPr>
              <w:t xml:space="preserve"> – lizdinė plokštelė, N56</w:t>
            </w:r>
          </w:p>
          <w:p w14:paraId="791E8A5B" w14:textId="77777777" w:rsidR="00041CC8" w:rsidRPr="001A69A0" w:rsidRDefault="00041CC8" w:rsidP="00A136A1">
            <w:pPr>
              <w:rPr>
                <w:sz w:val="22"/>
                <w:szCs w:val="22"/>
                <w:lang w:eastAsia="en-US"/>
              </w:rPr>
            </w:pPr>
            <w:r w:rsidRPr="001A69A0">
              <w:rPr>
                <w:sz w:val="22"/>
                <w:szCs w:val="22"/>
                <w:lang w:eastAsia="en-US"/>
              </w:rPr>
              <w:t>LT/1/17/4049/018</w:t>
            </w:r>
            <w:r w:rsidRPr="001A69A0">
              <w:rPr>
                <w:bCs/>
                <w:sz w:val="22"/>
                <w:szCs w:val="22"/>
                <w:lang w:eastAsia="en-US"/>
              </w:rPr>
              <w:t xml:space="preserve"> – lizdinė plokštelė, N100</w:t>
            </w:r>
          </w:p>
        </w:tc>
      </w:tr>
    </w:tbl>
    <w:p w14:paraId="0242B38F" w14:textId="77777777" w:rsidR="00041CC8" w:rsidRDefault="00041CC8" w:rsidP="00041CC8">
      <w:pPr>
        <w:rPr>
          <w:szCs w:val="22"/>
          <w:lang w:eastAsia="en-US"/>
        </w:rPr>
      </w:pPr>
    </w:p>
    <w:p w14:paraId="53EF16D1" w14:textId="77777777" w:rsidR="00041CC8" w:rsidRPr="005454C8" w:rsidRDefault="00041CC8" w:rsidP="00041CC8"/>
    <w:p w14:paraId="164B2DAB" w14:textId="77777777" w:rsidR="00041CC8" w:rsidRPr="005454C8" w:rsidRDefault="00041CC8" w:rsidP="00041CC8">
      <w:pPr>
        <w:keepNext/>
        <w:ind w:left="567" w:hanging="567"/>
        <w:outlineLvl w:val="2"/>
        <w:rPr>
          <w:b/>
        </w:rPr>
      </w:pPr>
      <w:r w:rsidRPr="005454C8">
        <w:rPr>
          <w:b/>
        </w:rPr>
        <w:t>9.</w:t>
      </w:r>
      <w:r w:rsidRPr="005454C8">
        <w:rPr>
          <w:b/>
        </w:rPr>
        <w:tab/>
        <w:t>REGISTRAVIMO / PERREGISTRAVIMO DATA</w:t>
      </w:r>
    </w:p>
    <w:p w14:paraId="5D23A627" w14:textId="77777777" w:rsidR="00041CC8" w:rsidRPr="005454C8" w:rsidRDefault="00041CC8" w:rsidP="00041CC8"/>
    <w:p w14:paraId="3BAA0660" w14:textId="77777777" w:rsidR="00041CC8" w:rsidRPr="005454C8" w:rsidRDefault="00041CC8" w:rsidP="00041CC8">
      <w:r w:rsidRPr="005454C8">
        <w:t>Registravimo data 2017 m. vasario 13 d.</w:t>
      </w:r>
    </w:p>
    <w:p w14:paraId="04C37369" w14:textId="77777777" w:rsidR="00041CC8" w:rsidRPr="009A1B7F" w:rsidRDefault="00041CC8" w:rsidP="00041CC8">
      <w:pPr>
        <w:rPr>
          <w:snapToGrid w:val="0"/>
          <w:szCs w:val="24"/>
          <w:lang w:eastAsia="en-US"/>
        </w:rPr>
      </w:pPr>
      <w:r w:rsidRPr="009A1B7F">
        <w:rPr>
          <w:noProof/>
          <w:snapToGrid w:val="0"/>
          <w:szCs w:val="22"/>
          <w:lang w:eastAsia="en-US"/>
        </w:rPr>
        <w:t xml:space="preserve">Paskutinio </w:t>
      </w:r>
      <w:r w:rsidRPr="009A1B7F">
        <w:rPr>
          <w:noProof/>
          <w:snapToGrid w:val="0"/>
          <w:szCs w:val="24"/>
          <w:lang w:eastAsia="en-US"/>
        </w:rPr>
        <w:t>perregistravimo data 2018 m. sausio 24 d.</w:t>
      </w:r>
    </w:p>
    <w:p w14:paraId="592F3126" w14:textId="77777777" w:rsidR="00041CC8" w:rsidRPr="005454C8" w:rsidRDefault="00041CC8" w:rsidP="00041CC8"/>
    <w:p w14:paraId="027D6CE1" w14:textId="77777777" w:rsidR="00041CC8" w:rsidRPr="005454C8" w:rsidRDefault="00041CC8" w:rsidP="00041CC8"/>
    <w:p w14:paraId="20C6A0B3" w14:textId="77777777" w:rsidR="00041CC8" w:rsidRPr="005454C8" w:rsidRDefault="00041CC8" w:rsidP="00041CC8">
      <w:pPr>
        <w:keepNext/>
        <w:ind w:left="567" w:hanging="567"/>
        <w:outlineLvl w:val="2"/>
        <w:rPr>
          <w:b/>
        </w:rPr>
      </w:pPr>
      <w:r w:rsidRPr="005454C8">
        <w:rPr>
          <w:b/>
        </w:rPr>
        <w:t>10.</w:t>
      </w:r>
      <w:r w:rsidRPr="005454C8">
        <w:rPr>
          <w:b/>
        </w:rPr>
        <w:tab/>
        <w:t>TEKSTO PERŽIŪROS DATA</w:t>
      </w:r>
    </w:p>
    <w:p w14:paraId="7F0FA5E7" w14:textId="77777777" w:rsidR="00041CC8" w:rsidRPr="005454C8" w:rsidRDefault="00041CC8" w:rsidP="00041CC8"/>
    <w:p w14:paraId="165C8C93" w14:textId="3E2E1F21" w:rsidR="00041CC8" w:rsidRDefault="00422901" w:rsidP="00041CC8">
      <w:pPr>
        <w:pStyle w:val="Pagrindinistekstas"/>
        <w:spacing w:after="0"/>
        <w:rPr>
          <w:szCs w:val="22"/>
        </w:rPr>
      </w:pPr>
      <w:r>
        <w:rPr>
          <w:szCs w:val="22"/>
        </w:rPr>
        <w:t xml:space="preserve">2024 </w:t>
      </w:r>
      <w:r w:rsidR="00041CC8">
        <w:rPr>
          <w:szCs w:val="22"/>
        </w:rPr>
        <w:t xml:space="preserve">m. </w:t>
      </w:r>
      <w:r w:rsidR="00F81EF3">
        <w:rPr>
          <w:szCs w:val="22"/>
        </w:rPr>
        <w:t>birželio 6 d.</w:t>
      </w:r>
    </w:p>
    <w:p w14:paraId="7789AE67" w14:textId="77777777" w:rsidR="00041CC8" w:rsidRPr="005454C8" w:rsidRDefault="00041CC8" w:rsidP="00041CC8"/>
    <w:p w14:paraId="77F49ECC" w14:textId="77777777" w:rsidR="00041CC8" w:rsidRPr="005454C8" w:rsidRDefault="00041CC8" w:rsidP="00041CC8">
      <w:pPr>
        <w:tabs>
          <w:tab w:val="left" w:pos="5954"/>
          <w:tab w:val="left" w:pos="6237"/>
          <w:tab w:val="left" w:pos="6663"/>
          <w:tab w:val="left" w:pos="6946"/>
        </w:tabs>
      </w:pPr>
      <w:r w:rsidRPr="005454C8">
        <w:t>Išsami informacija apie šį vaistinį preparatą pateikiama Valstybinės vaistų kontrolės tarnybos prie Lietuvos Respublikos  sveikatos apsaugos ministerijos tinklalapyje</w:t>
      </w:r>
      <w:r w:rsidRPr="005454C8">
        <w:rPr>
          <w:i/>
        </w:rPr>
        <w:t xml:space="preserve"> </w:t>
      </w:r>
      <w:hyperlink r:id="rId9" w:history="1">
        <w:r w:rsidRPr="005454C8">
          <w:rPr>
            <w:color w:val="0000FF"/>
            <w:u w:val="single"/>
          </w:rPr>
          <w:t>http://www.vvkt.lt</w:t>
        </w:r>
      </w:hyperlink>
    </w:p>
    <w:p w14:paraId="7E7D0233" w14:textId="77777777" w:rsidR="00041CC8" w:rsidRPr="005454C8" w:rsidRDefault="00041CC8" w:rsidP="00041CC8">
      <w:pPr>
        <w:tabs>
          <w:tab w:val="left" w:pos="5954"/>
          <w:tab w:val="left" w:pos="6237"/>
          <w:tab w:val="left" w:pos="6663"/>
          <w:tab w:val="left" w:pos="6946"/>
        </w:tabs>
        <w:jc w:val="center"/>
      </w:pPr>
      <w:r w:rsidRPr="005454C8">
        <w:br w:type="page"/>
      </w:r>
    </w:p>
    <w:p w14:paraId="1CCA55BE" w14:textId="77777777" w:rsidR="00041CC8" w:rsidRPr="005454C8" w:rsidRDefault="00041CC8" w:rsidP="00041CC8"/>
    <w:p w14:paraId="19480D34" w14:textId="77777777" w:rsidR="00041CC8" w:rsidRPr="005454C8" w:rsidRDefault="00041CC8" w:rsidP="00041CC8"/>
    <w:p w14:paraId="7C2F39B0" w14:textId="77777777" w:rsidR="00041CC8" w:rsidRPr="005454C8" w:rsidRDefault="00041CC8" w:rsidP="00041CC8"/>
    <w:p w14:paraId="3AC4FED0" w14:textId="77777777" w:rsidR="00041CC8" w:rsidRPr="005454C8" w:rsidRDefault="00041CC8" w:rsidP="00041CC8"/>
    <w:p w14:paraId="32703E5D" w14:textId="77777777" w:rsidR="00041CC8" w:rsidRPr="005454C8" w:rsidRDefault="00041CC8" w:rsidP="00041CC8"/>
    <w:p w14:paraId="17155698" w14:textId="77777777" w:rsidR="00041CC8" w:rsidRPr="005454C8" w:rsidRDefault="00041CC8" w:rsidP="00041CC8"/>
    <w:p w14:paraId="28A7D2C5" w14:textId="77777777" w:rsidR="00041CC8" w:rsidRPr="005454C8" w:rsidRDefault="00041CC8" w:rsidP="00041CC8"/>
    <w:p w14:paraId="494DA955" w14:textId="77777777" w:rsidR="00041CC8" w:rsidRPr="005454C8" w:rsidRDefault="00041CC8" w:rsidP="00041CC8"/>
    <w:p w14:paraId="4365EC95" w14:textId="77777777" w:rsidR="00041CC8" w:rsidRPr="005454C8" w:rsidRDefault="00041CC8" w:rsidP="00041CC8"/>
    <w:p w14:paraId="3831EDA4" w14:textId="77777777" w:rsidR="00041CC8" w:rsidRPr="005454C8" w:rsidRDefault="00041CC8" w:rsidP="00041CC8"/>
    <w:p w14:paraId="6E767A6D" w14:textId="77777777" w:rsidR="00041CC8" w:rsidRPr="005454C8" w:rsidRDefault="00041CC8" w:rsidP="00041CC8">
      <w:pPr>
        <w:jc w:val="center"/>
        <w:rPr>
          <w:b/>
        </w:rPr>
      </w:pPr>
    </w:p>
    <w:p w14:paraId="52439D3C" w14:textId="77777777" w:rsidR="00041CC8" w:rsidRPr="005454C8" w:rsidRDefault="00041CC8" w:rsidP="00041CC8">
      <w:pPr>
        <w:jc w:val="center"/>
        <w:rPr>
          <w:b/>
        </w:rPr>
      </w:pPr>
    </w:p>
    <w:p w14:paraId="06F3E788" w14:textId="77777777" w:rsidR="00041CC8" w:rsidRPr="005454C8" w:rsidRDefault="00041CC8" w:rsidP="00041CC8">
      <w:pPr>
        <w:jc w:val="center"/>
        <w:rPr>
          <w:b/>
        </w:rPr>
      </w:pPr>
    </w:p>
    <w:p w14:paraId="560612FD" w14:textId="77777777" w:rsidR="00041CC8" w:rsidRPr="005454C8" w:rsidRDefault="00041CC8" w:rsidP="00041CC8">
      <w:pPr>
        <w:jc w:val="center"/>
        <w:rPr>
          <w:b/>
        </w:rPr>
      </w:pPr>
    </w:p>
    <w:p w14:paraId="421351CC" w14:textId="77777777" w:rsidR="00041CC8" w:rsidRPr="005454C8" w:rsidRDefault="00041CC8" w:rsidP="00041CC8">
      <w:pPr>
        <w:jc w:val="center"/>
        <w:rPr>
          <w:b/>
        </w:rPr>
      </w:pPr>
    </w:p>
    <w:p w14:paraId="7A35C96F" w14:textId="77777777" w:rsidR="00041CC8" w:rsidRPr="005454C8" w:rsidRDefault="00041CC8" w:rsidP="00041CC8">
      <w:pPr>
        <w:jc w:val="center"/>
        <w:rPr>
          <w:b/>
        </w:rPr>
      </w:pPr>
    </w:p>
    <w:p w14:paraId="7C7DAEB7" w14:textId="77777777" w:rsidR="00041CC8" w:rsidRPr="005454C8" w:rsidRDefault="00041CC8" w:rsidP="00041CC8">
      <w:pPr>
        <w:jc w:val="center"/>
        <w:rPr>
          <w:b/>
        </w:rPr>
      </w:pPr>
    </w:p>
    <w:p w14:paraId="7CA4AB5F" w14:textId="77777777" w:rsidR="00041CC8" w:rsidRPr="005454C8" w:rsidRDefault="00041CC8" w:rsidP="00041CC8">
      <w:pPr>
        <w:jc w:val="center"/>
        <w:rPr>
          <w:b/>
        </w:rPr>
      </w:pPr>
    </w:p>
    <w:p w14:paraId="544F5651" w14:textId="77777777" w:rsidR="00041CC8" w:rsidRPr="005454C8" w:rsidRDefault="00041CC8" w:rsidP="00041CC8">
      <w:pPr>
        <w:jc w:val="center"/>
        <w:rPr>
          <w:b/>
        </w:rPr>
      </w:pPr>
    </w:p>
    <w:p w14:paraId="02AF568B" w14:textId="77777777" w:rsidR="00041CC8" w:rsidRPr="005454C8" w:rsidRDefault="00041CC8" w:rsidP="00041CC8">
      <w:pPr>
        <w:jc w:val="center"/>
        <w:rPr>
          <w:b/>
        </w:rPr>
      </w:pPr>
    </w:p>
    <w:p w14:paraId="1B97C24E" w14:textId="77777777" w:rsidR="00041CC8" w:rsidRPr="005454C8" w:rsidRDefault="00041CC8" w:rsidP="00041CC8">
      <w:pPr>
        <w:jc w:val="center"/>
        <w:rPr>
          <w:b/>
        </w:rPr>
      </w:pPr>
    </w:p>
    <w:p w14:paraId="2805D978" w14:textId="77777777" w:rsidR="00041CC8" w:rsidRPr="005454C8" w:rsidRDefault="00041CC8" w:rsidP="00041CC8">
      <w:pPr>
        <w:jc w:val="center"/>
        <w:rPr>
          <w:b/>
        </w:rPr>
      </w:pPr>
    </w:p>
    <w:p w14:paraId="0374A4BE" w14:textId="77777777" w:rsidR="00041CC8" w:rsidRPr="005454C8" w:rsidRDefault="00041CC8" w:rsidP="00041CC8">
      <w:pPr>
        <w:jc w:val="center"/>
        <w:rPr>
          <w:b/>
        </w:rPr>
      </w:pPr>
    </w:p>
    <w:p w14:paraId="2CE0BFD4" w14:textId="77777777" w:rsidR="00041CC8" w:rsidRPr="005454C8" w:rsidRDefault="00041CC8" w:rsidP="00041CC8">
      <w:pPr>
        <w:jc w:val="center"/>
        <w:rPr>
          <w:b/>
        </w:rPr>
      </w:pPr>
      <w:r w:rsidRPr="005454C8">
        <w:rPr>
          <w:b/>
        </w:rPr>
        <w:t>II PRIEDAS</w:t>
      </w:r>
    </w:p>
    <w:p w14:paraId="452BE156" w14:textId="77777777" w:rsidR="00041CC8" w:rsidRPr="005454C8" w:rsidRDefault="00041CC8" w:rsidP="00041CC8">
      <w:pPr>
        <w:ind w:left="1701" w:right="1416" w:hanging="567"/>
      </w:pPr>
    </w:p>
    <w:p w14:paraId="3F70785C" w14:textId="77777777" w:rsidR="00041CC8" w:rsidRPr="005454C8" w:rsidRDefault="00041CC8" w:rsidP="00041CC8">
      <w:pPr>
        <w:jc w:val="center"/>
        <w:rPr>
          <w:i/>
        </w:rPr>
      </w:pPr>
      <w:r w:rsidRPr="005454C8">
        <w:rPr>
          <w:b/>
        </w:rPr>
        <w:t>REGISTRACIJOS SĄLYGOS</w:t>
      </w:r>
    </w:p>
    <w:p w14:paraId="58C62C46" w14:textId="77777777" w:rsidR="00041CC8" w:rsidRPr="005454C8" w:rsidRDefault="00041CC8" w:rsidP="00041CC8"/>
    <w:p w14:paraId="459D64E0" w14:textId="77777777" w:rsidR="00041CC8" w:rsidRPr="005454C8" w:rsidRDefault="00041CC8" w:rsidP="00041CC8">
      <w:pPr>
        <w:tabs>
          <w:tab w:val="left" w:pos="1701"/>
        </w:tabs>
        <w:ind w:left="1701" w:right="567" w:hanging="567"/>
        <w:rPr>
          <w:b/>
        </w:rPr>
      </w:pPr>
      <w:r w:rsidRPr="005454C8">
        <w:rPr>
          <w:b/>
        </w:rPr>
        <w:t>A.</w:t>
      </w:r>
      <w:r w:rsidRPr="005454C8">
        <w:rPr>
          <w:b/>
        </w:rPr>
        <w:tab/>
        <w:t>GAMINTOJAS (-AI), ATSAKINGAS (-I) UŽ SERIJŲ IŠLEIDIMĄ</w:t>
      </w:r>
    </w:p>
    <w:p w14:paraId="4233D159" w14:textId="77777777" w:rsidR="00041CC8" w:rsidRPr="005454C8" w:rsidRDefault="00041CC8" w:rsidP="00041CC8">
      <w:pPr>
        <w:tabs>
          <w:tab w:val="left" w:pos="1701"/>
        </w:tabs>
        <w:ind w:left="567" w:right="567" w:hanging="567"/>
      </w:pPr>
    </w:p>
    <w:p w14:paraId="58F3135B" w14:textId="77777777" w:rsidR="00041CC8" w:rsidRPr="005454C8" w:rsidRDefault="00041CC8" w:rsidP="00041CC8">
      <w:pPr>
        <w:tabs>
          <w:tab w:val="left" w:pos="1701"/>
        </w:tabs>
        <w:ind w:left="1701" w:right="567" w:hanging="567"/>
        <w:rPr>
          <w:b/>
        </w:rPr>
      </w:pPr>
      <w:r w:rsidRPr="005454C8">
        <w:rPr>
          <w:b/>
        </w:rPr>
        <w:t>B.</w:t>
      </w:r>
      <w:r w:rsidRPr="005454C8">
        <w:rPr>
          <w:b/>
        </w:rPr>
        <w:tab/>
        <w:t>TIEKIMO IR VARTOJIMO SĄLYGOS AR APRIBOJIMAI</w:t>
      </w:r>
    </w:p>
    <w:p w14:paraId="003A639A" w14:textId="77777777" w:rsidR="00041CC8" w:rsidRPr="005454C8" w:rsidRDefault="00041CC8" w:rsidP="00041CC8">
      <w:pPr>
        <w:tabs>
          <w:tab w:val="left" w:pos="1701"/>
        </w:tabs>
        <w:ind w:left="567" w:right="567" w:hanging="567"/>
      </w:pPr>
    </w:p>
    <w:p w14:paraId="5B0BC0BE" w14:textId="77777777" w:rsidR="00041CC8" w:rsidRPr="005454C8" w:rsidRDefault="00041CC8" w:rsidP="00041CC8">
      <w:pPr>
        <w:ind w:right="-1"/>
      </w:pPr>
    </w:p>
    <w:p w14:paraId="6CEE22E5" w14:textId="77777777" w:rsidR="00041CC8" w:rsidRPr="005454C8" w:rsidRDefault="00041CC8" w:rsidP="00041CC8">
      <w:pPr>
        <w:ind w:left="567" w:hanging="567"/>
        <w:rPr>
          <w:b/>
        </w:rPr>
      </w:pPr>
      <w:r w:rsidRPr="005454C8">
        <w:br w:type="page"/>
      </w:r>
      <w:r w:rsidRPr="005454C8">
        <w:rPr>
          <w:b/>
        </w:rPr>
        <w:lastRenderedPageBreak/>
        <w:t>A.</w:t>
      </w:r>
      <w:r w:rsidRPr="005454C8">
        <w:rPr>
          <w:b/>
        </w:rPr>
        <w:tab/>
        <w:t>GAMINTOJAS (-AI), ATSAKINGAS (-I) UŽ SERIJŲ IŠLEIDIMĄ</w:t>
      </w:r>
    </w:p>
    <w:p w14:paraId="06BDACAC" w14:textId="77777777" w:rsidR="00041CC8" w:rsidRPr="005454C8" w:rsidRDefault="00041CC8" w:rsidP="00041CC8"/>
    <w:p w14:paraId="3595F12A" w14:textId="77777777" w:rsidR="00041CC8" w:rsidRPr="005454C8" w:rsidRDefault="00041CC8" w:rsidP="00041CC8">
      <w:pPr>
        <w:jc w:val="both"/>
      </w:pPr>
      <w:r w:rsidRPr="005454C8">
        <w:rPr>
          <w:u w:val="single"/>
        </w:rPr>
        <w:t>Gamintojo (-ų), atsakingo (-ų) už serijų išleidimą, pavadinimas (-ai) ir adresas (-ai)</w:t>
      </w:r>
    </w:p>
    <w:p w14:paraId="5451B851" w14:textId="77777777" w:rsidR="00041CC8" w:rsidRPr="005454C8" w:rsidRDefault="00041CC8" w:rsidP="00041CC8"/>
    <w:p w14:paraId="5E18D005" w14:textId="77777777" w:rsidR="00041CC8" w:rsidRPr="005454C8" w:rsidRDefault="00041CC8" w:rsidP="00041CC8">
      <w:pPr>
        <w:rPr>
          <w:spacing w:val="-2"/>
          <w:lang w:val="en-GB"/>
        </w:rPr>
      </w:pPr>
      <w:bookmarkStart w:id="21" w:name="OLE_LINK6"/>
      <w:bookmarkStart w:id="22" w:name="OLE_LINK7"/>
      <w:r w:rsidRPr="005454C8">
        <w:rPr>
          <w:spacing w:val="-2"/>
          <w:lang w:val="en-GB"/>
        </w:rPr>
        <w:t>Medochemie Ltd</w:t>
      </w:r>
    </w:p>
    <w:p w14:paraId="78F12C6D" w14:textId="77777777" w:rsidR="00041CC8" w:rsidRPr="005454C8" w:rsidRDefault="00041CC8" w:rsidP="00041CC8">
      <w:pPr>
        <w:rPr>
          <w:spacing w:val="-2"/>
          <w:lang w:val="en-GB"/>
        </w:rPr>
      </w:pPr>
      <w:r w:rsidRPr="005454C8">
        <w:rPr>
          <w:spacing w:val="-2"/>
          <w:lang w:val="en-GB"/>
        </w:rPr>
        <w:t>Factory AZ: 2 Michael Erakleous street</w:t>
      </w:r>
    </w:p>
    <w:p w14:paraId="57423EEB" w14:textId="77777777" w:rsidR="00041CC8" w:rsidRPr="00F847E4" w:rsidRDefault="00041CC8" w:rsidP="00041CC8">
      <w:pPr>
        <w:rPr>
          <w:spacing w:val="-2"/>
          <w:lang w:val="pt-PT"/>
        </w:rPr>
      </w:pPr>
      <w:r w:rsidRPr="00F847E4">
        <w:rPr>
          <w:spacing w:val="-2"/>
          <w:lang w:val="pt-PT"/>
        </w:rPr>
        <w:t>Industrial Area, Agios Athanassios</w:t>
      </w:r>
    </w:p>
    <w:p w14:paraId="237497D0" w14:textId="77777777" w:rsidR="00041CC8" w:rsidRPr="00F847E4" w:rsidRDefault="00041CC8" w:rsidP="00041CC8">
      <w:pPr>
        <w:rPr>
          <w:spacing w:val="-2"/>
          <w:lang w:val="pt-PT"/>
        </w:rPr>
      </w:pPr>
      <w:r w:rsidRPr="00F847E4">
        <w:rPr>
          <w:spacing w:val="-2"/>
          <w:lang w:val="pt-PT"/>
        </w:rPr>
        <w:t xml:space="preserve">4101 Limassol </w:t>
      </w:r>
    </w:p>
    <w:p w14:paraId="4AF0C341" w14:textId="77777777" w:rsidR="00041CC8" w:rsidRPr="005454C8" w:rsidRDefault="00041CC8" w:rsidP="00041CC8">
      <w:pPr>
        <w:rPr>
          <w:spacing w:val="-2"/>
        </w:rPr>
      </w:pPr>
      <w:r w:rsidRPr="005454C8">
        <w:rPr>
          <w:spacing w:val="-2"/>
        </w:rPr>
        <w:t>Kipras</w:t>
      </w:r>
    </w:p>
    <w:bookmarkEnd w:id="21"/>
    <w:bookmarkEnd w:id="22"/>
    <w:p w14:paraId="117F7367" w14:textId="77777777" w:rsidR="00041CC8" w:rsidRPr="005454C8" w:rsidRDefault="00041CC8" w:rsidP="00041CC8"/>
    <w:p w14:paraId="617AE146" w14:textId="77777777" w:rsidR="00041CC8" w:rsidRPr="005454C8" w:rsidRDefault="00041CC8" w:rsidP="00041CC8"/>
    <w:p w14:paraId="422136BC" w14:textId="77777777" w:rsidR="00041CC8" w:rsidRPr="005454C8" w:rsidRDefault="00041CC8" w:rsidP="00041CC8">
      <w:pPr>
        <w:ind w:left="567" w:hanging="567"/>
      </w:pPr>
      <w:r w:rsidRPr="005454C8">
        <w:rPr>
          <w:b/>
        </w:rPr>
        <w:t>B.</w:t>
      </w:r>
      <w:r w:rsidRPr="005454C8">
        <w:rPr>
          <w:b/>
        </w:rPr>
        <w:tab/>
        <w:t>TIEKIMO IR VARTOJIMO SĄLYGOS AR APRIBOJIMAI</w:t>
      </w:r>
    </w:p>
    <w:p w14:paraId="0F3DB140" w14:textId="77777777" w:rsidR="00041CC8" w:rsidRPr="005454C8" w:rsidRDefault="00041CC8" w:rsidP="00041CC8"/>
    <w:p w14:paraId="4CC5ADC1" w14:textId="77777777" w:rsidR="00041CC8" w:rsidRPr="005454C8" w:rsidRDefault="00041CC8" w:rsidP="00041CC8">
      <w:r w:rsidRPr="005454C8">
        <w:t>Receptinis vaistinis preparatas.</w:t>
      </w:r>
    </w:p>
    <w:p w14:paraId="56A7A638" w14:textId="77777777" w:rsidR="00041CC8" w:rsidRPr="005454C8" w:rsidRDefault="00041CC8" w:rsidP="00041CC8">
      <w:pPr>
        <w:autoSpaceDE w:val="0"/>
        <w:autoSpaceDN w:val="0"/>
        <w:adjustRightInd w:val="0"/>
        <w:rPr>
          <w:rFonts w:eastAsia="Calibri"/>
          <w:b/>
        </w:rPr>
      </w:pPr>
    </w:p>
    <w:p w14:paraId="78A09BC4" w14:textId="77777777" w:rsidR="00041CC8" w:rsidRPr="005454C8" w:rsidRDefault="00041CC8" w:rsidP="00041CC8">
      <w:pPr>
        <w:autoSpaceDE w:val="0"/>
        <w:autoSpaceDN w:val="0"/>
        <w:adjustRightInd w:val="0"/>
        <w:rPr>
          <w:rFonts w:eastAsia="Calibri"/>
        </w:rPr>
      </w:pPr>
      <w:r w:rsidRPr="005454C8">
        <w:rPr>
          <w:rFonts w:eastAsia="Calibri"/>
        </w:rPr>
        <w:br w:type="page"/>
      </w:r>
    </w:p>
    <w:p w14:paraId="44849DD9" w14:textId="77777777" w:rsidR="00041CC8" w:rsidRPr="005454C8" w:rsidRDefault="00041CC8" w:rsidP="00041CC8">
      <w:pPr>
        <w:autoSpaceDE w:val="0"/>
        <w:autoSpaceDN w:val="0"/>
        <w:adjustRightInd w:val="0"/>
        <w:rPr>
          <w:rFonts w:eastAsia="Calibri"/>
        </w:rPr>
      </w:pPr>
    </w:p>
    <w:p w14:paraId="2EA85A2F" w14:textId="77777777" w:rsidR="00041CC8" w:rsidRPr="005454C8" w:rsidRDefault="00041CC8" w:rsidP="00041CC8">
      <w:pPr>
        <w:autoSpaceDE w:val="0"/>
        <w:autoSpaceDN w:val="0"/>
        <w:adjustRightInd w:val="0"/>
        <w:rPr>
          <w:rFonts w:eastAsia="Calibri"/>
        </w:rPr>
      </w:pPr>
    </w:p>
    <w:p w14:paraId="0B989A70" w14:textId="77777777" w:rsidR="00041CC8" w:rsidRPr="005454C8" w:rsidRDefault="00041CC8" w:rsidP="00041CC8">
      <w:pPr>
        <w:autoSpaceDE w:val="0"/>
        <w:autoSpaceDN w:val="0"/>
        <w:adjustRightInd w:val="0"/>
        <w:rPr>
          <w:rFonts w:eastAsia="Calibri"/>
        </w:rPr>
      </w:pPr>
    </w:p>
    <w:p w14:paraId="78697A99" w14:textId="77777777" w:rsidR="00041CC8" w:rsidRPr="005454C8" w:rsidRDefault="00041CC8" w:rsidP="00041CC8">
      <w:pPr>
        <w:autoSpaceDE w:val="0"/>
        <w:autoSpaceDN w:val="0"/>
        <w:adjustRightInd w:val="0"/>
        <w:rPr>
          <w:rFonts w:eastAsia="Calibri"/>
        </w:rPr>
      </w:pPr>
    </w:p>
    <w:p w14:paraId="01913D77" w14:textId="77777777" w:rsidR="00041CC8" w:rsidRPr="005454C8" w:rsidRDefault="00041CC8" w:rsidP="00041CC8">
      <w:pPr>
        <w:autoSpaceDE w:val="0"/>
        <w:autoSpaceDN w:val="0"/>
        <w:adjustRightInd w:val="0"/>
        <w:rPr>
          <w:rFonts w:eastAsia="Calibri"/>
        </w:rPr>
      </w:pPr>
    </w:p>
    <w:p w14:paraId="3BEFB7B3" w14:textId="77777777" w:rsidR="00041CC8" w:rsidRPr="005454C8" w:rsidRDefault="00041CC8" w:rsidP="00041CC8">
      <w:pPr>
        <w:autoSpaceDE w:val="0"/>
        <w:autoSpaceDN w:val="0"/>
        <w:adjustRightInd w:val="0"/>
        <w:rPr>
          <w:rFonts w:eastAsia="Calibri"/>
        </w:rPr>
      </w:pPr>
    </w:p>
    <w:p w14:paraId="76673414" w14:textId="77777777" w:rsidR="00041CC8" w:rsidRPr="005454C8" w:rsidRDefault="00041CC8" w:rsidP="00041CC8">
      <w:pPr>
        <w:autoSpaceDE w:val="0"/>
        <w:autoSpaceDN w:val="0"/>
        <w:adjustRightInd w:val="0"/>
        <w:rPr>
          <w:rFonts w:eastAsia="Calibri"/>
        </w:rPr>
      </w:pPr>
    </w:p>
    <w:p w14:paraId="7045D7B4" w14:textId="77777777" w:rsidR="00041CC8" w:rsidRPr="005454C8" w:rsidRDefault="00041CC8" w:rsidP="00041CC8">
      <w:pPr>
        <w:autoSpaceDE w:val="0"/>
        <w:autoSpaceDN w:val="0"/>
        <w:adjustRightInd w:val="0"/>
        <w:rPr>
          <w:rFonts w:eastAsia="Calibri"/>
        </w:rPr>
      </w:pPr>
    </w:p>
    <w:p w14:paraId="4270F8B8" w14:textId="77777777" w:rsidR="00041CC8" w:rsidRPr="005454C8" w:rsidRDefault="00041CC8" w:rsidP="00041CC8">
      <w:pPr>
        <w:autoSpaceDE w:val="0"/>
        <w:autoSpaceDN w:val="0"/>
        <w:adjustRightInd w:val="0"/>
        <w:rPr>
          <w:rFonts w:eastAsia="Calibri"/>
        </w:rPr>
      </w:pPr>
    </w:p>
    <w:p w14:paraId="03028D14" w14:textId="77777777" w:rsidR="00041CC8" w:rsidRPr="005454C8" w:rsidRDefault="00041CC8" w:rsidP="00041CC8">
      <w:pPr>
        <w:autoSpaceDE w:val="0"/>
        <w:autoSpaceDN w:val="0"/>
        <w:adjustRightInd w:val="0"/>
        <w:rPr>
          <w:rFonts w:eastAsia="Calibri"/>
        </w:rPr>
      </w:pPr>
    </w:p>
    <w:p w14:paraId="13EAF0C4" w14:textId="77777777" w:rsidR="00041CC8" w:rsidRPr="005454C8" w:rsidRDefault="00041CC8" w:rsidP="00041CC8">
      <w:pPr>
        <w:autoSpaceDE w:val="0"/>
        <w:autoSpaceDN w:val="0"/>
        <w:adjustRightInd w:val="0"/>
        <w:rPr>
          <w:rFonts w:eastAsia="Calibri"/>
        </w:rPr>
      </w:pPr>
    </w:p>
    <w:p w14:paraId="37234109" w14:textId="77777777" w:rsidR="00041CC8" w:rsidRPr="005454C8" w:rsidRDefault="00041CC8" w:rsidP="00041CC8">
      <w:pPr>
        <w:autoSpaceDE w:val="0"/>
        <w:autoSpaceDN w:val="0"/>
        <w:adjustRightInd w:val="0"/>
        <w:rPr>
          <w:rFonts w:eastAsia="Calibri"/>
        </w:rPr>
      </w:pPr>
    </w:p>
    <w:p w14:paraId="5E82B8BB" w14:textId="77777777" w:rsidR="00041CC8" w:rsidRPr="005454C8" w:rsidRDefault="00041CC8" w:rsidP="00041CC8">
      <w:pPr>
        <w:autoSpaceDE w:val="0"/>
        <w:autoSpaceDN w:val="0"/>
        <w:adjustRightInd w:val="0"/>
        <w:rPr>
          <w:rFonts w:eastAsia="Calibri"/>
        </w:rPr>
      </w:pPr>
    </w:p>
    <w:p w14:paraId="57F5BC31" w14:textId="77777777" w:rsidR="00041CC8" w:rsidRPr="005454C8" w:rsidRDefault="00041CC8" w:rsidP="00041CC8">
      <w:pPr>
        <w:autoSpaceDE w:val="0"/>
        <w:autoSpaceDN w:val="0"/>
        <w:adjustRightInd w:val="0"/>
        <w:rPr>
          <w:rFonts w:eastAsia="Calibri"/>
        </w:rPr>
      </w:pPr>
    </w:p>
    <w:p w14:paraId="094190FA" w14:textId="77777777" w:rsidR="00041CC8" w:rsidRPr="005454C8" w:rsidRDefault="00041CC8" w:rsidP="00041CC8">
      <w:pPr>
        <w:autoSpaceDE w:val="0"/>
        <w:autoSpaceDN w:val="0"/>
        <w:adjustRightInd w:val="0"/>
        <w:rPr>
          <w:rFonts w:eastAsia="Calibri"/>
        </w:rPr>
      </w:pPr>
    </w:p>
    <w:p w14:paraId="33636CE3" w14:textId="77777777" w:rsidR="00041CC8" w:rsidRPr="005454C8" w:rsidRDefault="00041CC8" w:rsidP="00041CC8">
      <w:pPr>
        <w:autoSpaceDE w:val="0"/>
        <w:autoSpaceDN w:val="0"/>
        <w:adjustRightInd w:val="0"/>
        <w:rPr>
          <w:rFonts w:eastAsia="Calibri"/>
        </w:rPr>
      </w:pPr>
    </w:p>
    <w:p w14:paraId="0854FE6F" w14:textId="77777777" w:rsidR="00041CC8" w:rsidRPr="005454C8" w:rsidRDefault="00041CC8" w:rsidP="00041CC8">
      <w:pPr>
        <w:autoSpaceDE w:val="0"/>
        <w:autoSpaceDN w:val="0"/>
        <w:adjustRightInd w:val="0"/>
        <w:rPr>
          <w:rFonts w:eastAsia="Calibri"/>
        </w:rPr>
      </w:pPr>
    </w:p>
    <w:p w14:paraId="3FB1A41E" w14:textId="77777777" w:rsidR="00041CC8" w:rsidRPr="005454C8" w:rsidRDefault="00041CC8" w:rsidP="00041CC8">
      <w:pPr>
        <w:autoSpaceDE w:val="0"/>
        <w:autoSpaceDN w:val="0"/>
        <w:adjustRightInd w:val="0"/>
        <w:rPr>
          <w:b/>
        </w:rPr>
      </w:pPr>
    </w:p>
    <w:p w14:paraId="1CF1EACB" w14:textId="77777777" w:rsidR="00041CC8" w:rsidRPr="005454C8" w:rsidRDefault="00041CC8" w:rsidP="00041CC8">
      <w:pPr>
        <w:keepNext/>
        <w:jc w:val="center"/>
        <w:outlineLvl w:val="1"/>
        <w:rPr>
          <w:b/>
        </w:rPr>
      </w:pPr>
    </w:p>
    <w:p w14:paraId="07C923B3" w14:textId="77777777" w:rsidR="00041CC8" w:rsidRPr="005454C8" w:rsidRDefault="00041CC8" w:rsidP="00041CC8">
      <w:pPr>
        <w:keepNext/>
        <w:jc w:val="center"/>
        <w:outlineLvl w:val="1"/>
        <w:rPr>
          <w:b/>
        </w:rPr>
      </w:pPr>
    </w:p>
    <w:p w14:paraId="4A6B351C" w14:textId="77777777" w:rsidR="00041CC8" w:rsidRPr="005454C8" w:rsidRDefault="00041CC8" w:rsidP="00041CC8">
      <w:pPr>
        <w:keepNext/>
        <w:jc w:val="center"/>
        <w:outlineLvl w:val="1"/>
        <w:rPr>
          <w:b/>
        </w:rPr>
      </w:pPr>
    </w:p>
    <w:p w14:paraId="0DE15E06" w14:textId="77777777" w:rsidR="00041CC8" w:rsidRPr="005454C8" w:rsidRDefault="00041CC8" w:rsidP="00041CC8">
      <w:pPr>
        <w:keepNext/>
        <w:jc w:val="center"/>
        <w:outlineLvl w:val="1"/>
        <w:rPr>
          <w:b/>
        </w:rPr>
      </w:pPr>
    </w:p>
    <w:p w14:paraId="19E0C068" w14:textId="77777777" w:rsidR="00041CC8" w:rsidRPr="005454C8" w:rsidRDefault="00041CC8" w:rsidP="00041CC8"/>
    <w:p w14:paraId="5E422069" w14:textId="77777777" w:rsidR="00041CC8" w:rsidRPr="005454C8" w:rsidRDefault="00041CC8" w:rsidP="00041CC8">
      <w:pPr>
        <w:keepNext/>
        <w:jc w:val="center"/>
        <w:outlineLvl w:val="1"/>
        <w:rPr>
          <w:b/>
        </w:rPr>
      </w:pPr>
      <w:r w:rsidRPr="005454C8">
        <w:rPr>
          <w:b/>
        </w:rPr>
        <w:t>III PRIEDAS</w:t>
      </w:r>
    </w:p>
    <w:p w14:paraId="29E232B0" w14:textId="77777777" w:rsidR="00041CC8" w:rsidRPr="005454C8" w:rsidRDefault="00041CC8" w:rsidP="00041CC8"/>
    <w:p w14:paraId="65BF5BE8" w14:textId="77777777" w:rsidR="00041CC8" w:rsidRPr="005454C8" w:rsidRDefault="00041CC8" w:rsidP="00041CC8">
      <w:pPr>
        <w:keepNext/>
        <w:jc w:val="center"/>
        <w:outlineLvl w:val="1"/>
        <w:rPr>
          <w:b/>
        </w:rPr>
      </w:pPr>
      <w:r w:rsidRPr="005454C8">
        <w:rPr>
          <w:b/>
        </w:rPr>
        <w:t>ŽENKLINIMAS IR PAKUOTĖS LAPELIS</w:t>
      </w:r>
    </w:p>
    <w:p w14:paraId="7935C88A" w14:textId="77777777" w:rsidR="00041CC8" w:rsidRPr="005454C8" w:rsidRDefault="00041CC8" w:rsidP="00041CC8">
      <w:r w:rsidRPr="005454C8">
        <w:br w:type="page"/>
      </w:r>
    </w:p>
    <w:p w14:paraId="1F5B609A" w14:textId="77777777" w:rsidR="00041CC8" w:rsidRPr="005454C8" w:rsidRDefault="00041CC8" w:rsidP="00041CC8"/>
    <w:p w14:paraId="0F95C133" w14:textId="77777777" w:rsidR="00041CC8" w:rsidRPr="005454C8" w:rsidRDefault="00041CC8" w:rsidP="00041CC8"/>
    <w:p w14:paraId="7F217F6A" w14:textId="77777777" w:rsidR="00041CC8" w:rsidRPr="005454C8" w:rsidRDefault="00041CC8" w:rsidP="00041CC8"/>
    <w:p w14:paraId="4322070F" w14:textId="77777777" w:rsidR="00041CC8" w:rsidRPr="005454C8" w:rsidRDefault="00041CC8" w:rsidP="00041CC8"/>
    <w:p w14:paraId="0B75A68A" w14:textId="77777777" w:rsidR="00041CC8" w:rsidRPr="005454C8" w:rsidRDefault="00041CC8" w:rsidP="00041CC8"/>
    <w:p w14:paraId="3B82B8AD" w14:textId="77777777" w:rsidR="00041CC8" w:rsidRPr="005454C8" w:rsidRDefault="00041CC8" w:rsidP="00041CC8"/>
    <w:p w14:paraId="20F395B3" w14:textId="77777777" w:rsidR="00041CC8" w:rsidRPr="005454C8" w:rsidRDefault="00041CC8" w:rsidP="00041CC8"/>
    <w:p w14:paraId="3BC2A721" w14:textId="77777777" w:rsidR="00041CC8" w:rsidRPr="005454C8" w:rsidRDefault="00041CC8" w:rsidP="00041CC8"/>
    <w:p w14:paraId="3592722F" w14:textId="77777777" w:rsidR="00041CC8" w:rsidRPr="005454C8" w:rsidRDefault="00041CC8" w:rsidP="00041CC8"/>
    <w:p w14:paraId="4E333CB5" w14:textId="77777777" w:rsidR="00041CC8" w:rsidRPr="005454C8" w:rsidRDefault="00041CC8" w:rsidP="00041CC8"/>
    <w:p w14:paraId="1EACB81C" w14:textId="77777777" w:rsidR="00041CC8" w:rsidRPr="005454C8" w:rsidRDefault="00041CC8" w:rsidP="00041CC8"/>
    <w:p w14:paraId="631FC12B" w14:textId="77777777" w:rsidR="00041CC8" w:rsidRPr="005454C8" w:rsidRDefault="00041CC8" w:rsidP="00041CC8"/>
    <w:p w14:paraId="544274E6" w14:textId="77777777" w:rsidR="00041CC8" w:rsidRPr="005454C8" w:rsidRDefault="00041CC8" w:rsidP="00041CC8"/>
    <w:p w14:paraId="148B7313" w14:textId="77777777" w:rsidR="00041CC8" w:rsidRPr="005454C8" w:rsidRDefault="00041CC8" w:rsidP="00041CC8"/>
    <w:p w14:paraId="44CA595F" w14:textId="77777777" w:rsidR="00041CC8" w:rsidRPr="005454C8" w:rsidRDefault="00041CC8" w:rsidP="00041CC8"/>
    <w:p w14:paraId="21D37791" w14:textId="77777777" w:rsidR="00041CC8" w:rsidRPr="005454C8" w:rsidRDefault="00041CC8" w:rsidP="00041CC8"/>
    <w:p w14:paraId="489EB849" w14:textId="77777777" w:rsidR="00041CC8" w:rsidRPr="005454C8" w:rsidRDefault="00041CC8" w:rsidP="00041CC8"/>
    <w:p w14:paraId="0C10B4B8" w14:textId="77777777" w:rsidR="00041CC8" w:rsidRPr="005454C8" w:rsidRDefault="00041CC8" w:rsidP="00041CC8"/>
    <w:p w14:paraId="77F1B568" w14:textId="77777777" w:rsidR="00041CC8" w:rsidRPr="005454C8" w:rsidRDefault="00041CC8" w:rsidP="00041CC8"/>
    <w:p w14:paraId="0EC94A53" w14:textId="77777777" w:rsidR="00041CC8" w:rsidRPr="005454C8" w:rsidRDefault="00041CC8" w:rsidP="00041CC8"/>
    <w:p w14:paraId="5B350939" w14:textId="77777777" w:rsidR="00041CC8" w:rsidRPr="005454C8" w:rsidRDefault="00041CC8" w:rsidP="00041CC8"/>
    <w:p w14:paraId="1CAFBCF4" w14:textId="77777777" w:rsidR="00041CC8" w:rsidRPr="005454C8" w:rsidRDefault="00041CC8" w:rsidP="00041CC8"/>
    <w:p w14:paraId="1CF0B00A" w14:textId="77777777" w:rsidR="00041CC8" w:rsidRPr="005454C8" w:rsidRDefault="00041CC8" w:rsidP="00041CC8"/>
    <w:p w14:paraId="589E297A" w14:textId="77777777" w:rsidR="00041CC8" w:rsidRPr="005454C8" w:rsidRDefault="00041CC8" w:rsidP="00041CC8">
      <w:pPr>
        <w:keepNext/>
        <w:jc w:val="center"/>
        <w:outlineLvl w:val="1"/>
        <w:rPr>
          <w:b/>
        </w:rPr>
      </w:pPr>
      <w:r w:rsidRPr="005454C8">
        <w:rPr>
          <w:b/>
        </w:rPr>
        <w:t>A. ŽENKLINIMAS</w:t>
      </w:r>
    </w:p>
    <w:p w14:paraId="46AA0FDA" w14:textId="77777777" w:rsidR="00041CC8" w:rsidRPr="005454C8" w:rsidRDefault="00041CC8" w:rsidP="00041CC8">
      <w:r w:rsidRPr="005454C8">
        <w:br w:type="page"/>
      </w:r>
    </w:p>
    <w:p w14:paraId="052EF292" w14:textId="77777777" w:rsidR="00041CC8" w:rsidRPr="005454C8" w:rsidRDefault="00041CC8" w:rsidP="00041CC8">
      <w:pPr>
        <w:pBdr>
          <w:top w:val="single" w:sz="4" w:space="1" w:color="auto"/>
          <w:left w:val="single" w:sz="4" w:space="4" w:color="auto"/>
          <w:bottom w:val="single" w:sz="4" w:space="1" w:color="auto"/>
          <w:right w:val="single" w:sz="4" w:space="4" w:color="auto"/>
        </w:pBdr>
        <w:rPr>
          <w:b/>
        </w:rPr>
      </w:pPr>
      <w:r w:rsidRPr="005454C8">
        <w:rPr>
          <w:b/>
        </w:rPr>
        <w:lastRenderedPageBreak/>
        <w:t>INFORMACIJA ANT IŠORINĖS PAKUOTĖS</w:t>
      </w:r>
    </w:p>
    <w:p w14:paraId="751C6C61" w14:textId="77777777" w:rsidR="00041CC8" w:rsidRPr="005454C8" w:rsidRDefault="00041CC8" w:rsidP="00041CC8">
      <w:pPr>
        <w:pBdr>
          <w:top w:val="single" w:sz="4" w:space="1" w:color="auto"/>
          <w:left w:val="single" w:sz="4" w:space="4" w:color="auto"/>
          <w:bottom w:val="single" w:sz="4" w:space="1" w:color="auto"/>
          <w:right w:val="single" w:sz="4" w:space="4" w:color="auto"/>
        </w:pBdr>
        <w:rPr>
          <w:b/>
        </w:rPr>
      </w:pPr>
    </w:p>
    <w:p w14:paraId="5E76BEEC" w14:textId="77777777" w:rsidR="00041CC8" w:rsidRPr="005454C8" w:rsidRDefault="00041CC8" w:rsidP="00041CC8">
      <w:pPr>
        <w:pBdr>
          <w:top w:val="single" w:sz="4" w:space="1" w:color="auto"/>
          <w:left w:val="single" w:sz="4" w:space="4" w:color="auto"/>
          <w:bottom w:val="single" w:sz="4" w:space="1" w:color="auto"/>
          <w:right w:val="single" w:sz="4" w:space="4" w:color="auto"/>
        </w:pBdr>
        <w:rPr>
          <w:b/>
        </w:rPr>
      </w:pPr>
      <w:r w:rsidRPr="005454C8">
        <w:rPr>
          <w:b/>
        </w:rPr>
        <w:t>KARTONO DĖŽUTĖ</w:t>
      </w:r>
    </w:p>
    <w:p w14:paraId="0C873CFA" w14:textId="77777777" w:rsidR="00041CC8" w:rsidRPr="005454C8" w:rsidRDefault="00041CC8" w:rsidP="00041CC8"/>
    <w:p w14:paraId="3B3B031C" w14:textId="77777777" w:rsidR="00041CC8" w:rsidRPr="005454C8" w:rsidRDefault="00041CC8" w:rsidP="00041CC8"/>
    <w:p w14:paraId="61F31D2A"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1.</w:t>
      </w:r>
      <w:r w:rsidRPr="005454C8">
        <w:rPr>
          <w:b/>
        </w:rPr>
        <w:tab/>
      </w:r>
      <w:r w:rsidRPr="005454C8">
        <w:rPr>
          <w:b/>
          <w:caps/>
        </w:rPr>
        <w:t>VAISTINIO</w:t>
      </w:r>
      <w:r w:rsidRPr="005454C8">
        <w:rPr>
          <w:b/>
        </w:rPr>
        <w:t xml:space="preserve"> PREPARATO PAVADINIMAS</w:t>
      </w:r>
    </w:p>
    <w:p w14:paraId="46B2C5D9" w14:textId="77777777" w:rsidR="00041CC8" w:rsidRPr="005454C8" w:rsidRDefault="00041CC8" w:rsidP="00041CC8"/>
    <w:p w14:paraId="535CFDC2" w14:textId="77777777" w:rsidR="00041CC8" w:rsidRPr="005454C8" w:rsidRDefault="00041CC8" w:rsidP="00041CC8">
      <w:r w:rsidRPr="005454C8">
        <w:t>VERRIA 50 mg plėvele dengtos tabletės</w:t>
      </w:r>
    </w:p>
    <w:p w14:paraId="317FD2D8" w14:textId="77777777" w:rsidR="00041CC8" w:rsidRPr="005454C8" w:rsidRDefault="00041CC8" w:rsidP="00041CC8">
      <w:pPr>
        <w:rPr>
          <w:highlight w:val="lightGray"/>
        </w:rPr>
      </w:pPr>
      <w:r w:rsidRPr="005454C8">
        <w:rPr>
          <w:highlight w:val="lightGray"/>
        </w:rPr>
        <w:t>VERRIA 200 mg plėvele dengtos tabletės</w:t>
      </w:r>
    </w:p>
    <w:p w14:paraId="0FC87A5E" w14:textId="77777777" w:rsidR="00041CC8" w:rsidRPr="005454C8" w:rsidRDefault="00041CC8" w:rsidP="00041CC8">
      <w:r>
        <w:t>v</w:t>
      </w:r>
      <w:r w:rsidRPr="005454C8">
        <w:t>oriconazolum</w:t>
      </w:r>
    </w:p>
    <w:p w14:paraId="190B3015" w14:textId="77777777" w:rsidR="00041CC8" w:rsidRPr="005454C8" w:rsidRDefault="00041CC8" w:rsidP="00041CC8"/>
    <w:p w14:paraId="5D40577D" w14:textId="77777777" w:rsidR="00041CC8" w:rsidRPr="005454C8" w:rsidRDefault="00041CC8" w:rsidP="00041CC8"/>
    <w:p w14:paraId="086949A7"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rPr>
          <w:b/>
        </w:rPr>
      </w:pPr>
      <w:r w:rsidRPr="005454C8">
        <w:rPr>
          <w:b/>
        </w:rPr>
        <w:t>2.</w:t>
      </w:r>
      <w:r w:rsidRPr="005454C8">
        <w:rPr>
          <w:b/>
        </w:rPr>
        <w:tab/>
        <w:t>VEIKLIOJI (-IOS) MEDŽIAGA (-OS) IR JOS (-Ų) KIEKIS (-IAI)</w:t>
      </w:r>
    </w:p>
    <w:p w14:paraId="4A3B4D14" w14:textId="77777777" w:rsidR="00041CC8" w:rsidRPr="005454C8" w:rsidRDefault="00041CC8" w:rsidP="00041CC8"/>
    <w:p w14:paraId="6008E80F" w14:textId="77777777" w:rsidR="00041CC8" w:rsidRPr="005454C8" w:rsidRDefault="00041CC8" w:rsidP="00041CC8">
      <w:pPr>
        <w:autoSpaceDE w:val="0"/>
        <w:autoSpaceDN w:val="0"/>
        <w:adjustRightInd w:val="0"/>
        <w:rPr>
          <w:rFonts w:ascii="Verdana" w:hAnsi="Verdana"/>
        </w:rPr>
      </w:pPr>
      <w:r w:rsidRPr="005454C8">
        <w:rPr>
          <w:rFonts w:ascii="Verdana" w:hAnsi="Verdana"/>
          <w:highlight w:val="lightGray"/>
        </w:rPr>
        <w:t>[</w:t>
      </w:r>
      <w:r w:rsidRPr="005454C8">
        <w:rPr>
          <w:highlight w:val="lightGray"/>
        </w:rPr>
        <w:t>50 mg stiprumui:</w:t>
      </w:r>
      <w:r w:rsidRPr="005454C8">
        <w:rPr>
          <w:rFonts w:ascii="Verdana" w:hAnsi="Verdana"/>
          <w:highlight w:val="lightGray"/>
        </w:rPr>
        <w:t>]</w:t>
      </w:r>
    </w:p>
    <w:p w14:paraId="50BB6196" w14:textId="77777777" w:rsidR="00041CC8" w:rsidRPr="005454C8" w:rsidRDefault="00041CC8" w:rsidP="00041CC8">
      <w:pPr>
        <w:autoSpaceDE w:val="0"/>
        <w:autoSpaceDN w:val="0"/>
        <w:adjustRightInd w:val="0"/>
        <w:rPr>
          <w:rFonts w:eastAsia="Calibri"/>
        </w:rPr>
      </w:pPr>
      <w:r w:rsidRPr="005454C8">
        <w:rPr>
          <w:rFonts w:eastAsia="Calibri"/>
        </w:rPr>
        <w:t>Kiekvienoje plėvele dengtoje tabletėje yra 50 mg vorikonazolo.</w:t>
      </w:r>
    </w:p>
    <w:p w14:paraId="3F9BA50A" w14:textId="77777777" w:rsidR="00041CC8" w:rsidRPr="005454C8" w:rsidRDefault="00041CC8" w:rsidP="00041CC8">
      <w:pPr>
        <w:autoSpaceDE w:val="0"/>
        <w:autoSpaceDN w:val="0"/>
        <w:adjustRightInd w:val="0"/>
        <w:rPr>
          <w:rFonts w:eastAsia="Calibri"/>
        </w:rPr>
      </w:pPr>
    </w:p>
    <w:p w14:paraId="5117398A" w14:textId="77777777" w:rsidR="00041CC8" w:rsidRPr="005454C8" w:rsidRDefault="00041CC8" w:rsidP="00041CC8">
      <w:pPr>
        <w:autoSpaceDE w:val="0"/>
        <w:autoSpaceDN w:val="0"/>
        <w:adjustRightInd w:val="0"/>
        <w:rPr>
          <w:rFonts w:ascii="Verdana" w:hAnsi="Verdana"/>
          <w:highlight w:val="lightGray"/>
        </w:rPr>
      </w:pPr>
      <w:r w:rsidRPr="005454C8">
        <w:rPr>
          <w:rFonts w:ascii="Verdana" w:hAnsi="Verdana"/>
          <w:highlight w:val="lightGray"/>
        </w:rPr>
        <w:t>[</w:t>
      </w:r>
      <w:r w:rsidRPr="005454C8">
        <w:rPr>
          <w:highlight w:val="lightGray"/>
        </w:rPr>
        <w:t>200 mg stiprumui:</w:t>
      </w:r>
      <w:r w:rsidRPr="005454C8">
        <w:rPr>
          <w:rFonts w:ascii="Verdana" w:hAnsi="Verdana"/>
          <w:highlight w:val="lightGray"/>
        </w:rPr>
        <w:t>]</w:t>
      </w:r>
    </w:p>
    <w:p w14:paraId="030732DC" w14:textId="77777777" w:rsidR="00041CC8" w:rsidRPr="009A1B7F" w:rsidRDefault="00041CC8" w:rsidP="00041CC8">
      <w:pPr>
        <w:rPr>
          <w:szCs w:val="22"/>
          <w:lang w:eastAsia="en-US"/>
        </w:rPr>
      </w:pPr>
      <w:r w:rsidRPr="009A1B7F">
        <w:rPr>
          <w:rFonts w:eastAsia="Calibri"/>
          <w:szCs w:val="22"/>
          <w:highlight w:val="lightGray"/>
          <w:lang w:eastAsia="en-US"/>
        </w:rPr>
        <w:t>Kiekvienoje</w:t>
      </w:r>
      <w:r w:rsidRPr="009A1B7F">
        <w:rPr>
          <w:szCs w:val="22"/>
          <w:highlight w:val="lightGray"/>
          <w:lang w:eastAsia="en-US"/>
        </w:rPr>
        <w:t xml:space="preserve"> plėvele dengtoje tabletėje yra 200 mg </w:t>
      </w:r>
      <w:r w:rsidRPr="009A1B7F">
        <w:rPr>
          <w:rFonts w:eastAsia="TimesNewRoman"/>
          <w:szCs w:val="22"/>
          <w:highlight w:val="lightGray"/>
          <w:lang w:eastAsia="en-US"/>
        </w:rPr>
        <w:t>vorikonazolo</w:t>
      </w:r>
      <w:r w:rsidRPr="009A1B7F">
        <w:rPr>
          <w:color w:val="0000FF"/>
          <w:szCs w:val="22"/>
          <w:highlight w:val="lightGray"/>
          <w:lang w:eastAsia="en-US"/>
        </w:rPr>
        <w:t>.</w:t>
      </w:r>
    </w:p>
    <w:p w14:paraId="4636DF96" w14:textId="77777777" w:rsidR="00041CC8" w:rsidRPr="005454C8" w:rsidRDefault="00041CC8" w:rsidP="00041CC8"/>
    <w:p w14:paraId="422C6A24" w14:textId="77777777" w:rsidR="00041CC8" w:rsidRPr="005454C8" w:rsidRDefault="00041CC8" w:rsidP="00041CC8"/>
    <w:p w14:paraId="3CF0C018"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3.</w:t>
      </w:r>
      <w:r w:rsidRPr="005454C8">
        <w:rPr>
          <w:b/>
        </w:rPr>
        <w:tab/>
        <w:t>PAGALBINIŲ MEDŽIAGŲ SĄRAŠAS</w:t>
      </w:r>
    </w:p>
    <w:p w14:paraId="7B062A76" w14:textId="77777777" w:rsidR="00041CC8" w:rsidRPr="005454C8" w:rsidRDefault="00041CC8" w:rsidP="00041CC8"/>
    <w:p w14:paraId="3697F797" w14:textId="77777777" w:rsidR="00041CC8" w:rsidRPr="005454C8" w:rsidRDefault="00041CC8" w:rsidP="00041CC8">
      <w:r w:rsidRPr="005454C8">
        <w:t>Sudėtyje yra laktozės monohidrato. Daugiau informacijos žr. pakuotės lapelyje.</w:t>
      </w:r>
    </w:p>
    <w:p w14:paraId="7F02261B" w14:textId="77777777" w:rsidR="00041CC8" w:rsidRPr="005454C8" w:rsidRDefault="00041CC8" w:rsidP="00041CC8"/>
    <w:p w14:paraId="107CDA3D" w14:textId="77777777" w:rsidR="00041CC8" w:rsidRPr="005454C8" w:rsidRDefault="00041CC8" w:rsidP="00041CC8"/>
    <w:p w14:paraId="20CD1687"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4.</w:t>
      </w:r>
      <w:r w:rsidRPr="005454C8">
        <w:rPr>
          <w:b/>
        </w:rPr>
        <w:tab/>
        <w:t>FARMACINĖ FORMA IR KIEKIS PAKUOTĖJE</w:t>
      </w:r>
    </w:p>
    <w:p w14:paraId="76E5EDA4" w14:textId="77777777" w:rsidR="00041CC8" w:rsidRPr="005454C8" w:rsidRDefault="00041CC8" w:rsidP="00041CC8"/>
    <w:p w14:paraId="6DDA9A0C" w14:textId="77777777" w:rsidR="00041CC8" w:rsidRPr="005454C8" w:rsidRDefault="00041CC8" w:rsidP="00041CC8">
      <w:pPr>
        <w:widowControl w:val="0"/>
      </w:pPr>
      <w:r w:rsidRPr="005454C8">
        <w:t xml:space="preserve">2 </w:t>
      </w:r>
      <w:r w:rsidRPr="00982D99">
        <w:rPr>
          <w:highlight w:val="lightGray"/>
        </w:rPr>
        <w:t>plėvele dengtos</w:t>
      </w:r>
      <w:r w:rsidRPr="005454C8">
        <w:t xml:space="preserve"> tabletės</w:t>
      </w:r>
    </w:p>
    <w:p w14:paraId="7654A6BB" w14:textId="77777777" w:rsidR="00041CC8" w:rsidRPr="005454C8" w:rsidRDefault="00041CC8" w:rsidP="00041CC8">
      <w:pPr>
        <w:widowControl w:val="0"/>
        <w:rPr>
          <w:highlight w:val="lightGray"/>
        </w:rPr>
      </w:pPr>
      <w:r w:rsidRPr="005454C8">
        <w:rPr>
          <w:highlight w:val="lightGray"/>
        </w:rPr>
        <w:t xml:space="preserve">10 plėvele dengtų tablečių </w:t>
      </w:r>
    </w:p>
    <w:p w14:paraId="288D5530" w14:textId="77777777" w:rsidR="00041CC8" w:rsidRPr="005454C8" w:rsidRDefault="00041CC8" w:rsidP="00041CC8">
      <w:pPr>
        <w:widowControl w:val="0"/>
        <w:rPr>
          <w:highlight w:val="lightGray"/>
        </w:rPr>
      </w:pPr>
      <w:r w:rsidRPr="005454C8">
        <w:rPr>
          <w:highlight w:val="lightGray"/>
        </w:rPr>
        <w:t xml:space="preserve">14 plėvele dengtų tablečių </w:t>
      </w:r>
    </w:p>
    <w:p w14:paraId="5109D2A6" w14:textId="77777777" w:rsidR="00041CC8" w:rsidRPr="005454C8" w:rsidRDefault="00041CC8" w:rsidP="00041CC8">
      <w:pPr>
        <w:widowControl w:val="0"/>
        <w:rPr>
          <w:highlight w:val="lightGray"/>
        </w:rPr>
      </w:pPr>
      <w:r w:rsidRPr="005454C8">
        <w:rPr>
          <w:highlight w:val="lightGray"/>
        </w:rPr>
        <w:t xml:space="preserve">20 plėvele dengtų tablečių </w:t>
      </w:r>
    </w:p>
    <w:p w14:paraId="00E31DB3" w14:textId="77777777" w:rsidR="00041CC8" w:rsidRPr="005454C8" w:rsidRDefault="00041CC8" w:rsidP="00041CC8">
      <w:pPr>
        <w:widowControl w:val="0"/>
        <w:rPr>
          <w:highlight w:val="lightGray"/>
        </w:rPr>
      </w:pPr>
      <w:r w:rsidRPr="005454C8">
        <w:rPr>
          <w:highlight w:val="lightGray"/>
        </w:rPr>
        <w:t xml:space="preserve">28 plėvele dengtos tabletės </w:t>
      </w:r>
    </w:p>
    <w:p w14:paraId="23F70504" w14:textId="77777777" w:rsidR="00041CC8" w:rsidRPr="005454C8" w:rsidRDefault="00041CC8" w:rsidP="00041CC8">
      <w:pPr>
        <w:rPr>
          <w:highlight w:val="lightGray"/>
        </w:rPr>
      </w:pPr>
      <w:r w:rsidRPr="005454C8">
        <w:rPr>
          <w:highlight w:val="lightGray"/>
        </w:rPr>
        <w:t xml:space="preserve">30 plėvele dengtų tablečių </w:t>
      </w:r>
    </w:p>
    <w:p w14:paraId="56882BA4" w14:textId="77777777" w:rsidR="00041CC8" w:rsidRPr="005454C8" w:rsidRDefault="00041CC8" w:rsidP="00041CC8">
      <w:pPr>
        <w:rPr>
          <w:highlight w:val="lightGray"/>
        </w:rPr>
      </w:pPr>
      <w:r w:rsidRPr="005454C8">
        <w:rPr>
          <w:highlight w:val="lightGray"/>
        </w:rPr>
        <w:t xml:space="preserve">50 plėvele dengtų tablečių </w:t>
      </w:r>
    </w:p>
    <w:p w14:paraId="40FF18F8" w14:textId="77777777" w:rsidR="00041CC8" w:rsidRPr="005454C8" w:rsidRDefault="00041CC8" w:rsidP="00041CC8">
      <w:pPr>
        <w:widowControl w:val="0"/>
        <w:rPr>
          <w:highlight w:val="lightGray"/>
        </w:rPr>
      </w:pPr>
      <w:r w:rsidRPr="005454C8">
        <w:rPr>
          <w:highlight w:val="lightGray"/>
        </w:rPr>
        <w:t xml:space="preserve">56 plėvele dengtos tabletės </w:t>
      </w:r>
    </w:p>
    <w:p w14:paraId="156DB0EC" w14:textId="77777777" w:rsidR="00041CC8" w:rsidRPr="005454C8" w:rsidRDefault="00041CC8" w:rsidP="00041CC8">
      <w:r w:rsidRPr="005454C8">
        <w:rPr>
          <w:highlight w:val="lightGray"/>
        </w:rPr>
        <w:t>100 plėvele dengtų tablečių</w:t>
      </w:r>
      <w:r w:rsidRPr="005454C8">
        <w:t xml:space="preserve"> </w:t>
      </w:r>
    </w:p>
    <w:p w14:paraId="2C290482" w14:textId="77777777" w:rsidR="00041CC8" w:rsidRPr="005454C8" w:rsidRDefault="00041CC8" w:rsidP="00041CC8"/>
    <w:p w14:paraId="3C9EC099" w14:textId="77777777" w:rsidR="00041CC8" w:rsidRPr="005454C8" w:rsidRDefault="00041CC8" w:rsidP="00041CC8"/>
    <w:p w14:paraId="314F9176"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5.</w:t>
      </w:r>
      <w:r w:rsidRPr="005454C8">
        <w:rPr>
          <w:b/>
        </w:rPr>
        <w:tab/>
        <w:t>VARTOJIMO METODAS IR BŪDAS (-AI)</w:t>
      </w:r>
    </w:p>
    <w:p w14:paraId="548C3A93" w14:textId="77777777" w:rsidR="00041CC8" w:rsidRPr="005454C8" w:rsidRDefault="00041CC8" w:rsidP="00041CC8"/>
    <w:p w14:paraId="22B00A06" w14:textId="77777777" w:rsidR="00041CC8" w:rsidRPr="005454C8" w:rsidRDefault="00041CC8" w:rsidP="00041CC8">
      <w:r w:rsidRPr="005454C8">
        <w:t>Vartoti per burną.</w:t>
      </w:r>
    </w:p>
    <w:p w14:paraId="567D3BE1" w14:textId="77777777" w:rsidR="00041CC8" w:rsidRPr="005454C8" w:rsidRDefault="00041CC8" w:rsidP="00041CC8">
      <w:r w:rsidRPr="005454C8">
        <w:t>Prieš vartojimą perskaitykite pakuotės lapelį.</w:t>
      </w:r>
    </w:p>
    <w:p w14:paraId="1D6F0D51" w14:textId="77777777" w:rsidR="00041CC8" w:rsidRPr="005454C8" w:rsidRDefault="00041CC8" w:rsidP="00041CC8"/>
    <w:p w14:paraId="485EA974" w14:textId="77777777" w:rsidR="00041CC8" w:rsidRPr="005454C8" w:rsidRDefault="00041CC8" w:rsidP="00041CC8"/>
    <w:p w14:paraId="7297967D"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6.</w:t>
      </w:r>
      <w:r w:rsidRPr="005454C8">
        <w:rPr>
          <w:b/>
        </w:rPr>
        <w:tab/>
        <w:t>SPECIALUS ĮSPĖJIMAS, KAD VAISTINĮ PREPARATĄ BŪTINA LAIKYTI VAIKAMS NEPASTEBIMOJE IR  NEPASIEKIAMOJE VIETOJE</w:t>
      </w:r>
    </w:p>
    <w:p w14:paraId="3C7520F6" w14:textId="77777777" w:rsidR="00041CC8" w:rsidRPr="005454C8" w:rsidRDefault="00041CC8" w:rsidP="00041CC8"/>
    <w:p w14:paraId="747E5867" w14:textId="77777777" w:rsidR="00041CC8" w:rsidRPr="005454C8" w:rsidRDefault="00041CC8" w:rsidP="00041CC8">
      <w:r w:rsidRPr="005454C8">
        <w:t>Laikyti vaikams nepastebimoje ir nepasiekiamoje vietoje.</w:t>
      </w:r>
    </w:p>
    <w:p w14:paraId="2E125BDC" w14:textId="77777777" w:rsidR="00041CC8" w:rsidRPr="005454C8" w:rsidRDefault="00041CC8" w:rsidP="00041CC8"/>
    <w:p w14:paraId="115AC4E4" w14:textId="77777777" w:rsidR="00041CC8" w:rsidRPr="005454C8" w:rsidRDefault="00041CC8" w:rsidP="00041CC8"/>
    <w:p w14:paraId="62401A9E"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7.</w:t>
      </w:r>
      <w:r w:rsidRPr="005454C8">
        <w:rPr>
          <w:b/>
        </w:rPr>
        <w:tab/>
        <w:t>KITAS (-I) SPECIALUS (-ŪS) ĮSPĖJIMAS (-AI) (JEI REIKIA)</w:t>
      </w:r>
    </w:p>
    <w:p w14:paraId="504A1DA7" w14:textId="77777777" w:rsidR="00041CC8" w:rsidRPr="005454C8" w:rsidRDefault="00041CC8" w:rsidP="00041CC8"/>
    <w:p w14:paraId="46606BFB" w14:textId="77777777" w:rsidR="00041CC8" w:rsidRPr="005454C8" w:rsidRDefault="00041CC8" w:rsidP="00041CC8"/>
    <w:p w14:paraId="7C1B4DA1"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outlineLvl w:val="0"/>
      </w:pPr>
      <w:r w:rsidRPr="005454C8">
        <w:rPr>
          <w:b/>
        </w:rPr>
        <w:t>8.</w:t>
      </w:r>
      <w:r w:rsidRPr="005454C8">
        <w:rPr>
          <w:b/>
        </w:rPr>
        <w:tab/>
        <w:t>TINKAMUMO LAIKAS</w:t>
      </w:r>
    </w:p>
    <w:p w14:paraId="3E7E0456" w14:textId="77777777" w:rsidR="00041CC8" w:rsidRPr="005454C8" w:rsidRDefault="00041CC8" w:rsidP="00041CC8"/>
    <w:p w14:paraId="037931FC" w14:textId="77777777" w:rsidR="00041CC8" w:rsidRPr="005454C8" w:rsidRDefault="00041CC8" w:rsidP="00041CC8">
      <w:r>
        <w:t>EXP</w:t>
      </w:r>
      <w:r w:rsidRPr="00F847E4">
        <w:rPr>
          <w:highlight w:val="lightGray"/>
        </w:rPr>
        <w:t>:</w:t>
      </w:r>
      <w:r w:rsidRPr="005454C8">
        <w:t xml:space="preserve"> {mm</w:t>
      </w:r>
      <w:r>
        <w:t>-</w:t>
      </w:r>
      <w:r w:rsidRPr="005454C8">
        <w:t>MMMM}</w:t>
      </w:r>
    </w:p>
    <w:p w14:paraId="5B7F42BF" w14:textId="77777777" w:rsidR="00041CC8" w:rsidRPr="005454C8" w:rsidRDefault="00041CC8" w:rsidP="00041CC8"/>
    <w:p w14:paraId="3C308E0D" w14:textId="77777777" w:rsidR="00041CC8" w:rsidRPr="005454C8" w:rsidRDefault="00041CC8" w:rsidP="00041CC8"/>
    <w:p w14:paraId="2DC65B72" w14:textId="77777777" w:rsidR="00041CC8" w:rsidRPr="005454C8" w:rsidRDefault="00041CC8" w:rsidP="00041CC8">
      <w:pPr>
        <w:keepNext/>
        <w:pBdr>
          <w:top w:val="single" w:sz="4" w:space="1" w:color="auto"/>
          <w:left w:val="single" w:sz="4" w:space="4" w:color="auto"/>
          <w:bottom w:val="single" w:sz="4" w:space="1" w:color="auto"/>
          <w:right w:val="single" w:sz="4" w:space="4" w:color="auto"/>
        </w:pBdr>
        <w:ind w:left="567" w:hanging="567"/>
        <w:outlineLvl w:val="0"/>
      </w:pPr>
      <w:r w:rsidRPr="005454C8">
        <w:rPr>
          <w:b/>
        </w:rPr>
        <w:t>9.</w:t>
      </w:r>
      <w:r w:rsidRPr="005454C8">
        <w:rPr>
          <w:b/>
        </w:rPr>
        <w:tab/>
        <w:t>SPECIALIOS LAIKYMO SĄLYGOS</w:t>
      </w:r>
    </w:p>
    <w:p w14:paraId="2DAEEC46" w14:textId="77777777" w:rsidR="00041CC8" w:rsidRPr="005454C8" w:rsidRDefault="00041CC8" w:rsidP="00041CC8"/>
    <w:p w14:paraId="2AAAF453" w14:textId="77777777" w:rsidR="00041CC8" w:rsidRPr="005454C8" w:rsidRDefault="00041CC8" w:rsidP="00041CC8">
      <w:pPr>
        <w:rPr>
          <w:rFonts w:eastAsia="Calibri"/>
        </w:rPr>
      </w:pPr>
      <w:r w:rsidRPr="005454C8">
        <w:rPr>
          <w:rFonts w:eastAsia="Calibri"/>
        </w:rPr>
        <w:t>Laikyti gamintojo pakuotėje, kad vaistas būtų apsaugotas nuo drėgmės.</w:t>
      </w:r>
    </w:p>
    <w:p w14:paraId="7B6BE526" w14:textId="77777777" w:rsidR="00041CC8" w:rsidRPr="005454C8" w:rsidRDefault="00041CC8" w:rsidP="00041CC8"/>
    <w:p w14:paraId="7542CA34" w14:textId="77777777" w:rsidR="00041CC8" w:rsidRPr="005454C8" w:rsidRDefault="00041CC8" w:rsidP="00041CC8"/>
    <w:p w14:paraId="1E542035"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rPr>
          <w:b/>
        </w:rPr>
      </w:pPr>
      <w:r w:rsidRPr="005454C8">
        <w:rPr>
          <w:b/>
        </w:rPr>
        <w:t>10.</w:t>
      </w:r>
      <w:r w:rsidRPr="005454C8">
        <w:rPr>
          <w:b/>
        </w:rPr>
        <w:tab/>
        <w:t>SPECIALIOS ATSARGUMO PRIEMONĖS DĖL NESUVARTOTO VAISTINIO PREPARATO AR JO ATLIEKŲ TVARKYMO (JEI REIKIA)</w:t>
      </w:r>
    </w:p>
    <w:p w14:paraId="1C6459B6" w14:textId="77777777" w:rsidR="00041CC8" w:rsidRPr="005454C8" w:rsidRDefault="00041CC8" w:rsidP="00041CC8"/>
    <w:p w14:paraId="50D26765" w14:textId="77777777" w:rsidR="00041CC8" w:rsidRPr="005454C8" w:rsidRDefault="00041CC8" w:rsidP="00041CC8"/>
    <w:p w14:paraId="32D56416"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rPr>
          <w:b/>
        </w:rPr>
      </w:pPr>
      <w:r w:rsidRPr="005454C8">
        <w:rPr>
          <w:b/>
        </w:rPr>
        <w:t>11.</w:t>
      </w:r>
      <w:r w:rsidRPr="005454C8">
        <w:rPr>
          <w:b/>
        </w:rPr>
        <w:tab/>
      </w:r>
      <w:r w:rsidRPr="005454C8">
        <w:rPr>
          <w:b/>
          <w:caps/>
        </w:rPr>
        <w:t>REGISTRUOTOJO PAVADINIMAS IR ADRESAS</w:t>
      </w:r>
    </w:p>
    <w:p w14:paraId="3F6D6407" w14:textId="77777777" w:rsidR="00041CC8" w:rsidRPr="005454C8" w:rsidRDefault="00041CC8" w:rsidP="00041CC8"/>
    <w:p w14:paraId="62A337AF" w14:textId="77777777" w:rsidR="00041CC8" w:rsidRPr="005454C8" w:rsidRDefault="00041CC8" w:rsidP="00041CC8">
      <w:r w:rsidRPr="009A1B7F">
        <w:rPr>
          <w:spacing w:val="-2"/>
          <w:szCs w:val="22"/>
          <w:highlight w:val="lightGray"/>
          <w:lang w:eastAsia="en-US"/>
        </w:rPr>
        <w:t>MEDOCHEMIE</w:t>
      </w:r>
      <w:r w:rsidRPr="005454C8">
        <w:rPr>
          <w:spacing w:val="-2"/>
          <w:highlight w:val="lightGray"/>
        </w:rPr>
        <w:t xml:space="preserve"> </w:t>
      </w:r>
      <w:r w:rsidRPr="005454C8">
        <w:rPr>
          <w:highlight w:val="lightGray"/>
        </w:rPr>
        <w:t>{logotipas}</w:t>
      </w:r>
    </w:p>
    <w:p w14:paraId="2A9C17EE" w14:textId="77777777" w:rsidR="00041CC8" w:rsidRPr="005454C8" w:rsidRDefault="00041CC8" w:rsidP="00041CC8">
      <w:pPr>
        <w:rPr>
          <w:spacing w:val="-2"/>
        </w:rPr>
      </w:pPr>
    </w:p>
    <w:p w14:paraId="414ED9C1" w14:textId="77777777" w:rsidR="00041CC8" w:rsidRPr="005454C8" w:rsidRDefault="00041CC8" w:rsidP="00041CC8">
      <w:pPr>
        <w:rPr>
          <w:spacing w:val="-2"/>
        </w:rPr>
      </w:pPr>
      <w:r w:rsidRPr="005454C8">
        <w:rPr>
          <w:spacing w:val="-2"/>
        </w:rPr>
        <w:t>Medochemie Ltd</w:t>
      </w:r>
      <w:r>
        <w:rPr>
          <w:spacing w:val="-2"/>
        </w:rPr>
        <w:t xml:space="preserve">., </w:t>
      </w:r>
      <w:r w:rsidRPr="005454C8">
        <w:rPr>
          <w:spacing w:val="-2"/>
        </w:rPr>
        <w:t>1-10 Constantinoupoleos Street</w:t>
      </w:r>
      <w:r>
        <w:rPr>
          <w:spacing w:val="-2"/>
        </w:rPr>
        <w:t xml:space="preserve">, </w:t>
      </w:r>
      <w:r w:rsidRPr="005454C8">
        <w:rPr>
          <w:spacing w:val="-2"/>
        </w:rPr>
        <w:t>3011 Limassol</w:t>
      </w:r>
      <w:r>
        <w:rPr>
          <w:spacing w:val="-2"/>
        </w:rPr>
        <w:t xml:space="preserve">, </w:t>
      </w:r>
      <w:r w:rsidRPr="005454C8">
        <w:rPr>
          <w:spacing w:val="-2"/>
        </w:rPr>
        <w:t>Kipras</w:t>
      </w:r>
    </w:p>
    <w:p w14:paraId="0904A838" w14:textId="77777777" w:rsidR="00041CC8" w:rsidRPr="005454C8" w:rsidRDefault="00041CC8" w:rsidP="00041CC8"/>
    <w:p w14:paraId="12B61D6D" w14:textId="77777777" w:rsidR="00041CC8" w:rsidRPr="005454C8" w:rsidRDefault="00041CC8" w:rsidP="00041CC8"/>
    <w:p w14:paraId="6F939119"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pPr>
      <w:r w:rsidRPr="005454C8">
        <w:rPr>
          <w:b/>
        </w:rPr>
        <w:t>12.</w:t>
      </w:r>
      <w:r w:rsidRPr="005454C8">
        <w:rPr>
          <w:b/>
        </w:rPr>
        <w:tab/>
        <w:t xml:space="preserve">REGISTRACIJOS PAŽYMĖJIMO NUMERIS (-IAI) </w:t>
      </w:r>
    </w:p>
    <w:p w14:paraId="0B325642" w14:textId="77777777" w:rsidR="00041CC8" w:rsidRPr="005454C8" w:rsidRDefault="00041CC8" w:rsidP="00041CC8"/>
    <w:p w14:paraId="2523E44A" w14:textId="77777777" w:rsidR="00041CC8" w:rsidRPr="005454C8" w:rsidRDefault="00041CC8" w:rsidP="00041CC8">
      <w:r w:rsidRPr="007D1470">
        <w:rPr>
          <w:highlight w:val="lightGray"/>
        </w:rPr>
        <w:t>VERRIA 50 mg</w:t>
      </w:r>
    </w:p>
    <w:p w14:paraId="6CF9BB34" w14:textId="77777777" w:rsidR="00041CC8" w:rsidRPr="005454C8" w:rsidRDefault="00041CC8" w:rsidP="00041CC8">
      <w:r w:rsidRPr="007D1470">
        <w:rPr>
          <w:highlight w:val="lightGray"/>
        </w:rPr>
        <w:t>N2 -</w:t>
      </w:r>
      <w:r w:rsidRPr="005454C8">
        <w:t xml:space="preserve"> LT/1/17/4049/001 </w:t>
      </w:r>
    </w:p>
    <w:p w14:paraId="438FAF4E" w14:textId="77777777" w:rsidR="00041CC8" w:rsidRPr="005454C8" w:rsidRDefault="00041CC8" w:rsidP="00041CC8">
      <w:pPr>
        <w:rPr>
          <w:highlight w:val="lightGray"/>
        </w:rPr>
      </w:pPr>
      <w:r w:rsidRPr="005454C8">
        <w:rPr>
          <w:highlight w:val="lightGray"/>
        </w:rPr>
        <w:t xml:space="preserve">N10 - LT/1/17/4049/002 </w:t>
      </w:r>
    </w:p>
    <w:p w14:paraId="7A450F16" w14:textId="77777777" w:rsidR="00041CC8" w:rsidRPr="005454C8" w:rsidRDefault="00041CC8" w:rsidP="00041CC8">
      <w:pPr>
        <w:rPr>
          <w:highlight w:val="lightGray"/>
        </w:rPr>
      </w:pPr>
      <w:r w:rsidRPr="005454C8">
        <w:rPr>
          <w:highlight w:val="lightGray"/>
        </w:rPr>
        <w:t xml:space="preserve">N14 - LT/1/17/4049/003 </w:t>
      </w:r>
    </w:p>
    <w:p w14:paraId="4660B155" w14:textId="77777777" w:rsidR="00041CC8" w:rsidRPr="005454C8" w:rsidRDefault="00041CC8" w:rsidP="00041CC8">
      <w:pPr>
        <w:rPr>
          <w:highlight w:val="lightGray"/>
        </w:rPr>
      </w:pPr>
      <w:r w:rsidRPr="005454C8">
        <w:rPr>
          <w:highlight w:val="lightGray"/>
        </w:rPr>
        <w:t xml:space="preserve">N20 - LT/1/17/4049/004 </w:t>
      </w:r>
    </w:p>
    <w:p w14:paraId="067FEAEA" w14:textId="77777777" w:rsidR="00041CC8" w:rsidRPr="005454C8" w:rsidRDefault="00041CC8" w:rsidP="00041CC8">
      <w:pPr>
        <w:rPr>
          <w:highlight w:val="lightGray"/>
        </w:rPr>
      </w:pPr>
      <w:r w:rsidRPr="005454C8">
        <w:rPr>
          <w:highlight w:val="lightGray"/>
        </w:rPr>
        <w:t xml:space="preserve">N28 - LT/1/17/4049/005 </w:t>
      </w:r>
    </w:p>
    <w:p w14:paraId="7463CF19" w14:textId="77777777" w:rsidR="00041CC8" w:rsidRPr="005454C8" w:rsidRDefault="00041CC8" w:rsidP="00041CC8">
      <w:pPr>
        <w:rPr>
          <w:highlight w:val="lightGray"/>
        </w:rPr>
      </w:pPr>
      <w:r w:rsidRPr="005454C8">
        <w:rPr>
          <w:highlight w:val="lightGray"/>
        </w:rPr>
        <w:t xml:space="preserve">N30 - LT/1/17/4049/006 </w:t>
      </w:r>
    </w:p>
    <w:p w14:paraId="340CE5D9" w14:textId="77777777" w:rsidR="00041CC8" w:rsidRPr="005454C8" w:rsidRDefault="00041CC8" w:rsidP="00041CC8">
      <w:pPr>
        <w:rPr>
          <w:highlight w:val="lightGray"/>
        </w:rPr>
      </w:pPr>
      <w:r w:rsidRPr="005454C8">
        <w:rPr>
          <w:highlight w:val="lightGray"/>
        </w:rPr>
        <w:t xml:space="preserve">N50 - LT/1/17/4049/007 </w:t>
      </w:r>
    </w:p>
    <w:p w14:paraId="6DDA81BB" w14:textId="77777777" w:rsidR="00041CC8" w:rsidRPr="005454C8" w:rsidRDefault="00041CC8" w:rsidP="00041CC8">
      <w:pPr>
        <w:rPr>
          <w:highlight w:val="lightGray"/>
        </w:rPr>
      </w:pPr>
      <w:r w:rsidRPr="005454C8">
        <w:rPr>
          <w:highlight w:val="lightGray"/>
        </w:rPr>
        <w:t xml:space="preserve">N56 - LT/1/17/4049/008 </w:t>
      </w:r>
    </w:p>
    <w:p w14:paraId="72AFE335" w14:textId="77777777" w:rsidR="00041CC8" w:rsidRPr="005454C8" w:rsidRDefault="00041CC8" w:rsidP="00041CC8">
      <w:pPr>
        <w:rPr>
          <w:highlight w:val="lightGray"/>
        </w:rPr>
      </w:pPr>
      <w:r w:rsidRPr="005454C8">
        <w:rPr>
          <w:highlight w:val="lightGray"/>
        </w:rPr>
        <w:t xml:space="preserve">N100 - LT/1/17/4049/009 </w:t>
      </w:r>
    </w:p>
    <w:p w14:paraId="60AC6741" w14:textId="77777777" w:rsidR="00041CC8" w:rsidRPr="005454C8" w:rsidRDefault="00041CC8" w:rsidP="00041CC8">
      <w:pPr>
        <w:rPr>
          <w:highlight w:val="lightGray"/>
        </w:rPr>
      </w:pPr>
    </w:p>
    <w:p w14:paraId="51022452" w14:textId="77777777" w:rsidR="00041CC8" w:rsidRPr="005454C8" w:rsidRDefault="00041CC8" w:rsidP="00041CC8">
      <w:pPr>
        <w:rPr>
          <w:highlight w:val="lightGray"/>
        </w:rPr>
      </w:pPr>
      <w:r w:rsidRPr="005454C8">
        <w:rPr>
          <w:highlight w:val="lightGray"/>
        </w:rPr>
        <w:t>VERRIA 200 mg</w:t>
      </w:r>
    </w:p>
    <w:p w14:paraId="5A38335B" w14:textId="77777777" w:rsidR="00041CC8" w:rsidRPr="005454C8" w:rsidRDefault="00041CC8" w:rsidP="00041CC8">
      <w:pPr>
        <w:rPr>
          <w:highlight w:val="lightGray"/>
        </w:rPr>
      </w:pPr>
      <w:r w:rsidRPr="005454C8">
        <w:rPr>
          <w:highlight w:val="lightGray"/>
        </w:rPr>
        <w:t>N2 - LT/1/17/4049/010</w:t>
      </w:r>
    </w:p>
    <w:p w14:paraId="39171488" w14:textId="77777777" w:rsidR="00041CC8" w:rsidRPr="005454C8" w:rsidRDefault="00041CC8" w:rsidP="00041CC8">
      <w:pPr>
        <w:rPr>
          <w:highlight w:val="lightGray"/>
        </w:rPr>
      </w:pPr>
      <w:r w:rsidRPr="005454C8">
        <w:rPr>
          <w:highlight w:val="lightGray"/>
        </w:rPr>
        <w:t xml:space="preserve">N10 - LT/1/17/4049/011 </w:t>
      </w:r>
    </w:p>
    <w:p w14:paraId="457B8384" w14:textId="77777777" w:rsidR="00041CC8" w:rsidRPr="005454C8" w:rsidRDefault="00041CC8" w:rsidP="00041CC8">
      <w:pPr>
        <w:rPr>
          <w:highlight w:val="lightGray"/>
        </w:rPr>
      </w:pPr>
      <w:r w:rsidRPr="005454C8">
        <w:rPr>
          <w:highlight w:val="lightGray"/>
        </w:rPr>
        <w:t xml:space="preserve">N14 - LT/1/17/4049/012 </w:t>
      </w:r>
    </w:p>
    <w:p w14:paraId="2E713E30" w14:textId="77777777" w:rsidR="00041CC8" w:rsidRPr="005454C8" w:rsidRDefault="00041CC8" w:rsidP="00041CC8">
      <w:pPr>
        <w:rPr>
          <w:highlight w:val="lightGray"/>
        </w:rPr>
      </w:pPr>
      <w:r w:rsidRPr="005454C8">
        <w:rPr>
          <w:highlight w:val="lightGray"/>
        </w:rPr>
        <w:t xml:space="preserve">N20 - LT/1/17/4049/013 </w:t>
      </w:r>
    </w:p>
    <w:p w14:paraId="496B8C1B" w14:textId="77777777" w:rsidR="00041CC8" w:rsidRPr="005454C8" w:rsidRDefault="00041CC8" w:rsidP="00041CC8">
      <w:pPr>
        <w:rPr>
          <w:highlight w:val="lightGray"/>
        </w:rPr>
      </w:pPr>
      <w:r w:rsidRPr="005454C8">
        <w:rPr>
          <w:highlight w:val="lightGray"/>
        </w:rPr>
        <w:t xml:space="preserve">N28 - LT/1/17/4049/014 </w:t>
      </w:r>
    </w:p>
    <w:p w14:paraId="3DEACB64" w14:textId="77777777" w:rsidR="00041CC8" w:rsidRPr="005454C8" w:rsidRDefault="00041CC8" w:rsidP="00041CC8">
      <w:pPr>
        <w:rPr>
          <w:highlight w:val="lightGray"/>
        </w:rPr>
      </w:pPr>
      <w:r w:rsidRPr="005454C8">
        <w:rPr>
          <w:highlight w:val="lightGray"/>
        </w:rPr>
        <w:t xml:space="preserve">N30 - LT/1/17/4049/015 </w:t>
      </w:r>
    </w:p>
    <w:p w14:paraId="73897E29" w14:textId="77777777" w:rsidR="00041CC8" w:rsidRPr="005454C8" w:rsidRDefault="00041CC8" w:rsidP="00041CC8">
      <w:pPr>
        <w:rPr>
          <w:highlight w:val="lightGray"/>
        </w:rPr>
      </w:pPr>
      <w:r w:rsidRPr="005454C8">
        <w:rPr>
          <w:highlight w:val="lightGray"/>
        </w:rPr>
        <w:t xml:space="preserve">N50 - LT/1/17/4049/016 </w:t>
      </w:r>
    </w:p>
    <w:p w14:paraId="7CB9EBFE" w14:textId="77777777" w:rsidR="00041CC8" w:rsidRPr="005454C8" w:rsidRDefault="00041CC8" w:rsidP="00041CC8">
      <w:pPr>
        <w:rPr>
          <w:highlight w:val="lightGray"/>
        </w:rPr>
      </w:pPr>
      <w:r w:rsidRPr="005454C8">
        <w:rPr>
          <w:highlight w:val="lightGray"/>
        </w:rPr>
        <w:t xml:space="preserve">N56 - LT/1/17/4049/017 </w:t>
      </w:r>
    </w:p>
    <w:p w14:paraId="039F6E48" w14:textId="77777777" w:rsidR="00041CC8" w:rsidRPr="005454C8" w:rsidRDefault="00041CC8" w:rsidP="00041CC8">
      <w:r w:rsidRPr="005454C8">
        <w:rPr>
          <w:highlight w:val="lightGray"/>
        </w:rPr>
        <w:t>N100 - LT/1/17/4049/018</w:t>
      </w:r>
      <w:r w:rsidRPr="005454C8">
        <w:t xml:space="preserve"> </w:t>
      </w:r>
    </w:p>
    <w:p w14:paraId="16566F24" w14:textId="77777777" w:rsidR="00041CC8" w:rsidRPr="005454C8" w:rsidRDefault="00041CC8" w:rsidP="00041CC8"/>
    <w:p w14:paraId="0CF26749" w14:textId="77777777" w:rsidR="00041CC8" w:rsidRPr="005454C8" w:rsidRDefault="00041CC8" w:rsidP="00041CC8"/>
    <w:p w14:paraId="4A711FA1"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pPr>
      <w:r w:rsidRPr="005454C8">
        <w:rPr>
          <w:b/>
        </w:rPr>
        <w:t>13.</w:t>
      </w:r>
      <w:r w:rsidRPr="005454C8">
        <w:rPr>
          <w:b/>
        </w:rPr>
        <w:tab/>
        <w:t xml:space="preserve">SERIJOS NUMERIS </w:t>
      </w:r>
    </w:p>
    <w:p w14:paraId="70D74198" w14:textId="77777777" w:rsidR="00041CC8" w:rsidRPr="005454C8" w:rsidRDefault="00041CC8" w:rsidP="00041CC8"/>
    <w:p w14:paraId="0CFC69D2" w14:textId="77777777" w:rsidR="00041CC8" w:rsidRPr="005454C8" w:rsidRDefault="00041CC8" w:rsidP="00041CC8">
      <w:r>
        <w:t>Lot</w:t>
      </w:r>
      <w:r w:rsidRPr="00F847E4">
        <w:rPr>
          <w:highlight w:val="lightGray"/>
        </w:rPr>
        <w:t>:</w:t>
      </w:r>
    </w:p>
    <w:p w14:paraId="4A744BAB" w14:textId="77777777" w:rsidR="00041CC8" w:rsidRPr="005454C8" w:rsidRDefault="00041CC8" w:rsidP="00041CC8"/>
    <w:p w14:paraId="6A87C9AB" w14:textId="77777777" w:rsidR="00041CC8" w:rsidRPr="005454C8" w:rsidRDefault="00041CC8" w:rsidP="00041CC8"/>
    <w:p w14:paraId="76508A32"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pPr>
      <w:r w:rsidRPr="005454C8">
        <w:rPr>
          <w:b/>
        </w:rPr>
        <w:t>14.</w:t>
      </w:r>
      <w:r w:rsidRPr="005454C8">
        <w:rPr>
          <w:b/>
        </w:rPr>
        <w:tab/>
        <w:t>PARDAVIMO (IŠDAVIMO) TVARKA</w:t>
      </w:r>
    </w:p>
    <w:p w14:paraId="0AD2A1A5" w14:textId="77777777" w:rsidR="00041CC8" w:rsidRPr="005454C8" w:rsidRDefault="00041CC8" w:rsidP="00041CC8"/>
    <w:p w14:paraId="4D8FE59F" w14:textId="77777777" w:rsidR="00041CC8" w:rsidRPr="005454C8" w:rsidRDefault="00041CC8" w:rsidP="00041CC8">
      <w:r w:rsidRPr="005454C8">
        <w:t>Receptinis vaistas</w:t>
      </w:r>
      <w:r>
        <w:t>.</w:t>
      </w:r>
    </w:p>
    <w:p w14:paraId="2468E4D2" w14:textId="77777777" w:rsidR="00041CC8" w:rsidRPr="005454C8" w:rsidRDefault="00041CC8" w:rsidP="00041CC8"/>
    <w:p w14:paraId="671F20E2" w14:textId="77777777" w:rsidR="00041CC8" w:rsidRPr="005454C8" w:rsidRDefault="00041CC8" w:rsidP="00041CC8"/>
    <w:p w14:paraId="303D5AB7" w14:textId="77777777" w:rsidR="00041CC8" w:rsidRPr="005454C8" w:rsidRDefault="00041CC8" w:rsidP="00041CC8">
      <w:pPr>
        <w:pBdr>
          <w:top w:val="single" w:sz="4" w:space="2" w:color="auto"/>
          <w:left w:val="single" w:sz="4" w:space="4" w:color="auto"/>
          <w:bottom w:val="single" w:sz="4" w:space="1" w:color="auto"/>
          <w:right w:val="single" w:sz="4" w:space="4" w:color="auto"/>
        </w:pBdr>
        <w:outlineLvl w:val="0"/>
      </w:pPr>
      <w:r w:rsidRPr="005454C8">
        <w:rPr>
          <w:b/>
        </w:rPr>
        <w:lastRenderedPageBreak/>
        <w:t>15.</w:t>
      </w:r>
      <w:r w:rsidRPr="005454C8">
        <w:rPr>
          <w:b/>
        </w:rPr>
        <w:tab/>
        <w:t>VARTOJIMO INSTRUKCIJA</w:t>
      </w:r>
    </w:p>
    <w:p w14:paraId="3CCDE570" w14:textId="77777777" w:rsidR="00041CC8" w:rsidRPr="005454C8" w:rsidRDefault="00041CC8" w:rsidP="00041CC8"/>
    <w:p w14:paraId="41E7D40D" w14:textId="77777777" w:rsidR="00041CC8" w:rsidRPr="005454C8" w:rsidRDefault="00041CC8" w:rsidP="00041CC8"/>
    <w:p w14:paraId="75BED2CE" w14:textId="77777777" w:rsidR="00041CC8" w:rsidRPr="005454C8" w:rsidRDefault="00041CC8" w:rsidP="00041CC8">
      <w:pPr>
        <w:pBdr>
          <w:top w:val="single" w:sz="4" w:space="1" w:color="auto"/>
          <w:left w:val="single" w:sz="4" w:space="4" w:color="auto"/>
          <w:bottom w:val="single" w:sz="4" w:space="0" w:color="auto"/>
          <w:right w:val="single" w:sz="4" w:space="4" w:color="auto"/>
        </w:pBdr>
        <w:rPr>
          <w:color w:val="008000"/>
        </w:rPr>
      </w:pPr>
      <w:r w:rsidRPr="005454C8">
        <w:rPr>
          <w:b/>
        </w:rPr>
        <w:t>16.</w:t>
      </w:r>
      <w:r w:rsidRPr="005454C8">
        <w:rPr>
          <w:b/>
        </w:rPr>
        <w:tab/>
        <w:t>INFORMACIJA BRAILIO RAŠTU</w:t>
      </w:r>
    </w:p>
    <w:p w14:paraId="34AA321B" w14:textId="77777777" w:rsidR="00041CC8" w:rsidRPr="005454C8" w:rsidRDefault="00041CC8" w:rsidP="00041CC8"/>
    <w:p w14:paraId="005106A9" w14:textId="77777777" w:rsidR="00041CC8" w:rsidRPr="005454C8" w:rsidRDefault="00041CC8" w:rsidP="00041CC8">
      <w:pPr>
        <w:autoSpaceDE w:val="0"/>
        <w:autoSpaceDN w:val="0"/>
        <w:adjustRightInd w:val="0"/>
        <w:rPr>
          <w:rFonts w:ascii="Verdana" w:hAnsi="Verdana"/>
        </w:rPr>
      </w:pPr>
      <w:r w:rsidRPr="005454C8">
        <w:rPr>
          <w:rFonts w:ascii="Verdana" w:hAnsi="Verdana"/>
          <w:highlight w:val="lightGray"/>
        </w:rPr>
        <w:t>[</w:t>
      </w:r>
      <w:r w:rsidRPr="005454C8">
        <w:rPr>
          <w:highlight w:val="lightGray"/>
        </w:rPr>
        <w:t>50 mg stiprumui:</w:t>
      </w:r>
      <w:r w:rsidRPr="005454C8">
        <w:rPr>
          <w:rFonts w:ascii="Verdana" w:hAnsi="Verdana"/>
          <w:highlight w:val="lightGray"/>
        </w:rPr>
        <w:t>]</w:t>
      </w:r>
    </w:p>
    <w:p w14:paraId="3F79347F" w14:textId="77777777" w:rsidR="00041CC8" w:rsidRPr="005454C8" w:rsidRDefault="00041CC8" w:rsidP="00041CC8">
      <w:r>
        <w:t>verria</w:t>
      </w:r>
      <w:r w:rsidRPr="005454C8">
        <w:t xml:space="preserve"> 50 mg </w:t>
      </w:r>
      <w:r w:rsidRPr="00982D99">
        <w:rPr>
          <w:highlight w:val="lightGray"/>
        </w:rPr>
        <w:t>plėvele dengtos tabletės</w:t>
      </w:r>
    </w:p>
    <w:p w14:paraId="27DFC155" w14:textId="77777777" w:rsidR="00041CC8" w:rsidRPr="005454C8" w:rsidRDefault="00041CC8" w:rsidP="00041CC8">
      <w:pPr>
        <w:autoSpaceDE w:val="0"/>
        <w:autoSpaceDN w:val="0"/>
        <w:adjustRightInd w:val="0"/>
        <w:rPr>
          <w:rFonts w:eastAsia="Calibri"/>
        </w:rPr>
      </w:pPr>
    </w:p>
    <w:p w14:paraId="4E08AFE5" w14:textId="77777777" w:rsidR="00041CC8" w:rsidRPr="005454C8" w:rsidRDefault="00041CC8" w:rsidP="00041CC8">
      <w:pPr>
        <w:autoSpaceDE w:val="0"/>
        <w:autoSpaceDN w:val="0"/>
        <w:adjustRightInd w:val="0"/>
        <w:rPr>
          <w:rFonts w:ascii="Verdana" w:hAnsi="Verdana"/>
        </w:rPr>
      </w:pPr>
      <w:r w:rsidRPr="005454C8">
        <w:rPr>
          <w:rFonts w:ascii="Verdana" w:hAnsi="Verdana"/>
          <w:highlight w:val="lightGray"/>
        </w:rPr>
        <w:t>[</w:t>
      </w:r>
      <w:r w:rsidRPr="005454C8">
        <w:rPr>
          <w:highlight w:val="lightGray"/>
        </w:rPr>
        <w:t>200 mg stiprumui:</w:t>
      </w:r>
      <w:r w:rsidRPr="005454C8">
        <w:rPr>
          <w:rFonts w:ascii="Verdana" w:hAnsi="Verdana"/>
          <w:highlight w:val="lightGray"/>
        </w:rPr>
        <w:t>]</w:t>
      </w:r>
    </w:p>
    <w:p w14:paraId="3E50D21D" w14:textId="77777777" w:rsidR="00041CC8" w:rsidRPr="005454C8" w:rsidRDefault="00041CC8" w:rsidP="00041CC8">
      <w:r>
        <w:rPr>
          <w:highlight w:val="lightGray"/>
        </w:rPr>
        <w:t>verria</w:t>
      </w:r>
      <w:r w:rsidRPr="005454C8">
        <w:rPr>
          <w:highlight w:val="lightGray"/>
        </w:rPr>
        <w:t xml:space="preserve"> 200 mg plėvele dengtos tabletės</w:t>
      </w:r>
    </w:p>
    <w:p w14:paraId="3D9967EB" w14:textId="77777777" w:rsidR="00041CC8" w:rsidRPr="005454C8" w:rsidRDefault="00041CC8" w:rsidP="00041CC8">
      <w:pPr>
        <w:tabs>
          <w:tab w:val="left" w:pos="567"/>
        </w:tabs>
        <w:spacing w:line="260" w:lineRule="exact"/>
      </w:pPr>
    </w:p>
    <w:p w14:paraId="413483DA" w14:textId="77777777" w:rsidR="00041CC8" w:rsidRPr="005454C8" w:rsidRDefault="00041CC8" w:rsidP="00041CC8">
      <w:pPr>
        <w:rPr>
          <w:shd w:val="clear" w:color="auto" w:fill="CCCCCC"/>
          <w:lang w:val="en-GB"/>
        </w:rPr>
      </w:pPr>
    </w:p>
    <w:p w14:paraId="16B3281A" w14:textId="77777777" w:rsidR="00041CC8" w:rsidRPr="005454C8" w:rsidRDefault="00041CC8" w:rsidP="00041CC8">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i/>
        </w:rPr>
      </w:pPr>
      <w:r w:rsidRPr="005454C8">
        <w:rPr>
          <w:b/>
        </w:rPr>
        <w:t>UNIKALUS IDENTIFIKATORIUS – 2D BRŪKŠNINIS KODAS</w:t>
      </w:r>
    </w:p>
    <w:p w14:paraId="7216221E" w14:textId="77777777" w:rsidR="00041CC8" w:rsidRPr="005454C8" w:rsidRDefault="00041CC8" w:rsidP="00041CC8">
      <w:pPr>
        <w:rPr>
          <w:lang w:val="en-GB"/>
        </w:rPr>
      </w:pPr>
    </w:p>
    <w:p w14:paraId="5627CD56" w14:textId="77777777" w:rsidR="00041CC8" w:rsidRPr="005454C8" w:rsidRDefault="00041CC8" w:rsidP="00041CC8">
      <w:r w:rsidRPr="005454C8">
        <w:rPr>
          <w:highlight w:val="lightGray"/>
        </w:rPr>
        <w:t>2D brūkšninis kodas su nurodytu unikaliu identifikatoriumi.</w:t>
      </w:r>
    </w:p>
    <w:p w14:paraId="4FFD4092" w14:textId="77777777" w:rsidR="00041CC8" w:rsidRPr="00F01ED7" w:rsidRDefault="00041CC8" w:rsidP="00041CC8">
      <w:pPr>
        <w:rPr>
          <w:lang w:val="en-GB"/>
        </w:rPr>
      </w:pPr>
    </w:p>
    <w:p w14:paraId="41A30332" w14:textId="77777777" w:rsidR="00041CC8" w:rsidRPr="00F01ED7" w:rsidRDefault="00041CC8" w:rsidP="00041CC8">
      <w:pPr>
        <w:rPr>
          <w:lang w:val="en-GB"/>
        </w:rPr>
      </w:pPr>
    </w:p>
    <w:p w14:paraId="25BE6D0F" w14:textId="77777777" w:rsidR="00041CC8" w:rsidRPr="005454C8" w:rsidRDefault="00041CC8" w:rsidP="00041CC8">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927"/>
        <w:contextualSpacing/>
        <w:outlineLvl w:val="0"/>
        <w:rPr>
          <w:i/>
        </w:rPr>
      </w:pPr>
      <w:r w:rsidRPr="005454C8">
        <w:rPr>
          <w:b/>
        </w:rPr>
        <w:t>UNIKALUS IDENTIFIKATORIUS – ŽMONĖMS SUPRANTAMI DUOMENYS</w:t>
      </w:r>
    </w:p>
    <w:p w14:paraId="156A8E67" w14:textId="77777777" w:rsidR="00041CC8" w:rsidRPr="005454C8" w:rsidRDefault="00041CC8" w:rsidP="00041CC8">
      <w:pPr>
        <w:rPr>
          <w:lang w:val="en-GB"/>
        </w:rPr>
      </w:pPr>
    </w:p>
    <w:p w14:paraId="33E5B081" w14:textId="77777777" w:rsidR="00041CC8" w:rsidRPr="005454C8" w:rsidRDefault="00041CC8" w:rsidP="00041CC8">
      <w:r w:rsidRPr="005454C8">
        <w:t>PC</w:t>
      </w:r>
      <w:r w:rsidRPr="00F847E4">
        <w:rPr>
          <w:highlight w:val="lightGray"/>
        </w:rPr>
        <w:t>:</w:t>
      </w:r>
      <w:r w:rsidRPr="005454C8">
        <w:t xml:space="preserve"> {numeris}</w:t>
      </w:r>
    </w:p>
    <w:p w14:paraId="0DB1095A" w14:textId="77777777" w:rsidR="00041CC8" w:rsidRPr="005454C8" w:rsidRDefault="00041CC8" w:rsidP="00041CC8">
      <w:r w:rsidRPr="005454C8">
        <w:t>SN</w:t>
      </w:r>
      <w:r w:rsidRPr="00F847E4">
        <w:rPr>
          <w:highlight w:val="lightGray"/>
        </w:rPr>
        <w:t>:</w:t>
      </w:r>
      <w:r w:rsidRPr="005454C8">
        <w:t xml:space="preserve"> {numeris} </w:t>
      </w:r>
    </w:p>
    <w:p w14:paraId="5BC075EB" w14:textId="77777777" w:rsidR="00041CC8" w:rsidRPr="005454C8" w:rsidRDefault="00041CC8" w:rsidP="00041CC8">
      <w:pPr>
        <w:rPr>
          <w:b/>
          <w:u w:val="single"/>
        </w:rPr>
      </w:pPr>
      <w:r w:rsidRPr="005454C8">
        <w:rPr>
          <w:highlight w:val="lightGray"/>
        </w:rPr>
        <w:t>NN: {numeris}</w:t>
      </w:r>
      <w:r w:rsidRPr="005454C8">
        <w:t xml:space="preserve"> </w:t>
      </w:r>
    </w:p>
    <w:p w14:paraId="0178A95E" w14:textId="77777777" w:rsidR="00041CC8" w:rsidRPr="005454C8" w:rsidRDefault="00041CC8" w:rsidP="00041CC8">
      <w:pPr>
        <w:tabs>
          <w:tab w:val="left" w:pos="567"/>
        </w:tabs>
        <w:spacing w:line="260" w:lineRule="exact"/>
      </w:pPr>
      <w:r w:rsidRPr="005454C8">
        <w:br w:type="page"/>
      </w:r>
    </w:p>
    <w:p w14:paraId="0D062B55" w14:textId="77777777" w:rsidR="00041CC8" w:rsidRPr="005454C8" w:rsidRDefault="00041CC8" w:rsidP="00041CC8">
      <w:pPr>
        <w:pBdr>
          <w:top w:val="single" w:sz="4" w:space="1" w:color="auto"/>
          <w:left w:val="single" w:sz="4" w:space="4" w:color="auto"/>
          <w:bottom w:val="single" w:sz="4" w:space="1" w:color="auto"/>
          <w:right w:val="single" w:sz="4" w:space="4" w:color="auto"/>
        </w:pBdr>
        <w:tabs>
          <w:tab w:val="left" w:pos="0"/>
        </w:tabs>
        <w:rPr>
          <w:b/>
        </w:rPr>
      </w:pPr>
      <w:r w:rsidRPr="005454C8">
        <w:rPr>
          <w:b/>
        </w:rPr>
        <w:lastRenderedPageBreak/>
        <w:t>MINIMALI INFORMACIJA ANT LIZDINIŲ PLOKŠTELIŲ ARBA DVISLUOKSNIŲ JUOSTELIŲ</w:t>
      </w:r>
    </w:p>
    <w:p w14:paraId="40B9077D"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rPr>
          <w:b/>
        </w:rPr>
      </w:pPr>
    </w:p>
    <w:p w14:paraId="156120D0" w14:textId="77777777" w:rsidR="00041CC8" w:rsidRPr="005454C8" w:rsidRDefault="00041CC8" w:rsidP="00041CC8">
      <w:pPr>
        <w:pBdr>
          <w:top w:val="single" w:sz="4" w:space="1" w:color="auto"/>
          <w:left w:val="single" w:sz="4" w:space="4" w:color="auto"/>
          <w:bottom w:val="single" w:sz="4" w:space="1" w:color="auto"/>
          <w:right w:val="single" w:sz="4" w:space="4" w:color="auto"/>
        </w:pBdr>
        <w:ind w:left="567" w:hanging="567"/>
        <w:rPr>
          <w:b/>
        </w:rPr>
      </w:pPr>
      <w:r w:rsidRPr="005454C8">
        <w:rPr>
          <w:b/>
        </w:rPr>
        <w:t>LIZDINĖS PLOKŠTELĖS</w:t>
      </w:r>
    </w:p>
    <w:p w14:paraId="4A3497FD" w14:textId="77777777" w:rsidR="00041CC8" w:rsidRPr="005454C8" w:rsidRDefault="00041CC8" w:rsidP="00041CC8"/>
    <w:p w14:paraId="5EB7A93D" w14:textId="77777777" w:rsidR="00041CC8" w:rsidRPr="005454C8" w:rsidRDefault="00041CC8" w:rsidP="00041CC8"/>
    <w:p w14:paraId="46E46B51"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rPr>
          <w:b/>
        </w:rPr>
      </w:pPr>
      <w:r w:rsidRPr="005454C8">
        <w:rPr>
          <w:b/>
        </w:rPr>
        <w:t>1.</w:t>
      </w:r>
      <w:r w:rsidRPr="005454C8">
        <w:rPr>
          <w:b/>
        </w:rPr>
        <w:tab/>
      </w:r>
      <w:r w:rsidRPr="005454C8">
        <w:rPr>
          <w:b/>
          <w:caps/>
        </w:rPr>
        <w:t>VAISTINIO</w:t>
      </w:r>
      <w:r w:rsidRPr="005454C8">
        <w:rPr>
          <w:b/>
        </w:rPr>
        <w:t xml:space="preserve"> PREPARATO PAVADINIMAS</w:t>
      </w:r>
    </w:p>
    <w:p w14:paraId="43F5DA51" w14:textId="77777777" w:rsidR="00041CC8" w:rsidRPr="005454C8" w:rsidRDefault="00041CC8" w:rsidP="00041CC8"/>
    <w:p w14:paraId="49C531BD" w14:textId="77777777" w:rsidR="00041CC8" w:rsidRPr="005454C8" w:rsidRDefault="00041CC8" w:rsidP="00041CC8">
      <w:r w:rsidRPr="005454C8">
        <w:t>VERRIA 50 mg plėvele dengtos tabletės</w:t>
      </w:r>
    </w:p>
    <w:p w14:paraId="2D11F11C" w14:textId="77777777" w:rsidR="00041CC8" w:rsidRPr="005454C8" w:rsidRDefault="00041CC8" w:rsidP="00041CC8">
      <w:pPr>
        <w:rPr>
          <w:highlight w:val="lightGray"/>
        </w:rPr>
      </w:pPr>
      <w:r w:rsidRPr="005454C8">
        <w:rPr>
          <w:highlight w:val="lightGray"/>
        </w:rPr>
        <w:t xml:space="preserve">VERRIA </w:t>
      </w:r>
      <w:r w:rsidRPr="005454C8">
        <w:rPr>
          <w:sz w:val="24"/>
          <w:highlight w:val="lightGray"/>
        </w:rPr>
        <w:t>200 mg</w:t>
      </w:r>
      <w:r w:rsidRPr="005454C8">
        <w:rPr>
          <w:highlight w:val="lightGray"/>
        </w:rPr>
        <w:t xml:space="preserve"> plėvele dengtos tabletės</w:t>
      </w:r>
    </w:p>
    <w:p w14:paraId="245B83A9" w14:textId="77777777" w:rsidR="00041CC8" w:rsidRPr="005454C8" w:rsidRDefault="00041CC8" w:rsidP="00041CC8">
      <w:r>
        <w:t>v</w:t>
      </w:r>
      <w:r w:rsidRPr="005454C8">
        <w:t>oriconazolum</w:t>
      </w:r>
    </w:p>
    <w:p w14:paraId="65D69E9E" w14:textId="77777777" w:rsidR="00041CC8" w:rsidRPr="005454C8" w:rsidRDefault="00041CC8" w:rsidP="00041CC8"/>
    <w:p w14:paraId="75900463" w14:textId="77777777" w:rsidR="00041CC8" w:rsidRPr="005454C8" w:rsidRDefault="00041CC8" w:rsidP="00041CC8"/>
    <w:p w14:paraId="310546DF"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rPr>
          <w:b/>
        </w:rPr>
      </w:pPr>
      <w:r w:rsidRPr="005454C8">
        <w:rPr>
          <w:b/>
        </w:rPr>
        <w:t>2.</w:t>
      </w:r>
      <w:r w:rsidRPr="005454C8">
        <w:rPr>
          <w:b/>
        </w:rPr>
        <w:tab/>
      </w:r>
      <w:r w:rsidRPr="005454C8">
        <w:rPr>
          <w:b/>
          <w:caps/>
        </w:rPr>
        <w:t>REGISTRUOTOJO  pavadinimas</w:t>
      </w:r>
    </w:p>
    <w:p w14:paraId="327CAB0F" w14:textId="77777777" w:rsidR="00041CC8" w:rsidRPr="005454C8" w:rsidRDefault="00041CC8" w:rsidP="00041CC8"/>
    <w:p w14:paraId="73BB3450" w14:textId="77777777" w:rsidR="00041CC8" w:rsidRPr="005454C8" w:rsidRDefault="00041CC8" w:rsidP="00041CC8">
      <w:r>
        <w:rPr>
          <w:spacing w:val="-2"/>
        </w:rPr>
        <w:t>Medochemie Ltd</w:t>
      </w:r>
      <w:r w:rsidRPr="005454C8">
        <w:rPr>
          <w:spacing w:val="-2"/>
        </w:rPr>
        <w:t xml:space="preserve"> </w:t>
      </w:r>
      <w:r w:rsidRPr="005454C8">
        <w:rPr>
          <w:highlight w:val="lightGray"/>
        </w:rPr>
        <w:t>{logotipas}</w:t>
      </w:r>
    </w:p>
    <w:p w14:paraId="6FD2E768" w14:textId="77777777" w:rsidR="00041CC8" w:rsidRPr="005454C8" w:rsidRDefault="00041CC8" w:rsidP="00041CC8">
      <w:r w:rsidRPr="005454C8">
        <w:t xml:space="preserve"> </w:t>
      </w:r>
    </w:p>
    <w:p w14:paraId="090474D9" w14:textId="77777777" w:rsidR="00041CC8" w:rsidRPr="005454C8" w:rsidRDefault="00041CC8" w:rsidP="00041CC8"/>
    <w:p w14:paraId="0B036A3F" w14:textId="77777777" w:rsidR="00041CC8" w:rsidRPr="005454C8" w:rsidRDefault="00041CC8" w:rsidP="00041CC8">
      <w:pPr>
        <w:pBdr>
          <w:top w:val="single" w:sz="4" w:space="1" w:color="auto"/>
          <w:left w:val="single" w:sz="4" w:space="4" w:color="auto"/>
          <w:bottom w:val="single" w:sz="4" w:space="2" w:color="auto"/>
          <w:right w:val="single" w:sz="4" w:space="4" w:color="auto"/>
        </w:pBdr>
        <w:outlineLvl w:val="0"/>
        <w:rPr>
          <w:b/>
        </w:rPr>
      </w:pPr>
      <w:r w:rsidRPr="005454C8">
        <w:rPr>
          <w:b/>
        </w:rPr>
        <w:t>3.</w:t>
      </w:r>
      <w:r w:rsidRPr="005454C8">
        <w:rPr>
          <w:b/>
        </w:rPr>
        <w:tab/>
        <w:t>TINKAMUMO LAIKAS</w:t>
      </w:r>
    </w:p>
    <w:p w14:paraId="1D0FBC52" w14:textId="77777777" w:rsidR="00041CC8" w:rsidRPr="005454C8" w:rsidRDefault="00041CC8" w:rsidP="00041CC8"/>
    <w:p w14:paraId="7FB84990" w14:textId="77777777" w:rsidR="00041CC8" w:rsidRPr="005454C8" w:rsidRDefault="00041CC8" w:rsidP="00041CC8">
      <w:r w:rsidRPr="005454C8">
        <w:rPr>
          <w:highlight w:val="lightGray"/>
        </w:rPr>
        <w:t>EXP</w:t>
      </w:r>
      <w:r w:rsidRPr="005454C8">
        <w:t xml:space="preserve"> {mm</w:t>
      </w:r>
      <w:r>
        <w:t>-</w:t>
      </w:r>
      <w:r w:rsidRPr="005454C8">
        <w:t xml:space="preserve">MMMM} </w:t>
      </w:r>
    </w:p>
    <w:p w14:paraId="5BEB06DB" w14:textId="77777777" w:rsidR="00041CC8" w:rsidRPr="005454C8" w:rsidRDefault="00041CC8" w:rsidP="00041CC8"/>
    <w:p w14:paraId="6272EEFA" w14:textId="77777777" w:rsidR="00041CC8" w:rsidRPr="005454C8" w:rsidRDefault="00041CC8" w:rsidP="00041CC8"/>
    <w:p w14:paraId="6E46CA7A" w14:textId="77777777" w:rsidR="00041CC8" w:rsidRPr="005454C8" w:rsidRDefault="00041CC8" w:rsidP="00041CC8">
      <w:pPr>
        <w:suppressLineNumbers/>
        <w:pBdr>
          <w:top w:val="single" w:sz="4" w:space="1" w:color="auto"/>
          <w:left w:val="single" w:sz="4" w:space="4" w:color="auto"/>
          <w:bottom w:val="single" w:sz="4" w:space="1" w:color="auto"/>
          <w:right w:val="single" w:sz="4" w:space="4" w:color="auto"/>
        </w:pBdr>
        <w:outlineLvl w:val="0"/>
        <w:rPr>
          <w:b/>
        </w:rPr>
      </w:pPr>
      <w:r w:rsidRPr="005454C8">
        <w:rPr>
          <w:b/>
        </w:rPr>
        <w:t>4.</w:t>
      </w:r>
      <w:r w:rsidRPr="005454C8">
        <w:rPr>
          <w:b/>
        </w:rPr>
        <w:tab/>
        <w:t>SERIJOS NUMERIS</w:t>
      </w:r>
    </w:p>
    <w:p w14:paraId="2CD2AC79" w14:textId="77777777" w:rsidR="00041CC8" w:rsidRPr="005454C8" w:rsidRDefault="00041CC8" w:rsidP="00041CC8"/>
    <w:p w14:paraId="292F6511" w14:textId="77777777" w:rsidR="00041CC8" w:rsidRPr="005454C8" w:rsidRDefault="00041CC8" w:rsidP="00041CC8">
      <w:pPr>
        <w:outlineLvl w:val="0"/>
        <w:rPr>
          <w:b/>
        </w:rPr>
      </w:pPr>
      <w:r w:rsidRPr="005454C8">
        <w:rPr>
          <w:highlight w:val="lightGray"/>
        </w:rPr>
        <w:t>Lot</w:t>
      </w:r>
    </w:p>
    <w:p w14:paraId="1A44FF1E" w14:textId="77777777" w:rsidR="00041CC8" w:rsidRPr="005454C8" w:rsidRDefault="00041CC8" w:rsidP="00041CC8"/>
    <w:p w14:paraId="63FBCF61" w14:textId="77777777" w:rsidR="00041CC8" w:rsidRPr="005454C8" w:rsidRDefault="00041CC8" w:rsidP="00041CC8"/>
    <w:p w14:paraId="4E4F9FE4" w14:textId="77777777" w:rsidR="00041CC8" w:rsidRPr="005454C8" w:rsidRDefault="00041CC8" w:rsidP="00041CC8">
      <w:pPr>
        <w:pBdr>
          <w:top w:val="single" w:sz="4" w:space="1" w:color="auto"/>
          <w:left w:val="single" w:sz="4" w:space="4" w:color="auto"/>
          <w:bottom w:val="single" w:sz="4" w:space="1" w:color="auto"/>
          <w:right w:val="single" w:sz="4" w:space="4" w:color="auto"/>
        </w:pBdr>
        <w:outlineLvl w:val="0"/>
        <w:rPr>
          <w:b/>
        </w:rPr>
      </w:pPr>
      <w:r w:rsidRPr="005454C8">
        <w:rPr>
          <w:b/>
        </w:rPr>
        <w:t>5.</w:t>
      </w:r>
      <w:r w:rsidRPr="005454C8">
        <w:rPr>
          <w:b/>
        </w:rPr>
        <w:tab/>
        <w:t>KITA</w:t>
      </w:r>
    </w:p>
    <w:p w14:paraId="5FB5DDFF" w14:textId="77777777" w:rsidR="00041CC8" w:rsidRPr="005454C8" w:rsidRDefault="00041CC8" w:rsidP="00041CC8"/>
    <w:p w14:paraId="5F125641" w14:textId="77777777" w:rsidR="00041CC8" w:rsidRPr="005454C8" w:rsidRDefault="00041CC8" w:rsidP="00041CC8"/>
    <w:p w14:paraId="5D83D48D" w14:textId="77777777" w:rsidR="00041CC8" w:rsidRPr="005454C8" w:rsidRDefault="00041CC8" w:rsidP="00041CC8"/>
    <w:p w14:paraId="257E165E" w14:textId="77777777" w:rsidR="00041CC8" w:rsidRPr="005454C8" w:rsidRDefault="00041CC8" w:rsidP="00041CC8">
      <w:r w:rsidRPr="005454C8">
        <w:br w:type="page"/>
      </w:r>
    </w:p>
    <w:p w14:paraId="712CD243" w14:textId="77777777" w:rsidR="00041CC8" w:rsidRPr="005454C8" w:rsidRDefault="00041CC8" w:rsidP="00041CC8">
      <w:pPr>
        <w:outlineLvl w:val="0"/>
      </w:pPr>
    </w:p>
    <w:p w14:paraId="5F8B446E" w14:textId="77777777" w:rsidR="00041CC8" w:rsidRPr="005454C8" w:rsidRDefault="00041CC8" w:rsidP="00041CC8">
      <w:pPr>
        <w:outlineLvl w:val="0"/>
      </w:pPr>
    </w:p>
    <w:p w14:paraId="7CCD25F8" w14:textId="77777777" w:rsidR="00041CC8" w:rsidRPr="005454C8" w:rsidRDefault="00041CC8" w:rsidP="00041CC8">
      <w:pPr>
        <w:outlineLvl w:val="0"/>
      </w:pPr>
    </w:p>
    <w:p w14:paraId="65369E84" w14:textId="77777777" w:rsidR="00041CC8" w:rsidRPr="005454C8" w:rsidRDefault="00041CC8" w:rsidP="00041CC8">
      <w:pPr>
        <w:outlineLvl w:val="0"/>
      </w:pPr>
    </w:p>
    <w:p w14:paraId="7B6C1EDE" w14:textId="77777777" w:rsidR="00041CC8" w:rsidRPr="005454C8" w:rsidRDefault="00041CC8" w:rsidP="00041CC8">
      <w:pPr>
        <w:outlineLvl w:val="0"/>
      </w:pPr>
    </w:p>
    <w:p w14:paraId="7DE92095" w14:textId="77777777" w:rsidR="00041CC8" w:rsidRPr="005454C8" w:rsidRDefault="00041CC8" w:rsidP="00041CC8">
      <w:pPr>
        <w:outlineLvl w:val="0"/>
      </w:pPr>
    </w:p>
    <w:p w14:paraId="7393F0BB" w14:textId="77777777" w:rsidR="00041CC8" w:rsidRPr="005454C8" w:rsidRDefault="00041CC8" w:rsidP="00041CC8">
      <w:pPr>
        <w:outlineLvl w:val="0"/>
      </w:pPr>
    </w:p>
    <w:p w14:paraId="0D8738D6" w14:textId="77777777" w:rsidR="00041CC8" w:rsidRPr="005454C8" w:rsidRDefault="00041CC8" w:rsidP="00041CC8">
      <w:pPr>
        <w:outlineLvl w:val="0"/>
      </w:pPr>
    </w:p>
    <w:p w14:paraId="179C29CF" w14:textId="77777777" w:rsidR="00041CC8" w:rsidRPr="005454C8" w:rsidRDefault="00041CC8" w:rsidP="00041CC8">
      <w:pPr>
        <w:outlineLvl w:val="0"/>
      </w:pPr>
    </w:p>
    <w:p w14:paraId="5CFCA94A" w14:textId="77777777" w:rsidR="00041CC8" w:rsidRPr="005454C8" w:rsidRDefault="00041CC8" w:rsidP="00041CC8">
      <w:pPr>
        <w:outlineLvl w:val="0"/>
      </w:pPr>
    </w:p>
    <w:p w14:paraId="63F75379" w14:textId="77777777" w:rsidR="00041CC8" w:rsidRPr="005454C8" w:rsidRDefault="00041CC8" w:rsidP="00041CC8">
      <w:pPr>
        <w:outlineLvl w:val="0"/>
      </w:pPr>
    </w:p>
    <w:p w14:paraId="224A2FC3" w14:textId="77777777" w:rsidR="00041CC8" w:rsidRPr="005454C8" w:rsidRDefault="00041CC8" w:rsidP="00041CC8">
      <w:pPr>
        <w:outlineLvl w:val="0"/>
      </w:pPr>
    </w:p>
    <w:p w14:paraId="13170769" w14:textId="77777777" w:rsidR="00041CC8" w:rsidRPr="005454C8" w:rsidRDefault="00041CC8" w:rsidP="00041CC8">
      <w:pPr>
        <w:outlineLvl w:val="0"/>
      </w:pPr>
    </w:p>
    <w:p w14:paraId="75840A21" w14:textId="77777777" w:rsidR="00041CC8" w:rsidRPr="005454C8" w:rsidRDefault="00041CC8" w:rsidP="00041CC8">
      <w:pPr>
        <w:outlineLvl w:val="0"/>
      </w:pPr>
    </w:p>
    <w:p w14:paraId="65857CA9" w14:textId="77777777" w:rsidR="00041CC8" w:rsidRPr="005454C8" w:rsidRDefault="00041CC8" w:rsidP="00041CC8">
      <w:pPr>
        <w:outlineLvl w:val="0"/>
      </w:pPr>
    </w:p>
    <w:p w14:paraId="4D0C5628" w14:textId="77777777" w:rsidR="00041CC8" w:rsidRPr="005454C8" w:rsidRDefault="00041CC8" w:rsidP="00041CC8">
      <w:pPr>
        <w:outlineLvl w:val="0"/>
      </w:pPr>
    </w:p>
    <w:p w14:paraId="6D52128C" w14:textId="77777777" w:rsidR="00041CC8" w:rsidRPr="005454C8" w:rsidRDefault="00041CC8" w:rsidP="00041CC8">
      <w:pPr>
        <w:outlineLvl w:val="0"/>
      </w:pPr>
    </w:p>
    <w:p w14:paraId="009E72C9" w14:textId="77777777" w:rsidR="00041CC8" w:rsidRPr="005454C8" w:rsidRDefault="00041CC8" w:rsidP="00041CC8">
      <w:pPr>
        <w:outlineLvl w:val="0"/>
      </w:pPr>
    </w:p>
    <w:p w14:paraId="59A6281D" w14:textId="77777777" w:rsidR="00041CC8" w:rsidRPr="005454C8" w:rsidRDefault="00041CC8" w:rsidP="00041CC8">
      <w:pPr>
        <w:outlineLvl w:val="0"/>
      </w:pPr>
    </w:p>
    <w:p w14:paraId="565DC8FC" w14:textId="77777777" w:rsidR="00041CC8" w:rsidRPr="005454C8" w:rsidRDefault="00041CC8" w:rsidP="00041CC8">
      <w:pPr>
        <w:outlineLvl w:val="0"/>
      </w:pPr>
    </w:p>
    <w:p w14:paraId="66F458CA" w14:textId="77777777" w:rsidR="00041CC8" w:rsidRPr="005454C8" w:rsidRDefault="00041CC8" w:rsidP="00041CC8">
      <w:pPr>
        <w:outlineLvl w:val="0"/>
      </w:pPr>
    </w:p>
    <w:p w14:paraId="46FF3724" w14:textId="77777777" w:rsidR="00041CC8" w:rsidRPr="005454C8" w:rsidRDefault="00041CC8" w:rsidP="00041CC8">
      <w:pPr>
        <w:jc w:val="center"/>
        <w:outlineLvl w:val="0"/>
        <w:rPr>
          <w:b/>
        </w:rPr>
      </w:pPr>
    </w:p>
    <w:p w14:paraId="47F34049" w14:textId="77777777" w:rsidR="00041CC8" w:rsidRPr="005454C8" w:rsidRDefault="00041CC8" w:rsidP="00041CC8">
      <w:pPr>
        <w:jc w:val="center"/>
        <w:outlineLvl w:val="0"/>
        <w:rPr>
          <w:b/>
        </w:rPr>
      </w:pPr>
    </w:p>
    <w:p w14:paraId="59F6130D" w14:textId="77777777" w:rsidR="00041CC8" w:rsidRPr="005454C8" w:rsidRDefault="00041CC8" w:rsidP="00041CC8">
      <w:pPr>
        <w:jc w:val="center"/>
        <w:outlineLvl w:val="0"/>
        <w:rPr>
          <w:b/>
        </w:rPr>
      </w:pPr>
      <w:r w:rsidRPr="005454C8">
        <w:rPr>
          <w:b/>
        </w:rPr>
        <w:t>B. PAKUOTĖS LAPELIS</w:t>
      </w:r>
    </w:p>
    <w:p w14:paraId="5045AE17" w14:textId="77777777" w:rsidR="00041CC8" w:rsidRPr="005454C8" w:rsidRDefault="00041CC8" w:rsidP="00041CC8">
      <w:pPr>
        <w:keepNext/>
        <w:jc w:val="center"/>
        <w:outlineLvl w:val="1"/>
        <w:rPr>
          <w:b/>
        </w:rPr>
      </w:pPr>
      <w:r w:rsidRPr="005454C8">
        <w:rPr>
          <w:b/>
        </w:rPr>
        <w:br w:type="page"/>
      </w:r>
      <w:r w:rsidRPr="005454C8">
        <w:rPr>
          <w:b/>
        </w:rPr>
        <w:lastRenderedPageBreak/>
        <w:t>Pakuotės lapelis: informacija vartotojui</w:t>
      </w:r>
    </w:p>
    <w:p w14:paraId="1C34966D" w14:textId="77777777" w:rsidR="00041CC8" w:rsidRPr="005454C8" w:rsidRDefault="00041CC8" w:rsidP="00041CC8">
      <w:pPr>
        <w:numPr>
          <w:ilvl w:val="12"/>
          <w:numId w:val="0"/>
        </w:numPr>
        <w:shd w:val="clear" w:color="auto" w:fill="FFFFFF"/>
        <w:jc w:val="center"/>
      </w:pPr>
    </w:p>
    <w:p w14:paraId="287BA6EB" w14:textId="77777777" w:rsidR="00041CC8" w:rsidRPr="005454C8" w:rsidRDefault="00041CC8" w:rsidP="00041CC8">
      <w:pPr>
        <w:autoSpaceDE w:val="0"/>
        <w:autoSpaceDN w:val="0"/>
        <w:adjustRightInd w:val="0"/>
        <w:jc w:val="center"/>
        <w:rPr>
          <w:rFonts w:eastAsia="Calibri"/>
          <w:b/>
        </w:rPr>
      </w:pPr>
      <w:r w:rsidRPr="005454C8">
        <w:rPr>
          <w:b/>
        </w:rPr>
        <w:t>VERRIA 50 mg plėvele dengtos tabletės</w:t>
      </w:r>
    </w:p>
    <w:p w14:paraId="2ABF5E9D" w14:textId="77777777" w:rsidR="00041CC8" w:rsidRPr="005454C8" w:rsidRDefault="00041CC8" w:rsidP="00041CC8">
      <w:pPr>
        <w:jc w:val="center"/>
      </w:pPr>
      <w:r w:rsidRPr="005454C8">
        <w:rPr>
          <w:b/>
        </w:rPr>
        <w:t>VERRIA 200 mg plėvele dengtos tabletės</w:t>
      </w:r>
    </w:p>
    <w:p w14:paraId="0A9D6D54" w14:textId="77777777" w:rsidR="00041CC8" w:rsidRPr="005454C8" w:rsidRDefault="00041CC8" w:rsidP="00041CC8">
      <w:pPr>
        <w:jc w:val="center"/>
      </w:pPr>
      <w:r>
        <w:t>v</w:t>
      </w:r>
      <w:r w:rsidRPr="005454C8">
        <w:t>orikonazolas</w:t>
      </w:r>
    </w:p>
    <w:p w14:paraId="5477DD25" w14:textId="77777777" w:rsidR="00041CC8" w:rsidRPr="005454C8" w:rsidRDefault="00041CC8" w:rsidP="00041CC8"/>
    <w:p w14:paraId="156BC609" w14:textId="77777777" w:rsidR="00041CC8" w:rsidRPr="005454C8" w:rsidRDefault="00041CC8" w:rsidP="00041CC8">
      <w:pPr>
        <w:suppressAutoHyphens/>
      </w:pPr>
      <w:r w:rsidRPr="005454C8">
        <w:rPr>
          <w:b/>
        </w:rPr>
        <w:t>Atidžiai perskaitykite visą šį lapelį, prieš pradėdami vartoti vaistą, nes jame pateikiama Jums svarbi informacija.</w:t>
      </w:r>
    </w:p>
    <w:p w14:paraId="629908D4" w14:textId="77777777" w:rsidR="00041CC8" w:rsidRPr="005454C8" w:rsidRDefault="00041CC8" w:rsidP="00041CC8">
      <w:pPr>
        <w:numPr>
          <w:ilvl w:val="0"/>
          <w:numId w:val="3"/>
        </w:numPr>
        <w:ind w:left="567" w:right="-2" w:hanging="567"/>
      </w:pPr>
      <w:r w:rsidRPr="005454C8">
        <w:t xml:space="preserve">Neišmeskite šio lapelio, nes vėl gali prireikti jį perskaityti. </w:t>
      </w:r>
    </w:p>
    <w:p w14:paraId="23F4AABF" w14:textId="77777777" w:rsidR="00041CC8" w:rsidRPr="005454C8" w:rsidRDefault="00041CC8" w:rsidP="00041CC8">
      <w:pPr>
        <w:numPr>
          <w:ilvl w:val="0"/>
          <w:numId w:val="3"/>
        </w:numPr>
        <w:ind w:left="567" w:right="-2" w:hanging="567"/>
      </w:pPr>
      <w:r w:rsidRPr="005454C8">
        <w:t>Jeigu kiltų daugiau klausimų, kreipkitės į gydytoją, vaistininką arba slaugytoją.</w:t>
      </w:r>
    </w:p>
    <w:p w14:paraId="7C473348" w14:textId="77777777" w:rsidR="00041CC8" w:rsidRPr="005454C8" w:rsidRDefault="00041CC8" w:rsidP="00041CC8">
      <w:pPr>
        <w:ind w:left="567" w:right="-2" w:hanging="567"/>
      </w:pPr>
      <w:r w:rsidRPr="005454C8">
        <w:t>-</w:t>
      </w:r>
      <w:r w:rsidRPr="005454C8">
        <w:tab/>
        <w:t>Šis vaistas skirtas tik Jums, todėl kitiems žmonėms jo duoti negalima. Vaistas gali jiems pakenkti (net tiems, kurių ligos požymiai yra tokie patys kaip Jūsų).</w:t>
      </w:r>
      <w:r w:rsidRPr="005454C8">
        <w:rPr>
          <w:color w:val="008000"/>
        </w:rPr>
        <w:t xml:space="preserve"> </w:t>
      </w:r>
    </w:p>
    <w:p w14:paraId="52873F73" w14:textId="77777777" w:rsidR="00041CC8" w:rsidRPr="005454C8" w:rsidRDefault="00041CC8" w:rsidP="00041CC8">
      <w:pPr>
        <w:numPr>
          <w:ilvl w:val="0"/>
          <w:numId w:val="3"/>
        </w:numPr>
        <w:tabs>
          <w:tab w:val="left" w:pos="567"/>
        </w:tabs>
        <w:ind w:left="567" w:hanging="567"/>
      </w:pPr>
      <w:r w:rsidRPr="005454C8">
        <w:t>Jeigu pasireiškė šalutinis poveikis (net jeigu jis šiame lapelyje nenurodytas), kreipkitės į gydytoją, vaistininką arba slaugytoją. Žr. 4 skyrių.</w:t>
      </w:r>
    </w:p>
    <w:p w14:paraId="299A0701" w14:textId="77777777" w:rsidR="00041CC8" w:rsidRPr="005454C8" w:rsidRDefault="00041CC8" w:rsidP="00041CC8"/>
    <w:p w14:paraId="150B7E3E" w14:textId="77777777" w:rsidR="00041CC8" w:rsidRPr="005454C8" w:rsidRDefault="00041CC8" w:rsidP="00041CC8">
      <w:pPr>
        <w:keepNext/>
        <w:outlineLvl w:val="3"/>
        <w:rPr>
          <w:b/>
        </w:rPr>
      </w:pPr>
      <w:r w:rsidRPr="005454C8">
        <w:rPr>
          <w:b/>
        </w:rPr>
        <w:t>Apie ką rašoma šiame lapelyje?</w:t>
      </w:r>
    </w:p>
    <w:p w14:paraId="74F6D1EF" w14:textId="77777777" w:rsidR="00041CC8" w:rsidRPr="005454C8" w:rsidRDefault="00041CC8" w:rsidP="00041CC8">
      <w:pPr>
        <w:numPr>
          <w:ilvl w:val="12"/>
          <w:numId w:val="0"/>
        </w:numPr>
        <w:ind w:left="284" w:right="-2"/>
      </w:pPr>
    </w:p>
    <w:p w14:paraId="3BE0AD9E" w14:textId="77777777" w:rsidR="00041CC8" w:rsidRPr="005454C8" w:rsidRDefault="00041CC8" w:rsidP="00041CC8">
      <w:pPr>
        <w:numPr>
          <w:ilvl w:val="12"/>
          <w:numId w:val="0"/>
        </w:numPr>
        <w:ind w:left="567" w:right="-2" w:hanging="567"/>
      </w:pPr>
      <w:r w:rsidRPr="005454C8">
        <w:t>1.</w:t>
      </w:r>
      <w:r w:rsidRPr="005454C8">
        <w:tab/>
        <w:t xml:space="preserve">Kas yra VERRIA ir kam jis vartojamas </w:t>
      </w:r>
    </w:p>
    <w:p w14:paraId="3571608A" w14:textId="77777777" w:rsidR="00041CC8" w:rsidRPr="005454C8" w:rsidRDefault="00041CC8" w:rsidP="00041CC8">
      <w:pPr>
        <w:numPr>
          <w:ilvl w:val="12"/>
          <w:numId w:val="0"/>
        </w:numPr>
        <w:ind w:left="567" w:right="-2" w:hanging="567"/>
      </w:pPr>
      <w:r w:rsidRPr="005454C8">
        <w:t>2.</w:t>
      </w:r>
      <w:r w:rsidRPr="005454C8">
        <w:tab/>
        <w:t xml:space="preserve">Kas žinotina prieš vartojant </w:t>
      </w:r>
      <w:r w:rsidRPr="009A1B7F">
        <w:rPr>
          <w:szCs w:val="22"/>
          <w:lang w:eastAsia="en-US"/>
        </w:rPr>
        <w:t>VERRIA</w:t>
      </w:r>
    </w:p>
    <w:p w14:paraId="59915550" w14:textId="77777777" w:rsidR="00041CC8" w:rsidRPr="005454C8" w:rsidRDefault="00041CC8" w:rsidP="00041CC8">
      <w:pPr>
        <w:numPr>
          <w:ilvl w:val="12"/>
          <w:numId w:val="0"/>
        </w:numPr>
        <w:ind w:left="567" w:right="-2" w:hanging="567"/>
      </w:pPr>
      <w:r w:rsidRPr="005454C8">
        <w:t>3.</w:t>
      </w:r>
      <w:r w:rsidRPr="005454C8">
        <w:tab/>
        <w:t xml:space="preserve">Kaip vartoti </w:t>
      </w:r>
      <w:r w:rsidRPr="009A1B7F">
        <w:rPr>
          <w:szCs w:val="22"/>
          <w:lang w:eastAsia="en-US"/>
        </w:rPr>
        <w:t>VERRIA</w:t>
      </w:r>
    </w:p>
    <w:p w14:paraId="3782CD55" w14:textId="77777777" w:rsidR="00041CC8" w:rsidRPr="005454C8" w:rsidRDefault="00041CC8" w:rsidP="00041CC8">
      <w:pPr>
        <w:numPr>
          <w:ilvl w:val="12"/>
          <w:numId w:val="0"/>
        </w:numPr>
        <w:ind w:left="567" w:right="-2" w:hanging="567"/>
      </w:pPr>
      <w:r w:rsidRPr="005454C8">
        <w:t>4.</w:t>
      </w:r>
      <w:r w:rsidRPr="005454C8">
        <w:tab/>
        <w:t xml:space="preserve">Galimas šalutinis poveikis </w:t>
      </w:r>
    </w:p>
    <w:p w14:paraId="300C059B" w14:textId="77777777" w:rsidR="00041CC8" w:rsidRPr="005454C8" w:rsidRDefault="00041CC8" w:rsidP="00041CC8">
      <w:pPr>
        <w:numPr>
          <w:ilvl w:val="12"/>
          <w:numId w:val="0"/>
        </w:numPr>
        <w:ind w:left="567" w:right="-2" w:hanging="567"/>
      </w:pPr>
      <w:r w:rsidRPr="005454C8">
        <w:t>5.</w:t>
      </w:r>
      <w:r w:rsidRPr="005454C8">
        <w:tab/>
        <w:t xml:space="preserve">Kaip laikyti </w:t>
      </w:r>
      <w:r w:rsidRPr="009A1B7F">
        <w:rPr>
          <w:szCs w:val="22"/>
          <w:lang w:eastAsia="en-US"/>
        </w:rPr>
        <w:t>VERRIA</w:t>
      </w:r>
    </w:p>
    <w:p w14:paraId="583FC8F9" w14:textId="77777777" w:rsidR="00041CC8" w:rsidRPr="005454C8" w:rsidRDefault="00041CC8" w:rsidP="00041CC8">
      <w:pPr>
        <w:numPr>
          <w:ilvl w:val="12"/>
          <w:numId w:val="0"/>
        </w:numPr>
        <w:ind w:left="567" w:right="-2" w:hanging="567"/>
      </w:pPr>
      <w:r w:rsidRPr="005454C8">
        <w:t>6.</w:t>
      </w:r>
      <w:r w:rsidRPr="005454C8">
        <w:tab/>
        <w:t>Pakuotės turinys ir kita informacija</w:t>
      </w:r>
    </w:p>
    <w:p w14:paraId="220DE51B" w14:textId="77777777" w:rsidR="00041CC8" w:rsidRPr="005454C8" w:rsidRDefault="00041CC8" w:rsidP="00041CC8">
      <w:pPr>
        <w:numPr>
          <w:ilvl w:val="12"/>
          <w:numId w:val="0"/>
        </w:numPr>
        <w:ind w:right="-2"/>
      </w:pPr>
    </w:p>
    <w:p w14:paraId="0A1AFED3" w14:textId="77777777" w:rsidR="00041CC8" w:rsidRPr="005454C8" w:rsidRDefault="00041CC8" w:rsidP="00041CC8">
      <w:pPr>
        <w:numPr>
          <w:ilvl w:val="12"/>
          <w:numId w:val="0"/>
        </w:numPr>
        <w:ind w:right="-2"/>
      </w:pPr>
    </w:p>
    <w:p w14:paraId="48AE991A" w14:textId="77777777" w:rsidR="00041CC8" w:rsidRPr="005454C8" w:rsidRDefault="00041CC8" w:rsidP="00041CC8">
      <w:pPr>
        <w:keepNext/>
        <w:outlineLvl w:val="3"/>
        <w:rPr>
          <w:b/>
        </w:rPr>
      </w:pPr>
      <w:r w:rsidRPr="005454C8">
        <w:rPr>
          <w:b/>
        </w:rPr>
        <w:t>1.</w:t>
      </w:r>
      <w:r w:rsidRPr="005454C8">
        <w:rPr>
          <w:b/>
        </w:rPr>
        <w:tab/>
        <w:t>Kas yra VERRIA ir kam jis vartojamas</w:t>
      </w:r>
    </w:p>
    <w:p w14:paraId="6D3459FA" w14:textId="77777777" w:rsidR="00041CC8" w:rsidRPr="005454C8" w:rsidRDefault="00041CC8" w:rsidP="00041CC8">
      <w:pPr>
        <w:numPr>
          <w:ilvl w:val="12"/>
          <w:numId w:val="0"/>
        </w:numPr>
        <w:ind w:right="-2"/>
      </w:pPr>
    </w:p>
    <w:p w14:paraId="0C6CBC5E" w14:textId="77777777" w:rsidR="00041CC8" w:rsidRPr="005454C8" w:rsidRDefault="00041CC8" w:rsidP="00041CC8">
      <w:pPr>
        <w:autoSpaceDE w:val="0"/>
        <w:autoSpaceDN w:val="0"/>
        <w:adjustRightInd w:val="0"/>
        <w:rPr>
          <w:rFonts w:eastAsia="Calibri"/>
        </w:rPr>
      </w:pPr>
      <w:r w:rsidRPr="005454C8">
        <w:t xml:space="preserve">VERRIA </w:t>
      </w:r>
      <w:r w:rsidRPr="005454C8">
        <w:rPr>
          <w:rFonts w:eastAsia="Calibri"/>
        </w:rPr>
        <w:t xml:space="preserve">sudėtyje yra veikliosios medžiagos vorikonazolo. </w:t>
      </w:r>
      <w:r w:rsidRPr="005454C8">
        <w:t xml:space="preserve">VERRIA </w:t>
      </w:r>
      <w:r w:rsidRPr="005454C8">
        <w:rPr>
          <w:rFonts w:eastAsia="Calibri"/>
        </w:rPr>
        <w:t>yra priešgrybelinis vaistas. Jis sunaikina užkrečiamąsias ligas sukeliančius grybelius arba stabdo jų augimą.</w:t>
      </w:r>
    </w:p>
    <w:p w14:paraId="42830F08" w14:textId="77777777" w:rsidR="00041CC8" w:rsidRPr="005454C8" w:rsidRDefault="00041CC8" w:rsidP="00041CC8">
      <w:pPr>
        <w:autoSpaceDE w:val="0"/>
        <w:autoSpaceDN w:val="0"/>
        <w:adjustRightInd w:val="0"/>
        <w:rPr>
          <w:rFonts w:eastAsia="Calibri"/>
        </w:rPr>
      </w:pPr>
    </w:p>
    <w:p w14:paraId="38E4782E" w14:textId="77777777" w:rsidR="00041CC8" w:rsidRPr="005454C8" w:rsidRDefault="00041CC8" w:rsidP="00041CC8">
      <w:pPr>
        <w:autoSpaceDE w:val="0"/>
        <w:autoSpaceDN w:val="0"/>
        <w:adjustRightInd w:val="0"/>
        <w:rPr>
          <w:rFonts w:eastAsia="Calibri"/>
        </w:rPr>
      </w:pPr>
      <w:r w:rsidRPr="005454C8">
        <w:rPr>
          <w:rFonts w:eastAsia="Calibri"/>
        </w:rPr>
        <w:t>Vorikonazolu gydomi pacientai (suaugusieji ir 2 metų bei vyresni vaikai), kuriems yra diagnozuota:</w:t>
      </w:r>
    </w:p>
    <w:p w14:paraId="2FE3411F" w14:textId="77777777" w:rsidR="00041CC8" w:rsidRPr="005454C8" w:rsidRDefault="00041CC8" w:rsidP="00041CC8">
      <w:pPr>
        <w:numPr>
          <w:ilvl w:val="0"/>
          <w:numId w:val="5"/>
        </w:numPr>
        <w:autoSpaceDE w:val="0"/>
        <w:autoSpaceDN w:val="0"/>
        <w:adjustRightInd w:val="0"/>
        <w:ind w:left="567" w:hanging="567"/>
        <w:rPr>
          <w:rFonts w:eastAsia="Calibri"/>
        </w:rPr>
      </w:pPr>
      <w:r w:rsidRPr="005454C8">
        <w:rPr>
          <w:rFonts w:eastAsia="Calibri"/>
        </w:rPr>
        <w:t>invazinė aspergiliozė (</w:t>
      </w:r>
      <w:r w:rsidRPr="005454C8">
        <w:rPr>
          <w:rFonts w:eastAsia="TimesNewRoman,Italic"/>
          <w:i/>
        </w:rPr>
        <w:t xml:space="preserve">Aspergillus </w:t>
      </w:r>
      <w:r w:rsidRPr="005454C8">
        <w:rPr>
          <w:rFonts w:eastAsia="Calibri"/>
        </w:rPr>
        <w:t>rūšių grybelių sukelta infekcinė liga);</w:t>
      </w:r>
    </w:p>
    <w:p w14:paraId="3C4615E2" w14:textId="77777777" w:rsidR="00041CC8" w:rsidRPr="005454C8" w:rsidRDefault="00041CC8" w:rsidP="00041CC8">
      <w:pPr>
        <w:numPr>
          <w:ilvl w:val="0"/>
          <w:numId w:val="5"/>
        </w:numPr>
        <w:autoSpaceDE w:val="0"/>
        <w:autoSpaceDN w:val="0"/>
        <w:adjustRightInd w:val="0"/>
        <w:ind w:left="567" w:hanging="567"/>
        <w:rPr>
          <w:rFonts w:eastAsia="Calibri"/>
        </w:rPr>
      </w:pPr>
      <w:r w:rsidRPr="005454C8">
        <w:rPr>
          <w:rFonts w:eastAsia="Calibri"/>
        </w:rPr>
        <w:t>kandidemija (kitos rūšies (</w:t>
      </w:r>
      <w:r w:rsidRPr="005454C8">
        <w:rPr>
          <w:rFonts w:eastAsia="TimesNewRoman,Italic"/>
          <w:i/>
        </w:rPr>
        <w:t>Candida</w:t>
      </w:r>
      <w:r w:rsidRPr="005454C8">
        <w:rPr>
          <w:rFonts w:eastAsia="Calibri"/>
        </w:rPr>
        <w:t>) grybelių sukelta infekcinė liga) pacientams, kuriems nėra neutropenijos (pacientai, kurių kraujyje nėra nenormaliai mažo baltųjų kraujo ląstelių (leukocitų) kiekio);</w:t>
      </w:r>
    </w:p>
    <w:p w14:paraId="67C24DD9" w14:textId="77777777" w:rsidR="00041CC8" w:rsidRPr="005454C8" w:rsidRDefault="00041CC8" w:rsidP="00041CC8">
      <w:pPr>
        <w:numPr>
          <w:ilvl w:val="0"/>
          <w:numId w:val="5"/>
        </w:numPr>
        <w:autoSpaceDE w:val="0"/>
        <w:autoSpaceDN w:val="0"/>
        <w:adjustRightInd w:val="0"/>
        <w:ind w:left="567" w:hanging="567"/>
        <w:rPr>
          <w:rFonts w:eastAsia="Calibri"/>
        </w:rPr>
      </w:pPr>
      <w:r w:rsidRPr="005454C8">
        <w:rPr>
          <w:rFonts w:eastAsia="Calibri"/>
        </w:rPr>
        <w:t xml:space="preserve">sunki invazinė flukonazolui (kitam priešgrybeliniam vaistui) atsparių </w:t>
      </w:r>
      <w:r w:rsidRPr="005454C8">
        <w:rPr>
          <w:rFonts w:eastAsia="TimesNewRoman,Italic"/>
          <w:i/>
        </w:rPr>
        <w:t xml:space="preserve">Candida </w:t>
      </w:r>
      <w:r w:rsidRPr="005454C8">
        <w:rPr>
          <w:rFonts w:eastAsia="Calibri"/>
        </w:rPr>
        <w:t>rūšies grybelių sukelta infekcinė liga;</w:t>
      </w:r>
    </w:p>
    <w:p w14:paraId="24317A5D" w14:textId="77777777" w:rsidR="00041CC8" w:rsidRPr="005454C8" w:rsidRDefault="00041CC8" w:rsidP="00041CC8">
      <w:pPr>
        <w:numPr>
          <w:ilvl w:val="0"/>
          <w:numId w:val="5"/>
        </w:numPr>
        <w:autoSpaceDE w:val="0"/>
        <w:autoSpaceDN w:val="0"/>
        <w:adjustRightInd w:val="0"/>
        <w:ind w:left="567" w:hanging="567"/>
        <w:rPr>
          <w:rFonts w:eastAsia="Calibri"/>
        </w:rPr>
      </w:pPr>
      <w:r w:rsidRPr="005454C8">
        <w:rPr>
          <w:rFonts w:eastAsia="Calibri"/>
        </w:rPr>
        <w:t xml:space="preserve">sunkios grybelių sukeltos infekcinės ligos, kurias sukėlė </w:t>
      </w:r>
      <w:r w:rsidRPr="005454C8">
        <w:rPr>
          <w:rFonts w:eastAsia="TimesNewRoman,Italic"/>
          <w:i/>
        </w:rPr>
        <w:t xml:space="preserve">Scedosporium </w:t>
      </w:r>
      <w:r w:rsidRPr="005454C8">
        <w:rPr>
          <w:rFonts w:eastAsia="Calibri"/>
        </w:rPr>
        <w:t xml:space="preserve">arba </w:t>
      </w:r>
      <w:r w:rsidRPr="005454C8">
        <w:rPr>
          <w:rFonts w:eastAsia="TimesNewRoman,Italic"/>
          <w:i/>
        </w:rPr>
        <w:t xml:space="preserve">Fusarium </w:t>
      </w:r>
      <w:r w:rsidRPr="005454C8">
        <w:rPr>
          <w:rFonts w:eastAsia="Calibri"/>
        </w:rPr>
        <w:t>rūšių grybeliai (kitos dvi skirtingos grybelių rūšys).</w:t>
      </w:r>
    </w:p>
    <w:p w14:paraId="19301748" w14:textId="77777777" w:rsidR="00041CC8" w:rsidRPr="005454C8" w:rsidRDefault="00041CC8" w:rsidP="00041CC8">
      <w:pPr>
        <w:autoSpaceDE w:val="0"/>
        <w:autoSpaceDN w:val="0"/>
        <w:adjustRightInd w:val="0"/>
      </w:pPr>
    </w:p>
    <w:p w14:paraId="64F9E24C" w14:textId="77777777" w:rsidR="00041CC8" w:rsidRPr="005454C8" w:rsidRDefault="00041CC8" w:rsidP="00041CC8">
      <w:pPr>
        <w:autoSpaceDE w:val="0"/>
        <w:autoSpaceDN w:val="0"/>
        <w:adjustRightInd w:val="0"/>
        <w:rPr>
          <w:rFonts w:eastAsia="Calibri"/>
        </w:rPr>
      </w:pPr>
      <w:r w:rsidRPr="005454C8">
        <w:t xml:space="preserve">VERRIA </w:t>
      </w:r>
      <w:r w:rsidRPr="005454C8">
        <w:rPr>
          <w:rFonts w:eastAsia="Calibri"/>
        </w:rPr>
        <w:t>skirtas gydyti pacientus, kuriems diagnozuotas grybelių sukeltos infekcinės ligos pasunkėjimas, kuris gali būti pavojingas gyvybei.</w:t>
      </w:r>
    </w:p>
    <w:p w14:paraId="616B5FD7" w14:textId="77777777" w:rsidR="00041CC8" w:rsidRPr="005454C8" w:rsidRDefault="00041CC8" w:rsidP="00041CC8">
      <w:pPr>
        <w:autoSpaceDE w:val="0"/>
        <w:autoSpaceDN w:val="0"/>
        <w:adjustRightInd w:val="0"/>
        <w:rPr>
          <w:rFonts w:eastAsia="Calibri"/>
        </w:rPr>
      </w:pPr>
    </w:p>
    <w:p w14:paraId="6F4899F6" w14:textId="77777777" w:rsidR="00041CC8" w:rsidRPr="005454C8" w:rsidRDefault="00041CC8" w:rsidP="00041CC8">
      <w:pPr>
        <w:autoSpaceDE w:val="0"/>
        <w:autoSpaceDN w:val="0"/>
        <w:adjustRightInd w:val="0"/>
        <w:rPr>
          <w:rFonts w:eastAsia="Calibri"/>
        </w:rPr>
      </w:pPr>
      <w:r w:rsidRPr="005454C8">
        <w:rPr>
          <w:rFonts w:eastAsia="Calibri"/>
        </w:rPr>
        <w:t>Grybelių sukeltų infekcinių ligų profilaktikai didelės rizikos pacientams, kuriems buvo atlikta kaulų čiulpų transplantacija.</w:t>
      </w:r>
    </w:p>
    <w:p w14:paraId="4F4770EC" w14:textId="77777777" w:rsidR="00041CC8" w:rsidRPr="005454C8" w:rsidRDefault="00041CC8" w:rsidP="00041CC8">
      <w:pPr>
        <w:numPr>
          <w:ilvl w:val="12"/>
          <w:numId w:val="0"/>
        </w:numPr>
        <w:ind w:right="-2"/>
      </w:pPr>
      <w:r w:rsidRPr="005454C8">
        <w:rPr>
          <w:rFonts w:eastAsia="Calibri"/>
        </w:rPr>
        <w:t>Šį vaistą galima vartoti tik prižiūrint gydytojui.</w:t>
      </w:r>
    </w:p>
    <w:p w14:paraId="02C3DFA3" w14:textId="77777777" w:rsidR="00041CC8" w:rsidRPr="005454C8" w:rsidRDefault="00041CC8" w:rsidP="00041CC8">
      <w:pPr>
        <w:numPr>
          <w:ilvl w:val="12"/>
          <w:numId w:val="0"/>
        </w:numPr>
      </w:pPr>
    </w:p>
    <w:p w14:paraId="2F6711C9" w14:textId="77777777" w:rsidR="00041CC8" w:rsidRPr="005454C8" w:rsidRDefault="00041CC8" w:rsidP="00041CC8">
      <w:pPr>
        <w:numPr>
          <w:ilvl w:val="12"/>
          <w:numId w:val="0"/>
        </w:numPr>
      </w:pPr>
    </w:p>
    <w:p w14:paraId="20220DE3" w14:textId="77777777" w:rsidR="00041CC8" w:rsidRPr="005454C8" w:rsidRDefault="00041CC8" w:rsidP="00041CC8">
      <w:pPr>
        <w:keepNext/>
        <w:outlineLvl w:val="3"/>
        <w:rPr>
          <w:b/>
        </w:rPr>
      </w:pPr>
      <w:r w:rsidRPr="005454C8">
        <w:rPr>
          <w:b/>
        </w:rPr>
        <w:t>2.</w:t>
      </w:r>
      <w:r w:rsidRPr="005454C8">
        <w:rPr>
          <w:b/>
        </w:rPr>
        <w:tab/>
        <w:t xml:space="preserve">Kas žinotina prieš vartojant </w:t>
      </w:r>
      <w:r w:rsidRPr="009A1B7F">
        <w:rPr>
          <w:b/>
          <w:bCs/>
          <w:szCs w:val="22"/>
          <w:lang w:eastAsia="x-none"/>
        </w:rPr>
        <w:t>VERRIA</w:t>
      </w:r>
    </w:p>
    <w:p w14:paraId="557B7AFB" w14:textId="77777777" w:rsidR="00041CC8" w:rsidRPr="005454C8" w:rsidRDefault="00041CC8" w:rsidP="00041CC8">
      <w:pPr>
        <w:numPr>
          <w:ilvl w:val="12"/>
          <w:numId w:val="0"/>
        </w:numPr>
        <w:ind w:right="-2"/>
      </w:pPr>
    </w:p>
    <w:p w14:paraId="7D29CDE4" w14:textId="41B87B9A" w:rsidR="00041CC8" w:rsidRPr="005454C8" w:rsidRDefault="00041CC8" w:rsidP="00041CC8">
      <w:pPr>
        <w:keepNext/>
        <w:outlineLvl w:val="3"/>
        <w:rPr>
          <w:b/>
        </w:rPr>
      </w:pPr>
      <w:r w:rsidRPr="005454C8">
        <w:rPr>
          <w:b/>
        </w:rPr>
        <w:t xml:space="preserve">VERRIA vartoti </w:t>
      </w:r>
      <w:r>
        <w:rPr>
          <w:b/>
        </w:rPr>
        <w:t>draudžiama</w:t>
      </w:r>
    </w:p>
    <w:p w14:paraId="47CC9472" w14:textId="5D6AA553" w:rsidR="00041CC8" w:rsidRPr="005454C8" w:rsidRDefault="00422901" w:rsidP="00041CC8">
      <w:pPr>
        <w:numPr>
          <w:ilvl w:val="12"/>
          <w:numId w:val="0"/>
        </w:numPr>
      </w:pPr>
      <w:r>
        <w:t>J</w:t>
      </w:r>
      <w:r w:rsidRPr="005454C8">
        <w:t xml:space="preserve">eigu </w:t>
      </w:r>
      <w:r w:rsidR="00041CC8" w:rsidRPr="005454C8">
        <w:t>yra alergija vorikonazolui arba bet kuriai pagalbinei šio vaisto medžiagai (jos išvardytos 6 skyriuje).</w:t>
      </w:r>
    </w:p>
    <w:p w14:paraId="0E67B38E" w14:textId="77777777" w:rsidR="00041CC8" w:rsidRPr="009A1B7F" w:rsidRDefault="00041CC8" w:rsidP="00041CC8">
      <w:pPr>
        <w:autoSpaceDE w:val="0"/>
        <w:autoSpaceDN w:val="0"/>
        <w:adjustRightInd w:val="0"/>
        <w:rPr>
          <w:rFonts w:eastAsia="Calibri"/>
          <w:szCs w:val="22"/>
          <w:lang w:eastAsia="en-US"/>
        </w:rPr>
      </w:pPr>
    </w:p>
    <w:p w14:paraId="3B6015C5" w14:textId="77777777" w:rsidR="00041CC8" w:rsidRPr="005454C8" w:rsidRDefault="00041CC8" w:rsidP="00041CC8">
      <w:pPr>
        <w:autoSpaceDE w:val="0"/>
        <w:autoSpaceDN w:val="0"/>
        <w:adjustRightInd w:val="0"/>
        <w:rPr>
          <w:rFonts w:eastAsia="Calibri"/>
        </w:rPr>
      </w:pPr>
      <w:r w:rsidRPr="005454C8">
        <w:rPr>
          <w:rFonts w:eastAsia="Calibri"/>
        </w:rPr>
        <w:t>Labai svarbu pasakyti gydytojui arba vaistininkui, jei vartojate arba vartojote kokių nors kitų vaistų, net ir įsigytų be recepto arba vaistažolių preparatų.</w:t>
      </w:r>
    </w:p>
    <w:p w14:paraId="702FEF78" w14:textId="77777777" w:rsidR="00041CC8" w:rsidRPr="005454C8" w:rsidRDefault="00041CC8" w:rsidP="00041CC8">
      <w:pPr>
        <w:autoSpaceDE w:val="0"/>
        <w:autoSpaceDN w:val="0"/>
        <w:adjustRightInd w:val="0"/>
        <w:rPr>
          <w:rFonts w:eastAsia="Calibri"/>
        </w:rPr>
      </w:pPr>
    </w:p>
    <w:p w14:paraId="7A02C4AD" w14:textId="77777777" w:rsidR="00041CC8" w:rsidRPr="005454C8" w:rsidRDefault="00041CC8" w:rsidP="00041CC8">
      <w:pPr>
        <w:autoSpaceDE w:val="0"/>
        <w:autoSpaceDN w:val="0"/>
        <w:adjustRightInd w:val="0"/>
        <w:rPr>
          <w:rFonts w:eastAsia="Calibri"/>
        </w:rPr>
      </w:pPr>
      <w:r w:rsidRPr="005454C8">
        <w:rPr>
          <w:rFonts w:eastAsia="Calibri"/>
        </w:rPr>
        <w:lastRenderedPageBreak/>
        <w:t xml:space="preserve">Toliau išvardyti vaistai, kurių negalima vartoti </w:t>
      </w:r>
      <w:r w:rsidRPr="005454C8">
        <w:t xml:space="preserve">VERRIA </w:t>
      </w:r>
      <w:r w:rsidRPr="005454C8">
        <w:rPr>
          <w:rFonts w:eastAsia="Calibri"/>
        </w:rPr>
        <w:t>vartojimo metu:</w:t>
      </w:r>
    </w:p>
    <w:p w14:paraId="57402B3D"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terfenadinas (gydoma alergija);</w:t>
      </w:r>
    </w:p>
    <w:p w14:paraId="53C7AFE1"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astemizolas (gydoma alergija);</w:t>
      </w:r>
    </w:p>
    <w:p w14:paraId="2EB33A15"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cisapridas (gydomi skrandžio sutrikimai);</w:t>
      </w:r>
    </w:p>
    <w:p w14:paraId="2CC80E53"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pimozidas (gydoma psichikos ligos);</w:t>
      </w:r>
    </w:p>
    <w:p w14:paraId="11DA3FB3" w14:textId="77777777" w:rsidR="00041C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chinidinas (gydomi širdies ritmo sutrikimai);</w:t>
      </w:r>
    </w:p>
    <w:p w14:paraId="7CCA7CAE"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Pr>
          <w:rFonts w:eastAsia="Calibri"/>
        </w:rPr>
        <w:t>ivabradinas (</w:t>
      </w:r>
      <w:r w:rsidRPr="001319D5">
        <w:rPr>
          <w:rFonts w:eastAsia="Calibri"/>
        </w:rPr>
        <w:t>gydomi lėtinio širdies nepakankamumo simptomai</w:t>
      </w:r>
      <w:r>
        <w:rPr>
          <w:rFonts w:eastAsia="Calibri"/>
        </w:rPr>
        <w:t>);</w:t>
      </w:r>
    </w:p>
    <w:p w14:paraId="7F1E2A6D"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rifampicinas (gydoma tuberkuliozė);</w:t>
      </w:r>
    </w:p>
    <w:p w14:paraId="434E8452"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400 mg efavirenzo ir didesnės (vartojamas ŽIV gydyti) dozės vieną kartą per parą;</w:t>
      </w:r>
    </w:p>
    <w:p w14:paraId="363706D8"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karbamazepinas (gydomi priepuoliai);</w:t>
      </w:r>
    </w:p>
    <w:p w14:paraId="780E6A20"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fenobarbitalis (gydoma sunki nemiga bei priepuoliai);</w:t>
      </w:r>
    </w:p>
    <w:p w14:paraId="5C0A4FC6"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skalsių alkaloidai (pvz., ergotaminas, dihidroergotaminas, kuriais gydoma migrena);</w:t>
      </w:r>
    </w:p>
    <w:p w14:paraId="12A34C67"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sirolimuzas (vartojamas po organų persodinimo);</w:t>
      </w:r>
    </w:p>
    <w:p w14:paraId="1DB6CD5B"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ritonaviras (gydoma ŽIV liga), vartojamas 400</w:t>
      </w:r>
      <w:r>
        <w:rPr>
          <w:rFonts w:eastAsia="Calibri"/>
        </w:rPr>
        <w:t> </w:t>
      </w:r>
      <w:r w:rsidRPr="005454C8">
        <w:rPr>
          <w:rFonts w:eastAsia="Calibri"/>
        </w:rPr>
        <w:t>mg ir didesnėmis dozėmis du kartus per parą;</w:t>
      </w:r>
    </w:p>
    <w:p w14:paraId="08F0EFE8" w14:textId="77777777" w:rsidR="00041CC8" w:rsidRDefault="00041CC8" w:rsidP="00041CC8">
      <w:pPr>
        <w:numPr>
          <w:ilvl w:val="0"/>
          <w:numId w:val="6"/>
        </w:numPr>
        <w:autoSpaceDE w:val="0"/>
        <w:autoSpaceDN w:val="0"/>
        <w:adjustRightInd w:val="0"/>
        <w:ind w:left="567" w:hanging="567"/>
        <w:contextualSpacing/>
        <w:rPr>
          <w:rFonts w:eastAsia="Calibri"/>
        </w:rPr>
      </w:pPr>
      <w:r w:rsidRPr="005454C8">
        <w:rPr>
          <w:rFonts w:eastAsia="Calibri"/>
        </w:rPr>
        <w:t>jonažolės (vaistažolių) preparatai</w:t>
      </w:r>
      <w:r>
        <w:rPr>
          <w:rFonts w:eastAsia="Calibri"/>
        </w:rPr>
        <w:t>;</w:t>
      </w:r>
    </w:p>
    <w:p w14:paraId="1E305493" w14:textId="77777777" w:rsidR="00041CC8" w:rsidRDefault="00041CC8" w:rsidP="00041CC8">
      <w:pPr>
        <w:numPr>
          <w:ilvl w:val="0"/>
          <w:numId w:val="6"/>
        </w:numPr>
        <w:autoSpaceDE w:val="0"/>
        <w:autoSpaceDN w:val="0"/>
        <w:adjustRightInd w:val="0"/>
        <w:ind w:left="567" w:hanging="567"/>
        <w:contextualSpacing/>
        <w:rPr>
          <w:rFonts w:eastAsia="Calibri"/>
        </w:rPr>
      </w:pPr>
      <w:bookmarkStart w:id="23" w:name="_Hlk87626069"/>
      <w:r w:rsidRPr="009912E3">
        <w:rPr>
          <w:rFonts w:eastAsia="Calibri"/>
        </w:rPr>
        <w:t>naloksegolas (vartojamas vidurių užkietėjimui gydyti, ypač, kai jį sukėlė skausmą malšinantys</w:t>
      </w:r>
      <w:r>
        <w:rPr>
          <w:rFonts w:eastAsia="Calibri"/>
        </w:rPr>
        <w:t xml:space="preserve"> </w:t>
      </w:r>
      <w:r w:rsidRPr="009912E3">
        <w:rPr>
          <w:rFonts w:eastAsia="Calibri"/>
        </w:rPr>
        <w:t>vaistai, vadinami opioidais (pvz., morfinas, oksikodonas, fentanilis, tramadolis, kodeinas);</w:t>
      </w:r>
    </w:p>
    <w:p w14:paraId="3F295535" w14:textId="77777777" w:rsidR="00041CC8" w:rsidRDefault="00041CC8" w:rsidP="00041CC8">
      <w:pPr>
        <w:numPr>
          <w:ilvl w:val="0"/>
          <w:numId w:val="6"/>
        </w:numPr>
        <w:autoSpaceDE w:val="0"/>
        <w:autoSpaceDN w:val="0"/>
        <w:adjustRightInd w:val="0"/>
        <w:ind w:left="567" w:hanging="567"/>
        <w:contextualSpacing/>
        <w:rPr>
          <w:rFonts w:eastAsia="Calibri"/>
        </w:rPr>
      </w:pPr>
      <w:r w:rsidRPr="009912E3">
        <w:rPr>
          <w:rFonts w:eastAsia="Calibri"/>
        </w:rPr>
        <w:t>tolvaptanas (vartojamas hiponatremijai (mažam natrio kiekiui kraujyje) gydyti arba inkstų</w:t>
      </w:r>
      <w:r>
        <w:rPr>
          <w:rFonts w:eastAsia="Calibri"/>
        </w:rPr>
        <w:t xml:space="preserve"> </w:t>
      </w:r>
      <w:r w:rsidRPr="009912E3">
        <w:rPr>
          <w:rFonts w:eastAsia="Calibri"/>
        </w:rPr>
        <w:t>funkcijos silpnėjimui policistine inkstų liga sergantiems pacientams sulėtinti);</w:t>
      </w:r>
    </w:p>
    <w:p w14:paraId="2FB6A8DF" w14:textId="77777777" w:rsidR="00041CC8" w:rsidRPr="009912E3" w:rsidRDefault="00041CC8" w:rsidP="00041CC8">
      <w:pPr>
        <w:numPr>
          <w:ilvl w:val="0"/>
          <w:numId w:val="6"/>
        </w:numPr>
        <w:autoSpaceDE w:val="0"/>
        <w:autoSpaceDN w:val="0"/>
        <w:adjustRightInd w:val="0"/>
        <w:ind w:left="567" w:hanging="567"/>
        <w:contextualSpacing/>
        <w:rPr>
          <w:rFonts w:eastAsia="Calibri"/>
        </w:rPr>
      </w:pPr>
      <w:r w:rsidRPr="009912E3">
        <w:rPr>
          <w:rFonts w:eastAsia="Calibri"/>
        </w:rPr>
        <w:t>lurazidonas (vartojamas depresijai gydyti);</w:t>
      </w:r>
    </w:p>
    <w:p w14:paraId="0D794BF4" w14:textId="77777777" w:rsidR="00041CC8" w:rsidRPr="005454C8" w:rsidRDefault="00041CC8" w:rsidP="00041CC8">
      <w:pPr>
        <w:numPr>
          <w:ilvl w:val="0"/>
          <w:numId w:val="6"/>
        </w:numPr>
        <w:autoSpaceDE w:val="0"/>
        <w:autoSpaceDN w:val="0"/>
        <w:adjustRightInd w:val="0"/>
        <w:ind w:left="567" w:hanging="567"/>
        <w:contextualSpacing/>
        <w:rPr>
          <w:rFonts w:eastAsia="Calibri"/>
        </w:rPr>
      </w:pPr>
      <w:r w:rsidRPr="006D5DA7">
        <w:rPr>
          <w:rFonts w:eastAsia="Calibri"/>
        </w:rPr>
        <w:t>venetoklaksas (vartojamas pacientų, sergančių lėtine limfocitine leukemija (LLL), gydymui)</w:t>
      </w:r>
      <w:r>
        <w:rPr>
          <w:rFonts w:eastAsia="Calibri"/>
        </w:rPr>
        <w:t>.</w:t>
      </w:r>
    </w:p>
    <w:bookmarkEnd w:id="23"/>
    <w:p w14:paraId="01639A6C" w14:textId="77777777" w:rsidR="00041CC8" w:rsidRPr="005454C8" w:rsidRDefault="00041CC8" w:rsidP="00041CC8">
      <w:pPr>
        <w:autoSpaceDE w:val="0"/>
        <w:autoSpaceDN w:val="0"/>
        <w:adjustRightInd w:val="0"/>
        <w:ind w:left="720"/>
        <w:contextualSpacing/>
        <w:rPr>
          <w:rFonts w:eastAsia="Calibri"/>
        </w:rPr>
      </w:pPr>
    </w:p>
    <w:p w14:paraId="6527DF59" w14:textId="77777777" w:rsidR="00041CC8" w:rsidRPr="005454C8" w:rsidRDefault="00041CC8" w:rsidP="00041CC8">
      <w:pPr>
        <w:keepNext/>
        <w:outlineLvl w:val="3"/>
        <w:rPr>
          <w:b/>
        </w:rPr>
      </w:pPr>
      <w:r w:rsidRPr="005454C8">
        <w:rPr>
          <w:b/>
        </w:rPr>
        <w:t xml:space="preserve">Įspėjimai ir atsargumo priemonės </w:t>
      </w:r>
    </w:p>
    <w:p w14:paraId="45B0496D" w14:textId="77777777" w:rsidR="00041CC8" w:rsidRPr="005454C8" w:rsidRDefault="00041CC8" w:rsidP="00041CC8">
      <w:pPr>
        <w:numPr>
          <w:ilvl w:val="12"/>
          <w:numId w:val="0"/>
        </w:numPr>
        <w:ind w:right="-2"/>
      </w:pPr>
      <w:r w:rsidRPr="005454C8">
        <w:t xml:space="preserve">Pasitarkite su gydytoju, vaistininku arba slaugytoju, prieš pradėdami vartoti </w:t>
      </w:r>
      <w:r w:rsidRPr="009A1B7F">
        <w:rPr>
          <w:szCs w:val="22"/>
          <w:lang w:eastAsia="en-US"/>
        </w:rPr>
        <w:t>VERRIA</w:t>
      </w:r>
      <w:r w:rsidRPr="005454C8">
        <w:t>, jeigu:</w:t>
      </w:r>
    </w:p>
    <w:p w14:paraId="16FDB5B7" w14:textId="77777777" w:rsidR="00041CC8" w:rsidRPr="005454C8" w:rsidRDefault="00041CC8" w:rsidP="00041CC8">
      <w:pPr>
        <w:numPr>
          <w:ilvl w:val="0"/>
          <w:numId w:val="7"/>
        </w:numPr>
        <w:autoSpaceDE w:val="0"/>
        <w:autoSpaceDN w:val="0"/>
        <w:adjustRightInd w:val="0"/>
        <w:ind w:left="567" w:hanging="567"/>
        <w:contextualSpacing/>
        <w:rPr>
          <w:rFonts w:eastAsia="Calibri"/>
        </w:rPr>
      </w:pPr>
      <w:r w:rsidRPr="005454C8">
        <w:rPr>
          <w:rFonts w:eastAsia="Calibri"/>
        </w:rPr>
        <w:t>buvo pasireiškusi alerginė reakcija kitiems azolams;</w:t>
      </w:r>
      <w:r w:rsidRPr="005454C8">
        <w:t xml:space="preserve"> </w:t>
      </w:r>
    </w:p>
    <w:p w14:paraId="1E30DC2A" w14:textId="77777777" w:rsidR="00041CC8" w:rsidRPr="005454C8" w:rsidRDefault="00041CC8" w:rsidP="00041CC8">
      <w:pPr>
        <w:numPr>
          <w:ilvl w:val="0"/>
          <w:numId w:val="7"/>
        </w:numPr>
        <w:autoSpaceDE w:val="0"/>
        <w:autoSpaceDN w:val="0"/>
        <w:adjustRightInd w:val="0"/>
        <w:ind w:left="567" w:hanging="567"/>
        <w:contextualSpacing/>
        <w:rPr>
          <w:rFonts w:eastAsia="Calibri"/>
        </w:rPr>
      </w:pPr>
      <w:r w:rsidRPr="005454C8">
        <w:rPr>
          <w:rFonts w:eastAsia="Calibri"/>
        </w:rPr>
        <w:t xml:space="preserve">sergate arba anksčiau sirgote kepenų liga. Jeigu sergate kepenų liga, gydytojas gali skirti mažesnę </w:t>
      </w:r>
      <w:r w:rsidRPr="005454C8">
        <w:t xml:space="preserve">VERRIA </w:t>
      </w:r>
      <w:r w:rsidRPr="005454C8">
        <w:rPr>
          <w:rFonts w:eastAsia="Calibri"/>
        </w:rPr>
        <w:t xml:space="preserve">dozę. Be to, gydymo </w:t>
      </w:r>
      <w:r w:rsidRPr="005454C8">
        <w:t xml:space="preserve">VERRIA </w:t>
      </w:r>
      <w:r w:rsidRPr="005454C8">
        <w:rPr>
          <w:rFonts w:eastAsia="Calibri"/>
        </w:rPr>
        <w:t>metu gydytojas turės stebėti Jūsų kepenų veiklą, atlikdamas kraujo tyrimus;</w:t>
      </w:r>
    </w:p>
    <w:p w14:paraId="537AF0F4" w14:textId="77777777" w:rsidR="00041CC8" w:rsidRPr="005454C8" w:rsidRDefault="00041CC8" w:rsidP="00041CC8">
      <w:pPr>
        <w:numPr>
          <w:ilvl w:val="0"/>
          <w:numId w:val="7"/>
        </w:numPr>
        <w:autoSpaceDE w:val="0"/>
        <w:autoSpaceDN w:val="0"/>
        <w:adjustRightInd w:val="0"/>
        <w:ind w:left="567" w:hanging="567"/>
        <w:contextualSpacing/>
        <w:rPr>
          <w:rFonts w:eastAsia="Calibri"/>
        </w:rPr>
      </w:pPr>
      <w:r w:rsidRPr="005454C8">
        <w:rPr>
          <w:rFonts w:eastAsia="Calibri"/>
        </w:rPr>
        <w:t>Jums yra diagnozuota kardiomiopatija, neritmiškas širdies plakimas ar retas širdies plakimas arba pagal užrašytą elektrokardiogramą (EKG) diagnozuotas vadinamasis ilgo QTc sindromas.</w:t>
      </w:r>
    </w:p>
    <w:p w14:paraId="2E7A953C" w14:textId="77777777" w:rsidR="00041CC8" w:rsidRPr="005454C8" w:rsidRDefault="00041CC8" w:rsidP="00041CC8">
      <w:pPr>
        <w:autoSpaceDE w:val="0"/>
        <w:autoSpaceDN w:val="0"/>
        <w:adjustRightInd w:val="0"/>
        <w:rPr>
          <w:rFonts w:eastAsia="Calibri"/>
        </w:rPr>
      </w:pPr>
    </w:p>
    <w:p w14:paraId="2FBBFB69" w14:textId="19B95FC8" w:rsidR="00041CC8" w:rsidRPr="005454C8" w:rsidRDefault="00041CC8" w:rsidP="00422901">
      <w:pPr>
        <w:autoSpaceDE w:val="0"/>
        <w:autoSpaceDN w:val="0"/>
        <w:adjustRightInd w:val="0"/>
        <w:rPr>
          <w:rFonts w:eastAsia="Calibri"/>
        </w:rPr>
      </w:pPr>
      <w:r w:rsidRPr="005454C8">
        <w:rPr>
          <w:rFonts w:eastAsia="Calibri"/>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422901" w:rsidRPr="00422901">
        <w:rPr>
          <w:rFonts w:eastAsia="Calibri"/>
        </w:rPr>
        <w:t>Dar</w:t>
      </w:r>
      <w:r w:rsidR="00422901">
        <w:rPr>
          <w:rFonts w:eastAsia="Calibri"/>
        </w:rPr>
        <w:t xml:space="preserve"> l</w:t>
      </w:r>
      <w:r w:rsidR="00422901" w:rsidRPr="00422901">
        <w:rPr>
          <w:rFonts w:eastAsia="Calibri"/>
        </w:rPr>
        <w:t>abiau tai padidinti gali kiti vaistai, kaip metotreksatas, kurie didina odos jautrumą saulės šviesai.</w:t>
      </w:r>
      <w:r w:rsidR="00422901">
        <w:rPr>
          <w:rFonts w:eastAsia="Calibri"/>
        </w:rPr>
        <w:t xml:space="preserve"> </w:t>
      </w:r>
      <w:r w:rsidRPr="005454C8">
        <w:rPr>
          <w:rFonts w:eastAsia="Calibri"/>
        </w:rPr>
        <w:t>Šios atsargumo priemonės taip pat taikytinos vaikams.</w:t>
      </w:r>
    </w:p>
    <w:p w14:paraId="59A8B21A" w14:textId="77777777" w:rsidR="00041CC8" w:rsidRPr="005454C8" w:rsidRDefault="00041CC8" w:rsidP="00041CC8">
      <w:pPr>
        <w:autoSpaceDE w:val="0"/>
        <w:autoSpaceDN w:val="0"/>
        <w:adjustRightInd w:val="0"/>
        <w:rPr>
          <w:rFonts w:eastAsia="Calibri"/>
        </w:rPr>
      </w:pPr>
    </w:p>
    <w:p w14:paraId="37C569CF" w14:textId="77777777" w:rsidR="00041CC8" w:rsidRPr="005454C8" w:rsidRDefault="00041CC8" w:rsidP="00041CC8">
      <w:pPr>
        <w:autoSpaceDE w:val="0"/>
        <w:autoSpaceDN w:val="0"/>
        <w:adjustRightInd w:val="0"/>
        <w:rPr>
          <w:rFonts w:eastAsia="Calibri"/>
        </w:rPr>
      </w:pPr>
      <w:r w:rsidRPr="005454C8">
        <w:rPr>
          <w:rFonts w:eastAsia="Calibri"/>
        </w:rPr>
        <w:t xml:space="preserve">Gydymo </w:t>
      </w:r>
      <w:r w:rsidRPr="005454C8">
        <w:t xml:space="preserve">VERRIA </w:t>
      </w:r>
      <w:r w:rsidRPr="005454C8">
        <w:rPr>
          <w:rFonts w:eastAsia="Calibri"/>
        </w:rPr>
        <w:t>metu:</w:t>
      </w:r>
    </w:p>
    <w:p w14:paraId="2B79064A" w14:textId="77777777" w:rsidR="00041CC8" w:rsidRPr="005454C8" w:rsidRDefault="00041CC8" w:rsidP="00041CC8">
      <w:pPr>
        <w:numPr>
          <w:ilvl w:val="0"/>
          <w:numId w:val="19"/>
        </w:numPr>
        <w:tabs>
          <w:tab w:val="left" w:pos="0"/>
        </w:tabs>
        <w:autoSpaceDE w:val="0"/>
        <w:autoSpaceDN w:val="0"/>
        <w:adjustRightInd w:val="0"/>
        <w:ind w:left="567" w:hanging="567"/>
        <w:contextualSpacing/>
        <w:rPr>
          <w:rFonts w:eastAsia="Calibri"/>
        </w:rPr>
      </w:pPr>
      <w:r w:rsidRPr="005454C8">
        <w:rPr>
          <w:rFonts w:eastAsia="Calibri"/>
        </w:rPr>
        <w:t>nedelsdami pasakykite gydytojui, jeigu pasireiškia:</w:t>
      </w:r>
    </w:p>
    <w:p w14:paraId="5CF3016C" w14:textId="77777777" w:rsidR="00041CC8" w:rsidRPr="005454C8" w:rsidRDefault="00041CC8" w:rsidP="00041CC8">
      <w:pPr>
        <w:numPr>
          <w:ilvl w:val="0"/>
          <w:numId w:val="20"/>
        </w:numPr>
        <w:autoSpaceDE w:val="0"/>
        <w:autoSpaceDN w:val="0"/>
        <w:adjustRightInd w:val="0"/>
        <w:ind w:left="851" w:hanging="284"/>
        <w:rPr>
          <w:rFonts w:eastAsia="Calibri"/>
        </w:rPr>
      </w:pPr>
      <w:r w:rsidRPr="005454C8">
        <w:rPr>
          <w:rFonts w:eastAsia="Calibri"/>
        </w:rPr>
        <w:t>nudegimas nuo saulės;</w:t>
      </w:r>
    </w:p>
    <w:p w14:paraId="718A8371" w14:textId="77777777" w:rsidR="00041CC8" w:rsidRPr="005454C8" w:rsidRDefault="00041CC8" w:rsidP="00041CC8">
      <w:pPr>
        <w:numPr>
          <w:ilvl w:val="0"/>
          <w:numId w:val="20"/>
        </w:numPr>
        <w:autoSpaceDE w:val="0"/>
        <w:autoSpaceDN w:val="0"/>
        <w:adjustRightInd w:val="0"/>
        <w:ind w:left="851" w:hanging="284"/>
        <w:rPr>
          <w:rFonts w:eastAsia="Calibri"/>
        </w:rPr>
      </w:pPr>
      <w:r w:rsidRPr="005454C8">
        <w:rPr>
          <w:rFonts w:eastAsia="Calibri"/>
        </w:rPr>
        <w:t>sunkus odos bėrimas arba pūslės;</w:t>
      </w:r>
    </w:p>
    <w:p w14:paraId="69E185E0" w14:textId="77777777" w:rsidR="00041CC8" w:rsidRPr="005454C8" w:rsidRDefault="00041CC8" w:rsidP="00041CC8">
      <w:pPr>
        <w:numPr>
          <w:ilvl w:val="0"/>
          <w:numId w:val="20"/>
        </w:numPr>
        <w:ind w:left="851" w:right="-2" w:hanging="284"/>
      </w:pPr>
      <w:r w:rsidRPr="005454C8">
        <w:rPr>
          <w:rFonts w:eastAsia="Calibri"/>
        </w:rPr>
        <w:t>kaulų skausmas.</w:t>
      </w:r>
    </w:p>
    <w:p w14:paraId="0BD9DE16" w14:textId="77777777" w:rsidR="00041CC8" w:rsidRPr="005454C8" w:rsidRDefault="00041CC8" w:rsidP="00041CC8">
      <w:pPr>
        <w:ind w:right="-2"/>
      </w:pPr>
    </w:p>
    <w:p w14:paraId="4029A133" w14:textId="77777777" w:rsidR="00041CC8" w:rsidRDefault="00041CC8" w:rsidP="00041CC8">
      <w:pPr>
        <w:autoSpaceDE w:val="0"/>
        <w:autoSpaceDN w:val="0"/>
        <w:adjustRightInd w:val="0"/>
        <w:rPr>
          <w:rFonts w:eastAsia="Calibri"/>
        </w:rPr>
      </w:pPr>
      <w:r w:rsidRPr="005454C8">
        <w:rPr>
          <w:rFonts w:eastAsia="Calibri"/>
        </w:rPr>
        <w:t xml:space="preserve">Jei atsiras minėtų odos pažeidimų, gydytojas gali nusiųsti Jus pas dermatologą, kuris po konsultacijos gali nuspręsti, kad būtinos reguliarios konsultacijos. Yra nedidelė tikimybė, kad ilgai vartojant </w:t>
      </w:r>
      <w:r w:rsidRPr="005454C8">
        <w:t xml:space="preserve">VERRIA </w:t>
      </w:r>
      <w:r w:rsidRPr="005454C8">
        <w:rPr>
          <w:rFonts w:eastAsia="Calibri"/>
        </w:rPr>
        <w:t>gali išsivystyti odos vėžys.</w:t>
      </w:r>
    </w:p>
    <w:p w14:paraId="1819E5A4" w14:textId="77777777" w:rsidR="00041CC8" w:rsidRDefault="00041CC8" w:rsidP="00041CC8">
      <w:pPr>
        <w:autoSpaceDE w:val="0"/>
        <w:autoSpaceDN w:val="0"/>
        <w:adjustRightInd w:val="0"/>
        <w:rPr>
          <w:rFonts w:eastAsia="Calibri"/>
        </w:rPr>
      </w:pPr>
    </w:p>
    <w:p w14:paraId="348B7C53" w14:textId="77777777" w:rsidR="00041CC8" w:rsidRDefault="00041CC8" w:rsidP="00041CC8">
      <w:pPr>
        <w:autoSpaceDE w:val="0"/>
        <w:autoSpaceDN w:val="0"/>
        <w:adjustRightInd w:val="0"/>
        <w:rPr>
          <w:rFonts w:eastAsia="Calibri"/>
        </w:rPr>
      </w:pPr>
      <w:r w:rsidRPr="00140CB5">
        <w:rPr>
          <w:rFonts w:eastAsia="Calibri"/>
        </w:rPr>
        <w:t>Jeigu pasireiškia antinksčių nepakankamumo požymių, kai antinksčiai nepajėgia gaminti pakankamo</w:t>
      </w:r>
      <w:r>
        <w:rPr>
          <w:rFonts w:eastAsia="Calibri"/>
        </w:rPr>
        <w:t xml:space="preserve"> </w:t>
      </w:r>
      <w:r w:rsidRPr="00140CB5">
        <w:rPr>
          <w:rFonts w:eastAsia="Calibri"/>
        </w:rPr>
        <w:t>kiekio tam tikrų steroidinių hormonų, pvz., kortizolio (tai gali pasireikšti šiais simptomais: lėtiniu arba</w:t>
      </w:r>
      <w:r>
        <w:rPr>
          <w:rFonts w:eastAsia="Calibri"/>
        </w:rPr>
        <w:t xml:space="preserve"> </w:t>
      </w:r>
      <w:r w:rsidRPr="00140CB5">
        <w:rPr>
          <w:rFonts w:eastAsia="Calibri"/>
        </w:rPr>
        <w:t>ilgalaikiu nuovargiu, raumenų silpnumu, apetito praradimu, kūno masės mažėjimu, pilvo skausmu),</w:t>
      </w:r>
      <w:r>
        <w:rPr>
          <w:rFonts w:eastAsia="Calibri"/>
        </w:rPr>
        <w:t xml:space="preserve"> </w:t>
      </w:r>
      <w:r w:rsidRPr="00140CB5">
        <w:rPr>
          <w:rFonts w:eastAsia="Calibri"/>
        </w:rPr>
        <w:t>pasakykite gydytojui.</w:t>
      </w:r>
    </w:p>
    <w:p w14:paraId="662D5B62" w14:textId="77777777" w:rsidR="00041CC8" w:rsidRDefault="00041CC8" w:rsidP="00041CC8">
      <w:pPr>
        <w:autoSpaceDE w:val="0"/>
        <w:autoSpaceDN w:val="0"/>
        <w:adjustRightInd w:val="0"/>
        <w:rPr>
          <w:rFonts w:eastAsia="Calibri"/>
        </w:rPr>
      </w:pPr>
    </w:p>
    <w:p w14:paraId="7517B9A2" w14:textId="77777777" w:rsidR="00041CC8" w:rsidRPr="005454C8" w:rsidRDefault="00041CC8" w:rsidP="00041CC8">
      <w:pPr>
        <w:autoSpaceDE w:val="0"/>
        <w:autoSpaceDN w:val="0"/>
        <w:adjustRightInd w:val="0"/>
        <w:rPr>
          <w:rFonts w:eastAsia="Calibri"/>
        </w:rPr>
      </w:pPr>
      <w:bookmarkStart w:id="24" w:name="_Hlk87626059"/>
      <w:r w:rsidRPr="003E06B8">
        <w:rPr>
          <w:rFonts w:eastAsia="Calibri"/>
        </w:rPr>
        <w:t>Pasakykite gydytojui, jeigu išsivysto Kušingo sindromas, kuriam esant organizmas gamina per daug</w:t>
      </w:r>
      <w:r>
        <w:rPr>
          <w:rFonts w:eastAsia="Calibri"/>
        </w:rPr>
        <w:t xml:space="preserve"> </w:t>
      </w:r>
      <w:r w:rsidRPr="003E06B8">
        <w:rPr>
          <w:rFonts w:eastAsia="Calibri"/>
        </w:rPr>
        <w:t>hormono kortizolio ir dėl to gali atsirasti tokių simptomų: kūno svorio augimas, riebalų kupra ant</w:t>
      </w:r>
      <w:r>
        <w:rPr>
          <w:rFonts w:eastAsia="Calibri"/>
        </w:rPr>
        <w:t xml:space="preserve"> </w:t>
      </w:r>
      <w:r w:rsidRPr="003E06B8">
        <w:rPr>
          <w:rFonts w:eastAsia="Calibri"/>
        </w:rPr>
        <w:t>sprando, suapvalėjęs veidas, patamsėjusi oda ant pilvo, sustandėjusios krūtys ir rankos, plonėjanti oda,</w:t>
      </w:r>
      <w:r>
        <w:rPr>
          <w:rFonts w:eastAsia="Calibri"/>
        </w:rPr>
        <w:t xml:space="preserve"> </w:t>
      </w:r>
      <w:r w:rsidRPr="003E06B8">
        <w:rPr>
          <w:rFonts w:eastAsia="Calibri"/>
        </w:rPr>
        <w:lastRenderedPageBreak/>
        <w:t>lengvai atsiranda mėlynių, didelė cukraus (gliukozės) koncentracija kraujyje, pagausėjęs plaukų</w:t>
      </w:r>
      <w:r>
        <w:rPr>
          <w:rFonts w:eastAsia="Calibri"/>
        </w:rPr>
        <w:t xml:space="preserve"> </w:t>
      </w:r>
      <w:r w:rsidRPr="003E06B8">
        <w:rPr>
          <w:rFonts w:eastAsia="Calibri"/>
        </w:rPr>
        <w:t>augimas, pagausėjęs prakaitavimas.</w:t>
      </w:r>
    </w:p>
    <w:bookmarkEnd w:id="24"/>
    <w:p w14:paraId="2A395F6F" w14:textId="77777777" w:rsidR="00041CC8" w:rsidRPr="005454C8" w:rsidRDefault="00041CC8" w:rsidP="00041CC8">
      <w:pPr>
        <w:autoSpaceDE w:val="0"/>
        <w:autoSpaceDN w:val="0"/>
        <w:adjustRightInd w:val="0"/>
        <w:rPr>
          <w:rFonts w:eastAsia="Calibri"/>
        </w:rPr>
      </w:pPr>
    </w:p>
    <w:p w14:paraId="760EE83B" w14:textId="77777777" w:rsidR="00041CC8" w:rsidRPr="005454C8" w:rsidRDefault="00041CC8" w:rsidP="00041CC8">
      <w:pPr>
        <w:rPr>
          <w:rFonts w:eastAsia="Calibri"/>
        </w:rPr>
      </w:pPr>
      <w:r w:rsidRPr="005454C8">
        <w:rPr>
          <w:rFonts w:eastAsia="Calibri"/>
        </w:rPr>
        <w:t>Gydytojas turės stebėti Jūsų kepenų ir inkstų veiklą, atlikdamas kraujo tyrimus.</w:t>
      </w:r>
    </w:p>
    <w:p w14:paraId="34F02781" w14:textId="77777777" w:rsidR="00041CC8" w:rsidRPr="005454C8" w:rsidRDefault="00041CC8" w:rsidP="00041CC8"/>
    <w:p w14:paraId="7C28544E" w14:textId="77777777" w:rsidR="00041CC8" w:rsidRPr="005454C8" w:rsidRDefault="00041CC8" w:rsidP="00041CC8">
      <w:pPr>
        <w:keepNext/>
        <w:outlineLvl w:val="3"/>
        <w:rPr>
          <w:b/>
        </w:rPr>
      </w:pPr>
      <w:r w:rsidRPr="005454C8">
        <w:rPr>
          <w:b/>
        </w:rPr>
        <w:t>Vaikams ir paaugliams</w:t>
      </w:r>
    </w:p>
    <w:p w14:paraId="32372960" w14:textId="77777777" w:rsidR="00041CC8" w:rsidRPr="005454C8" w:rsidRDefault="00041CC8" w:rsidP="00041CC8">
      <w:pPr>
        <w:numPr>
          <w:ilvl w:val="12"/>
          <w:numId w:val="0"/>
        </w:numPr>
        <w:rPr>
          <w:rFonts w:eastAsia="Calibri"/>
        </w:rPr>
      </w:pPr>
      <w:r w:rsidRPr="005454C8">
        <w:t xml:space="preserve">VERRIA </w:t>
      </w:r>
      <w:r w:rsidRPr="005454C8">
        <w:rPr>
          <w:rFonts w:eastAsia="Calibri"/>
        </w:rPr>
        <w:t>negalima vartoti jaunesniems kaip 2 metų vaikams.</w:t>
      </w:r>
    </w:p>
    <w:p w14:paraId="093B173A" w14:textId="77777777" w:rsidR="00041CC8" w:rsidRPr="005454C8" w:rsidRDefault="00041CC8" w:rsidP="00041CC8">
      <w:pPr>
        <w:numPr>
          <w:ilvl w:val="12"/>
          <w:numId w:val="0"/>
        </w:numPr>
        <w:rPr>
          <w:rFonts w:eastAsia="Calibri"/>
        </w:rPr>
      </w:pPr>
    </w:p>
    <w:p w14:paraId="3AF6CD42" w14:textId="77777777" w:rsidR="00041CC8" w:rsidRPr="005454C8" w:rsidRDefault="00041CC8" w:rsidP="00041CC8">
      <w:pPr>
        <w:keepNext/>
        <w:outlineLvl w:val="3"/>
        <w:rPr>
          <w:b/>
        </w:rPr>
      </w:pPr>
      <w:r w:rsidRPr="005454C8">
        <w:rPr>
          <w:b/>
        </w:rPr>
        <w:t xml:space="preserve">Kiti vaistai ir VERRIA </w:t>
      </w:r>
    </w:p>
    <w:p w14:paraId="292D37DE" w14:textId="77777777" w:rsidR="00041CC8" w:rsidRPr="005454C8" w:rsidRDefault="00041CC8" w:rsidP="00041CC8">
      <w:pPr>
        <w:numPr>
          <w:ilvl w:val="12"/>
          <w:numId w:val="0"/>
        </w:numPr>
        <w:ind w:right="-2"/>
      </w:pPr>
      <w:r w:rsidRPr="005454C8">
        <w:t>Jeigu vartojate ar neseniai vartojote kitų vaistų, arba dėl to nesate tikri, apie tai pasakykite gydytojui arba vaistininkui.</w:t>
      </w:r>
    </w:p>
    <w:p w14:paraId="46C4FFC9" w14:textId="77777777" w:rsidR="00041CC8" w:rsidRPr="005454C8" w:rsidRDefault="00041CC8" w:rsidP="00041CC8">
      <w:pPr>
        <w:numPr>
          <w:ilvl w:val="12"/>
          <w:numId w:val="0"/>
        </w:numPr>
        <w:ind w:right="-2"/>
      </w:pPr>
    </w:p>
    <w:p w14:paraId="0E95AE72" w14:textId="77777777" w:rsidR="00041CC8" w:rsidRPr="005454C8" w:rsidRDefault="00041CC8" w:rsidP="00041CC8">
      <w:pPr>
        <w:autoSpaceDE w:val="0"/>
        <w:autoSpaceDN w:val="0"/>
        <w:adjustRightInd w:val="0"/>
        <w:rPr>
          <w:rFonts w:eastAsia="Calibri"/>
        </w:rPr>
      </w:pPr>
      <w:r w:rsidRPr="005454C8">
        <w:rPr>
          <w:rFonts w:eastAsia="Calibri"/>
        </w:rPr>
        <w:t xml:space="preserve">Kai kurie kartu vartojami vaistai gali daryti įtaką </w:t>
      </w:r>
      <w:r w:rsidRPr="005454C8">
        <w:t xml:space="preserve">VERRIA </w:t>
      </w:r>
      <w:r w:rsidRPr="005454C8">
        <w:rPr>
          <w:rFonts w:eastAsia="Calibri"/>
        </w:rPr>
        <w:t xml:space="preserve">poveikiui arba </w:t>
      </w:r>
      <w:r w:rsidRPr="005454C8">
        <w:t xml:space="preserve">VERRIA </w:t>
      </w:r>
      <w:r w:rsidRPr="005454C8">
        <w:rPr>
          <w:rFonts w:eastAsia="Calibri"/>
        </w:rPr>
        <w:t>gali turėti įtakos šių vaistų veikimui.</w:t>
      </w:r>
    </w:p>
    <w:p w14:paraId="1F51F886" w14:textId="77777777" w:rsidR="00041CC8" w:rsidRPr="005454C8" w:rsidRDefault="00041CC8" w:rsidP="00041CC8">
      <w:pPr>
        <w:autoSpaceDE w:val="0"/>
        <w:autoSpaceDN w:val="0"/>
        <w:adjustRightInd w:val="0"/>
        <w:rPr>
          <w:rFonts w:eastAsia="Calibri"/>
        </w:rPr>
      </w:pPr>
      <w:r w:rsidRPr="005454C8">
        <w:rPr>
          <w:rFonts w:eastAsia="Calibri"/>
        </w:rPr>
        <w:t xml:space="preserve">Pasakykite gydytojui, jeigu vartojate šių vaistų, nes jų, jeigu įmanoma, gydymo </w:t>
      </w:r>
      <w:r w:rsidRPr="005454C8">
        <w:t xml:space="preserve">VERRIA </w:t>
      </w:r>
      <w:r w:rsidRPr="005454C8">
        <w:rPr>
          <w:rFonts w:eastAsia="Calibri"/>
        </w:rPr>
        <w:t>metu patariama kartu nevartoti:</w:t>
      </w:r>
    </w:p>
    <w:p w14:paraId="26B7ED7F" w14:textId="77777777" w:rsidR="00041CC8" w:rsidRPr="005454C8" w:rsidRDefault="00041CC8" w:rsidP="00041CC8">
      <w:pPr>
        <w:autoSpaceDE w:val="0"/>
        <w:autoSpaceDN w:val="0"/>
        <w:adjustRightInd w:val="0"/>
        <w:rPr>
          <w:rFonts w:eastAsia="Calibri"/>
        </w:rPr>
      </w:pPr>
    </w:p>
    <w:p w14:paraId="791ED92E" w14:textId="77777777" w:rsidR="00041CC8" w:rsidRDefault="00041CC8" w:rsidP="00041CC8">
      <w:pPr>
        <w:numPr>
          <w:ilvl w:val="0"/>
          <w:numId w:val="8"/>
        </w:numPr>
        <w:autoSpaceDE w:val="0"/>
        <w:autoSpaceDN w:val="0"/>
        <w:adjustRightInd w:val="0"/>
        <w:ind w:left="567" w:hanging="567"/>
        <w:contextualSpacing/>
        <w:rPr>
          <w:rFonts w:eastAsia="Calibri"/>
        </w:rPr>
      </w:pPr>
      <w:r w:rsidRPr="005454C8">
        <w:rPr>
          <w:rFonts w:eastAsia="Calibri"/>
        </w:rPr>
        <w:t>100 mg ritonaviro (gydoma ŽIV liga) dozės du kartus per parą</w:t>
      </w:r>
      <w:r>
        <w:rPr>
          <w:rFonts w:eastAsia="Calibri"/>
        </w:rPr>
        <w:t>;</w:t>
      </w:r>
    </w:p>
    <w:p w14:paraId="2F7EB4D2" w14:textId="77777777" w:rsidR="00041CC8" w:rsidRPr="003E06B8" w:rsidRDefault="00041CC8" w:rsidP="00041CC8">
      <w:pPr>
        <w:numPr>
          <w:ilvl w:val="0"/>
          <w:numId w:val="8"/>
        </w:numPr>
        <w:autoSpaceDE w:val="0"/>
        <w:autoSpaceDN w:val="0"/>
        <w:adjustRightInd w:val="0"/>
        <w:ind w:left="567" w:hanging="567"/>
        <w:contextualSpacing/>
        <w:rPr>
          <w:rFonts w:eastAsia="Calibri"/>
        </w:rPr>
      </w:pPr>
      <w:bookmarkStart w:id="25" w:name="_Hlk87626050"/>
      <w:r w:rsidRPr="003E06B8">
        <w:rPr>
          <w:rFonts w:eastAsia="Calibri"/>
        </w:rPr>
        <w:t>glasdegibas (vartojamas vėžiui gydyti) – jei reikia vartoti abu vaistus, gydytojas dažnai stebės</w:t>
      </w:r>
      <w:r>
        <w:rPr>
          <w:rFonts w:eastAsia="Calibri"/>
        </w:rPr>
        <w:t xml:space="preserve"> </w:t>
      </w:r>
      <w:r w:rsidRPr="003E06B8">
        <w:rPr>
          <w:rFonts w:eastAsia="Calibri"/>
        </w:rPr>
        <w:t>Jūsų širdies ritmą.</w:t>
      </w:r>
    </w:p>
    <w:bookmarkEnd w:id="25"/>
    <w:p w14:paraId="2AEBA08D" w14:textId="77777777" w:rsidR="00041CC8" w:rsidRPr="005454C8" w:rsidRDefault="00041CC8" w:rsidP="00041CC8">
      <w:pPr>
        <w:autoSpaceDE w:val="0"/>
        <w:autoSpaceDN w:val="0"/>
        <w:adjustRightInd w:val="0"/>
        <w:rPr>
          <w:rFonts w:eastAsia="Calibri"/>
        </w:rPr>
      </w:pPr>
    </w:p>
    <w:p w14:paraId="2C7B06E8" w14:textId="77777777" w:rsidR="00041CC8" w:rsidRPr="005454C8" w:rsidRDefault="00041CC8" w:rsidP="00041CC8">
      <w:pPr>
        <w:autoSpaceDE w:val="0"/>
        <w:autoSpaceDN w:val="0"/>
        <w:adjustRightInd w:val="0"/>
        <w:rPr>
          <w:rFonts w:eastAsia="Calibri"/>
        </w:rPr>
      </w:pPr>
      <w:r w:rsidRPr="005454C8">
        <w:rPr>
          <w:rFonts w:eastAsia="Calibri"/>
        </w:rPr>
        <w:t>Pasakykite gydytojui, jeigu vartojate nors vieną iš šių vaistų, nes vartojant šių vaistų, jei įmanoma,</w:t>
      </w:r>
      <w:r w:rsidRPr="005454C8" w:rsidDel="008C0022">
        <w:rPr>
          <w:rFonts w:eastAsia="Calibri"/>
        </w:rPr>
        <w:t xml:space="preserve"> </w:t>
      </w:r>
      <w:r w:rsidRPr="005454C8">
        <w:t xml:space="preserve">VERRIA </w:t>
      </w:r>
      <w:r w:rsidRPr="005454C8">
        <w:rPr>
          <w:rFonts w:eastAsia="Calibri"/>
        </w:rPr>
        <w:t>patariama kartu nevartoti arba gali prireikti keisti vorikonazolo dozę:</w:t>
      </w:r>
    </w:p>
    <w:p w14:paraId="06C4C947" w14:textId="77777777" w:rsidR="00041CC8" w:rsidRPr="005454C8" w:rsidRDefault="00041CC8" w:rsidP="00041CC8">
      <w:pPr>
        <w:autoSpaceDE w:val="0"/>
        <w:autoSpaceDN w:val="0"/>
        <w:adjustRightInd w:val="0"/>
        <w:rPr>
          <w:rFonts w:eastAsia="Calibri"/>
        </w:rPr>
      </w:pPr>
    </w:p>
    <w:p w14:paraId="466A57D9" w14:textId="77777777" w:rsidR="00041CC8" w:rsidRPr="005454C8" w:rsidRDefault="00041CC8" w:rsidP="00041CC8">
      <w:pPr>
        <w:numPr>
          <w:ilvl w:val="0"/>
          <w:numId w:val="8"/>
        </w:numPr>
        <w:autoSpaceDE w:val="0"/>
        <w:autoSpaceDN w:val="0"/>
        <w:adjustRightInd w:val="0"/>
        <w:ind w:left="567" w:hanging="567"/>
        <w:contextualSpacing/>
        <w:rPr>
          <w:rFonts w:eastAsia="Calibri"/>
        </w:rPr>
      </w:pPr>
      <w:r w:rsidRPr="005454C8">
        <w:rPr>
          <w:rFonts w:eastAsia="Calibri"/>
        </w:rPr>
        <w:t>rifabutinas (gydoma tuberkuliozė). Jeigu jau esate gydomas rifabutinu, teks skaičiuoti kraujo ląstelių skaičių ir stebėti, ar nepasireiškia rifabutino šalutinis poveikis;</w:t>
      </w:r>
    </w:p>
    <w:p w14:paraId="78B8FC5E" w14:textId="77777777" w:rsidR="00041CC8" w:rsidRPr="005454C8" w:rsidRDefault="00041CC8" w:rsidP="00041CC8">
      <w:pPr>
        <w:numPr>
          <w:ilvl w:val="0"/>
          <w:numId w:val="8"/>
        </w:numPr>
        <w:autoSpaceDE w:val="0"/>
        <w:autoSpaceDN w:val="0"/>
        <w:adjustRightInd w:val="0"/>
        <w:ind w:left="567" w:hanging="567"/>
        <w:contextualSpacing/>
      </w:pPr>
      <w:r w:rsidRPr="005454C8">
        <w:rPr>
          <w:rFonts w:eastAsia="Calibri"/>
        </w:rPr>
        <w:t xml:space="preserve">fenitoinas (gydoma epilepsija). Jeigu jau esate gydomas fenitoinu, gydymo </w:t>
      </w:r>
      <w:r w:rsidRPr="005454C8">
        <w:t xml:space="preserve">VERRIA </w:t>
      </w:r>
      <w:r w:rsidRPr="005454C8">
        <w:rPr>
          <w:rFonts w:eastAsia="Calibri"/>
        </w:rPr>
        <w:t>metu teks stebėti fenitoino koncentraciją kraujyje ir gali tekti keisti dozę.</w:t>
      </w:r>
    </w:p>
    <w:p w14:paraId="6BB68880" w14:textId="77777777" w:rsidR="00041CC8" w:rsidRPr="005454C8" w:rsidRDefault="00041CC8" w:rsidP="00041CC8">
      <w:pPr>
        <w:autoSpaceDE w:val="0"/>
        <w:autoSpaceDN w:val="0"/>
        <w:adjustRightInd w:val="0"/>
        <w:rPr>
          <w:rFonts w:eastAsia="Calibri"/>
        </w:rPr>
      </w:pPr>
    </w:p>
    <w:p w14:paraId="549F7522" w14:textId="77777777" w:rsidR="00041CC8" w:rsidRPr="005454C8" w:rsidRDefault="00041CC8" w:rsidP="00041CC8">
      <w:pPr>
        <w:autoSpaceDE w:val="0"/>
        <w:autoSpaceDN w:val="0"/>
        <w:adjustRightInd w:val="0"/>
        <w:rPr>
          <w:rFonts w:eastAsia="Calibri"/>
        </w:rPr>
      </w:pPr>
      <w:r w:rsidRPr="005454C8">
        <w:rPr>
          <w:rFonts w:eastAsia="Calibri"/>
        </w:rPr>
        <w:t>Pasakykite gydytojui, jeigu vartojate nors vieną iš šių vaistų, nes gali prireikti keisti dozę arba stebėti,</w:t>
      </w:r>
      <w:r w:rsidRPr="005454C8" w:rsidDel="008C0022">
        <w:rPr>
          <w:rFonts w:eastAsia="Calibri"/>
        </w:rPr>
        <w:t xml:space="preserve"> </w:t>
      </w:r>
      <w:r w:rsidRPr="005454C8">
        <w:rPr>
          <w:rFonts w:eastAsia="Calibri"/>
        </w:rPr>
        <w:t xml:space="preserve">ar pasireiškia gydomasis šių vaistų ir (arba) </w:t>
      </w:r>
      <w:r w:rsidRPr="005454C8">
        <w:t xml:space="preserve">VERRIA </w:t>
      </w:r>
      <w:r w:rsidRPr="005454C8">
        <w:rPr>
          <w:rFonts w:eastAsia="Calibri"/>
        </w:rPr>
        <w:t>poveikis:</w:t>
      </w:r>
    </w:p>
    <w:p w14:paraId="045D8314" w14:textId="77777777" w:rsidR="00041CC8" w:rsidRPr="005454C8" w:rsidRDefault="00041CC8" w:rsidP="00041CC8">
      <w:pPr>
        <w:autoSpaceDE w:val="0"/>
        <w:autoSpaceDN w:val="0"/>
        <w:adjustRightInd w:val="0"/>
        <w:rPr>
          <w:rFonts w:eastAsia="Calibri"/>
        </w:rPr>
      </w:pPr>
    </w:p>
    <w:p w14:paraId="127A550F"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varfarinas ir kiti antikoaguliantai (pvz., fenprokumonas, acenokumarol</w:t>
      </w:r>
      <w:r>
        <w:rPr>
          <w:rFonts w:eastAsia="Calibri"/>
        </w:rPr>
        <w:t>i</w:t>
      </w:r>
      <w:r w:rsidRPr="005454C8">
        <w:rPr>
          <w:rFonts w:eastAsia="Calibri"/>
        </w:rPr>
        <w:t>s, kurie mažina kraujo    krešėjimą);</w:t>
      </w:r>
    </w:p>
    <w:p w14:paraId="7A1DDC2A"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ciklosporinas (vartojamas po organų persodinimo);</w:t>
      </w:r>
    </w:p>
    <w:p w14:paraId="66942E8B"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takrolimuzas (vartojamas po organų persodinimo);</w:t>
      </w:r>
    </w:p>
    <w:p w14:paraId="5DCA6AED"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sulfonilkarbamido dariniai (pvz., tolbutamidas, glipizidas ir gliburidas, kuriais gydomas cukrinis diabetas);</w:t>
      </w:r>
    </w:p>
    <w:p w14:paraId="3974FD89"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statinai (pvz., atorvastatinas, simvastatinas, kurie mažina cholesterolio koncentraciją);</w:t>
      </w:r>
    </w:p>
    <w:p w14:paraId="582F38C6"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benzodiazepinai (pvz., midazolamas, triazolamas, kuriais gydoma sunki nemiga ir stresas);</w:t>
      </w:r>
    </w:p>
    <w:p w14:paraId="26A1F320"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omeprazolas (gydomos opos);</w:t>
      </w:r>
    </w:p>
    <w:p w14:paraId="2DF8DB62"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 xml:space="preserve">geriamieji kontraceptikai (jeigu vartojant geriamuosius kontraceptikus vartojamas </w:t>
      </w:r>
      <w:r w:rsidRPr="009A1B7F">
        <w:rPr>
          <w:szCs w:val="22"/>
          <w:lang w:eastAsia="en-US"/>
        </w:rPr>
        <w:t>VERRIA</w:t>
      </w:r>
      <w:r w:rsidRPr="005454C8">
        <w:rPr>
          <w:rFonts w:eastAsia="Calibri"/>
        </w:rPr>
        <w:t>, gali pasireikšti šalutinis poveikis, pavyzdžiui, pykinimas ir mėnesinių sutrikimas);</w:t>
      </w:r>
    </w:p>
    <w:p w14:paraId="3F050064" w14:textId="77777777" w:rsidR="00041C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 xml:space="preserve">žiemės alkaloidai (pvz., </w:t>
      </w:r>
      <w:r w:rsidRPr="009A1B7F">
        <w:rPr>
          <w:rFonts w:eastAsia="Calibri"/>
          <w:szCs w:val="22"/>
          <w:lang w:eastAsia="en-US"/>
        </w:rPr>
        <w:t>vinkristinas</w:t>
      </w:r>
      <w:r w:rsidRPr="005454C8">
        <w:rPr>
          <w:rFonts w:eastAsia="Calibri"/>
        </w:rPr>
        <w:t xml:space="preserve"> ir vinblastinas, kuriais gydomas vėžys);</w:t>
      </w:r>
    </w:p>
    <w:p w14:paraId="3DECC23D" w14:textId="77777777" w:rsidR="00041CC8" w:rsidRPr="003E06B8" w:rsidRDefault="00041CC8" w:rsidP="00041CC8">
      <w:pPr>
        <w:numPr>
          <w:ilvl w:val="0"/>
          <w:numId w:val="9"/>
        </w:numPr>
        <w:autoSpaceDE w:val="0"/>
        <w:autoSpaceDN w:val="0"/>
        <w:adjustRightInd w:val="0"/>
        <w:ind w:left="567" w:hanging="567"/>
        <w:contextualSpacing/>
        <w:rPr>
          <w:rFonts w:eastAsia="Calibri"/>
        </w:rPr>
      </w:pPr>
      <w:bookmarkStart w:id="26" w:name="_Hlk87626033"/>
      <w:r w:rsidRPr="003E06B8">
        <w:rPr>
          <w:rFonts w:eastAsia="Calibri"/>
        </w:rPr>
        <w:t>tirozinkinazės inhibitoriai (pvz., aksitinibas, bozutinibas, kabozantinibas, ceritinibas,</w:t>
      </w:r>
      <w:r>
        <w:rPr>
          <w:rFonts w:eastAsia="Calibri"/>
        </w:rPr>
        <w:t xml:space="preserve"> </w:t>
      </w:r>
      <w:r w:rsidRPr="003E06B8">
        <w:rPr>
          <w:rFonts w:eastAsia="Calibri"/>
        </w:rPr>
        <w:t>kobimetinibas, dabrafenibas, dazatinibas, nilotinibas, sunitinibas, ibrutinibas, ribociklibas) (vartojami vėžiui gydyti);</w:t>
      </w:r>
    </w:p>
    <w:bookmarkEnd w:id="26"/>
    <w:p w14:paraId="3EE463B2"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indinaviras ir kiti ŽIV proteazės inhibitoriai (gydoma ŽIV liga);</w:t>
      </w:r>
    </w:p>
    <w:p w14:paraId="5AD16CB8"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nenukleozidinės atvirkštinės transkriptazės inhibitoriai (pvz., efavirenzas, delaviridas, nevirapinas, kuriais gydoma ŽIV liga) (kai kurių efavirenzo dozių NEGALIMA vartoti kartu su</w:t>
      </w:r>
      <w:r w:rsidRPr="005454C8">
        <w:t xml:space="preserve"> </w:t>
      </w:r>
      <w:r w:rsidRPr="009A1B7F">
        <w:rPr>
          <w:szCs w:val="22"/>
          <w:lang w:eastAsia="en-US"/>
        </w:rPr>
        <w:t>VERRIA</w:t>
      </w:r>
      <w:r w:rsidRPr="005454C8">
        <w:rPr>
          <w:rFonts w:eastAsia="Calibri"/>
        </w:rPr>
        <w:t>);</w:t>
      </w:r>
    </w:p>
    <w:p w14:paraId="2F44AC81"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metadonas (gydoma priklausomybė nuo heroino);</w:t>
      </w:r>
    </w:p>
    <w:p w14:paraId="789AACA6"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alfentanilis ir fentanilis, kiti trumpai veikiantys opioidai, pavyzdžiui, sufentanilis (vaistai nuo  skausmo, kurie vartojami chirurginių procedūrų metu);</w:t>
      </w:r>
    </w:p>
    <w:p w14:paraId="60DE49B3"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oksikodonas ir kiti ilgai veikiantys opioidai, pavyzdžiui, hidrokodonas (malšinamas vidutinio  stiprumo ir stiprus skausmas);</w:t>
      </w:r>
    </w:p>
    <w:p w14:paraId="4ABE395C"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lastRenderedPageBreak/>
        <w:t>nesteroidiniai vaistai nuo uždegimo (pvz., ibuprofenas, diklofenakas, kuriais malšinamas     skausmas ir slopinamas uždegimas);</w:t>
      </w:r>
    </w:p>
    <w:p w14:paraId="7EAB5662" w14:textId="77777777" w:rsidR="00041CC8" w:rsidRPr="005454C8" w:rsidRDefault="00041CC8" w:rsidP="00041CC8">
      <w:pPr>
        <w:numPr>
          <w:ilvl w:val="0"/>
          <w:numId w:val="9"/>
        </w:numPr>
        <w:autoSpaceDE w:val="0"/>
        <w:autoSpaceDN w:val="0"/>
        <w:adjustRightInd w:val="0"/>
        <w:ind w:left="567" w:hanging="567"/>
        <w:contextualSpacing/>
        <w:rPr>
          <w:rFonts w:eastAsia="Calibri"/>
        </w:rPr>
      </w:pPr>
      <w:r w:rsidRPr="005454C8">
        <w:rPr>
          <w:rFonts w:eastAsia="Calibri"/>
        </w:rPr>
        <w:t>flukonazolas (gydoma grybelių sukelta infekcija);</w:t>
      </w:r>
    </w:p>
    <w:p w14:paraId="0E1DF740" w14:textId="77777777" w:rsidR="00041CC8" w:rsidRPr="00140CB5" w:rsidRDefault="00041CC8" w:rsidP="00041CC8">
      <w:pPr>
        <w:numPr>
          <w:ilvl w:val="0"/>
          <w:numId w:val="9"/>
        </w:numPr>
        <w:autoSpaceDE w:val="0"/>
        <w:autoSpaceDN w:val="0"/>
        <w:adjustRightInd w:val="0"/>
        <w:ind w:left="567" w:hanging="567"/>
        <w:contextualSpacing/>
      </w:pPr>
      <w:r w:rsidRPr="005454C8">
        <w:rPr>
          <w:rFonts w:eastAsia="Calibri"/>
        </w:rPr>
        <w:t>everolimuzas (vartojamas išplitusiam inkstų vėžiui gydyti ir pacientams po organo  persodinimo)</w:t>
      </w:r>
      <w:r>
        <w:rPr>
          <w:rFonts w:eastAsia="Calibri"/>
        </w:rPr>
        <w:t>;</w:t>
      </w:r>
    </w:p>
    <w:p w14:paraId="2EA2F94A" w14:textId="77777777" w:rsidR="00041CC8" w:rsidRPr="00140CB5" w:rsidRDefault="00041CC8" w:rsidP="00041CC8">
      <w:pPr>
        <w:numPr>
          <w:ilvl w:val="0"/>
          <w:numId w:val="9"/>
        </w:numPr>
        <w:autoSpaceDE w:val="0"/>
        <w:autoSpaceDN w:val="0"/>
        <w:adjustRightInd w:val="0"/>
        <w:ind w:left="567" w:hanging="567"/>
        <w:contextualSpacing/>
      </w:pPr>
      <w:r w:rsidRPr="00140CB5">
        <w:t>letermoviras (vartojamas po kaulų čiulpų persodinimo, siekiant išvengti citomegalo viruso</w:t>
      </w:r>
      <w:r>
        <w:t xml:space="preserve"> </w:t>
      </w:r>
      <w:r w:rsidRPr="00140CB5">
        <w:t>(CMV) sukeliamos ligos);</w:t>
      </w:r>
    </w:p>
    <w:p w14:paraId="3D4257B6" w14:textId="77777777" w:rsidR="00041CC8" w:rsidRDefault="00041CC8" w:rsidP="00041CC8">
      <w:pPr>
        <w:numPr>
          <w:ilvl w:val="0"/>
          <w:numId w:val="9"/>
        </w:numPr>
        <w:autoSpaceDE w:val="0"/>
        <w:autoSpaceDN w:val="0"/>
        <w:adjustRightInd w:val="0"/>
        <w:ind w:left="567" w:hanging="567"/>
        <w:contextualSpacing/>
      </w:pPr>
      <w:r w:rsidRPr="00140CB5">
        <w:t>ivakaftoras (vartojamas cistinei fibrozei gydyti)</w:t>
      </w:r>
      <w:r>
        <w:t>;</w:t>
      </w:r>
    </w:p>
    <w:p w14:paraId="352BB410" w14:textId="77777777" w:rsidR="00041CC8" w:rsidRPr="00140CB5" w:rsidRDefault="00041CC8" w:rsidP="00041CC8">
      <w:pPr>
        <w:numPr>
          <w:ilvl w:val="0"/>
          <w:numId w:val="9"/>
        </w:numPr>
        <w:autoSpaceDE w:val="0"/>
        <w:autoSpaceDN w:val="0"/>
        <w:adjustRightInd w:val="0"/>
        <w:ind w:left="567" w:hanging="567"/>
        <w:contextualSpacing/>
      </w:pPr>
      <w:r w:rsidRPr="00CF35E3">
        <w:t>flukloksacilinas (antibiotikas nuo bakterinių infekcijų)</w:t>
      </w:r>
      <w:r>
        <w:t>.</w:t>
      </w:r>
    </w:p>
    <w:p w14:paraId="68A7A692" w14:textId="77777777" w:rsidR="00041CC8" w:rsidRPr="005454C8" w:rsidRDefault="00041CC8" w:rsidP="00041CC8">
      <w:pPr>
        <w:numPr>
          <w:ilvl w:val="12"/>
          <w:numId w:val="0"/>
        </w:numPr>
      </w:pPr>
    </w:p>
    <w:p w14:paraId="02AE2A4D" w14:textId="77777777" w:rsidR="00041CC8" w:rsidRPr="005454C8" w:rsidRDefault="00041CC8" w:rsidP="00041CC8">
      <w:pPr>
        <w:keepNext/>
        <w:outlineLvl w:val="3"/>
        <w:rPr>
          <w:b/>
        </w:rPr>
      </w:pPr>
      <w:r w:rsidRPr="005454C8">
        <w:rPr>
          <w:b/>
        </w:rPr>
        <w:t xml:space="preserve">Nėštumas ir žindymo laikotarpis </w:t>
      </w:r>
    </w:p>
    <w:p w14:paraId="6E9977BA" w14:textId="77777777" w:rsidR="00041CC8" w:rsidRPr="005454C8" w:rsidRDefault="00041CC8" w:rsidP="00041CC8">
      <w:pPr>
        <w:numPr>
          <w:ilvl w:val="12"/>
          <w:numId w:val="0"/>
        </w:numPr>
      </w:pPr>
      <w:r w:rsidRPr="005454C8">
        <w:t xml:space="preserve">VERRIA nėštumo metu vartoti draudžiama, išskyrus atvejus, kai vaistą skiria vartoti gydytojas. Vaisingoms moterims reikia naudoti veiksmingas kontraceptines priemones. Jeigu pastojote vartodama </w:t>
      </w:r>
      <w:r w:rsidRPr="009A1B7F">
        <w:rPr>
          <w:noProof/>
          <w:szCs w:val="22"/>
          <w:lang w:eastAsia="en-US"/>
        </w:rPr>
        <w:t>VERRIA</w:t>
      </w:r>
      <w:r w:rsidRPr="005454C8">
        <w:t>, nedelsdama kreipkitės į gydytoją.</w:t>
      </w:r>
    </w:p>
    <w:p w14:paraId="10931DC6" w14:textId="77777777" w:rsidR="00041CC8" w:rsidRPr="005454C8" w:rsidRDefault="00041CC8" w:rsidP="00041CC8">
      <w:pPr>
        <w:numPr>
          <w:ilvl w:val="12"/>
          <w:numId w:val="0"/>
        </w:numPr>
      </w:pPr>
    </w:p>
    <w:p w14:paraId="76EA016E" w14:textId="77777777" w:rsidR="00041CC8" w:rsidRPr="005454C8" w:rsidRDefault="00041CC8" w:rsidP="00041CC8">
      <w:pPr>
        <w:numPr>
          <w:ilvl w:val="12"/>
          <w:numId w:val="0"/>
        </w:numPr>
      </w:pPr>
      <w:r w:rsidRPr="005454C8">
        <w:t xml:space="preserve">Jeigu esate nėščia, žindote kūdikį, manote, kad galbūt esate nėščia, arba planuojate pastoti, tai prieš vartodama šį vaistą, pasitarkite su gydytoju arba vaistininku. </w:t>
      </w:r>
    </w:p>
    <w:p w14:paraId="0A45C443" w14:textId="77777777" w:rsidR="00041CC8" w:rsidRPr="005454C8" w:rsidRDefault="00041CC8" w:rsidP="00041CC8">
      <w:pPr>
        <w:autoSpaceDE w:val="0"/>
        <w:autoSpaceDN w:val="0"/>
        <w:adjustRightInd w:val="0"/>
      </w:pPr>
    </w:p>
    <w:p w14:paraId="3186F603" w14:textId="77777777" w:rsidR="00041CC8" w:rsidRPr="005454C8" w:rsidRDefault="00041CC8" w:rsidP="00041CC8">
      <w:pPr>
        <w:keepNext/>
        <w:outlineLvl w:val="3"/>
        <w:rPr>
          <w:b/>
        </w:rPr>
      </w:pPr>
      <w:r w:rsidRPr="005454C8">
        <w:rPr>
          <w:b/>
        </w:rPr>
        <w:t>Vairavimas ir mechanizmų valdymas</w:t>
      </w:r>
    </w:p>
    <w:p w14:paraId="2198A95C" w14:textId="77777777" w:rsidR="00041CC8" w:rsidRPr="005454C8" w:rsidRDefault="00041CC8" w:rsidP="00041CC8">
      <w:pPr>
        <w:autoSpaceDE w:val="0"/>
        <w:autoSpaceDN w:val="0"/>
        <w:adjustRightInd w:val="0"/>
      </w:pPr>
      <w:r w:rsidRPr="005454C8">
        <w:rPr>
          <w:rFonts w:eastAsia="Calibri"/>
        </w:rPr>
        <w:t xml:space="preserve">Vartojant </w:t>
      </w:r>
      <w:r w:rsidRPr="009A1B7F">
        <w:rPr>
          <w:szCs w:val="22"/>
          <w:lang w:eastAsia="en-US"/>
        </w:rPr>
        <w:t>VERRIA</w:t>
      </w:r>
      <w:r w:rsidRPr="005454C8">
        <w:rPr>
          <w:rFonts w:eastAsia="Calibri"/>
        </w:rPr>
        <w:t>, regėjimas gali tapti miglotas, atsirasti nemalonus jautrumas šviesai. Jeigu jaučiate tokį poveikį, vairuoti ir valdyti mechanizmų negalima. Jei taip atsitinka, reikia kreiptis į gydytoją.</w:t>
      </w:r>
    </w:p>
    <w:p w14:paraId="78A5E0D8" w14:textId="77777777" w:rsidR="00041CC8" w:rsidRPr="005454C8" w:rsidRDefault="00041CC8" w:rsidP="00041CC8">
      <w:pPr>
        <w:keepNext/>
        <w:spacing w:before="240" w:after="60"/>
        <w:outlineLvl w:val="3"/>
        <w:rPr>
          <w:b/>
        </w:rPr>
      </w:pPr>
      <w:r w:rsidRPr="005454C8">
        <w:rPr>
          <w:b/>
        </w:rPr>
        <w:t>VERRIA sudėtyje yra laktozės</w:t>
      </w:r>
    </w:p>
    <w:p w14:paraId="0EAFC80A" w14:textId="77777777" w:rsidR="00041CC8" w:rsidRDefault="00041CC8" w:rsidP="00041CC8">
      <w:pPr>
        <w:autoSpaceDE w:val="0"/>
        <w:autoSpaceDN w:val="0"/>
        <w:adjustRightInd w:val="0"/>
        <w:rPr>
          <w:rFonts w:eastAsia="Calibri"/>
        </w:rPr>
      </w:pPr>
      <w:r w:rsidRPr="005454C8">
        <w:rPr>
          <w:rFonts w:eastAsia="Calibri"/>
        </w:rPr>
        <w:t xml:space="preserve">Jeigu gydytojas Jums yra sakęs, kad netoleruojate kokių nors angliavandenių, kreipkitės į jį prieš pradėdami vartoti </w:t>
      </w:r>
      <w:r>
        <w:rPr>
          <w:szCs w:val="22"/>
          <w:lang w:eastAsia="en-US"/>
        </w:rPr>
        <w:t>šį vaistą</w:t>
      </w:r>
      <w:r w:rsidRPr="005454C8">
        <w:rPr>
          <w:rFonts w:eastAsia="Calibri"/>
        </w:rPr>
        <w:t>.</w:t>
      </w:r>
    </w:p>
    <w:p w14:paraId="0899EDFF" w14:textId="77777777" w:rsidR="00041CC8" w:rsidRDefault="00041CC8" w:rsidP="00041CC8">
      <w:pPr>
        <w:autoSpaceDE w:val="0"/>
        <w:autoSpaceDN w:val="0"/>
        <w:adjustRightInd w:val="0"/>
        <w:rPr>
          <w:rFonts w:eastAsia="Calibri"/>
        </w:rPr>
      </w:pPr>
    </w:p>
    <w:p w14:paraId="144BF242" w14:textId="77777777" w:rsidR="00041CC8" w:rsidRPr="00F01ED7" w:rsidRDefault="00041CC8" w:rsidP="00041CC8">
      <w:pPr>
        <w:autoSpaceDE w:val="0"/>
        <w:autoSpaceDN w:val="0"/>
        <w:adjustRightInd w:val="0"/>
        <w:rPr>
          <w:rFonts w:eastAsia="Calibri"/>
          <w:b/>
        </w:rPr>
      </w:pPr>
      <w:r w:rsidRPr="00352935">
        <w:rPr>
          <w:rFonts w:eastAsia="Calibri"/>
          <w:b/>
        </w:rPr>
        <w:t>VERRIA sudėtyje yra natrio</w:t>
      </w:r>
    </w:p>
    <w:p w14:paraId="40997E4E" w14:textId="77777777" w:rsidR="00041CC8" w:rsidRPr="005454C8" w:rsidRDefault="00041CC8" w:rsidP="00041CC8">
      <w:pPr>
        <w:autoSpaceDE w:val="0"/>
        <w:autoSpaceDN w:val="0"/>
        <w:adjustRightInd w:val="0"/>
      </w:pPr>
      <w:r w:rsidRPr="008241D5">
        <w:t xml:space="preserve">Šio vaisto </w:t>
      </w:r>
      <w:r>
        <w:t>tabletėje</w:t>
      </w:r>
      <w:r w:rsidRPr="008241D5">
        <w:t xml:space="preserve"> yra mažiau kaip 1</w:t>
      </w:r>
      <w:r>
        <w:t> </w:t>
      </w:r>
      <w:r w:rsidRPr="008241D5">
        <w:t>mmol (23</w:t>
      </w:r>
      <w:r>
        <w:t> </w:t>
      </w:r>
      <w:r w:rsidRPr="008241D5">
        <w:t>mg) natrio, t.</w:t>
      </w:r>
      <w:r>
        <w:t xml:space="preserve"> </w:t>
      </w:r>
      <w:r w:rsidRPr="008241D5">
        <w:t>y. jis beveik</w:t>
      </w:r>
      <w:r>
        <w:t xml:space="preserve"> </w:t>
      </w:r>
      <w:r w:rsidRPr="008241D5">
        <w:t>neturi reikšmės.</w:t>
      </w:r>
    </w:p>
    <w:p w14:paraId="5B8F563E" w14:textId="77777777" w:rsidR="00041CC8" w:rsidRPr="005454C8" w:rsidRDefault="00041CC8" w:rsidP="00041CC8">
      <w:pPr>
        <w:numPr>
          <w:ilvl w:val="12"/>
          <w:numId w:val="0"/>
        </w:numPr>
        <w:ind w:right="-2"/>
      </w:pPr>
    </w:p>
    <w:p w14:paraId="24EC758C" w14:textId="77777777" w:rsidR="00041CC8" w:rsidRPr="005454C8" w:rsidRDefault="00041CC8" w:rsidP="00041CC8">
      <w:pPr>
        <w:numPr>
          <w:ilvl w:val="12"/>
          <w:numId w:val="0"/>
        </w:numPr>
        <w:ind w:right="-2"/>
      </w:pPr>
    </w:p>
    <w:p w14:paraId="1E663A5A" w14:textId="77777777" w:rsidR="00041CC8" w:rsidRPr="005454C8" w:rsidRDefault="00041CC8" w:rsidP="00041CC8">
      <w:pPr>
        <w:keepNext/>
        <w:ind w:left="567" w:hanging="567"/>
        <w:outlineLvl w:val="2"/>
        <w:rPr>
          <w:b/>
        </w:rPr>
      </w:pPr>
      <w:r w:rsidRPr="005454C8">
        <w:rPr>
          <w:b/>
        </w:rPr>
        <w:t>3.</w:t>
      </w:r>
      <w:r w:rsidRPr="005454C8">
        <w:rPr>
          <w:b/>
        </w:rPr>
        <w:tab/>
        <w:t xml:space="preserve">Kaip vartoti </w:t>
      </w:r>
      <w:r w:rsidRPr="009A1B7F">
        <w:rPr>
          <w:b/>
          <w:bCs/>
          <w:szCs w:val="22"/>
          <w:lang w:eastAsia="x-none"/>
        </w:rPr>
        <w:t>VERRIA</w:t>
      </w:r>
    </w:p>
    <w:p w14:paraId="52D954E7" w14:textId="77777777" w:rsidR="00041CC8" w:rsidRPr="005454C8" w:rsidRDefault="00041CC8" w:rsidP="00041CC8">
      <w:pPr>
        <w:numPr>
          <w:ilvl w:val="12"/>
          <w:numId w:val="0"/>
        </w:numPr>
        <w:ind w:right="-2"/>
      </w:pPr>
    </w:p>
    <w:p w14:paraId="769B0352" w14:textId="77777777" w:rsidR="00041CC8" w:rsidRPr="005454C8" w:rsidRDefault="00041CC8" w:rsidP="00041CC8">
      <w:pPr>
        <w:numPr>
          <w:ilvl w:val="12"/>
          <w:numId w:val="0"/>
        </w:numPr>
        <w:ind w:right="-2"/>
      </w:pPr>
      <w:r w:rsidRPr="005454C8">
        <w:t xml:space="preserve">Visada vartokite šį vaistą tiksliai kaip nurodė gydytojas. Jeigu abejojate, kreipkitės į  gydytoją arba vaistininką. </w:t>
      </w:r>
    </w:p>
    <w:p w14:paraId="33DB6616" w14:textId="77777777" w:rsidR="00041CC8" w:rsidRPr="005454C8" w:rsidRDefault="00041CC8" w:rsidP="00041CC8">
      <w:pPr>
        <w:autoSpaceDE w:val="0"/>
        <w:autoSpaceDN w:val="0"/>
        <w:adjustRightInd w:val="0"/>
        <w:rPr>
          <w:rFonts w:eastAsia="Calibri"/>
        </w:rPr>
      </w:pPr>
      <w:r w:rsidRPr="005454C8">
        <w:rPr>
          <w:rFonts w:eastAsia="Calibri"/>
        </w:rPr>
        <w:t>Gydytojas nustatys dozę, atsižvelgdamas į Jūsų kūno svorį ir infekcijos rūšį.</w:t>
      </w:r>
    </w:p>
    <w:p w14:paraId="02E8393B" w14:textId="77777777" w:rsidR="00041CC8" w:rsidRPr="005454C8" w:rsidRDefault="00041CC8" w:rsidP="00041CC8">
      <w:pPr>
        <w:numPr>
          <w:ilvl w:val="12"/>
          <w:numId w:val="0"/>
        </w:numPr>
        <w:ind w:right="-2"/>
        <w:rPr>
          <w:rFonts w:eastAsia="Calibri"/>
        </w:rPr>
      </w:pPr>
    </w:p>
    <w:p w14:paraId="21E83ABE" w14:textId="77777777" w:rsidR="00041CC8" w:rsidRPr="005454C8" w:rsidRDefault="00041CC8" w:rsidP="00041CC8">
      <w:pPr>
        <w:numPr>
          <w:ilvl w:val="12"/>
          <w:numId w:val="0"/>
        </w:numPr>
        <w:ind w:right="-2"/>
      </w:pPr>
      <w:r w:rsidRPr="005454C8">
        <w:rPr>
          <w:rFonts w:eastAsia="Calibri"/>
        </w:rPr>
        <w:t>Rekomenduojama dozė suaugusiam žmogui (įskaitant senyvus pacientus)</w:t>
      </w:r>
    </w:p>
    <w:p w14:paraId="6522483E" w14:textId="77777777" w:rsidR="00041CC8" w:rsidRPr="005454C8" w:rsidRDefault="00041CC8" w:rsidP="00041CC8">
      <w:pPr>
        <w:numPr>
          <w:ilvl w:val="12"/>
          <w:numId w:val="0"/>
        </w:numPr>
        <w:ind w:right="-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61"/>
        <w:gridCol w:w="2904"/>
      </w:tblGrid>
      <w:tr w:rsidR="00041CC8" w:rsidRPr="009A1B7F" w14:paraId="7F5E2B0A" w14:textId="77777777" w:rsidTr="00A136A1">
        <w:trPr>
          <w:trHeight w:val="128"/>
        </w:trPr>
        <w:tc>
          <w:tcPr>
            <w:tcW w:w="3117" w:type="dxa"/>
            <w:vMerge w:val="restart"/>
            <w:tcBorders>
              <w:top w:val="single" w:sz="4" w:space="0" w:color="auto"/>
              <w:left w:val="single" w:sz="4" w:space="0" w:color="auto"/>
            </w:tcBorders>
          </w:tcPr>
          <w:p w14:paraId="6F3A4C5C" w14:textId="77777777" w:rsidR="00041CC8" w:rsidRPr="005454C8" w:rsidRDefault="00041CC8" w:rsidP="00A136A1">
            <w:pPr>
              <w:widowControl w:val="0"/>
              <w:numPr>
                <w:ilvl w:val="12"/>
                <w:numId w:val="0"/>
              </w:numPr>
              <w:ind w:right="-2"/>
            </w:pPr>
          </w:p>
        </w:tc>
        <w:tc>
          <w:tcPr>
            <w:tcW w:w="6011" w:type="dxa"/>
            <w:gridSpan w:val="2"/>
            <w:vAlign w:val="center"/>
          </w:tcPr>
          <w:p w14:paraId="2A905D75" w14:textId="77777777" w:rsidR="00041CC8" w:rsidRPr="005454C8" w:rsidRDefault="00041CC8" w:rsidP="00A136A1">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041CC8" w:rsidRPr="009A1B7F" w14:paraId="18AF8FDA" w14:textId="77777777" w:rsidTr="00A136A1">
        <w:trPr>
          <w:trHeight w:val="127"/>
        </w:trPr>
        <w:tc>
          <w:tcPr>
            <w:tcW w:w="3117" w:type="dxa"/>
            <w:vMerge/>
            <w:tcBorders>
              <w:left w:val="single" w:sz="4" w:space="0" w:color="auto"/>
            </w:tcBorders>
          </w:tcPr>
          <w:p w14:paraId="5AA62128" w14:textId="77777777" w:rsidR="00041CC8" w:rsidRPr="005454C8" w:rsidRDefault="00041CC8" w:rsidP="00A136A1">
            <w:pPr>
              <w:widowControl w:val="0"/>
              <w:numPr>
                <w:ilvl w:val="12"/>
                <w:numId w:val="0"/>
              </w:numPr>
              <w:ind w:right="-2"/>
            </w:pPr>
          </w:p>
        </w:tc>
        <w:tc>
          <w:tcPr>
            <w:tcW w:w="3085" w:type="dxa"/>
          </w:tcPr>
          <w:p w14:paraId="3252E58E"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Pacientai, sveriantys 40 kg ir daugiau </w:t>
            </w:r>
          </w:p>
        </w:tc>
        <w:tc>
          <w:tcPr>
            <w:tcW w:w="2926" w:type="dxa"/>
          </w:tcPr>
          <w:p w14:paraId="313D5340"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Pacientai, sveriantys mažiau kaip 40 kg  </w:t>
            </w:r>
          </w:p>
        </w:tc>
      </w:tr>
      <w:tr w:rsidR="00041CC8" w:rsidRPr="009A1B7F" w14:paraId="35940181" w14:textId="77777777" w:rsidTr="00A136A1">
        <w:tc>
          <w:tcPr>
            <w:tcW w:w="3117" w:type="dxa"/>
          </w:tcPr>
          <w:p w14:paraId="222E4A41" w14:textId="77777777" w:rsidR="00041CC8" w:rsidRPr="005454C8" w:rsidRDefault="00041CC8" w:rsidP="00A136A1">
            <w:pPr>
              <w:widowControl w:val="0"/>
              <w:numPr>
                <w:ilvl w:val="12"/>
                <w:numId w:val="0"/>
              </w:numPr>
              <w:ind w:right="-2"/>
              <w:rPr>
                <w:b/>
              </w:rPr>
            </w:pPr>
            <w:r w:rsidRPr="005454C8">
              <w:rPr>
                <w:rFonts w:eastAsia="Calibri"/>
                <w:b/>
              </w:rPr>
              <w:t xml:space="preserve">Dozė pirmąsias 24 valandas </w:t>
            </w:r>
            <w:r w:rsidRPr="005454C8">
              <w:rPr>
                <w:rFonts w:eastAsia="Calibri"/>
              </w:rPr>
              <w:t>(įsotinamoji dozė)</w:t>
            </w:r>
            <w:r w:rsidRPr="005454C8">
              <w:t xml:space="preserve"> </w:t>
            </w:r>
          </w:p>
        </w:tc>
        <w:tc>
          <w:tcPr>
            <w:tcW w:w="3085" w:type="dxa"/>
          </w:tcPr>
          <w:p w14:paraId="64E371F5" w14:textId="77777777" w:rsidR="00041CC8" w:rsidRPr="005454C8" w:rsidRDefault="00041CC8" w:rsidP="00A136A1">
            <w:pPr>
              <w:autoSpaceDE w:val="0"/>
              <w:autoSpaceDN w:val="0"/>
              <w:adjustRightInd w:val="0"/>
            </w:pPr>
            <w:r w:rsidRPr="005454C8">
              <w:rPr>
                <w:rFonts w:eastAsia="Calibri"/>
              </w:rPr>
              <w:t>Pirmąsias 24 valandas po  400 mg kas 12 val.</w:t>
            </w:r>
          </w:p>
          <w:p w14:paraId="0497B5C0" w14:textId="77777777" w:rsidR="00041CC8" w:rsidRPr="005454C8" w:rsidRDefault="00041CC8" w:rsidP="00A136A1">
            <w:pPr>
              <w:widowControl w:val="0"/>
              <w:numPr>
                <w:ilvl w:val="12"/>
                <w:numId w:val="0"/>
              </w:numPr>
              <w:ind w:right="-2"/>
            </w:pPr>
          </w:p>
        </w:tc>
        <w:tc>
          <w:tcPr>
            <w:tcW w:w="2926" w:type="dxa"/>
          </w:tcPr>
          <w:p w14:paraId="4B242FE3" w14:textId="77777777" w:rsidR="00041CC8" w:rsidRPr="005454C8" w:rsidRDefault="00041CC8" w:rsidP="00A136A1">
            <w:pPr>
              <w:autoSpaceDE w:val="0"/>
              <w:autoSpaceDN w:val="0"/>
              <w:adjustRightInd w:val="0"/>
            </w:pPr>
            <w:r w:rsidRPr="005454C8">
              <w:rPr>
                <w:rFonts w:eastAsia="Calibri"/>
              </w:rPr>
              <w:t>Pirmąsias 24 valandas po 200 mg kas 12 val.</w:t>
            </w:r>
          </w:p>
          <w:p w14:paraId="464DE697" w14:textId="77777777" w:rsidR="00041CC8" w:rsidRPr="005454C8" w:rsidRDefault="00041CC8" w:rsidP="00A136A1">
            <w:pPr>
              <w:widowControl w:val="0"/>
              <w:numPr>
                <w:ilvl w:val="12"/>
                <w:numId w:val="0"/>
              </w:numPr>
              <w:ind w:right="-2"/>
            </w:pPr>
          </w:p>
        </w:tc>
      </w:tr>
      <w:tr w:rsidR="00041CC8" w:rsidRPr="009A1B7F" w14:paraId="226DA2C7" w14:textId="77777777" w:rsidTr="00A136A1">
        <w:tc>
          <w:tcPr>
            <w:tcW w:w="3117" w:type="dxa"/>
          </w:tcPr>
          <w:p w14:paraId="0A0A72C1" w14:textId="77777777" w:rsidR="00041CC8" w:rsidRPr="005454C8" w:rsidRDefault="00041CC8" w:rsidP="00A136A1">
            <w:pPr>
              <w:autoSpaceDE w:val="0"/>
              <w:autoSpaceDN w:val="0"/>
              <w:adjustRightInd w:val="0"/>
              <w:rPr>
                <w:rFonts w:eastAsia="Calibri"/>
                <w:b/>
              </w:rPr>
            </w:pPr>
            <w:r w:rsidRPr="005454C8">
              <w:rPr>
                <w:rFonts w:eastAsia="Calibri"/>
                <w:b/>
              </w:rPr>
              <w:t>Dozė praėjus pirmosioms 24 valandoms</w:t>
            </w:r>
          </w:p>
          <w:p w14:paraId="4DE11521" w14:textId="77777777" w:rsidR="00041CC8" w:rsidRPr="005454C8" w:rsidRDefault="00041CC8" w:rsidP="00A136A1">
            <w:pPr>
              <w:widowControl w:val="0"/>
              <w:numPr>
                <w:ilvl w:val="12"/>
                <w:numId w:val="0"/>
              </w:numPr>
              <w:ind w:right="-2"/>
              <w:rPr>
                <w:b/>
              </w:rPr>
            </w:pPr>
            <w:r w:rsidRPr="005454C8">
              <w:rPr>
                <w:rFonts w:eastAsia="Calibri"/>
              </w:rPr>
              <w:t>(palaikomoji dozė)</w:t>
            </w:r>
          </w:p>
        </w:tc>
        <w:tc>
          <w:tcPr>
            <w:tcW w:w="3085" w:type="dxa"/>
          </w:tcPr>
          <w:p w14:paraId="4EF4639C"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Po 200 mg du kartus per parą </w:t>
            </w:r>
          </w:p>
        </w:tc>
        <w:tc>
          <w:tcPr>
            <w:tcW w:w="2926" w:type="dxa"/>
          </w:tcPr>
          <w:p w14:paraId="109E4299"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Po 100 mg du kartus per parą </w:t>
            </w:r>
          </w:p>
        </w:tc>
      </w:tr>
    </w:tbl>
    <w:p w14:paraId="630A72CC" w14:textId="77777777" w:rsidR="00041CC8" w:rsidRPr="005454C8" w:rsidRDefault="00041CC8" w:rsidP="00041CC8">
      <w:pPr>
        <w:autoSpaceDE w:val="0"/>
        <w:autoSpaceDN w:val="0"/>
        <w:adjustRightInd w:val="0"/>
        <w:rPr>
          <w:rFonts w:eastAsia="Calibri"/>
        </w:rPr>
      </w:pPr>
    </w:p>
    <w:p w14:paraId="22E2F964" w14:textId="77777777" w:rsidR="00041CC8" w:rsidRPr="005454C8" w:rsidRDefault="00041CC8" w:rsidP="00041CC8">
      <w:pPr>
        <w:autoSpaceDE w:val="0"/>
        <w:autoSpaceDN w:val="0"/>
        <w:adjustRightInd w:val="0"/>
        <w:rPr>
          <w:rFonts w:eastAsia="Calibri"/>
        </w:rPr>
      </w:pPr>
      <w:r w:rsidRPr="005454C8">
        <w:rPr>
          <w:rFonts w:eastAsia="Calibri"/>
        </w:rPr>
        <w:t>Atsižvelgdamas į tai, kaip Jūsų organizmas reaguoja į gydymą, gydytojas dozę gali padidinti ir skirti vartoti po 300 mg du kartus per parą.</w:t>
      </w:r>
    </w:p>
    <w:p w14:paraId="78863FC6" w14:textId="77777777" w:rsidR="00041CC8" w:rsidRPr="005454C8" w:rsidRDefault="00041CC8" w:rsidP="00041CC8">
      <w:pPr>
        <w:autoSpaceDE w:val="0"/>
        <w:autoSpaceDN w:val="0"/>
        <w:adjustRightInd w:val="0"/>
        <w:rPr>
          <w:rFonts w:eastAsia="Calibri"/>
        </w:rPr>
      </w:pPr>
      <w:r w:rsidRPr="005454C8">
        <w:rPr>
          <w:rFonts w:eastAsia="Calibri"/>
        </w:rPr>
        <w:t>Jeigu sergate lengva arba vidutinio sunkumo kepenų ciroze, gydytojas gali nuspręsti dozę sumažinti.</w:t>
      </w:r>
    </w:p>
    <w:p w14:paraId="514995F3" w14:textId="77777777" w:rsidR="00041CC8" w:rsidRPr="005454C8" w:rsidRDefault="00041CC8" w:rsidP="00041CC8">
      <w:pPr>
        <w:autoSpaceDE w:val="0"/>
        <w:autoSpaceDN w:val="0"/>
        <w:adjustRightInd w:val="0"/>
        <w:rPr>
          <w:rFonts w:eastAsia="Calibri"/>
          <w:b/>
        </w:rPr>
      </w:pPr>
    </w:p>
    <w:p w14:paraId="0F0A7168" w14:textId="77777777" w:rsidR="00041CC8" w:rsidRPr="005454C8" w:rsidRDefault="00041CC8" w:rsidP="00041CC8">
      <w:pPr>
        <w:autoSpaceDE w:val="0"/>
        <w:autoSpaceDN w:val="0"/>
        <w:adjustRightInd w:val="0"/>
        <w:rPr>
          <w:rFonts w:eastAsia="Calibri"/>
          <w:b/>
        </w:rPr>
      </w:pPr>
      <w:r w:rsidRPr="005454C8">
        <w:rPr>
          <w:rFonts w:eastAsia="Calibri"/>
          <w:b/>
        </w:rPr>
        <w:t>Vartojimas vaikams ir paaugliams</w:t>
      </w:r>
    </w:p>
    <w:p w14:paraId="1EAD6C5D" w14:textId="77777777" w:rsidR="00041CC8" w:rsidRPr="005454C8" w:rsidRDefault="00041CC8" w:rsidP="00041CC8">
      <w:pPr>
        <w:autoSpaceDE w:val="0"/>
        <w:autoSpaceDN w:val="0"/>
        <w:adjustRightInd w:val="0"/>
        <w:rPr>
          <w:rFonts w:eastAsia="Calibri"/>
        </w:rPr>
      </w:pPr>
      <w:r w:rsidRPr="005454C8">
        <w:rPr>
          <w:rFonts w:eastAsia="Calibri"/>
        </w:rPr>
        <w:t>Rekomenduojama dozė vaikams ir paaugliams</w:t>
      </w:r>
    </w:p>
    <w:p w14:paraId="7E22ED7E" w14:textId="77777777" w:rsidR="00041CC8" w:rsidRPr="005454C8" w:rsidRDefault="00041CC8" w:rsidP="00041CC8">
      <w:pPr>
        <w:numPr>
          <w:ilvl w:val="12"/>
          <w:numId w:val="0"/>
        </w:numPr>
      </w:pPr>
      <w:r w:rsidRPr="005454C8">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3166"/>
        <w:gridCol w:w="3573"/>
      </w:tblGrid>
      <w:tr w:rsidR="00041CC8" w:rsidRPr="009A1B7F" w14:paraId="26247670" w14:textId="77777777" w:rsidTr="00A136A1">
        <w:trPr>
          <w:trHeight w:val="127"/>
        </w:trPr>
        <w:tc>
          <w:tcPr>
            <w:tcW w:w="2250" w:type="dxa"/>
            <w:vMerge w:val="restart"/>
            <w:tcBorders>
              <w:left w:val="single" w:sz="4" w:space="0" w:color="auto"/>
              <w:right w:val="single" w:sz="4" w:space="0" w:color="auto"/>
            </w:tcBorders>
          </w:tcPr>
          <w:p w14:paraId="1CFE0671" w14:textId="77777777" w:rsidR="00041CC8" w:rsidRPr="005454C8" w:rsidRDefault="00041CC8" w:rsidP="00A136A1">
            <w:pPr>
              <w:widowControl w:val="0"/>
              <w:numPr>
                <w:ilvl w:val="12"/>
                <w:numId w:val="0"/>
              </w:numPr>
              <w:ind w:right="-2"/>
            </w:pPr>
          </w:p>
        </w:tc>
        <w:tc>
          <w:tcPr>
            <w:tcW w:w="6929" w:type="dxa"/>
            <w:gridSpan w:val="2"/>
            <w:tcBorders>
              <w:left w:val="single" w:sz="4" w:space="0" w:color="auto"/>
              <w:bottom w:val="single" w:sz="4" w:space="0" w:color="auto"/>
            </w:tcBorders>
          </w:tcPr>
          <w:p w14:paraId="5849E6B4" w14:textId="77777777" w:rsidR="00041CC8" w:rsidRPr="005454C8" w:rsidRDefault="00041CC8" w:rsidP="00A136A1">
            <w:pPr>
              <w:widowControl w:val="0"/>
              <w:tabs>
                <w:tab w:val="left" w:pos="567"/>
              </w:tabs>
              <w:autoSpaceDE w:val="0"/>
              <w:autoSpaceDN w:val="0"/>
              <w:adjustRightInd w:val="0"/>
              <w:jc w:val="center"/>
              <w:rPr>
                <w:rFonts w:eastAsia="SimSun"/>
                <w:color w:val="000000"/>
              </w:rPr>
            </w:pPr>
            <w:r w:rsidRPr="005454C8">
              <w:rPr>
                <w:rFonts w:eastAsia="SimSun"/>
                <w:b/>
                <w:color w:val="000000"/>
              </w:rPr>
              <w:t>Tabletės</w:t>
            </w:r>
          </w:p>
        </w:tc>
      </w:tr>
      <w:tr w:rsidR="00041CC8" w:rsidRPr="009A1B7F" w14:paraId="07D4824C" w14:textId="77777777" w:rsidTr="00A136A1">
        <w:trPr>
          <w:trHeight w:val="127"/>
        </w:trPr>
        <w:tc>
          <w:tcPr>
            <w:tcW w:w="2250" w:type="dxa"/>
            <w:vMerge/>
            <w:tcBorders>
              <w:left w:val="single" w:sz="4" w:space="0" w:color="auto"/>
              <w:bottom w:val="single" w:sz="4" w:space="0" w:color="auto"/>
              <w:right w:val="single" w:sz="4" w:space="0" w:color="auto"/>
            </w:tcBorders>
          </w:tcPr>
          <w:p w14:paraId="5FE06181" w14:textId="77777777" w:rsidR="00041CC8" w:rsidRPr="005454C8" w:rsidRDefault="00041CC8" w:rsidP="00A136A1">
            <w:pPr>
              <w:widowControl w:val="0"/>
              <w:numPr>
                <w:ilvl w:val="12"/>
                <w:numId w:val="0"/>
              </w:numPr>
              <w:ind w:right="-2"/>
            </w:pPr>
          </w:p>
        </w:tc>
        <w:tc>
          <w:tcPr>
            <w:tcW w:w="3250" w:type="dxa"/>
            <w:tcBorders>
              <w:top w:val="single" w:sz="4" w:space="0" w:color="auto"/>
              <w:left w:val="single" w:sz="4" w:space="0" w:color="auto"/>
              <w:bottom w:val="single" w:sz="4" w:space="0" w:color="auto"/>
              <w:right w:val="single" w:sz="4" w:space="0" w:color="auto"/>
            </w:tcBorders>
          </w:tcPr>
          <w:p w14:paraId="3E098242"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Vaikai nuo 2 iki mažiau kaip 12 metų ir paaugliai nuo 12 iki 14 metų, kurie sveria mažiau kaip 50 kg </w:t>
            </w:r>
          </w:p>
        </w:tc>
        <w:tc>
          <w:tcPr>
            <w:tcW w:w="3679" w:type="dxa"/>
            <w:tcBorders>
              <w:top w:val="single" w:sz="4" w:space="0" w:color="auto"/>
              <w:left w:val="single" w:sz="4" w:space="0" w:color="auto"/>
              <w:bottom w:val="single" w:sz="4" w:space="0" w:color="auto"/>
              <w:right w:val="single" w:sz="4" w:space="0" w:color="auto"/>
            </w:tcBorders>
          </w:tcPr>
          <w:p w14:paraId="0DD6E324"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Paaugliai nuo 12 iki 14 metų,</w:t>
            </w:r>
            <w:r w:rsidRPr="005454C8" w:rsidDel="00C13641">
              <w:rPr>
                <w:rFonts w:eastAsia="Calibri"/>
                <w:color w:val="000000"/>
              </w:rPr>
              <w:t xml:space="preserve"> </w:t>
            </w:r>
            <w:r w:rsidRPr="005454C8">
              <w:rPr>
                <w:rFonts w:eastAsia="Calibri"/>
                <w:color w:val="000000"/>
              </w:rPr>
              <w:t xml:space="preserve">kurie sveria 50 kg arba daugiau; visi kiti vyresni kaip 14 metų paaugliai  </w:t>
            </w:r>
          </w:p>
        </w:tc>
      </w:tr>
      <w:tr w:rsidR="00041CC8" w:rsidRPr="009A1B7F" w14:paraId="47A591D9" w14:textId="77777777" w:rsidTr="00A136A1">
        <w:tc>
          <w:tcPr>
            <w:tcW w:w="2250" w:type="dxa"/>
            <w:tcBorders>
              <w:top w:val="single" w:sz="4" w:space="0" w:color="auto"/>
              <w:left w:val="single" w:sz="4" w:space="0" w:color="auto"/>
              <w:bottom w:val="single" w:sz="4" w:space="0" w:color="auto"/>
              <w:right w:val="single" w:sz="4" w:space="0" w:color="auto"/>
            </w:tcBorders>
          </w:tcPr>
          <w:p w14:paraId="7E974325" w14:textId="77777777" w:rsidR="00041CC8" w:rsidRPr="005454C8" w:rsidRDefault="00041CC8" w:rsidP="00A136A1">
            <w:pPr>
              <w:autoSpaceDE w:val="0"/>
              <w:autoSpaceDN w:val="0"/>
              <w:adjustRightInd w:val="0"/>
              <w:rPr>
                <w:rFonts w:eastAsia="Calibri"/>
                <w:b/>
              </w:rPr>
            </w:pPr>
            <w:r w:rsidRPr="005454C8">
              <w:rPr>
                <w:rFonts w:eastAsia="Calibri"/>
                <w:b/>
              </w:rPr>
              <w:t>Dozė pirmąsias 24 valandas</w:t>
            </w:r>
          </w:p>
          <w:p w14:paraId="0BF7E2B9" w14:textId="77777777" w:rsidR="00041CC8" w:rsidRPr="005454C8" w:rsidRDefault="00041CC8" w:rsidP="00A136A1">
            <w:pPr>
              <w:widowControl w:val="0"/>
              <w:numPr>
                <w:ilvl w:val="12"/>
                <w:numId w:val="0"/>
              </w:numPr>
              <w:ind w:right="-2"/>
              <w:rPr>
                <w:b/>
              </w:rPr>
            </w:pPr>
            <w:r w:rsidRPr="005454C8">
              <w:rPr>
                <w:rFonts w:eastAsia="Calibri"/>
              </w:rPr>
              <w:t>(įsotinamoji dozė)</w:t>
            </w:r>
          </w:p>
        </w:tc>
        <w:tc>
          <w:tcPr>
            <w:tcW w:w="3250" w:type="dxa"/>
            <w:tcBorders>
              <w:top w:val="single" w:sz="4" w:space="0" w:color="auto"/>
              <w:left w:val="single" w:sz="4" w:space="0" w:color="auto"/>
              <w:bottom w:val="single" w:sz="4" w:space="0" w:color="auto"/>
              <w:right w:val="single" w:sz="4" w:space="0" w:color="auto"/>
            </w:tcBorders>
          </w:tcPr>
          <w:p w14:paraId="3FC1857C"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Gydymo pradžioje bus skirta Infuzija </w:t>
            </w:r>
          </w:p>
        </w:tc>
        <w:tc>
          <w:tcPr>
            <w:tcW w:w="3679" w:type="dxa"/>
            <w:tcBorders>
              <w:top w:val="single" w:sz="4" w:space="0" w:color="auto"/>
              <w:left w:val="single" w:sz="4" w:space="0" w:color="auto"/>
              <w:bottom w:val="single" w:sz="4" w:space="0" w:color="auto"/>
              <w:right w:val="single" w:sz="4" w:space="0" w:color="auto"/>
            </w:tcBorders>
          </w:tcPr>
          <w:p w14:paraId="7E2ABB50" w14:textId="77777777" w:rsidR="00041CC8" w:rsidRPr="005454C8" w:rsidRDefault="00041CC8" w:rsidP="00A136A1">
            <w:pPr>
              <w:autoSpaceDE w:val="0"/>
              <w:autoSpaceDN w:val="0"/>
              <w:adjustRightInd w:val="0"/>
            </w:pPr>
            <w:r w:rsidRPr="005454C8">
              <w:rPr>
                <w:rFonts w:eastAsia="Calibri"/>
              </w:rPr>
              <w:t xml:space="preserve">400 mg kas 12 val. pirmąsias 24 valandas </w:t>
            </w:r>
          </w:p>
          <w:p w14:paraId="4860E106" w14:textId="77777777" w:rsidR="00041CC8" w:rsidRPr="005454C8" w:rsidRDefault="00041CC8" w:rsidP="00A136A1">
            <w:pPr>
              <w:widowControl w:val="0"/>
              <w:tabs>
                <w:tab w:val="left" w:pos="567"/>
              </w:tabs>
              <w:autoSpaceDE w:val="0"/>
              <w:autoSpaceDN w:val="0"/>
              <w:adjustRightInd w:val="0"/>
              <w:rPr>
                <w:rFonts w:eastAsia="SimSun"/>
                <w:color w:val="000000"/>
              </w:rPr>
            </w:pPr>
          </w:p>
        </w:tc>
      </w:tr>
      <w:tr w:rsidR="00041CC8" w:rsidRPr="009A1B7F" w14:paraId="38B1F8AD" w14:textId="77777777" w:rsidTr="00A136A1">
        <w:tc>
          <w:tcPr>
            <w:tcW w:w="2250" w:type="dxa"/>
            <w:tcBorders>
              <w:top w:val="single" w:sz="4" w:space="0" w:color="auto"/>
              <w:left w:val="single" w:sz="4" w:space="0" w:color="auto"/>
              <w:bottom w:val="single" w:sz="4" w:space="0" w:color="auto"/>
              <w:right w:val="single" w:sz="4" w:space="0" w:color="auto"/>
            </w:tcBorders>
          </w:tcPr>
          <w:p w14:paraId="35D91689" w14:textId="77777777" w:rsidR="00041CC8" w:rsidRPr="005454C8" w:rsidRDefault="00041CC8" w:rsidP="00A136A1">
            <w:pPr>
              <w:autoSpaceDE w:val="0"/>
              <w:autoSpaceDN w:val="0"/>
              <w:adjustRightInd w:val="0"/>
              <w:rPr>
                <w:rFonts w:eastAsia="Calibri"/>
                <w:b/>
              </w:rPr>
            </w:pPr>
            <w:r w:rsidRPr="005454C8">
              <w:rPr>
                <w:rFonts w:eastAsia="Calibri"/>
                <w:b/>
              </w:rPr>
              <w:t>Dozė po pirmųjų 24 valandų</w:t>
            </w:r>
          </w:p>
          <w:p w14:paraId="64426467" w14:textId="77777777" w:rsidR="00041CC8" w:rsidRPr="005454C8" w:rsidRDefault="00041CC8" w:rsidP="00A136A1">
            <w:pPr>
              <w:widowControl w:val="0"/>
              <w:numPr>
                <w:ilvl w:val="12"/>
                <w:numId w:val="0"/>
              </w:numPr>
              <w:ind w:right="-2"/>
              <w:rPr>
                <w:b/>
              </w:rPr>
            </w:pPr>
            <w:r w:rsidRPr="005454C8">
              <w:rPr>
                <w:rFonts w:eastAsia="Calibri"/>
              </w:rPr>
              <w:t xml:space="preserve">(palaikomoji dozė) </w:t>
            </w:r>
          </w:p>
        </w:tc>
        <w:tc>
          <w:tcPr>
            <w:tcW w:w="3250" w:type="dxa"/>
            <w:tcBorders>
              <w:top w:val="single" w:sz="4" w:space="0" w:color="auto"/>
              <w:left w:val="single" w:sz="4" w:space="0" w:color="auto"/>
              <w:bottom w:val="single" w:sz="4" w:space="0" w:color="auto"/>
              <w:right w:val="single" w:sz="4" w:space="0" w:color="auto"/>
            </w:tcBorders>
          </w:tcPr>
          <w:p w14:paraId="6212AD11" w14:textId="77777777" w:rsidR="00041CC8" w:rsidRPr="005454C8" w:rsidRDefault="00041CC8" w:rsidP="00A136A1">
            <w:pPr>
              <w:autoSpaceDE w:val="0"/>
              <w:autoSpaceDN w:val="0"/>
              <w:adjustRightInd w:val="0"/>
            </w:pPr>
            <w:r w:rsidRPr="005454C8">
              <w:rPr>
                <w:rFonts w:eastAsia="Calibri"/>
              </w:rPr>
              <w:t>9 mg/kg du kartus per parą</w:t>
            </w:r>
            <w:r w:rsidRPr="005454C8" w:rsidDel="00A12D88">
              <w:rPr>
                <w:rFonts w:eastAsia="Calibri"/>
              </w:rPr>
              <w:t xml:space="preserve"> </w:t>
            </w:r>
            <w:r w:rsidRPr="005454C8">
              <w:rPr>
                <w:rFonts w:eastAsia="Calibri"/>
              </w:rPr>
              <w:t>(didžiausia dozė 350 mg du kartus per parą)</w:t>
            </w:r>
          </w:p>
          <w:p w14:paraId="0186435D" w14:textId="77777777" w:rsidR="00041CC8" w:rsidRPr="005454C8" w:rsidRDefault="00041CC8" w:rsidP="00A136A1">
            <w:pPr>
              <w:widowControl w:val="0"/>
              <w:tabs>
                <w:tab w:val="left" w:pos="567"/>
              </w:tabs>
              <w:autoSpaceDE w:val="0"/>
              <w:autoSpaceDN w:val="0"/>
              <w:adjustRightInd w:val="0"/>
              <w:rPr>
                <w:rFonts w:eastAsia="SimSun"/>
                <w:color w:val="000000"/>
              </w:rPr>
            </w:pPr>
          </w:p>
        </w:tc>
        <w:tc>
          <w:tcPr>
            <w:tcW w:w="3679" w:type="dxa"/>
            <w:tcBorders>
              <w:top w:val="single" w:sz="4" w:space="0" w:color="auto"/>
              <w:left w:val="single" w:sz="4" w:space="0" w:color="auto"/>
              <w:bottom w:val="single" w:sz="4" w:space="0" w:color="auto"/>
              <w:right w:val="single" w:sz="4" w:space="0" w:color="auto"/>
            </w:tcBorders>
          </w:tcPr>
          <w:p w14:paraId="16D306A0" w14:textId="77777777" w:rsidR="00041CC8" w:rsidRPr="005454C8" w:rsidRDefault="00041CC8" w:rsidP="00A136A1">
            <w:pPr>
              <w:widowControl w:val="0"/>
              <w:tabs>
                <w:tab w:val="left" w:pos="567"/>
              </w:tabs>
              <w:autoSpaceDE w:val="0"/>
              <w:autoSpaceDN w:val="0"/>
              <w:adjustRightInd w:val="0"/>
              <w:rPr>
                <w:rFonts w:eastAsia="SimSun"/>
                <w:color w:val="000000"/>
              </w:rPr>
            </w:pPr>
            <w:r w:rsidRPr="005454C8">
              <w:rPr>
                <w:rFonts w:eastAsia="Calibri"/>
                <w:color w:val="000000"/>
              </w:rPr>
              <w:t xml:space="preserve">200 mg du kartus per parą </w:t>
            </w:r>
          </w:p>
        </w:tc>
      </w:tr>
    </w:tbl>
    <w:p w14:paraId="1E9DCDF1" w14:textId="77777777" w:rsidR="00041CC8" w:rsidRPr="005454C8" w:rsidRDefault="00041CC8" w:rsidP="00041CC8">
      <w:pPr>
        <w:autoSpaceDE w:val="0"/>
        <w:autoSpaceDN w:val="0"/>
        <w:adjustRightInd w:val="0"/>
        <w:rPr>
          <w:rFonts w:eastAsia="Calibri"/>
        </w:rPr>
      </w:pPr>
    </w:p>
    <w:p w14:paraId="26F2647A" w14:textId="77777777" w:rsidR="00041CC8" w:rsidRPr="005454C8" w:rsidRDefault="00041CC8" w:rsidP="00041CC8">
      <w:pPr>
        <w:autoSpaceDE w:val="0"/>
        <w:autoSpaceDN w:val="0"/>
        <w:adjustRightInd w:val="0"/>
        <w:rPr>
          <w:rFonts w:eastAsia="Calibri"/>
        </w:rPr>
      </w:pPr>
      <w:r w:rsidRPr="005454C8">
        <w:rPr>
          <w:rFonts w:eastAsia="Calibri"/>
        </w:rPr>
        <w:t>Atsižvelgdamas į Jūsų organizmo reakciją į gydymą, gydytojas paros dozę gali padidinti arba sumažinti.</w:t>
      </w:r>
    </w:p>
    <w:p w14:paraId="3C057290" w14:textId="77777777" w:rsidR="00041CC8" w:rsidRPr="005454C8" w:rsidRDefault="00041CC8" w:rsidP="00041CC8">
      <w:pPr>
        <w:autoSpaceDE w:val="0"/>
        <w:autoSpaceDN w:val="0"/>
        <w:adjustRightInd w:val="0"/>
        <w:rPr>
          <w:rFonts w:eastAsia="Calibri"/>
        </w:rPr>
      </w:pPr>
      <w:r w:rsidRPr="005454C8">
        <w:rPr>
          <w:rFonts w:eastAsia="Calibri"/>
        </w:rPr>
        <w:t>Tablečių galima skirti tik tuo atveju, jei vaikas gali nuryti tabletę.</w:t>
      </w:r>
    </w:p>
    <w:p w14:paraId="3808DAC6" w14:textId="77777777" w:rsidR="00041CC8" w:rsidRPr="005454C8" w:rsidRDefault="00041CC8" w:rsidP="00041CC8">
      <w:pPr>
        <w:numPr>
          <w:ilvl w:val="12"/>
          <w:numId w:val="0"/>
        </w:numPr>
        <w:ind w:right="-2"/>
        <w:rPr>
          <w:rFonts w:eastAsia="Calibri"/>
        </w:rPr>
      </w:pPr>
    </w:p>
    <w:p w14:paraId="46BDBD50" w14:textId="77777777" w:rsidR="00041CC8" w:rsidRPr="005454C8" w:rsidRDefault="00041CC8" w:rsidP="00041CC8">
      <w:pPr>
        <w:numPr>
          <w:ilvl w:val="12"/>
          <w:numId w:val="0"/>
        </w:numPr>
        <w:ind w:right="-2"/>
      </w:pPr>
      <w:r w:rsidRPr="005454C8">
        <w:rPr>
          <w:rFonts w:eastAsia="Calibri"/>
        </w:rPr>
        <w:t>Šias tabletes reikia vartoti mažiausiai 1 valandą prieš valgį arba praėjus 1 valandai po valgio. Tabletes nurykite nesmulkintas, užsigerdami vandeniu.</w:t>
      </w:r>
    </w:p>
    <w:p w14:paraId="781488AA" w14:textId="77777777" w:rsidR="00041CC8" w:rsidRPr="005454C8" w:rsidRDefault="00041CC8" w:rsidP="00041CC8">
      <w:pPr>
        <w:autoSpaceDE w:val="0"/>
        <w:autoSpaceDN w:val="0"/>
        <w:adjustRightInd w:val="0"/>
        <w:rPr>
          <w:rFonts w:eastAsia="Calibri"/>
        </w:rPr>
      </w:pPr>
    </w:p>
    <w:p w14:paraId="46CBE375" w14:textId="77777777" w:rsidR="00041CC8" w:rsidRPr="005454C8" w:rsidRDefault="00041CC8" w:rsidP="00041CC8">
      <w:pPr>
        <w:autoSpaceDE w:val="0"/>
        <w:autoSpaceDN w:val="0"/>
        <w:adjustRightInd w:val="0"/>
      </w:pPr>
      <w:r w:rsidRPr="005454C8">
        <w:rPr>
          <w:rFonts w:eastAsia="Calibri"/>
        </w:rPr>
        <w:t xml:space="preserve">Jeigu Jūs ar Jūsų vaikas vartojate </w:t>
      </w:r>
      <w:r w:rsidRPr="005454C8">
        <w:t xml:space="preserve">VERRIA </w:t>
      </w:r>
      <w:r w:rsidRPr="005454C8">
        <w:rPr>
          <w:rFonts w:eastAsia="Calibri"/>
        </w:rPr>
        <w:t xml:space="preserve">grybelių sukeliamų infekcinių ligų profilaktikai, Jūsų gydytojas gali nutraukti </w:t>
      </w:r>
      <w:r w:rsidRPr="005454C8">
        <w:t xml:space="preserve">VERRIA </w:t>
      </w:r>
      <w:r w:rsidRPr="005454C8">
        <w:rPr>
          <w:rFonts w:eastAsia="Calibri"/>
        </w:rPr>
        <w:t>vartojimą, jeigu Jums ar Jūsų vaikui atsiranda su gydymu susijęs šalutinis poveikis.</w:t>
      </w:r>
    </w:p>
    <w:p w14:paraId="16E1E988" w14:textId="77777777" w:rsidR="00041CC8" w:rsidRPr="005454C8" w:rsidRDefault="00041CC8" w:rsidP="00041CC8">
      <w:pPr>
        <w:keepNext/>
        <w:spacing w:before="240" w:after="60"/>
        <w:outlineLvl w:val="3"/>
        <w:rPr>
          <w:b/>
        </w:rPr>
      </w:pPr>
      <w:r w:rsidRPr="005454C8">
        <w:rPr>
          <w:b/>
        </w:rPr>
        <w:t>Ką daryti pavartojus per didelę VERRIA dozę</w:t>
      </w:r>
    </w:p>
    <w:p w14:paraId="73C8BAB4" w14:textId="77777777" w:rsidR="00041CC8" w:rsidRPr="005454C8" w:rsidRDefault="00041CC8" w:rsidP="00041CC8">
      <w:pPr>
        <w:autoSpaceDE w:val="0"/>
        <w:autoSpaceDN w:val="0"/>
        <w:adjustRightInd w:val="0"/>
      </w:pPr>
      <w:r w:rsidRPr="005454C8">
        <w:rPr>
          <w:rFonts w:eastAsia="Calibri"/>
        </w:rPr>
        <w:t xml:space="preserve">Jeigu išgėrėte per daug tablečių (arba tablečių išgėrė kas nors kitas), nedelsdami kreipkitės į gydytoją arba į artimiausios ligoninės skubios pagalbos skyrių. Kartu su savimi reikia pasiimti </w:t>
      </w:r>
      <w:r w:rsidRPr="005454C8">
        <w:t xml:space="preserve">VERRIA </w:t>
      </w:r>
      <w:r w:rsidRPr="005454C8">
        <w:rPr>
          <w:rFonts w:eastAsia="Calibri"/>
        </w:rPr>
        <w:t xml:space="preserve">tablečių pakuotę. Pavartojus daugiau nei skirta </w:t>
      </w:r>
      <w:r w:rsidRPr="009A1B7F">
        <w:rPr>
          <w:szCs w:val="22"/>
          <w:lang w:eastAsia="en-US"/>
        </w:rPr>
        <w:t>VERRIA</w:t>
      </w:r>
      <w:r w:rsidRPr="005454C8">
        <w:rPr>
          <w:rFonts w:eastAsia="Calibri"/>
        </w:rPr>
        <w:t>, gali pasireikšti nenormalus šviesos netoleravimas.</w:t>
      </w:r>
    </w:p>
    <w:p w14:paraId="76AF8359" w14:textId="77777777" w:rsidR="00041CC8" w:rsidRPr="005454C8" w:rsidRDefault="00041CC8" w:rsidP="00041CC8">
      <w:pPr>
        <w:keepNext/>
        <w:spacing w:before="240" w:after="60"/>
        <w:outlineLvl w:val="3"/>
        <w:rPr>
          <w:b/>
        </w:rPr>
      </w:pPr>
      <w:r w:rsidRPr="005454C8">
        <w:rPr>
          <w:b/>
        </w:rPr>
        <w:t xml:space="preserve">Pamiršus pavartoti </w:t>
      </w:r>
      <w:r w:rsidRPr="009A1B7F">
        <w:rPr>
          <w:b/>
          <w:bCs/>
          <w:szCs w:val="22"/>
          <w:lang w:eastAsia="x-none"/>
        </w:rPr>
        <w:t>VERRIA</w:t>
      </w:r>
    </w:p>
    <w:p w14:paraId="464EE631" w14:textId="77777777" w:rsidR="00041CC8" w:rsidRPr="005454C8" w:rsidRDefault="00041CC8" w:rsidP="00041CC8">
      <w:pPr>
        <w:autoSpaceDE w:val="0"/>
        <w:autoSpaceDN w:val="0"/>
        <w:adjustRightInd w:val="0"/>
      </w:pPr>
      <w:r w:rsidRPr="005454C8">
        <w:rPr>
          <w:rFonts w:eastAsia="Calibri"/>
        </w:rPr>
        <w:t xml:space="preserve">Svarbu </w:t>
      </w:r>
      <w:r w:rsidRPr="005454C8">
        <w:t xml:space="preserve">VERRIA </w:t>
      </w:r>
      <w:r w:rsidRPr="005454C8">
        <w:rPr>
          <w:rFonts w:eastAsia="Calibri"/>
        </w:rPr>
        <w:t>tabletes gerti reguliariai kasdien tuo pačiu laiku. Jeigu užmiršote išgerti vieną dozę, kitą išgerkite įprastu laiku. Negalima vartoti dvigubos dozės norint kompensuoti praleistą dozę.</w:t>
      </w:r>
      <w:r w:rsidRPr="005454C8">
        <w:t xml:space="preserve"> </w:t>
      </w:r>
    </w:p>
    <w:p w14:paraId="5BE1BF30" w14:textId="77777777" w:rsidR="00041CC8" w:rsidRPr="005454C8" w:rsidRDefault="00041CC8" w:rsidP="00041CC8">
      <w:pPr>
        <w:numPr>
          <w:ilvl w:val="12"/>
          <w:numId w:val="0"/>
        </w:numPr>
        <w:ind w:right="-29"/>
        <w:rPr>
          <w:rFonts w:eastAsia="Calibri"/>
          <w:b/>
        </w:rPr>
      </w:pPr>
    </w:p>
    <w:p w14:paraId="7E708906" w14:textId="77777777" w:rsidR="00041CC8" w:rsidRPr="005454C8" w:rsidRDefault="00041CC8" w:rsidP="00041CC8">
      <w:pPr>
        <w:numPr>
          <w:ilvl w:val="12"/>
          <w:numId w:val="0"/>
        </w:numPr>
        <w:ind w:right="-29"/>
        <w:rPr>
          <w:b/>
        </w:rPr>
      </w:pPr>
      <w:r w:rsidRPr="005454C8">
        <w:rPr>
          <w:rFonts w:eastAsia="Calibri"/>
          <w:b/>
        </w:rPr>
        <w:t xml:space="preserve">Nustojus vartoti </w:t>
      </w:r>
      <w:r w:rsidRPr="009A1B7F">
        <w:rPr>
          <w:b/>
          <w:szCs w:val="22"/>
          <w:lang w:eastAsia="en-US"/>
        </w:rPr>
        <w:t>VERRIA</w:t>
      </w:r>
    </w:p>
    <w:p w14:paraId="3E459D4C" w14:textId="77777777" w:rsidR="00041CC8" w:rsidRPr="005454C8" w:rsidRDefault="00041CC8" w:rsidP="00041CC8">
      <w:pPr>
        <w:autoSpaceDE w:val="0"/>
        <w:autoSpaceDN w:val="0"/>
        <w:adjustRightInd w:val="0"/>
        <w:rPr>
          <w:rFonts w:eastAsia="Calibri"/>
        </w:rPr>
      </w:pPr>
      <w:r w:rsidRPr="005454C8">
        <w:rPr>
          <w:rFonts w:eastAsia="Calibri"/>
        </w:rPr>
        <w:t xml:space="preserve">Įrodyta, kad visas dozes išgėrus tinkamu laiku, gali labai padidėti vaisto veiksmingumas. Todėl svarbu </w:t>
      </w:r>
      <w:r w:rsidRPr="005454C8">
        <w:t xml:space="preserve">VERRIA </w:t>
      </w:r>
      <w:r w:rsidRPr="005454C8">
        <w:rPr>
          <w:rFonts w:eastAsia="Calibri"/>
        </w:rPr>
        <w:t>vartoti tiksliai, kaip nurodyta, nebent gydytojas lieptų gydymą nutraukti.</w:t>
      </w:r>
    </w:p>
    <w:p w14:paraId="0FB038AA" w14:textId="77777777" w:rsidR="00041CC8" w:rsidRPr="005454C8" w:rsidRDefault="00041CC8" w:rsidP="00041CC8">
      <w:pPr>
        <w:autoSpaceDE w:val="0"/>
        <w:autoSpaceDN w:val="0"/>
        <w:adjustRightInd w:val="0"/>
        <w:rPr>
          <w:rFonts w:eastAsia="Calibri"/>
        </w:rPr>
      </w:pPr>
    </w:p>
    <w:p w14:paraId="767A933E" w14:textId="77777777" w:rsidR="00041CC8" w:rsidRPr="005454C8" w:rsidRDefault="00041CC8" w:rsidP="00041CC8">
      <w:pPr>
        <w:autoSpaceDE w:val="0"/>
        <w:autoSpaceDN w:val="0"/>
        <w:adjustRightInd w:val="0"/>
        <w:rPr>
          <w:rFonts w:eastAsia="Calibri"/>
        </w:rPr>
      </w:pPr>
      <w:r w:rsidRPr="005454C8">
        <w:rPr>
          <w:rFonts w:eastAsia="Calibri"/>
        </w:rPr>
        <w:t xml:space="preserve">Vartokite </w:t>
      </w:r>
      <w:r w:rsidRPr="005454C8">
        <w:t xml:space="preserve">VERRIA </w:t>
      </w:r>
      <w:r w:rsidRPr="005454C8">
        <w:rPr>
          <w:rFonts w:eastAsia="Calibri"/>
        </w:rPr>
        <w:t>tol, kol gydytojas lieps nutraukti gydymą. Nenutraukite gydymo anksčiau, nes gali būti neišgydyta infekcinė liga. Pacientams, kurių imuninė sistema yra nusilpusi arba kurie serga sunkiomis infekcinėmis ligomis, gali prireikti ilgalaikio gydymo, kad infekcinė liga nepasikartotų.</w:t>
      </w:r>
    </w:p>
    <w:p w14:paraId="576FA849" w14:textId="77777777" w:rsidR="00041CC8" w:rsidRPr="005454C8" w:rsidRDefault="00041CC8" w:rsidP="00041CC8">
      <w:pPr>
        <w:autoSpaceDE w:val="0"/>
        <w:autoSpaceDN w:val="0"/>
        <w:adjustRightInd w:val="0"/>
        <w:rPr>
          <w:rFonts w:eastAsia="Calibri"/>
        </w:rPr>
      </w:pPr>
    </w:p>
    <w:p w14:paraId="7197CE9C" w14:textId="77777777" w:rsidR="00041CC8" w:rsidRPr="005454C8" w:rsidRDefault="00041CC8" w:rsidP="00041CC8">
      <w:pPr>
        <w:autoSpaceDE w:val="0"/>
        <w:autoSpaceDN w:val="0"/>
        <w:adjustRightInd w:val="0"/>
        <w:rPr>
          <w:rFonts w:eastAsia="Calibri"/>
        </w:rPr>
      </w:pPr>
      <w:r w:rsidRPr="005454C8">
        <w:rPr>
          <w:rFonts w:eastAsia="Calibri"/>
        </w:rPr>
        <w:t xml:space="preserve">Jeigu </w:t>
      </w:r>
      <w:r w:rsidRPr="005454C8">
        <w:t xml:space="preserve">VERRIA </w:t>
      </w:r>
      <w:r w:rsidRPr="005454C8">
        <w:rPr>
          <w:rFonts w:eastAsia="Calibri"/>
        </w:rPr>
        <w:t>vartojimas nutraukiamas gydytojo nurodymu, jokio poveikio nepajausite.</w:t>
      </w:r>
    </w:p>
    <w:p w14:paraId="67DE2B8F" w14:textId="77777777" w:rsidR="00041CC8" w:rsidRPr="005454C8" w:rsidRDefault="00041CC8" w:rsidP="00041CC8">
      <w:pPr>
        <w:autoSpaceDE w:val="0"/>
        <w:autoSpaceDN w:val="0"/>
        <w:adjustRightInd w:val="0"/>
        <w:rPr>
          <w:rFonts w:eastAsia="Calibri"/>
        </w:rPr>
      </w:pPr>
      <w:r w:rsidRPr="005454C8">
        <w:rPr>
          <w:rFonts w:eastAsia="Calibri"/>
        </w:rPr>
        <w:t>Jeigu kiltų daugiau klausimų dėl šio vaisto vartojimo, kreipkitės į gydytoją, vaistininką arba slaugytoją.</w:t>
      </w:r>
    </w:p>
    <w:p w14:paraId="5139F493" w14:textId="77777777" w:rsidR="00041CC8" w:rsidRPr="005454C8" w:rsidRDefault="00041CC8" w:rsidP="00041CC8">
      <w:pPr>
        <w:numPr>
          <w:ilvl w:val="12"/>
          <w:numId w:val="0"/>
        </w:numPr>
      </w:pPr>
    </w:p>
    <w:p w14:paraId="37688D42" w14:textId="77777777" w:rsidR="00041CC8" w:rsidRPr="005454C8" w:rsidRDefault="00041CC8" w:rsidP="00041CC8">
      <w:pPr>
        <w:numPr>
          <w:ilvl w:val="12"/>
          <w:numId w:val="0"/>
        </w:numPr>
      </w:pPr>
    </w:p>
    <w:p w14:paraId="40FFFF5C" w14:textId="77777777" w:rsidR="00041CC8" w:rsidRPr="005454C8" w:rsidRDefault="00041CC8" w:rsidP="00041CC8">
      <w:pPr>
        <w:keepNext/>
        <w:ind w:left="567" w:hanging="567"/>
        <w:outlineLvl w:val="2"/>
        <w:rPr>
          <w:b/>
        </w:rPr>
      </w:pPr>
      <w:r w:rsidRPr="005454C8">
        <w:rPr>
          <w:b/>
        </w:rPr>
        <w:t>4.</w:t>
      </w:r>
      <w:r w:rsidRPr="005454C8">
        <w:rPr>
          <w:b/>
        </w:rPr>
        <w:tab/>
        <w:t>Galimas šalutinis poveikis</w:t>
      </w:r>
    </w:p>
    <w:p w14:paraId="37F432DB" w14:textId="77777777" w:rsidR="00041CC8" w:rsidRPr="005454C8" w:rsidRDefault="00041CC8" w:rsidP="00041CC8">
      <w:pPr>
        <w:numPr>
          <w:ilvl w:val="12"/>
          <w:numId w:val="0"/>
        </w:numPr>
      </w:pPr>
    </w:p>
    <w:p w14:paraId="2E4FCB82" w14:textId="77777777" w:rsidR="00041CC8" w:rsidRPr="005454C8" w:rsidRDefault="00041CC8" w:rsidP="00041CC8">
      <w:pPr>
        <w:numPr>
          <w:ilvl w:val="12"/>
          <w:numId w:val="0"/>
        </w:numPr>
        <w:ind w:right="-29"/>
      </w:pPr>
      <w:r w:rsidRPr="005454C8">
        <w:t>Šis vaistas, kaip ir visi kiti, gali sukelti šalutinį poveikį, nors jis pasireiškia ne visiems žmonėms.</w:t>
      </w:r>
    </w:p>
    <w:p w14:paraId="463F0CCC" w14:textId="77777777" w:rsidR="00041CC8" w:rsidRPr="005454C8" w:rsidRDefault="00041CC8" w:rsidP="00041CC8">
      <w:pPr>
        <w:autoSpaceDE w:val="0"/>
        <w:autoSpaceDN w:val="0"/>
        <w:adjustRightInd w:val="0"/>
      </w:pPr>
      <w:r w:rsidRPr="005454C8">
        <w:rPr>
          <w:rFonts w:eastAsia="Calibri"/>
        </w:rPr>
        <w:t>Jeigu pasireiškia koks nors šalutinis poveikis, dažniausiai jis būna lengvas ir laikinas. Vis dėlto kai kuris šalutinis poveikis gali būti sunkus ir gali prireikti medicininės pagalbos.</w:t>
      </w:r>
    </w:p>
    <w:p w14:paraId="7BDACE64" w14:textId="77777777" w:rsidR="00041CC8" w:rsidRPr="005454C8" w:rsidRDefault="00041CC8" w:rsidP="00041CC8">
      <w:pPr>
        <w:autoSpaceDE w:val="0"/>
        <w:autoSpaceDN w:val="0"/>
        <w:adjustRightInd w:val="0"/>
        <w:rPr>
          <w:rFonts w:eastAsia="Calibri"/>
          <w:b/>
        </w:rPr>
      </w:pPr>
    </w:p>
    <w:p w14:paraId="142CBBD5" w14:textId="77777777" w:rsidR="00041CC8" w:rsidRPr="005454C8" w:rsidRDefault="00041CC8" w:rsidP="00041CC8">
      <w:pPr>
        <w:autoSpaceDE w:val="0"/>
        <w:autoSpaceDN w:val="0"/>
        <w:adjustRightInd w:val="0"/>
        <w:rPr>
          <w:rFonts w:eastAsia="Calibri"/>
          <w:b/>
        </w:rPr>
      </w:pPr>
      <w:r w:rsidRPr="005454C8">
        <w:rPr>
          <w:rFonts w:eastAsia="Calibri"/>
          <w:b/>
        </w:rPr>
        <w:t xml:space="preserve">Sunkus šalutinis poveikis (nutraukite </w:t>
      </w:r>
      <w:r w:rsidRPr="005454C8">
        <w:rPr>
          <w:b/>
        </w:rPr>
        <w:t xml:space="preserve">VERRIA </w:t>
      </w:r>
      <w:r w:rsidRPr="005454C8">
        <w:rPr>
          <w:rFonts w:eastAsia="Calibri"/>
          <w:b/>
        </w:rPr>
        <w:t>vartojimą ir nedelsdami kreipkitės į gydytoją)</w:t>
      </w:r>
    </w:p>
    <w:p w14:paraId="132E8444" w14:textId="77777777" w:rsidR="00041CC8" w:rsidRPr="005454C8" w:rsidRDefault="00041CC8" w:rsidP="00041CC8">
      <w:pPr>
        <w:numPr>
          <w:ilvl w:val="0"/>
          <w:numId w:val="10"/>
        </w:numPr>
        <w:autoSpaceDE w:val="0"/>
        <w:autoSpaceDN w:val="0"/>
        <w:adjustRightInd w:val="0"/>
        <w:ind w:left="567" w:hanging="567"/>
        <w:contextualSpacing/>
        <w:rPr>
          <w:rFonts w:eastAsia="Calibri"/>
        </w:rPr>
      </w:pPr>
      <w:r w:rsidRPr="005454C8">
        <w:rPr>
          <w:rFonts w:eastAsia="Calibri"/>
        </w:rPr>
        <w:t>Išbėrimas.</w:t>
      </w:r>
    </w:p>
    <w:p w14:paraId="7A94ECC8" w14:textId="77777777" w:rsidR="00041CC8" w:rsidRPr="005454C8" w:rsidRDefault="00041CC8" w:rsidP="00041CC8">
      <w:pPr>
        <w:numPr>
          <w:ilvl w:val="0"/>
          <w:numId w:val="10"/>
        </w:numPr>
        <w:autoSpaceDE w:val="0"/>
        <w:autoSpaceDN w:val="0"/>
        <w:adjustRightInd w:val="0"/>
        <w:ind w:left="567" w:hanging="567"/>
        <w:contextualSpacing/>
        <w:rPr>
          <w:rFonts w:eastAsia="Calibri"/>
        </w:rPr>
      </w:pPr>
      <w:r w:rsidRPr="005454C8">
        <w:rPr>
          <w:rFonts w:eastAsia="Calibri"/>
        </w:rPr>
        <w:t>Gelta, kraujo tyrimuose kepenų funkciją atspindinčių rodmenų pokyčiai.</w:t>
      </w:r>
    </w:p>
    <w:p w14:paraId="3E4CAAD2" w14:textId="77777777" w:rsidR="00041CC8" w:rsidRPr="005454C8" w:rsidRDefault="00041CC8" w:rsidP="00041CC8">
      <w:pPr>
        <w:numPr>
          <w:ilvl w:val="0"/>
          <w:numId w:val="10"/>
        </w:numPr>
        <w:ind w:left="567" w:right="-29" w:hanging="567"/>
        <w:contextualSpacing/>
      </w:pPr>
      <w:r w:rsidRPr="005454C8">
        <w:rPr>
          <w:rFonts w:eastAsia="Calibri"/>
        </w:rPr>
        <w:t>Pankreatitas.</w:t>
      </w:r>
    </w:p>
    <w:p w14:paraId="1E41FF00" w14:textId="77777777" w:rsidR="00041CC8" w:rsidRPr="005454C8" w:rsidRDefault="00041CC8" w:rsidP="00041CC8">
      <w:pPr>
        <w:autoSpaceDE w:val="0"/>
        <w:autoSpaceDN w:val="0"/>
        <w:adjustRightInd w:val="0"/>
        <w:rPr>
          <w:rFonts w:eastAsia="Calibri"/>
          <w:b/>
        </w:rPr>
      </w:pPr>
    </w:p>
    <w:p w14:paraId="64E06C21" w14:textId="77777777" w:rsidR="00041CC8" w:rsidRPr="005454C8" w:rsidRDefault="00041CC8" w:rsidP="00041CC8">
      <w:pPr>
        <w:autoSpaceDE w:val="0"/>
        <w:autoSpaceDN w:val="0"/>
        <w:adjustRightInd w:val="0"/>
        <w:rPr>
          <w:rFonts w:eastAsia="Calibri"/>
          <w:b/>
        </w:rPr>
      </w:pPr>
      <w:r w:rsidRPr="005454C8">
        <w:rPr>
          <w:rFonts w:eastAsia="Calibri"/>
          <w:b/>
        </w:rPr>
        <w:lastRenderedPageBreak/>
        <w:t>Kitas šalutinis poveikis</w:t>
      </w:r>
    </w:p>
    <w:p w14:paraId="10A1129F" w14:textId="77777777" w:rsidR="00041CC8" w:rsidRPr="005454C8" w:rsidRDefault="00041CC8" w:rsidP="00041CC8">
      <w:pPr>
        <w:autoSpaceDE w:val="0"/>
        <w:autoSpaceDN w:val="0"/>
        <w:adjustRightInd w:val="0"/>
        <w:rPr>
          <w:rFonts w:eastAsia="Calibri"/>
          <w:b/>
        </w:rPr>
      </w:pPr>
    </w:p>
    <w:p w14:paraId="0E540F11" w14:textId="77777777" w:rsidR="00041CC8" w:rsidRPr="005454C8" w:rsidRDefault="00041CC8" w:rsidP="00041CC8">
      <w:pPr>
        <w:autoSpaceDE w:val="0"/>
        <w:autoSpaceDN w:val="0"/>
        <w:adjustRightInd w:val="0"/>
        <w:rPr>
          <w:rFonts w:eastAsia="Calibri"/>
        </w:rPr>
      </w:pPr>
      <w:r w:rsidRPr="39BC3093">
        <w:rPr>
          <w:b/>
          <w:bCs/>
          <w:noProof/>
          <w:szCs w:val="22"/>
        </w:rPr>
        <w:t xml:space="preserve">Labai dažni šalutinio poveikio reiškiniai (gali pasireikšti ne rečiau kaip 1 iš 10 </w:t>
      </w:r>
      <w:r w:rsidRPr="005E5558">
        <w:rPr>
          <w:b/>
          <w:bCs/>
          <w:noProof/>
          <w:szCs w:val="22"/>
        </w:rPr>
        <w:t>asmenų</w:t>
      </w:r>
      <w:r w:rsidRPr="39BC3093">
        <w:rPr>
          <w:b/>
          <w:bCs/>
          <w:noProof/>
          <w:szCs w:val="22"/>
        </w:rPr>
        <w:t>):</w:t>
      </w:r>
    </w:p>
    <w:p w14:paraId="49D2C695"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36191FF1"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karščiavimas;</w:t>
      </w:r>
    </w:p>
    <w:p w14:paraId="7CEB23E8"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išbėrimas;</w:t>
      </w:r>
    </w:p>
    <w:p w14:paraId="63CD86CC"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pykinimas, vėmimas, viduriavimas;</w:t>
      </w:r>
    </w:p>
    <w:p w14:paraId="5EB92257"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galvos skausmas;</w:t>
      </w:r>
    </w:p>
    <w:p w14:paraId="7F674276"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galūnių patinimas;</w:t>
      </w:r>
    </w:p>
    <w:p w14:paraId="376DA76C" w14:textId="77777777" w:rsidR="00041CC8" w:rsidRPr="005454C8" w:rsidRDefault="00041CC8" w:rsidP="00041CC8">
      <w:pPr>
        <w:numPr>
          <w:ilvl w:val="0"/>
          <w:numId w:val="11"/>
        </w:numPr>
        <w:autoSpaceDE w:val="0"/>
        <w:autoSpaceDN w:val="0"/>
        <w:adjustRightInd w:val="0"/>
        <w:ind w:left="567" w:hanging="567"/>
        <w:contextualSpacing/>
        <w:rPr>
          <w:rFonts w:eastAsia="Calibri"/>
        </w:rPr>
      </w:pPr>
      <w:r w:rsidRPr="005454C8">
        <w:rPr>
          <w:rFonts w:eastAsia="Calibri"/>
        </w:rPr>
        <w:t>pilvo skausmas;</w:t>
      </w:r>
    </w:p>
    <w:p w14:paraId="04BCAC23" w14:textId="77777777" w:rsidR="00041CC8" w:rsidRPr="005454C8" w:rsidRDefault="00041CC8" w:rsidP="00041CC8">
      <w:pPr>
        <w:numPr>
          <w:ilvl w:val="0"/>
          <w:numId w:val="11"/>
        </w:numPr>
        <w:ind w:left="567" w:hanging="567"/>
        <w:contextualSpacing/>
        <w:rPr>
          <w:rFonts w:eastAsia="Calibri"/>
        </w:rPr>
      </w:pPr>
      <w:r w:rsidRPr="005454C8">
        <w:rPr>
          <w:rFonts w:eastAsia="Calibri"/>
        </w:rPr>
        <w:t>kvėpavimo pasunkėjimas;</w:t>
      </w:r>
    </w:p>
    <w:p w14:paraId="55245C48" w14:textId="77777777" w:rsidR="00041CC8" w:rsidRPr="005454C8" w:rsidRDefault="00041CC8" w:rsidP="00041CC8">
      <w:pPr>
        <w:numPr>
          <w:ilvl w:val="0"/>
          <w:numId w:val="11"/>
        </w:numPr>
        <w:ind w:left="567" w:hanging="567"/>
        <w:contextualSpacing/>
      </w:pPr>
      <w:r w:rsidRPr="005454C8">
        <w:t>kepenų fermentų aktyvumo padidėjimas.</w:t>
      </w:r>
    </w:p>
    <w:p w14:paraId="6EF51E61" w14:textId="77777777" w:rsidR="00041CC8" w:rsidRPr="005454C8" w:rsidRDefault="00041CC8" w:rsidP="00041CC8"/>
    <w:p w14:paraId="4C9B627A" w14:textId="77777777" w:rsidR="00041CC8" w:rsidRPr="005454C8" w:rsidRDefault="00041CC8" w:rsidP="00041CC8">
      <w:pPr>
        <w:autoSpaceDE w:val="0"/>
        <w:autoSpaceDN w:val="0"/>
        <w:adjustRightInd w:val="0"/>
        <w:rPr>
          <w:rFonts w:eastAsia="Calibri"/>
        </w:rPr>
      </w:pPr>
      <w:r w:rsidRPr="39BC3093">
        <w:rPr>
          <w:b/>
          <w:bCs/>
          <w:noProof/>
          <w:szCs w:val="22"/>
        </w:rPr>
        <w:t>Dažni šalutinio poveikio reiškiniai (gali pasireikšti rečiau kaip 1 iš 10 asmenų)</w:t>
      </w:r>
      <w:r>
        <w:rPr>
          <w:b/>
          <w:bCs/>
          <w:noProof/>
          <w:szCs w:val="22"/>
        </w:rPr>
        <w:t>:</w:t>
      </w:r>
    </w:p>
    <w:p w14:paraId="001DCA40"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 xml:space="preserve">sinusų uždegimas, dantenų uždegimas, </w:t>
      </w:r>
      <w:r w:rsidRPr="009A1B7F">
        <w:rPr>
          <w:rFonts w:eastAsia="Calibri"/>
          <w:szCs w:val="22"/>
          <w:lang w:eastAsia="en-US"/>
        </w:rPr>
        <w:t>drebulys</w:t>
      </w:r>
      <w:r w:rsidRPr="005454C8">
        <w:rPr>
          <w:rFonts w:eastAsia="Calibri"/>
        </w:rPr>
        <w:t>, silpnumas;</w:t>
      </w:r>
    </w:p>
    <w:p w14:paraId="11E4AA42"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kai kurių rūšių raudonųjų</w:t>
      </w:r>
      <w:r w:rsidRPr="005454C8">
        <w:rPr>
          <w:rFonts w:ascii="Verdana" w:hAnsi="Verdana"/>
        </w:rPr>
        <w:t xml:space="preserve"> </w:t>
      </w:r>
      <w:r w:rsidRPr="005454C8">
        <w:rPr>
          <w:rFonts w:eastAsia="Calibri"/>
        </w:rPr>
        <w:t>(kartais dėl imuninės sistemos) ir (arba) baltųjų</w:t>
      </w:r>
      <w:r w:rsidRPr="005454C8">
        <w:rPr>
          <w:rFonts w:ascii="Verdana" w:hAnsi="Verdana"/>
        </w:rPr>
        <w:t xml:space="preserve"> </w:t>
      </w:r>
      <w:r w:rsidRPr="005454C8">
        <w:rPr>
          <w:rFonts w:eastAsia="Calibri"/>
        </w:rPr>
        <w:t>(kartais su karščiavimu) kraujo ląstelių kiekio kraujyje sumažėjimas, įskaitant sunkų, kraujo  ląstelių, kurios vadinamos trombocitais ir padeda krešėti kraujui, kiekio kraujyje sumažėjimas;</w:t>
      </w:r>
    </w:p>
    <w:p w14:paraId="0C645184"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gliukozės koncentracijos kraujyje sumažėjimas, kalio koncentracijos kraujyje sumažėjimas,  natrio koncentracijos kraujyje sumažėjimas;</w:t>
      </w:r>
    </w:p>
    <w:p w14:paraId="7F97E4E3"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nerimas, depresija, sumišimas, susijaudinimas, nemiga, haliucinacijos;</w:t>
      </w:r>
    </w:p>
    <w:p w14:paraId="0134C3BF"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traukuliai, drebulys ar nekontroliuojami raumenų judesiai, dilgčiojimas ar nuo normos nukrypę  odos pojūčiai, raumenų tonuso padidėjimas, mieguistumas, svaigulys;</w:t>
      </w:r>
    </w:p>
    <w:p w14:paraId="60463600"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akių kraujavimas;</w:t>
      </w:r>
    </w:p>
    <w:p w14:paraId="00928003"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širdies ritmo sutrikimai, įskaitant labai greitą širdies plakimą, labai lėtą širdies plakimą, alpimą;</w:t>
      </w:r>
    </w:p>
    <w:p w14:paraId="0F45A226"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kraujospūdžio sumažėjimas, venų uždegimas (kuris gali būti susijęs su krešulių susiformavimu);</w:t>
      </w:r>
    </w:p>
    <w:p w14:paraId="7D6A41FA"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ūmus kvėpavimo pasunkėjimas, krūtinės skausmas, veido</w:t>
      </w:r>
      <w:r w:rsidRPr="005454C8">
        <w:rPr>
          <w:rFonts w:ascii="Verdana" w:hAnsi="Verdana"/>
        </w:rPr>
        <w:t xml:space="preserve"> </w:t>
      </w:r>
      <w:r w:rsidRPr="005454C8">
        <w:rPr>
          <w:rFonts w:eastAsia="Calibri"/>
        </w:rPr>
        <w:t>(burnos, lūpų ir apie akis) patinimas, skysčių susikaupimas  plaučiuose;</w:t>
      </w:r>
    </w:p>
    <w:p w14:paraId="707205AC"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vidurių užkietėjimas, virškinimo problemos, lūpų uždegimas;</w:t>
      </w:r>
    </w:p>
    <w:p w14:paraId="615084A7"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gelta, kepenų uždegimas,</w:t>
      </w:r>
      <w:r w:rsidRPr="005454C8">
        <w:rPr>
          <w:rFonts w:ascii="Verdana" w:hAnsi="Verdana"/>
        </w:rPr>
        <w:t xml:space="preserve"> </w:t>
      </w:r>
      <w:r w:rsidRPr="005454C8">
        <w:rPr>
          <w:rFonts w:eastAsia="Calibri"/>
        </w:rPr>
        <w:t>kepenų pažeidimas;</w:t>
      </w:r>
    </w:p>
    <w:p w14:paraId="68FDED88"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odos išbėrimai, kurie kartais gali lemti plačiai išplitusį pūslinį išbėrimą ir odos lupimąsi, kuriam  būdingas plokščias, paraudęs odos plotas, padengtas mažais susijungiančiais guzeliais, odos paraudimas;</w:t>
      </w:r>
    </w:p>
    <w:p w14:paraId="708E65B3"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niežulys;</w:t>
      </w:r>
    </w:p>
    <w:p w14:paraId="21E0886E"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plaukų slinkimas;</w:t>
      </w:r>
    </w:p>
    <w:p w14:paraId="3DDE95F0" w14:textId="77777777" w:rsidR="00041CC8" w:rsidRPr="005454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nugaros skausmas;</w:t>
      </w:r>
    </w:p>
    <w:p w14:paraId="1F2AF7F3" w14:textId="5F554DF2" w:rsidR="00041CC8" w:rsidRDefault="00041CC8" w:rsidP="00041CC8">
      <w:pPr>
        <w:numPr>
          <w:ilvl w:val="0"/>
          <w:numId w:val="12"/>
        </w:numPr>
        <w:autoSpaceDE w:val="0"/>
        <w:autoSpaceDN w:val="0"/>
        <w:adjustRightInd w:val="0"/>
        <w:ind w:left="567" w:hanging="567"/>
        <w:contextualSpacing/>
        <w:rPr>
          <w:rFonts w:eastAsia="Calibri"/>
        </w:rPr>
      </w:pPr>
      <w:r w:rsidRPr="005454C8">
        <w:rPr>
          <w:rFonts w:eastAsia="Calibri"/>
        </w:rPr>
        <w:t>inkstų nepakankamumas, kraujas šlapime, inkstų funkcijos kraujo tyrimų rodmenų pokyčiai</w:t>
      </w:r>
      <w:r w:rsidR="00A47F45">
        <w:rPr>
          <w:rFonts w:eastAsia="Calibri"/>
        </w:rPr>
        <w:t>;</w:t>
      </w:r>
    </w:p>
    <w:p w14:paraId="4391DD9E" w14:textId="56872C6D" w:rsidR="00A47F45" w:rsidRDefault="00A47F45" w:rsidP="00041CC8">
      <w:pPr>
        <w:numPr>
          <w:ilvl w:val="0"/>
          <w:numId w:val="12"/>
        </w:numPr>
        <w:autoSpaceDE w:val="0"/>
        <w:autoSpaceDN w:val="0"/>
        <w:adjustRightInd w:val="0"/>
        <w:ind w:left="567" w:hanging="567"/>
        <w:contextualSpacing/>
        <w:rPr>
          <w:rFonts w:eastAsia="Calibri"/>
        </w:rPr>
      </w:pPr>
      <w:r w:rsidRPr="00A47F45">
        <w:rPr>
          <w:rFonts w:eastAsia="Calibri"/>
        </w:rPr>
        <w:t>nudegimas nuo saulės arba sunkios odos reakcijos po šviesos ar saulės poveikio</w:t>
      </w:r>
      <w:r>
        <w:rPr>
          <w:rFonts w:eastAsia="Calibri"/>
        </w:rPr>
        <w:t>;</w:t>
      </w:r>
    </w:p>
    <w:p w14:paraId="50D1ED7B" w14:textId="23D107FD" w:rsidR="00A47F45" w:rsidRPr="005454C8" w:rsidRDefault="00A47F45" w:rsidP="00041CC8">
      <w:pPr>
        <w:numPr>
          <w:ilvl w:val="0"/>
          <w:numId w:val="12"/>
        </w:numPr>
        <w:autoSpaceDE w:val="0"/>
        <w:autoSpaceDN w:val="0"/>
        <w:adjustRightInd w:val="0"/>
        <w:ind w:left="567" w:hanging="567"/>
        <w:contextualSpacing/>
        <w:rPr>
          <w:rFonts w:eastAsia="Calibri"/>
        </w:rPr>
      </w:pPr>
      <w:r>
        <w:rPr>
          <w:rFonts w:eastAsia="Calibri"/>
        </w:rPr>
        <w:t>odos vėžys.</w:t>
      </w:r>
    </w:p>
    <w:p w14:paraId="4E76DDFF" w14:textId="77777777" w:rsidR="00041CC8" w:rsidRPr="005454C8" w:rsidRDefault="00041CC8" w:rsidP="00041CC8">
      <w:pPr>
        <w:autoSpaceDE w:val="0"/>
        <w:autoSpaceDN w:val="0"/>
        <w:adjustRightInd w:val="0"/>
        <w:rPr>
          <w:rFonts w:eastAsia="Calibri"/>
        </w:rPr>
      </w:pPr>
    </w:p>
    <w:p w14:paraId="412F6CBC" w14:textId="77777777" w:rsidR="00041CC8" w:rsidRPr="005454C8" w:rsidRDefault="00041CC8" w:rsidP="00041CC8">
      <w:pPr>
        <w:autoSpaceDE w:val="0"/>
        <w:autoSpaceDN w:val="0"/>
        <w:adjustRightInd w:val="0"/>
        <w:rPr>
          <w:rFonts w:eastAsia="Calibri"/>
        </w:rPr>
      </w:pPr>
      <w:r w:rsidRPr="39BC3093">
        <w:rPr>
          <w:b/>
          <w:bCs/>
          <w:noProof/>
          <w:szCs w:val="22"/>
        </w:rPr>
        <w:t>Nedažni šalutinio poveikio reiškiniai (gali pasireikšti rečiau kaip 1 iš 100 asmenų):</w:t>
      </w:r>
    </w:p>
    <w:p w14:paraId="536B2DC1"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į gripą panašūs simptomai, virškinamojo trakto sudirginimas ir uždegimas, virškinamojo trakto uždegimas, sukeliantis su antibiotikų vartojimu susijusį viduriavimą,  limfagyslių uždegimą;</w:t>
      </w:r>
    </w:p>
    <w:p w14:paraId="51C72D90"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plono audinio, dengiančio pilvo vidinę sienelę ir pilvo organus, uždegimas;</w:t>
      </w:r>
    </w:p>
    <w:p w14:paraId="612BCF18"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limfmazgių padidėjimas (kartais skausmingas), kaulų čiulpų  nepakankamumas,  padidėjęs eozinofilų kiekis kraujyje);</w:t>
      </w:r>
    </w:p>
    <w:p w14:paraId="68B4A721"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antinksčių funkcijos susilpnėjimas, per mažai aktyvi skydliaukė;</w:t>
      </w:r>
    </w:p>
    <w:p w14:paraId="757C8DE7"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nenormali smegenų funkcija, panašūs į Parkinsono ligos simptomai, nervų pažeidimai,  lemiantys rankų ar kojų tirpimą, skausmą, dilgčiojimą ar deginimą;</w:t>
      </w:r>
    </w:p>
    <w:p w14:paraId="465CCCDB"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pusiausvyros ir koordinacijos sutrikimai;</w:t>
      </w:r>
    </w:p>
    <w:p w14:paraId="712BC3CC"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smegenų pabrinkimas;</w:t>
      </w:r>
    </w:p>
    <w:p w14:paraId="37036BEF"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dvejinimasis akyse, sunkios akių būklės, įskaitant: akių ir akies vokų skausmą ir uždegimą,  nenormalius akies judesius, regos nervo pažeidimą, lemiantį regėjimo  sutrikimą, optinio disko patinimą;</w:t>
      </w:r>
    </w:p>
    <w:p w14:paraId="19508F5C"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lastRenderedPageBreak/>
        <w:t>jautrumo prisilietimui sumažėjimas;</w:t>
      </w:r>
    </w:p>
    <w:p w14:paraId="4298869A"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nenormalus skonio pojūtis;</w:t>
      </w:r>
    </w:p>
    <w:p w14:paraId="7070950A"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klausos pablogėjimas, spengimas ausyse, galvos svaigimas;</w:t>
      </w:r>
    </w:p>
    <w:p w14:paraId="2A128B55"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tam tikrų vidaus organų uždegimas – kasos ir dvylikapirštės žarnos, liežuvio patinimas ir uždegimas;</w:t>
      </w:r>
    </w:p>
    <w:p w14:paraId="24780888"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kepenų padidėjimas, kepenų nepakankamumas, tulžies pūslės liga, tulžies pūslės  akmenligė;</w:t>
      </w:r>
    </w:p>
    <w:p w14:paraId="2BEC1C47"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sąnarių uždegimas, poodinių venų uždegimas (kuris gali būti susijęs su krešulių susidarymu);</w:t>
      </w:r>
    </w:p>
    <w:p w14:paraId="1C05A597"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inkstų uždegimas, baltymai šlapime,</w:t>
      </w:r>
      <w:r w:rsidRPr="005454C8">
        <w:rPr>
          <w:rFonts w:ascii="Verdana" w:hAnsi="Verdana"/>
        </w:rPr>
        <w:t xml:space="preserve"> </w:t>
      </w:r>
      <w:r w:rsidRPr="005454C8">
        <w:rPr>
          <w:rFonts w:eastAsia="Calibri"/>
        </w:rPr>
        <w:t>inkstų pažeidimas;</w:t>
      </w:r>
    </w:p>
    <w:p w14:paraId="1FAE4482"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labai greitas širdies plakimas arba plakimas su pertrūkiais,</w:t>
      </w:r>
      <w:r w:rsidRPr="005454C8">
        <w:rPr>
          <w:rFonts w:ascii="Verdana" w:hAnsi="Verdana"/>
        </w:rPr>
        <w:t xml:space="preserve"> </w:t>
      </w:r>
      <w:r w:rsidRPr="005454C8">
        <w:rPr>
          <w:rFonts w:eastAsia="Calibri"/>
        </w:rPr>
        <w:t>kartais su neritmingais elektros impulsais;</w:t>
      </w:r>
    </w:p>
    <w:p w14:paraId="7B8700F8"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nenormali elektrokardiograma (EKG);</w:t>
      </w:r>
    </w:p>
    <w:p w14:paraId="053D30D2"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padidėjęs cholesterolio kiekis kraujyje, padidėjęs šlapalo kiekis kraujyje;</w:t>
      </w:r>
    </w:p>
    <w:p w14:paraId="17868C2F" w14:textId="7B5A826B"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kiekio, egzemą;</w:t>
      </w:r>
    </w:p>
    <w:p w14:paraId="1FBC9AC7" w14:textId="77777777" w:rsidR="00041CC8" w:rsidRPr="005454C8" w:rsidRDefault="00041CC8" w:rsidP="00041CC8">
      <w:pPr>
        <w:numPr>
          <w:ilvl w:val="0"/>
          <w:numId w:val="13"/>
        </w:numPr>
        <w:autoSpaceDE w:val="0"/>
        <w:autoSpaceDN w:val="0"/>
        <w:adjustRightInd w:val="0"/>
        <w:ind w:left="567" w:hanging="567"/>
        <w:contextualSpacing/>
        <w:rPr>
          <w:rFonts w:eastAsia="Calibri"/>
        </w:rPr>
      </w:pPr>
      <w:r w:rsidRPr="005454C8">
        <w:rPr>
          <w:rFonts w:eastAsia="Calibri"/>
        </w:rPr>
        <w:t>infuzijos vietos reakcija</w:t>
      </w:r>
      <w:r w:rsidRPr="009A1B7F">
        <w:rPr>
          <w:rFonts w:eastAsia="Calibri"/>
          <w:szCs w:val="22"/>
          <w:lang w:eastAsia="en-US"/>
        </w:rPr>
        <w:t>;</w:t>
      </w:r>
    </w:p>
    <w:p w14:paraId="218A8482" w14:textId="5A4A397B" w:rsidR="00041CC8" w:rsidRDefault="00041CC8" w:rsidP="00041CC8">
      <w:pPr>
        <w:numPr>
          <w:ilvl w:val="0"/>
          <w:numId w:val="13"/>
        </w:numPr>
        <w:ind w:left="567" w:hanging="567"/>
        <w:rPr>
          <w:rFonts w:eastAsia="Calibri"/>
          <w:szCs w:val="22"/>
          <w:lang w:eastAsia="en-US"/>
        </w:rPr>
      </w:pPr>
      <w:r w:rsidRPr="009A1B7F">
        <w:rPr>
          <w:rFonts w:eastAsia="Calibri"/>
          <w:szCs w:val="22"/>
          <w:lang w:eastAsia="en-US"/>
        </w:rPr>
        <w:t>alerginė reakcija arba perdėtas imuninis atsakas</w:t>
      </w:r>
      <w:r w:rsidR="00A47F45">
        <w:rPr>
          <w:rFonts w:eastAsia="Calibri"/>
          <w:szCs w:val="22"/>
          <w:lang w:eastAsia="en-US"/>
        </w:rPr>
        <w:t>;</w:t>
      </w:r>
    </w:p>
    <w:p w14:paraId="75A4B772" w14:textId="3994E445" w:rsidR="00A47F45" w:rsidRPr="009A1B7F" w:rsidRDefault="00A47F45" w:rsidP="00041CC8">
      <w:pPr>
        <w:numPr>
          <w:ilvl w:val="0"/>
          <w:numId w:val="13"/>
        </w:numPr>
        <w:ind w:left="567" w:hanging="567"/>
        <w:rPr>
          <w:rFonts w:eastAsia="Calibri"/>
          <w:szCs w:val="22"/>
          <w:lang w:eastAsia="en-US"/>
        </w:rPr>
      </w:pPr>
      <w:r>
        <w:rPr>
          <w:rFonts w:eastAsia="Calibri"/>
          <w:szCs w:val="22"/>
          <w:lang w:eastAsia="en-US"/>
        </w:rPr>
        <w:t>kaulą supančio audinio uždegimas.</w:t>
      </w:r>
    </w:p>
    <w:p w14:paraId="5A0A3C40" w14:textId="77777777" w:rsidR="00041CC8" w:rsidRPr="005454C8" w:rsidRDefault="00041CC8" w:rsidP="00041CC8">
      <w:pPr>
        <w:autoSpaceDE w:val="0"/>
        <w:autoSpaceDN w:val="0"/>
        <w:adjustRightInd w:val="0"/>
        <w:rPr>
          <w:rFonts w:eastAsia="Calibri"/>
        </w:rPr>
      </w:pPr>
    </w:p>
    <w:p w14:paraId="55B658F6" w14:textId="77777777" w:rsidR="00041CC8" w:rsidRPr="005454C8" w:rsidRDefault="00041CC8" w:rsidP="00041CC8">
      <w:pPr>
        <w:autoSpaceDE w:val="0"/>
        <w:autoSpaceDN w:val="0"/>
        <w:adjustRightInd w:val="0"/>
        <w:rPr>
          <w:rFonts w:eastAsia="Calibri"/>
        </w:rPr>
      </w:pPr>
      <w:r w:rsidRPr="39BC3093">
        <w:rPr>
          <w:b/>
          <w:bCs/>
          <w:noProof/>
          <w:szCs w:val="22"/>
        </w:rPr>
        <w:t>Reti šalutinio poveikio reiškiniai (gali pasireikšti rečiau kaip 1 iš 1 000 asmenų):</w:t>
      </w:r>
    </w:p>
    <w:p w14:paraId="4F7FBCEB"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pernelyg suaktyvėjusi skydliaukė;</w:t>
      </w:r>
    </w:p>
    <w:p w14:paraId="727F5E42"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smegenų funkcijos pablogėjimas, kuris yra sunki kepenų ligos komplikacija;</w:t>
      </w:r>
    </w:p>
    <w:p w14:paraId="1B4FF07B"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daugumos regos nervo skaidulų praradimas, ragenos drumstys, nevalingi akies judesiai;</w:t>
      </w:r>
    </w:p>
    <w:p w14:paraId="64C964BD"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jautrumas šviesai, dėl kurio išberia pūslėmis;</w:t>
      </w:r>
    </w:p>
    <w:p w14:paraId="1D2AA07F"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sutrikimas, kuriam esant kūno imuninė sistema atakuoja periferinės nervų sistemos dalį;</w:t>
      </w:r>
    </w:p>
    <w:p w14:paraId="075BE8F4"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širdies ritmo ar laidumo problemos</w:t>
      </w:r>
      <w:r w:rsidRPr="005454C8">
        <w:rPr>
          <w:rFonts w:ascii="Verdana" w:hAnsi="Verdana"/>
        </w:rPr>
        <w:t xml:space="preserve"> </w:t>
      </w:r>
      <w:r w:rsidRPr="005454C8">
        <w:rPr>
          <w:rFonts w:eastAsia="Calibri"/>
        </w:rPr>
        <w:t xml:space="preserve">(kartais pavojingos gyvybei); </w:t>
      </w:r>
    </w:p>
    <w:p w14:paraId="6C0490AF"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gyvybei pavojinga alerginė reakcija;</w:t>
      </w:r>
    </w:p>
    <w:p w14:paraId="062F84AF"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kraujo krešėjimo sistemos sutrikimas;</w:t>
      </w:r>
    </w:p>
    <w:p w14:paraId="6801F1D5" w14:textId="77777777" w:rsidR="00041CC8" w:rsidRPr="005454C8" w:rsidRDefault="00041CC8" w:rsidP="00041CC8">
      <w:pPr>
        <w:numPr>
          <w:ilvl w:val="0"/>
          <w:numId w:val="14"/>
        </w:numPr>
        <w:autoSpaceDE w:val="0"/>
        <w:autoSpaceDN w:val="0"/>
        <w:adjustRightInd w:val="0"/>
        <w:ind w:left="567" w:hanging="567"/>
        <w:contextualSpacing/>
        <w:rPr>
          <w:rFonts w:eastAsia="Calibri"/>
        </w:rPr>
      </w:pPr>
      <w:r w:rsidRPr="005454C8">
        <w:rPr>
          <w:rFonts w:eastAsia="Calibri"/>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r>
        <w:rPr>
          <w:rFonts w:eastAsia="Calibri"/>
        </w:rPr>
        <w:t>;</w:t>
      </w:r>
    </w:p>
    <w:p w14:paraId="2DA7646D" w14:textId="77777777" w:rsidR="00041CC8" w:rsidRPr="005454C8" w:rsidRDefault="00041CC8" w:rsidP="00041CC8">
      <w:pPr>
        <w:numPr>
          <w:ilvl w:val="0"/>
          <w:numId w:val="14"/>
        </w:numPr>
        <w:autoSpaceDE w:val="0"/>
        <w:autoSpaceDN w:val="0"/>
        <w:adjustRightInd w:val="0"/>
        <w:ind w:left="567" w:hanging="567"/>
        <w:contextualSpacing/>
        <w:rPr>
          <w:rFonts w:eastAsia="TimesNewRoman"/>
        </w:rPr>
      </w:pPr>
      <w:r w:rsidRPr="005454C8">
        <w:rPr>
          <w:rFonts w:eastAsia="TimesNewRoman"/>
        </w:rPr>
        <w:t>nedideli sausos pleiskanotos odos plotai, kartais sustorėję ir padengti žvyneliais ar „rageliais“.</w:t>
      </w:r>
    </w:p>
    <w:p w14:paraId="09C48098" w14:textId="77777777" w:rsidR="00041CC8" w:rsidRPr="005454C8" w:rsidRDefault="00041CC8" w:rsidP="00041CC8">
      <w:pPr>
        <w:autoSpaceDE w:val="0"/>
        <w:autoSpaceDN w:val="0"/>
        <w:adjustRightInd w:val="0"/>
        <w:rPr>
          <w:rFonts w:ascii="TimesNewRoman" w:eastAsia="TimesNewRoman"/>
          <w:highlight w:val="cyan"/>
        </w:rPr>
      </w:pPr>
    </w:p>
    <w:p w14:paraId="5285F646" w14:textId="77777777" w:rsidR="00041CC8" w:rsidRPr="00DD1A58" w:rsidRDefault="00041CC8" w:rsidP="00041CC8">
      <w:pPr>
        <w:rPr>
          <w:rFonts w:eastAsia="TimesNewRoman"/>
        </w:rPr>
      </w:pPr>
      <w:r w:rsidRPr="00DD1A58">
        <w:rPr>
          <w:b/>
          <w:bCs/>
          <w:noProof/>
          <w:szCs w:val="22"/>
        </w:rPr>
        <w:t>Šalutinio poveikio reiškiniai, kurių dažnis nežinomas (negali būti apskaičiuotas pagal turimus duomenis):</w:t>
      </w:r>
    </w:p>
    <w:p w14:paraId="7845B7F7" w14:textId="77777777" w:rsidR="00041CC8" w:rsidRPr="00DD1A58" w:rsidRDefault="00041CC8" w:rsidP="00041CC8">
      <w:pPr>
        <w:pStyle w:val="Sraopastraipa"/>
        <w:numPr>
          <w:ilvl w:val="0"/>
          <w:numId w:val="3"/>
        </w:numPr>
        <w:ind w:left="567" w:hanging="567"/>
        <w:rPr>
          <w:rFonts w:eastAsia="TimesNewRoman"/>
          <w:lang w:val="lt-LT"/>
        </w:rPr>
      </w:pPr>
      <w:r w:rsidRPr="00DD1A58">
        <w:rPr>
          <w:rFonts w:eastAsia="TimesNewRoman"/>
          <w:lang w:val="lt-LT"/>
        </w:rPr>
        <w:t>strazdanos ir pigmentinės dėmės.</w:t>
      </w:r>
    </w:p>
    <w:p w14:paraId="25AF6516" w14:textId="77777777" w:rsidR="00041CC8" w:rsidRPr="005454C8" w:rsidRDefault="00041CC8" w:rsidP="00041CC8">
      <w:pPr>
        <w:autoSpaceDE w:val="0"/>
        <w:autoSpaceDN w:val="0"/>
        <w:adjustRightInd w:val="0"/>
        <w:rPr>
          <w:rFonts w:eastAsia="TimesNewRoman"/>
        </w:rPr>
      </w:pPr>
    </w:p>
    <w:p w14:paraId="54C5B543" w14:textId="77777777" w:rsidR="00041CC8" w:rsidRPr="005454C8" w:rsidRDefault="00041CC8" w:rsidP="00041CC8">
      <w:pPr>
        <w:autoSpaceDE w:val="0"/>
        <w:autoSpaceDN w:val="0"/>
        <w:adjustRightInd w:val="0"/>
        <w:rPr>
          <w:rFonts w:eastAsia="Calibri"/>
        </w:rPr>
      </w:pPr>
      <w:r w:rsidRPr="005454C8">
        <w:rPr>
          <w:rFonts w:eastAsia="Calibri"/>
        </w:rPr>
        <w:t>Kitas reikšmingas šalutinis poveikis, kurio dažnis nežinomas, bet apie jį reikia skubiai pranešti savo gydytojui:</w:t>
      </w:r>
    </w:p>
    <w:p w14:paraId="55E37AEC" w14:textId="77777777" w:rsidR="00041CC8" w:rsidRPr="005454C8" w:rsidRDefault="00041CC8" w:rsidP="00041CC8">
      <w:pPr>
        <w:numPr>
          <w:ilvl w:val="0"/>
          <w:numId w:val="15"/>
        </w:numPr>
        <w:autoSpaceDE w:val="0"/>
        <w:autoSpaceDN w:val="0"/>
        <w:adjustRightInd w:val="0"/>
        <w:ind w:left="567" w:hanging="567"/>
        <w:contextualSpacing/>
      </w:pPr>
      <w:r w:rsidRPr="005454C8">
        <w:rPr>
          <w:rFonts w:eastAsia="Calibri"/>
        </w:rPr>
        <w:t>raudoni, žvynuoti plotai arba žiedo formos odos pažeidimai, galintys būti autoimuninės ligos, vadinamos odos raudonąja vilklige, simptomais.</w:t>
      </w:r>
    </w:p>
    <w:p w14:paraId="12EF8049" w14:textId="77777777" w:rsidR="00041CC8" w:rsidRPr="005454C8" w:rsidRDefault="00041CC8" w:rsidP="00041CC8">
      <w:pPr>
        <w:autoSpaceDE w:val="0"/>
        <w:autoSpaceDN w:val="0"/>
        <w:adjustRightInd w:val="0"/>
        <w:rPr>
          <w:rFonts w:eastAsia="Calibri"/>
        </w:rPr>
      </w:pPr>
    </w:p>
    <w:p w14:paraId="09192E1D" w14:textId="77777777" w:rsidR="00041CC8" w:rsidRPr="005454C8" w:rsidRDefault="00041CC8" w:rsidP="00041CC8">
      <w:pPr>
        <w:autoSpaceDE w:val="0"/>
        <w:autoSpaceDN w:val="0"/>
        <w:adjustRightInd w:val="0"/>
        <w:rPr>
          <w:rFonts w:eastAsia="Calibri"/>
        </w:rPr>
      </w:pPr>
      <w:r w:rsidRPr="005454C8">
        <w:t xml:space="preserve">VERRIA </w:t>
      </w:r>
      <w:r w:rsidRPr="005454C8">
        <w:rPr>
          <w:rFonts w:eastAsia="Calibri"/>
        </w:rPr>
        <w:t>gali daryti poveikį kepenims ir inkstams, taigi gydytojas turės stebėti Jūsų inkstų ir kepenų funkciją (tirti kraują). Jeigu skauda pilvą ar pakito išmatų konsistencija, kreipkitės į gydytoją.</w:t>
      </w:r>
    </w:p>
    <w:p w14:paraId="260ACDDA" w14:textId="77777777" w:rsidR="00041CC8" w:rsidRPr="005454C8" w:rsidRDefault="00041CC8" w:rsidP="00041CC8">
      <w:pPr>
        <w:autoSpaceDE w:val="0"/>
        <w:autoSpaceDN w:val="0"/>
        <w:adjustRightInd w:val="0"/>
        <w:rPr>
          <w:rFonts w:eastAsia="Calibri"/>
        </w:rPr>
      </w:pPr>
    </w:p>
    <w:p w14:paraId="0787EA55" w14:textId="77777777" w:rsidR="00041CC8" w:rsidRPr="005454C8" w:rsidRDefault="00041CC8" w:rsidP="00041CC8">
      <w:pPr>
        <w:autoSpaceDE w:val="0"/>
        <w:autoSpaceDN w:val="0"/>
        <w:adjustRightInd w:val="0"/>
        <w:rPr>
          <w:rFonts w:eastAsia="Calibri"/>
        </w:rPr>
      </w:pPr>
      <w:r w:rsidRPr="005454C8">
        <w:rPr>
          <w:rFonts w:eastAsia="Calibri"/>
        </w:rPr>
        <w:t xml:space="preserve">Buvo pranešta apie odos vėžį pacientams, kurie ilgą laiką </w:t>
      </w:r>
      <w:r w:rsidRPr="009A1B7F">
        <w:rPr>
          <w:rFonts w:eastAsia="Calibri"/>
          <w:szCs w:val="22"/>
          <w:lang w:eastAsia="en-US"/>
        </w:rPr>
        <w:t>buvo gydomi VERRIA</w:t>
      </w:r>
      <w:r w:rsidRPr="005454C8">
        <w:rPr>
          <w:rFonts w:eastAsia="Calibri"/>
        </w:rPr>
        <w:t>.</w:t>
      </w:r>
    </w:p>
    <w:p w14:paraId="043572F5" w14:textId="77777777" w:rsidR="00041CC8" w:rsidRPr="005454C8" w:rsidRDefault="00041CC8" w:rsidP="00041CC8">
      <w:pPr>
        <w:autoSpaceDE w:val="0"/>
        <w:autoSpaceDN w:val="0"/>
        <w:adjustRightInd w:val="0"/>
        <w:rPr>
          <w:rFonts w:eastAsia="Calibri"/>
        </w:rPr>
      </w:pPr>
    </w:p>
    <w:p w14:paraId="1187DDB3" w14:textId="77777777" w:rsidR="00041CC8" w:rsidRPr="005454C8" w:rsidRDefault="00041CC8" w:rsidP="00041CC8">
      <w:pPr>
        <w:autoSpaceDE w:val="0"/>
        <w:autoSpaceDN w:val="0"/>
        <w:adjustRightInd w:val="0"/>
        <w:rPr>
          <w:rFonts w:eastAsia="Calibri"/>
        </w:rPr>
      </w:pPr>
      <w:r w:rsidRPr="005454C8">
        <w:rPr>
          <w:rFonts w:eastAsia="Calibri"/>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w:t>
      </w:r>
      <w:r w:rsidRPr="005454C8">
        <w:rPr>
          <w:rFonts w:ascii="Verdana" w:hAnsi="Verdana"/>
        </w:rPr>
        <w:t xml:space="preserve"> </w:t>
      </w:r>
      <w:r w:rsidRPr="005454C8">
        <w:rPr>
          <w:rFonts w:eastAsia="Calibri"/>
        </w:rPr>
        <w:t>Vaikams taip pat dažniau pastebėtas kepenų fermentų aktyvumo padidėjimas. Jei bet kuris minėtas šalutinis poveikis išlieka arba sunkėja, reikia pasakyti gydytojui.</w:t>
      </w:r>
    </w:p>
    <w:p w14:paraId="2450D473" w14:textId="77777777" w:rsidR="00041CC8" w:rsidRPr="005454C8" w:rsidRDefault="00041CC8" w:rsidP="00041CC8">
      <w:pPr>
        <w:rPr>
          <w:b/>
        </w:rPr>
      </w:pPr>
    </w:p>
    <w:p w14:paraId="4BF31100" w14:textId="77777777" w:rsidR="00041CC8" w:rsidRPr="005454C8" w:rsidRDefault="00041CC8" w:rsidP="00041CC8">
      <w:pPr>
        <w:rPr>
          <w:b/>
        </w:rPr>
      </w:pPr>
      <w:r w:rsidRPr="005454C8">
        <w:rPr>
          <w:b/>
        </w:rPr>
        <w:t>Pranešimas apie šalutinį poveikį</w:t>
      </w:r>
    </w:p>
    <w:p w14:paraId="46E002F1" w14:textId="77777777" w:rsidR="00041CC8" w:rsidRPr="005E71B6" w:rsidRDefault="00041CC8" w:rsidP="00041CC8">
      <w:pPr>
        <w:autoSpaceDE w:val="0"/>
        <w:autoSpaceDN w:val="0"/>
        <w:adjustRightInd w:val="0"/>
        <w:rPr>
          <w:szCs w:val="22"/>
        </w:rPr>
      </w:pPr>
      <w:bookmarkStart w:id="27" w:name="_Hlk87626009"/>
      <w:r w:rsidRPr="005D554B">
        <w:rPr>
          <w:snapToGrid w:val="0"/>
        </w:rPr>
        <w:lastRenderedPageBreak/>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1" w:history="1">
        <w:r w:rsidRPr="005D554B">
          <w:rPr>
            <w:snapToGrid w:val="0"/>
            <w:color w:val="0000FF"/>
            <w:u w:val="single"/>
          </w:rPr>
          <w:t>https://www.vvkt.lt/index.php?4004286486</w:t>
        </w:r>
      </w:hyperlink>
      <w:r w:rsidRPr="005D554B">
        <w:rPr>
          <w:snapToGrid w:val="0"/>
        </w:rPr>
        <w:t xml:space="preserve">, ir atsiunčiant elektroniniu paštu (adresu </w:t>
      </w:r>
      <w:hyperlink r:id="rId12"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bookmarkEnd w:id="27"/>
    <w:p w14:paraId="1ADDBE81" w14:textId="77777777" w:rsidR="00041CC8" w:rsidRPr="005454C8" w:rsidRDefault="00041CC8" w:rsidP="00041CC8">
      <w:pPr>
        <w:ind w:right="-449"/>
      </w:pPr>
    </w:p>
    <w:p w14:paraId="47E2245E" w14:textId="77777777" w:rsidR="00041CC8" w:rsidRPr="005454C8" w:rsidRDefault="00041CC8" w:rsidP="00041CC8">
      <w:pPr>
        <w:ind w:right="-449"/>
      </w:pPr>
    </w:p>
    <w:p w14:paraId="499A0B41" w14:textId="77777777" w:rsidR="00041CC8" w:rsidRPr="005454C8" w:rsidRDefault="00041CC8" w:rsidP="00041CC8">
      <w:pPr>
        <w:keepNext/>
        <w:ind w:left="567" w:hanging="567"/>
        <w:outlineLvl w:val="2"/>
        <w:rPr>
          <w:b/>
        </w:rPr>
      </w:pPr>
      <w:r w:rsidRPr="005454C8">
        <w:rPr>
          <w:b/>
        </w:rPr>
        <w:t>5.</w:t>
      </w:r>
      <w:r w:rsidRPr="005454C8">
        <w:rPr>
          <w:b/>
        </w:rPr>
        <w:tab/>
        <w:t xml:space="preserve">Kaip laikyti </w:t>
      </w:r>
      <w:r w:rsidRPr="009A1B7F">
        <w:rPr>
          <w:b/>
          <w:bCs/>
          <w:szCs w:val="22"/>
          <w:lang w:eastAsia="x-none"/>
        </w:rPr>
        <w:t>VERRIA</w:t>
      </w:r>
    </w:p>
    <w:p w14:paraId="35AEA60A" w14:textId="77777777" w:rsidR="00041CC8" w:rsidRPr="005454C8" w:rsidRDefault="00041CC8" w:rsidP="00041CC8">
      <w:pPr>
        <w:numPr>
          <w:ilvl w:val="12"/>
          <w:numId w:val="0"/>
        </w:numPr>
        <w:ind w:right="-2"/>
      </w:pPr>
    </w:p>
    <w:p w14:paraId="082496EB" w14:textId="77777777" w:rsidR="00041CC8" w:rsidRPr="005454C8" w:rsidRDefault="00041CC8" w:rsidP="00041CC8">
      <w:pPr>
        <w:numPr>
          <w:ilvl w:val="12"/>
          <w:numId w:val="0"/>
        </w:numPr>
        <w:ind w:right="-2"/>
      </w:pPr>
      <w:r w:rsidRPr="005454C8">
        <w:t>Šį vaistą laikykite vaikams nepastebimoje ir nepasiekiamoje vietoje.</w:t>
      </w:r>
    </w:p>
    <w:p w14:paraId="7EBE5B35" w14:textId="77777777" w:rsidR="00041CC8" w:rsidRPr="005454C8" w:rsidRDefault="00041CC8" w:rsidP="00041CC8">
      <w:pPr>
        <w:autoSpaceDE w:val="0"/>
        <w:autoSpaceDN w:val="0"/>
        <w:adjustRightInd w:val="0"/>
        <w:rPr>
          <w:rFonts w:eastAsia="Calibri"/>
        </w:rPr>
      </w:pPr>
    </w:p>
    <w:p w14:paraId="67BDF60A" w14:textId="77777777" w:rsidR="00041CC8" w:rsidRPr="005454C8" w:rsidRDefault="00041CC8" w:rsidP="00041CC8">
      <w:pPr>
        <w:autoSpaceDE w:val="0"/>
        <w:autoSpaceDN w:val="0"/>
        <w:adjustRightInd w:val="0"/>
        <w:rPr>
          <w:rFonts w:eastAsia="Calibri"/>
        </w:rPr>
      </w:pPr>
      <w:r w:rsidRPr="005454C8">
        <w:rPr>
          <w:rFonts w:eastAsia="Calibri"/>
        </w:rPr>
        <w:t>Ant etiketės nurodytam tinkamumo laikui pasibaigus, šio vaisto vartoti negalima. Vaistas tinkamas vartoti iki paskutinės nurodyto mėnesio dienos.</w:t>
      </w:r>
    </w:p>
    <w:p w14:paraId="7D94CC26" w14:textId="77777777" w:rsidR="00041CC8" w:rsidRPr="005454C8" w:rsidRDefault="00041CC8" w:rsidP="00041CC8">
      <w:pPr>
        <w:autoSpaceDE w:val="0"/>
        <w:autoSpaceDN w:val="0"/>
        <w:adjustRightInd w:val="0"/>
        <w:rPr>
          <w:rFonts w:eastAsia="Calibri"/>
        </w:rPr>
      </w:pPr>
    </w:p>
    <w:p w14:paraId="5068CAEF" w14:textId="77777777" w:rsidR="00041CC8" w:rsidRPr="005454C8" w:rsidRDefault="00041CC8" w:rsidP="00041CC8">
      <w:pPr>
        <w:rPr>
          <w:rFonts w:eastAsia="Calibri"/>
        </w:rPr>
      </w:pPr>
      <w:r w:rsidRPr="005454C8">
        <w:rPr>
          <w:rFonts w:eastAsia="Calibri"/>
        </w:rPr>
        <w:t>Laikyti gamintojo pakuotėje, kad vaistas būtų apsaugotas nuo drėgmės.</w:t>
      </w:r>
    </w:p>
    <w:p w14:paraId="5F3E19D9" w14:textId="77777777" w:rsidR="00041CC8" w:rsidRPr="005454C8" w:rsidRDefault="00041CC8" w:rsidP="00041CC8">
      <w:pPr>
        <w:rPr>
          <w:rFonts w:eastAsia="Calibri"/>
        </w:rPr>
      </w:pPr>
      <w:r w:rsidRPr="005454C8">
        <w:t>Šio vaisto laikymui specialių temperatūros sąlygų nereikalaujama.</w:t>
      </w:r>
    </w:p>
    <w:p w14:paraId="6C7290AA" w14:textId="77777777" w:rsidR="00041CC8" w:rsidRPr="005454C8" w:rsidRDefault="00041CC8" w:rsidP="00041CC8">
      <w:pPr>
        <w:rPr>
          <w:rFonts w:eastAsia="Calibri"/>
        </w:rPr>
      </w:pPr>
    </w:p>
    <w:p w14:paraId="0224CD1C" w14:textId="77777777" w:rsidR="00041CC8" w:rsidRPr="005454C8" w:rsidRDefault="00041CC8" w:rsidP="00041CC8">
      <w:pPr>
        <w:autoSpaceDE w:val="0"/>
        <w:autoSpaceDN w:val="0"/>
        <w:adjustRightInd w:val="0"/>
      </w:pPr>
      <w:r w:rsidRPr="005454C8">
        <w:rPr>
          <w:rFonts w:eastAsia="Calibri"/>
        </w:rPr>
        <w:t>Vaistų negalima išmesti į kanalizaciją arba su buitinėmis atliekomis. Kaip išmesti nereikalingus vaistus, klauskite vaistininko. Šios priemonės padės apsaugoti aplinką.</w:t>
      </w:r>
      <w:r w:rsidRPr="005454C8">
        <w:t xml:space="preserve"> </w:t>
      </w:r>
    </w:p>
    <w:p w14:paraId="58DD6EAE" w14:textId="77777777" w:rsidR="00041CC8" w:rsidRPr="005454C8" w:rsidRDefault="00041CC8" w:rsidP="00041CC8">
      <w:pPr>
        <w:numPr>
          <w:ilvl w:val="12"/>
          <w:numId w:val="0"/>
        </w:numPr>
        <w:ind w:right="-2"/>
      </w:pPr>
    </w:p>
    <w:p w14:paraId="41EBFC4E" w14:textId="77777777" w:rsidR="00041CC8" w:rsidRPr="005454C8" w:rsidRDefault="00041CC8" w:rsidP="00041CC8">
      <w:pPr>
        <w:numPr>
          <w:ilvl w:val="12"/>
          <w:numId w:val="0"/>
        </w:numPr>
        <w:ind w:right="-2"/>
      </w:pPr>
    </w:p>
    <w:p w14:paraId="153B06D1" w14:textId="77777777" w:rsidR="00041CC8" w:rsidRPr="005454C8" w:rsidRDefault="00041CC8" w:rsidP="00041CC8">
      <w:pPr>
        <w:keepNext/>
        <w:ind w:left="567" w:hanging="567"/>
        <w:outlineLvl w:val="2"/>
        <w:rPr>
          <w:b/>
        </w:rPr>
      </w:pPr>
      <w:r w:rsidRPr="005454C8">
        <w:rPr>
          <w:b/>
        </w:rPr>
        <w:t>6.</w:t>
      </w:r>
      <w:r w:rsidRPr="005454C8">
        <w:tab/>
      </w:r>
      <w:r w:rsidRPr="005454C8">
        <w:rPr>
          <w:b/>
        </w:rPr>
        <w:t>Pakuotės turinys ir kita informacija</w:t>
      </w:r>
    </w:p>
    <w:p w14:paraId="14814889" w14:textId="77777777" w:rsidR="00041CC8" w:rsidRPr="00982D99" w:rsidRDefault="00041CC8" w:rsidP="00041CC8">
      <w:pPr>
        <w:rPr>
          <w:rFonts w:ascii="Verdana" w:hAnsi="Verdana"/>
          <w:sz w:val="20"/>
          <w:lang w:val="nn-NO"/>
        </w:rPr>
      </w:pPr>
    </w:p>
    <w:p w14:paraId="3EC8639F" w14:textId="77777777" w:rsidR="00041CC8" w:rsidRPr="005454C8" w:rsidRDefault="00041CC8" w:rsidP="00041CC8">
      <w:pPr>
        <w:keepNext/>
        <w:outlineLvl w:val="3"/>
        <w:rPr>
          <w:b/>
        </w:rPr>
      </w:pPr>
      <w:r w:rsidRPr="005454C8">
        <w:rPr>
          <w:b/>
        </w:rPr>
        <w:t xml:space="preserve">VERRIA sudėtis </w:t>
      </w:r>
    </w:p>
    <w:p w14:paraId="28A298EA" w14:textId="77777777" w:rsidR="00041CC8" w:rsidRPr="005454C8" w:rsidRDefault="00041CC8" w:rsidP="00041CC8">
      <w:pPr>
        <w:numPr>
          <w:ilvl w:val="0"/>
          <w:numId w:val="16"/>
        </w:numPr>
        <w:autoSpaceDE w:val="0"/>
        <w:autoSpaceDN w:val="0"/>
        <w:adjustRightInd w:val="0"/>
        <w:ind w:left="567" w:hanging="567"/>
        <w:contextualSpacing/>
        <w:rPr>
          <w:rFonts w:eastAsia="Calibri"/>
        </w:rPr>
      </w:pPr>
      <w:r w:rsidRPr="005454C8">
        <w:rPr>
          <w:rFonts w:eastAsia="Calibri"/>
        </w:rPr>
        <w:t>Veiklioji medžiaga yra vorikonazolas. Kiekvienoje tabletėje yra arba 50 mg vorikonazolo (</w:t>
      </w:r>
      <w:r w:rsidRPr="005454C8">
        <w:t xml:space="preserve">VERRIA </w:t>
      </w:r>
      <w:r w:rsidRPr="005454C8">
        <w:rPr>
          <w:rFonts w:eastAsia="Calibri"/>
        </w:rPr>
        <w:t>50 mg plėvele dengtos tabletės), arba 200 mg vorikonazolo (</w:t>
      </w:r>
      <w:r w:rsidRPr="005454C8">
        <w:t xml:space="preserve">VERRIA </w:t>
      </w:r>
      <w:r w:rsidRPr="005454C8">
        <w:rPr>
          <w:rFonts w:eastAsia="Calibri"/>
        </w:rPr>
        <w:t>200 mg plėvele dengtos tabletės).</w:t>
      </w:r>
    </w:p>
    <w:p w14:paraId="00D10DCC" w14:textId="77777777" w:rsidR="00041CC8" w:rsidRPr="005454C8" w:rsidRDefault="00041CC8" w:rsidP="00041CC8">
      <w:pPr>
        <w:numPr>
          <w:ilvl w:val="0"/>
          <w:numId w:val="16"/>
        </w:numPr>
        <w:autoSpaceDE w:val="0"/>
        <w:autoSpaceDN w:val="0"/>
        <w:adjustRightInd w:val="0"/>
        <w:ind w:left="567" w:hanging="567"/>
        <w:contextualSpacing/>
        <w:rPr>
          <w:rFonts w:eastAsia="Calibri"/>
        </w:rPr>
      </w:pPr>
      <w:r w:rsidRPr="005454C8">
        <w:rPr>
          <w:rFonts w:eastAsia="Calibri"/>
        </w:rPr>
        <w:t>Tabletės branduolio pagalbinės medžiagos yra laktozė monohidratas, pregelifikuotas kukurūzų krakmolas, kroskarmeliozės natrio druska, povidonas ir magnio stearatas. Tabletės plėvelė: laktozė monohidratas, hipromeliozė (E464), titano dioksidas (E 171) ir triacetinas.</w:t>
      </w:r>
    </w:p>
    <w:p w14:paraId="6F0AF4D8" w14:textId="77777777" w:rsidR="00041CC8" w:rsidRPr="005454C8" w:rsidRDefault="00041CC8" w:rsidP="00041CC8">
      <w:pPr>
        <w:autoSpaceDE w:val="0"/>
        <w:autoSpaceDN w:val="0"/>
        <w:adjustRightInd w:val="0"/>
        <w:ind w:left="720"/>
        <w:contextualSpacing/>
        <w:rPr>
          <w:rFonts w:eastAsia="Calibri"/>
        </w:rPr>
      </w:pPr>
    </w:p>
    <w:p w14:paraId="125FE2FB" w14:textId="77777777" w:rsidR="00041CC8" w:rsidRPr="005454C8" w:rsidRDefault="00041CC8" w:rsidP="00041CC8">
      <w:pPr>
        <w:keepNext/>
        <w:outlineLvl w:val="3"/>
        <w:rPr>
          <w:b/>
        </w:rPr>
      </w:pPr>
      <w:r w:rsidRPr="005454C8">
        <w:rPr>
          <w:b/>
        </w:rPr>
        <w:t>VERRIA išvaizda ir kiekis pakuotėje</w:t>
      </w:r>
    </w:p>
    <w:p w14:paraId="03937467" w14:textId="77777777" w:rsidR="00041CC8" w:rsidRPr="005454C8" w:rsidRDefault="00041CC8" w:rsidP="00041CC8">
      <w:r w:rsidRPr="005454C8">
        <w:rPr>
          <w:rFonts w:eastAsia="Calibri"/>
        </w:rPr>
        <w:t xml:space="preserve">Tiekiamos baltos arba balkšvos, apvalios, maždaug 7,2 mm skersmens </w:t>
      </w:r>
      <w:r w:rsidRPr="005454C8">
        <w:t xml:space="preserve">VERRIA </w:t>
      </w:r>
      <w:r w:rsidRPr="005454C8">
        <w:rPr>
          <w:rFonts w:eastAsia="Calibri"/>
        </w:rPr>
        <w:t>50 mg plėvele dengtos tabletės.</w:t>
      </w:r>
    </w:p>
    <w:p w14:paraId="4AE55641" w14:textId="77777777" w:rsidR="00041CC8" w:rsidRPr="005454C8" w:rsidRDefault="00041CC8" w:rsidP="00041CC8">
      <w:pPr>
        <w:autoSpaceDE w:val="0"/>
        <w:autoSpaceDN w:val="0"/>
        <w:adjustRightInd w:val="0"/>
      </w:pPr>
    </w:p>
    <w:p w14:paraId="5B2AD65A" w14:textId="77777777" w:rsidR="00041CC8" w:rsidRPr="005454C8" w:rsidRDefault="00041CC8" w:rsidP="00041CC8">
      <w:r w:rsidRPr="005454C8">
        <w:rPr>
          <w:rFonts w:eastAsia="Calibri"/>
        </w:rPr>
        <w:t xml:space="preserve">Tiekiamos baltos arba balkšvos, kapsulės formos, maždaug 15,9 mm ilgio ir 8 mm pločio </w:t>
      </w:r>
      <w:r w:rsidRPr="005454C8">
        <w:t xml:space="preserve">VERRIA </w:t>
      </w:r>
      <w:r w:rsidRPr="005454C8">
        <w:rPr>
          <w:rFonts w:eastAsia="Calibri"/>
        </w:rPr>
        <w:t xml:space="preserve">200 mg plėvele </w:t>
      </w:r>
      <w:r w:rsidRPr="009A1B7F">
        <w:rPr>
          <w:rFonts w:eastAsia="Calibri"/>
          <w:szCs w:val="22"/>
          <w:lang w:eastAsia="en-US"/>
        </w:rPr>
        <w:t>dengtos tabletės.</w:t>
      </w:r>
      <w:r w:rsidRPr="005454C8">
        <w:rPr>
          <w:rFonts w:eastAsia="Calibri"/>
        </w:rPr>
        <w:t xml:space="preserve"> </w:t>
      </w:r>
    </w:p>
    <w:p w14:paraId="156E1343" w14:textId="77777777" w:rsidR="00041CC8" w:rsidRPr="005454C8" w:rsidRDefault="00041CC8" w:rsidP="00041CC8">
      <w:pPr>
        <w:autoSpaceDE w:val="0"/>
        <w:autoSpaceDN w:val="0"/>
        <w:adjustRightInd w:val="0"/>
      </w:pPr>
    </w:p>
    <w:p w14:paraId="3AE5BFA4" w14:textId="77777777" w:rsidR="00041CC8" w:rsidRPr="005454C8" w:rsidRDefault="00041CC8" w:rsidP="00041CC8">
      <w:r w:rsidRPr="005454C8">
        <w:t xml:space="preserve">VERRIA </w:t>
      </w:r>
      <w:r w:rsidRPr="005454C8">
        <w:rPr>
          <w:rFonts w:eastAsia="Calibri"/>
        </w:rPr>
        <w:t xml:space="preserve">50 mg plėvele dengtos tabletės ir 200 mg plėvele dengtos tabletės yra tiekiamos </w:t>
      </w:r>
      <w:r w:rsidRPr="005454C8">
        <w:t>2, 10, 14, 20, 28, 30, 50, 56 arba 100 plėvele dengtų tablečių pakuotėse.</w:t>
      </w:r>
    </w:p>
    <w:p w14:paraId="1AF5C94D" w14:textId="77777777" w:rsidR="00041CC8" w:rsidRPr="005454C8" w:rsidRDefault="00041CC8" w:rsidP="00041CC8"/>
    <w:p w14:paraId="623856D4" w14:textId="77777777" w:rsidR="00041CC8" w:rsidRPr="005454C8" w:rsidRDefault="00041CC8" w:rsidP="00041CC8">
      <w:r w:rsidRPr="005454C8">
        <w:t>Gali būti tiekiamos ne visų dydžių pakuotės.</w:t>
      </w:r>
    </w:p>
    <w:p w14:paraId="2667E446" w14:textId="77777777" w:rsidR="00041CC8" w:rsidRPr="005454C8" w:rsidRDefault="00041CC8" w:rsidP="00041CC8"/>
    <w:p w14:paraId="7AAD226D" w14:textId="77777777" w:rsidR="00041CC8" w:rsidRPr="005454C8" w:rsidRDefault="00041CC8" w:rsidP="00041CC8">
      <w:pPr>
        <w:keepNext/>
        <w:outlineLvl w:val="3"/>
        <w:rPr>
          <w:b/>
        </w:rPr>
      </w:pPr>
      <w:r w:rsidRPr="005454C8">
        <w:rPr>
          <w:b/>
        </w:rPr>
        <w:t>Registruotojas ir gamintojas</w:t>
      </w:r>
    </w:p>
    <w:p w14:paraId="5F0E96FF" w14:textId="77777777" w:rsidR="00041CC8" w:rsidRPr="005454C8" w:rsidRDefault="00041CC8" w:rsidP="00041CC8">
      <w:pPr>
        <w:keepNext/>
        <w:outlineLvl w:val="3"/>
        <w:rPr>
          <w:b/>
        </w:rPr>
      </w:pPr>
      <w:r w:rsidRPr="005454C8">
        <w:rPr>
          <w:i/>
        </w:rPr>
        <w:t>Registruotojas</w:t>
      </w:r>
    </w:p>
    <w:p w14:paraId="4DC3A7F3" w14:textId="77777777" w:rsidR="00041CC8" w:rsidRPr="005454C8" w:rsidRDefault="00041CC8" w:rsidP="00041CC8">
      <w:pPr>
        <w:rPr>
          <w:spacing w:val="-2"/>
        </w:rPr>
      </w:pPr>
      <w:r w:rsidRPr="005454C8">
        <w:rPr>
          <w:spacing w:val="-2"/>
        </w:rPr>
        <w:t>Medochemie Ltd</w:t>
      </w:r>
      <w:r>
        <w:rPr>
          <w:spacing w:val="-2"/>
        </w:rPr>
        <w:t>.</w:t>
      </w:r>
    </w:p>
    <w:p w14:paraId="660F0405" w14:textId="77777777" w:rsidR="00041CC8" w:rsidRPr="005454C8" w:rsidRDefault="00041CC8" w:rsidP="00041CC8">
      <w:pPr>
        <w:rPr>
          <w:spacing w:val="-2"/>
        </w:rPr>
      </w:pPr>
      <w:r w:rsidRPr="005454C8">
        <w:rPr>
          <w:spacing w:val="-2"/>
        </w:rPr>
        <w:t xml:space="preserve">1-10 Constantinoupoleos Street </w:t>
      </w:r>
    </w:p>
    <w:p w14:paraId="691A1F7C" w14:textId="77777777" w:rsidR="00041CC8" w:rsidRPr="005454C8" w:rsidRDefault="00041CC8" w:rsidP="00041CC8">
      <w:pPr>
        <w:rPr>
          <w:spacing w:val="-2"/>
        </w:rPr>
      </w:pPr>
      <w:r w:rsidRPr="005454C8">
        <w:rPr>
          <w:spacing w:val="-2"/>
        </w:rPr>
        <w:t>3011 Limassol</w:t>
      </w:r>
    </w:p>
    <w:p w14:paraId="2A36D8ED" w14:textId="77777777" w:rsidR="00041CC8" w:rsidRPr="005454C8" w:rsidRDefault="00041CC8" w:rsidP="00041CC8">
      <w:pPr>
        <w:rPr>
          <w:spacing w:val="-2"/>
        </w:rPr>
      </w:pPr>
      <w:r w:rsidRPr="005454C8">
        <w:rPr>
          <w:spacing w:val="-2"/>
        </w:rPr>
        <w:t>Kipras</w:t>
      </w:r>
    </w:p>
    <w:p w14:paraId="152CBFC3" w14:textId="77777777" w:rsidR="00041CC8" w:rsidRPr="005454C8" w:rsidRDefault="00041CC8" w:rsidP="00041CC8">
      <w:pPr>
        <w:rPr>
          <w:spacing w:val="-2"/>
        </w:rPr>
      </w:pPr>
    </w:p>
    <w:p w14:paraId="70C55023" w14:textId="77777777" w:rsidR="00041CC8" w:rsidRPr="005454C8" w:rsidRDefault="00041CC8" w:rsidP="00041CC8">
      <w:pPr>
        <w:rPr>
          <w:i/>
          <w:spacing w:val="-2"/>
        </w:rPr>
      </w:pPr>
      <w:r w:rsidRPr="005454C8">
        <w:rPr>
          <w:i/>
          <w:spacing w:val="-2"/>
        </w:rPr>
        <w:t>Gamintojas</w:t>
      </w:r>
    </w:p>
    <w:p w14:paraId="5CA046AC" w14:textId="77777777" w:rsidR="00041CC8" w:rsidRPr="005454C8" w:rsidRDefault="00041CC8" w:rsidP="00041CC8">
      <w:pPr>
        <w:rPr>
          <w:spacing w:val="-2"/>
          <w:lang w:val="en-GB"/>
        </w:rPr>
      </w:pPr>
      <w:r w:rsidRPr="005454C8">
        <w:rPr>
          <w:spacing w:val="-2"/>
          <w:lang w:val="en-GB"/>
        </w:rPr>
        <w:t>Medochemie Ltd</w:t>
      </w:r>
    </w:p>
    <w:p w14:paraId="0BC42D59" w14:textId="77777777" w:rsidR="00041CC8" w:rsidRPr="005454C8" w:rsidRDefault="00041CC8" w:rsidP="00041CC8">
      <w:pPr>
        <w:rPr>
          <w:spacing w:val="-2"/>
          <w:lang w:val="en-GB"/>
        </w:rPr>
      </w:pPr>
      <w:r w:rsidRPr="005454C8">
        <w:rPr>
          <w:spacing w:val="-2"/>
          <w:lang w:val="en-GB"/>
        </w:rPr>
        <w:t>Factory AZ: 2 Michael Erakleous street</w:t>
      </w:r>
    </w:p>
    <w:p w14:paraId="000C624A" w14:textId="77777777" w:rsidR="00041CC8" w:rsidRPr="00F847E4" w:rsidRDefault="00041CC8" w:rsidP="00041CC8">
      <w:pPr>
        <w:rPr>
          <w:spacing w:val="-2"/>
          <w:lang w:val="pt-PT"/>
        </w:rPr>
      </w:pPr>
      <w:r w:rsidRPr="00F847E4">
        <w:rPr>
          <w:spacing w:val="-2"/>
          <w:lang w:val="pt-PT"/>
        </w:rPr>
        <w:t>Industrial Area, Agios Athanassios</w:t>
      </w:r>
    </w:p>
    <w:p w14:paraId="762351C6" w14:textId="77777777" w:rsidR="00041CC8" w:rsidRPr="00F847E4" w:rsidRDefault="00041CC8" w:rsidP="00041CC8">
      <w:pPr>
        <w:rPr>
          <w:spacing w:val="-2"/>
          <w:lang w:val="pt-PT"/>
        </w:rPr>
      </w:pPr>
      <w:r w:rsidRPr="00F847E4">
        <w:rPr>
          <w:spacing w:val="-2"/>
          <w:lang w:val="pt-PT"/>
        </w:rPr>
        <w:lastRenderedPageBreak/>
        <w:t xml:space="preserve">4101 Limassol </w:t>
      </w:r>
    </w:p>
    <w:p w14:paraId="44050F2B" w14:textId="77777777" w:rsidR="00041CC8" w:rsidRPr="005454C8" w:rsidRDefault="00041CC8" w:rsidP="00041CC8">
      <w:pPr>
        <w:rPr>
          <w:spacing w:val="-2"/>
        </w:rPr>
      </w:pPr>
      <w:r w:rsidRPr="005454C8">
        <w:rPr>
          <w:spacing w:val="-2"/>
        </w:rPr>
        <w:t>Kipras</w:t>
      </w:r>
    </w:p>
    <w:p w14:paraId="1123BE04" w14:textId="77777777" w:rsidR="00041CC8" w:rsidRPr="005454C8" w:rsidRDefault="00041CC8" w:rsidP="00041CC8">
      <w:pPr>
        <w:rPr>
          <w:b/>
          <w:spacing w:val="-2"/>
        </w:rPr>
      </w:pPr>
    </w:p>
    <w:p w14:paraId="233D4751" w14:textId="77777777" w:rsidR="00041CC8" w:rsidRPr="005454C8" w:rsidRDefault="00041CC8" w:rsidP="00041CC8">
      <w:pPr>
        <w:numPr>
          <w:ilvl w:val="12"/>
          <w:numId w:val="0"/>
        </w:numPr>
        <w:tabs>
          <w:tab w:val="left" w:pos="567"/>
        </w:tabs>
        <w:ind w:right="-2"/>
      </w:pPr>
      <w:r w:rsidRPr="005454C8">
        <w:t>Jeigu apie šį vaistą norite sužinoti daugiau, kreipkitės į vietinį registruotojo atstovą.</w:t>
      </w:r>
    </w:p>
    <w:p w14:paraId="00E5BA2F" w14:textId="77777777" w:rsidR="00041CC8" w:rsidRPr="005454C8" w:rsidRDefault="00041CC8" w:rsidP="00041CC8">
      <w:pPr>
        <w:tabs>
          <w:tab w:val="left" w:pos="567"/>
        </w:tabs>
      </w:pPr>
    </w:p>
    <w:p w14:paraId="082442B1" w14:textId="77777777" w:rsidR="00041CC8" w:rsidRPr="00DA5F2A" w:rsidRDefault="00041CC8" w:rsidP="00041CC8">
      <w:pPr>
        <w:tabs>
          <w:tab w:val="left" w:pos="567"/>
        </w:tabs>
        <w:spacing w:line="260" w:lineRule="exact"/>
      </w:pPr>
      <w:r w:rsidRPr="00DA5F2A">
        <w:t>UAB „Medochemie Lithuania“</w:t>
      </w:r>
    </w:p>
    <w:p w14:paraId="721F3AD1" w14:textId="77777777" w:rsidR="00041CC8" w:rsidRPr="00DA5F2A" w:rsidRDefault="00041CC8" w:rsidP="00041CC8">
      <w:pPr>
        <w:tabs>
          <w:tab w:val="left" w:pos="567"/>
        </w:tabs>
        <w:spacing w:line="260" w:lineRule="exact"/>
        <w:rPr>
          <w:snapToGrid w:val="0"/>
          <w:szCs w:val="22"/>
          <w:lang w:eastAsia="en-US"/>
        </w:rPr>
      </w:pPr>
      <w:r w:rsidRPr="00DA5F2A">
        <w:rPr>
          <w:snapToGrid w:val="0"/>
          <w:szCs w:val="22"/>
          <w:lang w:eastAsia="en-US"/>
        </w:rPr>
        <w:t>Gintaro 9-36</w:t>
      </w:r>
    </w:p>
    <w:p w14:paraId="33206A50" w14:textId="77777777" w:rsidR="00041CC8" w:rsidRPr="00DA5F2A" w:rsidRDefault="00041CC8" w:rsidP="00041CC8">
      <w:pPr>
        <w:tabs>
          <w:tab w:val="left" w:pos="567"/>
        </w:tabs>
        <w:spacing w:line="260" w:lineRule="exact"/>
        <w:rPr>
          <w:snapToGrid w:val="0"/>
          <w:szCs w:val="22"/>
          <w:lang w:eastAsia="en-US"/>
        </w:rPr>
      </w:pPr>
      <w:r w:rsidRPr="00DA5F2A">
        <w:rPr>
          <w:snapToGrid w:val="0"/>
          <w:szCs w:val="22"/>
          <w:lang w:eastAsia="en-US"/>
        </w:rPr>
        <w:t>LT-47198 Kaunas</w:t>
      </w:r>
    </w:p>
    <w:p w14:paraId="7D9B3D06" w14:textId="77777777" w:rsidR="00041CC8" w:rsidRPr="00DA5F2A" w:rsidRDefault="00041CC8" w:rsidP="00041CC8">
      <w:pPr>
        <w:tabs>
          <w:tab w:val="left" w:pos="567"/>
        </w:tabs>
        <w:spacing w:line="260" w:lineRule="exact"/>
        <w:rPr>
          <w:snapToGrid w:val="0"/>
          <w:szCs w:val="22"/>
          <w:lang w:eastAsia="en-US"/>
        </w:rPr>
      </w:pPr>
      <w:r w:rsidRPr="00DA5F2A">
        <w:rPr>
          <w:snapToGrid w:val="0"/>
          <w:szCs w:val="22"/>
          <w:lang w:eastAsia="en-US"/>
        </w:rPr>
        <w:t>Tel. +370 37 338358</w:t>
      </w:r>
    </w:p>
    <w:p w14:paraId="478117B3" w14:textId="77777777" w:rsidR="00041CC8" w:rsidRPr="007D1470" w:rsidRDefault="00041CC8" w:rsidP="00041CC8">
      <w:pPr>
        <w:numPr>
          <w:ilvl w:val="12"/>
          <w:numId w:val="0"/>
        </w:numPr>
        <w:tabs>
          <w:tab w:val="left" w:pos="567"/>
        </w:tabs>
        <w:spacing w:line="260" w:lineRule="exact"/>
        <w:ind w:right="-2"/>
        <w:rPr>
          <w:rFonts w:eastAsia="SimSun"/>
          <w:color w:val="0000FF"/>
          <w:u w:val="single"/>
        </w:rPr>
      </w:pPr>
      <w:r w:rsidRPr="007D1470">
        <w:t xml:space="preserve">El. paštas: </w:t>
      </w:r>
      <w:hyperlink r:id="rId13" w:history="1">
        <w:r w:rsidRPr="00DA5F2A">
          <w:rPr>
            <w:rFonts w:eastAsia="SimSun"/>
            <w:snapToGrid w:val="0"/>
            <w:color w:val="0000FF"/>
            <w:szCs w:val="22"/>
            <w:u w:val="single"/>
            <w:lang w:eastAsia="en-US"/>
          </w:rPr>
          <w:t>lithuania@medochemie.</w:t>
        </w:r>
      </w:hyperlink>
      <w:r w:rsidRPr="007D1470">
        <w:rPr>
          <w:rFonts w:eastAsia="SimSun"/>
          <w:color w:val="0000FF"/>
          <w:u w:val="single"/>
        </w:rPr>
        <w:t>com</w:t>
      </w:r>
    </w:p>
    <w:p w14:paraId="3E770612" w14:textId="77777777" w:rsidR="00041CC8" w:rsidRPr="005454C8" w:rsidRDefault="00041CC8" w:rsidP="00041CC8"/>
    <w:p w14:paraId="7730A46C" w14:textId="77777777" w:rsidR="00041CC8" w:rsidRPr="005454C8" w:rsidRDefault="00041CC8" w:rsidP="00041CC8">
      <w:pPr>
        <w:numPr>
          <w:ilvl w:val="12"/>
          <w:numId w:val="0"/>
        </w:numPr>
        <w:ind w:right="-2"/>
      </w:pPr>
      <w:r w:rsidRPr="005454C8">
        <w:rPr>
          <w:b/>
        </w:rPr>
        <w:t xml:space="preserve">Šis vaistas </w:t>
      </w:r>
      <w:r>
        <w:rPr>
          <w:b/>
        </w:rPr>
        <w:t>Europos ekonominės erdvės</w:t>
      </w:r>
      <w:r w:rsidRPr="005454C8">
        <w:rPr>
          <w:b/>
        </w:rPr>
        <w:t xml:space="preserve"> valstybėse narėse registruotas tokiais pavadinimais</w:t>
      </w:r>
      <w:r w:rsidRPr="005454C8">
        <w:t>:</w:t>
      </w:r>
    </w:p>
    <w:p w14:paraId="2020B2CE" w14:textId="77777777" w:rsidR="00041CC8" w:rsidRPr="005454C8" w:rsidRDefault="00041CC8" w:rsidP="00041CC8">
      <w:pPr>
        <w:numPr>
          <w:ilvl w:val="12"/>
          <w:numId w:val="0"/>
        </w:numPr>
        <w:ind w:right="-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7756"/>
      </w:tblGrid>
      <w:tr w:rsidR="00041CC8" w:rsidRPr="009A1B7F" w14:paraId="76E969A9" w14:textId="77777777" w:rsidTr="00A136A1">
        <w:tc>
          <w:tcPr>
            <w:tcW w:w="1242" w:type="dxa"/>
            <w:shd w:val="clear" w:color="auto" w:fill="auto"/>
          </w:tcPr>
          <w:p w14:paraId="21784E26" w14:textId="77777777" w:rsidR="00041CC8" w:rsidRPr="005454C8" w:rsidRDefault="00041CC8" w:rsidP="00A136A1">
            <w:pPr>
              <w:numPr>
                <w:ilvl w:val="12"/>
                <w:numId w:val="0"/>
              </w:numPr>
              <w:ind w:right="-2"/>
            </w:pPr>
            <w:r w:rsidRPr="005454C8">
              <w:t>Nyderlandai</w:t>
            </w:r>
          </w:p>
        </w:tc>
        <w:tc>
          <w:tcPr>
            <w:tcW w:w="8044" w:type="dxa"/>
            <w:shd w:val="clear" w:color="auto" w:fill="auto"/>
          </w:tcPr>
          <w:p w14:paraId="1F5ABBF5" w14:textId="77777777" w:rsidR="00041CC8" w:rsidRPr="005454C8" w:rsidRDefault="00041CC8" w:rsidP="00A136A1">
            <w:pPr>
              <w:numPr>
                <w:ilvl w:val="12"/>
                <w:numId w:val="0"/>
              </w:numPr>
              <w:ind w:right="-2"/>
            </w:pPr>
            <w:r w:rsidRPr="005454C8">
              <w:t>Verria AET 50 mg / 200 mg filmomhulde tabletten</w:t>
            </w:r>
          </w:p>
        </w:tc>
      </w:tr>
      <w:tr w:rsidR="00041CC8" w:rsidRPr="009A1B7F" w14:paraId="436E7E9E" w14:textId="77777777" w:rsidTr="00A136A1">
        <w:tc>
          <w:tcPr>
            <w:tcW w:w="1242" w:type="dxa"/>
            <w:shd w:val="clear" w:color="auto" w:fill="auto"/>
          </w:tcPr>
          <w:p w14:paraId="7387796B" w14:textId="77777777" w:rsidR="00041CC8" w:rsidRPr="005454C8" w:rsidRDefault="00041CC8" w:rsidP="00A136A1">
            <w:pPr>
              <w:numPr>
                <w:ilvl w:val="12"/>
                <w:numId w:val="0"/>
              </w:numPr>
              <w:ind w:right="-2"/>
            </w:pPr>
            <w:r w:rsidRPr="005454C8">
              <w:t>Bulgarija</w:t>
            </w:r>
          </w:p>
        </w:tc>
        <w:tc>
          <w:tcPr>
            <w:tcW w:w="8044" w:type="dxa"/>
            <w:shd w:val="clear" w:color="auto" w:fill="auto"/>
          </w:tcPr>
          <w:p w14:paraId="2F49F5FC" w14:textId="77777777" w:rsidR="00041CC8" w:rsidRPr="005454C8" w:rsidRDefault="00041CC8" w:rsidP="00A136A1">
            <w:pPr>
              <w:numPr>
                <w:ilvl w:val="12"/>
                <w:numId w:val="0"/>
              </w:numPr>
              <w:ind w:right="-2"/>
            </w:pPr>
            <w:r w:rsidRPr="005454C8">
              <w:t>VERRIA 50 mg / 200 mg film coated tablets</w:t>
            </w:r>
          </w:p>
        </w:tc>
      </w:tr>
      <w:tr w:rsidR="00041CC8" w:rsidRPr="009A1B7F" w14:paraId="4C47D590" w14:textId="77777777" w:rsidTr="00A136A1">
        <w:trPr>
          <w:trHeight w:val="308"/>
        </w:trPr>
        <w:tc>
          <w:tcPr>
            <w:tcW w:w="1242" w:type="dxa"/>
            <w:shd w:val="clear" w:color="auto" w:fill="auto"/>
          </w:tcPr>
          <w:p w14:paraId="00FC447A" w14:textId="77777777" w:rsidR="00041CC8" w:rsidRPr="005454C8" w:rsidRDefault="00041CC8" w:rsidP="00A136A1">
            <w:pPr>
              <w:numPr>
                <w:ilvl w:val="12"/>
                <w:numId w:val="0"/>
              </w:numPr>
              <w:ind w:right="-2"/>
            </w:pPr>
            <w:r w:rsidRPr="005454C8">
              <w:t>Kipras</w:t>
            </w:r>
          </w:p>
        </w:tc>
        <w:tc>
          <w:tcPr>
            <w:tcW w:w="8044" w:type="dxa"/>
            <w:shd w:val="clear" w:color="auto" w:fill="auto"/>
          </w:tcPr>
          <w:p w14:paraId="68DB9DF6" w14:textId="77777777" w:rsidR="00041CC8" w:rsidRPr="005454C8" w:rsidRDefault="00041CC8" w:rsidP="00A136A1">
            <w:pPr>
              <w:numPr>
                <w:ilvl w:val="12"/>
                <w:numId w:val="0"/>
              </w:numPr>
              <w:ind w:right="-2"/>
            </w:pPr>
            <w:r w:rsidRPr="005454C8">
              <w:t>VERRIA 50 mg / 200 mg επικαλυμμένα με λεπτό υμένιο δισκία</w:t>
            </w:r>
          </w:p>
        </w:tc>
      </w:tr>
      <w:tr w:rsidR="00041CC8" w:rsidRPr="009A1B7F" w14:paraId="5D76F7C5" w14:textId="77777777" w:rsidTr="00A136A1">
        <w:tc>
          <w:tcPr>
            <w:tcW w:w="1242" w:type="dxa"/>
            <w:shd w:val="clear" w:color="auto" w:fill="auto"/>
          </w:tcPr>
          <w:p w14:paraId="7AD8C987" w14:textId="77777777" w:rsidR="00041CC8" w:rsidRPr="005454C8" w:rsidRDefault="00041CC8" w:rsidP="00A136A1">
            <w:pPr>
              <w:numPr>
                <w:ilvl w:val="12"/>
                <w:numId w:val="0"/>
              </w:numPr>
              <w:ind w:right="-2"/>
            </w:pPr>
            <w:r w:rsidRPr="005454C8">
              <w:t>Čekija</w:t>
            </w:r>
          </w:p>
        </w:tc>
        <w:tc>
          <w:tcPr>
            <w:tcW w:w="8044" w:type="dxa"/>
            <w:shd w:val="clear" w:color="auto" w:fill="auto"/>
          </w:tcPr>
          <w:p w14:paraId="69B84689" w14:textId="77777777" w:rsidR="00041CC8" w:rsidRPr="005454C8" w:rsidRDefault="00041CC8" w:rsidP="00A136A1">
            <w:pPr>
              <w:numPr>
                <w:ilvl w:val="12"/>
                <w:numId w:val="0"/>
              </w:numPr>
              <w:ind w:right="-2"/>
            </w:pPr>
            <w:r w:rsidRPr="005454C8">
              <w:t>VERRIA</w:t>
            </w:r>
          </w:p>
        </w:tc>
      </w:tr>
      <w:tr w:rsidR="00041CC8" w:rsidRPr="009A1B7F" w14:paraId="510D1654" w14:textId="77777777" w:rsidTr="00A136A1">
        <w:tc>
          <w:tcPr>
            <w:tcW w:w="1242" w:type="dxa"/>
            <w:shd w:val="clear" w:color="auto" w:fill="auto"/>
          </w:tcPr>
          <w:p w14:paraId="380C2007" w14:textId="77777777" w:rsidR="00041CC8" w:rsidRPr="005454C8" w:rsidRDefault="00041CC8" w:rsidP="00A136A1">
            <w:pPr>
              <w:numPr>
                <w:ilvl w:val="12"/>
                <w:numId w:val="0"/>
              </w:numPr>
              <w:ind w:right="-2"/>
            </w:pPr>
            <w:r w:rsidRPr="005454C8">
              <w:t>Estija</w:t>
            </w:r>
          </w:p>
        </w:tc>
        <w:tc>
          <w:tcPr>
            <w:tcW w:w="8044" w:type="dxa"/>
            <w:shd w:val="clear" w:color="auto" w:fill="auto"/>
          </w:tcPr>
          <w:p w14:paraId="44356FC1" w14:textId="77777777" w:rsidR="00041CC8" w:rsidRPr="005454C8" w:rsidRDefault="00041CC8" w:rsidP="00A136A1">
            <w:pPr>
              <w:numPr>
                <w:ilvl w:val="12"/>
                <w:numId w:val="0"/>
              </w:numPr>
              <w:ind w:right="-2"/>
            </w:pPr>
            <w:r w:rsidRPr="005454C8">
              <w:rPr>
                <w:rFonts w:eastAsia="Calibri"/>
              </w:rPr>
              <w:t>VERRIA</w:t>
            </w:r>
          </w:p>
        </w:tc>
      </w:tr>
      <w:tr w:rsidR="00041CC8" w:rsidRPr="009A1B7F" w14:paraId="219827CE" w14:textId="77777777" w:rsidTr="00A136A1">
        <w:tc>
          <w:tcPr>
            <w:tcW w:w="1242" w:type="dxa"/>
            <w:shd w:val="clear" w:color="auto" w:fill="auto"/>
          </w:tcPr>
          <w:p w14:paraId="7E1E7ED6" w14:textId="77777777" w:rsidR="00041CC8" w:rsidRPr="005454C8" w:rsidRDefault="00041CC8" w:rsidP="00A136A1">
            <w:pPr>
              <w:numPr>
                <w:ilvl w:val="12"/>
                <w:numId w:val="0"/>
              </w:numPr>
              <w:ind w:right="-2"/>
            </w:pPr>
            <w:r w:rsidRPr="005454C8">
              <w:rPr>
                <w:rFonts w:eastAsia="Calibri"/>
              </w:rPr>
              <w:t>Kroatija</w:t>
            </w:r>
          </w:p>
        </w:tc>
        <w:tc>
          <w:tcPr>
            <w:tcW w:w="8044" w:type="dxa"/>
            <w:shd w:val="clear" w:color="auto" w:fill="auto"/>
          </w:tcPr>
          <w:p w14:paraId="72F4CE47" w14:textId="77777777" w:rsidR="00041CC8" w:rsidRPr="005454C8" w:rsidRDefault="00041CC8" w:rsidP="00A136A1">
            <w:pPr>
              <w:numPr>
                <w:ilvl w:val="12"/>
                <w:numId w:val="0"/>
              </w:numPr>
              <w:ind w:right="-2"/>
              <w:rPr>
                <w:rFonts w:eastAsia="Calibri"/>
              </w:rPr>
            </w:pPr>
            <w:r w:rsidRPr="005454C8">
              <w:rPr>
                <w:rFonts w:eastAsia="Calibri"/>
              </w:rPr>
              <w:t>VERRIA 50 mg filmom obložene tablete</w:t>
            </w:r>
          </w:p>
          <w:p w14:paraId="349A616B" w14:textId="77777777" w:rsidR="00041CC8" w:rsidRPr="005454C8" w:rsidRDefault="00041CC8" w:rsidP="00A136A1">
            <w:pPr>
              <w:numPr>
                <w:ilvl w:val="12"/>
                <w:numId w:val="0"/>
              </w:numPr>
              <w:ind w:right="-2"/>
            </w:pPr>
            <w:r w:rsidRPr="005454C8">
              <w:rPr>
                <w:rFonts w:eastAsia="Calibri"/>
              </w:rPr>
              <w:t>VERRIA 200 mg filmomobložene tablete</w:t>
            </w:r>
          </w:p>
        </w:tc>
      </w:tr>
      <w:tr w:rsidR="00041CC8" w:rsidRPr="009A1B7F" w14:paraId="6FE34822" w14:textId="77777777" w:rsidTr="00A136A1">
        <w:tc>
          <w:tcPr>
            <w:tcW w:w="1242" w:type="dxa"/>
            <w:shd w:val="clear" w:color="auto" w:fill="auto"/>
          </w:tcPr>
          <w:p w14:paraId="653BCCD2" w14:textId="77777777" w:rsidR="00041CC8" w:rsidRPr="005454C8" w:rsidRDefault="00041CC8" w:rsidP="00A136A1">
            <w:pPr>
              <w:numPr>
                <w:ilvl w:val="12"/>
                <w:numId w:val="0"/>
              </w:numPr>
              <w:ind w:right="-2"/>
            </w:pPr>
            <w:r w:rsidRPr="005454C8">
              <w:rPr>
                <w:rFonts w:eastAsia="Calibri"/>
              </w:rPr>
              <w:t>Lietuva</w:t>
            </w:r>
          </w:p>
        </w:tc>
        <w:tc>
          <w:tcPr>
            <w:tcW w:w="8044" w:type="dxa"/>
            <w:shd w:val="clear" w:color="auto" w:fill="auto"/>
          </w:tcPr>
          <w:p w14:paraId="422D7CF7" w14:textId="77777777" w:rsidR="00041CC8" w:rsidRPr="005454C8" w:rsidRDefault="00041CC8" w:rsidP="00A136A1">
            <w:pPr>
              <w:numPr>
                <w:ilvl w:val="12"/>
                <w:numId w:val="0"/>
              </w:numPr>
              <w:ind w:right="-2"/>
              <w:rPr>
                <w:rFonts w:eastAsia="Calibri"/>
              </w:rPr>
            </w:pPr>
            <w:r w:rsidRPr="005454C8">
              <w:rPr>
                <w:rFonts w:eastAsia="Calibri"/>
              </w:rPr>
              <w:t>VERRIA 50 mg plėvele dengtos tabletės</w:t>
            </w:r>
          </w:p>
          <w:p w14:paraId="661FE00D" w14:textId="77777777" w:rsidR="00041CC8" w:rsidRPr="005454C8" w:rsidRDefault="00041CC8" w:rsidP="00A136A1">
            <w:pPr>
              <w:numPr>
                <w:ilvl w:val="12"/>
                <w:numId w:val="0"/>
              </w:numPr>
              <w:ind w:right="-2"/>
            </w:pPr>
            <w:r w:rsidRPr="005454C8">
              <w:rPr>
                <w:rFonts w:eastAsia="Calibri"/>
              </w:rPr>
              <w:t>VERRIA 200 mg plėvele dengtos tabletės</w:t>
            </w:r>
          </w:p>
        </w:tc>
      </w:tr>
      <w:tr w:rsidR="00041CC8" w:rsidRPr="009A1B7F" w14:paraId="38D6A4D9" w14:textId="77777777" w:rsidTr="00A136A1">
        <w:tc>
          <w:tcPr>
            <w:tcW w:w="1242" w:type="dxa"/>
            <w:shd w:val="clear" w:color="auto" w:fill="auto"/>
          </w:tcPr>
          <w:p w14:paraId="7D533264" w14:textId="77777777" w:rsidR="00041CC8" w:rsidRPr="005454C8" w:rsidRDefault="00041CC8" w:rsidP="00A136A1">
            <w:pPr>
              <w:numPr>
                <w:ilvl w:val="12"/>
                <w:numId w:val="0"/>
              </w:numPr>
              <w:ind w:right="-2"/>
            </w:pPr>
            <w:r w:rsidRPr="005454C8">
              <w:rPr>
                <w:rFonts w:eastAsia="Calibri"/>
              </w:rPr>
              <w:t>Malta</w:t>
            </w:r>
          </w:p>
        </w:tc>
        <w:tc>
          <w:tcPr>
            <w:tcW w:w="8044" w:type="dxa"/>
            <w:shd w:val="clear" w:color="auto" w:fill="auto"/>
          </w:tcPr>
          <w:p w14:paraId="7BC111D9" w14:textId="77777777" w:rsidR="00041CC8" w:rsidRPr="005454C8" w:rsidRDefault="00041CC8" w:rsidP="00A136A1">
            <w:pPr>
              <w:numPr>
                <w:ilvl w:val="12"/>
                <w:numId w:val="0"/>
              </w:numPr>
              <w:ind w:right="-2"/>
            </w:pPr>
            <w:r w:rsidRPr="005454C8">
              <w:rPr>
                <w:rFonts w:eastAsia="Calibri"/>
              </w:rPr>
              <w:t>VERRIA 50 mg / 200 mg film coated tablets</w:t>
            </w:r>
          </w:p>
        </w:tc>
      </w:tr>
      <w:tr w:rsidR="00041CC8" w:rsidRPr="009A1B7F" w14:paraId="7B95864D" w14:textId="77777777" w:rsidTr="00A136A1">
        <w:tc>
          <w:tcPr>
            <w:tcW w:w="1242" w:type="dxa"/>
            <w:shd w:val="clear" w:color="auto" w:fill="auto"/>
          </w:tcPr>
          <w:p w14:paraId="1D7EEBC8" w14:textId="77777777" w:rsidR="00041CC8" w:rsidRPr="005454C8" w:rsidRDefault="00041CC8" w:rsidP="00A136A1">
            <w:pPr>
              <w:numPr>
                <w:ilvl w:val="12"/>
                <w:numId w:val="0"/>
              </w:numPr>
              <w:ind w:right="-2"/>
            </w:pPr>
            <w:r w:rsidRPr="005454C8">
              <w:rPr>
                <w:rFonts w:eastAsia="Calibri"/>
              </w:rPr>
              <w:t>Rumunija</w:t>
            </w:r>
          </w:p>
        </w:tc>
        <w:tc>
          <w:tcPr>
            <w:tcW w:w="8044" w:type="dxa"/>
            <w:shd w:val="clear" w:color="auto" w:fill="auto"/>
          </w:tcPr>
          <w:p w14:paraId="29280E0E" w14:textId="77777777" w:rsidR="00041CC8" w:rsidRPr="005454C8" w:rsidRDefault="00041CC8" w:rsidP="00A136A1">
            <w:pPr>
              <w:numPr>
                <w:ilvl w:val="12"/>
                <w:numId w:val="0"/>
              </w:numPr>
              <w:ind w:right="-2"/>
              <w:rPr>
                <w:rFonts w:eastAsia="Calibri"/>
              </w:rPr>
            </w:pPr>
            <w:r w:rsidRPr="005454C8">
              <w:rPr>
                <w:rFonts w:eastAsia="Calibri"/>
              </w:rPr>
              <w:t>VERRIA 50 mg comprimate filmate</w:t>
            </w:r>
          </w:p>
          <w:p w14:paraId="00B003FC" w14:textId="77777777" w:rsidR="00041CC8" w:rsidRPr="005454C8" w:rsidRDefault="00041CC8" w:rsidP="00A136A1">
            <w:pPr>
              <w:numPr>
                <w:ilvl w:val="12"/>
                <w:numId w:val="0"/>
              </w:numPr>
              <w:ind w:right="-2"/>
            </w:pPr>
            <w:r w:rsidRPr="005454C8">
              <w:rPr>
                <w:rFonts w:eastAsia="Calibri"/>
              </w:rPr>
              <w:t>VERRIA 200 mg comprimate filmate</w:t>
            </w:r>
          </w:p>
        </w:tc>
      </w:tr>
      <w:tr w:rsidR="00041CC8" w:rsidRPr="009A1B7F" w14:paraId="1F3D21A5" w14:textId="77777777" w:rsidTr="00A136A1">
        <w:tc>
          <w:tcPr>
            <w:tcW w:w="1242" w:type="dxa"/>
            <w:shd w:val="clear" w:color="auto" w:fill="auto"/>
          </w:tcPr>
          <w:p w14:paraId="324E3B2D" w14:textId="77777777" w:rsidR="00041CC8" w:rsidRPr="005454C8" w:rsidRDefault="00041CC8" w:rsidP="00A136A1">
            <w:pPr>
              <w:numPr>
                <w:ilvl w:val="12"/>
                <w:numId w:val="0"/>
              </w:numPr>
              <w:ind w:right="-2"/>
            </w:pPr>
            <w:r w:rsidRPr="005454C8">
              <w:rPr>
                <w:rFonts w:eastAsia="Calibri"/>
              </w:rPr>
              <w:t>Slovakija</w:t>
            </w:r>
          </w:p>
        </w:tc>
        <w:tc>
          <w:tcPr>
            <w:tcW w:w="8044" w:type="dxa"/>
            <w:shd w:val="clear" w:color="auto" w:fill="auto"/>
          </w:tcPr>
          <w:p w14:paraId="7E40EE75" w14:textId="77777777" w:rsidR="00041CC8" w:rsidRPr="005454C8" w:rsidRDefault="00041CC8" w:rsidP="00A136A1">
            <w:pPr>
              <w:numPr>
                <w:ilvl w:val="12"/>
                <w:numId w:val="0"/>
              </w:numPr>
              <w:ind w:right="-2"/>
              <w:rPr>
                <w:rFonts w:eastAsia="Calibri"/>
              </w:rPr>
            </w:pPr>
            <w:r w:rsidRPr="005454C8">
              <w:rPr>
                <w:rFonts w:eastAsia="Calibri"/>
              </w:rPr>
              <w:t>VERRIA 50 mg filmom obalené tablet</w:t>
            </w:r>
          </w:p>
          <w:p w14:paraId="1C08F8CA" w14:textId="77777777" w:rsidR="00041CC8" w:rsidRPr="005454C8" w:rsidRDefault="00041CC8" w:rsidP="00A136A1">
            <w:pPr>
              <w:numPr>
                <w:ilvl w:val="12"/>
                <w:numId w:val="0"/>
              </w:numPr>
              <w:ind w:right="-2"/>
            </w:pPr>
            <w:r w:rsidRPr="005454C8">
              <w:rPr>
                <w:rFonts w:eastAsia="Calibri"/>
              </w:rPr>
              <w:t>VERRIA 200 mg filmom obalené tablety</w:t>
            </w:r>
          </w:p>
        </w:tc>
      </w:tr>
    </w:tbl>
    <w:p w14:paraId="07407CA1" w14:textId="77777777" w:rsidR="00041CC8" w:rsidRPr="005454C8" w:rsidRDefault="00041CC8" w:rsidP="00041CC8">
      <w:pPr>
        <w:numPr>
          <w:ilvl w:val="12"/>
          <w:numId w:val="0"/>
        </w:numPr>
        <w:ind w:right="-2"/>
        <w:rPr>
          <w:b/>
        </w:rPr>
      </w:pPr>
    </w:p>
    <w:p w14:paraId="4FF9DD1E" w14:textId="77777777" w:rsidR="00041CC8" w:rsidRPr="005454C8" w:rsidRDefault="00041CC8" w:rsidP="00041CC8">
      <w:pPr>
        <w:numPr>
          <w:ilvl w:val="12"/>
          <w:numId w:val="0"/>
        </w:numPr>
        <w:ind w:right="-2"/>
        <w:rPr>
          <w:b/>
        </w:rPr>
      </w:pPr>
    </w:p>
    <w:p w14:paraId="3FA49D51" w14:textId="12CEB310" w:rsidR="00041CC8" w:rsidRPr="005454C8" w:rsidRDefault="00041CC8" w:rsidP="00041CC8">
      <w:pPr>
        <w:numPr>
          <w:ilvl w:val="12"/>
          <w:numId w:val="0"/>
        </w:numPr>
        <w:ind w:right="-2"/>
        <w:rPr>
          <w:i/>
        </w:rPr>
      </w:pPr>
      <w:r w:rsidRPr="005454C8">
        <w:rPr>
          <w:b/>
        </w:rPr>
        <w:t xml:space="preserve">Šis pakuotės lapelis paskutinį kartą peržiūrėtas </w:t>
      </w:r>
      <w:r w:rsidR="00F81EF3">
        <w:rPr>
          <w:b/>
        </w:rPr>
        <w:t>2024-06-06.</w:t>
      </w:r>
    </w:p>
    <w:p w14:paraId="293408F7" w14:textId="77777777" w:rsidR="00041CC8" w:rsidRPr="005454C8" w:rsidRDefault="00041CC8" w:rsidP="00041CC8">
      <w:pPr>
        <w:numPr>
          <w:ilvl w:val="12"/>
          <w:numId w:val="0"/>
        </w:numPr>
        <w:ind w:right="-2"/>
      </w:pPr>
    </w:p>
    <w:p w14:paraId="4C48ABB8" w14:textId="77777777" w:rsidR="00041CC8" w:rsidRPr="005454C8" w:rsidRDefault="00041CC8" w:rsidP="00041CC8">
      <w:pPr>
        <w:numPr>
          <w:ilvl w:val="12"/>
          <w:numId w:val="0"/>
        </w:numPr>
        <w:ind w:right="-2"/>
      </w:pPr>
    </w:p>
    <w:p w14:paraId="1AF09055" w14:textId="77777777" w:rsidR="00041CC8" w:rsidRPr="005454C8" w:rsidRDefault="00041CC8" w:rsidP="00041CC8">
      <w:pPr>
        <w:numPr>
          <w:ilvl w:val="12"/>
          <w:numId w:val="0"/>
        </w:numPr>
        <w:ind w:right="-2"/>
      </w:pPr>
      <w:r w:rsidRPr="005454C8">
        <w:t>Išsami informacija apie šį vaistą pateikiama Valstybinės vaistų kontrolės tarnybos prie Lietuvos Respublikos sveikatos apsaugos ministerijos tinklalapyje</w:t>
      </w:r>
      <w:r w:rsidRPr="005454C8">
        <w:rPr>
          <w:i/>
        </w:rPr>
        <w:t xml:space="preserve"> </w:t>
      </w:r>
      <w:hyperlink r:id="rId14" w:history="1">
        <w:r w:rsidRPr="005454C8">
          <w:rPr>
            <w:rFonts w:eastAsia="SimSun"/>
            <w:color w:val="0000FF"/>
            <w:u w:val="single"/>
          </w:rPr>
          <w:t>http://www.vvkt.lt/</w:t>
        </w:r>
      </w:hyperlink>
      <w:r w:rsidRPr="005454C8">
        <w:t>.</w:t>
      </w:r>
    </w:p>
    <w:p w14:paraId="625A23D5" w14:textId="77777777" w:rsidR="00627DA1" w:rsidRDefault="00627DA1"/>
    <w:sectPr w:rsidR="00627DA1" w:rsidSect="00AF15FA">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E0E11" w14:textId="77777777" w:rsidR="004A5016" w:rsidRDefault="004A5016">
      <w:r>
        <w:separator/>
      </w:r>
    </w:p>
  </w:endnote>
  <w:endnote w:type="continuationSeparator" w:id="0">
    <w:p w14:paraId="361E8DE3" w14:textId="77777777" w:rsidR="004A5016" w:rsidRDefault="004A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G Times (W1)">
    <w:altName w:val="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Italic">
    <w:altName w:val="Times New Roman"/>
    <w:panose1 w:val="00000000000000000000"/>
    <w:charset w:val="80"/>
    <w:family w:val="auto"/>
    <w:notTrueType/>
    <w:pitch w:val="default"/>
    <w:sig w:usb0="00000001" w:usb1="08070000" w:usb2="00000010" w:usb3="00000000" w:csb0="00020000"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8F4A" w14:textId="77777777" w:rsidR="00C22CCC" w:rsidRDefault="004A50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D12EBF8" w14:textId="77777777" w:rsidR="00C22CCC" w:rsidRDefault="00C22CCC" w:rsidP="00904C2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6E19" w14:textId="749A20A1" w:rsidR="00C22CCC" w:rsidRDefault="004A50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76A9">
      <w:rPr>
        <w:rStyle w:val="Puslapionumeris"/>
        <w:noProof/>
      </w:rPr>
      <w:t>2</w:t>
    </w:r>
    <w:r>
      <w:rPr>
        <w:rStyle w:val="Puslapionumeris"/>
      </w:rPr>
      <w:fldChar w:fldCharType="end"/>
    </w:r>
  </w:p>
  <w:p w14:paraId="21B9AC85" w14:textId="77777777" w:rsidR="00C22CCC" w:rsidRDefault="00C22CCC" w:rsidP="00904C2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8EDEB" w14:textId="77777777" w:rsidR="004A5016" w:rsidRDefault="004A5016">
      <w:r>
        <w:separator/>
      </w:r>
    </w:p>
  </w:footnote>
  <w:footnote w:type="continuationSeparator" w:id="0">
    <w:p w14:paraId="1D06A176" w14:textId="77777777" w:rsidR="004A5016" w:rsidRDefault="004A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51F75"/>
    <w:multiLevelType w:val="hybridMultilevel"/>
    <w:tmpl w:val="06D8CB18"/>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4255436"/>
    <w:multiLevelType w:val="hybridMultilevel"/>
    <w:tmpl w:val="C4DC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897CE6"/>
    <w:multiLevelType w:val="hybridMultilevel"/>
    <w:tmpl w:val="BB02F530"/>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8182E"/>
    <w:multiLevelType w:val="hybridMultilevel"/>
    <w:tmpl w:val="C172DD3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8" w15:restartNumberingAfterBreak="0">
    <w:nsid w:val="43710106"/>
    <w:multiLevelType w:val="hybridMultilevel"/>
    <w:tmpl w:val="C74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96183"/>
    <w:multiLevelType w:val="hybridMultilevel"/>
    <w:tmpl w:val="364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54456"/>
    <w:multiLevelType w:val="hybridMultilevel"/>
    <w:tmpl w:val="FD8EE00C"/>
    <w:lvl w:ilvl="0" w:tplc="F918C72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273052"/>
    <w:multiLevelType w:val="hybridMultilevel"/>
    <w:tmpl w:val="F536E40E"/>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61896"/>
    <w:multiLevelType w:val="hybridMultilevel"/>
    <w:tmpl w:val="E6B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4444A"/>
    <w:multiLevelType w:val="hybridMultilevel"/>
    <w:tmpl w:val="3400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3C7813"/>
    <w:multiLevelType w:val="hybridMultilevel"/>
    <w:tmpl w:val="51823FFA"/>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467CA"/>
    <w:multiLevelType w:val="hybridMultilevel"/>
    <w:tmpl w:val="8B62B6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0A08DD"/>
    <w:multiLevelType w:val="hybridMultilevel"/>
    <w:tmpl w:val="4D0C2376"/>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66DDA"/>
    <w:multiLevelType w:val="hybridMultilevel"/>
    <w:tmpl w:val="47EEFEC4"/>
    <w:lvl w:ilvl="0" w:tplc="3CE6CBAA">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E5C95"/>
    <w:multiLevelType w:val="hybridMultilevel"/>
    <w:tmpl w:val="2F3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B4716"/>
    <w:multiLevelType w:val="hybridMultilevel"/>
    <w:tmpl w:val="D89A0D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vlJc w:val="left"/>
        <w:pPr>
          <w:ind w:left="720" w:hanging="360"/>
        </w:pPr>
      </w:lvl>
    </w:lvlOverride>
  </w:num>
  <w:num w:numId="4">
    <w:abstractNumId w:val="2"/>
  </w:num>
  <w:num w:numId="5">
    <w:abstractNumId w:val="4"/>
  </w:num>
  <w:num w:numId="6">
    <w:abstractNumId w:val="18"/>
  </w:num>
  <w:num w:numId="7">
    <w:abstractNumId w:val="13"/>
  </w:num>
  <w:num w:numId="8">
    <w:abstractNumId w:val="8"/>
  </w:num>
  <w:num w:numId="9">
    <w:abstractNumId w:val="12"/>
  </w:num>
  <w:num w:numId="10">
    <w:abstractNumId w:val="6"/>
  </w:num>
  <w:num w:numId="11">
    <w:abstractNumId w:val="1"/>
  </w:num>
  <w:num w:numId="12">
    <w:abstractNumId w:val="11"/>
  </w:num>
  <w:num w:numId="13">
    <w:abstractNumId w:val="16"/>
  </w:num>
  <w:num w:numId="14">
    <w:abstractNumId w:val="5"/>
  </w:num>
  <w:num w:numId="15">
    <w:abstractNumId w:val="17"/>
  </w:num>
  <w:num w:numId="16">
    <w:abstractNumId w:val="14"/>
  </w:num>
  <w:num w:numId="17">
    <w:abstractNumId w:val="9"/>
  </w:num>
  <w:num w:numId="18">
    <w:abstractNumId w:val="1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C8"/>
    <w:rsid w:val="00041CC8"/>
    <w:rsid w:val="00044570"/>
    <w:rsid w:val="000B4F07"/>
    <w:rsid w:val="001754D4"/>
    <w:rsid w:val="00190419"/>
    <w:rsid w:val="001C0368"/>
    <w:rsid w:val="00303EB9"/>
    <w:rsid w:val="00422901"/>
    <w:rsid w:val="004A5016"/>
    <w:rsid w:val="0053524C"/>
    <w:rsid w:val="005A76A9"/>
    <w:rsid w:val="00605DA1"/>
    <w:rsid w:val="00627DA1"/>
    <w:rsid w:val="00670F91"/>
    <w:rsid w:val="0067649F"/>
    <w:rsid w:val="007C0BD6"/>
    <w:rsid w:val="008738B4"/>
    <w:rsid w:val="008913DE"/>
    <w:rsid w:val="008A7B68"/>
    <w:rsid w:val="00A24E81"/>
    <w:rsid w:val="00A25FA4"/>
    <w:rsid w:val="00A47F45"/>
    <w:rsid w:val="00A54F44"/>
    <w:rsid w:val="00A658AB"/>
    <w:rsid w:val="00AF15FA"/>
    <w:rsid w:val="00AF3AEF"/>
    <w:rsid w:val="00B539B2"/>
    <w:rsid w:val="00B946A2"/>
    <w:rsid w:val="00C22CCC"/>
    <w:rsid w:val="00D261A6"/>
    <w:rsid w:val="00DD796E"/>
    <w:rsid w:val="00E307D9"/>
    <w:rsid w:val="00E6039D"/>
    <w:rsid w:val="00F81EF3"/>
    <w:rsid w:val="00F8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E45"/>
  <w15:chartTrackingRefBased/>
  <w15:docId w15:val="{C4BE191D-9876-4799-ADF7-837A814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CC8"/>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9"/>
    <w:qFormat/>
    <w:rsid w:val="00041CC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041CC8"/>
    <w:pPr>
      <w:keepNext/>
      <w:outlineLvl w:val="1"/>
    </w:pPr>
    <w:rPr>
      <w:b/>
    </w:rPr>
  </w:style>
  <w:style w:type="paragraph" w:styleId="Antrat3">
    <w:name w:val="heading 3"/>
    <w:basedOn w:val="prastasis"/>
    <w:next w:val="prastasis"/>
    <w:link w:val="Antrat3Diagrama"/>
    <w:uiPriority w:val="99"/>
    <w:qFormat/>
    <w:rsid w:val="00041CC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041CC8"/>
    <w:pPr>
      <w:keepNext/>
      <w:jc w:val="both"/>
      <w:outlineLvl w:val="3"/>
    </w:pPr>
    <w:rPr>
      <w:u w:val="single"/>
    </w:rPr>
  </w:style>
  <w:style w:type="paragraph" w:styleId="Antrat5">
    <w:name w:val="heading 5"/>
    <w:basedOn w:val="prastasis"/>
    <w:next w:val="prastasis"/>
    <w:link w:val="Antrat5Diagrama"/>
    <w:uiPriority w:val="99"/>
    <w:qFormat/>
    <w:rsid w:val="00041CC8"/>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041CC8"/>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041CC8"/>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041CC8"/>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041CC8"/>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41CC8"/>
    <w:rPr>
      <w:rFonts w:ascii="Arial" w:eastAsia="Times New Roman" w:hAnsi="Arial" w:cs="Arial"/>
      <w:b/>
      <w:bCs/>
      <w:kern w:val="32"/>
      <w:sz w:val="32"/>
      <w:szCs w:val="32"/>
      <w:lang w:val="lt-LT" w:eastAsia="lt-LT"/>
      <w14:ligatures w14:val="none"/>
    </w:rPr>
  </w:style>
  <w:style w:type="character" w:customStyle="1" w:styleId="Antrat2Diagrama">
    <w:name w:val="Antraštė 2 Diagrama"/>
    <w:basedOn w:val="Numatytasispastraiposriftas"/>
    <w:link w:val="Antrat2"/>
    <w:uiPriority w:val="99"/>
    <w:rsid w:val="00041CC8"/>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uiPriority w:val="99"/>
    <w:rsid w:val="00041CC8"/>
    <w:rPr>
      <w:rFonts w:ascii="Arial" w:eastAsia="Times New Roman" w:hAnsi="Arial" w:cs="Arial"/>
      <w:b/>
      <w:bCs/>
      <w:kern w:val="0"/>
      <w:sz w:val="26"/>
      <w:szCs w:val="26"/>
      <w:lang w:val="lt-LT" w:eastAsia="lt-LT"/>
      <w14:ligatures w14:val="none"/>
    </w:rPr>
  </w:style>
  <w:style w:type="character" w:customStyle="1" w:styleId="Antrat4Diagrama">
    <w:name w:val="Antraštė 4 Diagrama"/>
    <w:basedOn w:val="Numatytasispastraiposriftas"/>
    <w:link w:val="Antrat4"/>
    <w:uiPriority w:val="99"/>
    <w:rsid w:val="00041CC8"/>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041CC8"/>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uiPriority w:val="99"/>
    <w:rsid w:val="00041CC8"/>
    <w:rPr>
      <w:rFonts w:ascii="Times New Roman" w:eastAsia="Times New Roma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041CC8"/>
    <w:rPr>
      <w:rFonts w:ascii="Times New Roman" w:eastAsia="Times New Roma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041CC8"/>
    <w:rPr>
      <w:rFonts w:ascii="Times New Roman" w:eastAsia="Times New Roma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041CC8"/>
    <w:rPr>
      <w:rFonts w:ascii="Times New Roman" w:eastAsia="Times New Roman" w:hAnsi="Times New Roman" w:cs="Times New Roman"/>
      <w:b/>
      <w:i/>
      <w:kern w:val="0"/>
      <w:szCs w:val="20"/>
      <w:lang w:val="en-GB"/>
      <w14:ligatures w14:val="none"/>
    </w:rPr>
  </w:style>
  <w:style w:type="paragraph" w:styleId="Pagrindinistekstas">
    <w:name w:val="Body Text"/>
    <w:aliases w:val="Body Text Char Char Char"/>
    <w:basedOn w:val="prastasis"/>
    <w:link w:val="PagrindinistekstasDiagrama"/>
    <w:rsid w:val="00041CC8"/>
    <w:pPr>
      <w:spacing w:after="120"/>
    </w:pPr>
  </w:style>
  <w:style w:type="character" w:customStyle="1" w:styleId="BodyTextChar">
    <w:name w:val="Body Text Char"/>
    <w:basedOn w:val="Numatytasispastraiposriftas"/>
    <w:uiPriority w:val="99"/>
    <w:semiHidden/>
    <w:rsid w:val="00041CC8"/>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041CC8"/>
    <w:pPr>
      <w:tabs>
        <w:tab w:val="center" w:pos="4153"/>
        <w:tab w:val="right" w:pos="8306"/>
      </w:tabs>
    </w:pPr>
  </w:style>
  <w:style w:type="character" w:customStyle="1" w:styleId="PoratDiagrama">
    <w:name w:val="Poraštė Diagrama"/>
    <w:basedOn w:val="Numatytasispastraiposriftas"/>
    <w:link w:val="Porat"/>
    <w:uiPriority w:val="99"/>
    <w:rsid w:val="00041CC8"/>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uiPriority w:val="99"/>
    <w:rsid w:val="00041CC8"/>
  </w:style>
  <w:style w:type="paragraph" w:styleId="Pavadinimas">
    <w:name w:val="Title"/>
    <w:basedOn w:val="prastasis"/>
    <w:link w:val="PavadinimasDiagrama"/>
    <w:autoRedefine/>
    <w:uiPriority w:val="99"/>
    <w:qFormat/>
    <w:rsid w:val="00041CC8"/>
    <w:pPr>
      <w:jc w:val="center"/>
      <w:outlineLvl w:val="0"/>
    </w:pPr>
    <w:rPr>
      <w:b/>
      <w:kern w:val="28"/>
    </w:rPr>
  </w:style>
  <w:style w:type="character" w:customStyle="1" w:styleId="PavadinimasDiagrama">
    <w:name w:val="Pavadinimas Diagrama"/>
    <w:basedOn w:val="Numatytasispastraiposriftas"/>
    <w:link w:val="Pavadinimas"/>
    <w:uiPriority w:val="99"/>
    <w:rsid w:val="00041CC8"/>
    <w:rPr>
      <w:rFonts w:ascii="Times New Roman" w:eastAsia="Times New Roman" w:hAnsi="Times New Roman" w:cs="Times New Roman"/>
      <w:b/>
      <w:kern w:val="28"/>
      <w:szCs w:val="20"/>
      <w:lang w:val="lt-LT" w:eastAsia="lt-LT"/>
      <w14:ligatures w14:val="none"/>
    </w:rPr>
  </w:style>
  <w:style w:type="character" w:styleId="Hipersaitas">
    <w:name w:val="Hyperlink"/>
    <w:uiPriority w:val="99"/>
    <w:rsid w:val="00041CC8"/>
    <w:rPr>
      <w:color w:val="0000FF"/>
      <w:u w:val="single"/>
    </w:rPr>
  </w:style>
  <w:style w:type="paragraph" w:styleId="Pagrindinistekstas2">
    <w:name w:val="Body Text 2"/>
    <w:basedOn w:val="prastasis"/>
    <w:link w:val="Pagrindinistekstas2Diagrama"/>
    <w:uiPriority w:val="99"/>
    <w:rsid w:val="00041CC8"/>
    <w:pPr>
      <w:spacing w:after="120" w:line="480" w:lineRule="auto"/>
    </w:pPr>
  </w:style>
  <w:style w:type="character" w:customStyle="1" w:styleId="Pagrindinistekstas2Diagrama">
    <w:name w:val="Pagrindinis tekstas 2 Diagrama"/>
    <w:basedOn w:val="Numatytasispastraiposriftas"/>
    <w:link w:val="Pagrindinistekstas2"/>
    <w:uiPriority w:val="99"/>
    <w:rsid w:val="00041CC8"/>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rsid w:val="00041CC8"/>
    <w:rPr>
      <w:szCs w:val="22"/>
      <w:lang w:eastAsia="en-US"/>
    </w:rPr>
  </w:style>
  <w:style w:type="character" w:customStyle="1" w:styleId="BTEMEASMCAChar">
    <w:name w:val="BT EMEA_SMCA Char"/>
    <w:link w:val="BTEMEASMCA"/>
    <w:rsid w:val="00041CC8"/>
    <w:rPr>
      <w:rFonts w:ascii="Times New Roman" w:eastAsia="Times New Roman" w:hAnsi="Times New Roman" w:cs="Times New Roman"/>
      <w:kern w:val="0"/>
      <w:lang w:val="lt-LT"/>
      <w14:ligatures w14:val="none"/>
    </w:rPr>
  </w:style>
  <w:style w:type="paragraph" w:customStyle="1" w:styleId="PI-1EMEASMCA">
    <w:name w:val="PI-1 EMEA_SMCA"/>
    <w:basedOn w:val="Antrat2"/>
    <w:autoRedefine/>
    <w:rsid w:val="00041CC8"/>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041CC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041CC8"/>
    <w:rPr>
      <w:rFonts w:ascii="Times New Roman" w:eastAsia="Times New Roman" w:hAnsi="Times New Roman" w:cs="Times New Roman"/>
      <w:b/>
      <w:noProof/>
      <w:kern w:val="0"/>
      <w:lang w:val="lt-LT"/>
      <w14:ligatures w14:val="none"/>
    </w:rPr>
  </w:style>
  <w:style w:type="paragraph" w:customStyle="1" w:styleId="PI-2EMEASMCA">
    <w:name w:val="PI-2 EMEA_SMCA"/>
    <w:basedOn w:val="Antrat3"/>
    <w:autoRedefine/>
    <w:rsid w:val="00041CC8"/>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041CC8"/>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041CC8"/>
    <w:rPr>
      <w:rFonts w:ascii="Times New Roman" w:eastAsia="Times New Roman" w:hAnsi="Times New Roman" w:cs="Times New Roman"/>
      <w:b/>
      <w:iCs/>
      <w:kern w:val="0"/>
      <w:lang w:val="lt-LT"/>
      <w14:ligatures w14:val="none"/>
    </w:rPr>
  </w:style>
  <w:style w:type="paragraph" w:customStyle="1" w:styleId="BTAnIIEMEASMCA">
    <w:name w:val="BT(AnII) EMEA_SMCA"/>
    <w:basedOn w:val="Debesliotekstas"/>
    <w:autoRedefine/>
    <w:rsid w:val="00041CC8"/>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041CC8"/>
    <w:pPr>
      <w:spacing w:line="220" w:lineRule="exact"/>
    </w:pPr>
    <w:rPr>
      <w:b/>
      <w:bCs/>
      <w:szCs w:val="22"/>
      <w:lang w:eastAsia="en-US"/>
    </w:rPr>
  </w:style>
  <w:style w:type="character" w:customStyle="1" w:styleId="PI-3EMEASMCAChar">
    <w:name w:val="PI-3 EMEA_SMCA Char"/>
    <w:link w:val="PI-3EMEASMCA"/>
    <w:rsid w:val="00041CC8"/>
    <w:rPr>
      <w:rFonts w:ascii="Times New Roman" w:eastAsia="Times New Roman" w:hAnsi="Times New Roman" w:cs="Times New Roman"/>
      <w:b/>
      <w:bCs/>
      <w:kern w:val="0"/>
      <w:lang w:val="lt-LT"/>
      <w14:ligatures w14:val="none"/>
    </w:rPr>
  </w:style>
  <w:style w:type="paragraph" w:styleId="Debesliotekstas">
    <w:name w:val="Balloon Text"/>
    <w:basedOn w:val="prastasis"/>
    <w:link w:val="DebesliotekstasDiagrama"/>
    <w:uiPriority w:val="99"/>
    <w:rsid w:val="00041C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41CC8"/>
    <w:rPr>
      <w:rFonts w:ascii="Tahoma" w:eastAsia="Times New Roman" w:hAnsi="Tahoma" w:cs="Tahoma"/>
      <w:kern w:val="0"/>
      <w:sz w:val="16"/>
      <w:szCs w:val="16"/>
      <w:lang w:val="lt-LT" w:eastAsia="lt-LT"/>
      <w14:ligatures w14:val="none"/>
    </w:rPr>
  </w:style>
  <w:style w:type="character" w:customStyle="1" w:styleId="hps">
    <w:name w:val="hps"/>
    <w:uiPriority w:val="99"/>
    <w:rsid w:val="00041CC8"/>
    <w:rPr>
      <w:rFonts w:cs="Times New Roman"/>
    </w:rPr>
  </w:style>
  <w:style w:type="character" w:customStyle="1" w:styleId="shorttext">
    <w:name w:val="short_text"/>
    <w:uiPriority w:val="99"/>
    <w:rsid w:val="00041CC8"/>
    <w:rPr>
      <w:rFonts w:cs="Times New Roman"/>
    </w:rPr>
  </w:style>
  <w:style w:type="character" w:customStyle="1" w:styleId="hpsalt-edited">
    <w:name w:val="hps alt-edited"/>
    <w:uiPriority w:val="99"/>
    <w:rsid w:val="00041CC8"/>
    <w:rPr>
      <w:rFonts w:cs="Times New Roman"/>
    </w:rPr>
  </w:style>
  <w:style w:type="character" w:customStyle="1" w:styleId="hpsatn">
    <w:name w:val="hps atn"/>
    <w:uiPriority w:val="99"/>
    <w:rsid w:val="00041CC8"/>
    <w:rPr>
      <w:rFonts w:cs="Times New Roman"/>
    </w:rPr>
  </w:style>
  <w:style w:type="character" w:styleId="Grietas">
    <w:name w:val="Strong"/>
    <w:uiPriority w:val="99"/>
    <w:qFormat/>
    <w:rsid w:val="00041CC8"/>
    <w:rPr>
      <w:b/>
      <w:bCs/>
    </w:rPr>
  </w:style>
  <w:style w:type="character" w:customStyle="1" w:styleId="PagrindinistekstasDiagrama">
    <w:name w:val="Pagrindinis tekstas Diagrama"/>
    <w:aliases w:val="Body Text Char Char Char Diagrama"/>
    <w:link w:val="Pagrindinistekstas"/>
    <w:rsid w:val="00041CC8"/>
    <w:rPr>
      <w:rFonts w:ascii="Times New Roman" w:eastAsia="Times New Roman" w:hAnsi="Times New Roman" w:cs="Times New Roman"/>
      <w:kern w:val="0"/>
      <w:szCs w:val="20"/>
      <w:lang w:val="lt-LT" w:eastAsia="lt-LT"/>
      <w14:ligatures w14:val="none"/>
    </w:rPr>
  </w:style>
  <w:style w:type="character" w:styleId="Komentaronuoroda">
    <w:name w:val="annotation reference"/>
    <w:uiPriority w:val="99"/>
    <w:rsid w:val="00041CC8"/>
    <w:rPr>
      <w:rFonts w:cs="Times New Roman"/>
      <w:sz w:val="16"/>
    </w:rPr>
  </w:style>
  <w:style w:type="paragraph" w:styleId="Komentarotekstas">
    <w:name w:val="annotation text"/>
    <w:basedOn w:val="prastasis"/>
    <w:link w:val="KomentarotekstasDiagrama"/>
    <w:uiPriority w:val="99"/>
    <w:rsid w:val="00041CC8"/>
    <w:rPr>
      <w:sz w:val="20"/>
    </w:rPr>
  </w:style>
  <w:style w:type="character" w:customStyle="1" w:styleId="KomentarotekstasDiagrama">
    <w:name w:val="Komentaro tekstas Diagrama"/>
    <w:basedOn w:val="Numatytasispastraiposriftas"/>
    <w:link w:val="Komentarotekstas"/>
    <w:uiPriority w:val="99"/>
    <w:rsid w:val="00041CC8"/>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041CC8"/>
    <w:rPr>
      <w:b/>
      <w:bCs/>
    </w:rPr>
  </w:style>
  <w:style w:type="character" w:customStyle="1" w:styleId="KomentarotemaDiagrama">
    <w:name w:val="Komentaro tema Diagrama"/>
    <w:basedOn w:val="KomentarotekstasDiagrama"/>
    <w:link w:val="Komentarotema"/>
    <w:uiPriority w:val="99"/>
    <w:rsid w:val="00041CC8"/>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rsid w:val="00041CC8"/>
    <w:pPr>
      <w:tabs>
        <w:tab w:val="center" w:pos="4819"/>
        <w:tab w:val="right" w:pos="9638"/>
      </w:tabs>
    </w:pPr>
  </w:style>
  <w:style w:type="character" w:customStyle="1" w:styleId="AntratsDiagrama">
    <w:name w:val="Antraštės Diagrama"/>
    <w:basedOn w:val="Numatytasispastraiposriftas"/>
    <w:link w:val="Antrats"/>
    <w:rsid w:val="00041CC8"/>
    <w:rPr>
      <w:rFonts w:ascii="Times New Roman" w:eastAsia="Times New Roman" w:hAnsi="Times New Roman" w:cs="Times New Roman"/>
      <w:kern w:val="0"/>
      <w:szCs w:val="20"/>
      <w:lang w:val="lt-LT" w:eastAsia="lt-LT"/>
      <w14:ligatures w14:val="none"/>
    </w:rPr>
  </w:style>
  <w:style w:type="paragraph" w:customStyle="1" w:styleId="Default">
    <w:name w:val="Default"/>
    <w:rsid w:val="00041CC8"/>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59"/>
    <w:rsid w:val="00041CC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41CC8"/>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41CC8"/>
    <w:pPr>
      <w:widowControl w:val="0"/>
      <w:spacing w:after="0" w:line="240" w:lineRule="auto"/>
    </w:pPr>
    <w:rPr>
      <w:rFonts w:ascii="Calibri" w:eastAsia="Calibri" w:hAnsi="Calibri" w:cs="Times New Roman"/>
      <w:kern w:val="0"/>
      <w14:ligatures w14:val="none"/>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041CC8"/>
  </w:style>
  <w:style w:type="paragraph" w:styleId="Pagrindiniotekstotrauka">
    <w:name w:val="Body Text Indent"/>
    <w:basedOn w:val="prastasis"/>
    <w:link w:val="PagrindiniotekstotraukaDiagrama"/>
    <w:uiPriority w:val="99"/>
    <w:rsid w:val="00041CC8"/>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041CC8"/>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041CC8"/>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041CC8"/>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041CC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041CC8"/>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041CC8"/>
    <w:pPr>
      <w:spacing w:before="120" w:after="120"/>
      <w:jc w:val="both"/>
    </w:pPr>
    <w:rPr>
      <w:lang w:val="en-US" w:eastAsia="en-US"/>
    </w:rPr>
  </w:style>
  <w:style w:type="paragraph" w:styleId="Dokumentostruktra">
    <w:name w:val="Document Map"/>
    <w:basedOn w:val="prastasis"/>
    <w:link w:val="DokumentostruktraDiagrama"/>
    <w:uiPriority w:val="99"/>
    <w:rsid w:val="00041CC8"/>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uiPriority w:val="99"/>
    <w:rsid w:val="00041CC8"/>
    <w:rPr>
      <w:rFonts w:ascii="Tahoma" w:eastAsia="Times New Roman" w:hAnsi="Tahoma" w:cs="Tahoma"/>
      <w:kern w:val="0"/>
      <w:szCs w:val="20"/>
      <w:shd w:val="clear" w:color="auto" w:fill="000080"/>
      <w:lang w:val="en-GB"/>
      <w14:ligatures w14:val="none"/>
    </w:rPr>
  </w:style>
  <w:style w:type="paragraph" w:customStyle="1" w:styleId="AHeader1">
    <w:name w:val="AHeader 1"/>
    <w:basedOn w:val="prastasis"/>
    <w:uiPriority w:val="99"/>
    <w:rsid w:val="00041CC8"/>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041CC8"/>
    <w:pPr>
      <w:numPr>
        <w:ilvl w:val="1"/>
      </w:numPr>
      <w:tabs>
        <w:tab w:val="clear" w:pos="709"/>
        <w:tab w:val="num" w:pos="360"/>
      </w:tabs>
    </w:pPr>
    <w:rPr>
      <w:sz w:val="22"/>
    </w:rPr>
  </w:style>
  <w:style w:type="paragraph" w:customStyle="1" w:styleId="AHeader3">
    <w:name w:val="AHeader 3"/>
    <w:basedOn w:val="AHeader2"/>
    <w:uiPriority w:val="99"/>
    <w:rsid w:val="00041CC8"/>
    <w:pPr>
      <w:numPr>
        <w:ilvl w:val="2"/>
      </w:numPr>
      <w:tabs>
        <w:tab w:val="clear" w:pos="1276"/>
        <w:tab w:val="num" w:pos="360"/>
      </w:tabs>
    </w:pPr>
  </w:style>
  <w:style w:type="paragraph" w:customStyle="1" w:styleId="AHeader2abc">
    <w:name w:val="AHeader 2 abc"/>
    <w:basedOn w:val="AHeader3"/>
    <w:uiPriority w:val="99"/>
    <w:rsid w:val="00041CC8"/>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041CC8"/>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041CC8"/>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041CC8"/>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041CC8"/>
    <w:rPr>
      <w:color w:val="800080"/>
      <w:u w:val="single"/>
    </w:rPr>
  </w:style>
  <w:style w:type="paragraph" w:customStyle="1" w:styleId="BodytextAgency">
    <w:name w:val="Body text (Agency)"/>
    <w:basedOn w:val="prastasis"/>
    <w:link w:val="BodytextAgencyChar"/>
    <w:uiPriority w:val="99"/>
    <w:rsid w:val="00041CC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041CC8"/>
    <w:rPr>
      <w:rFonts w:ascii="Verdana" w:eastAsia="Verdana" w:hAnsi="Verdana" w:cs="Verdana"/>
      <w:kern w:val="0"/>
      <w:sz w:val="18"/>
      <w:szCs w:val="18"/>
      <w:lang w:val="en-GB" w:eastAsia="en-GB"/>
      <w14:ligatures w14:val="none"/>
    </w:rPr>
  </w:style>
  <w:style w:type="paragraph" w:styleId="Pataisymai">
    <w:name w:val="Revision"/>
    <w:hidden/>
    <w:uiPriority w:val="99"/>
    <w:semiHidden/>
    <w:rsid w:val="00041CC8"/>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041CC8"/>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uiPriority w:val="99"/>
    <w:rsid w:val="00041CC8"/>
    <w:rPr>
      <w:rFonts w:ascii="Courier New" w:eastAsia="Times New Roman" w:hAnsi="Courier New" w:cs="Courier New"/>
      <w:kern w:val="0"/>
      <w:sz w:val="20"/>
      <w:szCs w:val="20"/>
      <w:lang w:val="en-GB"/>
      <w14:ligatures w14:val="none"/>
    </w:rPr>
  </w:style>
  <w:style w:type="paragraph" w:styleId="Sraopastraipa">
    <w:name w:val="List Paragraph"/>
    <w:basedOn w:val="prastasis"/>
    <w:uiPriority w:val="34"/>
    <w:qFormat/>
    <w:rsid w:val="00041CC8"/>
    <w:pPr>
      <w:tabs>
        <w:tab w:val="left" w:pos="567"/>
      </w:tabs>
      <w:spacing w:line="260" w:lineRule="exact"/>
      <w:ind w:left="720"/>
    </w:pPr>
    <w:rPr>
      <w:lang w:val="en-GB" w:eastAsia="en-US"/>
    </w:rPr>
  </w:style>
  <w:style w:type="numbering" w:customStyle="1" w:styleId="NoList2">
    <w:name w:val="No List2"/>
    <w:next w:val="Sraonra"/>
    <w:uiPriority w:val="99"/>
    <w:semiHidden/>
    <w:unhideWhenUsed/>
    <w:rsid w:val="00041CC8"/>
  </w:style>
  <w:style w:type="paragraph" w:customStyle="1" w:styleId="NormalAgency">
    <w:name w:val="Normal (Agency)"/>
    <w:link w:val="NormalAgencyChar"/>
    <w:uiPriority w:val="99"/>
    <w:rsid w:val="00041CC8"/>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041CC8"/>
    <w:pPr>
      <w:spacing w:line="280" w:lineRule="exact"/>
    </w:pPr>
    <w:rPr>
      <w:rFonts w:ascii="Verdana" w:hAnsi="Verdana"/>
      <w:snapToGrid w:val="0"/>
      <w:sz w:val="18"/>
      <w:lang w:val="en-GB" w:eastAsia="en-US"/>
    </w:rPr>
  </w:style>
  <w:style w:type="character" w:customStyle="1" w:styleId="tw4winError">
    <w:name w:val="tw4winError"/>
    <w:uiPriority w:val="99"/>
    <w:rsid w:val="00041CC8"/>
    <w:rPr>
      <w:rFonts w:ascii="Courier New" w:hAnsi="Courier New"/>
      <w:color w:val="00FF00"/>
      <w:sz w:val="40"/>
    </w:rPr>
  </w:style>
  <w:style w:type="character" w:customStyle="1" w:styleId="tw4winTerm">
    <w:name w:val="tw4winTerm"/>
    <w:uiPriority w:val="99"/>
    <w:rsid w:val="00041CC8"/>
    <w:rPr>
      <w:color w:val="0000FF"/>
    </w:rPr>
  </w:style>
  <w:style w:type="character" w:customStyle="1" w:styleId="tw4winPopup">
    <w:name w:val="tw4winPopup"/>
    <w:uiPriority w:val="99"/>
    <w:rsid w:val="00041CC8"/>
    <w:rPr>
      <w:rFonts w:ascii="Courier New" w:hAnsi="Courier New"/>
      <w:noProof/>
      <w:color w:val="008000"/>
    </w:rPr>
  </w:style>
  <w:style w:type="character" w:customStyle="1" w:styleId="tw4winJump">
    <w:name w:val="tw4winJump"/>
    <w:uiPriority w:val="99"/>
    <w:rsid w:val="00041CC8"/>
    <w:rPr>
      <w:rFonts w:ascii="Courier New" w:hAnsi="Courier New"/>
      <w:noProof/>
      <w:color w:val="008080"/>
    </w:rPr>
  </w:style>
  <w:style w:type="character" w:customStyle="1" w:styleId="tw4winExternal">
    <w:name w:val="tw4winExternal"/>
    <w:uiPriority w:val="99"/>
    <w:rsid w:val="00041CC8"/>
    <w:rPr>
      <w:rFonts w:ascii="Courier New" w:hAnsi="Courier New"/>
      <w:noProof/>
      <w:color w:val="808080"/>
    </w:rPr>
  </w:style>
  <w:style w:type="character" w:customStyle="1" w:styleId="tw4winInternal">
    <w:name w:val="tw4winInternal"/>
    <w:uiPriority w:val="99"/>
    <w:rsid w:val="00041CC8"/>
    <w:rPr>
      <w:rFonts w:ascii="Courier New" w:hAnsi="Courier New"/>
      <w:noProof/>
      <w:color w:val="FF0000"/>
    </w:rPr>
  </w:style>
  <w:style w:type="character" w:customStyle="1" w:styleId="DONOTTRANSLATE">
    <w:name w:val="DO_NOT_TRANSLATE"/>
    <w:uiPriority w:val="99"/>
    <w:rsid w:val="00041CC8"/>
    <w:rPr>
      <w:rFonts w:ascii="Courier New" w:hAnsi="Courier New"/>
      <w:noProof/>
      <w:color w:val="800000"/>
    </w:rPr>
  </w:style>
  <w:style w:type="paragraph" w:customStyle="1" w:styleId="viesussraas3parykinimas1">
    <w:name w:val="Šviesus sąrašas – 3 paryškinimas1"/>
    <w:hidden/>
    <w:uiPriority w:val="99"/>
    <w:semiHidden/>
    <w:rsid w:val="00041CC8"/>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tw4winMark">
    <w:name w:val="tw4winMark"/>
    <w:uiPriority w:val="99"/>
    <w:rsid w:val="00041CC8"/>
    <w:rPr>
      <w:rFonts w:ascii="Courier New" w:hAnsi="Courier New"/>
      <w:vanish/>
      <w:color w:val="800080"/>
      <w:sz w:val="24"/>
      <w:vertAlign w:val="subscript"/>
    </w:rPr>
  </w:style>
  <w:style w:type="character" w:customStyle="1" w:styleId="HeaderChar1">
    <w:name w:val="Header Char1"/>
    <w:basedOn w:val="Numatytasispastraiposriftas"/>
    <w:uiPriority w:val="99"/>
    <w:rsid w:val="00041CC8"/>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041CC8"/>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41CC8"/>
    <w:pPr>
      <w:keepNext/>
    </w:pPr>
    <w:rPr>
      <w:rFonts w:eastAsia="SimSun"/>
      <w:b/>
    </w:rPr>
  </w:style>
  <w:style w:type="character" w:customStyle="1" w:styleId="NormalAgencyChar">
    <w:name w:val="Normal (Agency) Char"/>
    <w:link w:val="NormalAgency"/>
    <w:uiPriority w:val="99"/>
    <w:locked/>
    <w:rsid w:val="00041CC8"/>
    <w:rPr>
      <w:rFonts w:ascii="Verdana" w:eastAsia="Times New Roman" w:hAnsi="Verdana" w:cs="Times New Roman"/>
      <w:snapToGrid w:val="0"/>
      <w:kern w:val="0"/>
      <w:sz w:val="18"/>
      <w:lang w:val="en-GB" w:eastAsia="lt-LT"/>
      <w14:ligatures w14:val="none"/>
    </w:rPr>
  </w:style>
  <w:style w:type="paragraph" w:styleId="Dokumentoinaostekstas">
    <w:name w:val="endnote text"/>
    <w:basedOn w:val="prastasis"/>
    <w:link w:val="DokumentoinaostekstasDiagrama"/>
    <w:uiPriority w:val="99"/>
    <w:rsid w:val="00041CC8"/>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041CC8"/>
    <w:rPr>
      <w:rFonts w:ascii="Times New Roman" w:eastAsia="SimSun" w:hAnsi="Times New Roman" w:cs="Times New Roman"/>
      <w:kern w:val="0"/>
      <w:sz w:val="20"/>
      <w:szCs w:val="20"/>
      <w:lang w:val="en-GB" w:eastAsia="x-none"/>
      <w14:ligatures w14:val="none"/>
    </w:rPr>
  </w:style>
  <w:style w:type="character" w:customStyle="1" w:styleId="CharChar12">
    <w:name w:val="Char Char12"/>
    <w:locked/>
    <w:rsid w:val="00041CC8"/>
    <w:rPr>
      <w:snapToGrid w:val="0"/>
      <w:lang w:val="en-GB" w:eastAsia="en-US" w:bidi="ar-SA"/>
    </w:rPr>
  </w:style>
  <w:style w:type="paragraph" w:customStyle="1" w:styleId="1vidutinistinklelis2parykinimas1">
    <w:name w:val="1 vidutinis tinklelis – 2 paryškinimas1"/>
    <w:basedOn w:val="prastasis"/>
    <w:uiPriority w:val="34"/>
    <w:qFormat/>
    <w:rsid w:val="00041CC8"/>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041CC8"/>
  </w:style>
  <w:style w:type="numbering" w:customStyle="1" w:styleId="NoList3">
    <w:name w:val="No List3"/>
    <w:next w:val="Sraonra"/>
    <w:uiPriority w:val="99"/>
    <w:semiHidden/>
    <w:unhideWhenUsed/>
    <w:rsid w:val="00041CC8"/>
  </w:style>
  <w:style w:type="paragraph" w:customStyle="1" w:styleId="SPCNormal">
    <w:name w:val="SPC Normal"/>
    <w:basedOn w:val="prastasis"/>
    <w:rsid w:val="00041CC8"/>
    <w:pPr>
      <w:tabs>
        <w:tab w:val="left" w:pos="562"/>
      </w:tabs>
    </w:pPr>
    <w:rPr>
      <w:rFonts w:eastAsia="SimSun"/>
      <w:lang w:val="en-GB" w:eastAsia="en-US"/>
    </w:rPr>
  </w:style>
  <w:style w:type="paragraph" w:customStyle="1" w:styleId="LabelNormal">
    <w:name w:val="Label Normal"/>
    <w:basedOn w:val="prastasis"/>
    <w:uiPriority w:val="99"/>
    <w:rsid w:val="00041CC8"/>
    <w:pPr>
      <w:tabs>
        <w:tab w:val="left" w:pos="562"/>
      </w:tabs>
    </w:pPr>
    <w:rPr>
      <w:rFonts w:eastAsia="SimSun"/>
      <w:lang w:val="en-GB" w:eastAsia="en-US"/>
    </w:rPr>
  </w:style>
  <w:style w:type="numbering" w:customStyle="1" w:styleId="NoList4">
    <w:name w:val="No List4"/>
    <w:next w:val="Sraonra"/>
    <w:uiPriority w:val="99"/>
    <w:semiHidden/>
    <w:unhideWhenUsed/>
    <w:rsid w:val="00041CC8"/>
  </w:style>
  <w:style w:type="paragraph" w:customStyle="1" w:styleId="BT-EMEASMCA">
    <w:name w:val="BT- EMEA_SMCA"/>
    <w:basedOn w:val="BTEMEASMCA"/>
    <w:autoRedefine/>
    <w:rsid w:val="00041CC8"/>
    <w:pPr>
      <w:numPr>
        <w:numId w:val="2"/>
      </w:numPr>
      <w:tabs>
        <w:tab w:val="num" w:pos="360"/>
      </w:tabs>
      <w:ind w:left="360" w:hanging="360"/>
    </w:pPr>
  </w:style>
  <w:style w:type="paragraph" w:customStyle="1" w:styleId="BTbEMEASMCA">
    <w:name w:val="BT(b) EMEA_SMCA"/>
    <w:basedOn w:val="BTEMEASMCA"/>
    <w:autoRedefine/>
    <w:rsid w:val="00041CC8"/>
    <w:rPr>
      <w:b/>
    </w:rPr>
  </w:style>
  <w:style w:type="paragraph" w:customStyle="1" w:styleId="BTuEMEASMCA">
    <w:name w:val="BT(u) EMEA_SMCA"/>
    <w:basedOn w:val="BTEMEASMCA"/>
    <w:autoRedefine/>
    <w:rsid w:val="00041CC8"/>
    <w:rPr>
      <w:u w:val="single"/>
    </w:rPr>
  </w:style>
  <w:style w:type="paragraph" w:customStyle="1" w:styleId="Style">
    <w:name w:val="Style"/>
    <w:uiPriority w:val="99"/>
    <w:rsid w:val="00041CC8"/>
    <w:pPr>
      <w:widowControl w:val="0"/>
      <w:autoSpaceDE w:val="0"/>
      <w:autoSpaceDN w:val="0"/>
      <w:adjustRightInd w:val="0"/>
      <w:spacing w:after="0" w:line="240" w:lineRule="auto"/>
    </w:pPr>
    <w:rPr>
      <w:rFonts w:ascii="Arial" w:eastAsia="MS Mincho" w:hAnsi="Arial" w:cs="Arial"/>
      <w:kern w:val="0"/>
      <w:sz w:val="24"/>
      <w:szCs w:val="24"/>
      <w:lang w:eastAsia="ja-JP"/>
      <w14:ligatures w14:val="none"/>
    </w:rPr>
  </w:style>
  <w:style w:type="paragraph" w:customStyle="1" w:styleId="Retrait">
    <w:name w:val="Retrait"/>
    <w:basedOn w:val="prastasis"/>
    <w:next w:val="prastasis"/>
    <w:autoRedefine/>
    <w:uiPriority w:val="99"/>
    <w:rsid w:val="00041CC8"/>
    <w:pPr>
      <w:tabs>
        <w:tab w:val="right" w:pos="8789"/>
      </w:tabs>
    </w:pPr>
    <w:rPr>
      <w:i/>
      <w:szCs w:val="22"/>
      <w:u w:val="single"/>
      <w:lang w:val="pt-PT" w:eastAsia="fr-FR"/>
    </w:rPr>
  </w:style>
  <w:style w:type="character" w:styleId="Dokumentoinaosnumeris">
    <w:name w:val="endnote reference"/>
    <w:rsid w:val="00041CC8"/>
    <w:rPr>
      <w:vertAlign w:val="superscript"/>
    </w:rPr>
  </w:style>
  <w:style w:type="paragraph" w:customStyle="1" w:styleId="BTgEMEASMCA">
    <w:name w:val="BT(g) EMEA_SMCA"/>
    <w:basedOn w:val="BTEMEASMCA"/>
    <w:link w:val="BTgEMEASMCAChar"/>
    <w:autoRedefine/>
    <w:rsid w:val="00041CC8"/>
    <w:rPr>
      <w:i/>
      <w:noProof/>
      <w:color w:val="008000"/>
    </w:rPr>
  </w:style>
  <w:style w:type="character" w:customStyle="1" w:styleId="BTgEMEASMCAChar">
    <w:name w:val="BT(g) EMEA_SMCA Char"/>
    <w:link w:val="BTgEMEASMCA"/>
    <w:rsid w:val="00041CC8"/>
    <w:rPr>
      <w:rFonts w:ascii="Times New Roman" w:eastAsia="Times New Roman" w:hAnsi="Times New Roman" w:cs="Times New Roman"/>
      <w:i/>
      <w:noProof/>
      <w:color w:val="008000"/>
      <w:kern w:val="0"/>
      <w:lang w:val="lt-LT"/>
      <w14:ligatures w14:val="none"/>
    </w:rPr>
  </w:style>
  <w:style w:type="numbering" w:customStyle="1" w:styleId="NoList11">
    <w:name w:val="No List11"/>
    <w:next w:val="Sraonra"/>
    <w:uiPriority w:val="99"/>
    <w:semiHidden/>
    <w:unhideWhenUsed/>
    <w:rsid w:val="00041CC8"/>
  </w:style>
  <w:style w:type="paragraph" w:styleId="Paantrat">
    <w:name w:val="Subtitle"/>
    <w:basedOn w:val="prastasis"/>
    <w:link w:val="PaantratDiagrama"/>
    <w:uiPriority w:val="99"/>
    <w:qFormat/>
    <w:rsid w:val="00041CC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041CC8"/>
    <w:rPr>
      <w:rFonts w:ascii="TimesNewRoman,Bold" w:eastAsia="Times New Roman" w:hAnsi="TimesNewRoman,Bold" w:cs="Times New Roman"/>
      <w:b/>
      <w:color w:val="000000"/>
      <w:kern w:val="0"/>
      <w:szCs w:val="20"/>
      <w:lang w:eastAsia="lt-LT"/>
      <w14:ligatures w14:val="none"/>
    </w:rPr>
  </w:style>
  <w:style w:type="table" w:customStyle="1" w:styleId="TableGrid1">
    <w:name w:val="Table Grid1"/>
    <w:basedOn w:val="prastojilentel"/>
    <w:next w:val="Lentelstinklelis"/>
    <w:uiPriority w:val="99"/>
    <w:rsid w:val="00041CC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41CC8"/>
    <w:pPr>
      <w:spacing w:before="100" w:after="100"/>
    </w:pPr>
    <w:rPr>
      <w:lang w:val="en-US"/>
    </w:rPr>
  </w:style>
  <w:style w:type="paragraph" w:customStyle="1" w:styleId="TableText">
    <w:name w:val="Table Text"/>
    <w:basedOn w:val="prastasis"/>
    <w:uiPriority w:val="99"/>
    <w:rsid w:val="00041CC8"/>
    <w:rPr>
      <w:rFonts w:ascii="CG Times (W1)" w:hAnsi="CG Times (W1)"/>
      <w:sz w:val="20"/>
      <w:lang w:val="en-GB" w:eastAsia="en-US"/>
    </w:rPr>
  </w:style>
  <w:style w:type="paragraph" w:customStyle="1" w:styleId="Normal11pt">
    <w:name w:val="Normal + 11pt"/>
    <w:basedOn w:val="prastasis"/>
    <w:link w:val="Normal11ptCar"/>
    <w:uiPriority w:val="99"/>
    <w:rsid w:val="00041CC8"/>
    <w:rPr>
      <w:szCs w:val="22"/>
      <w:lang w:val="en-GB" w:eastAsia="en-US"/>
    </w:rPr>
  </w:style>
  <w:style w:type="character" w:customStyle="1" w:styleId="Normal11ptCar">
    <w:name w:val="Normal + 11pt Car"/>
    <w:link w:val="Normal11pt"/>
    <w:uiPriority w:val="99"/>
    <w:rsid w:val="00041CC8"/>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041CC8"/>
    <w:pPr>
      <w:tabs>
        <w:tab w:val="left" w:pos="425"/>
      </w:tabs>
      <w:jc w:val="both"/>
    </w:pPr>
    <w:rPr>
      <w:rFonts w:ascii="Arial" w:hAnsi="Arial"/>
      <w:sz w:val="24"/>
      <w:lang w:eastAsia="en-US"/>
    </w:rPr>
  </w:style>
  <w:style w:type="numbering" w:customStyle="1" w:styleId="NoList111">
    <w:name w:val="No List111"/>
    <w:next w:val="Sraonra"/>
    <w:uiPriority w:val="99"/>
    <w:semiHidden/>
    <w:unhideWhenUsed/>
    <w:rsid w:val="00041CC8"/>
  </w:style>
  <w:style w:type="numbering" w:customStyle="1" w:styleId="NoList21">
    <w:name w:val="No List21"/>
    <w:next w:val="Sraonra"/>
    <w:uiPriority w:val="99"/>
    <w:semiHidden/>
    <w:unhideWhenUsed/>
    <w:rsid w:val="00041CC8"/>
  </w:style>
  <w:style w:type="paragraph" w:styleId="Antrat">
    <w:name w:val="caption"/>
    <w:basedOn w:val="prastasis"/>
    <w:next w:val="prastasis"/>
    <w:qFormat/>
    <w:rsid w:val="00041CC8"/>
    <w:pPr>
      <w:jc w:val="both"/>
    </w:pPr>
    <w:rPr>
      <w:sz w:val="24"/>
      <w:lang w:val="en-GB" w:eastAsia="sl-SI"/>
    </w:rPr>
  </w:style>
  <w:style w:type="paragraph" w:styleId="Betarp">
    <w:name w:val="No Spacing"/>
    <w:uiPriority w:val="1"/>
    <w:qFormat/>
    <w:rsid w:val="00041CC8"/>
    <w:pPr>
      <w:tabs>
        <w:tab w:val="left" w:pos="567"/>
      </w:tabs>
      <w:spacing w:after="0" w:line="240" w:lineRule="auto"/>
    </w:pPr>
    <w:rPr>
      <w:rFonts w:ascii="Times New Roman" w:eastAsia="Times New Roman" w:hAnsi="Times New Roman" w:cs="Times New Roman"/>
      <w:snapToGrid w:val="0"/>
      <w:kern w:val="0"/>
      <w:szCs w:val="20"/>
      <w:lang w:val="en-GB"/>
      <w14:ligatures w14:val="none"/>
    </w:rPr>
  </w:style>
  <w:style w:type="numbering" w:customStyle="1" w:styleId="NoList12">
    <w:name w:val="No List12"/>
    <w:next w:val="Sraonra"/>
    <w:uiPriority w:val="99"/>
    <w:semiHidden/>
    <w:unhideWhenUsed/>
    <w:rsid w:val="00041CC8"/>
  </w:style>
  <w:style w:type="paragraph" w:customStyle="1" w:styleId="MemoHeaderStyle">
    <w:name w:val="MemoHeaderStyle"/>
    <w:basedOn w:val="prastasis"/>
    <w:next w:val="prastasis"/>
    <w:rsid w:val="00041CC8"/>
    <w:pPr>
      <w:tabs>
        <w:tab w:val="left" w:pos="567"/>
      </w:tabs>
      <w:spacing w:line="120" w:lineRule="atLeast"/>
      <w:ind w:left="1418"/>
      <w:jc w:val="both"/>
    </w:pPr>
    <w:rPr>
      <w:rFonts w:ascii="Arial" w:hAnsi="Arial"/>
      <w:b/>
      <w:smallCaps/>
      <w:lang w:bidi="lt-LT"/>
    </w:rPr>
  </w:style>
  <w:style w:type="paragraph" w:customStyle="1" w:styleId="DraftingNotesAgency">
    <w:name w:val="Drafting Notes (Agency)"/>
    <w:basedOn w:val="prastasis"/>
    <w:next w:val="BodytextAgency"/>
    <w:link w:val="DraftingNotesAgencyChar"/>
    <w:rsid w:val="00041CC8"/>
    <w:pPr>
      <w:spacing w:after="140" w:line="280" w:lineRule="atLeast"/>
    </w:pPr>
    <w:rPr>
      <w:rFonts w:ascii="Courier New" w:eastAsia="Verdana" w:hAnsi="Courier New"/>
      <w:i/>
      <w:color w:val="339966"/>
      <w:szCs w:val="18"/>
      <w:lang w:bidi="lt-LT"/>
    </w:rPr>
  </w:style>
  <w:style w:type="character" w:customStyle="1" w:styleId="DraftingNotesAgencyChar">
    <w:name w:val="Drafting Notes (Agency) Char"/>
    <w:link w:val="DraftingNotesAgency"/>
    <w:rsid w:val="00041CC8"/>
    <w:rPr>
      <w:rFonts w:ascii="Courier New" w:eastAsia="Verdana" w:hAnsi="Courier New" w:cs="Times New Roman"/>
      <w:i/>
      <w:color w:val="339966"/>
      <w:kern w:val="0"/>
      <w:szCs w:val="18"/>
      <w:lang w:val="lt-LT" w:eastAsia="lt-LT" w:bidi="lt-LT"/>
      <w14:ligatures w14:val="none"/>
    </w:rPr>
  </w:style>
  <w:style w:type="table" w:customStyle="1" w:styleId="TablegridAgencyblack1">
    <w:name w:val="Table grid (Agency) black1"/>
    <w:basedOn w:val="prastojilentel"/>
    <w:semiHidden/>
    <w:rsid w:val="00041CC8"/>
    <w:pPr>
      <w:spacing w:after="0" w:line="240" w:lineRule="auto"/>
    </w:pPr>
    <w:rPr>
      <w:rFonts w:ascii="Verdana" w:eastAsia="SimSun" w:hAnsi="Verdana" w:cs="Times New Roman"/>
      <w:kern w:val="0"/>
      <w:sz w:val="18"/>
      <w:szCs w:val="20"/>
      <w:lang w:val="lt-LT" w:eastAsia="lt-LT" w:bidi="lt-LT"/>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DoNotTranslateExternal1">
    <w:name w:val="DoNotTranslateExternal1"/>
    <w:qFormat/>
    <w:rsid w:val="00041CC8"/>
    <w:rPr>
      <w:b/>
      <w:noProof/>
      <w:szCs w:val="22"/>
    </w:rPr>
  </w:style>
  <w:style w:type="table" w:customStyle="1" w:styleId="TableGrid2">
    <w:name w:val="Table Grid2"/>
    <w:basedOn w:val="prastojilentel"/>
    <w:next w:val="Lentelstinklelis"/>
    <w:uiPriority w:val="59"/>
    <w:rsid w:val="00041CC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041CC8"/>
    <w:rPr>
      <w:rFonts w:eastAsia="Calibri"/>
      <w:sz w:val="20"/>
      <w:lang w:val="sl-SI" w:eastAsia="sl-SI"/>
    </w:rPr>
  </w:style>
  <w:style w:type="character" w:customStyle="1" w:styleId="PuslapioinaostekstasDiagrama">
    <w:name w:val="Puslapio išnašos tekstas Diagrama"/>
    <w:basedOn w:val="Numatytasispastraiposriftas"/>
    <w:link w:val="Puslapioinaostekstas"/>
    <w:rsid w:val="00041CC8"/>
    <w:rPr>
      <w:rFonts w:ascii="Times New Roman" w:eastAsia="Calibri" w:hAnsi="Times New Roman" w:cs="Times New Roman"/>
      <w:kern w:val="0"/>
      <w:sz w:val="20"/>
      <w:szCs w:val="20"/>
      <w:lang w:val="sl-SI" w:eastAsia="sl-SI"/>
      <w14:ligatures w14:val="none"/>
    </w:rPr>
  </w:style>
  <w:style w:type="character" w:styleId="Puslapioinaosnuoroda">
    <w:name w:val="footnote reference"/>
    <w:unhideWhenUsed/>
    <w:rsid w:val="00041CC8"/>
    <w:rPr>
      <w:vertAlign w:val="superscript"/>
    </w:rPr>
  </w:style>
  <w:style w:type="numbering" w:customStyle="1" w:styleId="NoList5">
    <w:name w:val="No List5"/>
    <w:next w:val="Sraonra"/>
    <w:uiPriority w:val="99"/>
    <w:semiHidden/>
    <w:unhideWhenUsed/>
    <w:rsid w:val="00041CC8"/>
  </w:style>
  <w:style w:type="paragraph" w:customStyle="1" w:styleId="Text">
    <w:name w:val="Text"/>
    <w:aliases w:val="Graphic"/>
    <w:basedOn w:val="prastasis"/>
    <w:rsid w:val="00041CC8"/>
    <w:pPr>
      <w:spacing w:after="240" w:line="312" w:lineRule="atLeast"/>
    </w:pPr>
    <w:rPr>
      <w:lang w:val="en-GB" w:eastAsia="en-US"/>
    </w:rPr>
  </w:style>
  <w:style w:type="table" w:customStyle="1" w:styleId="TableGrid3">
    <w:name w:val="Table Grid3"/>
    <w:basedOn w:val="prastojilentel"/>
    <w:next w:val="Lentelstinklelis"/>
    <w:uiPriority w:val="59"/>
    <w:rsid w:val="00041CC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041CC8"/>
    <w:pPr>
      <w:tabs>
        <w:tab w:val="left" w:pos="2657"/>
      </w:tabs>
      <w:spacing w:before="120"/>
      <w:ind w:left="-37" w:right="-28"/>
    </w:pPr>
    <w:rPr>
      <w:lang w:val="cs-CZ" w:eastAsia="en-US"/>
    </w:rPr>
  </w:style>
  <w:style w:type="paragraph" w:customStyle="1" w:styleId="Standard">
    <w:name w:val="Standard"/>
    <w:basedOn w:val="prastasis"/>
    <w:next w:val="prastasis"/>
    <w:uiPriority w:val="99"/>
    <w:rsid w:val="00041CC8"/>
    <w:pPr>
      <w:autoSpaceDE w:val="0"/>
      <w:autoSpaceDN w:val="0"/>
      <w:adjustRightInd w:val="0"/>
    </w:pPr>
    <w:rPr>
      <w:sz w:val="24"/>
      <w:szCs w:val="24"/>
    </w:rPr>
  </w:style>
  <w:style w:type="paragraph" w:customStyle="1" w:styleId="BlockText1">
    <w:name w:val="Block Text1"/>
    <w:basedOn w:val="prastasis"/>
    <w:uiPriority w:val="99"/>
    <w:rsid w:val="00041C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numbering" w:customStyle="1" w:styleId="NoList13">
    <w:name w:val="No List13"/>
    <w:next w:val="Sraonra"/>
    <w:uiPriority w:val="99"/>
    <w:semiHidden/>
    <w:unhideWhenUsed/>
    <w:rsid w:val="00041CC8"/>
  </w:style>
  <w:style w:type="table" w:customStyle="1" w:styleId="TableGrid11">
    <w:name w:val="Table Grid11"/>
    <w:basedOn w:val="prastojilentel"/>
    <w:next w:val="Lentelstinklelis"/>
    <w:uiPriority w:val="99"/>
    <w:rsid w:val="00041CC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locked/>
    <w:rsid w:val="00041CC8"/>
    <w:rPr>
      <w:rFonts w:ascii="Courier New" w:eastAsia="SimSun" w:hAnsi="Courier New"/>
      <w:lang w:val="en-US" w:eastAsia="en-US"/>
    </w:rPr>
  </w:style>
  <w:style w:type="numbering" w:customStyle="1" w:styleId="NoList22">
    <w:name w:val="No List22"/>
    <w:next w:val="Sraonra"/>
    <w:semiHidden/>
    <w:rsid w:val="00041CC8"/>
  </w:style>
  <w:style w:type="table" w:customStyle="1" w:styleId="TableGrid21">
    <w:name w:val="Table Grid21"/>
    <w:basedOn w:val="prastojilentel"/>
    <w:next w:val="Lentelstinklelis"/>
    <w:rsid w:val="00041CC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041CC8"/>
  </w:style>
  <w:style w:type="paragraph" w:customStyle="1" w:styleId="BTbeEMEASMCA">
    <w:name w:val="BT(be) EMEA_SMCA"/>
    <w:basedOn w:val="BTEMEASMCA"/>
    <w:autoRedefine/>
    <w:rsid w:val="00041CC8"/>
    <w:pPr>
      <w:jc w:val="center"/>
    </w:pPr>
    <w:rPr>
      <w:b/>
    </w:rPr>
  </w:style>
  <w:style w:type="paragraph" w:customStyle="1" w:styleId="BTeEMEASMCA">
    <w:name w:val="BT(e) EMEA_SMCA"/>
    <w:basedOn w:val="BTEMEASMCA"/>
    <w:autoRedefine/>
    <w:rsid w:val="00041CC8"/>
    <w:pPr>
      <w:jc w:val="center"/>
    </w:pPr>
  </w:style>
  <w:style w:type="paragraph" w:styleId="Vokoatgalinisadresas">
    <w:name w:val="envelope return"/>
    <w:basedOn w:val="prastasis"/>
    <w:rsid w:val="00041CC8"/>
    <w:rPr>
      <w:rFonts w:ascii="Arial" w:hAnsi="Arial"/>
      <w:b/>
      <w:sz w:val="28"/>
      <w:szCs w:val="24"/>
      <w:lang w:val="en-GB" w:eastAsia="en-US"/>
    </w:rPr>
  </w:style>
  <w:style w:type="paragraph" w:styleId="Adresasantvoko">
    <w:name w:val="envelope address"/>
    <w:basedOn w:val="prastasis"/>
    <w:rsid w:val="00041CC8"/>
    <w:pPr>
      <w:framePr w:w="7920" w:h="1980" w:hRule="exact" w:hSpace="180" w:wrap="auto" w:hAnchor="page" w:xAlign="center" w:yAlign="bottom"/>
      <w:ind w:left="2880"/>
    </w:pPr>
    <w:rPr>
      <w:rFonts w:ascii="Arial" w:hAnsi="Arial"/>
      <w:b/>
      <w:sz w:val="28"/>
      <w:szCs w:val="24"/>
      <w:lang w:val="en-GB" w:eastAsia="en-US"/>
    </w:rPr>
  </w:style>
  <w:style w:type="paragraph" w:customStyle="1" w:styleId="SPC1">
    <w:name w:val="SPC1"/>
    <w:basedOn w:val="SPCNormal"/>
    <w:next w:val="SPCNormal"/>
    <w:rsid w:val="00041CC8"/>
    <w:pPr>
      <w:keepNext/>
      <w:tabs>
        <w:tab w:val="clear" w:pos="562"/>
      </w:tabs>
      <w:spacing w:before="480"/>
      <w:ind w:left="562" w:hanging="562"/>
    </w:pPr>
    <w:rPr>
      <w:rFonts w:eastAsia="Times New Roman"/>
      <w:b/>
      <w:caps/>
    </w:rPr>
  </w:style>
  <w:style w:type="paragraph" w:customStyle="1" w:styleId="SPC2">
    <w:name w:val="SPC2"/>
    <w:basedOn w:val="SPCNormal"/>
    <w:next w:val="SPCNormal"/>
    <w:rsid w:val="00041CC8"/>
    <w:pPr>
      <w:keepNext/>
      <w:tabs>
        <w:tab w:val="clear" w:pos="562"/>
      </w:tabs>
      <w:ind w:left="562" w:hanging="562"/>
    </w:pPr>
    <w:rPr>
      <w:rFonts w:eastAsia="Times New Roman"/>
      <w:b/>
    </w:rPr>
  </w:style>
  <w:style w:type="paragraph" w:customStyle="1" w:styleId="NoNumHead3">
    <w:name w:val="NoNum:Head3"/>
    <w:basedOn w:val="prastasis"/>
    <w:next w:val="prastasis"/>
    <w:link w:val="NoNumHead3Char"/>
    <w:rsid w:val="00041CC8"/>
    <w:pPr>
      <w:keepNext/>
      <w:spacing w:before="120" w:after="240"/>
      <w:outlineLvl w:val="0"/>
    </w:pPr>
    <w:rPr>
      <w:rFonts w:ascii="Arial" w:hAnsi="Arial" w:cs="Arial"/>
      <w:b/>
      <w:bCs/>
      <w:sz w:val="24"/>
      <w:szCs w:val="24"/>
      <w:lang w:val="en-GB" w:eastAsia="en-US"/>
    </w:rPr>
  </w:style>
  <w:style w:type="character" w:customStyle="1" w:styleId="NoNumHead3Char">
    <w:name w:val="NoNum:Head3 Char"/>
    <w:link w:val="NoNumHead3"/>
    <w:locked/>
    <w:rsid w:val="00041CC8"/>
    <w:rPr>
      <w:rFonts w:ascii="Arial" w:eastAsia="Times New Roman" w:hAnsi="Arial" w:cs="Arial"/>
      <w:b/>
      <w:bCs/>
      <w:kern w:val="0"/>
      <w:sz w:val="24"/>
      <w:szCs w:val="24"/>
      <w:lang w:val="en-GB"/>
      <w14:ligatures w14:val="none"/>
    </w:rPr>
  </w:style>
  <w:style w:type="character" w:customStyle="1" w:styleId="BodyTextChar1">
    <w:name w:val="Body Text Char1"/>
    <w:aliases w:val="Body Text Char Char Char Char"/>
    <w:locked/>
    <w:rsid w:val="00041CC8"/>
    <w:rPr>
      <w:rFonts w:ascii="Verdana" w:eastAsia="Times New Roman" w:hAnsi="Verdana" w:cs="Times New Roman"/>
      <w:color w:val="FF0000"/>
      <w:szCs w:val="24"/>
      <w:lang w:val="en-GB"/>
    </w:rPr>
  </w:style>
  <w:style w:type="table" w:customStyle="1" w:styleId="TablegridAgencyblack2">
    <w:name w:val="Table grid (Agency) black2"/>
    <w:uiPriority w:val="99"/>
    <w:semiHidden/>
    <w:rsid w:val="00041CC8"/>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041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78419</Words>
  <Characters>44700</Characters>
  <Application>Microsoft Office Word</Application>
  <DocSecurity>4</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2024-06-19T07:15:00Z</dcterms:created>
  <dcterms:modified xsi:type="dcterms:W3CDTF">2024-06-19T07:15:00Z</dcterms:modified>
</cp:coreProperties>
</file>