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B6604" w14:textId="77777777" w:rsidR="004F7AA9" w:rsidRPr="007777D9" w:rsidRDefault="004F7AA9" w:rsidP="004F7AA9">
      <w:pPr>
        <w:widowControl w:val="0"/>
        <w:tabs>
          <w:tab w:val="clear" w:pos="567"/>
        </w:tabs>
        <w:spacing w:line="240" w:lineRule="auto"/>
        <w:rPr>
          <w:snapToGrid/>
          <w:szCs w:val="22"/>
          <w:lang w:val="lt-LT"/>
        </w:rPr>
      </w:pPr>
    </w:p>
    <w:p w14:paraId="6A15894F" w14:textId="77777777" w:rsidR="004F7AA9" w:rsidRPr="007777D9" w:rsidRDefault="004F7AA9" w:rsidP="004F7AA9">
      <w:pPr>
        <w:widowControl w:val="0"/>
        <w:tabs>
          <w:tab w:val="clear" w:pos="567"/>
        </w:tabs>
        <w:spacing w:line="240" w:lineRule="auto"/>
        <w:rPr>
          <w:snapToGrid/>
          <w:szCs w:val="22"/>
          <w:lang w:val="lt-LT"/>
        </w:rPr>
      </w:pPr>
    </w:p>
    <w:p w14:paraId="57417E14" w14:textId="77777777" w:rsidR="004F7AA9" w:rsidRPr="007777D9" w:rsidRDefault="004F7AA9" w:rsidP="004F7AA9">
      <w:pPr>
        <w:widowControl w:val="0"/>
        <w:tabs>
          <w:tab w:val="clear" w:pos="567"/>
        </w:tabs>
        <w:spacing w:line="240" w:lineRule="auto"/>
        <w:rPr>
          <w:snapToGrid/>
          <w:szCs w:val="22"/>
          <w:lang w:val="lt-LT"/>
        </w:rPr>
      </w:pPr>
    </w:p>
    <w:p w14:paraId="068EB211" w14:textId="77777777" w:rsidR="004F7AA9" w:rsidRPr="007777D9" w:rsidRDefault="004F7AA9" w:rsidP="004F7AA9">
      <w:pPr>
        <w:widowControl w:val="0"/>
        <w:tabs>
          <w:tab w:val="clear" w:pos="567"/>
        </w:tabs>
        <w:spacing w:line="240" w:lineRule="auto"/>
        <w:rPr>
          <w:snapToGrid/>
          <w:szCs w:val="22"/>
          <w:lang w:val="lt-LT"/>
        </w:rPr>
      </w:pPr>
    </w:p>
    <w:p w14:paraId="2B51DFC3" w14:textId="77777777" w:rsidR="004F7AA9" w:rsidRPr="007777D9" w:rsidRDefault="004F7AA9" w:rsidP="004F7AA9">
      <w:pPr>
        <w:widowControl w:val="0"/>
        <w:tabs>
          <w:tab w:val="clear" w:pos="567"/>
        </w:tabs>
        <w:spacing w:line="240" w:lineRule="auto"/>
        <w:rPr>
          <w:snapToGrid/>
          <w:szCs w:val="22"/>
          <w:lang w:val="lt-LT"/>
        </w:rPr>
      </w:pPr>
    </w:p>
    <w:p w14:paraId="7F020E68" w14:textId="77777777" w:rsidR="004F7AA9" w:rsidRPr="007777D9" w:rsidRDefault="004F7AA9" w:rsidP="004F7AA9">
      <w:pPr>
        <w:widowControl w:val="0"/>
        <w:tabs>
          <w:tab w:val="clear" w:pos="567"/>
        </w:tabs>
        <w:spacing w:line="240" w:lineRule="auto"/>
        <w:rPr>
          <w:snapToGrid/>
          <w:szCs w:val="22"/>
          <w:lang w:val="lt-LT"/>
        </w:rPr>
      </w:pPr>
    </w:p>
    <w:p w14:paraId="0CEFB26E" w14:textId="77777777" w:rsidR="004F7AA9" w:rsidRPr="007777D9" w:rsidRDefault="004F7AA9" w:rsidP="004F7AA9">
      <w:pPr>
        <w:widowControl w:val="0"/>
        <w:tabs>
          <w:tab w:val="clear" w:pos="567"/>
        </w:tabs>
        <w:spacing w:line="240" w:lineRule="auto"/>
        <w:rPr>
          <w:snapToGrid/>
          <w:szCs w:val="22"/>
          <w:lang w:val="lt-LT"/>
        </w:rPr>
      </w:pPr>
    </w:p>
    <w:p w14:paraId="629CE92B" w14:textId="77777777" w:rsidR="004F7AA9" w:rsidRPr="007777D9" w:rsidRDefault="004F7AA9" w:rsidP="004F7AA9">
      <w:pPr>
        <w:widowControl w:val="0"/>
        <w:tabs>
          <w:tab w:val="clear" w:pos="567"/>
        </w:tabs>
        <w:spacing w:line="240" w:lineRule="auto"/>
        <w:rPr>
          <w:snapToGrid/>
          <w:szCs w:val="22"/>
          <w:lang w:val="lt-LT"/>
        </w:rPr>
      </w:pPr>
    </w:p>
    <w:p w14:paraId="38AA1434" w14:textId="77777777" w:rsidR="004F7AA9" w:rsidRPr="007777D9" w:rsidRDefault="004F7AA9" w:rsidP="004F7AA9">
      <w:pPr>
        <w:widowControl w:val="0"/>
        <w:tabs>
          <w:tab w:val="clear" w:pos="567"/>
        </w:tabs>
        <w:spacing w:line="240" w:lineRule="auto"/>
        <w:rPr>
          <w:snapToGrid/>
          <w:szCs w:val="22"/>
          <w:lang w:val="lt-LT"/>
        </w:rPr>
      </w:pPr>
    </w:p>
    <w:p w14:paraId="6FD5D2D9" w14:textId="77777777" w:rsidR="004F7AA9" w:rsidRPr="007777D9" w:rsidRDefault="004F7AA9" w:rsidP="004F7AA9">
      <w:pPr>
        <w:widowControl w:val="0"/>
        <w:tabs>
          <w:tab w:val="clear" w:pos="567"/>
        </w:tabs>
        <w:spacing w:line="240" w:lineRule="auto"/>
        <w:rPr>
          <w:snapToGrid/>
          <w:szCs w:val="22"/>
          <w:lang w:val="lt-LT"/>
        </w:rPr>
      </w:pPr>
    </w:p>
    <w:p w14:paraId="7906C55E" w14:textId="77777777" w:rsidR="004F7AA9" w:rsidRPr="007777D9" w:rsidRDefault="004F7AA9" w:rsidP="004F7AA9">
      <w:pPr>
        <w:widowControl w:val="0"/>
        <w:tabs>
          <w:tab w:val="clear" w:pos="567"/>
        </w:tabs>
        <w:spacing w:line="240" w:lineRule="auto"/>
        <w:rPr>
          <w:snapToGrid/>
          <w:szCs w:val="22"/>
          <w:lang w:val="lt-LT"/>
        </w:rPr>
      </w:pPr>
    </w:p>
    <w:p w14:paraId="13CE8EC7" w14:textId="77777777" w:rsidR="004F7AA9" w:rsidRPr="007777D9" w:rsidRDefault="004F7AA9" w:rsidP="004F7AA9">
      <w:pPr>
        <w:widowControl w:val="0"/>
        <w:tabs>
          <w:tab w:val="clear" w:pos="567"/>
        </w:tabs>
        <w:spacing w:line="240" w:lineRule="auto"/>
        <w:rPr>
          <w:snapToGrid/>
          <w:szCs w:val="22"/>
          <w:lang w:val="lt-LT"/>
        </w:rPr>
      </w:pPr>
    </w:p>
    <w:p w14:paraId="764823DC" w14:textId="77777777" w:rsidR="004F7AA9" w:rsidRPr="007777D9" w:rsidRDefault="004F7AA9" w:rsidP="004F7AA9">
      <w:pPr>
        <w:widowControl w:val="0"/>
        <w:tabs>
          <w:tab w:val="clear" w:pos="567"/>
        </w:tabs>
        <w:spacing w:line="240" w:lineRule="auto"/>
        <w:rPr>
          <w:snapToGrid/>
          <w:szCs w:val="22"/>
          <w:lang w:val="lt-LT"/>
        </w:rPr>
      </w:pPr>
    </w:p>
    <w:p w14:paraId="48949845" w14:textId="77777777" w:rsidR="004F7AA9" w:rsidRPr="007777D9" w:rsidRDefault="004F7AA9" w:rsidP="004F7AA9">
      <w:pPr>
        <w:widowControl w:val="0"/>
        <w:tabs>
          <w:tab w:val="clear" w:pos="567"/>
        </w:tabs>
        <w:spacing w:line="240" w:lineRule="auto"/>
        <w:rPr>
          <w:snapToGrid/>
          <w:szCs w:val="22"/>
          <w:lang w:val="lt-LT"/>
        </w:rPr>
      </w:pPr>
    </w:p>
    <w:p w14:paraId="07A277E5" w14:textId="77777777" w:rsidR="004F7AA9" w:rsidRPr="007777D9" w:rsidRDefault="004F7AA9" w:rsidP="004F7AA9">
      <w:pPr>
        <w:widowControl w:val="0"/>
        <w:tabs>
          <w:tab w:val="clear" w:pos="567"/>
        </w:tabs>
        <w:spacing w:line="240" w:lineRule="auto"/>
        <w:rPr>
          <w:snapToGrid/>
          <w:szCs w:val="22"/>
          <w:lang w:val="lt-LT"/>
        </w:rPr>
      </w:pPr>
    </w:p>
    <w:p w14:paraId="7EDE4416" w14:textId="77777777" w:rsidR="004F7AA9" w:rsidRPr="007777D9" w:rsidRDefault="004F7AA9" w:rsidP="004F7AA9">
      <w:pPr>
        <w:widowControl w:val="0"/>
        <w:tabs>
          <w:tab w:val="clear" w:pos="567"/>
        </w:tabs>
        <w:spacing w:line="240" w:lineRule="auto"/>
        <w:rPr>
          <w:snapToGrid/>
          <w:szCs w:val="22"/>
          <w:lang w:val="lt-LT"/>
        </w:rPr>
      </w:pPr>
    </w:p>
    <w:p w14:paraId="2FE6ED2A" w14:textId="77777777" w:rsidR="004F7AA9" w:rsidRPr="007777D9" w:rsidRDefault="004F7AA9" w:rsidP="004F7AA9">
      <w:pPr>
        <w:widowControl w:val="0"/>
        <w:tabs>
          <w:tab w:val="clear" w:pos="567"/>
        </w:tabs>
        <w:spacing w:line="240" w:lineRule="auto"/>
        <w:rPr>
          <w:snapToGrid/>
          <w:szCs w:val="22"/>
          <w:lang w:val="lt-LT"/>
        </w:rPr>
      </w:pPr>
    </w:p>
    <w:p w14:paraId="492530C2" w14:textId="77777777" w:rsidR="004F7AA9" w:rsidRPr="007777D9" w:rsidRDefault="004F7AA9" w:rsidP="004F7AA9">
      <w:pPr>
        <w:widowControl w:val="0"/>
        <w:tabs>
          <w:tab w:val="clear" w:pos="567"/>
        </w:tabs>
        <w:spacing w:line="240" w:lineRule="auto"/>
        <w:rPr>
          <w:snapToGrid/>
          <w:szCs w:val="22"/>
          <w:lang w:val="lt-LT"/>
        </w:rPr>
      </w:pPr>
    </w:p>
    <w:p w14:paraId="32CC6DC6" w14:textId="77777777" w:rsidR="004F7AA9" w:rsidRPr="007777D9" w:rsidRDefault="004F7AA9" w:rsidP="004F7AA9">
      <w:pPr>
        <w:widowControl w:val="0"/>
        <w:tabs>
          <w:tab w:val="clear" w:pos="567"/>
        </w:tabs>
        <w:spacing w:line="240" w:lineRule="auto"/>
        <w:rPr>
          <w:snapToGrid/>
          <w:szCs w:val="22"/>
          <w:lang w:val="lt-LT"/>
        </w:rPr>
      </w:pPr>
    </w:p>
    <w:p w14:paraId="679C22F6" w14:textId="77777777" w:rsidR="004F7AA9" w:rsidRPr="007777D9" w:rsidRDefault="004F7AA9" w:rsidP="004F7AA9">
      <w:pPr>
        <w:widowControl w:val="0"/>
        <w:tabs>
          <w:tab w:val="clear" w:pos="567"/>
        </w:tabs>
        <w:spacing w:line="240" w:lineRule="auto"/>
        <w:rPr>
          <w:snapToGrid/>
          <w:szCs w:val="22"/>
          <w:lang w:val="lt-LT"/>
        </w:rPr>
      </w:pPr>
    </w:p>
    <w:p w14:paraId="6BF635FE" w14:textId="77777777" w:rsidR="004F7AA9" w:rsidRPr="007777D9" w:rsidRDefault="004F7AA9" w:rsidP="004F7AA9">
      <w:pPr>
        <w:widowControl w:val="0"/>
        <w:tabs>
          <w:tab w:val="clear" w:pos="567"/>
        </w:tabs>
        <w:spacing w:line="240" w:lineRule="auto"/>
        <w:rPr>
          <w:snapToGrid/>
          <w:szCs w:val="22"/>
          <w:lang w:val="lt-LT"/>
        </w:rPr>
      </w:pPr>
    </w:p>
    <w:p w14:paraId="5F82506D" w14:textId="77777777" w:rsidR="004F7AA9" w:rsidRPr="007777D9" w:rsidRDefault="004F7AA9" w:rsidP="004F7AA9">
      <w:pPr>
        <w:widowControl w:val="0"/>
        <w:tabs>
          <w:tab w:val="clear" w:pos="567"/>
        </w:tabs>
        <w:spacing w:line="240" w:lineRule="auto"/>
        <w:rPr>
          <w:snapToGrid/>
          <w:szCs w:val="22"/>
          <w:lang w:val="lt-LT"/>
        </w:rPr>
      </w:pPr>
    </w:p>
    <w:p w14:paraId="255448E1" w14:textId="77777777" w:rsidR="004F7AA9" w:rsidRPr="007777D9" w:rsidRDefault="004F7AA9" w:rsidP="004F7AA9">
      <w:pPr>
        <w:widowControl w:val="0"/>
        <w:tabs>
          <w:tab w:val="clear" w:pos="567"/>
        </w:tabs>
        <w:spacing w:line="240" w:lineRule="auto"/>
        <w:rPr>
          <w:snapToGrid/>
          <w:szCs w:val="22"/>
          <w:lang w:val="lt-LT"/>
        </w:rPr>
      </w:pPr>
    </w:p>
    <w:p w14:paraId="2D7CAD11" w14:textId="77777777" w:rsidR="004F7AA9" w:rsidRPr="007777D9" w:rsidRDefault="004F7AA9" w:rsidP="004F7AA9">
      <w:pPr>
        <w:widowControl w:val="0"/>
        <w:tabs>
          <w:tab w:val="clear" w:pos="567"/>
        </w:tabs>
        <w:spacing w:line="240" w:lineRule="auto"/>
        <w:jc w:val="center"/>
        <w:rPr>
          <w:snapToGrid/>
          <w:szCs w:val="22"/>
          <w:lang w:val="lt-LT"/>
        </w:rPr>
      </w:pPr>
      <w:r w:rsidRPr="007777D9">
        <w:rPr>
          <w:b/>
          <w:bCs/>
          <w:snapToGrid/>
          <w:szCs w:val="22"/>
          <w:lang w:val="lt-LT"/>
        </w:rPr>
        <w:t>I PRIEDAS</w:t>
      </w:r>
    </w:p>
    <w:p w14:paraId="23082A09" w14:textId="77777777" w:rsidR="004F7AA9" w:rsidRPr="007777D9" w:rsidRDefault="004F7AA9" w:rsidP="004F7AA9">
      <w:pPr>
        <w:widowControl w:val="0"/>
        <w:tabs>
          <w:tab w:val="clear" w:pos="567"/>
        </w:tabs>
        <w:spacing w:line="240" w:lineRule="auto"/>
        <w:jc w:val="center"/>
        <w:rPr>
          <w:snapToGrid/>
          <w:szCs w:val="22"/>
          <w:lang w:val="lt-LT"/>
        </w:rPr>
      </w:pPr>
    </w:p>
    <w:p w14:paraId="0B417257" w14:textId="77777777" w:rsidR="004F7AA9" w:rsidRPr="007777D9" w:rsidRDefault="004F7AA9" w:rsidP="004F7AA9">
      <w:pPr>
        <w:widowControl w:val="0"/>
        <w:tabs>
          <w:tab w:val="clear" w:pos="567"/>
        </w:tabs>
        <w:spacing w:line="240" w:lineRule="auto"/>
        <w:jc w:val="center"/>
        <w:rPr>
          <w:snapToGrid/>
          <w:szCs w:val="22"/>
          <w:lang w:val="lt-LT"/>
        </w:rPr>
      </w:pPr>
      <w:r w:rsidRPr="007777D9">
        <w:rPr>
          <w:b/>
          <w:bCs/>
          <w:snapToGrid/>
          <w:szCs w:val="22"/>
          <w:lang w:val="lt-LT"/>
        </w:rPr>
        <w:t>PREPARATO CHARAKTERISTIKŲ SANTRAUKA</w:t>
      </w:r>
    </w:p>
    <w:p w14:paraId="68CC29A0" w14:textId="77777777" w:rsidR="004F7AA9" w:rsidRPr="007777D9" w:rsidRDefault="004F7AA9" w:rsidP="004F7AA9">
      <w:pPr>
        <w:widowControl w:val="0"/>
        <w:tabs>
          <w:tab w:val="clear" w:pos="567"/>
        </w:tabs>
        <w:spacing w:line="240" w:lineRule="auto"/>
        <w:rPr>
          <w:snapToGrid/>
          <w:szCs w:val="22"/>
          <w:lang w:val="lt-LT"/>
        </w:rPr>
      </w:pPr>
    </w:p>
    <w:p w14:paraId="7B65DDE6" w14:textId="77777777" w:rsidR="004F7AA9" w:rsidRPr="007777D9" w:rsidRDefault="004F7AA9" w:rsidP="004F7AA9">
      <w:pPr>
        <w:widowControl w:val="0"/>
        <w:tabs>
          <w:tab w:val="clear" w:pos="567"/>
        </w:tabs>
        <w:spacing w:line="240" w:lineRule="auto"/>
        <w:rPr>
          <w:snapToGrid/>
          <w:szCs w:val="22"/>
          <w:lang w:val="lt-LT"/>
        </w:rPr>
        <w:sectPr w:rsidR="004F7AA9" w:rsidRPr="007777D9" w:rsidSect="009A4A51">
          <w:headerReference w:type="default" r:id="rId7"/>
          <w:footerReference w:type="even" r:id="rId8"/>
          <w:footerReference w:type="default" r:id="rId9"/>
          <w:pgSz w:w="11907" w:h="16840" w:code="9"/>
          <w:pgMar w:top="1134" w:right="1418" w:bottom="1134" w:left="1418" w:header="737" w:footer="737" w:gutter="0"/>
          <w:pgNumType w:start="1"/>
          <w:cols w:space="1296"/>
        </w:sectPr>
      </w:pPr>
    </w:p>
    <w:p w14:paraId="0DFECDA6" w14:textId="77777777" w:rsidR="004F7AA9" w:rsidRPr="007777D9" w:rsidRDefault="004F7AA9" w:rsidP="004F7AA9">
      <w:pPr>
        <w:widowControl w:val="0"/>
        <w:numPr>
          <w:ilvl w:val="0"/>
          <w:numId w:val="6"/>
        </w:numPr>
        <w:tabs>
          <w:tab w:val="clear" w:pos="567"/>
        </w:tabs>
        <w:spacing w:line="240" w:lineRule="auto"/>
        <w:ind w:left="567" w:hanging="567"/>
        <w:contextualSpacing/>
        <w:rPr>
          <w:snapToGrid/>
          <w:szCs w:val="22"/>
          <w:lang w:val="lt-LT"/>
        </w:rPr>
      </w:pPr>
      <w:r w:rsidRPr="007777D9">
        <w:rPr>
          <w:b/>
          <w:bCs/>
          <w:snapToGrid/>
          <w:szCs w:val="22"/>
          <w:lang w:val="lt-LT"/>
        </w:rPr>
        <w:lastRenderedPageBreak/>
        <w:t>VAISTINIO PREPARATO PAVADINIMAS</w:t>
      </w:r>
    </w:p>
    <w:p w14:paraId="03240DFC" w14:textId="77777777" w:rsidR="004F7AA9" w:rsidRPr="007777D9" w:rsidRDefault="004F7AA9" w:rsidP="004F7AA9">
      <w:pPr>
        <w:widowControl w:val="0"/>
        <w:tabs>
          <w:tab w:val="clear" w:pos="567"/>
        </w:tabs>
        <w:spacing w:line="240" w:lineRule="auto"/>
        <w:rPr>
          <w:snapToGrid/>
          <w:szCs w:val="22"/>
          <w:lang w:val="lt-LT"/>
        </w:rPr>
      </w:pPr>
    </w:p>
    <w:p w14:paraId="19392443" w14:textId="77777777" w:rsidR="004F7AA9" w:rsidRPr="007777D9" w:rsidRDefault="004F7AA9" w:rsidP="004F7AA9">
      <w:pPr>
        <w:widowControl w:val="0"/>
        <w:tabs>
          <w:tab w:val="clear" w:pos="567"/>
        </w:tabs>
        <w:spacing w:line="240" w:lineRule="auto"/>
        <w:rPr>
          <w:snapToGrid/>
          <w:szCs w:val="22"/>
          <w:lang w:val="lt-LT"/>
        </w:rPr>
      </w:pPr>
      <w:r>
        <w:rPr>
          <w:snapToGrid/>
          <w:szCs w:val="22"/>
          <w:lang w:val="lt-LT"/>
        </w:rPr>
        <w:t>Zoledronic acid</w:t>
      </w:r>
      <w:r w:rsidRPr="007777D9">
        <w:rPr>
          <w:snapToGrid/>
          <w:szCs w:val="22"/>
          <w:lang w:val="lt-LT"/>
        </w:rPr>
        <w:t xml:space="preserve"> </w:t>
      </w:r>
      <w:r>
        <w:rPr>
          <w:snapToGrid/>
          <w:szCs w:val="22"/>
          <w:lang w:val="lt-LT"/>
        </w:rPr>
        <w:t>Norameda</w:t>
      </w:r>
      <w:r w:rsidRPr="007777D9">
        <w:rPr>
          <w:snapToGrid/>
          <w:szCs w:val="22"/>
          <w:lang w:val="lt-LT"/>
        </w:rPr>
        <w:t xml:space="preserve"> 4 mg/5 ml koncentratas infuziniam tirpalui</w:t>
      </w:r>
    </w:p>
    <w:p w14:paraId="4030DC29" w14:textId="77777777" w:rsidR="004F7AA9" w:rsidRPr="007777D9" w:rsidRDefault="004F7AA9" w:rsidP="004F7AA9">
      <w:pPr>
        <w:widowControl w:val="0"/>
        <w:tabs>
          <w:tab w:val="clear" w:pos="567"/>
        </w:tabs>
        <w:spacing w:line="240" w:lineRule="auto"/>
        <w:rPr>
          <w:snapToGrid/>
          <w:szCs w:val="22"/>
          <w:lang w:val="lt-LT"/>
        </w:rPr>
      </w:pPr>
    </w:p>
    <w:p w14:paraId="2D7AD5C1" w14:textId="77777777" w:rsidR="004F7AA9" w:rsidRPr="007777D9" w:rsidRDefault="004F7AA9" w:rsidP="004F7AA9">
      <w:pPr>
        <w:widowControl w:val="0"/>
        <w:tabs>
          <w:tab w:val="clear" w:pos="567"/>
        </w:tabs>
        <w:spacing w:line="240" w:lineRule="auto"/>
        <w:rPr>
          <w:snapToGrid/>
          <w:szCs w:val="22"/>
          <w:lang w:val="lt-LT"/>
        </w:rPr>
      </w:pPr>
    </w:p>
    <w:p w14:paraId="5C67242E"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2.</w:t>
      </w:r>
      <w:r w:rsidRPr="007777D9">
        <w:rPr>
          <w:b/>
          <w:bCs/>
          <w:snapToGrid/>
          <w:szCs w:val="22"/>
          <w:lang w:val="lt-LT"/>
        </w:rPr>
        <w:tab/>
        <w:t>KOKYBINĖ IR KIEKYBINĖ SUDĖTIS</w:t>
      </w:r>
    </w:p>
    <w:p w14:paraId="7BE3D518" w14:textId="77777777" w:rsidR="004F7AA9" w:rsidRPr="007777D9" w:rsidRDefault="004F7AA9" w:rsidP="004F7AA9">
      <w:pPr>
        <w:widowControl w:val="0"/>
        <w:tabs>
          <w:tab w:val="clear" w:pos="567"/>
        </w:tabs>
        <w:spacing w:line="240" w:lineRule="auto"/>
        <w:rPr>
          <w:snapToGrid/>
          <w:szCs w:val="22"/>
          <w:lang w:val="lt-LT"/>
        </w:rPr>
      </w:pPr>
    </w:p>
    <w:p w14:paraId="6E72F87F"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Viename 5 ml koncentrato </w:t>
      </w:r>
      <w:r>
        <w:rPr>
          <w:snapToGrid/>
          <w:szCs w:val="22"/>
          <w:lang w:val="lt-LT"/>
        </w:rPr>
        <w:t>flakon</w:t>
      </w:r>
      <w:r w:rsidRPr="007777D9">
        <w:rPr>
          <w:snapToGrid/>
          <w:szCs w:val="22"/>
          <w:lang w:val="lt-LT"/>
        </w:rPr>
        <w:t xml:space="preserve">e yra 4 mg zoledrono rūgšties (monohidrato </w:t>
      </w:r>
      <w:r>
        <w:rPr>
          <w:snapToGrid/>
          <w:szCs w:val="22"/>
          <w:lang w:val="lt-LT"/>
        </w:rPr>
        <w:t>pavidalu</w:t>
      </w:r>
      <w:r w:rsidRPr="007777D9">
        <w:rPr>
          <w:snapToGrid/>
          <w:szCs w:val="22"/>
          <w:lang w:val="lt-LT"/>
        </w:rPr>
        <w:t>).</w:t>
      </w:r>
    </w:p>
    <w:p w14:paraId="4BB406DD"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Viename mililitre koncentrato yra 0,8 mg zoledrono rūgšties (monohidrato </w:t>
      </w:r>
      <w:r>
        <w:rPr>
          <w:snapToGrid/>
          <w:szCs w:val="22"/>
          <w:lang w:val="lt-LT"/>
        </w:rPr>
        <w:t>pavidalu</w:t>
      </w:r>
      <w:r w:rsidRPr="007777D9">
        <w:rPr>
          <w:snapToGrid/>
          <w:szCs w:val="22"/>
          <w:lang w:val="lt-LT"/>
        </w:rPr>
        <w:t>).</w:t>
      </w:r>
    </w:p>
    <w:p w14:paraId="54782752" w14:textId="77777777" w:rsidR="004F7AA9" w:rsidRPr="007777D9" w:rsidRDefault="004F7AA9" w:rsidP="004F7AA9">
      <w:pPr>
        <w:widowControl w:val="0"/>
        <w:tabs>
          <w:tab w:val="clear" w:pos="567"/>
        </w:tabs>
        <w:spacing w:line="240" w:lineRule="auto"/>
        <w:rPr>
          <w:snapToGrid/>
          <w:szCs w:val="22"/>
          <w:lang w:val="lt-LT"/>
        </w:rPr>
      </w:pPr>
    </w:p>
    <w:p w14:paraId="2089693B"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Visos pagalbinės medžiagos išvardytos 6.1 skyriuje.</w:t>
      </w:r>
    </w:p>
    <w:p w14:paraId="5296BA40" w14:textId="77777777" w:rsidR="004F7AA9" w:rsidRPr="007777D9" w:rsidRDefault="004F7AA9" w:rsidP="004F7AA9">
      <w:pPr>
        <w:widowControl w:val="0"/>
        <w:tabs>
          <w:tab w:val="clear" w:pos="567"/>
        </w:tabs>
        <w:spacing w:line="240" w:lineRule="auto"/>
        <w:rPr>
          <w:snapToGrid/>
          <w:szCs w:val="22"/>
          <w:lang w:val="lt-LT"/>
        </w:rPr>
      </w:pPr>
    </w:p>
    <w:p w14:paraId="7B73FD77" w14:textId="77777777" w:rsidR="004F7AA9" w:rsidRPr="007777D9" w:rsidRDefault="004F7AA9" w:rsidP="004F7AA9">
      <w:pPr>
        <w:widowControl w:val="0"/>
        <w:tabs>
          <w:tab w:val="clear" w:pos="567"/>
        </w:tabs>
        <w:spacing w:line="240" w:lineRule="auto"/>
        <w:rPr>
          <w:snapToGrid/>
          <w:szCs w:val="22"/>
          <w:lang w:val="lt-LT"/>
        </w:rPr>
      </w:pPr>
    </w:p>
    <w:p w14:paraId="2BCFC4BA" w14:textId="77777777" w:rsidR="004F7AA9" w:rsidRPr="007777D9" w:rsidRDefault="004F7AA9" w:rsidP="004F7AA9">
      <w:pPr>
        <w:widowControl w:val="0"/>
        <w:tabs>
          <w:tab w:val="clear" w:pos="567"/>
        </w:tabs>
        <w:spacing w:line="240" w:lineRule="auto"/>
        <w:ind w:left="567" w:hanging="567"/>
        <w:rPr>
          <w:b/>
          <w:bCs/>
          <w:snapToGrid/>
          <w:szCs w:val="22"/>
          <w:lang w:val="lt-LT"/>
        </w:rPr>
      </w:pPr>
      <w:r w:rsidRPr="00EF4F0C">
        <w:rPr>
          <w:b/>
          <w:bCs/>
          <w:snapToGrid/>
          <w:szCs w:val="22"/>
          <w:lang w:val="lt-LT"/>
        </w:rPr>
        <w:t>3.</w:t>
      </w:r>
      <w:r w:rsidRPr="00EF4F0C">
        <w:rPr>
          <w:b/>
          <w:bCs/>
          <w:snapToGrid/>
          <w:szCs w:val="22"/>
          <w:lang w:val="lt-LT"/>
        </w:rPr>
        <w:tab/>
        <w:t xml:space="preserve">FARMACINĖ </w:t>
      </w:r>
      <w:r>
        <w:rPr>
          <w:b/>
          <w:bCs/>
          <w:snapToGrid/>
          <w:szCs w:val="22"/>
          <w:lang w:val="lt-LT"/>
        </w:rPr>
        <w:t>F</w:t>
      </w:r>
      <w:r w:rsidRPr="00EF4F0C">
        <w:rPr>
          <w:b/>
          <w:bCs/>
          <w:snapToGrid/>
          <w:szCs w:val="22"/>
          <w:lang w:val="lt-LT"/>
        </w:rPr>
        <w:t>ORMA</w:t>
      </w:r>
    </w:p>
    <w:p w14:paraId="5CBAEF35" w14:textId="77777777" w:rsidR="004F7AA9" w:rsidRPr="007777D9" w:rsidRDefault="004F7AA9" w:rsidP="004F7AA9">
      <w:pPr>
        <w:widowControl w:val="0"/>
        <w:tabs>
          <w:tab w:val="clear" w:pos="567"/>
        </w:tabs>
        <w:spacing w:line="240" w:lineRule="auto"/>
        <w:rPr>
          <w:snapToGrid/>
          <w:szCs w:val="22"/>
          <w:lang w:val="lt-LT"/>
        </w:rPr>
      </w:pPr>
    </w:p>
    <w:p w14:paraId="0A77A3B7" w14:textId="77777777" w:rsidR="004F7AA9" w:rsidRPr="007777D9" w:rsidRDefault="004F7AA9" w:rsidP="004F7AA9">
      <w:pPr>
        <w:widowControl w:val="0"/>
        <w:tabs>
          <w:tab w:val="clear" w:pos="567"/>
        </w:tabs>
        <w:spacing w:line="240" w:lineRule="auto"/>
        <w:rPr>
          <w:snapToGrid/>
          <w:szCs w:val="22"/>
          <w:lang w:val="lt-LT"/>
        </w:rPr>
      </w:pPr>
      <w:r w:rsidRPr="00EF4F0C">
        <w:rPr>
          <w:snapToGrid/>
          <w:szCs w:val="22"/>
          <w:lang w:val="lt-LT"/>
        </w:rPr>
        <w:t>Koncentratas infuziniam tirpalui</w:t>
      </w:r>
      <w:r w:rsidRPr="007777D9">
        <w:rPr>
          <w:snapToGrid/>
          <w:szCs w:val="22"/>
          <w:lang w:val="lt-LT"/>
        </w:rPr>
        <w:t xml:space="preserve"> </w:t>
      </w:r>
    </w:p>
    <w:p w14:paraId="2AD066B1"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Skaidrus bespalvis tirpalas.</w:t>
      </w:r>
    </w:p>
    <w:p w14:paraId="18006B85" w14:textId="77777777" w:rsidR="004F7AA9" w:rsidRPr="007777D9" w:rsidRDefault="004F7AA9" w:rsidP="004F7AA9">
      <w:pPr>
        <w:widowControl w:val="0"/>
        <w:tabs>
          <w:tab w:val="clear" w:pos="567"/>
        </w:tabs>
        <w:spacing w:line="240" w:lineRule="auto"/>
        <w:rPr>
          <w:snapToGrid/>
          <w:szCs w:val="22"/>
          <w:lang w:val="lt-LT"/>
        </w:rPr>
      </w:pPr>
    </w:p>
    <w:p w14:paraId="63299146" w14:textId="77777777" w:rsidR="004F7AA9" w:rsidRPr="007777D9" w:rsidRDefault="004F7AA9" w:rsidP="004F7AA9">
      <w:pPr>
        <w:widowControl w:val="0"/>
        <w:tabs>
          <w:tab w:val="clear" w:pos="567"/>
        </w:tabs>
        <w:spacing w:line="240" w:lineRule="auto"/>
        <w:rPr>
          <w:snapToGrid/>
          <w:szCs w:val="22"/>
          <w:lang w:val="lt-LT"/>
        </w:rPr>
      </w:pPr>
    </w:p>
    <w:p w14:paraId="4CB720F7"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4.</w:t>
      </w:r>
      <w:r w:rsidRPr="007777D9">
        <w:rPr>
          <w:b/>
          <w:bCs/>
          <w:snapToGrid/>
          <w:szCs w:val="22"/>
          <w:lang w:val="lt-LT"/>
        </w:rPr>
        <w:tab/>
        <w:t>KLINIKINĖ INFORMACIJA</w:t>
      </w:r>
    </w:p>
    <w:p w14:paraId="28788B35" w14:textId="77777777" w:rsidR="004F7AA9" w:rsidRPr="007777D9" w:rsidRDefault="004F7AA9" w:rsidP="004F7AA9">
      <w:pPr>
        <w:widowControl w:val="0"/>
        <w:tabs>
          <w:tab w:val="clear" w:pos="567"/>
        </w:tabs>
        <w:spacing w:line="240" w:lineRule="auto"/>
        <w:rPr>
          <w:snapToGrid/>
          <w:szCs w:val="22"/>
          <w:lang w:val="lt-LT"/>
        </w:rPr>
      </w:pPr>
    </w:p>
    <w:p w14:paraId="3381442D"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4.1</w:t>
      </w:r>
      <w:r w:rsidRPr="007777D9">
        <w:rPr>
          <w:b/>
          <w:bCs/>
          <w:snapToGrid/>
          <w:szCs w:val="22"/>
          <w:lang w:val="lt-LT"/>
        </w:rPr>
        <w:tab/>
        <w:t>Terapinės indikacijos</w:t>
      </w:r>
    </w:p>
    <w:p w14:paraId="0121369D" w14:textId="77777777" w:rsidR="004F7AA9" w:rsidRPr="007777D9" w:rsidRDefault="004F7AA9" w:rsidP="004F7AA9">
      <w:pPr>
        <w:widowControl w:val="0"/>
        <w:tabs>
          <w:tab w:val="clear" w:pos="567"/>
        </w:tabs>
        <w:spacing w:line="240" w:lineRule="auto"/>
        <w:rPr>
          <w:snapToGrid/>
          <w:szCs w:val="22"/>
          <w:lang w:val="lt-LT"/>
        </w:rPr>
      </w:pPr>
    </w:p>
    <w:p w14:paraId="7238C45A" w14:textId="77777777" w:rsidR="004F7AA9" w:rsidRPr="007777D9" w:rsidRDefault="004F7AA9" w:rsidP="00EF2F9F">
      <w:pPr>
        <w:widowControl w:val="0"/>
        <w:numPr>
          <w:ilvl w:val="0"/>
          <w:numId w:val="45"/>
        </w:numPr>
        <w:tabs>
          <w:tab w:val="clear" w:pos="567"/>
        </w:tabs>
        <w:spacing w:line="240" w:lineRule="auto"/>
        <w:ind w:left="567" w:hanging="567"/>
        <w:rPr>
          <w:snapToGrid/>
          <w:szCs w:val="22"/>
          <w:lang w:val="lt-LT"/>
        </w:rPr>
      </w:pPr>
      <w:r w:rsidRPr="007777D9">
        <w:rPr>
          <w:snapToGrid/>
          <w:szCs w:val="22"/>
          <w:lang w:val="lt-LT"/>
        </w:rPr>
        <w:t>Skeleto pažeidimų (patologinių lūžių, stuburo spaudimo, kaulų spindulinio ar chirurginio gydymo, naviko sukeltos hiperkalcemijos) profilaktika suaugusiems pacientams, kuriems yra progresavęs, išplitęs į kaulus piktybinis procesas.</w:t>
      </w:r>
    </w:p>
    <w:p w14:paraId="06D1AE0E" w14:textId="77777777" w:rsidR="004F7AA9" w:rsidRPr="007777D9" w:rsidRDefault="004F7AA9" w:rsidP="00EF2F9F">
      <w:pPr>
        <w:widowControl w:val="0"/>
        <w:tabs>
          <w:tab w:val="clear" w:pos="567"/>
        </w:tabs>
        <w:spacing w:line="240" w:lineRule="auto"/>
        <w:ind w:left="567" w:hanging="567"/>
        <w:rPr>
          <w:snapToGrid/>
          <w:szCs w:val="22"/>
          <w:lang w:val="lt-LT"/>
        </w:rPr>
      </w:pPr>
    </w:p>
    <w:p w14:paraId="350F09C1" w14:textId="77777777" w:rsidR="004F7AA9" w:rsidRPr="007777D9" w:rsidRDefault="004F7AA9" w:rsidP="00EF2F9F">
      <w:pPr>
        <w:widowControl w:val="0"/>
        <w:numPr>
          <w:ilvl w:val="0"/>
          <w:numId w:val="45"/>
        </w:numPr>
        <w:tabs>
          <w:tab w:val="clear" w:pos="567"/>
        </w:tabs>
        <w:spacing w:line="240" w:lineRule="auto"/>
        <w:ind w:left="567" w:hanging="567"/>
        <w:rPr>
          <w:snapToGrid/>
          <w:szCs w:val="22"/>
          <w:lang w:val="lt-LT"/>
        </w:rPr>
      </w:pPr>
      <w:r w:rsidRPr="007777D9">
        <w:rPr>
          <w:snapToGrid/>
          <w:szCs w:val="22"/>
          <w:lang w:val="lt-LT"/>
        </w:rPr>
        <w:t>Naviko sukeltos hiperkalcemijos (NSH) gydymas suaugusiems pacientams.</w:t>
      </w:r>
    </w:p>
    <w:p w14:paraId="1CF61392" w14:textId="77777777" w:rsidR="004F7AA9" w:rsidRPr="007777D9" w:rsidRDefault="004F7AA9" w:rsidP="004F7AA9">
      <w:pPr>
        <w:widowControl w:val="0"/>
        <w:tabs>
          <w:tab w:val="clear" w:pos="567"/>
        </w:tabs>
        <w:spacing w:line="240" w:lineRule="auto"/>
        <w:rPr>
          <w:snapToGrid/>
          <w:szCs w:val="22"/>
          <w:lang w:val="lt-LT"/>
        </w:rPr>
      </w:pPr>
    </w:p>
    <w:p w14:paraId="27599571"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4.2</w:t>
      </w:r>
      <w:r w:rsidRPr="007777D9">
        <w:rPr>
          <w:b/>
          <w:bCs/>
          <w:snapToGrid/>
          <w:szCs w:val="22"/>
          <w:lang w:val="lt-LT"/>
        </w:rPr>
        <w:tab/>
        <w:t>Dozavimas ir vartojimo metodas</w:t>
      </w:r>
    </w:p>
    <w:p w14:paraId="32C6DBE1" w14:textId="77777777" w:rsidR="004F7AA9" w:rsidRPr="007777D9" w:rsidRDefault="004F7AA9" w:rsidP="004F7AA9">
      <w:pPr>
        <w:widowControl w:val="0"/>
        <w:tabs>
          <w:tab w:val="clear" w:pos="567"/>
        </w:tabs>
        <w:spacing w:line="240" w:lineRule="auto"/>
        <w:rPr>
          <w:snapToGrid/>
          <w:szCs w:val="22"/>
          <w:lang w:val="lt-LT"/>
        </w:rPr>
      </w:pPr>
    </w:p>
    <w:p w14:paraId="11EE19B0" w14:textId="77777777" w:rsidR="004F7AA9" w:rsidRPr="007777D9" w:rsidRDefault="004F7AA9" w:rsidP="004F7AA9">
      <w:pPr>
        <w:tabs>
          <w:tab w:val="clear" w:pos="567"/>
        </w:tabs>
        <w:autoSpaceDE w:val="0"/>
        <w:autoSpaceDN w:val="0"/>
        <w:adjustRightInd w:val="0"/>
        <w:spacing w:line="240" w:lineRule="auto"/>
        <w:rPr>
          <w:rFonts w:eastAsia="Calibri"/>
          <w:snapToGrid/>
          <w:szCs w:val="22"/>
          <w:lang w:val="lt-LT"/>
        </w:rPr>
      </w:pPr>
      <w:r w:rsidRPr="007777D9">
        <w:rPr>
          <w:snapToGrid/>
          <w:szCs w:val="22"/>
          <w:lang w:val="lt-LT"/>
        </w:rPr>
        <w:t>Zoledrono rūgšties pacientui gali skirti ir infuzuoti</w:t>
      </w:r>
      <w:r>
        <w:rPr>
          <w:snapToGrid/>
          <w:szCs w:val="22"/>
          <w:lang w:val="lt-LT"/>
        </w:rPr>
        <w:t xml:space="preserve"> </w:t>
      </w:r>
      <w:r w:rsidRPr="007777D9">
        <w:rPr>
          <w:snapToGrid/>
          <w:szCs w:val="22"/>
          <w:lang w:val="lt-LT"/>
        </w:rPr>
        <w:t xml:space="preserve">tik intraveninių bisfosfonatų vartojimo patirties turintis sveikatos priežiūros specialistas. </w:t>
      </w:r>
      <w:r w:rsidRPr="007777D9">
        <w:rPr>
          <w:rFonts w:eastAsia="Calibri"/>
          <w:snapToGrid/>
          <w:szCs w:val="22"/>
          <w:lang w:val="lt-LT" w:eastAsia="lt-LT"/>
        </w:rPr>
        <w:t xml:space="preserve">Pacientai, gydomi </w:t>
      </w: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rFonts w:eastAsia="Calibri"/>
          <w:snapToGrid/>
          <w:szCs w:val="22"/>
          <w:lang w:val="lt-LT" w:eastAsia="lt-LT"/>
        </w:rPr>
        <w:t xml:space="preserve"> turi gauti pakuotės lapelį ir paciento priminimo kortelę.</w:t>
      </w:r>
    </w:p>
    <w:p w14:paraId="765C2B55" w14:textId="77777777" w:rsidR="004F7AA9" w:rsidRPr="007777D9" w:rsidRDefault="004F7AA9" w:rsidP="004F7AA9">
      <w:pPr>
        <w:widowControl w:val="0"/>
        <w:tabs>
          <w:tab w:val="clear" w:pos="567"/>
        </w:tabs>
        <w:spacing w:line="240" w:lineRule="auto"/>
        <w:rPr>
          <w:snapToGrid/>
          <w:szCs w:val="22"/>
          <w:lang w:val="lt-LT"/>
        </w:rPr>
      </w:pPr>
    </w:p>
    <w:p w14:paraId="48F75723"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t>Dozavimas</w:t>
      </w:r>
    </w:p>
    <w:p w14:paraId="53D6ABE9" w14:textId="77777777" w:rsidR="004F7AA9" w:rsidRPr="007777D9" w:rsidRDefault="004F7AA9" w:rsidP="004F7AA9">
      <w:pPr>
        <w:widowControl w:val="0"/>
        <w:tabs>
          <w:tab w:val="clear" w:pos="567"/>
        </w:tabs>
        <w:spacing w:line="240" w:lineRule="auto"/>
        <w:rPr>
          <w:snapToGrid/>
          <w:szCs w:val="22"/>
          <w:lang w:val="lt-LT"/>
        </w:rPr>
      </w:pPr>
    </w:p>
    <w:p w14:paraId="6D8DED72" w14:textId="77777777" w:rsidR="004F7AA9" w:rsidRPr="007777D9" w:rsidRDefault="004F7AA9" w:rsidP="004F7AA9">
      <w:pPr>
        <w:widowControl w:val="0"/>
        <w:tabs>
          <w:tab w:val="clear" w:pos="567"/>
        </w:tabs>
        <w:spacing w:line="240" w:lineRule="auto"/>
        <w:rPr>
          <w:i/>
          <w:snapToGrid/>
          <w:szCs w:val="22"/>
          <w:u w:val="single"/>
          <w:lang w:val="lt-LT"/>
        </w:rPr>
      </w:pPr>
      <w:r w:rsidRPr="007777D9">
        <w:rPr>
          <w:i/>
          <w:snapToGrid/>
          <w:szCs w:val="22"/>
          <w:u w:val="single"/>
          <w:lang w:val="lt-LT"/>
        </w:rPr>
        <w:t>Skeleto pažeidimų profilaktika pacientams, kuriems yra progresavęs, išplitęs į kaulus piktybinis procesas</w:t>
      </w:r>
    </w:p>
    <w:p w14:paraId="78DB2C84" w14:textId="77777777" w:rsidR="004F7AA9" w:rsidRPr="007777D9" w:rsidRDefault="004F7AA9" w:rsidP="004F7AA9">
      <w:pPr>
        <w:widowControl w:val="0"/>
        <w:tabs>
          <w:tab w:val="clear" w:pos="567"/>
        </w:tabs>
        <w:spacing w:line="240" w:lineRule="auto"/>
        <w:rPr>
          <w:i/>
          <w:snapToGrid/>
          <w:szCs w:val="22"/>
          <w:u w:val="single"/>
          <w:lang w:val="lt-LT"/>
        </w:rPr>
      </w:pPr>
    </w:p>
    <w:p w14:paraId="0B47B8C5" w14:textId="77777777" w:rsidR="004F7AA9" w:rsidRPr="007777D9" w:rsidRDefault="004F7AA9" w:rsidP="004F7AA9">
      <w:pPr>
        <w:widowControl w:val="0"/>
        <w:tabs>
          <w:tab w:val="clear" w:pos="567"/>
        </w:tabs>
        <w:spacing w:line="240" w:lineRule="auto"/>
        <w:rPr>
          <w:i/>
          <w:snapToGrid/>
          <w:szCs w:val="22"/>
          <w:lang w:val="lt-LT"/>
        </w:rPr>
      </w:pPr>
      <w:r w:rsidRPr="007777D9">
        <w:rPr>
          <w:i/>
          <w:snapToGrid/>
          <w:szCs w:val="22"/>
          <w:lang w:val="lt-LT"/>
        </w:rPr>
        <w:t>Suaugusie</w:t>
      </w:r>
      <w:r>
        <w:rPr>
          <w:i/>
          <w:snapToGrid/>
          <w:szCs w:val="22"/>
          <w:lang w:val="lt-LT"/>
        </w:rPr>
        <w:t>sie</w:t>
      </w:r>
      <w:r w:rsidRPr="007777D9">
        <w:rPr>
          <w:i/>
          <w:snapToGrid/>
          <w:szCs w:val="22"/>
          <w:lang w:val="lt-LT"/>
        </w:rPr>
        <w:t xml:space="preserve">ms ir senyviems </w:t>
      </w:r>
      <w:r>
        <w:rPr>
          <w:i/>
          <w:iCs/>
          <w:snapToGrid/>
          <w:szCs w:val="22"/>
          <w:lang w:val="lt-LT"/>
        </w:rPr>
        <w:t>pacientams</w:t>
      </w:r>
    </w:p>
    <w:p w14:paraId="598817EF"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Rekomenduojama dozė skeleto pažeidimų profilaktikai pacientams, kuriems yra progresavęs, išplitęs į kaulus piktybinis procesas, yra 4 mg zoledrono rūgšties kas 3–4 savaites.</w:t>
      </w:r>
    </w:p>
    <w:p w14:paraId="550B18C5" w14:textId="77777777" w:rsidR="004F7AA9" w:rsidRPr="007777D9" w:rsidRDefault="004F7AA9" w:rsidP="004F7AA9">
      <w:pPr>
        <w:widowControl w:val="0"/>
        <w:tabs>
          <w:tab w:val="clear" w:pos="567"/>
        </w:tabs>
        <w:spacing w:line="240" w:lineRule="auto"/>
        <w:rPr>
          <w:snapToGrid/>
          <w:szCs w:val="22"/>
          <w:lang w:val="lt-LT"/>
        </w:rPr>
      </w:pPr>
    </w:p>
    <w:p w14:paraId="25C21B7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Pacientas taip pat turi papildomai vartoti 500 mg geriamojo kalcio ir 400 TV vitamino D paros dozę. </w:t>
      </w:r>
    </w:p>
    <w:p w14:paraId="22A3FB79" w14:textId="77777777" w:rsidR="004F7AA9" w:rsidRPr="007777D9" w:rsidRDefault="004F7AA9" w:rsidP="004F7AA9">
      <w:pPr>
        <w:widowControl w:val="0"/>
        <w:tabs>
          <w:tab w:val="clear" w:pos="567"/>
        </w:tabs>
        <w:spacing w:line="240" w:lineRule="auto"/>
        <w:rPr>
          <w:snapToGrid/>
          <w:szCs w:val="22"/>
          <w:lang w:val="lt-LT"/>
        </w:rPr>
      </w:pPr>
    </w:p>
    <w:p w14:paraId="07F30BA1" w14:textId="0A273260"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Prieš nusprendžiant pradėti vaistinio preparato vartojimą skeleto pažeidimų profilaktikai pacientams, kuriems yra metastazių kauluose, reikia atsižvelgti į tai, kad gydomojo poveikio pradžia yra po 2–</w:t>
      </w:r>
      <w:r w:rsidR="00CC7698">
        <w:rPr>
          <w:snapToGrid/>
          <w:szCs w:val="22"/>
          <w:lang w:val="lt-LT"/>
        </w:rPr>
        <w:t> </w:t>
      </w:r>
      <w:r w:rsidRPr="007777D9">
        <w:rPr>
          <w:snapToGrid/>
          <w:szCs w:val="22"/>
          <w:lang w:val="lt-LT"/>
        </w:rPr>
        <w:t>3 mėnesių.</w:t>
      </w:r>
    </w:p>
    <w:p w14:paraId="1211DB95" w14:textId="77777777" w:rsidR="004F7AA9" w:rsidRPr="007777D9" w:rsidRDefault="004F7AA9" w:rsidP="004F7AA9">
      <w:pPr>
        <w:widowControl w:val="0"/>
        <w:tabs>
          <w:tab w:val="clear" w:pos="567"/>
        </w:tabs>
        <w:spacing w:line="240" w:lineRule="auto"/>
        <w:rPr>
          <w:snapToGrid/>
          <w:szCs w:val="22"/>
          <w:lang w:val="lt-LT"/>
        </w:rPr>
      </w:pPr>
    </w:p>
    <w:p w14:paraId="5221B087" w14:textId="77777777" w:rsidR="004F7AA9" w:rsidRPr="007777D9" w:rsidRDefault="004F7AA9" w:rsidP="004F7AA9">
      <w:pPr>
        <w:widowControl w:val="0"/>
        <w:tabs>
          <w:tab w:val="clear" w:pos="567"/>
        </w:tabs>
        <w:spacing w:line="240" w:lineRule="auto"/>
        <w:rPr>
          <w:i/>
          <w:snapToGrid/>
          <w:szCs w:val="22"/>
          <w:u w:val="single"/>
          <w:lang w:val="lt-LT"/>
        </w:rPr>
      </w:pPr>
      <w:r w:rsidRPr="007777D9">
        <w:rPr>
          <w:i/>
          <w:snapToGrid/>
          <w:szCs w:val="22"/>
          <w:u w:val="single"/>
          <w:lang w:val="lt-LT"/>
        </w:rPr>
        <w:t>NSH gydymas</w:t>
      </w:r>
    </w:p>
    <w:p w14:paraId="717E1D3B" w14:textId="77777777" w:rsidR="004F7AA9" w:rsidRPr="007777D9" w:rsidRDefault="004F7AA9" w:rsidP="004F7AA9">
      <w:pPr>
        <w:widowControl w:val="0"/>
        <w:tabs>
          <w:tab w:val="clear" w:pos="567"/>
        </w:tabs>
        <w:spacing w:line="240" w:lineRule="auto"/>
        <w:rPr>
          <w:i/>
          <w:snapToGrid/>
          <w:szCs w:val="22"/>
          <w:lang w:val="lt-LT"/>
        </w:rPr>
      </w:pPr>
      <w:r w:rsidRPr="007777D9">
        <w:rPr>
          <w:i/>
          <w:snapToGrid/>
          <w:szCs w:val="22"/>
          <w:lang w:val="lt-LT"/>
        </w:rPr>
        <w:t>Suaugusie</w:t>
      </w:r>
      <w:r>
        <w:rPr>
          <w:i/>
          <w:snapToGrid/>
          <w:szCs w:val="22"/>
          <w:lang w:val="lt-LT"/>
        </w:rPr>
        <w:t>si</w:t>
      </w:r>
      <w:r w:rsidRPr="007777D9">
        <w:rPr>
          <w:i/>
          <w:snapToGrid/>
          <w:szCs w:val="22"/>
          <w:lang w:val="lt-LT"/>
        </w:rPr>
        <w:t xml:space="preserve">ems ir senyviems </w:t>
      </w:r>
      <w:r>
        <w:rPr>
          <w:i/>
          <w:iCs/>
          <w:snapToGrid/>
          <w:szCs w:val="22"/>
          <w:lang w:val="lt-LT"/>
        </w:rPr>
        <w:t>pacientams</w:t>
      </w:r>
    </w:p>
    <w:p w14:paraId="0E3459BF"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lang w:val="lt-LT"/>
        </w:rPr>
        <w:t>Rekomenduojama vienkartinė dozė hiperkalcemijai gydyti (kai pagal albuminą koreguotas kalcio kiekis serume yra ≥ 12,0 mg/dl arba 3,0 mmol/l) yra 4 mg zoledrono rūgšties.</w:t>
      </w:r>
    </w:p>
    <w:p w14:paraId="0963AADD" w14:textId="77777777" w:rsidR="004F7AA9" w:rsidRPr="007777D9" w:rsidRDefault="004F7AA9" w:rsidP="004F7AA9">
      <w:pPr>
        <w:widowControl w:val="0"/>
        <w:tabs>
          <w:tab w:val="clear" w:pos="567"/>
        </w:tabs>
        <w:spacing w:line="240" w:lineRule="auto"/>
        <w:rPr>
          <w:snapToGrid/>
          <w:szCs w:val="22"/>
          <w:u w:val="single"/>
          <w:lang w:val="lt-LT"/>
        </w:rPr>
      </w:pPr>
    </w:p>
    <w:p w14:paraId="4F9E95C9" w14:textId="77777777" w:rsidR="004F7AA9" w:rsidRPr="007777D9" w:rsidRDefault="004F7AA9" w:rsidP="004F7AA9">
      <w:pPr>
        <w:widowControl w:val="0"/>
        <w:tabs>
          <w:tab w:val="clear" w:pos="567"/>
        </w:tabs>
        <w:spacing w:line="240" w:lineRule="auto"/>
        <w:rPr>
          <w:i/>
          <w:snapToGrid/>
          <w:szCs w:val="22"/>
          <w:lang w:val="lt-LT"/>
        </w:rPr>
      </w:pPr>
      <w:r w:rsidRPr="007777D9">
        <w:rPr>
          <w:i/>
          <w:iCs/>
          <w:snapToGrid/>
          <w:szCs w:val="22"/>
          <w:lang w:val="lt-LT"/>
        </w:rPr>
        <w:lastRenderedPageBreak/>
        <w:t>Pacientams, kurių inkstų funkcija sutrikusi</w:t>
      </w:r>
    </w:p>
    <w:p w14:paraId="11E50E06" w14:textId="77777777" w:rsidR="004F7AA9" w:rsidRPr="007777D9" w:rsidRDefault="004F7AA9" w:rsidP="004F7AA9">
      <w:pPr>
        <w:widowControl w:val="0"/>
        <w:tabs>
          <w:tab w:val="clear" w:pos="567"/>
        </w:tabs>
        <w:spacing w:line="240" w:lineRule="auto"/>
        <w:rPr>
          <w:i/>
          <w:snapToGrid/>
          <w:szCs w:val="22"/>
          <w:lang w:val="lt-LT"/>
        </w:rPr>
      </w:pPr>
    </w:p>
    <w:p w14:paraId="1B57B308" w14:textId="77777777" w:rsidR="004F7AA9" w:rsidRPr="007777D9" w:rsidRDefault="004F7AA9" w:rsidP="004F7AA9">
      <w:pPr>
        <w:widowControl w:val="0"/>
        <w:tabs>
          <w:tab w:val="clear" w:pos="567"/>
        </w:tabs>
        <w:spacing w:line="240" w:lineRule="auto"/>
        <w:rPr>
          <w:snapToGrid/>
          <w:szCs w:val="22"/>
          <w:lang w:val="lt-LT"/>
        </w:rPr>
      </w:pPr>
      <w:r w:rsidRPr="007777D9">
        <w:rPr>
          <w:i/>
          <w:snapToGrid/>
          <w:szCs w:val="22"/>
          <w:lang w:val="lt-LT"/>
        </w:rPr>
        <w:t>NSH</w:t>
      </w:r>
    </w:p>
    <w:p w14:paraId="0E7BEBE3"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Pacientus, kuriems yra NSH ir sunkus inkstų funkcijos sutrikimas, gydyti zoledrono rūgštimi galima tik įvertinus gydymo riziką ir naudą. Į klinikinius tyrimus nebuvo įtraukti pacientai, kurių kreatinino kiekis serume buvo &gt; 400 μmol/l ar &gt; 4,5 mg/dl. Pacientams, kuriems yra NSH ir kreatinino kiekis serume &lt; 400 μmol/l ar &lt; 4,5 mg/dl, dozės koreguoti nereikia (žr. 4.4 skyrių).</w:t>
      </w:r>
    </w:p>
    <w:p w14:paraId="43151CDC" w14:textId="77777777" w:rsidR="004F7AA9" w:rsidRPr="007777D9" w:rsidRDefault="004F7AA9" w:rsidP="004F7AA9">
      <w:pPr>
        <w:widowControl w:val="0"/>
        <w:tabs>
          <w:tab w:val="clear" w:pos="567"/>
        </w:tabs>
        <w:spacing w:line="240" w:lineRule="auto"/>
        <w:rPr>
          <w:snapToGrid/>
          <w:szCs w:val="22"/>
          <w:lang w:val="lt-LT"/>
        </w:rPr>
      </w:pPr>
    </w:p>
    <w:p w14:paraId="1C010302" w14:textId="77777777" w:rsidR="004F7AA9" w:rsidRPr="007777D9" w:rsidRDefault="004F7AA9" w:rsidP="004F7AA9">
      <w:pPr>
        <w:widowControl w:val="0"/>
        <w:tabs>
          <w:tab w:val="clear" w:pos="567"/>
        </w:tabs>
        <w:spacing w:line="240" w:lineRule="auto"/>
        <w:rPr>
          <w:snapToGrid/>
          <w:szCs w:val="22"/>
          <w:lang w:val="lt-LT"/>
        </w:rPr>
      </w:pPr>
      <w:r w:rsidRPr="007777D9">
        <w:rPr>
          <w:i/>
          <w:snapToGrid/>
          <w:szCs w:val="22"/>
          <w:lang w:val="lt-LT"/>
        </w:rPr>
        <w:t>Skeleto pažeidimų profilaktikai pacientams, kuriems yra progresavęs, išplitęs į kaulus piktybinis procesas</w:t>
      </w:r>
    </w:p>
    <w:p w14:paraId="6DDD2A75"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Kai zoledrono rūgštimi pradedami gydyti pacientai, </w:t>
      </w:r>
      <w:r w:rsidRPr="00B31D5D">
        <w:rPr>
          <w:snapToGrid/>
          <w:szCs w:val="22"/>
          <w:lang w:val="lt-LT"/>
        </w:rPr>
        <w:t xml:space="preserve">sergantys daugine mieloma </w:t>
      </w:r>
      <w:r w:rsidRPr="007777D9">
        <w:rPr>
          <w:snapToGrid/>
          <w:szCs w:val="22"/>
          <w:lang w:val="lt-LT"/>
        </w:rPr>
        <w:t xml:space="preserve">ar solidinių navikų metastazių sukeltu kaulų pažeidimu, būtina nustatyti kreatinino kiekį serume ir kreatinino klirensą (CLcr). CLcr apskaičiuojamas pagal kreatinino kiekį serume naudojant </w:t>
      </w:r>
      <w:r w:rsidRPr="00406DD4">
        <w:rPr>
          <w:i/>
          <w:snapToGrid/>
          <w:szCs w:val="22"/>
          <w:lang w:val="lt-LT"/>
        </w:rPr>
        <w:t>Cockcroft-Gault</w:t>
      </w:r>
      <w:r w:rsidRPr="007777D9">
        <w:rPr>
          <w:snapToGrid/>
          <w:szCs w:val="22"/>
          <w:lang w:val="lt-LT"/>
        </w:rPr>
        <w:t xml:space="preserve"> formulę. Zoledrono rūgšties nerekomenduojama skirti pacientams, kuriems prieš pradedant gydyti yra sunkus inkstų funkcijos sutrikimas, apibūdinamas kaip CLcr &lt;30 ml/min. Pacientai, kurių kreatinino kiekis buvo &gt;265 μmol/l arba &gt;3,0 mg/dl, nebuvo įtraukti į klinikinius zoledrono rūgšties tyrimus.</w:t>
      </w:r>
    </w:p>
    <w:p w14:paraId="58B2B653" w14:textId="77777777" w:rsidR="004F7AA9" w:rsidRPr="007777D9" w:rsidRDefault="004F7AA9" w:rsidP="004F7AA9">
      <w:pPr>
        <w:widowControl w:val="0"/>
        <w:tabs>
          <w:tab w:val="clear" w:pos="567"/>
        </w:tabs>
        <w:spacing w:line="240" w:lineRule="auto"/>
        <w:rPr>
          <w:snapToGrid/>
          <w:szCs w:val="22"/>
          <w:lang w:val="lt-LT"/>
        </w:rPr>
      </w:pPr>
    </w:p>
    <w:p w14:paraId="5B0976AD" w14:textId="77777777" w:rsidR="004F7AA9" w:rsidRPr="007777D9" w:rsidRDefault="004F7AA9" w:rsidP="004F7AA9">
      <w:pPr>
        <w:widowControl w:val="0"/>
        <w:tabs>
          <w:tab w:val="clear" w:pos="567"/>
        </w:tabs>
        <w:spacing w:line="240" w:lineRule="auto"/>
        <w:rPr>
          <w:snapToGrid/>
          <w:szCs w:val="22"/>
          <w:lang w:val="lt-LT"/>
        </w:rPr>
      </w:pPr>
      <w:r>
        <w:rPr>
          <w:noProof/>
          <w:lang w:val="lt-LT" w:eastAsia="lt-LT"/>
        </w:rPr>
        <mc:AlternateContent>
          <mc:Choice Requires="wpg">
            <w:drawing>
              <wp:anchor distT="0" distB="0" distL="114300" distR="114300" simplePos="0" relativeHeight="251659264" behindDoc="1" locked="0" layoutInCell="1" allowOverlap="1" wp14:anchorId="027C391A" wp14:editId="72A73DCF">
                <wp:simplePos x="0" y="0"/>
                <wp:positionH relativeFrom="page">
                  <wp:posOffset>831850</wp:posOffset>
                </wp:positionH>
                <wp:positionV relativeFrom="paragraph">
                  <wp:posOffset>807720</wp:posOffset>
                </wp:positionV>
                <wp:extent cx="5897245" cy="1270"/>
                <wp:effectExtent l="0" t="0" r="8255" b="0"/>
                <wp:wrapNone/>
                <wp:docPr id="5" name="Group 7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245" cy="1270"/>
                          <a:chOff x="1310" y="1272"/>
                          <a:chExt cx="9287" cy="2"/>
                        </a:xfrm>
                      </wpg:grpSpPr>
                      <wps:wsp>
                        <wps:cNvPr id="7" name="Freeform 7389"/>
                        <wps:cNvSpPr>
                          <a:spLocks/>
                        </wps:cNvSpPr>
                        <wps:spPr bwMode="auto">
                          <a:xfrm>
                            <a:off x="1310" y="1272"/>
                            <a:ext cx="9287" cy="2"/>
                          </a:xfrm>
                          <a:custGeom>
                            <a:avLst/>
                            <a:gdLst>
                              <a:gd name="T0" fmla="+- 0 1310 1310"/>
                              <a:gd name="T1" fmla="*/ T0 w 9287"/>
                              <a:gd name="T2" fmla="+- 0 10597 1310"/>
                              <a:gd name="T3" fmla="*/ T2 w 9287"/>
                            </a:gdLst>
                            <a:ahLst/>
                            <a:cxnLst>
                              <a:cxn ang="0">
                                <a:pos x="T1" y="0"/>
                              </a:cxn>
                              <a:cxn ang="0">
                                <a:pos x="T3" y="0"/>
                              </a:cxn>
                            </a:cxnLst>
                            <a:rect l="0" t="0" r="r" b="b"/>
                            <a:pathLst>
                              <a:path w="9287">
                                <a:moveTo>
                                  <a:pt x="0" y="0"/>
                                </a:moveTo>
                                <a:lnTo>
                                  <a:pt x="92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C3B252A" id="Group 7388" o:spid="_x0000_s1026" style="position:absolute;margin-left:65.5pt;margin-top:63.6pt;width:464.35pt;height:.1pt;z-index:-251657216;mso-position-horizontal-relative:page" coordorigin="1310,1272" coordsize="9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">
                <v:shape id="Freeform 7389" o:spid="_x0000_s1027" style="position:absolute;left:1310;top:1272;width:9287;height:2;visibility:visible;mso-wrap-style:square;v-text-anchor:top" coordsize="9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" path="m,l9287,e" filled="f" strokeweight=".58pt">
                  <v:path arrowok="t" o:connecttype="custom" o:connectlocs="0,0;9287,0" o:connectangles="0,0"/>
                </v:shape>
                <w10:wrap anchorx="page"/>
              </v:group>
            </w:pict>
          </mc:Fallback>
        </mc:AlternateContent>
      </w:r>
      <w:r w:rsidRPr="007777D9">
        <w:rPr>
          <w:snapToGrid/>
          <w:szCs w:val="22"/>
          <w:lang w:val="lt-LT"/>
        </w:rPr>
        <w:t>Pacientams, kuriems prieš pradedant gydyti buvo metastazių kauluose ir lengvas ar vidutinio sunkumo inkstų funkcijos sutrikimas, apibūdintas kaip CLcr 30–60 ml/min., rekomenduojamos tokios zoledrono rūgšties dozės (taip pat žr. 4.4 skyrių):</w:t>
      </w:r>
    </w:p>
    <w:p w14:paraId="151AB39A" w14:textId="77777777" w:rsidR="004F7AA9" w:rsidRPr="007777D9" w:rsidRDefault="004F7AA9" w:rsidP="004F7AA9">
      <w:pPr>
        <w:widowControl w:val="0"/>
        <w:tabs>
          <w:tab w:val="clear" w:pos="567"/>
        </w:tabs>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4"/>
        <w:gridCol w:w="4523"/>
      </w:tblGrid>
      <w:tr w:rsidR="004F7AA9" w:rsidRPr="007777D9" w14:paraId="1DBE4B64" w14:textId="77777777" w:rsidTr="009A4A51">
        <w:tc>
          <w:tcPr>
            <w:tcW w:w="4621" w:type="dxa"/>
          </w:tcPr>
          <w:p w14:paraId="3C68CBE0" w14:textId="77777777" w:rsidR="004F7AA9" w:rsidRPr="007777D9" w:rsidRDefault="004F7AA9" w:rsidP="009A4A51">
            <w:pPr>
              <w:widowControl w:val="0"/>
              <w:tabs>
                <w:tab w:val="clear" w:pos="567"/>
              </w:tabs>
              <w:spacing w:line="240" w:lineRule="auto"/>
              <w:jc w:val="center"/>
              <w:rPr>
                <w:snapToGrid/>
                <w:szCs w:val="22"/>
                <w:lang w:val="lt-LT"/>
              </w:rPr>
            </w:pPr>
            <w:r w:rsidRPr="007777D9">
              <w:rPr>
                <w:b/>
                <w:bCs/>
                <w:snapToGrid/>
                <w:szCs w:val="22"/>
                <w:lang w:val="lt-LT"/>
              </w:rPr>
              <w:t>Pradinis kreatinino klirensas (ml/min.)</w:t>
            </w:r>
          </w:p>
        </w:tc>
        <w:tc>
          <w:tcPr>
            <w:tcW w:w="4622" w:type="dxa"/>
          </w:tcPr>
          <w:p w14:paraId="1B621B4E" w14:textId="77777777" w:rsidR="004F7AA9" w:rsidRPr="007777D9" w:rsidRDefault="004F7AA9" w:rsidP="009A4A51">
            <w:pPr>
              <w:widowControl w:val="0"/>
              <w:tabs>
                <w:tab w:val="clear" w:pos="567"/>
              </w:tabs>
              <w:spacing w:line="240" w:lineRule="auto"/>
              <w:jc w:val="center"/>
              <w:rPr>
                <w:snapToGrid/>
                <w:szCs w:val="22"/>
                <w:lang w:val="lt-LT"/>
              </w:rPr>
            </w:pPr>
            <w:r w:rsidRPr="007777D9">
              <w:rPr>
                <w:b/>
                <w:bCs/>
                <w:snapToGrid/>
                <w:szCs w:val="22"/>
                <w:lang w:val="lt-LT"/>
              </w:rPr>
              <w:t>Rekomenduojama zoledrono rūgšties dozė*</w:t>
            </w:r>
          </w:p>
        </w:tc>
      </w:tr>
      <w:tr w:rsidR="004F7AA9" w:rsidRPr="007777D9" w14:paraId="5DCD7C2B" w14:textId="77777777" w:rsidTr="009A4A51">
        <w:tc>
          <w:tcPr>
            <w:tcW w:w="4621" w:type="dxa"/>
          </w:tcPr>
          <w:p w14:paraId="285EFCD1" w14:textId="77777777" w:rsidR="004F7AA9" w:rsidRPr="007777D9" w:rsidRDefault="004F7AA9" w:rsidP="009A4A51">
            <w:pPr>
              <w:widowControl w:val="0"/>
              <w:tabs>
                <w:tab w:val="clear" w:pos="567"/>
              </w:tabs>
              <w:spacing w:line="240" w:lineRule="auto"/>
              <w:jc w:val="center"/>
              <w:rPr>
                <w:snapToGrid/>
                <w:szCs w:val="22"/>
                <w:lang w:val="lt-LT"/>
              </w:rPr>
            </w:pPr>
            <w:r w:rsidRPr="007777D9">
              <w:rPr>
                <w:snapToGrid/>
                <w:szCs w:val="22"/>
                <w:lang w:val="lt-LT"/>
              </w:rPr>
              <w:t>&gt;60</w:t>
            </w:r>
          </w:p>
        </w:tc>
        <w:tc>
          <w:tcPr>
            <w:tcW w:w="4622" w:type="dxa"/>
          </w:tcPr>
          <w:p w14:paraId="5F15AE53" w14:textId="77777777" w:rsidR="004F7AA9" w:rsidRPr="007777D9" w:rsidRDefault="004F7AA9" w:rsidP="009A4A51">
            <w:pPr>
              <w:widowControl w:val="0"/>
              <w:tabs>
                <w:tab w:val="clear" w:pos="567"/>
              </w:tabs>
              <w:spacing w:line="240" w:lineRule="auto"/>
              <w:jc w:val="center"/>
              <w:rPr>
                <w:snapToGrid/>
                <w:szCs w:val="22"/>
                <w:lang w:val="lt-LT"/>
              </w:rPr>
            </w:pPr>
            <w:r w:rsidRPr="007777D9">
              <w:rPr>
                <w:snapToGrid/>
                <w:szCs w:val="22"/>
                <w:lang w:val="lt-LT"/>
              </w:rPr>
              <w:t>4,0 mg</w:t>
            </w:r>
          </w:p>
        </w:tc>
      </w:tr>
      <w:tr w:rsidR="004F7AA9" w:rsidRPr="007777D9" w14:paraId="75553138" w14:textId="77777777" w:rsidTr="009A4A51">
        <w:tc>
          <w:tcPr>
            <w:tcW w:w="4621" w:type="dxa"/>
          </w:tcPr>
          <w:p w14:paraId="2F216B8B" w14:textId="77777777" w:rsidR="004F7AA9" w:rsidRPr="007777D9" w:rsidRDefault="004F7AA9" w:rsidP="009A4A51">
            <w:pPr>
              <w:widowControl w:val="0"/>
              <w:tabs>
                <w:tab w:val="clear" w:pos="567"/>
              </w:tabs>
              <w:spacing w:line="240" w:lineRule="auto"/>
              <w:jc w:val="center"/>
              <w:rPr>
                <w:snapToGrid/>
                <w:szCs w:val="22"/>
                <w:lang w:val="lt-LT"/>
              </w:rPr>
            </w:pPr>
            <w:r w:rsidRPr="007777D9">
              <w:rPr>
                <w:snapToGrid/>
                <w:szCs w:val="22"/>
                <w:lang w:val="lt-LT"/>
              </w:rPr>
              <w:t>50–60</w:t>
            </w:r>
          </w:p>
        </w:tc>
        <w:tc>
          <w:tcPr>
            <w:tcW w:w="4622" w:type="dxa"/>
          </w:tcPr>
          <w:p w14:paraId="302778E2" w14:textId="77777777" w:rsidR="004F7AA9" w:rsidRPr="007777D9" w:rsidRDefault="004F7AA9" w:rsidP="009A4A51">
            <w:pPr>
              <w:widowControl w:val="0"/>
              <w:tabs>
                <w:tab w:val="clear" w:pos="567"/>
              </w:tabs>
              <w:spacing w:line="240" w:lineRule="auto"/>
              <w:jc w:val="center"/>
              <w:rPr>
                <w:snapToGrid/>
                <w:szCs w:val="22"/>
                <w:lang w:val="lt-LT"/>
              </w:rPr>
            </w:pPr>
            <w:r w:rsidRPr="007777D9">
              <w:rPr>
                <w:snapToGrid/>
                <w:szCs w:val="22"/>
                <w:lang w:val="lt-LT"/>
              </w:rPr>
              <w:t>3,5 mg*</w:t>
            </w:r>
          </w:p>
        </w:tc>
      </w:tr>
      <w:tr w:rsidR="004F7AA9" w:rsidRPr="007777D9" w14:paraId="2EB6A02D" w14:textId="77777777" w:rsidTr="009A4A51">
        <w:tc>
          <w:tcPr>
            <w:tcW w:w="4621" w:type="dxa"/>
          </w:tcPr>
          <w:p w14:paraId="604E173F" w14:textId="77777777" w:rsidR="004F7AA9" w:rsidRPr="007777D9" w:rsidRDefault="004F7AA9" w:rsidP="009A4A51">
            <w:pPr>
              <w:widowControl w:val="0"/>
              <w:tabs>
                <w:tab w:val="clear" w:pos="567"/>
              </w:tabs>
              <w:spacing w:line="240" w:lineRule="auto"/>
              <w:jc w:val="center"/>
              <w:rPr>
                <w:snapToGrid/>
                <w:szCs w:val="22"/>
                <w:lang w:val="lt-LT"/>
              </w:rPr>
            </w:pPr>
            <w:r w:rsidRPr="007777D9">
              <w:rPr>
                <w:snapToGrid/>
                <w:szCs w:val="22"/>
                <w:lang w:val="lt-LT"/>
              </w:rPr>
              <w:t>40–49</w:t>
            </w:r>
          </w:p>
        </w:tc>
        <w:tc>
          <w:tcPr>
            <w:tcW w:w="4622" w:type="dxa"/>
          </w:tcPr>
          <w:p w14:paraId="2EDEA6ED" w14:textId="77777777" w:rsidR="004F7AA9" w:rsidRPr="007777D9" w:rsidRDefault="004F7AA9" w:rsidP="009A4A51">
            <w:pPr>
              <w:widowControl w:val="0"/>
              <w:tabs>
                <w:tab w:val="clear" w:pos="567"/>
              </w:tabs>
              <w:spacing w:line="240" w:lineRule="auto"/>
              <w:jc w:val="center"/>
              <w:rPr>
                <w:snapToGrid/>
                <w:szCs w:val="22"/>
                <w:lang w:val="lt-LT"/>
              </w:rPr>
            </w:pPr>
            <w:r w:rsidRPr="007777D9">
              <w:rPr>
                <w:snapToGrid/>
                <w:szCs w:val="22"/>
                <w:lang w:val="lt-LT"/>
              </w:rPr>
              <w:t>3,3 mg*</w:t>
            </w:r>
          </w:p>
        </w:tc>
      </w:tr>
      <w:tr w:rsidR="004F7AA9" w:rsidRPr="007777D9" w14:paraId="6714E774" w14:textId="77777777" w:rsidTr="009A4A51">
        <w:tc>
          <w:tcPr>
            <w:tcW w:w="4621" w:type="dxa"/>
          </w:tcPr>
          <w:p w14:paraId="2F2B9C2A" w14:textId="77777777" w:rsidR="004F7AA9" w:rsidRPr="007777D9" w:rsidRDefault="004F7AA9" w:rsidP="009A4A51">
            <w:pPr>
              <w:widowControl w:val="0"/>
              <w:tabs>
                <w:tab w:val="clear" w:pos="567"/>
              </w:tabs>
              <w:spacing w:line="240" w:lineRule="auto"/>
              <w:jc w:val="center"/>
              <w:rPr>
                <w:snapToGrid/>
                <w:szCs w:val="22"/>
                <w:lang w:val="lt-LT"/>
              </w:rPr>
            </w:pPr>
            <w:r w:rsidRPr="007777D9">
              <w:rPr>
                <w:snapToGrid/>
                <w:szCs w:val="22"/>
                <w:lang w:val="lt-LT"/>
              </w:rPr>
              <w:t>30–39</w:t>
            </w:r>
          </w:p>
        </w:tc>
        <w:tc>
          <w:tcPr>
            <w:tcW w:w="4622" w:type="dxa"/>
          </w:tcPr>
          <w:p w14:paraId="3712CB7A" w14:textId="77777777" w:rsidR="004F7AA9" w:rsidRPr="007777D9" w:rsidRDefault="004F7AA9" w:rsidP="009A4A51">
            <w:pPr>
              <w:widowControl w:val="0"/>
              <w:tabs>
                <w:tab w:val="clear" w:pos="567"/>
              </w:tabs>
              <w:spacing w:line="240" w:lineRule="auto"/>
              <w:jc w:val="center"/>
              <w:rPr>
                <w:snapToGrid/>
                <w:szCs w:val="22"/>
                <w:lang w:val="lt-LT"/>
              </w:rPr>
            </w:pPr>
            <w:r w:rsidRPr="007777D9">
              <w:rPr>
                <w:snapToGrid/>
                <w:szCs w:val="22"/>
                <w:lang w:val="lt-LT"/>
              </w:rPr>
              <w:t>3,0 mg*</w:t>
            </w:r>
          </w:p>
        </w:tc>
      </w:tr>
    </w:tbl>
    <w:p w14:paraId="280028B4" w14:textId="77777777" w:rsidR="004F7AA9" w:rsidRPr="007777D9" w:rsidRDefault="004F7AA9" w:rsidP="004F7AA9">
      <w:pPr>
        <w:widowControl w:val="0"/>
        <w:tabs>
          <w:tab w:val="clear" w:pos="567"/>
        </w:tabs>
        <w:spacing w:line="240" w:lineRule="auto"/>
        <w:rPr>
          <w:snapToGrid/>
          <w:szCs w:val="22"/>
          <w:lang w:val="lt-LT"/>
        </w:rPr>
      </w:pPr>
      <w:r>
        <w:rPr>
          <w:noProof/>
          <w:lang w:val="lt-LT" w:eastAsia="lt-LT"/>
        </w:rPr>
        <mc:AlternateContent>
          <mc:Choice Requires="wpg">
            <w:drawing>
              <wp:anchor distT="0" distB="0" distL="114300" distR="114300" simplePos="0" relativeHeight="251660288" behindDoc="1" locked="0" layoutInCell="1" allowOverlap="1" wp14:anchorId="14FB2437" wp14:editId="01A91FAF">
                <wp:simplePos x="0" y="0"/>
                <wp:positionH relativeFrom="page">
                  <wp:posOffset>822960</wp:posOffset>
                </wp:positionH>
                <wp:positionV relativeFrom="paragraph">
                  <wp:posOffset>-10795</wp:posOffset>
                </wp:positionV>
                <wp:extent cx="5906135" cy="1270"/>
                <wp:effectExtent l="0" t="0" r="0" b="0"/>
                <wp:wrapNone/>
                <wp:docPr id="3" name="Group 7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6135" cy="1270"/>
                          <a:chOff x="1296" y="-17"/>
                          <a:chExt cx="9301" cy="2"/>
                        </a:xfrm>
                      </wpg:grpSpPr>
                      <wps:wsp>
                        <wps:cNvPr id="4" name="Freeform 7387"/>
                        <wps:cNvSpPr>
                          <a:spLocks/>
                        </wps:cNvSpPr>
                        <wps:spPr bwMode="auto">
                          <a:xfrm>
                            <a:off x="1296" y="-17"/>
                            <a:ext cx="9301" cy="2"/>
                          </a:xfrm>
                          <a:custGeom>
                            <a:avLst/>
                            <a:gdLst>
                              <a:gd name="T0" fmla="+- 0 1296 1296"/>
                              <a:gd name="T1" fmla="*/ T0 w 9301"/>
                              <a:gd name="T2" fmla="+- 0 10597 1296"/>
                              <a:gd name="T3" fmla="*/ T2 w 9301"/>
                            </a:gdLst>
                            <a:ahLst/>
                            <a:cxnLst>
                              <a:cxn ang="0">
                                <a:pos x="T1" y="0"/>
                              </a:cxn>
                              <a:cxn ang="0">
                                <a:pos x="T3" y="0"/>
                              </a:cxn>
                            </a:cxnLst>
                            <a:rect l="0" t="0" r="r" b="b"/>
                            <a:pathLst>
                              <a:path w="9301">
                                <a:moveTo>
                                  <a:pt x="0" y="0"/>
                                </a:moveTo>
                                <a:lnTo>
                                  <a:pt x="93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5F8CABB" id="Group 7386" o:spid="_x0000_s1026" style="position:absolute;margin-left:64.8pt;margin-top:-.85pt;width:465.05pt;height:.1pt;z-index:-251656192;mso-position-horizontal-relative:page" coordorigin="1296,-17" coordsize="9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">
                <v:shape id="Freeform 7387" o:spid="_x0000_s1027" style="position:absolute;left:1296;top:-17;width:9301;height:2;visibility:visible;mso-wrap-style:square;v-text-anchor:top" coordsize="9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" path="m,l9301,e" filled="f" strokeweight=".58pt">
                  <v:path arrowok="t" o:connecttype="custom" o:connectlocs="0,0;9301,0" o:connectangles="0,0"/>
                </v:shape>
                <w10:wrap anchorx="page"/>
              </v:group>
            </w:pict>
          </mc:Fallback>
        </mc:AlternateContent>
      </w:r>
      <w:r w:rsidRPr="007777D9">
        <w:rPr>
          <w:snapToGrid/>
          <w:szCs w:val="22"/>
          <w:lang w:val="lt-LT"/>
        </w:rPr>
        <w:t>* Dozės apskaičiuotos laikant, kad tikslinis AUC yra 0,66 (mg•val./l) (CLcr = 75 ml/min). Tikėtina, kad sumažintos pacientų, kuriems yra inkstų funkcijos sutrikimas, dozės pasieks tą patį AUC, nustatytą pacientams, kurių kreatinino klirensas yra 75 ml/min.</w:t>
      </w:r>
    </w:p>
    <w:p w14:paraId="292659E2" w14:textId="77777777" w:rsidR="004F7AA9" w:rsidRPr="007777D9" w:rsidRDefault="004F7AA9" w:rsidP="004F7AA9">
      <w:pPr>
        <w:widowControl w:val="0"/>
        <w:tabs>
          <w:tab w:val="clear" w:pos="567"/>
        </w:tabs>
        <w:spacing w:line="240" w:lineRule="auto"/>
        <w:rPr>
          <w:snapToGrid/>
          <w:szCs w:val="22"/>
          <w:lang w:val="lt-LT"/>
        </w:rPr>
      </w:pPr>
    </w:p>
    <w:p w14:paraId="3F52FA6F"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Pradėjus gydymą, kreatinino kiekį reikia nustatyti prieš kiekvienos zoledrono rūgšties dozės vartojimą, o inkstų funkcijai pablogėjus, gydymą reikia sustabdyti. Klinikinių tyrimų metu inkstų funkcijos pablogėjimas buvo apibūdinamas taip:</w:t>
      </w:r>
    </w:p>
    <w:p w14:paraId="6D5E4B2A" w14:textId="77777777" w:rsidR="004F7AA9" w:rsidRPr="007777D9" w:rsidRDefault="004F7AA9" w:rsidP="004F7AA9">
      <w:pPr>
        <w:widowControl w:val="0"/>
        <w:numPr>
          <w:ilvl w:val="0"/>
          <w:numId w:val="10"/>
        </w:numPr>
        <w:tabs>
          <w:tab w:val="clear" w:pos="567"/>
        </w:tabs>
        <w:spacing w:line="240" w:lineRule="auto"/>
        <w:ind w:left="567" w:hanging="567"/>
        <w:contextualSpacing/>
        <w:rPr>
          <w:snapToGrid/>
          <w:szCs w:val="22"/>
          <w:lang w:val="lt-LT"/>
        </w:rPr>
      </w:pPr>
      <w:r w:rsidRPr="007777D9">
        <w:rPr>
          <w:snapToGrid/>
          <w:szCs w:val="22"/>
          <w:lang w:val="lt-LT"/>
        </w:rPr>
        <w:t>pacientams, kurių pradinis kreatinino kiekis serume buvo normalus (&lt;1,4 mg/dl arba &lt;124 μmol/l), padidėjimas 0,5 mg/dl arba 44 μmol/l;</w:t>
      </w:r>
    </w:p>
    <w:p w14:paraId="5576781A" w14:textId="77777777" w:rsidR="004F7AA9" w:rsidRPr="007777D9" w:rsidRDefault="004F7AA9" w:rsidP="004F7AA9">
      <w:pPr>
        <w:widowControl w:val="0"/>
        <w:numPr>
          <w:ilvl w:val="0"/>
          <w:numId w:val="10"/>
        </w:numPr>
        <w:tabs>
          <w:tab w:val="clear" w:pos="567"/>
        </w:tabs>
        <w:spacing w:line="240" w:lineRule="auto"/>
        <w:ind w:left="567" w:hanging="567"/>
        <w:contextualSpacing/>
        <w:rPr>
          <w:snapToGrid/>
          <w:szCs w:val="22"/>
          <w:lang w:val="lt-LT"/>
        </w:rPr>
      </w:pPr>
      <w:r w:rsidRPr="007777D9">
        <w:rPr>
          <w:snapToGrid/>
          <w:szCs w:val="22"/>
          <w:lang w:val="lt-LT"/>
        </w:rPr>
        <w:t>pacientams, kurių pradinis kreatinino kiekis serume buvo nenormalus (&gt;1,4 mg/dl arba &gt;124 μmol/l), padidėjimas 1,0 mg/dl arba 88 μmol/l.</w:t>
      </w:r>
    </w:p>
    <w:p w14:paraId="3CEA6260" w14:textId="77777777" w:rsidR="004F7AA9" w:rsidRPr="007777D9" w:rsidRDefault="004F7AA9" w:rsidP="004F7AA9">
      <w:pPr>
        <w:widowControl w:val="0"/>
        <w:tabs>
          <w:tab w:val="clear" w:pos="567"/>
        </w:tabs>
        <w:spacing w:line="240" w:lineRule="auto"/>
        <w:rPr>
          <w:snapToGrid/>
          <w:szCs w:val="22"/>
          <w:lang w:val="lt-LT"/>
        </w:rPr>
      </w:pPr>
    </w:p>
    <w:p w14:paraId="06CCCA0E"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Klinikinių tyrimų metu gydymas zoledrono rūgštimi buvo atnaujintas tik tada, kai kreatinino kiekis nuo pradinio rodmens skyrėsi ne daugiau kaip 10% (žr. 4.4 skyrių). Gydymą zoledrono rūgštimi reikia atnaujinti skiriant tą pačią dozę, kuri buvo vartojama prieš sustabdant gydymą.</w:t>
      </w:r>
    </w:p>
    <w:p w14:paraId="79703201" w14:textId="77777777" w:rsidR="004F7AA9" w:rsidRPr="007777D9" w:rsidRDefault="004F7AA9" w:rsidP="004F7AA9">
      <w:pPr>
        <w:widowControl w:val="0"/>
        <w:tabs>
          <w:tab w:val="clear" w:pos="567"/>
        </w:tabs>
        <w:spacing w:line="240" w:lineRule="auto"/>
        <w:rPr>
          <w:snapToGrid/>
          <w:szCs w:val="22"/>
          <w:lang w:val="lt-LT"/>
        </w:rPr>
      </w:pPr>
    </w:p>
    <w:p w14:paraId="603B5609" w14:textId="77777777" w:rsidR="004F7AA9" w:rsidRPr="007777D9" w:rsidRDefault="004F7AA9" w:rsidP="004F7AA9">
      <w:pPr>
        <w:widowControl w:val="0"/>
        <w:tabs>
          <w:tab w:val="clear" w:pos="567"/>
        </w:tabs>
        <w:spacing w:line="240" w:lineRule="auto"/>
        <w:rPr>
          <w:i/>
          <w:snapToGrid/>
          <w:szCs w:val="22"/>
          <w:lang w:val="lt-LT"/>
        </w:rPr>
      </w:pPr>
      <w:r w:rsidRPr="007777D9">
        <w:rPr>
          <w:i/>
          <w:snapToGrid/>
          <w:szCs w:val="22"/>
          <w:lang w:val="lt-LT"/>
        </w:rPr>
        <w:t>Vaikų populiacija</w:t>
      </w:r>
    </w:p>
    <w:p w14:paraId="5F6072E8"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Zoledrono rūgšties saugumas ir veiksmingumas vaikams nuo 1 iki 17 metų neištirti. Turimi duomenys pateikiami 5.1 skyriuje, tačiau dozavimo rekomendacijų pateikti negalima.</w:t>
      </w:r>
    </w:p>
    <w:p w14:paraId="12250DBE" w14:textId="77777777" w:rsidR="004F7AA9" w:rsidRPr="007777D9" w:rsidRDefault="004F7AA9" w:rsidP="004F7AA9">
      <w:pPr>
        <w:widowControl w:val="0"/>
        <w:tabs>
          <w:tab w:val="clear" w:pos="567"/>
        </w:tabs>
        <w:spacing w:line="240" w:lineRule="auto"/>
        <w:rPr>
          <w:snapToGrid/>
          <w:szCs w:val="22"/>
          <w:lang w:val="lt-LT"/>
        </w:rPr>
      </w:pPr>
    </w:p>
    <w:p w14:paraId="328CF53C"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u w:val="single" w:color="000000"/>
          <w:lang w:val="lt-LT"/>
        </w:rPr>
        <w:t>Vartojimo metodas</w:t>
      </w:r>
    </w:p>
    <w:p w14:paraId="64A8D603"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Leisti į veną.</w:t>
      </w:r>
    </w:p>
    <w:p w14:paraId="3C271B6A"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B31D5D">
        <w:rPr>
          <w:snapToGrid/>
          <w:szCs w:val="22"/>
          <w:lang w:val="lt-LT"/>
        </w:rPr>
        <w:t xml:space="preserve"> </w:t>
      </w:r>
      <w:r>
        <w:rPr>
          <w:snapToGrid/>
          <w:szCs w:val="22"/>
          <w:lang w:val="lt-LT"/>
        </w:rPr>
        <w:t>Norameda</w:t>
      </w:r>
      <w:r w:rsidRPr="00B31D5D">
        <w:rPr>
          <w:snapToGrid/>
          <w:szCs w:val="22"/>
          <w:lang w:val="lt-LT"/>
        </w:rPr>
        <w:t xml:space="preserve"> reikia praskiesti 100 ml (žr. 6.6 skyrių), visa dozė infuzuojama iš karto ne greičiau kaip per 15 minučių.</w:t>
      </w:r>
    </w:p>
    <w:p w14:paraId="435381AE" w14:textId="77777777" w:rsidR="004F7AA9" w:rsidRPr="007777D9" w:rsidRDefault="004F7AA9" w:rsidP="004F7AA9">
      <w:pPr>
        <w:widowControl w:val="0"/>
        <w:tabs>
          <w:tab w:val="clear" w:pos="567"/>
        </w:tabs>
        <w:spacing w:line="240" w:lineRule="auto"/>
        <w:rPr>
          <w:snapToGrid/>
          <w:szCs w:val="22"/>
          <w:lang w:val="lt-LT"/>
        </w:rPr>
      </w:pPr>
    </w:p>
    <w:p w14:paraId="75A2D7AF"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Pacientams, kuriems yra lengvas ar vidutinio sunkumo inkstų funkcijos sutrikimas, rekomenduojama skirti mažesnę zoledrono rūgšties dozę (žr. informaciją skyriuje „Dozavimas“ ir 4.4 skyrių).</w:t>
      </w:r>
    </w:p>
    <w:p w14:paraId="03394EDC" w14:textId="77777777" w:rsidR="004F7AA9" w:rsidRPr="007777D9" w:rsidRDefault="004F7AA9" w:rsidP="004F7AA9">
      <w:pPr>
        <w:widowControl w:val="0"/>
        <w:tabs>
          <w:tab w:val="clear" w:pos="567"/>
        </w:tabs>
        <w:spacing w:line="240" w:lineRule="auto"/>
        <w:rPr>
          <w:snapToGrid/>
          <w:szCs w:val="22"/>
          <w:lang w:val="lt-LT"/>
        </w:rPr>
      </w:pPr>
    </w:p>
    <w:p w14:paraId="4893122E"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lastRenderedPageBreak/>
        <w:t xml:space="preserve">Nurodymai, kaip paruošti sumažintą Zoledronic </w:t>
      </w:r>
      <w:r>
        <w:rPr>
          <w:snapToGrid/>
          <w:szCs w:val="22"/>
          <w:u w:val="single"/>
          <w:lang w:val="lt-LT"/>
        </w:rPr>
        <w:t>acid</w:t>
      </w:r>
      <w:r w:rsidRPr="007777D9">
        <w:rPr>
          <w:snapToGrid/>
          <w:szCs w:val="22"/>
          <w:u w:val="single"/>
          <w:lang w:val="lt-LT"/>
        </w:rPr>
        <w:t xml:space="preserve"> </w:t>
      </w:r>
      <w:r>
        <w:rPr>
          <w:snapToGrid/>
          <w:szCs w:val="22"/>
          <w:u w:val="single"/>
          <w:lang w:val="lt-LT"/>
        </w:rPr>
        <w:t>Norameda</w:t>
      </w:r>
      <w:r w:rsidRPr="007777D9">
        <w:rPr>
          <w:snapToGrid/>
          <w:szCs w:val="22"/>
          <w:u w:val="single"/>
          <w:lang w:val="lt-LT"/>
        </w:rPr>
        <w:t xml:space="preserve"> dozę</w:t>
      </w:r>
    </w:p>
    <w:p w14:paraId="4D2D5AC2"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Pritraukti reikiamą koncentrato tūrį:</w:t>
      </w:r>
    </w:p>
    <w:p w14:paraId="5FFFB278"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4,4 ml, jei dozė 3,5 mg;</w:t>
      </w:r>
    </w:p>
    <w:p w14:paraId="6F6E984E"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4,1 ml, jei dozė 3,3 mg;</w:t>
      </w:r>
    </w:p>
    <w:p w14:paraId="00D5EC10"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3,8 ml, jei dozė 3,0 mg.</w:t>
      </w:r>
    </w:p>
    <w:p w14:paraId="29CDE1E1" w14:textId="77777777" w:rsidR="004F7AA9" w:rsidRPr="007777D9" w:rsidRDefault="004F7AA9" w:rsidP="004F7AA9">
      <w:pPr>
        <w:widowControl w:val="0"/>
        <w:tabs>
          <w:tab w:val="clear" w:pos="567"/>
        </w:tabs>
        <w:spacing w:line="240" w:lineRule="auto"/>
        <w:rPr>
          <w:snapToGrid/>
          <w:szCs w:val="22"/>
          <w:lang w:val="lt-LT"/>
        </w:rPr>
      </w:pPr>
    </w:p>
    <w:p w14:paraId="5A5F33D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Vaistinio preparato skiedimo prieš vartojant instrukcija pateikiama 6.6 skyriuje. Pritrauktą reikiamą koncentrato tūrį toliau skiesti 100 ml sterilaus 0,9% m/</w:t>
      </w:r>
      <w:r>
        <w:rPr>
          <w:snapToGrid/>
          <w:szCs w:val="22"/>
          <w:lang w:val="lt-LT"/>
        </w:rPr>
        <w:t>V</w:t>
      </w:r>
      <w:r w:rsidRPr="007777D9">
        <w:rPr>
          <w:snapToGrid/>
          <w:szCs w:val="22"/>
          <w:lang w:val="lt-LT"/>
        </w:rPr>
        <w:t xml:space="preserve"> natrio chlorido ar 5% m/</w:t>
      </w:r>
      <w:r>
        <w:rPr>
          <w:snapToGrid/>
          <w:szCs w:val="22"/>
          <w:lang w:val="lt-LT"/>
        </w:rPr>
        <w:t>V</w:t>
      </w:r>
      <w:r w:rsidRPr="007777D9">
        <w:rPr>
          <w:snapToGrid/>
          <w:szCs w:val="22"/>
          <w:lang w:val="lt-LT"/>
        </w:rPr>
        <w:t xml:space="preserve"> gliukozės tirpalu. Visa dozė infuzuojama iš karto ne greičiau kaip per 15 minučių.</w:t>
      </w:r>
    </w:p>
    <w:p w14:paraId="11542F1D" w14:textId="77777777" w:rsidR="004F7AA9" w:rsidRPr="007777D9" w:rsidRDefault="004F7AA9" w:rsidP="004F7AA9">
      <w:pPr>
        <w:widowControl w:val="0"/>
        <w:tabs>
          <w:tab w:val="clear" w:pos="567"/>
        </w:tabs>
        <w:spacing w:line="240" w:lineRule="auto"/>
        <w:rPr>
          <w:snapToGrid/>
          <w:szCs w:val="22"/>
          <w:lang w:val="lt-LT"/>
        </w:rPr>
      </w:pPr>
    </w:p>
    <w:p w14:paraId="65A0144B"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negalima maišyti su tirpalais, kurių sudėtyje yra kalcio ar kitų dvivalenčių katijonų, </w:t>
      </w:r>
      <w:r w:rsidRPr="00F10AD3">
        <w:rPr>
          <w:snapToGrid/>
          <w:szCs w:val="22"/>
          <w:lang w:val="lt-LT"/>
        </w:rPr>
        <w:t xml:space="preserve">pvz., Ringerio laktato tirpalu; Zoledronic </w:t>
      </w:r>
      <w:r>
        <w:rPr>
          <w:snapToGrid/>
          <w:szCs w:val="22"/>
          <w:lang w:val="lt-LT"/>
        </w:rPr>
        <w:t>acid</w:t>
      </w:r>
      <w:r w:rsidRPr="00F10AD3">
        <w:rPr>
          <w:snapToGrid/>
          <w:szCs w:val="22"/>
          <w:lang w:val="lt-LT"/>
        </w:rPr>
        <w:t xml:space="preserve"> </w:t>
      </w:r>
      <w:r>
        <w:rPr>
          <w:snapToGrid/>
          <w:szCs w:val="22"/>
          <w:lang w:val="lt-LT"/>
        </w:rPr>
        <w:t>Norameda</w:t>
      </w:r>
      <w:r w:rsidRPr="00F10AD3">
        <w:rPr>
          <w:snapToGrid/>
          <w:szCs w:val="22"/>
          <w:lang w:val="lt-LT"/>
        </w:rPr>
        <w:t xml:space="preserve"> reikia infuzuoti </w:t>
      </w:r>
      <w:r>
        <w:rPr>
          <w:snapToGrid/>
          <w:szCs w:val="22"/>
          <w:lang w:val="lt-LT"/>
        </w:rPr>
        <w:t xml:space="preserve">kaip atskirą infuzinį tirpalą </w:t>
      </w:r>
      <w:r w:rsidRPr="00F10AD3">
        <w:rPr>
          <w:snapToGrid/>
          <w:szCs w:val="22"/>
          <w:lang w:val="lt-LT"/>
        </w:rPr>
        <w:t>per atskirą infuzijų sistemą</w:t>
      </w:r>
      <w:r w:rsidRPr="007777D9">
        <w:rPr>
          <w:snapToGrid/>
          <w:szCs w:val="22"/>
          <w:lang w:val="lt-LT"/>
        </w:rPr>
        <w:t>.</w:t>
      </w:r>
    </w:p>
    <w:p w14:paraId="49377A41" w14:textId="77777777" w:rsidR="004F7AA9" w:rsidRPr="007777D9" w:rsidRDefault="004F7AA9" w:rsidP="004F7AA9">
      <w:pPr>
        <w:widowControl w:val="0"/>
        <w:tabs>
          <w:tab w:val="clear" w:pos="567"/>
        </w:tabs>
        <w:spacing w:line="240" w:lineRule="auto"/>
        <w:rPr>
          <w:snapToGrid/>
          <w:szCs w:val="22"/>
          <w:lang w:val="lt-LT"/>
        </w:rPr>
      </w:pPr>
    </w:p>
    <w:p w14:paraId="7059F6DD"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Būtina užtikrinti pakankamą paciento hidraciją prieš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infuziją ir po jos.</w:t>
      </w:r>
    </w:p>
    <w:p w14:paraId="466061AA" w14:textId="77777777" w:rsidR="004F7AA9" w:rsidRPr="007777D9" w:rsidRDefault="004F7AA9" w:rsidP="004F7AA9">
      <w:pPr>
        <w:widowControl w:val="0"/>
        <w:tabs>
          <w:tab w:val="clear" w:pos="567"/>
        </w:tabs>
        <w:spacing w:line="240" w:lineRule="auto"/>
        <w:rPr>
          <w:snapToGrid/>
          <w:szCs w:val="22"/>
          <w:lang w:val="lt-LT"/>
        </w:rPr>
      </w:pPr>
    </w:p>
    <w:p w14:paraId="7A8F8774" w14:textId="77777777" w:rsidR="004F7AA9" w:rsidRPr="007777D9" w:rsidRDefault="004F7AA9" w:rsidP="004F7AA9">
      <w:pPr>
        <w:widowControl w:val="0"/>
        <w:numPr>
          <w:ilvl w:val="1"/>
          <w:numId w:val="9"/>
        </w:numPr>
        <w:tabs>
          <w:tab w:val="clear" w:pos="567"/>
        </w:tabs>
        <w:spacing w:line="240" w:lineRule="auto"/>
        <w:ind w:left="567" w:hanging="567"/>
        <w:contextualSpacing/>
        <w:rPr>
          <w:snapToGrid/>
          <w:szCs w:val="22"/>
          <w:lang w:val="lt-LT"/>
        </w:rPr>
      </w:pPr>
      <w:r w:rsidRPr="007777D9">
        <w:rPr>
          <w:b/>
          <w:bCs/>
          <w:snapToGrid/>
          <w:szCs w:val="22"/>
          <w:lang w:val="lt-LT"/>
        </w:rPr>
        <w:t>Kontraindikacijos</w:t>
      </w:r>
    </w:p>
    <w:p w14:paraId="6F4C5F07" w14:textId="77777777" w:rsidR="004F7AA9" w:rsidRPr="007777D9" w:rsidRDefault="004F7AA9" w:rsidP="004F7AA9">
      <w:pPr>
        <w:widowControl w:val="0"/>
        <w:tabs>
          <w:tab w:val="clear" w:pos="567"/>
        </w:tabs>
        <w:spacing w:line="240" w:lineRule="auto"/>
        <w:rPr>
          <w:snapToGrid/>
          <w:szCs w:val="22"/>
          <w:lang w:val="lt-LT"/>
        </w:rPr>
      </w:pPr>
    </w:p>
    <w:p w14:paraId="5FE69357"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Padidėjęs jautrumas veikliajai medžiagai, kitiems bisfosfonatams arba bet kuriai 6.1 skyriuje nurodytai pagalbinei medžiagai.</w:t>
      </w:r>
    </w:p>
    <w:p w14:paraId="2BAF5DED"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Žindymo laikotarpis (žr. 4.6 skyrių).</w:t>
      </w:r>
    </w:p>
    <w:p w14:paraId="01B32777" w14:textId="77777777" w:rsidR="004F7AA9" w:rsidRPr="007777D9" w:rsidRDefault="004F7AA9" w:rsidP="004F7AA9">
      <w:pPr>
        <w:widowControl w:val="0"/>
        <w:tabs>
          <w:tab w:val="clear" w:pos="567"/>
        </w:tabs>
        <w:spacing w:line="240" w:lineRule="auto"/>
        <w:rPr>
          <w:snapToGrid/>
          <w:szCs w:val="22"/>
          <w:lang w:val="lt-LT"/>
        </w:rPr>
      </w:pPr>
    </w:p>
    <w:p w14:paraId="50FDB5F4"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4.4</w:t>
      </w:r>
      <w:r w:rsidRPr="007777D9">
        <w:rPr>
          <w:b/>
          <w:bCs/>
          <w:snapToGrid/>
          <w:szCs w:val="22"/>
          <w:lang w:val="lt-LT"/>
        </w:rPr>
        <w:tab/>
        <w:t>Specialūs įspėjimai ir atsargumo priemonės</w:t>
      </w:r>
    </w:p>
    <w:p w14:paraId="303A348D" w14:textId="77777777" w:rsidR="004F7AA9" w:rsidRPr="007777D9" w:rsidRDefault="004F7AA9" w:rsidP="004F7AA9">
      <w:pPr>
        <w:widowControl w:val="0"/>
        <w:tabs>
          <w:tab w:val="clear" w:pos="567"/>
        </w:tabs>
        <w:spacing w:line="240" w:lineRule="auto"/>
        <w:rPr>
          <w:snapToGrid/>
          <w:szCs w:val="22"/>
          <w:lang w:val="lt-LT"/>
        </w:rPr>
      </w:pPr>
    </w:p>
    <w:p w14:paraId="43FEC6B6"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t>Bendroji informacija</w:t>
      </w:r>
    </w:p>
    <w:p w14:paraId="201A048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Prieš zoledrono rūgšties vartojimą būtina įvertinti paciento būklę bei užtikrinti, kad skys</w:t>
      </w:r>
      <w:r>
        <w:rPr>
          <w:snapToGrid/>
          <w:szCs w:val="22"/>
          <w:lang w:val="lt-LT"/>
        </w:rPr>
        <w:t>čių</w:t>
      </w:r>
      <w:r w:rsidRPr="007777D9">
        <w:rPr>
          <w:snapToGrid/>
          <w:szCs w:val="22"/>
          <w:lang w:val="lt-LT"/>
        </w:rPr>
        <w:t xml:space="preserve"> kiekis organizme yra pakankamas. </w:t>
      </w:r>
    </w:p>
    <w:p w14:paraId="212C11F9" w14:textId="77777777" w:rsidR="004F7AA9" w:rsidRPr="007777D9" w:rsidRDefault="004F7AA9" w:rsidP="004F7AA9">
      <w:pPr>
        <w:widowControl w:val="0"/>
        <w:tabs>
          <w:tab w:val="clear" w:pos="567"/>
        </w:tabs>
        <w:spacing w:line="240" w:lineRule="auto"/>
        <w:rPr>
          <w:snapToGrid/>
          <w:szCs w:val="22"/>
          <w:lang w:val="lt-LT"/>
        </w:rPr>
      </w:pPr>
    </w:p>
    <w:p w14:paraId="32BA450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Pacientams, kuriems yra širdies nepakankamumo rizika, reikia vengti per didelio skys</w:t>
      </w:r>
      <w:r>
        <w:rPr>
          <w:snapToGrid/>
          <w:szCs w:val="22"/>
          <w:lang w:val="lt-LT"/>
        </w:rPr>
        <w:t>čių</w:t>
      </w:r>
      <w:r w:rsidRPr="007777D9">
        <w:rPr>
          <w:snapToGrid/>
          <w:szCs w:val="22"/>
          <w:lang w:val="lt-LT"/>
        </w:rPr>
        <w:t xml:space="preserve"> kiekio organizme.</w:t>
      </w:r>
    </w:p>
    <w:p w14:paraId="2EF66FD7" w14:textId="77777777" w:rsidR="004F7AA9" w:rsidRPr="007777D9" w:rsidRDefault="004F7AA9" w:rsidP="004F7AA9">
      <w:pPr>
        <w:widowControl w:val="0"/>
        <w:tabs>
          <w:tab w:val="clear" w:pos="567"/>
        </w:tabs>
        <w:spacing w:line="240" w:lineRule="auto"/>
        <w:rPr>
          <w:snapToGrid/>
          <w:szCs w:val="22"/>
          <w:lang w:val="lt-LT"/>
        </w:rPr>
      </w:pPr>
    </w:p>
    <w:p w14:paraId="3F2D4639"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Pradėjus gydymą zoledrono rūgštimi, būtina atidžiai stebėti įprastinius su hiperkalcemija susijusius metabolinius rodmenis, t. y. kalcio, fosfatų ir magnio kiekį serume. Jei atsiranda hipokalcemija, hipofosfatemija ar hipomagnezemija, gali reikėti trumpai pavartoti papildų. Negydytiems pacientams, kuriems yra hiperkalcemija, paprastai būna tam tikras inkstų funkcijos sutrikimas, todėl būtina atidžiai stebėti jų inkstų funkciją.</w:t>
      </w:r>
    </w:p>
    <w:p w14:paraId="46EBDE9C" w14:textId="77777777" w:rsidR="004F7AA9" w:rsidRPr="007777D9" w:rsidRDefault="004F7AA9" w:rsidP="004F7AA9">
      <w:pPr>
        <w:widowControl w:val="0"/>
        <w:tabs>
          <w:tab w:val="clear" w:pos="567"/>
        </w:tabs>
        <w:spacing w:line="240" w:lineRule="auto"/>
        <w:rPr>
          <w:snapToGrid/>
          <w:szCs w:val="22"/>
          <w:lang w:val="lt-LT"/>
        </w:rPr>
      </w:pPr>
    </w:p>
    <w:p w14:paraId="61C7E1B5"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Zoledrono rūgšties vartojantiems pacientams negalima kartu skirti gydymo kitais vaistiniais preparatais, kurių sudėtyje yra zoledrono rūgšties, ar bet kuriais kitais bisfosfonatais, kadangi šių vaistinių preparatų poveikis vartojant kartu nežinomas.</w:t>
      </w:r>
    </w:p>
    <w:p w14:paraId="4C2AD131" w14:textId="77777777" w:rsidR="004F7AA9" w:rsidRPr="007777D9" w:rsidRDefault="004F7AA9" w:rsidP="004F7AA9">
      <w:pPr>
        <w:widowControl w:val="0"/>
        <w:tabs>
          <w:tab w:val="clear" w:pos="567"/>
        </w:tabs>
        <w:spacing w:line="240" w:lineRule="auto"/>
        <w:rPr>
          <w:snapToGrid/>
          <w:szCs w:val="22"/>
          <w:lang w:val="lt-LT"/>
        </w:rPr>
      </w:pPr>
    </w:p>
    <w:p w14:paraId="21A828FB"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t>Inkstų nepakankamumas</w:t>
      </w:r>
    </w:p>
    <w:p w14:paraId="4B38F967"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Pacientų, kuriems yra NSH ir pablogėjusios inkstų funkcijos požymių, būklę būtina tinkamai įvertinti ir nuspręsti, ar galima gydymo zoledrono rūgštimi nauda bus didesnė už galimą riziką.</w:t>
      </w:r>
    </w:p>
    <w:p w14:paraId="63C4C48D"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Vaistinį preparatą nusprendus skirti skeleto pažeidimų profilaktikai pacientams, kuriems yra metastazių kauluose, būtina atsižvelgti į tai, kad gydomasis poveikis pasireiškia po 2–3 mėnesių.</w:t>
      </w:r>
    </w:p>
    <w:p w14:paraId="0EB530CA" w14:textId="77777777" w:rsidR="004F7AA9" w:rsidRPr="007777D9" w:rsidRDefault="004F7AA9" w:rsidP="004F7AA9">
      <w:pPr>
        <w:widowControl w:val="0"/>
        <w:tabs>
          <w:tab w:val="clear" w:pos="567"/>
        </w:tabs>
        <w:spacing w:line="240" w:lineRule="auto"/>
        <w:rPr>
          <w:snapToGrid/>
          <w:szCs w:val="22"/>
          <w:lang w:val="lt-LT"/>
        </w:rPr>
      </w:pPr>
    </w:p>
    <w:p w14:paraId="581D6782" w14:textId="14962AD6"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Zoledrono rūgšties vartojimas buvo susijęs su pranešimais apie inkstų funkcijos sutrikimą. Veiksniai, galintys didinti inkstų funkcijos pablogėjimo riziką, yra dehid</w:t>
      </w:r>
      <w:r>
        <w:rPr>
          <w:snapToGrid/>
          <w:szCs w:val="22"/>
          <w:lang w:val="lt-LT"/>
        </w:rPr>
        <w:t>r</w:t>
      </w:r>
      <w:r w:rsidRPr="007777D9">
        <w:rPr>
          <w:snapToGrid/>
          <w:szCs w:val="22"/>
          <w:lang w:val="lt-LT"/>
        </w:rPr>
        <w:t xml:space="preserve">acija, esamas inkstų funkcijos sutrikimas, kartotiniai zoledrono rūgšties ir kitų bisfosfonatų vartojimo ciklai bei kitų nefrotoksinių vaistinių preparatų vartojimas. Rizika yra mažesnė, kai 4 mg zoledrono rūgšties dozė sulašinama per </w:t>
      </w:r>
      <w:r w:rsidR="00A42614" w:rsidRPr="007777D9">
        <w:rPr>
          <w:snapToGrid/>
          <w:szCs w:val="22"/>
          <w:lang w:val="lt-LT"/>
        </w:rPr>
        <w:t>15</w:t>
      </w:r>
      <w:r w:rsidR="00A42614">
        <w:rPr>
          <w:snapToGrid/>
          <w:szCs w:val="22"/>
          <w:lang w:val="lt-LT"/>
        </w:rPr>
        <w:t> </w:t>
      </w:r>
      <w:r w:rsidRPr="007777D9">
        <w:rPr>
          <w:snapToGrid/>
          <w:szCs w:val="22"/>
          <w:lang w:val="lt-LT"/>
        </w:rPr>
        <w:t xml:space="preserve">min., tačiau ir tuomet inkstų funkcija gali pablogėti. Po pradinės ar vienkartinės 4 mg zoledrono rūgšties dozės pavartojimo buvo inkstų funkcijos pablogėjimo, progresavusio iki inkstų nepakankamumo ir būtinybės gydyti dializėmis, atvejų. Kartais, nors ir rečiau, padidėjęs kreatinino kiekis serume nustatomas pacientams, kurie nuolat vartoja rekomenduojamas zoledrono rūgšties </w:t>
      </w:r>
      <w:r w:rsidRPr="007777D9">
        <w:rPr>
          <w:snapToGrid/>
          <w:szCs w:val="22"/>
          <w:lang w:val="lt-LT"/>
        </w:rPr>
        <w:lastRenderedPageBreak/>
        <w:t>dozes skeleto pažeidimų profilaktikai.</w:t>
      </w:r>
    </w:p>
    <w:p w14:paraId="7B18D3EB" w14:textId="77777777" w:rsidR="004F7AA9" w:rsidRPr="007777D9" w:rsidRDefault="004F7AA9" w:rsidP="004F7AA9">
      <w:pPr>
        <w:widowControl w:val="0"/>
        <w:tabs>
          <w:tab w:val="clear" w:pos="567"/>
        </w:tabs>
        <w:spacing w:line="240" w:lineRule="auto"/>
        <w:rPr>
          <w:snapToGrid/>
          <w:szCs w:val="22"/>
          <w:lang w:val="lt-LT"/>
        </w:rPr>
      </w:pPr>
    </w:p>
    <w:p w14:paraId="0286DB95" w14:textId="6C9AF9A9"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Pacientams būtina nustatyti kreatinino kiekį serume prieš kiekvienos zoledrono rūgšties dozės vartojimą. Pradedant gydyti pacientus, kuriems yra metastazių kauluose ir lengvas ar vidutinio sunkumo inkstų funkcijos sutrikimas, rekomenduojama skirti mažesnes zoledrono rūgšties dozes. Pacientams, kuriems gydymo zoledrono rūgštimi metu pablogėjo inkstų funkcija, gydymą zoledrono rūgštimi reikia sustabdyti. Jį galima atnaujinti tik tada, kai kreatinino kiekis serume nuo pradinio rodmens skiriasi ne daugiau kaip 10</w:t>
      </w:r>
      <w:r w:rsidR="00A42614">
        <w:rPr>
          <w:snapToGrid/>
          <w:szCs w:val="22"/>
          <w:lang w:val="lt-LT"/>
        </w:rPr>
        <w:t> </w:t>
      </w:r>
      <w:r w:rsidRPr="007777D9">
        <w:rPr>
          <w:snapToGrid/>
          <w:szCs w:val="22"/>
          <w:lang w:val="lt-LT"/>
        </w:rPr>
        <w:t>%. Gydymą zoledrono rūgštimi reikia atnaujinti skiriant tą pačią dozę, kuri buvo vartojama prieš sustabdant gydymą.</w:t>
      </w:r>
    </w:p>
    <w:p w14:paraId="0AA28453" w14:textId="77777777" w:rsidR="004F7AA9" w:rsidRPr="007777D9" w:rsidRDefault="004F7AA9" w:rsidP="004F7AA9">
      <w:pPr>
        <w:widowControl w:val="0"/>
        <w:tabs>
          <w:tab w:val="clear" w:pos="567"/>
        </w:tabs>
        <w:spacing w:line="240" w:lineRule="auto"/>
        <w:rPr>
          <w:snapToGrid/>
          <w:szCs w:val="22"/>
          <w:lang w:val="lt-LT"/>
        </w:rPr>
      </w:pPr>
    </w:p>
    <w:p w14:paraId="17BB298B"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Atsižvelgiant į galimą zoledrono rūgšties įtaką inkstų funkcijai, klinikinių saugumo duomenų stoką pacientams, kuriems prieš gydymą nustatytas sunkus inkstų funkcijos sutrikimas (klinikiniuose tyrimuose jis buvo apibūdinamas kaip kreatinino kiekis serume ≥400 µmol/l ar ≥4,5 mg/dl pacientams, kuriems yra NSH, ir ≥265 µmol/l ar ≥3,0 mg/dl pacientams, kuriems yra vėžys su metastazėmis kauluose), ir nedidelį kiekį farmakokinetikos duomenų pacientams, kuriems prieš gydymą nustatytas sunkus inkstų funkcijos sutrikimas (kreatinino klirensas &lt; 30 ml/min</w:t>
      </w:r>
      <w:r>
        <w:rPr>
          <w:snapToGrid/>
          <w:szCs w:val="22"/>
          <w:lang w:val="lt-LT"/>
        </w:rPr>
        <w:t>.</w:t>
      </w:r>
      <w:r w:rsidRPr="007777D9">
        <w:rPr>
          <w:snapToGrid/>
          <w:szCs w:val="22"/>
          <w:lang w:val="lt-LT"/>
        </w:rPr>
        <w:t>)</w:t>
      </w:r>
      <w:r>
        <w:rPr>
          <w:snapToGrid/>
          <w:szCs w:val="22"/>
          <w:lang w:val="lt-LT"/>
        </w:rPr>
        <w:t>.</w:t>
      </w:r>
      <w:r w:rsidRPr="007777D9">
        <w:rPr>
          <w:snapToGrid/>
          <w:szCs w:val="22"/>
          <w:lang w:val="lt-LT"/>
        </w:rPr>
        <w:t xml:space="preserve"> </w:t>
      </w:r>
      <w:r>
        <w:rPr>
          <w:snapToGrid/>
          <w:szCs w:val="22"/>
          <w:lang w:val="lt-LT"/>
        </w:rPr>
        <w:t>Z</w:t>
      </w:r>
      <w:r w:rsidRPr="007777D9">
        <w:rPr>
          <w:snapToGrid/>
          <w:szCs w:val="22"/>
          <w:lang w:val="lt-LT"/>
        </w:rPr>
        <w:t>oledrono rūgšties nerekomenduojama skirti pacientams, kuriems yra sunkus inkstų funkcijos sutrikimas.</w:t>
      </w:r>
    </w:p>
    <w:p w14:paraId="02356540" w14:textId="77777777" w:rsidR="004F7AA9" w:rsidRPr="007777D9" w:rsidRDefault="004F7AA9" w:rsidP="004F7AA9">
      <w:pPr>
        <w:widowControl w:val="0"/>
        <w:tabs>
          <w:tab w:val="clear" w:pos="567"/>
        </w:tabs>
        <w:spacing w:line="240" w:lineRule="auto"/>
        <w:rPr>
          <w:snapToGrid/>
          <w:szCs w:val="22"/>
          <w:u w:val="single" w:color="000000"/>
          <w:lang w:val="lt-LT"/>
        </w:rPr>
      </w:pPr>
    </w:p>
    <w:p w14:paraId="5579EF79"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t>Kepenų nepakankamumas</w:t>
      </w:r>
    </w:p>
    <w:p w14:paraId="41E4E56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Klinikinių duomenų apie pacientų, kuriems yra sunkus kepenų nepakankamumas, gydymą yra nedaug, todėl specifinių rekomendacijų tokiems pacientams pateikti negalima.</w:t>
      </w:r>
    </w:p>
    <w:p w14:paraId="0540F9C2" w14:textId="77777777" w:rsidR="004F7AA9" w:rsidRPr="007777D9" w:rsidRDefault="004F7AA9" w:rsidP="004F7AA9">
      <w:pPr>
        <w:widowControl w:val="0"/>
        <w:tabs>
          <w:tab w:val="clear" w:pos="567"/>
        </w:tabs>
        <w:spacing w:line="240" w:lineRule="auto"/>
        <w:rPr>
          <w:snapToGrid/>
          <w:szCs w:val="22"/>
          <w:lang w:val="lt-LT"/>
        </w:rPr>
      </w:pPr>
    </w:p>
    <w:p w14:paraId="28BA4572"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t>Žandikaulio osteonekrozė</w:t>
      </w:r>
    </w:p>
    <w:p w14:paraId="0D06E236"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Gauta nedažnų pranešimų klinikinių tyrimų metu bei po vaistinio preparato pat</w:t>
      </w:r>
      <w:r>
        <w:rPr>
          <w:snapToGrid/>
          <w:szCs w:val="22"/>
          <w:lang w:val="lt-LT"/>
        </w:rPr>
        <w:t>ei</w:t>
      </w:r>
      <w:r w:rsidRPr="007777D9">
        <w:rPr>
          <w:snapToGrid/>
          <w:szCs w:val="22"/>
          <w:lang w:val="lt-LT"/>
        </w:rPr>
        <w:t xml:space="preserve">kimo į rinką apie žandikaulio osteonekrozės (ŽON) atvejus pacientams, vartojusiems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w:t>
      </w:r>
    </w:p>
    <w:p w14:paraId="5C20E325" w14:textId="77777777" w:rsidR="004F7AA9" w:rsidRPr="007777D9" w:rsidRDefault="004F7AA9" w:rsidP="004F7AA9">
      <w:pPr>
        <w:widowControl w:val="0"/>
        <w:tabs>
          <w:tab w:val="clear" w:pos="567"/>
        </w:tabs>
        <w:spacing w:line="240" w:lineRule="auto"/>
        <w:rPr>
          <w:snapToGrid/>
          <w:szCs w:val="22"/>
          <w:lang w:val="lt-LT"/>
        </w:rPr>
      </w:pPr>
    </w:p>
    <w:p w14:paraId="74B6DEC0"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Gydymo pradžia ar tęstinis gydymas, išskyrus skubios pagalbos atvejus, turi būti atidėtas pacientams, kuriems yra neužgijusių burnos minkštųjų audinių pažeidimų. Pacientams, kuriems yra rizikos veiksnių, prieš skiriant bifosfonatų rekomenduojama atlikti dantų būklės ištyrimą ir profilaktinį gydymą bei individualiai įvertinti naudos ir rizikos santykį.</w:t>
      </w:r>
    </w:p>
    <w:p w14:paraId="268C6390" w14:textId="77777777" w:rsidR="004F7AA9" w:rsidRPr="007777D9" w:rsidRDefault="004F7AA9" w:rsidP="004F7AA9">
      <w:pPr>
        <w:widowControl w:val="0"/>
        <w:tabs>
          <w:tab w:val="clear" w:pos="567"/>
        </w:tabs>
        <w:spacing w:line="240" w:lineRule="auto"/>
        <w:rPr>
          <w:snapToGrid/>
          <w:szCs w:val="22"/>
          <w:lang w:val="lt-LT"/>
        </w:rPr>
      </w:pPr>
    </w:p>
    <w:p w14:paraId="72D44FDE"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Vertinant individualią ŽON atsiradimo riziką, reikia atsižvelgti į šiuos rizikos veiksnius:</w:t>
      </w:r>
    </w:p>
    <w:p w14:paraId="5608FF91" w14:textId="77777777" w:rsidR="004F7AA9" w:rsidRPr="007777D9" w:rsidRDefault="004F7AA9" w:rsidP="004F7AA9">
      <w:pPr>
        <w:widowControl w:val="0"/>
        <w:numPr>
          <w:ilvl w:val="0"/>
          <w:numId w:val="46"/>
        </w:numPr>
        <w:tabs>
          <w:tab w:val="clear" w:pos="567"/>
        </w:tabs>
        <w:spacing w:line="240" w:lineRule="auto"/>
        <w:ind w:left="567" w:hanging="567"/>
        <w:rPr>
          <w:snapToGrid/>
          <w:szCs w:val="22"/>
          <w:lang w:val="lt-LT"/>
        </w:rPr>
      </w:pPr>
      <w:r w:rsidRPr="007777D9">
        <w:rPr>
          <w:snapToGrid/>
          <w:szCs w:val="22"/>
          <w:lang w:val="lt-LT"/>
        </w:rPr>
        <w:t>bisfosfonatų poveikio stiprumą (didesnė rizika būna vartojant stipresnio poveikio preparatų), vartojimo būdą (didesnė rizika būna vartojant parenteriniu būdu) ir kumuliacinę bifosfonatų dozę;</w:t>
      </w:r>
    </w:p>
    <w:p w14:paraId="32414AB3" w14:textId="77777777" w:rsidR="004F7AA9" w:rsidRPr="007777D9" w:rsidRDefault="004F7AA9" w:rsidP="004F7AA9">
      <w:pPr>
        <w:widowControl w:val="0"/>
        <w:numPr>
          <w:ilvl w:val="0"/>
          <w:numId w:val="46"/>
        </w:numPr>
        <w:tabs>
          <w:tab w:val="clear" w:pos="567"/>
        </w:tabs>
        <w:spacing w:line="240" w:lineRule="auto"/>
        <w:ind w:left="567" w:hanging="567"/>
        <w:rPr>
          <w:snapToGrid/>
          <w:szCs w:val="22"/>
          <w:lang w:val="lt-LT"/>
        </w:rPr>
      </w:pPr>
      <w:r w:rsidRPr="007777D9">
        <w:rPr>
          <w:snapToGrid/>
          <w:szCs w:val="22"/>
          <w:lang w:val="lt-LT"/>
        </w:rPr>
        <w:t>vėžį, kitas patologines būkles (pvz., anemiją, krešumo sutrikimus, infekciją), rūkymą;</w:t>
      </w:r>
    </w:p>
    <w:p w14:paraId="0DDB7385" w14:textId="77777777" w:rsidR="004F7AA9" w:rsidRPr="007777D9" w:rsidRDefault="004F7AA9" w:rsidP="004F7AA9">
      <w:pPr>
        <w:widowControl w:val="0"/>
        <w:numPr>
          <w:ilvl w:val="0"/>
          <w:numId w:val="46"/>
        </w:numPr>
        <w:tabs>
          <w:tab w:val="clear" w:pos="567"/>
        </w:tabs>
        <w:spacing w:line="240" w:lineRule="auto"/>
        <w:ind w:left="567" w:hanging="567"/>
        <w:rPr>
          <w:snapToGrid/>
          <w:szCs w:val="22"/>
          <w:lang w:val="lt-LT"/>
        </w:rPr>
      </w:pPr>
      <w:r w:rsidRPr="007777D9">
        <w:rPr>
          <w:snapToGrid/>
          <w:szCs w:val="22"/>
          <w:lang w:val="lt-LT"/>
        </w:rPr>
        <w:t>kartu skiriamą gydymą: chemoterapiją, angiogenezės inhibitorių var</w:t>
      </w:r>
      <w:r>
        <w:rPr>
          <w:snapToGrid/>
          <w:szCs w:val="22"/>
          <w:lang w:val="lt-LT"/>
        </w:rPr>
        <w:t>to</w:t>
      </w:r>
      <w:r w:rsidRPr="007777D9">
        <w:rPr>
          <w:snapToGrid/>
          <w:szCs w:val="22"/>
          <w:lang w:val="lt-LT"/>
        </w:rPr>
        <w:t>jimą (žr. 4.5 skyrių), galvos ir kaklo radioterapiją, kortikosteroidų vartojimą;</w:t>
      </w:r>
    </w:p>
    <w:p w14:paraId="36EB7B86" w14:textId="77777777" w:rsidR="004F7AA9" w:rsidRPr="007777D9" w:rsidRDefault="004F7AA9" w:rsidP="004F7AA9">
      <w:pPr>
        <w:widowControl w:val="0"/>
        <w:numPr>
          <w:ilvl w:val="0"/>
          <w:numId w:val="46"/>
        </w:numPr>
        <w:tabs>
          <w:tab w:val="clear" w:pos="567"/>
        </w:tabs>
        <w:spacing w:line="240" w:lineRule="auto"/>
        <w:ind w:left="567" w:hanging="567"/>
        <w:rPr>
          <w:snapToGrid/>
          <w:szCs w:val="22"/>
          <w:lang w:val="lt-LT"/>
        </w:rPr>
      </w:pPr>
      <w:r w:rsidRPr="007777D9">
        <w:rPr>
          <w:snapToGrid/>
          <w:szCs w:val="22"/>
          <w:lang w:val="lt-LT"/>
        </w:rPr>
        <w:t>anksčiau buvusias odontologines ligas, prastą burnos higieną, periodonto ligas, invazines odontologines procedūras (pvz., dantų traukimą) ir blogai pritaikytus dantų protezus.</w:t>
      </w:r>
    </w:p>
    <w:p w14:paraId="02EEA517" w14:textId="77777777" w:rsidR="004F7AA9" w:rsidRPr="007777D9" w:rsidRDefault="004F7AA9" w:rsidP="004F7AA9">
      <w:pPr>
        <w:widowControl w:val="0"/>
        <w:tabs>
          <w:tab w:val="clear" w:pos="567"/>
        </w:tabs>
        <w:spacing w:line="240" w:lineRule="auto"/>
        <w:rPr>
          <w:snapToGrid/>
          <w:szCs w:val="22"/>
          <w:lang w:val="lt-LT"/>
        </w:rPr>
      </w:pPr>
    </w:p>
    <w:p w14:paraId="18401BEE"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Visi pacientai turi būti skatinami palaikyti gerą burnos higieną, atlikti reguliarų dantų patikrinimą ir iš karto pranešti apie bet kokius burnos ertmės simptomus, tokius kaip dantų </w:t>
      </w:r>
      <w:r>
        <w:rPr>
          <w:snapToGrid/>
          <w:szCs w:val="22"/>
          <w:lang w:val="lt-LT"/>
        </w:rPr>
        <w:t>klibėjimas</w:t>
      </w:r>
      <w:r w:rsidRPr="007777D9">
        <w:rPr>
          <w:snapToGrid/>
          <w:szCs w:val="22"/>
          <w:lang w:val="lt-LT"/>
        </w:rPr>
        <w:t xml:space="preserve">, skausmas ar patinimas, opų negijimas arba išskyros gydymo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metu. Gydymo metu, invazinės dantų gydymo procedūros turi būti atliekamos tik kruopščiai apsvarsčius ir vengiant sutapimo laiko atžvilgiu su zoledrono rūgšties vartojimu.</w:t>
      </w:r>
    </w:p>
    <w:p w14:paraId="6E7C3242"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Pacientams, kuriems gydymo bisfosfonatais metu prasidėjo žandikaulio osteonekrozė, odontologinės operacijos gali pabloginti būklę. Jei pacientui odontologinė procedūra būtina, nėra duomenų, ar nutraukus gydymą bisfosfonatais sumažėja žandikaulio osteonekrozės rizika. </w:t>
      </w:r>
    </w:p>
    <w:p w14:paraId="2DA0F2AE" w14:textId="77777777" w:rsidR="004F7AA9" w:rsidRPr="007777D9" w:rsidRDefault="004F7AA9" w:rsidP="004F7AA9">
      <w:pPr>
        <w:widowControl w:val="0"/>
        <w:tabs>
          <w:tab w:val="clear" w:pos="567"/>
        </w:tabs>
        <w:spacing w:line="240" w:lineRule="auto"/>
        <w:rPr>
          <w:snapToGrid/>
          <w:szCs w:val="22"/>
          <w:lang w:val="lt-LT"/>
        </w:rPr>
      </w:pPr>
    </w:p>
    <w:p w14:paraId="128ADBD9"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Pacientų, kuriems atsiranda ŽON, gydymo planas turi būti sudaromas glaudžiai bendradarbiaujant su gydanči</w:t>
      </w:r>
      <w:r>
        <w:rPr>
          <w:snapToGrid/>
          <w:szCs w:val="22"/>
          <w:lang w:val="lt-LT"/>
        </w:rPr>
        <w:t>u</w:t>
      </w:r>
      <w:r w:rsidRPr="007777D9">
        <w:rPr>
          <w:snapToGrid/>
          <w:szCs w:val="22"/>
          <w:lang w:val="lt-LT"/>
        </w:rPr>
        <w:t xml:space="preserve"> gydytoju ir odontologu ar burnos chirurgu, turinčiam ŽON gydymo patirties. Jeigu įmanoma, turi būti apsvarstytas laikinas gydymo zoledrono rūgštimi sustabdymas, kol sutrikimas ar rizikos veiksniai išnyksta.</w:t>
      </w:r>
    </w:p>
    <w:p w14:paraId="7420D71D" w14:textId="77777777" w:rsidR="004F7AA9" w:rsidRPr="007777D9" w:rsidRDefault="004F7AA9" w:rsidP="004F7AA9">
      <w:pPr>
        <w:widowControl w:val="0"/>
        <w:tabs>
          <w:tab w:val="clear" w:pos="567"/>
        </w:tabs>
        <w:spacing w:line="240" w:lineRule="auto"/>
        <w:rPr>
          <w:snapToGrid/>
          <w:szCs w:val="22"/>
          <w:lang w:val="lt-LT"/>
        </w:rPr>
      </w:pPr>
    </w:p>
    <w:p w14:paraId="2AE97816" w14:textId="77777777" w:rsidR="004F7AA9" w:rsidRPr="00406DD4" w:rsidRDefault="004F7AA9" w:rsidP="004F7AA9">
      <w:pPr>
        <w:widowControl w:val="0"/>
        <w:tabs>
          <w:tab w:val="clear" w:pos="567"/>
        </w:tabs>
        <w:spacing w:line="240" w:lineRule="auto"/>
        <w:rPr>
          <w:snapToGrid/>
          <w:szCs w:val="22"/>
          <w:u w:val="single"/>
          <w:lang w:val="lt-LT"/>
        </w:rPr>
      </w:pPr>
      <w:r>
        <w:rPr>
          <w:snapToGrid/>
          <w:szCs w:val="22"/>
          <w:u w:val="single"/>
          <w:lang w:val="lt-LT"/>
        </w:rPr>
        <w:lastRenderedPageBreak/>
        <w:t>Kitų anatominių vietų</w:t>
      </w:r>
      <w:r w:rsidRPr="00406DD4">
        <w:rPr>
          <w:snapToGrid/>
          <w:szCs w:val="22"/>
          <w:u w:val="single"/>
          <w:lang w:val="lt-LT"/>
        </w:rPr>
        <w:t xml:space="preserve"> osteonekrozė</w:t>
      </w:r>
    </w:p>
    <w:p w14:paraId="59B0A3E8"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Vartojant bisfosfonatus, buvo išorinio ausies kanalo osteonekrozės atvejų, daugiausia susijusių su ilgalaikiu gydymu. Galimi išorinio ausies kanalo osteonekrozės rizikos veiksniai yra steroidų vartojimas ir chemoterapija ir (arba) lokalūs rizikos veiksniai, pvz., infekcija arba trauma. Išorinio ausies kanalo osteonekrozės galimybę reikia turėti omenyje gydant tuos bisfosfonatų vartojančius pacientus, kuriems pasireiškia su ausimi susijusių simptomų, įskaitant simptomus, kuriuos sukelia lėtinė ausies infekcija.</w:t>
      </w:r>
    </w:p>
    <w:p w14:paraId="688CD2CC" w14:textId="77777777" w:rsidR="004F7AA9" w:rsidRDefault="004F7AA9" w:rsidP="004F7AA9">
      <w:pPr>
        <w:widowControl w:val="0"/>
        <w:tabs>
          <w:tab w:val="clear" w:pos="567"/>
        </w:tabs>
        <w:spacing w:line="240" w:lineRule="auto"/>
        <w:rPr>
          <w:snapToGrid/>
          <w:szCs w:val="22"/>
          <w:lang w:val="lt-LT"/>
        </w:rPr>
      </w:pPr>
    </w:p>
    <w:p w14:paraId="1DBCE712" w14:textId="7FD29ABB" w:rsidR="004F7AA9" w:rsidRPr="007777D9" w:rsidRDefault="004F7AA9" w:rsidP="004F7AA9">
      <w:pPr>
        <w:widowControl w:val="0"/>
        <w:tabs>
          <w:tab w:val="clear" w:pos="567"/>
        </w:tabs>
        <w:spacing w:line="240" w:lineRule="auto"/>
        <w:rPr>
          <w:snapToGrid/>
          <w:szCs w:val="22"/>
          <w:lang w:val="lt-LT"/>
        </w:rPr>
      </w:pPr>
      <w:r w:rsidRPr="007D4562">
        <w:rPr>
          <w:snapToGrid/>
          <w:szCs w:val="22"/>
          <w:lang w:val="lt-LT"/>
        </w:rPr>
        <w:t>Papildomai buvo pranešta apie pavienius kitos vietos osteonekrozės atvejus, įskaitant klubą ir</w:t>
      </w:r>
      <w:r w:rsidR="00224BB3">
        <w:rPr>
          <w:snapToGrid/>
          <w:szCs w:val="22"/>
          <w:lang w:val="lt-LT"/>
        </w:rPr>
        <w:t xml:space="preserve"> </w:t>
      </w:r>
      <w:r w:rsidRPr="007D4562">
        <w:rPr>
          <w:snapToGrid/>
          <w:szCs w:val="22"/>
          <w:lang w:val="lt-LT"/>
        </w:rPr>
        <w:t>šlaunikaulį, kur</w:t>
      </w:r>
      <w:r>
        <w:rPr>
          <w:snapToGrid/>
          <w:szCs w:val="22"/>
          <w:lang w:val="lt-LT"/>
        </w:rPr>
        <w:t>ie dažniausi buvo suaugusiems vė</w:t>
      </w:r>
      <w:r w:rsidRPr="007D4562">
        <w:rPr>
          <w:snapToGrid/>
          <w:szCs w:val="22"/>
          <w:lang w:val="lt-LT"/>
        </w:rPr>
        <w:t>žiu sergantiems pacientams, gydomiems Zoledronic</w:t>
      </w:r>
      <w:r w:rsidR="00224BB3">
        <w:rPr>
          <w:snapToGrid/>
          <w:szCs w:val="22"/>
          <w:lang w:val="lt-LT"/>
        </w:rPr>
        <w:t xml:space="preserve"> </w:t>
      </w:r>
      <w:r>
        <w:rPr>
          <w:snapToGrid/>
          <w:szCs w:val="22"/>
          <w:lang w:val="lt-LT"/>
        </w:rPr>
        <w:t>a</w:t>
      </w:r>
      <w:r w:rsidRPr="007D4562">
        <w:rPr>
          <w:snapToGrid/>
          <w:szCs w:val="22"/>
          <w:lang w:val="lt-LT"/>
        </w:rPr>
        <w:t xml:space="preserve">cid </w:t>
      </w:r>
      <w:r>
        <w:rPr>
          <w:snapToGrid/>
          <w:szCs w:val="22"/>
          <w:lang w:val="lt-LT"/>
        </w:rPr>
        <w:t>Norameda</w:t>
      </w:r>
      <w:r w:rsidRPr="007D4562">
        <w:rPr>
          <w:snapToGrid/>
          <w:szCs w:val="22"/>
          <w:lang w:val="lt-LT"/>
        </w:rPr>
        <w:t>.</w:t>
      </w:r>
    </w:p>
    <w:p w14:paraId="72F9714E" w14:textId="77777777" w:rsidR="004F7AA9" w:rsidRPr="007777D9" w:rsidRDefault="004F7AA9" w:rsidP="004F7AA9">
      <w:pPr>
        <w:widowControl w:val="0"/>
        <w:tabs>
          <w:tab w:val="clear" w:pos="567"/>
        </w:tabs>
        <w:spacing w:line="240" w:lineRule="auto"/>
        <w:rPr>
          <w:snapToGrid/>
          <w:szCs w:val="22"/>
          <w:lang w:val="lt-LT"/>
        </w:rPr>
      </w:pPr>
    </w:p>
    <w:p w14:paraId="667CC062"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t>Kaulų ir raumenų skausmas</w:t>
      </w:r>
    </w:p>
    <w:p w14:paraId="5AED63F7"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Po vaistinio preparato pateikimo į rinką gaut</w:t>
      </w:r>
      <w:r>
        <w:rPr>
          <w:snapToGrid/>
          <w:szCs w:val="22"/>
          <w:lang w:val="lt-LT"/>
        </w:rPr>
        <w:t>a</w:t>
      </w:r>
      <w:r w:rsidRPr="007777D9">
        <w:rPr>
          <w:snapToGrid/>
          <w:szCs w:val="22"/>
          <w:lang w:val="lt-LT"/>
        </w:rPr>
        <w:t xml:space="preserve"> pranešimų apie zoledrono rūgšties vartojusiems pacientams atsiradusį stiprų ir kartais funkciją ribojantį kaulų, sąnarių ir (arba) raumenų skausmą. Vis dėlto tokie pranešimai buvo nedažni. Tokių simptomų atsiradimo laikas būna įvairus: jie pasireiškia laikotarpiu nuo vienos dienos iki kelių mėnesių po vaistinio preparato vartojimo pradžios. Gydymą nutraukus, daugumai pacientų skausmai išnyko. Kai kuriems pacientams po gydymo zoledrono rūgštimi ar kitokiu bisfosfonatu atnaujinimo simptomai pasikartojo.</w:t>
      </w:r>
    </w:p>
    <w:p w14:paraId="6020D7F1" w14:textId="77777777" w:rsidR="004F7AA9" w:rsidRPr="007777D9" w:rsidRDefault="004F7AA9" w:rsidP="004F7AA9">
      <w:pPr>
        <w:widowControl w:val="0"/>
        <w:tabs>
          <w:tab w:val="clear" w:pos="567"/>
        </w:tabs>
        <w:spacing w:line="240" w:lineRule="auto"/>
        <w:rPr>
          <w:snapToGrid/>
          <w:szCs w:val="22"/>
          <w:lang w:val="lt-LT"/>
        </w:rPr>
      </w:pPr>
    </w:p>
    <w:p w14:paraId="670910E4"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t>Atipiniai šlaunikaulio lūžiai</w:t>
      </w:r>
    </w:p>
    <w:p w14:paraId="61D9DA96"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Gydant bisfosfonatais buvo pranešta apie atipinius šlaunikaulio pogūbrinius ar diafizės lūži</w:t>
      </w:r>
      <w:r>
        <w:rPr>
          <w:snapToGrid/>
          <w:szCs w:val="22"/>
          <w:lang w:val="lt-LT"/>
        </w:rPr>
        <w:t>us</w:t>
      </w:r>
      <w:r w:rsidRPr="007777D9">
        <w:rPr>
          <w:snapToGrid/>
          <w:szCs w:val="22"/>
          <w:lang w:val="lt-LT"/>
        </w:rPr>
        <w:t xml:space="preserve">, visų pirma ilgai nuo osteoporozės gydytiems pacientams. Šie skersiniai ar trumpi įstrižiniai lūžiai gali pasireikšti bet kurioje šlaunikaulio vietoje – nuo pat mažojo gūbrio iki pat virškrumplinės keteros. Šie lūžiai įvyksta po mažos traumos arba ne dėl jos, o kai kurie pacientai kelias savaites ar mėnesius iki pilno šlaunikaulio lūžio jaučia šlaunies ar kirkšnies skausmą, dažnai susijusį su stresinių lūžių radiologiniais požymiais. Lūžiai dažnai būna abipusiai, todėl reikia ištirti bisfosfonatais gydomų pacientų, kuriems yra lūžęs šlaunikaulio </w:t>
      </w:r>
      <w:r w:rsidRPr="00B31D5D">
        <w:rPr>
          <w:snapToGrid/>
          <w:szCs w:val="22"/>
          <w:lang w:val="lt-LT"/>
        </w:rPr>
        <w:t>kūnas</w:t>
      </w:r>
      <w:r w:rsidRPr="007777D9">
        <w:rPr>
          <w:snapToGrid/>
          <w:szCs w:val="22"/>
          <w:lang w:val="lt-LT"/>
        </w:rPr>
        <w:t>, priešingos pusės šlaunikaulį. Be to, buvo pastebėtas blogas tokių lūžių gijimas. Reikia apsvarstyti, ar pacientams, kuriems įtariamas atipinis šlaunikaulio lūžis, gydymo bisfosfonatais nereikia nutraukti, kol j</w:t>
      </w:r>
      <w:r>
        <w:rPr>
          <w:snapToGrid/>
          <w:szCs w:val="22"/>
          <w:lang w:val="lt-LT"/>
        </w:rPr>
        <w:t>iems</w:t>
      </w:r>
      <w:r w:rsidRPr="007777D9">
        <w:rPr>
          <w:snapToGrid/>
          <w:szCs w:val="22"/>
          <w:lang w:val="lt-LT"/>
        </w:rPr>
        <w:t xml:space="preserve"> individualiai bus įvertintas naudos ir rizikos santykis.</w:t>
      </w:r>
    </w:p>
    <w:p w14:paraId="7DA38B93" w14:textId="77777777" w:rsidR="004F7AA9" w:rsidRPr="007777D9" w:rsidRDefault="004F7AA9" w:rsidP="004F7AA9">
      <w:pPr>
        <w:widowControl w:val="0"/>
        <w:tabs>
          <w:tab w:val="clear" w:pos="567"/>
        </w:tabs>
        <w:spacing w:line="240" w:lineRule="auto"/>
        <w:rPr>
          <w:snapToGrid/>
          <w:szCs w:val="22"/>
          <w:lang w:val="lt-LT"/>
        </w:rPr>
      </w:pPr>
    </w:p>
    <w:p w14:paraId="062E7380"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Pacientams reikia patarti, kad bisfosfonatų vartojimo metu praneštų apie bet kokį šlaunies, klubo ar kirkšnies skausmą, o visus pacientus, kuriems pasireiškia tokie simptomai, reikia ištirti, ar jie nepatyrė ne visiško šlaunikaulio lūžio.</w:t>
      </w:r>
    </w:p>
    <w:p w14:paraId="3F11BAF5" w14:textId="77777777" w:rsidR="004F7AA9" w:rsidRPr="007777D9" w:rsidRDefault="004F7AA9" w:rsidP="004F7AA9">
      <w:pPr>
        <w:widowControl w:val="0"/>
        <w:tabs>
          <w:tab w:val="clear" w:pos="567"/>
        </w:tabs>
        <w:spacing w:line="240" w:lineRule="auto"/>
        <w:rPr>
          <w:snapToGrid/>
          <w:szCs w:val="22"/>
          <w:lang w:val="lt-LT"/>
        </w:rPr>
      </w:pPr>
    </w:p>
    <w:p w14:paraId="263E3175"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t>Hipokalcemija</w:t>
      </w:r>
    </w:p>
    <w:p w14:paraId="3AFC10EC" w14:textId="77777777" w:rsidR="004F7AA9" w:rsidRPr="007777D9" w:rsidRDefault="004F7AA9" w:rsidP="004F7AA9">
      <w:pPr>
        <w:widowControl w:val="0"/>
        <w:tabs>
          <w:tab w:val="clear" w:pos="567"/>
        </w:tabs>
        <w:spacing w:line="240" w:lineRule="auto"/>
        <w:rPr>
          <w:rFonts w:eastAsia="Calibri"/>
          <w:snapToGrid/>
          <w:color w:val="000000"/>
          <w:szCs w:val="22"/>
          <w:lang w:val="lt-LT"/>
        </w:rPr>
      </w:pPr>
      <w:r w:rsidRPr="007777D9">
        <w:rPr>
          <w:snapToGrid/>
          <w:szCs w:val="22"/>
          <w:lang w:val="lt-LT"/>
        </w:rPr>
        <w:t xml:space="preserve">Gauta pranešimų apie zoledrono rūgšties </w:t>
      </w:r>
      <w:r w:rsidRPr="00B31D5D">
        <w:rPr>
          <w:snapToGrid/>
          <w:szCs w:val="22"/>
          <w:lang w:val="lt-LT"/>
        </w:rPr>
        <w:t>vartojusiems pacientams pasireiškusius hipokalcemijos atvejus. Pasireiškus sunkiai hipokalcemijai, pastebėta antrinių širdies aritmijų ir nepageidaujamų nervų sistemos sutrikimų (įskaitant traukulius, hipoesteziją ir tetanijos atvejus</w:t>
      </w:r>
      <w:r w:rsidRPr="007777D9">
        <w:rPr>
          <w:snapToGrid/>
          <w:szCs w:val="22"/>
          <w:lang w:val="lt-LT"/>
        </w:rPr>
        <w:t>). Gauta pranešimų apie pasireiškusius sunkios hipokalcemijos, dėl kurios pacientus reikėjo hospitalizuoti, atvejus. Kai kuriais atvejais hipokalcemija gali būti pavojinga gyvybei (žr. 4.8 skyrių).</w:t>
      </w:r>
    </w:p>
    <w:p w14:paraId="73220925"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Zoledrono rūgšties skiriant kartu su hipokalcemiją sukeliančiais vaistiniais preparatais, rekomenduojama laikytis atsargumo priemonių, kadangi gali pasireikšti sinergetinis poveikis ir dėl to atsirasti sunki hipokalcemija (žr. 4.5 skyrių). Prieš pradedant vartoti zoledrono rūgšties, reikia nustatyti kalcio kiekį serume ir būtina koreguoti hipokalcemiją. Pacientams reikia tinkamai papildyti kalcio ir vitamino D kiekį organizme. </w:t>
      </w:r>
    </w:p>
    <w:p w14:paraId="7BC5C15B" w14:textId="77777777" w:rsidR="004F7AA9" w:rsidRPr="007777D9" w:rsidRDefault="004F7AA9" w:rsidP="004F7AA9">
      <w:pPr>
        <w:widowControl w:val="0"/>
        <w:tabs>
          <w:tab w:val="clear" w:pos="567"/>
        </w:tabs>
        <w:spacing w:line="240" w:lineRule="auto"/>
        <w:rPr>
          <w:snapToGrid/>
          <w:szCs w:val="22"/>
          <w:lang w:val="lt-LT"/>
        </w:rPr>
      </w:pPr>
    </w:p>
    <w:p w14:paraId="6C97B611"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Šio vaistinio preparato dozėje yra mažiau kaip 1 mmol (23 mg) natrio, t. y. jis beveik neturi reikšmės.  </w:t>
      </w:r>
    </w:p>
    <w:p w14:paraId="1330ADAE" w14:textId="77777777" w:rsidR="004F7AA9" w:rsidRPr="007777D9" w:rsidRDefault="004F7AA9" w:rsidP="004F7AA9">
      <w:pPr>
        <w:widowControl w:val="0"/>
        <w:tabs>
          <w:tab w:val="clear" w:pos="567"/>
        </w:tabs>
        <w:spacing w:line="240" w:lineRule="auto"/>
        <w:rPr>
          <w:snapToGrid/>
          <w:szCs w:val="22"/>
          <w:lang w:val="lt-LT"/>
        </w:rPr>
      </w:pPr>
    </w:p>
    <w:p w14:paraId="4D83974B"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4.5</w:t>
      </w:r>
      <w:r w:rsidRPr="007777D9">
        <w:rPr>
          <w:b/>
          <w:bCs/>
          <w:snapToGrid/>
          <w:szCs w:val="22"/>
          <w:lang w:val="lt-LT"/>
        </w:rPr>
        <w:tab/>
        <w:t>Sąveika su kitais vaistiniais preparatais ir kitokia sąveika</w:t>
      </w:r>
    </w:p>
    <w:p w14:paraId="4C500318" w14:textId="77777777" w:rsidR="004F7AA9" w:rsidRPr="007777D9" w:rsidRDefault="004F7AA9" w:rsidP="004F7AA9">
      <w:pPr>
        <w:widowControl w:val="0"/>
        <w:tabs>
          <w:tab w:val="clear" w:pos="567"/>
        </w:tabs>
        <w:spacing w:line="240" w:lineRule="auto"/>
        <w:rPr>
          <w:snapToGrid/>
          <w:szCs w:val="22"/>
          <w:lang w:val="lt-LT"/>
        </w:rPr>
      </w:pPr>
    </w:p>
    <w:p w14:paraId="34938A4F"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Klinikinių tyrimų metu zoledrono rūgšties vartojant kartu su įprastiniais priešvėžiniais vaistiniais preparatais, diuretikais, antibiotikais ir analgetikais, kliniškai akivaizdžios sąveikos nepasireiškė. Zoledrono rūgštis reikšmingai nesijungia su plazmos baltymais ir neslopina žmogaus P450 fermentų </w:t>
      </w:r>
      <w:r w:rsidRPr="007777D9">
        <w:rPr>
          <w:i/>
          <w:snapToGrid/>
          <w:szCs w:val="22"/>
          <w:lang w:val="lt-LT"/>
        </w:rPr>
        <w:lastRenderedPageBreak/>
        <w:t xml:space="preserve">in vitro </w:t>
      </w:r>
      <w:r w:rsidRPr="007777D9">
        <w:rPr>
          <w:snapToGrid/>
          <w:szCs w:val="22"/>
          <w:lang w:val="lt-LT"/>
        </w:rPr>
        <w:t xml:space="preserve">(žr. 5.2 skyrių), tačiau formalių klinikinių sąveikos tyrimų neatlikta. </w:t>
      </w:r>
    </w:p>
    <w:p w14:paraId="1B2DC355" w14:textId="77777777" w:rsidR="004F7AA9" w:rsidRPr="007777D9" w:rsidRDefault="004F7AA9" w:rsidP="004F7AA9">
      <w:pPr>
        <w:widowControl w:val="0"/>
        <w:tabs>
          <w:tab w:val="clear" w:pos="567"/>
        </w:tabs>
        <w:spacing w:line="240" w:lineRule="auto"/>
        <w:rPr>
          <w:snapToGrid/>
          <w:szCs w:val="22"/>
          <w:lang w:val="lt-LT"/>
        </w:rPr>
      </w:pPr>
    </w:p>
    <w:p w14:paraId="45AB440F"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Rekomenduojama laikytis atsargumo priemonių, kai bisfosfonatų vartojama kartu su aminoglikozidais,</w:t>
      </w:r>
      <w:r w:rsidRPr="007777D9">
        <w:rPr>
          <w:rFonts w:eastAsia="Calibri"/>
          <w:snapToGrid/>
          <w:color w:val="000000"/>
          <w:szCs w:val="22"/>
          <w:lang w:val="lt-LT"/>
        </w:rPr>
        <w:t xml:space="preserve"> </w:t>
      </w:r>
      <w:r w:rsidRPr="007777D9">
        <w:rPr>
          <w:snapToGrid/>
          <w:szCs w:val="22"/>
          <w:lang w:val="lt-LT"/>
        </w:rPr>
        <w:t xml:space="preserve">kalcitoninu ar Henlės kilpoje veikiančiais diuretikais, nes gali pasireikšti adityvus poveikis, </w:t>
      </w:r>
      <w:r w:rsidRPr="00B31D5D">
        <w:rPr>
          <w:snapToGrid/>
          <w:szCs w:val="22"/>
          <w:lang w:val="lt-LT"/>
        </w:rPr>
        <w:t xml:space="preserve">todėl mažas kalcio kiekis serume gali išlikti </w:t>
      </w:r>
      <w:r>
        <w:rPr>
          <w:snapToGrid/>
          <w:szCs w:val="22"/>
          <w:lang w:val="lt-LT"/>
        </w:rPr>
        <w:t xml:space="preserve">ilgiau </w:t>
      </w:r>
      <w:r w:rsidRPr="00B31D5D">
        <w:rPr>
          <w:snapToGrid/>
          <w:szCs w:val="22"/>
          <w:lang w:val="lt-LT"/>
        </w:rPr>
        <w:t>negu reikia</w:t>
      </w:r>
      <w:r w:rsidRPr="007777D9">
        <w:rPr>
          <w:snapToGrid/>
          <w:szCs w:val="22"/>
          <w:lang w:val="lt-LT"/>
        </w:rPr>
        <w:t xml:space="preserve"> (žr. 4.4 skyrių).</w:t>
      </w:r>
    </w:p>
    <w:p w14:paraId="565EC56B" w14:textId="77777777" w:rsidR="004F7AA9" w:rsidRPr="007777D9" w:rsidRDefault="004F7AA9" w:rsidP="004F7AA9">
      <w:pPr>
        <w:widowControl w:val="0"/>
        <w:tabs>
          <w:tab w:val="clear" w:pos="567"/>
        </w:tabs>
        <w:spacing w:line="240" w:lineRule="auto"/>
        <w:rPr>
          <w:snapToGrid/>
          <w:szCs w:val="22"/>
          <w:lang w:val="lt-LT"/>
        </w:rPr>
      </w:pPr>
    </w:p>
    <w:p w14:paraId="0CC88F23"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Atsargumo priemonių būtina laikytis, kai zoledrono rūgšties vartojama su nefrotoksinį poveikį sukelti galinčiais vaistiniais preparatais. Be to, būtina atsižvelgti į hipomagnezemijos pasireiškimo galimybę gydymo metu.</w:t>
      </w:r>
    </w:p>
    <w:p w14:paraId="0527EF76" w14:textId="77777777" w:rsidR="004F7AA9" w:rsidRPr="007777D9" w:rsidRDefault="004F7AA9" w:rsidP="004F7AA9">
      <w:pPr>
        <w:widowControl w:val="0"/>
        <w:tabs>
          <w:tab w:val="clear" w:pos="567"/>
        </w:tabs>
        <w:spacing w:line="240" w:lineRule="auto"/>
        <w:rPr>
          <w:snapToGrid/>
          <w:szCs w:val="22"/>
          <w:lang w:val="lt-LT"/>
        </w:rPr>
      </w:pPr>
    </w:p>
    <w:p w14:paraId="681A28C1"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Daugine mieloma sergantiems pacientams inkstų funkcijos sutrikimo rizika gali padidėti, kai zoledrono rūgšties vartojama kartu su talidomidu.</w:t>
      </w:r>
    </w:p>
    <w:p w14:paraId="4E9A585E" w14:textId="77777777" w:rsidR="004F7AA9" w:rsidRPr="007777D9" w:rsidRDefault="004F7AA9" w:rsidP="004F7AA9">
      <w:pPr>
        <w:widowControl w:val="0"/>
        <w:tabs>
          <w:tab w:val="clear" w:pos="567"/>
        </w:tabs>
        <w:spacing w:line="240" w:lineRule="auto"/>
        <w:rPr>
          <w:snapToGrid/>
          <w:szCs w:val="22"/>
          <w:lang w:val="lt-LT"/>
        </w:rPr>
      </w:pPr>
    </w:p>
    <w:p w14:paraId="123CE957" w14:textId="4D86FF7A"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Zoledrono rūgšties rekomenduojama atsargiai skirti kartu su antiangiogeniniais vaistiniais preparatais, kadangi šių vaistinių preparatų kartu vartojusiems pacientams dažniau atsirado ŽON.</w:t>
      </w:r>
    </w:p>
    <w:p w14:paraId="45D06441"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 </w:t>
      </w:r>
    </w:p>
    <w:p w14:paraId="66A2ED8C"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4.6</w:t>
      </w:r>
      <w:r w:rsidRPr="007777D9">
        <w:rPr>
          <w:b/>
          <w:bCs/>
          <w:snapToGrid/>
          <w:szCs w:val="22"/>
          <w:lang w:val="lt-LT"/>
        </w:rPr>
        <w:tab/>
        <w:t>Vaisingumas, nėštumo ir žindymo laikotarpis</w:t>
      </w:r>
    </w:p>
    <w:p w14:paraId="13800F32" w14:textId="77777777" w:rsidR="004F7AA9" w:rsidRPr="007777D9" w:rsidRDefault="004F7AA9" w:rsidP="004F7AA9">
      <w:pPr>
        <w:widowControl w:val="0"/>
        <w:tabs>
          <w:tab w:val="clear" w:pos="567"/>
        </w:tabs>
        <w:spacing w:line="240" w:lineRule="auto"/>
        <w:rPr>
          <w:snapToGrid/>
          <w:szCs w:val="22"/>
          <w:lang w:val="lt-LT"/>
        </w:rPr>
      </w:pPr>
    </w:p>
    <w:p w14:paraId="32D3A3E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u w:val="single" w:color="000000"/>
          <w:lang w:val="lt-LT"/>
        </w:rPr>
        <w:t>Nėštumas</w:t>
      </w:r>
    </w:p>
    <w:p w14:paraId="7C433A8A"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Reikiamų duomenų apie zoledrono rūgšties vartojimą nėštumo metu nėra. Su gyvūnais atlikti zoledrono rūgšties tyrimai parodė toksinį poveikį reprodukcijai (žr. 5.3 skyrių). Galimas pavojus žmogui</w:t>
      </w:r>
      <w:r w:rsidRPr="007777D9" w:rsidDel="00A9230C">
        <w:rPr>
          <w:snapToGrid/>
          <w:szCs w:val="22"/>
          <w:lang w:val="lt-LT"/>
        </w:rPr>
        <w:t xml:space="preserve"> </w:t>
      </w:r>
      <w:r w:rsidRPr="007777D9">
        <w:rPr>
          <w:snapToGrid/>
          <w:szCs w:val="22"/>
          <w:lang w:val="lt-LT"/>
        </w:rPr>
        <w:t xml:space="preserve">nežinomas.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nėštumo metu geria</w:t>
      </w:r>
      <w:r>
        <w:rPr>
          <w:snapToGrid/>
          <w:szCs w:val="22"/>
          <w:lang w:val="lt-LT"/>
        </w:rPr>
        <w:t>u</w:t>
      </w:r>
      <w:r w:rsidRPr="007777D9">
        <w:rPr>
          <w:snapToGrid/>
          <w:szCs w:val="22"/>
          <w:lang w:val="lt-LT"/>
        </w:rPr>
        <w:t xml:space="preserve"> nevartoti.</w:t>
      </w:r>
      <w:r w:rsidRPr="007777D9">
        <w:rPr>
          <w:rFonts w:eastAsia="Calibri"/>
          <w:snapToGrid/>
          <w:color w:val="000000"/>
          <w:szCs w:val="22"/>
          <w:lang w:val="lt-LT"/>
        </w:rPr>
        <w:t xml:space="preserve"> </w:t>
      </w:r>
      <w:r w:rsidRPr="00B31D5D">
        <w:rPr>
          <w:snapToGrid/>
          <w:szCs w:val="22"/>
          <w:lang w:val="lt-LT"/>
        </w:rPr>
        <w:t>Vaisingoms moterims reikia nurodyti vengti pastojimo.</w:t>
      </w:r>
      <w:r w:rsidRPr="007777D9">
        <w:rPr>
          <w:snapToGrid/>
          <w:szCs w:val="22"/>
          <w:lang w:val="lt-LT"/>
        </w:rPr>
        <w:t xml:space="preserve"> </w:t>
      </w:r>
    </w:p>
    <w:p w14:paraId="3A29C2BC"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 </w:t>
      </w:r>
    </w:p>
    <w:p w14:paraId="6F2070D9"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u w:val="single" w:color="000000"/>
          <w:lang w:val="lt-LT"/>
        </w:rPr>
        <w:t>Žindymas</w:t>
      </w:r>
    </w:p>
    <w:p w14:paraId="4A962AC5"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Nežinoma, ar zoledrono rūgšties patenka į moters pieną.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draudžiama vartoti žindymo metu (žr. 4.3 skyrių).</w:t>
      </w:r>
    </w:p>
    <w:p w14:paraId="7DF39DCE" w14:textId="77777777" w:rsidR="004F7AA9" w:rsidRPr="007777D9" w:rsidRDefault="004F7AA9" w:rsidP="004F7AA9">
      <w:pPr>
        <w:widowControl w:val="0"/>
        <w:tabs>
          <w:tab w:val="clear" w:pos="567"/>
        </w:tabs>
        <w:spacing w:line="240" w:lineRule="auto"/>
        <w:rPr>
          <w:snapToGrid/>
          <w:szCs w:val="22"/>
          <w:lang w:val="lt-LT"/>
        </w:rPr>
      </w:pPr>
    </w:p>
    <w:p w14:paraId="05F9EAAA"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u w:val="single" w:color="000000"/>
          <w:lang w:val="lt-LT"/>
        </w:rPr>
        <w:t>Vaisingumas</w:t>
      </w:r>
    </w:p>
    <w:p w14:paraId="5FAC34ED"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Tyrimo su žiurkėmis metu buvo tiriamas galimas nepageidaujamas zoledrono rūgšties poveikis gyvūnų ir jų F1 kartos palikuonių vaisingumui. Tyrimo metu pasireiškė sustiprėjęs veikliosios medžiagos farmakologinis poveikis, kuris, manoma, turi būti susijęs su skeleto kalcio metabolizmo slopinimu, todėl atsivedimo laikotarpiu atsirado hipokalcemija (bisfosfonatų grupei būdingas poveikis), distocija bei tyrimą reikėjo nutraukti anksčiau nei numatyta. Taigi, šie rezultatai neleido nustatyti tikslaus zoledrono rūgšties poveikio žmonių vaisingumui.</w:t>
      </w:r>
    </w:p>
    <w:p w14:paraId="6C7758A3" w14:textId="77777777" w:rsidR="004F7AA9" w:rsidRPr="007777D9" w:rsidRDefault="004F7AA9" w:rsidP="004F7AA9">
      <w:pPr>
        <w:widowControl w:val="0"/>
        <w:tabs>
          <w:tab w:val="clear" w:pos="567"/>
        </w:tabs>
        <w:spacing w:line="240" w:lineRule="auto"/>
        <w:rPr>
          <w:snapToGrid/>
          <w:szCs w:val="22"/>
          <w:lang w:val="lt-LT"/>
        </w:rPr>
      </w:pPr>
    </w:p>
    <w:p w14:paraId="39905EAD" w14:textId="77777777" w:rsidR="004F7AA9" w:rsidRPr="007777D9" w:rsidRDefault="004F7AA9" w:rsidP="004F7AA9">
      <w:pPr>
        <w:widowControl w:val="0"/>
        <w:spacing w:line="240" w:lineRule="auto"/>
        <w:rPr>
          <w:snapToGrid/>
          <w:szCs w:val="22"/>
          <w:lang w:val="lt-LT"/>
        </w:rPr>
      </w:pPr>
      <w:r w:rsidRPr="007777D9">
        <w:rPr>
          <w:b/>
          <w:bCs/>
          <w:snapToGrid/>
          <w:szCs w:val="22"/>
          <w:lang w:val="lt-LT"/>
        </w:rPr>
        <w:t>4.7</w:t>
      </w:r>
      <w:r w:rsidRPr="007777D9">
        <w:rPr>
          <w:b/>
          <w:bCs/>
          <w:snapToGrid/>
          <w:szCs w:val="22"/>
          <w:lang w:val="lt-LT"/>
        </w:rPr>
        <w:tab/>
        <w:t>Poveikis gebėjimui vairuoti ir valdyti mechanizmus</w:t>
      </w:r>
    </w:p>
    <w:p w14:paraId="728CD741" w14:textId="77777777" w:rsidR="004F7AA9" w:rsidRPr="007777D9" w:rsidRDefault="004F7AA9" w:rsidP="004F7AA9">
      <w:pPr>
        <w:widowControl w:val="0"/>
        <w:tabs>
          <w:tab w:val="clear" w:pos="567"/>
        </w:tabs>
        <w:spacing w:line="240" w:lineRule="auto"/>
        <w:rPr>
          <w:snapToGrid/>
          <w:szCs w:val="22"/>
          <w:lang w:val="lt-LT"/>
        </w:rPr>
      </w:pPr>
    </w:p>
    <w:p w14:paraId="202AD299"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Pasireiškiančios nepageidaujamos reakcijos, pavyzdžiui, svaigulys ir somnolencija, gali daryti įtaką gebėjimui vairuoti ir valdyti mechanizmus, todėl vartojant zoledrono rūgšties vairuoti ir valdyti mechanizmus reikia atsargiai.</w:t>
      </w:r>
    </w:p>
    <w:p w14:paraId="25DE0655" w14:textId="77777777" w:rsidR="004F7AA9" w:rsidRPr="007777D9" w:rsidRDefault="004F7AA9" w:rsidP="004F7AA9">
      <w:pPr>
        <w:widowControl w:val="0"/>
        <w:tabs>
          <w:tab w:val="clear" w:pos="567"/>
        </w:tabs>
        <w:spacing w:line="240" w:lineRule="auto"/>
        <w:rPr>
          <w:snapToGrid/>
          <w:szCs w:val="22"/>
          <w:lang w:val="lt-LT"/>
        </w:rPr>
      </w:pPr>
    </w:p>
    <w:p w14:paraId="51A5C10C" w14:textId="77777777" w:rsidR="004F7AA9" w:rsidRPr="007777D9" w:rsidRDefault="004F7AA9" w:rsidP="004F7AA9">
      <w:pPr>
        <w:widowControl w:val="0"/>
        <w:spacing w:line="240" w:lineRule="auto"/>
        <w:rPr>
          <w:snapToGrid/>
          <w:szCs w:val="22"/>
          <w:lang w:val="lt-LT"/>
        </w:rPr>
      </w:pPr>
      <w:r w:rsidRPr="007777D9">
        <w:rPr>
          <w:b/>
          <w:bCs/>
          <w:snapToGrid/>
          <w:szCs w:val="22"/>
          <w:lang w:val="lt-LT"/>
        </w:rPr>
        <w:t>4.8</w:t>
      </w:r>
      <w:r w:rsidRPr="007777D9">
        <w:rPr>
          <w:b/>
          <w:bCs/>
          <w:snapToGrid/>
          <w:szCs w:val="22"/>
          <w:lang w:val="lt-LT"/>
        </w:rPr>
        <w:tab/>
        <w:t>Nepageidaujamas poveikis</w:t>
      </w:r>
    </w:p>
    <w:p w14:paraId="5EEBBEDA" w14:textId="77777777" w:rsidR="004F7AA9" w:rsidRPr="007777D9" w:rsidRDefault="004F7AA9" w:rsidP="004F7AA9">
      <w:pPr>
        <w:widowControl w:val="0"/>
        <w:tabs>
          <w:tab w:val="clear" w:pos="567"/>
        </w:tabs>
        <w:spacing w:line="240" w:lineRule="auto"/>
        <w:rPr>
          <w:snapToGrid/>
          <w:szCs w:val="22"/>
          <w:lang w:val="lt-LT"/>
        </w:rPr>
      </w:pPr>
    </w:p>
    <w:p w14:paraId="150594B4"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t>Saugumo duomenų santrauka</w:t>
      </w:r>
    </w:p>
    <w:p w14:paraId="12267943"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Dažnai pranešta apie per tris dienas po zoledrono rūgšties pavartojimo pasireiškusią ūminės fazės reakciją, kurios simptomai buvo kaulų skausmas, karščiavimas, nuovargis, artralgija, mialgija, sustingimas ir artritas kartu su sąnarių patinimu. Tokie simptomai paprastai išnyksta per keletą dienų (žr. </w:t>
      </w:r>
      <w:r w:rsidRPr="007777D9">
        <w:rPr>
          <w:iCs/>
          <w:szCs w:val="22"/>
          <w:lang w:val="lt-LT" w:eastAsia="lt-LT"/>
        </w:rPr>
        <w:t>atrinktų nepageidaujamų reakcijų apibūdinimą</w:t>
      </w:r>
      <w:r w:rsidRPr="007777D9">
        <w:rPr>
          <w:snapToGrid/>
          <w:szCs w:val="22"/>
          <w:lang w:val="lt-LT"/>
        </w:rPr>
        <w:t xml:space="preserve">). </w:t>
      </w:r>
    </w:p>
    <w:p w14:paraId="6906B7D5" w14:textId="77777777" w:rsidR="004F7AA9" w:rsidRPr="007777D9" w:rsidRDefault="004F7AA9" w:rsidP="004F7AA9">
      <w:pPr>
        <w:widowControl w:val="0"/>
        <w:tabs>
          <w:tab w:val="clear" w:pos="567"/>
        </w:tabs>
        <w:spacing w:line="240" w:lineRule="auto"/>
        <w:rPr>
          <w:snapToGrid/>
          <w:szCs w:val="22"/>
          <w:lang w:val="lt-LT"/>
        </w:rPr>
      </w:pPr>
    </w:p>
    <w:p w14:paraId="41C764EF"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Toliau išvardyta nustatyta svarbi su zoledrono rūgšties vartojimu patvirtintoms indikacijoms susijusi rizika: inkstų funkcijos sutrikimas, žandikaulio osteonekrozė, ūminės fazės reakcija, hipokalcemija, prieširdžių virpėjimas, anafilaksija, intersticinė plaučių liga. Šių nustatytų reakcijų dažnis nurodytas 1 lentelėje.</w:t>
      </w:r>
    </w:p>
    <w:p w14:paraId="1977F6A6" w14:textId="77777777" w:rsidR="004F7AA9" w:rsidRPr="007777D9" w:rsidRDefault="004F7AA9" w:rsidP="004F7AA9">
      <w:pPr>
        <w:widowControl w:val="0"/>
        <w:tabs>
          <w:tab w:val="clear" w:pos="567"/>
        </w:tabs>
        <w:spacing w:line="240" w:lineRule="auto"/>
        <w:rPr>
          <w:snapToGrid/>
          <w:szCs w:val="22"/>
          <w:lang w:val="lt-LT"/>
        </w:rPr>
      </w:pPr>
    </w:p>
    <w:p w14:paraId="2A3DFF45"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lastRenderedPageBreak/>
        <w:t>Nepageidaujamų reakcijų santrauka lentelėje</w:t>
      </w:r>
    </w:p>
    <w:p w14:paraId="2776C00D"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Duomenys apie 1-ojoje lentelėje nurodytas nepageidaujamas reakcijas gauti klinikinių tyrimų metu ir remiantis pranešimais po vaistinio preparato pateikimo į rinką, dažniausiai po ilgalaikio 4 mg zoledrono rūgšties vartojimo. </w:t>
      </w:r>
    </w:p>
    <w:p w14:paraId="11B27F3A" w14:textId="77777777" w:rsidR="004F7AA9" w:rsidRPr="007777D9" w:rsidRDefault="004F7AA9" w:rsidP="004F7AA9">
      <w:pPr>
        <w:widowControl w:val="0"/>
        <w:tabs>
          <w:tab w:val="clear" w:pos="567"/>
        </w:tabs>
        <w:spacing w:line="240" w:lineRule="auto"/>
        <w:rPr>
          <w:snapToGrid/>
          <w:szCs w:val="22"/>
          <w:lang w:val="lt-LT"/>
        </w:rPr>
      </w:pPr>
    </w:p>
    <w:p w14:paraId="07C79902"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1 lentelė</w:t>
      </w:r>
    </w:p>
    <w:p w14:paraId="0F459967"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Nepageidaujamos reakcijos suskirstytos pagal dažnį (dažnesnės reakcijos nurodytos pirmiau), dažnis apibūdinamas taip: labai dažnas (≥ 1/10), dažnas (nuo ≥ 1/100 iki &lt;1/10), nedažnas (nuo ≥ </w:t>
      </w:r>
      <w:r w:rsidRPr="007777D9">
        <w:rPr>
          <w:snapToGrid/>
          <w:position w:val="-1"/>
          <w:szCs w:val="22"/>
          <w:lang w:val="lt-LT"/>
        </w:rPr>
        <w:t xml:space="preserve">1/1 000 iki &lt;1/100), retas (nuo </w:t>
      </w:r>
      <w:r w:rsidRPr="007777D9">
        <w:rPr>
          <w:snapToGrid/>
          <w:szCs w:val="22"/>
          <w:lang w:val="lt-LT"/>
        </w:rPr>
        <w:t>≥ </w:t>
      </w:r>
      <w:r w:rsidRPr="007777D9">
        <w:rPr>
          <w:snapToGrid/>
          <w:position w:val="-1"/>
          <w:szCs w:val="22"/>
          <w:lang w:val="lt-LT"/>
        </w:rPr>
        <w:t xml:space="preserve">1/10 000 iki &lt; 1/1 000), labai retas (&lt; 1/10 000) ir nežinomas </w:t>
      </w:r>
      <w:r w:rsidRPr="007777D9">
        <w:rPr>
          <w:snapToGrid/>
          <w:szCs w:val="22"/>
          <w:lang w:val="lt-LT"/>
        </w:rPr>
        <w:t xml:space="preserve">(negali būti apskaičiuotas pagal turimus duomenis). </w:t>
      </w:r>
    </w:p>
    <w:p w14:paraId="7C1AB651" w14:textId="77777777" w:rsidR="004F7AA9" w:rsidRPr="007777D9" w:rsidRDefault="004F7AA9" w:rsidP="004F7AA9">
      <w:pPr>
        <w:widowControl w:val="0"/>
        <w:tabs>
          <w:tab w:val="clear" w:pos="567"/>
        </w:tabs>
        <w:spacing w:line="240" w:lineRule="auto"/>
        <w:rPr>
          <w:snapToGrid/>
          <w:szCs w:val="22"/>
          <w:lang w:val="lt-LT"/>
        </w:rPr>
      </w:pPr>
    </w:p>
    <w:tbl>
      <w:tblPr>
        <w:tblW w:w="9120" w:type="dxa"/>
        <w:tblInd w:w="99"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120"/>
      </w:tblGrid>
      <w:tr w:rsidR="004F7AA9" w:rsidRPr="00582A3A" w14:paraId="16B3332E" w14:textId="77777777" w:rsidTr="009A4A51">
        <w:trPr>
          <w:cantSplit/>
          <w:trHeight w:hRule="exact" w:val="1022"/>
        </w:trPr>
        <w:tc>
          <w:tcPr>
            <w:tcW w:w="9120" w:type="dxa"/>
          </w:tcPr>
          <w:p w14:paraId="27D14095"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Kraujo ir limfinės sistemos sutrikimai</w:t>
            </w:r>
          </w:p>
          <w:p w14:paraId="21A7510C"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 xml:space="preserve">Dažni: </w:t>
            </w:r>
            <w:r w:rsidRPr="007777D9">
              <w:rPr>
                <w:snapToGrid/>
                <w:szCs w:val="22"/>
                <w:lang w:val="lt-LT"/>
              </w:rPr>
              <w:tab/>
              <w:t>Anemija</w:t>
            </w:r>
          </w:p>
          <w:p w14:paraId="2ADD06B0"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Nedažni</w:t>
            </w:r>
            <w:r>
              <w:rPr>
                <w:snapToGrid/>
                <w:szCs w:val="22"/>
                <w:lang w:val="lt-LT"/>
              </w:rPr>
              <w:t>:</w:t>
            </w:r>
            <w:r>
              <w:rPr>
                <w:snapToGrid/>
                <w:szCs w:val="22"/>
                <w:lang w:val="lt-LT"/>
              </w:rPr>
              <w:tab/>
            </w:r>
            <w:r w:rsidRPr="007777D9">
              <w:rPr>
                <w:snapToGrid/>
                <w:szCs w:val="22"/>
                <w:lang w:val="lt-LT"/>
              </w:rPr>
              <w:t>Trombocitopenija, leukopenija</w:t>
            </w:r>
          </w:p>
          <w:p w14:paraId="7C5652CB"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Reti:</w:t>
            </w:r>
            <w:r w:rsidRPr="007777D9">
              <w:rPr>
                <w:snapToGrid/>
                <w:szCs w:val="22"/>
                <w:lang w:val="lt-LT"/>
              </w:rPr>
              <w:tab/>
              <w:t>Pancitopenija</w:t>
            </w:r>
          </w:p>
        </w:tc>
      </w:tr>
      <w:tr w:rsidR="004F7AA9" w:rsidRPr="007777D9" w14:paraId="54975E94" w14:textId="77777777" w:rsidTr="009A4A51">
        <w:trPr>
          <w:cantSplit/>
          <w:trHeight w:hRule="exact" w:val="769"/>
        </w:trPr>
        <w:tc>
          <w:tcPr>
            <w:tcW w:w="9120" w:type="dxa"/>
          </w:tcPr>
          <w:p w14:paraId="73BF21E2"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Imuninės sistemos sutrikimai</w:t>
            </w:r>
          </w:p>
          <w:p w14:paraId="0683C175"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 xml:space="preserve">Nedažni: </w:t>
            </w:r>
            <w:r w:rsidRPr="007777D9">
              <w:rPr>
                <w:snapToGrid/>
                <w:szCs w:val="22"/>
                <w:lang w:val="lt-LT"/>
              </w:rPr>
              <w:tab/>
              <w:t>Padidėjusio jautrumo reakcijos</w:t>
            </w:r>
          </w:p>
          <w:p w14:paraId="07A15DC7"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Reti:</w:t>
            </w:r>
            <w:r w:rsidRPr="007777D9">
              <w:rPr>
                <w:snapToGrid/>
                <w:szCs w:val="22"/>
                <w:lang w:val="lt-LT"/>
              </w:rPr>
              <w:tab/>
              <w:t>Angioneurozinė edema</w:t>
            </w:r>
          </w:p>
        </w:tc>
      </w:tr>
      <w:tr w:rsidR="004F7AA9" w:rsidRPr="007777D9" w14:paraId="3A3E6377" w14:textId="77777777" w:rsidTr="009A4A51">
        <w:trPr>
          <w:cantSplit/>
          <w:trHeight w:hRule="exact" w:val="769"/>
        </w:trPr>
        <w:tc>
          <w:tcPr>
            <w:tcW w:w="9120" w:type="dxa"/>
          </w:tcPr>
          <w:p w14:paraId="4E1431F3"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Psichikos sutrikimai</w:t>
            </w:r>
          </w:p>
          <w:p w14:paraId="77CD1D7A"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 xml:space="preserve">Nedažni: </w:t>
            </w:r>
            <w:r w:rsidRPr="007777D9">
              <w:rPr>
                <w:snapToGrid/>
                <w:szCs w:val="22"/>
                <w:lang w:val="lt-LT"/>
              </w:rPr>
              <w:tab/>
              <w:t>Nerimas, miego sutrikimas</w:t>
            </w:r>
          </w:p>
          <w:p w14:paraId="12F0C83C"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Reti:</w:t>
            </w:r>
            <w:r w:rsidRPr="007777D9">
              <w:rPr>
                <w:snapToGrid/>
                <w:szCs w:val="22"/>
                <w:lang w:val="lt-LT"/>
              </w:rPr>
              <w:tab/>
              <w:t>Sumišimas</w:t>
            </w:r>
          </w:p>
        </w:tc>
      </w:tr>
      <w:tr w:rsidR="004F7AA9" w:rsidRPr="00582A3A" w14:paraId="7C8B8E15" w14:textId="77777777" w:rsidTr="009A4A51">
        <w:trPr>
          <w:cantSplit/>
          <w:trHeight w:hRule="exact" w:val="1951"/>
        </w:trPr>
        <w:tc>
          <w:tcPr>
            <w:tcW w:w="9120" w:type="dxa"/>
          </w:tcPr>
          <w:p w14:paraId="067A9284"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Nervų sistemos sutrikimai</w:t>
            </w:r>
          </w:p>
          <w:p w14:paraId="275393F7"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 xml:space="preserve">Dažni: </w:t>
            </w:r>
            <w:r w:rsidRPr="007777D9">
              <w:rPr>
                <w:snapToGrid/>
                <w:szCs w:val="22"/>
                <w:lang w:val="lt-LT"/>
              </w:rPr>
              <w:tab/>
              <w:t>Galvos skausmas</w:t>
            </w:r>
          </w:p>
          <w:p w14:paraId="4C60458B" w14:textId="77777777" w:rsidR="004F7AA9" w:rsidRPr="007777D9" w:rsidRDefault="004F7AA9" w:rsidP="009A4A51">
            <w:pPr>
              <w:widowControl w:val="0"/>
              <w:tabs>
                <w:tab w:val="clear" w:pos="567"/>
              </w:tabs>
              <w:spacing w:line="240" w:lineRule="auto"/>
              <w:ind w:left="4871" w:hanging="4871"/>
              <w:rPr>
                <w:snapToGrid/>
                <w:szCs w:val="22"/>
                <w:lang w:val="lt-LT"/>
              </w:rPr>
            </w:pPr>
            <w:r w:rsidRPr="007777D9">
              <w:rPr>
                <w:snapToGrid/>
                <w:szCs w:val="22"/>
                <w:lang w:val="lt-LT"/>
              </w:rPr>
              <w:t xml:space="preserve">Nedažni: </w:t>
            </w:r>
            <w:r w:rsidRPr="007777D9">
              <w:rPr>
                <w:snapToGrid/>
                <w:szCs w:val="22"/>
                <w:lang w:val="lt-LT"/>
              </w:rPr>
              <w:tab/>
              <w:t>Svaigulys, parestezija, skonio pojūčio sutrikimas, hipoestezija, hiperestezija, tremoras, somnolencija</w:t>
            </w:r>
          </w:p>
          <w:p w14:paraId="2458C508" w14:textId="77777777" w:rsidR="004F7AA9" w:rsidRPr="007777D9" w:rsidRDefault="004F7AA9" w:rsidP="009A4A51">
            <w:pPr>
              <w:widowControl w:val="0"/>
              <w:tabs>
                <w:tab w:val="clear" w:pos="567"/>
              </w:tabs>
              <w:spacing w:line="240" w:lineRule="auto"/>
              <w:ind w:left="4868" w:hanging="4868"/>
              <w:rPr>
                <w:snapToGrid/>
                <w:szCs w:val="22"/>
                <w:lang w:val="lt-LT"/>
              </w:rPr>
            </w:pPr>
            <w:r w:rsidRPr="007777D9">
              <w:rPr>
                <w:snapToGrid/>
                <w:szCs w:val="22"/>
                <w:lang w:val="lt-LT"/>
              </w:rPr>
              <w:t>Labai reti:</w:t>
            </w:r>
            <w:r w:rsidRPr="007777D9">
              <w:rPr>
                <w:snapToGrid/>
                <w:szCs w:val="22"/>
                <w:lang w:val="lt-LT"/>
              </w:rPr>
              <w:tab/>
              <w:t>Traukuliai, hipoestezija ir tetanija (hipokalcemijos sukeltas poveikis)</w:t>
            </w:r>
          </w:p>
        </w:tc>
      </w:tr>
      <w:tr w:rsidR="004F7AA9" w:rsidRPr="007777D9" w14:paraId="788B9722" w14:textId="77777777" w:rsidTr="009A4A51">
        <w:trPr>
          <w:cantSplit/>
          <w:trHeight w:hRule="exact" w:val="1576"/>
        </w:trPr>
        <w:tc>
          <w:tcPr>
            <w:tcW w:w="9120" w:type="dxa"/>
          </w:tcPr>
          <w:p w14:paraId="10D6B517"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Akių sutrikimai</w:t>
            </w:r>
          </w:p>
          <w:p w14:paraId="17EDF7C5"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 xml:space="preserve">Dažni: </w:t>
            </w:r>
            <w:r w:rsidRPr="007777D9">
              <w:rPr>
                <w:snapToGrid/>
                <w:szCs w:val="22"/>
                <w:lang w:val="lt-LT"/>
              </w:rPr>
              <w:tab/>
            </w:r>
            <w:r>
              <w:rPr>
                <w:snapToGrid/>
                <w:szCs w:val="22"/>
                <w:lang w:val="lt-LT"/>
              </w:rPr>
              <w:t xml:space="preserve">                                                                 </w:t>
            </w:r>
            <w:r w:rsidRPr="007777D9">
              <w:rPr>
                <w:snapToGrid/>
                <w:szCs w:val="22"/>
                <w:lang w:val="lt-LT"/>
              </w:rPr>
              <w:t>Konjunktyvitas</w:t>
            </w:r>
          </w:p>
          <w:p w14:paraId="1F46EDD3" w14:textId="77777777" w:rsidR="004F7AA9" w:rsidRPr="007777D9" w:rsidRDefault="004F7AA9" w:rsidP="009A4A51">
            <w:pPr>
              <w:widowControl w:val="0"/>
              <w:tabs>
                <w:tab w:val="clear" w:pos="567"/>
              </w:tabs>
              <w:spacing w:line="240" w:lineRule="auto"/>
              <w:ind w:left="4868" w:hanging="4868"/>
              <w:rPr>
                <w:snapToGrid/>
                <w:szCs w:val="22"/>
                <w:lang w:val="lt-LT"/>
              </w:rPr>
            </w:pPr>
            <w:r w:rsidRPr="007777D9">
              <w:rPr>
                <w:snapToGrid/>
                <w:szCs w:val="22"/>
                <w:lang w:val="lt-LT"/>
              </w:rPr>
              <w:t xml:space="preserve">Nedažni: </w:t>
            </w:r>
            <w:r w:rsidRPr="007777D9">
              <w:rPr>
                <w:snapToGrid/>
                <w:szCs w:val="22"/>
                <w:lang w:val="lt-LT"/>
              </w:rPr>
              <w:tab/>
              <w:t>Matomo vaizdo neryškumas, skleritas ir akiduobės uždegimas</w:t>
            </w:r>
          </w:p>
          <w:p w14:paraId="7F1E8666" w14:textId="77777777" w:rsidR="004F7AA9" w:rsidRPr="007777D9" w:rsidRDefault="004F7AA9" w:rsidP="009A4A51">
            <w:pPr>
              <w:widowControl w:val="0"/>
              <w:tabs>
                <w:tab w:val="clear" w:pos="567"/>
              </w:tabs>
              <w:spacing w:line="240" w:lineRule="auto"/>
              <w:ind w:left="4868" w:hanging="4868"/>
              <w:rPr>
                <w:snapToGrid/>
                <w:szCs w:val="22"/>
                <w:lang w:val="lt-LT"/>
              </w:rPr>
            </w:pPr>
            <w:r w:rsidRPr="007777D9">
              <w:rPr>
                <w:snapToGrid/>
                <w:szCs w:val="22"/>
                <w:lang w:val="lt-LT"/>
              </w:rPr>
              <w:t>Reti:</w:t>
            </w:r>
            <w:r w:rsidRPr="007777D9">
              <w:rPr>
                <w:snapToGrid/>
                <w:szCs w:val="22"/>
                <w:lang w:val="lt-LT"/>
              </w:rPr>
              <w:tab/>
              <w:t>Uveitas</w:t>
            </w:r>
          </w:p>
          <w:p w14:paraId="5116F396"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Labai reti:</w:t>
            </w:r>
            <w:r w:rsidRPr="007777D9">
              <w:rPr>
                <w:snapToGrid/>
                <w:szCs w:val="22"/>
                <w:lang w:val="lt-LT"/>
              </w:rPr>
              <w:tab/>
              <w:t>Episkleritas</w:t>
            </w:r>
          </w:p>
        </w:tc>
      </w:tr>
      <w:tr w:rsidR="004F7AA9" w:rsidRPr="00582A3A" w14:paraId="2C4B095C" w14:textId="77777777" w:rsidTr="009A4A51">
        <w:trPr>
          <w:cantSplit/>
          <w:trHeight w:hRule="exact" w:val="1689"/>
        </w:trPr>
        <w:tc>
          <w:tcPr>
            <w:tcW w:w="9120" w:type="dxa"/>
          </w:tcPr>
          <w:p w14:paraId="1E31E4CC"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Širdies sutrikimai</w:t>
            </w:r>
          </w:p>
          <w:p w14:paraId="7B2319E2" w14:textId="77777777" w:rsidR="004F7AA9" w:rsidRPr="007777D9" w:rsidRDefault="004F7AA9" w:rsidP="009A4A51">
            <w:pPr>
              <w:widowControl w:val="0"/>
              <w:tabs>
                <w:tab w:val="clear" w:pos="567"/>
              </w:tabs>
              <w:spacing w:line="240" w:lineRule="auto"/>
              <w:ind w:left="4868" w:hanging="4868"/>
              <w:rPr>
                <w:snapToGrid/>
                <w:szCs w:val="22"/>
                <w:lang w:val="lt-LT"/>
              </w:rPr>
            </w:pPr>
            <w:r w:rsidRPr="007777D9">
              <w:rPr>
                <w:snapToGrid/>
                <w:szCs w:val="22"/>
                <w:lang w:val="lt-LT"/>
              </w:rPr>
              <w:t xml:space="preserve">Nedažni: </w:t>
            </w:r>
            <w:r w:rsidRPr="007777D9">
              <w:rPr>
                <w:snapToGrid/>
                <w:szCs w:val="22"/>
                <w:lang w:val="lt-LT"/>
              </w:rPr>
              <w:tab/>
              <w:t>Hipertenzija, hipotenzija, prieširdžių virpėjimas, hipotenzijos sukelta</w:t>
            </w:r>
            <w:r>
              <w:rPr>
                <w:snapToGrid/>
                <w:szCs w:val="22"/>
                <w:lang w:val="lt-LT"/>
              </w:rPr>
              <w:t>s apalpimas</w:t>
            </w:r>
            <w:r w:rsidRPr="007777D9">
              <w:rPr>
                <w:snapToGrid/>
                <w:szCs w:val="22"/>
                <w:lang w:val="lt-LT"/>
              </w:rPr>
              <w:t xml:space="preserve"> arba kolapsas</w:t>
            </w:r>
          </w:p>
          <w:p w14:paraId="0CA4E0A6" w14:textId="77777777" w:rsidR="004F7AA9" w:rsidRPr="007777D9" w:rsidRDefault="004F7AA9" w:rsidP="009A4A51">
            <w:pPr>
              <w:widowControl w:val="0"/>
              <w:tabs>
                <w:tab w:val="clear" w:pos="567"/>
              </w:tabs>
              <w:spacing w:line="240" w:lineRule="auto"/>
              <w:ind w:left="4868" w:hanging="4820"/>
              <w:rPr>
                <w:snapToGrid/>
                <w:szCs w:val="22"/>
                <w:lang w:val="lt-LT"/>
              </w:rPr>
            </w:pPr>
            <w:r w:rsidRPr="007777D9">
              <w:rPr>
                <w:snapToGrid/>
                <w:szCs w:val="22"/>
                <w:lang w:val="lt-LT"/>
              </w:rPr>
              <w:t>Reti:</w:t>
            </w:r>
            <w:r w:rsidRPr="007777D9">
              <w:rPr>
                <w:snapToGrid/>
                <w:szCs w:val="22"/>
                <w:lang w:val="lt-LT"/>
              </w:rPr>
              <w:tab/>
              <w:t>Bradikardija, širdies aritmija (hipokalcemijos sukeltas poveikis)</w:t>
            </w:r>
          </w:p>
        </w:tc>
      </w:tr>
      <w:tr w:rsidR="004F7AA9" w:rsidRPr="00582A3A" w14:paraId="56C1CA37" w14:textId="77777777" w:rsidTr="009A4A51">
        <w:trPr>
          <w:cantSplit/>
          <w:trHeight w:hRule="exact" w:val="978"/>
        </w:trPr>
        <w:tc>
          <w:tcPr>
            <w:tcW w:w="9120" w:type="dxa"/>
          </w:tcPr>
          <w:p w14:paraId="55B2EC15"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Kvėpavimo sistemos, krūtinės ląstos ir tarpuplaučio sutrikimai</w:t>
            </w:r>
          </w:p>
          <w:p w14:paraId="4C17BD6A"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 xml:space="preserve">Nedažni: </w:t>
            </w:r>
            <w:r w:rsidRPr="007777D9">
              <w:rPr>
                <w:snapToGrid/>
                <w:szCs w:val="22"/>
                <w:lang w:val="lt-LT"/>
              </w:rPr>
              <w:tab/>
              <w:t>Dusulys, kosulys, bronchų susiaurėjimas</w:t>
            </w:r>
          </w:p>
          <w:p w14:paraId="45CA78E7" w14:textId="77777777" w:rsidR="004F7AA9" w:rsidRPr="007777D9" w:rsidRDefault="004F7AA9" w:rsidP="009A4A51">
            <w:pPr>
              <w:widowControl w:val="0"/>
              <w:tabs>
                <w:tab w:val="clear" w:pos="567"/>
              </w:tabs>
              <w:spacing w:line="240" w:lineRule="auto"/>
              <w:ind w:left="4870" w:hanging="4820"/>
              <w:rPr>
                <w:snapToGrid/>
                <w:szCs w:val="22"/>
                <w:lang w:val="lt-LT"/>
              </w:rPr>
            </w:pPr>
            <w:r w:rsidRPr="007777D9">
              <w:rPr>
                <w:snapToGrid/>
                <w:szCs w:val="22"/>
                <w:lang w:val="lt-LT"/>
              </w:rPr>
              <w:t>Reti:</w:t>
            </w:r>
            <w:r w:rsidRPr="007777D9">
              <w:rPr>
                <w:snapToGrid/>
                <w:szCs w:val="22"/>
                <w:lang w:val="lt-LT"/>
              </w:rPr>
              <w:tab/>
            </w:r>
            <w:r w:rsidRPr="007777D9">
              <w:rPr>
                <w:snapToGrid/>
                <w:color w:val="000000"/>
                <w:szCs w:val="22"/>
                <w:lang w:val="lt-LT"/>
              </w:rPr>
              <w:t>Intersticinė plaučių liga</w:t>
            </w:r>
          </w:p>
          <w:p w14:paraId="038D1741" w14:textId="77777777" w:rsidR="004F7AA9" w:rsidRPr="007777D9" w:rsidRDefault="004F7AA9" w:rsidP="009A4A51">
            <w:pPr>
              <w:widowControl w:val="0"/>
              <w:tabs>
                <w:tab w:val="clear" w:pos="567"/>
              </w:tabs>
              <w:spacing w:line="240" w:lineRule="auto"/>
              <w:rPr>
                <w:snapToGrid/>
                <w:szCs w:val="22"/>
                <w:lang w:val="lt-LT"/>
              </w:rPr>
            </w:pPr>
          </w:p>
        </w:tc>
      </w:tr>
      <w:tr w:rsidR="004F7AA9" w:rsidRPr="00582A3A" w14:paraId="7E542652" w14:textId="77777777" w:rsidTr="009A4A51">
        <w:trPr>
          <w:cantSplit/>
          <w:trHeight w:hRule="exact" w:val="1419"/>
        </w:trPr>
        <w:tc>
          <w:tcPr>
            <w:tcW w:w="9120" w:type="dxa"/>
          </w:tcPr>
          <w:p w14:paraId="63778342"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Virškinimo trakto sutrikimai</w:t>
            </w:r>
          </w:p>
          <w:p w14:paraId="7AF36EAA"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Dažni:</w:t>
            </w:r>
            <w:r>
              <w:rPr>
                <w:snapToGrid/>
                <w:szCs w:val="22"/>
                <w:lang w:val="lt-LT"/>
              </w:rPr>
              <w:tab/>
            </w:r>
            <w:r w:rsidRPr="007777D9">
              <w:rPr>
                <w:snapToGrid/>
                <w:szCs w:val="22"/>
                <w:lang w:val="lt-LT"/>
              </w:rPr>
              <w:t>Pykinimas, vėmimas, sumažėjęs apetitas</w:t>
            </w:r>
          </w:p>
          <w:p w14:paraId="67E95AFA" w14:textId="77777777" w:rsidR="004F7AA9" w:rsidRPr="007777D9" w:rsidRDefault="004F7AA9" w:rsidP="009A4A51">
            <w:pPr>
              <w:widowControl w:val="0"/>
              <w:tabs>
                <w:tab w:val="clear" w:pos="567"/>
              </w:tabs>
              <w:spacing w:line="240" w:lineRule="auto"/>
              <w:ind w:left="4868" w:hanging="4868"/>
              <w:rPr>
                <w:snapToGrid/>
                <w:szCs w:val="22"/>
                <w:lang w:val="lt-LT"/>
              </w:rPr>
            </w:pPr>
            <w:r w:rsidRPr="007777D9">
              <w:rPr>
                <w:snapToGrid/>
                <w:szCs w:val="22"/>
                <w:lang w:val="lt-LT"/>
              </w:rPr>
              <w:t xml:space="preserve">Nedažni: </w:t>
            </w:r>
            <w:r w:rsidRPr="007777D9">
              <w:rPr>
                <w:snapToGrid/>
                <w:szCs w:val="22"/>
                <w:lang w:val="lt-LT"/>
              </w:rPr>
              <w:tab/>
              <w:t>Viduriavimas, vidurių užkietėjimas, pilvo skausmas, dispepsija, stomatitas, burnos džiūvimas</w:t>
            </w:r>
          </w:p>
        </w:tc>
      </w:tr>
      <w:tr w:rsidR="004F7AA9" w:rsidRPr="00582A3A" w14:paraId="2F1B313C" w14:textId="77777777" w:rsidTr="009A4A51">
        <w:trPr>
          <w:cantSplit/>
          <w:trHeight w:hRule="exact" w:val="1115"/>
        </w:trPr>
        <w:tc>
          <w:tcPr>
            <w:tcW w:w="9120" w:type="dxa"/>
          </w:tcPr>
          <w:p w14:paraId="7D4F2181"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lastRenderedPageBreak/>
              <w:t>Odos ir poodinio audinio sutrikimai</w:t>
            </w:r>
          </w:p>
          <w:p w14:paraId="5FC54CAB" w14:textId="77777777" w:rsidR="004F7AA9" w:rsidRPr="007777D9" w:rsidRDefault="004F7AA9" w:rsidP="009A4A51">
            <w:pPr>
              <w:widowControl w:val="0"/>
              <w:tabs>
                <w:tab w:val="clear" w:pos="567"/>
              </w:tabs>
              <w:spacing w:line="240" w:lineRule="auto"/>
              <w:ind w:left="4868" w:hanging="4868"/>
              <w:rPr>
                <w:snapToGrid/>
                <w:szCs w:val="22"/>
                <w:lang w:val="lt-LT"/>
              </w:rPr>
            </w:pPr>
            <w:r w:rsidRPr="007777D9">
              <w:rPr>
                <w:snapToGrid/>
                <w:szCs w:val="22"/>
                <w:lang w:val="lt-LT"/>
              </w:rPr>
              <w:t xml:space="preserve">Nedažni: </w:t>
            </w:r>
            <w:r w:rsidRPr="007777D9">
              <w:rPr>
                <w:snapToGrid/>
                <w:szCs w:val="22"/>
                <w:lang w:val="lt-LT"/>
              </w:rPr>
              <w:tab/>
              <w:t>Niežėjimas, išbėrimas (įskaitant eriteminį ir makulinį</w:t>
            </w:r>
            <w:r>
              <w:rPr>
                <w:snapToGrid/>
                <w:szCs w:val="22"/>
                <w:lang w:val="lt-LT"/>
              </w:rPr>
              <w:t>)</w:t>
            </w:r>
            <w:r w:rsidRPr="007777D9">
              <w:rPr>
                <w:snapToGrid/>
                <w:szCs w:val="22"/>
                <w:lang w:val="lt-LT"/>
              </w:rPr>
              <w:t>, sustiprėjęs prakaitavimas</w:t>
            </w:r>
          </w:p>
        </w:tc>
      </w:tr>
      <w:tr w:rsidR="004F7AA9" w:rsidRPr="00406DD4" w14:paraId="05AA5D20" w14:textId="77777777" w:rsidTr="009A4A51">
        <w:trPr>
          <w:cantSplit/>
          <w:trHeight w:hRule="exact" w:val="2450"/>
        </w:trPr>
        <w:tc>
          <w:tcPr>
            <w:tcW w:w="9120" w:type="dxa"/>
          </w:tcPr>
          <w:p w14:paraId="413CA0F7"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Skeleto, raumenų ir jungiamojo audinio sutrikimai</w:t>
            </w:r>
          </w:p>
          <w:p w14:paraId="4DF7F939" w14:textId="77777777" w:rsidR="004F7AA9" w:rsidRPr="007777D9" w:rsidRDefault="004F7AA9" w:rsidP="009A4A51">
            <w:pPr>
              <w:widowControl w:val="0"/>
              <w:tabs>
                <w:tab w:val="clear" w:pos="567"/>
              </w:tabs>
              <w:spacing w:line="240" w:lineRule="auto"/>
              <w:ind w:left="4868" w:hanging="4868"/>
              <w:rPr>
                <w:snapToGrid/>
                <w:szCs w:val="22"/>
                <w:lang w:val="lt-LT"/>
              </w:rPr>
            </w:pPr>
            <w:r w:rsidRPr="007777D9">
              <w:rPr>
                <w:snapToGrid/>
                <w:szCs w:val="22"/>
                <w:lang w:val="lt-LT"/>
              </w:rPr>
              <w:t xml:space="preserve">Dažni: </w:t>
            </w:r>
            <w:r w:rsidRPr="007777D9">
              <w:rPr>
                <w:snapToGrid/>
                <w:szCs w:val="22"/>
                <w:lang w:val="lt-LT"/>
              </w:rPr>
              <w:tab/>
              <w:t>Kaulų skausmas, mialgija, artralgija, išplitęs skausmas</w:t>
            </w:r>
          </w:p>
          <w:p w14:paraId="3D20E336" w14:textId="77777777" w:rsidR="004F7AA9" w:rsidRPr="007777D9" w:rsidRDefault="004F7AA9" w:rsidP="009A4A51">
            <w:pPr>
              <w:widowControl w:val="0"/>
              <w:tabs>
                <w:tab w:val="clear" w:pos="567"/>
              </w:tabs>
              <w:spacing w:line="240" w:lineRule="auto"/>
              <w:ind w:left="4868" w:hanging="4868"/>
              <w:rPr>
                <w:snapToGrid/>
                <w:szCs w:val="22"/>
                <w:lang w:val="lt-LT"/>
              </w:rPr>
            </w:pPr>
            <w:r w:rsidRPr="007777D9">
              <w:rPr>
                <w:snapToGrid/>
                <w:szCs w:val="22"/>
                <w:lang w:val="lt-LT"/>
              </w:rPr>
              <w:t xml:space="preserve">Nedažni: </w:t>
            </w:r>
            <w:r w:rsidRPr="007777D9">
              <w:rPr>
                <w:snapToGrid/>
                <w:szCs w:val="22"/>
                <w:lang w:val="lt-LT"/>
              </w:rPr>
              <w:tab/>
              <w:t>Raumenų spazmai, žandikaulio osteonekrozė</w:t>
            </w:r>
          </w:p>
          <w:p w14:paraId="31B970D9" w14:textId="77777777" w:rsidR="004F7AA9" w:rsidRDefault="004F7AA9" w:rsidP="009A4A51">
            <w:pPr>
              <w:widowControl w:val="0"/>
              <w:tabs>
                <w:tab w:val="clear" w:pos="567"/>
              </w:tabs>
              <w:spacing w:line="240" w:lineRule="auto"/>
              <w:ind w:left="4868" w:hanging="4868"/>
              <w:rPr>
                <w:snapToGrid/>
                <w:szCs w:val="22"/>
                <w:lang w:val="lt-LT"/>
              </w:rPr>
            </w:pPr>
            <w:r w:rsidRPr="007777D9">
              <w:rPr>
                <w:snapToGrid/>
                <w:szCs w:val="22"/>
                <w:lang w:val="lt-LT"/>
              </w:rPr>
              <w:t>Labai reti:</w:t>
            </w:r>
            <w:r w:rsidRPr="007777D9">
              <w:rPr>
                <w:snapToGrid/>
                <w:szCs w:val="22"/>
                <w:lang w:val="lt-LT"/>
              </w:rPr>
              <w:tab/>
              <w:t>Išorinio ausies kanalo osteonekrozė (bisfosfonatų grupės vaistiniams preparatams būdinga nepageidaujama reakcija)</w:t>
            </w:r>
            <w:r>
              <w:rPr>
                <w:snapToGrid/>
                <w:szCs w:val="22"/>
                <w:lang w:val="lt-LT"/>
              </w:rPr>
              <w:t xml:space="preserve"> </w:t>
            </w:r>
            <w:r w:rsidRPr="007D4562">
              <w:rPr>
                <w:snapToGrid/>
                <w:szCs w:val="22"/>
                <w:lang w:val="lt-LT"/>
              </w:rPr>
              <w:t>ir kitų anatominių vietų, įskaitant šlaunikaulio ir</w:t>
            </w:r>
            <w:r>
              <w:rPr>
                <w:snapToGrid/>
                <w:szCs w:val="22"/>
                <w:lang w:val="lt-LT"/>
              </w:rPr>
              <w:t xml:space="preserve"> klubo, osteonekrozė                              </w:t>
            </w:r>
          </w:p>
          <w:p w14:paraId="322B13B1" w14:textId="77777777" w:rsidR="004F7AA9" w:rsidRDefault="004F7AA9" w:rsidP="009A4A51">
            <w:pPr>
              <w:widowControl w:val="0"/>
              <w:tabs>
                <w:tab w:val="clear" w:pos="567"/>
              </w:tabs>
              <w:spacing w:line="240" w:lineRule="auto"/>
              <w:ind w:left="4868" w:hanging="4868"/>
              <w:rPr>
                <w:snapToGrid/>
                <w:szCs w:val="22"/>
                <w:lang w:val="lt-LT"/>
              </w:rPr>
            </w:pPr>
            <w:r>
              <w:rPr>
                <w:snapToGrid/>
                <w:szCs w:val="22"/>
                <w:lang w:val="lt-LT"/>
              </w:rPr>
              <w:t xml:space="preserve">                                                                                         </w:t>
            </w:r>
          </w:p>
          <w:p w14:paraId="399F457E" w14:textId="77777777" w:rsidR="004F7AA9" w:rsidRDefault="004F7AA9" w:rsidP="009A4A51">
            <w:pPr>
              <w:widowControl w:val="0"/>
              <w:tabs>
                <w:tab w:val="clear" w:pos="567"/>
              </w:tabs>
              <w:spacing w:line="240" w:lineRule="auto"/>
              <w:ind w:left="4868" w:hanging="4868"/>
              <w:rPr>
                <w:snapToGrid/>
                <w:szCs w:val="22"/>
                <w:lang w:val="lt-LT"/>
              </w:rPr>
            </w:pPr>
          </w:p>
          <w:p w14:paraId="2E39C499" w14:textId="77777777" w:rsidR="004F7AA9" w:rsidRPr="007D4562" w:rsidRDefault="004F7AA9" w:rsidP="009A4A51">
            <w:pPr>
              <w:widowControl w:val="0"/>
              <w:tabs>
                <w:tab w:val="clear" w:pos="567"/>
              </w:tabs>
              <w:spacing w:line="240" w:lineRule="auto"/>
              <w:ind w:left="4868" w:hanging="4868"/>
              <w:rPr>
                <w:snapToGrid/>
                <w:szCs w:val="22"/>
                <w:lang w:val="lt-LT"/>
              </w:rPr>
            </w:pPr>
          </w:p>
          <w:p w14:paraId="7937E28B" w14:textId="77777777" w:rsidR="004F7AA9" w:rsidRPr="007777D9" w:rsidRDefault="004F7AA9" w:rsidP="009A4A51">
            <w:pPr>
              <w:widowControl w:val="0"/>
              <w:tabs>
                <w:tab w:val="clear" w:pos="567"/>
              </w:tabs>
              <w:spacing w:line="240" w:lineRule="auto"/>
              <w:ind w:left="4868" w:hanging="4868"/>
              <w:rPr>
                <w:snapToGrid/>
                <w:szCs w:val="22"/>
                <w:u w:val="single"/>
                <w:lang w:val="lt-LT"/>
              </w:rPr>
            </w:pPr>
            <w:r w:rsidRPr="007D4562">
              <w:rPr>
                <w:snapToGrid/>
                <w:szCs w:val="22"/>
                <w:lang w:val="lt-LT"/>
              </w:rPr>
              <w:t>klubo, osteonekrozė</w:t>
            </w:r>
          </w:p>
          <w:p w14:paraId="6FFADAD7" w14:textId="77777777" w:rsidR="004F7AA9" w:rsidRPr="007777D9" w:rsidRDefault="004F7AA9" w:rsidP="009A4A51">
            <w:pPr>
              <w:widowControl w:val="0"/>
              <w:tabs>
                <w:tab w:val="clear" w:pos="567"/>
              </w:tabs>
              <w:spacing w:line="240" w:lineRule="auto"/>
              <w:rPr>
                <w:snapToGrid/>
                <w:szCs w:val="22"/>
                <w:lang w:val="lt-LT"/>
              </w:rPr>
            </w:pPr>
          </w:p>
        </w:tc>
      </w:tr>
      <w:tr w:rsidR="004F7AA9" w:rsidRPr="00582A3A" w14:paraId="1F58E132" w14:textId="77777777" w:rsidTr="009A4A51">
        <w:trPr>
          <w:cantSplit/>
          <w:trHeight w:hRule="exact" w:val="1188"/>
        </w:trPr>
        <w:tc>
          <w:tcPr>
            <w:tcW w:w="9120" w:type="dxa"/>
          </w:tcPr>
          <w:p w14:paraId="73C34134"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b/>
                <w:bCs/>
                <w:i/>
                <w:snapToGrid/>
                <w:szCs w:val="22"/>
                <w:lang w:val="lt-LT"/>
              </w:rPr>
              <w:t>Inkstų ir šlapimo takų sutrikimai</w:t>
            </w:r>
            <w:r w:rsidRPr="007777D9">
              <w:rPr>
                <w:snapToGrid/>
                <w:szCs w:val="22"/>
                <w:lang w:val="lt-LT"/>
              </w:rPr>
              <w:t xml:space="preserve"> </w:t>
            </w:r>
          </w:p>
          <w:p w14:paraId="24A96B04"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Dažni:</w:t>
            </w:r>
            <w:r w:rsidRPr="007777D9">
              <w:rPr>
                <w:snapToGrid/>
                <w:szCs w:val="22"/>
                <w:lang w:val="lt-LT"/>
              </w:rPr>
              <w:tab/>
              <w:t xml:space="preserve">Inkstų funkcijos sutrikimas </w:t>
            </w:r>
          </w:p>
          <w:p w14:paraId="127B4D80"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Nedažn</w:t>
            </w:r>
            <w:r>
              <w:rPr>
                <w:snapToGrid/>
                <w:szCs w:val="22"/>
                <w:lang w:val="lt-LT"/>
              </w:rPr>
              <w:t>i</w:t>
            </w:r>
            <w:r w:rsidRPr="007777D9">
              <w:rPr>
                <w:snapToGrid/>
                <w:szCs w:val="22"/>
                <w:lang w:val="lt-LT"/>
              </w:rPr>
              <w:t>:</w:t>
            </w:r>
            <w:r w:rsidRPr="007777D9">
              <w:rPr>
                <w:snapToGrid/>
                <w:szCs w:val="22"/>
                <w:lang w:val="lt-LT"/>
              </w:rPr>
              <w:tab/>
              <w:t>Ūminis inkstų nepakankamumas, hematurija, proteinurija</w:t>
            </w:r>
          </w:p>
        </w:tc>
      </w:tr>
      <w:tr w:rsidR="004F7AA9" w:rsidRPr="00582A3A" w14:paraId="6C81F7AF" w14:textId="77777777" w:rsidTr="009A4A51">
        <w:trPr>
          <w:cantSplit/>
          <w:trHeight w:hRule="exact" w:val="3685"/>
        </w:trPr>
        <w:tc>
          <w:tcPr>
            <w:tcW w:w="9120" w:type="dxa"/>
          </w:tcPr>
          <w:p w14:paraId="2FC40FC2"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Bendrieji sutrikimai ir vartojimo vietos pažeidimai</w:t>
            </w:r>
            <w:r w:rsidRPr="007777D9">
              <w:rPr>
                <w:snapToGrid/>
                <w:szCs w:val="22"/>
                <w:lang w:val="lt-LT"/>
              </w:rPr>
              <w:t xml:space="preserve"> </w:t>
            </w:r>
          </w:p>
          <w:p w14:paraId="0F9D6217"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Dažni:</w:t>
            </w:r>
            <w:r w:rsidRPr="007777D9">
              <w:rPr>
                <w:snapToGrid/>
                <w:szCs w:val="22"/>
                <w:lang w:val="lt-LT"/>
              </w:rPr>
              <w:tab/>
              <w:t>Karščiavimas, į gripą panašus sindromas (įskaitant nuovargį, stingulį, negalavimą ir paraudimą)</w:t>
            </w:r>
          </w:p>
          <w:p w14:paraId="23C8D351"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Nedažni:</w:t>
            </w:r>
            <w:r w:rsidRPr="007777D9">
              <w:rPr>
                <w:snapToGrid/>
                <w:szCs w:val="22"/>
                <w:lang w:val="lt-LT"/>
              </w:rPr>
              <w:tab/>
              <w:t>Astenija, periferinė edema, injekcijos vietos reakcija (įskaitant skausmą, dirginimą, patinimą, sukietėjimą), krūtinės skausmas, kūno svorio didėjimas, anafilaksinė reakcija ar šokas, dilgėlinė</w:t>
            </w:r>
          </w:p>
          <w:p w14:paraId="6A5F7E6C"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Reti:</w:t>
            </w:r>
            <w:r w:rsidRPr="007777D9">
              <w:rPr>
                <w:snapToGrid/>
                <w:szCs w:val="22"/>
                <w:lang w:val="lt-LT"/>
              </w:rPr>
              <w:tab/>
              <w:t>Artritas ir sąnarių patinimas kaip ūminės fazės reakcijos simptomas</w:t>
            </w:r>
          </w:p>
        </w:tc>
      </w:tr>
      <w:tr w:rsidR="004F7AA9" w:rsidRPr="00582A3A" w14:paraId="4F2D234A" w14:textId="77777777" w:rsidTr="009A4A51">
        <w:trPr>
          <w:cantSplit/>
          <w:trHeight w:hRule="exact" w:val="1555"/>
        </w:trPr>
        <w:tc>
          <w:tcPr>
            <w:tcW w:w="9120" w:type="dxa"/>
          </w:tcPr>
          <w:p w14:paraId="5107D77B"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Tyrimai</w:t>
            </w:r>
            <w:r w:rsidRPr="007777D9">
              <w:rPr>
                <w:snapToGrid/>
                <w:szCs w:val="22"/>
                <w:lang w:val="lt-LT"/>
              </w:rPr>
              <w:t xml:space="preserve"> </w:t>
            </w:r>
          </w:p>
          <w:p w14:paraId="34E25A88"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Labai dažni:</w:t>
            </w:r>
            <w:r w:rsidRPr="007777D9">
              <w:rPr>
                <w:snapToGrid/>
                <w:szCs w:val="22"/>
                <w:lang w:val="lt-LT"/>
              </w:rPr>
              <w:tab/>
              <w:t>Hipofosfatemija</w:t>
            </w:r>
          </w:p>
          <w:p w14:paraId="6AB7ECDE"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Dažni:</w:t>
            </w:r>
            <w:r w:rsidRPr="007777D9">
              <w:rPr>
                <w:snapToGrid/>
                <w:szCs w:val="22"/>
                <w:lang w:val="lt-LT"/>
              </w:rPr>
              <w:tab/>
              <w:t>Padidėjęs kreatinino ir šlapalo kiekis kraujyje, hipokalcemija</w:t>
            </w:r>
          </w:p>
          <w:p w14:paraId="2D06FC35"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Nedažni:</w:t>
            </w:r>
            <w:r w:rsidRPr="007777D9">
              <w:rPr>
                <w:snapToGrid/>
                <w:szCs w:val="22"/>
                <w:lang w:val="lt-LT"/>
              </w:rPr>
              <w:tab/>
              <w:t>Hipomagnezemija, hipokalemija</w:t>
            </w:r>
          </w:p>
          <w:p w14:paraId="000644E4" w14:textId="77777777" w:rsidR="004F7AA9" w:rsidRPr="007777D9" w:rsidRDefault="004F7AA9" w:rsidP="009A4A51">
            <w:pPr>
              <w:widowControl w:val="0"/>
              <w:tabs>
                <w:tab w:val="clear" w:pos="567"/>
              </w:tabs>
              <w:spacing w:line="240" w:lineRule="auto"/>
              <w:ind w:left="4870" w:hanging="4870"/>
              <w:rPr>
                <w:snapToGrid/>
                <w:szCs w:val="22"/>
                <w:lang w:val="lt-LT"/>
              </w:rPr>
            </w:pPr>
            <w:r w:rsidRPr="007777D9">
              <w:rPr>
                <w:snapToGrid/>
                <w:szCs w:val="22"/>
                <w:lang w:val="lt-LT"/>
              </w:rPr>
              <w:t>Reti:</w:t>
            </w:r>
            <w:r w:rsidRPr="007777D9">
              <w:rPr>
                <w:snapToGrid/>
                <w:szCs w:val="22"/>
                <w:lang w:val="lt-LT"/>
              </w:rPr>
              <w:tab/>
              <w:t>Hiperkalemija, hipernatremija</w:t>
            </w:r>
          </w:p>
          <w:p w14:paraId="0B8D84D2" w14:textId="77777777" w:rsidR="004F7AA9" w:rsidRPr="007777D9" w:rsidRDefault="004F7AA9" w:rsidP="009A4A51">
            <w:pPr>
              <w:widowControl w:val="0"/>
              <w:tabs>
                <w:tab w:val="clear" w:pos="567"/>
              </w:tabs>
              <w:spacing w:line="240" w:lineRule="auto"/>
              <w:ind w:left="4870" w:hanging="4870"/>
              <w:rPr>
                <w:snapToGrid/>
                <w:szCs w:val="22"/>
                <w:lang w:val="lt-LT"/>
              </w:rPr>
            </w:pPr>
          </w:p>
        </w:tc>
      </w:tr>
      <w:tr w:rsidR="004F7AA9" w:rsidRPr="00582A3A" w14:paraId="18EB830A" w14:textId="77777777" w:rsidTr="009A4A51">
        <w:trPr>
          <w:cantSplit/>
          <w:trHeight w:hRule="exact" w:val="84"/>
        </w:trPr>
        <w:tc>
          <w:tcPr>
            <w:tcW w:w="9120" w:type="dxa"/>
          </w:tcPr>
          <w:p w14:paraId="11AF9B75"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 xml:space="preserve"> </w:t>
            </w:r>
          </w:p>
        </w:tc>
      </w:tr>
    </w:tbl>
    <w:p w14:paraId="1E0EDE91" w14:textId="77777777" w:rsidR="004F7AA9" w:rsidRPr="007777D9" w:rsidRDefault="004F7AA9" w:rsidP="004F7AA9">
      <w:pPr>
        <w:widowControl w:val="0"/>
        <w:tabs>
          <w:tab w:val="clear" w:pos="567"/>
        </w:tabs>
        <w:spacing w:line="240" w:lineRule="auto"/>
        <w:rPr>
          <w:snapToGrid/>
          <w:szCs w:val="22"/>
          <w:lang w:val="lt-LT"/>
        </w:rPr>
      </w:pPr>
    </w:p>
    <w:p w14:paraId="3B7D228A"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t>Atrinktų nepageidaujamų reakcijų apibūdinimas</w:t>
      </w:r>
    </w:p>
    <w:p w14:paraId="4AA2D502" w14:textId="77777777" w:rsidR="004F7AA9" w:rsidRPr="007777D9" w:rsidRDefault="004F7AA9" w:rsidP="004F7AA9">
      <w:pPr>
        <w:widowControl w:val="0"/>
        <w:tabs>
          <w:tab w:val="clear" w:pos="567"/>
        </w:tabs>
        <w:spacing w:line="240" w:lineRule="auto"/>
        <w:rPr>
          <w:snapToGrid/>
          <w:szCs w:val="22"/>
          <w:u w:val="single"/>
          <w:lang w:val="lt-LT"/>
        </w:rPr>
      </w:pPr>
    </w:p>
    <w:p w14:paraId="63D29580" w14:textId="77777777" w:rsidR="004F7AA9" w:rsidRPr="007777D9" w:rsidRDefault="004F7AA9" w:rsidP="004F7AA9">
      <w:pPr>
        <w:widowControl w:val="0"/>
        <w:tabs>
          <w:tab w:val="clear" w:pos="567"/>
        </w:tabs>
        <w:spacing w:line="240" w:lineRule="auto"/>
        <w:rPr>
          <w:i/>
          <w:snapToGrid/>
          <w:szCs w:val="22"/>
          <w:u w:val="single"/>
          <w:lang w:val="lt-LT"/>
        </w:rPr>
      </w:pPr>
      <w:r w:rsidRPr="007777D9">
        <w:rPr>
          <w:i/>
          <w:snapToGrid/>
          <w:szCs w:val="22"/>
          <w:u w:val="single"/>
          <w:lang w:val="lt-LT"/>
        </w:rPr>
        <w:t>Inkstų funkcijos sutrikimas</w:t>
      </w:r>
    </w:p>
    <w:p w14:paraId="20BE3F4C"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Gauta pranešimų apie zoledrono rūgšties vartojimo metu sutrikusią inkstų funkciją. Apibendrinta zoledrono rūgšties registracijos tyrimų (zoledrono rūgšties buvo vartojama skeleto pažeidimų profilaktikai pacientams su į kaulus išplitusiu piktybiniu procesu) saugumo duomenų analizė parodė, kad galimai su zoledrono rūgštimi susijusio nepageidaujamo reiškinio inkstų funkcijos sutrikimo (nepageidaujamos reakcijos) dažnis buvo: dauginės mielomos grupėje - 3,2%, prostatos vėžio grupėje – 3,1%, krūties vėžio grupėje – 4,3%, plaučių ir kitų solidinių navikų grupėje – 3,2%. Veiksniai, galintys didinti inkstų funkcijos pablogėjimo riziką, buvo dehidracija, esantis inkstų funkcijos sutrikimas, kartotiniai zoledrono rūgšties ir kitų bisfosfonatų vartojimo ciklai, kitų nefrotoksinį poveikį sukeliančių vaistinių preparatų vartojimas ir trumpesnė nei šiuo metu rekomenduojama infuzijos trukmė. Po pradinės ar vienkartinės 4 mg zoledrono rūgšties dozės pavartojimo buvo inkstų funkcijos pablogėjimo, progresavusio iki inkstų nepakankamumo ir būtinybės gydyti dializėmis, </w:t>
      </w:r>
      <w:r w:rsidRPr="007777D9">
        <w:rPr>
          <w:snapToGrid/>
          <w:szCs w:val="22"/>
          <w:lang w:val="lt-LT"/>
        </w:rPr>
        <w:lastRenderedPageBreak/>
        <w:t xml:space="preserve">atvejų (žr. 4.4 skyrių). </w:t>
      </w:r>
    </w:p>
    <w:p w14:paraId="3D8EFA63" w14:textId="77777777" w:rsidR="004F7AA9" w:rsidRPr="007777D9" w:rsidRDefault="004F7AA9" w:rsidP="004F7AA9">
      <w:pPr>
        <w:widowControl w:val="0"/>
        <w:tabs>
          <w:tab w:val="clear" w:pos="567"/>
        </w:tabs>
        <w:spacing w:line="240" w:lineRule="auto"/>
        <w:rPr>
          <w:i/>
          <w:snapToGrid/>
          <w:szCs w:val="22"/>
          <w:lang w:val="lt-LT"/>
        </w:rPr>
      </w:pPr>
    </w:p>
    <w:p w14:paraId="31286F26" w14:textId="77777777" w:rsidR="004F7AA9" w:rsidRPr="007777D9" w:rsidRDefault="004F7AA9" w:rsidP="004F7AA9">
      <w:pPr>
        <w:widowControl w:val="0"/>
        <w:tabs>
          <w:tab w:val="clear" w:pos="567"/>
        </w:tabs>
        <w:spacing w:line="240" w:lineRule="auto"/>
        <w:rPr>
          <w:i/>
          <w:snapToGrid/>
          <w:szCs w:val="22"/>
          <w:u w:val="single"/>
          <w:lang w:val="lt-LT"/>
        </w:rPr>
      </w:pPr>
      <w:r w:rsidRPr="007777D9">
        <w:rPr>
          <w:i/>
          <w:snapToGrid/>
          <w:szCs w:val="22"/>
          <w:u w:val="single"/>
          <w:lang w:val="lt-LT"/>
        </w:rPr>
        <w:t>Žandikaulio osteonekrozė</w:t>
      </w:r>
    </w:p>
    <w:p w14:paraId="773CCDB5"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Kaulų rezorbciją slopinančių vaistinių preparatų, tokių kaip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vartojusiems pacientams (dažniausiai sergantiems vėžiu) buvo žandikaulio osteonekrozės atvejų (žr. 4.4 skyrių). Daugumai tokių pacientų buvo taikoma chemoterapija ir gydymas kortikosteroidais bei buvo lokalios infekcijos, įskaitant osteomielitą, požymių. Dauguma pacientų sirgo vėžiu, minėtas poveikis pasireiškė po danties ištraukimo ar kitų odontologinių operacijų. </w:t>
      </w:r>
    </w:p>
    <w:p w14:paraId="72AC8ED7" w14:textId="77777777" w:rsidR="004F7AA9" w:rsidRPr="007777D9" w:rsidRDefault="004F7AA9" w:rsidP="004F7AA9">
      <w:pPr>
        <w:widowControl w:val="0"/>
        <w:tabs>
          <w:tab w:val="clear" w:pos="567"/>
        </w:tabs>
        <w:spacing w:line="240" w:lineRule="auto"/>
        <w:rPr>
          <w:snapToGrid/>
          <w:szCs w:val="22"/>
          <w:lang w:val="lt-LT"/>
        </w:rPr>
      </w:pPr>
    </w:p>
    <w:p w14:paraId="60F0B222" w14:textId="77777777" w:rsidR="004F7AA9" w:rsidRPr="007777D9" w:rsidRDefault="004F7AA9" w:rsidP="004F7AA9">
      <w:pPr>
        <w:widowControl w:val="0"/>
        <w:tabs>
          <w:tab w:val="clear" w:pos="567"/>
        </w:tabs>
        <w:spacing w:line="240" w:lineRule="auto"/>
        <w:rPr>
          <w:i/>
          <w:snapToGrid/>
          <w:szCs w:val="22"/>
          <w:u w:val="single"/>
          <w:lang w:val="lt-LT"/>
        </w:rPr>
      </w:pPr>
      <w:r w:rsidRPr="007777D9">
        <w:rPr>
          <w:i/>
          <w:snapToGrid/>
          <w:szCs w:val="22"/>
          <w:u w:val="single"/>
          <w:lang w:val="lt-LT"/>
        </w:rPr>
        <w:t>Prieširdžių virpėjimas</w:t>
      </w:r>
    </w:p>
    <w:p w14:paraId="0CEEAF13"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Vieno 3 metų trukmės, atsitiktinių imčių, dvigubai koduoto, kontroliuoto tyrimo, kuriuo buvo vertinamas kartą per metus vartojamos 5 mg zoledrono rūgšties, palyginti su placebu, veiksmingumas ir saugumas gydant pomenopauzine osteoporoze sergančias moteris, duomenimis bendras prieširdžių virpėjimo pasireiškimo dažnis pacientėms, vartojusioms 5 mg zoledrono rūgšties arba placebo, buvo atitinkamai 2,5% (pasireiškė 96 iš 3 862 pacienčių) ir 1,9% (pasireiškė 75 iš 3 852 pacienčių). Sunkių prieširdžių virpėjimo nepageidaujamų reiškinių dažnis pacientėms, vartojusioms 5 mg zoledrono rūgšties arba placebo, buvo atitinkamai 1,3% (pasireiškė 51 iš 3 862 pacienčių) ir 0,6% (pasireiškė 22 iš 3 852 pacienčių). Šio tyrimo metu nustatytas skirtumas nebuvo stebėtas kitų zoledrono rūgšties tyrimų metu, įskaitant tyrimus, kurių metu onkologinėmis ligomis sergantiems pacientams kas 3</w:t>
      </w:r>
      <w:r w:rsidRPr="007777D9">
        <w:rPr>
          <w:snapToGrid/>
          <w:szCs w:val="22"/>
          <w:lang w:val="lt-LT"/>
        </w:rPr>
        <w:noBreakHyphen/>
        <w:t>4 savaitės buvo atliekamos 4 mg zoledrono rūgšties infuzijos. Prieširdžių virpėjimo pasireiškimo dažnio padidėjimo šio vieno klinikinio tyrimo metu mechanizmas nežinomas.</w:t>
      </w:r>
    </w:p>
    <w:p w14:paraId="3BBF34E2" w14:textId="77777777" w:rsidR="004F7AA9" w:rsidRPr="007777D9" w:rsidRDefault="004F7AA9" w:rsidP="004F7AA9">
      <w:pPr>
        <w:widowControl w:val="0"/>
        <w:tabs>
          <w:tab w:val="clear" w:pos="567"/>
        </w:tabs>
        <w:spacing w:line="240" w:lineRule="auto"/>
        <w:rPr>
          <w:snapToGrid/>
          <w:szCs w:val="22"/>
          <w:lang w:val="lt-LT"/>
        </w:rPr>
      </w:pPr>
    </w:p>
    <w:p w14:paraId="315C98CB" w14:textId="77777777" w:rsidR="004F7AA9" w:rsidRPr="007777D9" w:rsidRDefault="004F7AA9" w:rsidP="004F7AA9">
      <w:pPr>
        <w:widowControl w:val="0"/>
        <w:tabs>
          <w:tab w:val="clear" w:pos="567"/>
        </w:tabs>
        <w:spacing w:line="240" w:lineRule="auto"/>
        <w:rPr>
          <w:i/>
          <w:snapToGrid/>
          <w:szCs w:val="22"/>
          <w:u w:val="single"/>
          <w:lang w:val="lt-LT"/>
        </w:rPr>
      </w:pPr>
      <w:r w:rsidRPr="007777D9">
        <w:rPr>
          <w:i/>
          <w:snapToGrid/>
          <w:szCs w:val="22"/>
          <w:u w:val="single"/>
          <w:lang w:val="lt-LT"/>
        </w:rPr>
        <w:t>Ūminės fazės reakcija</w:t>
      </w:r>
    </w:p>
    <w:p w14:paraId="485E83A7"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Šiai nepageidaujamai reakcijai būdinga grupė simptomų, įskaitant karščiavimą, mialgiją, galvos skausmą, galūnių skausmą, pykinimą, vėmimą, viduriavimą, atralgiją ir artritą su sąnarių patinimu. Reakcija prasideda per tris ar mažiau dienų po zoledrono rūgšties infuzijos, ši reakcija taip pat apibūdinama tokiais terminais kaip „į gripą panašūs“ ar „po dozės vartojimo pasireiškę“ simptomai. </w:t>
      </w:r>
    </w:p>
    <w:p w14:paraId="6CED8AB0" w14:textId="77777777" w:rsidR="004F7AA9" w:rsidRPr="007777D9" w:rsidRDefault="004F7AA9" w:rsidP="004F7AA9">
      <w:pPr>
        <w:widowControl w:val="0"/>
        <w:tabs>
          <w:tab w:val="clear" w:pos="567"/>
        </w:tabs>
        <w:spacing w:line="240" w:lineRule="auto"/>
        <w:rPr>
          <w:snapToGrid/>
          <w:szCs w:val="22"/>
          <w:lang w:val="lt-LT"/>
        </w:rPr>
      </w:pPr>
    </w:p>
    <w:p w14:paraId="6FEE66CA" w14:textId="77777777" w:rsidR="004F7AA9" w:rsidRPr="007777D9" w:rsidRDefault="004F7AA9" w:rsidP="004F7AA9">
      <w:pPr>
        <w:widowControl w:val="0"/>
        <w:tabs>
          <w:tab w:val="clear" w:pos="567"/>
        </w:tabs>
        <w:spacing w:line="240" w:lineRule="auto"/>
        <w:rPr>
          <w:i/>
          <w:snapToGrid/>
          <w:szCs w:val="22"/>
          <w:u w:val="single"/>
          <w:lang w:val="lt-LT"/>
        </w:rPr>
      </w:pPr>
      <w:r w:rsidRPr="007777D9">
        <w:rPr>
          <w:i/>
          <w:snapToGrid/>
          <w:szCs w:val="22"/>
          <w:u w:val="single"/>
          <w:lang w:val="lt-LT"/>
        </w:rPr>
        <w:t>Atipiniai šlaunikaulio lūžiai</w:t>
      </w:r>
    </w:p>
    <w:p w14:paraId="27EA401B"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Po vaistinio preparato patekimo į rinką pranešta apie tokias nepageidaujamas reakcijas (retas): atipiniai šlaunikaulio pogūbriniai ir diafizės lūžiai (nepageidaujama reakcija į bisfosfonatų klasės preparatus).</w:t>
      </w:r>
    </w:p>
    <w:p w14:paraId="60AA14DD" w14:textId="77777777" w:rsidR="004F7AA9" w:rsidRPr="007777D9" w:rsidRDefault="004F7AA9" w:rsidP="004F7AA9">
      <w:pPr>
        <w:widowControl w:val="0"/>
        <w:tabs>
          <w:tab w:val="clear" w:pos="567"/>
        </w:tabs>
        <w:spacing w:line="240" w:lineRule="auto"/>
        <w:rPr>
          <w:snapToGrid/>
          <w:szCs w:val="22"/>
          <w:lang w:val="lt-LT"/>
        </w:rPr>
      </w:pPr>
    </w:p>
    <w:p w14:paraId="77EF3FF1" w14:textId="77777777" w:rsidR="004F7AA9" w:rsidRPr="007777D9" w:rsidRDefault="004F7AA9" w:rsidP="004F7AA9">
      <w:pPr>
        <w:widowControl w:val="0"/>
        <w:tabs>
          <w:tab w:val="clear" w:pos="567"/>
        </w:tabs>
        <w:spacing w:line="240" w:lineRule="auto"/>
        <w:rPr>
          <w:i/>
          <w:snapToGrid/>
          <w:szCs w:val="22"/>
          <w:u w:val="single"/>
          <w:lang w:val="lt-LT"/>
        </w:rPr>
      </w:pPr>
      <w:r w:rsidRPr="007777D9">
        <w:rPr>
          <w:i/>
          <w:snapToGrid/>
          <w:szCs w:val="22"/>
          <w:u w:val="single"/>
          <w:lang w:val="lt-LT"/>
        </w:rPr>
        <w:t>Su hipokalcemija susijusios nepageidaujamos reakcijos</w:t>
      </w:r>
    </w:p>
    <w:p w14:paraId="307502B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Zoledrono rūgšties vartojant patvirtintoms indikacijoms, hipokalcemija yra svarbi identifikuota rizika. Remiantis klinikinių tyrimų metu bei po vaistinio preparato pateikimo į rinką gautų atvejų analize, yra pakankamai duomenų, patvirtinančių ryšį tarp zoledrono rūgšties vartojimo, hipokalcemijos pasireiškimo atvejų ir antrinio širdies aritmijos išsivystymo. Be to, yra duomenų, patvirtinančių ryšį tarp hipokalcemijos ir kartu pasireiškusių antrinių nervų sistemos sutrikimų, įskaitant traukulius, hiopesteziją ir tetaniją (žr. 4.4 skyrių).</w:t>
      </w:r>
    </w:p>
    <w:p w14:paraId="13F57A80" w14:textId="77777777" w:rsidR="004F7AA9" w:rsidRPr="007777D9" w:rsidRDefault="004F7AA9" w:rsidP="004F7AA9">
      <w:pPr>
        <w:widowControl w:val="0"/>
        <w:tabs>
          <w:tab w:val="clear" w:pos="567"/>
        </w:tabs>
        <w:spacing w:line="240" w:lineRule="auto"/>
        <w:rPr>
          <w:snapToGrid/>
          <w:szCs w:val="22"/>
          <w:lang w:val="lt-LT"/>
        </w:rPr>
      </w:pPr>
    </w:p>
    <w:p w14:paraId="4B694270"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t>Pranešimas apie įtariamas nepageidaujamas reakcijas</w:t>
      </w:r>
    </w:p>
    <w:p w14:paraId="20269689" w14:textId="402A47E5" w:rsidR="004F7AA9" w:rsidRPr="007777D9" w:rsidRDefault="004F7AA9" w:rsidP="004F7AA9">
      <w:pPr>
        <w:tabs>
          <w:tab w:val="clear" w:pos="567"/>
        </w:tabs>
        <w:autoSpaceDE w:val="0"/>
        <w:autoSpaceDN w:val="0"/>
        <w:adjustRightInd w:val="0"/>
        <w:rPr>
          <w:noProof/>
          <w:szCs w:val="24"/>
          <w:lang w:val="lt-LT"/>
        </w:rPr>
      </w:pPr>
      <w:r w:rsidRPr="007777D9">
        <w:rPr>
          <w:noProof/>
          <w:szCs w:val="24"/>
          <w:lang w:val="lt-LT"/>
        </w:rPr>
        <w:t>Svarbu pranešti apie įtariamas nepageidaujamas reakcijas, pastebėtas po vaistinio preparato registracijos, nes tai leidžia nuolat stebėti vaistinio preparato naudos ir rizikos santykį.</w:t>
      </w:r>
      <w:r w:rsidRPr="007777D9">
        <w:rPr>
          <w:szCs w:val="24"/>
          <w:lang w:val="lt-LT"/>
        </w:rPr>
        <w:t xml:space="preserve"> </w:t>
      </w:r>
      <w:r w:rsidRPr="007777D9">
        <w:rPr>
          <w:noProof/>
          <w:szCs w:val="24"/>
          <w:lang w:val="lt-LT"/>
        </w:rPr>
        <w:t xml:space="preserve">Sveikatos priežiūros specialistai turi pranešti apie bet kokias įtariamas nepageidaujamas reakcijas, </w:t>
      </w:r>
      <w:r w:rsidR="00D049EF">
        <w:rPr>
          <w:noProof/>
          <w:szCs w:val="24"/>
          <w:lang w:val="lt-LT"/>
        </w:rPr>
        <w:t xml:space="preserve">tiesiogiai </w:t>
      </w:r>
      <w:r w:rsidR="00D049EF" w:rsidRPr="00D049EF">
        <w:rPr>
          <w:noProof/>
          <w:szCs w:val="24"/>
          <w:lang w:val="lt-LT"/>
        </w:rPr>
        <w:t>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0369C311" w14:textId="77777777" w:rsidR="004F7AA9" w:rsidRPr="007777D9" w:rsidRDefault="004F7AA9" w:rsidP="004F7AA9">
      <w:pPr>
        <w:widowControl w:val="0"/>
        <w:tabs>
          <w:tab w:val="clear" w:pos="567"/>
        </w:tabs>
        <w:spacing w:line="240" w:lineRule="auto"/>
        <w:rPr>
          <w:snapToGrid/>
          <w:szCs w:val="22"/>
          <w:lang w:val="lt-LT"/>
        </w:rPr>
      </w:pPr>
    </w:p>
    <w:p w14:paraId="0B6D069F"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4.9</w:t>
      </w:r>
      <w:r w:rsidRPr="007777D9">
        <w:rPr>
          <w:b/>
          <w:bCs/>
          <w:snapToGrid/>
          <w:szCs w:val="22"/>
          <w:lang w:val="lt-LT"/>
        </w:rPr>
        <w:tab/>
        <w:t>Perdozavimas</w:t>
      </w:r>
    </w:p>
    <w:p w14:paraId="70A3B203" w14:textId="77777777" w:rsidR="004F7AA9" w:rsidRPr="007777D9" w:rsidRDefault="004F7AA9" w:rsidP="004F7AA9">
      <w:pPr>
        <w:widowControl w:val="0"/>
        <w:tabs>
          <w:tab w:val="clear" w:pos="567"/>
        </w:tabs>
        <w:spacing w:line="240" w:lineRule="auto"/>
        <w:rPr>
          <w:snapToGrid/>
          <w:szCs w:val="22"/>
          <w:lang w:val="lt-LT"/>
        </w:rPr>
      </w:pPr>
    </w:p>
    <w:p w14:paraId="52F11C6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Ūminio apsinuodijimo zoledrono rūgštimi klinikinės patirties yra nedaug. Pranešta apie klaidingai </w:t>
      </w:r>
      <w:r w:rsidRPr="007777D9">
        <w:rPr>
          <w:snapToGrid/>
          <w:szCs w:val="22"/>
          <w:lang w:val="lt-LT"/>
        </w:rPr>
        <w:lastRenderedPageBreak/>
        <w:t>skirtas iki 48 mg zoledrono rūgšties dozes. Pacientus, kurie vartoja didesnes negu rekomenduojama dozes (žr.4.2 skyrių), būtina atidžiai stebėti, kadangi buvo inkstų funkcijos sutrikimo (įskaitant inkstų nepakankamumą) ir elektrolitų (įskaitant kalcį, fosforą ir magnį) kiekio serume pokyčių atvejų. Pasireiškus hipokalcemijai, atsižvelgiant į klinikinę būklę, reikia infuzuoti kalcio gliukonato.</w:t>
      </w:r>
    </w:p>
    <w:p w14:paraId="06DB198C" w14:textId="77777777" w:rsidR="004F7AA9" w:rsidRPr="007777D9" w:rsidRDefault="004F7AA9" w:rsidP="004F7AA9">
      <w:pPr>
        <w:widowControl w:val="0"/>
        <w:tabs>
          <w:tab w:val="clear" w:pos="567"/>
        </w:tabs>
        <w:spacing w:line="240" w:lineRule="auto"/>
        <w:rPr>
          <w:snapToGrid/>
          <w:szCs w:val="22"/>
          <w:lang w:val="lt-LT"/>
        </w:rPr>
      </w:pPr>
    </w:p>
    <w:p w14:paraId="1E6FD4F2" w14:textId="77777777" w:rsidR="004F7AA9" w:rsidRPr="007777D9" w:rsidRDefault="004F7AA9" w:rsidP="004F7AA9">
      <w:pPr>
        <w:widowControl w:val="0"/>
        <w:tabs>
          <w:tab w:val="clear" w:pos="567"/>
        </w:tabs>
        <w:spacing w:line="240" w:lineRule="auto"/>
        <w:rPr>
          <w:snapToGrid/>
          <w:szCs w:val="22"/>
          <w:lang w:val="lt-LT"/>
        </w:rPr>
      </w:pPr>
    </w:p>
    <w:p w14:paraId="43490D86"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5.</w:t>
      </w:r>
      <w:r w:rsidRPr="007777D9">
        <w:rPr>
          <w:b/>
          <w:bCs/>
          <w:snapToGrid/>
          <w:szCs w:val="22"/>
          <w:lang w:val="lt-LT"/>
        </w:rPr>
        <w:tab/>
        <w:t>FARMAKOLOGINĖS SAVYBĖS</w:t>
      </w:r>
    </w:p>
    <w:p w14:paraId="64989DB4" w14:textId="77777777" w:rsidR="004F7AA9" w:rsidRPr="007777D9" w:rsidRDefault="004F7AA9" w:rsidP="004F7AA9">
      <w:pPr>
        <w:widowControl w:val="0"/>
        <w:tabs>
          <w:tab w:val="clear" w:pos="567"/>
        </w:tabs>
        <w:spacing w:line="240" w:lineRule="auto"/>
        <w:rPr>
          <w:snapToGrid/>
          <w:szCs w:val="22"/>
          <w:lang w:val="lt-LT"/>
        </w:rPr>
      </w:pPr>
    </w:p>
    <w:p w14:paraId="4DE6DBEE"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5.1</w:t>
      </w:r>
      <w:r w:rsidRPr="007777D9">
        <w:rPr>
          <w:b/>
          <w:bCs/>
          <w:snapToGrid/>
          <w:szCs w:val="22"/>
          <w:lang w:val="lt-LT"/>
        </w:rPr>
        <w:tab/>
        <w:t>Farmakodinaminės savybės</w:t>
      </w:r>
    </w:p>
    <w:p w14:paraId="2C9015A0" w14:textId="77777777" w:rsidR="004F7AA9" w:rsidRPr="007777D9" w:rsidRDefault="004F7AA9" w:rsidP="004F7AA9">
      <w:pPr>
        <w:widowControl w:val="0"/>
        <w:tabs>
          <w:tab w:val="clear" w:pos="567"/>
        </w:tabs>
        <w:spacing w:line="240" w:lineRule="auto"/>
        <w:rPr>
          <w:snapToGrid/>
          <w:szCs w:val="22"/>
          <w:lang w:val="lt-LT"/>
        </w:rPr>
      </w:pPr>
    </w:p>
    <w:p w14:paraId="2E9A5EA3"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Farmakoterapinė grupė – kaulų ligoms gydyti vartojami vaistiniai preparatai, bisfosfonatai, ATC kodas – M05BA08</w:t>
      </w:r>
      <w:r>
        <w:rPr>
          <w:snapToGrid/>
          <w:szCs w:val="22"/>
          <w:lang w:val="lt-LT"/>
        </w:rPr>
        <w:t>.</w:t>
      </w:r>
    </w:p>
    <w:p w14:paraId="732D5FF0" w14:textId="77777777" w:rsidR="004F7AA9" w:rsidRPr="007777D9" w:rsidRDefault="004F7AA9" w:rsidP="004F7AA9">
      <w:pPr>
        <w:widowControl w:val="0"/>
        <w:tabs>
          <w:tab w:val="clear" w:pos="567"/>
        </w:tabs>
        <w:spacing w:line="240" w:lineRule="auto"/>
        <w:rPr>
          <w:snapToGrid/>
          <w:szCs w:val="22"/>
          <w:lang w:val="lt-LT"/>
        </w:rPr>
      </w:pPr>
    </w:p>
    <w:p w14:paraId="2EC67A6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Zoledrono rūgštis priklauso bisfosfonatų klasei ir pirmiausiai veikia kaulus. Ji yra osteoklastinės kaulų rezorbcijos inhibitorius.</w:t>
      </w:r>
    </w:p>
    <w:p w14:paraId="0F522014" w14:textId="77777777" w:rsidR="004F7AA9" w:rsidRPr="007777D9" w:rsidRDefault="004F7AA9" w:rsidP="004F7AA9">
      <w:pPr>
        <w:widowControl w:val="0"/>
        <w:tabs>
          <w:tab w:val="clear" w:pos="567"/>
        </w:tabs>
        <w:spacing w:line="240" w:lineRule="auto"/>
        <w:rPr>
          <w:snapToGrid/>
          <w:szCs w:val="22"/>
          <w:lang w:val="lt-LT"/>
        </w:rPr>
      </w:pPr>
    </w:p>
    <w:p w14:paraId="5CA55942"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Selektyvus bisfosfonatų poveikis kaulams pagrįstas dideliu jų afinitetu mineralizuotiems kaulams, tačiau tikslus molekulinis veikimo mechanizmas, dėl kurio slopinamas osteoklastų aktyvumas, dar nėra aiškus. Ilgalaikiai gyvūnų tyrimai rodo, kad zoledrono rūgštis slopina kaulų rezorbciją neveikdama neigiamai jų formavimosi, mineralizacijos bei mechaninių savybių.</w:t>
      </w:r>
    </w:p>
    <w:p w14:paraId="4E5E2972" w14:textId="77777777" w:rsidR="004F7AA9" w:rsidRPr="007777D9" w:rsidRDefault="004F7AA9" w:rsidP="004F7AA9">
      <w:pPr>
        <w:widowControl w:val="0"/>
        <w:tabs>
          <w:tab w:val="clear" w:pos="567"/>
        </w:tabs>
        <w:spacing w:line="240" w:lineRule="auto"/>
        <w:rPr>
          <w:snapToGrid/>
          <w:szCs w:val="22"/>
          <w:lang w:val="lt-LT"/>
        </w:rPr>
      </w:pPr>
    </w:p>
    <w:p w14:paraId="0D68C68B"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Zoledrono rūgštis yra ne tik stiprus kaulų rezorbcijos inhibitorius, bet sukelia ir kelių rūšių antinavikinį poveikį, kuris gali lemti bendrąjį veiksmingumą gydant metastazinę kaulų ligą. Ikiklinikinių tyrimų metu nustatytos šios savybės:</w:t>
      </w:r>
    </w:p>
    <w:p w14:paraId="07958AF5" w14:textId="77777777" w:rsidR="004F7AA9" w:rsidRPr="007777D9" w:rsidRDefault="004F7AA9" w:rsidP="004F7AA9">
      <w:pPr>
        <w:widowControl w:val="0"/>
        <w:tabs>
          <w:tab w:val="clear" w:pos="567"/>
        </w:tabs>
        <w:spacing w:line="240" w:lineRule="auto"/>
        <w:ind w:left="426" w:hanging="426"/>
        <w:rPr>
          <w:snapToGrid/>
          <w:szCs w:val="22"/>
          <w:lang w:val="lt-LT"/>
        </w:rPr>
      </w:pPr>
      <w:r w:rsidRPr="007777D9">
        <w:rPr>
          <w:snapToGrid/>
          <w:szCs w:val="22"/>
          <w:lang w:val="lt-LT"/>
        </w:rPr>
        <w:t>-</w:t>
      </w:r>
      <w:r w:rsidRPr="007777D9">
        <w:rPr>
          <w:snapToGrid/>
          <w:szCs w:val="22"/>
          <w:lang w:val="lt-LT"/>
        </w:rPr>
        <w:tab/>
      </w:r>
      <w:r w:rsidRPr="007777D9">
        <w:rPr>
          <w:i/>
          <w:snapToGrid/>
          <w:szCs w:val="22"/>
          <w:lang w:val="lt-LT"/>
        </w:rPr>
        <w:t>In vivo</w:t>
      </w:r>
      <w:r w:rsidRPr="007777D9">
        <w:rPr>
          <w:snapToGrid/>
          <w:szCs w:val="22"/>
          <w:lang w:val="lt-LT"/>
        </w:rPr>
        <w:t>: osteoklastinės kaulų rezorbcijos slopinimas, keičiantis kaulų čiulpų mikroaplinką, kuri tampa mažiau palanki naviko ląstelėms augti, taip pat antiangiogeninis ir skausmą malšinantis aktyvumas.</w:t>
      </w:r>
    </w:p>
    <w:p w14:paraId="0F007EEC" w14:textId="77777777" w:rsidR="004F7AA9" w:rsidRPr="007777D9" w:rsidRDefault="004F7AA9" w:rsidP="004F7AA9">
      <w:pPr>
        <w:widowControl w:val="0"/>
        <w:tabs>
          <w:tab w:val="clear" w:pos="567"/>
        </w:tabs>
        <w:spacing w:line="240" w:lineRule="auto"/>
        <w:ind w:left="426" w:hanging="426"/>
        <w:rPr>
          <w:snapToGrid/>
          <w:szCs w:val="22"/>
          <w:lang w:val="lt-LT"/>
        </w:rPr>
      </w:pPr>
      <w:r w:rsidRPr="007777D9">
        <w:rPr>
          <w:snapToGrid/>
          <w:szCs w:val="22"/>
          <w:lang w:val="lt-LT"/>
        </w:rPr>
        <w:t>-</w:t>
      </w:r>
      <w:r w:rsidRPr="007777D9">
        <w:rPr>
          <w:snapToGrid/>
          <w:szCs w:val="22"/>
          <w:lang w:val="lt-LT"/>
        </w:rPr>
        <w:tab/>
      </w:r>
      <w:r w:rsidRPr="007777D9">
        <w:rPr>
          <w:i/>
          <w:snapToGrid/>
          <w:szCs w:val="22"/>
          <w:lang w:val="lt-LT"/>
        </w:rPr>
        <w:t>In vitro</w:t>
      </w:r>
      <w:r w:rsidRPr="007777D9">
        <w:rPr>
          <w:snapToGrid/>
          <w:szCs w:val="22"/>
          <w:lang w:val="lt-LT"/>
        </w:rPr>
        <w:t>: osteoblastų proliferacijos slopinimas, tiesioginis citostatinis ir proapoptozinis poveikis naviko ląstelėms, sinergetinis citostatinis poveikis su kitais priešvėžiniais vaistiniais preparatais, antiadhezinis/antiinvazinis aktyvumas.</w:t>
      </w:r>
    </w:p>
    <w:p w14:paraId="2111D3C4" w14:textId="77777777" w:rsidR="004F7AA9" w:rsidRPr="007777D9" w:rsidRDefault="004F7AA9" w:rsidP="004F7AA9">
      <w:pPr>
        <w:widowControl w:val="0"/>
        <w:tabs>
          <w:tab w:val="clear" w:pos="567"/>
        </w:tabs>
        <w:spacing w:line="240" w:lineRule="auto"/>
        <w:rPr>
          <w:snapToGrid/>
          <w:szCs w:val="22"/>
          <w:lang w:val="lt-LT"/>
        </w:rPr>
      </w:pPr>
    </w:p>
    <w:p w14:paraId="43F5CA3D"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t>Klinikinių tyrimų rezultatai, vaistinio preparato vartojant skeleto pažeidimų profilaktikai pacientams, kuriems yra progresavęs į kaulus išplitęs piktybinis procesas</w:t>
      </w:r>
    </w:p>
    <w:p w14:paraId="475C5D4D" w14:textId="77777777" w:rsidR="004F7AA9" w:rsidRPr="007777D9" w:rsidRDefault="004F7AA9" w:rsidP="004F7AA9">
      <w:pPr>
        <w:widowControl w:val="0"/>
        <w:tabs>
          <w:tab w:val="clear" w:pos="567"/>
        </w:tabs>
        <w:spacing w:line="240" w:lineRule="auto"/>
        <w:rPr>
          <w:snapToGrid/>
          <w:szCs w:val="22"/>
          <w:u w:val="single"/>
          <w:lang w:val="lt-LT"/>
        </w:rPr>
      </w:pPr>
    </w:p>
    <w:p w14:paraId="3D74365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Pirmojo atsitiktinių imčių, dvigubai koduoto, placebu kontroliuoto klinikinio tyrimo metu buvo lygintas 4 mg zoledrono rūgšties ir placebo poveikis jų vartojant skeleto pažeidimų (SP) profilaktikai prostatos vėžiu sergantiems pacientams. 4 mg zoledrono rūgšties dozė reikšmingai sumažino pacientų, kuriems buvo bent vienas skeleto pažeidimas (SP), dalį, daugiau negu 5 mėnesiais pailgino laiko iki pirmojo SP medianą ir sumažino skeleto pažeidimo atvejų pacientui per metus kiekį, t. y. sergamumą skeleto pažeidimu. Dauginių reiškinių analizės duomenimis, 4 mg zoledrono rūgšties dozę vartojusiems pacientams, palyginti su pacientais, kurie vartojo placebą, SP atsiradimo rizika sumažėjo 36%. Be to, 4 mg zoledrono rūgšties vartojusiems pacientams skausmo progresavimas buvo mažesnis nei pacientams, kurie vartojo placebą. Šis skirtumas buvo reikšmingas 3-iąjį, 9-ąjį, 21-ąjį ir 24-ąjį mėnesį. </w:t>
      </w:r>
      <w:r w:rsidRPr="007777D9">
        <w:rPr>
          <w:snapToGrid/>
          <w:color w:val="000000"/>
          <w:szCs w:val="22"/>
          <w:lang w:val="lt-LT"/>
        </w:rPr>
        <w:t xml:space="preserve">Mažesniam skaičiui </w:t>
      </w:r>
      <w:r w:rsidRPr="007777D9">
        <w:rPr>
          <w:snapToGrid/>
          <w:szCs w:val="22"/>
          <w:lang w:val="lt-LT"/>
        </w:rPr>
        <w:t>4 mg zoledrono rūgšties dozę vartojusių pacientų atsirado patologinių lūžių. Gydymo veiksmingumas buvo ne toks akivaizdus pacientams, kuriems buvo blastų sukeltų pažeidimų. Veiksmingumo rezultatai pateikti 2 lentelėje.</w:t>
      </w:r>
    </w:p>
    <w:p w14:paraId="2E5508D0" w14:textId="77777777" w:rsidR="004F7AA9" w:rsidRPr="007777D9" w:rsidRDefault="004F7AA9" w:rsidP="004F7AA9">
      <w:pPr>
        <w:widowControl w:val="0"/>
        <w:tabs>
          <w:tab w:val="clear" w:pos="567"/>
        </w:tabs>
        <w:spacing w:line="240" w:lineRule="auto"/>
        <w:rPr>
          <w:snapToGrid/>
          <w:szCs w:val="22"/>
          <w:lang w:val="lt-LT"/>
        </w:rPr>
      </w:pPr>
    </w:p>
    <w:p w14:paraId="0F3FD44E"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Antrojo tyrimo, kuriame dalyvavo pacientai, sergantys solidiniais navikais, išskyrus krūties ar prostatos vėžį, duomenimis, 4 mg zoledrono rūgšties dozė reikšmingai sumažino pacientų, kuriems nustatyta SP, dalį, daugiau negu 2 mėnesiais pailgino laiko iki pirmojo SP medianą ir sumažino sergamumą skeleto pažeidimu. Dauginių reiškinių analizės duomenimis, 4 mg zoledrono rūgšties dozę vartojusiems pacientams, palyginti su pacientais, kurie vartojo placebą, SP atsiradimo rizika sumažėjo 30,7%. Veiksmingumo rezultatai pateikti 3 lentelėje.</w:t>
      </w:r>
    </w:p>
    <w:p w14:paraId="1EC0656B" w14:textId="77777777" w:rsidR="004F7AA9" w:rsidRPr="007777D9" w:rsidRDefault="004F7AA9" w:rsidP="004F7AA9">
      <w:pPr>
        <w:widowControl w:val="0"/>
        <w:tabs>
          <w:tab w:val="clear" w:pos="567"/>
        </w:tabs>
        <w:spacing w:line="240" w:lineRule="auto"/>
        <w:rPr>
          <w:snapToGrid/>
          <w:szCs w:val="22"/>
          <w:lang w:val="lt-LT"/>
        </w:rPr>
      </w:pPr>
    </w:p>
    <w:p w14:paraId="55FF6C5F"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position w:val="-1"/>
          <w:szCs w:val="22"/>
          <w:lang w:val="lt-LT"/>
        </w:rPr>
        <w:t xml:space="preserve">2 lentelė. </w:t>
      </w:r>
      <w:r w:rsidRPr="007777D9">
        <w:rPr>
          <w:snapToGrid/>
          <w:position w:val="-1"/>
          <w:szCs w:val="22"/>
          <w:lang w:val="lt-LT"/>
        </w:rPr>
        <w:t xml:space="preserve">Veiksmingumo rezultatai (pacientų, sergančių prostatos vėžiu ir gydomų hormonais, </w:t>
      </w:r>
      <w:r w:rsidRPr="007777D9">
        <w:rPr>
          <w:snapToGrid/>
          <w:position w:val="-1"/>
          <w:szCs w:val="22"/>
          <w:lang w:val="lt-LT"/>
        </w:rPr>
        <w:lastRenderedPageBreak/>
        <w:t>duomenys).</w:t>
      </w:r>
    </w:p>
    <w:p w14:paraId="42ED62AF" w14:textId="77777777" w:rsidR="004F7AA9" w:rsidRPr="007777D9" w:rsidRDefault="004F7AA9" w:rsidP="004F7AA9">
      <w:pPr>
        <w:widowControl w:val="0"/>
        <w:tabs>
          <w:tab w:val="clear" w:pos="567"/>
        </w:tabs>
        <w:spacing w:line="240" w:lineRule="auto"/>
        <w:rPr>
          <w:snapToGrid/>
          <w:szCs w:val="22"/>
          <w:lang w:val="lt-LT"/>
        </w:rPr>
      </w:pPr>
    </w:p>
    <w:tbl>
      <w:tblPr>
        <w:tblW w:w="9120" w:type="dxa"/>
        <w:tblInd w:w="99" w:type="dxa"/>
        <w:tblLayout w:type="fixed"/>
        <w:tblCellMar>
          <w:left w:w="0" w:type="dxa"/>
          <w:right w:w="0" w:type="dxa"/>
        </w:tblCellMar>
        <w:tblLook w:val="01E0" w:firstRow="1" w:lastRow="1" w:firstColumn="1" w:lastColumn="1" w:noHBand="0" w:noVBand="0"/>
      </w:tblPr>
      <w:tblGrid>
        <w:gridCol w:w="2236"/>
        <w:gridCol w:w="1416"/>
        <w:gridCol w:w="1134"/>
        <w:gridCol w:w="1277"/>
        <w:gridCol w:w="992"/>
        <w:gridCol w:w="1277"/>
        <w:gridCol w:w="788"/>
      </w:tblGrid>
      <w:tr w:rsidR="004F7AA9" w:rsidRPr="007777D9" w14:paraId="15CC4402" w14:textId="77777777" w:rsidTr="009A4A51">
        <w:trPr>
          <w:trHeight w:hRule="exact" w:val="516"/>
        </w:trPr>
        <w:tc>
          <w:tcPr>
            <w:tcW w:w="2236" w:type="dxa"/>
            <w:tcBorders>
              <w:top w:val="single" w:sz="4" w:space="0" w:color="000000"/>
              <w:left w:val="single" w:sz="4" w:space="0" w:color="000000"/>
              <w:bottom w:val="single" w:sz="4" w:space="0" w:color="000000"/>
              <w:right w:val="single" w:sz="4" w:space="0" w:color="000000"/>
            </w:tcBorders>
          </w:tcPr>
          <w:p w14:paraId="27EFBC2D" w14:textId="77777777" w:rsidR="004F7AA9" w:rsidRPr="007777D9" w:rsidRDefault="004F7AA9" w:rsidP="009A4A51">
            <w:pPr>
              <w:widowControl w:val="0"/>
              <w:tabs>
                <w:tab w:val="clear" w:pos="567"/>
              </w:tabs>
              <w:spacing w:line="240" w:lineRule="auto"/>
              <w:rPr>
                <w:snapToGrid/>
                <w:szCs w:val="22"/>
                <w:lang w:val="lt-LT"/>
              </w:rPr>
            </w:pPr>
          </w:p>
        </w:tc>
        <w:tc>
          <w:tcPr>
            <w:tcW w:w="2550" w:type="dxa"/>
            <w:gridSpan w:val="2"/>
            <w:tcBorders>
              <w:top w:val="single" w:sz="4" w:space="0" w:color="000000"/>
              <w:left w:val="single" w:sz="4" w:space="0" w:color="000000"/>
              <w:bottom w:val="single" w:sz="4" w:space="0" w:color="000000"/>
              <w:right w:val="single" w:sz="4" w:space="0" w:color="000000"/>
            </w:tcBorders>
          </w:tcPr>
          <w:p w14:paraId="3312D3B4"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u w:color="000000"/>
                <w:lang w:val="lt-LT"/>
              </w:rPr>
              <w:t>Bet koks SP (+NSH)</w:t>
            </w:r>
          </w:p>
        </w:tc>
        <w:tc>
          <w:tcPr>
            <w:tcW w:w="2269" w:type="dxa"/>
            <w:gridSpan w:val="2"/>
            <w:tcBorders>
              <w:top w:val="single" w:sz="4" w:space="0" w:color="000000"/>
              <w:left w:val="single" w:sz="4" w:space="0" w:color="000000"/>
              <w:bottom w:val="single" w:sz="4" w:space="0" w:color="000000"/>
              <w:right w:val="single" w:sz="4" w:space="0" w:color="000000"/>
            </w:tcBorders>
          </w:tcPr>
          <w:p w14:paraId="7450738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u w:color="000000"/>
                <w:lang w:val="lt-LT"/>
              </w:rPr>
              <w:t>Lūžiai*</w:t>
            </w:r>
          </w:p>
        </w:tc>
        <w:tc>
          <w:tcPr>
            <w:tcW w:w="2065" w:type="dxa"/>
            <w:gridSpan w:val="2"/>
            <w:tcBorders>
              <w:top w:val="single" w:sz="4" w:space="0" w:color="000000"/>
              <w:left w:val="single" w:sz="4" w:space="0" w:color="000000"/>
              <w:bottom w:val="single" w:sz="4" w:space="0" w:color="000000"/>
              <w:right w:val="single" w:sz="4" w:space="0" w:color="000000"/>
            </w:tcBorders>
          </w:tcPr>
          <w:p w14:paraId="4D6E269D"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Spindulinis kaulų gydymas</w:t>
            </w:r>
          </w:p>
        </w:tc>
      </w:tr>
      <w:tr w:rsidR="004F7AA9" w:rsidRPr="007777D9" w14:paraId="08ABE003" w14:textId="77777777" w:rsidTr="009A4A51">
        <w:trPr>
          <w:trHeight w:hRule="exact" w:val="801"/>
        </w:trPr>
        <w:tc>
          <w:tcPr>
            <w:tcW w:w="2236" w:type="dxa"/>
            <w:tcBorders>
              <w:top w:val="single" w:sz="4" w:space="0" w:color="000000"/>
              <w:left w:val="single" w:sz="4" w:space="0" w:color="000000"/>
              <w:bottom w:val="single" w:sz="4" w:space="0" w:color="000000"/>
              <w:right w:val="single" w:sz="4" w:space="0" w:color="000000"/>
            </w:tcBorders>
          </w:tcPr>
          <w:p w14:paraId="5859B493" w14:textId="77777777" w:rsidR="004F7AA9" w:rsidRPr="007777D9" w:rsidRDefault="004F7AA9" w:rsidP="009A4A51">
            <w:pPr>
              <w:widowControl w:val="0"/>
              <w:tabs>
                <w:tab w:val="clear" w:pos="567"/>
              </w:tabs>
              <w:spacing w:line="240" w:lineRule="auto"/>
              <w:rPr>
                <w:snapToGrid/>
                <w:szCs w:val="22"/>
                <w:lang w:val="lt-LT"/>
              </w:rPr>
            </w:pPr>
          </w:p>
        </w:tc>
        <w:tc>
          <w:tcPr>
            <w:tcW w:w="1416" w:type="dxa"/>
            <w:tcBorders>
              <w:top w:val="single" w:sz="4" w:space="0" w:color="000000"/>
              <w:left w:val="single" w:sz="4" w:space="0" w:color="000000"/>
              <w:bottom w:val="single" w:sz="4" w:space="0" w:color="000000"/>
              <w:right w:val="single" w:sz="4" w:space="0" w:color="000000"/>
            </w:tcBorders>
          </w:tcPr>
          <w:p w14:paraId="04715FEB"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Zoledrono rūgštis 4 mg</w:t>
            </w:r>
          </w:p>
          <w:p w14:paraId="0C797F29" w14:textId="77777777" w:rsidR="004F7AA9" w:rsidRPr="007777D9" w:rsidRDefault="004F7AA9" w:rsidP="009A4A51">
            <w:pPr>
              <w:widowControl w:val="0"/>
              <w:tabs>
                <w:tab w:val="clear" w:pos="567"/>
              </w:tabs>
              <w:spacing w:line="240" w:lineRule="auto"/>
              <w:rPr>
                <w:snapToGrid/>
                <w:szCs w:val="22"/>
                <w:lang w:val="lt-LT"/>
              </w:rPr>
            </w:pPr>
          </w:p>
        </w:tc>
        <w:tc>
          <w:tcPr>
            <w:tcW w:w="1134" w:type="dxa"/>
            <w:tcBorders>
              <w:top w:val="single" w:sz="4" w:space="0" w:color="000000"/>
              <w:left w:val="single" w:sz="4" w:space="0" w:color="000000"/>
              <w:bottom w:val="single" w:sz="4" w:space="0" w:color="000000"/>
              <w:right w:val="single" w:sz="4" w:space="0" w:color="000000"/>
            </w:tcBorders>
          </w:tcPr>
          <w:p w14:paraId="2C0FF1A2"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Placebas</w:t>
            </w:r>
          </w:p>
        </w:tc>
        <w:tc>
          <w:tcPr>
            <w:tcW w:w="1277" w:type="dxa"/>
            <w:tcBorders>
              <w:top w:val="single" w:sz="4" w:space="0" w:color="000000"/>
              <w:left w:val="single" w:sz="4" w:space="0" w:color="000000"/>
              <w:bottom w:val="single" w:sz="4" w:space="0" w:color="000000"/>
              <w:right w:val="single" w:sz="4" w:space="0" w:color="000000"/>
            </w:tcBorders>
          </w:tcPr>
          <w:p w14:paraId="7AB58DFE"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Zoledrono rūgštis 4 mg</w:t>
            </w:r>
          </w:p>
        </w:tc>
        <w:tc>
          <w:tcPr>
            <w:tcW w:w="992" w:type="dxa"/>
            <w:tcBorders>
              <w:top w:val="single" w:sz="4" w:space="0" w:color="000000"/>
              <w:left w:val="single" w:sz="4" w:space="0" w:color="000000"/>
              <w:bottom w:val="single" w:sz="4" w:space="0" w:color="000000"/>
              <w:right w:val="single" w:sz="4" w:space="0" w:color="000000"/>
            </w:tcBorders>
          </w:tcPr>
          <w:p w14:paraId="221547AE"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Placebas</w:t>
            </w:r>
          </w:p>
        </w:tc>
        <w:tc>
          <w:tcPr>
            <w:tcW w:w="1277" w:type="dxa"/>
            <w:tcBorders>
              <w:top w:val="single" w:sz="4" w:space="0" w:color="000000"/>
              <w:left w:val="single" w:sz="4" w:space="0" w:color="000000"/>
              <w:bottom w:val="single" w:sz="4" w:space="0" w:color="000000"/>
              <w:right w:val="single" w:sz="4" w:space="0" w:color="000000"/>
            </w:tcBorders>
          </w:tcPr>
          <w:p w14:paraId="256BA22C"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Zoledrono rūgštis 4 mg</w:t>
            </w:r>
          </w:p>
        </w:tc>
        <w:tc>
          <w:tcPr>
            <w:tcW w:w="788" w:type="dxa"/>
            <w:tcBorders>
              <w:top w:val="single" w:sz="4" w:space="0" w:color="000000"/>
              <w:left w:val="single" w:sz="4" w:space="0" w:color="000000"/>
              <w:bottom w:val="single" w:sz="4" w:space="0" w:color="000000"/>
              <w:right w:val="single" w:sz="4" w:space="0" w:color="000000"/>
            </w:tcBorders>
          </w:tcPr>
          <w:p w14:paraId="2D394229"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Placebas</w:t>
            </w:r>
          </w:p>
        </w:tc>
      </w:tr>
      <w:tr w:rsidR="004F7AA9" w:rsidRPr="007777D9" w14:paraId="433F5378" w14:textId="77777777" w:rsidTr="009A4A51">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14:paraId="44BD80A5"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w:t>
            </w:r>
          </w:p>
        </w:tc>
        <w:tc>
          <w:tcPr>
            <w:tcW w:w="1416" w:type="dxa"/>
            <w:tcBorders>
              <w:top w:val="single" w:sz="4" w:space="0" w:color="000000"/>
              <w:left w:val="single" w:sz="4" w:space="0" w:color="000000"/>
              <w:bottom w:val="single" w:sz="4" w:space="0" w:color="000000"/>
              <w:right w:val="single" w:sz="4" w:space="0" w:color="000000"/>
            </w:tcBorders>
          </w:tcPr>
          <w:p w14:paraId="34FD2491"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214</w:t>
            </w:r>
          </w:p>
        </w:tc>
        <w:tc>
          <w:tcPr>
            <w:tcW w:w="1134" w:type="dxa"/>
            <w:tcBorders>
              <w:top w:val="single" w:sz="4" w:space="0" w:color="000000"/>
              <w:left w:val="single" w:sz="4" w:space="0" w:color="000000"/>
              <w:bottom w:val="single" w:sz="4" w:space="0" w:color="000000"/>
              <w:right w:val="single" w:sz="4" w:space="0" w:color="000000"/>
            </w:tcBorders>
          </w:tcPr>
          <w:p w14:paraId="6E70945B"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208</w:t>
            </w:r>
          </w:p>
        </w:tc>
        <w:tc>
          <w:tcPr>
            <w:tcW w:w="1277" w:type="dxa"/>
            <w:tcBorders>
              <w:top w:val="single" w:sz="4" w:space="0" w:color="000000"/>
              <w:left w:val="single" w:sz="4" w:space="0" w:color="000000"/>
              <w:bottom w:val="single" w:sz="4" w:space="0" w:color="000000"/>
              <w:right w:val="single" w:sz="4" w:space="0" w:color="000000"/>
            </w:tcBorders>
          </w:tcPr>
          <w:p w14:paraId="6FF86469"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214</w:t>
            </w:r>
          </w:p>
        </w:tc>
        <w:tc>
          <w:tcPr>
            <w:tcW w:w="992" w:type="dxa"/>
            <w:tcBorders>
              <w:top w:val="single" w:sz="4" w:space="0" w:color="000000"/>
              <w:left w:val="single" w:sz="4" w:space="0" w:color="000000"/>
              <w:bottom w:val="single" w:sz="4" w:space="0" w:color="000000"/>
              <w:right w:val="single" w:sz="4" w:space="0" w:color="000000"/>
            </w:tcBorders>
          </w:tcPr>
          <w:p w14:paraId="27310C01"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208</w:t>
            </w:r>
          </w:p>
        </w:tc>
        <w:tc>
          <w:tcPr>
            <w:tcW w:w="1277" w:type="dxa"/>
            <w:tcBorders>
              <w:top w:val="single" w:sz="4" w:space="0" w:color="000000"/>
              <w:left w:val="single" w:sz="4" w:space="0" w:color="000000"/>
              <w:bottom w:val="single" w:sz="4" w:space="0" w:color="000000"/>
              <w:right w:val="single" w:sz="4" w:space="0" w:color="000000"/>
            </w:tcBorders>
          </w:tcPr>
          <w:p w14:paraId="1FA63F95"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214</w:t>
            </w:r>
          </w:p>
        </w:tc>
        <w:tc>
          <w:tcPr>
            <w:tcW w:w="788" w:type="dxa"/>
            <w:tcBorders>
              <w:top w:val="single" w:sz="4" w:space="0" w:color="000000"/>
              <w:left w:val="single" w:sz="4" w:space="0" w:color="000000"/>
              <w:bottom w:val="single" w:sz="4" w:space="0" w:color="000000"/>
              <w:right w:val="single" w:sz="4" w:space="0" w:color="000000"/>
            </w:tcBorders>
          </w:tcPr>
          <w:p w14:paraId="47E1F9F7"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208</w:t>
            </w:r>
          </w:p>
        </w:tc>
      </w:tr>
      <w:tr w:rsidR="004F7AA9" w:rsidRPr="007777D9" w14:paraId="351AF21B" w14:textId="77777777" w:rsidTr="009A4A51">
        <w:trPr>
          <w:trHeight w:hRule="exact" w:val="588"/>
        </w:trPr>
        <w:tc>
          <w:tcPr>
            <w:tcW w:w="2236" w:type="dxa"/>
            <w:tcBorders>
              <w:top w:val="single" w:sz="4" w:space="0" w:color="000000"/>
              <w:left w:val="single" w:sz="4" w:space="0" w:color="000000"/>
              <w:bottom w:val="single" w:sz="4" w:space="0" w:color="000000"/>
              <w:right w:val="single" w:sz="4" w:space="0" w:color="000000"/>
            </w:tcBorders>
          </w:tcPr>
          <w:p w14:paraId="6F71FB28"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Pacientų, kuriems</w:t>
            </w:r>
          </w:p>
          <w:p w14:paraId="02BD223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nustatyta SP, dalis (%)</w:t>
            </w:r>
          </w:p>
        </w:tc>
        <w:tc>
          <w:tcPr>
            <w:tcW w:w="1416" w:type="dxa"/>
            <w:tcBorders>
              <w:top w:val="single" w:sz="4" w:space="0" w:color="000000"/>
              <w:left w:val="single" w:sz="4" w:space="0" w:color="000000"/>
              <w:bottom w:val="single" w:sz="4" w:space="0" w:color="000000"/>
              <w:right w:val="single" w:sz="4" w:space="0" w:color="000000"/>
            </w:tcBorders>
          </w:tcPr>
          <w:p w14:paraId="2CD5AAF6"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38</w:t>
            </w:r>
          </w:p>
        </w:tc>
        <w:tc>
          <w:tcPr>
            <w:tcW w:w="1134" w:type="dxa"/>
            <w:tcBorders>
              <w:top w:val="single" w:sz="4" w:space="0" w:color="000000"/>
              <w:left w:val="single" w:sz="4" w:space="0" w:color="000000"/>
              <w:bottom w:val="single" w:sz="4" w:space="0" w:color="000000"/>
              <w:right w:val="single" w:sz="4" w:space="0" w:color="000000"/>
            </w:tcBorders>
          </w:tcPr>
          <w:p w14:paraId="1C0C6E32"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49</w:t>
            </w:r>
          </w:p>
        </w:tc>
        <w:tc>
          <w:tcPr>
            <w:tcW w:w="1277" w:type="dxa"/>
            <w:tcBorders>
              <w:top w:val="single" w:sz="4" w:space="0" w:color="000000"/>
              <w:left w:val="single" w:sz="4" w:space="0" w:color="000000"/>
              <w:bottom w:val="single" w:sz="4" w:space="0" w:color="000000"/>
              <w:right w:val="single" w:sz="4" w:space="0" w:color="000000"/>
            </w:tcBorders>
          </w:tcPr>
          <w:p w14:paraId="23EC41F1"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17</w:t>
            </w:r>
          </w:p>
        </w:tc>
        <w:tc>
          <w:tcPr>
            <w:tcW w:w="992" w:type="dxa"/>
            <w:tcBorders>
              <w:top w:val="single" w:sz="4" w:space="0" w:color="000000"/>
              <w:left w:val="single" w:sz="4" w:space="0" w:color="000000"/>
              <w:bottom w:val="single" w:sz="4" w:space="0" w:color="000000"/>
              <w:right w:val="single" w:sz="4" w:space="0" w:color="000000"/>
            </w:tcBorders>
          </w:tcPr>
          <w:p w14:paraId="39AA82DB"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25</w:t>
            </w:r>
          </w:p>
        </w:tc>
        <w:tc>
          <w:tcPr>
            <w:tcW w:w="1277" w:type="dxa"/>
            <w:tcBorders>
              <w:top w:val="single" w:sz="4" w:space="0" w:color="000000"/>
              <w:left w:val="single" w:sz="4" w:space="0" w:color="000000"/>
              <w:bottom w:val="single" w:sz="4" w:space="0" w:color="000000"/>
              <w:right w:val="single" w:sz="4" w:space="0" w:color="000000"/>
            </w:tcBorders>
          </w:tcPr>
          <w:p w14:paraId="5D6AF04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26</w:t>
            </w:r>
          </w:p>
        </w:tc>
        <w:tc>
          <w:tcPr>
            <w:tcW w:w="788" w:type="dxa"/>
            <w:tcBorders>
              <w:top w:val="single" w:sz="4" w:space="0" w:color="000000"/>
              <w:left w:val="single" w:sz="4" w:space="0" w:color="000000"/>
              <w:bottom w:val="single" w:sz="4" w:space="0" w:color="000000"/>
              <w:right w:val="single" w:sz="4" w:space="0" w:color="000000"/>
            </w:tcBorders>
          </w:tcPr>
          <w:p w14:paraId="6A9018F9"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33</w:t>
            </w:r>
          </w:p>
        </w:tc>
      </w:tr>
      <w:tr w:rsidR="004F7AA9" w:rsidRPr="007777D9" w14:paraId="0D606AA0" w14:textId="77777777" w:rsidTr="009A4A51">
        <w:trPr>
          <w:trHeight w:hRule="exact" w:val="264"/>
        </w:trPr>
        <w:tc>
          <w:tcPr>
            <w:tcW w:w="2236" w:type="dxa"/>
            <w:tcBorders>
              <w:top w:val="single" w:sz="4" w:space="0" w:color="000000"/>
              <w:left w:val="single" w:sz="4" w:space="0" w:color="000000"/>
              <w:bottom w:val="single" w:sz="4" w:space="0" w:color="000000"/>
              <w:right w:val="single" w:sz="4" w:space="0" w:color="000000"/>
            </w:tcBorders>
          </w:tcPr>
          <w:p w14:paraId="65C6D3FE"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 rodmuo</w:t>
            </w:r>
          </w:p>
        </w:tc>
        <w:tc>
          <w:tcPr>
            <w:tcW w:w="2550" w:type="dxa"/>
            <w:gridSpan w:val="2"/>
            <w:tcBorders>
              <w:top w:val="single" w:sz="4" w:space="0" w:color="000000"/>
              <w:left w:val="single" w:sz="4" w:space="0" w:color="000000"/>
              <w:bottom w:val="single" w:sz="4" w:space="0" w:color="000000"/>
              <w:right w:val="single" w:sz="4" w:space="0" w:color="000000"/>
            </w:tcBorders>
          </w:tcPr>
          <w:p w14:paraId="17BF9D7A"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0,028</w:t>
            </w:r>
          </w:p>
        </w:tc>
        <w:tc>
          <w:tcPr>
            <w:tcW w:w="2269" w:type="dxa"/>
            <w:gridSpan w:val="2"/>
            <w:tcBorders>
              <w:top w:val="single" w:sz="4" w:space="0" w:color="000000"/>
              <w:left w:val="single" w:sz="4" w:space="0" w:color="000000"/>
              <w:bottom w:val="single" w:sz="4" w:space="0" w:color="000000"/>
              <w:right w:val="single" w:sz="4" w:space="0" w:color="000000"/>
            </w:tcBorders>
          </w:tcPr>
          <w:p w14:paraId="2D0921D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0,052</w:t>
            </w:r>
          </w:p>
        </w:tc>
        <w:tc>
          <w:tcPr>
            <w:tcW w:w="2065" w:type="dxa"/>
            <w:gridSpan w:val="2"/>
            <w:tcBorders>
              <w:top w:val="single" w:sz="4" w:space="0" w:color="000000"/>
              <w:left w:val="single" w:sz="4" w:space="0" w:color="000000"/>
              <w:bottom w:val="single" w:sz="4" w:space="0" w:color="000000"/>
              <w:right w:val="single" w:sz="4" w:space="0" w:color="000000"/>
            </w:tcBorders>
          </w:tcPr>
          <w:p w14:paraId="5265259A"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0,119</w:t>
            </w:r>
          </w:p>
        </w:tc>
      </w:tr>
      <w:tr w:rsidR="004F7AA9" w:rsidRPr="007777D9" w14:paraId="046C4F83" w14:textId="77777777" w:rsidTr="009A4A51">
        <w:trPr>
          <w:trHeight w:hRule="exact" w:val="433"/>
        </w:trPr>
        <w:tc>
          <w:tcPr>
            <w:tcW w:w="2236" w:type="dxa"/>
            <w:tcBorders>
              <w:top w:val="single" w:sz="4" w:space="0" w:color="000000"/>
              <w:left w:val="single" w:sz="4" w:space="0" w:color="000000"/>
              <w:bottom w:val="single" w:sz="4" w:space="0" w:color="000000"/>
              <w:right w:val="single" w:sz="4" w:space="0" w:color="000000"/>
            </w:tcBorders>
          </w:tcPr>
          <w:p w14:paraId="46E74242"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Laiko iki SP mediana</w:t>
            </w:r>
          </w:p>
          <w:p w14:paraId="30E5B86B" w14:textId="77777777" w:rsidR="004F7AA9" w:rsidRPr="007777D9" w:rsidRDefault="004F7AA9" w:rsidP="009A4A51">
            <w:pPr>
              <w:widowControl w:val="0"/>
              <w:tabs>
                <w:tab w:val="clear" w:pos="567"/>
              </w:tabs>
              <w:spacing w:line="240" w:lineRule="auto"/>
              <w:rPr>
                <w:snapToGrid/>
                <w:szCs w:val="22"/>
                <w:lang w:val="lt-LT"/>
              </w:rPr>
            </w:pPr>
          </w:p>
        </w:tc>
        <w:tc>
          <w:tcPr>
            <w:tcW w:w="1416" w:type="dxa"/>
            <w:tcBorders>
              <w:top w:val="single" w:sz="4" w:space="0" w:color="000000"/>
              <w:left w:val="single" w:sz="4" w:space="0" w:color="000000"/>
              <w:bottom w:val="single" w:sz="4" w:space="0" w:color="000000"/>
              <w:right w:val="single" w:sz="4" w:space="0" w:color="000000"/>
            </w:tcBorders>
          </w:tcPr>
          <w:p w14:paraId="77E09D8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488</w:t>
            </w:r>
          </w:p>
        </w:tc>
        <w:tc>
          <w:tcPr>
            <w:tcW w:w="1134" w:type="dxa"/>
            <w:tcBorders>
              <w:top w:val="single" w:sz="4" w:space="0" w:color="000000"/>
              <w:left w:val="single" w:sz="4" w:space="0" w:color="000000"/>
              <w:bottom w:val="single" w:sz="4" w:space="0" w:color="000000"/>
              <w:right w:val="single" w:sz="4" w:space="0" w:color="000000"/>
            </w:tcBorders>
          </w:tcPr>
          <w:p w14:paraId="7F097C18"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321</w:t>
            </w:r>
          </w:p>
        </w:tc>
        <w:tc>
          <w:tcPr>
            <w:tcW w:w="1277" w:type="dxa"/>
            <w:tcBorders>
              <w:top w:val="single" w:sz="4" w:space="0" w:color="000000"/>
              <w:left w:val="single" w:sz="4" w:space="0" w:color="000000"/>
              <w:bottom w:val="single" w:sz="4" w:space="0" w:color="000000"/>
              <w:right w:val="single" w:sz="4" w:space="0" w:color="000000"/>
            </w:tcBorders>
          </w:tcPr>
          <w:p w14:paraId="29EA9C62"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NP</w:t>
            </w:r>
          </w:p>
        </w:tc>
        <w:tc>
          <w:tcPr>
            <w:tcW w:w="992" w:type="dxa"/>
            <w:tcBorders>
              <w:top w:val="single" w:sz="4" w:space="0" w:color="000000"/>
              <w:left w:val="single" w:sz="4" w:space="0" w:color="000000"/>
              <w:bottom w:val="single" w:sz="4" w:space="0" w:color="000000"/>
              <w:right w:val="single" w:sz="4" w:space="0" w:color="000000"/>
            </w:tcBorders>
          </w:tcPr>
          <w:p w14:paraId="287E123A"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NP</w:t>
            </w:r>
          </w:p>
        </w:tc>
        <w:tc>
          <w:tcPr>
            <w:tcW w:w="1277" w:type="dxa"/>
            <w:tcBorders>
              <w:top w:val="single" w:sz="4" w:space="0" w:color="000000"/>
              <w:left w:val="single" w:sz="4" w:space="0" w:color="000000"/>
              <w:bottom w:val="single" w:sz="4" w:space="0" w:color="000000"/>
              <w:right w:val="single" w:sz="4" w:space="0" w:color="000000"/>
            </w:tcBorders>
          </w:tcPr>
          <w:p w14:paraId="078DFE82"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NP</w:t>
            </w:r>
          </w:p>
        </w:tc>
        <w:tc>
          <w:tcPr>
            <w:tcW w:w="788" w:type="dxa"/>
            <w:tcBorders>
              <w:top w:val="single" w:sz="4" w:space="0" w:color="000000"/>
              <w:left w:val="single" w:sz="4" w:space="0" w:color="000000"/>
              <w:bottom w:val="single" w:sz="4" w:space="0" w:color="000000"/>
              <w:right w:val="single" w:sz="4" w:space="0" w:color="000000"/>
            </w:tcBorders>
          </w:tcPr>
          <w:p w14:paraId="6D6986FB"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640</w:t>
            </w:r>
          </w:p>
        </w:tc>
      </w:tr>
      <w:tr w:rsidR="004F7AA9" w:rsidRPr="007777D9" w14:paraId="787E823F" w14:textId="77777777" w:rsidTr="009A4A51">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14:paraId="4A32FFAC"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 rodmuo</w:t>
            </w:r>
          </w:p>
        </w:tc>
        <w:tc>
          <w:tcPr>
            <w:tcW w:w="2550" w:type="dxa"/>
            <w:gridSpan w:val="2"/>
            <w:tcBorders>
              <w:top w:val="single" w:sz="4" w:space="0" w:color="000000"/>
              <w:left w:val="single" w:sz="4" w:space="0" w:color="000000"/>
              <w:bottom w:val="single" w:sz="4" w:space="0" w:color="000000"/>
              <w:right w:val="single" w:sz="4" w:space="0" w:color="000000"/>
            </w:tcBorders>
          </w:tcPr>
          <w:p w14:paraId="21875456"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0,009</w:t>
            </w:r>
          </w:p>
        </w:tc>
        <w:tc>
          <w:tcPr>
            <w:tcW w:w="2269" w:type="dxa"/>
            <w:gridSpan w:val="2"/>
            <w:tcBorders>
              <w:top w:val="single" w:sz="4" w:space="0" w:color="000000"/>
              <w:left w:val="single" w:sz="4" w:space="0" w:color="000000"/>
              <w:bottom w:val="single" w:sz="4" w:space="0" w:color="000000"/>
              <w:right w:val="single" w:sz="4" w:space="0" w:color="000000"/>
            </w:tcBorders>
          </w:tcPr>
          <w:p w14:paraId="5FBB1B77"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0,020</w:t>
            </w:r>
          </w:p>
        </w:tc>
        <w:tc>
          <w:tcPr>
            <w:tcW w:w="2065" w:type="dxa"/>
            <w:gridSpan w:val="2"/>
            <w:tcBorders>
              <w:top w:val="single" w:sz="4" w:space="0" w:color="000000"/>
              <w:left w:val="single" w:sz="4" w:space="0" w:color="000000"/>
              <w:bottom w:val="single" w:sz="4" w:space="0" w:color="000000"/>
              <w:right w:val="single" w:sz="4" w:space="0" w:color="000000"/>
            </w:tcBorders>
          </w:tcPr>
          <w:p w14:paraId="28199539"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0,055</w:t>
            </w:r>
          </w:p>
        </w:tc>
      </w:tr>
      <w:tr w:rsidR="004F7AA9" w:rsidRPr="007777D9" w14:paraId="218CDEF7" w14:textId="77777777" w:rsidTr="009A4A51">
        <w:trPr>
          <w:trHeight w:hRule="exact" w:val="662"/>
        </w:trPr>
        <w:tc>
          <w:tcPr>
            <w:tcW w:w="2236" w:type="dxa"/>
            <w:tcBorders>
              <w:top w:val="single" w:sz="4" w:space="0" w:color="000000"/>
              <w:left w:val="single" w:sz="4" w:space="0" w:color="000000"/>
              <w:bottom w:val="single" w:sz="4" w:space="0" w:color="000000"/>
              <w:right w:val="single" w:sz="4" w:space="0" w:color="000000"/>
            </w:tcBorders>
          </w:tcPr>
          <w:p w14:paraId="2857A339"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Sergamumas skeleto</w:t>
            </w:r>
          </w:p>
          <w:p w14:paraId="451D90C2"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pažeidimu</w:t>
            </w:r>
          </w:p>
        </w:tc>
        <w:tc>
          <w:tcPr>
            <w:tcW w:w="1416" w:type="dxa"/>
            <w:tcBorders>
              <w:top w:val="single" w:sz="4" w:space="0" w:color="000000"/>
              <w:left w:val="single" w:sz="4" w:space="0" w:color="000000"/>
              <w:bottom w:val="single" w:sz="4" w:space="0" w:color="000000"/>
              <w:right w:val="single" w:sz="4" w:space="0" w:color="000000"/>
            </w:tcBorders>
          </w:tcPr>
          <w:p w14:paraId="1A472E28"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0,77</w:t>
            </w:r>
          </w:p>
        </w:tc>
        <w:tc>
          <w:tcPr>
            <w:tcW w:w="1134" w:type="dxa"/>
            <w:tcBorders>
              <w:top w:val="single" w:sz="4" w:space="0" w:color="000000"/>
              <w:left w:val="single" w:sz="4" w:space="0" w:color="000000"/>
              <w:bottom w:val="single" w:sz="4" w:space="0" w:color="000000"/>
              <w:right w:val="single" w:sz="4" w:space="0" w:color="000000"/>
            </w:tcBorders>
          </w:tcPr>
          <w:p w14:paraId="37C2798B"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1,47</w:t>
            </w:r>
          </w:p>
        </w:tc>
        <w:tc>
          <w:tcPr>
            <w:tcW w:w="1277" w:type="dxa"/>
            <w:tcBorders>
              <w:top w:val="single" w:sz="4" w:space="0" w:color="000000"/>
              <w:left w:val="single" w:sz="4" w:space="0" w:color="000000"/>
              <w:bottom w:val="single" w:sz="4" w:space="0" w:color="000000"/>
              <w:right w:val="single" w:sz="4" w:space="0" w:color="000000"/>
            </w:tcBorders>
          </w:tcPr>
          <w:p w14:paraId="3ABD882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0,20</w:t>
            </w:r>
          </w:p>
        </w:tc>
        <w:tc>
          <w:tcPr>
            <w:tcW w:w="992" w:type="dxa"/>
            <w:tcBorders>
              <w:top w:val="single" w:sz="4" w:space="0" w:color="000000"/>
              <w:left w:val="single" w:sz="4" w:space="0" w:color="000000"/>
              <w:bottom w:val="single" w:sz="4" w:space="0" w:color="000000"/>
              <w:right w:val="single" w:sz="4" w:space="0" w:color="000000"/>
            </w:tcBorders>
          </w:tcPr>
          <w:p w14:paraId="141C7ADD"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0,45</w:t>
            </w:r>
          </w:p>
        </w:tc>
        <w:tc>
          <w:tcPr>
            <w:tcW w:w="1277" w:type="dxa"/>
            <w:tcBorders>
              <w:top w:val="single" w:sz="4" w:space="0" w:color="000000"/>
              <w:left w:val="single" w:sz="4" w:space="0" w:color="000000"/>
              <w:bottom w:val="single" w:sz="4" w:space="0" w:color="000000"/>
              <w:right w:val="single" w:sz="4" w:space="0" w:color="000000"/>
            </w:tcBorders>
          </w:tcPr>
          <w:p w14:paraId="23A22317"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0,42</w:t>
            </w:r>
          </w:p>
        </w:tc>
        <w:tc>
          <w:tcPr>
            <w:tcW w:w="788" w:type="dxa"/>
            <w:tcBorders>
              <w:top w:val="single" w:sz="4" w:space="0" w:color="000000"/>
              <w:left w:val="single" w:sz="4" w:space="0" w:color="000000"/>
              <w:bottom w:val="single" w:sz="4" w:space="0" w:color="000000"/>
              <w:right w:val="single" w:sz="4" w:space="0" w:color="000000"/>
            </w:tcBorders>
          </w:tcPr>
          <w:p w14:paraId="1E28E2AE"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0,89</w:t>
            </w:r>
          </w:p>
        </w:tc>
      </w:tr>
      <w:tr w:rsidR="004F7AA9" w:rsidRPr="007777D9" w14:paraId="48393518" w14:textId="77777777" w:rsidTr="009A4A51">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14:paraId="34527496"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 rodmuo</w:t>
            </w:r>
          </w:p>
        </w:tc>
        <w:tc>
          <w:tcPr>
            <w:tcW w:w="2550" w:type="dxa"/>
            <w:gridSpan w:val="2"/>
            <w:tcBorders>
              <w:top w:val="single" w:sz="4" w:space="0" w:color="000000"/>
              <w:left w:val="single" w:sz="4" w:space="0" w:color="000000"/>
              <w:bottom w:val="single" w:sz="4" w:space="0" w:color="000000"/>
              <w:right w:val="single" w:sz="4" w:space="0" w:color="000000"/>
            </w:tcBorders>
          </w:tcPr>
          <w:p w14:paraId="5A4F639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0,005</w:t>
            </w:r>
          </w:p>
        </w:tc>
        <w:tc>
          <w:tcPr>
            <w:tcW w:w="2269" w:type="dxa"/>
            <w:gridSpan w:val="2"/>
            <w:tcBorders>
              <w:top w:val="single" w:sz="4" w:space="0" w:color="000000"/>
              <w:left w:val="single" w:sz="4" w:space="0" w:color="000000"/>
              <w:bottom w:val="single" w:sz="4" w:space="0" w:color="000000"/>
              <w:right w:val="single" w:sz="4" w:space="0" w:color="000000"/>
            </w:tcBorders>
          </w:tcPr>
          <w:p w14:paraId="32ABEA60"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0,023</w:t>
            </w:r>
          </w:p>
        </w:tc>
        <w:tc>
          <w:tcPr>
            <w:tcW w:w="2065" w:type="dxa"/>
            <w:gridSpan w:val="2"/>
            <w:tcBorders>
              <w:top w:val="single" w:sz="4" w:space="0" w:color="000000"/>
              <w:left w:val="single" w:sz="4" w:space="0" w:color="000000"/>
              <w:bottom w:val="single" w:sz="4" w:space="0" w:color="000000"/>
              <w:right w:val="single" w:sz="4" w:space="0" w:color="000000"/>
            </w:tcBorders>
          </w:tcPr>
          <w:p w14:paraId="084B34E7"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0,060</w:t>
            </w:r>
          </w:p>
        </w:tc>
      </w:tr>
      <w:tr w:rsidR="004F7AA9" w:rsidRPr="007777D9" w14:paraId="2E694418" w14:textId="77777777" w:rsidTr="009A4A51">
        <w:trPr>
          <w:trHeight w:hRule="exact" w:val="1144"/>
        </w:trPr>
        <w:tc>
          <w:tcPr>
            <w:tcW w:w="2236" w:type="dxa"/>
            <w:tcBorders>
              <w:top w:val="single" w:sz="4" w:space="0" w:color="000000"/>
              <w:left w:val="single" w:sz="4" w:space="0" w:color="000000"/>
              <w:bottom w:val="single" w:sz="4" w:space="0" w:color="000000"/>
              <w:right w:val="single" w:sz="4" w:space="0" w:color="000000"/>
            </w:tcBorders>
          </w:tcPr>
          <w:p w14:paraId="55B6B5E1"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Dauginių reiškinių rizikos sumažėjimas</w:t>
            </w:r>
          </w:p>
          <w:p w14:paraId="5D6C629C"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 (%)</w:t>
            </w:r>
          </w:p>
        </w:tc>
        <w:tc>
          <w:tcPr>
            <w:tcW w:w="1416" w:type="dxa"/>
            <w:tcBorders>
              <w:top w:val="single" w:sz="4" w:space="0" w:color="000000"/>
              <w:left w:val="single" w:sz="4" w:space="0" w:color="000000"/>
              <w:bottom w:val="single" w:sz="4" w:space="0" w:color="000000"/>
              <w:right w:val="single" w:sz="4" w:space="0" w:color="000000"/>
            </w:tcBorders>
          </w:tcPr>
          <w:p w14:paraId="220FEDC4"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36</w:t>
            </w:r>
          </w:p>
        </w:tc>
        <w:tc>
          <w:tcPr>
            <w:tcW w:w="1134" w:type="dxa"/>
            <w:tcBorders>
              <w:top w:val="single" w:sz="4" w:space="0" w:color="000000"/>
              <w:left w:val="single" w:sz="4" w:space="0" w:color="000000"/>
              <w:bottom w:val="single" w:sz="4" w:space="0" w:color="000000"/>
              <w:right w:val="single" w:sz="4" w:space="0" w:color="000000"/>
            </w:tcBorders>
          </w:tcPr>
          <w:p w14:paraId="58212BAD"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w:t>
            </w:r>
          </w:p>
        </w:tc>
        <w:tc>
          <w:tcPr>
            <w:tcW w:w="1277" w:type="dxa"/>
            <w:tcBorders>
              <w:top w:val="single" w:sz="4" w:space="0" w:color="000000"/>
              <w:left w:val="single" w:sz="4" w:space="0" w:color="000000"/>
              <w:bottom w:val="single" w:sz="4" w:space="0" w:color="000000"/>
              <w:right w:val="single" w:sz="4" w:space="0" w:color="000000"/>
            </w:tcBorders>
          </w:tcPr>
          <w:p w14:paraId="0B9583E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c>
          <w:tcPr>
            <w:tcW w:w="992" w:type="dxa"/>
            <w:tcBorders>
              <w:top w:val="single" w:sz="4" w:space="0" w:color="000000"/>
              <w:left w:val="single" w:sz="4" w:space="0" w:color="000000"/>
              <w:bottom w:val="single" w:sz="4" w:space="0" w:color="000000"/>
              <w:right w:val="single" w:sz="4" w:space="0" w:color="000000"/>
            </w:tcBorders>
          </w:tcPr>
          <w:p w14:paraId="01F14E7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c>
          <w:tcPr>
            <w:tcW w:w="1277" w:type="dxa"/>
            <w:tcBorders>
              <w:top w:val="single" w:sz="4" w:space="0" w:color="000000"/>
              <w:left w:val="single" w:sz="4" w:space="0" w:color="000000"/>
              <w:bottom w:val="single" w:sz="4" w:space="0" w:color="000000"/>
              <w:right w:val="single" w:sz="4" w:space="0" w:color="000000"/>
            </w:tcBorders>
          </w:tcPr>
          <w:p w14:paraId="215D0600"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c>
          <w:tcPr>
            <w:tcW w:w="788" w:type="dxa"/>
            <w:tcBorders>
              <w:top w:val="single" w:sz="4" w:space="0" w:color="000000"/>
              <w:left w:val="single" w:sz="4" w:space="0" w:color="000000"/>
              <w:bottom w:val="single" w:sz="4" w:space="0" w:color="000000"/>
              <w:right w:val="single" w:sz="4" w:space="0" w:color="000000"/>
            </w:tcBorders>
          </w:tcPr>
          <w:p w14:paraId="08BBF9C2"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r>
      <w:tr w:rsidR="004F7AA9" w:rsidRPr="007777D9" w14:paraId="22A69B7C" w14:textId="77777777" w:rsidTr="009A4A51">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14:paraId="1766248A"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 rodmuo</w:t>
            </w:r>
          </w:p>
        </w:tc>
        <w:tc>
          <w:tcPr>
            <w:tcW w:w="2550" w:type="dxa"/>
            <w:gridSpan w:val="2"/>
            <w:tcBorders>
              <w:top w:val="single" w:sz="4" w:space="0" w:color="000000"/>
              <w:left w:val="single" w:sz="4" w:space="0" w:color="000000"/>
              <w:bottom w:val="single" w:sz="4" w:space="0" w:color="000000"/>
              <w:right w:val="single" w:sz="4" w:space="0" w:color="000000"/>
            </w:tcBorders>
          </w:tcPr>
          <w:p w14:paraId="4494711D"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0,002</w:t>
            </w:r>
          </w:p>
        </w:tc>
        <w:tc>
          <w:tcPr>
            <w:tcW w:w="2269" w:type="dxa"/>
            <w:gridSpan w:val="2"/>
            <w:tcBorders>
              <w:top w:val="single" w:sz="4" w:space="0" w:color="000000"/>
              <w:left w:val="single" w:sz="4" w:space="0" w:color="000000"/>
              <w:bottom w:val="single" w:sz="4" w:space="0" w:color="000000"/>
              <w:right w:val="single" w:sz="4" w:space="0" w:color="000000"/>
            </w:tcBorders>
          </w:tcPr>
          <w:p w14:paraId="0DC43B1B"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c>
          <w:tcPr>
            <w:tcW w:w="2065" w:type="dxa"/>
            <w:gridSpan w:val="2"/>
            <w:tcBorders>
              <w:top w:val="single" w:sz="4" w:space="0" w:color="000000"/>
              <w:left w:val="single" w:sz="4" w:space="0" w:color="000000"/>
              <w:bottom w:val="single" w:sz="4" w:space="0" w:color="000000"/>
              <w:right w:val="single" w:sz="4" w:space="0" w:color="000000"/>
            </w:tcBorders>
          </w:tcPr>
          <w:p w14:paraId="3C1C3EEB"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r>
    </w:tbl>
    <w:p w14:paraId="6CA79CEA"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w:t>
      </w:r>
      <w:r w:rsidRPr="007777D9">
        <w:rPr>
          <w:snapToGrid/>
          <w:szCs w:val="22"/>
          <w:lang w:val="lt-LT"/>
        </w:rPr>
        <w:tab/>
        <w:t>Apima slankstelių ir ne slankstelių lūžius.</w:t>
      </w:r>
    </w:p>
    <w:p w14:paraId="753BB80A"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w:t>
      </w:r>
      <w:r w:rsidRPr="007777D9">
        <w:rPr>
          <w:snapToGrid/>
          <w:szCs w:val="22"/>
          <w:lang w:val="lt-LT"/>
        </w:rPr>
        <w:tab/>
        <w:t xml:space="preserve">Visi skeleto reiškiniai, bendras skaičius bei laikas iki kiekvieno reiškinio atsiradimo tyrimo metu. </w:t>
      </w:r>
    </w:p>
    <w:p w14:paraId="0F103B5E"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NP</w:t>
      </w:r>
      <w:r w:rsidRPr="007777D9">
        <w:rPr>
          <w:snapToGrid/>
          <w:szCs w:val="22"/>
          <w:lang w:val="lt-LT"/>
        </w:rPr>
        <w:tab/>
        <w:t>Nepasiekta</w:t>
      </w:r>
    </w:p>
    <w:p w14:paraId="7CC22FA1"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NA</w:t>
      </w:r>
      <w:r w:rsidRPr="007777D9">
        <w:rPr>
          <w:snapToGrid/>
          <w:szCs w:val="22"/>
          <w:lang w:val="lt-LT"/>
        </w:rPr>
        <w:tab/>
        <w:t>Neaktualu</w:t>
      </w:r>
    </w:p>
    <w:p w14:paraId="40AA3351" w14:textId="77777777" w:rsidR="004F7AA9" w:rsidRPr="007777D9" w:rsidRDefault="004F7AA9" w:rsidP="004F7AA9">
      <w:pPr>
        <w:widowControl w:val="0"/>
        <w:tabs>
          <w:tab w:val="clear" w:pos="567"/>
        </w:tabs>
        <w:spacing w:line="240" w:lineRule="auto"/>
        <w:rPr>
          <w:b/>
          <w:bCs/>
          <w:snapToGrid/>
          <w:position w:val="-1"/>
          <w:szCs w:val="22"/>
          <w:lang w:val="lt-LT"/>
        </w:rPr>
      </w:pPr>
    </w:p>
    <w:p w14:paraId="5C7F7FC5"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position w:val="-1"/>
          <w:szCs w:val="22"/>
          <w:lang w:val="lt-LT"/>
        </w:rPr>
        <w:t xml:space="preserve">3 lentelė. </w:t>
      </w:r>
      <w:r w:rsidRPr="007777D9">
        <w:rPr>
          <w:snapToGrid/>
          <w:position w:val="-1"/>
          <w:szCs w:val="22"/>
          <w:lang w:val="lt-LT"/>
        </w:rPr>
        <w:t>Veiksmingumo rezultatai (solidiniais navikais, išskyrus krūties ar prostatos vėžį, sergančių pacientų duomenys).</w:t>
      </w:r>
    </w:p>
    <w:p w14:paraId="22557E23" w14:textId="77777777" w:rsidR="004F7AA9" w:rsidRPr="007777D9" w:rsidRDefault="004F7AA9" w:rsidP="004F7AA9">
      <w:pPr>
        <w:widowControl w:val="0"/>
        <w:tabs>
          <w:tab w:val="clear" w:pos="567"/>
        </w:tabs>
        <w:spacing w:line="240" w:lineRule="auto"/>
        <w:rPr>
          <w:snapToGrid/>
          <w:szCs w:val="22"/>
          <w:lang w:val="lt-LT"/>
        </w:rPr>
      </w:pPr>
    </w:p>
    <w:tbl>
      <w:tblPr>
        <w:tblW w:w="9120" w:type="dxa"/>
        <w:tblInd w:w="99" w:type="dxa"/>
        <w:tblLayout w:type="fixed"/>
        <w:tblCellMar>
          <w:left w:w="0" w:type="dxa"/>
          <w:right w:w="0" w:type="dxa"/>
        </w:tblCellMar>
        <w:tblLook w:val="01E0" w:firstRow="1" w:lastRow="1" w:firstColumn="1" w:lastColumn="1" w:noHBand="0" w:noVBand="0"/>
      </w:tblPr>
      <w:tblGrid>
        <w:gridCol w:w="2236"/>
        <w:gridCol w:w="1274"/>
        <w:gridCol w:w="26"/>
        <w:gridCol w:w="56"/>
        <w:gridCol w:w="1011"/>
        <w:gridCol w:w="33"/>
        <w:gridCol w:w="1213"/>
        <w:gridCol w:w="153"/>
        <w:gridCol w:w="928"/>
        <w:gridCol w:w="1316"/>
        <w:gridCol w:w="24"/>
        <w:gridCol w:w="850"/>
      </w:tblGrid>
      <w:tr w:rsidR="004F7AA9" w:rsidRPr="007777D9" w14:paraId="5E3529C4" w14:textId="77777777" w:rsidTr="009A4A51">
        <w:trPr>
          <w:trHeight w:hRule="exact" w:val="516"/>
        </w:trPr>
        <w:tc>
          <w:tcPr>
            <w:tcW w:w="2236" w:type="dxa"/>
            <w:tcBorders>
              <w:top w:val="single" w:sz="4" w:space="0" w:color="000000"/>
              <w:left w:val="single" w:sz="4" w:space="0" w:color="000000"/>
              <w:bottom w:val="single" w:sz="4" w:space="0" w:color="000000"/>
              <w:right w:val="single" w:sz="4" w:space="0" w:color="000000"/>
            </w:tcBorders>
          </w:tcPr>
          <w:p w14:paraId="44D4C8D3" w14:textId="77777777" w:rsidR="004F7AA9" w:rsidRPr="007777D9" w:rsidRDefault="004F7AA9" w:rsidP="009A4A51">
            <w:pPr>
              <w:widowControl w:val="0"/>
              <w:tabs>
                <w:tab w:val="clear" w:pos="567"/>
              </w:tabs>
              <w:spacing w:line="240" w:lineRule="auto"/>
              <w:rPr>
                <w:snapToGrid/>
                <w:szCs w:val="22"/>
                <w:lang w:val="lt-LT"/>
              </w:rPr>
            </w:pPr>
          </w:p>
        </w:tc>
        <w:tc>
          <w:tcPr>
            <w:tcW w:w="2367" w:type="dxa"/>
            <w:gridSpan w:val="4"/>
            <w:tcBorders>
              <w:top w:val="single" w:sz="4" w:space="0" w:color="000000"/>
              <w:left w:val="single" w:sz="4" w:space="0" w:color="000000"/>
              <w:bottom w:val="single" w:sz="4" w:space="0" w:color="000000"/>
              <w:right w:val="single" w:sz="4" w:space="0" w:color="000000"/>
            </w:tcBorders>
          </w:tcPr>
          <w:p w14:paraId="322924C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u w:color="000000"/>
                <w:lang w:val="lt-LT"/>
              </w:rPr>
              <w:t>Bet koks SP (+NSH)</w:t>
            </w:r>
          </w:p>
        </w:tc>
        <w:tc>
          <w:tcPr>
            <w:tcW w:w="2327" w:type="dxa"/>
            <w:gridSpan w:val="4"/>
            <w:tcBorders>
              <w:top w:val="single" w:sz="4" w:space="0" w:color="000000"/>
              <w:left w:val="single" w:sz="4" w:space="0" w:color="000000"/>
              <w:bottom w:val="single" w:sz="4" w:space="0" w:color="000000"/>
              <w:right w:val="single" w:sz="4" w:space="0" w:color="000000"/>
            </w:tcBorders>
          </w:tcPr>
          <w:p w14:paraId="6F742C12"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u w:color="000000"/>
                <w:lang w:val="lt-LT"/>
              </w:rPr>
              <w:t>Lūžiai*</w:t>
            </w:r>
          </w:p>
        </w:tc>
        <w:tc>
          <w:tcPr>
            <w:tcW w:w="2190" w:type="dxa"/>
            <w:gridSpan w:val="3"/>
            <w:tcBorders>
              <w:top w:val="single" w:sz="4" w:space="0" w:color="000000"/>
              <w:left w:val="single" w:sz="4" w:space="0" w:color="000000"/>
              <w:bottom w:val="single" w:sz="4" w:space="0" w:color="000000"/>
              <w:right w:val="single" w:sz="4" w:space="0" w:color="000000"/>
            </w:tcBorders>
          </w:tcPr>
          <w:p w14:paraId="56CBA992"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u w:color="000000"/>
                <w:lang w:val="lt-LT"/>
              </w:rPr>
              <w:t>Spindulinis kaulų gydymas</w:t>
            </w:r>
          </w:p>
        </w:tc>
      </w:tr>
      <w:tr w:rsidR="004F7AA9" w:rsidRPr="007777D9" w14:paraId="6479263D" w14:textId="77777777" w:rsidTr="009A4A51">
        <w:trPr>
          <w:trHeight w:hRule="exact" w:val="770"/>
        </w:trPr>
        <w:tc>
          <w:tcPr>
            <w:tcW w:w="2236" w:type="dxa"/>
            <w:tcBorders>
              <w:top w:val="single" w:sz="4" w:space="0" w:color="000000"/>
              <w:left w:val="single" w:sz="4" w:space="0" w:color="000000"/>
              <w:bottom w:val="single" w:sz="4" w:space="0" w:color="000000"/>
              <w:right w:val="single" w:sz="4" w:space="0" w:color="000000"/>
            </w:tcBorders>
          </w:tcPr>
          <w:p w14:paraId="38903B57" w14:textId="77777777" w:rsidR="004F7AA9" w:rsidRPr="007777D9" w:rsidRDefault="004F7AA9" w:rsidP="009A4A51">
            <w:pPr>
              <w:widowControl w:val="0"/>
              <w:tabs>
                <w:tab w:val="clear" w:pos="567"/>
              </w:tabs>
              <w:spacing w:line="240" w:lineRule="auto"/>
              <w:rPr>
                <w:snapToGrid/>
                <w:szCs w:val="22"/>
                <w:lang w:val="lt-LT"/>
              </w:rPr>
            </w:pPr>
          </w:p>
        </w:tc>
        <w:tc>
          <w:tcPr>
            <w:tcW w:w="1356" w:type="dxa"/>
            <w:gridSpan w:val="3"/>
            <w:tcBorders>
              <w:top w:val="single" w:sz="4" w:space="0" w:color="000000"/>
              <w:left w:val="single" w:sz="4" w:space="0" w:color="000000"/>
              <w:bottom w:val="single" w:sz="4" w:space="0" w:color="000000"/>
              <w:right w:val="single" w:sz="4" w:space="0" w:color="000000"/>
            </w:tcBorders>
          </w:tcPr>
          <w:p w14:paraId="10414B1B"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Zoledrono rūgštis 4 mg</w:t>
            </w:r>
          </w:p>
        </w:tc>
        <w:tc>
          <w:tcPr>
            <w:tcW w:w="1011" w:type="dxa"/>
            <w:tcBorders>
              <w:top w:val="single" w:sz="4" w:space="0" w:color="000000"/>
              <w:left w:val="single" w:sz="4" w:space="0" w:color="000000"/>
              <w:bottom w:val="single" w:sz="4" w:space="0" w:color="000000"/>
              <w:right w:val="single" w:sz="4" w:space="0" w:color="000000"/>
            </w:tcBorders>
          </w:tcPr>
          <w:p w14:paraId="33EAFDC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Placebas</w:t>
            </w:r>
          </w:p>
        </w:tc>
        <w:tc>
          <w:tcPr>
            <w:tcW w:w="1399" w:type="dxa"/>
            <w:gridSpan w:val="3"/>
            <w:tcBorders>
              <w:top w:val="single" w:sz="4" w:space="0" w:color="000000"/>
              <w:left w:val="single" w:sz="4" w:space="0" w:color="000000"/>
              <w:bottom w:val="single" w:sz="4" w:space="0" w:color="000000"/>
              <w:right w:val="single" w:sz="4" w:space="0" w:color="000000"/>
            </w:tcBorders>
          </w:tcPr>
          <w:p w14:paraId="5915E918"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Zoledrono rūgštis 4 mg</w:t>
            </w:r>
          </w:p>
        </w:tc>
        <w:tc>
          <w:tcPr>
            <w:tcW w:w="928" w:type="dxa"/>
            <w:tcBorders>
              <w:top w:val="single" w:sz="4" w:space="0" w:color="000000"/>
              <w:left w:val="single" w:sz="4" w:space="0" w:color="000000"/>
              <w:bottom w:val="single" w:sz="4" w:space="0" w:color="000000"/>
              <w:right w:val="single" w:sz="4" w:space="0" w:color="000000"/>
            </w:tcBorders>
          </w:tcPr>
          <w:p w14:paraId="389C33F5"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Placebas</w:t>
            </w:r>
          </w:p>
        </w:tc>
        <w:tc>
          <w:tcPr>
            <w:tcW w:w="1340" w:type="dxa"/>
            <w:gridSpan w:val="2"/>
            <w:tcBorders>
              <w:top w:val="single" w:sz="4" w:space="0" w:color="000000"/>
              <w:left w:val="single" w:sz="4" w:space="0" w:color="000000"/>
              <w:bottom w:val="single" w:sz="4" w:space="0" w:color="000000"/>
              <w:right w:val="single" w:sz="4" w:space="0" w:color="000000"/>
            </w:tcBorders>
          </w:tcPr>
          <w:p w14:paraId="5B82099B"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Zoledrono rūgštis 4 mg</w:t>
            </w:r>
          </w:p>
        </w:tc>
        <w:tc>
          <w:tcPr>
            <w:tcW w:w="850" w:type="dxa"/>
            <w:tcBorders>
              <w:top w:val="single" w:sz="4" w:space="0" w:color="000000"/>
              <w:left w:val="single" w:sz="4" w:space="0" w:color="000000"/>
              <w:bottom w:val="single" w:sz="4" w:space="0" w:color="000000"/>
              <w:right w:val="single" w:sz="4" w:space="0" w:color="000000"/>
            </w:tcBorders>
          </w:tcPr>
          <w:p w14:paraId="26B763B7"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Placebas</w:t>
            </w:r>
          </w:p>
        </w:tc>
      </w:tr>
      <w:tr w:rsidR="004F7AA9" w:rsidRPr="007777D9" w14:paraId="4B57C55B" w14:textId="77777777" w:rsidTr="009A4A51">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14:paraId="16BCEC4C"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w:t>
            </w:r>
          </w:p>
        </w:tc>
        <w:tc>
          <w:tcPr>
            <w:tcW w:w="1356" w:type="dxa"/>
            <w:gridSpan w:val="3"/>
            <w:tcBorders>
              <w:top w:val="single" w:sz="4" w:space="0" w:color="000000"/>
              <w:left w:val="single" w:sz="4" w:space="0" w:color="000000"/>
              <w:bottom w:val="single" w:sz="4" w:space="0" w:color="000000"/>
              <w:right w:val="single" w:sz="4" w:space="0" w:color="000000"/>
            </w:tcBorders>
          </w:tcPr>
          <w:p w14:paraId="68C1D5EE"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257</w:t>
            </w:r>
          </w:p>
        </w:tc>
        <w:tc>
          <w:tcPr>
            <w:tcW w:w="1011" w:type="dxa"/>
            <w:tcBorders>
              <w:top w:val="single" w:sz="4" w:space="0" w:color="000000"/>
              <w:left w:val="single" w:sz="4" w:space="0" w:color="000000"/>
              <w:bottom w:val="single" w:sz="4" w:space="0" w:color="000000"/>
              <w:right w:val="single" w:sz="4" w:space="0" w:color="000000"/>
            </w:tcBorders>
          </w:tcPr>
          <w:p w14:paraId="6F38FFB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250</w:t>
            </w:r>
          </w:p>
        </w:tc>
        <w:tc>
          <w:tcPr>
            <w:tcW w:w="1399" w:type="dxa"/>
            <w:gridSpan w:val="3"/>
            <w:tcBorders>
              <w:top w:val="single" w:sz="4" w:space="0" w:color="000000"/>
              <w:left w:val="single" w:sz="4" w:space="0" w:color="000000"/>
              <w:bottom w:val="single" w:sz="4" w:space="0" w:color="000000"/>
              <w:right w:val="single" w:sz="4" w:space="0" w:color="000000"/>
            </w:tcBorders>
          </w:tcPr>
          <w:p w14:paraId="78B83EFD"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257</w:t>
            </w:r>
          </w:p>
        </w:tc>
        <w:tc>
          <w:tcPr>
            <w:tcW w:w="928" w:type="dxa"/>
            <w:tcBorders>
              <w:top w:val="single" w:sz="4" w:space="0" w:color="000000"/>
              <w:left w:val="single" w:sz="4" w:space="0" w:color="000000"/>
              <w:bottom w:val="single" w:sz="4" w:space="0" w:color="000000"/>
              <w:right w:val="single" w:sz="4" w:space="0" w:color="000000"/>
            </w:tcBorders>
          </w:tcPr>
          <w:p w14:paraId="4F5572C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250</w:t>
            </w:r>
          </w:p>
        </w:tc>
        <w:tc>
          <w:tcPr>
            <w:tcW w:w="1340" w:type="dxa"/>
            <w:gridSpan w:val="2"/>
            <w:tcBorders>
              <w:top w:val="single" w:sz="4" w:space="0" w:color="000000"/>
              <w:left w:val="single" w:sz="4" w:space="0" w:color="000000"/>
              <w:bottom w:val="single" w:sz="4" w:space="0" w:color="000000"/>
              <w:right w:val="single" w:sz="4" w:space="0" w:color="000000"/>
            </w:tcBorders>
          </w:tcPr>
          <w:p w14:paraId="1C2255A1"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257</w:t>
            </w:r>
          </w:p>
        </w:tc>
        <w:tc>
          <w:tcPr>
            <w:tcW w:w="850" w:type="dxa"/>
            <w:tcBorders>
              <w:top w:val="single" w:sz="4" w:space="0" w:color="000000"/>
              <w:left w:val="single" w:sz="4" w:space="0" w:color="000000"/>
              <w:bottom w:val="single" w:sz="4" w:space="0" w:color="000000"/>
              <w:right w:val="single" w:sz="4" w:space="0" w:color="000000"/>
            </w:tcBorders>
          </w:tcPr>
          <w:p w14:paraId="6C3BC09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250</w:t>
            </w:r>
          </w:p>
        </w:tc>
      </w:tr>
      <w:tr w:rsidR="004F7AA9" w:rsidRPr="007777D9" w14:paraId="11B95FFD" w14:textId="77777777" w:rsidTr="009A4A51">
        <w:trPr>
          <w:trHeight w:hRule="exact" w:val="516"/>
        </w:trPr>
        <w:tc>
          <w:tcPr>
            <w:tcW w:w="2236" w:type="dxa"/>
            <w:tcBorders>
              <w:top w:val="single" w:sz="4" w:space="0" w:color="000000"/>
              <w:left w:val="single" w:sz="4" w:space="0" w:color="000000"/>
              <w:bottom w:val="single" w:sz="4" w:space="0" w:color="000000"/>
              <w:right w:val="single" w:sz="4" w:space="0" w:color="000000"/>
            </w:tcBorders>
          </w:tcPr>
          <w:p w14:paraId="013B1AF0"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Pacientų, kuriems</w:t>
            </w:r>
          </w:p>
          <w:p w14:paraId="53852BB9"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nustatyta SP, dalis (%)</w:t>
            </w:r>
          </w:p>
        </w:tc>
        <w:tc>
          <w:tcPr>
            <w:tcW w:w="1356" w:type="dxa"/>
            <w:gridSpan w:val="3"/>
            <w:tcBorders>
              <w:top w:val="single" w:sz="4" w:space="0" w:color="000000"/>
              <w:left w:val="single" w:sz="4" w:space="0" w:color="000000"/>
              <w:bottom w:val="single" w:sz="4" w:space="0" w:color="000000"/>
              <w:right w:val="single" w:sz="4" w:space="0" w:color="000000"/>
            </w:tcBorders>
          </w:tcPr>
          <w:p w14:paraId="36EB3D70"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39</w:t>
            </w:r>
          </w:p>
        </w:tc>
        <w:tc>
          <w:tcPr>
            <w:tcW w:w="1011" w:type="dxa"/>
            <w:tcBorders>
              <w:top w:val="single" w:sz="4" w:space="0" w:color="000000"/>
              <w:left w:val="single" w:sz="4" w:space="0" w:color="000000"/>
              <w:bottom w:val="single" w:sz="4" w:space="0" w:color="000000"/>
              <w:right w:val="single" w:sz="4" w:space="0" w:color="000000"/>
            </w:tcBorders>
          </w:tcPr>
          <w:p w14:paraId="79A0BFD6"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48</w:t>
            </w:r>
          </w:p>
        </w:tc>
        <w:tc>
          <w:tcPr>
            <w:tcW w:w="1399" w:type="dxa"/>
            <w:gridSpan w:val="3"/>
            <w:tcBorders>
              <w:top w:val="single" w:sz="4" w:space="0" w:color="000000"/>
              <w:left w:val="single" w:sz="4" w:space="0" w:color="000000"/>
              <w:bottom w:val="single" w:sz="4" w:space="0" w:color="000000"/>
              <w:right w:val="single" w:sz="4" w:space="0" w:color="000000"/>
            </w:tcBorders>
          </w:tcPr>
          <w:p w14:paraId="26EC5FE4"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16</w:t>
            </w:r>
          </w:p>
        </w:tc>
        <w:tc>
          <w:tcPr>
            <w:tcW w:w="928" w:type="dxa"/>
            <w:tcBorders>
              <w:top w:val="single" w:sz="4" w:space="0" w:color="000000"/>
              <w:left w:val="single" w:sz="4" w:space="0" w:color="000000"/>
              <w:bottom w:val="single" w:sz="4" w:space="0" w:color="000000"/>
              <w:right w:val="single" w:sz="4" w:space="0" w:color="000000"/>
            </w:tcBorders>
          </w:tcPr>
          <w:p w14:paraId="55277E1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22</w:t>
            </w:r>
          </w:p>
        </w:tc>
        <w:tc>
          <w:tcPr>
            <w:tcW w:w="1340" w:type="dxa"/>
            <w:gridSpan w:val="2"/>
            <w:tcBorders>
              <w:top w:val="single" w:sz="4" w:space="0" w:color="000000"/>
              <w:left w:val="single" w:sz="4" w:space="0" w:color="000000"/>
              <w:bottom w:val="single" w:sz="4" w:space="0" w:color="000000"/>
              <w:right w:val="single" w:sz="4" w:space="0" w:color="000000"/>
            </w:tcBorders>
          </w:tcPr>
          <w:p w14:paraId="671C8D58"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29</w:t>
            </w:r>
          </w:p>
        </w:tc>
        <w:tc>
          <w:tcPr>
            <w:tcW w:w="850" w:type="dxa"/>
            <w:tcBorders>
              <w:top w:val="single" w:sz="4" w:space="0" w:color="000000"/>
              <w:left w:val="single" w:sz="4" w:space="0" w:color="000000"/>
              <w:bottom w:val="single" w:sz="4" w:space="0" w:color="000000"/>
              <w:right w:val="single" w:sz="4" w:space="0" w:color="000000"/>
            </w:tcBorders>
          </w:tcPr>
          <w:p w14:paraId="4D675F21"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34</w:t>
            </w:r>
          </w:p>
        </w:tc>
      </w:tr>
      <w:tr w:rsidR="004F7AA9" w:rsidRPr="007777D9" w14:paraId="075F78D9" w14:textId="77777777" w:rsidTr="009A4A51">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14:paraId="0FA42F1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 rodmuo</w:t>
            </w:r>
          </w:p>
        </w:tc>
        <w:tc>
          <w:tcPr>
            <w:tcW w:w="2367" w:type="dxa"/>
            <w:gridSpan w:val="4"/>
            <w:tcBorders>
              <w:top w:val="single" w:sz="4" w:space="0" w:color="000000"/>
              <w:left w:val="single" w:sz="4" w:space="0" w:color="000000"/>
              <w:bottom w:val="single" w:sz="4" w:space="0" w:color="000000"/>
              <w:right w:val="single" w:sz="4" w:space="0" w:color="000000"/>
            </w:tcBorders>
          </w:tcPr>
          <w:p w14:paraId="28AEAE4A"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0,039</w:t>
            </w:r>
          </w:p>
        </w:tc>
        <w:tc>
          <w:tcPr>
            <w:tcW w:w="2327" w:type="dxa"/>
            <w:gridSpan w:val="4"/>
            <w:tcBorders>
              <w:top w:val="single" w:sz="4" w:space="0" w:color="000000"/>
              <w:left w:val="single" w:sz="4" w:space="0" w:color="000000"/>
              <w:bottom w:val="single" w:sz="4" w:space="0" w:color="000000"/>
              <w:right w:val="single" w:sz="4" w:space="0" w:color="000000"/>
            </w:tcBorders>
          </w:tcPr>
          <w:p w14:paraId="5061242C"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0,064</w:t>
            </w:r>
          </w:p>
        </w:tc>
        <w:tc>
          <w:tcPr>
            <w:tcW w:w="2190" w:type="dxa"/>
            <w:gridSpan w:val="3"/>
            <w:tcBorders>
              <w:top w:val="single" w:sz="4" w:space="0" w:color="000000"/>
              <w:left w:val="single" w:sz="4" w:space="0" w:color="000000"/>
              <w:bottom w:val="single" w:sz="4" w:space="0" w:color="000000"/>
              <w:right w:val="single" w:sz="4" w:space="0" w:color="000000"/>
            </w:tcBorders>
          </w:tcPr>
          <w:p w14:paraId="39B59D47"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0,173</w:t>
            </w:r>
          </w:p>
        </w:tc>
      </w:tr>
      <w:tr w:rsidR="004F7AA9" w:rsidRPr="007777D9" w14:paraId="7F63C1E9" w14:textId="77777777" w:rsidTr="009A4A51">
        <w:trPr>
          <w:trHeight w:hRule="exact" w:val="509"/>
        </w:trPr>
        <w:tc>
          <w:tcPr>
            <w:tcW w:w="2236" w:type="dxa"/>
            <w:tcBorders>
              <w:top w:val="single" w:sz="4" w:space="0" w:color="000000"/>
              <w:left w:val="single" w:sz="4" w:space="0" w:color="000000"/>
              <w:bottom w:val="single" w:sz="4" w:space="0" w:color="000000"/>
              <w:right w:val="single" w:sz="4" w:space="0" w:color="000000"/>
            </w:tcBorders>
          </w:tcPr>
          <w:p w14:paraId="74ABDE51"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Laiko iki SP mediana</w:t>
            </w:r>
          </w:p>
          <w:p w14:paraId="007CC031" w14:textId="77777777" w:rsidR="004F7AA9" w:rsidRPr="007777D9" w:rsidRDefault="004F7AA9" w:rsidP="009A4A51">
            <w:pPr>
              <w:widowControl w:val="0"/>
              <w:tabs>
                <w:tab w:val="clear" w:pos="567"/>
              </w:tabs>
              <w:spacing w:line="240" w:lineRule="auto"/>
              <w:rPr>
                <w:snapToGrid/>
                <w:szCs w:val="22"/>
                <w:lang w:val="lt-LT"/>
              </w:rPr>
            </w:pPr>
          </w:p>
        </w:tc>
        <w:tc>
          <w:tcPr>
            <w:tcW w:w="1274" w:type="dxa"/>
            <w:tcBorders>
              <w:top w:val="single" w:sz="4" w:space="0" w:color="000000"/>
              <w:left w:val="single" w:sz="4" w:space="0" w:color="000000"/>
              <w:bottom w:val="single" w:sz="4" w:space="0" w:color="000000"/>
              <w:right w:val="single" w:sz="4" w:space="0" w:color="000000"/>
            </w:tcBorders>
          </w:tcPr>
          <w:p w14:paraId="4CE5C788"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236</w:t>
            </w:r>
          </w:p>
        </w:tc>
        <w:tc>
          <w:tcPr>
            <w:tcW w:w="1093" w:type="dxa"/>
            <w:gridSpan w:val="3"/>
            <w:tcBorders>
              <w:top w:val="single" w:sz="4" w:space="0" w:color="000000"/>
              <w:left w:val="single" w:sz="4" w:space="0" w:color="000000"/>
              <w:bottom w:val="single" w:sz="4" w:space="0" w:color="000000"/>
              <w:right w:val="single" w:sz="4" w:space="0" w:color="000000"/>
            </w:tcBorders>
          </w:tcPr>
          <w:p w14:paraId="26247AE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155</w:t>
            </w:r>
          </w:p>
        </w:tc>
        <w:tc>
          <w:tcPr>
            <w:tcW w:w="1246" w:type="dxa"/>
            <w:gridSpan w:val="2"/>
            <w:tcBorders>
              <w:top w:val="single" w:sz="4" w:space="0" w:color="000000"/>
              <w:left w:val="single" w:sz="4" w:space="0" w:color="000000"/>
              <w:bottom w:val="single" w:sz="4" w:space="0" w:color="000000"/>
              <w:right w:val="single" w:sz="4" w:space="0" w:color="000000"/>
            </w:tcBorders>
          </w:tcPr>
          <w:p w14:paraId="608CEF8D"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NP</w:t>
            </w:r>
          </w:p>
        </w:tc>
        <w:tc>
          <w:tcPr>
            <w:tcW w:w="1081" w:type="dxa"/>
            <w:gridSpan w:val="2"/>
            <w:tcBorders>
              <w:top w:val="single" w:sz="4" w:space="0" w:color="000000"/>
              <w:left w:val="single" w:sz="4" w:space="0" w:color="000000"/>
              <w:bottom w:val="single" w:sz="4" w:space="0" w:color="000000"/>
              <w:right w:val="single" w:sz="4" w:space="0" w:color="000000"/>
            </w:tcBorders>
          </w:tcPr>
          <w:p w14:paraId="19CECE10"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NP</w:t>
            </w:r>
          </w:p>
        </w:tc>
        <w:tc>
          <w:tcPr>
            <w:tcW w:w="1316" w:type="dxa"/>
            <w:tcBorders>
              <w:top w:val="single" w:sz="4" w:space="0" w:color="000000"/>
              <w:left w:val="single" w:sz="4" w:space="0" w:color="000000"/>
              <w:bottom w:val="single" w:sz="4" w:space="0" w:color="000000"/>
              <w:right w:val="single" w:sz="4" w:space="0" w:color="000000"/>
            </w:tcBorders>
          </w:tcPr>
          <w:p w14:paraId="2DC40D7C"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424</w:t>
            </w:r>
          </w:p>
        </w:tc>
        <w:tc>
          <w:tcPr>
            <w:tcW w:w="874" w:type="dxa"/>
            <w:gridSpan w:val="2"/>
            <w:tcBorders>
              <w:top w:val="single" w:sz="4" w:space="0" w:color="000000"/>
              <w:left w:val="single" w:sz="4" w:space="0" w:color="000000"/>
              <w:bottom w:val="single" w:sz="4" w:space="0" w:color="000000"/>
              <w:right w:val="single" w:sz="4" w:space="0" w:color="000000"/>
            </w:tcBorders>
          </w:tcPr>
          <w:p w14:paraId="5546276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307</w:t>
            </w:r>
          </w:p>
        </w:tc>
      </w:tr>
      <w:tr w:rsidR="004F7AA9" w:rsidRPr="007777D9" w14:paraId="3DD42CB1" w14:textId="77777777" w:rsidTr="009A4A51">
        <w:trPr>
          <w:trHeight w:hRule="exact" w:val="264"/>
        </w:trPr>
        <w:tc>
          <w:tcPr>
            <w:tcW w:w="2236" w:type="dxa"/>
            <w:tcBorders>
              <w:top w:val="single" w:sz="4" w:space="0" w:color="000000"/>
              <w:left w:val="single" w:sz="4" w:space="0" w:color="000000"/>
              <w:bottom w:val="single" w:sz="4" w:space="0" w:color="000000"/>
              <w:right w:val="single" w:sz="4" w:space="0" w:color="000000"/>
            </w:tcBorders>
          </w:tcPr>
          <w:p w14:paraId="3112F9C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 rodmuo</w:t>
            </w:r>
          </w:p>
        </w:tc>
        <w:tc>
          <w:tcPr>
            <w:tcW w:w="2367" w:type="dxa"/>
            <w:gridSpan w:val="4"/>
            <w:tcBorders>
              <w:top w:val="single" w:sz="4" w:space="0" w:color="000000"/>
              <w:left w:val="single" w:sz="4" w:space="0" w:color="000000"/>
              <w:bottom w:val="single" w:sz="4" w:space="0" w:color="000000"/>
              <w:right w:val="single" w:sz="4" w:space="0" w:color="000000"/>
            </w:tcBorders>
          </w:tcPr>
          <w:p w14:paraId="400479E4"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0,009</w:t>
            </w:r>
          </w:p>
        </w:tc>
        <w:tc>
          <w:tcPr>
            <w:tcW w:w="2327" w:type="dxa"/>
            <w:gridSpan w:val="4"/>
            <w:tcBorders>
              <w:top w:val="single" w:sz="4" w:space="0" w:color="000000"/>
              <w:left w:val="single" w:sz="4" w:space="0" w:color="000000"/>
              <w:bottom w:val="single" w:sz="4" w:space="0" w:color="000000"/>
              <w:right w:val="single" w:sz="4" w:space="0" w:color="000000"/>
            </w:tcBorders>
          </w:tcPr>
          <w:p w14:paraId="06C507A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0,020</w:t>
            </w:r>
          </w:p>
        </w:tc>
        <w:tc>
          <w:tcPr>
            <w:tcW w:w="2190" w:type="dxa"/>
            <w:gridSpan w:val="3"/>
            <w:tcBorders>
              <w:top w:val="single" w:sz="4" w:space="0" w:color="000000"/>
              <w:left w:val="single" w:sz="4" w:space="0" w:color="000000"/>
              <w:bottom w:val="single" w:sz="4" w:space="0" w:color="000000"/>
              <w:right w:val="single" w:sz="4" w:space="0" w:color="000000"/>
            </w:tcBorders>
          </w:tcPr>
          <w:p w14:paraId="4FC46E9C"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0,079</w:t>
            </w:r>
          </w:p>
        </w:tc>
      </w:tr>
      <w:tr w:rsidR="004F7AA9" w:rsidRPr="007777D9" w14:paraId="599F1065" w14:textId="77777777" w:rsidTr="009A4A51">
        <w:trPr>
          <w:trHeight w:hRule="exact" w:val="516"/>
        </w:trPr>
        <w:tc>
          <w:tcPr>
            <w:tcW w:w="2236" w:type="dxa"/>
            <w:tcBorders>
              <w:top w:val="single" w:sz="4" w:space="0" w:color="000000"/>
              <w:left w:val="single" w:sz="4" w:space="0" w:color="000000"/>
              <w:bottom w:val="single" w:sz="4" w:space="0" w:color="000000"/>
              <w:right w:val="single" w:sz="4" w:space="0" w:color="000000"/>
            </w:tcBorders>
          </w:tcPr>
          <w:p w14:paraId="0FC349DC"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Sergamumas skeleto</w:t>
            </w:r>
          </w:p>
          <w:p w14:paraId="51F5424E"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pažeidimu</w:t>
            </w:r>
          </w:p>
        </w:tc>
        <w:tc>
          <w:tcPr>
            <w:tcW w:w="1274" w:type="dxa"/>
            <w:tcBorders>
              <w:top w:val="single" w:sz="4" w:space="0" w:color="000000"/>
              <w:left w:val="single" w:sz="4" w:space="0" w:color="000000"/>
              <w:bottom w:val="single" w:sz="4" w:space="0" w:color="000000"/>
              <w:right w:val="single" w:sz="4" w:space="0" w:color="000000"/>
            </w:tcBorders>
          </w:tcPr>
          <w:p w14:paraId="48FD8BD1"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1,74</w:t>
            </w:r>
          </w:p>
        </w:tc>
        <w:tc>
          <w:tcPr>
            <w:tcW w:w="1093" w:type="dxa"/>
            <w:gridSpan w:val="3"/>
            <w:tcBorders>
              <w:top w:val="single" w:sz="4" w:space="0" w:color="000000"/>
              <w:left w:val="single" w:sz="4" w:space="0" w:color="000000"/>
              <w:bottom w:val="single" w:sz="4" w:space="0" w:color="000000"/>
              <w:right w:val="single" w:sz="4" w:space="0" w:color="000000"/>
            </w:tcBorders>
          </w:tcPr>
          <w:p w14:paraId="41E9B6D4"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2,71</w:t>
            </w:r>
          </w:p>
        </w:tc>
        <w:tc>
          <w:tcPr>
            <w:tcW w:w="1246" w:type="dxa"/>
            <w:gridSpan w:val="2"/>
            <w:tcBorders>
              <w:top w:val="single" w:sz="4" w:space="0" w:color="000000"/>
              <w:left w:val="single" w:sz="4" w:space="0" w:color="000000"/>
              <w:bottom w:val="single" w:sz="4" w:space="0" w:color="000000"/>
              <w:right w:val="single" w:sz="4" w:space="0" w:color="000000"/>
            </w:tcBorders>
          </w:tcPr>
          <w:p w14:paraId="3E17BE0E"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0,39</w:t>
            </w:r>
          </w:p>
        </w:tc>
        <w:tc>
          <w:tcPr>
            <w:tcW w:w="1081" w:type="dxa"/>
            <w:gridSpan w:val="2"/>
            <w:tcBorders>
              <w:top w:val="single" w:sz="4" w:space="0" w:color="000000"/>
              <w:left w:val="single" w:sz="4" w:space="0" w:color="000000"/>
              <w:bottom w:val="single" w:sz="4" w:space="0" w:color="000000"/>
              <w:right w:val="single" w:sz="4" w:space="0" w:color="000000"/>
            </w:tcBorders>
          </w:tcPr>
          <w:p w14:paraId="2FE2ED2A"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0,63</w:t>
            </w:r>
          </w:p>
        </w:tc>
        <w:tc>
          <w:tcPr>
            <w:tcW w:w="1316" w:type="dxa"/>
            <w:tcBorders>
              <w:top w:val="single" w:sz="4" w:space="0" w:color="000000"/>
              <w:left w:val="single" w:sz="4" w:space="0" w:color="000000"/>
              <w:bottom w:val="single" w:sz="4" w:space="0" w:color="000000"/>
              <w:right w:val="single" w:sz="4" w:space="0" w:color="000000"/>
            </w:tcBorders>
          </w:tcPr>
          <w:p w14:paraId="2FB1221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1,24</w:t>
            </w:r>
          </w:p>
        </w:tc>
        <w:tc>
          <w:tcPr>
            <w:tcW w:w="874" w:type="dxa"/>
            <w:gridSpan w:val="2"/>
            <w:tcBorders>
              <w:top w:val="single" w:sz="4" w:space="0" w:color="000000"/>
              <w:left w:val="single" w:sz="4" w:space="0" w:color="000000"/>
              <w:bottom w:val="single" w:sz="4" w:space="0" w:color="000000"/>
              <w:right w:val="single" w:sz="4" w:space="0" w:color="000000"/>
            </w:tcBorders>
          </w:tcPr>
          <w:p w14:paraId="3975071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1,89</w:t>
            </w:r>
          </w:p>
        </w:tc>
      </w:tr>
      <w:tr w:rsidR="004F7AA9" w:rsidRPr="007777D9" w14:paraId="5A3D5B4A" w14:textId="77777777" w:rsidTr="009A4A51">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14:paraId="4644CE41"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 rodmuo</w:t>
            </w:r>
          </w:p>
        </w:tc>
        <w:tc>
          <w:tcPr>
            <w:tcW w:w="2367" w:type="dxa"/>
            <w:gridSpan w:val="4"/>
            <w:tcBorders>
              <w:top w:val="single" w:sz="4" w:space="0" w:color="000000"/>
              <w:left w:val="single" w:sz="4" w:space="0" w:color="000000"/>
              <w:bottom w:val="single" w:sz="4" w:space="0" w:color="000000"/>
              <w:right w:val="single" w:sz="4" w:space="0" w:color="000000"/>
            </w:tcBorders>
          </w:tcPr>
          <w:p w14:paraId="58A96C1A"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0,012</w:t>
            </w:r>
          </w:p>
        </w:tc>
        <w:tc>
          <w:tcPr>
            <w:tcW w:w="2327" w:type="dxa"/>
            <w:gridSpan w:val="4"/>
            <w:tcBorders>
              <w:top w:val="single" w:sz="4" w:space="0" w:color="000000"/>
              <w:left w:val="single" w:sz="4" w:space="0" w:color="000000"/>
              <w:bottom w:val="single" w:sz="4" w:space="0" w:color="000000"/>
              <w:right w:val="single" w:sz="4" w:space="0" w:color="000000"/>
            </w:tcBorders>
          </w:tcPr>
          <w:p w14:paraId="76A50F2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0,066</w:t>
            </w:r>
          </w:p>
        </w:tc>
        <w:tc>
          <w:tcPr>
            <w:tcW w:w="2190" w:type="dxa"/>
            <w:gridSpan w:val="3"/>
            <w:tcBorders>
              <w:top w:val="single" w:sz="4" w:space="0" w:color="000000"/>
              <w:left w:val="single" w:sz="4" w:space="0" w:color="000000"/>
              <w:bottom w:val="single" w:sz="4" w:space="0" w:color="000000"/>
              <w:right w:val="single" w:sz="4" w:space="0" w:color="000000"/>
            </w:tcBorders>
          </w:tcPr>
          <w:p w14:paraId="3542AEEC"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0,099</w:t>
            </w:r>
          </w:p>
        </w:tc>
      </w:tr>
      <w:tr w:rsidR="004F7AA9" w:rsidRPr="007777D9" w14:paraId="47DF73EC" w14:textId="77777777" w:rsidTr="009A4A51">
        <w:trPr>
          <w:trHeight w:hRule="exact" w:val="768"/>
        </w:trPr>
        <w:tc>
          <w:tcPr>
            <w:tcW w:w="2236" w:type="dxa"/>
            <w:tcBorders>
              <w:top w:val="single" w:sz="4" w:space="0" w:color="000000"/>
              <w:left w:val="single" w:sz="4" w:space="0" w:color="000000"/>
              <w:bottom w:val="single" w:sz="4" w:space="0" w:color="000000"/>
              <w:right w:val="single" w:sz="4" w:space="0" w:color="000000"/>
            </w:tcBorders>
          </w:tcPr>
          <w:p w14:paraId="7EE411A0"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Dauginių reiškinių</w:t>
            </w:r>
          </w:p>
          <w:p w14:paraId="0E852EF9"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rizikos sumažėjimas</w:t>
            </w:r>
          </w:p>
          <w:p w14:paraId="2667C61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 (%)</w:t>
            </w:r>
          </w:p>
        </w:tc>
        <w:tc>
          <w:tcPr>
            <w:tcW w:w="1300" w:type="dxa"/>
            <w:gridSpan w:val="2"/>
            <w:tcBorders>
              <w:top w:val="single" w:sz="4" w:space="0" w:color="000000"/>
              <w:left w:val="single" w:sz="4" w:space="0" w:color="000000"/>
              <w:bottom w:val="single" w:sz="4" w:space="0" w:color="000000"/>
              <w:right w:val="single" w:sz="4" w:space="0" w:color="000000"/>
            </w:tcBorders>
          </w:tcPr>
          <w:p w14:paraId="7626828B"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30,7</w:t>
            </w:r>
          </w:p>
        </w:tc>
        <w:tc>
          <w:tcPr>
            <w:tcW w:w="1100" w:type="dxa"/>
            <w:gridSpan w:val="3"/>
            <w:tcBorders>
              <w:top w:val="single" w:sz="4" w:space="0" w:color="000000"/>
              <w:left w:val="single" w:sz="4" w:space="0" w:color="000000"/>
              <w:bottom w:val="single" w:sz="4" w:space="0" w:color="000000"/>
              <w:right w:val="single" w:sz="4" w:space="0" w:color="000000"/>
            </w:tcBorders>
          </w:tcPr>
          <w:p w14:paraId="3E6AFED0"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w:t>
            </w:r>
          </w:p>
        </w:tc>
        <w:tc>
          <w:tcPr>
            <w:tcW w:w="1213" w:type="dxa"/>
            <w:tcBorders>
              <w:top w:val="single" w:sz="4" w:space="0" w:color="000000"/>
              <w:left w:val="single" w:sz="4" w:space="0" w:color="000000"/>
              <w:bottom w:val="single" w:sz="4" w:space="0" w:color="000000"/>
              <w:right w:val="single" w:sz="4" w:space="0" w:color="000000"/>
            </w:tcBorders>
          </w:tcPr>
          <w:p w14:paraId="29BE5631"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c>
          <w:tcPr>
            <w:tcW w:w="1081" w:type="dxa"/>
            <w:gridSpan w:val="2"/>
            <w:tcBorders>
              <w:top w:val="single" w:sz="4" w:space="0" w:color="000000"/>
              <w:left w:val="single" w:sz="4" w:space="0" w:color="000000"/>
              <w:bottom w:val="single" w:sz="4" w:space="0" w:color="000000"/>
              <w:right w:val="single" w:sz="4" w:space="0" w:color="000000"/>
            </w:tcBorders>
          </w:tcPr>
          <w:p w14:paraId="05FD6D79"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c>
          <w:tcPr>
            <w:tcW w:w="1316" w:type="dxa"/>
            <w:tcBorders>
              <w:top w:val="single" w:sz="4" w:space="0" w:color="000000"/>
              <w:left w:val="single" w:sz="4" w:space="0" w:color="000000"/>
              <w:bottom w:val="single" w:sz="4" w:space="0" w:color="000000"/>
              <w:right w:val="single" w:sz="4" w:space="0" w:color="000000"/>
            </w:tcBorders>
          </w:tcPr>
          <w:p w14:paraId="665D5C00"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c>
          <w:tcPr>
            <w:tcW w:w="874" w:type="dxa"/>
            <w:gridSpan w:val="2"/>
            <w:tcBorders>
              <w:top w:val="single" w:sz="4" w:space="0" w:color="000000"/>
              <w:left w:val="single" w:sz="4" w:space="0" w:color="000000"/>
              <w:bottom w:val="single" w:sz="4" w:space="0" w:color="000000"/>
              <w:right w:val="single" w:sz="4" w:space="0" w:color="000000"/>
            </w:tcBorders>
          </w:tcPr>
          <w:p w14:paraId="269F49D0"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r>
      <w:tr w:rsidR="004F7AA9" w:rsidRPr="007777D9" w14:paraId="721E5280" w14:textId="77777777" w:rsidTr="009A4A51">
        <w:trPr>
          <w:trHeight w:hRule="exact" w:val="264"/>
        </w:trPr>
        <w:tc>
          <w:tcPr>
            <w:tcW w:w="2236" w:type="dxa"/>
            <w:tcBorders>
              <w:top w:val="single" w:sz="4" w:space="0" w:color="000000"/>
              <w:left w:val="single" w:sz="4" w:space="0" w:color="000000"/>
              <w:bottom w:val="single" w:sz="4" w:space="0" w:color="000000"/>
              <w:right w:val="single" w:sz="4" w:space="0" w:color="000000"/>
            </w:tcBorders>
          </w:tcPr>
          <w:p w14:paraId="626F09E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 rodmuo</w:t>
            </w:r>
          </w:p>
        </w:tc>
        <w:tc>
          <w:tcPr>
            <w:tcW w:w="2400" w:type="dxa"/>
            <w:gridSpan w:val="5"/>
            <w:tcBorders>
              <w:top w:val="single" w:sz="4" w:space="0" w:color="000000"/>
              <w:left w:val="single" w:sz="4" w:space="0" w:color="000000"/>
              <w:bottom w:val="single" w:sz="4" w:space="0" w:color="000000"/>
              <w:right w:val="single" w:sz="4" w:space="0" w:color="000000"/>
            </w:tcBorders>
          </w:tcPr>
          <w:p w14:paraId="58DB2B8B"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0,003</w:t>
            </w:r>
          </w:p>
        </w:tc>
        <w:tc>
          <w:tcPr>
            <w:tcW w:w="2294" w:type="dxa"/>
            <w:gridSpan w:val="3"/>
            <w:tcBorders>
              <w:top w:val="single" w:sz="4" w:space="0" w:color="000000"/>
              <w:left w:val="single" w:sz="4" w:space="0" w:color="000000"/>
              <w:bottom w:val="single" w:sz="4" w:space="0" w:color="000000"/>
              <w:right w:val="single" w:sz="4" w:space="0" w:color="000000"/>
            </w:tcBorders>
          </w:tcPr>
          <w:p w14:paraId="6B226AC8"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c>
          <w:tcPr>
            <w:tcW w:w="2190" w:type="dxa"/>
            <w:gridSpan w:val="3"/>
            <w:tcBorders>
              <w:top w:val="single" w:sz="4" w:space="0" w:color="000000"/>
              <w:left w:val="single" w:sz="4" w:space="0" w:color="000000"/>
              <w:bottom w:val="single" w:sz="4" w:space="0" w:color="000000"/>
              <w:right w:val="single" w:sz="4" w:space="0" w:color="000000"/>
            </w:tcBorders>
          </w:tcPr>
          <w:p w14:paraId="22675B17"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r>
    </w:tbl>
    <w:p w14:paraId="104FEDD7"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Apima slankstelių ir ne slankstelių lūžius.</w:t>
      </w:r>
    </w:p>
    <w:p w14:paraId="656415F6"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 xml:space="preserve">Visi skeleto reiškiniai, bendras skaičius bei laikas iki kiekvieno reiškinio atsiradimo tyrimo metu. </w:t>
      </w:r>
    </w:p>
    <w:p w14:paraId="4BAB7BCC"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lastRenderedPageBreak/>
        <w:t>NP</w:t>
      </w:r>
      <w:r w:rsidRPr="007777D9">
        <w:rPr>
          <w:snapToGrid/>
          <w:szCs w:val="22"/>
          <w:lang w:val="lt-LT"/>
        </w:rPr>
        <w:tab/>
        <w:t>Nepasiekta</w:t>
      </w:r>
    </w:p>
    <w:p w14:paraId="0CB91D80"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NA</w:t>
      </w:r>
      <w:r w:rsidRPr="007777D9">
        <w:rPr>
          <w:snapToGrid/>
          <w:szCs w:val="22"/>
          <w:lang w:val="lt-LT"/>
        </w:rPr>
        <w:tab/>
        <w:t>Neaktualu</w:t>
      </w:r>
    </w:p>
    <w:p w14:paraId="34AD698E" w14:textId="77777777" w:rsidR="004F7AA9" w:rsidRPr="007777D9" w:rsidDel="009B27D6" w:rsidRDefault="004F7AA9" w:rsidP="004F7AA9">
      <w:pPr>
        <w:widowControl w:val="0"/>
        <w:tabs>
          <w:tab w:val="clear" w:pos="567"/>
        </w:tabs>
        <w:spacing w:line="240" w:lineRule="auto"/>
        <w:rPr>
          <w:snapToGrid/>
          <w:szCs w:val="22"/>
          <w:lang w:val="lt-LT"/>
        </w:rPr>
      </w:pPr>
    </w:p>
    <w:p w14:paraId="7BB72CF2"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Trečiojo III fazės atsitiktinių imčių, dvigubai koduoto tyrimo, kuriame dalyvavo daugine mielomine ar krūties vėžiu sergantys pacient</w:t>
      </w:r>
      <w:r>
        <w:rPr>
          <w:snapToGrid/>
          <w:szCs w:val="22"/>
          <w:lang w:val="lt-LT"/>
        </w:rPr>
        <w:t>ai</w:t>
      </w:r>
      <w:r w:rsidRPr="007777D9">
        <w:rPr>
          <w:snapToGrid/>
          <w:szCs w:val="22"/>
          <w:lang w:val="lt-LT"/>
        </w:rPr>
        <w:t>, kuriems yra bent vienas kaulų pažeidimas, metu buvo lygintas 4 mg zoledrono rūgšties ir 90 mg pamidronato, vartojam</w:t>
      </w:r>
      <w:r>
        <w:rPr>
          <w:snapToGrid/>
          <w:szCs w:val="22"/>
          <w:lang w:val="lt-LT"/>
        </w:rPr>
        <w:t>o</w:t>
      </w:r>
      <w:r w:rsidRPr="007777D9">
        <w:rPr>
          <w:snapToGrid/>
          <w:szCs w:val="22"/>
          <w:lang w:val="lt-LT"/>
        </w:rPr>
        <w:t xml:space="preserve"> kas 3–4 savaites, poveikis. Rezultatai parodė, kad 4 mg zoledrono rūgšties dozės veiksmingumas jos vartojant SP profilaktikai yra panašus į 90 mg pamidronato dozės veiksmingumą. Dauginių reiškinių analizė parodė reikšmingą rizikos sumažėjimą (16%) pacientams, vartojusiems 4 mg zoledrono rūgšties dozę, palyginti su pacientais, kurie vartojo pamidronato. Veiksmingumo rezultatai pateikti 4 lentelėje.</w:t>
      </w:r>
    </w:p>
    <w:p w14:paraId="3D44413E" w14:textId="77777777" w:rsidR="004F7AA9" w:rsidRPr="007777D9" w:rsidRDefault="004F7AA9" w:rsidP="004F7AA9">
      <w:pPr>
        <w:widowControl w:val="0"/>
        <w:tabs>
          <w:tab w:val="clear" w:pos="567"/>
        </w:tabs>
        <w:spacing w:line="240" w:lineRule="auto"/>
        <w:rPr>
          <w:snapToGrid/>
          <w:szCs w:val="22"/>
          <w:lang w:val="lt-LT"/>
        </w:rPr>
      </w:pPr>
    </w:p>
    <w:p w14:paraId="7E87AEC7"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position w:val="-1"/>
          <w:szCs w:val="22"/>
          <w:lang w:val="lt-LT"/>
        </w:rPr>
        <w:t xml:space="preserve">4 lentelė. </w:t>
      </w:r>
      <w:r w:rsidRPr="007777D9">
        <w:rPr>
          <w:snapToGrid/>
          <w:position w:val="-1"/>
          <w:szCs w:val="22"/>
          <w:lang w:val="lt-LT"/>
        </w:rPr>
        <w:t>Veiksmingumo rezultatai (krūties vėžiu ar mielomine liga sergančių pacientų duomenys).</w:t>
      </w:r>
    </w:p>
    <w:p w14:paraId="3648FE88" w14:textId="77777777" w:rsidR="004F7AA9" w:rsidRPr="007777D9" w:rsidRDefault="004F7AA9" w:rsidP="004F7AA9">
      <w:pPr>
        <w:widowControl w:val="0"/>
        <w:tabs>
          <w:tab w:val="clear" w:pos="567"/>
        </w:tabs>
        <w:spacing w:line="240" w:lineRule="auto"/>
        <w:rPr>
          <w:snapToGrid/>
          <w:szCs w:val="22"/>
          <w:lang w:val="lt-LT"/>
        </w:rPr>
      </w:pPr>
    </w:p>
    <w:tbl>
      <w:tblPr>
        <w:tblW w:w="9120" w:type="dxa"/>
        <w:tblInd w:w="99" w:type="dxa"/>
        <w:tblLayout w:type="fixed"/>
        <w:tblCellMar>
          <w:left w:w="0" w:type="dxa"/>
          <w:right w:w="0" w:type="dxa"/>
        </w:tblCellMar>
        <w:tblLook w:val="01E0" w:firstRow="1" w:lastRow="1" w:firstColumn="1" w:lastColumn="1" w:noHBand="0" w:noVBand="0"/>
      </w:tblPr>
      <w:tblGrid>
        <w:gridCol w:w="2236"/>
        <w:gridCol w:w="1274"/>
        <w:gridCol w:w="82"/>
        <w:gridCol w:w="912"/>
        <w:gridCol w:w="1276"/>
        <w:gridCol w:w="80"/>
        <w:gridCol w:w="1054"/>
        <w:gridCol w:w="1276"/>
        <w:gridCol w:w="80"/>
        <w:gridCol w:w="850"/>
      </w:tblGrid>
      <w:tr w:rsidR="004F7AA9" w:rsidRPr="007777D9" w14:paraId="36A902C3" w14:textId="77777777" w:rsidTr="009A4A51">
        <w:trPr>
          <w:trHeight w:hRule="exact" w:val="516"/>
        </w:trPr>
        <w:tc>
          <w:tcPr>
            <w:tcW w:w="2236" w:type="dxa"/>
            <w:tcBorders>
              <w:top w:val="single" w:sz="4" w:space="0" w:color="000000"/>
              <w:left w:val="single" w:sz="4" w:space="0" w:color="000000"/>
              <w:bottom w:val="single" w:sz="4" w:space="0" w:color="000000"/>
              <w:right w:val="single" w:sz="4" w:space="0" w:color="000000"/>
            </w:tcBorders>
          </w:tcPr>
          <w:p w14:paraId="29597329" w14:textId="77777777" w:rsidR="004F7AA9" w:rsidRPr="007777D9" w:rsidRDefault="004F7AA9" w:rsidP="009A4A51">
            <w:pPr>
              <w:widowControl w:val="0"/>
              <w:tabs>
                <w:tab w:val="clear" w:pos="567"/>
              </w:tabs>
              <w:spacing w:line="240" w:lineRule="auto"/>
              <w:rPr>
                <w:snapToGrid/>
                <w:szCs w:val="22"/>
                <w:lang w:val="lt-LT"/>
              </w:rPr>
            </w:pPr>
          </w:p>
        </w:tc>
        <w:tc>
          <w:tcPr>
            <w:tcW w:w="2268" w:type="dxa"/>
            <w:gridSpan w:val="3"/>
            <w:tcBorders>
              <w:top w:val="single" w:sz="4" w:space="0" w:color="000000"/>
              <w:left w:val="single" w:sz="4" w:space="0" w:color="000000"/>
              <w:bottom w:val="single" w:sz="4" w:space="0" w:color="000000"/>
              <w:right w:val="single" w:sz="4" w:space="0" w:color="000000"/>
            </w:tcBorders>
          </w:tcPr>
          <w:p w14:paraId="67A3B7D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u w:color="000000"/>
                <w:lang w:val="lt-LT"/>
              </w:rPr>
              <w:t>Bet koks SP (+NSH)</w:t>
            </w:r>
          </w:p>
        </w:tc>
        <w:tc>
          <w:tcPr>
            <w:tcW w:w="2410" w:type="dxa"/>
            <w:gridSpan w:val="3"/>
            <w:tcBorders>
              <w:top w:val="single" w:sz="4" w:space="0" w:color="000000"/>
              <w:left w:val="single" w:sz="4" w:space="0" w:color="000000"/>
              <w:bottom w:val="single" w:sz="4" w:space="0" w:color="000000"/>
              <w:right w:val="single" w:sz="4" w:space="0" w:color="000000"/>
            </w:tcBorders>
          </w:tcPr>
          <w:p w14:paraId="0ED1C6E6"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u w:color="000000"/>
                <w:lang w:val="lt-LT"/>
              </w:rPr>
              <w:t>Lūžiai*</w:t>
            </w:r>
          </w:p>
        </w:tc>
        <w:tc>
          <w:tcPr>
            <w:tcW w:w="2206" w:type="dxa"/>
            <w:gridSpan w:val="3"/>
            <w:tcBorders>
              <w:top w:val="single" w:sz="4" w:space="0" w:color="000000"/>
              <w:left w:val="single" w:sz="4" w:space="0" w:color="000000"/>
              <w:bottom w:val="single" w:sz="4" w:space="0" w:color="000000"/>
              <w:right w:val="single" w:sz="4" w:space="0" w:color="000000"/>
            </w:tcBorders>
          </w:tcPr>
          <w:p w14:paraId="20C813B6"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u w:color="000000"/>
                <w:lang w:val="lt-LT"/>
              </w:rPr>
              <w:t>Spindulinis kaulų gydymas</w:t>
            </w:r>
          </w:p>
        </w:tc>
      </w:tr>
      <w:tr w:rsidR="004F7AA9" w:rsidRPr="007777D9" w14:paraId="7FF4AA4B" w14:textId="77777777" w:rsidTr="009A4A51">
        <w:trPr>
          <w:trHeight w:hRule="exact" w:val="769"/>
        </w:trPr>
        <w:tc>
          <w:tcPr>
            <w:tcW w:w="2236" w:type="dxa"/>
            <w:tcBorders>
              <w:top w:val="single" w:sz="4" w:space="0" w:color="000000"/>
              <w:left w:val="single" w:sz="4" w:space="0" w:color="000000"/>
              <w:bottom w:val="single" w:sz="4" w:space="0" w:color="000000"/>
              <w:right w:val="single" w:sz="4" w:space="0" w:color="000000"/>
            </w:tcBorders>
          </w:tcPr>
          <w:p w14:paraId="0CDBBDEC" w14:textId="77777777" w:rsidR="004F7AA9" w:rsidRPr="007777D9" w:rsidRDefault="004F7AA9" w:rsidP="009A4A51">
            <w:pPr>
              <w:widowControl w:val="0"/>
              <w:tabs>
                <w:tab w:val="clear" w:pos="567"/>
              </w:tabs>
              <w:spacing w:line="240" w:lineRule="auto"/>
              <w:rPr>
                <w:snapToGrid/>
                <w:szCs w:val="22"/>
                <w:lang w:val="lt-LT"/>
              </w:rPr>
            </w:pPr>
          </w:p>
        </w:tc>
        <w:tc>
          <w:tcPr>
            <w:tcW w:w="1356" w:type="dxa"/>
            <w:gridSpan w:val="2"/>
            <w:tcBorders>
              <w:top w:val="single" w:sz="4" w:space="0" w:color="000000"/>
              <w:left w:val="single" w:sz="4" w:space="0" w:color="000000"/>
              <w:bottom w:val="single" w:sz="4" w:space="0" w:color="000000"/>
              <w:right w:val="single" w:sz="4" w:space="0" w:color="000000"/>
            </w:tcBorders>
          </w:tcPr>
          <w:p w14:paraId="6511BA5C"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Zoledrono rūgštis 4 mg</w:t>
            </w:r>
          </w:p>
        </w:tc>
        <w:tc>
          <w:tcPr>
            <w:tcW w:w="912" w:type="dxa"/>
            <w:tcBorders>
              <w:top w:val="single" w:sz="4" w:space="0" w:color="000000"/>
              <w:left w:val="single" w:sz="4" w:space="0" w:color="000000"/>
              <w:bottom w:val="single" w:sz="4" w:space="0" w:color="000000"/>
              <w:right w:val="single" w:sz="4" w:space="0" w:color="000000"/>
            </w:tcBorders>
          </w:tcPr>
          <w:p w14:paraId="74273B07" w14:textId="77777777" w:rsidR="004F7AA9" w:rsidRPr="007777D9" w:rsidRDefault="004F7AA9" w:rsidP="009A4A51">
            <w:pPr>
              <w:widowControl w:val="0"/>
              <w:tabs>
                <w:tab w:val="clear" w:pos="567"/>
              </w:tabs>
              <w:spacing w:line="240" w:lineRule="auto"/>
              <w:rPr>
                <w:snapToGrid/>
                <w:szCs w:val="22"/>
                <w:lang w:val="lt-LT"/>
              </w:rPr>
            </w:pPr>
            <w:r w:rsidRPr="00966F26">
              <w:rPr>
                <w:snapToGrid/>
                <w:szCs w:val="22"/>
                <w:lang w:val="lt-LT"/>
              </w:rPr>
              <w:t>Pam</w:t>
            </w:r>
            <w:r>
              <w:rPr>
                <w:snapToGrid/>
                <w:szCs w:val="22"/>
                <w:lang w:val="lt-LT"/>
              </w:rPr>
              <w:t>idr.</w:t>
            </w:r>
          </w:p>
          <w:p w14:paraId="2010730E"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90 mg</w:t>
            </w:r>
          </w:p>
        </w:tc>
        <w:tc>
          <w:tcPr>
            <w:tcW w:w="1356" w:type="dxa"/>
            <w:gridSpan w:val="2"/>
            <w:tcBorders>
              <w:top w:val="single" w:sz="4" w:space="0" w:color="000000"/>
              <w:left w:val="single" w:sz="4" w:space="0" w:color="000000"/>
              <w:bottom w:val="single" w:sz="4" w:space="0" w:color="000000"/>
              <w:right w:val="single" w:sz="4" w:space="0" w:color="000000"/>
            </w:tcBorders>
          </w:tcPr>
          <w:p w14:paraId="321AAF2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Zoledrono rūgštis 4 mg</w:t>
            </w:r>
          </w:p>
        </w:tc>
        <w:tc>
          <w:tcPr>
            <w:tcW w:w="1054" w:type="dxa"/>
            <w:tcBorders>
              <w:top w:val="single" w:sz="4" w:space="0" w:color="000000"/>
              <w:left w:val="single" w:sz="4" w:space="0" w:color="000000"/>
              <w:bottom w:val="single" w:sz="4" w:space="0" w:color="000000"/>
              <w:right w:val="single" w:sz="4" w:space="0" w:color="000000"/>
            </w:tcBorders>
          </w:tcPr>
          <w:p w14:paraId="44BD9D64" w14:textId="77777777" w:rsidR="004F7AA9" w:rsidRPr="007777D9" w:rsidRDefault="004F7AA9" w:rsidP="009A4A51">
            <w:pPr>
              <w:widowControl w:val="0"/>
              <w:tabs>
                <w:tab w:val="clear" w:pos="567"/>
              </w:tabs>
              <w:spacing w:line="240" w:lineRule="auto"/>
              <w:rPr>
                <w:snapToGrid/>
                <w:szCs w:val="22"/>
                <w:lang w:val="lt-LT"/>
              </w:rPr>
            </w:pPr>
            <w:r w:rsidRPr="00966F26">
              <w:rPr>
                <w:snapToGrid/>
                <w:szCs w:val="22"/>
                <w:lang w:val="lt-LT"/>
              </w:rPr>
              <w:t>Pam</w:t>
            </w:r>
            <w:r>
              <w:rPr>
                <w:snapToGrid/>
                <w:szCs w:val="22"/>
                <w:lang w:val="lt-LT"/>
              </w:rPr>
              <w:t>idr.</w:t>
            </w:r>
          </w:p>
          <w:p w14:paraId="394BF0B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90 mg</w:t>
            </w:r>
          </w:p>
        </w:tc>
        <w:tc>
          <w:tcPr>
            <w:tcW w:w="1356" w:type="dxa"/>
            <w:gridSpan w:val="2"/>
            <w:tcBorders>
              <w:top w:val="single" w:sz="4" w:space="0" w:color="000000"/>
              <w:left w:val="single" w:sz="4" w:space="0" w:color="000000"/>
              <w:bottom w:val="single" w:sz="4" w:space="0" w:color="000000"/>
              <w:right w:val="single" w:sz="4" w:space="0" w:color="000000"/>
            </w:tcBorders>
          </w:tcPr>
          <w:p w14:paraId="315DE808"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Zoledrono rūgštis 4 mg</w:t>
            </w:r>
          </w:p>
        </w:tc>
        <w:tc>
          <w:tcPr>
            <w:tcW w:w="850" w:type="dxa"/>
            <w:tcBorders>
              <w:top w:val="single" w:sz="4" w:space="0" w:color="000000"/>
              <w:left w:val="single" w:sz="4" w:space="0" w:color="000000"/>
              <w:bottom w:val="single" w:sz="4" w:space="0" w:color="000000"/>
              <w:right w:val="single" w:sz="4" w:space="0" w:color="000000"/>
            </w:tcBorders>
          </w:tcPr>
          <w:p w14:paraId="7A9B4F0C" w14:textId="77777777" w:rsidR="004F7AA9" w:rsidRPr="007777D9" w:rsidRDefault="004F7AA9" w:rsidP="009A4A51">
            <w:pPr>
              <w:widowControl w:val="0"/>
              <w:tabs>
                <w:tab w:val="clear" w:pos="567"/>
              </w:tabs>
              <w:spacing w:line="240" w:lineRule="auto"/>
              <w:rPr>
                <w:snapToGrid/>
                <w:szCs w:val="22"/>
                <w:lang w:val="lt-LT"/>
              </w:rPr>
            </w:pPr>
            <w:r w:rsidRPr="00966F26">
              <w:rPr>
                <w:snapToGrid/>
                <w:szCs w:val="22"/>
                <w:lang w:val="lt-LT"/>
              </w:rPr>
              <w:t>Pam</w:t>
            </w:r>
            <w:r>
              <w:rPr>
                <w:snapToGrid/>
                <w:szCs w:val="22"/>
                <w:lang w:val="lt-LT"/>
              </w:rPr>
              <w:t>idr.</w:t>
            </w:r>
          </w:p>
          <w:p w14:paraId="33347EE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90 mg</w:t>
            </w:r>
          </w:p>
        </w:tc>
      </w:tr>
      <w:tr w:rsidR="004F7AA9" w:rsidRPr="007777D9" w14:paraId="5FA5BC22" w14:textId="77777777" w:rsidTr="009A4A51">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14:paraId="68360BA9"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w:t>
            </w:r>
          </w:p>
        </w:tc>
        <w:tc>
          <w:tcPr>
            <w:tcW w:w="1356" w:type="dxa"/>
            <w:gridSpan w:val="2"/>
            <w:tcBorders>
              <w:top w:val="single" w:sz="4" w:space="0" w:color="000000"/>
              <w:left w:val="single" w:sz="4" w:space="0" w:color="000000"/>
              <w:bottom w:val="single" w:sz="4" w:space="0" w:color="000000"/>
              <w:right w:val="single" w:sz="4" w:space="0" w:color="000000"/>
            </w:tcBorders>
          </w:tcPr>
          <w:p w14:paraId="7C6A3B84"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561</w:t>
            </w:r>
          </w:p>
        </w:tc>
        <w:tc>
          <w:tcPr>
            <w:tcW w:w="912" w:type="dxa"/>
            <w:tcBorders>
              <w:top w:val="single" w:sz="4" w:space="0" w:color="000000"/>
              <w:left w:val="single" w:sz="4" w:space="0" w:color="000000"/>
              <w:bottom w:val="single" w:sz="4" w:space="0" w:color="000000"/>
              <w:right w:val="single" w:sz="4" w:space="0" w:color="000000"/>
            </w:tcBorders>
          </w:tcPr>
          <w:p w14:paraId="127A3117"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555</w:t>
            </w:r>
          </w:p>
        </w:tc>
        <w:tc>
          <w:tcPr>
            <w:tcW w:w="1356" w:type="dxa"/>
            <w:gridSpan w:val="2"/>
            <w:tcBorders>
              <w:top w:val="single" w:sz="4" w:space="0" w:color="000000"/>
              <w:left w:val="single" w:sz="4" w:space="0" w:color="000000"/>
              <w:bottom w:val="single" w:sz="4" w:space="0" w:color="000000"/>
              <w:right w:val="single" w:sz="4" w:space="0" w:color="000000"/>
            </w:tcBorders>
          </w:tcPr>
          <w:p w14:paraId="74B9F5D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561</w:t>
            </w:r>
          </w:p>
        </w:tc>
        <w:tc>
          <w:tcPr>
            <w:tcW w:w="1054" w:type="dxa"/>
            <w:tcBorders>
              <w:top w:val="single" w:sz="4" w:space="0" w:color="000000"/>
              <w:left w:val="single" w:sz="4" w:space="0" w:color="000000"/>
              <w:bottom w:val="single" w:sz="4" w:space="0" w:color="000000"/>
              <w:right w:val="single" w:sz="4" w:space="0" w:color="000000"/>
            </w:tcBorders>
          </w:tcPr>
          <w:p w14:paraId="1D18A1E1"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555</w:t>
            </w:r>
          </w:p>
        </w:tc>
        <w:tc>
          <w:tcPr>
            <w:tcW w:w="1356" w:type="dxa"/>
            <w:gridSpan w:val="2"/>
            <w:tcBorders>
              <w:top w:val="single" w:sz="4" w:space="0" w:color="000000"/>
              <w:left w:val="single" w:sz="4" w:space="0" w:color="000000"/>
              <w:bottom w:val="single" w:sz="4" w:space="0" w:color="000000"/>
              <w:right w:val="single" w:sz="4" w:space="0" w:color="000000"/>
            </w:tcBorders>
          </w:tcPr>
          <w:p w14:paraId="550702E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561</w:t>
            </w:r>
          </w:p>
        </w:tc>
        <w:tc>
          <w:tcPr>
            <w:tcW w:w="850" w:type="dxa"/>
            <w:tcBorders>
              <w:top w:val="single" w:sz="4" w:space="0" w:color="000000"/>
              <w:left w:val="single" w:sz="4" w:space="0" w:color="000000"/>
              <w:bottom w:val="single" w:sz="4" w:space="0" w:color="000000"/>
              <w:right w:val="single" w:sz="4" w:space="0" w:color="000000"/>
            </w:tcBorders>
          </w:tcPr>
          <w:p w14:paraId="0906A99E"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555</w:t>
            </w:r>
          </w:p>
        </w:tc>
      </w:tr>
      <w:tr w:rsidR="004F7AA9" w:rsidRPr="007777D9" w14:paraId="5DA3DD67" w14:textId="77777777" w:rsidTr="009A4A51">
        <w:trPr>
          <w:trHeight w:hRule="exact" w:val="592"/>
        </w:trPr>
        <w:tc>
          <w:tcPr>
            <w:tcW w:w="2236" w:type="dxa"/>
            <w:tcBorders>
              <w:top w:val="single" w:sz="4" w:space="0" w:color="000000"/>
              <w:left w:val="single" w:sz="4" w:space="0" w:color="000000"/>
              <w:bottom w:val="single" w:sz="4" w:space="0" w:color="000000"/>
              <w:right w:val="single" w:sz="4" w:space="0" w:color="000000"/>
            </w:tcBorders>
          </w:tcPr>
          <w:p w14:paraId="742F44DB"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Pacientų, kuriems</w:t>
            </w:r>
          </w:p>
          <w:p w14:paraId="547183F6"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nustatyta SP, dalis (%)</w:t>
            </w:r>
          </w:p>
        </w:tc>
        <w:tc>
          <w:tcPr>
            <w:tcW w:w="1356" w:type="dxa"/>
            <w:gridSpan w:val="2"/>
            <w:tcBorders>
              <w:top w:val="single" w:sz="4" w:space="0" w:color="000000"/>
              <w:left w:val="single" w:sz="4" w:space="0" w:color="000000"/>
              <w:bottom w:val="single" w:sz="4" w:space="0" w:color="000000"/>
              <w:right w:val="single" w:sz="4" w:space="0" w:color="000000"/>
            </w:tcBorders>
          </w:tcPr>
          <w:p w14:paraId="21E05EB1"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48</w:t>
            </w:r>
          </w:p>
        </w:tc>
        <w:tc>
          <w:tcPr>
            <w:tcW w:w="912" w:type="dxa"/>
            <w:tcBorders>
              <w:top w:val="single" w:sz="4" w:space="0" w:color="000000"/>
              <w:left w:val="single" w:sz="4" w:space="0" w:color="000000"/>
              <w:bottom w:val="single" w:sz="4" w:space="0" w:color="000000"/>
              <w:right w:val="single" w:sz="4" w:space="0" w:color="000000"/>
            </w:tcBorders>
          </w:tcPr>
          <w:p w14:paraId="379D7C7A"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52</w:t>
            </w:r>
          </w:p>
        </w:tc>
        <w:tc>
          <w:tcPr>
            <w:tcW w:w="1356" w:type="dxa"/>
            <w:gridSpan w:val="2"/>
            <w:tcBorders>
              <w:top w:val="single" w:sz="4" w:space="0" w:color="000000"/>
              <w:left w:val="single" w:sz="4" w:space="0" w:color="000000"/>
              <w:bottom w:val="single" w:sz="4" w:space="0" w:color="000000"/>
              <w:right w:val="single" w:sz="4" w:space="0" w:color="000000"/>
            </w:tcBorders>
          </w:tcPr>
          <w:p w14:paraId="2FBD156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37</w:t>
            </w:r>
          </w:p>
        </w:tc>
        <w:tc>
          <w:tcPr>
            <w:tcW w:w="1054" w:type="dxa"/>
            <w:tcBorders>
              <w:top w:val="single" w:sz="4" w:space="0" w:color="000000"/>
              <w:left w:val="single" w:sz="4" w:space="0" w:color="000000"/>
              <w:bottom w:val="single" w:sz="4" w:space="0" w:color="000000"/>
              <w:right w:val="single" w:sz="4" w:space="0" w:color="000000"/>
            </w:tcBorders>
          </w:tcPr>
          <w:p w14:paraId="03EC173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39</w:t>
            </w:r>
          </w:p>
        </w:tc>
        <w:tc>
          <w:tcPr>
            <w:tcW w:w="1356" w:type="dxa"/>
            <w:gridSpan w:val="2"/>
            <w:tcBorders>
              <w:top w:val="single" w:sz="4" w:space="0" w:color="000000"/>
              <w:left w:val="single" w:sz="4" w:space="0" w:color="000000"/>
              <w:bottom w:val="single" w:sz="4" w:space="0" w:color="000000"/>
              <w:right w:val="single" w:sz="4" w:space="0" w:color="000000"/>
            </w:tcBorders>
          </w:tcPr>
          <w:p w14:paraId="13449026"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19</w:t>
            </w:r>
          </w:p>
        </w:tc>
        <w:tc>
          <w:tcPr>
            <w:tcW w:w="850" w:type="dxa"/>
            <w:tcBorders>
              <w:top w:val="single" w:sz="4" w:space="0" w:color="000000"/>
              <w:left w:val="single" w:sz="4" w:space="0" w:color="000000"/>
              <w:bottom w:val="single" w:sz="4" w:space="0" w:color="000000"/>
              <w:right w:val="single" w:sz="4" w:space="0" w:color="000000"/>
            </w:tcBorders>
          </w:tcPr>
          <w:p w14:paraId="485AC77D"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24</w:t>
            </w:r>
          </w:p>
        </w:tc>
      </w:tr>
      <w:tr w:rsidR="004F7AA9" w:rsidRPr="007777D9" w14:paraId="415A0BB3" w14:textId="77777777" w:rsidTr="009A4A51">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14:paraId="72718DD5"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 rodmuo</w:t>
            </w:r>
          </w:p>
        </w:tc>
        <w:tc>
          <w:tcPr>
            <w:tcW w:w="2268" w:type="dxa"/>
            <w:gridSpan w:val="3"/>
            <w:tcBorders>
              <w:top w:val="single" w:sz="4" w:space="0" w:color="000000"/>
              <w:left w:val="single" w:sz="4" w:space="0" w:color="000000"/>
              <w:bottom w:val="single" w:sz="4" w:space="0" w:color="000000"/>
              <w:right w:val="single" w:sz="4" w:space="0" w:color="000000"/>
            </w:tcBorders>
          </w:tcPr>
          <w:p w14:paraId="095B2748"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0,198</w:t>
            </w:r>
          </w:p>
        </w:tc>
        <w:tc>
          <w:tcPr>
            <w:tcW w:w="2410" w:type="dxa"/>
            <w:gridSpan w:val="3"/>
            <w:tcBorders>
              <w:top w:val="single" w:sz="4" w:space="0" w:color="000000"/>
              <w:left w:val="single" w:sz="4" w:space="0" w:color="000000"/>
              <w:bottom w:val="single" w:sz="4" w:space="0" w:color="000000"/>
              <w:right w:val="single" w:sz="4" w:space="0" w:color="000000"/>
            </w:tcBorders>
          </w:tcPr>
          <w:p w14:paraId="08FEB539"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0,653</w:t>
            </w:r>
          </w:p>
        </w:tc>
        <w:tc>
          <w:tcPr>
            <w:tcW w:w="2206" w:type="dxa"/>
            <w:gridSpan w:val="3"/>
            <w:tcBorders>
              <w:top w:val="single" w:sz="4" w:space="0" w:color="000000"/>
              <w:left w:val="single" w:sz="4" w:space="0" w:color="000000"/>
              <w:bottom w:val="single" w:sz="4" w:space="0" w:color="000000"/>
              <w:right w:val="single" w:sz="4" w:space="0" w:color="000000"/>
            </w:tcBorders>
          </w:tcPr>
          <w:p w14:paraId="2E7B0ACC"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0,037</w:t>
            </w:r>
          </w:p>
        </w:tc>
      </w:tr>
      <w:tr w:rsidR="004F7AA9" w:rsidRPr="007777D9" w14:paraId="103B9DA4" w14:textId="77777777" w:rsidTr="009A4A51">
        <w:trPr>
          <w:trHeight w:hRule="exact" w:val="449"/>
        </w:trPr>
        <w:tc>
          <w:tcPr>
            <w:tcW w:w="2236" w:type="dxa"/>
            <w:tcBorders>
              <w:top w:val="single" w:sz="4" w:space="0" w:color="000000"/>
              <w:left w:val="single" w:sz="4" w:space="0" w:color="000000"/>
              <w:bottom w:val="single" w:sz="4" w:space="0" w:color="000000"/>
              <w:right w:val="single" w:sz="4" w:space="0" w:color="000000"/>
            </w:tcBorders>
          </w:tcPr>
          <w:p w14:paraId="367FB8D4"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 xml:space="preserve">Laiko iki SP mediana </w:t>
            </w:r>
          </w:p>
          <w:p w14:paraId="5CE27EF2" w14:textId="77777777" w:rsidR="004F7AA9" w:rsidRPr="007777D9" w:rsidRDefault="004F7AA9" w:rsidP="009A4A51">
            <w:pPr>
              <w:widowControl w:val="0"/>
              <w:tabs>
                <w:tab w:val="clear" w:pos="567"/>
              </w:tabs>
              <w:spacing w:line="240" w:lineRule="auto"/>
              <w:rPr>
                <w:snapToGrid/>
                <w:szCs w:val="22"/>
                <w:lang w:val="lt-LT"/>
              </w:rPr>
            </w:pPr>
          </w:p>
        </w:tc>
        <w:tc>
          <w:tcPr>
            <w:tcW w:w="1274" w:type="dxa"/>
            <w:tcBorders>
              <w:top w:val="single" w:sz="4" w:space="0" w:color="000000"/>
              <w:left w:val="single" w:sz="4" w:space="0" w:color="000000"/>
              <w:bottom w:val="single" w:sz="4" w:space="0" w:color="000000"/>
              <w:right w:val="single" w:sz="4" w:space="0" w:color="000000"/>
            </w:tcBorders>
          </w:tcPr>
          <w:p w14:paraId="782CF34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376</w:t>
            </w:r>
          </w:p>
        </w:tc>
        <w:tc>
          <w:tcPr>
            <w:tcW w:w="994" w:type="dxa"/>
            <w:gridSpan w:val="2"/>
            <w:tcBorders>
              <w:top w:val="single" w:sz="4" w:space="0" w:color="000000"/>
              <w:left w:val="single" w:sz="4" w:space="0" w:color="000000"/>
              <w:bottom w:val="single" w:sz="4" w:space="0" w:color="000000"/>
              <w:right w:val="single" w:sz="4" w:space="0" w:color="000000"/>
            </w:tcBorders>
          </w:tcPr>
          <w:p w14:paraId="6F7D3A0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356</w:t>
            </w:r>
          </w:p>
        </w:tc>
        <w:tc>
          <w:tcPr>
            <w:tcW w:w="1276" w:type="dxa"/>
            <w:tcBorders>
              <w:top w:val="single" w:sz="4" w:space="0" w:color="000000"/>
              <w:left w:val="single" w:sz="4" w:space="0" w:color="000000"/>
              <w:bottom w:val="single" w:sz="4" w:space="0" w:color="000000"/>
              <w:right w:val="single" w:sz="4" w:space="0" w:color="000000"/>
            </w:tcBorders>
          </w:tcPr>
          <w:p w14:paraId="32277BDA"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NP</w:t>
            </w:r>
          </w:p>
        </w:tc>
        <w:tc>
          <w:tcPr>
            <w:tcW w:w="1134" w:type="dxa"/>
            <w:gridSpan w:val="2"/>
            <w:tcBorders>
              <w:top w:val="single" w:sz="4" w:space="0" w:color="000000"/>
              <w:left w:val="single" w:sz="4" w:space="0" w:color="000000"/>
              <w:bottom w:val="single" w:sz="4" w:space="0" w:color="000000"/>
              <w:right w:val="single" w:sz="4" w:space="0" w:color="000000"/>
            </w:tcBorders>
          </w:tcPr>
          <w:p w14:paraId="2FC7304A"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714</w:t>
            </w:r>
          </w:p>
        </w:tc>
        <w:tc>
          <w:tcPr>
            <w:tcW w:w="1276" w:type="dxa"/>
            <w:tcBorders>
              <w:top w:val="single" w:sz="4" w:space="0" w:color="000000"/>
              <w:left w:val="single" w:sz="4" w:space="0" w:color="000000"/>
              <w:bottom w:val="single" w:sz="4" w:space="0" w:color="000000"/>
              <w:right w:val="single" w:sz="4" w:space="0" w:color="000000"/>
            </w:tcBorders>
          </w:tcPr>
          <w:p w14:paraId="07945569"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NP</w:t>
            </w:r>
          </w:p>
        </w:tc>
        <w:tc>
          <w:tcPr>
            <w:tcW w:w="930" w:type="dxa"/>
            <w:gridSpan w:val="2"/>
            <w:tcBorders>
              <w:top w:val="single" w:sz="4" w:space="0" w:color="000000"/>
              <w:left w:val="single" w:sz="4" w:space="0" w:color="000000"/>
              <w:bottom w:val="single" w:sz="4" w:space="0" w:color="000000"/>
              <w:right w:val="single" w:sz="4" w:space="0" w:color="000000"/>
            </w:tcBorders>
          </w:tcPr>
          <w:p w14:paraId="609D5E68"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NP</w:t>
            </w:r>
          </w:p>
        </w:tc>
      </w:tr>
      <w:tr w:rsidR="004F7AA9" w:rsidRPr="007777D9" w14:paraId="7A363431" w14:textId="77777777" w:rsidTr="009A4A51">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14:paraId="5A1B5898"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 rodmuo</w:t>
            </w:r>
          </w:p>
        </w:tc>
        <w:tc>
          <w:tcPr>
            <w:tcW w:w="2268" w:type="dxa"/>
            <w:gridSpan w:val="3"/>
            <w:tcBorders>
              <w:top w:val="single" w:sz="4" w:space="0" w:color="000000"/>
              <w:left w:val="single" w:sz="4" w:space="0" w:color="000000"/>
              <w:bottom w:val="single" w:sz="4" w:space="0" w:color="000000"/>
              <w:right w:val="single" w:sz="4" w:space="0" w:color="000000"/>
            </w:tcBorders>
          </w:tcPr>
          <w:p w14:paraId="6622AC0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0,151</w:t>
            </w:r>
          </w:p>
        </w:tc>
        <w:tc>
          <w:tcPr>
            <w:tcW w:w="2410" w:type="dxa"/>
            <w:gridSpan w:val="3"/>
            <w:tcBorders>
              <w:top w:val="single" w:sz="4" w:space="0" w:color="000000"/>
              <w:left w:val="single" w:sz="4" w:space="0" w:color="000000"/>
              <w:bottom w:val="single" w:sz="4" w:space="0" w:color="000000"/>
              <w:right w:val="single" w:sz="4" w:space="0" w:color="000000"/>
            </w:tcBorders>
          </w:tcPr>
          <w:p w14:paraId="5B2DE566"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0,672</w:t>
            </w:r>
          </w:p>
        </w:tc>
        <w:tc>
          <w:tcPr>
            <w:tcW w:w="2206" w:type="dxa"/>
            <w:gridSpan w:val="3"/>
            <w:tcBorders>
              <w:top w:val="single" w:sz="4" w:space="0" w:color="000000"/>
              <w:left w:val="single" w:sz="4" w:space="0" w:color="000000"/>
              <w:bottom w:val="single" w:sz="4" w:space="0" w:color="000000"/>
              <w:right w:val="single" w:sz="4" w:space="0" w:color="000000"/>
            </w:tcBorders>
          </w:tcPr>
          <w:p w14:paraId="0AC672FE"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0,026</w:t>
            </w:r>
          </w:p>
        </w:tc>
      </w:tr>
      <w:tr w:rsidR="004F7AA9" w:rsidRPr="007777D9" w14:paraId="0719C65B" w14:textId="77777777" w:rsidTr="009A4A51">
        <w:trPr>
          <w:trHeight w:hRule="exact" w:val="516"/>
        </w:trPr>
        <w:tc>
          <w:tcPr>
            <w:tcW w:w="2236" w:type="dxa"/>
            <w:tcBorders>
              <w:top w:val="single" w:sz="4" w:space="0" w:color="000000"/>
              <w:left w:val="single" w:sz="4" w:space="0" w:color="000000"/>
              <w:bottom w:val="single" w:sz="4" w:space="0" w:color="000000"/>
              <w:right w:val="single" w:sz="4" w:space="0" w:color="000000"/>
            </w:tcBorders>
          </w:tcPr>
          <w:p w14:paraId="0C7D254E"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Sergamumas skeleto</w:t>
            </w:r>
          </w:p>
          <w:p w14:paraId="380CCB39"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pažeidimu</w:t>
            </w:r>
          </w:p>
        </w:tc>
        <w:tc>
          <w:tcPr>
            <w:tcW w:w="1274" w:type="dxa"/>
            <w:tcBorders>
              <w:top w:val="single" w:sz="4" w:space="0" w:color="000000"/>
              <w:left w:val="single" w:sz="4" w:space="0" w:color="000000"/>
              <w:bottom w:val="single" w:sz="4" w:space="0" w:color="000000"/>
              <w:right w:val="single" w:sz="4" w:space="0" w:color="000000"/>
            </w:tcBorders>
          </w:tcPr>
          <w:p w14:paraId="5DDD11C9"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1,04</w:t>
            </w:r>
          </w:p>
        </w:tc>
        <w:tc>
          <w:tcPr>
            <w:tcW w:w="994" w:type="dxa"/>
            <w:gridSpan w:val="2"/>
            <w:tcBorders>
              <w:top w:val="single" w:sz="4" w:space="0" w:color="000000"/>
              <w:left w:val="single" w:sz="4" w:space="0" w:color="000000"/>
              <w:bottom w:val="single" w:sz="4" w:space="0" w:color="000000"/>
              <w:right w:val="single" w:sz="4" w:space="0" w:color="000000"/>
            </w:tcBorders>
          </w:tcPr>
          <w:p w14:paraId="0500422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1,39</w:t>
            </w:r>
          </w:p>
        </w:tc>
        <w:tc>
          <w:tcPr>
            <w:tcW w:w="1276" w:type="dxa"/>
            <w:tcBorders>
              <w:top w:val="single" w:sz="4" w:space="0" w:color="000000"/>
              <w:left w:val="single" w:sz="4" w:space="0" w:color="000000"/>
              <w:bottom w:val="single" w:sz="4" w:space="0" w:color="000000"/>
              <w:right w:val="single" w:sz="4" w:space="0" w:color="000000"/>
            </w:tcBorders>
          </w:tcPr>
          <w:p w14:paraId="75F7C9B5"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0,53</w:t>
            </w:r>
          </w:p>
        </w:tc>
        <w:tc>
          <w:tcPr>
            <w:tcW w:w="1134" w:type="dxa"/>
            <w:gridSpan w:val="2"/>
            <w:tcBorders>
              <w:top w:val="single" w:sz="4" w:space="0" w:color="000000"/>
              <w:left w:val="single" w:sz="4" w:space="0" w:color="000000"/>
              <w:bottom w:val="single" w:sz="4" w:space="0" w:color="000000"/>
              <w:right w:val="single" w:sz="4" w:space="0" w:color="000000"/>
            </w:tcBorders>
          </w:tcPr>
          <w:p w14:paraId="3E020D48"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0,60</w:t>
            </w:r>
          </w:p>
        </w:tc>
        <w:tc>
          <w:tcPr>
            <w:tcW w:w="1276" w:type="dxa"/>
            <w:tcBorders>
              <w:top w:val="single" w:sz="4" w:space="0" w:color="000000"/>
              <w:left w:val="single" w:sz="4" w:space="0" w:color="000000"/>
              <w:bottom w:val="single" w:sz="4" w:space="0" w:color="000000"/>
              <w:right w:val="single" w:sz="4" w:space="0" w:color="000000"/>
            </w:tcBorders>
          </w:tcPr>
          <w:p w14:paraId="6FC4459D"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0,47</w:t>
            </w:r>
          </w:p>
        </w:tc>
        <w:tc>
          <w:tcPr>
            <w:tcW w:w="930" w:type="dxa"/>
            <w:gridSpan w:val="2"/>
            <w:tcBorders>
              <w:top w:val="single" w:sz="4" w:space="0" w:color="000000"/>
              <w:left w:val="single" w:sz="4" w:space="0" w:color="000000"/>
              <w:bottom w:val="single" w:sz="4" w:space="0" w:color="000000"/>
              <w:right w:val="single" w:sz="4" w:space="0" w:color="000000"/>
            </w:tcBorders>
          </w:tcPr>
          <w:p w14:paraId="57AF9CA8"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0,71</w:t>
            </w:r>
          </w:p>
        </w:tc>
      </w:tr>
      <w:tr w:rsidR="004F7AA9" w:rsidRPr="007777D9" w14:paraId="0D62BD6E" w14:textId="77777777" w:rsidTr="009A4A51">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14:paraId="02DB4510"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 rodmuo</w:t>
            </w:r>
          </w:p>
        </w:tc>
        <w:tc>
          <w:tcPr>
            <w:tcW w:w="2268" w:type="dxa"/>
            <w:gridSpan w:val="3"/>
            <w:tcBorders>
              <w:top w:val="single" w:sz="4" w:space="0" w:color="000000"/>
              <w:left w:val="single" w:sz="4" w:space="0" w:color="000000"/>
              <w:bottom w:val="single" w:sz="4" w:space="0" w:color="000000"/>
              <w:right w:val="single" w:sz="4" w:space="0" w:color="000000"/>
            </w:tcBorders>
          </w:tcPr>
          <w:p w14:paraId="30F52C8A"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0,084</w:t>
            </w:r>
          </w:p>
        </w:tc>
        <w:tc>
          <w:tcPr>
            <w:tcW w:w="2410" w:type="dxa"/>
            <w:gridSpan w:val="3"/>
            <w:tcBorders>
              <w:top w:val="single" w:sz="4" w:space="0" w:color="000000"/>
              <w:left w:val="single" w:sz="4" w:space="0" w:color="000000"/>
              <w:bottom w:val="single" w:sz="4" w:space="0" w:color="000000"/>
              <w:right w:val="single" w:sz="4" w:space="0" w:color="000000"/>
            </w:tcBorders>
          </w:tcPr>
          <w:p w14:paraId="48BA66AD"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0,614</w:t>
            </w:r>
          </w:p>
        </w:tc>
        <w:tc>
          <w:tcPr>
            <w:tcW w:w="2206" w:type="dxa"/>
            <w:gridSpan w:val="3"/>
            <w:tcBorders>
              <w:top w:val="single" w:sz="4" w:space="0" w:color="000000"/>
              <w:left w:val="single" w:sz="4" w:space="0" w:color="000000"/>
              <w:bottom w:val="single" w:sz="4" w:space="0" w:color="000000"/>
              <w:right w:val="single" w:sz="4" w:space="0" w:color="000000"/>
            </w:tcBorders>
          </w:tcPr>
          <w:p w14:paraId="3201E2B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0,015</w:t>
            </w:r>
          </w:p>
        </w:tc>
      </w:tr>
      <w:tr w:rsidR="004F7AA9" w:rsidRPr="007777D9" w14:paraId="5DE9728A" w14:textId="77777777" w:rsidTr="009A4A51">
        <w:trPr>
          <w:trHeight w:hRule="exact" w:val="770"/>
        </w:trPr>
        <w:tc>
          <w:tcPr>
            <w:tcW w:w="2236" w:type="dxa"/>
            <w:tcBorders>
              <w:top w:val="single" w:sz="4" w:space="0" w:color="000000"/>
              <w:left w:val="single" w:sz="4" w:space="0" w:color="000000"/>
              <w:bottom w:val="single" w:sz="4" w:space="0" w:color="000000"/>
              <w:right w:val="single" w:sz="4" w:space="0" w:color="000000"/>
            </w:tcBorders>
          </w:tcPr>
          <w:p w14:paraId="2009D49E"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Dauginių reiškinių rizikos sumažėjimas</w:t>
            </w:r>
          </w:p>
          <w:p w14:paraId="342E78F5"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 (%)</w:t>
            </w:r>
          </w:p>
        </w:tc>
        <w:tc>
          <w:tcPr>
            <w:tcW w:w="1274" w:type="dxa"/>
            <w:tcBorders>
              <w:top w:val="single" w:sz="4" w:space="0" w:color="000000"/>
              <w:left w:val="single" w:sz="4" w:space="0" w:color="000000"/>
              <w:bottom w:val="single" w:sz="4" w:space="0" w:color="000000"/>
              <w:right w:val="single" w:sz="4" w:space="0" w:color="000000"/>
            </w:tcBorders>
          </w:tcPr>
          <w:p w14:paraId="75E31462"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16</w:t>
            </w:r>
          </w:p>
        </w:tc>
        <w:tc>
          <w:tcPr>
            <w:tcW w:w="994" w:type="dxa"/>
            <w:gridSpan w:val="2"/>
            <w:tcBorders>
              <w:top w:val="single" w:sz="4" w:space="0" w:color="000000"/>
              <w:left w:val="single" w:sz="4" w:space="0" w:color="000000"/>
              <w:bottom w:val="single" w:sz="4" w:space="0" w:color="000000"/>
              <w:right w:val="single" w:sz="4" w:space="0" w:color="000000"/>
            </w:tcBorders>
          </w:tcPr>
          <w:p w14:paraId="2391FB7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w:t>
            </w:r>
          </w:p>
        </w:tc>
        <w:tc>
          <w:tcPr>
            <w:tcW w:w="1276" w:type="dxa"/>
            <w:tcBorders>
              <w:top w:val="single" w:sz="4" w:space="0" w:color="000000"/>
              <w:left w:val="single" w:sz="4" w:space="0" w:color="000000"/>
              <w:bottom w:val="single" w:sz="4" w:space="0" w:color="000000"/>
              <w:right w:val="single" w:sz="4" w:space="0" w:color="000000"/>
            </w:tcBorders>
          </w:tcPr>
          <w:p w14:paraId="32682A65"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c>
          <w:tcPr>
            <w:tcW w:w="1134" w:type="dxa"/>
            <w:gridSpan w:val="2"/>
            <w:tcBorders>
              <w:top w:val="single" w:sz="4" w:space="0" w:color="000000"/>
              <w:left w:val="single" w:sz="4" w:space="0" w:color="000000"/>
              <w:bottom w:val="single" w:sz="4" w:space="0" w:color="000000"/>
              <w:right w:val="single" w:sz="4" w:space="0" w:color="000000"/>
            </w:tcBorders>
          </w:tcPr>
          <w:p w14:paraId="612F2055"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c>
          <w:tcPr>
            <w:tcW w:w="1276" w:type="dxa"/>
            <w:tcBorders>
              <w:top w:val="single" w:sz="4" w:space="0" w:color="000000"/>
              <w:left w:val="single" w:sz="4" w:space="0" w:color="000000"/>
              <w:bottom w:val="single" w:sz="4" w:space="0" w:color="000000"/>
              <w:right w:val="single" w:sz="4" w:space="0" w:color="000000"/>
            </w:tcBorders>
          </w:tcPr>
          <w:p w14:paraId="67F84D32"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c>
          <w:tcPr>
            <w:tcW w:w="930" w:type="dxa"/>
            <w:gridSpan w:val="2"/>
            <w:tcBorders>
              <w:top w:val="single" w:sz="4" w:space="0" w:color="000000"/>
              <w:left w:val="single" w:sz="4" w:space="0" w:color="000000"/>
              <w:bottom w:val="single" w:sz="4" w:space="0" w:color="000000"/>
              <w:right w:val="single" w:sz="4" w:space="0" w:color="000000"/>
            </w:tcBorders>
          </w:tcPr>
          <w:p w14:paraId="3BB65BB8"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r>
      <w:tr w:rsidR="004F7AA9" w:rsidRPr="007777D9" w14:paraId="448E176E" w14:textId="77777777" w:rsidTr="009A4A51">
        <w:trPr>
          <w:trHeight w:hRule="exact" w:val="263"/>
        </w:trPr>
        <w:tc>
          <w:tcPr>
            <w:tcW w:w="2236" w:type="dxa"/>
            <w:tcBorders>
              <w:top w:val="single" w:sz="4" w:space="0" w:color="000000"/>
              <w:left w:val="single" w:sz="4" w:space="0" w:color="000000"/>
              <w:bottom w:val="single" w:sz="4" w:space="0" w:color="000000"/>
              <w:right w:val="single" w:sz="4" w:space="0" w:color="000000"/>
            </w:tcBorders>
          </w:tcPr>
          <w:p w14:paraId="5FDC0A06"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 rodmuo</w:t>
            </w:r>
          </w:p>
        </w:tc>
        <w:tc>
          <w:tcPr>
            <w:tcW w:w="2268" w:type="dxa"/>
            <w:gridSpan w:val="3"/>
            <w:tcBorders>
              <w:top w:val="single" w:sz="4" w:space="0" w:color="000000"/>
              <w:left w:val="single" w:sz="4" w:space="0" w:color="000000"/>
              <w:bottom w:val="single" w:sz="4" w:space="0" w:color="000000"/>
              <w:right w:val="single" w:sz="4" w:space="0" w:color="000000"/>
            </w:tcBorders>
          </w:tcPr>
          <w:p w14:paraId="1779659E"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0,030</w:t>
            </w:r>
          </w:p>
        </w:tc>
        <w:tc>
          <w:tcPr>
            <w:tcW w:w="2410" w:type="dxa"/>
            <w:gridSpan w:val="3"/>
            <w:tcBorders>
              <w:top w:val="single" w:sz="4" w:space="0" w:color="000000"/>
              <w:left w:val="single" w:sz="4" w:space="0" w:color="000000"/>
              <w:bottom w:val="single" w:sz="4" w:space="0" w:color="000000"/>
              <w:right w:val="single" w:sz="4" w:space="0" w:color="000000"/>
            </w:tcBorders>
          </w:tcPr>
          <w:p w14:paraId="273C2548"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c>
          <w:tcPr>
            <w:tcW w:w="2206" w:type="dxa"/>
            <w:gridSpan w:val="3"/>
            <w:tcBorders>
              <w:top w:val="single" w:sz="4" w:space="0" w:color="000000"/>
              <w:left w:val="single" w:sz="4" w:space="0" w:color="000000"/>
              <w:bottom w:val="single" w:sz="4" w:space="0" w:color="000000"/>
              <w:right w:val="single" w:sz="4" w:space="0" w:color="000000"/>
            </w:tcBorders>
          </w:tcPr>
          <w:p w14:paraId="496F0E8D"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NA</w:t>
            </w:r>
          </w:p>
        </w:tc>
      </w:tr>
    </w:tbl>
    <w:p w14:paraId="1A25B97F"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Apima slankstelių ir ne slankstelių lūžius.</w:t>
      </w:r>
    </w:p>
    <w:p w14:paraId="3449EB25"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 xml:space="preserve">Visi skeleto reiškiniai, bendras skaičius bei laikas iki kiekvieno reiškinio atsiradimo tyrimo metu. </w:t>
      </w:r>
    </w:p>
    <w:p w14:paraId="12CEB227"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NP</w:t>
      </w:r>
      <w:r w:rsidRPr="007777D9">
        <w:rPr>
          <w:snapToGrid/>
          <w:szCs w:val="22"/>
          <w:lang w:val="lt-LT"/>
        </w:rPr>
        <w:tab/>
        <w:t>Nepasiekta</w:t>
      </w:r>
    </w:p>
    <w:p w14:paraId="1E952F21"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NA</w:t>
      </w:r>
      <w:r w:rsidRPr="007777D9">
        <w:rPr>
          <w:snapToGrid/>
          <w:szCs w:val="22"/>
          <w:lang w:val="lt-LT"/>
        </w:rPr>
        <w:tab/>
        <w:t>Neaktualu</w:t>
      </w:r>
    </w:p>
    <w:p w14:paraId="5C3DB7DD" w14:textId="77777777" w:rsidR="004F7AA9" w:rsidRPr="007777D9" w:rsidRDefault="004F7AA9" w:rsidP="004F7AA9">
      <w:pPr>
        <w:widowControl w:val="0"/>
        <w:tabs>
          <w:tab w:val="clear" w:pos="567"/>
        </w:tabs>
        <w:spacing w:line="240" w:lineRule="auto"/>
        <w:rPr>
          <w:snapToGrid/>
          <w:szCs w:val="22"/>
          <w:lang w:val="lt-LT"/>
        </w:rPr>
      </w:pPr>
    </w:p>
    <w:p w14:paraId="46C37FF0"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Siekiant įvertinti 4 mg zoledrono rūgšties poveikį skeleto pažeidimo (SP) dažnio santykiui, apskaičiuotam dalijant visą SP reiškinių (išskyrus hiperkalcemiją ir anksčiau buvusį lūžimą) skaičių iš viso rizikos laikotarpio, 4 mg zoledrono rūgštis buvo tiriama atsitiktinių imčių, dvigubai koduoto, placebu kontroliuoto tyrimo metu, kuriame dalyvavo 228 krūties vėžiu su dokumentuotomis metastazėmis kauluose sergančios pacientės. Pacientės vartojo 4 mg zoledrono rūgšties dozę arba placebą kas 4 savaites vienerius metus. Zoledrono rūgšties ir placebo vartojusių pacienčių pasiskirstymas grupėse buvo vienodas.</w:t>
      </w:r>
    </w:p>
    <w:p w14:paraId="550FEE2E" w14:textId="77777777" w:rsidR="004F7AA9" w:rsidRPr="007777D9" w:rsidRDefault="004F7AA9" w:rsidP="004F7AA9">
      <w:pPr>
        <w:widowControl w:val="0"/>
        <w:tabs>
          <w:tab w:val="clear" w:pos="567"/>
        </w:tabs>
        <w:spacing w:line="240" w:lineRule="auto"/>
        <w:rPr>
          <w:snapToGrid/>
          <w:szCs w:val="22"/>
          <w:lang w:val="lt-LT"/>
        </w:rPr>
      </w:pPr>
    </w:p>
    <w:p w14:paraId="5F314C4D"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SP dažnis (reiškiniai pacientės metams) buvo 0,628 vartojant zoledrono rūgšties ir 1,096 vartojant placeb</w:t>
      </w:r>
      <w:r>
        <w:rPr>
          <w:snapToGrid/>
          <w:szCs w:val="22"/>
          <w:lang w:val="lt-LT"/>
        </w:rPr>
        <w:t>o</w:t>
      </w:r>
      <w:r w:rsidRPr="007777D9">
        <w:rPr>
          <w:snapToGrid/>
          <w:szCs w:val="22"/>
          <w:lang w:val="lt-LT"/>
        </w:rPr>
        <w:t>. Zoledrono rūgštimi gydytų pacientų, kuriems pasireiškė bent vienas SP (išskyrus hiperkalcemiją), dalis buvo 29,8%, palyginti su 49,6% placebo grupėje (p=0,003). Laiko iki pirmojo SP pasireiškimo mediana zoledrono rūgštimi gydytų pacienčių grupėje tyrimo pabaigoje nebuvo pasiekta ir buvo reikšmingai ilgesnė, palyginti su rodmeniu placebo grupėje (p=0,007). Atlikus dauginių reiškinių analizę, nustatyta, kad 4 mg zoledrono rūgšties dozė sumažino SP riziką 41%, palyginti su placebu (rizikos santykis=0,59, p=0,019).</w:t>
      </w:r>
      <w:r w:rsidRPr="007777D9" w:rsidDel="00FC3B61">
        <w:rPr>
          <w:snapToGrid/>
          <w:szCs w:val="22"/>
          <w:lang w:val="lt-LT"/>
        </w:rPr>
        <w:t xml:space="preserve"> </w:t>
      </w:r>
    </w:p>
    <w:p w14:paraId="01490DE7" w14:textId="77777777" w:rsidR="004F7AA9" w:rsidRPr="007777D9" w:rsidRDefault="004F7AA9" w:rsidP="004F7AA9">
      <w:pPr>
        <w:widowControl w:val="0"/>
        <w:tabs>
          <w:tab w:val="clear" w:pos="567"/>
        </w:tabs>
        <w:spacing w:line="240" w:lineRule="auto"/>
        <w:rPr>
          <w:snapToGrid/>
          <w:szCs w:val="22"/>
          <w:lang w:val="lt-LT"/>
        </w:rPr>
      </w:pPr>
    </w:p>
    <w:p w14:paraId="6AA707EB"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lastRenderedPageBreak/>
        <w:t xml:space="preserve">Pacienčių, gydytų zoledrono rūgštimi, grupėje, palyginti su placebo grupės pacientėmis, statistiškai reikšmingai geresnis skausmo skalės įvertinimas (naudojant trumpą skausmo aprašą, angl. </w:t>
      </w:r>
      <w:r w:rsidRPr="007777D9">
        <w:rPr>
          <w:i/>
          <w:snapToGrid/>
          <w:szCs w:val="22"/>
          <w:lang w:val="lt-LT"/>
        </w:rPr>
        <w:t>Brief Pain Inventory</w:t>
      </w:r>
      <w:r w:rsidRPr="007777D9">
        <w:rPr>
          <w:snapToGrid/>
          <w:szCs w:val="22"/>
          <w:lang w:val="lt-LT"/>
        </w:rPr>
        <w:t>, BPI) buvo stebimas tyrimo 4</w:t>
      </w:r>
      <w:r w:rsidRPr="007777D9">
        <w:rPr>
          <w:snapToGrid/>
          <w:szCs w:val="22"/>
          <w:lang w:val="lt-LT"/>
        </w:rPr>
        <w:noBreakHyphen/>
        <w:t>ąją savaitę ir kiekvieną kitą laiko tašką (1 paveikslas). Gydant zoledrono rūgštimi, skausmo įvertinimas nuolat buvo mažesnis nei pradinis rodmuo, be to, nustatyta skausmo mažėjimo tendencija (sumažėjo analgetikų poreikio įvertinimas).</w:t>
      </w:r>
    </w:p>
    <w:p w14:paraId="24E7BAA2" w14:textId="77777777" w:rsidR="004F7AA9" w:rsidRPr="007777D9" w:rsidRDefault="004F7AA9" w:rsidP="004F7AA9">
      <w:pPr>
        <w:widowControl w:val="0"/>
        <w:tabs>
          <w:tab w:val="clear" w:pos="567"/>
        </w:tabs>
        <w:spacing w:line="240" w:lineRule="auto"/>
        <w:rPr>
          <w:snapToGrid/>
          <w:szCs w:val="22"/>
          <w:lang w:val="lt-LT"/>
        </w:rPr>
      </w:pPr>
    </w:p>
    <w:p w14:paraId="68EFAC3F" w14:textId="77777777" w:rsidR="004F7AA9" w:rsidRPr="007777D9" w:rsidRDefault="004F7AA9" w:rsidP="004F7AA9">
      <w:pPr>
        <w:widowControl w:val="0"/>
        <w:tabs>
          <w:tab w:val="clear" w:pos="567"/>
        </w:tabs>
        <w:spacing w:line="240" w:lineRule="auto"/>
        <w:rPr>
          <w:b/>
          <w:snapToGrid/>
          <w:szCs w:val="22"/>
          <w:lang w:val="lt-LT"/>
        </w:rPr>
      </w:pPr>
      <w:r w:rsidRPr="007777D9">
        <w:rPr>
          <w:b/>
          <w:bCs/>
          <w:snapToGrid/>
          <w:szCs w:val="22"/>
          <w:lang w:val="lt-LT"/>
        </w:rPr>
        <w:t>1 paveikslas. Pagrindiniai pokyčiai nuo pradinio rodmens BPI skalėje. Statistiškai reikšmingi skirtumai, lyginant gydymo grupes (4 mg zoledrono rūgšties ir placebo poveikį), pažymėti (*p&lt;0,05)</w:t>
      </w:r>
    </w:p>
    <w:p w14:paraId="4DAFCD18" w14:textId="77777777" w:rsidR="004F7AA9" w:rsidRPr="007777D9" w:rsidRDefault="004F7AA9" w:rsidP="004F7AA9">
      <w:pPr>
        <w:widowControl w:val="0"/>
        <w:tabs>
          <w:tab w:val="clear" w:pos="567"/>
        </w:tabs>
        <w:spacing w:line="240" w:lineRule="auto"/>
        <w:rPr>
          <w:snapToGrid/>
          <w:szCs w:val="22"/>
          <w:lang w:val="lt-LT"/>
        </w:rPr>
      </w:pPr>
    </w:p>
    <w:p w14:paraId="6C5BF43F" w14:textId="77777777" w:rsidR="004F7AA9" w:rsidRPr="007777D9" w:rsidRDefault="004F7AA9" w:rsidP="004F7AA9">
      <w:pPr>
        <w:widowControl w:val="0"/>
        <w:tabs>
          <w:tab w:val="clear" w:pos="567"/>
        </w:tabs>
        <w:spacing w:line="240" w:lineRule="auto"/>
        <w:rPr>
          <w:snapToGrid/>
          <w:szCs w:val="22"/>
          <w:lang w:val="lt-LT"/>
        </w:rPr>
      </w:pPr>
    </w:p>
    <w:p w14:paraId="1EB60F9F" w14:textId="77777777" w:rsidR="004F7AA9" w:rsidRDefault="004F7AA9" w:rsidP="004F7AA9">
      <w:pPr>
        <w:widowControl w:val="0"/>
        <w:tabs>
          <w:tab w:val="clear" w:pos="567"/>
        </w:tabs>
        <w:spacing w:line="240" w:lineRule="auto"/>
        <w:rPr>
          <w:snapToGrid/>
          <w:szCs w:val="22"/>
          <w:u w:val="single"/>
          <w:lang w:val="lt-LT"/>
        </w:rPr>
      </w:pPr>
    </w:p>
    <w:p w14:paraId="49820E9E" w14:textId="77777777" w:rsidR="004F7AA9" w:rsidRDefault="004F7AA9" w:rsidP="004F7AA9">
      <w:pPr>
        <w:widowControl w:val="0"/>
        <w:tabs>
          <w:tab w:val="clear" w:pos="567"/>
        </w:tabs>
        <w:spacing w:line="240" w:lineRule="auto"/>
        <w:rPr>
          <w:snapToGrid/>
          <w:szCs w:val="22"/>
          <w:u w:val="single"/>
          <w:lang w:val="lt-LT"/>
        </w:rPr>
      </w:pPr>
      <w:r w:rsidRPr="0077347E">
        <w:rPr>
          <w:noProof/>
          <w:snapToGrid/>
          <w:szCs w:val="22"/>
          <w:lang w:val="lt-LT" w:eastAsia="lt-LT"/>
        </w:rPr>
        <w:drawing>
          <wp:inline distT="0" distB="0" distL="0" distR="0" wp14:anchorId="50313DE9" wp14:editId="0C20FC79">
            <wp:extent cx="5381625" cy="3076575"/>
            <wp:effectExtent l="0" t="0" r="0" b="0"/>
            <wp:docPr id="1" name="Picture 8" descr="Untitled-1 cop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titled-1 copy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1625" cy="3076575"/>
                    </a:xfrm>
                    <a:prstGeom prst="rect">
                      <a:avLst/>
                    </a:prstGeom>
                    <a:noFill/>
                    <a:ln>
                      <a:noFill/>
                    </a:ln>
                  </pic:spPr>
                </pic:pic>
              </a:graphicData>
            </a:graphic>
          </wp:inline>
        </w:drawing>
      </w:r>
    </w:p>
    <w:p w14:paraId="1D77A4A8" w14:textId="77777777" w:rsidR="004F7AA9" w:rsidRPr="00AF7308" w:rsidRDefault="004F7AA9" w:rsidP="004F7AA9">
      <w:pPr>
        <w:widowControl w:val="0"/>
        <w:tabs>
          <w:tab w:val="clear" w:pos="567"/>
        </w:tabs>
        <w:spacing w:line="240" w:lineRule="auto"/>
        <w:rPr>
          <w:u w:val="single"/>
          <w:lang w:val="lt-LT"/>
        </w:rPr>
      </w:pPr>
    </w:p>
    <w:p w14:paraId="11F49208" w14:textId="77777777" w:rsidR="004F7AA9" w:rsidRPr="00AF7308" w:rsidRDefault="004F7AA9" w:rsidP="004F7AA9">
      <w:pPr>
        <w:widowControl w:val="0"/>
        <w:tabs>
          <w:tab w:val="clear" w:pos="567"/>
        </w:tabs>
        <w:spacing w:line="240" w:lineRule="auto"/>
        <w:rPr>
          <w:u w:val="single"/>
          <w:lang w:val="lt-LT"/>
        </w:rPr>
      </w:pPr>
    </w:p>
    <w:p w14:paraId="6E92FDF1"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t>NSH gydymo klinikinių tyrimų rezultatai</w:t>
      </w:r>
    </w:p>
    <w:p w14:paraId="1824F9DE"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Klinikinių navikų sukeltos hiperkalcemijos (NSH) tyrimų duomenys rodo, kad zoledrono rūgšties sukeltiems pokyčiams yra būdingas kalcio kiekio serume ir kalcio išsiskyrimo su šlapimu sumažėjimas. I fazės dozės nustatymo pacientams, kuriems buvo lengva ar vidutinio sunkumo naviko sukelta hiperkalcemija (NSH), tyrimų metu nustatyta, kad veiksminga dozė yra maždaug 1,2–2,5 mg.</w:t>
      </w:r>
    </w:p>
    <w:p w14:paraId="5D92821A" w14:textId="77777777" w:rsidR="004F7AA9" w:rsidRPr="007777D9" w:rsidRDefault="004F7AA9" w:rsidP="004F7AA9">
      <w:pPr>
        <w:widowControl w:val="0"/>
        <w:tabs>
          <w:tab w:val="clear" w:pos="567"/>
        </w:tabs>
        <w:spacing w:line="240" w:lineRule="auto"/>
        <w:rPr>
          <w:snapToGrid/>
          <w:szCs w:val="22"/>
          <w:lang w:val="lt-LT"/>
        </w:rPr>
      </w:pPr>
    </w:p>
    <w:p w14:paraId="58961216"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4 mg zoledrono rūgšties dozės ir 90 mg pamidronato dozės poveikiui palyginti buvo atlikta iš anksto suplanuota apibendrinta dviejų pagrindinių, daugiacentrių pacientų, kuriems buvo NSH, tyrimų duomenų analizė. Nustatyta, kad vartojant 8 mg zoledrono rūgšties dozę, koreguoto kalcio kiekis serume greičiau mažėjo 4-ąją dieną, o vartojant 4 mg ir 8 mg zoledrono rūgšties dozę − 7-ąją dieną. Stebėtas toliau nurodytas atsako dažnis.</w:t>
      </w:r>
    </w:p>
    <w:p w14:paraId="1040AC63" w14:textId="77777777" w:rsidR="004F7AA9" w:rsidRPr="007777D9" w:rsidRDefault="004F7AA9" w:rsidP="004F7AA9">
      <w:pPr>
        <w:widowControl w:val="0"/>
        <w:tabs>
          <w:tab w:val="clear" w:pos="567"/>
        </w:tabs>
        <w:spacing w:line="240" w:lineRule="auto"/>
        <w:rPr>
          <w:snapToGrid/>
          <w:szCs w:val="22"/>
          <w:lang w:val="lt-LT"/>
        </w:rPr>
      </w:pPr>
    </w:p>
    <w:p w14:paraId="1C221601"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5 lentelė</w:t>
      </w:r>
      <w:r w:rsidRPr="007777D9">
        <w:rPr>
          <w:snapToGrid/>
          <w:szCs w:val="22"/>
          <w:lang w:val="lt-LT"/>
        </w:rPr>
        <w:t>. Pacientų, kuriems pasireiškė visiškas atsakas, dalis pagal dienas jungtinių NSH tyrimų metu.</w:t>
      </w:r>
    </w:p>
    <w:p w14:paraId="62B2D524" w14:textId="77777777" w:rsidR="004F7AA9" w:rsidRPr="007777D9" w:rsidRDefault="004F7AA9" w:rsidP="004F7AA9">
      <w:pPr>
        <w:widowControl w:val="0"/>
        <w:tabs>
          <w:tab w:val="clear" w:pos="567"/>
        </w:tabs>
        <w:spacing w:line="240" w:lineRule="auto"/>
        <w:rPr>
          <w:snapToGrid/>
          <w:szCs w:val="22"/>
          <w:lang w:val="lt-LT"/>
        </w:rPr>
      </w:pPr>
    </w:p>
    <w:tbl>
      <w:tblPr>
        <w:tblW w:w="0" w:type="auto"/>
        <w:tblInd w:w="107" w:type="dxa"/>
        <w:tblLayout w:type="fixed"/>
        <w:tblCellMar>
          <w:left w:w="0" w:type="dxa"/>
          <w:right w:w="0" w:type="dxa"/>
        </w:tblCellMar>
        <w:tblLook w:val="01E0" w:firstRow="1" w:lastRow="1" w:firstColumn="1" w:lastColumn="1" w:noHBand="0" w:noVBand="0"/>
      </w:tblPr>
      <w:tblGrid>
        <w:gridCol w:w="2836"/>
        <w:gridCol w:w="2165"/>
        <w:gridCol w:w="2088"/>
        <w:gridCol w:w="1984"/>
      </w:tblGrid>
      <w:tr w:rsidR="004F7AA9" w:rsidRPr="007777D9" w14:paraId="31E97EAE" w14:textId="77777777" w:rsidTr="009A4A51">
        <w:trPr>
          <w:trHeight w:hRule="exact" w:val="266"/>
        </w:trPr>
        <w:tc>
          <w:tcPr>
            <w:tcW w:w="2836" w:type="dxa"/>
            <w:tcBorders>
              <w:top w:val="single" w:sz="4" w:space="0" w:color="000000"/>
              <w:left w:val="single" w:sz="4" w:space="0" w:color="000000"/>
              <w:bottom w:val="single" w:sz="6" w:space="0" w:color="000000"/>
              <w:right w:val="single" w:sz="6" w:space="0" w:color="000000"/>
            </w:tcBorders>
          </w:tcPr>
          <w:p w14:paraId="01A7A970" w14:textId="77777777" w:rsidR="004F7AA9" w:rsidRPr="007777D9" w:rsidRDefault="004F7AA9" w:rsidP="009A4A51">
            <w:pPr>
              <w:widowControl w:val="0"/>
              <w:tabs>
                <w:tab w:val="clear" w:pos="567"/>
              </w:tabs>
              <w:spacing w:line="240" w:lineRule="auto"/>
              <w:rPr>
                <w:snapToGrid/>
                <w:szCs w:val="22"/>
                <w:lang w:val="lt-LT"/>
              </w:rPr>
            </w:pPr>
          </w:p>
        </w:tc>
        <w:tc>
          <w:tcPr>
            <w:tcW w:w="2165" w:type="dxa"/>
            <w:tcBorders>
              <w:top w:val="single" w:sz="4" w:space="0" w:color="000000"/>
              <w:left w:val="single" w:sz="6" w:space="0" w:color="000000"/>
              <w:bottom w:val="single" w:sz="6" w:space="0" w:color="000000"/>
              <w:right w:val="single" w:sz="6" w:space="0" w:color="000000"/>
            </w:tcBorders>
          </w:tcPr>
          <w:p w14:paraId="181BDB9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4-oji diena</w:t>
            </w:r>
          </w:p>
        </w:tc>
        <w:tc>
          <w:tcPr>
            <w:tcW w:w="2088" w:type="dxa"/>
            <w:tcBorders>
              <w:top w:val="single" w:sz="4" w:space="0" w:color="000000"/>
              <w:left w:val="single" w:sz="6" w:space="0" w:color="000000"/>
              <w:bottom w:val="single" w:sz="6" w:space="0" w:color="000000"/>
              <w:right w:val="single" w:sz="6" w:space="0" w:color="000000"/>
            </w:tcBorders>
          </w:tcPr>
          <w:p w14:paraId="7FC5237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7-oji diena</w:t>
            </w:r>
          </w:p>
        </w:tc>
        <w:tc>
          <w:tcPr>
            <w:tcW w:w="1984" w:type="dxa"/>
            <w:tcBorders>
              <w:top w:val="single" w:sz="4" w:space="0" w:color="000000"/>
              <w:left w:val="single" w:sz="6" w:space="0" w:color="000000"/>
              <w:bottom w:val="single" w:sz="6" w:space="0" w:color="000000"/>
              <w:right w:val="single" w:sz="4" w:space="0" w:color="000000"/>
            </w:tcBorders>
          </w:tcPr>
          <w:p w14:paraId="48EFC871"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10-oji diena</w:t>
            </w:r>
          </w:p>
        </w:tc>
      </w:tr>
      <w:tr w:rsidR="004F7AA9" w:rsidRPr="007777D9" w14:paraId="04B66B16" w14:textId="77777777" w:rsidTr="009A4A51">
        <w:trPr>
          <w:trHeight w:hRule="exact" w:val="521"/>
        </w:trPr>
        <w:tc>
          <w:tcPr>
            <w:tcW w:w="2836" w:type="dxa"/>
            <w:tcBorders>
              <w:top w:val="single" w:sz="6" w:space="0" w:color="000000"/>
              <w:left w:val="single" w:sz="4" w:space="0" w:color="000000"/>
              <w:bottom w:val="single" w:sz="6" w:space="0" w:color="000000"/>
              <w:right w:val="single" w:sz="6" w:space="0" w:color="000000"/>
            </w:tcBorders>
          </w:tcPr>
          <w:p w14:paraId="65AD94B4"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Zoledrono rūgštis 4 mg</w:t>
            </w:r>
          </w:p>
          <w:p w14:paraId="4F2E9FC5"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(N=86)</w:t>
            </w:r>
          </w:p>
        </w:tc>
        <w:tc>
          <w:tcPr>
            <w:tcW w:w="2165" w:type="dxa"/>
            <w:tcBorders>
              <w:top w:val="single" w:sz="6" w:space="0" w:color="000000"/>
              <w:left w:val="single" w:sz="6" w:space="0" w:color="000000"/>
              <w:bottom w:val="single" w:sz="6" w:space="0" w:color="000000"/>
              <w:right w:val="single" w:sz="6" w:space="0" w:color="000000"/>
            </w:tcBorders>
          </w:tcPr>
          <w:p w14:paraId="4AB4355D"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45,3% (p=0,104)</w:t>
            </w:r>
          </w:p>
        </w:tc>
        <w:tc>
          <w:tcPr>
            <w:tcW w:w="2088" w:type="dxa"/>
            <w:tcBorders>
              <w:top w:val="single" w:sz="6" w:space="0" w:color="000000"/>
              <w:left w:val="single" w:sz="6" w:space="0" w:color="000000"/>
              <w:bottom w:val="single" w:sz="6" w:space="0" w:color="000000"/>
              <w:right w:val="single" w:sz="6" w:space="0" w:color="000000"/>
            </w:tcBorders>
          </w:tcPr>
          <w:p w14:paraId="7E7000BB"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82,6% (p=0,005)*</w:t>
            </w:r>
          </w:p>
        </w:tc>
        <w:tc>
          <w:tcPr>
            <w:tcW w:w="1984" w:type="dxa"/>
            <w:tcBorders>
              <w:top w:val="single" w:sz="6" w:space="0" w:color="000000"/>
              <w:left w:val="single" w:sz="6" w:space="0" w:color="000000"/>
              <w:bottom w:val="single" w:sz="6" w:space="0" w:color="000000"/>
              <w:right w:val="single" w:sz="4" w:space="0" w:color="000000"/>
            </w:tcBorders>
          </w:tcPr>
          <w:p w14:paraId="29D8FED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88,4% (p=0,002)*</w:t>
            </w:r>
          </w:p>
        </w:tc>
      </w:tr>
      <w:tr w:rsidR="004F7AA9" w:rsidRPr="007777D9" w14:paraId="735B760B" w14:textId="77777777" w:rsidTr="009A4A51">
        <w:trPr>
          <w:trHeight w:hRule="exact" w:val="521"/>
        </w:trPr>
        <w:tc>
          <w:tcPr>
            <w:tcW w:w="2836" w:type="dxa"/>
            <w:tcBorders>
              <w:top w:val="single" w:sz="6" w:space="0" w:color="000000"/>
              <w:left w:val="single" w:sz="4" w:space="0" w:color="000000"/>
              <w:bottom w:val="single" w:sz="6" w:space="0" w:color="000000"/>
              <w:right w:val="single" w:sz="6" w:space="0" w:color="000000"/>
            </w:tcBorders>
          </w:tcPr>
          <w:p w14:paraId="6536D5B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Zoledrono rūgštis 8 mg</w:t>
            </w:r>
          </w:p>
          <w:p w14:paraId="03B12267"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(N=90)</w:t>
            </w:r>
          </w:p>
        </w:tc>
        <w:tc>
          <w:tcPr>
            <w:tcW w:w="2165" w:type="dxa"/>
            <w:tcBorders>
              <w:top w:val="single" w:sz="6" w:space="0" w:color="000000"/>
              <w:left w:val="single" w:sz="6" w:space="0" w:color="000000"/>
              <w:bottom w:val="single" w:sz="6" w:space="0" w:color="000000"/>
              <w:right w:val="single" w:sz="6" w:space="0" w:color="000000"/>
            </w:tcBorders>
          </w:tcPr>
          <w:p w14:paraId="3D816BE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55,6% (p=0,021)*</w:t>
            </w:r>
          </w:p>
        </w:tc>
        <w:tc>
          <w:tcPr>
            <w:tcW w:w="2088" w:type="dxa"/>
            <w:tcBorders>
              <w:top w:val="single" w:sz="6" w:space="0" w:color="000000"/>
              <w:left w:val="single" w:sz="6" w:space="0" w:color="000000"/>
              <w:bottom w:val="single" w:sz="6" w:space="0" w:color="000000"/>
              <w:right w:val="single" w:sz="6" w:space="0" w:color="000000"/>
            </w:tcBorders>
          </w:tcPr>
          <w:p w14:paraId="2914AC39"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83,3% (p=0,010)*</w:t>
            </w:r>
          </w:p>
        </w:tc>
        <w:tc>
          <w:tcPr>
            <w:tcW w:w="1984" w:type="dxa"/>
            <w:tcBorders>
              <w:top w:val="single" w:sz="6" w:space="0" w:color="000000"/>
              <w:left w:val="single" w:sz="6" w:space="0" w:color="000000"/>
              <w:bottom w:val="single" w:sz="6" w:space="0" w:color="000000"/>
              <w:right w:val="single" w:sz="4" w:space="0" w:color="000000"/>
            </w:tcBorders>
          </w:tcPr>
          <w:p w14:paraId="191FC87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86,7% (p=0,015)*</w:t>
            </w:r>
          </w:p>
        </w:tc>
      </w:tr>
      <w:tr w:rsidR="004F7AA9" w:rsidRPr="007777D9" w14:paraId="6A18C456" w14:textId="77777777" w:rsidTr="009A4A51">
        <w:trPr>
          <w:trHeight w:hRule="exact" w:val="269"/>
        </w:trPr>
        <w:tc>
          <w:tcPr>
            <w:tcW w:w="2836" w:type="dxa"/>
            <w:tcBorders>
              <w:top w:val="single" w:sz="6" w:space="0" w:color="000000"/>
              <w:left w:val="single" w:sz="4" w:space="0" w:color="000000"/>
              <w:bottom w:val="single" w:sz="6" w:space="0" w:color="000000"/>
              <w:right w:val="single" w:sz="6" w:space="0" w:color="000000"/>
            </w:tcBorders>
          </w:tcPr>
          <w:p w14:paraId="16CC6FE5"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Pamidronato 90 mg (N=99)</w:t>
            </w:r>
          </w:p>
        </w:tc>
        <w:tc>
          <w:tcPr>
            <w:tcW w:w="2165" w:type="dxa"/>
            <w:tcBorders>
              <w:top w:val="single" w:sz="6" w:space="0" w:color="000000"/>
              <w:left w:val="single" w:sz="6" w:space="0" w:color="000000"/>
              <w:bottom w:val="single" w:sz="6" w:space="0" w:color="000000"/>
              <w:right w:val="single" w:sz="6" w:space="0" w:color="000000"/>
            </w:tcBorders>
          </w:tcPr>
          <w:p w14:paraId="3BED6D3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33,3%</w:t>
            </w:r>
          </w:p>
        </w:tc>
        <w:tc>
          <w:tcPr>
            <w:tcW w:w="2088" w:type="dxa"/>
            <w:tcBorders>
              <w:top w:val="single" w:sz="6" w:space="0" w:color="000000"/>
              <w:left w:val="single" w:sz="6" w:space="0" w:color="000000"/>
              <w:bottom w:val="single" w:sz="6" w:space="0" w:color="000000"/>
              <w:right w:val="single" w:sz="6" w:space="0" w:color="000000"/>
            </w:tcBorders>
          </w:tcPr>
          <w:p w14:paraId="1E84E78D"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63,6%</w:t>
            </w:r>
          </w:p>
        </w:tc>
        <w:tc>
          <w:tcPr>
            <w:tcW w:w="1984" w:type="dxa"/>
            <w:tcBorders>
              <w:top w:val="single" w:sz="6" w:space="0" w:color="000000"/>
              <w:left w:val="single" w:sz="6" w:space="0" w:color="000000"/>
              <w:bottom w:val="single" w:sz="6" w:space="0" w:color="000000"/>
              <w:right w:val="single" w:sz="4" w:space="0" w:color="000000"/>
            </w:tcBorders>
          </w:tcPr>
          <w:p w14:paraId="6BB3C1A5"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69,7%</w:t>
            </w:r>
          </w:p>
        </w:tc>
      </w:tr>
      <w:tr w:rsidR="004F7AA9" w:rsidRPr="007777D9" w14:paraId="18BCF75F" w14:textId="77777777" w:rsidTr="009A4A51">
        <w:trPr>
          <w:trHeight w:hRule="exact" w:val="265"/>
        </w:trPr>
        <w:tc>
          <w:tcPr>
            <w:tcW w:w="9073" w:type="dxa"/>
            <w:gridSpan w:val="4"/>
            <w:tcBorders>
              <w:top w:val="single" w:sz="6" w:space="0" w:color="000000"/>
              <w:left w:val="single" w:sz="4" w:space="0" w:color="000000"/>
              <w:bottom w:val="single" w:sz="4" w:space="0" w:color="000000"/>
              <w:right w:val="single" w:sz="4" w:space="0" w:color="000000"/>
            </w:tcBorders>
          </w:tcPr>
          <w:p w14:paraId="5330F89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lastRenderedPageBreak/>
              <w:t>*p rodmuo, lyginant su pamidronatu</w:t>
            </w:r>
          </w:p>
        </w:tc>
      </w:tr>
    </w:tbl>
    <w:p w14:paraId="246AB46E" w14:textId="77777777" w:rsidR="004F7AA9" w:rsidRPr="007777D9" w:rsidRDefault="004F7AA9" w:rsidP="004F7AA9">
      <w:pPr>
        <w:widowControl w:val="0"/>
        <w:tabs>
          <w:tab w:val="clear" w:pos="567"/>
        </w:tabs>
        <w:spacing w:line="240" w:lineRule="auto"/>
        <w:rPr>
          <w:snapToGrid/>
          <w:szCs w:val="22"/>
          <w:lang w:val="lt-LT"/>
        </w:rPr>
      </w:pPr>
    </w:p>
    <w:p w14:paraId="2C98AD4A"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Laiko iki normalaus kalcio kiekio kraujyje atsiradimo mediana buvo 4 dienos. Laiko iki recidyvo (kartotinis kalcio kiekio, koreguoto pagal albuminą, serume padidėjimas iki ≥ 2,9 mmol/l) mediana zoledrono rūgštimi gydytiems pacientams buvo 30</w:t>
      </w:r>
      <w:r w:rsidRPr="007777D9">
        <w:rPr>
          <w:snapToGrid/>
          <w:szCs w:val="22"/>
          <w:lang w:val="lt-LT"/>
        </w:rPr>
        <w:noBreakHyphen/>
        <w:t>40 dienų, palyginti su 17 dienų 90 mg pamidronato dozę vartojusiems pacientams (p rodmenys: 0,001, lyginant su 4 mg zoledrono rūgšties dozės poveikiu, ir 0,007, lyginant su 8 mg zoledrono rūgšties dozės poveikiu). Skirtumas tarp dviejų zoledrono rūgšties dozių nebuvo statistiškai reikšmingas.</w:t>
      </w:r>
    </w:p>
    <w:p w14:paraId="783CB4BD" w14:textId="77777777" w:rsidR="004F7AA9" w:rsidRPr="007777D9" w:rsidRDefault="004F7AA9" w:rsidP="004F7AA9">
      <w:pPr>
        <w:widowControl w:val="0"/>
        <w:tabs>
          <w:tab w:val="clear" w:pos="567"/>
        </w:tabs>
        <w:spacing w:line="240" w:lineRule="auto"/>
        <w:rPr>
          <w:snapToGrid/>
          <w:szCs w:val="22"/>
          <w:lang w:val="lt-LT"/>
        </w:rPr>
      </w:pPr>
    </w:p>
    <w:p w14:paraId="4BEEB417"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Klinikinių tyrimų metu 69 pacientai, kuriems buvo recidyvas ar kuriems negauta atsako skiriant pradinį gydymą (4 mg ir 8 mg zoledrono rūgšties ar pamidronato 90 mg doze), buvo kartotinai gydyti 8 mg zoledrono rūgšties doze. Atsakas pasireiškė maždaug 52% pacientų. Pacientai kartotinai gydyti tik 8 mg doze, todėl nėra duomenų, leidžiančių palyginti su 4 mg zoledrono rūgšties dozės poveikiu.</w:t>
      </w:r>
    </w:p>
    <w:p w14:paraId="1F7FB2E5" w14:textId="77777777" w:rsidR="004F7AA9" w:rsidRPr="007777D9" w:rsidRDefault="004F7AA9" w:rsidP="004F7AA9">
      <w:pPr>
        <w:widowControl w:val="0"/>
        <w:tabs>
          <w:tab w:val="clear" w:pos="567"/>
        </w:tabs>
        <w:spacing w:line="240" w:lineRule="auto"/>
        <w:rPr>
          <w:snapToGrid/>
          <w:szCs w:val="22"/>
          <w:lang w:val="lt-LT"/>
        </w:rPr>
      </w:pPr>
    </w:p>
    <w:p w14:paraId="00FEBB2F"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Klinikinių tyrimų metu nustatytas bendras saugumo pobūdis pagal tipą ir sunkumą buvo panašus visose trijose pacientų, kuriems buvo naviko sukelta hiperkalcemija (NSH), grupėse (4 mg ir 8 mg zoledrono rūgšties bei 90 mg pamidronato).</w:t>
      </w:r>
    </w:p>
    <w:p w14:paraId="475FB232" w14:textId="77777777" w:rsidR="004F7AA9" w:rsidRPr="007777D9" w:rsidRDefault="004F7AA9" w:rsidP="004F7AA9">
      <w:pPr>
        <w:widowControl w:val="0"/>
        <w:tabs>
          <w:tab w:val="clear" w:pos="567"/>
        </w:tabs>
        <w:spacing w:line="240" w:lineRule="auto"/>
        <w:rPr>
          <w:snapToGrid/>
          <w:szCs w:val="22"/>
          <w:lang w:val="lt-LT"/>
        </w:rPr>
      </w:pPr>
    </w:p>
    <w:p w14:paraId="3D4403E1" w14:textId="77777777" w:rsidR="004F7AA9" w:rsidRPr="007777D9" w:rsidRDefault="004F7AA9" w:rsidP="004F7AA9">
      <w:pPr>
        <w:widowControl w:val="0"/>
        <w:tabs>
          <w:tab w:val="clear" w:pos="567"/>
        </w:tabs>
        <w:spacing w:line="240" w:lineRule="auto"/>
        <w:rPr>
          <w:i/>
          <w:snapToGrid/>
          <w:szCs w:val="22"/>
          <w:u w:val="single"/>
          <w:lang w:val="lt-LT"/>
        </w:rPr>
      </w:pPr>
      <w:r w:rsidRPr="007777D9">
        <w:rPr>
          <w:i/>
          <w:snapToGrid/>
          <w:szCs w:val="22"/>
          <w:u w:val="single"/>
          <w:lang w:val="lt-LT"/>
        </w:rPr>
        <w:t>Vaikų populiacija</w:t>
      </w:r>
    </w:p>
    <w:p w14:paraId="75559A43" w14:textId="77777777" w:rsidR="004F7AA9" w:rsidRPr="007777D9" w:rsidRDefault="004F7AA9" w:rsidP="004F7AA9">
      <w:pPr>
        <w:widowControl w:val="0"/>
        <w:tabs>
          <w:tab w:val="clear" w:pos="567"/>
        </w:tabs>
        <w:spacing w:line="240" w:lineRule="auto"/>
        <w:rPr>
          <w:snapToGrid/>
          <w:szCs w:val="22"/>
          <w:u w:val="single"/>
          <w:lang w:val="lt-LT"/>
        </w:rPr>
      </w:pPr>
    </w:p>
    <w:p w14:paraId="700C0023" w14:textId="77777777" w:rsidR="004F7AA9" w:rsidRPr="007777D9" w:rsidRDefault="004F7AA9" w:rsidP="004F7AA9">
      <w:pPr>
        <w:widowControl w:val="0"/>
        <w:tabs>
          <w:tab w:val="clear" w:pos="567"/>
        </w:tabs>
        <w:spacing w:line="240" w:lineRule="auto"/>
        <w:rPr>
          <w:i/>
          <w:snapToGrid/>
          <w:szCs w:val="22"/>
          <w:u w:val="single"/>
          <w:lang w:val="lt-LT"/>
        </w:rPr>
      </w:pPr>
      <w:r w:rsidRPr="007777D9">
        <w:rPr>
          <w:snapToGrid/>
          <w:szCs w:val="22"/>
          <w:u w:val="single"/>
          <w:lang w:val="lt-LT"/>
        </w:rPr>
        <w:t>Sunkios nebaigtinės osteogenezės (</w:t>
      </w:r>
      <w:r w:rsidRPr="007777D9">
        <w:rPr>
          <w:i/>
          <w:snapToGrid/>
          <w:szCs w:val="22"/>
          <w:u w:val="single"/>
          <w:lang w:val="lt-LT"/>
        </w:rPr>
        <w:t>osteogenesis imperfecta</w:t>
      </w:r>
      <w:r w:rsidRPr="007777D9">
        <w:rPr>
          <w:snapToGrid/>
          <w:szCs w:val="22"/>
          <w:u w:val="single"/>
          <w:lang w:val="lt-LT"/>
        </w:rPr>
        <w:t>) gydymo 1</w:t>
      </w:r>
      <w:r w:rsidRPr="007777D9">
        <w:rPr>
          <w:snapToGrid/>
          <w:szCs w:val="22"/>
          <w:u w:val="single"/>
          <w:lang w:val="lt-LT"/>
        </w:rPr>
        <w:noBreakHyphen/>
        <w:t>17 metų vaikams klinikinių tyrimų rezultatai</w:t>
      </w:r>
    </w:p>
    <w:p w14:paraId="176E2C0A"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Į veną vartojamos zoledrono rūgšties poveikis gydant sunkia I, III ir IV tipo nebaigtine osteogeneze (</w:t>
      </w:r>
      <w:r w:rsidRPr="007777D9">
        <w:rPr>
          <w:i/>
          <w:snapToGrid/>
          <w:szCs w:val="22"/>
          <w:lang w:val="lt-LT"/>
        </w:rPr>
        <w:t>osteogenesis imperfecta</w:t>
      </w:r>
      <w:r w:rsidRPr="007777D9">
        <w:rPr>
          <w:snapToGrid/>
          <w:szCs w:val="22"/>
          <w:lang w:val="lt-LT"/>
        </w:rPr>
        <w:t>) sergančius 1–17 metų vaikus buvo lyginamas su intraveninio pamidronato poveikiu vieno tarptautinio, daugiacentrio, atsitiktinių imčių, atviro klinikinio tyrimo metu; į gydymo grupes buvo įtraukta atitinkamai 74 ir 76 pacientai. Gydymo tiriamuoju vaistiniu preparatu laikotarpis buvo 12 mėnesių; prieš tai buvo 4–9 savaičių trukmės atrankos laikotarpis, kurio metu mažiausiai 2 savaites buvo skiriama vitamino D ir elementinio kalcio papildų. Šios klinikinės programos metu pacientams nuo 1 iki &lt; 3 metų amžiaus kas 3 mėnesius buvo infuzuojama 0,025 mg/kg kūno svorio zoledrono rūgšties dozė (iki didžiausios vienkartinės 0,35 mg dozės), o pacientams nuo 3 iki 17 metų amžiaus kas 3 mėnesius buvo infuzuojama 0,05 mg/kg kūno svorio zoledrono rūgšties dozės (iki didžiausios vienkartinės 0,83 mg dozės). Taip pat atliktas tęstinis tyrimas, siekiant ištirti kartą per metus arba du kartus per metus vartojamos zoledrono rūgšties ilgalaikį bendrąjį saugumo pobūdį ir saugumą inkstų atžvilgiu; vaikams, kurie baigė dalyvavimą pagrindiniame vienerių metų trukmės gydymo arba zoledrono rūgštimi, arba pamidronatu, tyrime, dar 12 mėnesių buvo tęsiamas gydymas zoledrono rūgštimi.</w:t>
      </w:r>
    </w:p>
    <w:p w14:paraId="789C2FB4" w14:textId="77777777" w:rsidR="004F7AA9" w:rsidRPr="007777D9" w:rsidRDefault="004F7AA9" w:rsidP="004F7AA9">
      <w:pPr>
        <w:widowControl w:val="0"/>
        <w:tabs>
          <w:tab w:val="clear" w:pos="567"/>
        </w:tabs>
        <w:spacing w:line="240" w:lineRule="auto"/>
        <w:rPr>
          <w:snapToGrid/>
          <w:szCs w:val="22"/>
          <w:lang w:val="lt-LT"/>
        </w:rPr>
      </w:pPr>
    </w:p>
    <w:p w14:paraId="1ADF15D0"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Pagrindinė klinikinio tyrimo vertinamoji baigtis buvo juosmeninės stuburo dalies kaulų mineralinio tankio (KMT) procentinis pokytis po 12 gydymo mėnesių, palyginti su pradiniu rodmeniu. Apskaičiuotas abiejų vaistinių preparatų gydomasis poveikis KMT buvo panašus, tačiau klinikinio tyrimo struktūra nebuvo pakankama</w:t>
      </w:r>
      <w:r>
        <w:rPr>
          <w:snapToGrid/>
          <w:szCs w:val="22"/>
          <w:lang w:val="lt-LT"/>
        </w:rPr>
        <w:t>,</w:t>
      </w:r>
      <w:r w:rsidRPr="007777D9">
        <w:rPr>
          <w:snapToGrid/>
          <w:szCs w:val="22"/>
          <w:lang w:val="lt-LT"/>
        </w:rPr>
        <w:t xml:space="preserve"> kad rezultatai įrodytų zoledrono rūgšties poveikio nenusileidimą. Nebuvo gauta aiškių įrodymų apie veiksmingumą vertinant kaulų lūžių dažnį ir skausmą. Nepageidaujamų reiškinių, susijusių su apatinių galūnių ilgųjų kaulų lūžiais, buvo pranešta maždaug 24% (šlaunikaulio lūžių atvejų) ir 14% (blauzdikaulio lūžių atvejų) zoledrono rūgštimi gydytų pacientų, palyginti su atitinkamai 12% ir 5% pamidronatu gydytų pacientų, sergančių sunkia nebaigtine osteogeneze (</w:t>
      </w:r>
      <w:r w:rsidRPr="007777D9">
        <w:rPr>
          <w:i/>
          <w:snapToGrid/>
          <w:szCs w:val="22"/>
          <w:lang w:val="lt-LT"/>
        </w:rPr>
        <w:t>osteogenesis imperfecta</w:t>
      </w:r>
      <w:r w:rsidRPr="007777D9">
        <w:rPr>
          <w:snapToGrid/>
          <w:szCs w:val="22"/>
          <w:lang w:val="lt-LT"/>
        </w:rPr>
        <w:t>), nepriklausomai nuo ligos tipo ir lūžių priežasties; vis dėlto bendrasis lūžių dažnis zoledrono rūgštimi ir pamidronatu gydytiems pacientams buvo panašus: atitinkamai 43% (32 iš 74) ir 41% (31 iš 76). Kaulų lūžių rizikos vertinimą apsunkina tai, kad lūžiai dažnai pasireiškia sunkia nebaigtine osteogeneze (</w:t>
      </w:r>
      <w:r w:rsidRPr="007777D9">
        <w:rPr>
          <w:i/>
          <w:snapToGrid/>
          <w:szCs w:val="22"/>
          <w:lang w:val="lt-LT"/>
        </w:rPr>
        <w:t>osteogenesis imperfecta</w:t>
      </w:r>
      <w:r w:rsidRPr="007777D9">
        <w:rPr>
          <w:snapToGrid/>
          <w:szCs w:val="22"/>
          <w:lang w:val="lt-LT"/>
        </w:rPr>
        <w:t>) sergantiems pacientams kaip jų ligos eigos dalis.</w:t>
      </w:r>
    </w:p>
    <w:p w14:paraId="7B548521" w14:textId="77777777" w:rsidR="004F7AA9" w:rsidRPr="007777D9" w:rsidRDefault="004F7AA9" w:rsidP="004F7AA9">
      <w:pPr>
        <w:widowControl w:val="0"/>
        <w:tabs>
          <w:tab w:val="clear" w:pos="567"/>
        </w:tabs>
        <w:spacing w:line="240" w:lineRule="auto"/>
        <w:rPr>
          <w:snapToGrid/>
          <w:szCs w:val="22"/>
          <w:lang w:val="lt-LT"/>
        </w:rPr>
      </w:pPr>
    </w:p>
    <w:p w14:paraId="74844882"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Šios populiacijos pacientams pasireiškusių nepageidaujamų reakcijų pobūdis buvo panašus į anksčiau nustatytą nepageidaujamų reakcijų pobūd</w:t>
      </w:r>
      <w:r>
        <w:rPr>
          <w:snapToGrid/>
          <w:szCs w:val="22"/>
          <w:lang w:val="lt-LT"/>
        </w:rPr>
        <w:t>į</w:t>
      </w:r>
      <w:r w:rsidRPr="007777D9">
        <w:rPr>
          <w:snapToGrid/>
          <w:szCs w:val="22"/>
          <w:lang w:val="lt-LT"/>
        </w:rPr>
        <w:t xml:space="preserve"> suaugusiesiems, sergantiems progresavusiomis piktybinėmis į kaulus išplitusiomis ligomis (žr. 4.8 skyrių). 6 lentelėje išvardytos nepageidaujamos reakcijos, suskirstytos pagal dažnį, kuris apibūdinamas taip: labai dažnas (≥ 1/10), dažnas (nuo </w:t>
      </w:r>
      <w:r w:rsidRPr="007777D9">
        <w:rPr>
          <w:snapToGrid/>
          <w:szCs w:val="22"/>
          <w:lang w:val="lt-LT"/>
        </w:rPr>
        <w:lastRenderedPageBreak/>
        <w:t>≥ 1/100 iki &lt;1/10), nedažnas (nuo ≥ </w:t>
      </w:r>
      <w:r w:rsidRPr="007777D9">
        <w:rPr>
          <w:snapToGrid/>
          <w:position w:val="-1"/>
          <w:szCs w:val="22"/>
          <w:lang w:val="lt-LT"/>
        </w:rPr>
        <w:t xml:space="preserve">1/1 000 iki &lt;1/100), retas (nuo </w:t>
      </w:r>
      <w:r w:rsidRPr="007777D9">
        <w:rPr>
          <w:snapToGrid/>
          <w:szCs w:val="22"/>
          <w:lang w:val="lt-LT"/>
        </w:rPr>
        <w:t>≥ </w:t>
      </w:r>
      <w:r w:rsidRPr="007777D9">
        <w:rPr>
          <w:snapToGrid/>
          <w:position w:val="-1"/>
          <w:szCs w:val="22"/>
          <w:lang w:val="lt-LT"/>
        </w:rPr>
        <w:t xml:space="preserve">1/10 000 iki &lt; 1/1 000), labai retas (&lt; 1/10 000) ir nežinomas </w:t>
      </w:r>
      <w:r w:rsidRPr="007777D9">
        <w:rPr>
          <w:snapToGrid/>
          <w:szCs w:val="22"/>
          <w:lang w:val="lt-LT"/>
        </w:rPr>
        <w:t>(negali būti apskaičiuotas pagal turimus duomenis).</w:t>
      </w:r>
    </w:p>
    <w:p w14:paraId="11DE9772" w14:textId="77777777" w:rsidR="004F7AA9" w:rsidRPr="007777D9" w:rsidRDefault="004F7AA9" w:rsidP="004F7AA9">
      <w:pPr>
        <w:widowControl w:val="0"/>
        <w:tabs>
          <w:tab w:val="clear" w:pos="567"/>
        </w:tabs>
        <w:spacing w:line="240" w:lineRule="auto"/>
        <w:rPr>
          <w:snapToGrid/>
          <w:szCs w:val="22"/>
          <w:lang w:val="lt-LT"/>
        </w:rPr>
      </w:pPr>
    </w:p>
    <w:p w14:paraId="23649967" w14:textId="77777777" w:rsidR="004F7AA9" w:rsidRPr="007777D9" w:rsidRDefault="004F7AA9" w:rsidP="004F7AA9">
      <w:pPr>
        <w:widowControl w:val="0"/>
        <w:tabs>
          <w:tab w:val="clear" w:pos="567"/>
        </w:tabs>
        <w:spacing w:line="240" w:lineRule="auto"/>
        <w:rPr>
          <w:snapToGrid/>
          <w:position w:val="-1"/>
          <w:szCs w:val="22"/>
          <w:lang w:val="lt-LT"/>
        </w:rPr>
      </w:pPr>
      <w:r w:rsidRPr="007777D9">
        <w:rPr>
          <w:b/>
          <w:bCs/>
          <w:snapToGrid/>
          <w:position w:val="-1"/>
          <w:szCs w:val="22"/>
          <w:lang w:val="lt-LT"/>
        </w:rPr>
        <w:t xml:space="preserve">6 lentelė. </w:t>
      </w:r>
      <w:r w:rsidRPr="007777D9">
        <w:rPr>
          <w:snapToGrid/>
          <w:position w:val="-1"/>
          <w:szCs w:val="22"/>
          <w:lang w:val="lt-LT"/>
        </w:rPr>
        <w:t>Sunkia nebaigtine osteogeneze (</w:t>
      </w:r>
      <w:r w:rsidRPr="007777D9">
        <w:rPr>
          <w:i/>
          <w:snapToGrid/>
          <w:position w:val="-1"/>
          <w:szCs w:val="22"/>
          <w:lang w:val="lt-LT"/>
        </w:rPr>
        <w:t>osteogenesis imperfecta</w:t>
      </w:r>
      <w:r w:rsidRPr="007777D9">
        <w:rPr>
          <w:snapToGrid/>
          <w:position w:val="-1"/>
          <w:szCs w:val="22"/>
          <w:lang w:val="lt-LT"/>
        </w:rPr>
        <w:t>) sergantiems vaikams pasireiškusios nepageidaujamos reakcijos</w:t>
      </w:r>
      <w:r w:rsidRPr="007777D9">
        <w:rPr>
          <w:snapToGrid/>
          <w:position w:val="-1"/>
          <w:szCs w:val="22"/>
          <w:vertAlign w:val="superscript"/>
          <w:lang w:val="lt-LT"/>
        </w:rPr>
        <w:t>1</w:t>
      </w:r>
      <w:r w:rsidRPr="007777D9">
        <w:rPr>
          <w:snapToGrid/>
          <w:position w:val="-1"/>
          <w:szCs w:val="22"/>
          <w:lang w:val="lt-LT"/>
        </w:rPr>
        <w:t>.</w:t>
      </w:r>
    </w:p>
    <w:p w14:paraId="655DC59B" w14:textId="77777777" w:rsidR="004F7AA9" w:rsidRPr="007777D9" w:rsidRDefault="004F7AA9" w:rsidP="004F7AA9">
      <w:pPr>
        <w:widowControl w:val="0"/>
        <w:tabs>
          <w:tab w:val="clear" w:pos="567"/>
        </w:tabs>
        <w:spacing w:line="240" w:lineRule="auto"/>
        <w:rPr>
          <w:snapToGrid/>
          <w:szCs w:val="22"/>
          <w:lang w:val="lt-LT"/>
        </w:rPr>
      </w:pPr>
    </w:p>
    <w:tbl>
      <w:tblPr>
        <w:tblpPr w:leftFromText="180" w:rightFromText="180" w:vertAnchor="text" w:horzAnchor="margin" w:tblpY="17"/>
        <w:tblW w:w="0" w:type="auto"/>
        <w:tblLayout w:type="fixed"/>
        <w:tblCellMar>
          <w:left w:w="0" w:type="dxa"/>
          <w:right w:w="0" w:type="dxa"/>
        </w:tblCellMar>
        <w:tblLook w:val="01E0" w:firstRow="1" w:lastRow="1" w:firstColumn="1" w:lastColumn="1" w:noHBand="0" w:noVBand="0"/>
      </w:tblPr>
      <w:tblGrid>
        <w:gridCol w:w="3870"/>
        <w:gridCol w:w="5311"/>
      </w:tblGrid>
      <w:tr w:rsidR="004F7AA9" w:rsidRPr="007777D9" w14:paraId="1E5EB2AB" w14:textId="77777777" w:rsidTr="009A4A51">
        <w:trPr>
          <w:trHeight w:hRule="exact" w:val="263"/>
        </w:trPr>
        <w:tc>
          <w:tcPr>
            <w:tcW w:w="9181" w:type="dxa"/>
            <w:gridSpan w:val="2"/>
            <w:tcBorders>
              <w:top w:val="single" w:sz="4" w:space="0" w:color="000000"/>
              <w:left w:val="single" w:sz="4" w:space="0" w:color="000000"/>
              <w:bottom w:val="nil"/>
              <w:right w:val="single" w:sz="4" w:space="0" w:color="000000"/>
            </w:tcBorders>
          </w:tcPr>
          <w:p w14:paraId="5972A632"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Nervų sistemos sutrikimai</w:t>
            </w:r>
          </w:p>
        </w:tc>
      </w:tr>
      <w:tr w:rsidR="004F7AA9" w:rsidRPr="007777D9" w14:paraId="6BEB33E3" w14:textId="77777777" w:rsidTr="009A4A51">
        <w:trPr>
          <w:trHeight w:hRule="exact" w:val="284"/>
        </w:trPr>
        <w:tc>
          <w:tcPr>
            <w:tcW w:w="3870" w:type="dxa"/>
            <w:tcBorders>
              <w:top w:val="nil"/>
              <w:left w:val="single" w:sz="4" w:space="0" w:color="000000"/>
              <w:bottom w:val="single" w:sz="4" w:space="0" w:color="000000"/>
              <w:right w:val="nil"/>
            </w:tcBorders>
          </w:tcPr>
          <w:p w14:paraId="31F9102E"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Dažni:</w:t>
            </w:r>
          </w:p>
        </w:tc>
        <w:tc>
          <w:tcPr>
            <w:tcW w:w="5311" w:type="dxa"/>
            <w:tcBorders>
              <w:top w:val="nil"/>
              <w:left w:val="nil"/>
              <w:bottom w:val="single" w:sz="4" w:space="0" w:color="000000"/>
              <w:right w:val="single" w:sz="4" w:space="0" w:color="000000"/>
            </w:tcBorders>
          </w:tcPr>
          <w:p w14:paraId="3AEE882F" w14:textId="77777777" w:rsidR="004F7AA9" w:rsidRPr="007777D9" w:rsidRDefault="004F7AA9" w:rsidP="009A4A51">
            <w:pPr>
              <w:widowControl w:val="0"/>
              <w:tabs>
                <w:tab w:val="clear" w:pos="567"/>
              </w:tabs>
              <w:spacing w:line="240" w:lineRule="auto"/>
              <w:ind w:left="1001"/>
              <w:rPr>
                <w:snapToGrid/>
                <w:szCs w:val="22"/>
                <w:lang w:val="lt-LT"/>
              </w:rPr>
            </w:pPr>
            <w:r w:rsidRPr="007777D9">
              <w:rPr>
                <w:snapToGrid/>
                <w:szCs w:val="22"/>
                <w:lang w:val="lt-LT"/>
              </w:rPr>
              <w:t>Galvos skausmas</w:t>
            </w:r>
          </w:p>
        </w:tc>
      </w:tr>
      <w:tr w:rsidR="004F7AA9" w:rsidRPr="007777D9" w14:paraId="5E148B1E" w14:textId="77777777" w:rsidTr="009A4A51">
        <w:trPr>
          <w:trHeight w:hRule="exact" w:val="263"/>
        </w:trPr>
        <w:tc>
          <w:tcPr>
            <w:tcW w:w="9181" w:type="dxa"/>
            <w:gridSpan w:val="2"/>
            <w:tcBorders>
              <w:top w:val="single" w:sz="4" w:space="0" w:color="000000"/>
              <w:left w:val="single" w:sz="4" w:space="0" w:color="000000"/>
              <w:bottom w:val="nil"/>
              <w:right w:val="single" w:sz="4" w:space="0" w:color="000000"/>
            </w:tcBorders>
          </w:tcPr>
          <w:p w14:paraId="393269E0"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Širdies sutrikimai</w:t>
            </w:r>
          </w:p>
        </w:tc>
      </w:tr>
      <w:tr w:rsidR="004F7AA9" w:rsidRPr="007777D9" w14:paraId="4E4EB6E3" w14:textId="77777777" w:rsidTr="009A4A51">
        <w:trPr>
          <w:trHeight w:hRule="exact" w:val="253"/>
        </w:trPr>
        <w:tc>
          <w:tcPr>
            <w:tcW w:w="3870" w:type="dxa"/>
            <w:tcBorders>
              <w:top w:val="nil"/>
              <w:left w:val="single" w:sz="4" w:space="0" w:color="000000"/>
              <w:bottom w:val="single" w:sz="4" w:space="0" w:color="000000"/>
              <w:right w:val="nil"/>
            </w:tcBorders>
          </w:tcPr>
          <w:p w14:paraId="5529E872"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Dažni:</w:t>
            </w:r>
          </w:p>
        </w:tc>
        <w:tc>
          <w:tcPr>
            <w:tcW w:w="5311" w:type="dxa"/>
            <w:tcBorders>
              <w:top w:val="nil"/>
              <w:left w:val="nil"/>
              <w:bottom w:val="single" w:sz="4" w:space="0" w:color="000000"/>
              <w:right w:val="single" w:sz="4" w:space="0" w:color="000000"/>
            </w:tcBorders>
          </w:tcPr>
          <w:p w14:paraId="43C7427E" w14:textId="77777777" w:rsidR="004F7AA9" w:rsidRPr="007777D9" w:rsidRDefault="004F7AA9" w:rsidP="009A4A51">
            <w:pPr>
              <w:widowControl w:val="0"/>
              <w:tabs>
                <w:tab w:val="clear" w:pos="567"/>
              </w:tabs>
              <w:spacing w:line="240" w:lineRule="auto"/>
              <w:ind w:left="1001"/>
              <w:rPr>
                <w:snapToGrid/>
                <w:szCs w:val="22"/>
                <w:lang w:val="lt-LT"/>
              </w:rPr>
            </w:pPr>
            <w:r w:rsidRPr="007777D9">
              <w:rPr>
                <w:snapToGrid/>
                <w:szCs w:val="22"/>
                <w:lang w:val="lt-LT"/>
              </w:rPr>
              <w:t>Tachikardija</w:t>
            </w:r>
          </w:p>
        </w:tc>
      </w:tr>
      <w:tr w:rsidR="004F7AA9" w:rsidRPr="007777D9" w14:paraId="51861649" w14:textId="77777777" w:rsidTr="009A4A51">
        <w:trPr>
          <w:trHeight w:hRule="exact" w:val="263"/>
        </w:trPr>
        <w:tc>
          <w:tcPr>
            <w:tcW w:w="9181" w:type="dxa"/>
            <w:gridSpan w:val="2"/>
            <w:tcBorders>
              <w:top w:val="single" w:sz="4" w:space="0" w:color="000000"/>
              <w:left w:val="single" w:sz="4" w:space="0" w:color="000000"/>
              <w:bottom w:val="nil"/>
              <w:right w:val="single" w:sz="4" w:space="0" w:color="000000"/>
            </w:tcBorders>
          </w:tcPr>
          <w:p w14:paraId="3CCAF782"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Kvėpavimo sistemos, krūtinės ląstos ir tarpuplaučio sutrikimai</w:t>
            </w:r>
          </w:p>
        </w:tc>
      </w:tr>
      <w:tr w:rsidR="004F7AA9" w:rsidRPr="007777D9" w14:paraId="4619D4C3" w14:textId="77777777" w:rsidTr="009A4A51">
        <w:trPr>
          <w:trHeight w:hRule="exact" w:val="253"/>
        </w:trPr>
        <w:tc>
          <w:tcPr>
            <w:tcW w:w="3870" w:type="dxa"/>
            <w:tcBorders>
              <w:top w:val="nil"/>
              <w:left w:val="single" w:sz="4" w:space="0" w:color="000000"/>
              <w:bottom w:val="single" w:sz="4" w:space="0" w:color="000000"/>
              <w:right w:val="nil"/>
            </w:tcBorders>
          </w:tcPr>
          <w:p w14:paraId="2011C31E"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Dažni:</w:t>
            </w:r>
          </w:p>
        </w:tc>
        <w:tc>
          <w:tcPr>
            <w:tcW w:w="5311" w:type="dxa"/>
            <w:tcBorders>
              <w:top w:val="nil"/>
              <w:left w:val="nil"/>
              <w:bottom w:val="single" w:sz="4" w:space="0" w:color="000000"/>
              <w:right w:val="single" w:sz="4" w:space="0" w:color="000000"/>
            </w:tcBorders>
          </w:tcPr>
          <w:p w14:paraId="64770C25" w14:textId="77777777" w:rsidR="004F7AA9" w:rsidRPr="007777D9" w:rsidRDefault="004F7AA9" w:rsidP="009A4A51">
            <w:pPr>
              <w:widowControl w:val="0"/>
              <w:tabs>
                <w:tab w:val="clear" w:pos="567"/>
              </w:tabs>
              <w:spacing w:line="240" w:lineRule="auto"/>
              <w:ind w:left="1001"/>
              <w:rPr>
                <w:snapToGrid/>
                <w:szCs w:val="22"/>
                <w:lang w:val="lt-LT"/>
              </w:rPr>
            </w:pPr>
            <w:r w:rsidRPr="007777D9">
              <w:rPr>
                <w:snapToGrid/>
                <w:szCs w:val="22"/>
                <w:lang w:val="lt-LT"/>
              </w:rPr>
              <w:t>Nazofaringitas</w:t>
            </w:r>
          </w:p>
        </w:tc>
      </w:tr>
      <w:tr w:rsidR="004F7AA9" w:rsidRPr="007777D9" w14:paraId="7FFB01F9" w14:textId="77777777" w:rsidTr="009A4A51">
        <w:trPr>
          <w:trHeight w:hRule="exact" w:val="263"/>
        </w:trPr>
        <w:tc>
          <w:tcPr>
            <w:tcW w:w="9181" w:type="dxa"/>
            <w:gridSpan w:val="2"/>
            <w:tcBorders>
              <w:top w:val="single" w:sz="4" w:space="0" w:color="000000"/>
              <w:left w:val="single" w:sz="4" w:space="0" w:color="000000"/>
              <w:bottom w:val="nil"/>
              <w:right w:val="single" w:sz="4" w:space="0" w:color="000000"/>
            </w:tcBorders>
          </w:tcPr>
          <w:p w14:paraId="68041734"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Virškinimo trakto sutrikimai</w:t>
            </w:r>
          </w:p>
        </w:tc>
      </w:tr>
      <w:tr w:rsidR="004F7AA9" w:rsidRPr="007777D9" w14:paraId="5BF0B856" w14:textId="77777777" w:rsidTr="009A4A51">
        <w:trPr>
          <w:trHeight w:hRule="exact" w:val="252"/>
        </w:trPr>
        <w:tc>
          <w:tcPr>
            <w:tcW w:w="3870" w:type="dxa"/>
            <w:tcBorders>
              <w:top w:val="nil"/>
              <w:left w:val="single" w:sz="4" w:space="0" w:color="000000"/>
              <w:bottom w:val="nil"/>
              <w:right w:val="nil"/>
            </w:tcBorders>
          </w:tcPr>
          <w:p w14:paraId="5B87B6B9"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Labai dažni:</w:t>
            </w:r>
          </w:p>
        </w:tc>
        <w:tc>
          <w:tcPr>
            <w:tcW w:w="5311" w:type="dxa"/>
            <w:tcBorders>
              <w:top w:val="nil"/>
              <w:left w:val="nil"/>
              <w:bottom w:val="nil"/>
              <w:right w:val="single" w:sz="4" w:space="0" w:color="000000"/>
            </w:tcBorders>
          </w:tcPr>
          <w:p w14:paraId="0079CE6C" w14:textId="77777777" w:rsidR="004F7AA9" w:rsidRPr="007777D9" w:rsidRDefault="004F7AA9" w:rsidP="009A4A51">
            <w:pPr>
              <w:widowControl w:val="0"/>
              <w:tabs>
                <w:tab w:val="clear" w:pos="567"/>
              </w:tabs>
              <w:spacing w:line="240" w:lineRule="auto"/>
              <w:ind w:left="1001"/>
              <w:rPr>
                <w:snapToGrid/>
                <w:szCs w:val="22"/>
                <w:lang w:val="lt-LT"/>
              </w:rPr>
            </w:pPr>
            <w:r w:rsidRPr="007777D9">
              <w:rPr>
                <w:snapToGrid/>
                <w:szCs w:val="22"/>
                <w:lang w:val="lt-LT"/>
              </w:rPr>
              <w:t>Vėmimas, šleikštulys</w:t>
            </w:r>
          </w:p>
        </w:tc>
      </w:tr>
      <w:tr w:rsidR="004F7AA9" w:rsidRPr="007777D9" w14:paraId="696B425A" w14:textId="77777777" w:rsidTr="009A4A51">
        <w:trPr>
          <w:trHeight w:hRule="exact" w:val="254"/>
        </w:trPr>
        <w:tc>
          <w:tcPr>
            <w:tcW w:w="3870" w:type="dxa"/>
            <w:tcBorders>
              <w:top w:val="nil"/>
              <w:left w:val="single" w:sz="4" w:space="0" w:color="000000"/>
              <w:bottom w:val="single" w:sz="4" w:space="0" w:color="000000"/>
              <w:right w:val="nil"/>
            </w:tcBorders>
          </w:tcPr>
          <w:p w14:paraId="3CDC9070"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Dažni:</w:t>
            </w:r>
          </w:p>
        </w:tc>
        <w:tc>
          <w:tcPr>
            <w:tcW w:w="5311" w:type="dxa"/>
            <w:tcBorders>
              <w:top w:val="nil"/>
              <w:left w:val="nil"/>
              <w:bottom w:val="single" w:sz="4" w:space="0" w:color="000000"/>
              <w:right w:val="single" w:sz="4" w:space="0" w:color="000000"/>
            </w:tcBorders>
          </w:tcPr>
          <w:p w14:paraId="749DEBC8" w14:textId="77777777" w:rsidR="004F7AA9" w:rsidRPr="007777D9" w:rsidRDefault="004F7AA9" w:rsidP="009A4A51">
            <w:pPr>
              <w:widowControl w:val="0"/>
              <w:tabs>
                <w:tab w:val="clear" w:pos="567"/>
              </w:tabs>
              <w:spacing w:line="240" w:lineRule="auto"/>
              <w:ind w:left="1001"/>
              <w:rPr>
                <w:snapToGrid/>
                <w:szCs w:val="22"/>
                <w:lang w:val="lt-LT"/>
              </w:rPr>
            </w:pPr>
            <w:r w:rsidRPr="007777D9">
              <w:rPr>
                <w:snapToGrid/>
                <w:szCs w:val="22"/>
                <w:lang w:val="lt-LT"/>
              </w:rPr>
              <w:t>Pilvo skausmas</w:t>
            </w:r>
          </w:p>
        </w:tc>
      </w:tr>
      <w:tr w:rsidR="004F7AA9" w:rsidRPr="007777D9" w14:paraId="132D3DFE" w14:textId="77777777" w:rsidTr="009A4A51">
        <w:trPr>
          <w:trHeight w:hRule="exact" w:val="263"/>
        </w:trPr>
        <w:tc>
          <w:tcPr>
            <w:tcW w:w="9181" w:type="dxa"/>
            <w:gridSpan w:val="2"/>
            <w:tcBorders>
              <w:top w:val="single" w:sz="4" w:space="0" w:color="000000"/>
              <w:left w:val="single" w:sz="4" w:space="0" w:color="000000"/>
              <w:bottom w:val="nil"/>
              <w:right w:val="single" w:sz="4" w:space="0" w:color="000000"/>
            </w:tcBorders>
          </w:tcPr>
          <w:p w14:paraId="52DD69B6"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Skeleto, raumenų ir jungiamojo audinio sutrikimai</w:t>
            </w:r>
          </w:p>
        </w:tc>
      </w:tr>
      <w:tr w:rsidR="004F7AA9" w:rsidRPr="00582A3A" w14:paraId="3324D987" w14:textId="77777777" w:rsidTr="009A4A51">
        <w:trPr>
          <w:trHeight w:hRule="exact" w:val="507"/>
        </w:trPr>
        <w:tc>
          <w:tcPr>
            <w:tcW w:w="3870" w:type="dxa"/>
            <w:tcBorders>
              <w:top w:val="nil"/>
              <w:left w:val="single" w:sz="4" w:space="0" w:color="000000"/>
              <w:bottom w:val="single" w:sz="4" w:space="0" w:color="000000"/>
              <w:right w:val="nil"/>
            </w:tcBorders>
          </w:tcPr>
          <w:p w14:paraId="49AFE8B4"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Dažni:</w:t>
            </w:r>
          </w:p>
        </w:tc>
        <w:tc>
          <w:tcPr>
            <w:tcW w:w="5311" w:type="dxa"/>
            <w:tcBorders>
              <w:top w:val="nil"/>
              <w:left w:val="nil"/>
              <w:bottom w:val="single" w:sz="4" w:space="0" w:color="000000"/>
              <w:right w:val="single" w:sz="4" w:space="0" w:color="000000"/>
            </w:tcBorders>
          </w:tcPr>
          <w:p w14:paraId="7C7F1A67" w14:textId="77777777" w:rsidR="004F7AA9" w:rsidRPr="007777D9" w:rsidRDefault="004F7AA9" w:rsidP="009A4A51">
            <w:pPr>
              <w:widowControl w:val="0"/>
              <w:tabs>
                <w:tab w:val="clear" w:pos="567"/>
              </w:tabs>
              <w:spacing w:line="240" w:lineRule="auto"/>
              <w:ind w:left="1001"/>
              <w:rPr>
                <w:snapToGrid/>
                <w:szCs w:val="22"/>
                <w:lang w:val="lt-LT"/>
              </w:rPr>
            </w:pPr>
            <w:r w:rsidRPr="007777D9">
              <w:rPr>
                <w:snapToGrid/>
                <w:szCs w:val="22"/>
                <w:lang w:val="lt-LT"/>
              </w:rPr>
              <w:t>Skausmas galūnėse, artralgija, skeleto raumenų skausmas</w:t>
            </w:r>
          </w:p>
        </w:tc>
      </w:tr>
      <w:tr w:rsidR="004F7AA9" w:rsidRPr="00582A3A" w14:paraId="234B4965" w14:textId="77777777" w:rsidTr="009A4A51">
        <w:trPr>
          <w:trHeight w:hRule="exact" w:val="262"/>
        </w:trPr>
        <w:tc>
          <w:tcPr>
            <w:tcW w:w="9181" w:type="dxa"/>
            <w:gridSpan w:val="2"/>
            <w:tcBorders>
              <w:top w:val="single" w:sz="4" w:space="0" w:color="000000"/>
              <w:left w:val="single" w:sz="4" w:space="0" w:color="000000"/>
              <w:bottom w:val="nil"/>
              <w:right w:val="single" w:sz="4" w:space="0" w:color="000000"/>
            </w:tcBorders>
          </w:tcPr>
          <w:p w14:paraId="27B9F07A"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Bendrieji sutrikimai ir vartojimo vietos pažeidimai</w:t>
            </w:r>
          </w:p>
        </w:tc>
      </w:tr>
      <w:tr w:rsidR="004F7AA9" w:rsidRPr="007777D9" w14:paraId="00C036AE" w14:textId="77777777" w:rsidTr="009A4A51">
        <w:trPr>
          <w:trHeight w:hRule="exact" w:val="253"/>
        </w:trPr>
        <w:tc>
          <w:tcPr>
            <w:tcW w:w="3870" w:type="dxa"/>
            <w:tcBorders>
              <w:top w:val="nil"/>
              <w:left w:val="single" w:sz="4" w:space="0" w:color="000000"/>
              <w:bottom w:val="nil"/>
              <w:right w:val="nil"/>
            </w:tcBorders>
          </w:tcPr>
          <w:p w14:paraId="1A4B6FB3"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Labai dažni:</w:t>
            </w:r>
          </w:p>
        </w:tc>
        <w:tc>
          <w:tcPr>
            <w:tcW w:w="5311" w:type="dxa"/>
            <w:tcBorders>
              <w:top w:val="nil"/>
              <w:left w:val="nil"/>
              <w:bottom w:val="nil"/>
              <w:right w:val="single" w:sz="4" w:space="0" w:color="000000"/>
            </w:tcBorders>
          </w:tcPr>
          <w:p w14:paraId="5B08EEDB" w14:textId="77777777" w:rsidR="004F7AA9" w:rsidRPr="007777D9" w:rsidRDefault="004F7AA9" w:rsidP="009A4A51">
            <w:pPr>
              <w:widowControl w:val="0"/>
              <w:tabs>
                <w:tab w:val="clear" w:pos="567"/>
              </w:tabs>
              <w:spacing w:line="240" w:lineRule="auto"/>
              <w:ind w:left="1001"/>
              <w:rPr>
                <w:snapToGrid/>
                <w:szCs w:val="22"/>
                <w:lang w:val="lt-LT"/>
              </w:rPr>
            </w:pPr>
            <w:r w:rsidRPr="007777D9">
              <w:rPr>
                <w:snapToGrid/>
                <w:szCs w:val="22"/>
                <w:lang w:val="lt-LT"/>
              </w:rPr>
              <w:t>Karščiavimas, nuovargis</w:t>
            </w:r>
          </w:p>
        </w:tc>
      </w:tr>
      <w:tr w:rsidR="004F7AA9" w:rsidRPr="007777D9" w14:paraId="6BC097A4" w14:textId="77777777" w:rsidTr="009A4A51">
        <w:trPr>
          <w:trHeight w:hRule="exact" w:val="255"/>
        </w:trPr>
        <w:tc>
          <w:tcPr>
            <w:tcW w:w="3870" w:type="dxa"/>
            <w:tcBorders>
              <w:top w:val="nil"/>
              <w:left w:val="single" w:sz="4" w:space="0" w:color="000000"/>
              <w:bottom w:val="single" w:sz="4" w:space="0" w:color="000000"/>
              <w:right w:val="nil"/>
            </w:tcBorders>
          </w:tcPr>
          <w:p w14:paraId="68FE72FF"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Dažni:</w:t>
            </w:r>
          </w:p>
        </w:tc>
        <w:tc>
          <w:tcPr>
            <w:tcW w:w="5311" w:type="dxa"/>
            <w:tcBorders>
              <w:top w:val="nil"/>
              <w:left w:val="nil"/>
              <w:bottom w:val="single" w:sz="4" w:space="0" w:color="000000"/>
              <w:right w:val="single" w:sz="4" w:space="0" w:color="000000"/>
            </w:tcBorders>
          </w:tcPr>
          <w:p w14:paraId="048E8CEA" w14:textId="77777777" w:rsidR="004F7AA9" w:rsidRPr="007777D9" w:rsidRDefault="004F7AA9" w:rsidP="009A4A51">
            <w:pPr>
              <w:widowControl w:val="0"/>
              <w:tabs>
                <w:tab w:val="clear" w:pos="567"/>
              </w:tabs>
              <w:spacing w:line="240" w:lineRule="auto"/>
              <w:ind w:left="1001"/>
              <w:rPr>
                <w:snapToGrid/>
                <w:szCs w:val="22"/>
                <w:lang w:val="lt-LT"/>
              </w:rPr>
            </w:pPr>
            <w:r w:rsidRPr="007777D9">
              <w:rPr>
                <w:snapToGrid/>
                <w:szCs w:val="22"/>
                <w:lang w:val="lt-LT"/>
              </w:rPr>
              <w:t>Ūmios fazės reakcijos, skausmas</w:t>
            </w:r>
          </w:p>
        </w:tc>
      </w:tr>
      <w:tr w:rsidR="004F7AA9" w:rsidRPr="007777D9" w14:paraId="7A9D4B22" w14:textId="77777777" w:rsidTr="009A4A51">
        <w:trPr>
          <w:trHeight w:hRule="exact" w:val="262"/>
        </w:trPr>
        <w:tc>
          <w:tcPr>
            <w:tcW w:w="9181" w:type="dxa"/>
            <w:gridSpan w:val="2"/>
            <w:tcBorders>
              <w:top w:val="single" w:sz="4" w:space="0" w:color="000000"/>
              <w:left w:val="single" w:sz="4" w:space="0" w:color="000000"/>
              <w:bottom w:val="nil"/>
              <w:right w:val="single" w:sz="4" w:space="0" w:color="000000"/>
            </w:tcBorders>
          </w:tcPr>
          <w:p w14:paraId="568655FA" w14:textId="77777777" w:rsidR="004F7AA9" w:rsidRPr="007777D9" w:rsidRDefault="004F7AA9" w:rsidP="009A4A51">
            <w:pPr>
              <w:widowControl w:val="0"/>
              <w:tabs>
                <w:tab w:val="clear" w:pos="567"/>
              </w:tabs>
              <w:spacing w:line="240" w:lineRule="auto"/>
              <w:rPr>
                <w:snapToGrid/>
                <w:szCs w:val="22"/>
                <w:lang w:val="lt-LT"/>
              </w:rPr>
            </w:pPr>
            <w:r w:rsidRPr="007777D9">
              <w:rPr>
                <w:b/>
                <w:bCs/>
                <w:i/>
                <w:snapToGrid/>
                <w:szCs w:val="22"/>
                <w:lang w:val="lt-LT"/>
              </w:rPr>
              <w:t>Tyrimai</w:t>
            </w:r>
          </w:p>
        </w:tc>
      </w:tr>
      <w:tr w:rsidR="004F7AA9" w:rsidRPr="007777D9" w14:paraId="45B680A8" w14:textId="77777777" w:rsidTr="009A4A51">
        <w:trPr>
          <w:trHeight w:hRule="exact" w:val="253"/>
        </w:trPr>
        <w:tc>
          <w:tcPr>
            <w:tcW w:w="3870" w:type="dxa"/>
            <w:tcBorders>
              <w:top w:val="nil"/>
              <w:left w:val="single" w:sz="4" w:space="0" w:color="000000"/>
              <w:bottom w:val="nil"/>
              <w:right w:val="nil"/>
            </w:tcBorders>
          </w:tcPr>
          <w:p w14:paraId="7F584618"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Labai dažni:</w:t>
            </w:r>
          </w:p>
        </w:tc>
        <w:tc>
          <w:tcPr>
            <w:tcW w:w="5311" w:type="dxa"/>
            <w:tcBorders>
              <w:top w:val="nil"/>
              <w:left w:val="nil"/>
              <w:bottom w:val="nil"/>
              <w:right w:val="single" w:sz="4" w:space="0" w:color="000000"/>
            </w:tcBorders>
          </w:tcPr>
          <w:p w14:paraId="7885F28A" w14:textId="77777777" w:rsidR="004F7AA9" w:rsidRPr="007777D9" w:rsidRDefault="004F7AA9" w:rsidP="009A4A51">
            <w:pPr>
              <w:widowControl w:val="0"/>
              <w:tabs>
                <w:tab w:val="clear" w:pos="567"/>
              </w:tabs>
              <w:spacing w:line="240" w:lineRule="auto"/>
              <w:ind w:left="1001"/>
              <w:rPr>
                <w:snapToGrid/>
                <w:szCs w:val="22"/>
                <w:lang w:val="lt-LT"/>
              </w:rPr>
            </w:pPr>
            <w:r w:rsidRPr="007777D9">
              <w:rPr>
                <w:snapToGrid/>
                <w:szCs w:val="22"/>
                <w:lang w:val="lt-LT"/>
              </w:rPr>
              <w:t>Hipokalcemija</w:t>
            </w:r>
          </w:p>
        </w:tc>
      </w:tr>
      <w:tr w:rsidR="004F7AA9" w:rsidRPr="007777D9" w14:paraId="4CB6CF19" w14:textId="77777777" w:rsidTr="009A4A51">
        <w:trPr>
          <w:trHeight w:hRule="exact" w:val="331"/>
        </w:trPr>
        <w:tc>
          <w:tcPr>
            <w:tcW w:w="3870" w:type="dxa"/>
            <w:tcBorders>
              <w:top w:val="nil"/>
              <w:left w:val="single" w:sz="4" w:space="0" w:color="000000"/>
              <w:bottom w:val="single" w:sz="4" w:space="0" w:color="auto"/>
              <w:right w:val="nil"/>
            </w:tcBorders>
          </w:tcPr>
          <w:p w14:paraId="057295DC" w14:textId="77777777" w:rsidR="004F7AA9" w:rsidRPr="007777D9" w:rsidRDefault="004F7AA9" w:rsidP="009A4A51">
            <w:pPr>
              <w:widowControl w:val="0"/>
              <w:tabs>
                <w:tab w:val="clear" w:pos="567"/>
              </w:tabs>
              <w:spacing w:line="240" w:lineRule="auto"/>
              <w:rPr>
                <w:snapToGrid/>
                <w:szCs w:val="22"/>
                <w:lang w:val="lt-LT"/>
              </w:rPr>
            </w:pPr>
            <w:r w:rsidRPr="007777D9">
              <w:rPr>
                <w:snapToGrid/>
                <w:szCs w:val="22"/>
                <w:lang w:val="lt-LT"/>
              </w:rPr>
              <w:t>Dažni:</w:t>
            </w:r>
          </w:p>
        </w:tc>
        <w:tc>
          <w:tcPr>
            <w:tcW w:w="5311" w:type="dxa"/>
            <w:tcBorders>
              <w:top w:val="nil"/>
              <w:left w:val="nil"/>
              <w:bottom w:val="single" w:sz="4" w:space="0" w:color="auto"/>
              <w:right w:val="single" w:sz="4" w:space="0" w:color="000000"/>
            </w:tcBorders>
          </w:tcPr>
          <w:p w14:paraId="17EBD0D2" w14:textId="77777777" w:rsidR="004F7AA9" w:rsidRPr="007777D9" w:rsidRDefault="004F7AA9" w:rsidP="009A4A51">
            <w:pPr>
              <w:widowControl w:val="0"/>
              <w:tabs>
                <w:tab w:val="clear" w:pos="567"/>
              </w:tabs>
              <w:spacing w:line="240" w:lineRule="auto"/>
              <w:ind w:left="1001"/>
              <w:rPr>
                <w:snapToGrid/>
                <w:szCs w:val="22"/>
                <w:lang w:val="lt-LT"/>
              </w:rPr>
            </w:pPr>
            <w:r w:rsidRPr="007777D9">
              <w:rPr>
                <w:snapToGrid/>
                <w:szCs w:val="22"/>
                <w:lang w:val="lt-LT"/>
              </w:rPr>
              <w:t>Hipofosfatemija</w:t>
            </w:r>
          </w:p>
        </w:tc>
      </w:tr>
    </w:tbl>
    <w:p w14:paraId="1C33BE83" w14:textId="77777777" w:rsidR="004F7AA9" w:rsidRPr="007777D9" w:rsidRDefault="004F7AA9" w:rsidP="004F7AA9">
      <w:pPr>
        <w:widowControl w:val="0"/>
        <w:tabs>
          <w:tab w:val="clear" w:pos="567"/>
        </w:tabs>
        <w:spacing w:line="240" w:lineRule="auto"/>
        <w:rPr>
          <w:snapToGrid/>
          <w:szCs w:val="22"/>
          <w:lang w:val="lt-LT"/>
        </w:rPr>
      </w:pPr>
    </w:p>
    <w:p w14:paraId="0820658F" w14:textId="77777777" w:rsidR="004F7AA9" w:rsidRPr="007777D9" w:rsidRDefault="004F7AA9" w:rsidP="004F7AA9">
      <w:pPr>
        <w:widowControl w:val="0"/>
        <w:tabs>
          <w:tab w:val="clear" w:pos="567"/>
        </w:tabs>
        <w:spacing w:line="240" w:lineRule="auto"/>
        <w:rPr>
          <w:snapToGrid/>
          <w:szCs w:val="22"/>
          <w:lang w:val="lt-LT"/>
        </w:rPr>
      </w:pPr>
      <w:r w:rsidRPr="007777D9">
        <w:rPr>
          <w:snapToGrid/>
          <w:position w:val="10"/>
          <w:szCs w:val="22"/>
          <w:vertAlign w:val="superscript"/>
          <w:lang w:val="lt-LT"/>
        </w:rPr>
        <w:t>1</w:t>
      </w:r>
      <w:r w:rsidRPr="007777D9">
        <w:rPr>
          <w:snapToGrid/>
          <w:position w:val="10"/>
          <w:szCs w:val="22"/>
          <w:lang w:val="lt-LT"/>
        </w:rPr>
        <w:t xml:space="preserve"> </w:t>
      </w:r>
      <w:r w:rsidRPr="007777D9">
        <w:rPr>
          <w:snapToGrid/>
          <w:szCs w:val="22"/>
          <w:lang w:val="lt-LT"/>
        </w:rPr>
        <w:t>Nepageidaujami reiškiniai, kurių pasireiškimo dažnis buvo &lt;5%, buvo įvertinti medicininiu požiūriu, ir buvo nustatyta, kad šie atvejai atitinka gerai žinomą zoledrono rūgšties saugumo pobūdį (žr. 4.8 skyrių).</w:t>
      </w:r>
    </w:p>
    <w:p w14:paraId="5DE4DABE" w14:textId="77777777" w:rsidR="004F7AA9" w:rsidRPr="007777D9" w:rsidRDefault="004F7AA9" w:rsidP="004F7AA9">
      <w:pPr>
        <w:tabs>
          <w:tab w:val="clear" w:pos="567"/>
        </w:tabs>
        <w:autoSpaceDE w:val="0"/>
        <w:autoSpaceDN w:val="0"/>
        <w:adjustRightInd w:val="0"/>
        <w:spacing w:line="240" w:lineRule="auto"/>
        <w:rPr>
          <w:snapToGrid/>
          <w:color w:val="000000"/>
          <w:szCs w:val="22"/>
          <w:lang w:val="lt-LT"/>
        </w:rPr>
      </w:pPr>
    </w:p>
    <w:p w14:paraId="2FA882EA" w14:textId="77777777" w:rsidR="004F7AA9" w:rsidRPr="007777D9" w:rsidRDefault="004F7AA9" w:rsidP="004F7AA9">
      <w:pPr>
        <w:tabs>
          <w:tab w:val="clear" w:pos="567"/>
        </w:tabs>
        <w:autoSpaceDE w:val="0"/>
        <w:autoSpaceDN w:val="0"/>
        <w:adjustRightInd w:val="0"/>
        <w:spacing w:line="240" w:lineRule="auto"/>
        <w:rPr>
          <w:snapToGrid/>
          <w:color w:val="000000"/>
          <w:szCs w:val="22"/>
          <w:lang w:val="lt-LT"/>
        </w:rPr>
      </w:pPr>
      <w:r w:rsidRPr="007777D9">
        <w:rPr>
          <w:snapToGrid/>
          <w:color w:val="000000"/>
          <w:szCs w:val="22"/>
          <w:lang w:val="lt-LT"/>
        </w:rPr>
        <w:t>Gauta duomenų, kad sunkia nebaigtine osteogeneze (</w:t>
      </w:r>
      <w:r w:rsidRPr="007777D9">
        <w:rPr>
          <w:i/>
          <w:snapToGrid/>
          <w:color w:val="000000"/>
          <w:szCs w:val="22"/>
          <w:lang w:val="lt-LT"/>
        </w:rPr>
        <w:t>osteogenesis imperfecta</w:t>
      </w:r>
      <w:r w:rsidRPr="007777D9">
        <w:rPr>
          <w:snapToGrid/>
          <w:color w:val="000000"/>
          <w:szCs w:val="22"/>
          <w:lang w:val="lt-LT"/>
        </w:rPr>
        <w:t>) sergantiems vaikams zoledrono rūgšties vartojimas gali būti susijęs su didesne ūmios fazės reakcijų, hipokalcemijos ir neaiškios priežasties sukeltos tachikardijos pasireiškimo rizika (lyginant su pamidronato poveikiu), tačiau šis skirtumas mažėjo vaistinių preparatų infuzuojant pakartotinai.</w:t>
      </w:r>
    </w:p>
    <w:p w14:paraId="6EB32751" w14:textId="77777777" w:rsidR="004F7AA9" w:rsidRPr="007777D9" w:rsidRDefault="004F7AA9" w:rsidP="004F7AA9">
      <w:pPr>
        <w:tabs>
          <w:tab w:val="clear" w:pos="567"/>
        </w:tabs>
        <w:autoSpaceDE w:val="0"/>
        <w:autoSpaceDN w:val="0"/>
        <w:adjustRightInd w:val="0"/>
        <w:spacing w:line="240" w:lineRule="auto"/>
        <w:rPr>
          <w:snapToGrid/>
          <w:color w:val="000000"/>
          <w:szCs w:val="22"/>
          <w:lang w:val="lt-LT"/>
        </w:rPr>
      </w:pPr>
    </w:p>
    <w:p w14:paraId="69F8463C" w14:textId="77777777" w:rsidR="004F7AA9" w:rsidRPr="007777D9" w:rsidRDefault="004F7AA9" w:rsidP="004F7AA9">
      <w:pPr>
        <w:tabs>
          <w:tab w:val="clear" w:pos="567"/>
        </w:tabs>
        <w:autoSpaceDE w:val="0"/>
        <w:autoSpaceDN w:val="0"/>
        <w:adjustRightInd w:val="0"/>
        <w:spacing w:line="240" w:lineRule="auto"/>
        <w:rPr>
          <w:snapToGrid/>
          <w:color w:val="000000"/>
          <w:szCs w:val="22"/>
          <w:lang w:val="lt-LT"/>
        </w:rPr>
      </w:pPr>
      <w:r w:rsidRPr="007777D9">
        <w:rPr>
          <w:snapToGrid/>
          <w:color w:val="000000"/>
          <w:szCs w:val="22"/>
          <w:lang w:val="lt-LT"/>
        </w:rPr>
        <w:t>Europos vaistų agentūra atleido nuo įpareigojimo pateikti referencinio vaistinio preparato, kurio sudėtyje yra zoledrono rūgšties, tyrimų su visais vaikų populiacijos pogrupiais duomenis naviko sukeltos hiperkalcemijos gydymo ir skeleto pažeidimų profilaktikos pacientams, kuriems yra pažengęs išplitęs į kaulus piktybinis procesas, indikacijoms (vartojimo vaikams informacija pateikiama 4.2 skyriuje).</w:t>
      </w:r>
    </w:p>
    <w:p w14:paraId="74AB56B7" w14:textId="77777777" w:rsidR="004F7AA9" w:rsidRPr="007777D9" w:rsidRDefault="004F7AA9" w:rsidP="004F7AA9">
      <w:pPr>
        <w:tabs>
          <w:tab w:val="clear" w:pos="567"/>
        </w:tabs>
        <w:autoSpaceDE w:val="0"/>
        <w:autoSpaceDN w:val="0"/>
        <w:adjustRightInd w:val="0"/>
        <w:spacing w:line="240" w:lineRule="auto"/>
        <w:rPr>
          <w:snapToGrid/>
          <w:color w:val="000000"/>
          <w:szCs w:val="22"/>
          <w:lang w:val="lt-LT"/>
        </w:rPr>
      </w:pPr>
    </w:p>
    <w:p w14:paraId="6C2AB266"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5.2</w:t>
      </w:r>
      <w:r w:rsidRPr="007777D9">
        <w:rPr>
          <w:b/>
          <w:bCs/>
          <w:snapToGrid/>
          <w:szCs w:val="22"/>
          <w:lang w:val="lt-LT"/>
        </w:rPr>
        <w:tab/>
        <w:t>Farmakokinetinės savybės</w:t>
      </w:r>
    </w:p>
    <w:p w14:paraId="3D0AE013" w14:textId="77777777" w:rsidR="004F7AA9" w:rsidRPr="007777D9" w:rsidRDefault="004F7AA9" w:rsidP="004F7AA9">
      <w:pPr>
        <w:widowControl w:val="0"/>
        <w:tabs>
          <w:tab w:val="clear" w:pos="567"/>
        </w:tabs>
        <w:spacing w:line="240" w:lineRule="auto"/>
        <w:rPr>
          <w:snapToGrid/>
          <w:szCs w:val="22"/>
          <w:lang w:val="lt-LT"/>
        </w:rPr>
      </w:pPr>
    </w:p>
    <w:p w14:paraId="65431DD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Po vienkartinės ir kartotinių 5 minučių bei 15 minučių 2 mg, 4 mg, 8 mg ir 16 mg zoledrono rūgšties infuzijų 64 pacientams, kuriems buvo metastazių kauluose, nustatyti toliau paminėti nuo dozės nepriklausantys farmakokinetikos rodmenys.</w:t>
      </w:r>
    </w:p>
    <w:p w14:paraId="5ADC418E" w14:textId="77777777" w:rsidR="004F7AA9" w:rsidRPr="007777D9" w:rsidRDefault="004F7AA9" w:rsidP="004F7AA9">
      <w:pPr>
        <w:widowControl w:val="0"/>
        <w:tabs>
          <w:tab w:val="clear" w:pos="567"/>
        </w:tabs>
        <w:spacing w:line="240" w:lineRule="auto"/>
        <w:rPr>
          <w:snapToGrid/>
          <w:szCs w:val="22"/>
          <w:lang w:val="lt-LT"/>
        </w:rPr>
      </w:pPr>
    </w:p>
    <w:p w14:paraId="4ECBC1DF"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Pradėjus zoledrono rūgšties infuziją, jos koncentracija kraujyje greitai didėja, didžiausia būna infuzijos pabaigoje, po to greitai mažėja ir po 4 val. būna &lt;10%, o po 24 val. − &lt;1% didžiausios koncentracijos. Po to būna ilgas labai mažos koncentracijos periodas, kai ji būna ne didesnė kaip 0,1% didžiausios koncentracijos kraujyje iki antrosios zoledrono rūgšties infuzijos 28-ąją dieną.</w:t>
      </w:r>
      <w:r w:rsidRPr="007777D9" w:rsidDel="00FC3B61">
        <w:rPr>
          <w:snapToGrid/>
          <w:szCs w:val="22"/>
          <w:lang w:val="lt-LT"/>
        </w:rPr>
        <w:t xml:space="preserve"> </w:t>
      </w:r>
    </w:p>
    <w:p w14:paraId="79D96751" w14:textId="77777777" w:rsidR="004F7AA9" w:rsidRPr="007777D9" w:rsidRDefault="004F7AA9" w:rsidP="004F7AA9">
      <w:pPr>
        <w:widowControl w:val="0"/>
        <w:tabs>
          <w:tab w:val="clear" w:pos="567"/>
        </w:tabs>
        <w:spacing w:line="240" w:lineRule="auto"/>
        <w:rPr>
          <w:snapToGrid/>
          <w:szCs w:val="22"/>
          <w:lang w:val="lt-LT"/>
        </w:rPr>
      </w:pPr>
    </w:p>
    <w:p w14:paraId="245D906E"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Į veną pavartotos zoledrono rūgšties eliminacija yra trifazė: greitas dvifazis išsiskyrimas iš sisteminės cirkuliacijos su pusinės eliminacijos laiku atitinkamai t</w:t>
      </w:r>
      <w:r w:rsidRPr="007777D9">
        <w:rPr>
          <w:snapToGrid/>
          <w:szCs w:val="22"/>
          <w:vertAlign w:val="subscript"/>
          <w:lang w:val="lt-LT"/>
        </w:rPr>
        <w:t>½α</w:t>
      </w:r>
      <w:r w:rsidRPr="007777D9">
        <w:rPr>
          <w:snapToGrid/>
          <w:szCs w:val="22"/>
          <w:lang w:val="lt-LT"/>
        </w:rPr>
        <w:t xml:space="preserve"> 0,24 ir t</w:t>
      </w:r>
      <w:r w:rsidRPr="007777D9">
        <w:rPr>
          <w:snapToGrid/>
          <w:szCs w:val="22"/>
          <w:vertAlign w:val="subscript"/>
          <w:lang w:val="lt-LT"/>
        </w:rPr>
        <w:t>½β</w:t>
      </w:r>
      <w:r w:rsidRPr="007777D9">
        <w:rPr>
          <w:snapToGrid/>
          <w:szCs w:val="22"/>
          <w:lang w:val="lt-LT"/>
        </w:rPr>
        <w:t xml:space="preserve"> 1,87 val., paskui ilga eliminacijos </w:t>
      </w:r>
      <w:r w:rsidRPr="007777D9">
        <w:rPr>
          <w:snapToGrid/>
          <w:szCs w:val="22"/>
          <w:lang w:val="lt-LT"/>
        </w:rPr>
        <w:lastRenderedPageBreak/>
        <w:t>fazė su galutiniu pusinės eliminacijos laiku t</w:t>
      </w:r>
      <w:r w:rsidRPr="007777D9">
        <w:rPr>
          <w:snapToGrid/>
          <w:szCs w:val="22"/>
          <w:vertAlign w:val="subscript"/>
          <w:lang w:val="lt-LT"/>
        </w:rPr>
        <w:t>½γ</w:t>
      </w:r>
      <w:r w:rsidRPr="007777D9">
        <w:rPr>
          <w:snapToGrid/>
          <w:szCs w:val="22"/>
          <w:lang w:val="lt-LT"/>
        </w:rPr>
        <w:t xml:space="preserve"> 146 val. Po kartotinių zoledrono rūgšties dozių vartojimo kas 28 dienas jos kaupimosi plazmoje nestebėta. Zoledrono rūgštis nemetabolizuojama ir nepakitusi išsiskiria pro inkstus. Per pirmąsias 24 val. 39 ± 16% paskirtos dozės išsiskiria su šlapimu, o likusi dalis daugiausia susijungia su kauliniu audiniu. Iš kaulinio audinio ji labai lėtai išsiskiria į sisteminę kraujotaką ir šalinama pro inkstus. Bendras organizmo klirensas yra 5,04 ± 2,5 l/val., jis nepriklauso nuo dozės, lyties, amžiaus, rasės ir kūno svorio. Pailginus infuzijos laiką nuo 5 minučių iki 15 minučių, zoledrono rūgšties koncentracija infuzijos pabaigoje sumažėja 30%, tačiau plotas po koncentracijos kitimo laiko atžvilgiu kreive nekinta.</w:t>
      </w:r>
    </w:p>
    <w:p w14:paraId="347A8522" w14:textId="77777777" w:rsidR="004F7AA9" w:rsidRPr="007777D9" w:rsidRDefault="004F7AA9" w:rsidP="004F7AA9">
      <w:pPr>
        <w:widowControl w:val="0"/>
        <w:tabs>
          <w:tab w:val="clear" w:pos="567"/>
        </w:tabs>
        <w:spacing w:line="240" w:lineRule="auto"/>
        <w:rPr>
          <w:snapToGrid/>
          <w:szCs w:val="22"/>
          <w:lang w:val="lt-LT"/>
        </w:rPr>
      </w:pPr>
    </w:p>
    <w:p w14:paraId="5B523387"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Įvairių žmonių organizme zoledrono rūgšties</w:t>
      </w:r>
      <w:r>
        <w:rPr>
          <w:snapToGrid/>
          <w:szCs w:val="22"/>
          <w:lang w:val="lt-LT"/>
        </w:rPr>
        <w:t>, kaip ir kitų bisfosfoantų,</w:t>
      </w:r>
      <w:r w:rsidRPr="007777D9">
        <w:rPr>
          <w:snapToGrid/>
          <w:szCs w:val="22"/>
          <w:lang w:val="lt-LT"/>
        </w:rPr>
        <w:t xml:space="preserve"> farmakokinetikos </w:t>
      </w:r>
      <w:r>
        <w:rPr>
          <w:snapToGrid/>
          <w:szCs w:val="22"/>
          <w:lang w:val="lt-LT"/>
        </w:rPr>
        <w:t>rodmenys</w:t>
      </w:r>
      <w:r w:rsidRPr="007777D9">
        <w:rPr>
          <w:snapToGrid/>
          <w:szCs w:val="22"/>
          <w:lang w:val="lt-LT"/>
        </w:rPr>
        <w:t xml:space="preserve"> gali labai sk</w:t>
      </w:r>
      <w:r>
        <w:rPr>
          <w:snapToGrid/>
          <w:szCs w:val="22"/>
          <w:lang w:val="lt-LT"/>
        </w:rPr>
        <w:t>irtis</w:t>
      </w:r>
      <w:r w:rsidRPr="007777D9">
        <w:rPr>
          <w:snapToGrid/>
          <w:szCs w:val="22"/>
          <w:lang w:val="lt-LT"/>
        </w:rPr>
        <w:t>.</w:t>
      </w:r>
    </w:p>
    <w:p w14:paraId="7B8FBB80" w14:textId="77777777" w:rsidR="004F7AA9" w:rsidRPr="007777D9" w:rsidRDefault="004F7AA9" w:rsidP="004F7AA9">
      <w:pPr>
        <w:widowControl w:val="0"/>
        <w:tabs>
          <w:tab w:val="clear" w:pos="567"/>
        </w:tabs>
        <w:spacing w:line="240" w:lineRule="auto"/>
        <w:rPr>
          <w:snapToGrid/>
          <w:szCs w:val="22"/>
          <w:lang w:val="lt-LT"/>
        </w:rPr>
      </w:pPr>
    </w:p>
    <w:p w14:paraId="54190832" w14:textId="77777777" w:rsidR="004F7AA9" w:rsidRPr="007777D9" w:rsidRDefault="004F7AA9" w:rsidP="004F7AA9">
      <w:pPr>
        <w:widowControl w:val="0"/>
        <w:tabs>
          <w:tab w:val="clear" w:pos="567"/>
        </w:tabs>
        <w:spacing w:line="240" w:lineRule="auto"/>
        <w:rPr>
          <w:snapToGrid/>
          <w:szCs w:val="22"/>
          <w:lang w:val="lt-LT"/>
        </w:rPr>
      </w:pPr>
      <w:r>
        <w:rPr>
          <w:snapToGrid/>
          <w:szCs w:val="22"/>
          <w:lang w:val="lt-LT"/>
        </w:rPr>
        <w:t xml:space="preserve">Duomenų apie </w:t>
      </w:r>
      <w:r w:rsidRPr="007777D9">
        <w:rPr>
          <w:snapToGrid/>
          <w:szCs w:val="22"/>
          <w:lang w:val="lt-LT"/>
        </w:rPr>
        <w:t xml:space="preserve">zoledrono rūgšties </w:t>
      </w:r>
      <w:r>
        <w:rPr>
          <w:snapToGrid/>
          <w:szCs w:val="22"/>
          <w:lang w:val="lt-LT"/>
        </w:rPr>
        <w:t>farmakokinetikos rodmenis p</w:t>
      </w:r>
      <w:r w:rsidRPr="007777D9">
        <w:rPr>
          <w:snapToGrid/>
          <w:szCs w:val="22"/>
          <w:lang w:val="lt-LT"/>
        </w:rPr>
        <w:t xml:space="preserve">acientų, kuriems yra hiperkalcemija ar kepenų nepakankamumas, </w:t>
      </w:r>
      <w:r>
        <w:rPr>
          <w:snapToGrid/>
          <w:szCs w:val="22"/>
          <w:lang w:val="lt-LT"/>
        </w:rPr>
        <w:t>organizme nėra</w:t>
      </w:r>
      <w:r w:rsidRPr="007777D9">
        <w:rPr>
          <w:snapToGrid/>
          <w:szCs w:val="22"/>
          <w:lang w:val="lt-LT"/>
        </w:rPr>
        <w:t xml:space="preserve">. Zoledrono rūgštis neslopina žmogaus P450 fermentų </w:t>
      </w:r>
      <w:r w:rsidRPr="007777D9">
        <w:rPr>
          <w:i/>
          <w:snapToGrid/>
          <w:szCs w:val="22"/>
          <w:lang w:val="lt-LT"/>
        </w:rPr>
        <w:t>in vitro</w:t>
      </w:r>
      <w:r w:rsidRPr="007777D9">
        <w:rPr>
          <w:snapToGrid/>
          <w:szCs w:val="22"/>
          <w:lang w:val="lt-LT"/>
        </w:rPr>
        <w:t xml:space="preserve">, </w:t>
      </w:r>
      <w:r>
        <w:rPr>
          <w:snapToGrid/>
          <w:szCs w:val="22"/>
          <w:lang w:val="lt-LT"/>
        </w:rPr>
        <w:t xml:space="preserve">jos biotransformacijos nevyksta, o tyrimų su gyvūnais metu </w:t>
      </w:r>
      <w:r w:rsidRPr="007777D9">
        <w:rPr>
          <w:snapToGrid/>
          <w:szCs w:val="22"/>
          <w:lang w:val="lt-LT"/>
        </w:rPr>
        <w:t xml:space="preserve">nustatyta, kad </w:t>
      </w:r>
      <w:r>
        <w:rPr>
          <w:snapToGrid/>
          <w:szCs w:val="22"/>
          <w:lang w:val="lt-LT"/>
        </w:rPr>
        <w:t>&lt;</w:t>
      </w:r>
      <w:r w:rsidRPr="007777D9">
        <w:rPr>
          <w:snapToGrid/>
          <w:szCs w:val="22"/>
          <w:lang w:val="lt-LT"/>
        </w:rPr>
        <w:t xml:space="preserve">3% pavartotos dozės išsiskiria su išmatomis. </w:t>
      </w:r>
      <w:r>
        <w:rPr>
          <w:snapToGrid/>
          <w:szCs w:val="22"/>
          <w:lang w:val="lt-LT"/>
        </w:rPr>
        <w:t>Tai rodo</w:t>
      </w:r>
      <w:r w:rsidRPr="007777D9">
        <w:rPr>
          <w:snapToGrid/>
          <w:szCs w:val="22"/>
          <w:lang w:val="lt-LT"/>
        </w:rPr>
        <w:t>, kad kepenų funkcij</w:t>
      </w:r>
      <w:r>
        <w:rPr>
          <w:snapToGrid/>
          <w:szCs w:val="22"/>
          <w:lang w:val="lt-LT"/>
        </w:rPr>
        <w:t>os įtaka</w:t>
      </w:r>
      <w:r w:rsidRPr="007777D9">
        <w:rPr>
          <w:snapToGrid/>
          <w:szCs w:val="22"/>
          <w:lang w:val="lt-LT"/>
        </w:rPr>
        <w:t xml:space="preserve"> zoledrono rūgšties farmakokinetika</w:t>
      </w:r>
      <w:r>
        <w:rPr>
          <w:snapToGrid/>
          <w:szCs w:val="22"/>
          <w:lang w:val="lt-LT"/>
        </w:rPr>
        <w:t>i nėra reikšminga</w:t>
      </w:r>
      <w:r w:rsidRPr="007777D9">
        <w:rPr>
          <w:snapToGrid/>
          <w:szCs w:val="22"/>
          <w:lang w:val="lt-LT"/>
        </w:rPr>
        <w:t>.</w:t>
      </w:r>
    </w:p>
    <w:p w14:paraId="5F5C592D"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Zoledrono rūgšties inkstų klirensas </w:t>
      </w:r>
      <w:r>
        <w:rPr>
          <w:snapToGrid/>
          <w:szCs w:val="22"/>
          <w:lang w:val="lt-LT"/>
        </w:rPr>
        <w:t>koreliavo</w:t>
      </w:r>
      <w:r w:rsidRPr="007777D9">
        <w:rPr>
          <w:snapToGrid/>
          <w:szCs w:val="22"/>
          <w:lang w:val="lt-LT"/>
        </w:rPr>
        <w:t xml:space="preserve"> su kreatinino klirensu. 64 tirtų vėžiu sergančių pacientų </w:t>
      </w:r>
      <w:r>
        <w:rPr>
          <w:snapToGrid/>
          <w:szCs w:val="22"/>
          <w:lang w:val="lt-LT"/>
        </w:rPr>
        <w:t xml:space="preserve">organizme </w:t>
      </w:r>
      <w:r w:rsidRPr="007777D9">
        <w:rPr>
          <w:snapToGrid/>
          <w:szCs w:val="22"/>
          <w:lang w:val="lt-LT"/>
        </w:rPr>
        <w:t>inkstų klirensas sudarė 75 ± 33% kreatinino klirenso, jo vidurkis buvo 84 ± 29 ml/min</w:t>
      </w:r>
      <w:r>
        <w:rPr>
          <w:snapToGrid/>
          <w:szCs w:val="22"/>
          <w:lang w:val="lt-LT"/>
        </w:rPr>
        <w:t>.</w:t>
      </w:r>
      <w:r w:rsidRPr="007777D9">
        <w:rPr>
          <w:snapToGrid/>
          <w:szCs w:val="22"/>
          <w:lang w:val="lt-LT"/>
        </w:rPr>
        <w:t xml:space="preserve"> (riba yra nuo 22 ml/min</w:t>
      </w:r>
      <w:r>
        <w:rPr>
          <w:snapToGrid/>
          <w:szCs w:val="22"/>
          <w:lang w:val="lt-LT"/>
        </w:rPr>
        <w:t>.</w:t>
      </w:r>
      <w:r w:rsidRPr="007777D9">
        <w:rPr>
          <w:snapToGrid/>
          <w:szCs w:val="22"/>
          <w:lang w:val="lt-LT"/>
        </w:rPr>
        <w:t xml:space="preserve"> iki 143 ml/min</w:t>
      </w:r>
      <w:r>
        <w:rPr>
          <w:snapToGrid/>
          <w:szCs w:val="22"/>
          <w:lang w:val="lt-LT"/>
        </w:rPr>
        <w:t>.</w:t>
      </w:r>
      <w:r w:rsidRPr="007777D9">
        <w:rPr>
          <w:snapToGrid/>
          <w:szCs w:val="22"/>
          <w:lang w:val="lt-LT"/>
        </w:rPr>
        <w:t>). Populiacijos analizė parodė, kad pacientams, kurių kreatinino klirensas 20 ml/min</w:t>
      </w:r>
      <w:r>
        <w:rPr>
          <w:snapToGrid/>
          <w:szCs w:val="22"/>
          <w:lang w:val="lt-LT"/>
        </w:rPr>
        <w:t>.</w:t>
      </w:r>
      <w:r w:rsidRPr="007777D9">
        <w:rPr>
          <w:snapToGrid/>
          <w:szCs w:val="22"/>
          <w:lang w:val="lt-LT"/>
        </w:rPr>
        <w:t xml:space="preserve"> (sunkus inkstų funkcijos sutrikimas) ar 50 ml/min</w:t>
      </w:r>
      <w:r>
        <w:rPr>
          <w:snapToGrid/>
          <w:szCs w:val="22"/>
          <w:lang w:val="lt-LT"/>
        </w:rPr>
        <w:t>.</w:t>
      </w:r>
      <w:r w:rsidRPr="007777D9">
        <w:rPr>
          <w:snapToGrid/>
          <w:szCs w:val="22"/>
          <w:lang w:val="lt-LT"/>
        </w:rPr>
        <w:t xml:space="preserve"> (vidutinio sunkumo inkstų funkcijos sutrikimas), numatomas zoledrono rūgšties klirensas </w:t>
      </w:r>
      <w:r>
        <w:rPr>
          <w:snapToGrid/>
          <w:szCs w:val="22"/>
          <w:lang w:val="lt-LT"/>
        </w:rPr>
        <w:t xml:space="preserve">buvo </w:t>
      </w:r>
      <w:r w:rsidRPr="007777D9">
        <w:rPr>
          <w:snapToGrid/>
          <w:szCs w:val="22"/>
          <w:lang w:val="lt-LT"/>
        </w:rPr>
        <w:t>atitinkamai 37% ir 72% klirenso</w:t>
      </w:r>
      <w:r>
        <w:rPr>
          <w:snapToGrid/>
          <w:szCs w:val="22"/>
          <w:lang w:val="lt-LT"/>
        </w:rPr>
        <w:t>, nustatyto pacientui</w:t>
      </w:r>
      <w:r w:rsidRPr="007777D9">
        <w:rPr>
          <w:snapToGrid/>
          <w:szCs w:val="22"/>
          <w:lang w:val="lt-LT"/>
        </w:rPr>
        <w:t xml:space="preserve">, kurio kreatinino klirensas 84 ml/min. </w:t>
      </w:r>
      <w:r>
        <w:rPr>
          <w:snapToGrid/>
          <w:szCs w:val="22"/>
          <w:lang w:val="lt-LT"/>
        </w:rPr>
        <w:t xml:space="preserve">Duomenų apie </w:t>
      </w:r>
      <w:r w:rsidRPr="007777D9">
        <w:rPr>
          <w:snapToGrid/>
          <w:szCs w:val="22"/>
          <w:lang w:val="lt-LT"/>
        </w:rPr>
        <w:t xml:space="preserve">zoledrono rūgšties </w:t>
      </w:r>
      <w:r>
        <w:rPr>
          <w:snapToGrid/>
          <w:szCs w:val="22"/>
          <w:lang w:val="lt-LT"/>
        </w:rPr>
        <w:t>farmakokinetikos rodmenis p</w:t>
      </w:r>
      <w:r w:rsidRPr="007777D9">
        <w:rPr>
          <w:snapToGrid/>
          <w:szCs w:val="22"/>
          <w:lang w:val="lt-LT"/>
        </w:rPr>
        <w:t>acientų, kuriems yra sunkus inkstų nepakankamumas (kreatinino klirensas &lt;30 ml/min</w:t>
      </w:r>
      <w:r>
        <w:rPr>
          <w:snapToGrid/>
          <w:szCs w:val="22"/>
          <w:lang w:val="lt-LT"/>
        </w:rPr>
        <w:t>.</w:t>
      </w:r>
      <w:r w:rsidRPr="007777D9">
        <w:rPr>
          <w:snapToGrid/>
          <w:szCs w:val="22"/>
          <w:lang w:val="lt-LT"/>
        </w:rPr>
        <w:t>)</w:t>
      </w:r>
      <w:r>
        <w:rPr>
          <w:snapToGrid/>
          <w:szCs w:val="22"/>
          <w:lang w:val="lt-LT"/>
        </w:rPr>
        <w:t xml:space="preserve">, organizme yra </w:t>
      </w:r>
      <w:r w:rsidRPr="007777D9">
        <w:rPr>
          <w:snapToGrid/>
          <w:szCs w:val="22"/>
          <w:lang w:val="lt-LT"/>
        </w:rPr>
        <w:t>mažai.</w:t>
      </w:r>
    </w:p>
    <w:p w14:paraId="74D60C94" w14:textId="77777777" w:rsidR="004F7AA9" w:rsidRPr="007777D9" w:rsidRDefault="004F7AA9" w:rsidP="004F7AA9">
      <w:pPr>
        <w:widowControl w:val="0"/>
        <w:tabs>
          <w:tab w:val="clear" w:pos="567"/>
        </w:tabs>
        <w:spacing w:line="240" w:lineRule="auto"/>
        <w:rPr>
          <w:snapToGrid/>
          <w:szCs w:val="22"/>
          <w:lang w:val="lt-LT"/>
        </w:rPr>
      </w:pPr>
    </w:p>
    <w:p w14:paraId="52AD85EC" w14:textId="77777777" w:rsidR="004F7AA9" w:rsidRPr="007777D9" w:rsidRDefault="004F7AA9" w:rsidP="004F7AA9">
      <w:pPr>
        <w:widowControl w:val="0"/>
        <w:tabs>
          <w:tab w:val="clear" w:pos="567"/>
        </w:tabs>
        <w:spacing w:line="240" w:lineRule="auto"/>
        <w:rPr>
          <w:snapToGrid/>
          <w:szCs w:val="22"/>
          <w:lang w:val="lt-LT"/>
        </w:rPr>
      </w:pPr>
      <w:r w:rsidRPr="007777D9">
        <w:rPr>
          <w:i/>
          <w:snapToGrid/>
          <w:szCs w:val="22"/>
          <w:lang w:val="lt-LT"/>
        </w:rPr>
        <w:t>In vitro</w:t>
      </w:r>
      <w:r w:rsidRPr="007777D9">
        <w:rPr>
          <w:snapToGrid/>
          <w:szCs w:val="22"/>
          <w:lang w:val="lt-LT"/>
        </w:rPr>
        <w:t xml:space="preserve"> tyrim</w:t>
      </w:r>
      <w:r>
        <w:rPr>
          <w:snapToGrid/>
          <w:szCs w:val="22"/>
          <w:lang w:val="lt-LT"/>
        </w:rPr>
        <w:t>o</w:t>
      </w:r>
      <w:r w:rsidRPr="007777D9">
        <w:rPr>
          <w:snapToGrid/>
          <w:szCs w:val="22"/>
          <w:lang w:val="lt-LT"/>
        </w:rPr>
        <w:t xml:space="preserve"> </w:t>
      </w:r>
      <w:r>
        <w:rPr>
          <w:snapToGrid/>
          <w:szCs w:val="22"/>
          <w:lang w:val="lt-LT"/>
        </w:rPr>
        <w:t>metu</w:t>
      </w:r>
      <w:r w:rsidRPr="007777D9">
        <w:rPr>
          <w:snapToGrid/>
          <w:szCs w:val="22"/>
          <w:lang w:val="lt-LT"/>
        </w:rPr>
        <w:t xml:space="preserve"> nustatyta, kad zoledrono rūgščiai būdingas nedidelis afinitetas žmogaus kraujo ląstelėms, o vidutinis koncentracij</w:t>
      </w:r>
      <w:r>
        <w:rPr>
          <w:snapToGrid/>
          <w:szCs w:val="22"/>
          <w:lang w:val="lt-LT"/>
        </w:rPr>
        <w:t>os</w:t>
      </w:r>
      <w:r w:rsidRPr="007777D9">
        <w:rPr>
          <w:snapToGrid/>
          <w:szCs w:val="22"/>
          <w:lang w:val="lt-LT"/>
        </w:rPr>
        <w:t xml:space="preserve"> kraujyje ir plazmoje santykis yra 0,59, kai </w:t>
      </w:r>
      <w:r>
        <w:rPr>
          <w:snapToGrid/>
          <w:szCs w:val="22"/>
          <w:lang w:val="lt-LT"/>
        </w:rPr>
        <w:t>jos ribos buvo nuo 30 ng/ml iki 5 000 </w:t>
      </w:r>
      <w:r w:rsidRPr="007777D9">
        <w:rPr>
          <w:snapToGrid/>
          <w:szCs w:val="22"/>
          <w:lang w:val="lt-LT"/>
        </w:rPr>
        <w:t>ng/ml. Zoledrono rūgšti</w:t>
      </w:r>
      <w:r>
        <w:rPr>
          <w:snapToGrid/>
          <w:szCs w:val="22"/>
          <w:lang w:val="lt-LT"/>
        </w:rPr>
        <w:t>e</w:t>
      </w:r>
      <w:r w:rsidRPr="007777D9">
        <w:rPr>
          <w:snapToGrid/>
          <w:szCs w:val="22"/>
          <w:lang w:val="lt-LT"/>
        </w:rPr>
        <w:t xml:space="preserve">s </w:t>
      </w:r>
      <w:r>
        <w:rPr>
          <w:snapToGrid/>
          <w:szCs w:val="22"/>
          <w:lang w:val="lt-LT"/>
        </w:rPr>
        <w:t>prie</w:t>
      </w:r>
      <w:r w:rsidRPr="007777D9">
        <w:rPr>
          <w:snapToGrid/>
          <w:szCs w:val="22"/>
          <w:lang w:val="lt-LT"/>
        </w:rPr>
        <w:t xml:space="preserve"> plazmos baltym</w:t>
      </w:r>
      <w:r>
        <w:rPr>
          <w:snapToGrid/>
          <w:szCs w:val="22"/>
          <w:lang w:val="lt-LT"/>
        </w:rPr>
        <w:t>ų</w:t>
      </w:r>
      <w:r w:rsidRPr="00D359F7">
        <w:rPr>
          <w:snapToGrid/>
          <w:szCs w:val="22"/>
          <w:lang w:val="lt-LT"/>
        </w:rPr>
        <w:t xml:space="preserve"> </w:t>
      </w:r>
      <w:r w:rsidRPr="007777D9">
        <w:rPr>
          <w:snapToGrid/>
          <w:szCs w:val="22"/>
          <w:lang w:val="lt-LT"/>
        </w:rPr>
        <w:t>jungiasi</w:t>
      </w:r>
      <w:r w:rsidRPr="00D359F7">
        <w:rPr>
          <w:snapToGrid/>
          <w:szCs w:val="22"/>
          <w:lang w:val="lt-LT"/>
        </w:rPr>
        <w:t xml:space="preserve"> </w:t>
      </w:r>
      <w:r w:rsidRPr="007777D9">
        <w:rPr>
          <w:snapToGrid/>
          <w:szCs w:val="22"/>
          <w:lang w:val="lt-LT"/>
        </w:rPr>
        <w:t xml:space="preserve">mažai, </w:t>
      </w:r>
      <w:r>
        <w:rPr>
          <w:snapToGrid/>
          <w:szCs w:val="22"/>
          <w:lang w:val="lt-LT"/>
        </w:rPr>
        <w:t>neprisijungusi</w:t>
      </w:r>
      <w:r w:rsidRPr="007777D9">
        <w:rPr>
          <w:snapToGrid/>
          <w:szCs w:val="22"/>
          <w:lang w:val="lt-LT"/>
        </w:rPr>
        <w:t xml:space="preserve"> dalis svyruoja nu</w:t>
      </w:r>
      <w:r>
        <w:rPr>
          <w:snapToGrid/>
          <w:szCs w:val="22"/>
          <w:lang w:val="lt-LT"/>
        </w:rPr>
        <w:t>o 60% (kai koncentracija yra 2 </w:t>
      </w:r>
      <w:r w:rsidRPr="007777D9">
        <w:rPr>
          <w:snapToGrid/>
          <w:szCs w:val="22"/>
          <w:lang w:val="lt-LT"/>
        </w:rPr>
        <w:t>ng/ml) iki 77% (kai koncentracija yra 2</w:t>
      </w:r>
      <w:r>
        <w:rPr>
          <w:snapToGrid/>
          <w:szCs w:val="22"/>
          <w:lang w:val="lt-LT"/>
        </w:rPr>
        <w:t>000 </w:t>
      </w:r>
      <w:r w:rsidRPr="007777D9">
        <w:rPr>
          <w:snapToGrid/>
          <w:szCs w:val="22"/>
          <w:lang w:val="lt-LT"/>
        </w:rPr>
        <w:t>ng/ml).</w:t>
      </w:r>
    </w:p>
    <w:p w14:paraId="65F787D2" w14:textId="77777777" w:rsidR="004F7AA9" w:rsidRPr="007777D9" w:rsidRDefault="004F7AA9" w:rsidP="004F7AA9">
      <w:pPr>
        <w:widowControl w:val="0"/>
        <w:tabs>
          <w:tab w:val="clear" w:pos="567"/>
        </w:tabs>
        <w:spacing w:line="240" w:lineRule="auto"/>
        <w:rPr>
          <w:snapToGrid/>
          <w:szCs w:val="22"/>
          <w:lang w:val="lt-LT"/>
        </w:rPr>
      </w:pPr>
    </w:p>
    <w:p w14:paraId="6422825E"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t>Ypatingos populiacijos</w:t>
      </w:r>
    </w:p>
    <w:p w14:paraId="1AF02C63" w14:textId="77777777" w:rsidR="004F7AA9" w:rsidRPr="007777D9" w:rsidRDefault="004F7AA9" w:rsidP="004F7AA9">
      <w:pPr>
        <w:widowControl w:val="0"/>
        <w:tabs>
          <w:tab w:val="clear" w:pos="567"/>
        </w:tabs>
        <w:spacing w:line="240" w:lineRule="auto"/>
        <w:rPr>
          <w:i/>
          <w:snapToGrid/>
          <w:szCs w:val="22"/>
          <w:lang w:val="lt-LT"/>
        </w:rPr>
      </w:pPr>
    </w:p>
    <w:p w14:paraId="0AE39C72" w14:textId="77777777" w:rsidR="004F7AA9" w:rsidRPr="007777D9" w:rsidRDefault="004F7AA9" w:rsidP="004F7AA9">
      <w:pPr>
        <w:widowControl w:val="0"/>
        <w:tabs>
          <w:tab w:val="clear" w:pos="567"/>
        </w:tabs>
        <w:spacing w:line="240" w:lineRule="auto"/>
        <w:rPr>
          <w:i/>
          <w:snapToGrid/>
          <w:szCs w:val="22"/>
          <w:u w:val="single"/>
          <w:lang w:val="lt-LT"/>
        </w:rPr>
      </w:pPr>
      <w:r w:rsidRPr="007777D9">
        <w:rPr>
          <w:i/>
          <w:snapToGrid/>
          <w:szCs w:val="22"/>
          <w:u w:val="single"/>
          <w:lang w:val="lt-LT"/>
        </w:rPr>
        <w:t>Vaikų populiacija</w:t>
      </w:r>
    </w:p>
    <w:p w14:paraId="58F58A05"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Riboti preparato farmakokinetikos sunkia nebaigtine osteogeneze (</w:t>
      </w:r>
      <w:r w:rsidRPr="007777D9">
        <w:rPr>
          <w:i/>
          <w:snapToGrid/>
          <w:szCs w:val="22"/>
          <w:lang w:val="lt-LT"/>
        </w:rPr>
        <w:t>osteogenesis imperfecta</w:t>
      </w:r>
      <w:r w:rsidRPr="007777D9">
        <w:rPr>
          <w:snapToGrid/>
          <w:szCs w:val="22"/>
          <w:lang w:val="lt-LT"/>
        </w:rPr>
        <w:t xml:space="preserve">) sergančių vaikų organizme duomenys rodo, kad zoledrono rūgšties farmakokinetikos 3–17 metų vaikų organizme </w:t>
      </w:r>
      <w:r>
        <w:rPr>
          <w:snapToGrid/>
          <w:szCs w:val="22"/>
          <w:lang w:val="lt-LT"/>
        </w:rPr>
        <w:t>rodmenys</w:t>
      </w:r>
      <w:r w:rsidRPr="007777D9">
        <w:rPr>
          <w:snapToGrid/>
          <w:szCs w:val="22"/>
          <w:lang w:val="lt-LT"/>
        </w:rPr>
        <w:t xml:space="preserve"> yra panašūs į suaugusiųjų </w:t>
      </w:r>
      <w:r>
        <w:rPr>
          <w:snapToGrid/>
          <w:szCs w:val="22"/>
          <w:lang w:val="lt-LT"/>
        </w:rPr>
        <w:t>rodmenis</w:t>
      </w:r>
      <w:r w:rsidRPr="007777D9">
        <w:rPr>
          <w:snapToGrid/>
          <w:szCs w:val="22"/>
          <w:lang w:val="lt-LT"/>
        </w:rPr>
        <w:t xml:space="preserve">, kai skiriama panaši </w:t>
      </w:r>
      <w:r>
        <w:rPr>
          <w:snapToGrid/>
          <w:szCs w:val="22"/>
          <w:lang w:val="lt-LT"/>
        </w:rPr>
        <w:t xml:space="preserve">vaistinio </w:t>
      </w:r>
      <w:r w:rsidRPr="007777D9">
        <w:rPr>
          <w:snapToGrid/>
          <w:szCs w:val="22"/>
          <w:lang w:val="lt-LT"/>
        </w:rPr>
        <w:t xml:space="preserve">preparato dozė perskaičiavus mg/kg kūno svorio. </w:t>
      </w:r>
      <w:r>
        <w:rPr>
          <w:snapToGrid/>
          <w:szCs w:val="22"/>
          <w:lang w:val="lt-LT"/>
        </w:rPr>
        <w:t>Nustatyta</w:t>
      </w:r>
      <w:r w:rsidRPr="007777D9">
        <w:rPr>
          <w:snapToGrid/>
          <w:szCs w:val="22"/>
          <w:lang w:val="lt-LT"/>
        </w:rPr>
        <w:t xml:space="preserve">, kad pacientų amžius, kūno svoris, lytis ir kreatinino klirensas </w:t>
      </w:r>
      <w:r>
        <w:rPr>
          <w:snapToGrid/>
          <w:szCs w:val="22"/>
          <w:lang w:val="lt-LT"/>
        </w:rPr>
        <w:t xml:space="preserve">įtakos </w:t>
      </w:r>
      <w:r w:rsidRPr="007777D9">
        <w:rPr>
          <w:snapToGrid/>
          <w:szCs w:val="22"/>
          <w:lang w:val="lt-LT"/>
        </w:rPr>
        <w:t>sistemin</w:t>
      </w:r>
      <w:r>
        <w:rPr>
          <w:snapToGrid/>
          <w:szCs w:val="22"/>
          <w:lang w:val="lt-LT"/>
        </w:rPr>
        <w:t>ei</w:t>
      </w:r>
      <w:r w:rsidRPr="007777D9">
        <w:rPr>
          <w:snapToGrid/>
          <w:szCs w:val="22"/>
          <w:lang w:val="lt-LT"/>
        </w:rPr>
        <w:t xml:space="preserve"> zoledrono rūgšties ekspozicij</w:t>
      </w:r>
      <w:r>
        <w:rPr>
          <w:snapToGrid/>
          <w:szCs w:val="22"/>
          <w:lang w:val="lt-LT"/>
        </w:rPr>
        <w:t>ai nedaro</w:t>
      </w:r>
      <w:r w:rsidRPr="007777D9">
        <w:rPr>
          <w:snapToGrid/>
          <w:szCs w:val="22"/>
          <w:lang w:val="lt-LT"/>
        </w:rPr>
        <w:t>.</w:t>
      </w:r>
    </w:p>
    <w:p w14:paraId="5EBCBC07" w14:textId="77777777" w:rsidR="004F7AA9" w:rsidRPr="007777D9" w:rsidRDefault="004F7AA9" w:rsidP="004F7AA9">
      <w:pPr>
        <w:widowControl w:val="0"/>
        <w:tabs>
          <w:tab w:val="clear" w:pos="567"/>
        </w:tabs>
        <w:spacing w:line="240" w:lineRule="auto"/>
        <w:rPr>
          <w:snapToGrid/>
          <w:szCs w:val="22"/>
          <w:lang w:val="lt-LT"/>
        </w:rPr>
      </w:pPr>
    </w:p>
    <w:p w14:paraId="09864D0F"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5.3</w:t>
      </w:r>
      <w:r w:rsidRPr="007777D9">
        <w:rPr>
          <w:b/>
          <w:bCs/>
          <w:snapToGrid/>
          <w:szCs w:val="22"/>
          <w:lang w:val="lt-LT"/>
        </w:rPr>
        <w:tab/>
        <w:t>Ikiklinikinių saugumo tyrimų duomenys</w:t>
      </w:r>
    </w:p>
    <w:p w14:paraId="0046FD3D" w14:textId="77777777" w:rsidR="004F7AA9" w:rsidRPr="007777D9" w:rsidRDefault="004F7AA9" w:rsidP="004F7AA9">
      <w:pPr>
        <w:widowControl w:val="0"/>
        <w:tabs>
          <w:tab w:val="clear" w:pos="567"/>
        </w:tabs>
        <w:spacing w:line="240" w:lineRule="auto"/>
        <w:rPr>
          <w:snapToGrid/>
          <w:szCs w:val="22"/>
          <w:lang w:val="lt-LT"/>
        </w:rPr>
      </w:pPr>
    </w:p>
    <w:p w14:paraId="3E6DB6E5"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t xml:space="preserve">Ūminis </w:t>
      </w:r>
      <w:r>
        <w:rPr>
          <w:snapToGrid/>
          <w:szCs w:val="22"/>
          <w:u w:val="single"/>
          <w:lang w:val="lt-LT"/>
        </w:rPr>
        <w:t>toksinis poveikis</w:t>
      </w:r>
    </w:p>
    <w:p w14:paraId="120E4FB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Didžiausia </w:t>
      </w:r>
      <w:r>
        <w:rPr>
          <w:snapToGrid/>
          <w:szCs w:val="22"/>
          <w:lang w:val="lt-LT"/>
        </w:rPr>
        <w:t>žūties nesukėlusi</w:t>
      </w:r>
      <w:r w:rsidRPr="007777D9">
        <w:rPr>
          <w:snapToGrid/>
          <w:szCs w:val="22"/>
          <w:lang w:val="lt-LT"/>
        </w:rPr>
        <w:t xml:space="preserve"> vienkartinė intraveninė dozė pelėms buvo 10 mg/kg, žiurkėms – 0,6 mg/kg kūno</w:t>
      </w:r>
      <w:r>
        <w:rPr>
          <w:snapToGrid/>
          <w:szCs w:val="22"/>
          <w:lang w:val="lt-LT"/>
        </w:rPr>
        <w:t xml:space="preserve"> </w:t>
      </w:r>
      <w:r w:rsidRPr="007777D9">
        <w:rPr>
          <w:snapToGrid/>
          <w:szCs w:val="22"/>
          <w:lang w:val="lt-LT"/>
        </w:rPr>
        <w:t xml:space="preserve">svorio. </w:t>
      </w:r>
    </w:p>
    <w:p w14:paraId="4A146C74" w14:textId="77777777" w:rsidR="004F7AA9" w:rsidRPr="007777D9" w:rsidRDefault="004F7AA9" w:rsidP="004F7AA9">
      <w:pPr>
        <w:widowControl w:val="0"/>
        <w:tabs>
          <w:tab w:val="clear" w:pos="567"/>
        </w:tabs>
        <w:spacing w:line="240" w:lineRule="auto"/>
        <w:rPr>
          <w:snapToGrid/>
          <w:szCs w:val="22"/>
          <w:lang w:val="lt-LT"/>
        </w:rPr>
      </w:pPr>
    </w:p>
    <w:p w14:paraId="0C918399" w14:textId="77777777" w:rsidR="004F7AA9" w:rsidRPr="007777D9" w:rsidRDefault="004F7AA9" w:rsidP="004F7AA9">
      <w:pPr>
        <w:widowControl w:val="0"/>
        <w:tabs>
          <w:tab w:val="clear" w:pos="567"/>
        </w:tabs>
        <w:spacing w:line="240" w:lineRule="auto"/>
        <w:rPr>
          <w:snapToGrid/>
          <w:szCs w:val="22"/>
          <w:u w:val="single"/>
          <w:lang w:val="lt-LT"/>
        </w:rPr>
      </w:pPr>
      <w:r w:rsidRPr="007777D9">
        <w:rPr>
          <w:snapToGrid/>
          <w:szCs w:val="22"/>
          <w:u w:val="single"/>
          <w:lang w:val="lt-LT"/>
        </w:rPr>
        <w:t xml:space="preserve">Poūmis ir lėtinis </w:t>
      </w:r>
      <w:r>
        <w:rPr>
          <w:snapToGrid/>
          <w:szCs w:val="22"/>
          <w:u w:val="single"/>
          <w:lang w:val="lt-LT"/>
        </w:rPr>
        <w:t>toksinis poveikis</w:t>
      </w:r>
    </w:p>
    <w:p w14:paraId="457235CF"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Zoledrono rūgštis, švirkščiama žiurkėms į poodį ir šunims į veną </w:t>
      </w:r>
      <w:r>
        <w:rPr>
          <w:snapToGrid/>
          <w:szCs w:val="22"/>
          <w:lang w:val="lt-LT"/>
        </w:rPr>
        <w:t xml:space="preserve">paros </w:t>
      </w:r>
      <w:r w:rsidRPr="007777D9">
        <w:rPr>
          <w:snapToGrid/>
          <w:szCs w:val="22"/>
          <w:lang w:val="lt-LT"/>
        </w:rPr>
        <w:t>dozėmis iki 0,02 mg/kg 4</w:t>
      </w:r>
      <w:r>
        <w:rPr>
          <w:snapToGrid/>
          <w:szCs w:val="22"/>
          <w:lang w:val="lt-LT"/>
        </w:rPr>
        <w:t xml:space="preserve"> savaites. Be to, </w:t>
      </w:r>
      <w:r w:rsidRPr="007777D9">
        <w:rPr>
          <w:snapToGrid/>
          <w:szCs w:val="22"/>
          <w:lang w:val="lt-LT"/>
        </w:rPr>
        <w:t xml:space="preserve">buvo gerai toleruojama žiurkėms į poodį </w:t>
      </w:r>
      <w:r>
        <w:rPr>
          <w:snapToGrid/>
          <w:szCs w:val="22"/>
          <w:lang w:val="lt-LT"/>
        </w:rPr>
        <w:t xml:space="preserve">leidžiama </w:t>
      </w:r>
      <w:r w:rsidRPr="007777D9">
        <w:rPr>
          <w:snapToGrid/>
          <w:szCs w:val="22"/>
          <w:lang w:val="lt-LT"/>
        </w:rPr>
        <w:t xml:space="preserve">0,001 mg/kg </w:t>
      </w:r>
      <w:r>
        <w:rPr>
          <w:snapToGrid/>
          <w:szCs w:val="22"/>
          <w:lang w:val="lt-LT"/>
        </w:rPr>
        <w:t>paros</w:t>
      </w:r>
      <w:r w:rsidRPr="007777D9">
        <w:rPr>
          <w:snapToGrid/>
          <w:szCs w:val="22"/>
          <w:lang w:val="lt-LT"/>
        </w:rPr>
        <w:t xml:space="preserve"> dozė ir šunims į veną kas 2–3 dienas iki 52 savaičių </w:t>
      </w:r>
      <w:r>
        <w:rPr>
          <w:snapToGrid/>
          <w:szCs w:val="22"/>
          <w:lang w:val="lt-LT"/>
        </w:rPr>
        <w:t xml:space="preserve">leidžiama </w:t>
      </w:r>
      <w:r w:rsidRPr="007777D9">
        <w:rPr>
          <w:snapToGrid/>
          <w:szCs w:val="22"/>
          <w:lang w:val="lt-LT"/>
        </w:rPr>
        <w:t xml:space="preserve">0,005 mg/kg </w:t>
      </w:r>
      <w:r>
        <w:rPr>
          <w:snapToGrid/>
          <w:szCs w:val="22"/>
          <w:lang w:val="lt-LT"/>
        </w:rPr>
        <w:t>dozė</w:t>
      </w:r>
      <w:r w:rsidRPr="007777D9">
        <w:rPr>
          <w:snapToGrid/>
          <w:szCs w:val="22"/>
          <w:lang w:val="lt-LT"/>
        </w:rPr>
        <w:t>.</w:t>
      </w:r>
    </w:p>
    <w:p w14:paraId="49872D00" w14:textId="77777777" w:rsidR="004F7AA9" w:rsidRPr="007777D9" w:rsidRDefault="004F7AA9" w:rsidP="004F7AA9">
      <w:pPr>
        <w:widowControl w:val="0"/>
        <w:tabs>
          <w:tab w:val="clear" w:pos="567"/>
        </w:tabs>
        <w:spacing w:line="240" w:lineRule="auto"/>
        <w:rPr>
          <w:snapToGrid/>
          <w:szCs w:val="22"/>
          <w:lang w:val="lt-LT"/>
        </w:rPr>
      </w:pPr>
    </w:p>
    <w:p w14:paraId="61D63AEE"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Dažniausias kartotinės dozės tyrimų </w:t>
      </w:r>
      <w:r>
        <w:rPr>
          <w:snapToGrid/>
          <w:szCs w:val="22"/>
          <w:lang w:val="lt-LT"/>
        </w:rPr>
        <w:t>metu nustatytas poveikis</w:t>
      </w:r>
      <w:r w:rsidRPr="007777D9">
        <w:rPr>
          <w:snapToGrid/>
          <w:szCs w:val="22"/>
          <w:lang w:val="lt-LT"/>
        </w:rPr>
        <w:t xml:space="preserve"> buvo padidėjęs akytosios medžiagos kiekis augančių gyvūnų ilgųjų kaulų metafizėse vartojant beveik visas dozes. </w:t>
      </w:r>
      <w:r>
        <w:rPr>
          <w:snapToGrid/>
          <w:szCs w:val="22"/>
          <w:lang w:val="lt-LT"/>
        </w:rPr>
        <w:t>Toks poveikis atitinka</w:t>
      </w:r>
      <w:r w:rsidRPr="007777D9">
        <w:rPr>
          <w:snapToGrid/>
          <w:szCs w:val="22"/>
          <w:lang w:val="lt-LT"/>
        </w:rPr>
        <w:t xml:space="preserve"> farmakologinį </w:t>
      </w:r>
      <w:r>
        <w:rPr>
          <w:snapToGrid/>
          <w:szCs w:val="22"/>
          <w:lang w:val="lt-LT"/>
        </w:rPr>
        <w:t>rezorbciją slopinantį</w:t>
      </w:r>
      <w:r w:rsidRPr="007777D9">
        <w:rPr>
          <w:snapToGrid/>
          <w:szCs w:val="22"/>
          <w:lang w:val="lt-LT"/>
        </w:rPr>
        <w:t xml:space="preserve"> </w:t>
      </w:r>
      <w:r>
        <w:rPr>
          <w:snapToGrid/>
          <w:szCs w:val="22"/>
          <w:lang w:val="lt-LT"/>
        </w:rPr>
        <w:t>medžiagos</w:t>
      </w:r>
      <w:r w:rsidRPr="007777D9">
        <w:rPr>
          <w:snapToGrid/>
          <w:szCs w:val="22"/>
          <w:lang w:val="lt-LT"/>
        </w:rPr>
        <w:t xml:space="preserve"> aktyvumą.</w:t>
      </w:r>
    </w:p>
    <w:p w14:paraId="729FA5CF" w14:textId="77777777" w:rsidR="004F7AA9" w:rsidRPr="007777D9" w:rsidRDefault="004F7AA9" w:rsidP="004F7AA9">
      <w:pPr>
        <w:widowControl w:val="0"/>
        <w:tabs>
          <w:tab w:val="clear" w:pos="567"/>
        </w:tabs>
        <w:spacing w:line="240" w:lineRule="auto"/>
        <w:rPr>
          <w:snapToGrid/>
          <w:szCs w:val="22"/>
          <w:lang w:val="lt-LT"/>
        </w:rPr>
      </w:pPr>
    </w:p>
    <w:p w14:paraId="71A8DEDF"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lastRenderedPageBreak/>
        <w:t xml:space="preserve">Saugumo, susijusio su poveikiu inkstams, ribos buvo siauros. Tai nustatyta gyvūnų ilgalaikio kartotinių parenterinių dozių tyrimo metu, tačiau vienkartinės dozės (1,6 mg/kg) ir kartotinių dozių (0,06–0,6 mg/kg per parą) tyrimų iki 1 mėnesio metu kumuliacinis, nesukeliantis nepageidaujamo poveikio lygis (angl. </w:t>
      </w:r>
      <w:r w:rsidRPr="007777D9">
        <w:rPr>
          <w:i/>
          <w:snapToGrid/>
          <w:szCs w:val="22"/>
          <w:lang w:val="lt-LT"/>
        </w:rPr>
        <w:t>no adverse event levels,</w:t>
      </w:r>
      <w:r w:rsidRPr="007777D9">
        <w:rPr>
          <w:snapToGrid/>
          <w:szCs w:val="22"/>
          <w:lang w:val="lt-LT"/>
        </w:rPr>
        <w:t xml:space="preserve"> NOAELs) nerodo poveikio inkstams, vartojant dozes, ekvivalentiškas ar didesnes už didžiausią </w:t>
      </w:r>
      <w:r>
        <w:rPr>
          <w:snapToGrid/>
          <w:szCs w:val="22"/>
          <w:lang w:val="lt-LT"/>
        </w:rPr>
        <w:t xml:space="preserve">žmonėms </w:t>
      </w:r>
      <w:r w:rsidRPr="007777D9">
        <w:rPr>
          <w:snapToGrid/>
          <w:szCs w:val="22"/>
          <w:lang w:val="lt-LT"/>
        </w:rPr>
        <w:t xml:space="preserve">skiriamą gydomąją dozę. Ilgalaikis kartotinis dozių, atitinkančių didžiausią žmogui skiriamą zoledrono rūgšties dozę, vartojimas sukėlė toksinius kitų organų, </w:t>
      </w:r>
      <w:r>
        <w:rPr>
          <w:snapToGrid/>
          <w:szCs w:val="22"/>
          <w:lang w:val="lt-LT"/>
        </w:rPr>
        <w:t>įskaitant</w:t>
      </w:r>
      <w:r w:rsidRPr="007777D9">
        <w:rPr>
          <w:snapToGrid/>
          <w:szCs w:val="22"/>
          <w:lang w:val="lt-LT"/>
        </w:rPr>
        <w:t xml:space="preserve"> virškinimo trakt</w:t>
      </w:r>
      <w:r>
        <w:rPr>
          <w:snapToGrid/>
          <w:szCs w:val="22"/>
          <w:lang w:val="lt-LT"/>
        </w:rPr>
        <w:t>ą</w:t>
      </w:r>
      <w:r w:rsidRPr="007777D9">
        <w:rPr>
          <w:snapToGrid/>
          <w:szCs w:val="22"/>
          <w:lang w:val="lt-LT"/>
        </w:rPr>
        <w:t>, kepen</w:t>
      </w:r>
      <w:r>
        <w:rPr>
          <w:snapToGrid/>
          <w:szCs w:val="22"/>
          <w:lang w:val="lt-LT"/>
        </w:rPr>
        <w:t>is</w:t>
      </w:r>
      <w:r w:rsidRPr="007777D9">
        <w:rPr>
          <w:snapToGrid/>
          <w:szCs w:val="22"/>
          <w:lang w:val="lt-LT"/>
        </w:rPr>
        <w:t>, blužn</w:t>
      </w:r>
      <w:r>
        <w:rPr>
          <w:snapToGrid/>
          <w:szCs w:val="22"/>
          <w:lang w:val="lt-LT"/>
        </w:rPr>
        <w:t>į</w:t>
      </w:r>
      <w:r w:rsidRPr="007777D9">
        <w:rPr>
          <w:snapToGrid/>
          <w:szCs w:val="22"/>
          <w:lang w:val="lt-LT"/>
        </w:rPr>
        <w:t>, plauči</w:t>
      </w:r>
      <w:r>
        <w:rPr>
          <w:snapToGrid/>
          <w:szCs w:val="22"/>
          <w:lang w:val="lt-LT"/>
        </w:rPr>
        <w:t>us</w:t>
      </w:r>
      <w:r w:rsidRPr="007777D9">
        <w:rPr>
          <w:snapToGrid/>
          <w:szCs w:val="22"/>
          <w:lang w:val="lt-LT"/>
        </w:rPr>
        <w:t xml:space="preserve"> ir injekcijos į veną viet</w:t>
      </w:r>
      <w:r>
        <w:rPr>
          <w:snapToGrid/>
          <w:szCs w:val="22"/>
          <w:lang w:val="lt-LT"/>
        </w:rPr>
        <w:t xml:space="preserve">ą, </w:t>
      </w:r>
      <w:r w:rsidRPr="007777D9">
        <w:rPr>
          <w:snapToGrid/>
          <w:szCs w:val="22"/>
          <w:lang w:val="lt-LT"/>
        </w:rPr>
        <w:t>pokyčius.</w:t>
      </w:r>
    </w:p>
    <w:p w14:paraId="767B07C5" w14:textId="77777777" w:rsidR="004F7AA9" w:rsidRPr="007777D9" w:rsidRDefault="004F7AA9" w:rsidP="004F7AA9">
      <w:pPr>
        <w:widowControl w:val="0"/>
        <w:tabs>
          <w:tab w:val="clear" w:pos="567"/>
        </w:tabs>
        <w:spacing w:line="240" w:lineRule="auto"/>
        <w:rPr>
          <w:snapToGrid/>
          <w:szCs w:val="22"/>
          <w:lang w:val="lt-LT"/>
        </w:rPr>
      </w:pPr>
    </w:p>
    <w:p w14:paraId="68E60D05" w14:textId="77777777" w:rsidR="004F7AA9" w:rsidRPr="007777D9" w:rsidRDefault="004F7AA9" w:rsidP="004F7AA9">
      <w:pPr>
        <w:widowControl w:val="0"/>
        <w:tabs>
          <w:tab w:val="clear" w:pos="567"/>
        </w:tabs>
        <w:spacing w:line="240" w:lineRule="auto"/>
        <w:rPr>
          <w:snapToGrid/>
          <w:szCs w:val="22"/>
          <w:u w:val="single"/>
          <w:lang w:val="lt-LT"/>
        </w:rPr>
      </w:pPr>
      <w:r>
        <w:rPr>
          <w:snapToGrid/>
          <w:szCs w:val="22"/>
          <w:u w:val="single"/>
          <w:lang w:val="lt-LT"/>
        </w:rPr>
        <w:t>Toksinis poveikis reprodukcijai</w:t>
      </w:r>
    </w:p>
    <w:p w14:paraId="5C8E6DC7"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Zoledrono rūgštis </w:t>
      </w:r>
      <w:r>
        <w:rPr>
          <w:snapToGrid/>
          <w:szCs w:val="22"/>
          <w:lang w:val="lt-LT"/>
        </w:rPr>
        <w:t>sukėlė</w:t>
      </w:r>
      <w:r w:rsidRPr="007777D9">
        <w:rPr>
          <w:snapToGrid/>
          <w:szCs w:val="22"/>
          <w:lang w:val="lt-LT"/>
        </w:rPr>
        <w:t xml:space="preserve"> teratogeni</w:t>
      </w:r>
      <w:r>
        <w:rPr>
          <w:snapToGrid/>
          <w:szCs w:val="22"/>
          <w:lang w:val="lt-LT"/>
        </w:rPr>
        <w:t>nį poveikį</w:t>
      </w:r>
      <w:r w:rsidRPr="007777D9">
        <w:rPr>
          <w:snapToGrid/>
          <w:szCs w:val="22"/>
          <w:lang w:val="lt-LT"/>
        </w:rPr>
        <w:t xml:space="preserve"> žiurkėms, kai joms į poodį buvo švirkščiama </w:t>
      </w:r>
      <w:r>
        <w:rPr>
          <w:snapToGrid/>
          <w:szCs w:val="22"/>
          <w:lang w:val="lt-LT"/>
        </w:rPr>
        <w:t>≥</w:t>
      </w:r>
      <w:r w:rsidRPr="007777D9">
        <w:rPr>
          <w:snapToGrid/>
          <w:szCs w:val="22"/>
          <w:lang w:val="lt-LT"/>
        </w:rPr>
        <w:t xml:space="preserve">0,2 mg/kg dozės. Triušiams teratogeninio ir fetotoksinio poveikio nestebėta, tačiau nustatytas </w:t>
      </w:r>
      <w:r>
        <w:rPr>
          <w:snapToGrid/>
          <w:szCs w:val="22"/>
          <w:lang w:val="lt-LT"/>
        </w:rPr>
        <w:t>toksinis poveikis vaikingoms</w:t>
      </w:r>
      <w:r w:rsidRPr="007777D9">
        <w:rPr>
          <w:snapToGrid/>
          <w:szCs w:val="22"/>
          <w:lang w:val="lt-LT"/>
        </w:rPr>
        <w:t xml:space="preserve"> patelėms. Tiriant mažiausią dozę (0,01 mg/kg kūno svorio), žiurkėms stebėt</w:t>
      </w:r>
      <w:r>
        <w:rPr>
          <w:snapToGrid/>
          <w:szCs w:val="22"/>
          <w:lang w:val="lt-LT"/>
        </w:rPr>
        <w:t>a distocija</w:t>
      </w:r>
      <w:r w:rsidRPr="007777D9">
        <w:rPr>
          <w:snapToGrid/>
          <w:szCs w:val="22"/>
          <w:lang w:val="lt-LT"/>
        </w:rPr>
        <w:t>.</w:t>
      </w:r>
    </w:p>
    <w:p w14:paraId="5F1659E3" w14:textId="77777777" w:rsidR="004F7AA9" w:rsidRPr="007777D9" w:rsidRDefault="004F7AA9" w:rsidP="004F7AA9">
      <w:pPr>
        <w:widowControl w:val="0"/>
        <w:tabs>
          <w:tab w:val="clear" w:pos="567"/>
        </w:tabs>
        <w:spacing w:line="240" w:lineRule="auto"/>
        <w:rPr>
          <w:snapToGrid/>
          <w:szCs w:val="22"/>
          <w:lang w:val="lt-LT"/>
        </w:rPr>
      </w:pPr>
    </w:p>
    <w:p w14:paraId="77833732" w14:textId="77777777" w:rsidR="004F7AA9" w:rsidRPr="007777D9" w:rsidRDefault="004F7AA9" w:rsidP="004F7AA9">
      <w:pPr>
        <w:widowControl w:val="0"/>
        <w:tabs>
          <w:tab w:val="clear" w:pos="567"/>
        </w:tabs>
        <w:spacing w:line="240" w:lineRule="auto"/>
        <w:rPr>
          <w:snapToGrid/>
          <w:szCs w:val="22"/>
          <w:u w:val="single"/>
          <w:lang w:val="lt-LT"/>
        </w:rPr>
      </w:pPr>
      <w:r>
        <w:rPr>
          <w:snapToGrid/>
          <w:szCs w:val="22"/>
          <w:u w:val="single"/>
          <w:lang w:val="lt-LT"/>
        </w:rPr>
        <w:t>Galimas mutageninis ir kancerogeninis poveikis</w:t>
      </w:r>
    </w:p>
    <w:p w14:paraId="7FE98247"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Zoledrono rūgštis </w:t>
      </w:r>
      <w:r>
        <w:rPr>
          <w:snapToGrid/>
          <w:szCs w:val="22"/>
          <w:lang w:val="lt-LT"/>
        </w:rPr>
        <w:t>mutageninio poveikio tyrimų metu tokio poveikio nesukėlė</w:t>
      </w:r>
      <w:r w:rsidRPr="007777D9">
        <w:rPr>
          <w:snapToGrid/>
          <w:szCs w:val="22"/>
          <w:lang w:val="lt-LT"/>
        </w:rPr>
        <w:t xml:space="preserve">, </w:t>
      </w:r>
      <w:r>
        <w:rPr>
          <w:snapToGrid/>
          <w:szCs w:val="22"/>
          <w:lang w:val="lt-LT"/>
        </w:rPr>
        <w:t>kancerogeninių tyrimų metu duomenų apie galimą tokį poveikį negauta.</w:t>
      </w:r>
    </w:p>
    <w:p w14:paraId="3C37ED95" w14:textId="77777777" w:rsidR="004F7AA9" w:rsidRPr="007777D9" w:rsidRDefault="004F7AA9" w:rsidP="004F7AA9">
      <w:pPr>
        <w:widowControl w:val="0"/>
        <w:tabs>
          <w:tab w:val="clear" w:pos="567"/>
        </w:tabs>
        <w:spacing w:line="240" w:lineRule="auto"/>
        <w:rPr>
          <w:snapToGrid/>
          <w:szCs w:val="22"/>
          <w:lang w:val="lt-LT"/>
        </w:rPr>
      </w:pPr>
    </w:p>
    <w:p w14:paraId="48A2367C" w14:textId="77777777" w:rsidR="004F7AA9" w:rsidRPr="007777D9" w:rsidRDefault="004F7AA9" w:rsidP="004F7AA9">
      <w:pPr>
        <w:widowControl w:val="0"/>
        <w:tabs>
          <w:tab w:val="clear" w:pos="567"/>
        </w:tabs>
        <w:spacing w:line="240" w:lineRule="auto"/>
        <w:rPr>
          <w:snapToGrid/>
          <w:szCs w:val="22"/>
          <w:lang w:val="lt-LT"/>
        </w:rPr>
      </w:pPr>
    </w:p>
    <w:p w14:paraId="12110638"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6.</w:t>
      </w:r>
      <w:r w:rsidRPr="007777D9">
        <w:rPr>
          <w:b/>
          <w:bCs/>
          <w:snapToGrid/>
          <w:szCs w:val="22"/>
          <w:lang w:val="lt-LT"/>
        </w:rPr>
        <w:tab/>
        <w:t>FARMACINĖ INFORMACIJA</w:t>
      </w:r>
    </w:p>
    <w:p w14:paraId="32285DA6" w14:textId="77777777" w:rsidR="004F7AA9" w:rsidRPr="007777D9" w:rsidRDefault="004F7AA9" w:rsidP="004F7AA9">
      <w:pPr>
        <w:widowControl w:val="0"/>
        <w:tabs>
          <w:tab w:val="clear" w:pos="567"/>
        </w:tabs>
        <w:spacing w:line="240" w:lineRule="auto"/>
        <w:rPr>
          <w:snapToGrid/>
          <w:szCs w:val="22"/>
          <w:lang w:val="lt-LT"/>
        </w:rPr>
      </w:pPr>
    </w:p>
    <w:p w14:paraId="519D71D6"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6.1</w:t>
      </w:r>
      <w:r w:rsidRPr="007777D9">
        <w:rPr>
          <w:b/>
          <w:bCs/>
          <w:snapToGrid/>
          <w:szCs w:val="22"/>
          <w:lang w:val="lt-LT"/>
        </w:rPr>
        <w:tab/>
        <w:t>Pagalbinių medžiagų sąrašas</w:t>
      </w:r>
    </w:p>
    <w:p w14:paraId="2024F1FD" w14:textId="77777777" w:rsidR="004F7AA9" w:rsidRPr="007777D9" w:rsidRDefault="004F7AA9" w:rsidP="004F7AA9">
      <w:pPr>
        <w:widowControl w:val="0"/>
        <w:tabs>
          <w:tab w:val="clear" w:pos="567"/>
        </w:tabs>
        <w:spacing w:line="240" w:lineRule="auto"/>
        <w:rPr>
          <w:snapToGrid/>
          <w:szCs w:val="22"/>
          <w:lang w:val="lt-LT"/>
        </w:rPr>
      </w:pPr>
    </w:p>
    <w:p w14:paraId="4464492E"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Manitolis </w:t>
      </w:r>
    </w:p>
    <w:p w14:paraId="5658547C"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 xml:space="preserve">Natrio </w:t>
      </w:r>
      <w:r>
        <w:rPr>
          <w:snapToGrid/>
          <w:szCs w:val="22"/>
          <w:lang w:val="lt-LT"/>
        </w:rPr>
        <w:t>citratas</w:t>
      </w:r>
    </w:p>
    <w:p w14:paraId="15ADECAB"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Injekcinis vanduo</w:t>
      </w:r>
    </w:p>
    <w:p w14:paraId="4C5D2ADF" w14:textId="77777777" w:rsidR="004F7AA9" w:rsidRPr="007777D9" w:rsidRDefault="004F7AA9" w:rsidP="004F7AA9">
      <w:pPr>
        <w:widowControl w:val="0"/>
        <w:tabs>
          <w:tab w:val="clear" w:pos="567"/>
        </w:tabs>
        <w:spacing w:line="240" w:lineRule="auto"/>
        <w:rPr>
          <w:snapToGrid/>
          <w:szCs w:val="22"/>
          <w:lang w:val="lt-LT"/>
        </w:rPr>
      </w:pPr>
    </w:p>
    <w:p w14:paraId="2D42832E"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6.2</w:t>
      </w:r>
      <w:r w:rsidRPr="007777D9">
        <w:rPr>
          <w:b/>
          <w:bCs/>
          <w:snapToGrid/>
          <w:szCs w:val="22"/>
          <w:lang w:val="lt-LT"/>
        </w:rPr>
        <w:tab/>
        <w:t>Nesuderinamumas</w:t>
      </w:r>
    </w:p>
    <w:p w14:paraId="6BAF5134" w14:textId="77777777" w:rsidR="004F7AA9" w:rsidRPr="007777D9" w:rsidRDefault="004F7AA9" w:rsidP="004F7AA9">
      <w:pPr>
        <w:widowControl w:val="0"/>
        <w:tabs>
          <w:tab w:val="clear" w:pos="567"/>
        </w:tabs>
        <w:spacing w:line="240" w:lineRule="auto"/>
        <w:rPr>
          <w:snapToGrid/>
          <w:szCs w:val="22"/>
          <w:lang w:val="lt-LT"/>
        </w:rPr>
      </w:pPr>
    </w:p>
    <w:p w14:paraId="3FCB1B65"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Kad būtų išvengta </w:t>
      </w:r>
      <w:r>
        <w:rPr>
          <w:snapToGrid/>
          <w:szCs w:val="22"/>
          <w:lang w:val="lt-LT"/>
        </w:rPr>
        <w:t xml:space="preserve">galimo </w:t>
      </w:r>
      <w:r w:rsidRPr="007777D9">
        <w:rPr>
          <w:snapToGrid/>
          <w:szCs w:val="22"/>
          <w:lang w:val="lt-LT"/>
        </w:rPr>
        <w:t xml:space="preserve">nesuderinamumo,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w:t>
      </w:r>
      <w:r>
        <w:rPr>
          <w:snapToGrid/>
          <w:szCs w:val="22"/>
          <w:lang w:val="lt-LT"/>
        </w:rPr>
        <w:t>koncentratą reikia skiesti 9 mg/ml (0,</w:t>
      </w:r>
      <w:r w:rsidRPr="007777D9">
        <w:rPr>
          <w:snapToGrid/>
          <w:szCs w:val="22"/>
          <w:lang w:val="lt-LT"/>
        </w:rPr>
        <w:t xml:space="preserve">9%) natrio chlorido tirpalu arba </w:t>
      </w:r>
      <w:r>
        <w:rPr>
          <w:snapToGrid/>
          <w:szCs w:val="22"/>
          <w:lang w:val="lt-LT"/>
        </w:rPr>
        <w:t>5% m/V</w:t>
      </w:r>
      <w:r w:rsidRPr="007777D9">
        <w:rPr>
          <w:snapToGrid/>
          <w:szCs w:val="22"/>
          <w:lang w:val="lt-LT"/>
        </w:rPr>
        <w:t xml:space="preserve"> gliukozės tirpalu.</w:t>
      </w:r>
      <w:r w:rsidRPr="007777D9" w:rsidDel="003235F0">
        <w:rPr>
          <w:snapToGrid/>
          <w:szCs w:val="22"/>
          <w:lang w:val="lt-LT"/>
        </w:rPr>
        <w:t xml:space="preserve"> </w:t>
      </w:r>
    </w:p>
    <w:p w14:paraId="6DE6D3EB" w14:textId="77777777" w:rsidR="004F7AA9" w:rsidRPr="007777D9" w:rsidRDefault="004F7AA9" w:rsidP="004F7AA9">
      <w:pPr>
        <w:widowControl w:val="0"/>
        <w:tabs>
          <w:tab w:val="clear" w:pos="567"/>
        </w:tabs>
        <w:spacing w:line="240" w:lineRule="auto"/>
        <w:rPr>
          <w:snapToGrid/>
          <w:szCs w:val="22"/>
          <w:lang w:val="lt-LT"/>
        </w:rPr>
      </w:pPr>
    </w:p>
    <w:p w14:paraId="4B5CE398"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Šio vaistinio preparato </w:t>
      </w:r>
      <w:r w:rsidRPr="00F10AD3">
        <w:rPr>
          <w:snapToGrid/>
          <w:szCs w:val="22"/>
          <w:lang w:val="lt-LT"/>
        </w:rPr>
        <w:t xml:space="preserve">negalima maišyti su tirpalais, kurių sudėtyje yra kalcio ar kitų dvivalenčių katijonų, pvz., Ringerio laktato tirpalu; Zoledronic </w:t>
      </w:r>
      <w:r>
        <w:rPr>
          <w:snapToGrid/>
          <w:szCs w:val="22"/>
          <w:lang w:val="lt-LT"/>
        </w:rPr>
        <w:t>acid</w:t>
      </w:r>
      <w:r w:rsidRPr="00F10AD3">
        <w:rPr>
          <w:snapToGrid/>
          <w:szCs w:val="22"/>
          <w:lang w:val="lt-LT"/>
        </w:rPr>
        <w:t xml:space="preserve"> </w:t>
      </w:r>
      <w:r>
        <w:rPr>
          <w:snapToGrid/>
          <w:szCs w:val="22"/>
          <w:lang w:val="lt-LT"/>
        </w:rPr>
        <w:t>Norameda</w:t>
      </w:r>
      <w:r w:rsidRPr="00F10AD3">
        <w:rPr>
          <w:snapToGrid/>
          <w:szCs w:val="22"/>
          <w:lang w:val="lt-LT"/>
        </w:rPr>
        <w:t xml:space="preserve"> reikia infuzuoti </w:t>
      </w:r>
      <w:r>
        <w:rPr>
          <w:snapToGrid/>
          <w:szCs w:val="22"/>
          <w:lang w:val="lt-LT"/>
        </w:rPr>
        <w:t xml:space="preserve">kaip atskirą infuzinį tirpalą </w:t>
      </w:r>
      <w:r w:rsidRPr="00F10AD3">
        <w:rPr>
          <w:snapToGrid/>
          <w:szCs w:val="22"/>
          <w:lang w:val="lt-LT"/>
        </w:rPr>
        <w:t>per atskirą infuzijų sistemą</w:t>
      </w:r>
      <w:r w:rsidRPr="007777D9">
        <w:rPr>
          <w:snapToGrid/>
          <w:szCs w:val="22"/>
          <w:lang w:val="lt-LT"/>
        </w:rPr>
        <w:t>.</w:t>
      </w:r>
    </w:p>
    <w:p w14:paraId="4594168F" w14:textId="77777777" w:rsidR="004F7AA9" w:rsidRPr="007777D9" w:rsidRDefault="004F7AA9" w:rsidP="004F7AA9">
      <w:pPr>
        <w:widowControl w:val="0"/>
        <w:tabs>
          <w:tab w:val="clear" w:pos="567"/>
        </w:tabs>
        <w:spacing w:line="240" w:lineRule="auto"/>
        <w:ind w:left="567" w:hanging="567"/>
        <w:rPr>
          <w:snapToGrid/>
          <w:szCs w:val="22"/>
          <w:lang w:val="lt-LT"/>
        </w:rPr>
      </w:pPr>
    </w:p>
    <w:p w14:paraId="5D324BB5"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6.3</w:t>
      </w:r>
      <w:r w:rsidRPr="007777D9">
        <w:rPr>
          <w:b/>
          <w:bCs/>
          <w:snapToGrid/>
          <w:szCs w:val="22"/>
          <w:lang w:val="lt-LT"/>
        </w:rPr>
        <w:tab/>
        <w:t>Tinkamumo laikas</w:t>
      </w:r>
    </w:p>
    <w:p w14:paraId="6D8F3DD6" w14:textId="77777777" w:rsidR="004F7AA9" w:rsidRPr="007777D9" w:rsidRDefault="004F7AA9" w:rsidP="004F7AA9">
      <w:pPr>
        <w:widowControl w:val="0"/>
        <w:tabs>
          <w:tab w:val="clear" w:pos="567"/>
        </w:tabs>
        <w:spacing w:line="240" w:lineRule="auto"/>
        <w:rPr>
          <w:snapToGrid/>
          <w:szCs w:val="22"/>
          <w:lang w:val="lt-LT"/>
        </w:rPr>
      </w:pPr>
    </w:p>
    <w:p w14:paraId="2B4427D7" w14:textId="77777777" w:rsidR="004F7AA9" w:rsidRPr="007777D9" w:rsidRDefault="004F7AA9" w:rsidP="004F7AA9">
      <w:pPr>
        <w:widowControl w:val="0"/>
        <w:tabs>
          <w:tab w:val="clear" w:pos="567"/>
        </w:tabs>
        <w:spacing w:line="240" w:lineRule="auto"/>
        <w:rPr>
          <w:snapToGrid/>
          <w:szCs w:val="22"/>
          <w:lang w:val="lt-LT"/>
        </w:rPr>
      </w:pPr>
      <w:r>
        <w:rPr>
          <w:snapToGrid/>
          <w:szCs w:val="22"/>
          <w:lang w:val="lt-LT"/>
        </w:rPr>
        <w:t>3</w:t>
      </w:r>
      <w:r w:rsidRPr="007777D9">
        <w:rPr>
          <w:snapToGrid/>
          <w:szCs w:val="22"/>
          <w:lang w:val="lt-LT"/>
        </w:rPr>
        <w:t> metai.</w:t>
      </w:r>
    </w:p>
    <w:p w14:paraId="70B92890" w14:textId="77777777" w:rsidR="004F7AA9" w:rsidRPr="007777D9" w:rsidRDefault="004F7AA9" w:rsidP="004F7AA9">
      <w:pPr>
        <w:widowControl w:val="0"/>
        <w:tabs>
          <w:tab w:val="clear" w:pos="567"/>
        </w:tabs>
        <w:spacing w:line="240" w:lineRule="auto"/>
        <w:rPr>
          <w:snapToGrid/>
          <w:szCs w:val="22"/>
          <w:lang w:val="lt-LT"/>
        </w:rPr>
      </w:pPr>
    </w:p>
    <w:p w14:paraId="0A5604C4"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 xml:space="preserve">Po praskiedimo: </w:t>
      </w:r>
      <w:r>
        <w:rPr>
          <w:snapToGrid/>
          <w:szCs w:val="22"/>
          <w:lang w:val="lt-LT"/>
        </w:rPr>
        <w:t xml:space="preserve">įrodyta, kad cheminiu ir fizikiniu požiūriu </w:t>
      </w:r>
      <w:r w:rsidRPr="007777D9">
        <w:rPr>
          <w:snapToGrid/>
          <w:szCs w:val="22"/>
          <w:lang w:val="lt-LT"/>
        </w:rPr>
        <w:t xml:space="preserve">2 °C–8 °C </w:t>
      </w:r>
      <w:r>
        <w:rPr>
          <w:snapToGrid/>
          <w:szCs w:val="22"/>
          <w:lang w:val="lt-LT"/>
        </w:rPr>
        <w:t>temperatūroje laikomas tirpalas išlieka stabilus 24 valandas. M</w:t>
      </w:r>
      <w:r w:rsidRPr="007777D9">
        <w:rPr>
          <w:snapToGrid/>
          <w:szCs w:val="22"/>
          <w:lang w:val="lt-LT"/>
        </w:rPr>
        <w:t>ikrobiologiniu požiūriu tirpalą reikia vartoti nedelsiant</w:t>
      </w:r>
      <w:r>
        <w:rPr>
          <w:snapToGrid/>
          <w:szCs w:val="22"/>
          <w:lang w:val="lt-LT"/>
        </w:rPr>
        <w:t>, nebent skiesta buvo taip, kad mikrobinis užteršimas nėra įmanomas</w:t>
      </w:r>
      <w:r w:rsidRPr="007777D9">
        <w:rPr>
          <w:snapToGrid/>
          <w:szCs w:val="22"/>
          <w:lang w:val="lt-LT"/>
        </w:rPr>
        <w:t xml:space="preserve">. Jeigu </w:t>
      </w:r>
      <w:r>
        <w:rPr>
          <w:snapToGrid/>
          <w:szCs w:val="22"/>
          <w:lang w:val="lt-LT"/>
        </w:rPr>
        <w:t>tirpalas</w:t>
      </w:r>
      <w:r w:rsidRPr="007777D9">
        <w:rPr>
          <w:snapToGrid/>
          <w:szCs w:val="22"/>
          <w:lang w:val="lt-LT"/>
        </w:rPr>
        <w:t xml:space="preserve"> iš karto nevartojamas, už laikymo sąlygas ir trukmę prieš vartojimą atsako vartotojas.</w:t>
      </w:r>
    </w:p>
    <w:p w14:paraId="21018EC6"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Prieš vartojimą šaldytuve laikytam tirpalui reikia leisti sušilti iki kambario temperatūros.</w:t>
      </w:r>
    </w:p>
    <w:p w14:paraId="53CF04EA" w14:textId="77777777" w:rsidR="004F7AA9" w:rsidRPr="007777D9" w:rsidRDefault="004F7AA9" w:rsidP="004F7AA9">
      <w:pPr>
        <w:widowControl w:val="0"/>
        <w:tabs>
          <w:tab w:val="clear" w:pos="567"/>
        </w:tabs>
        <w:spacing w:line="240" w:lineRule="auto"/>
        <w:rPr>
          <w:snapToGrid/>
          <w:szCs w:val="22"/>
          <w:lang w:val="lt-LT"/>
        </w:rPr>
      </w:pPr>
    </w:p>
    <w:p w14:paraId="47FC6DAF"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6.4</w:t>
      </w:r>
      <w:r w:rsidRPr="007777D9">
        <w:rPr>
          <w:b/>
          <w:bCs/>
          <w:snapToGrid/>
          <w:szCs w:val="22"/>
          <w:lang w:val="lt-LT"/>
        </w:rPr>
        <w:tab/>
        <w:t>Specialios laikymo sąlygos</w:t>
      </w:r>
    </w:p>
    <w:p w14:paraId="3A08A2E6" w14:textId="77777777" w:rsidR="004F7AA9" w:rsidRPr="007777D9" w:rsidRDefault="004F7AA9" w:rsidP="004F7AA9">
      <w:pPr>
        <w:widowControl w:val="0"/>
        <w:tabs>
          <w:tab w:val="clear" w:pos="567"/>
        </w:tabs>
        <w:spacing w:line="240" w:lineRule="auto"/>
        <w:rPr>
          <w:snapToGrid/>
          <w:szCs w:val="22"/>
          <w:lang w:val="lt-LT"/>
        </w:rPr>
      </w:pPr>
    </w:p>
    <w:p w14:paraId="785E209A" w14:textId="3114FF8C" w:rsidR="004F7AA9" w:rsidRDefault="004F7AA9" w:rsidP="004F7AA9">
      <w:pPr>
        <w:widowControl w:val="0"/>
        <w:tabs>
          <w:tab w:val="clear" w:pos="567"/>
        </w:tabs>
        <w:spacing w:line="240" w:lineRule="auto"/>
        <w:rPr>
          <w:snapToGrid/>
          <w:szCs w:val="22"/>
          <w:lang w:val="lt-LT"/>
        </w:rPr>
      </w:pPr>
      <w:r>
        <w:rPr>
          <w:lang w:val="lt-LT"/>
        </w:rPr>
        <w:t xml:space="preserve">Laikyti ne aukštesnėje kaip </w:t>
      </w:r>
      <w:r w:rsidR="00790619" w:rsidRPr="00153901">
        <w:rPr>
          <w:lang w:val="lt-LT"/>
        </w:rPr>
        <w:t>25</w:t>
      </w:r>
      <w:r w:rsidR="00790619">
        <w:rPr>
          <w:lang w:val="lt-LT"/>
        </w:rPr>
        <w:t> </w:t>
      </w:r>
      <w:r w:rsidRPr="00153901">
        <w:rPr>
          <w:szCs w:val="22"/>
          <w:lang w:val="lt-LT"/>
        </w:rPr>
        <w:sym w:font="Symbol" w:char="F0B0"/>
      </w:r>
      <w:r w:rsidRPr="00153901">
        <w:rPr>
          <w:lang w:val="lt-LT"/>
        </w:rPr>
        <w:t>C temperatūroje</w:t>
      </w:r>
      <w:r>
        <w:rPr>
          <w:snapToGrid/>
          <w:szCs w:val="22"/>
          <w:lang w:val="lt-LT"/>
        </w:rPr>
        <w:t>.</w:t>
      </w:r>
    </w:p>
    <w:p w14:paraId="4E15A5FC" w14:textId="693603DB" w:rsidR="004F7AA9" w:rsidRPr="007777D9" w:rsidRDefault="004F7AA9" w:rsidP="004F7AA9">
      <w:pPr>
        <w:widowControl w:val="0"/>
        <w:tabs>
          <w:tab w:val="clear" w:pos="567"/>
        </w:tabs>
        <w:spacing w:line="240" w:lineRule="auto"/>
        <w:rPr>
          <w:snapToGrid/>
          <w:szCs w:val="22"/>
          <w:lang w:val="lt-LT"/>
        </w:rPr>
      </w:pPr>
      <w:r>
        <w:rPr>
          <w:snapToGrid/>
          <w:szCs w:val="22"/>
          <w:lang w:val="lt-LT"/>
        </w:rPr>
        <w:t>Laikyti gamintojo pakuotėje, kad</w:t>
      </w:r>
      <w:r w:rsidR="009A4A51">
        <w:rPr>
          <w:snapToGrid/>
          <w:szCs w:val="22"/>
          <w:lang w:val="lt-LT"/>
        </w:rPr>
        <w:t xml:space="preserve"> vaistinis</w:t>
      </w:r>
      <w:r>
        <w:rPr>
          <w:snapToGrid/>
          <w:szCs w:val="22"/>
          <w:lang w:val="lt-LT"/>
        </w:rPr>
        <w:t xml:space="preserve"> preparatas būtų apsaugotas nuo šviesos.</w:t>
      </w:r>
    </w:p>
    <w:p w14:paraId="2F8DA012"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Praskiesto vaistinio preparato laikymo sąlygos pateikiamos 6.3 skyriuje.</w:t>
      </w:r>
    </w:p>
    <w:p w14:paraId="67429F1D" w14:textId="77777777" w:rsidR="004F7AA9" w:rsidRPr="007777D9" w:rsidRDefault="004F7AA9" w:rsidP="004F7AA9">
      <w:pPr>
        <w:widowControl w:val="0"/>
        <w:tabs>
          <w:tab w:val="clear" w:pos="567"/>
        </w:tabs>
        <w:spacing w:line="240" w:lineRule="auto"/>
        <w:rPr>
          <w:snapToGrid/>
          <w:szCs w:val="22"/>
          <w:lang w:val="lt-LT"/>
        </w:rPr>
      </w:pPr>
    </w:p>
    <w:p w14:paraId="01DF0DCE"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6.5</w:t>
      </w:r>
      <w:r w:rsidRPr="007777D9">
        <w:rPr>
          <w:b/>
          <w:bCs/>
          <w:snapToGrid/>
          <w:szCs w:val="22"/>
          <w:lang w:val="lt-LT"/>
        </w:rPr>
        <w:tab/>
        <w:t>Talpyklės pobūdis ir jos turinys</w:t>
      </w:r>
    </w:p>
    <w:p w14:paraId="65214B62" w14:textId="77777777" w:rsidR="004F7AA9" w:rsidRPr="007777D9" w:rsidRDefault="004F7AA9" w:rsidP="004F7AA9">
      <w:pPr>
        <w:widowControl w:val="0"/>
        <w:tabs>
          <w:tab w:val="clear" w:pos="567"/>
        </w:tabs>
        <w:spacing w:line="240" w:lineRule="auto"/>
        <w:rPr>
          <w:snapToGrid/>
          <w:szCs w:val="22"/>
          <w:lang w:val="lt-LT"/>
        </w:rPr>
      </w:pPr>
    </w:p>
    <w:p w14:paraId="4955ED9B" w14:textId="77777777" w:rsidR="004F7AA9" w:rsidRPr="007777D9" w:rsidRDefault="004F7AA9" w:rsidP="004F7AA9">
      <w:pPr>
        <w:widowControl w:val="0"/>
        <w:tabs>
          <w:tab w:val="clear" w:pos="567"/>
        </w:tabs>
        <w:spacing w:line="240" w:lineRule="auto"/>
        <w:rPr>
          <w:snapToGrid/>
          <w:szCs w:val="22"/>
          <w:lang w:val="lt-LT"/>
        </w:rPr>
      </w:pPr>
      <w:r>
        <w:rPr>
          <w:snapToGrid/>
          <w:szCs w:val="22"/>
          <w:lang w:val="lt-LT"/>
        </w:rPr>
        <w:t>5 </w:t>
      </w:r>
      <w:r w:rsidRPr="00F10AD3">
        <w:rPr>
          <w:snapToGrid/>
          <w:szCs w:val="22"/>
          <w:lang w:val="lt-LT"/>
        </w:rPr>
        <w:t xml:space="preserve">ml </w:t>
      </w:r>
      <w:r>
        <w:rPr>
          <w:snapToGrid/>
          <w:szCs w:val="22"/>
          <w:lang w:val="lt-LT"/>
        </w:rPr>
        <w:t xml:space="preserve">bespalvio cikloolefino kopolimero </w:t>
      </w:r>
      <w:r w:rsidRPr="00F10AD3">
        <w:rPr>
          <w:snapToGrid/>
          <w:szCs w:val="22"/>
          <w:lang w:val="lt-LT"/>
        </w:rPr>
        <w:t>plasti</w:t>
      </w:r>
      <w:r>
        <w:rPr>
          <w:snapToGrid/>
          <w:szCs w:val="22"/>
          <w:lang w:val="lt-LT"/>
        </w:rPr>
        <w:t>ko flakonas su</w:t>
      </w:r>
      <w:r w:rsidRPr="00F10AD3">
        <w:rPr>
          <w:snapToGrid/>
          <w:szCs w:val="22"/>
          <w:lang w:val="lt-LT"/>
        </w:rPr>
        <w:t xml:space="preserve"> fluoropol</w:t>
      </w:r>
      <w:r>
        <w:rPr>
          <w:snapToGrid/>
          <w:szCs w:val="22"/>
          <w:lang w:val="lt-LT"/>
        </w:rPr>
        <w:t xml:space="preserve">imeru dengtu pilku bromobutilo </w:t>
      </w:r>
      <w:r>
        <w:rPr>
          <w:snapToGrid/>
          <w:szCs w:val="22"/>
          <w:lang w:val="lt-LT"/>
        </w:rPr>
        <w:lastRenderedPageBreak/>
        <w:t xml:space="preserve">gumos kamščiu ir </w:t>
      </w:r>
      <w:r w:rsidRPr="007777D9">
        <w:rPr>
          <w:snapToGrid/>
          <w:szCs w:val="22"/>
          <w:lang w:val="lt-LT"/>
        </w:rPr>
        <w:t>nuplėšiamu aliumini</w:t>
      </w:r>
      <w:r>
        <w:rPr>
          <w:snapToGrid/>
          <w:szCs w:val="22"/>
          <w:lang w:val="lt-LT"/>
        </w:rPr>
        <w:t>niu</w:t>
      </w:r>
      <w:r w:rsidRPr="007777D9">
        <w:rPr>
          <w:snapToGrid/>
          <w:szCs w:val="22"/>
          <w:lang w:val="lt-LT"/>
        </w:rPr>
        <w:t xml:space="preserve"> gaubteliu su </w:t>
      </w:r>
      <w:r>
        <w:rPr>
          <w:snapToGrid/>
          <w:szCs w:val="22"/>
          <w:lang w:val="lt-LT"/>
        </w:rPr>
        <w:t xml:space="preserve">plastikiniu </w:t>
      </w:r>
      <w:r w:rsidRPr="007777D9">
        <w:rPr>
          <w:snapToGrid/>
          <w:szCs w:val="22"/>
          <w:lang w:val="lt-LT"/>
        </w:rPr>
        <w:t>dangteliu.</w:t>
      </w:r>
    </w:p>
    <w:p w14:paraId="00893F96" w14:textId="77777777" w:rsidR="004F7AA9" w:rsidRPr="007777D9" w:rsidRDefault="004F7AA9" w:rsidP="004F7AA9">
      <w:pPr>
        <w:widowControl w:val="0"/>
        <w:tabs>
          <w:tab w:val="clear" w:pos="567"/>
        </w:tabs>
        <w:spacing w:line="240" w:lineRule="auto"/>
        <w:rPr>
          <w:snapToGrid/>
          <w:szCs w:val="22"/>
          <w:lang w:val="lt-LT"/>
        </w:rPr>
      </w:pPr>
    </w:p>
    <w:p w14:paraId="2C58FCAA"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w:t>
      </w:r>
      <w:r>
        <w:rPr>
          <w:snapToGrid/>
          <w:szCs w:val="22"/>
          <w:lang w:val="lt-LT"/>
        </w:rPr>
        <w:t>pakuotėje yra 1 flakonas</w:t>
      </w:r>
      <w:r w:rsidRPr="007777D9">
        <w:rPr>
          <w:snapToGrid/>
          <w:szCs w:val="22"/>
          <w:lang w:val="lt-LT"/>
        </w:rPr>
        <w:t>.</w:t>
      </w:r>
    </w:p>
    <w:p w14:paraId="6CE1CED0" w14:textId="77777777" w:rsidR="004F7AA9" w:rsidRPr="006B040E" w:rsidRDefault="004F7AA9" w:rsidP="004F7AA9">
      <w:pPr>
        <w:widowControl w:val="0"/>
        <w:tabs>
          <w:tab w:val="clear" w:pos="567"/>
        </w:tabs>
        <w:spacing w:line="240" w:lineRule="auto"/>
        <w:rPr>
          <w:bCs/>
          <w:snapToGrid/>
          <w:szCs w:val="22"/>
          <w:lang w:val="lt-LT"/>
        </w:rPr>
      </w:pPr>
    </w:p>
    <w:p w14:paraId="2DC7EABA"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6.6</w:t>
      </w:r>
      <w:r w:rsidRPr="007777D9">
        <w:rPr>
          <w:b/>
          <w:bCs/>
          <w:snapToGrid/>
          <w:szCs w:val="22"/>
          <w:lang w:val="lt-LT"/>
        </w:rPr>
        <w:tab/>
        <w:t>Specialūs reikalavimai atliekoms tvarkyti ir vaistiniam preparatui ruošti</w:t>
      </w:r>
    </w:p>
    <w:p w14:paraId="6984A5AE" w14:textId="77777777" w:rsidR="004F7AA9" w:rsidRPr="007777D9" w:rsidRDefault="004F7AA9" w:rsidP="004F7AA9">
      <w:pPr>
        <w:widowControl w:val="0"/>
        <w:tabs>
          <w:tab w:val="clear" w:pos="567"/>
        </w:tabs>
        <w:spacing w:line="240" w:lineRule="auto"/>
        <w:rPr>
          <w:snapToGrid/>
          <w:szCs w:val="22"/>
          <w:lang w:val="lt-LT"/>
        </w:rPr>
      </w:pPr>
    </w:p>
    <w:p w14:paraId="20D4E253" w14:textId="0D9C7228" w:rsidR="004F7AA9" w:rsidRDefault="004F7AA9" w:rsidP="004F7AA9">
      <w:pPr>
        <w:widowControl w:val="0"/>
        <w:tabs>
          <w:tab w:val="clear" w:pos="567"/>
        </w:tabs>
        <w:spacing w:line="240" w:lineRule="auto"/>
        <w:rPr>
          <w:snapToGrid/>
          <w:szCs w:val="22"/>
          <w:lang w:val="lt-LT"/>
        </w:rPr>
      </w:pPr>
      <w:r w:rsidRPr="007777D9">
        <w:rPr>
          <w:snapToGrid/>
          <w:szCs w:val="22"/>
          <w:lang w:val="lt-LT"/>
        </w:rPr>
        <w:t xml:space="preserve">Prieš vartojimą 5 ml koncentrato iš vieno </w:t>
      </w:r>
      <w:r>
        <w:rPr>
          <w:snapToGrid/>
          <w:szCs w:val="22"/>
          <w:lang w:val="lt-LT"/>
        </w:rPr>
        <w:t>flakono</w:t>
      </w:r>
      <w:r w:rsidRPr="007777D9">
        <w:rPr>
          <w:snapToGrid/>
          <w:szCs w:val="22"/>
          <w:lang w:val="lt-LT"/>
        </w:rPr>
        <w:t xml:space="preserve"> arba reikiamą </w:t>
      </w:r>
      <w:r>
        <w:rPr>
          <w:snapToGrid/>
          <w:szCs w:val="22"/>
          <w:lang w:val="lt-LT"/>
        </w:rPr>
        <w:t xml:space="preserve">įtrauktą </w:t>
      </w:r>
      <w:r w:rsidRPr="007777D9">
        <w:rPr>
          <w:snapToGrid/>
          <w:szCs w:val="22"/>
          <w:lang w:val="lt-LT"/>
        </w:rPr>
        <w:t xml:space="preserve">koncentrato tūrį </w:t>
      </w:r>
      <w:r>
        <w:rPr>
          <w:snapToGrid/>
          <w:szCs w:val="22"/>
          <w:lang w:val="lt-LT"/>
        </w:rPr>
        <w:t xml:space="preserve">reikia </w:t>
      </w:r>
      <w:r w:rsidRPr="007777D9">
        <w:rPr>
          <w:snapToGrid/>
          <w:szCs w:val="22"/>
          <w:lang w:val="lt-LT"/>
        </w:rPr>
        <w:t>skiesti</w:t>
      </w:r>
      <w:r>
        <w:rPr>
          <w:snapToGrid/>
          <w:szCs w:val="22"/>
          <w:lang w:val="lt-LT"/>
        </w:rPr>
        <w:t xml:space="preserve"> </w:t>
      </w:r>
      <w:r w:rsidRPr="007777D9">
        <w:rPr>
          <w:snapToGrid/>
          <w:szCs w:val="22"/>
          <w:lang w:val="lt-LT"/>
        </w:rPr>
        <w:t>100 ml infuzinio tirpalo</w:t>
      </w:r>
      <w:r>
        <w:rPr>
          <w:snapToGrid/>
          <w:szCs w:val="22"/>
          <w:lang w:val="lt-LT"/>
        </w:rPr>
        <w:t>, kuriame nėra</w:t>
      </w:r>
      <w:r w:rsidRPr="007777D9">
        <w:rPr>
          <w:snapToGrid/>
          <w:szCs w:val="22"/>
          <w:lang w:val="lt-LT"/>
        </w:rPr>
        <w:t xml:space="preserve"> kalcio (</w:t>
      </w:r>
      <w:r w:rsidR="00790619" w:rsidRPr="007777D9">
        <w:rPr>
          <w:snapToGrid/>
          <w:szCs w:val="22"/>
          <w:lang w:val="lt-LT"/>
        </w:rPr>
        <w:t>9</w:t>
      </w:r>
      <w:r w:rsidR="00790619">
        <w:rPr>
          <w:snapToGrid/>
          <w:szCs w:val="22"/>
          <w:lang w:val="lt-LT"/>
        </w:rPr>
        <w:t> </w:t>
      </w:r>
      <w:r w:rsidRPr="007777D9">
        <w:rPr>
          <w:snapToGrid/>
          <w:szCs w:val="22"/>
          <w:lang w:val="lt-LT"/>
        </w:rPr>
        <w:t>mg/ml (0</w:t>
      </w:r>
      <w:r>
        <w:rPr>
          <w:snapToGrid/>
          <w:szCs w:val="22"/>
          <w:lang w:val="lt-LT"/>
        </w:rPr>
        <w:t>,</w:t>
      </w:r>
      <w:r w:rsidRPr="007777D9">
        <w:rPr>
          <w:snapToGrid/>
          <w:szCs w:val="22"/>
          <w:lang w:val="lt-LT"/>
        </w:rPr>
        <w:t>9%) natrio chlorido tirpalo arba 5% m/</w:t>
      </w:r>
      <w:r>
        <w:rPr>
          <w:snapToGrid/>
          <w:szCs w:val="22"/>
          <w:lang w:val="lt-LT"/>
        </w:rPr>
        <w:t xml:space="preserve">V </w:t>
      </w:r>
      <w:r w:rsidRPr="007777D9">
        <w:rPr>
          <w:snapToGrid/>
          <w:szCs w:val="22"/>
          <w:lang w:val="lt-LT"/>
        </w:rPr>
        <w:t>gliukozės tirpalo).</w:t>
      </w:r>
    </w:p>
    <w:p w14:paraId="21FB4306" w14:textId="77777777" w:rsidR="004F7AA9" w:rsidRPr="007777D9" w:rsidRDefault="004F7AA9" w:rsidP="004F7AA9">
      <w:pPr>
        <w:widowControl w:val="0"/>
        <w:tabs>
          <w:tab w:val="clear" w:pos="567"/>
        </w:tabs>
        <w:spacing w:line="240" w:lineRule="auto"/>
        <w:rPr>
          <w:snapToGrid/>
          <w:szCs w:val="22"/>
          <w:lang w:val="lt-LT"/>
        </w:rPr>
      </w:pPr>
    </w:p>
    <w:p w14:paraId="3F4711D9"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Papildom</w:t>
      </w:r>
      <w:r>
        <w:rPr>
          <w:snapToGrid/>
          <w:szCs w:val="22"/>
          <w:lang w:val="lt-LT"/>
        </w:rPr>
        <w:t>os</w:t>
      </w:r>
      <w:r w:rsidRPr="007777D9">
        <w:rPr>
          <w:snapToGrid/>
          <w:szCs w:val="22"/>
          <w:lang w:val="lt-LT"/>
        </w:rPr>
        <w:t xml:space="preserve"> informa</w:t>
      </w:r>
      <w:r>
        <w:rPr>
          <w:snapToGrid/>
          <w:szCs w:val="22"/>
          <w:lang w:val="lt-LT"/>
        </w:rPr>
        <w:t>cijos</w:t>
      </w:r>
      <w:r w:rsidRPr="007777D9">
        <w:rPr>
          <w:snapToGrid/>
          <w:szCs w:val="22"/>
          <w:lang w:val="lt-LT"/>
        </w:rPr>
        <w:t xml:space="preserve"> apie</w:t>
      </w:r>
      <w:r>
        <w:rPr>
          <w:snapToGrid/>
          <w:szCs w:val="22"/>
          <w:lang w:val="lt-LT"/>
        </w:rPr>
        <w:t xml:space="preserve"> </w:t>
      </w: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 ruošimą</w:t>
      </w:r>
      <w:r w:rsidRPr="007777D9">
        <w:rPr>
          <w:snapToGrid/>
          <w:szCs w:val="22"/>
          <w:lang w:val="lt-LT"/>
        </w:rPr>
        <w:t>, įskaitant mažesnės dozės ruošimo rekomendacijas, pateikiama 4.2 skyriuje.</w:t>
      </w:r>
    </w:p>
    <w:p w14:paraId="2484956A" w14:textId="77777777" w:rsidR="004F7AA9" w:rsidRPr="007777D9" w:rsidRDefault="004F7AA9" w:rsidP="004F7AA9">
      <w:pPr>
        <w:widowControl w:val="0"/>
        <w:tabs>
          <w:tab w:val="clear" w:pos="567"/>
        </w:tabs>
        <w:spacing w:line="240" w:lineRule="auto"/>
        <w:rPr>
          <w:snapToGrid/>
          <w:szCs w:val="22"/>
          <w:lang w:val="lt-LT"/>
        </w:rPr>
      </w:pPr>
    </w:p>
    <w:p w14:paraId="0D64C659"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Ruošiantis infuzijai reikia laikytis aseptikos reikalavimų. Tik vienkartiniam vartojimui.</w:t>
      </w:r>
    </w:p>
    <w:p w14:paraId="6E19F8B4" w14:textId="77777777" w:rsidR="004F7AA9" w:rsidRPr="007777D9" w:rsidRDefault="004F7AA9" w:rsidP="004F7AA9">
      <w:pPr>
        <w:widowControl w:val="0"/>
        <w:tabs>
          <w:tab w:val="clear" w:pos="567"/>
        </w:tabs>
        <w:spacing w:line="240" w:lineRule="auto"/>
        <w:rPr>
          <w:snapToGrid/>
          <w:szCs w:val="22"/>
          <w:lang w:val="lt-LT"/>
        </w:rPr>
      </w:pPr>
    </w:p>
    <w:p w14:paraId="75671051"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 xml:space="preserve">Galima vartoti tik skaidrų tirpalą, kuriame nėra dalelių ir </w:t>
      </w:r>
      <w:r>
        <w:rPr>
          <w:snapToGrid/>
          <w:szCs w:val="22"/>
          <w:lang w:val="lt-LT"/>
        </w:rPr>
        <w:t>kurio spalva nepakitusi</w:t>
      </w:r>
      <w:r w:rsidRPr="007777D9">
        <w:rPr>
          <w:snapToGrid/>
          <w:szCs w:val="22"/>
          <w:lang w:val="lt-LT"/>
        </w:rPr>
        <w:t>.</w:t>
      </w:r>
    </w:p>
    <w:p w14:paraId="0DE9E83E" w14:textId="77777777" w:rsidR="004F7AA9" w:rsidRPr="007777D9" w:rsidRDefault="004F7AA9" w:rsidP="004F7AA9">
      <w:pPr>
        <w:widowControl w:val="0"/>
        <w:tabs>
          <w:tab w:val="clear" w:pos="567"/>
        </w:tabs>
        <w:spacing w:line="240" w:lineRule="auto"/>
        <w:rPr>
          <w:snapToGrid/>
          <w:szCs w:val="22"/>
          <w:lang w:val="lt-LT"/>
        </w:rPr>
      </w:pPr>
    </w:p>
    <w:p w14:paraId="617F4CE4"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 xml:space="preserve">Sveikatos priežiūros specialistams rekomenduojama neišpilti </w:t>
      </w:r>
      <w:r>
        <w:rPr>
          <w:snapToGrid/>
          <w:szCs w:val="22"/>
          <w:lang w:val="lt-LT"/>
        </w:rPr>
        <w:t>nesuvartoto</w:t>
      </w:r>
      <w:r w:rsidRPr="006626B6">
        <w:rPr>
          <w:snapToGrid/>
          <w:szCs w:val="22"/>
          <w:lang w:val="lt-LT"/>
        </w:rPr>
        <w:t xml:space="preserve"> </w:t>
      </w: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tirpalo į buitinę kanalizaciją.</w:t>
      </w:r>
    </w:p>
    <w:p w14:paraId="6BB5B3C6" w14:textId="77777777" w:rsidR="004F7AA9" w:rsidRPr="007777D9" w:rsidRDefault="004F7AA9" w:rsidP="004F7AA9">
      <w:pPr>
        <w:widowControl w:val="0"/>
        <w:tabs>
          <w:tab w:val="clear" w:pos="567"/>
        </w:tabs>
        <w:spacing w:line="240" w:lineRule="auto"/>
        <w:rPr>
          <w:snapToGrid/>
          <w:szCs w:val="22"/>
          <w:lang w:val="lt-LT"/>
        </w:rPr>
      </w:pPr>
    </w:p>
    <w:p w14:paraId="34BE90D1"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Nesuvartotą vaistinį preparatą ar atliekas reikia tvarkyti laikantis vietinių reikalavimų.</w:t>
      </w:r>
    </w:p>
    <w:p w14:paraId="0DC66C55" w14:textId="77777777" w:rsidR="004F7AA9" w:rsidRPr="007777D9" w:rsidRDefault="004F7AA9" w:rsidP="004F7AA9">
      <w:pPr>
        <w:widowControl w:val="0"/>
        <w:tabs>
          <w:tab w:val="clear" w:pos="567"/>
        </w:tabs>
        <w:spacing w:line="240" w:lineRule="auto"/>
        <w:rPr>
          <w:snapToGrid/>
          <w:szCs w:val="22"/>
          <w:lang w:val="lt-LT"/>
        </w:rPr>
      </w:pPr>
    </w:p>
    <w:p w14:paraId="1036BA85" w14:textId="77777777" w:rsidR="004F7AA9" w:rsidRPr="007777D9" w:rsidRDefault="004F7AA9" w:rsidP="004F7AA9">
      <w:pPr>
        <w:widowControl w:val="0"/>
        <w:tabs>
          <w:tab w:val="clear" w:pos="567"/>
        </w:tabs>
        <w:spacing w:line="240" w:lineRule="auto"/>
        <w:rPr>
          <w:snapToGrid/>
          <w:szCs w:val="22"/>
          <w:lang w:val="lt-LT"/>
        </w:rPr>
      </w:pPr>
    </w:p>
    <w:p w14:paraId="1E9E384A"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7.</w:t>
      </w:r>
      <w:r w:rsidRPr="007777D9">
        <w:rPr>
          <w:b/>
          <w:bCs/>
          <w:snapToGrid/>
          <w:szCs w:val="22"/>
          <w:lang w:val="lt-LT"/>
        </w:rPr>
        <w:tab/>
        <w:t>REGISTRUOTOJAS</w:t>
      </w:r>
    </w:p>
    <w:p w14:paraId="36E23CA9" w14:textId="77777777" w:rsidR="004F7AA9" w:rsidRPr="007777D9" w:rsidRDefault="004F7AA9" w:rsidP="004F7AA9">
      <w:pPr>
        <w:tabs>
          <w:tab w:val="clear" w:pos="567"/>
        </w:tabs>
        <w:spacing w:line="240" w:lineRule="auto"/>
        <w:rPr>
          <w:rFonts w:eastAsia="SimSun"/>
          <w:szCs w:val="22"/>
          <w:lang w:val="lt-LT" w:eastAsia="zh-CN"/>
        </w:rPr>
      </w:pPr>
    </w:p>
    <w:p w14:paraId="203DE7B4" w14:textId="77777777" w:rsidR="004F7AA9" w:rsidRPr="005D71D6" w:rsidRDefault="004F7AA9" w:rsidP="004F7AA9">
      <w:pPr>
        <w:tabs>
          <w:tab w:val="clear" w:pos="567"/>
        </w:tabs>
        <w:spacing w:line="240" w:lineRule="auto"/>
        <w:rPr>
          <w:rFonts w:eastAsia="SimSun"/>
          <w:szCs w:val="22"/>
          <w:lang w:val="lt-LT" w:eastAsia="zh-CN"/>
        </w:rPr>
      </w:pPr>
      <w:r w:rsidRPr="005D71D6">
        <w:rPr>
          <w:rFonts w:eastAsia="SimSun"/>
          <w:szCs w:val="22"/>
          <w:lang w:val="lt-LT" w:eastAsia="zh-CN"/>
        </w:rPr>
        <w:t>UAB Norameda</w:t>
      </w:r>
    </w:p>
    <w:p w14:paraId="01EEA2BC" w14:textId="77777777" w:rsidR="004F7AA9" w:rsidRPr="005D71D6" w:rsidRDefault="004F7AA9" w:rsidP="004F7AA9">
      <w:pPr>
        <w:tabs>
          <w:tab w:val="clear" w:pos="567"/>
        </w:tabs>
        <w:spacing w:line="240" w:lineRule="auto"/>
        <w:rPr>
          <w:rFonts w:eastAsia="SimSun"/>
          <w:szCs w:val="22"/>
          <w:lang w:val="lt-LT" w:eastAsia="zh-CN"/>
        </w:rPr>
      </w:pPr>
      <w:r w:rsidRPr="005D71D6">
        <w:rPr>
          <w:rFonts w:eastAsia="SimSun"/>
          <w:szCs w:val="22"/>
          <w:lang w:val="lt-LT" w:eastAsia="zh-CN"/>
        </w:rPr>
        <w:t>Meistrų 8A, Vilnius LT-02189</w:t>
      </w:r>
    </w:p>
    <w:p w14:paraId="3AE5BE92" w14:textId="77777777" w:rsidR="004F7AA9" w:rsidRDefault="004F7AA9" w:rsidP="004F7AA9">
      <w:pPr>
        <w:tabs>
          <w:tab w:val="clear" w:pos="567"/>
        </w:tabs>
        <w:spacing w:line="240" w:lineRule="auto"/>
        <w:rPr>
          <w:rFonts w:eastAsia="SimSun"/>
          <w:szCs w:val="22"/>
          <w:lang w:val="lt-LT" w:eastAsia="zh-CN"/>
        </w:rPr>
      </w:pPr>
      <w:r w:rsidRPr="005D71D6">
        <w:rPr>
          <w:rFonts w:eastAsia="SimSun"/>
          <w:szCs w:val="22"/>
          <w:lang w:val="lt-LT" w:eastAsia="zh-CN"/>
        </w:rPr>
        <w:t>Lietuva</w:t>
      </w:r>
    </w:p>
    <w:p w14:paraId="1ACCAA54" w14:textId="77777777" w:rsidR="004F7AA9" w:rsidRPr="007777D9" w:rsidRDefault="004F7AA9" w:rsidP="004F7AA9">
      <w:pPr>
        <w:tabs>
          <w:tab w:val="clear" w:pos="567"/>
        </w:tabs>
        <w:spacing w:line="240" w:lineRule="auto"/>
        <w:rPr>
          <w:rFonts w:eastAsia="SimSun"/>
          <w:szCs w:val="22"/>
          <w:lang w:val="lt-LT" w:eastAsia="zh-CN"/>
        </w:rPr>
      </w:pPr>
    </w:p>
    <w:p w14:paraId="38AF2757" w14:textId="77777777" w:rsidR="004F7AA9" w:rsidRPr="007777D9" w:rsidRDefault="004F7AA9" w:rsidP="004F7AA9">
      <w:pPr>
        <w:widowControl w:val="0"/>
        <w:tabs>
          <w:tab w:val="clear" w:pos="567"/>
        </w:tabs>
        <w:spacing w:line="240" w:lineRule="auto"/>
        <w:rPr>
          <w:snapToGrid/>
          <w:szCs w:val="22"/>
          <w:lang w:val="lt-LT"/>
        </w:rPr>
      </w:pPr>
    </w:p>
    <w:p w14:paraId="328511BE"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8.</w:t>
      </w:r>
      <w:r w:rsidRPr="007777D9">
        <w:rPr>
          <w:b/>
          <w:bCs/>
          <w:snapToGrid/>
          <w:szCs w:val="22"/>
          <w:lang w:val="lt-LT"/>
        </w:rPr>
        <w:tab/>
        <w:t>REGISTRACIJOS PAŽYMĖJIMO NUMERIS (-IAI)</w:t>
      </w:r>
    </w:p>
    <w:p w14:paraId="36067766" w14:textId="77777777" w:rsidR="004F7AA9" w:rsidRDefault="004F7AA9" w:rsidP="004F7AA9">
      <w:pPr>
        <w:widowControl w:val="0"/>
        <w:tabs>
          <w:tab w:val="clear" w:pos="567"/>
        </w:tabs>
        <w:spacing w:line="240" w:lineRule="auto"/>
        <w:rPr>
          <w:snapToGrid/>
          <w:szCs w:val="22"/>
          <w:lang w:val="lt-LT"/>
        </w:rPr>
      </w:pPr>
    </w:p>
    <w:p w14:paraId="311F4192" w14:textId="77777777" w:rsidR="004F7AA9" w:rsidRDefault="004F7AA9" w:rsidP="004F7AA9">
      <w:pPr>
        <w:widowControl w:val="0"/>
        <w:tabs>
          <w:tab w:val="clear" w:pos="567"/>
        </w:tabs>
        <w:spacing w:line="240" w:lineRule="auto"/>
        <w:rPr>
          <w:snapToGrid/>
          <w:szCs w:val="22"/>
          <w:lang w:val="lt-LT"/>
        </w:rPr>
      </w:pPr>
      <w:r>
        <w:rPr>
          <w:snapToGrid/>
          <w:szCs w:val="22"/>
          <w:lang w:val="lt-LT"/>
        </w:rPr>
        <w:t>LT/1/16/3997/001</w:t>
      </w:r>
    </w:p>
    <w:p w14:paraId="17235CC0" w14:textId="77777777" w:rsidR="004F7AA9" w:rsidRPr="007777D9" w:rsidRDefault="004F7AA9" w:rsidP="004F7AA9">
      <w:pPr>
        <w:widowControl w:val="0"/>
        <w:tabs>
          <w:tab w:val="clear" w:pos="567"/>
        </w:tabs>
        <w:spacing w:line="240" w:lineRule="auto"/>
        <w:rPr>
          <w:snapToGrid/>
          <w:szCs w:val="22"/>
          <w:lang w:val="lt-LT"/>
        </w:rPr>
      </w:pPr>
    </w:p>
    <w:p w14:paraId="42A9FC01" w14:textId="77777777" w:rsidR="004F7AA9" w:rsidRPr="007777D9" w:rsidRDefault="004F7AA9" w:rsidP="004F7AA9">
      <w:pPr>
        <w:widowControl w:val="0"/>
        <w:tabs>
          <w:tab w:val="clear" w:pos="567"/>
        </w:tabs>
        <w:spacing w:line="240" w:lineRule="auto"/>
        <w:rPr>
          <w:snapToGrid/>
          <w:szCs w:val="22"/>
          <w:lang w:val="lt-LT"/>
        </w:rPr>
      </w:pPr>
    </w:p>
    <w:p w14:paraId="0E358C6E"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9.</w:t>
      </w:r>
      <w:r w:rsidRPr="007777D9">
        <w:rPr>
          <w:b/>
          <w:bCs/>
          <w:snapToGrid/>
          <w:szCs w:val="22"/>
          <w:lang w:val="lt-LT"/>
        </w:rPr>
        <w:tab/>
        <w:t>REGISTRAVIMO / PERREGISTRAVIMO D</w:t>
      </w:r>
      <w:bookmarkStart w:id="0" w:name="_GoBack"/>
      <w:bookmarkEnd w:id="0"/>
      <w:r w:rsidRPr="007777D9">
        <w:rPr>
          <w:b/>
          <w:bCs/>
          <w:snapToGrid/>
          <w:szCs w:val="22"/>
          <w:lang w:val="lt-LT"/>
        </w:rPr>
        <w:t>ATA</w:t>
      </w:r>
    </w:p>
    <w:p w14:paraId="3759182D" w14:textId="77777777" w:rsidR="004F7AA9" w:rsidRPr="007777D9" w:rsidRDefault="004F7AA9" w:rsidP="004F7AA9">
      <w:pPr>
        <w:widowControl w:val="0"/>
        <w:tabs>
          <w:tab w:val="clear" w:pos="567"/>
        </w:tabs>
        <w:spacing w:line="240" w:lineRule="auto"/>
        <w:rPr>
          <w:snapToGrid/>
          <w:szCs w:val="22"/>
          <w:lang w:val="lt-LT"/>
        </w:rPr>
      </w:pPr>
    </w:p>
    <w:p w14:paraId="7001435F" w14:textId="0B58CD97" w:rsidR="004F7AA9" w:rsidRDefault="004F7AA9" w:rsidP="004F7AA9">
      <w:pPr>
        <w:widowControl w:val="0"/>
        <w:tabs>
          <w:tab w:val="clear" w:pos="567"/>
        </w:tabs>
        <w:spacing w:line="240" w:lineRule="auto"/>
        <w:rPr>
          <w:szCs w:val="22"/>
          <w:lang w:val="lt-LT" w:eastAsia="lt-LT" w:bidi="lt-LT"/>
        </w:rPr>
      </w:pPr>
      <w:r w:rsidRPr="007777D9">
        <w:rPr>
          <w:snapToGrid/>
          <w:szCs w:val="22"/>
          <w:lang w:val="lt-LT"/>
        </w:rPr>
        <w:t xml:space="preserve">Registravimo data </w:t>
      </w:r>
      <w:r>
        <w:rPr>
          <w:szCs w:val="22"/>
          <w:lang w:val="lt-LT" w:eastAsia="lt-LT" w:bidi="lt-LT"/>
        </w:rPr>
        <w:t>2016 m. lapkričio 10 d.</w:t>
      </w:r>
    </w:p>
    <w:p w14:paraId="68D3C1F1" w14:textId="3D517913" w:rsidR="00D049EF" w:rsidRPr="007777D9" w:rsidRDefault="00D049EF" w:rsidP="004F7AA9">
      <w:pPr>
        <w:widowControl w:val="0"/>
        <w:tabs>
          <w:tab w:val="clear" w:pos="567"/>
        </w:tabs>
        <w:spacing w:line="240" w:lineRule="auto"/>
        <w:rPr>
          <w:snapToGrid/>
          <w:szCs w:val="22"/>
          <w:lang w:val="lt-LT"/>
        </w:rPr>
      </w:pPr>
      <w:r>
        <w:rPr>
          <w:szCs w:val="22"/>
          <w:lang w:val="lt-LT" w:eastAsia="lt-LT" w:bidi="lt-LT"/>
        </w:rPr>
        <w:t>Paskutinio perregistravimo data</w:t>
      </w:r>
      <w:r w:rsidR="00790619">
        <w:rPr>
          <w:szCs w:val="22"/>
          <w:lang w:val="lt-LT" w:eastAsia="lt-LT" w:bidi="lt-LT"/>
        </w:rPr>
        <w:t xml:space="preserve"> </w:t>
      </w:r>
      <w:r w:rsidR="003E668D">
        <w:rPr>
          <w:noProof/>
          <w:szCs w:val="24"/>
          <w:lang w:val="lt-LT"/>
        </w:rPr>
        <w:t>2022 m. sausio 17 d.</w:t>
      </w:r>
    </w:p>
    <w:p w14:paraId="7B828939" w14:textId="77777777" w:rsidR="004F7AA9" w:rsidRPr="007777D9" w:rsidRDefault="004F7AA9" w:rsidP="004F7AA9">
      <w:pPr>
        <w:widowControl w:val="0"/>
        <w:tabs>
          <w:tab w:val="clear" w:pos="567"/>
        </w:tabs>
        <w:spacing w:line="240" w:lineRule="auto"/>
        <w:rPr>
          <w:snapToGrid/>
          <w:szCs w:val="22"/>
          <w:lang w:val="lt-LT"/>
        </w:rPr>
      </w:pPr>
    </w:p>
    <w:p w14:paraId="59D73755" w14:textId="77777777" w:rsidR="004F7AA9" w:rsidRPr="007777D9" w:rsidRDefault="004F7AA9" w:rsidP="004F7AA9">
      <w:pPr>
        <w:widowControl w:val="0"/>
        <w:tabs>
          <w:tab w:val="clear" w:pos="567"/>
        </w:tabs>
        <w:spacing w:line="240" w:lineRule="auto"/>
        <w:rPr>
          <w:snapToGrid/>
          <w:szCs w:val="22"/>
          <w:lang w:val="lt-LT"/>
        </w:rPr>
      </w:pPr>
    </w:p>
    <w:p w14:paraId="307299D0"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10.</w:t>
      </w:r>
      <w:r w:rsidRPr="007777D9">
        <w:rPr>
          <w:b/>
          <w:bCs/>
          <w:snapToGrid/>
          <w:szCs w:val="22"/>
          <w:lang w:val="lt-LT"/>
        </w:rPr>
        <w:tab/>
        <w:t>TEKSTO PERŽIŪROS DATA</w:t>
      </w:r>
    </w:p>
    <w:p w14:paraId="3783838D" w14:textId="77777777" w:rsidR="004F7AA9" w:rsidRDefault="004F7AA9" w:rsidP="004F7AA9">
      <w:pPr>
        <w:widowControl w:val="0"/>
        <w:tabs>
          <w:tab w:val="clear" w:pos="567"/>
        </w:tabs>
        <w:spacing w:line="240" w:lineRule="auto"/>
        <w:rPr>
          <w:snapToGrid/>
          <w:szCs w:val="22"/>
          <w:lang w:val="lt-LT"/>
        </w:rPr>
      </w:pPr>
    </w:p>
    <w:p w14:paraId="691BAA17" w14:textId="2E28D5AB" w:rsidR="004F7AA9" w:rsidRDefault="003E668D" w:rsidP="004F7AA9">
      <w:pPr>
        <w:widowControl w:val="0"/>
        <w:tabs>
          <w:tab w:val="clear" w:pos="567"/>
        </w:tabs>
        <w:spacing w:line="240" w:lineRule="auto"/>
        <w:rPr>
          <w:noProof/>
          <w:szCs w:val="24"/>
          <w:lang w:val="lt-LT"/>
        </w:rPr>
      </w:pPr>
      <w:r>
        <w:rPr>
          <w:noProof/>
          <w:szCs w:val="24"/>
          <w:lang w:val="lt-LT"/>
        </w:rPr>
        <w:t>2022 m. sausio 17 d.</w:t>
      </w:r>
    </w:p>
    <w:p w14:paraId="4422CFD5" w14:textId="77777777" w:rsidR="00EF2F9F" w:rsidRPr="007777D9" w:rsidRDefault="00EF2F9F" w:rsidP="004F7AA9">
      <w:pPr>
        <w:widowControl w:val="0"/>
        <w:tabs>
          <w:tab w:val="clear" w:pos="567"/>
        </w:tabs>
        <w:spacing w:line="240" w:lineRule="auto"/>
        <w:rPr>
          <w:snapToGrid/>
          <w:szCs w:val="22"/>
          <w:lang w:val="lt-LT"/>
        </w:rPr>
      </w:pPr>
    </w:p>
    <w:p w14:paraId="655929C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Išsami informacija apie šį vaistinį preparatą pateikiama Valstybinės vaistų kontrolės tarnybos prie Lietuvos Respublikos sveikatos apsaugos ministerijos tinklalapyje </w:t>
      </w:r>
      <w:r w:rsidRPr="007777D9">
        <w:rPr>
          <w:snapToGrid/>
          <w:color w:val="0000FF"/>
          <w:szCs w:val="22"/>
          <w:u w:val="single"/>
          <w:lang w:val="lt-LT"/>
        </w:rPr>
        <w:t>http://www.vvkt.lt</w:t>
      </w:r>
      <w:r w:rsidRPr="007777D9">
        <w:rPr>
          <w:snapToGrid/>
          <w:szCs w:val="22"/>
          <w:lang w:val="lt-LT"/>
        </w:rPr>
        <w:t xml:space="preserve">. </w:t>
      </w:r>
    </w:p>
    <w:p w14:paraId="28A4363F" w14:textId="77777777" w:rsidR="004F7AA9" w:rsidRPr="007777D9" w:rsidRDefault="004F7AA9" w:rsidP="004F7AA9">
      <w:pPr>
        <w:widowControl w:val="0"/>
        <w:tabs>
          <w:tab w:val="clear" w:pos="567"/>
        </w:tabs>
        <w:spacing w:line="240" w:lineRule="auto"/>
        <w:rPr>
          <w:snapToGrid/>
          <w:szCs w:val="22"/>
          <w:lang w:val="lt-LT"/>
        </w:rPr>
        <w:sectPr w:rsidR="004F7AA9" w:rsidRPr="007777D9" w:rsidSect="009A4A51">
          <w:pgSz w:w="11907" w:h="16840" w:code="9"/>
          <w:pgMar w:top="1440" w:right="1440" w:bottom="1440" w:left="1440" w:header="737" w:footer="737" w:gutter="0"/>
          <w:cols w:space="1296"/>
          <w:docGrid w:linePitch="299"/>
        </w:sectPr>
      </w:pPr>
    </w:p>
    <w:p w14:paraId="3EC1D3E5" w14:textId="77777777" w:rsidR="004F7AA9" w:rsidRPr="007777D9" w:rsidRDefault="004F7AA9" w:rsidP="004F7AA9">
      <w:pPr>
        <w:widowControl w:val="0"/>
        <w:tabs>
          <w:tab w:val="clear" w:pos="567"/>
        </w:tabs>
        <w:spacing w:line="240" w:lineRule="auto"/>
        <w:rPr>
          <w:snapToGrid/>
          <w:szCs w:val="22"/>
          <w:lang w:val="lt-LT"/>
        </w:rPr>
      </w:pPr>
    </w:p>
    <w:p w14:paraId="2CEADD32" w14:textId="77777777" w:rsidR="004F7AA9" w:rsidRPr="007777D9" w:rsidRDefault="004F7AA9" w:rsidP="004F7AA9">
      <w:pPr>
        <w:widowControl w:val="0"/>
        <w:tabs>
          <w:tab w:val="clear" w:pos="567"/>
        </w:tabs>
        <w:spacing w:line="240" w:lineRule="auto"/>
        <w:rPr>
          <w:snapToGrid/>
          <w:szCs w:val="22"/>
          <w:lang w:val="lt-LT"/>
        </w:rPr>
      </w:pPr>
    </w:p>
    <w:p w14:paraId="49349B4F" w14:textId="77777777" w:rsidR="004F7AA9" w:rsidRPr="007777D9" w:rsidRDefault="004F7AA9" w:rsidP="004F7AA9">
      <w:pPr>
        <w:widowControl w:val="0"/>
        <w:tabs>
          <w:tab w:val="clear" w:pos="567"/>
        </w:tabs>
        <w:spacing w:line="240" w:lineRule="auto"/>
        <w:rPr>
          <w:snapToGrid/>
          <w:szCs w:val="22"/>
          <w:lang w:val="lt-LT"/>
        </w:rPr>
      </w:pPr>
    </w:p>
    <w:p w14:paraId="0236FEDE" w14:textId="77777777" w:rsidR="004F7AA9" w:rsidRPr="007777D9" w:rsidRDefault="004F7AA9" w:rsidP="004F7AA9">
      <w:pPr>
        <w:widowControl w:val="0"/>
        <w:tabs>
          <w:tab w:val="clear" w:pos="567"/>
        </w:tabs>
        <w:spacing w:line="240" w:lineRule="auto"/>
        <w:rPr>
          <w:snapToGrid/>
          <w:szCs w:val="22"/>
          <w:lang w:val="lt-LT"/>
        </w:rPr>
      </w:pPr>
    </w:p>
    <w:p w14:paraId="12DC43F9" w14:textId="77777777" w:rsidR="004F7AA9" w:rsidRPr="007777D9" w:rsidRDefault="004F7AA9" w:rsidP="004F7AA9">
      <w:pPr>
        <w:widowControl w:val="0"/>
        <w:tabs>
          <w:tab w:val="clear" w:pos="567"/>
        </w:tabs>
        <w:spacing w:line="240" w:lineRule="auto"/>
        <w:rPr>
          <w:snapToGrid/>
          <w:szCs w:val="22"/>
          <w:lang w:val="lt-LT"/>
        </w:rPr>
      </w:pPr>
    </w:p>
    <w:p w14:paraId="27285937" w14:textId="77777777" w:rsidR="004F7AA9" w:rsidRPr="007777D9" w:rsidRDefault="004F7AA9" w:rsidP="004F7AA9">
      <w:pPr>
        <w:widowControl w:val="0"/>
        <w:tabs>
          <w:tab w:val="clear" w:pos="567"/>
        </w:tabs>
        <w:spacing w:line="240" w:lineRule="auto"/>
        <w:rPr>
          <w:snapToGrid/>
          <w:szCs w:val="22"/>
          <w:lang w:val="lt-LT"/>
        </w:rPr>
      </w:pPr>
    </w:p>
    <w:p w14:paraId="51F34E79" w14:textId="77777777" w:rsidR="004F7AA9" w:rsidRPr="007777D9" w:rsidRDefault="004F7AA9" w:rsidP="004F7AA9">
      <w:pPr>
        <w:widowControl w:val="0"/>
        <w:tabs>
          <w:tab w:val="clear" w:pos="567"/>
        </w:tabs>
        <w:spacing w:line="240" w:lineRule="auto"/>
        <w:rPr>
          <w:snapToGrid/>
          <w:szCs w:val="22"/>
          <w:lang w:val="lt-LT"/>
        </w:rPr>
      </w:pPr>
    </w:p>
    <w:p w14:paraId="7E165A56" w14:textId="77777777" w:rsidR="004F7AA9" w:rsidRPr="007777D9" w:rsidRDefault="004F7AA9" w:rsidP="004F7AA9">
      <w:pPr>
        <w:widowControl w:val="0"/>
        <w:tabs>
          <w:tab w:val="clear" w:pos="567"/>
        </w:tabs>
        <w:spacing w:line="240" w:lineRule="auto"/>
        <w:rPr>
          <w:snapToGrid/>
          <w:szCs w:val="22"/>
          <w:lang w:val="lt-LT"/>
        </w:rPr>
      </w:pPr>
    </w:p>
    <w:p w14:paraId="3A94820A" w14:textId="77777777" w:rsidR="004F7AA9" w:rsidRPr="007777D9" w:rsidRDefault="004F7AA9" w:rsidP="004F7AA9">
      <w:pPr>
        <w:widowControl w:val="0"/>
        <w:tabs>
          <w:tab w:val="clear" w:pos="567"/>
        </w:tabs>
        <w:spacing w:line="240" w:lineRule="auto"/>
        <w:rPr>
          <w:snapToGrid/>
          <w:szCs w:val="22"/>
          <w:lang w:val="lt-LT"/>
        </w:rPr>
      </w:pPr>
    </w:p>
    <w:p w14:paraId="6E4D8994" w14:textId="77777777" w:rsidR="004F7AA9" w:rsidRPr="007777D9" w:rsidRDefault="004F7AA9" w:rsidP="004F7AA9">
      <w:pPr>
        <w:widowControl w:val="0"/>
        <w:tabs>
          <w:tab w:val="clear" w:pos="567"/>
        </w:tabs>
        <w:spacing w:line="240" w:lineRule="auto"/>
        <w:rPr>
          <w:snapToGrid/>
          <w:szCs w:val="22"/>
          <w:lang w:val="lt-LT"/>
        </w:rPr>
      </w:pPr>
    </w:p>
    <w:p w14:paraId="2FA3EBB4" w14:textId="77777777" w:rsidR="004F7AA9" w:rsidRPr="007777D9" w:rsidRDefault="004F7AA9" w:rsidP="004F7AA9">
      <w:pPr>
        <w:widowControl w:val="0"/>
        <w:tabs>
          <w:tab w:val="clear" w:pos="567"/>
        </w:tabs>
        <w:spacing w:line="240" w:lineRule="auto"/>
        <w:rPr>
          <w:snapToGrid/>
          <w:szCs w:val="22"/>
          <w:lang w:val="lt-LT"/>
        </w:rPr>
      </w:pPr>
    </w:p>
    <w:p w14:paraId="3E961276" w14:textId="77777777" w:rsidR="004F7AA9" w:rsidRPr="007777D9" w:rsidRDefault="004F7AA9" w:rsidP="004F7AA9">
      <w:pPr>
        <w:widowControl w:val="0"/>
        <w:tabs>
          <w:tab w:val="clear" w:pos="567"/>
        </w:tabs>
        <w:spacing w:line="240" w:lineRule="auto"/>
        <w:rPr>
          <w:snapToGrid/>
          <w:szCs w:val="22"/>
          <w:lang w:val="lt-LT"/>
        </w:rPr>
      </w:pPr>
    </w:p>
    <w:p w14:paraId="1E4F09F1" w14:textId="77777777" w:rsidR="004F7AA9" w:rsidRPr="007777D9" w:rsidRDefault="004F7AA9" w:rsidP="004F7AA9">
      <w:pPr>
        <w:widowControl w:val="0"/>
        <w:tabs>
          <w:tab w:val="clear" w:pos="567"/>
        </w:tabs>
        <w:spacing w:line="240" w:lineRule="auto"/>
        <w:rPr>
          <w:snapToGrid/>
          <w:szCs w:val="22"/>
          <w:lang w:val="lt-LT"/>
        </w:rPr>
      </w:pPr>
    </w:p>
    <w:p w14:paraId="593D2A8E" w14:textId="77777777" w:rsidR="004F7AA9" w:rsidRPr="007777D9" w:rsidRDefault="004F7AA9" w:rsidP="004F7AA9">
      <w:pPr>
        <w:widowControl w:val="0"/>
        <w:tabs>
          <w:tab w:val="clear" w:pos="567"/>
        </w:tabs>
        <w:spacing w:line="240" w:lineRule="auto"/>
        <w:rPr>
          <w:snapToGrid/>
          <w:szCs w:val="22"/>
          <w:lang w:val="lt-LT"/>
        </w:rPr>
      </w:pPr>
    </w:p>
    <w:p w14:paraId="1A9678C8" w14:textId="77777777" w:rsidR="004F7AA9" w:rsidRPr="007777D9" w:rsidRDefault="004F7AA9" w:rsidP="004F7AA9">
      <w:pPr>
        <w:widowControl w:val="0"/>
        <w:tabs>
          <w:tab w:val="clear" w:pos="567"/>
        </w:tabs>
        <w:spacing w:line="240" w:lineRule="auto"/>
        <w:rPr>
          <w:snapToGrid/>
          <w:szCs w:val="22"/>
          <w:lang w:val="lt-LT"/>
        </w:rPr>
      </w:pPr>
    </w:p>
    <w:p w14:paraId="19A4596A" w14:textId="77777777" w:rsidR="004F7AA9" w:rsidRPr="007777D9" w:rsidRDefault="004F7AA9" w:rsidP="004F7AA9">
      <w:pPr>
        <w:widowControl w:val="0"/>
        <w:tabs>
          <w:tab w:val="clear" w:pos="567"/>
        </w:tabs>
        <w:spacing w:line="240" w:lineRule="auto"/>
        <w:rPr>
          <w:snapToGrid/>
          <w:szCs w:val="22"/>
          <w:lang w:val="lt-LT"/>
        </w:rPr>
      </w:pPr>
    </w:p>
    <w:p w14:paraId="5106F94B" w14:textId="77777777" w:rsidR="004F7AA9" w:rsidRPr="007777D9" w:rsidRDefault="004F7AA9" w:rsidP="004F7AA9">
      <w:pPr>
        <w:widowControl w:val="0"/>
        <w:tabs>
          <w:tab w:val="clear" w:pos="567"/>
        </w:tabs>
        <w:spacing w:line="240" w:lineRule="auto"/>
        <w:rPr>
          <w:snapToGrid/>
          <w:szCs w:val="22"/>
          <w:lang w:val="lt-LT"/>
        </w:rPr>
      </w:pPr>
    </w:p>
    <w:p w14:paraId="13969E85" w14:textId="77777777" w:rsidR="004F7AA9" w:rsidRPr="007777D9" w:rsidRDefault="004F7AA9" w:rsidP="004F7AA9">
      <w:pPr>
        <w:widowControl w:val="0"/>
        <w:tabs>
          <w:tab w:val="clear" w:pos="567"/>
        </w:tabs>
        <w:spacing w:line="240" w:lineRule="auto"/>
        <w:rPr>
          <w:snapToGrid/>
          <w:szCs w:val="22"/>
          <w:lang w:val="lt-LT"/>
        </w:rPr>
      </w:pPr>
    </w:p>
    <w:p w14:paraId="144C19DA" w14:textId="77777777" w:rsidR="004F7AA9" w:rsidRPr="007777D9" w:rsidRDefault="004F7AA9" w:rsidP="004F7AA9">
      <w:pPr>
        <w:widowControl w:val="0"/>
        <w:tabs>
          <w:tab w:val="clear" w:pos="567"/>
        </w:tabs>
        <w:spacing w:line="240" w:lineRule="auto"/>
        <w:rPr>
          <w:snapToGrid/>
          <w:szCs w:val="22"/>
          <w:lang w:val="lt-LT"/>
        </w:rPr>
      </w:pPr>
    </w:p>
    <w:p w14:paraId="46888940" w14:textId="77777777" w:rsidR="004F7AA9" w:rsidRPr="007777D9" w:rsidRDefault="004F7AA9" w:rsidP="004F7AA9">
      <w:pPr>
        <w:widowControl w:val="0"/>
        <w:tabs>
          <w:tab w:val="clear" w:pos="567"/>
        </w:tabs>
        <w:spacing w:line="240" w:lineRule="auto"/>
        <w:rPr>
          <w:snapToGrid/>
          <w:szCs w:val="22"/>
          <w:lang w:val="lt-LT"/>
        </w:rPr>
      </w:pPr>
    </w:p>
    <w:p w14:paraId="7F0639E8" w14:textId="77777777" w:rsidR="004F7AA9" w:rsidRPr="007777D9" w:rsidRDefault="004F7AA9" w:rsidP="004F7AA9">
      <w:pPr>
        <w:widowControl w:val="0"/>
        <w:tabs>
          <w:tab w:val="clear" w:pos="567"/>
        </w:tabs>
        <w:spacing w:line="240" w:lineRule="auto"/>
        <w:rPr>
          <w:snapToGrid/>
          <w:szCs w:val="22"/>
          <w:lang w:val="lt-LT"/>
        </w:rPr>
      </w:pPr>
    </w:p>
    <w:p w14:paraId="2CE87B6F" w14:textId="77777777" w:rsidR="004F7AA9" w:rsidRPr="007777D9" w:rsidRDefault="004F7AA9" w:rsidP="004F7AA9">
      <w:pPr>
        <w:widowControl w:val="0"/>
        <w:tabs>
          <w:tab w:val="clear" w:pos="567"/>
        </w:tabs>
        <w:spacing w:line="240" w:lineRule="auto"/>
        <w:rPr>
          <w:snapToGrid/>
          <w:szCs w:val="22"/>
          <w:lang w:val="lt-LT"/>
        </w:rPr>
      </w:pPr>
    </w:p>
    <w:p w14:paraId="6DD4186E" w14:textId="77777777" w:rsidR="004F7AA9" w:rsidRPr="007777D9" w:rsidRDefault="004F7AA9" w:rsidP="004F7AA9">
      <w:pPr>
        <w:widowControl w:val="0"/>
        <w:tabs>
          <w:tab w:val="clear" w:pos="567"/>
        </w:tabs>
        <w:spacing w:line="240" w:lineRule="auto"/>
        <w:rPr>
          <w:snapToGrid/>
          <w:szCs w:val="22"/>
          <w:lang w:val="lt-LT"/>
        </w:rPr>
      </w:pPr>
    </w:p>
    <w:p w14:paraId="7CBA1C42" w14:textId="77777777" w:rsidR="004F7AA9" w:rsidRPr="007777D9" w:rsidRDefault="004F7AA9" w:rsidP="004F7AA9">
      <w:pPr>
        <w:tabs>
          <w:tab w:val="clear" w:pos="567"/>
        </w:tabs>
        <w:spacing w:line="240" w:lineRule="auto"/>
        <w:jc w:val="center"/>
        <w:rPr>
          <w:b/>
          <w:snapToGrid/>
          <w:szCs w:val="22"/>
          <w:lang w:val="lt-LT"/>
        </w:rPr>
      </w:pPr>
      <w:r w:rsidRPr="007777D9">
        <w:rPr>
          <w:b/>
          <w:snapToGrid/>
          <w:szCs w:val="22"/>
          <w:lang w:val="lt-LT"/>
        </w:rPr>
        <w:t>II PRIEDAS</w:t>
      </w:r>
    </w:p>
    <w:p w14:paraId="0ADB0A30" w14:textId="77777777" w:rsidR="004F7AA9" w:rsidRPr="007777D9" w:rsidRDefault="004F7AA9" w:rsidP="004F7AA9">
      <w:pPr>
        <w:tabs>
          <w:tab w:val="clear" w:pos="567"/>
        </w:tabs>
        <w:spacing w:line="240" w:lineRule="auto"/>
        <w:rPr>
          <w:rFonts w:eastAsia="SimSun"/>
          <w:b/>
          <w:snapToGrid/>
          <w:szCs w:val="22"/>
          <w:lang w:val="lt-LT"/>
        </w:rPr>
      </w:pPr>
    </w:p>
    <w:p w14:paraId="102290CF" w14:textId="77777777" w:rsidR="004F7AA9" w:rsidRPr="007777D9" w:rsidRDefault="004F7AA9" w:rsidP="004F7AA9">
      <w:pPr>
        <w:tabs>
          <w:tab w:val="clear" w:pos="567"/>
        </w:tabs>
        <w:spacing w:line="240" w:lineRule="auto"/>
        <w:ind w:left="142"/>
        <w:jc w:val="center"/>
        <w:rPr>
          <w:snapToGrid/>
          <w:szCs w:val="22"/>
          <w:lang w:val="lt-LT"/>
        </w:rPr>
      </w:pPr>
      <w:r w:rsidRPr="007777D9">
        <w:rPr>
          <w:rFonts w:eastAsia="SimSun"/>
          <w:b/>
          <w:snapToGrid/>
          <w:szCs w:val="22"/>
          <w:lang w:val="lt-LT"/>
        </w:rPr>
        <w:t>REGISTRACIJOS SĄLYGOS</w:t>
      </w:r>
    </w:p>
    <w:p w14:paraId="1919FF9D" w14:textId="77777777" w:rsidR="004F7AA9" w:rsidRPr="007777D9" w:rsidRDefault="004F7AA9" w:rsidP="004F7AA9">
      <w:pPr>
        <w:tabs>
          <w:tab w:val="clear" w:pos="567"/>
        </w:tabs>
        <w:spacing w:line="240" w:lineRule="auto"/>
        <w:ind w:left="1701" w:hanging="567"/>
        <w:rPr>
          <w:snapToGrid/>
          <w:szCs w:val="22"/>
          <w:lang w:val="lt-LT"/>
        </w:rPr>
      </w:pPr>
    </w:p>
    <w:p w14:paraId="156FD62C" w14:textId="77777777" w:rsidR="004F7AA9" w:rsidRPr="007777D9" w:rsidRDefault="004F7AA9" w:rsidP="004F7AA9">
      <w:pPr>
        <w:widowControl w:val="0"/>
        <w:numPr>
          <w:ilvl w:val="0"/>
          <w:numId w:val="42"/>
        </w:numPr>
        <w:tabs>
          <w:tab w:val="clear" w:pos="567"/>
        </w:tabs>
        <w:spacing w:line="240" w:lineRule="auto"/>
        <w:ind w:left="1701" w:hanging="567"/>
        <w:rPr>
          <w:b/>
          <w:snapToGrid/>
          <w:szCs w:val="22"/>
          <w:lang w:val="lt-LT"/>
        </w:rPr>
      </w:pPr>
      <w:r w:rsidRPr="007777D9">
        <w:rPr>
          <w:b/>
          <w:snapToGrid/>
          <w:szCs w:val="22"/>
          <w:lang w:val="lt-LT"/>
        </w:rPr>
        <w:t xml:space="preserve"> GAMINTOJAS (-AI), ATSAKINGAS (-I) UŽ SERIJŲ IŠLEIDIMĄ</w:t>
      </w:r>
    </w:p>
    <w:p w14:paraId="7E7808EF" w14:textId="77777777" w:rsidR="004F7AA9" w:rsidRPr="007777D9" w:rsidRDefault="004F7AA9" w:rsidP="004F7AA9">
      <w:pPr>
        <w:tabs>
          <w:tab w:val="clear" w:pos="567"/>
        </w:tabs>
        <w:spacing w:line="240" w:lineRule="auto"/>
        <w:ind w:left="1701" w:hanging="567"/>
        <w:rPr>
          <w:snapToGrid/>
          <w:szCs w:val="22"/>
          <w:lang w:val="lt-LT"/>
        </w:rPr>
      </w:pPr>
    </w:p>
    <w:p w14:paraId="5DFBA671" w14:textId="77777777" w:rsidR="004F7AA9" w:rsidRPr="007777D9" w:rsidRDefault="004F7AA9" w:rsidP="004F7AA9">
      <w:pPr>
        <w:widowControl w:val="0"/>
        <w:numPr>
          <w:ilvl w:val="0"/>
          <w:numId w:val="42"/>
        </w:numPr>
        <w:tabs>
          <w:tab w:val="clear" w:pos="567"/>
        </w:tabs>
        <w:spacing w:line="240" w:lineRule="auto"/>
        <w:ind w:left="1701" w:hanging="567"/>
        <w:rPr>
          <w:b/>
          <w:snapToGrid/>
          <w:szCs w:val="22"/>
          <w:lang w:val="lt-LT"/>
        </w:rPr>
      </w:pPr>
      <w:r w:rsidRPr="007777D9">
        <w:rPr>
          <w:b/>
          <w:snapToGrid/>
          <w:szCs w:val="22"/>
          <w:lang w:val="lt-LT"/>
        </w:rPr>
        <w:t>TIEKIMO IR VARTOJIMO SĄLYGOS AR APRIBOJIMAI</w:t>
      </w:r>
    </w:p>
    <w:p w14:paraId="1A2D335D" w14:textId="77777777" w:rsidR="004F7AA9" w:rsidRPr="007777D9" w:rsidRDefault="004F7AA9" w:rsidP="004F7AA9">
      <w:pPr>
        <w:tabs>
          <w:tab w:val="clear" w:pos="567"/>
        </w:tabs>
        <w:spacing w:line="240" w:lineRule="auto"/>
        <w:ind w:left="1701" w:hanging="567"/>
        <w:rPr>
          <w:b/>
          <w:snapToGrid/>
          <w:szCs w:val="22"/>
          <w:lang w:val="lt-LT"/>
        </w:rPr>
      </w:pPr>
    </w:p>
    <w:p w14:paraId="5318495B" w14:textId="77777777" w:rsidR="004F7AA9" w:rsidRPr="007777D9" w:rsidRDefault="004F7AA9" w:rsidP="004F7AA9">
      <w:pPr>
        <w:widowControl w:val="0"/>
        <w:tabs>
          <w:tab w:val="clear" w:pos="567"/>
        </w:tabs>
        <w:spacing w:line="240" w:lineRule="auto"/>
        <w:ind w:left="1418" w:hanging="567"/>
        <w:contextualSpacing/>
        <w:rPr>
          <w:rFonts w:eastAsia="SimSun"/>
          <w:b/>
          <w:szCs w:val="22"/>
          <w:lang w:val="lt-LT" w:eastAsia="zh-CN"/>
        </w:rPr>
      </w:pPr>
    </w:p>
    <w:p w14:paraId="65C30857" w14:textId="77777777" w:rsidR="004F7AA9" w:rsidRPr="007777D9" w:rsidRDefault="004F7AA9" w:rsidP="004F7AA9">
      <w:pPr>
        <w:tabs>
          <w:tab w:val="clear" w:pos="567"/>
        </w:tabs>
        <w:spacing w:line="240" w:lineRule="auto"/>
        <w:rPr>
          <w:snapToGrid/>
          <w:szCs w:val="22"/>
          <w:lang w:val="lt-LT"/>
        </w:rPr>
      </w:pPr>
    </w:p>
    <w:p w14:paraId="0623DB1C" w14:textId="77777777" w:rsidR="004F7AA9" w:rsidRPr="007777D9" w:rsidRDefault="004F7AA9" w:rsidP="004F7AA9">
      <w:pPr>
        <w:tabs>
          <w:tab w:val="clear" w:pos="567"/>
        </w:tabs>
        <w:spacing w:line="240" w:lineRule="auto"/>
        <w:ind w:left="567" w:hanging="567"/>
        <w:rPr>
          <w:snapToGrid/>
          <w:szCs w:val="22"/>
          <w:lang w:val="lt-LT"/>
        </w:rPr>
      </w:pPr>
      <w:r w:rsidRPr="007777D9">
        <w:rPr>
          <w:snapToGrid/>
          <w:szCs w:val="22"/>
          <w:lang w:val="lt-LT"/>
        </w:rPr>
        <w:br w:type="page"/>
      </w:r>
      <w:r w:rsidRPr="007777D9">
        <w:rPr>
          <w:b/>
          <w:snapToGrid/>
          <w:szCs w:val="22"/>
          <w:lang w:val="lt-LT"/>
        </w:rPr>
        <w:lastRenderedPageBreak/>
        <w:t>A.</w:t>
      </w:r>
      <w:r w:rsidRPr="007777D9">
        <w:rPr>
          <w:b/>
          <w:snapToGrid/>
          <w:szCs w:val="22"/>
          <w:lang w:val="lt-LT"/>
        </w:rPr>
        <w:tab/>
        <w:t>GAMINTOJAS (-AI), ATSAKINGAS (-I) UŽ SERIJŲ IŠLEIDIMĄ</w:t>
      </w:r>
    </w:p>
    <w:p w14:paraId="28996B0F" w14:textId="77777777" w:rsidR="004F7AA9" w:rsidRPr="007777D9" w:rsidRDefault="004F7AA9" w:rsidP="004F7AA9">
      <w:pPr>
        <w:tabs>
          <w:tab w:val="clear" w:pos="567"/>
        </w:tabs>
        <w:spacing w:line="240" w:lineRule="auto"/>
        <w:rPr>
          <w:snapToGrid/>
          <w:szCs w:val="22"/>
          <w:lang w:val="lt-LT"/>
        </w:rPr>
      </w:pPr>
    </w:p>
    <w:p w14:paraId="20ACE688" w14:textId="77777777" w:rsidR="004F7AA9" w:rsidRPr="007777D9" w:rsidRDefault="004F7AA9" w:rsidP="004F7AA9">
      <w:pPr>
        <w:tabs>
          <w:tab w:val="clear" w:pos="567"/>
        </w:tabs>
        <w:spacing w:line="240" w:lineRule="auto"/>
        <w:jc w:val="both"/>
        <w:rPr>
          <w:snapToGrid/>
          <w:szCs w:val="22"/>
          <w:lang w:val="lt-LT"/>
        </w:rPr>
      </w:pPr>
      <w:r w:rsidRPr="007777D9">
        <w:rPr>
          <w:snapToGrid/>
          <w:szCs w:val="22"/>
          <w:u w:val="single"/>
          <w:lang w:val="lt-LT"/>
        </w:rPr>
        <w:t>Gamintojo (-ų), atsakingo (-ų) už serijų išleidimą, pavadinimas (-ai) ir adresas (-ai)</w:t>
      </w:r>
    </w:p>
    <w:p w14:paraId="2414BF35" w14:textId="77777777" w:rsidR="004F7AA9" w:rsidRPr="007777D9" w:rsidRDefault="004F7AA9" w:rsidP="004F7AA9">
      <w:pPr>
        <w:tabs>
          <w:tab w:val="clear" w:pos="567"/>
        </w:tabs>
        <w:spacing w:line="240" w:lineRule="auto"/>
        <w:rPr>
          <w:snapToGrid/>
          <w:szCs w:val="22"/>
          <w:lang w:val="lt-LT"/>
        </w:rPr>
      </w:pPr>
    </w:p>
    <w:p w14:paraId="4AF818E3" w14:textId="77777777" w:rsidR="004F7AA9" w:rsidRPr="007777D9" w:rsidRDefault="004F7AA9" w:rsidP="004F7AA9">
      <w:pPr>
        <w:tabs>
          <w:tab w:val="clear" w:pos="567"/>
        </w:tabs>
        <w:spacing w:line="240" w:lineRule="auto"/>
        <w:rPr>
          <w:rFonts w:eastAsia="SimSun"/>
          <w:szCs w:val="22"/>
          <w:lang w:val="lt-LT" w:eastAsia="zh-CN"/>
        </w:rPr>
      </w:pPr>
      <w:r w:rsidRPr="007777D9">
        <w:rPr>
          <w:rFonts w:eastAsia="SimSun"/>
          <w:szCs w:val="22"/>
          <w:lang w:val="lt-LT" w:eastAsia="zh-CN"/>
        </w:rPr>
        <w:t>SIA PHARMIDEA</w:t>
      </w:r>
    </w:p>
    <w:p w14:paraId="2ADFA4FE" w14:textId="77777777" w:rsidR="004F7AA9" w:rsidRDefault="004F7AA9" w:rsidP="004F7AA9">
      <w:pPr>
        <w:tabs>
          <w:tab w:val="clear" w:pos="567"/>
        </w:tabs>
        <w:spacing w:line="240" w:lineRule="auto"/>
        <w:rPr>
          <w:rFonts w:eastAsia="SimSun"/>
          <w:szCs w:val="22"/>
          <w:lang w:val="lt-LT" w:eastAsia="zh-CN"/>
        </w:rPr>
      </w:pPr>
      <w:r w:rsidRPr="007777D9">
        <w:rPr>
          <w:rFonts w:eastAsia="SimSun"/>
          <w:szCs w:val="22"/>
          <w:lang w:val="lt-LT" w:eastAsia="zh-CN"/>
        </w:rPr>
        <w:t>Rūpnīcu iela 4</w:t>
      </w:r>
    </w:p>
    <w:p w14:paraId="60C966A9" w14:textId="77777777" w:rsidR="004F7AA9" w:rsidRPr="007777D9" w:rsidRDefault="004F7AA9" w:rsidP="004F7AA9">
      <w:pPr>
        <w:tabs>
          <w:tab w:val="clear" w:pos="567"/>
        </w:tabs>
        <w:spacing w:line="240" w:lineRule="auto"/>
        <w:rPr>
          <w:rFonts w:eastAsia="SimSun"/>
          <w:szCs w:val="22"/>
          <w:lang w:val="lt-LT" w:eastAsia="zh-CN"/>
        </w:rPr>
      </w:pPr>
      <w:r w:rsidRPr="007777D9">
        <w:rPr>
          <w:rFonts w:eastAsia="SimSun"/>
          <w:szCs w:val="22"/>
          <w:lang w:val="lt-LT" w:eastAsia="zh-CN"/>
        </w:rPr>
        <w:t>Olaine, Olaines nov., LV-2114</w:t>
      </w:r>
    </w:p>
    <w:p w14:paraId="297438B0" w14:textId="77777777" w:rsidR="004F7AA9" w:rsidRPr="007777D9" w:rsidRDefault="004F7AA9" w:rsidP="004F7AA9">
      <w:pPr>
        <w:tabs>
          <w:tab w:val="clear" w:pos="567"/>
        </w:tabs>
        <w:spacing w:line="240" w:lineRule="auto"/>
        <w:rPr>
          <w:rFonts w:eastAsia="SimSun"/>
          <w:szCs w:val="22"/>
          <w:lang w:val="lt-LT" w:eastAsia="zh-CN"/>
        </w:rPr>
      </w:pPr>
      <w:r w:rsidRPr="007777D9">
        <w:rPr>
          <w:rFonts w:eastAsia="SimSun"/>
          <w:szCs w:val="22"/>
          <w:lang w:val="lt-LT" w:eastAsia="zh-CN"/>
        </w:rPr>
        <w:t>Latvija</w:t>
      </w:r>
    </w:p>
    <w:p w14:paraId="6AAF82DD" w14:textId="77777777" w:rsidR="004F7AA9" w:rsidRPr="007777D9" w:rsidRDefault="004F7AA9" w:rsidP="004F7AA9">
      <w:pPr>
        <w:tabs>
          <w:tab w:val="clear" w:pos="567"/>
        </w:tabs>
        <w:spacing w:line="240" w:lineRule="auto"/>
        <w:rPr>
          <w:snapToGrid/>
          <w:szCs w:val="22"/>
          <w:lang w:val="lt-LT"/>
        </w:rPr>
      </w:pPr>
    </w:p>
    <w:p w14:paraId="6A3C4AB3" w14:textId="77777777" w:rsidR="004F7AA9" w:rsidRPr="007777D9" w:rsidRDefault="004F7AA9" w:rsidP="004F7AA9">
      <w:pPr>
        <w:tabs>
          <w:tab w:val="clear" w:pos="567"/>
        </w:tabs>
        <w:spacing w:line="240" w:lineRule="auto"/>
        <w:rPr>
          <w:snapToGrid/>
          <w:szCs w:val="22"/>
          <w:lang w:val="lt-LT"/>
        </w:rPr>
      </w:pPr>
    </w:p>
    <w:p w14:paraId="260A9CE1" w14:textId="77777777" w:rsidR="004F7AA9" w:rsidRPr="007777D9" w:rsidRDefault="004F7AA9" w:rsidP="004F7AA9">
      <w:pPr>
        <w:tabs>
          <w:tab w:val="clear" w:pos="567"/>
        </w:tabs>
        <w:spacing w:line="240" w:lineRule="auto"/>
        <w:ind w:left="567" w:hanging="567"/>
        <w:rPr>
          <w:b/>
          <w:snapToGrid/>
          <w:szCs w:val="22"/>
          <w:lang w:val="lt-LT"/>
        </w:rPr>
      </w:pPr>
      <w:r w:rsidRPr="007777D9">
        <w:rPr>
          <w:b/>
          <w:snapToGrid/>
          <w:szCs w:val="22"/>
          <w:lang w:val="lt-LT"/>
        </w:rPr>
        <w:t>B.</w:t>
      </w:r>
      <w:r w:rsidRPr="007777D9">
        <w:rPr>
          <w:b/>
          <w:snapToGrid/>
          <w:szCs w:val="22"/>
          <w:lang w:val="lt-LT"/>
        </w:rPr>
        <w:tab/>
        <w:t>TIEKIMO IR VARTOJIMO SĄLYGOS AR APRIBOJIMAI</w:t>
      </w:r>
    </w:p>
    <w:p w14:paraId="00313424" w14:textId="77777777" w:rsidR="004F7AA9" w:rsidRPr="007777D9" w:rsidRDefault="004F7AA9" w:rsidP="004F7AA9">
      <w:pPr>
        <w:tabs>
          <w:tab w:val="clear" w:pos="567"/>
        </w:tabs>
        <w:spacing w:line="240" w:lineRule="auto"/>
        <w:rPr>
          <w:snapToGrid/>
          <w:szCs w:val="22"/>
          <w:lang w:val="lt-LT"/>
        </w:rPr>
      </w:pPr>
    </w:p>
    <w:p w14:paraId="7AA9F8BB" w14:textId="77777777" w:rsidR="004F7AA9" w:rsidRPr="007777D9" w:rsidRDefault="004F7AA9" w:rsidP="004F7AA9">
      <w:pPr>
        <w:numPr>
          <w:ilvl w:val="12"/>
          <w:numId w:val="0"/>
        </w:numPr>
        <w:tabs>
          <w:tab w:val="clear" w:pos="567"/>
        </w:tabs>
        <w:spacing w:line="240" w:lineRule="auto"/>
        <w:jc w:val="both"/>
        <w:rPr>
          <w:snapToGrid/>
          <w:szCs w:val="22"/>
          <w:lang w:val="lt-LT"/>
        </w:rPr>
      </w:pPr>
      <w:r w:rsidRPr="007777D9">
        <w:rPr>
          <w:snapToGrid/>
          <w:szCs w:val="22"/>
          <w:lang w:val="lt-LT"/>
        </w:rPr>
        <w:t>Receptinis vaistinis preparatas.</w:t>
      </w:r>
    </w:p>
    <w:p w14:paraId="65B80BDA" w14:textId="77777777" w:rsidR="004F7AA9" w:rsidRPr="00682D1E" w:rsidRDefault="004F7AA9" w:rsidP="004F7AA9">
      <w:pPr>
        <w:tabs>
          <w:tab w:val="clear" w:pos="567"/>
        </w:tabs>
        <w:rPr>
          <w:noProof/>
          <w:szCs w:val="24"/>
          <w:lang w:val="lt-LT"/>
        </w:rPr>
      </w:pPr>
      <w:r>
        <w:rPr>
          <w:snapToGrid/>
          <w:szCs w:val="22"/>
          <w:lang w:val="lt-LT"/>
        </w:rPr>
        <w:br w:type="page"/>
      </w:r>
    </w:p>
    <w:p w14:paraId="60ABA467" w14:textId="77777777" w:rsidR="004F7AA9" w:rsidRPr="00682D1E" w:rsidRDefault="004F7AA9" w:rsidP="004F7AA9">
      <w:pPr>
        <w:tabs>
          <w:tab w:val="clear" w:pos="567"/>
        </w:tabs>
        <w:rPr>
          <w:lang w:val="lt-LT"/>
        </w:rPr>
      </w:pPr>
    </w:p>
    <w:p w14:paraId="33CEE713" w14:textId="77777777" w:rsidR="004F7AA9" w:rsidRPr="00682D1E" w:rsidRDefault="004F7AA9" w:rsidP="004F7AA9">
      <w:pPr>
        <w:tabs>
          <w:tab w:val="clear" w:pos="567"/>
        </w:tabs>
        <w:rPr>
          <w:lang w:val="lt-LT"/>
        </w:rPr>
      </w:pPr>
    </w:p>
    <w:p w14:paraId="23838DB5" w14:textId="77777777" w:rsidR="004F7AA9" w:rsidRPr="00682D1E" w:rsidRDefault="004F7AA9" w:rsidP="004F7AA9">
      <w:pPr>
        <w:tabs>
          <w:tab w:val="clear" w:pos="567"/>
        </w:tabs>
        <w:rPr>
          <w:lang w:val="lt-LT"/>
        </w:rPr>
      </w:pPr>
    </w:p>
    <w:p w14:paraId="08E02F60" w14:textId="77777777" w:rsidR="004F7AA9" w:rsidRPr="00682D1E" w:rsidRDefault="004F7AA9" w:rsidP="004F7AA9">
      <w:pPr>
        <w:tabs>
          <w:tab w:val="clear" w:pos="567"/>
        </w:tabs>
        <w:rPr>
          <w:lang w:val="lt-LT"/>
        </w:rPr>
      </w:pPr>
    </w:p>
    <w:p w14:paraId="1B862874" w14:textId="77777777" w:rsidR="004F7AA9" w:rsidRPr="00682D1E" w:rsidRDefault="004F7AA9" w:rsidP="004F7AA9">
      <w:pPr>
        <w:tabs>
          <w:tab w:val="clear" w:pos="567"/>
        </w:tabs>
        <w:rPr>
          <w:lang w:val="lt-LT"/>
        </w:rPr>
      </w:pPr>
    </w:p>
    <w:p w14:paraId="04CAB4EC" w14:textId="77777777" w:rsidR="004F7AA9" w:rsidRPr="00682D1E" w:rsidRDefault="004F7AA9" w:rsidP="004F7AA9">
      <w:pPr>
        <w:tabs>
          <w:tab w:val="clear" w:pos="567"/>
        </w:tabs>
        <w:rPr>
          <w:lang w:val="lt-LT"/>
        </w:rPr>
      </w:pPr>
    </w:p>
    <w:p w14:paraId="6F8B7FD9" w14:textId="77777777" w:rsidR="004F7AA9" w:rsidRPr="00682D1E" w:rsidRDefault="004F7AA9" w:rsidP="004F7AA9">
      <w:pPr>
        <w:tabs>
          <w:tab w:val="clear" w:pos="567"/>
        </w:tabs>
        <w:rPr>
          <w:lang w:val="lt-LT"/>
        </w:rPr>
      </w:pPr>
    </w:p>
    <w:p w14:paraId="55B497EC" w14:textId="77777777" w:rsidR="004F7AA9" w:rsidRPr="00682D1E" w:rsidRDefault="004F7AA9" w:rsidP="004F7AA9">
      <w:pPr>
        <w:tabs>
          <w:tab w:val="clear" w:pos="567"/>
        </w:tabs>
        <w:rPr>
          <w:lang w:val="lt-LT"/>
        </w:rPr>
      </w:pPr>
    </w:p>
    <w:p w14:paraId="0C352EC0" w14:textId="77777777" w:rsidR="004F7AA9" w:rsidRPr="00682D1E" w:rsidRDefault="004F7AA9" w:rsidP="004F7AA9">
      <w:pPr>
        <w:tabs>
          <w:tab w:val="clear" w:pos="567"/>
        </w:tabs>
        <w:rPr>
          <w:lang w:val="lt-LT"/>
        </w:rPr>
      </w:pPr>
    </w:p>
    <w:p w14:paraId="6F4F3272" w14:textId="77777777" w:rsidR="004F7AA9" w:rsidRPr="00682D1E" w:rsidRDefault="004F7AA9" w:rsidP="004F7AA9">
      <w:pPr>
        <w:tabs>
          <w:tab w:val="clear" w:pos="567"/>
        </w:tabs>
        <w:rPr>
          <w:lang w:val="lt-LT"/>
        </w:rPr>
      </w:pPr>
    </w:p>
    <w:p w14:paraId="4C4F302E" w14:textId="77777777" w:rsidR="004F7AA9" w:rsidRPr="00682D1E" w:rsidRDefault="004F7AA9" w:rsidP="004F7AA9">
      <w:pPr>
        <w:tabs>
          <w:tab w:val="clear" w:pos="567"/>
        </w:tabs>
        <w:rPr>
          <w:lang w:val="lt-LT"/>
        </w:rPr>
      </w:pPr>
    </w:p>
    <w:p w14:paraId="14F83CCA" w14:textId="77777777" w:rsidR="004F7AA9" w:rsidRPr="00682D1E" w:rsidRDefault="004F7AA9" w:rsidP="004F7AA9">
      <w:pPr>
        <w:tabs>
          <w:tab w:val="clear" w:pos="567"/>
        </w:tabs>
        <w:rPr>
          <w:lang w:val="lt-LT"/>
        </w:rPr>
      </w:pPr>
    </w:p>
    <w:p w14:paraId="1240D053" w14:textId="77777777" w:rsidR="004F7AA9" w:rsidRPr="00682D1E" w:rsidRDefault="004F7AA9" w:rsidP="004F7AA9">
      <w:pPr>
        <w:tabs>
          <w:tab w:val="clear" w:pos="567"/>
        </w:tabs>
        <w:rPr>
          <w:lang w:val="lt-LT"/>
        </w:rPr>
      </w:pPr>
    </w:p>
    <w:p w14:paraId="5B84C9CE" w14:textId="77777777" w:rsidR="004F7AA9" w:rsidRPr="00682D1E" w:rsidRDefault="004F7AA9" w:rsidP="004F7AA9">
      <w:pPr>
        <w:tabs>
          <w:tab w:val="clear" w:pos="567"/>
        </w:tabs>
        <w:rPr>
          <w:lang w:val="lt-LT"/>
        </w:rPr>
      </w:pPr>
    </w:p>
    <w:p w14:paraId="103ED2E2" w14:textId="77777777" w:rsidR="004F7AA9" w:rsidRPr="00682D1E" w:rsidRDefault="004F7AA9" w:rsidP="004F7AA9">
      <w:pPr>
        <w:tabs>
          <w:tab w:val="clear" w:pos="567"/>
        </w:tabs>
        <w:rPr>
          <w:lang w:val="lt-LT"/>
        </w:rPr>
      </w:pPr>
    </w:p>
    <w:p w14:paraId="552CE2EB" w14:textId="77777777" w:rsidR="004F7AA9" w:rsidRPr="00682D1E" w:rsidRDefault="004F7AA9" w:rsidP="004F7AA9">
      <w:pPr>
        <w:tabs>
          <w:tab w:val="clear" w:pos="567"/>
        </w:tabs>
        <w:rPr>
          <w:lang w:val="lt-LT"/>
        </w:rPr>
      </w:pPr>
    </w:p>
    <w:p w14:paraId="360A41C4" w14:textId="77777777" w:rsidR="004F7AA9" w:rsidRPr="00682D1E" w:rsidRDefault="004F7AA9" w:rsidP="004F7AA9">
      <w:pPr>
        <w:tabs>
          <w:tab w:val="clear" w:pos="567"/>
        </w:tabs>
        <w:outlineLvl w:val="0"/>
        <w:rPr>
          <w:b/>
          <w:lang w:val="lt-LT"/>
        </w:rPr>
      </w:pPr>
    </w:p>
    <w:p w14:paraId="4289C15D" w14:textId="77777777" w:rsidR="004F7AA9" w:rsidRPr="00682D1E" w:rsidRDefault="004F7AA9" w:rsidP="004F7AA9">
      <w:pPr>
        <w:tabs>
          <w:tab w:val="clear" w:pos="567"/>
        </w:tabs>
        <w:outlineLvl w:val="0"/>
        <w:rPr>
          <w:b/>
          <w:lang w:val="lt-LT"/>
        </w:rPr>
      </w:pPr>
    </w:p>
    <w:p w14:paraId="39CBD95D" w14:textId="77777777" w:rsidR="004F7AA9" w:rsidRPr="00682D1E" w:rsidRDefault="004F7AA9" w:rsidP="004F7AA9">
      <w:pPr>
        <w:tabs>
          <w:tab w:val="clear" w:pos="567"/>
        </w:tabs>
        <w:outlineLvl w:val="0"/>
        <w:rPr>
          <w:b/>
          <w:lang w:val="lt-LT"/>
        </w:rPr>
      </w:pPr>
    </w:p>
    <w:p w14:paraId="5C5E90B0" w14:textId="77777777" w:rsidR="004F7AA9" w:rsidRPr="00682D1E" w:rsidRDefault="004F7AA9" w:rsidP="004F7AA9">
      <w:pPr>
        <w:tabs>
          <w:tab w:val="clear" w:pos="567"/>
        </w:tabs>
        <w:outlineLvl w:val="0"/>
        <w:rPr>
          <w:b/>
          <w:lang w:val="lt-LT"/>
        </w:rPr>
      </w:pPr>
    </w:p>
    <w:p w14:paraId="32E189DA" w14:textId="77777777" w:rsidR="004F7AA9" w:rsidRPr="00682D1E" w:rsidRDefault="004F7AA9" w:rsidP="004F7AA9">
      <w:pPr>
        <w:tabs>
          <w:tab w:val="clear" w:pos="567"/>
        </w:tabs>
        <w:outlineLvl w:val="0"/>
        <w:rPr>
          <w:b/>
          <w:lang w:val="lt-LT"/>
        </w:rPr>
      </w:pPr>
    </w:p>
    <w:p w14:paraId="117248D7" w14:textId="77777777" w:rsidR="004F7AA9" w:rsidRDefault="004F7AA9" w:rsidP="004F7AA9">
      <w:pPr>
        <w:tabs>
          <w:tab w:val="clear" w:pos="567"/>
        </w:tabs>
        <w:outlineLvl w:val="0"/>
        <w:rPr>
          <w:b/>
          <w:lang w:val="lt-LT"/>
        </w:rPr>
      </w:pPr>
    </w:p>
    <w:p w14:paraId="68610F02" w14:textId="77777777" w:rsidR="004F7AA9" w:rsidRPr="00682D1E" w:rsidRDefault="004F7AA9" w:rsidP="004F7AA9">
      <w:pPr>
        <w:tabs>
          <w:tab w:val="clear" w:pos="567"/>
        </w:tabs>
        <w:outlineLvl w:val="0"/>
        <w:rPr>
          <w:b/>
          <w:lang w:val="lt-LT"/>
        </w:rPr>
      </w:pPr>
    </w:p>
    <w:p w14:paraId="6E89B4B0" w14:textId="77777777" w:rsidR="004F7AA9" w:rsidRPr="00682D1E" w:rsidRDefault="004F7AA9" w:rsidP="004F7AA9">
      <w:pPr>
        <w:keepNext/>
        <w:tabs>
          <w:tab w:val="clear" w:pos="567"/>
        </w:tabs>
        <w:spacing w:line="240" w:lineRule="auto"/>
        <w:jc w:val="center"/>
        <w:outlineLvl w:val="1"/>
        <w:rPr>
          <w:b/>
          <w:szCs w:val="24"/>
          <w:lang w:val="lt-LT"/>
        </w:rPr>
      </w:pPr>
      <w:r w:rsidRPr="00682D1E">
        <w:rPr>
          <w:b/>
          <w:bCs/>
          <w:iCs/>
          <w:szCs w:val="28"/>
          <w:lang w:val="lt-LT"/>
        </w:rPr>
        <w:t>III PRIEDAS</w:t>
      </w:r>
    </w:p>
    <w:p w14:paraId="33E5B288" w14:textId="77777777" w:rsidR="004F7AA9" w:rsidRPr="00682D1E" w:rsidRDefault="004F7AA9" w:rsidP="004F7AA9">
      <w:pPr>
        <w:tabs>
          <w:tab w:val="clear" w:pos="567"/>
        </w:tabs>
        <w:rPr>
          <w:szCs w:val="24"/>
          <w:lang w:val="lt-LT"/>
        </w:rPr>
      </w:pPr>
    </w:p>
    <w:p w14:paraId="0DFEE925" w14:textId="77777777" w:rsidR="004F7AA9" w:rsidRPr="00682D1E" w:rsidRDefault="004F7AA9" w:rsidP="004F7AA9">
      <w:pPr>
        <w:keepNext/>
        <w:tabs>
          <w:tab w:val="clear" w:pos="567"/>
        </w:tabs>
        <w:spacing w:line="240" w:lineRule="auto"/>
        <w:jc w:val="center"/>
        <w:outlineLvl w:val="1"/>
        <w:rPr>
          <w:b/>
          <w:szCs w:val="24"/>
          <w:lang w:val="lt-LT"/>
        </w:rPr>
      </w:pPr>
      <w:r w:rsidRPr="00682D1E">
        <w:rPr>
          <w:b/>
          <w:bCs/>
          <w:iCs/>
          <w:szCs w:val="28"/>
          <w:lang w:val="lt-LT"/>
        </w:rPr>
        <w:t>ŽENKLINIMAS IR PAKUOTĖS LAPELIS</w:t>
      </w:r>
    </w:p>
    <w:p w14:paraId="0742ECD6" w14:textId="77777777" w:rsidR="004F7AA9" w:rsidRPr="00682D1E" w:rsidRDefault="004F7AA9" w:rsidP="004F7AA9">
      <w:pPr>
        <w:tabs>
          <w:tab w:val="clear" w:pos="567"/>
        </w:tabs>
        <w:rPr>
          <w:szCs w:val="24"/>
          <w:lang w:val="lt-LT"/>
        </w:rPr>
      </w:pPr>
      <w:r w:rsidRPr="007777D9">
        <w:rPr>
          <w:snapToGrid/>
          <w:szCs w:val="22"/>
          <w:lang w:val="lt-LT"/>
        </w:rPr>
        <w:br w:type="page"/>
      </w:r>
    </w:p>
    <w:p w14:paraId="2D8490A8" w14:textId="77777777" w:rsidR="004F7AA9" w:rsidRPr="00682D1E" w:rsidRDefault="004F7AA9" w:rsidP="004F7AA9">
      <w:pPr>
        <w:tabs>
          <w:tab w:val="clear" w:pos="567"/>
        </w:tabs>
        <w:rPr>
          <w:szCs w:val="24"/>
          <w:lang w:val="lt-LT"/>
        </w:rPr>
      </w:pPr>
    </w:p>
    <w:p w14:paraId="51AE3860" w14:textId="77777777" w:rsidR="004F7AA9" w:rsidRPr="00682D1E" w:rsidRDefault="004F7AA9" w:rsidP="004F7AA9">
      <w:pPr>
        <w:tabs>
          <w:tab w:val="clear" w:pos="567"/>
        </w:tabs>
        <w:rPr>
          <w:szCs w:val="24"/>
          <w:lang w:val="lt-LT"/>
        </w:rPr>
      </w:pPr>
    </w:p>
    <w:p w14:paraId="23B58F52" w14:textId="77777777" w:rsidR="004F7AA9" w:rsidRPr="00682D1E" w:rsidRDefault="004F7AA9" w:rsidP="004F7AA9">
      <w:pPr>
        <w:tabs>
          <w:tab w:val="clear" w:pos="567"/>
        </w:tabs>
        <w:rPr>
          <w:szCs w:val="24"/>
          <w:lang w:val="lt-LT"/>
        </w:rPr>
      </w:pPr>
    </w:p>
    <w:p w14:paraId="07480B78" w14:textId="77777777" w:rsidR="004F7AA9" w:rsidRPr="00682D1E" w:rsidRDefault="004F7AA9" w:rsidP="004F7AA9">
      <w:pPr>
        <w:tabs>
          <w:tab w:val="clear" w:pos="567"/>
        </w:tabs>
        <w:rPr>
          <w:szCs w:val="24"/>
          <w:lang w:val="lt-LT"/>
        </w:rPr>
      </w:pPr>
    </w:p>
    <w:p w14:paraId="71ECA36D" w14:textId="77777777" w:rsidR="004F7AA9" w:rsidRPr="00682D1E" w:rsidRDefault="004F7AA9" w:rsidP="004F7AA9">
      <w:pPr>
        <w:tabs>
          <w:tab w:val="clear" w:pos="567"/>
        </w:tabs>
        <w:rPr>
          <w:szCs w:val="24"/>
          <w:lang w:val="lt-LT"/>
        </w:rPr>
      </w:pPr>
    </w:p>
    <w:p w14:paraId="1E468C94" w14:textId="77777777" w:rsidR="004F7AA9" w:rsidRPr="00682D1E" w:rsidRDefault="004F7AA9" w:rsidP="004F7AA9">
      <w:pPr>
        <w:tabs>
          <w:tab w:val="clear" w:pos="567"/>
        </w:tabs>
        <w:rPr>
          <w:szCs w:val="24"/>
          <w:lang w:val="lt-LT"/>
        </w:rPr>
      </w:pPr>
    </w:p>
    <w:p w14:paraId="138BC689" w14:textId="77777777" w:rsidR="004F7AA9" w:rsidRPr="00682D1E" w:rsidRDefault="004F7AA9" w:rsidP="004F7AA9">
      <w:pPr>
        <w:tabs>
          <w:tab w:val="clear" w:pos="567"/>
        </w:tabs>
        <w:rPr>
          <w:szCs w:val="24"/>
          <w:lang w:val="lt-LT"/>
        </w:rPr>
      </w:pPr>
    </w:p>
    <w:p w14:paraId="744C3528" w14:textId="77777777" w:rsidR="004F7AA9" w:rsidRPr="00682D1E" w:rsidRDefault="004F7AA9" w:rsidP="004F7AA9">
      <w:pPr>
        <w:tabs>
          <w:tab w:val="clear" w:pos="567"/>
        </w:tabs>
        <w:rPr>
          <w:szCs w:val="24"/>
          <w:lang w:val="lt-LT"/>
        </w:rPr>
      </w:pPr>
    </w:p>
    <w:p w14:paraId="2AA032FF" w14:textId="77777777" w:rsidR="004F7AA9" w:rsidRPr="00682D1E" w:rsidRDefault="004F7AA9" w:rsidP="004F7AA9">
      <w:pPr>
        <w:tabs>
          <w:tab w:val="clear" w:pos="567"/>
        </w:tabs>
        <w:rPr>
          <w:szCs w:val="24"/>
          <w:lang w:val="lt-LT"/>
        </w:rPr>
      </w:pPr>
    </w:p>
    <w:p w14:paraId="5ED13707" w14:textId="77777777" w:rsidR="004F7AA9" w:rsidRPr="00682D1E" w:rsidRDefault="004F7AA9" w:rsidP="004F7AA9">
      <w:pPr>
        <w:tabs>
          <w:tab w:val="clear" w:pos="567"/>
        </w:tabs>
        <w:rPr>
          <w:szCs w:val="24"/>
          <w:lang w:val="lt-LT"/>
        </w:rPr>
      </w:pPr>
    </w:p>
    <w:p w14:paraId="1B38F1F2" w14:textId="77777777" w:rsidR="004F7AA9" w:rsidRPr="00682D1E" w:rsidRDefault="004F7AA9" w:rsidP="004F7AA9">
      <w:pPr>
        <w:tabs>
          <w:tab w:val="clear" w:pos="567"/>
        </w:tabs>
        <w:rPr>
          <w:szCs w:val="24"/>
          <w:lang w:val="lt-LT"/>
        </w:rPr>
      </w:pPr>
    </w:p>
    <w:p w14:paraId="72A681B1" w14:textId="77777777" w:rsidR="004F7AA9" w:rsidRPr="00682D1E" w:rsidRDefault="004F7AA9" w:rsidP="004F7AA9">
      <w:pPr>
        <w:tabs>
          <w:tab w:val="clear" w:pos="567"/>
        </w:tabs>
        <w:rPr>
          <w:szCs w:val="24"/>
          <w:lang w:val="lt-LT"/>
        </w:rPr>
      </w:pPr>
    </w:p>
    <w:p w14:paraId="78CA46A7" w14:textId="77777777" w:rsidR="004F7AA9" w:rsidRPr="00682D1E" w:rsidRDefault="004F7AA9" w:rsidP="004F7AA9">
      <w:pPr>
        <w:tabs>
          <w:tab w:val="clear" w:pos="567"/>
        </w:tabs>
        <w:rPr>
          <w:szCs w:val="24"/>
          <w:lang w:val="lt-LT"/>
        </w:rPr>
      </w:pPr>
    </w:p>
    <w:p w14:paraId="03056F7B" w14:textId="77777777" w:rsidR="004F7AA9" w:rsidRPr="00682D1E" w:rsidRDefault="004F7AA9" w:rsidP="004F7AA9">
      <w:pPr>
        <w:tabs>
          <w:tab w:val="clear" w:pos="567"/>
        </w:tabs>
        <w:rPr>
          <w:szCs w:val="24"/>
          <w:lang w:val="lt-LT"/>
        </w:rPr>
      </w:pPr>
    </w:p>
    <w:p w14:paraId="02926A13" w14:textId="77777777" w:rsidR="004F7AA9" w:rsidRPr="00682D1E" w:rsidRDefault="004F7AA9" w:rsidP="004F7AA9">
      <w:pPr>
        <w:tabs>
          <w:tab w:val="clear" w:pos="567"/>
        </w:tabs>
        <w:rPr>
          <w:szCs w:val="24"/>
          <w:lang w:val="lt-LT"/>
        </w:rPr>
      </w:pPr>
    </w:p>
    <w:p w14:paraId="45FC0AB5" w14:textId="77777777" w:rsidR="004F7AA9" w:rsidRPr="00682D1E" w:rsidRDefault="004F7AA9" w:rsidP="004F7AA9">
      <w:pPr>
        <w:tabs>
          <w:tab w:val="clear" w:pos="567"/>
        </w:tabs>
        <w:rPr>
          <w:szCs w:val="24"/>
          <w:lang w:val="lt-LT"/>
        </w:rPr>
      </w:pPr>
    </w:p>
    <w:p w14:paraId="7133AE3E" w14:textId="77777777" w:rsidR="004F7AA9" w:rsidRPr="00682D1E" w:rsidRDefault="004F7AA9" w:rsidP="004F7AA9">
      <w:pPr>
        <w:tabs>
          <w:tab w:val="clear" w:pos="567"/>
        </w:tabs>
        <w:rPr>
          <w:szCs w:val="24"/>
          <w:lang w:val="lt-LT"/>
        </w:rPr>
      </w:pPr>
    </w:p>
    <w:p w14:paraId="66B079AE" w14:textId="77777777" w:rsidR="004F7AA9" w:rsidRPr="00682D1E" w:rsidRDefault="004F7AA9" w:rsidP="004F7AA9">
      <w:pPr>
        <w:tabs>
          <w:tab w:val="clear" w:pos="567"/>
        </w:tabs>
        <w:rPr>
          <w:szCs w:val="24"/>
          <w:lang w:val="lt-LT"/>
        </w:rPr>
      </w:pPr>
    </w:p>
    <w:p w14:paraId="1B38FD7A" w14:textId="77777777" w:rsidR="004F7AA9" w:rsidRPr="00682D1E" w:rsidRDefault="004F7AA9" w:rsidP="004F7AA9">
      <w:pPr>
        <w:tabs>
          <w:tab w:val="clear" w:pos="567"/>
        </w:tabs>
        <w:rPr>
          <w:szCs w:val="24"/>
          <w:lang w:val="lt-LT"/>
        </w:rPr>
      </w:pPr>
    </w:p>
    <w:p w14:paraId="7460EF0F" w14:textId="77777777" w:rsidR="004F7AA9" w:rsidRPr="00682D1E" w:rsidRDefault="004F7AA9" w:rsidP="004F7AA9">
      <w:pPr>
        <w:tabs>
          <w:tab w:val="clear" w:pos="567"/>
        </w:tabs>
        <w:rPr>
          <w:szCs w:val="24"/>
          <w:lang w:val="lt-LT"/>
        </w:rPr>
      </w:pPr>
    </w:p>
    <w:p w14:paraId="45C00610" w14:textId="77777777" w:rsidR="004F7AA9" w:rsidRPr="00682D1E" w:rsidRDefault="004F7AA9" w:rsidP="004F7AA9">
      <w:pPr>
        <w:tabs>
          <w:tab w:val="clear" w:pos="567"/>
        </w:tabs>
        <w:rPr>
          <w:szCs w:val="24"/>
          <w:lang w:val="lt-LT"/>
        </w:rPr>
      </w:pPr>
    </w:p>
    <w:p w14:paraId="72B57824" w14:textId="77777777" w:rsidR="004F7AA9" w:rsidRDefault="004F7AA9" w:rsidP="004F7AA9">
      <w:pPr>
        <w:tabs>
          <w:tab w:val="clear" w:pos="567"/>
        </w:tabs>
        <w:rPr>
          <w:szCs w:val="24"/>
          <w:lang w:val="lt-LT"/>
        </w:rPr>
      </w:pPr>
    </w:p>
    <w:p w14:paraId="36CEDF3C" w14:textId="77777777" w:rsidR="004F7AA9" w:rsidRPr="00682D1E" w:rsidRDefault="004F7AA9" w:rsidP="004F7AA9">
      <w:pPr>
        <w:tabs>
          <w:tab w:val="clear" w:pos="567"/>
        </w:tabs>
        <w:rPr>
          <w:szCs w:val="24"/>
          <w:lang w:val="lt-LT"/>
        </w:rPr>
      </w:pPr>
    </w:p>
    <w:p w14:paraId="3956D8D7" w14:textId="77777777" w:rsidR="004F7AA9" w:rsidRPr="00682D1E" w:rsidRDefault="004F7AA9" w:rsidP="004F7AA9">
      <w:pPr>
        <w:keepNext/>
        <w:tabs>
          <w:tab w:val="clear" w:pos="567"/>
        </w:tabs>
        <w:spacing w:line="240" w:lineRule="auto"/>
        <w:jc w:val="center"/>
        <w:outlineLvl w:val="1"/>
        <w:rPr>
          <w:b/>
          <w:szCs w:val="24"/>
          <w:lang w:val="lt-LT"/>
        </w:rPr>
      </w:pPr>
      <w:r w:rsidRPr="00682D1E">
        <w:rPr>
          <w:b/>
          <w:bCs/>
          <w:iCs/>
          <w:szCs w:val="28"/>
          <w:lang w:val="lt-LT"/>
        </w:rPr>
        <w:t>A. ŽENKLINIMAS</w:t>
      </w:r>
    </w:p>
    <w:p w14:paraId="53C973FD" w14:textId="77777777" w:rsidR="004F7AA9" w:rsidRPr="007777D9" w:rsidRDefault="004F7AA9" w:rsidP="004F7AA9">
      <w:pPr>
        <w:tabs>
          <w:tab w:val="clear" w:pos="567"/>
        </w:tabs>
        <w:spacing w:line="240" w:lineRule="auto"/>
        <w:ind w:firstLine="720"/>
        <w:rPr>
          <w:snapToGrid/>
          <w:szCs w:val="22"/>
          <w:lang w:val="lt-LT"/>
        </w:rPr>
      </w:pPr>
      <w:r w:rsidRPr="007777D9">
        <w:rPr>
          <w:snapToGrid/>
          <w:szCs w:val="22"/>
          <w:lang w:val="lt-LT"/>
        </w:rPr>
        <w:br w:type="page"/>
      </w:r>
    </w:p>
    <w:p w14:paraId="7273A07A"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outlineLvl w:val="0"/>
        <w:rPr>
          <w:b/>
          <w:caps/>
          <w:snapToGrid/>
          <w:szCs w:val="22"/>
          <w:lang w:val="lt-LT"/>
        </w:rPr>
      </w:pPr>
      <w:r w:rsidRPr="007777D9">
        <w:rPr>
          <w:b/>
          <w:caps/>
          <w:snapToGrid/>
          <w:szCs w:val="22"/>
          <w:lang w:val="lt-LT"/>
        </w:rPr>
        <w:lastRenderedPageBreak/>
        <w:t xml:space="preserve">Informacija ant </w:t>
      </w:r>
      <w:r w:rsidRPr="007777D9">
        <w:rPr>
          <w:b/>
          <w:snapToGrid/>
          <w:szCs w:val="22"/>
          <w:lang w:val="lt-LT"/>
        </w:rPr>
        <w:t>IŠORINĖS PAKUOTĖS</w:t>
      </w:r>
    </w:p>
    <w:p w14:paraId="58E053EB"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napToGrid/>
          <w:szCs w:val="22"/>
          <w:lang w:val="lt-LT"/>
        </w:rPr>
      </w:pPr>
    </w:p>
    <w:p w14:paraId="310031EB"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7777D9">
        <w:rPr>
          <w:b/>
          <w:caps/>
          <w:snapToGrid/>
          <w:szCs w:val="22"/>
          <w:lang w:val="lt-LT"/>
        </w:rPr>
        <w:t xml:space="preserve">KARTONO DĖŽUTĖ </w:t>
      </w:r>
    </w:p>
    <w:p w14:paraId="6F87CC26" w14:textId="77777777" w:rsidR="004F7AA9" w:rsidRPr="007777D9" w:rsidRDefault="004F7AA9" w:rsidP="004F7AA9">
      <w:pPr>
        <w:tabs>
          <w:tab w:val="clear" w:pos="567"/>
        </w:tabs>
        <w:spacing w:line="240" w:lineRule="auto"/>
        <w:ind w:left="567" w:hanging="567"/>
        <w:rPr>
          <w:snapToGrid/>
          <w:szCs w:val="22"/>
          <w:lang w:val="lt-LT"/>
        </w:rPr>
      </w:pPr>
    </w:p>
    <w:p w14:paraId="47AFCE75" w14:textId="77777777" w:rsidR="004F7AA9" w:rsidRPr="007777D9" w:rsidRDefault="004F7AA9" w:rsidP="004F7AA9">
      <w:pPr>
        <w:tabs>
          <w:tab w:val="clear" w:pos="567"/>
        </w:tabs>
        <w:spacing w:line="240" w:lineRule="auto"/>
        <w:ind w:left="567" w:hanging="567"/>
        <w:rPr>
          <w:snapToGrid/>
          <w:szCs w:val="22"/>
          <w:lang w:val="lt-LT"/>
        </w:rPr>
      </w:pPr>
    </w:p>
    <w:p w14:paraId="3E9033B3"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1.</w:t>
      </w:r>
      <w:r w:rsidRPr="007777D9">
        <w:rPr>
          <w:b/>
          <w:caps/>
          <w:snapToGrid/>
          <w:szCs w:val="22"/>
          <w:lang w:val="lt-LT"/>
        </w:rPr>
        <w:tab/>
        <w:t>vaistinio preparato pavadinimas</w:t>
      </w:r>
    </w:p>
    <w:p w14:paraId="3D1C21A9" w14:textId="77777777" w:rsidR="004F7AA9" w:rsidRPr="007777D9" w:rsidRDefault="004F7AA9" w:rsidP="004F7AA9">
      <w:pPr>
        <w:tabs>
          <w:tab w:val="clear" w:pos="567"/>
        </w:tabs>
        <w:spacing w:line="240" w:lineRule="auto"/>
        <w:ind w:left="567" w:hanging="567"/>
        <w:rPr>
          <w:snapToGrid/>
          <w:szCs w:val="22"/>
          <w:lang w:val="lt-LT"/>
        </w:rPr>
      </w:pPr>
    </w:p>
    <w:p w14:paraId="7B441CBE"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4 mg/5 ml koncentratas infuziniam tirpalui</w:t>
      </w:r>
    </w:p>
    <w:p w14:paraId="7F0FA8BE" w14:textId="5E9CCBAD" w:rsidR="004F7AA9" w:rsidRPr="007777D9" w:rsidRDefault="00AF1034" w:rsidP="004F7AA9">
      <w:pPr>
        <w:tabs>
          <w:tab w:val="clear" w:pos="567"/>
        </w:tabs>
        <w:spacing w:line="240" w:lineRule="auto"/>
        <w:rPr>
          <w:snapToGrid/>
          <w:szCs w:val="22"/>
          <w:lang w:val="lt-LT"/>
        </w:rPr>
      </w:pPr>
      <w:r>
        <w:rPr>
          <w:snapToGrid/>
          <w:szCs w:val="22"/>
          <w:lang w:val="lt-LT"/>
        </w:rPr>
        <w:t>a</w:t>
      </w:r>
      <w:r w:rsidR="004F7AA9" w:rsidRPr="0097173F">
        <w:rPr>
          <w:snapToGrid/>
          <w:szCs w:val="22"/>
          <w:lang w:val="lt-LT"/>
        </w:rPr>
        <w:t>cidum zoledronicum</w:t>
      </w:r>
    </w:p>
    <w:p w14:paraId="16C98DD1" w14:textId="77777777" w:rsidR="004F7AA9" w:rsidRDefault="004F7AA9" w:rsidP="004F7AA9">
      <w:pPr>
        <w:tabs>
          <w:tab w:val="clear" w:pos="567"/>
        </w:tabs>
        <w:spacing w:line="240" w:lineRule="auto"/>
        <w:rPr>
          <w:snapToGrid/>
          <w:szCs w:val="22"/>
          <w:lang w:val="lt-LT"/>
        </w:rPr>
      </w:pPr>
    </w:p>
    <w:p w14:paraId="4D524A17" w14:textId="77777777" w:rsidR="004F7AA9" w:rsidRPr="007777D9" w:rsidRDefault="004F7AA9" w:rsidP="004F7AA9">
      <w:pPr>
        <w:tabs>
          <w:tab w:val="clear" w:pos="567"/>
        </w:tabs>
        <w:spacing w:line="240" w:lineRule="auto"/>
        <w:rPr>
          <w:snapToGrid/>
          <w:szCs w:val="22"/>
          <w:lang w:val="lt-LT"/>
        </w:rPr>
      </w:pPr>
    </w:p>
    <w:p w14:paraId="68F132EA"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2.</w:t>
      </w:r>
      <w:r w:rsidRPr="007777D9">
        <w:rPr>
          <w:b/>
          <w:caps/>
          <w:snapToGrid/>
          <w:szCs w:val="22"/>
          <w:lang w:val="lt-LT"/>
        </w:rPr>
        <w:tab/>
        <w:t>veikliOJI (-IOS) medžiagA (-OS) ir JOS (-Ų) kiekis (-IAI)</w:t>
      </w:r>
    </w:p>
    <w:p w14:paraId="083B1DB1" w14:textId="77777777" w:rsidR="004F7AA9" w:rsidRPr="007777D9" w:rsidRDefault="004F7AA9" w:rsidP="004F7AA9">
      <w:pPr>
        <w:tabs>
          <w:tab w:val="clear" w:pos="567"/>
        </w:tabs>
        <w:spacing w:line="240" w:lineRule="auto"/>
        <w:ind w:left="567" w:hanging="567"/>
        <w:rPr>
          <w:caps/>
          <w:snapToGrid/>
          <w:szCs w:val="22"/>
          <w:lang w:val="lt-LT"/>
        </w:rPr>
      </w:pPr>
    </w:p>
    <w:p w14:paraId="5EEECB3E" w14:textId="77777777" w:rsidR="004F7AA9" w:rsidRPr="007777D9" w:rsidRDefault="004F7AA9" w:rsidP="004F7AA9">
      <w:pPr>
        <w:tabs>
          <w:tab w:val="clear" w:pos="567"/>
        </w:tabs>
        <w:spacing w:line="240" w:lineRule="auto"/>
        <w:rPr>
          <w:snapToGrid/>
          <w:szCs w:val="22"/>
          <w:lang w:val="lt-LT"/>
        </w:rPr>
      </w:pPr>
      <w:r w:rsidRPr="007777D9">
        <w:rPr>
          <w:snapToGrid/>
          <w:szCs w:val="22"/>
          <w:lang w:val="lt-LT"/>
        </w:rPr>
        <w:t xml:space="preserve">Viename </w:t>
      </w:r>
      <w:r>
        <w:rPr>
          <w:snapToGrid/>
          <w:szCs w:val="22"/>
          <w:lang w:val="lt-LT"/>
        </w:rPr>
        <w:t>5 ml koncentrato flakone</w:t>
      </w:r>
      <w:r w:rsidRPr="007777D9">
        <w:rPr>
          <w:snapToGrid/>
          <w:szCs w:val="22"/>
          <w:lang w:val="lt-LT"/>
        </w:rPr>
        <w:t xml:space="preserve"> yra 4 mg zoledrono rūgšties</w:t>
      </w:r>
      <w:r>
        <w:rPr>
          <w:snapToGrid/>
          <w:szCs w:val="22"/>
          <w:lang w:val="lt-LT"/>
        </w:rPr>
        <w:t xml:space="preserve"> (monohidrato pavidalu)</w:t>
      </w:r>
      <w:r w:rsidRPr="007777D9">
        <w:rPr>
          <w:snapToGrid/>
          <w:szCs w:val="22"/>
          <w:lang w:val="lt-LT"/>
        </w:rPr>
        <w:t>.</w:t>
      </w:r>
    </w:p>
    <w:p w14:paraId="09F7EF5B"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Viename mililitre koncentrato yra 0,8 mg zoledrono rūgšties (monohidrato </w:t>
      </w:r>
      <w:r>
        <w:rPr>
          <w:snapToGrid/>
          <w:szCs w:val="22"/>
          <w:lang w:val="lt-LT"/>
        </w:rPr>
        <w:t>pavidalu</w:t>
      </w:r>
      <w:r w:rsidRPr="007777D9">
        <w:rPr>
          <w:snapToGrid/>
          <w:szCs w:val="22"/>
          <w:lang w:val="lt-LT"/>
        </w:rPr>
        <w:t>).</w:t>
      </w:r>
    </w:p>
    <w:p w14:paraId="07A623C5" w14:textId="77777777" w:rsidR="004F7AA9" w:rsidRPr="007777D9" w:rsidRDefault="004F7AA9" w:rsidP="004F7AA9">
      <w:pPr>
        <w:tabs>
          <w:tab w:val="clear" w:pos="567"/>
        </w:tabs>
        <w:spacing w:line="240" w:lineRule="auto"/>
        <w:ind w:left="567" w:hanging="567"/>
        <w:rPr>
          <w:caps/>
          <w:snapToGrid/>
          <w:szCs w:val="22"/>
          <w:lang w:val="lt-LT"/>
        </w:rPr>
      </w:pPr>
    </w:p>
    <w:p w14:paraId="0BB6E867" w14:textId="77777777" w:rsidR="004F7AA9" w:rsidRPr="007777D9" w:rsidRDefault="004F7AA9" w:rsidP="004F7AA9">
      <w:pPr>
        <w:tabs>
          <w:tab w:val="clear" w:pos="567"/>
        </w:tabs>
        <w:spacing w:line="240" w:lineRule="auto"/>
        <w:ind w:left="567" w:hanging="567"/>
        <w:rPr>
          <w:caps/>
          <w:snapToGrid/>
          <w:szCs w:val="22"/>
          <w:lang w:val="lt-LT"/>
        </w:rPr>
      </w:pPr>
    </w:p>
    <w:p w14:paraId="02FE74DD"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3.</w:t>
      </w:r>
      <w:r w:rsidRPr="007777D9">
        <w:rPr>
          <w:b/>
          <w:caps/>
          <w:snapToGrid/>
          <w:szCs w:val="22"/>
          <w:lang w:val="lt-LT"/>
        </w:rPr>
        <w:tab/>
        <w:t>pagalbinių medžiagų sąrašas</w:t>
      </w:r>
    </w:p>
    <w:p w14:paraId="76D5F3A9" w14:textId="77777777" w:rsidR="004F7AA9" w:rsidRPr="007777D9" w:rsidRDefault="004F7AA9" w:rsidP="004F7AA9">
      <w:pPr>
        <w:tabs>
          <w:tab w:val="clear" w:pos="567"/>
        </w:tabs>
        <w:spacing w:line="240" w:lineRule="auto"/>
        <w:ind w:left="567" w:hanging="567"/>
        <w:rPr>
          <w:caps/>
          <w:snapToGrid/>
          <w:szCs w:val="22"/>
          <w:lang w:val="lt-LT"/>
        </w:rPr>
      </w:pPr>
    </w:p>
    <w:p w14:paraId="08F18F24" w14:textId="77777777" w:rsidR="004F7AA9" w:rsidRDefault="004F7AA9" w:rsidP="004F7AA9">
      <w:pPr>
        <w:tabs>
          <w:tab w:val="clear" w:pos="567"/>
        </w:tabs>
        <w:spacing w:line="240" w:lineRule="auto"/>
        <w:rPr>
          <w:iCs/>
          <w:snapToGrid/>
          <w:szCs w:val="22"/>
          <w:lang w:val="lt-LT"/>
        </w:rPr>
      </w:pPr>
      <w:r>
        <w:rPr>
          <w:iCs/>
          <w:snapToGrid/>
          <w:szCs w:val="22"/>
          <w:lang w:val="lt-LT"/>
        </w:rPr>
        <w:t xml:space="preserve">Pagalbinės medžiagos: </w:t>
      </w:r>
      <w:r w:rsidRPr="007777D9">
        <w:rPr>
          <w:iCs/>
          <w:snapToGrid/>
          <w:szCs w:val="22"/>
          <w:lang w:val="lt-LT"/>
        </w:rPr>
        <w:t>manitoli</w:t>
      </w:r>
      <w:r>
        <w:rPr>
          <w:iCs/>
          <w:snapToGrid/>
          <w:szCs w:val="22"/>
          <w:lang w:val="lt-LT"/>
        </w:rPr>
        <w:t>s, natrio citratas ir injekcinis vanduo.</w:t>
      </w:r>
    </w:p>
    <w:p w14:paraId="360CFC1F" w14:textId="77777777" w:rsidR="004F7AA9" w:rsidRPr="007777D9" w:rsidRDefault="004F7AA9" w:rsidP="004F7AA9">
      <w:pPr>
        <w:tabs>
          <w:tab w:val="clear" w:pos="567"/>
        </w:tabs>
        <w:spacing w:line="240" w:lineRule="auto"/>
        <w:ind w:left="567" w:hanging="567"/>
        <w:rPr>
          <w:caps/>
          <w:snapToGrid/>
          <w:szCs w:val="22"/>
          <w:lang w:val="lt-LT"/>
        </w:rPr>
      </w:pPr>
    </w:p>
    <w:p w14:paraId="2B30F2E7" w14:textId="77777777" w:rsidR="004F7AA9" w:rsidRPr="007777D9" w:rsidRDefault="004F7AA9" w:rsidP="004F7AA9">
      <w:pPr>
        <w:tabs>
          <w:tab w:val="clear" w:pos="567"/>
        </w:tabs>
        <w:spacing w:line="240" w:lineRule="auto"/>
        <w:ind w:left="567" w:hanging="567"/>
        <w:rPr>
          <w:caps/>
          <w:snapToGrid/>
          <w:szCs w:val="22"/>
          <w:lang w:val="lt-LT"/>
        </w:rPr>
      </w:pPr>
    </w:p>
    <w:p w14:paraId="0FE33FE5"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4.</w:t>
      </w:r>
      <w:r w:rsidRPr="007777D9">
        <w:rPr>
          <w:b/>
          <w:caps/>
          <w:snapToGrid/>
          <w:szCs w:val="22"/>
          <w:lang w:val="lt-LT"/>
        </w:rPr>
        <w:tab/>
        <w:t>FARMACINĖ forma ir KIEKIS PAKUOTĖJE</w:t>
      </w:r>
    </w:p>
    <w:p w14:paraId="1C16DB9B" w14:textId="77777777" w:rsidR="004F7AA9" w:rsidRPr="007777D9" w:rsidRDefault="004F7AA9" w:rsidP="004F7AA9">
      <w:pPr>
        <w:tabs>
          <w:tab w:val="clear" w:pos="567"/>
        </w:tabs>
        <w:spacing w:line="240" w:lineRule="auto"/>
        <w:ind w:left="567" w:hanging="567"/>
        <w:rPr>
          <w:caps/>
          <w:snapToGrid/>
          <w:szCs w:val="22"/>
          <w:lang w:val="lt-LT"/>
        </w:rPr>
      </w:pPr>
    </w:p>
    <w:p w14:paraId="33F3919E" w14:textId="77777777" w:rsidR="004F7AA9" w:rsidRPr="007777D9" w:rsidRDefault="004F7AA9" w:rsidP="004F7AA9">
      <w:pPr>
        <w:tabs>
          <w:tab w:val="clear" w:pos="567"/>
        </w:tabs>
        <w:spacing w:line="240" w:lineRule="auto"/>
        <w:ind w:left="567" w:hanging="567"/>
        <w:rPr>
          <w:snapToGrid/>
          <w:szCs w:val="22"/>
          <w:lang w:val="lt-LT"/>
        </w:rPr>
      </w:pPr>
      <w:r w:rsidRPr="0077347E">
        <w:rPr>
          <w:snapToGrid/>
          <w:szCs w:val="22"/>
          <w:highlight w:val="lightGray"/>
          <w:lang w:val="lt-LT"/>
        </w:rPr>
        <w:t>Koncentratas infuziniam tirpalui</w:t>
      </w:r>
    </w:p>
    <w:p w14:paraId="222618BE" w14:textId="77777777" w:rsidR="004F7AA9" w:rsidRPr="0077347E" w:rsidRDefault="004F7AA9" w:rsidP="004F7AA9">
      <w:pPr>
        <w:tabs>
          <w:tab w:val="clear" w:pos="567"/>
        </w:tabs>
        <w:spacing w:line="240" w:lineRule="auto"/>
        <w:ind w:left="567" w:hanging="567"/>
        <w:rPr>
          <w:snapToGrid/>
          <w:szCs w:val="22"/>
          <w:highlight w:val="lightGray"/>
          <w:lang w:val="lt-LT"/>
        </w:rPr>
      </w:pPr>
      <w:r w:rsidRPr="0077347E">
        <w:rPr>
          <w:snapToGrid/>
          <w:szCs w:val="22"/>
          <w:highlight w:val="lightGray"/>
          <w:lang w:val="lt-LT"/>
        </w:rPr>
        <w:t>4 mg/5 ml</w:t>
      </w:r>
    </w:p>
    <w:p w14:paraId="2A8FE94C" w14:textId="77777777" w:rsidR="004F7AA9" w:rsidRPr="007777D9" w:rsidRDefault="004F7AA9" w:rsidP="004F7AA9">
      <w:pPr>
        <w:tabs>
          <w:tab w:val="clear" w:pos="567"/>
        </w:tabs>
        <w:spacing w:line="240" w:lineRule="auto"/>
        <w:ind w:left="567" w:hanging="567"/>
        <w:rPr>
          <w:caps/>
          <w:snapToGrid/>
          <w:szCs w:val="22"/>
          <w:lang w:val="lt-LT"/>
        </w:rPr>
      </w:pPr>
      <w:r w:rsidRPr="007777D9">
        <w:rPr>
          <w:snapToGrid/>
          <w:szCs w:val="22"/>
          <w:lang w:val="lt-LT"/>
        </w:rPr>
        <w:t xml:space="preserve">1 </w:t>
      </w:r>
      <w:r>
        <w:rPr>
          <w:snapToGrid/>
          <w:szCs w:val="22"/>
          <w:lang w:val="lt-LT"/>
        </w:rPr>
        <w:t>flakonas</w:t>
      </w:r>
    </w:p>
    <w:p w14:paraId="6DF5CBE4" w14:textId="77777777" w:rsidR="004F7AA9" w:rsidRPr="007777D9" w:rsidRDefault="004F7AA9" w:rsidP="004F7AA9">
      <w:pPr>
        <w:tabs>
          <w:tab w:val="clear" w:pos="567"/>
        </w:tabs>
        <w:spacing w:line="240" w:lineRule="auto"/>
        <w:ind w:left="567" w:hanging="567"/>
        <w:rPr>
          <w:caps/>
          <w:snapToGrid/>
          <w:szCs w:val="22"/>
          <w:lang w:val="lt-LT"/>
        </w:rPr>
      </w:pPr>
    </w:p>
    <w:p w14:paraId="099BEE61" w14:textId="77777777" w:rsidR="004F7AA9" w:rsidRPr="007777D9" w:rsidRDefault="004F7AA9" w:rsidP="004F7AA9">
      <w:pPr>
        <w:tabs>
          <w:tab w:val="clear" w:pos="567"/>
        </w:tabs>
        <w:spacing w:line="240" w:lineRule="auto"/>
        <w:ind w:left="567" w:hanging="567"/>
        <w:rPr>
          <w:caps/>
          <w:snapToGrid/>
          <w:szCs w:val="22"/>
          <w:lang w:val="lt-LT"/>
        </w:rPr>
      </w:pPr>
    </w:p>
    <w:p w14:paraId="3E14BF27"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5.</w:t>
      </w:r>
      <w:r w:rsidRPr="007777D9">
        <w:rPr>
          <w:b/>
          <w:caps/>
          <w:snapToGrid/>
          <w:szCs w:val="22"/>
          <w:lang w:val="lt-LT"/>
        </w:rPr>
        <w:tab/>
        <w:t>vartojimo METODAS IR būdas (-AI)</w:t>
      </w:r>
    </w:p>
    <w:p w14:paraId="3CF612AF" w14:textId="77777777" w:rsidR="004F7AA9" w:rsidRPr="007777D9" w:rsidRDefault="004F7AA9" w:rsidP="004F7AA9">
      <w:pPr>
        <w:tabs>
          <w:tab w:val="clear" w:pos="567"/>
        </w:tabs>
        <w:spacing w:line="240" w:lineRule="auto"/>
        <w:ind w:left="567" w:hanging="567"/>
        <w:rPr>
          <w:caps/>
          <w:snapToGrid/>
          <w:szCs w:val="22"/>
          <w:lang w:val="lt-LT"/>
        </w:rPr>
      </w:pPr>
    </w:p>
    <w:p w14:paraId="4737A368" w14:textId="77777777" w:rsidR="004F7AA9" w:rsidRPr="007777D9" w:rsidRDefault="004F7AA9" w:rsidP="004F7AA9">
      <w:pPr>
        <w:tabs>
          <w:tab w:val="clear" w:pos="567"/>
        </w:tabs>
        <w:spacing w:line="240" w:lineRule="auto"/>
        <w:rPr>
          <w:snapToGrid/>
          <w:szCs w:val="22"/>
          <w:lang w:val="lt-LT"/>
        </w:rPr>
      </w:pPr>
      <w:r w:rsidRPr="007777D9">
        <w:rPr>
          <w:snapToGrid/>
          <w:szCs w:val="22"/>
          <w:lang w:val="lt-LT"/>
        </w:rPr>
        <w:t>Prieš vartojimą perskait</w:t>
      </w:r>
      <w:r>
        <w:rPr>
          <w:snapToGrid/>
          <w:szCs w:val="22"/>
          <w:lang w:val="lt-LT"/>
        </w:rPr>
        <w:t>ykite pakuotės lapelį.</w:t>
      </w:r>
    </w:p>
    <w:p w14:paraId="3C84B2D6" w14:textId="77777777" w:rsidR="004F7AA9" w:rsidRDefault="004F7AA9" w:rsidP="004F7AA9">
      <w:pPr>
        <w:tabs>
          <w:tab w:val="clear" w:pos="567"/>
        </w:tabs>
        <w:spacing w:line="240" w:lineRule="auto"/>
        <w:rPr>
          <w:snapToGrid/>
          <w:szCs w:val="22"/>
          <w:lang w:val="lt-LT"/>
        </w:rPr>
      </w:pPr>
      <w:r w:rsidRPr="007777D9">
        <w:rPr>
          <w:snapToGrid/>
          <w:szCs w:val="22"/>
          <w:lang w:val="lt-LT"/>
        </w:rPr>
        <w:t xml:space="preserve">Prieš vartojimą </w:t>
      </w:r>
      <w:r>
        <w:rPr>
          <w:snapToGrid/>
          <w:szCs w:val="22"/>
          <w:lang w:val="lt-LT"/>
        </w:rPr>
        <w:t>praskiesti.</w:t>
      </w:r>
    </w:p>
    <w:p w14:paraId="49CD7E5A" w14:textId="77777777" w:rsidR="004F7AA9" w:rsidRPr="007777D9" w:rsidRDefault="004F7AA9" w:rsidP="004F7AA9">
      <w:pPr>
        <w:tabs>
          <w:tab w:val="clear" w:pos="567"/>
        </w:tabs>
        <w:spacing w:line="240" w:lineRule="auto"/>
        <w:rPr>
          <w:snapToGrid/>
          <w:szCs w:val="22"/>
          <w:lang w:val="lt-LT"/>
        </w:rPr>
      </w:pPr>
      <w:r>
        <w:rPr>
          <w:snapToGrid/>
          <w:szCs w:val="22"/>
          <w:lang w:val="lt-LT"/>
        </w:rPr>
        <w:t>Leisti tik į veną.</w:t>
      </w:r>
    </w:p>
    <w:p w14:paraId="6B752EE4" w14:textId="77777777" w:rsidR="004F7AA9" w:rsidRPr="007777D9" w:rsidRDefault="004F7AA9" w:rsidP="004F7AA9">
      <w:pPr>
        <w:tabs>
          <w:tab w:val="clear" w:pos="567"/>
        </w:tabs>
        <w:spacing w:line="240" w:lineRule="auto"/>
        <w:rPr>
          <w:snapToGrid/>
          <w:szCs w:val="22"/>
          <w:lang w:val="lt-LT"/>
        </w:rPr>
      </w:pPr>
    </w:p>
    <w:p w14:paraId="0994C5C3" w14:textId="77777777" w:rsidR="004F7AA9" w:rsidRPr="007777D9" w:rsidRDefault="004F7AA9" w:rsidP="004F7AA9">
      <w:pPr>
        <w:tabs>
          <w:tab w:val="clear" w:pos="567"/>
        </w:tabs>
        <w:spacing w:line="240" w:lineRule="auto"/>
        <w:rPr>
          <w:snapToGrid/>
          <w:szCs w:val="22"/>
          <w:lang w:val="lt-LT"/>
        </w:rPr>
      </w:pPr>
    </w:p>
    <w:p w14:paraId="2B7370BB"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720" w:hanging="720"/>
        <w:outlineLvl w:val="0"/>
        <w:rPr>
          <w:b/>
          <w:caps/>
          <w:snapToGrid/>
          <w:szCs w:val="22"/>
          <w:lang w:val="lt-LT"/>
        </w:rPr>
      </w:pPr>
      <w:r w:rsidRPr="007777D9">
        <w:rPr>
          <w:b/>
          <w:caps/>
          <w:snapToGrid/>
          <w:szCs w:val="22"/>
          <w:lang w:val="lt-LT"/>
        </w:rPr>
        <w:t>6.</w:t>
      </w:r>
      <w:r w:rsidRPr="007777D9">
        <w:rPr>
          <w:b/>
          <w:caps/>
          <w:snapToGrid/>
          <w:szCs w:val="22"/>
          <w:lang w:val="lt-LT"/>
        </w:rPr>
        <w:tab/>
        <w:t>SPECIALUS Įspėjimas</w:t>
      </w:r>
      <w:r w:rsidRPr="007777D9">
        <w:rPr>
          <w:snapToGrid/>
          <w:szCs w:val="22"/>
          <w:lang w:val="lt-LT"/>
        </w:rPr>
        <w:t xml:space="preserve">, </w:t>
      </w:r>
      <w:r w:rsidRPr="007777D9">
        <w:rPr>
          <w:b/>
          <w:snapToGrid/>
          <w:szCs w:val="22"/>
          <w:lang w:val="lt-LT"/>
        </w:rPr>
        <w:t xml:space="preserve">KAD VAISTINĮ PREPARATĄ BŪTINA LAIKYTI </w:t>
      </w:r>
      <w:r w:rsidRPr="007777D9">
        <w:rPr>
          <w:b/>
          <w:caps/>
          <w:snapToGrid/>
          <w:szCs w:val="22"/>
          <w:lang w:val="lt-LT"/>
        </w:rPr>
        <w:t>vaikams nepastebimoje IR NEPASIEKIAMOJE vietoje</w:t>
      </w:r>
    </w:p>
    <w:p w14:paraId="06B873D4" w14:textId="77777777" w:rsidR="004F7AA9" w:rsidRPr="007777D9" w:rsidRDefault="004F7AA9" w:rsidP="004F7AA9">
      <w:pPr>
        <w:tabs>
          <w:tab w:val="clear" w:pos="567"/>
        </w:tabs>
        <w:spacing w:line="240" w:lineRule="auto"/>
        <w:ind w:left="567" w:hanging="567"/>
        <w:rPr>
          <w:snapToGrid/>
          <w:szCs w:val="22"/>
          <w:lang w:val="lt-LT"/>
        </w:rPr>
      </w:pPr>
    </w:p>
    <w:p w14:paraId="6D4040D6" w14:textId="77777777" w:rsidR="004F7AA9" w:rsidRPr="007777D9" w:rsidRDefault="004F7AA9" w:rsidP="004F7AA9">
      <w:pPr>
        <w:tabs>
          <w:tab w:val="clear" w:pos="567"/>
        </w:tabs>
        <w:spacing w:line="240" w:lineRule="auto"/>
        <w:ind w:left="567" w:hanging="567"/>
        <w:outlineLvl w:val="0"/>
        <w:rPr>
          <w:snapToGrid/>
          <w:szCs w:val="22"/>
          <w:lang w:val="lt-LT"/>
        </w:rPr>
      </w:pPr>
      <w:r w:rsidRPr="007777D9">
        <w:rPr>
          <w:snapToGrid/>
          <w:szCs w:val="22"/>
          <w:lang w:val="lt-LT"/>
        </w:rPr>
        <w:t>Laikyti vaikams nepastebimoje ir nepasiekiamoje vietoje.</w:t>
      </w:r>
    </w:p>
    <w:p w14:paraId="5504541E" w14:textId="77777777" w:rsidR="004F7AA9" w:rsidRPr="007777D9" w:rsidRDefault="004F7AA9" w:rsidP="004F7AA9">
      <w:pPr>
        <w:tabs>
          <w:tab w:val="clear" w:pos="567"/>
        </w:tabs>
        <w:spacing w:line="240" w:lineRule="auto"/>
        <w:ind w:left="567" w:hanging="567"/>
        <w:rPr>
          <w:snapToGrid/>
          <w:szCs w:val="22"/>
          <w:lang w:val="lt-LT"/>
        </w:rPr>
      </w:pPr>
    </w:p>
    <w:p w14:paraId="221BDED6" w14:textId="77777777" w:rsidR="004F7AA9" w:rsidRPr="007777D9" w:rsidRDefault="004F7AA9" w:rsidP="004F7AA9">
      <w:pPr>
        <w:tabs>
          <w:tab w:val="clear" w:pos="567"/>
        </w:tabs>
        <w:spacing w:line="240" w:lineRule="auto"/>
        <w:ind w:left="567" w:hanging="567"/>
        <w:rPr>
          <w:snapToGrid/>
          <w:szCs w:val="22"/>
          <w:lang w:val="lt-LT"/>
        </w:rPr>
      </w:pPr>
    </w:p>
    <w:p w14:paraId="22408CB7"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7.</w:t>
      </w:r>
      <w:r w:rsidRPr="007777D9">
        <w:rPr>
          <w:b/>
          <w:caps/>
          <w:snapToGrid/>
          <w:szCs w:val="22"/>
          <w:lang w:val="lt-LT"/>
        </w:rPr>
        <w:tab/>
        <w:t>kitas (-I) specialus (-ŪS) Įspėjimas (-AI) (jei reikia)</w:t>
      </w:r>
    </w:p>
    <w:p w14:paraId="2162FB36" w14:textId="77777777" w:rsidR="004F7AA9" w:rsidRPr="007777D9" w:rsidRDefault="004F7AA9" w:rsidP="004F7AA9">
      <w:pPr>
        <w:tabs>
          <w:tab w:val="clear" w:pos="567"/>
        </w:tabs>
        <w:spacing w:line="240" w:lineRule="auto"/>
        <w:ind w:left="567" w:hanging="567"/>
        <w:rPr>
          <w:caps/>
          <w:snapToGrid/>
          <w:szCs w:val="22"/>
          <w:lang w:val="lt-LT"/>
        </w:rPr>
      </w:pPr>
    </w:p>
    <w:p w14:paraId="6D4BF8F7" w14:textId="77777777" w:rsidR="004F7AA9" w:rsidRPr="007777D9" w:rsidRDefault="004F7AA9" w:rsidP="004F7AA9">
      <w:pPr>
        <w:tabs>
          <w:tab w:val="clear" w:pos="567"/>
        </w:tabs>
        <w:spacing w:line="240" w:lineRule="auto"/>
        <w:ind w:left="567" w:hanging="567"/>
        <w:rPr>
          <w:caps/>
          <w:snapToGrid/>
          <w:szCs w:val="22"/>
          <w:lang w:val="lt-LT"/>
        </w:rPr>
      </w:pPr>
    </w:p>
    <w:p w14:paraId="169B1E55"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8.</w:t>
      </w:r>
      <w:r w:rsidRPr="007777D9">
        <w:rPr>
          <w:b/>
          <w:caps/>
          <w:snapToGrid/>
          <w:szCs w:val="22"/>
          <w:lang w:val="lt-LT"/>
        </w:rPr>
        <w:tab/>
        <w:t>tinkamumo laikas</w:t>
      </w:r>
    </w:p>
    <w:p w14:paraId="57E76D6E" w14:textId="77777777" w:rsidR="004F7AA9" w:rsidRPr="007777D9" w:rsidRDefault="004F7AA9" w:rsidP="004F7AA9">
      <w:pPr>
        <w:tabs>
          <w:tab w:val="clear" w:pos="567"/>
        </w:tabs>
        <w:spacing w:line="240" w:lineRule="auto"/>
        <w:ind w:left="567" w:hanging="567"/>
        <w:rPr>
          <w:snapToGrid/>
          <w:szCs w:val="22"/>
          <w:lang w:val="lt-LT"/>
        </w:rPr>
      </w:pPr>
    </w:p>
    <w:p w14:paraId="645E0AE5" w14:textId="77777777" w:rsidR="004F7AA9" w:rsidRPr="007777D9" w:rsidRDefault="004F7AA9" w:rsidP="004F7AA9">
      <w:pPr>
        <w:tabs>
          <w:tab w:val="clear" w:pos="567"/>
        </w:tabs>
        <w:spacing w:line="240" w:lineRule="auto"/>
        <w:ind w:left="567" w:hanging="567"/>
        <w:outlineLvl w:val="0"/>
        <w:rPr>
          <w:snapToGrid/>
          <w:szCs w:val="22"/>
          <w:lang w:val="lt-LT"/>
        </w:rPr>
      </w:pPr>
      <w:r>
        <w:rPr>
          <w:snapToGrid/>
          <w:szCs w:val="22"/>
          <w:lang w:val="lt-LT"/>
        </w:rPr>
        <w:t>EXP {mm.MMMM}</w:t>
      </w:r>
    </w:p>
    <w:p w14:paraId="06D4EFA7" w14:textId="77777777" w:rsidR="004F7AA9" w:rsidRPr="007777D9" w:rsidRDefault="004F7AA9" w:rsidP="004F7AA9">
      <w:pPr>
        <w:tabs>
          <w:tab w:val="clear" w:pos="567"/>
        </w:tabs>
        <w:spacing w:line="240" w:lineRule="auto"/>
        <w:ind w:left="567" w:hanging="567"/>
        <w:rPr>
          <w:snapToGrid/>
          <w:szCs w:val="22"/>
          <w:lang w:val="lt-LT"/>
        </w:rPr>
      </w:pPr>
      <w:r>
        <w:rPr>
          <w:snapToGrid/>
          <w:szCs w:val="22"/>
          <w:lang w:val="lt-LT"/>
        </w:rPr>
        <w:t>Paruošto tirpalo laikymo sąlygos nurodytos pakuotės lapelyje</w:t>
      </w:r>
      <w:r w:rsidRPr="007777D9">
        <w:rPr>
          <w:snapToGrid/>
          <w:szCs w:val="22"/>
          <w:lang w:val="lt-LT"/>
        </w:rPr>
        <w:t>.</w:t>
      </w:r>
    </w:p>
    <w:p w14:paraId="31FA81D5" w14:textId="77777777" w:rsidR="004F7AA9" w:rsidRPr="007777D9" w:rsidRDefault="004F7AA9" w:rsidP="004F7AA9">
      <w:pPr>
        <w:tabs>
          <w:tab w:val="clear" w:pos="567"/>
        </w:tabs>
        <w:spacing w:line="240" w:lineRule="auto"/>
        <w:ind w:left="567" w:hanging="567"/>
        <w:rPr>
          <w:snapToGrid/>
          <w:szCs w:val="22"/>
          <w:lang w:val="lt-LT"/>
        </w:rPr>
      </w:pPr>
    </w:p>
    <w:p w14:paraId="725389A4" w14:textId="77777777" w:rsidR="004F7AA9" w:rsidRPr="007777D9" w:rsidRDefault="004F7AA9" w:rsidP="004F7AA9">
      <w:pPr>
        <w:tabs>
          <w:tab w:val="clear" w:pos="567"/>
        </w:tabs>
        <w:spacing w:line="240" w:lineRule="auto"/>
        <w:ind w:left="567" w:hanging="567"/>
        <w:rPr>
          <w:snapToGrid/>
          <w:szCs w:val="22"/>
          <w:lang w:val="lt-LT"/>
        </w:rPr>
      </w:pPr>
    </w:p>
    <w:p w14:paraId="09D43A70"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9.</w:t>
      </w:r>
      <w:r w:rsidRPr="007777D9">
        <w:rPr>
          <w:b/>
          <w:caps/>
          <w:snapToGrid/>
          <w:szCs w:val="22"/>
          <w:lang w:val="lt-LT"/>
        </w:rPr>
        <w:tab/>
        <w:t>SPECIALIOS laikymo sąlygos</w:t>
      </w:r>
    </w:p>
    <w:p w14:paraId="2DD296DB" w14:textId="77777777" w:rsidR="004F7AA9" w:rsidRPr="007777D9" w:rsidRDefault="004F7AA9" w:rsidP="004F7AA9">
      <w:pPr>
        <w:tabs>
          <w:tab w:val="clear" w:pos="567"/>
        </w:tabs>
        <w:spacing w:line="240" w:lineRule="auto"/>
        <w:rPr>
          <w:snapToGrid/>
          <w:szCs w:val="22"/>
          <w:lang w:val="lt-LT"/>
        </w:rPr>
      </w:pPr>
    </w:p>
    <w:p w14:paraId="02F223EF" w14:textId="77777777" w:rsidR="004F7AA9" w:rsidRDefault="004F7AA9" w:rsidP="004F7AA9">
      <w:pPr>
        <w:widowControl w:val="0"/>
        <w:tabs>
          <w:tab w:val="clear" w:pos="567"/>
        </w:tabs>
        <w:spacing w:line="240" w:lineRule="auto"/>
        <w:rPr>
          <w:snapToGrid/>
          <w:szCs w:val="22"/>
          <w:lang w:val="lt-LT"/>
        </w:rPr>
      </w:pPr>
      <w:r>
        <w:rPr>
          <w:lang w:val="lt-LT"/>
        </w:rPr>
        <w:t xml:space="preserve">Laikyti ne aukštesnėje kaip </w:t>
      </w:r>
      <w:r w:rsidRPr="00153901">
        <w:rPr>
          <w:lang w:val="lt-LT"/>
        </w:rPr>
        <w:t xml:space="preserve">25 </w:t>
      </w:r>
      <w:r w:rsidRPr="00153901">
        <w:rPr>
          <w:szCs w:val="22"/>
          <w:lang w:val="lt-LT"/>
        </w:rPr>
        <w:sym w:font="Symbol" w:char="F0B0"/>
      </w:r>
      <w:r w:rsidRPr="00153901">
        <w:rPr>
          <w:lang w:val="lt-LT"/>
        </w:rPr>
        <w:t>C temperatūroje</w:t>
      </w:r>
      <w:r>
        <w:rPr>
          <w:snapToGrid/>
          <w:szCs w:val="22"/>
          <w:lang w:val="lt-LT"/>
        </w:rPr>
        <w:t>.</w:t>
      </w:r>
    </w:p>
    <w:p w14:paraId="1E59292B" w14:textId="77777777" w:rsidR="004F7AA9" w:rsidRPr="007777D9" w:rsidRDefault="004F7AA9" w:rsidP="004F7AA9">
      <w:pPr>
        <w:widowControl w:val="0"/>
        <w:tabs>
          <w:tab w:val="clear" w:pos="567"/>
        </w:tabs>
        <w:spacing w:line="240" w:lineRule="auto"/>
        <w:rPr>
          <w:snapToGrid/>
          <w:szCs w:val="22"/>
          <w:lang w:val="lt-LT"/>
        </w:rPr>
      </w:pPr>
      <w:r>
        <w:rPr>
          <w:snapToGrid/>
          <w:szCs w:val="22"/>
          <w:lang w:val="lt-LT"/>
        </w:rPr>
        <w:t>Laikyti gamintojo pakuotėje, kad vaistas būtų apsaugotas nuo šviesos.</w:t>
      </w:r>
    </w:p>
    <w:p w14:paraId="5D8D29F1" w14:textId="77777777" w:rsidR="004F7AA9" w:rsidRDefault="004F7AA9" w:rsidP="004F7AA9">
      <w:pPr>
        <w:tabs>
          <w:tab w:val="clear" w:pos="567"/>
        </w:tabs>
        <w:spacing w:line="240" w:lineRule="auto"/>
        <w:ind w:left="567" w:hanging="567"/>
        <w:rPr>
          <w:snapToGrid/>
          <w:szCs w:val="22"/>
          <w:lang w:val="lt-LT"/>
        </w:rPr>
      </w:pPr>
    </w:p>
    <w:p w14:paraId="0B8EF2CC" w14:textId="77777777" w:rsidR="004F7AA9" w:rsidRPr="007777D9" w:rsidRDefault="004F7AA9" w:rsidP="004F7AA9">
      <w:pPr>
        <w:tabs>
          <w:tab w:val="clear" w:pos="567"/>
        </w:tabs>
        <w:spacing w:line="240" w:lineRule="auto"/>
        <w:ind w:left="567" w:hanging="567"/>
        <w:rPr>
          <w:snapToGrid/>
          <w:szCs w:val="22"/>
          <w:lang w:val="lt-LT"/>
        </w:rPr>
      </w:pPr>
    </w:p>
    <w:p w14:paraId="06053356"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10.</w:t>
      </w:r>
      <w:r w:rsidRPr="007777D9">
        <w:rPr>
          <w:b/>
          <w:caps/>
          <w:snapToGrid/>
          <w:szCs w:val="22"/>
          <w:lang w:val="lt-LT"/>
        </w:rPr>
        <w:tab/>
        <w:t>specialios atsargumo priemonės dėl</w:t>
      </w:r>
      <w:r w:rsidRPr="007777D9">
        <w:rPr>
          <w:b/>
          <w:snapToGrid/>
          <w:szCs w:val="22"/>
          <w:lang w:val="lt-LT"/>
        </w:rPr>
        <w:t xml:space="preserve"> </w:t>
      </w:r>
      <w:r w:rsidRPr="007777D9">
        <w:rPr>
          <w:b/>
          <w:caps/>
          <w:snapToGrid/>
          <w:szCs w:val="22"/>
          <w:lang w:val="lt-LT"/>
        </w:rPr>
        <w:t>Nesuvartoto VAISTINIO PREPARATO AR jo ATLIEKų tvarkymo</w:t>
      </w:r>
      <w:r w:rsidRPr="007777D9">
        <w:rPr>
          <w:caps/>
          <w:snapToGrid/>
          <w:szCs w:val="22"/>
          <w:lang w:val="lt-LT"/>
        </w:rPr>
        <w:t xml:space="preserve"> </w:t>
      </w:r>
      <w:r w:rsidRPr="007777D9">
        <w:rPr>
          <w:b/>
          <w:caps/>
          <w:snapToGrid/>
          <w:szCs w:val="22"/>
          <w:lang w:val="lt-LT"/>
        </w:rPr>
        <w:t>(jei reikia)</w:t>
      </w:r>
    </w:p>
    <w:p w14:paraId="108F18B3" w14:textId="77777777" w:rsidR="004F7AA9" w:rsidRPr="007777D9" w:rsidRDefault="004F7AA9" w:rsidP="004F7AA9">
      <w:pPr>
        <w:tabs>
          <w:tab w:val="clear" w:pos="567"/>
        </w:tabs>
        <w:spacing w:line="240" w:lineRule="auto"/>
        <w:ind w:left="567" w:hanging="567"/>
        <w:rPr>
          <w:snapToGrid/>
          <w:szCs w:val="22"/>
          <w:lang w:val="lt-LT"/>
        </w:rPr>
      </w:pPr>
    </w:p>
    <w:p w14:paraId="5CB3562E" w14:textId="77777777" w:rsidR="004F7AA9" w:rsidRPr="007777D9" w:rsidRDefault="004F7AA9" w:rsidP="004F7AA9">
      <w:pPr>
        <w:tabs>
          <w:tab w:val="clear" w:pos="567"/>
        </w:tabs>
        <w:spacing w:line="240" w:lineRule="auto"/>
        <w:ind w:left="567" w:hanging="567"/>
        <w:rPr>
          <w:caps/>
          <w:snapToGrid/>
          <w:szCs w:val="22"/>
          <w:lang w:val="lt-LT"/>
        </w:rPr>
      </w:pPr>
    </w:p>
    <w:p w14:paraId="66FE03AB"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11.</w:t>
      </w:r>
      <w:r w:rsidRPr="007777D9">
        <w:rPr>
          <w:b/>
          <w:caps/>
          <w:snapToGrid/>
          <w:szCs w:val="22"/>
          <w:lang w:val="lt-LT"/>
        </w:rPr>
        <w:tab/>
        <w:t>REGISTRUOTOJO pavadinimas ir adresas</w:t>
      </w:r>
    </w:p>
    <w:p w14:paraId="39DF929C" w14:textId="77777777" w:rsidR="004F7AA9" w:rsidRPr="007777D9" w:rsidRDefault="004F7AA9" w:rsidP="004F7AA9">
      <w:pPr>
        <w:tabs>
          <w:tab w:val="clear" w:pos="567"/>
        </w:tabs>
        <w:spacing w:line="240" w:lineRule="auto"/>
        <w:ind w:left="567" w:hanging="567"/>
        <w:rPr>
          <w:caps/>
          <w:snapToGrid/>
          <w:szCs w:val="22"/>
          <w:lang w:val="lt-LT"/>
        </w:rPr>
      </w:pPr>
    </w:p>
    <w:p w14:paraId="51083C31" w14:textId="77777777" w:rsidR="004F7AA9" w:rsidRPr="00881522" w:rsidRDefault="004F7AA9" w:rsidP="004F7AA9">
      <w:pPr>
        <w:tabs>
          <w:tab w:val="clear" w:pos="567"/>
        </w:tabs>
        <w:spacing w:line="240" w:lineRule="auto"/>
        <w:rPr>
          <w:rFonts w:eastAsia="SimSun"/>
          <w:szCs w:val="22"/>
          <w:lang w:val="lt-LT" w:eastAsia="zh-CN"/>
        </w:rPr>
      </w:pPr>
      <w:r w:rsidRPr="00881522">
        <w:rPr>
          <w:rFonts w:eastAsia="SimSun"/>
          <w:szCs w:val="22"/>
          <w:lang w:val="lt-LT" w:eastAsia="zh-CN"/>
        </w:rPr>
        <w:t>UAB Norameda</w:t>
      </w:r>
    </w:p>
    <w:p w14:paraId="43FA159E" w14:textId="77777777" w:rsidR="004F7AA9" w:rsidRPr="00881522" w:rsidRDefault="004F7AA9" w:rsidP="004F7AA9">
      <w:pPr>
        <w:tabs>
          <w:tab w:val="clear" w:pos="567"/>
        </w:tabs>
        <w:spacing w:line="240" w:lineRule="auto"/>
        <w:rPr>
          <w:rFonts w:eastAsia="SimSun"/>
          <w:szCs w:val="22"/>
          <w:lang w:val="lt-LT" w:eastAsia="zh-CN"/>
        </w:rPr>
      </w:pPr>
      <w:r w:rsidRPr="00881522">
        <w:rPr>
          <w:rFonts w:eastAsia="SimSun"/>
          <w:szCs w:val="22"/>
          <w:lang w:val="lt-LT" w:eastAsia="zh-CN"/>
        </w:rPr>
        <w:t>Meistrų 8A, Vilnius LT-02189</w:t>
      </w:r>
    </w:p>
    <w:p w14:paraId="6C1C24DD" w14:textId="77777777" w:rsidR="004F7AA9" w:rsidRDefault="004F7AA9" w:rsidP="004F7AA9">
      <w:pPr>
        <w:tabs>
          <w:tab w:val="clear" w:pos="567"/>
        </w:tabs>
        <w:spacing w:line="240" w:lineRule="auto"/>
        <w:ind w:left="567" w:hanging="567"/>
        <w:rPr>
          <w:rFonts w:eastAsia="SimSun"/>
          <w:szCs w:val="22"/>
          <w:lang w:val="lt-LT" w:eastAsia="zh-CN"/>
        </w:rPr>
      </w:pPr>
      <w:r w:rsidRPr="00881522">
        <w:rPr>
          <w:rFonts w:eastAsia="SimSun"/>
          <w:szCs w:val="22"/>
          <w:lang w:val="lt-LT" w:eastAsia="zh-CN"/>
        </w:rPr>
        <w:t>Lietuva</w:t>
      </w:r>
    </w:p>
    <w:p w14:paraId="0EBF23A8" w14:textId="77777777" w:rsidR="004F7AA9" w:rsidRDefault="004F7AA9" w:rsidP="004F7AA9">
      <w:pPr>
        <w:tabs>
          <w:tab w:val="clear" w:pos="567"/>
        </w:tabs>
        <w:spacing w:line="240" w:lineRule="auto"/>
        <w:ind w:left="567" w:hanging="567"/>
        <w:rPr>
          <w:caps/>
          <w:snapToGrid/>
          <w:szCs w:val="22"/>
          <w:lang w:val="lt-LT"/>
        </w:rPr>
      </w:pPr>
    </w:p>
    <w:p w14:paraId="55C790C3" w14:textId="77777777" w:rsidR="004F7AA9" w:rsidRPr="007777D9" w:rsidRDefault="004F7AA9" w:rsidP="004F7AA9">
      <w:pPr>
        <w:tabs>
          <w:tab w:val="clear" w:pos="567"/>
        </w:tabs>
        <w:spacing w:line="240" w:lineRule="auto"/>
        <w:ind w:left="567" w:hanging="567"/>
        <w:rPr>
          <w:caps/>
          <w:snapToGrid/>
          <w:szCs w:val="22"/>
          <w:lang w:val="lt-LT"/>
        </w:rPr>
      </w:pPr>
    </w:p>
    <w:p w14:paraId="64097389"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12.</w:t>
      </w:r>
      <w:r w:rsidRPr="007777D9">
        <w:rPr>
          <w:b/>
          <w:caps/>
          <w:snapToGrid/>
          <w:szCs w:val="22"/>
          <w:lang w:val="lt-LT"/>
        </w:rPr>
        <w:tab/>
        <w:t>REGISTRACIJOS PAŽYMĖJIMO numeris (-IAI)</w:t>
      </w:r>
    </w:p>
    <w:p w14:paraId="59A241C9" w14:textId="77777777" w:rsidR="004F7AA9" w:rsidRDefault="004F7AA9" w:rsidP="004F7AA9">
      <w:pPr>
        <w:tabs>
          <w:tab w:val="clear" w:pos="567"/>
        </w:tabs>
        <w:spacing w:line="240" w:lineRule="auto"/>
        <w:ind w:left="567" w:hanging="567"/>
        <w:rPr>
          <w:snapToGrid/>
          <w:szCs w:val="22"/>
          <w:lang w:val="lt-LT"/>
        </w:rPr>
      </w:pPr>
    </w:p>
    <w:p w14:paraId="40C28EE4" w14:textId="77777777" w:rsidR="004F7AA9" w:rsidRDefault="004F7AA9" w:rsidP="004F7AA9">
      <w:pPr>
        <w:widowControl w:val="0"/>
        <w:tabs>
          <w:tab w:val="clear" w:pos="567"/>
        </w:tabs>
        <w:spacing w:line="240" w:lineRule="auto"/>
        <w:rPr>
          <w:snapToGrid/>
          <w:szCs w:val="22"/>
          <w:lang w:val="lt-LT"/>
        </w:rPr>
      </w:pPr>
      <w:r>
        <w:rPr>
          <w:snapToGrid/>
          <w:szCs w:val="22"/>
          <w:lang w:val="lt-LT"/>
        </w:rPr>
        <w:t>LT/1/16/3997/001</w:t>
      </w:r>
    </w:p>
    <w:p w14:paraId="02F096A0" w14:textId="77777777" w:rsidR="004F7AA9" w:rsidRPr="007777D9" w:rsidRDefault="004F7AA9" w:rsidP="004F7AA9">
      <w:pPr>
        <w:tabs>
          <w:tab w:val="clear" w:pos="567"/>
        </w:tabs>
        <w:spacing w:line="240" w:lineRule="auto"/>
        <w:ind w:left="567" w:hanging="567"/>
        <w:rPr>
          <w:snapToGrid/>
          <w:szCs w:val="22"/>
          <w:lang w:val="lt-LT"/>
        </w:rPr>
      </w:pPr>
    </w:p>
    <w:p w14:paraId="62CF2AC6" w14:textId="77777777" w:rsidR="004F7AA9" w:rsidRPr="007777D9" w:rsidRDefault="004F7AA9" w:rsidP="004F7AA9">
      <w:pPr>
        <w:tabs>
          <w:tab w:val="clear" w:pos="567"/>
        </w:tabs>
        <w:spacing w:line="240" w:lineRule="auto"/>
        <w:ind w:left="567" w:hanging="567"/>
        <w:rPr>
          <w:snapToGrid/>
          <w:szCs w:val="22"/>
          <w:lang w:val="lt-LT"/>
        </w:rPr>
      </w:pPr>
    </w:p>
    <w:p w14:paraId="40A8E60B"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13.</w:t>
      </w:r>
      <w:r w:rsidRPr="007777D9">
        <w:rPr>
          <w:b/>
          <w:caps/>
          <w:snapToGrid/>
          <w:szCs w:val="22"/>
          <w:lang w:val="lt-LT"/>
        </w:rPr>
        <w:tab/>
        <w:t>serijos numeris</w:t>
      </w:r>
    </w:p>
    <w:p w14:paraId="2A8E04FF" w14:textId="77777777" w:rsidR="004F7AA9" w:rsidRPr="007777D9" w:rsidRDefault="004F7AA9" w:rsidP="004F7AA9">
      <w:pPr>
        <w:tabs>
          <w:tab w:val="clear" w:pos="567"/>
        </w:tabs>
        <w:spacing w:line="240" w:lineRule="auto"/>
        <w:ind w:left="567" w:hanging="567"/>
        <w:rPr>
          <w:snapToGrid/>
          <w:szCs w:val="22"/>
          <w:lang w:val="lt-LT"/>
        </w:rPr>
      </w:pPr>
    </w:p>
    <w:p w14:paraId="25626BAD" w14:textId="77777777" w:rsidR="004F7AA9" w:rsidRPr="007777D9" w:rsidRDefault="004F7AA9" w:rsidP="004F7AA9">
      <w:pPr>
        <w:tabs>
          <w:tab w:val="clear" w:pos="567"/>
        </w:tabs>
        <w:spacing w:line="240" w:lineRule="auto"/>
        <w:ind w:left="567" w:hanging="567"/>
        <w:rPr>
          <w:snapToGrid/>
          <w:szCs w:val="22"/>
          <w:lang w:val="lt-LT"/>
        </w:rPr>
      </w:pPr>
      <w:r>
        <w:rPr>
          <w:snapToGrid/>
          <w:szCs w:val="22"/>
          <w:lang w:val="lt-LT"/>
        </w:rPr>
        <w:t>Lot:</w:t>
      </w:r>
      <w:r w:rsidRPr="007777D9">
        <w:rPr>
          <w:snapToGrid/>
          <w:szCs w:val="22"/>
          <w:lang w:val="lt-LT"/>
        </w:rPr>
        <w:t xml:space="preserve"> </w:t>
      </w:r>
    </w:p>
    <w:p w14:paraId="4BC998CC" w14:textId="77777777" w:rsidR="004F7AA9" w:rsidRPr="007777D9" w:rsidRDefault="004F7AA9" w:rsidP="004F7AA9">
      <w:pPr>
        <w:tabs>
          <w:tab w:val="clear" w:pos="567"/>
        </w:tabs>
        <w:spacing w:line="240" w:lineRule="auto"/>
        <w:ind w:left="567" w:hanging="567"/>
        <w:rPr>
          <w:snapToGrid/>
          <w:szCs w:val="22"/>
          <w:lang w:val="lt-LT"/>
        </w:rPr>
      </w:pPr>
    </w:p>
    <w:p w14:paraId="0FF7B8DB" w14:textId="77777777" w:rsidR="004F7AA9" w:rsidRPr="007777D9" w:rsidRDefault="004F7AA9" w:rsidP="004F7AA9">
      <w:pPr>
        <w:tabs>
          <w:tab w:val="clear" w:pos="567"/>
        </w:tabs>
        <w:spacing w:line="240" w:lineRule="auto"/>
        <w:ind w:left="567" w:hanging="567"/>
        <w:rPr>
          <w:snapToGrid/>
          <w:szCs w:val="22"/>
          <w:lang w:val="lt-LT"/>
        </w:rPr>
      </w:pPr>
    </w:p>
    <w:p w14:paraId="2D7B6EDE"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14.</w:t>
      </w:r>
      <w:r w:rsidRPr="007777D9">
        <w:rPr>
          <w:b/>
          <w:caps/>
          <w:snapToGrid/>
          <w:szCs w:val="22"/>
          <w:lang w:val="lt-LT"/>
        </w:rPr>
        <w:tab/>
        <w:t>pardavimo (išdavimo) tvarka</w:t>
      </w:r>
    </w:p>
    <w:p w14:paraId="73591529" w14:textId="77777777" w:rsidR="004F7AA9" w:rsidRPr="007777D9" w:rsidRDefault="004F7AA9" w:rsidP="004F7AA9">
      <w:pPr>
        <w:tabs>
          <w:tab w:val="clear" w:pos="567"/>
        </w:tabs>
        <w:spacing w:line="240" w:lineRule="auto"/>
        <w:ind w:left="567" w:hanging="567"/>
        <w:rPr>
          <w:snapToGrid/>
          <w:szCs w:val="22"/>
          <w:lang w:val="lt-LT"/>
        </w:rPr>
      </w:pPr>
    </w:p>
    <w:p w14:paraId="3B8DAFEB" w14:textId="77777777" w:rsidR="004F7AA9" w:rsidRPr="007777D9" w:rsidRDefault="004F7AA9" w:rsidP="004F7AA9">
      <w:pPr>
        <w:tabs>
          <w:tab w:val="clear" w:pos="567"/>
        </w:tabs>
        <w:spacing w:line="240" w:lineRule="auto"/>
        <w:ind w:left="567" w:hanging="567"/>
        <w:rPr>
          <w:snapToGrid/>
          <w:szCs w:val="22"/>
          <w:lang w:val="lt-LT"/>
        </w:rPr>
      </w:pPr>
      <w:r w:rsidRPr="007777D9">
        <w:rPr>
          <w:snapToGrid/>
          <w:szCs w:val="22"/>
          <w:lang w:val="lt-LT"/>
        </w:rPr>
        <w:t>Receptinis vaist</w:t>
      </w:r>
      <w:r>
        <w:rPr>
          <w:snapToGrid/>
          <w:szCs w:val="22"/>
          <w:lang w:val="lt-LT"/>
        </w:rPr>
        <w:t>as</w:t>
      </w:r>
      <w:r w:rsidRPr="007777D9">
        <w:rPr>
          <w:snapToGrid/>
          <w:szCs w:val="22"/>
          <w:lang w:val="lt-LT"/>
        </w:rPr>
        <w:t>.</w:t>
      </w:r>
    </w:p>
    <w:p w14:paraId="45A2A51C" w14:textId="77777777" w:rsidR="004F7AA9" w:rsidRPr="007777D9" w:rsidRDefault="004F7AA9" w:rsidP="004F7AA9">
      <w:pPr>
        <w:tabs>
          <w:tab w:val="clear" w:pos="567"/>
        </w:tabs>
        <w:spacing w:line="240" w:lineRule="auto"/>
        <w:rPr>
          <w:snapToGrid/>
          <w:szCs w:val="22"/>
          <w:lang w:val="lt-LT"/>
        </w:rPr>
      </w:pPr>
    </w:p>
    <w:p w14:paraId="0BA4FBBE" w14:textId="77777777" w:rsidR="004F7AA9" w:rsidRPr="007777D9" w:rsidRDefault="004F7AA9" w:rsidP="004F7AA9">
      <w:pPr>
        <w:tabs>
          <w:tab w:val="clear" w:pos="567"/>
        </w:tabs>
        <w:spacing w:line="240" w:lineRule="auto"/>
        <w:rPr>
          <w:snapToGrid/>
          <w:szCs w:val="22"/>
          <w:lang w:val="lt-LT"/>
        </w:rPr>
      </w:pPr>
    </w:p>
    <w:p w14:paraId="535A4FF6"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15.</w:t>
      </w:r>
      <w:r w:rsidRPr="007777D9">
        <w:rPr>
          <w:b/>
          <w:caps/>
          <w:snapToGrid/>
          <w:szCs w:val="22"/>
          <w:lang w:val="lt-LT"/>
        </w:rPr>
        <w:tab/>
        <w:t>vartojimo instrukcijA</w:t>
      </w:r>
    </w:p>
    <w:p w14:paraId="4ABA6316" w14:textId="77777777" w:rsidR="004F7AA9" w:rsidRPr="007777D9" w:rsidRDefault="004F7AA9" w:rsidP="004F7AA9">
      <w:pPr>
        <w:tabs>
          <w:tab w:val="clear" w:pos="567"/>
        </w:tabs>
        <w:spacing w:line="240" w:lineRule="auto"/>
        <w:ind w:left="567" w:hanging="567"/>
        <w:rPr>
          <w:snapToGrid/>
          <w:szCs w:val="22"/>
          <w:lang w:val="lt-LT"/>
        </w:rPr>
      </w:pPr>
    </w:p>
    <w:p w14:paraId="6B783136" w14:textId="77777777" w:rsidR="004F7AA9" w:rsidRPr="007777D9" w:rsidRDefault="004F7AA9" w:rsidP="004F7AA9">
      <w:pPr>
        <w:tabs>
          <w:tab w:val="clear" w:pos="567"/>
        </w:tabs>
        <w:spacing w:line="240" w:lineRule="auto"/>
        <w:rPr>
          <w:snapToGrid/>
          <w:szCs w:val="22"/>
          <w:lang w:val="lt-LT"/>
        </w:rPr>
      </w:pPr>
    </w:p>
    <w:p w14:paraId="7D04C5DF"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16.</w:t>
      </w:r>
      <w:r w:rsidRPr="007777D9">
        <w:rPr>
          <w:b/>
          <w:caps/>
          <w:snapToGrid/>
          <w:szCs w:val="22"/>
          <w:lang w:val="lt-LT"/>
        </w:rPr>
        <w:tab/>
        <w:t>INformacija BRAILIO RAŠTU</w:t>
      </w:r>
    </w:p>
    <w:p w14:paraId="3B27F386" w14:textId="77777777" w:rsidR="004F7AA9" w:rsidRPr="007777D9" w:rsidRDefault="004F7AA9" w:rsidP="004F7AA9">
      <w:pPr>
        <w:tabs>
          <w:tab w:val="clear" w:pos="567"/>
        </w:tabs>
        <w:spacing w:line="240" w:lineRule="auto"/>
        <w:ind w:left="567" w:hanging="567"/>
        <w:rPr>
          <w:snapToGrid/>
          <w:szCs w:val="22"/>
          <w:lang w:val="lt-LT"/>
        </w:rPr>
      </w:pPr>
    </w:p>
    <w:p w14:paraId="06B62ABC" w14:textId="77777777" w:rsidR="004F7AA9" w:rsidRPr="007777D9" w:rsidRDefault="004F7AA9" w:rsidP="004F7AA9">
      <w:pPr>
        <w:widowControl w:val="0"/>
        <w:tabs>
          <w:tab w:val="clear" w:pos="567"/>
        </w:tabs>
        <w:spacing w:line="240" w:lineRule="auto"/>
        <w:rPr>
          <w:snapToGrid/>
          <w:szCs w:val="22"/>
          <w:lang w:val="lt-LT"/>
        </w:rPr>
      </w:pPr>
      <w:r w:rsidRPr="0077347E">
        <w:rPr>
          <w:snapToGrid/>
          <w:szCs w:val="22"/>
          <w:highlight w:val="lightGray"/>
          <w:lang w:val="lt-LT"/>
        </w:rPr>
        <w:t>Priimtas pagrindimas informacijos Brailio raštu nepateikti.</w:t>
      </w:r>
    </w:p>
    <w:p w14:paraId="1592139D" w14:textId="77777777" w:rsidR="004F7AA9" w:rsidRDefault="004F7AA9" w:rsidP="004F7AA9">
      <w:pPr>
        <w:tabs>
          <w:tab w:val="clear" w:pos="567"/>
        </w:tabs>
        <w:spacing w:line="240" w:lineRule="auto"/>
        <w:rPr>
          <w:noProof/>
          <w:snapToGrid/>
          <w:szCs w:val="22"/>
          <w:shd w:val="clear" w:color="auto" w:fill="CCCCCC"/>
          <w:lang w:val="lt-LT" w:eastAsia="lt-LT" w:bidi="lt-LT"/>
        </w:rPr>
      </w:pPr>
    </w:p>
    <w:p w14:paraId="2007330C" w14:textId="77777777" w:rsidR="004F7AA9" w:rsidRPr="00A50621" w:rsidRDefault="004F7AA9" w:rsidP="004F7AA9">
      <w:pPr>
        <w:tabs>
          <w:tab w:val="clear" w:pos="567"/>
        </w:tabs>
        <w:spacing w:line="240" w:lineRule="auto"/>
        <w:rPr>
          <w:noProof/>
          <w:snapToGrid/>
          <w:szCs w:val="22"/>
          <w:shd w:val="clear" w:color="auto" w:fill="CCCCCC"/>
          <w:lang w:val="lt-LT" w:eastAsia="lt-LT" w:bidi="lt-LT"/>
        </w:rPr>
      </w:pPr>
    </w:p>
    <w:p w14:paraId="4F3E1200" w14:textId="77777777" w:rsidR="004F7AA9" w:rsidRPr="00A50621" w:rsidRDefault="004F7AA9" w:rsidP="004F7AA9">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snapToGrid/>
          <w:lang w:val="lt-LT" w:eastAsia="lt-LT" w:bidi="lt-LT"/>
        </w:rPr>
      </w:pPr>
      <w:r w:rsidRPr="00A50621">
        <w:rPr>
          <w:b/>
          <w:noProof/>
          <w:snapToGrid/>
          <w:lang w:val="lt-LT" w:eastAsia="lt-LT" w:bidi="lt-LT"/>
        </w:rPr>
        <w:t>17.</w:t>
      </w:r>
      <w:r w:rsidRPr="00A50621">
        <w:rPr>
          <w:snapToGrid/>
          <w:lang w:val="lt-LT" w:eastAsia="lt-LT" w:bidi="lt-LT"/>
        </w:rPr>
        <w:tab/>
      </w:r>
      <w:r w:rsidRPr="00A50621">
        <w:rPr>
          <w:b/>
          <w:noProof/>
          <w:snapToGrid/>
          <w:lang w:val="lt-LT" w:eastAsia="lt-LT" w:bidi="lt-LT"/>
        </w:rPr>
        <w:t>UNIKALUS IDENTIFIKATORIUS – 2D BRŪKŠNINIS KODAS</w:t>
      </w:r>
    </w:p>
    <w:p w14:paraId="1B455E26" w14:textId="77777777" w:rsidR="004F7AA9" w:rsidRPr="00A50621" w:rsidRDefault="004F7AA9" w:rsidP="004F7AA9">
      <w:pPr>
        <w:tabs>
          <w:tab w:val="clear" w:pos="567"/>
        </w:tabs>
        <w:spacing w:line="240" w:lineRule="auto"/>
        <w:rPr>
          <w:noProof/>
          <w:snapToGrid/>
          <w:lang w:val="lt-LT" w:eastAsia="lt-LT" w:bidi="lt-LT"/>
        </w:rPr>
      </w:pPr>
    </w:p>
    <w:p w14:paraId="4F398A9B" w14:textId="77777777" w:rsidR="004F7AA9" w:rsidRPr="00A50621" w:rsidRDefault="004F7AA9" w:rsidP="004F7AA9">
      <w:pPr>
        <w:tabs>
          <w:tab w:val="clear" w:pos="567"/>
        </w:tabs>
        <w:spacing w:line="240" w:lineRule="auto"/>
        <w:rPr>
          <w:noProof/>
          <w:snapToGrid/>
          <w:szCs w:val="22"/>
          <w:shd w:val="clear" w:color="auto" w:fill="CCCCCC"/>
          <w:lang w:val="lt-LT" w:eastAsia="lt-LT" w:bidi="lt-LT"/>
        </w:rPr>
      </w:pPr>
      <w:r w:rsidRPr="0077347E">
        <w:rPr>
          <w:snapToGrid/>
          <w:highlight w:val="darkGray"/>
          <w:lang w:val="lt-LT" w:eastAsia="lt-LT" w:bidi="lt-LT"/>
        </w:rPr>
        <w:t>2D brūkšninis kodas su nurodytu unikaliu identifikatoriumi.</w:t>
      </w:r>
    </w:p>
    <w:p w14:paraId="6D873BFD" w14:textId="77777777" w:rsidR="004F7AA9" w:rsidRPr="00A50621" w:rsidRDefault="004F7AA9" w:rsidP="004F7AA9">
      <w:pPr>
        <w:tabs>
          <w:tab w:val="clear" w:pos="567"/>
        </w:tabs>
        <w:spacing w:line="240" w:lineRule="auto"/>
        <w:rPr>
          <w:noProof/>
          <w:snapToGrid/>
          <w:lang w:val="lt-LT" w:eastAsia="lt-LT" w:bidi="lt-LT"/>
        </w:rPr>
      </w:pPr>
    </w:p>
    <w:p w14:paraId="78155763" w14:textId="77777777" w:rsidR="004F7AA9" w:rsidRPr="00A50621" w:rsidRDefault="004F7AA9" w:rsidP="004F7AA9">
      <w:pPr>
        <w:tabs>
          <w:tab w:val="clear" w:pos="567"/>
        </w:tabs>
        <w:spacing w:line="240" w:lineRule="auto"/>
        <w:rPr>
          <w:noProof/>
          <w:snapToGrid/>
          <w:lang w:val="lt-LT" w:eastAsia="lt-LT" w:bidi="lt-LT"/>
        </w:rPr>
      </w:pPr>
    </w:p>
    <w:p w14:paraId="65C6622E" w14:textId="77777777" w:rsidR="004F7AA9" w:rsidRPr="00A50621" w:rsidRDefault="004F7AA9" w:rsidP="004F7AA9">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snapToGrid/>
          <w:lang w:val="lt-LT" w:eastAsia="lt-LT" w:bidi="lt-LT"/>
        </w:rPr>
      </w:pPr>
      <w:r w:rsidRPr="00A50621">
        <w:rPr>
          <w:b/>
          <w:noProof/>
          <w:snapToGrid/>
          <w:lang w:val="lt-LT" w:eastAsia="lt-LT" w:bidi="lt-LT"/>
        </w:rPr>
        <w:t>18.</w:t>
      </w:r>
      <w:r w:rsidRPr="00A50621">
        <w:rPr>
          <w:snapToGrid/>
          <w:lang w:val="lt-LT" w:eastAsia="lt-LT" w:bidi="lt-LT"/>
        </w:rPr>
        <w:tab/>
      </w:r>
      <w:r w:rsidRPr="00A50621">
        <w:rPr>
          <w:b/>
          <w:noProof/>
          <w:snapToGrid/>
          <w:lang w:val="lt-LT" w:eastAsia="lt-LT" w:bidi="lt-LT"/>
        </w:rPr>
        <w:t>UNIKALUS IDENTIFIKATORIUS – ŽMONĖMS SUPRANTAMI DUOMENYS</w:t>
      </w:r>
    </w:p>
    <w:p w14:paraId="06B16A3D" w14:textId="77777777" w:rsidR="004F7AA9" w:rsidRPr="00A50621" w:rsidRDefault="004F7AA9" w:rsidP="004F7AA9">
      <w:pPr>
        <w:tabs>
          <w:tab w:val="clear" w:pos="567"/>
        </w:tabs>
        <w:spacing w:line="240" w:lineRule="auto"/>
        <w:rPr>
          <w:noProof/>
          <w:snapToGrid/>
          <w:lang w:val="lt-LT" w:eastAsia="lt-LT" w:bidi="lt-LT"/>
        </w:rPr>
      </w:pPr>
    </w:p>
    <w:p w14:paraId="5F454C5F" w14:textId="77777777" w:rsidR="004F7AA9" w:rsidRPr="00A50621" w:rsidRDefault="004F7AA9" w:rsidP="004F7AA9">
      <w:pPr>
        <w:tabs>
          <w:tab w:val="clear" w:pos="567"/>
        </w:tabs>
        <w:rPr>
          <w:snapToGrid/>
          <w:szCs w:val="22"/>
          <w:lang w:val="lt-LT" w:eastAsia="lt-LT" w:bidi="lt-LT"/>
        </w:rPr>
      </w:pPr>
      <w:r w:rsidRPr="00A50621">
        <w:rPr>
          <w:snapToGrid/>
          <w:lang w:val="lt-LT" w:eastAsia="lt-LT" w:bidi="lt-LT"/>
        </w:rPr>
        <w:t xml:space="preserve">PC: </w:t>
      </w:r>
    </w:p>
    <w:p w14:paraId="008FCAC8" w14:textId="77777777" w:rsidR="004F7AA9" w:rsidRPr="00A50621" w:rsidRDefault="004F7AA9" w:rsidP="004F7AA9">
      <w:pPr>
        <w:tabs>
          <w:tab w:val="clear" w:pos="567"/>
        </w:tabs>
        <w:rPr>
          <w:snapToGrid/>
          <w:szCs w:val="22"/>
          <w:lang w:val="lt-LT" w:eastAsia="lt-LT" w:bidi="lt-LT"/>
        </w:rPr>
      </w:pPr>
      <w:r w:rsidRPr="00A50621">
        <w:rPr>
          <w:snapToGrid/>
          <w:lang w:val="lt-LT" w:eastAsia="lt-LT" w:bidi="lt-LT"/>
        </w:rPr>
        <w:t xml:space="preserve">SN: </w:t>
      </w:r>
    </w:p>
    <w:p w14:paraId="27630E35" w14:textId="77777777" w:rsidR="004F7AA9" w:rsidRPr="00A50621" w:rsidRDefault="004F7AA9" w:rsidP="004F7AA9">
      <w:pPr>
        <w:tabs>
          <w:tab w:val="clear" w:pos="567"/>
        </w:tabs>
        <w:rPr>
          <w:snapToGrid/>
          <w:szCs w:val="22"/>
          <w:lang w:val="lt-LT" w:eastAsia="lt-LT" w:bidi="lt-LT"/>
        </w:rPr>
      </w:pPr>
      <w:r w:rsidRPr="00582A3A">
        <w:rPr>
          <w:snapToGrid/>
          <w:highlight w:val="lightGray"/>
          <w:lang w:val="lt-LT" w:eastAsia="lt-LT" w:bidi="lt-LT"/>
        </w:rPr>
        <w:t>NN:</w:t>
      </w:r>
    </w:p>
    <w:p w14:paraId="1E24DFE6" w14:textId="77777777" w:rsidR="004F7AA9" w:rsidRPr="007777D9" w:rsidRDefault="004F7AA9" w:rsidP="004F7AA9">
      <w:pPr>
        <w:tabs>
          <w:tab w:val="clear" w:pos="567"/>
        </w:tabs>
        <w:spacing w:line="240" w:lineRule="auto"/>
        <w:outlineLvl w:val="0"/>
        <w:rPr>
          <w:b/>
          <w:snapToGrid/>
          <w:szCs w:val="22"/>
          <w:lang w:val="lt-LT"/>
        </w:rPr>
      </w:pPr>
    </w:p>
    <w:p w14:paraId="07AE34F7" w14:textId="77777777" w:rsidR="004F7AA9" w:rsidRPr="007777D9" w:rsidRDefault="004F7AA9" w:rsidP="004F7AA9">
      <w:pPr>
        <w:pBdr>
          <w:top w:val="single" w:sz="4" w:space="1" w:color="auto"/>
          <w:left w:val="single" w:sz="4" w:space="2" w:color="auto"/>
          <w:bottom w:val="single" w:sz="4" w:space="1" w:color="auto"/>
          <w:right w:val="single" w:sz="4" w:space="4" w:color="auto"/>
        </w:pBdr>
        <w:tabs>
          <w:tab w:val="clear" w:pos="567"/>
        </w:tabs>
        <w:spacing w:line="240" w:lineRule="auto"/>
        <w:outlineLvl w:val="0"/>
        <w:rPr>
          <w:b/>
          <w:snapToGrid/>
          <w:szCs w:val="22"/>
          <w:lang w:val="lt-LT"/>
        </w:rPr>
      </w:pPr>
      <w:r w:rsidRPr="007777D9">
        <w:rPr>
          <w:snapToGrid/>
          <w:szCs w:val="22"/>
          <w:lang w:val="lt-LT"/>
        </w:rPr>
        <w:br w:type="page"/>
      </w:r>
      <w:r w:rsidRPr="007777D9">
        <w:rPr>
          <w:b/>
          <w:snapToGrid/>
          <w:szCs w:val="22"/>
          <w:lang w:val="lt-LT"/>
        </w:rPr>
        <w:lastRenderedPageBreak/>
        <w:t xml:space="preserve">MINIMALI </w:t>
      </w:r>
      <w:r w:rsidRPr="007777D9">
        <w:rPr>
          <w:b/>
          <w:caps/>
          <w:snapToGrid/>
          <w:szCs w:val="22"/>
          <w:lang w:val="lt-LT"/>
        </w:rPr>
        <w:t xml:space="preserve">informacija ant </w:t>
      </w:r>
      <w:r w:rsidRPr="007777D9">
        <w:rPr>
          <w:b/>
          <w:snapToGrid/>
          <w:szCs w:val="22"/>
          <w:lang w:val="lt-LT"/>
        </w:rPr>
        <w:t>MAŽŲ VIDINIŲ PAKUOČIŲ</w:t>
      </w:r>
    </w:p>
    <w:p w14:paraId="41329E9E" w14:textId="77777777" w:rsidR="004F7AA9" w:rsidRPr="007777D9" w:rsidRDefault="004F7AA9" w:rsidP="004F7AA9">
      <w:pPr>
        <w:pBdr>
          <w:top w:val="single" w:sz="4" w:space="1" w:color="auto"/>
          <w:left w:val="single" w:sz="4" w:space="2" w:color="auto"/>
          <w:bottom w:val="single" w:sz="4" w:space="1" w:color="auto"/>
          <w:right w:val="single" w:sz="4" w:space="4" w:color="auto"/>
        </w:pBdr>
        <w:tabs>
          <w:tab w:val="clear" w:pos="567"/>
        </w:tabs>
        <w:spacing w:line="240" w:lineRule="auto"/>
        <w:outlineLvl w:val="0"/>
        <w:rPr>
          <w:b/>
          <w:snapToGrid/>
          <w:szCs w:val="22"/>
          <w:lang w:val="lt-LT"/>
        </w:rPr>
      </w:pPr>
    </w:p>
    <w:p w14:paraId="4DFBDC0A" w14:textId="77777777" w:rsidR="004F7AA9" w:rsidRPr="007777D9" w:rsidRDefault="004F7AA9" w:rsidP="004F7AA9">
      <w:pPr>
        <w:pBdr>
          <w:top w:val="single" w:sz="4" w:space="1" w:color="auto"/>
          <w:left w:val="single" w:sz="4" w:space="2" w:color="auto"/>
          <w:bottom w:val="single" w:sz="4" w:space="1" w:color="auto"/>
          <w:right w:val="single" w:sz="4" w:space="4" w:color="auto"/>
        </w:pBdr>
        <w:tabs>
          <w:tab w:val="clear" w:pos="567"/>
        </w:tabs>
        <w:spacing w:line="240" w:lineRule="auto"/>
        <w:outlineLvl w:val="0"/>
        <w:rPr>
          <w:b/>
          <w:caps/>
          <w:snapToGrid/>
          <w:szCs w:val="22"/>
          <w:lang w:val="lt-LT"/>
        </w:rPr>
      </w:pPr>
      <w:r>
        <w:rPr>
          <w:b/>
          <w:snapToGrid/>
          <w:szCs w:val="22"/>
          <w:lang w:val="lt-LT"/>
        </w:rPr>
        <w:t>FLAKON</w:t>
      </w:r>
      <w:r w:rsidRPr="007777D9">
        <w:rPr>
          <w:b/>
          <w:snapToGrid/>
          <w:szCs w:val="22"/>
          <w:lang w:val="lt-LT"/>
        </w:rPr>
        <w:t>O ETIKETĖ</w:t>
      </w:r>
    </w:p>
    <w:p w14:paraId="52355C79" w14:textId="77777777" w:rsidR="004F7AA9" w:rsidRPr="007777D9" w:rsidRDefault="004F7AA9" w:rsidP="004F7AA9">
      <w:pPr>
        <w:tabs>
          <w:tab w:val="clear" w:pos="567"/>
        </w:tabs>
        <w:spacing w:line="240" w:lineRule="auto"/>
        <w:ind w:left="567" w:hanging="567"/>
        <w:rPr>
          <w:caps/>
          <w:snapToGrid/>
          <w:szCs w:val="22"/>
          <w:lang w:val="lt-LT"/>
        </w:rPr>
      </w:pPr>
    </w:p>
    <w:p w14:paraId="64297CED" w14:textId="77777777" w:rsidR="004F7AA9" w:rsidRPr="007777D9" w:rsidRDefault="004F7AA9" w:rsidP="004F7AA9">
      <w:pPr>
        <w:tabs>
          <w:tab w:val="clear" w:pos="567"/>
        </w:tabs>
        <w:spacing w:line="240" w:lineRule="auto"/>
        <w:ind w:left="567" w:hanging="567"/>
        <w:rPr>
          <w:caps/>
          <w:snapToGrid/>
          <w:szCs w:val="22"/>
          <w:lang w:val="lt-LT"/>
        </w:rPr>
      </w:pPr>
    </w:p>
    <w:p w14:paraId="26AA6A50"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1.</w:t>
      </w:r>
      <w:r w:rsidRPr="007777D9">
        <w:rPr>
          <w:b/>
          <w:caps/>
          <w:snapToGrid/>
          <w:szCs w:val="22"/>
          <w:lang w:val="lt-LT"/>
        </w:rPr>
        <w:tab/>
        <w:t>Vaistinio preparato pavadinimas IR VARTOJIMO BŪDAS (-ai)</w:t>
      </w:r>
    </w:p>
    <w:p w14:paraId="72BD4D36" w14:textId="77777777" w:rsidR="004F7AA9" w:rsidRPr="007777D9" w:rsidRDefault="004F7AA9" w:rsidP="004F7AA9">
      <w:pPr>
        <w:tabs>
          <w:tab w:val="clear" w:pos="567"/>
        </w:tabs>
        <w:spacing w:line="240" w:lineRule="auto"/>
        <w:ind w:left="567" w:hanging="567"/>
        <w:rPr>
          <w:snapToGrid/>
          <w:szCs w:val="22"/>
          <w:lang w:val="lt-LT"/>
        </w:rPr>
      </w:pPr>
    </w:p>
    <w:p w14:paraId="6347FBC3" w14:textId="77777777" w:rsidR="004F7AA9" w:rsidRPr="007777D9" w:rsidRDefault="004F7AA9" w:rsidP="004F7AA9">
      <w:pPr>
        <w:tabs>
          <w:tab w:val="clear" w:pos="567"/>
        </w:tabs>
        <w:spacing w:line="240" w:lineRule="auto"/>
        <w:ind w:left="567" w:hanging="567"/>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4 mg/5 ml koncentratas infuziniam tirpalui</w:t>
      </w:r>
    </w:p>
    <w:p w14:paraId="5B925E73" w14:textId="403EA276" w:rsidR="004F7AA9" w:rsidRPr="007777D9" w:rsidRDefault="009A4A51" w:rsidP="004F7AA9">
      <w:pPr>
        <w:tabs>
          <w:tab w:val="clear" w:pos="567"/>
        </w:tabs>
        <w:spacing w:line="240" w:lineRule="auto"/>
        <w:ind w:left="567" w:hanging="567"/>
        <w:rPr>
          <w:snapToGrid/>
          <w:szCs w:val="22"/>
          <w:lang w:val="lt-LT"/>
        </w:rPr>
      </w:pPr>
      <w:r>
        <w:rPr>
          <w:snapToGrid/>
          <w:szCs w:val="22"/>
          <w:lang w:val="lt-LT"/>
        </w:rPr>
        <w:t>a</w:t>
      </w:r>
      <w:r w:rsidRPr="0097173F">
        <w:rPr>
          <w:snapToGrid/>
          <w:szCs w:val="22"/>
          <w:lang w:val="lt-LT"/>
        </w:rPr>
        <w:t xml:space="preserve">cidum </w:t>
      </w:r>
      <w:r w:rsidR="004F7AA9" w:rsidRPr="0097173F">
        <w:rPr>
          <w:snapToGrid/>
          <w:szCs w:val="22"/>
          <w:lang w:val="lt-LT"/>
        </w:rPr>
        <w:t>zoledronicum</w:t>
      </w:r>
    </w:p>
    <w:p w14:paraId="193E5039" w14:textId="77777777" w:rsidR="004F7AA9" w:rsidRPr="007777D9" w:rsidRDefault="004F7AA9" w:rsidP="004F7AA9">
      <w:pPr>
        <w:tabs>
          <w:tab w:val="clear" w:pos="567"/>
        </w:tabs>
        <w:spacing w:line="240" w:lineRule="auto"/>
        <w:ind w:left="567" w:hanging="567"/>
        <w:rPr>
          <w:snapToGrid/>
          <w:szCs w:val="22"/>
          <w:lang w:val="lt-LT"/>
        </w:rPr>
      </w:pPr>
    </w:p>
    <w:p w14:paraId="06986A82"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snapToGrid/>
          <w:szCs w:val="22"/>
          <w:lang w:val="lt-LT"/>
        </w:rPr>
        <w:t>2.</w:t>
      </w:r>
      <w:r w:rsidRPr="007777D9">
        <w:rPr>
          <w:b/>
          <w:snapToGrid/>
          <w:szCs w:val="22"/>
          <w:lang w:val="lt-LT"/>
        </w:rPr>
        <w:tab/>
      </w:r>
      <w:r w:rsidRPr="007777D9">
        <w:rPr>
          <w:b/>
          <w:caps/>
          <w:snapToGrid/>
          <w:szCs w:val="22"/>
          <w:lang w:val="lt-LT"/>
        </w:rPr>
        <w:t>VARTOJIMO METODAS</w:t>
      </w:r>
    </w:p>
    <w:p w14:paraId="203AC1DD" w14:textId="77777777" w:rsidR="004F7AA9" w:rsidRPr="007777D9" w:rsidRDefault="004F7AA9" w:rsidP="004F7AA9">
      <w:pPr>
        <w:tabs>
          <w:tab w:val="clear" w:pos="567"/>
        </w:tabs>
        <w:spacing w:line="240" w:lineRule="auto"/>
        <w:ind w:left="567" w:hanging="567"/>
        <w:rPr>
          <w:snapToGrid/>
          <w:szCs w:val="22"/>
          <w:lang w:val="lt-LT"/>
        </w:rPr>
      </w:pPr>
    </w:p>
    <w:p w14:paraId="092BFD73" w14:textId="77777777" w:rsidR="004F7AA9" w:rsidRPr="007777D9" w:rsidRDefault="004F7AA9" w:rsidP="004F7AA9">
      <w:pPr>
        <w:tabs>
          <w:tab w:val="clear" w:pos="567"/>
        </w:tabs>
        <w:spacing w:line="240" w:lineRule="auto"/>
        <w:ind w:left="567" w:hanging="567"/>
        <w:rPr>
          <w:snapToGrid/>
          <w:szCs w:val="22"/>
          <w:lang w:val="lt-LT"/>
        </w:rPr>
      </w:pPr>
      <w:r>
        <w:rPr>
          <w:snapToGrid/>
          <w:szCs w:val="22"/>
          <w:lang w:val="lt-LT"/>
        </w:rPr>
        <w:t>L</w:t>
      </w:r>
      <w:r w:rsidRPr="007777D9">
        <w:rPr>
          <w:snapToGrid/>
          <w:szCs w:val="22"/>
          <w:lang w:val="lt-LT"/>
        </w:rPr>
        <w:t>eisti tik į veną.</w:t>
      </w:r>
    </w:p>
    <w:p w14:paraId="77A6E729" w14:textId="77777777" w:rsidR="004F7AA9" w:rsidRDefault="004F7AA9" w:rsidP="004F7AA9">
      <w:pPr>
        <w:tabs>
          <w:tab w:val="clear" w:pos="567"/>
        </w:tabs>
        <w:spacing w:line="240" w:lineRule="auto"/>
        <w:ind w:left="567" w:hanging="567"/>
        <w:rPr>
          <w:snapToGrid/>
          <w:szCs w:val="22"/>
          <w:lang w:val="lt-LT"/>
        </w:rPr>
      </w:pPr>
    </w:p>
    <w:p w14:paraId="58FF0D8C" w14:textId="77777777" w:rsidR="004F7AA9" w:rsidRPr="007777D9" w:rsidRDefault="004F7AA9" w:rsidP="004F7AA9">
      <w:pPr>
        <w:tabs>
          <w:tab w:val="clear" w:pos="567"/>
        </w:tabs>
        <w:spacing w:line="240" w:lineRule="auto"/>
        <w:ind w:left="567" w:hanging="567"/>
        <w:rPr>
          <w:snapToGrid/>
          <w:szCs w:val="22"/>
          <w:lang w:val="lt-LT"/>
        </w:rPr>
      </w:pPr>
    </w:p>
    <w:p w14:paraId="4BB7A53A"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snapToGrid/>
          <w:szCs w:val="22"/>
          <w:lang w:val="lt-LT"/>
        </w:rPr>
        <w:t>3.</w:t>
      </w:r>
      <w:r w:rsidRPr="007777D9">
        <w:rPr>
          <w:b/>
          <w:snapToGrid/>
          <w:szCs w:val="22"/>
          <w:lang w:val="lt-LT"/>
        </w:rPr>
        <w:tab/>
      </w:r>
      <w:r w:rsidRPr="007777D9">
        <w:rPr>
          <w:b/>
          <w:caps/>
          <w:snapToGrid/>
          <w:szCs w:val="22"/>
          <w:lang w:val="lt-LT"/>
        </w:rPr>
        <w:t>tinkamumo laikas</w:t>
      </w:r>
    </w:p>
    <w:p w14:paraId="5F4A7517" w14:textId="77777777" w:rsidR="004F7AA9" w:rsidRPr="007777D9" w:rsidRDefault="004F7AA9" w:rsidP="004F7AA9">
      <w:pPr>
        <w:tabs>
          <w:tab w:val="clear" w:pos="567"/>
        </w:tabs>
        <w:spacing w:line="240" w:lineRule="auto"/>
        <w:ind w:left="567" w:hanging="567"/>
        <w:rPr>
          <w:snapToGrid/>
          <w:szCs w:val="22"/>
          <w:lang w:val="lt-LT"/>
        </w:rPr>
      </w:pPr>
    </w:p>
    <w:p w14:paraId="467AD716" w14:textId="77777777" w:rsidR="004F7AA9" w:rsidRPr="007777D9" w:rsidRDefault="004F7AA9" w:rsidP="004F7AA9">
      <w:pPr>
        <w:tabs>
          <w:tab w:val="clear" w:pos="567"/>
        </w:tabs>
        <w:spacing w:line="240" w:lineRule="auto"/>
        <w:ind w:left="567" w:hanging="567"/>
        <w:outlineLvl w:val="0"/>
        <w:rPr>
          <w:snapToGrid/>
          <w:szCs w:val="22"/>
          <w:lang w:val="lt-LT"/>
        </w:rPr>
      </w:pPr>
      <w:r w:rsidRPr="0077347E">
        <w:rPr>
          <w:snapToGrid/>
          <w:szCs w:val="22"/>
          <w:highlight w:val="lightGray"/>
          <w:lang w:val="lt-LT"/>
        </w:rPr>
        <w:t>EXP</w:t>
      </w:r>
      <w:r>
        <w:rPr>
          <w:snapToGrid/>
          <w:szCs w:val="22"/>
          <w:lang w:val="lt-LT"/>
        </w:rPr>
        <w:t xml:space="preserve"> {mm.MMMM</w:t>
      </w:r>
      <w:r w:rsidRPr="0097173F">
        <w:rPr>
          <w:snapToGrid/>
          <w:szCs w:val="22"/>
          <w:lang w:val="lt-LT"/>
        </w:rPr>
        <w:t>}</w:t>
      </w:r>
    </w:p>
    <w:p w14:paraId="719A37C3" w14:textId="77777777" w:rsidR="004F7AA9" w:rsidRPr="007777D9" w:rsidRDefault="004F7AA9" w:rsidP="004F7AA9">
      <w:pPr>
        <w:tabs>
          <w:tab w:val="clear" w:pos="567"/>
        </w:tabs>
        <w:spacing w:line="240" w:lineRule="auto"/>
        <w:ind w:left="567" w:hanging="567"/>
        <w:rPr>
          <w:snapToGrid/>
          <w:szCs w:val="22"/>
          <w:lang w:val="lt-LT"/>
        </w:rPr>
      </w:pPr>
    </w:p>
    <w:p w14:paraId="445A2CB3" w14:textId="77777777" w:rsidR="004F7AA9" w:rsidRPr="007777D9" w:rsidRDefault="004F7AA9" w:rsidP="004F7AA9">
      <w:pPr>
        <w:tabs>
          <w:tab w:val="clear" w:pos="567"/>
        </w:tabs>
        <w:spacing w:line="240" w:lineRule="auto"/>
        <w:ind w:left="567" w:hanging="567"/>
        <w:rPr>
          <w:snapToGrid/>
          <w:szCs w:val="22"/>
          <w:lang w:val="lt-LT"/>
        </w:rPr>
      </w:pPr>
    </w:p>
    <w:p w14:paraId="5271A86A"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4.</w:t>
      </w:r>
      <w:r w:rsidRPr="007777D9">
        <w:rPr>
          <w:b/>
          <w:caps/>
          <w:snapToGrid/>
          <w:szCs w:val="22"/>
          <w:lang w:val="lt-LT"/>
        </w:rPr>
        <w:tab/>
        <w:t>serijos numeris</w:t>
      </w:r>
    </w:p>
    <w:p w14:paraId="6D56DF18" w14:textId="77777777" w:rsidR="004F7AA9" w:rsidRPr="007777D9" w:rsidRDefault="004F7AA9" w:rsidP="004F7AA9">
      <w:pPr>
        <w:tabs>
          <w:tab w:val="clear" w:pos="567"/>
        </w:tabs>
        <w:spacing w:line="240" w:lineRule="auto"/>
        <w:ind w:left="567" w:hanging="567"/>
        <w:rPr>
          <w:snapToGrid/>
          <w:szCs w:val="22"/>
          <w:lang w:val="lt-LT"/>
        </w:rPr>
      </w:pPr>
    </w:p>
    <w:p w14:paraId="38B98DD6" w14:textId="77777777" w:rsidR="004F7AA9" w:rsidRPr="007777D9" w:rsidRDefault="004F7AA9" w:rsidP="004F7AA9">
      <w:pPr>
        <w:tabs>
          <w:tab w:val="clear" w:pos="567"/>
        </w:tabs>
        <w:spacing w:line="240" w:lineRule="auto"/>
        <w:ind w:left="567" w:hanging="567"/>
        <w:rPr>
          <w:snapToGrid/>
          <w:szCs w:val="22"/>
          <w:lang w:val="lt-LT"/>
        </w:rPr>
      </w:pPr>
      <w:r w:rsidRPr="0077347E">
        <w:rPr>
          <w:snapToGrid/>
          <w:szCs w:val="22"/>
          <w:highlight w:val="lightGray"/>
          <w:lang w:val="lt-LT"/>
        </w:rPr>
        <w:t>Lot</w:t>
      </w:r>
      <w:r w:rsidRPr="007777D9">
        <w:rPr>
          <w:snapToGrid/>
          <w:szCs w:val="22"/>
          <w:lang w:val="lt-LT"/>
        </w:rPr>
        <w:t xml:space="preserve"> </w:t>
      </w:r>
    </w:p>
    <w:p w14:paraId="418316CB" w14:textId="77777777" w:rsidR="004F7AA9" w:rsidRPr="007777D9" w:rsidRDefault="004F7AA9" w:rsidP="004F7AA9">
      <w:pPr>
        <w:tabs>
          <w:tab w:val="clear" w:pos="567"/>
        </w:tabs>
        <w:spacing w:line="240" w:lineRule="auto"/>
        <w:rPr>
          <w:snapToGrid/>
          <w:szCs w:val="22"/>
          <w:lang w:val="lt-LT"/>
        </w:rPr>
      </w:pPr>
    </w:p>
    <w:p w14:paraId="5D0E5198" w14:textId="77777777" w:rsidR="004F7AA9" w:rsidRPr="007777D9" w:rsidRDefault="004F7AA9" w:rsidP="004F7AA9">
      <w:pPr>
        <w:tabs>
          <w:tab w:val="clear" w:pos="567"/>
        </w:tabs>
        <w:spacing w:line="240" w:lineRule="auto"/>
        <w:rPr>
          <w:snapToGrid/>
          <w:szCs w:val="22"/>
          <w:lang w:val="lt-LT"/>
        </w:rPr>
      </w:pPr>
    </w:p>
    <w:p w14:paraId="095D2AFC"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5.</w:t>
      </w:r>
      <w:r w:rsidRPr="007777D9">
        <w:rPr>
          <w:b/>
          <w:caps/>
          <w:snapToGrid/>
          <w:szCs w:val="22"/>
          <w:lang w:val="lt-LT"/>
        </w:rPr>
        <w:tab/>
        <w:t>KIEKIS (MASĖ, TŪRIS ARBA VIENETAI)</w:t>
      </w:r>
    </w:p>
    <w:p w14:paraId="5646B533" w14:textId="77777777" w:rsidR="004F7AA9" w:rsidRPr="007777D9" w:rsidRDefault="004F7AA9" w:rsidP="004F7AA9">
      <w:pPr>
        <w:tabs>
          <w:tab w:val="clear" w:pos="567"/>
        </w:tabs>
        <w:spacing w:line="240" w:lineRule="auto"/>
        <w:ind w:left="567" w:hanging="567"/>
        <w:rPr>
          <w:snapToGrid/>
          <w:szCs w:val="22"/>
          <w:lang w:val="lt-LT"/>
        </w:rPr>
      </w:pPr>
    </w:p>
    <w:p w14:paraId="71A25372" w14:textId="77777777" w:rsidR="004F7AA9" w:rsidRPr="007777D9" w:rsidRDefault="004F7AA9" w:rsidP="004F7AA9">
      <w:pPr>
        <w:tabs>
          <w:tab w:val="clear" w:pos="567"/>
        </w:tabs>
        <w:spacing w:line="240" w:lineRule="auto"/>
        <w:rPr>
          <w:snapToGrid/>
          <w:szCs w:val="22"/>
          <w:lang w:val="lt-LT"/>
        </w:rPr>
      </w:pPr>
      <w:r w:rsidRPr="0077347E">
        <w:rPr>
          <w:snapToGrid/>
          <w:szCs w:val="22"/>
          <w:highlight w:val="lightGray"/>
          <w:lang w:val="lt-LT"/>
        </w:rPr>
        <w:t>4 mg/ 5ml</w:t>
      </w:r>
    </w:p>
    <w:p w14:paraId="7B682828" w14:textId="77777777" w:rsidR="004F7AA9" w:rsidRPr="007777D9" w:rsidRDefault="004F7AA9" w:rsidP="004F7AA9">
      <w:pPr>
        <w:tabs>
          <w:tab w:val="clear" w:pos="567"/>
        </w:tabs>
        <w:spacing w:line="240" w:lineRule="auto"/>
        <w:rPr>
          <w:snapToGrid/>
          <w:szCs w:val="22"/>
          <w:lang w:val="lt-LT"/>
        </w:rPr>
      </w:pPr>
    </w:p>
    <w:p w14:paraId="65D98E86" w14:textId="77777777" w:rsidR="004F7AA9" w:rsidRPr="007777D9" w:rsidRDefault="004F7AA9" w:rsidP="004F7AA9">
      <w:pPr>
        <w:tabs>
          <w:tab w:val="clear" w:pos="567"/>
        </w:tabs>
        <w:spacing w:line="240" w:lineRule="auto"/>
        <w:rPr>
          <w:snapToGrid/>
          <w:szCs w:val="22"/>
          <w:lang w:val="lt-LT"/>
        </w:rPr>
      </w:pPr>
    </w:p>
    <w:p w14:paraId="663D9E97" w14:textId="77777777" w:rsidR="004F7AA9" w:rsidRPr="007777D9" w:rsidRDefault="004F7AA9" w:rsidP="004F7AA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rPr>
      </w:pPr>
      <w:r w:rsidRPr="007777D9">
        <w:rPr>
          <w:b/>
          <w:caps/>
          <w:snapToGrid/>
          <w:szCs w:val="22"/>
          <w:lang w:val="lt-LT"/>
        </w:rPr>
        <w:t>6.</w:t>
      </w:r>
      <w:r w:rsidRPr="007777D9">
        <w:rPr>
          <w:b/>
          <w:caps/>
          <w:snapToGrid/>
          <w:szCs w:val="22"/>
          <w:lang w:val="lt-LT"/>
        </w:rPr>
        <w:tab/>
        <w:t xml:space="preserve">KITA </w:t>
      </w:r>
    </w:p>
    <w:p w14:paraId="64FA06FB" w14:textId="77777777" w:rsidR="004F7AA9" w:rsidRPr="007777D9" w:rsidRDefault="004F7AA9" w:rsidP="004F7AA9">
      <w:pPr>
        <w:tabs>
          <w:tab w:val="clear" w:pos="567"/>
        </w:tabs>
        <w:spacing w:line="240" w:lineRule="auto"/>
        <w:ind w:left="567" w:hanging="567"/>
        <w:rPr>
          <w:snapToGrid/>
          <w:szCs w:val="22"/>
          <w:lang w:val="lt-LT"/>
        </w:rPr>
      </w:pPr>
    </w:p>
    <w:p w14:paraId="66EABC40" w14:textId="77777777" w:rsidR="004F7AA9" w:rsidRDefault="004F7AA9" w:rsidP="004F7AA9">
      <w:pPr>
        <w:widowControl w:val="0"/>
        <w:tabs>
          <w:tab w:val="clear" w:pos="567"/>
        </w:tabs>
        <w:spacing w:line="240" w:lineRule="auto"/>
        <w:rPr>
          <w:snapToGrid/>
          <w:szCs w:val="22"/>
          <w:lang w:val="lt-LT"/>
        </w:rPr>
      </w:pPr>
      <w:r>
        <w:rPr>
          <w:snapToGrid/>
          <w:szCs w:val="22"/>
          <w:lang w:val="lt-LT"/>
        </w:rPr>
        <w:t>Paruošto tirpalo laikymo sąlygos nurodytos pakuotės lapelyje.</w:t>
      </w:r>
    </w:p>
    <w:p w14:paraId="5644C0C2" w14:textId="77777777" w:rsidR="004F7AA9" w:rsidRPr="007777D9" w:rsidRDefault="004F7AA9" w:rsidP="004F7AA9">
      <w:pPr>
        <w:widowControl w:val="0"/>
        <w:tabs>
          <w:tab w:val="clear" w:pos="567"/>
        </w:tabs>
        <w:spacing w:line="240" w:lineRule="auto"/>
        <w:rPr>
          <w:snapToGrid/>
          <w:szCs w:val="22"/>
          <w:lang w:val="lt-LT"/>
        </w:rPr>
      </w:pPr>
    </w:p>
    <w:p w14:paraId="26A3C6B1" w14:textId="77777777" w:rsidR="004F7AA9" w:rsidRPr="007777D9" w:rsidRDefault="004F7AA9" w:rsidP="004F7AA9">
      <w:pPr>
        <w:widowControl w:val="0"/>
        <w:tabs>
          <w:tab w:val="clear" w:pos="567"/>
        </w:tabs>
        <w:spacing w:line="240" w:lineRule="auto"/>
        <w:rPr>
          <w:snapToGrid/>
          <w:szCs w:val="22"/>
          <w:lang w:val="lt-LT"/>
        </w:rPr>
        <w:sectPr w:rsidR="004F7AA9" w:rsidRPr="007777D9" w:rsidSect="009A4A51">
          <w:pgSz w:w="11907" w:h="16840" w:code="9"/>
          <w:pgMar w:top="1134" w:right="1418" w:bottom="1134" w:left="1418" w:header="737" w:footer="737" w:gutter="0"/>
          <w:cols w:space="1296"/>
          <w:rtlGutter/>
        </w:sectPr>
      </w:pPr>
    </w:p>
    <w:p w14:paraId="740A4392" w14:textId="77777777" w:rsidR="004F7AA9" w:rsidRPr="007777D9" w:rsidRDefault="004F7AA9" w:rsidP="004F7AA9">
      <w:pPr>
        <w:widowControl w:val="0"/>
        <w:tabs>
          <w:tab w:val="clear" w:pos="567"/>
        </w:tabs>
        <w:spacing w:line="240" w:lineRule="auto"/>
        <w:rPr>
          <w:snapToGrid/>
          <w:szCs w:val="22"/>
          <w:lang w:val="lt-LT"/>
        </w:rPr>
      </w:pPr>
    </w:p>
    <w:p w14:paraId="48CF3EFC" w14:textId="77777777" w:rsidR="004F7AA9" w:rsidRPr="007777D9" w:rsidRDefault="004F7AA9" w:rsidP="004F7AA9">
      <w:pPr>
        <w:widowControl w:val="0"/>
        <w:tabs>
          <w:tab w:val="clear" w:pos="567"/>
        </w:tabs>
        <w:spacing w:line="240" w:lineRule="auto"/>
        <w:rPr>
          <w:snapToGrid/>
          <w:szCs w:val="22"/>
          <w:lang w:val="lt-LT"/>
        </w:rPr>
      </w:pPr>
    </w:p>
    <w:p w14:paraId="51B028A1" w14:textId="77777777" w:rsidR="004F7AA9" w:rsidRPr="007777D9" w:rsidRDefault="004F7AA9" w:rsidP="004F7AA9">
      <w:pPr>
        <w:widowControl w:val="0"/>
        <w:tabs>
          <w:tab w:val="clear" w:pos="567"/>
        </w:tabs>
        <w:spacing w:line="240" w:lineRule="auto"/>
        <w:rPr>
          <w:snapToGrid/>
          <w:szCs w:val="22"/>
          <w:lang w:val="lt-LT"/>
        </w:rPr>
      </w:pPr>
    </w:p>
    <w:p w14:paraId="6E139595" w14:textId="77777777" w:rsidR="004F7AA9" w:rsidRPr="007777D9" w:rsidRDefault="004F7AA9" w:rsidP="004F7AA9">
      <w:pPr>
        <w:widowControl w:val="0"/>
        <w:tabs>
          <w:tab w:val="clear" w:pos="567"/>
        </w:tabs>
        <w:spacing w:line="240" w:lineRule="auto"/>
        <w:rPr>
          <w:snapToGrid/>
          <w:szCs w:val="22"/>
          <w:lang w:val="lt-LT"/>
        </w:rPr>
      </w:pPr>
    </w:p>
    <w:p w14:paraId="005E60F4" w14:textId="77777777" w:rsidR="004F7AA9" w:rsidRPr="007777D9" w:rsidRDefault="004F7AA9" w:rsidP="004F7AA9">
      <w:pPr>
        <w:widowControl w:val="0"/>
        <w:tabs>
          <w:tab w:val="clear" w:pos="567"/>
        </w:tabs>
        <w:spacing w:line="240" w:lineRule="auto"/>
        <w:rPr>
          <w:snapToGrid/>
          <w:szCs w:val="22"/>
          <w:lang w:val="lt-LT"/>
        </w:rPr>
      </w:pPr>
    </w:p>
    <w:p w14:paraId="3FBA32CD" w14:textId="77777777" w:rsidR="004F7AA9" w:rsidRPr="007777D9" w:rsidRDefault="004F7AA9" w:rsidP="004F7AA9">
      <w:pPr>
        <w:widowControl w:val="0"/>
        <w:tabs>
          <w:tab w:val="clear" w:pos="567"/>
        </w:tabs>
        <w:spacing w:line="240" w:lineRule="auto"/>
        <w:rPr>
          <w:snapToGrid/>
          <w:szCs w:val="22"/>
          <w:lang w:val="lt-LT"/>
        </w:rPr>
      </w:pPr>
    </w:p>
    <w:p w14:paraId="653BCB39" w14:textId="77777777" w:rsidR="004F7AA9" w:rsidRPr="007777D9" w:rsidRDefault="004F7AA9" w:rsidP="004F7AA9">
      <w:pPr>
        <w:widowControl w:val="0"/>
        <w:tabs>
          <w:tab w:val="clear" w:pos="567"/>
        </w:tabs>
        <w:spacing w:line="240" w:lineRule="auto"/>
        <w:rPr>
          <w:snapToGrid/>
          <w:szCs w:val="22"/>
          <w:lang w:val="lt-LT"/>
        </w:rPr>
      </w:pPr>
    </w:p>
    <w:p w14:paraId="41F02F63" w14:textId="77777777" w:rsidR="004F7AA9" w:rsidRPr="007777D9" w:rsidRDefault="004F7AA9" w:rsidP="004F7AA9">
      <w:pPr>
        <w:widowControl w:val="0"/>
        <w:tabs>
          <w:tab w:val="clear" w:pos="567"/>
        </w:tabs>
        <w:spacing w:line="240" w:lineRule="auto"/>
        <w:rPr>
          <w:snapToGrid/>
          <w:szCs w:val="22"/>
          <w:lang w:val="lt-LT"/>
        </w:rPr>
      </w:pPr>
    </w:p>
    <w:p w14:paraId="3656AF19" w14:textId="77777777" w:rsidR="004F7AA9" w:rsidRPr="007777D9" w:rsidRDefault="004F7AA9" w:rsidP="004F7AA9">
      <w:pPr>
        <w:widowControl w:val="0"/>
        <w:tabs>
          <w:tab w:val="clear" w:pos="567"/>
        </w:tabs>
        <w:spacing w:line="240" w:lineRule="auto"/>
        <w:rPr>
          <w:snapToGrid/>
          <w:szCs w:val="22"/>
          <w:lang w:val="lt-LT"/>
        </w:rPr>
      </w:pPr>
    </w:p>
    <w:p w14:paraId="36882C85" w14:textId="77777777" w:rsidR="004F7AA9" w:rsidRPr="007777D9" w:rsidRDefault="004F7AA9" w:rsidP="004F7AA9">
      <w:pPr>
        <w:widowControl w:val="0"/>
        <w:tabs>
          <w:tab w:val="clear" w:pos="567"/>
        </w:tabs>
        <w:spacing w:line="240" w:lineRule="auto"/>
        <w:rPr>
          <w:snapToGrid/>
          <w:szCs w:val="22"/>
          <w:lang w:val="lt-LT"/>
        </w:rPr>
      </w:pPr>
    </w:p>
    <w:p w14:paraId="2120CD60" w14:textId="77777777" w:rsidR="004F7AA9" w:rsidRPr="007777D9" w:rsidRDefault="004F7AA9" w:rsidP="004F7AA9">
      <w:pPr>
        <w:widowControl w:val="0"/>
        <w:tabs>
          <w:tab w:val="clear" w:pos="567"/>
        </w:tabs>
        <w:spacing w:line="240" w:lineRule="auto"/>
        <w:rPr>
          <w:snapToGrid/>
          <w:szCs w:val="22"/>
          <w:lang w:val="lt-LT"/>
        </w:rPr>
      </w:pPr>
    </w:p>
    <w:p w14:paraId="0273944D" w14:textId="77777777" w:rsidR="004F7AA9" w:rsidRPr="007777D9" w:rsidRDefault="004F7AA9" w:rsidP="004F7AA9">
      <w:pPr>
        <w:widowControl w:val="0"/>
        <w:tabs>
          <w:tab w:val="clear" w:pos="567"/>
        </w:tabs>
        <w:spacing w:line="240" w:lineRule="auto"/>
        <w:rPr>
          <w:snapToGrid/>
          <w:szCs w:val="22"/>
          <w:lang w:val="lt-LT"/>
        </w:rPr>
      </w:pPr>
    </w:p>
    <w:p w14:paraId="270CF8D5" w14:textId="77777777" w:rsidR="004F7AA9" w:rsidRPr="007777D9" w:rsidRDefault="004F7AA9" w:rsidP="004F7AA9">
      <w:pPr>
        <w:widowControl w:val="0"/>
        <w:tabs>
          <w:tab w:val="clear" w:pos="567"/>
        </w:tabs>
        <w:spacing w:line="240" w:lineRule="auto"/>
        <w:rPr>
          <w:snapToGrid/>
          <w:szCs w:val="22"/>
          <w:lang w:val="lt-LT"/>
        </w:rPr>
      </w:pPr>
    </w:p>
    <w:p w14:paraId="37B2D953" w14:textId="77777777" w:rsidR="004F7AA9" w:rsidRPr="007777D9" w:rsidRDefault="004F7AA9" w:rsidP="004F7AA9">
      <w:pPr>
        <w:widowControl w:val="0"/>
        <w:tabs>
          <w:tab w:val="clear" w:pos="567"/>
        </w:tabs>
        <w:spacing w:line="240" w:lineRule="auto"/>
        <w:rPr>
          <w:snapToGrid/>
          <w:szCs w:val="22"/>
          <w:lang w:val="lt-LT"/>
        </w:rPr>
      </w:pPr>
    </w:p>
    <w:p w14:paraId="63481CBE" w14:textId="77777777" w:rsidR="004F7AA9" w:rsidRPr="007777D9" w:rsidRDefault="004F7AA9" w:rsidP="004F7AA9">
      <w:pPr>
        <w:widowControl w:val="0"/>
        <w:tabs>
          <w:tab w:val="clear" w:pos="567"/>
        </w:tabs>
        <w:spacing w:line="240" w:lineRule="auto"/>
        <w:rPr>
          <w:snapToGrid/>
          <w:szCs w:val="22"/>
          <w:lang w:val="lt-LT"/>
        </w:rPr>
      </w:pPr>
    </w:p>
    <w:p w14:paraId="60838BD3" w14:textId="77777777" w:rsidR="004F7AA9" w:rsidRPr="007777D9" w:rsidRDefault="004F7AA9" w:rsidP="004F7AA9">
      <w:pPr>
        <w:widowControl w:val="0"/>
        <w:tabs>
          <w:tab w:val="clear" w:pos="567"/>
        </w:tabs>
        <w:spacing w:line="240" w:lineRule="auto"/>
        <w:rPr>
          <w:snapToGrid/>
          <w:szCs w:val="22"/>
          <w:lang w:val="lt-LT"/>
        </w:rPr>
      </w:pPr>
    </w:p>
    <w:p w14:paraId="3197FF96" w14:textId="77777777" w:rsidR="004F7AA9" w:rsidRPr="007777D9" w:rsidRDefault="004F7AA9" w:rsidP="004F7AA9">
      <w:pPr>
        <w:widowControl w:val="0"/>
        <w:tabs>
          <w:tab w:val="clear" w:pos="567"/>
        </w:tabs>
        <w:spacing w:line="240" w:lineRule="auto"/>
        <w:rPr>
          <w:snapToGrid/>
          <w:szCs w:val="22"/>
          <w:lang w:val="lt-LT"/>
        </w:rPr>
      </w:pPr>
    </w:p>
    <w:p w14:paraId="2F34E07B" w14:textId="77777777" w:rsidR="004F7AA9" w:rsidRPr="007777D9" w:rsidRDefault="004F7AA9" w:rsidP="004F7AA9">
      <w:pPr>
        <w:widowControl w:val="0"/>
        <w:tabs>
          <w:tab w:val="clear" w:pos="567"/>
        </w:tabs>
        <w:spacing w:line="240" w:lineRule="auto"/>
        <w:rPr>
          <w:snapToGrid/>
          <w:szCs w:val="22"/>
          <w:lang w:val="lt-LT"/>
        </w:rPr>
      </w:pPr>
    </w:p>
    <w:p w14:paraId="1A9490FF" w14:textId="77777777" w:rsidR="004F7AA9" w:rsidRPr="007777D9" w:rsidRDefault="004F7AA9" w:rsidP="004F7AA9">
      <w:pPr>
        <w:widowControl w:val="0"/>
        <w:tabs>
          <w:tab w:val="clear" w:pos="567"/>
        </w:tabs>
        <w:spacing w:line="240" w:lineRule="auto"/>
        <w:rPr>
          <w:snapToGrid/>
          <w:szCs w:val="22"/>
          <w:lang w:val="lt-LT"/>
        </w:rPr>
      </w:pPr>
    </w:p>
    <w:p w14:paraId="508B56F6" w14:textId="77777777" w:rsidR="004F7AA9" w:rsidRPr="007777D9" w:rsidRDefault="004F7AA9" w:rsidP="004F7AA9">
      <w:pPr>
        <w:widowControl w:val="0"/>
        <w:tabs>
          <w:tab w:val="clear" w:pos="567"/>
        </w:tabs>
        <w:spacing w:line="240" w:lineRule="auto"/>
        <w:rPr>
          <w:snapToGrid/>
          <w:szCs w:val="22"/>
          <w:lang w:val="lt-LT"/>
        </w:rPr>
      </w:pPr>
    </w:p>
    <w:p w14:paraId="0C93EA6C" w14:textId="77777777" w:rsidR="004F7AA9" w:rsidRPr="007777D9" w:rsidRDefault="004F7AA9" w:rsidP="004F7AA9">
      <w:pPr>
        <w:widowControl w:val="0"/>
        <w:tabs>
          <w:tab w:val="clear" w:pos="567"/>
        </w:tabs>
        <w:spacing w:line="240" w:lineRule="auto"/>
        <w:rPr>
          <w:snapToGrid/>
          <w:szCs w:val="22"/>
          <w:lang w:val="lt-LT"/>
        </w:rPr>
      </w:pPr>
    </w:p>
    <w:p w14:paraId="2194D68D" w14:textId="77777777" w:rsidR="004F7AA9" w:rsidRPr="007777D9" w:rsidRDefault="004F7AA9" w:rsidP="004F7AA9">
      <w:pPr>
        <w:widowControl w:val="0"/>
        <w:tabs>
          <w:tab w:val="clear" w:pos="567"/>
        </w:tabs>
        <w:spacing w:line="240" w:lineRule="auto"/>
        <w:rPr>
          <w:snapToGrid/>
          <w:szCs w:val="22"/>
          <w:lang w:val="lt-LT"/>
        </w:rPr>
      </w:pPr>
    </w:p>
    <w:p w14:paraId="65F7A43B" w14:textId="77777777" w:rsidR="004F7AA9" w:rsidRPr="007777D9" w:rsidRDefault="004F7AA9" w:rsidP="004F7AA9">
      <w:pPr>
        <w:widowControl w:val="0"/>
        <w:tabs>
          <w:tab w:val="clear" w:pos="567"/>
        </w:tabs>
        <w:spacing w:line="240" w:lineRule="auto"/>
        <w:rPr>
          <w:snapToGrid/>
          <w:szCs w:val="22"/>
          <w:lang w:val="lt-LT"/>
        </w:rPr>
      </w:pPr>
    </w:p>
    <w:p w14:paraId="6864506F" w14:textId="77777777" w:rsidR="004F7AA9" w:rsidRPr="007777D9" w:rsidRDefault="004F7AA9" w:rsidP="004F7AA9">
      <w:pPr>
        <w:widowControl w:val="0"/>
        <w:tabs>
          <w:tab w:val="clear" w:pos="567"/>
        </w:tabs>
        <w:spacing w:line="240" w:lineRule="auto"/>
        <w:jc w:val="center"/>
        <w:rPr>
          <w:snapToGrid/>
          <w:szCs w:val="22"/>
          <w:lang w:val="lt-LT"/>
        </w:rPr>
      </w:pPr>
      <w:r w:rsidRPr="007777D9">
        <w:rPr>
          <w:b/>
          <w:bCs/>
          <w:snapToGrid/>
          <w:szCs w:val="22"/>
          <w:lang w:val="lt-LT"/>
        </w:rPr>
        <w:t>B. PAKUOTĖS LAPELIS</w:t>
      </w:r>
    </w:p>
    <w:p w14:paraId="6B6EACD4" w14:textId="77777777" w:rsidR="004F7AA9" w:rsidRPr="007777D9" w:rsidRDefault="004F7AA9" w:rsidP="004F7AA9">
      <w:pPr>
        <w:widowControl w:val="0"/>
        <w:tabs>
          <w:tab w:val="clear" w:pos="567"/>
        </w:tabs>
        <w:spacing w:line="240" w:lineRule="auto"/>
        <w:rPr>
          <w:snapToGrid/>
          <w:szCs w:val="22"/>
          <w:lang w:val="lt-LT"/>
        </w:rPr>
      </w:pPr>
    </w:p>
    <w:p w14:paraId="0FE9408C" w14:textId="77777777" w:rsidR="004F7AA9" w:rsidRPr="007777D9" w:rsidRDefault="004F7AA9" w:rsidP="004F7AA9">
      <w:pPr>
        <w:widowControl w:val="0"/>
        <w:tabs>
          <w:tab w:val="clear" w:pos="567"/>
        </w:tabs>
        <w:spacing w:line="240" w:lineRule="auto"/>
        <w:rPr>
          <w:snapToGrid/>
          <w:szCs w:val="22"/>
          <w:lang w:val="lt-LT"/>
        </w:rPr>
        <w:sectPr w:rsidR="004F7AA9" w:rsidRPr="007777D9" w:rsidSect="009A4A51">
          <w:pgSz w:w="11907" w:h="16840" w:code="9"/>
          <w:pgMar w:top="1134" w:right="1418" w:bottom="1134" w:left="1418" w:header="737" w:footer="737" w:gutter="0"/>
          <w:cols w:space="1296"/>
        </w:sectPr>
      </w:pPr>
    </w:p>
    <w:p w14:paraId="025DF455" w14:textId="77777777" w:rsidR="004F7AA9" w:rsidRPr="007777D9" w:rsidRDefault="004F7AA9" w:rsidP="004F7AA9">
      <w:pPr>
        <w:widowControl w:val="0"/>
        <w:tabs>
          <w:tab w:val="clear" w:pos="567"/>
        </w:tabs>
        <w:spacing w:line="240" w:lineRule="auto"/>
        <w:jc w:val="center"/>
        <w:rPr>
          <w:snapToGrid/>
          <w:szCs w:val="22"/>
          <w:lang w:val="lt-LT"/>
        </w:rPr>
      </w:pPr>
      <w:r w:rsidRPr="007777D9">
        <w:rPr>
          <w:b/>
          <w:bCs/>
          <w:snapToGrid/>
          <w:szCs w:val="22"/>
          <w:lang w:val="lt-LT"/>
        </w:rPr>
        <w:lastRenderedPageBreak/>
        <w:t>Pakuotės lapelis: informacija vartotojui</w:t>
      </w:r>
    </w:p>
    <w:p w14:paraId="69732091" w14:textId="77777777" w:rsidR="004F7AA9" w:rsidRPr="007777D9" w:rsidRDefault="004F7AA9" w:rsidP="004F7AA9">
      <w:pPr>
        <w:widowControl w:val="0"/>
        <w:tabs>
          <w:tab w:val="clear" w:pos="567"/>
        </w:tabs>
        <w:spacing w:line="240" w:lineRule="auto"/>
        <w:rPr>
          <w:snapToGrid/>
          <w:szCs w:val="22"/>
          <w:lang w:val="lt-LT"/>
        </w:rPr>
      </w:pPr>
    </w:p>
    <w:p w14:paraId="00B543A8" w14:textId="77777777" w:rsidR="004F7AA9" w:rsidRPr="007777D9" w:rsidRDefault="004F7AA9" w:rsidP="004F7AA9">
      <w:pPr>
        <w:tabs>
          <w:tab w:val="clear" w:pos="567"/>
        </w:tabs>
        <w:spacing w:line="240" w:lineRule="auto"/>
        <w:ind w:left="567" w:hanging="567"/>
        <w:jc w:val="center"/>
        <w:rPr>
          <w:b/>
          <w:snapToGrid/>
          <w:szCs w:val="22"/>
          <w:lang w:val="lt-LT"/>
        </w:rPr>
      </w:pPr>
      <w:r w:rsidRPr="007777D9">
        <w:rPr>
          <w:b/>
          <w:snapToGrid/>
          <w:szCs w:val="22"/>
          <w:lang w:val="lt-LT"/>
        </w:rPr>
        <w:t xml:space="preserve">Zoledronic </w:t>
      </w:r>
      <w:r>
        <w:rPr>
          <w:b/>
          <w:snapToGrid/>
          <w:szCs w:val="22"/>
          <w:lang w:val="lt-LT"/>
        </w:rPr>
        <w:t>acid</w:t>
      </w:r>
      <w:r w:rsidRPr="007777D9">
        <w:rPr>
          <w:b/>
          <w:snapToGrid/>
          <w:szCs w:val="22"/>
          <w:lang w:val="lt-LT"/>
        </w:rPr>
        <w:t xml:space="preserve"> </w:t>
      </w:r>
      <w:r>
        <w:rPr>
          <w:b/>
          <w:snapToGrid/>
          <w:szCs w:val="22"/>
          <w:lang w:val="lt-LT"/>
        </w:rPr>
        <w:t>Norameda</w:t>
      </w:r>
      <w:r w:rsidRPr="007777D9">
        <w:rPr>
          <w:b/>
          <w:snapToGrid/>
          <w:szCs w:val="22"/>
          <w:lang w:val="lt-LT"/>
        </w:rPr>
        <w:t xml:space="preserve"> 4 mg/5 ml koncentratas infuziniam tirpalui</w:t>
      </w:r>
    </w:p>
    <w:p w14:paraId="44F13A81" w14:textId="3DEB50F3" w:rsidR="004F7AA9" w:rsidRPr="007777D9" w:rsidRDefault="009A4A51" w:rsidP="004F7AA9">
      <w:pPr>
        <w:tabs>
          <w:tab w:val="clear" w:pos="567"/>
        </w:tabs>
        <w:spacing w:line="240" w:lineRule="auto"/>
        <w:ind w:left="567" w:hanging="567"/>
        <w:jc w:val="center"/>
        <w:rPr>
          <w:snapToGrid/>
          <w:szCs w:val="22"/>
          <w:lang w:val="lt-LT"/>
        </w:rPr>
      </w:pPr>
      <w:r>
        <w:rPr>
          <w:snapToGrid/>
          <w:szCs w:val="22"/>
          <w:lang w:val="lt-LT"/>
        </w:rPr>
        <w:t>z</w:t>
      </w:r>
      <w:r w:rsidRPr="007777D9">
        <w:rPr>
          <w:snapToGrid/>
          <w:szCs w:val="22"/>
          <w:lang w:val="lt-LT"/>
        </w:rPr>
        <w:t xml:space="preserve">oledrono </w:t>
      </w:r>
      <w:r w:rsidR="004F7AA9" w:rsidRPr="007777D9">
        <w:rPr>
          <w:snapToGrid/>
          <w:szCs w:val="22"/>
          <w:lang w:val="lt-LT"/>
        </w:rPr>
        <w:t>rūgštis</w:t>
      </w:r>
    </w:p>
    <w:p w14:paraId="755E42B9" w14:textId="77777777" w:rsidR="004F7AA9" w:rsidRPr="007777D9" w:rsidRDefault="004F7AA9" w:rsidP="004F7AA9">
      <w:pPr>
        <w:widowControl w:val="0"/>
        <w:tabs>
          <w:tab w:val="clear" w:pos="567"/>
        </w:tabs>
        <w:spacing w:line="240" w:lineRule="auto"/>
        <w:rPr>
          <w:snapToGrid/>
          <w:szCs w:val="22"/>
          <w:lang w:val="lt-LT"/>
        </w:rPr>
      </w:pPr>
    </w:p>
    <w:p w14:paraId="3C32B309" w14:textId="77777777" w:rsidR="004F7AA9" w:rsidRPr="007777D9" w:rsidRDefault="004F7AA9" w:rsidP="004F7AA9">
      <w:pPr>
        <w:tabs>
          <w:tab w:val="clear" w:pos="567"/>
        </w:tabs>
        <w:spacing w:line="240" w:lineRule="auto"/>
        <w:rPr>
          <w:b/>
          <w:snapToGrid/>
          <w:szCs w:val="22"/>
          <w:lang w:val="lt-LT"/>
        </w:rPr>
      </w:pPr>
      <w:r w:rsidRPr="007777D9">
        <w:rPr>
          <w:b/>
          <w:snapToGrid/>
          <w:szCs w:val="22"/>
          <w:lang w:val="lt-LT"/>
        </w:rPr>
        <w:t xml:space="preserve">Atidžiai perskaitykite visą šį lapelį, </w:t>
      </w:r>
      <w:r w:rsidRPr="00B34FA1">
        <w:rPr>
          <w:b/>
          <w:noProof/>
          <w:szCs w:val="24"/>
          <w:lang w:val="lt-LT"/>
        </w:rPr>
        <w:t>prieš pradėdami vartoti vaistą</w:t>
      </w:r>
      <w:r w:rsidRPr="007777D9">
        <w:rPr>
          <w:b/>
          <w:snapToGrid/>
          <w:szCs w:val="22"/>
          <w:lang w:val="lt-LT"/>
        </w:rPr>
        <w:t>, nes jame pateikiama Jums svarbi informacija.</w:t>
      </w:r>
    </w:p>
    <w:p w14:paraId="000B359E" w14:textId="77777777" w:rsidR="004F7AA9" w:rsidRPr="007777D9" w:rsidRDefault="004F7AA9" w:rsidP="004F7AA9">
      <w:pPr>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Neišmeskite šio lapelio, nes vėl gali prireikti jį perskaityti.</w:t>
      </w:r>
    </w:p>
    <w:p w14:paraId="49149D9A" w14:textId="77777777" w:rsidR="004F7AA9" w:rsidRPr="007777D9" w:rsidRDefault="004F7AA9" w:rsidP="004F7AA9">
      <w:pPr>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 xml:space="preserve">Jeigu kiltų daugiau klausimų, kreipkitės į gydytoją, vaistininką </w:t>
      </w:r>
      <w:r w:rsidRPr="007777D9">
        <w:rPr>
          <w:snapToGrid/>
          <w:color w:val="000000"/>
          <w:szCs w:val="22"/>
          <w:lang w:val="lt-LT"/>
        </w:rPr>
        <w:t>arba slaugytoją</w:t>
      </w:r>
      <w:r w:rsidRPr="007777D9">
        <w:rPr>
          <w:snapToGrid/>
          <w:szCs w:val="22"/>
          <w:lang w:val="lt-LT"/>
        </w:rPr>
        <w:t>.</w:t>
      </w:r>
    </w:p>
    <w:p w14:paraId="36EF076C" w14:textId="77777777" w:rsidR="004F7AA9" w:rsidRPr="00636E2C" w:rsidRDefault="004F7AA9" w:rsidP="004F7AA9">
      <w:pPr>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r>
      <w:r w:rsidRPr="00636E2C">
        <w:rPr>
          <w:snapToGrid/>
          <w:szCs w:val="22"/>
          <w:lang w:val="lt-LT"/>
        </w:rPr>
        <w:t>Šis vaistas skirtas tik Jums, todėl kitiems žmonėms jo duoti negalima. Vaistas gali jiems pakenkti (net tiems, kurių ligos požym</w:t>
      </w:r>
      <w:r>
        <w:rPr>
          <w:snapToGrid/>
          <w:szCs w:val="22"/>
          <w:lang w:val="lt-LT"/>
        </w:rPr>
        <w:t>iai yra tokie patys kaip Jūsų).</w:t>
      </w:r>
    </w:p>
    <w:p w14:paraId="0AFC7F9F" w14:textId="77777777" w:rsidR="004F7AA9" w:rsidRPr="007777D9" w:rsidRDefault="004F7AA9" w:rsidP="004F7AA9">
      <w:pPr>
        <w:tabs>
          <w:tab w:val="clear" w:pos="567"/>
        </w:tabs>
        <w:spacing w:line="240" w:lineRule="auto"/>
        <w:ind w:left="567" w:hanging="567"/>
        <w:rPr>
          <w:snapToGrid/>
          <w:szCs w:val="22"/>
          <w:lang w:val="lt-LT"/>
        </w:rPr>
      </w:pPr>
      <w:r>
        <w:rPr>
          <w:snapToGrid/>
          <w:szCs w:val="22"/>
          <w:lang w:val="lt-LT"/>
        </w:rPr>
        <w:t>-</w:t>
      </w:r>
      <w:r>
        <w:rPr>
          <w:snapToGrid/>
          <w:szCs w:val="22"/>
          <w:lang w:val="lt-LT"/>
        </w:rPr>
        <w:tab/>
      </w:r>
      <w:r w:rsidRPr="007777D9">
        <w:rPr>
          <w:snapToGrid/>
          <w:szCs w:val="22"/>
          <w:lang w:val="lt-LT"/>
        </w:rPr>
        <w:t>Jeigu pasireiškė šalutinis poveikis (net jeigu jis šiame lapelyje nenurodytas), kreipkitės į gydytoją, vaistininką arba slaugytoją. Žr. 4 skyrių.</w:t>
      </w:r>
    </w:p>
    <w:p w14:paraId="13B8B1E2" w14:textId="77777777" w:rsidR="004F7AA9" w:rsidRPr="007777D9" w:rsidRDefault="004F7AA9" w:rsidP="004F7AA9">
      <w:pPr>
        <w:widowControl w:val="0"/>
        <w:tabs>
          <w:tab w:val="clear" w:pos="567"/>
        </w:tabs>
        <w:spacing w:line="240" w:lineRule="auto"/>
        <w:rPr>
          <w:snapToGrid/>
          <w:szCs w:val="22"/>
          <w:lang w:val="lt-LT"/>
        </w:rPr>
      </w:pPr>
    </w:p>
    <w:p w14:paraId="2F8CEAA4" w14:textId="77777777" w:rsidR="004F7AA9" w:rsidRDefault="004F7AA9" w:rsidP="004F7AA9">
      <w:pPr>
        <w:widowControl w:val="0"/>
        <w:tabs>
          <w:tab w:val="clear" w:pos="567"/>
        </w:tabs>
        <w:spacing w:line="240" w:lineRule="auto"/>
        <w:rPr>
          <w:b/>
          <w:bCs/>
          <w:snapToGrid/>
          <w:szCs w:val="22"/>
          <w:lang w:val="lt-LT"/>
        </w:rPr>
      </w:pPr>
      <w:r w:rsidRPr="007777D9">
        <w:rPr>
          <w:b/>
          <w:bCs/>
          <w:snapToGrid/>
          <w:szCs w:val="22"/>
          <w:lang w:val="lt-LT"/>
        </w:rPr>
        <w:t>Apie ką rašoma šiame lapelyje?</w:t>
      </w:r>
    </w:p>
    <w:p w14:paraId="4C12709E" w14:textId="77777777" w:rsidR="004F7AA9" w:rsidRPr="007777D9" w:rsidRDefault="004F7AA9" w:rsidP="004F7AA9">
      <w:pPr>
        <w:widowControl w:val="0"/>
        <w:tabs>
          <w:tab w:val="clear" w:pos="567"/>
        </w:tabs>
        <w:spacing w:line="240" w:lineRule="auto"/>
        <w:rPr>
          <w:snapToGrid/>
          <w:szCs w:val="22"/>
          <w:lang w:val="lt-LT"/>
        </w:rPr>
      </w:pPr>
    </w:p>
    <w:p w14:paraId="7A772B78" w14:textId="77777777" w:rsidR="004F7AA9" w:rsidRPr="007777D9" w:rsidRDefault="004F7AA9" w:rsidP="004F7AA9">
      <w:pPr>
        <w:widowControl w:val="0"/>
        <w:numPr>
          <w:ilvl w:val="0"/>
          <w:numId w:val="38"/>
        </w:numPr>
        <w:tabs>
          <w:tab w:val="clear" w:pos="567"/>
        </w:tabs>
        <w:spacing w:line="240" w:lineRule="auto"/>
        <w:rPr>
          <w:snapToGrid/>
          <w:szCs w:val="22"/>
          <w:lang w:val="lt-LT"/>
        </w:rPr>
      </w:pPr>
      <w:r w:rsidRPr="007777D9">
        <w:rPr>
          <w:snapToGrid/>
          <w:szCs w:val="22"/>
          <w:lang w:val="lt-LT"/>
        </w:rPr>
        <w:t xml:space="preserve">Kas yra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ir kam jis vartojamas</w:t>
      </w:r>
    </w:p>
    <w:p w14:paraId="48CBA523" w14:textId="77777777" w:rsidR="004F7AA9" w:rsidRPr="007777D9" w:rsidRDefault="004F7AA9" w:rsidP="004F7AA9">
      <w:pPr>
        <w:widowControl w:val="0"/>
        <w:numPr>
          <w:ilvl w:val="0"/>
          <w:numId w:val="38"/>
        </w:numPr>
        <w:tabs>
          <w:tab w:val="clear" w:pos="567"/>
        </w:tabs>
        <w:spacing w:line="240" w:lineRule="auto"/>
        <w:rPr>
          <w:snapToGrid/>
          <w:szCs w:val="22"/>
          <w:lang w:val="lt-LT"/>
        </w:rPr>
      </w:pPr>
      <w:r w:rsidRPr="007777D9">
        <w:rPr>
          <w:snapToGrid/>
          <w:szCs w:val="22"/>
          <w:lang w:val="lt-LT"/>
        </w:rPr>
        <w:t xml:space="preserve">Kas žinotina prieš </w:t>
      </w:r>
      <w:r>
        <w:rPr>
          <w:snapToGrid/>
          <w:szCs w:val="22"/>
          <w:lang w:val="lt-LT"/>
        </w:rPr>
        <w:t>vartojant</w:t>
      </w:r>
      <w:r w:rsidRPr="007777D9">
        <w:rPr>
          <w:snapToGrid/>
          <w:szCs w:val="22"/>
          <w:lang w:val="lt-LT"/>
        </w:rPr>
        <w:t xml:space="preserve">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w:t>
      </w:r>
    </w:p>
    <w:p w14:paraId="478B0402" w14:textId="77777777" w:rsidR="004F7AA9" w:rsidRPr="007777D9" w:rsidRDefault="004F7AA9" w:rsidP="004F7AA9">
      <w:pPr>
        <w:widowControl w:val="0"/>
        <w:numPr>
          <w:ilvl w:val="0"/>
          <w:numId w:val="38"/>
        </w:numPr>
        <w:tabs>
          <w:tab w:val="clear" w:pos="567"/>
        </w:tabs>
        <w:spacing w:line="240" w:lineRule="auto"/>
        <w:rPr>
          <w:snapToGrid/>
          <w:szCs w:val="22"/>
          <w:lang w:val="lt-LT"/>
        </w:rPr>
      </w:pPr>
      <w:r w:rsidRPr="007777D9">
        <w:rPr>
          <w:snapToGrid/>
          <w:szCs w:val="22"/>
          <w:lang w:val="lt-LT"/>
        </w:rPr>
        <w:t xml:space="preserve">Kaip vartoti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w:t>
      </w:r>
    </w:p>
    <w:p w14:paraId="3B25A7D4" w14:textId="77777777" w:rsidR="004F7AA9" w:rsidRPr="007777D9" w:rsidRDefault="004F7AA9" w:rsidP="004F7AA9">
      <w:pPr>
        <w:widowControl w:val="0"/>
        <w:numPr>
          <w:ilvl w:val="0"/>
          <w:numId w:val="38"/>
        </w:numPr>
        <w:tabs>
          <w:tab w:val="clear" w:pos="567"/>
        </w:tabs>
        <w:spacing w:line="240" w:lineRule="auto"/>
        <w:rPr>
          <w:snapToGrid/>
          <w:szCs w:val="22"/>
          <w:lang w:val="lt-LT"/>
        </w:rPr>
      </w:pPr>
      <w:r w:rsidRPr="007777D9">
        <w:rPr>
          <w:snapToGrid/>
          <w:szCs w:val="22"/>
          <w:lang w:val="lt-LT"/>
        </w:rPr>
        <w:t>Galimas šalutinis poveikis</w:t>
      </w:r>
    </w:p>
    <w:p w14:paraId="2EA44775" w14:textId="77777777" w:rsidR="004F7AA9" w:rsidRPr="007777D9" w:rsidRDefault="004F7AA9" w:rsidP="004F7AA9">
      <w:pPr>
        <w:widowControl w:val="0"/>
        <w:numPr>
          <w:ilvl w:val="0"/>
          <w:numId w:val="38"/>
        </w:numPr>
        <w:tabs>
          <w:tab w:val="clear" w:pos="567"/>
        </w:tabs>
        <w:spacing w:line="240" w:lineRule="auto"/>
        <w:rPr>
          <w:snapToGrid/>
          <w:szCs w:val="22"/>
          <w:lang w:val="lt-LT"/>
        </w:rPr>
      </w:pPr>
      <w:r w:rsidRPr="007777D9">
        <w:rPr>
          <w:snapToGrid/>
          <w:szCs w:val="22"/>
          <w:lang w:val="lt-LT"/>
        </w:rPr>
        <w:t xml:space="preserve">Kaip laikyti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w:t>
      </w:r>
    </w:p>
    <w:p w14:paraId="6F562C5E" w14:textId="77777777" w:rsidR="004F7AA9" w:rsidRPr="007777D9" w:rsidRDefault="004F7AA9" w:rsidP="004F7AA9">
      <w:pPr>
        <w:widowControl w:val="0"/>
        <w:numPr>
          <w:ilvl w:val="0"/>
          <w:numId w:val="38"/>
        </w:numPr>
        <w:tabs>
          <w:tab w:val="clear" w:pos="567"/>
        </w:tabs>
        <w:spacing w:line="240" w:lineRule="auto"/>
        <w:rPr>
          <w:snapToGrid/>
          <w:szCs w:val="22"/>
          <w:lang w:val="lt-LT"/>
        </w:rPr>
      </w:pPr>
      <w:r w:rsidRPr="007777D9">
        <w:rPr>
          <w:snapToGrid/>
          <w:szCs w:val="22"/>
          <w:lang w:val="lt-LT"/>
        </w:rPr>
        <w:t>Pakuotės turinys ir kita informacija</w:t>
      </w:r>
    </w:p>
    <w:p w14:paraId="57F0FC52" w14:textId="77777777" w:rsidR="004F7AA9" w:rsidRPr="007777D9" w:rsidRDefault="004F7AA9" w:rsidP="004F7AA9">
      <w:pPr>
        <w:widowControl w:val="0"/>
        <w:tabs>
          <w:tab w:val="clear" w:pos="567"/>
        </w:tabs>
        <w:spacing w:line="240" w:lineRule="auto"/>
        <w:rPr>
          <w:snapToGrid/>
          <w:szCs w:val="22"/>
          <w:lang w:val="lt-LT"/>
        </w:rPr>
      </w:pPr>
    </w:p>
    <w:p w14:paraId="530CBE77" w14:textId="77777777" w:rsidR="004F7AA9" w:rsidRPr="007777D9" w:rsidRDefault="004F7AA9" w:rsidP="004F7AA9">
      <w:pPr>
        <w:widowControl w:val="0"/>
        <w:tabs>
          <w:tab w:val="clear" w:pos="567"/>
        </w:tabs>
        <w:spacing w:line="240" w:lineRule="auto"/>
        <w:rPr>
          <w:snapToGrid/>
          <w:szCs w:val="22"/>
          <w:lang w:val="lt-LT"/>
        </w:rPr>
      </w:pPr>
    </w:p>
    <w:p w14:paraId="2AF3AB8E"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 xml:space="preserve">1. </w:t>
      </w:r>
      <w:r w:rsidRPr="007777D9">
        <w:rPr>
          <w:b/>
          <w:bCs/>
          <w:snapToGrid/>
          <w:szCs w:val="22"/>
          <w:lang w:val="lt-LT"/>
        </w:rPr>
        <w:tab/>
        <w:t xml:space="preserve">Kas yra 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ir kam jis vartojamas</w:t>
      </w:r>
    </w:p>
    <w:p w14:paraId="610935A2" w14:textId="77777777" w:rsidR="004F7AA9" w:rsidRPr="007777D9" w:rsidRDefault="004F7AA9" w:rsidP="004F7AA9">
      <w:pPr>
        <w:widowControl w:val="0"/>
        <w:tabs>
          <w:tab w:val="clear" w:pos="567"/>
        </w:tabs>
        <w:spacing w:line="240" w:lineRule="auto"/>
        <w:rPr>
          <w:snapToGrid/>
          <w:szCs w:val="22"/>
          <w:lang w:val="lt-LT"/>
        </w:rPr>
      </w:pPr>
    </w:p>
    <w:p w14:paraId="395B79E5"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sudėtyje esanti veiklioji medžiaga yra zoledrono rūgštis, kuri priklauso medžiagų, vadinamų bisfosfonatais, grupei. Zoledrono rūgštis jungiasi prie kaulų ir lėtina kaulų </w:t>
      </w:r>
      <w:r>
        <w:rPr>
          <w:snapToGrid/>
          <w:szCs w:val="22"/>
          <w:lang w:val="lt-LT"/>
        </w:rPr>
        <w:t>pokyčius</w:t>
      </w:r>
      <w:r w:rsidRPr="007777D9">
        <w:rPr>
          <w:snapToGrid/>
          <w:szCs w:val="22"/>
          <w:lang w:val="lt-LT"/>
        </w:rPr>
        <w:t>.</w:t>
      </w:r>
    </w:p>
    <w:p w14:paraId="05600B34" w14:textId="77777777" w:rsidR="004F7AA9" w:rsidRDefault="004F7AA9" w:rsidP="004F7AA9">
      <w:pPr>
        <w:widowControl w:val="0"/>
        <w:tabs>
          <w:tab w:val="clear" w:pos="567"/>
        </w:tabs>
        <w:spacing w:line="240" w:lineRule="auto"/>
        <w:rPr>
          <w:snapToGrid/>
          <w:szCs w:val="22"/>
          <w:lang w:val="lt-LT"/>
        </w:rPr>
      </w:pPr>
    </w:p>
    <w:p w14:paraId="509A8888"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Šis vaistas vartojamas:</w:t>
      </w:r>
    </w:p>
    <w:p w14:paraId="53749D8D" w14:textId="77777777" w:rsidR="004F7AA9" w:rsidRPr="007777D9" w:rsidRDefault="004F7AA9" w:rsidP="004F7AA9">
      <w:pPr>
        <w:widowControl w:val="0"/>
        <w:numPr>
          <w:ilvl w:val="0"/>
          <w:numId w:val="47"/>
        </w:numPr>
        <w:tabs>
          <w:tab w:val="clear" w:pos="567"/>
        </w:tabs>
        <w:spacing w:line="240" w:lineRule="auto"/>
        <w:ind w:left="567" w:hanging="567"/>
        <w:contextualSpacing/>
        <w:rPr>
          <w:snapToGrid/>
          <w:szCs w:val="22"/>
          <w:lang w:val="lt-LT"/>
        </w:rPr>
      </w:pPr>
      <w:r>
        <w:rPr>
          <w:b/>
          <w:bCs/>
          <w:snapToGrid/>
          <w:szCs w:val="22"/>
          <w:lang w:val="lt-LT"/>
        </w:rPr>
        <w:t xml:space="preserve">siekiant </w:t>
      </w:r>
      <w:r w:rsidRPr="007777D9">
        <w:rPr>
          <w:b/>
          <w:bCs/>
          <w:snapToGrid/>
          <w:szCs w:val="22"/>
          <w:lang w:val="lt-LT"/>
        </w:rPr>
        <w:t xml:space="preserve">apsaugoti nuo kaulų komplikacijų, </w:t>
      </w:r>
      <w:r w:rsidRPr="007777D9">
        <w:rPr>
          <w:snapToGrid/>
          <w:szCs w:val="22"/>
          <w:lang w:val="lt-LT"/>
        </w:rPr>
        <w:t>pvz., lūžių, pasireiškimo suaugusiems pacientams, kuriems yra metastazių į kaulus (vėži</w:t>
      </w:r>
      <w:r>
        <w:rPr>
          <w:snapToGrid/>
          <w:szCs w:val="22"/>
          <w:lang w:val="lt-LT"/>
        </w:rPr>
        <w:t>o</w:t>
      </w:r>
      <w:r w:rsidRPr="007777D9">
        <w:rPr>
          <w:snapToGrid/>
          <w:szCs w:val="22"/>
          <w:lang w:val="lt-LT"/>
        </w:rPr>
        <w:t xml:space="preserve"> </w:t>
      </w:r>
      <w:r>
        <w:rPr>
          <w:snapToGrid/>
          <w:szCs w:val="22"/>
          <w:lang w:val="lt-LT"/>
        </w:rPr>
        <w:t xml:space="preserve">išplitimas iš </w:t>
      </w:r>
      <w:r w:rsidRPr="007777D9">
        <w:rPr>
          <w:snapToGrid/>
          <w:szCs w:val="22"/>
          <w:lang w:val="lt-LT"/>
        </w:rPr>
        <w:t>židinio į kaulus);</w:t>
      </w:r>
    </w:p>
    <w:p w14:paraId="3BCD0363" w14:textId="77777777" w:rsidR="004F7AA9" w:rsidRPr="007777D9" w:rsidRDefault="004F7AA9" w:rsidP="004F7AA9">
      <w:pPr>
        <w:widowControl w:val="0"/>
        <w:numPr>
          <w:ilvl w:val="0"/>
          <w:numId w:val="47"/>
        </w:numPr>
        <w:tabs>
          <w:tab w:val="clear" w:pos="567"/>
        </w:tabs>
        <w:spacing w:line="240" w:lineRule="auto"/>
        <w:ind w:left="567" w:hanging="567"/>
        <w:contextualSpacing/>
        <w:rPr>
          <w:snapToGrid/>
          <w:szCs w:val="22"/>
          <w:lang w:val="lt-LT"/>
        </w:rPr>
      </w:pPr>
      <w:r w:rsidRPr="007777D9">
        <w:rPr>
          <w:b/>
          <w:bCs/>
          <w:snapToGrid/>
          <w:szCs w:val="22"/>
          <w:lang w:val="lt-LT"/>
        </w:rPr>
        <w:t xml:space="preserve">kalcio kiekiui kraujyje mažinti </w:t>
      </w:r>
      <w:r w:rsidRPr="007777D9">
        <w:rPr>
          <w:snapToGrid/>
          <w:szCs w:val="22"/>
          <w:lang w:val="lt-LT"/>
        </w:rPr>
        <w:t>suaugusiems pacientams, kai dėl naviko poveikio kalcio kiekis yra per didelis</w:t>
      </w:r>
      <w:r>
        <w:rPr>
          <w:snapToGrid/>
          <w:szCs w:val="22"/>
          <w:lang w:val="lt-LT"/>
        </w:rPr>
        <w:t>. N</w:t>
      </w:r>
      <w:r w:rsidRPr="007777D9">
        <w:rPr>
          <w:snapToGrid/>
          <w:szCs w:val="22"/>
          <w:lang w:val="lt-LT"/>
        </w:rPr>
        <w:t xml:space="preserve">avikai gali greitinti normalius kaulų pokyčius ir tokiu būdu didinti kalcio </w:t>
      </w:r>
      <w:r>
        <w:rPr>
          <w:snapToGrid/>
          <w:szCs w:val="22"/>
          <w:lang w:val="lt-LT"/>
        </w:rPr>
        <w:t>išsiskyrimą</w:t>
      </w:r>
      <w:r w:rsidRPr="007777D9">
        <w:rPr>
          <w:snapToGrid/>
          <w:szCs w:val="22"/>
          <w:lang w:val="lt-LT"/>
        </w:rPr>
        <w:t xml:space="preserve"> iš kaulinės medžiagos</w:t>
      </w:r>
      <w:r>
        <w:rPr>
          <w:snapToGrid/>
          <w:szCs w:val="22"/>
          <w:lang w:val="lt-LT"/>
        </w:rPr>
        <w:t>. Š</w:t>
      </w:r>
      <w:r w:rsidRPr="007777D9">
        <w:rPr>
          <w:snapToGrid/>
          <w:szCs w:val="22"/>
          <w:lang w:val="lt-LT"/>
        </w:rPr>
        <w:t>i būklė dar vadinama naviko sukelta hiperkalcemija (NSH).</w:t>
      </w:r>
    </w:p>
    <w:p w14:paraId="4307CCA6" w14:textId="77777777" w:rsidR="004F7AA9" w:rsidRPr="007777D9" w:rsidRDefault="004F7AA9" w:rsidP="004F7AA9">
      <w:pPr>
        <w:widowControl w:val="0"/>
        <w:tabs>
          <w:tab w:val="clear" w:pos="567"/>
        </w:tabs>
        <w:spacing w:line="240" w:lineRule="auto"/>
        <w:rPr>
          <w:snapToGrid/>
          <w:szCs w:val="22"/>
          <w:lang w:val="lt-LT"/>
        </w:rPr>
      </w:pPr>
    </w:p>
    <w:p w14:paraId="1D42D46C" w14:textId="77777777" w:rsidR="004F7AA9" w:rsidRPr="007777D9" w:rsidRDefault="004F7AA9" w:rsidP="004F7AA9">
      <w:pPr>
        <w:widowControl w:val="0"/>
        <w:tabs>
          <w:tab w:val="clear" w:pos="567"/>
        </w:tabs>
        <w:spacing w:line="240" w:lineRule="auto"/>
        <w:rPr>
          <w:snapToGrid/>
          <w:szCs w:val="22"/>
          <w:lang w:val="lt-LT"/>
        </w:rPr>
      </w:pPr>
    </w:p>
    <w:p w14:paraId="27DBFE17"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 xml:space="preserve">2. </w:t>
      </w:r>
      <w:r w:rsidRPr="007777D9">
        <w:rPr>
          <w:b/>
          <w:bCs/>
          <w:snapToGrid/>
          <w:szCs w:val="22"/>
          <w:lang w:val="lt-LT"/>
        </w:rPr>
        <w:tab/>
        <w:t xml:space="preserve">Kas žinotina prieš </w:t>
      </w:r>
      <w:r>
        <w:rPr>
          <w:b/>
          <w:bCs/>
          <w:snapToGrid/>
          <w:szCs w:val="22"/>
          <w:lang w:val="lt-LT"/>
        </w:rPr>
        <w:t>vartojant</w:t>
      </w:r>
      <w:r w:rsidRPr="007777D9">
        <w:rPr>
          <w:b/>
          <w:bCs/>
          <w:snapToGrid/>
          <w:szCs w:val="22"/>
          <w:lang w:val="lt-LT"/>
        </w:rPr>
        <w:t xml:space="preserve"> 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w:t>
      </w:r>
    </w:p>
    <w:p w14:paraId="3DAF7D71" w14:textId="77777777" w:rsidR="004F7AA9" w:rsidRPr="007777D9" w:rsidRDefault="004F7AA9" w:rsidP="004F7AA9">
      <w:pPr>
        <w:widowControl w:val="0"/>
        <w:tabs>
          <w:tab w:val="clear" w:pos="567"/>
        </w:tabs>
        <w:spacing w:line="240" w:lineRule="auto"/>
        <w:rPr>
          <w:snapToGrid/>
          <w:szCs w:val="22"/>
          <w:lang w:val="lt-LT"/>
        </w:rPr>
      </w:pPr>
    </w:p>
    <w:p w14:paraId="106C1DAA"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Tiksliai laikykitės visų gydytojo nurodymų.</w:t>
      </w:r>
    </w:p>
    <w:p w14:paraId="1EBAAC6C" w14:textId="77777777" w:rsidR="004F7AA9" w:rsidRPr="007777D9" w:rsidRDefault="004F7AA9" w:rsidP="004F7AA9">
      <w:pPr>
        <w:widowControl w:val="0"/>
        <w:tabs>
          <w:tab w:val="clear" w:pos="567"/>
        </w:tabs>
        <w:spacing w:line="240" w:lineRule="auto"/>
        <w:rPr>
          <w:snapToGrid/>
          <w:szCs w:val="22"/>
          <w:lang w:val="lt-LT"/>
        </w:rPr>
      </w:pPr>
    </w:p>
    <w:p w14:paraId="7A755E68"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Prieš pradedant gydymą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gydytojas atliks kraujo tyrimus, o vėliau reguliariai tikrins Jūsų organizmo reakciją į gydymą.</w:t>
      </w:r>
    </w:p>
    <w:p w14:paraId="03B3BE4F" w14:textId="77777777" w:rsidR="004F7AA9" w:rsidRPr="007777D9" w:rsidRDefault="004F7AA9" w:rsidP="004F7AA9">
      <w:pPr>
        <w:widowControl w:val="0"/>
        <w:tabs>
          <w:tab w:val="clear" w:pos="567"/>
        </w:tabs>
        <w:spacing w:line="240" w:lineRule="auto"/>
        <w:rPr>
          <w:snapToGrid/>
          <w:szCs w:val="22"/>
          <w:lang w:val="lt-LT"/>
        </w:rPr>
      </w:pPr>
    </w:p>
    <w:p w14:paraId="2198A05D"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 xml:space="preserve">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w:t>
      </w:r>
      <w:r>
        <w:rPr>
          <w:b/>
          <w:bCs/>
          <w:snapToGrid/>
          <w:szCs w:val="22"/>
          <w:lang w:val="lt-LT"/>
        </w:rPr>
        <w:t>vartoti</w:t>
      </w:r>
      <w:r w:rsidRPr="007777D9">
        <w:rPr>
          <w:b/>
          <w:bCs/>
          <w:snapToGrid/>
          <w:szCs w:val="22"/>
          <w:lang w:val="lt-LT"/>
        </w:rPr>
        <w:t xml:space="preserve"> negalima:</w:t>
      </w:r>
    </w:p>
    <w:p w14:paraId="774CC415" w14:textId="77777777" w:rsidR="004F7AA9" w:rsidRPr="0046030A" w:rsidRDefault="004F7AA9" w:rsidP="004F7AA9">
      <w:pPr>
        <w:widowControl w:val="0"/>
        <w:numPr>
          <w:ilvl w:val="0"/>
          <w:numId w:val="48"/>
        </w:numPr>
        <w:tabs>
          <w:tab w:val="clear" w:pos="567"/>
        </w:tabs>
        <w:spacing w:line="240" w:lineRule="auto"/>
        <w:ind w:left="567" w:hanging="567"/>
        <w:rPr>
          <w:snapToGrid/>
          <w:szCs w:val="22"/>
          <w:lang w:val="lt-LT"/>
        </w:rPr>
      </w:pPr>
      <w:r w:rsidRPr="0046030A">
        <w:rPr>
          <w:snapToGrid/>
          <w:szCs w:val="22"/>
          <w:lang w:val="lt-LT"/>
        </w:rPr>
        <w:t xml:space="preserve">jeigu </w:t>
      </w:r>
      <w:r>
        <w:rPr>
          <w:snapToGrid/>
          <w:szCs w:val="22"/>
          <w:lang w:val="lt-LT"/>
        </w:rPr>
        <w:t>maitinate krūtimi</w:t>
      </w:r>
      <w:r w:rsidRPr="0046030A">
        <w:rPr>
          <w:snapToGrid/>
          <w:szCs w:val="22"/>
          <w:lang w:val="lt-LT"/>
        </w:rPr>
        <w:t>;</w:t>
      </w:r>
    </w:p>
    <w:p w14:paraId="570B5197" w14:textId="77777777" w:rsidR="004F7AA9" w:rsidRPr="0046030A" w:rsidRDefault="004F7AA9" w:rsidP="004F7AA9">
      <w:pPr>
        <w:widowControl w:val="0"/>
        <w:numPr>
          <w:ilvl w:val="0"/>
          <w:numId w:val="48"/>
        </w:numPr>
        <w:tabs>
          <w:tab w:val="clear" w:pos="567"/>
        </w:tabs>
        <w:spacing w:line="240" w:lineRule="auto"/>
        <w:ind w:left="567" w:hanging="567"/>
        <w:contextualSpacing/>
        <w:rPr>
          <w:snapToGrid/>
          <w:szCs w:val="22"/>
          <w:lang w:val="lt-LT"/>
        </w:rPr>
      </w:pPr>
      <w:r w:rsidRPr="0046030A">
        <w:rPr>
          <w:snapToGrid/>
          <w:position w:val="-1"/>
          <w:szCs w:val="22"/>
          <w:lang w:val="lt-LT"/>
        </w:rPr>
        <w:t xml:space="preserve">jeigu yra alergija zoledrono rūgščiai, kitiems bisfosfonatams (vaistų </w:t>
      </w:r>
      <w:r w:rsidRPr="0046030A">
        <w:rPr>
          <w:snapToGrid/>
          <w:szCs w:val="22"/>
          <w:lang w:val="lt-LT"/>
        </w:rPr>
        <w:t xml:space="preserve">grupei, kuriai priklauso Zoledronic </w:t>
      </w:r>
      <w:r>
        <w:rPr>
          <w:snapToGrid/>
          <w:szCs w:val="22"/>
          <w:lang w:val="lt-LT"/>
        </w:rPr>
        <w:t>acid</w:t>
      </w:r>
      <w:r w:rsidRPr="0046030A">
        <w:rPr>
          <w:snapToGrid/>
          <w:szCs w:val="22"/>
          <w:lang w:val="lt-LT"/>
        </w:rPr>
        <w:t xml:space="preserve"> </w:t>
      </w:r>
      <w:r>
        <w:rPr>
          <w:snapToGrid/>
          <w:szCs w:val="22"/>
          <w:lang w:val="lt-LT"/>
        </w:rPr>
        <w:t>Norameda</w:t>
      </w:r>
      <w:r w:rsidRPr="0046030A">
        <w:rPr>
          <w:snapToGrid/>
          <w:szCs w:val="22"/>
          <w:lang w:val="lt-LT"/>
        </w:rPr>
        <w:t>) arba bet kuriai pagalbinei šio vaistinio preparato medžiagai (jos išvardytos 6 skyriuje).</w:t>
      </w:r>
    </w:p>
    <w:p w14:paraId="6845E059" w14:textId="77777777" w:rsidR="004F7AA9" w:rsidRPr="007777D9" w:rsidRDefault="004F7AA9" w:rsidP="004F7AA9">
      <w:pPr>
        <w:widowControl w:val="0"/>
        <w:tabs>
          <w:tab w:val="clear" w:pos="567"/>
        </w:tabs>
        <w:spacing w:line="240" w:lineRule="auto"/>
        <w:rPr>
          <w:snapToGrid/>
          <w:szCs w:val="22"/>
          <w:lang w:val="lt-LT"/>
        </w:rPr>
      </w:pPr>
    </w:p>
    <w:p w14:paraId="5BBCB602"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Įspėjimai ir atsargumo priemonės</w:t>
      </w:r>
    </w:p>
    <w:p w14:paraId="719F5858"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Pasitarkite su gydytoju prieš</w:t>
      </w:r>
      <w:r w:rsidRPr="007777D9" w:rsidDel="00DC3ADC">
        <w:rPr>
          <w:b/>
          <w:bCs/>
          <w:snapToGrid/>
          <w:szCs w:val="22"/>
          <w:lang w:val="lt-LT"/>
        </w:rPr>
        <w:t xml:space="preserve"> </w:t>
      </w:r>
      <w:r w:rsidRPr="0046030A">
        <w:rPr>
          <w:b/>
          <w:bCs/>
          <w:snapToGrid/>
          <w:szCs w:val="22"/>
          <w:lang w:val="lt-LT"/>
        </w:rPr>
        <w:t xml:space="preserve">pradėdami vartoti </w:t>
      </w:r>
      <w:r w:rsidRPr="007777D9">
        <w:rPr>
          <w:b/>
          <w:bCs/>
          <w:snapToGrid/>
          <w:szCs w:val="22"/>
          <w:lang w:val="lt-LT"/>
        </w:rPr>
        <w:t xml:space="preserve">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w:t>
      </w:r>
    </w:p>
    <w:p w14:paraId="090D1E36" w14:textId="77777777" w:rsidR="004F7AA9" w:rsidRPr="007777D9" w:rsidRDefault="004F7AA9" w:rsidP="004F7AA9">
      <w:pPr>
        <w:widowControl w:val="0"/>
        <w:numPr>
          <w:ilvl w:val="0"/>
          <w:numId w:val="14"/>
        </w:numPr>
        <w:tabs>
          <w:tab w:val="clear" w:pos="567"/>
        </w:tabs>
        <w:spacing w:line="240" w:lineRule="auto"/>
        <w:ind w:left="567" w:hanging="567"/>
        <w:contextualSpacing/>
        <w:rPr>
          <w:snapToGrid/>
          <w:szCs w:val="22"/>
          <w:lang w:val="lt-LT"/>
        </w:rPr>
      </w:pPr>
      <w:r w:rsidRPr="007777D9">
        <w:rPr>
          <w:snapToGrid/>
          <w:szCs w:val="22"/>
          <w:lang w:val="lt-LT"/>
        </w:rPr>
        <w:t xml:space="preserve">jeigu sirgote ar sergate </w:t>
      </w:r>
      <w:r w:rsidRPr="007777D9">
        <w:rPr>
          <w:b/>
          <w:snapToGrid/>
          <w:szCs w:val="22"/>
          <w:lang w:val="lt-LT"/>
        </w:rPr>
        <w:t xml:space="preserve">inkstų </w:t>
      </w:r>
      <w:r w:rsidRPr="007777D9">
        <w:rPr>
          <w:b/>
          <w:bCs/>
          <w:snapToGrid/>
          <w:szCs w:val="22"/>
          <w:lang w:val="lt-LT"/>
        </w:rPr>
        <w:t>liga</w:t>
      </w:r>
      <w:r w:rsidRPr="007777D9">
        <w:rPr>
          <w:snapToGrid/>
          <w:szCs w:val="22"/>
          <w:lang w:val="lt-LT"/>
        </w:rPr>
        <w:t>;</w:t>
      </w:r>
    </w:p>
    <w:p w14:paraId="574CA301" w14:textId="77777777" w:rsidR="004F7AA9" w:rsidRPr="007777D9" w:rsidRDefault="004F7AA9" w:rsidP="004F7AA9">
      <w:pPr>
        <w:widowControl w:val="0"/>
        <w:numPr>
          <w:ilvl w:val="0"/>
          <w:numId w:val="14"/>
        </w:numPr>
        <w:tabs>
          <w:tab w:val="clear" w:pos="567"/>
        </w:tabs>
        <w:spacing w:line="240" w:lineRule="auto"/>
        <w:ind w:left="567" w:hanging="567"/>
        <w:contextualSpacing/>
        <w:rPr>
          <w:snapToGrid/>
          <w:szCs w:val="22"/>
          <w:lang w:val="lt-LT"/>
        </w:rPr>
      </w:pPr>
      <w:r w:rsidRPr="007777D9">
        <w:rPr>
          <w:snapToGrid/>
          <w:szCs w:val="22"/>
          <w:lang w:val="lt-LT"/>
        </w:rPr>
        <w:t xml:space="preserve">jeigu </w:t>
      </w:r>
      <w:r w:rsidRPr="007777D9">
        <w:rPr>
          <w:b/>
          <w:snapToGrid/>
          <w:szCs w:val="22"/>
          <w:lang w:val="lt-LT"/>
        </w:rPr>
        <w:t>skaudėjo</w:t>
      </w:r>
      <w:r w:rsidRPr="007777D9">
        <w:rPr>
          <w:snapToGrid/>
          <w:szCs w:val="22"/>
          <w:lang w:val="lt-LT"/>
        </w:rPr>
        <w:t xml:space="preserve"> ar </w:t>
      </w:r>
      <w:r w:rsidRPr="007777D9">
        <w:rPr>
          <w:b/>
          <w:snapToGrid/>
          <w:szCs w:val="22"/>
          <w:lang w:val="lt-LT"/>
        </w:rPr>
        <w:t>skauda</w:t>
      </w:r>
      <w:r w:rsidRPr="007777D9">
        <w:rPr>
          <w:snapToGrid/>
          <w:szCs w:val="22"/>
          <w:lang w:val="lt-LT"/>
        </w:rPr>
        <w:t xml:space="preserve"> žandikaulį, jis </w:t>
      </w:r>
      <w:r w:rsidRPr="007777D9">
        <w:rPr>
          <w:b/>
          <w:snapToGrid/>
          <w:szCs w:val="22"/>
          <w:lang w:val="lt-LT"/>
        </w:rPr>
        <w:t xml:space="preserve">patinęs ar </w:t>
      </w:r>
      <w:r>
        <w:rPr>
          <w:b/>
          <w:snapToGrid/>
          <w:szCs w:val="22"/>
          <w:lang w:val="lt-LT"/>
        </w:rPr>
        <w:t>aptirpęs</w:t>
      </w:r>
      <w:r w:rsidRPr="007777D9">
        <w:rPr>
          <w:snapToGrid/>
          <w:szCs w:val="22"/>
          <w:lang w:val="lt-LT"/>
        </w:rPr>
        <w:t>, jaučiate sunkumą žandikaulio srityje ar jeigu kliba dantis.</w:t>
      </w:r>
      <w:r w:rsidRPr="007777D9">
        <w:rPr>
          <w:rFonts w:eastAsia="Calibri"/>
          <w:snapToGrid/>
          <w:szCs w:val="22"/>
          <w:lang w:val="lt-LT" w:eastAsia="lt-LT"/>
        </w:rPr>
        <w:t xml:space="preserve"> </w:t>
      </w:r>
      <w:r w:rsidRPr="007777D9">
        <w:rPr>
          <w:snapToGrid/>
          <w:szCs w:val="22"/>
          <w:lang w:val="lt-LT"/>
        </w:rPr>
        <w:t xml:space="preserve">Gydytojas gali paprašyti Jūsų pasitikrinti dantis, prieš pradėdamas gydymą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w:t>
      </w:r>
    </w:p>
    <w:p w14:paraId="32164FB4" w14:textId="77777777" w:rsidR="004F7AA9" w:rsidRPr="00E65AB3" w:rsidRDefault="004F7AA9" w:rsidP="004F7AA9">
      <w:pPr>
        <w:widowControl w:val="0"/>
        <w:numPr>
          <w:ilvl w:val="0"/>
          <w:numId w:val="14"/>
        </w:numPr>
        <w:tabs>
          <w:tab w:val="clear" w:pos="567"/>
        </w:tabs>
        <w:spacing w:line="240" w:lineRule="auto"/>
        <w:ind w:left="567" w:hanging="567"/>
        <w:contextualSpacing/>
        <w:rPr>
          <w:snapToGrid/>
          <w:szCs w:val="22"/>
          <w:lang w:val="lt-LT"/>
        </w:rPr>
      </w:pPr>
      <w:r w:rsidRPr="00E65AB3">
        <w:rPr>
          <w:snapToGrid/>
          <w:szCs w:val="22"/>
          <w:lang w:val="lt-LT"/>
        </w:rPr>
        <w:lastRenderedPageBreak/>
        <w:t xml:space="preserve">jeigu </w:t>
      </w:r>
      <w:r w:rsidRPr="00E65AB3">
        <w:rPr>
          <w:b/>
          <w:snapToGrid/>
          <w:szCs w:val="22"/>
          <w:lang w:val="lt-LT"/>
        </w:rPr>
        <w:t>gydotės dantis</w:t>
      </w:r>
      <w:r w:rsidRPr="00E65AB3">
        <w:rPr>
          <w:snapToGrid/>
          <w:szCs w:val="22"/>
          <w:lang w:val="lt-LT"/>
        </w:rPr>
        <w:t xml:space="preserve"> ar Jums numatyta atlikti odontologinę operaciją; pasakykite odontologui, kad Jums skiriamas gydymas Zoledronic </w:t>
      </w:r>
      <w:r>
        <w:rPr>
          <w:snapToGrid/>
          <w:szCs w:val="22"/>
          <w:lang w:val="lt-LT"/>
        </w:rPr>
        <w:t>acid</w:t>
      </w:r>
      <w:r w:rsidRPr="00E65AB3">
        <w:rPr>
          <w:snapToGrid/>
          <w:szCs w:val="22"/>
          <w:lang w:val="lt-LT"/>
        </w:rPr>
        <w:t xml:space="preserve"> </w:t>
      </w:r>
      <w:r>
        <w:rPr>
          <w:snapToGrid/>
          <w:szCs w:val="22"/>
          <w:lang w:val="lt-LT"/>
        </w:rPr>
        <w:t>Norameda,</w:t>
      </w:r>
      <w:r w:rsidRPr="00E65AB3">
        <w:rPr>
          <w:snapToGrid/>
          <w:szCs w:val="22"/>
          <w:lang w:val="lt-LT"/>
        </w:rPr>
        <w:t xml:space="preserve"> ir pasakykite apie dantų gydymą savo gydytojui.</w:t>
      </w:r>
    </w:p>
    <w:p w14:paraId="1CFC8D46" w14:textId="77777777" w:rsidR="004F7AA9" w:rsidRPr="007777D9" w:rsidRDefault="004F7AA9" w:rsidP="004F7AA9">
      <w:pPr>
        <w:widowControl w:val="0"/>
        <w:tabs>
          <w:tab w:val="clear" w:pos="567"/>
        </w:tabs>
        <w:spacing w:line="240" w:lineRule="auto"/>
        <w:rPr>
          <w:snapToGrid/>
          <w:szCs w:val="22"/>
          <w:lang w:val="lt-LT"/>
        </w:rPr>
      </w:pPr>
    </w:p>
    <w:p w14:paraId="1FC48AF3"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gydymo metu Jūs turite palaikyti gerą burnos ertmės higieną (</w:t>
      </w:r>
      <w:r>
        <w:rPr>
          <w:snapToGrid/>
          <w:szCs w:val="22"/>
          <w:lang w:val="lt-LT"/>
        </w:rPr>
        <w:t>įskaitant reguliarų dantų valymą</w:t>
      </w:r>
      <w:r w:rsidRPr="007777D9">
        <w:rPr>
          <w:snapToGrid/>
          <w:szCs w:val="22"/>
          <w:lang w:val="lt-LT"/>
        </w:rPr>
        <w:t xml:space="preserve">) ir profilaktiškai </w:t>
      </w:r>
      <w:r>
        <w:rPr>
          <w:snapToGrid/>
          <w:szCs w:val="22"/>
          <w:lang w:val="lt-LT"/>
        </w:rPr>
        <w:t>atlikinėti odontologinę patikrą.</w:t>
      </w:r>
    </w:p>
    <w:p w14:paraId="521361EB" w14:textId="77777777" w:rsidR="004F7AA9" w:rsidRPr="007777D9" w:rsidRDefault="004F7AA9" w:rsidP="004F7AA9">
      <w:pPr>
        <w:widowControl w:val="0"/>
        <w:tabs>
          <w:tab w:val="clear" w:pos="567"/>
        </w:tabs>
        <w:spacing w:line="240" w:lineRule="auto"/>
        <w:rPr>
          <w:snapToGrid/>
          <w:szCs w:val="22"/>
          <w:lang w:val="lt-LT"/>
        </w:rPr>
      </w:pPr>
    </w:p>
    <w:p w14:paraId="4CA065D0"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Nedelsdami kreipkitės į gydytoją ir odontologą, jeigu atsirado koki</w:t>
      </w:r>
      <w:r>
        <w:rPr>
          <w:snapToGrid/>
          <w:szCs w:val="22"/>
          <w:lang w:val="lt-LT"/>
        </w:rPr>
        <w:t>ų</w:t>
      </w:r>
      <w:r w:rsidRPr="007777D9">
        <w:rPr>
          <w:snapToGrid/>
          <w:szCs w:val="22"/>
          <w:lang w:val="lt-LT"/>
        </w:rPr>
        <w:t xml:space="preserve"> nors burnos ertmės ar dantų </w:t>
      </w:r>
      <w:r>
        <w:rPr>
          <w:snapToGrid/>
          <w:szCs w:val="22"/>
          <w:lang w:val="lt-LT"/>
        </w:rPr>
        <w:t>problemų</w:t>
      </w:r>
      <w:r w:rsidRPr="007777D9">
        <w:rPr>
          <w:snapToGrid/>
          <w:szCs w:val="22"/>
          <w:lang w:val="lt-LT"/>
        </w:rPr>
        <w:t>, toki</w:t>
      </w:r>
      <w:r>
        <w:rPr>
          <w:snapToGrid/>
          <w:szCs w:val="22"/>
          <w:lang w:val="lt-LT"/>
        </w:rPr>
        <w:t>ų</w:t>
      </w:r>
      <w:r w:rsidRPr="007777D9">
        <w:rPr>
          <w:snapToGrid/>
          <w:szCs w:val="22"/>
          <w:lang w:val="lt-LT"/>
        </w:rPr>
        <w:t xml:space="preserve"> kaip iškritęs dantis, skausmas ar patinimas, opų negijimas ar išskyros, nes tai gali būti taip vadinamos žandikaulio </w:t>
      </w:r>
      <w:r>
        <w:rPr>
          <w:snapToGrid/>
          <w:szCs w:val="22"/>
          <w:lang w:val="lt-LT"/>
        </w:rPr>
        <w:t>osteo</w:t>
      </w:r>
      <w:r w:rsidRPr="007777D9">
        <w:rPr>
          <w:snapToGrid/>
          <w:szCs w:val="22"/>
          <w:lang w:val="lt-LT"/>
        </w:rPr>
        <w:t>nekrozės požymiai.</w:t>
      </w:r>
    </w:p>
    <w:p w14:paraId="406EB68D" w14:textId="77777777" w:rsidR="004F7AA9" w:rsidRPr="007777D9" w:rsidRDefault="004F7AA9" w:rsidP="004F7AA9">
      <w:pPr>
        <w:widowControl w:val="0"/>
        <w:tabs>
          <w:tab w:val="clear" w:pos="567"/>
        </w:tabs>
        <w:spacing w:line="240" w:lineRule="auto"/>
        <w:rPr>
          <w:snapToGrid/>
          <w:szCs w:val="22"/>
          <w:lang w:val="lt-LT"/>
        </w:rPr>
      </w:pPr>
    </w:p>
    <w:p w14:paraId="725E1ED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Pacientams, kuriems yra skiriama chemoterapija ir (arba) radioterapija, kurie vartoja kortikosteroid</w:t>
      </w:r>
      <w:r>
        <w:rPr>
          <w:snapToGrid/>
          <w:szCs w:val="22"/>
          <w:lang w:val="lt-LT"/>
        </w:rPr>
        <w:t>ų</w:t>
      </w:r>
      <w:r w:rsidRPr="007777D9">
        <w:rPr>
          <w:snapToGrid/>
          <w:szCs w:val="22"/>
          <w:lang w:val="lt-LT"/>
        </w:rPr>
        <w:t>, kuriems yra planuojamos odontologinės operacijos, kurie neatlieka profilaktinio dantų patikrinimo, kuriems yra dantenų ligos, kurie rūko arba anksčiau vartojo bifosfonatų (</w:t>
      </w:r>
      <w:r>
        <w:rPr>
          <w:snapToGrid/>
          <w:szCs w:val="22"/>
          <w:lang w:val="lt-LT"/>
        </w:rPr>
        <w:t>vaistų</w:t>
      </w:r>
      <w:r w:rsidRPr="007777D9">
        <w:rPr>
          <w:snapToGrid/>
          <w:szCs w:val="22"/>
          <w:lang w:val="lt-LT"/>
        </w:rPr>
        <w:t xml:space="preserve">, skirtų gydyti </w:t>
      </w:r>
      <w:r>
        <w:rPr>
          <w:snapToGrid/>
          <w:szCs w:val="22"/>
          <w:lang w:val="lt-LT"/>
        </w:rPr>
        <w:t xml:space="preserve">kaulų sutrikimus </w:t>
      </w:r>
      <w:r w:rsidRPr="007777D9">
        <w:rPr>
          <w:snapToGrid/>
          <w:szCs w:val="22"/>
          <w:lang w:val="lt-LT"/>
        </w:rPr>
        <w:t>arba apsaugoti nuo</w:t>
      </w:r>
      <w:r>
        <w:rPr>
          <w:snapToGrid/>
          <w:szCs w:val="22"/>
          <w:lang w:val="lt-LT"/>
        </w:rPr>
        <w:t xml:space="preserve"> jų), </w:t>
      </w:r>
      <w:r w:rsidRPr="007777D9">
        <w:rPr>
          <w:snapToGrid/>
          <w:szCs w:val="22"/>
          <w:lang w:val="lt-LT"/>
        </w:rPr>
        <w:t xml:space="preserve">žandikaulio </w:t>
      </w:r>
      <w:r>
        <w:rPr>
          <w:snapToGrid/>
          <w:szCs w:val="22"/>
          <w:lang w:val="lt-LT"/>
        </w:rPr>
        <w:t>osteo</w:t>
      </w:r>
      <w:r w:rsidRPr="007777D9">
        <w:rPr>
          <w:snapToGrid/>
          <w:szCs w:val="22"/>
          <w:lang w:val="lt-LT"/>
        </w:rPr>
        <w:t>nekrozės pasireiškimo rizika</w:t>
      </w:r>
      <w:r>
        <w:rPr>
          <w:snapToGrid/>
          <w:szCs w:val="22"/>
          <w:lang w:val="lt-LT"/>
        </w:rPr>
        <w:t xml:space="preserve"> gali būti didesnė</w:t>
      </w:r>
      <w:r w:rsidRPr="007777D9">
        <w:rPr>
          <w:snapToGrid/>
          <w:szCs w:val="22"/>
          <w:lang w:val="lt-LT"/>
        </w:rPr>
        <w:t>.</w:t>
      </w:r>
    </w:p>
    <w:p w14:paraId="1FD1A287" w14:textId="77777777" w:rsidR="004F7AA9" w:rsidRPr="007777D9" w:rsidRDefault="004F7AA9" w:rsidP="004F7AA9">
      <w:pPr>
        <w:widowControl w:val="0"/>
        <w:tabs>
          <w:tab w:val="clear" w:pos="567"/>
        </w:tabs>
        <w:spacing w:line="240" w:lineRule="auto"/>
        <w:rPr>
          <w:snapToGrid/>
          <w:szCs w:val="22"/>
          <w:lang w:val="lt-LT"/>
        </w:rPr>
      </w:pPr>
    </w:p>
    <w:p w14:paraId="4854E418"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Gauta pranešimų apie zoledrono rūgšties vartojusiems pacientams pastebėtus sumažėjusio kalcio kiekio kraujyje (hipokalcemijos) atvejus, dėl kurių kartais pasireiškia raumenų mėšlungis, </w:t>
      </w:r>
      <w:r>
        <w:rPr>
          <w:snapToGrid/>
          <w:szCs w:val="22"/>
          <w:lang w:val="lt-LT"/>
        </w:rPr>
        <w:t>odos sausumas</w:t>
      </w:r>
      <w:r w:rsidRPr="007777D9">
        <w:rPr>
          <w:snapToGrid/>
          <w:szCs w:val="22"/>
          <w:lang w:val="lt-LT"/>
        </w:rPr>
        <w:t xml:space="preserve"> ar deginimo pojūtis. Gauta pranešimų apie dėl sunkios hipokalcemijos pasireiškusius antrinius nereguliaraus širdies plakimo (širdies aritmij</w:t>
      </w:r>
      <w:r>
        <w:rPr>
          <w:snapToGrid/>
          <w:szCs w:val="22"/>
          <w:lang w:val="lt-LT"/>
        </w:rPr>
        <w:t>os</w:t>
      </w:r>
      <w:r w:rsidRPr="007777D9">
        <w:rPr>
          <w:snapToGrid/>
          <w:szCs w:val="22"/>
          <w:lang w:val="lt-LT"/>
        </w:rPr>
        <w:t xml:space="preserve">), traukulių, raumenų spazmų ir trūkčiojimų (tetanijos) atvejus. Kai kuriais atvejais hipokalcemija gali </w:t>
      </w:r>
      <w:r>
        <w:rPr>
          <w:snapToGrid/>
          <w:szCs w:val="22"/>
          <w:lang w:val="lt-LT"/>
        </w:rPr>
        <w:t>būti pavojinga</w:t>
      </w:r>
      <w:r w:rsidRPr="007777D9">
        <w:rPr>
          <w:snapToGrid/>
          <w:szCs w:val="22"/>
          <w:lang w:val="lt-LT"/>
        </w:rPr>
        <w:t xml:space="preserve"> gyvybei. Jeigu Jums yra bet kuri iš šių būklių, nedelsdami pasakykite gydytojui. Jei Jums yra įtariama hipokalcemija, ji turi būti koreguojama prieš pradedant vartoti pirmąją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dozę. Jums bus paskirta atitinkamai vartoti kalcio ir vitamino D papildų.</w:t>
      </w:r>
    </w:p>
    <w:p w14:paraId="7BBF3865" w14:textId="77777777" w:rsidR="004F7AA9" w:rsidRPr="007777D9" w:rsidRDefault="004F7AA9" w:rsidP="004F7AA9">
      <w:pPr>
        <w:widowControl w:val="0"/>
        <w:tabs>
          <w:tab w:val="clear" w:pos="567"/>
        </w:tabs>
        <w:spacing w:line="240" w:lineRule="auto"/>
        <w:rPr>
          <w:snapToGrid/>
          <w:szCs w:val="22"/>
          <w:lang w:val="lt-LT"/>
        </w:rPr>
      </w:pPr>
    </w:p>
    <w:p w14:paraId="71E36610"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65 metų ir vyresniems pacientams</w:t>
      </w:r>
    </w:p>
    <w:p w14:paraId="3BCF58E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65 metų ir vyresniems žmonėms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vartoti galima. Nėra duomenų, rodančių, kad jiems reikėtų laikytis papildomų atsargumo priemonių.</w:t>
      </w:r>
    </w:p>
    <w:p w14:paraId="1C91FE05" w14:textId="77777777" w:rsidR="004F7AA9" w:rsidRPr="007777D9" w:rsidRDefault="004F7AA9" w:rsidP="004F7AA9">
      <w:pPr>
        <w:widowControl w:val="0"/>
        <w:tabs>
          <w:tab w:val="clear" w:pos="567"/>
        </w:tabs>
        <w:spacing w:line="240" w:lineRule="auto"/>
        <w:rPr>
          <w:snapToGrid/>
          <w:szCs w:val="22"/>
          <w:lang w:val="lt-LT"/>
        </w:rPr>
      </w:pPr>
    </w:p>
    <w:p w14:paraId="27CABB78"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Vaikams ir paaugliams</w:t>
      </w:r>
    </w:p>
    <w:p w14:paraId="2786A02B"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nerekomenduojama vartoti jaunesniems kaip 18 metų vaikams ir paaugliams.</w:t>
      </w:r>
    </w:p>
    <w:p w14:paraId="72BB6696" w14:textId="77777777" w:rsidR="004F7AA9" w:rsidRPr="007777D9" w:rsidRDefault="004F7AA9" w:rsidP="004F7AA9">
      <w:pPr>
        <w:widowControl w:val="0"/>
        <w:tabs>
          <w:tab w:val="clear" w:pos="567"/>
        </w:tabs>
        <w:spacing w:line="240" w:lineRule="auto"/>
        <w:rPr>
          <w:snapToGrid/>
          <w:szCs w:val="22"/>
          <w:lang w:val="lt-LT"/>
        </w:rPr>
      </w:pPr>
    </w:p>
    <w:p w14:paraId="1A5B87F3"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 xml:space="preserve">Kiti vaistai ir Zoledronic </w:t>
      </w:r>
      <w:r>
        <w:rPr>
          <w:b/>
          <w:snapToGrid/>
          <w:szCs w:val="22"/>
          <w:lang w:val="lt-LT"/>
        </w:rPr>
        <w:t>acid</w:t>
      </w:r>
      <w:r w:rsidRPr="007777D9">
        <w:rPr>
          <w:b/>
          <w:snapToGrid/>
          <w:szCs w:val="22"/>
          <w:lang w:val="lt-LT"/>
        </w:rPr>
        <w:t xml:space="preserve"> </w:t>
      </w:r>
      <w:r>
        <w:rPr>
          <w:b/>
          <w:snapToGrid/>
          <w:szCs w:val="22"/>
          <w:lang w:val="lt-LT"/>
        </w:rPr>
        <w:t>Norameda</w:t>
      </w:r>
      <w:r w:rsidRPr="007777D9">
        <w:rPr>
          <w:b/>
          <w:snapToGrid/>
          <w:szCs w:val="22"/>
          <w:lang w:val="lt-LT"/>
        </w:rPr>
        <w:t xml:space="preserve"> </w:t>
      </w:r>
    </w:p>
    <w:p w14:paraId="447B27B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Jeigu vartojate ar neseniai vartojote kitų vaistų arba dėl to nesate tikri, apie tai pasakykite gydytojui.</w:t>
      </w:r>
      <w:r>
        <w:rPr>
          <w:snapToGrid/>
          <w:szCs w:val="22"/>
          <w:lang w:val="lt-LT"/>
        </w:rPr>
        <w:t xml:space="preserve"> </w:t>
      </w:r>
      <w:r w:rsidRPr="007777D9">
        <w:rPr>
          <w:snapToGrid/>
          <w:szCs w:val="22"/>
          <w:lang w:val="lt-LT"/>
        </w:rPr>
        <w:t>Ypač svarbu pasakyti gydytojui, jei kartu vartojate:</w:t>
      </w:r>
    </w:p>
    <w:p w14:paraId="43AF0799" w14:textId="77777777" w:rsidR="004F7AA9" w:rsidRPr="00FE2553" w:rsidRDefault="004F7AA9" w:rsidP="004F7AA9">
      <w:pPr>
        <w:widowControl w:val="0"/>
        <w:numPr>
          <w:ilvl w:val="0"/>
          <w:numId w:val="39"/>
        </w:numPr>
        <w:tabs>
          <w:tab w:val="clear" w:pos="567"/>
        </w:tabs>
        <w:spacing w:line="240" w:lineRule="auto"/>
        <w:contextualSpacing/>
        <w:rPr>
          <w:snapToGrid/>
          <w:szCs w:val="22"/>
          <w:lang w:val="lt-LT"/>
        </w:rPr>
      </w:pPr>
      <w:r w:rsidRPr="00FE2553">
        <w:rPr>
          <w:snapToGrid/>
          <w:szCs w:val="22"/>
          <w:lang w:val="lt-LT"/>
        </w:rPr>
        <w:t>aminoglikozidų (vaistų, vartojamų sunki</w:t>
      </w:r>
      <w:r>
        <w:rPr>
          <w:snapToGrid/>
          <w:szCs w:val="22"/>
          <w:lang w:val="lt-LT"/>
        </w:rPr>
        <w:t>oms</w:t>
      </w:r>
      <w:r w:rsidRPr="00FE2553">
        <w:rPr>
          <w:snapToGrid/>
          <w:szCs w:val="22"/>
          <w:lang w:val="lt-LT"/>
        </w:rPr>
        <w:t xml:space="preserve"> infekcin</w:t>
      </w:r>
      <w:r>
        <w:rPr>
          <w:snapToGrid/>
          <w:szCs w:val="22"/>
          <w:lang w:val="lt-LT"/>
        </w:rPr>
        <w:t>ėms</w:t>
      </w:r>
      <w:r w:rsidRPr="00FE2553">
        <w:rPr>
          <w:snapToGrid/>
          <w:szCs w:val="22"/>
          <w:lang w:val="lt-LT"/>
        </w:rPr>
        <w:t xml:space="preserve"> lig</w:t>
      </w:r>
      <w:r>
        <w:rPr>
          <w:snapToGrid/>
          <w:szCs w:val="22"/>
          <w:lang w:val="lt-LT"/>
        </w:rPr>
        <w:t>oms</w:t>
      </w:r>
      <w:r w:rsidRPr="00FE2553">
        <w:rPr>
          <w:snapToGrid/>
          <w:szCs w:val="22"/>
          <w:lang w:val="lt-LT"/>
        </w:rPr>
        <w:t xml:space="preserve"> gydyti), kalcitonino (tam tikro tipo vaisto, vartojamo osteoporozei po menopauzės ir hiperkalcemijai gydyti), </w:t>
      </w:r>
      <w:r>
        <w:rPr>
          <w:snapToGrid/>
          <w:szCs w:val="22"/>
          <w:lang w:val="lt-LT"/>
        </w:rPr>
        <w:t>Henlės kilpoje veikiančių</w:t>
      </w:r>
      <w:r w:rsidRPr="00FE2553">
        <w:rPr>
          <w:snapToGrid/>
          <w:szCs w:val="22"/>
          <w:lang w:val="lt-LT"/>
        </w:rPr>
        <w:t xml:space="preserve"> diuretikų (tam tikro tipo vaistų, vartojamų padidėjusiam kraujospūdžiui ar edemai mažinti) arba kitų kalcio kiekį mažinančių vaistų, nes jų derinys su bisfosfonatais gali per daug sumažinti kalcio kiekį kraujyje; </w:t>
      </w:r>
    </w:p>
    <w:p w14:paraId="2CC33EF1" w14:textId="77777777" w:rsidR="004F7AA9" w:rsidRPr="00FE2553" w:rsidRDefault="004F7AA9" w:rsidP="004F7AA9">
      <w:pPr>
        <w:widowControl w:val="0"/>
        <w:numPr>
          <w:ilvl w:val="0"/>
          <w:numId w:val="39"/>
        </w:numPr>
        <w:tabs>
          <w:tab w:val="clear" w:pos="567"/>
        </w:tabs>
        <w:spacing w:line="240" w:lineRule="auto"/>
        <w:rPr>
          <w:snapToGrid/>
          <w:szCs w:val="22"/>
          <w:lang w:val="lt-LT"/>
        </w:rPr>
      </w:pPr>
      <w:r w:rsidRPr="00FE2553">
        <w:rPr>
          <w:snapToGrid/>
          <w:szCs w:val="22"/>
          <w:lang w:val="lt-LT"/>
        </w:rPr>
        <w:t>talidomido ar bet kurių kitų vaistų, kurie gali pažeisti inkstus;</w:t>
      </w:r>
    </w:p>
    <w:p w14:paraId="59526C88" w14:textId="77777777" w:rsidR="004F7AA9" w:rsidRPr="00FE2553" w:rsidRDefault="004F7AA9" w:rsidP="004F7AA9">
      <w:pPr>
        <w:widowControl w:val="0"/>
        <w:numPr>
          <w:ilvl w:val="0"/>
          <w:numId w:val="39"/>
        </w:numPr>
        <w:tabs>
          <w:tab w:val="clear" w:pos="567"/>
        </w:tabs>
        <w:spacing w:line="240" w:lineRule="auto"/>
        <w:rPr>
          <w:snapToGrid/>
          <w:szCs w:val="22"/>
          <w:lang w:val="lt-LT"/>
        </w:rPr>
      </w:pPr>
      <w:r w:rsidRPr="00FE2553">
        <w:rPr>
          <w:snapToGrid/>
          <w:szCs w:val="22"/>
          <w:lang w:val="lt-LT"/>
        </w:rPr>
        <w:t>kitų vaistų, kurių sudėtyje yra z</w:t>
      </w:r>
      <w:r>
        <w:rPr>
          <w:snapToGrid/>
          <w:szCs w:val="22"/>
          <w:lang w:val="lt-LT"/>
        </w:rPr>
        <w:t xml:space="preserve">oledrono rūgšties ir kurie yra </w:t>
      </w:r>
      <w:r w:rsidRPr="00FE2553">
        <w:rPr>
          <w:snapToGrid/>
          <w:szCs w:val="22"/>
          <w:lang w:val="lt-LT"/>
        </w:rPr>
        <w:t xml:space="preserve">vartojami osteoporozei ir kitoms ne vėžio sukeltoms kaulų ligoms gydyti, arba bet kurių kitų bisfosfonatų, kadangi bendras poveikis, </w:t>
      </w:r>
      <w:r w:rsidRPr="00916653">
        <w:rPr>
          <w:snapToGrid/>
          <w:szCs w:val="22"/>
          <w:lang w:val="lt-LT"/>
        </w:rPr>
        <w:t>šių vaistų vartojant kartu</w:t>
      </w:r>
      <w:r w:rsidRPr="00FE2553">
        <w:rPr>
          <w:snapToGrid/>
          <w:szCs w:val="22"/>
          <w:lang w:val="lt-LT"/>
        </w:rPr>
        <w:t>, nežinomas;</w:t>
      </w:r>
    </w:p>
    <w:p w14:paraId="4A1A7419" w14:textId="77777777" w:rsidR="004F7AA9" w:rsidRPr="00FE2553" w:rsidRDefault="004F7AA9" w:rsidP="004F7AA9">
      <w:pPr>
        <w:widowControl w:val="0"/>
        <w:numPr>
          <w:ilvl w:val="0"/>
          <w:numId w:val="39"/>
        </w:numPr>
        <w:tabs>
          <w:tab w:val="clear" w:pos="567"/>
        </w:tabs>
        <w:spacing w:line="240" w:lineRule="auto"/>
        <w:rPr>
          <w:snapToGrid/>
          <w:szCs w:val="22"/>
          <w:lang w:val="lt-LT"/>
        </w:rPr>
      </w:pPr>
      <w:r w:rsidRPr="00FE2553">
        <w:rPr>
          <w:snapToGrid/>
          <w:szCs w:val="22"/>
          <w:lang w:val="lt-LT"/>
        </w:rPr>
        <w:t xml:space="preserve">antiangiogeninių vaistų (vartojamų vėžiui gydyti), nes jų vartojimas kartu su Zoledronic </w:t>
      </w:r>
      <w:r>
        <w:rPr>
          <w:snapToGrid/>
          <w:szCs w:val="22"/>
          <w:lang w:val="lt-LT"/>
        </w:rPr>
        <w:t>acid</w:t>
      </w:r>
      <w:r w:rsidRPr="00FE2553">
        <w:rPr>
          <w:snapToGrid/>
          <w:szCs w:val="22"/>
          <w:lang w:val="lt-LT"/>
        </w:rPr>
        <w:t xml:space="preserve"> </w:t>
      </w:r>
      <w:r>
        <w:rPr>
          <w:snapToGrid/>
          <w:szCs w:val="22"/>
          <w:lang w:val="lt-LT"/>
        </w:rPr>
        <w:t>Norameda</w:t>
      </w:r>
      <w:r w:rsidRPr="00FE2553">
        <w:rPr>
          <w:snapToGrid/>
          <w:szCs w:val="22"/>
          <w:lang w:val="lt-LT"/>
        </w:rPr>
        <w:t xml:space="preserve"> susijęs su padidėjusia žandikaulio osteonekrozės </w:t>
      </w:r>
      <w:r>
        <w:rPr>
          <w:snapToGrid/>
          <w:szCs w:val="22"/>
          <w:lang w:val="lt-LT"/>
        </w:rPr>
        <w:t xml:space="preserve">(ŽON) </w:t>
      </w:r>
      <w:r w:rsidRPr="00FE2553">
        <w:rPr>
          <w:snapToGrid/>
          <w:szCs w:val="22"/>
          <w:lang w:val="lt-LT"/>
        </w:rPr>
        <w:t>rizika.</w:t>
      </w:r>
    </w:p>
    <w:p w14:paraId="73E4C2FD" w14:textId="77777777" w:rsidR="004F7AA9" w:rsidRPr="007777D9" w:rsidRDefault="004F7AA9" w:rsidP="004F7AA9">
      <w:pPr>
        <w:widowControl w:val="0"/>
        <w:tabs>
          <w:tab w:val="clear" w:pos="567"/>
        </w:tabs>
        <w:spacing w:line="240" w:lineRule="auto"/>
        <w:rPr>
          <w:snapToGrid/>
          <w:szCs w:val="22"/>
          <w:lang w:val="lt-LT"/>
        </w:rPr>
      </w:pPr>
    </w:p>
    <w:p w14:paraId="2A1950EF"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Nėštumas ir žindymo laikotarpis</w:t>
      </w:r>
    </w:p>
    <w:p w14:paraId="28429F6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negalima vartoti nėštumo metu. Jei esate nėščia ar manote, kad galbūt esate nėščia, pasakykite apie tai gydytojui.</w:t>
      </w:r>
    </w:p>
    <w:p w14:paraId="1EE98C82" w14:textId="77777777" w:rsidR="004F7AA9" w:rsidRPr="007777D9" w:rsidRDefault="004F7AA9" w:rsidP="004F7AA9">
      <w:pPr>
        <w:widowControl w:val="0"/>
        <w:tabs>
          <w:tab w:val="clear" w:pos="567"/>
        </w:tabs>
        <w:spacing w:line="240" w:lineRule="auto"/>
        <w:rPr>
          <w:snapToGrid/>
          <w:szCs w:val="22"/>
          <w:lang w:val="lt-LT"/>
        </w:rPr>
      </w:pPr>
    </w:p>
    <w:p w14:paraId="00C00E27"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žindymo laikotarpiu vartoti negalima.</w:t>
      </w:r>
    </w:p>
    <w:p w14:paraId="62EBA71D" w14:textId="77777777" w:rsidR="004F7AA9" w:rsidRPr="007777D9" w:rsidRDefault="004F7AA9" w:rsidP="004F7AA9">
      <w:pPr>
        <w:widowControl w:val="0"/>
        <w:tabs>
          <w:tab w:val="clear" w:pos="567"/>
        </w:tabs>
        <w:spacing w:line="240" w:lineRule="auto"/>
        <w:rPr>
          <w:snapToGrid/>
          <w:szCs w:val="22"/>
          <w:lang w:val="lt-LT"/>
        </w:rPr>
      </w:pPr>
    </w:p>
    <w:p w14:paraId="0576DF2D"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Jei esate nėščia</w:t>
      </w:r>
      <w:r>
        <w:rPr>
          <w:snapToGrid/>
          <w:szCs w:val="22"/>
          <w:lang w:val="lt-LT"/>
        </w:rPr>
        <w:t xml:space="preserve"> ar</w:t>
      </w:r>
      <w:r w:rsidRPr="007777D9">
        <w:rPr>
          <w:snapToGrid/>
          <w:szCs w:val="22"/>
          <w:lang w:val="lt-LT"/>
        </w:rPr>
        <w:t xml:space="preserve"> žindote kūdikį, </w:t>
      </w:r>
      <w:r>
        <w:rPr>
          <w:snapToGrid/>
          <w:szCs w:val="22"/>
          <w:lang w:val="lt-LT"/>
        </w:rPr>
        <w:t>prieš bet kokio vaisto vartojimą pasitarkite su gydytoju</w:t>
      </w:r>
      <w:r w:rsidRPr="007777D9">
        <w:rPr>
          <w:snapToGrid/>
          <w:szCs w:val="22"/>
          <w:lang w:val="lt-LT"/>
        </w:rPr>
        <w:t>.</w:t>
      </w:r>
    </w:p>
    <w:p w14:paraId="3C5C85E8" w14:textId="77777777" w:rsidR="004F7AA9" w:rsidRPr="007777D9" w:rsidRDefault="004F7AA9" w:rsidP="004F7AA9">
      <w:pPr>
        <w:widowControl w:val="0"/>
        <w:tabs>
          <w:tab w:val="clear" w:pos="567"/>
        </w:tabs>
        <w:spacing w:line="240" w:lineRule="auto"/>
        <w:rPr>
          <w:snapToGrid/>
          <w:szCs w:val="22"/>
          <w:lang w:val="lt-LT"/>
        </w:rPr>
      </w:pPr>
    </w:p>
    <w:p w14:paraId="4489F6D7"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Vairavimas ir mechanizmų valdymas</w:t>
      </w:r>
    </w:p>
    <w:p w14:paraId="7BCF5C9C"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lastRenderedPageBreak/>
        <w:t xml:space="preserve">Vartojant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labai retais atvejais </w:t>
      </w:r>
      <w:r>
        <w:rPr>
          <w:snapToGrid/>
          <w:szCs w:val="22"/>
          <w:lang w:val="lt-LT"/>
        </w:rPr>
        <w:t>pasireiškė</w:t>
      </w:r>
      <w:r w:rsidRPr="007777D9">
        <w:rPr>
          <w:snapToGrid/>
          <w:szCs w:val="22"/>
          <w:lang w:val="lt-LT"/>
        </w:rPr>
        <w:t xml:space="preserve"> mieguistumas </w:t>
      </w:r>
      <w:r>
        <w:rPr>
          <w:snapToGrid/>
          <w:szCs w:val="22"/>
          <w:lang w:val="lt-LT"/>
        </w:rPr>
        <w:t>a</w:t>
      </w:r>
      <w:r w:rsidRPr="007777D9">
        <w:rPr>
          <w:snapToGrid/>
          <w:szCs w:val="22"/>
          <w:lang w:val="lt-LT"/>
        </w:rPr>
        <w:t xml:space="preserve">r apsnūdimas. </w:t>
      </w:r>
      <w:r>
        <w:rPr>
          <w:snapToGrid/>
          <w:szCs w:val="22"/>
          <w:lang w:val="lt-LT"/>
        </w:rPr>
        <w:t>B</w:t>
      </w:r>
      <w:r w:rsidRPr="007777D9">
        <w:rPr>
          <w:snapToGrid/>
          <w:szCs w:val="22"/>
          <w:lang w:val="lt-LT"/>
        </w:rPr>
        <w:t xml:space="preserve">ūtina laikytis atsargumo vairuojant, valdant mechanizmus ir </w:t>
      </w:r>
      <w:r>
        <w:rPr>
          <w:snapToGrid/>
          <w:szCs w:val="22"/>
          <w:lang w:val="lt-LT"/>
        </w:rPr>
        <w:t xml:space="preserve">atliekant </w:t>
      </w:r>
      <w:r w:rsidRPr="007777D9">
        <w:rPr>
          <w:snapToGrid/>
          <w:szCs w:val="22"/>
          <w:lang w:val="lt-LT"/>
        </w:rPr>
        <w:t xml:space="preserve">kitus dėmesio </w:t>
      </w:r>
      <w:r>
        <w:rPr>
          <w:snapToGrid/>
          <w:szCs w:val="22"/>
          <w:lang w:val="lt-LT"/>
        </w:rPr>
        <w:t>sukaupimo</w:t>
      </w:r>
      <w:r w:rsidRPr="007777D9">
        <w:rPr>
          <w:snapToGrid/>
          <w:szCs w:val="22"/>
          <w:lang w:val="lt-LT"/>
        </w:rPr>
        <w:t xml:space="preserve"> reikalaujančius veiksmus.</w:t>
      </w:r>
    </w:p>
    <w:p w14:paraId="5D20C9F3" w14:textId="77777777" w:rsidR="004F7AA9" w:rsidRPr="007777D9" w:rsidRDefault="004F7AA9" w:rsidP="004F7AA9">
      <w:pPr>
        <w:widowControl w:val="0"/>
        <w:tabs>
          <w:tab w:val="clear" w:pos="567"/>
        </w:tabs>
        <w:spacing w:line="240" w:lineRule="auto"/>
        <w:rPr>
          <w:snapToGrid/>
          <w:szCs w:val="22"/>
          <w:lang w:val="lt-LT"/>
        </w:rPr>
      </w:pPr>
    </w:p>
    <w:p w14:paraId="4DF06417" w14:textId="77777777" w:rsidR="004F7AA9" w:rsidRPr="007777D9" w:rsidRDefault="004F7AA9" w:rsidP="004F7AA9">
      <w:pPr>
        <w:widowControl w:val="0"/>
        <w:tabs>
          <w:tab w:val="clear" w:pos="567"/>
        </w:tabs>
        <w:spacing w:line="240" w:lineRule="auto"/>
        <w:rPr>
          <w:snapToGrid/>
          <w:szCs w:val="22"/>
          <w:lang w:val="lt-LT"/>
        </w:rPr>
      </w:pPr>
    </w:p>
    <w:p w14:paraId="1A3CA704"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3.</w:t>
      </w:r>
      <w:r w:rsidRPr="007777D9">
        <w:rPr>
          <w:b/>
          <w:bCs/>
          <w:snapToGrid/>
          <w:szCs w:val="22"/>
          <w:lang w:val="lt-LT"/>
        </w:rPr>
        <w:tab/>
        <w:t xml:space="preserve">Kaip vartoti 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w:t>
      </w:r>
    </w:p>
    <w:p w14:paraId="23E00412" w14:textId="77777777" w:rsidR="004F7AA9" w:rsidRPr="007777D9" w:rsidRDefault="004F7AA9" w:rsidP="004F7AA9">
      <w:pPr>
        <w:widowControl w:val="0"/>
        <w:tabs>
          <w:tab w:val="clear" w:pos="567"/>
        </w:tabs>
        <w:spacing w:line="240" w:lineRule="auto"/>
        <w:rPr>
          <w:snapToGrid/>
          <w:szCs w:val="22"/>
          <w:lang w:val="lt-LT"/>
        </w:rPr>
      </w:pPr>
    </w:p>
    <w:p w14:paraId="6408E22E" w14:textId="77777777" w:rsidR="004F7AA9" w:rsidRDefault="004F7AA9" w:rsidP="004F7AA9">
      <w:pPr>
        <w:widowControl w:val="0"/>
        <w:tabs>
          <w:tab w:val="clear" w:pos="567"/>
        </w:tabs>
        <w:spacing w:line="240" w:lineRule="auto"/>
        <w:contextualSpacing/>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turi būti skiriamas tik sveikatos p</w:t>
      </w:r>
      <w:r>
        <w:rPr>
          <w:snapToGrid/>
          <w:szCs w:val="22"/>
          <w:lang w:val="lt-LT"/>
        </w:rPr>
        <w:t>riežiūros specialisto, turinčio</w:t>
      </w:r>
      <w:r w:rsidRPr="007777D9">
        <w:rPr>
          <w:snapToGrid/>
          <w:szCs w:val="22"/>
          <w:lang w:val="lt-LT"/>
        </w:rPr>
        <w:t xml:space="preserve"> bisfosfonatų </w:t>
      </w:r>
      <w:r>
        <w:rPr>
          <w:snapToGrid/>
          <w:szCs w:val="22"/>
          <w:lang w:val="lt-LT"/>
        </w:rPr>
        <w:t xml:space="preserve">vartojimo </w:t>
      </w:r>
      <w:r w:rsidRPr="007777D9">
        <w:rPr>
          <w:snapToGrid/>
          <w:szCs w:val="22"/>
          <w:lang w:val="lt-LT"/>
        </w:rPr>
        <w:t>į veną</w:t>
      </w:r>
      <w:r>
        <w:rPr>
          <w:snapToGrid/>
          <w:szCs w:val="22"/>
          <w:lang w:val="lt-LT"/>
        </w:rPr>
        <w:t xml:space="preserve"> patirties</w:t>
      </w:r>
      <w:r w:rsidRPr="007777D9">
        <w:rPr>
          <w:snapToGrid/>
          <w:szCs w:val="22"/>
          <w:lang w:val="lt-LT"/>
        </w:rPr>
        <w:t>.</w:t>
      </w:r>
    </w:p>
    <w:p w14:paraId="43D9EF07" w14:textId="77777777" w:rsidR="004F7AA9" w:rsidRPr="007777D9" w:rsidRDefault="004F7AA9" w:rsidP="004F7AA9">
      <w:pPr>
        <w:widowControl w:val="0"/>
        <w:tabs>
          <w:tab w:val="clear" w:pos="567"/>
        </w:tabs>
        <w:spacing w:line="240" w:lineRule="auto"/>
        <w:contextualSpacing/>
        <w:rPr>
          <w:snapToGrid/>
          <w:szCs w:val="22"/>
          <w:lang w:val="lt-LT"/>
        </w:rPr>
      </w:pPr>
    </w:p>
    <w:p w14:paraId="1AB3C419" w14:textId="77777777" w:rsidR="004F7AA9" w:rsidRDefault="004F7AA9" w:rsidP="004F7AA9">
      <w:pPr>
        <w:widowControl w:val="0"/>
        <w:tabs>
          <w:tab w:val="clear" w:pos="567"/>
        </w:tabs>
        <w:spacing w:line="240" w:lineRule="auto"/>
        <w:contextualSpacing/>
        <w:rPr>
          <w:snapToGrid/>
          <w:szCs w:val="22"/>
          <w:lang w:val="lt-LT"/>
        </w:rPr>
      </w:pPr>
      <w:r w:rsidRPr="007777D9">
        <w:rPr>
          <w:snapToGrid/>
          <w:szCs w:val="22"/>
          <w:lang w:val="lt-LT"/>
        </w:rPr>
        <w:t>Jūsų gydytojas rekomenduos prieš kiekvieną vaisto vartojimą gert</w:t>
      </w:r>
      <w:r>
        <w:rPr>
          <w:snapToGrid/>
          <w:szCs w:val="22"/>
          <w:lang w:val="lt-LT"/>
        </w:rPr>
        <w:t>i</w:t>
      </w:r>
      <w:r w:rsidRPr="007777D9">
        <w:rPr>
          <w:snapToGrid/>
          <w:szCs w:val="22"/>
          <w:lang w:val="lt-LT"/>
        </w:rPr>
        <w:t xml:space="preserve"> pakankamai vandens; tai padės išvengti skysčių </w:t>
      </w:r>
      <w:r>
        <w:rPr>
          <w:snapToGrid/>
          <w:szCs w:val="22"/>
          <w:lang w:val="lt-LT"/>
        </w:rPr>
        <w:t>kiekio sumažėjimo organizme</w:t>
      </w:r>
      <w:r w:rsidRPr="007777D9">
        <w:rPr>
          <w:snapToGrid/>
          <w:szCs w:val="22"/>
          <w:lang w:val="lt-LT"/>
        </w:rPr>
        <w:t>.</w:t>
      </w:r>
    </w:p>
    <w:p w14:paraId="7D76C3C7" w14:textId="77777777" w:rsidR="004F7AA9" w:rsidRPr="007777D9" w:rsidRDefault="004F7AA9" w:rsidP="004F7AA9">
      <w:pPr>
        <w:widowControl w:val="0"/>
        <w:tabs>
          <w:tab w:val="clear" w:pos="567"/>
        </w:tabs>
        <w:spacing w:line="240" w:lineRule="auto"/>
        <w:contextualSpacing/>
        <w:rPr>
          <w:snapToGrid/>
          <w:szCs w:val="22"/>
          <w:lang w:val="lt-LT"/>
        </w:rPr>
      </w:pPr>
    </w:p>
    <w:p w14:paraId="50419B2F" w14:textId="77777777" w:rsidR="004F7AA9" w:rsidRPr="007777D9" w:rsidRDefault="004F7AA9" w:rsidP="004F7AA9">
      <w:pPr>
        <w:widowControl w:val="0"/>
        <w:tabs>
          <w:tab w:val="clear" w:pos="567"/>
        </w:tabs>
        <w:spacing w:line="240" w:lineRule="auto"/>
        <w:contextualSpacing/>
        <w:rPr>
          <w:snapToGrid/>
          <w:szCs w:val="22"/>
          <w:lang w:val="lt-LT"/>
        </w:rPr>
      </w:pPr>
      <w:r w:rsidRPr="007777D9">
        <w:rPr>
          <w:snapToGrid/>
          <w:szCs w:val="22"/>
          <w:lang w:val="lt-LT"/>
        </w:rPr>
        <w:t>Atidžiai laikykitės visų kitų gydytojo, slaugytojo</w:t>
      </w:r>
      <w:r>
        <w:rPr>
          <w:snapToGrid/>
          <w:szCs w:val="22"/>
          <w:lang w:val="lt-LT"/>
        </w:rPr>
        <w:t xml:space="preserve"> ar</w:t>
      </w:r>
      <w:r w:rsidRPr="007777D9">
        <w:rPr>
          <w:snapToGrid/>
          <w:szCs w:val="22"/>
          <w:lang w:val="lt-LT"/>
        </w:rPr>
        <w:t xml:space="preserve"> vaistininko nurodymų.</w:t>
      </w:r>
    </w:p>
    <w:p w14:paraId="7FEB3782" w14:textId="77777777" w:rsidR="004F7AA9" w:rsidRPr="007777D9" w:rsidRDefault="004F7AA9" w:rsidP="004F7AA9">
      <w:pPr>
        <w:widowControl w:val="0"/>
        <w:tabs>
          <w:tab w:val="clear" w:pos="567"/>
        </w:tabs>
        <w:spacing w:line="240" w:lineRule="auto"/>
        <w:rPr>
          <w:snapToGrid/>
          <w:szCs w:val="22"/>
          <w:lang w:val="lt-LT"/>
        </w:rPr>
      </w:pPr>
    </w:p>
    <w:p w14:paraId="7DBD6378"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 xml:space="preserve">Kiek 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w:t>
      </w:r>
      <w:r>
        <w:rPr>
          <w:b/>
          <w:bCs/>
          <w:snapToGrid/>
          <w:szCs w:val="22"/>
          <w:lang w:val="lt-LT"/>
        </w:rPr>
        <w:t>vartojama</w:t>
      </w:r>
    </w:p>
    <w:p w14:paraId="659DEC80"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20718">
        <w:rPr>
          <w:snapToGrid/>
          <w:szCs w:val="22"/>
          <w:lang w:val="lt-LT"/>
        </w:rPr>
        <w:t>Įprast</w:t>
      </w:r>
      <w:r>
        <w:rPr>
          <w:snapToGrid/>
          <w:szCs w:val="22"/>
          <w:lang w:val="lt-LT"/>
        </w:rPr>
        <w:t>inė</w:t>
      </w:r>
      <w:r w:rsidRPr="00720718">
        <w:rPr>
          <w:snapToGrid/>
          <w:szCs w:val="22"/>
          <w:lang w:val="lt-LT"/>
        </w:rPr>
        <w:t xml:space="preserve"> vienkartinė dozė yra 4 mg.</w:t>
      </w:r>
    </w:p>
    <w:p w14:paraId="7686D8B7"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Jei Jums yra inkstų sutrikimų, gydytojas, atsižvelgdamas į inkstų veiklos sutrikimo sunkumą, skirs mažesnę dozę.</w:t>
      </w:r>
    </w:p>
    <w:p w14:paraId="2E34EC1A" w14:textId="77777777" w:rsidR="004F7AA9" w:rsidRPr="007777D9" w:rsidRDefault="004F7AA9" w:rsidP="004F7AA9">
      <w:pPr>
        <w:widowControl w:val="0"/>
        <w:tabs>
          <w:tab w:val="clear" w:pos="567"/>
        </w:tabs>
        <w:spacing w:line="240" w:lineRule="auto"/>
        <w:rPr>
          <w:b/>
          <w:snapToGrid/>
          <w:szCs w:val="22"/>
          <w:lang w:val="lt-LT"/>
        </w:rPr>
      </w:pPr>
    </w:p>
    <w:p w14:paraId="3F527298"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 xml:space="preserve">Kaip dažnai Zoledronic </w:t>
      </w:r>
      <w:r>
        <w:rPr>
          <w:b/>
          <w:snapToGrid/>
          <w:szCs w:val="22"/>
          <w:lang w:val="lt-LT"/>
        </w:rPr>
        <w:t>acid</w:t>
      </w:r>
      <w:r w:rsidRPr="007777D9">
        <w:rPr>
          <w:b/>
          <w:snapToGrid/>
          <w:szCs w:val="22"/>
          <w:lang w:val="lt-LT"/>
        </w:rPr>
        <w:t xml:space="preserve"> </w:t>
      </w:r>
      <w:r>
        <w:rPr>
          <w:b/>
          <w:snapToGrid/>
          <w:szCs w:val="22"/>
          <w:lang w:val="lt-LT"/>
        </w:rPr>
        <w:t>Norameda</w:t>
      </w:r>
      <w:r w:rsidRPr="007777D9">
        <w:rPr>
          <w:b/>
          <w:snapToGrid/>
          <w:szCs w:val="22"/>
          <w:lang w:val="lt-LT"/>
        </w:rPr>
        <w:t xml:space="preserve"> </w:t>
      </w:r>
      <w:r>
        <w:rPr>
          <w:b/>
          <w:snapToGrid/>
          <w:szCs w:val="22"/>
          <w:lang w:val="lt-LT"/>
        </w:rPr>
        <w:t>vartojama</w:t>
      </w:r>
    </w:p>
    <w:p w14:paraId="59030031"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 xml:space="preserve">Jei Jums vaisto skiriama apsaugoti nuo kaulų komplikacijų pasireiškimo dėl metastazių į kaulus,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infuziją Jums skirs kas 3–4 savaites.</w:t>
      </w:r>
    </w:p>
    <w:p w14:paraId="632B42DF"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 xml:space="preserve">Jei Jums vaisto skiriama kalcio kiekiui kraujyje mažinti, paprastai Jums skirs tik vieną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infuziją.</w:t>
      </w:r>
    </w:p>
    <w:p w14:paraId="0DB15482" w14:textId="77777777" w:rsidR="004F7AA9" w:rsidRPr="007777D9" w:rsidRDefault="004F7AA9" w:rsidP="004F7AA9">
      <w:pPr>
        <w:widowControl w:val="0"/>
        <w:tabs>
          <w:tab w:val="clear" w:pos="567"/>
        </w:tabs>
        <w:spacing w:line="240" w:lineRule="auto"/>
        <w:rPr>
          <w:snapToGrid/>
          <w:szCs w:val="22"/>
          <w:lang w:val="lt-LT"/>
        </w:rPr>
      </w:pPr>
    </w:p>
    <w:p w14:paraId="6703BD7D"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 xml:space="preserve">Kaip 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vartojamas</w:t>
      </w:r>
    </w:p>
    <w:p w14:paraId="15896271"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per mažiausiai 15 minučių lašiniu būdu (infuzija) </w:t>
      </w:r>
      <w:r>
        <w:rPr>
          <w:snapToGrid/>
          <w:szCs w:val="22"/>
          <w:lang w:val="lt-LT"/>
        </w:rPr>
        <w:t>vartojama</w:t>
      </w:r>
      <w:r w:rsidRPr="007777D9">
        <w:rPr>
          <w:snapToGrid/>
          <w:szCs w:val="22"/>
          <w:lang w:val="lt-LT"/>
        </w:rPr>
        <w:t xml:space="preserve"> į veną ir </w:t>
      </w:r>
      <w:r w:rsidRPr="00720718">
        <w:rPr>
          <w:snapToGrid/>
          <w:szCs w:val="22"/>
          <w:lang w:val="lt-LT"/>
        </w:rPr>
        <w:t>turi būti skiriama</w:t>
      </w:r>
      <w:r>
        <w:rPr>
          <w:snapToGrid/>
          <w:szCs w:val="22"/>
          <w:lang w:val="lt-LT"/>
        </w:rPr>
        <w:t>s</w:t>
      </w:r>
      <w:r w:rsidRPr="00720718">
        <w:rPr>
          <w:snapToGrid/>
          <w:szCs w:val="22"/>
          <w:lang w:val="lt-LT"/>
        </w:rPr>
        <w:t xml:space="preserve"> kaip vienkartinė intraveninė tirpalo infuzija per atskirą infuzijų sistemą</w:t>
      </w:r>
      <w:r w:rsidRPr="007777D9">
        <w:rPr>
          <w:snapToGrid/>
          <w:szCs w:val="22"/>
          <w:lang w:val="lt-LT"/>
        </w:rPr>
        <w:t>.</w:t>
      </w:r>
    </w:p>
    <w:p w14:paraId="52925075"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Pacient</w:t>
      </w:r>
      <w:r>
        <w:rPr>
          <w:snapToGrid/>
          <w:szCs w:val="22"/>
          <w:lang w:val="lt-LT"/>
        </w:rPr>
        <w:t>ams</w:t>
      </w:r>
      <w:r w:rsidRPr="007777D9">
        <w:rPr>
          <w:snapToGrid/>
          <w:szCs w:val="22"/>
          <w:lang w:val="lt-LT"/>
        </w:rPr>
        <w:t>, kuri</w:t>
      </w:r>
      <w:r>
        <w:rPr>
          <w:snapToGrid/>
          <w:szCs w:val="22"/>
          <w:lang w:val="lt-LT"/>
        </w:rPr>
        <w:t>ų</w:t>
      </w:r>
      <w:r w:rsidRPr="007777D9">
        <w:rPr>
          <w:snapToGrid/>
          <w:szCs w:val="22"/>
          <w:lang w:val="lt-LT"/>
        </w:rPr>
        <w:t xml:space="preserve"> kraujyje kalcio kiekis nėra per didelis, bus skiriama kasdien </w:t>
      </w:r>
      <w:r>
        <w:rPr>
          <w:snapToGrid/>
          <w:szCs w:val="22"/>
          <w:lang w:val="lt-LT"/>
        </w:rPr>
        <w:t>vartoti</w:t>
      </w:r>
      <w:r w:rsidRPr="007777D9">
        <w:rPr>
          <w:snapToGrid/>
          <w:szCs w:val="22"/>
          <w:lang w:val="lt-LT"/>
        </w:rPr>
        <w:t xml:space="preserve"> kalcio ir vitamino D papildų.</w:t>
      </w:r>
    </w:p>
    <w:p w14:paraId="52257650" w14:textId="77777777" w:rsidR="004F7AA9" w:rsidRPr="007777D9" w:rsidRDefault="004F7AA9" w:rsidP="004F7AA9">
      <w:pPr>
        <w:widowControl w:val="0"/>
        <w:tabs>
          <w:tab w:val="clear" w:pos="567"/>
        </w:tabs>
        <w:spacing w:line="240" w:lineRule="auto"/>
        <w:rPr>
          <w:snapToGrid/>
          <w:szCs w:val="22"/>
          <w:lang w:val="lt-LT"/>
        </w:rPr>
      </w:pPr>
    </w:p>
    <w:p w14:paraId="0238C4CA" w14:textId="77777777" w:rsidR="004F7AA9" w:rsidRPr="006963C0" w:rsidRDefault="004F7AA9" w:rsidP="004F7AA9">
      <w:pPr>
        <w:widowControl w:val="0"/>
        <w:tabs>
          <w:tab w:val="clear" w:pos="567"/>
        </w:tabs>
        <w:spacing w:line="240" w:lineRule="auto"/>
        <w:rPr>
          <w:b/>
          <w:bCs/>
          <w:snapToGrid/>
          <w:szCs w:val="22"/>
          <w:lang w:val="lt-LT"/>
        </w:rPr>
      </w:pPr>
      <w:r w:rsidRPr="006963C0">
        <w:rPr>
          <w:b/>
          <w:bCs/>
          <w:snapToGrid/>
          <w:szCs w:val="22"/>
          <w:lang w:val="lt-LT"/>
        </w:rPr>
        <w:t xml:space="preserve">Ką daryti pavartojus per didelę Zoledronic </w:t>
      </w:r>
      <w:r>
        <w:rPr>
          <w:b/>
          <w:bCs/>
          <w:snapToGrid/>
          <w:szCs w:val="22"/>
          <w:lang w:val="lt-LT"/>
        </w:rPr>
        <w:t>acid</w:t>
      </w:r>
      <w:r w:rsidRPr="006963C0">
        <w:rPr>
          <w:b/>
          <w:bCs/>
          <w:snapToGrid/>
          <w:szCs w:val="22"/>
          <w:lang w:val="lt-LT"/>
        </w:rPr>
        <w:t xml:space="preserve"> </w:t>
      </w:r>
      <w:r>
        <w:rPr>
          <w:b/>
          <w:bCs/>
          <w:snapToGrid/>
          <w:szCs w:val="22"/>
          <w:lang w:val="lt-LT"/>
        </w:rPr>
        <w:t>Norameda</w:t>
      </w:r>
      <w:r w:rsidRPr="006963C0">
        <w:rPr>
          <w:b/>
          <w:bCs/>
          <w:snapToGrid/>
          <w:szCs w:val="22"/>
          <w:lang w:val="lt-LT"/>
        </w:rPr>
        <w:t xml:space="preserve"> dozę?</w:t>
      </w:r>
    </w:p>
    <w:p w14:paraId="56E2382C"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Jei </w:t>
      </w:r>
      <w:r>
        <w:rPr>
          <w:snapToGrid/>
          <w:szCs w:val="22"/>
          <w:lang w:val="lt-LT"/>
        </w:rPr>
        <w:t>Jums bus sulašinta didesnė</w:t>
      </w:r>
      <w:r w:rsidRPr="007777D9">
        <w:rPr>
          <w:snapToGrid/>
          <w:szCs w:val="22"/>
          <w:lang w:val="lt-LT"/>
        </w:rPr>
        <w:t xml:space="preserve"> nei rekomenduojama dozę, Jus tur</w:t>
      </w:r>
      <w:r>
        <w:rPr>
          <w:snapToGrid/>
          <w:szCs w:val="22"/>
          <w:lang w:val="lt-LT"/>
        </w:rPr>
        <w:t>ės</w:t>
      </w:r>
      <w:r w:rsidRPr="007777D9">
        <w:rPr>
          <w:snapToGrid/>
          <w:szCs w:val="22"/>
          <w:lang w:val="lt-LT"/>
        </w:rPr>
        <w:t xml:space="preserve"> atidžiai stebėti gydytojas</w:t>
      </w:r>
      <w:r>
        <w:rPr>
          <w:snapToGrid/>
          <w:szCs w:val="22"/>
          <w:lang w:val="lt-LT"/>
        </w:rPr>
        <w:t>, kadangi</w:t>
      </w:r>
      <w:r w:rsidRPr="007777D9">
        <w:rPr>
          <w:snapToGrid/>
          <w:szCs w:val="22"/>
          <w:lang w:val="lt-LT"/>
        </w:rPr>
        <w:t xml:space="preserve"> </w:t>
      </w:r>
      <w:r>
        <w:rPr>
          <w:snapToGrid/>
          <w:szCs w:val="22"/>
          <w:lang w:val="lt-LT"/>
        </w:rPr>
        <w:t xml:space="preserve">gali </w:t>
      </w:r>
      <w:r w:rsidRPr="007777D9">
        <w:rPr>
          <w:snapToGrid/>
          <w:szCs w:val="22"/>
          <w:lang w:val="lt-LT"/>
        </w:rPr>
        <w:t xml:space="preserve">atsirasti elektrolitų </w:t>
      </w:r>
      <w:r>
        <w:rPr>
          <w:snapToGrid/>
          <w:szCs w:val="22"/>
          <w:lang w:val="lt-LT"/>
        </w:rPr>
        <w:t>kiekio</w:t>
      </w:r>
      <w:r w:rsidRPr="007777D9">
        <w:rPr>
          <w:snapToGrid/>
          <w:szCs w:val="22"/>
          <w:lang w:val="lt-LT"/>
        </w:rPr>
        <w:t xml:space="preserve"> serum</w:t>
      </w:r>
      <w:r>
        <w:rPr>
          <w:snapToGrid/>
          <w:szCs w:val="22"/>
          <w:lang w:val="lt-LT"/>
        </w:rPr>
        <w:t>e pokyčių</w:t>
      </w:r>
      <w:r w:rsidRPr="007777D9">
        <w:rPr>
          <w:snapToGrid/>
          <w:szCs w:val="22"/>
          <w:lang w:val="lt-LT"/>
        </w:rPr>
        <w:t xml:space="preserve"> (pvz., nenormalus kalcio, fosforo ir magnio kiekis) ir (ar</w:t>
      </w:r>
      <w:r>
        <w:rPr>
          <w:snapToGrid/>
          <w:szCs w:val="22"/>
          <w:lang w:val="lt-LT"/>
        </w:rPr>
        <w:t>ba</w:t>
      </w:r>
      <w:r w:rsidRPr="007777D9">
        <w:rPr>
          <w:snapToGrid/>
          <w:szCs w:val="22"/>
          <w:lang w:val="lt-LT"/>
        </w:rPr>
        <w:t xml:space="preserve">) pakisti inkstų funkcija, įskaitant sunkų inkstų funkcijos sutrikimą. Jei kalcio kiekis per daug sumažės, gali reikėti </w:t>
      </w:r>
      <w:r>
        <w:rPr>
          <w:snapToGrid/>
          <w:szCs w:val="22"/>
          <w:lang w:val="lt-LT"/>
        </w:rPr>
        <w:t>jį padidinti</w:t>
      </w:r>
      <w:r w:rsidRPr="007777D9">
        <w:rPr>
          <w:snapToGrid/>
          <w:szCs w:val="22"/>
          <w:lang w:val="lt-LT"/>
        </w:rPr>
        <w:t xml:space="preserve"> kalcio infuzija.</w:t>
      </w:r>
    </w:p>
    <w:p w14:paraId="3F91D211" w14:textId="77777777" w:rsidR="004F7AA9" w:rsidRPr="007777D9" w:rsidRDefault="004F7AA9" w:rsidP="004F7AA9">
      <w:pPr>
        <w:widowControl w:val="0"/>
        <w:tabs>
          <w:tab w:val="clear" w:pos="567"/>
        </w:tabs>
        <w:spacing w:line="240" w:lineRule="auto"/>
        <w:rPr>
          <w:snapToGrid/>
          <w:szCs w:val="22"/>
          <w:lang w:val="lt-LT"/>
        </w:rPr>
      </w:pPr>
    </w:p>
    <w:p w14:paraId="5834BE1A" w14:textId="77777777" w:rsidR="004F7AA9" w:rsidRPr="007777D9" w:rsidRDefault="004F7AA9" w:rsidP="004F7AA9">
      <w:pPr>
        <w:widowControl w:val="0"/>
        <w:tabs>
          <w:tab w:val="clear" w:pos="567"/>
        </w:tabs>
        <w:spacing w:line="240" w:lineRule="auto"/>
        <w:rPr>
          <w:snapToGrid/>
          <w:szCs w:val="22"/>
          <w:lang w:val="lt-LT"/>
        </w:rPr>
      </w:pPr>
    </w:p>
    <w:p w14:paraId="7A6DC2CF"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4.</w:t>
      </w:r>
      <w:r w:rsidRPr="007777D9">
        <w:rPr>
          <w:b/>
          <w:bCs/>
          <w:snapToGrid/>
          <w:szCs w:val="22"/>
          <w:lang w:val="lt-LT"/>
        </w:rPr>
        <w:tab/>
        <w:t>Galimas šalutinis poveikis</w:t>
      </w:r>
    </w:p>
    <w:p w14:paraId="5FD77775" w14:textId="77777777" w:rsidR="004F7AA9" w:rsidRPr="007777D9" w:rsidRDefault="004F7AA9" w:rsidP="004F7AA9">
      <w:pPr>
        <w:widowControl w:val="0"/>
        <w:tabs>
          <w:tab w:val="clear" w:pos="567"/>
        </w:tabs>
        <w:spacing w:line="240" w:lineRule="auto"/>
        <w:rPr>
          <w:snapToGrid/>
          <w:szCs w:val="22"/>
          <w:lang w:val="lt-LT"/>
        </w:rPr>
      </w:pPr>
    </w:p>
    <w:p w14:paraId="680EB1DF"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Šis vaistas, kaip ir visi kiti, gali sukelti šalutinį poveikį, nors jis pasireiškia ne visiems žmonėms.</w:t>
      </w:r>
    </w:p>
    <w:p w14:paraId="16CAA735"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Dažniausias šalutinis poveikis būna lengvas ir greitai išnyksta.</w:t>
      </w:r>
    </w:p>
    <w:p w14:paraId="777D6502" w14:textId="77777777" w:rsidR="004F7AA9" w:rsidRPr="007777D9" w:rsidRDefault="004F7AA9" w:rsidP="004F7AA9">
      <w:pPr>
        <w:widowControl w:val="0"/>
        <w:tabs>
          <w:tab w:val="clear" w:pos="567"/>
        </w:tabs>
        <w:spacing w:line="240" w:lineRule="auto"/>
        <w:rPr>
          <w:b/>
          <w:bCs/>
          <w:snapToGrid/>
          <w:szCs w:val="22"/>
          <w:lang w:val="lt-LT"/>
        </w:rPr>
      </w:pPr>
    </w:p>
    <w:p w14:paraId="2098E5E1"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Apie bet kurį toliau nurodytą sunkų šalutinį poveikį nedelsdami pasakykite gydytojui.</w:t>
      </w:r>
    </w:p>
    <w:p w14:paraId="24B7AECC" w14:textId="77777777" w:rsidR="004F7AA9" w:rsidRPr="007777D9" w:rsidRDefault="004F7AA9" w:rsidP="004F7AA9">
      <w:pPr>
        <w:widowControl w:val="0"/>
        <w:tabs>
          <w:tab w:val="clear" w:pos="567"/>
        </w:tabs>
        <w:spacing w:line="240" w:lineRule="auto"/>
        <w:rPr>
          <w:snapToGrid/>
          <w:szCs w:val="22"/>
          <w:lang w:val="lt-LT"/>
        </w:rPr>
      </w:pPr>
    </w:p>
    <w:p w14:paraId="178076E9" w14:textId="626CD425" w:rsidR="00AF1034" w:rsidRPr="007777D9" w:rsidRDefault="00C32B41" w:rsidP="004F7AA9">
      <w:pPr>
        <w:widowControl w:val="0"/>
        <w:tabs>
          <w:tab w:val="clear" w:pos="567"/>
        </w:tabs>
        <w:spacing w:line="240" w:lineRule="auto"/>
        <w:rPr>
          <w:b/>
          <w:snapToGrid/>
          <w:szCs w:val="22"/>
          <w:lang w:val="lt-LT"/>
        </w:rPr>
      </w:pPr>
      <w:r>
        <w:rPr>
          <w:b/>
          <w:bCs/>
          <w:snapToGrid/>
          <w:szCs w:val="22"/>
          <w:lang w:val="lt-LT"/>
        </w:rPr>
        <w:t>D</w:t>
      </w:r>
      <w:r w:rsidR="00AF1034" w:rsidRPr="00AF1034">
        <w:rPr>
          <w:b/>
          <w:bCs/>
          <w:snapToGrid/>
          <w:szCs w:val="22"/>
          <w:lang w:val="lt-LT"/>
        </w:rPr>
        <w:t>ažni šalutinio poveikio reiškiniai (gali pasireikšti rečiau kaip 1 iš 10 asmenų):</w:t>
      </w:r>
    </w:p>
    <w:p w14:paraId="2C9263F2"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sunkus inkstų funkcijos sutrikimas (</w:t>
      </w:r>
      <w:r>
        <w:rPr>
          <w:snapToGrid/>
          <w:szCs w:val="22"/>
          <w:lang w:val="lt-LT"/>
        </w:rPr>
        <w:t>jį paprastai nustato</w:t>
      </w:r>
      <w:r w:rsidRPr="007777D9">
        <w:rPr>
          <w:snapToGrid/>
          <w:szCs w:val="22"/>
          <w:lang w:val="lt-LT"/>
        </w:rPr>
        <w:t xml:space="preserve"> gydytojas</w:t>
      </w:r>
      <w:r>
        <w:rPr>
          <w:snapToGrid/>
          <w:szCs w:val="22"/>
          <w:lang w:val="lt-LT"/>
        </w:rPr>
        <w:t>,</w:t>
      </w:r>
      <w:r w:rsidRPr="007777D9">
        <w:rPr>
          <w:snapToGrid/>
          <w:szCs w:val="22"/>
          <w:lang w:val="lt-LT"/>
        </w:rPr>
        <w:t xml:space="preserve"> atlikęs tam tikrus specifinius kraujo tyrimus);</w:t>
      </w:r>
    </w:p>
    <w:p w14:paraId="0710F2F7"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mažas</w:t>
      </w:r>
      <w:r w:rsidRPr="007777D9">
        <w:rPr>
          <w:snapToGrid/>
          <w:szCs w:val="22"/>
          <w:lang w:val="lt-LT"/>
        </w:rPr>
        <w:t xml:space="preserve"> kalcio kiekis kraujyje.</w:t>
      </w:r>
    </w:p>
    <w:p w14:paraId="30459C1D" w14:textId="77777777" w:rsidR="004F7AA9" w:rsidRPr="007777D9" w:rsidRDefault="004F7AA9" w:rsidP="004F7AA9">
      <w:pPr>
        <w:widowControl w:val="0"/>
        <w:tabs>
          <w:tab w:val="clear" w:pos="567"/>
        </w:tabs>
        <w:spacing w:line="240" w:lineRule="auto"/>
        <w:rPr>
          <w:snapToGrid/>
          <w:szCs w:val="22"/>
          <w:lang w:val="lt-LT"/>
        </w:rPr>
      </w:pPr>
    </w:p>
    <w:p w14:paraId="382EA771" w14:textId="1DE99D32" w:rsidR="00AF1034" w:rsidRPr="007777D9" w:rsidRDefault="00AF1034" w:rsidP="004F7AA9">
      <w:pPr>
        <w:widowControl w:val="0"/>
        <w:tabs>
          <w:tab w:val="clear" w:pos="567"/>
        </w:tabs>
        <w:spacing w:line="240" w:lineRule="auto"/>
        <w:rPr>
          <w:b/>
          <w:snapToGrid/>
          <w:szCs w:val="22"/>
          <w:lang w:val="lt-LT"/>
        </w:rPr>
      </w:pPr>
      <w:r w:rsidRPr="00AF1034">
        <w:rPr>
          <w:b/>
          <w:snapToGrid/>
          <w:szCs w:val="22"/>
          <w:lang w:val="lt-LT"/>
        </w:rPr>
        <w:t>Nedažni šalutinio poveikio reiškiniai (gali pasireikšti rečiau kaip 1 iš 100 asmenų):</w:t>
      </w:r>
    </w:p>
    <w:p w14:paraId="295B1FEC"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burnos, dantų ir (arba) žandikaulio skausmas, burnos ertmės gleivinės patinimas ar žaizdų</w:t>
      </w:r>
      <w:r w:rsidRPr="00F63D5E">
        <w:rPr>
          <w:snapToGrid/>
          <w:szCs w:val="22"/>
          <w:lang w:val="lt-LT"/>
        </w:rPr>
        <w:t xml:space="preserve"> </w:t>
      </w:r>
      <w:r w:rsidRPr="007777D9">
        <w:rPr>
          <w:snapToGrid/>
          <w:szCs w:val="22"/>
          <w:lang w:val="lt-LT"/>
        </w:rPr>
        <w:t>negijimas</w:t>
      </w:r>
      <w:r w:rsidRPr="00F63D5E">
        <w:rPr>
          <w:snapToGrid/>
          <w:szCs w:val="22"/>
          <w:lang w:val="lt-LT"/>
        </w:rPr>
        <w:t xml:space="preserve"> </w:t>
      </w:r>
      <w:r w:rsidRPr="007777D9">
        <w:rPr>
          <w:snapToGrid/>
          <w:szCs w:val="22"/>
          <w:lang w:val="lt-LT"/>
        </w:rPr>
        <w:t xml:space="preserve">burnoje ar žandikaulyje, išskyros, žandikaulio srities tirpimo ar sunkumo pojūtis arba </w:t>
      </w:r>
      <w:r>
        <w:rPr>
          <w:snapToGrid/>
          <w:szCs w:val="22"/>
          <w:lang w:val="lt-LT"/>
        </w:rPr>
        <w:t>klibantis</w:t>
      </w:r>
      <w:r w:rsidRPr="007777D9">
        <w:rPr>
          <w:snapToGrid/>
          <w:szCs w:val="22"/>
          <w:lang w:val="lt-LT"/>
        </w:rPr>
        <w:t xml:space="preserve"> dantis. Tai gali būti žandikaulio kaulinio audinio pažeidimo (osteonekrozės) požymiai. Jeigu Jums pasireikštų tokių simptomų</w:t>
      </w:r>
      <w:r w:rsidRPr="00F63D5E">
        <w:rPr>
          <w:snapToGrid/>
          <w:szCs w:val="22"/>
          <w:lang w:val="lt-LT"/>
        </w:rPr>
        <w:t xml:space="preserve"> Zoledronic </w:t>
      </w:r>
      <w:r>
        <w:rPr>
          <w:snapToGrid/>
          <w:szCs w:val="22"/>
          <w:lang w:val="lt-LT"/>
        </w:rPr>
        <w:t>acid</w:t>
      </w:r>
      <w:r w:rsidRPr="00F63D5E">
        <w:rPr>
          <w:snapToGrid/>
          <w:szCs w:val="22"/>
          <w:lang w:val="lt-LT"/>
        </w:rPr>
        <w:t xml:space="preserve"> </w:t>
      </w:r>
      <w:r>
        <w:rPr>
          <w:snapToGrid/>
          <w:szCs w:val="22"/>
          <w:lang w:val="lt-LT"/>
        </w:rPr>
        <w:t>Norameda</w:t>
      </w:r>
      <w:r w:rsidRPr="00F63D5E">
        <w:rPr>
          <w:snapToGrid/>
          <w:szCs w:val="22"/>
          <w:lang w:val="lt-LT"/>
        </w:rPr>
        <w:t xml:space="preserve"> gydymo metu ar po jo</w:t>
      </w:r>
      <w:r w:rsidRPr="007777D9">
        <w:rPr>
          <w:snapToGrid/>
          <w:szCs w:val="22"/>
          <w:lang w:val="lt-LT"/>
        </w:rPr>
        <w:t xml:space="preserve">, nedelsiant pasakykite </w:t>
      </w:r>
      <w:r>
        <w:rPr>
          <w:snapToGrid/>
          <w:szCs w:val="22"/>
          <w:lang w:val="lt-LT"/>
        </w:rPr>
        <w:t>savo gydytojui ir odontologui;</w:t>
      </w:r>
    </w:p>
    <w:p w14:paraId="27E47BED"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lastRenderedPageBreak/>
        <w:t>osteoporozei po menopauzės gydyti zoledrono rūgšties vartojančioms pacientėms pasireiškė nereguliaraus širdies ritmo (prieširdžių virpėjimo) atvejų; šiuo metu nežinoma, ar šį nereguliarų širdies</w:t>
      </w:r>
      <w:r>
        <w:rPr>
          <w:snapToGrid/>
          <w:szCs w:val="22"/>
          <w:lang w:val="lt-LT"/>
        </w:rPr>
        <w:t xml:space="preserve"> </w:t>
      </w:r>
      <w:r w:rsidRPr="007777D9">
        <w:rPr>
          <w:snapToGrid/>
          <w:szCs w:val="22"/>
          <w:lang w:val="lt-LT"/>
        </w:rPr>
        <w:t>ritmą sukelia zoledrono rūgšties vartojimas, tačiau turėtumėte pranešti gydytojui, jeigu pavartojus zoledrono rūgšties patiriate šių simptomų;</w:t>
      </w:r>
    </w:p>
    <w:p w14:paraId="0372E8C0"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sunki alerginė reakcija: dusulys, daugiausia veido ir gerklės patinimas.</w:t>
      </w:r>
    </w:p>
    <w:p w14:paraId="6A57C352" w14:textId="77777777" w:rsidR="004F7AA9" w:rsidRPr="007777D9" w:rsidRDefault="004F7AA9" w:rsidP="004F7AA9">
      <w:pPr>
        <w:widowControl w:val="0"/>
        <w:tabs>
          <w:tab w:val="clear" w:pos="567"/>
        </w:tabs>
        <w:spacing w:line="240" w:lineRule="auto"/>
        <w:rPr>
          <w:snapToGrid/>
          <w:szCs w:val="22"/>
          <w:lang w:val="lt-LT"/>
        </w:rPr>
      </w:pPr>
    </w:p>
    <w:p w14:paraId="58D28975" w14:textId="146F1C30" w:rsidR="00AF1034" w:rsidRPr="007777D9" w:rsidRDefault="00AF1034" w:rsidP="004F7AA9">
      <w:pPr>
        <w:widowControl w:val="0"/>
        <w:tabs>
          <w:tab w:val="clear" w:pos="567"/>
        </w:tabs>
        <w:spacing w:line="240" w:lineRule="auto"/>
        <w:rPr>
          <w:b/>
          <w:snapToGrid/>
          <w:szCs w:val="22"/>
          <w:lang w:val="lt-LT"/>
        </w:rPr>
      </w:pPr>
      <w:r w:rsidRPr="00AF1034">
        <w:rPr>
          <w:b/>
          <w:bCs/>
          <w:snapToGrid/>
          <w:szCs w:val="22"/>
          <w:lang w:val="lt-LT"/>
        </w:rPr>
        <w:t>Reti šalutinio poveikio reiškiniai (gali pasireikšti rečiau kaip 1 iš 1</w:t>
      </w:r>
      <w:r>
        <w:rPr>
          <w:b/>
          <w:bCs/>
          <w:snapToGrid/>
          <w:szCs w:val="22"/>
          <w:lang w:val="lt-LT"/>
        </w:rPr>
        <w:t> </w:t>
      </w:r>
      <w:r w:rsidRPr="00AF1034">
        <w:rPr>
          <w:b/>
          <w:bCs/>
          <w:snapToGrid/>
          <w:szCs w:val="22"/>
          <w:lang w:val="lt-LT"/>
        </w:rPr>
        <w:t>000</w:t>
      </w:r>
      <w:r>
        <w:rPr>
          <w:b/>
          <w:bCs/>
          <w:snapToGrid/>
          <w:szCs w:val="22"/>
          <w:lang w:val="lt-LT"/>
        </w:rPr>
        <w:t xml:space="preserve"> </w:t>
      </w:r>
      <w:r w:rsidRPr="00AF1034">
        <w:rPr>
          <w:b/>
          <w:bCs/>
          <w:snapToGrid/>
          <w:szCs w:val="22"/>
          <w:lang w:val="lt-LT"/>
        </w:rPr>
        <w:t>asmenų):</w:t>
      </w:r>
    </w:p>
    <w:p w14:paraId="7A5CAA59"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sumažėjusio kalcio kiekio </w:t>
      </w:r>
      <w:r>
        <w:rPr>
          <w:snapToGrid/>
          <w:szCs w:val="22"/>
          <w:lang w:val="lt-LT"/>
        </w:rPr>
        <w:t>sukeltas</w:t>
      </w:r>
      <w:r w:rsidRPr="007777D9">
        <w:rPr>
          <w:snapToGrid/>
          <w:szCs w:val="22"/>
          <w:lang w:val="lt-LT"/>
        </w:rPr>
        <w:t xml:space="preserve"> nereguliarus širdies plakimas (širdies aritmija; antriniai hipokalcemijos </w:t>
      </w:r>
      <w:r>
        <w:rPr>
          <w:snapToGrid/>
          <w:szCs w:val="22"/>
          <w:lang w:val="lt-LT"/>
        </w:rPr>
        <w:t xml:space="preserve">sukelti </w:t>
      </w:r>
      <w:r w:rsidRPr="007777D9">
        <w:rPr>
          <w:snapToGrid/>
          <w:szCs w:val="22"/>
          <w:lang w:val="lt-LT"/>
        </w:rPr>
        <w:t>reiškiniai).</w:t>
      </w:r>
    </w:p>
    <w:p w14:paraId="50001769" w14:textId="77777777" w:rsidR="004F7AA9" w:rsidRPr="007777D9" w:rsidRDefault="004F7AA9" w:rsidP="004F7AA9">
      <w:pPr>
        <w:widowControl w:val="0"/>
        <w:tabs>
          <w:tab w:val="clear" w:pos="567"/>
        </w:tabs>
        <w:spacing w:line="240" w:lineRule="auto"/>
        <w:rPr>
          <w:snapToGrid/>
          <w:szCs w:val="22"/>
          <w:lang w:val="lt-LT"/>
        </w:rPr>
      </w:pPr>
    </w:p>
    <w:p w14:paraId="2E8EF362" w14:textId="6012088F" w:rsidR="004F7AA9" w:rsidRPr="007777D9" w:rsidRDefault="00AF1034" w:rsidP="004F7AA9">
      <w:pPr>
        <w:widowControl w:val="0"/>
        <w:tabs>
          <w:tab w:val="clear" w:pos="567"/>
        </w:tabs>
        <w:spacing w:line="240" w:lineRule="auto"/>
        <w:rPr>
          <w:b/>
          <w:snapToGrid/>
          <w:szCs w:val="22"/>
          <w:lang w:val="lt-LT"/>
        </w:rPr>
      </w:pPr>
      <w:r>
        <w:rPr>
          <w:b/>
          <w:bCs/>
          <w:color w:val="000000"/>
          <w:szCs w:val="22"/>
          <w:lang w:val="lt-LT"/>
        </w:rPr>
        <w:t>Labai reti šalutinio poveikio reiškiniai (gali pasireikšti rečiau kaip 1 iš 10 000 asmenų</w:t>
      </w:r>
      <w:r w:rsidR="004F7AA9" w:rsidRPr="007777D9">
        <w:rPr>
          <w:b/>
          <w:snapToGrid/>
          <w:szCs w:val="22"/>
          <w:lang w:val="lt-LT"/>
        </w:rPr>
        <w:t>):</w:t>
      </w:r>
    </w:p>
    <w:p w14:paraId="3D1BC115"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sumažėjusio kalcio kiekio </w:t>
      </w:r>
      <w:r>
        <w:rPr>
          <w:snapToGrid/>
          <w:szCs w:val="22"/>
          <w:lang w:val="lt-LT"/>
        </w:rPr>
        <w:t>sukelti</w:t>
      </w:r>
      <w:r w:rsidRPr="007777D9">
        <w:rPr>
          <w:snapToGrid/>
          <w:szCs w:val="22"/>
          <w:lang w:val="lt-LT"/>
        </w:rPr>
        <w:t xml:space="preserve"> traukuliai, tirpimo pojūtis ir tetanija (antriniai hipokalcemijos </w:t>
      </w:r>
      <w:r>
        <w:rPr>
          <w:snapToGrid/>
          <w:szCs w:val="22"/>
          <w:lang w:val="lt-LT"/>
        </w:rPr>
        <w:t xml:space="preserve">sukelti </w:t>
      </w:r>
      <w:r w:rsidRPr="007777D9">
        <w:rPr>
          <w:snapToGrid/>
          <w:szCs w:val="22"/>
          <w:lang w:val="lt-LT"/>
        </w:rPr>
        <w:t>reiškiniai</w:t>
      </w:r>
      <w:r>
        <w:rPr>
          <w:snapToGrid/>
          <w:szCs w:val="22"/>
          <w:lang w:val="lt-LT"/>
        </w:rPr>
        <w:t>);</w:t>
      </w:r>
    </w:p>
    <w:p w14:paraId="6CCB0B3B" w14:textId="77777777" w:rsidR="004F7AA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ausies skausmas, išskyros iš ausies ir (arba) ausies infekcija. Jei atsirado toks poveikis, pasitarkite su gydytoju, nes ta</w:t>
      </w:r>
      <w:r w:rsidRPr="007777D9">
        <w:rPr>
          <w:snapToGrid/>
          <w:szCs w:val="22"/>
          <w:lang w:val="lt-LT"/>
        </w:rPr>
        <w:t>i gali būt</w:t>
      </w:r>
      <w:r>
        <w:rPr>
          <w:snapToGrid/>
          <w:szCs w:val="22"/>
          <w:lang w:val="lt-LT"/>
        </w:rPr>
        <w:t>i</w:t>
      </w:r>
      <w:r w:rsidRPr="007777D9">
        <w:rPr>
          <w:snapToGrid/>
          <w:szCs w:val="22"/>
          <w:lang w:val="lt-LT"/>
        </w:rPr>
        <w:t xml:space="preserve"> </w:t>
      </w:r>
      <w:r>
        <w:rPr>
          <w:snapToGrid/>
          <w:szCs w:val="22"/>
          <w:lang w:val="lt-LT"/>
        </w:rPr>
        <w:t>ausies kaulinės dalies</w:t>
      </w:r>
      <w:r w:rsidRPr="007777D9">
        <w:rPr>
          <w:snapToGrid/>
          <w:szCs w:val="22"/>
          <w:lang w:val="lt-LT"/>
        </w:rPr>
        <w:t xml:space="preserve"> pažeidimo požymiai</w:t>
      </w:r>
      <w:r>
        <w:rPr>
          <w:snapToGrid/>
          <w:szCs w:val="22"/>
          <w:lang w:val="lt-LT"/>
        </w:rPr>
        <w:t>;</w:t>
      </w:r>
    </w:p>
    <w:p w14:paraId="447AD703" w14:textId="77777777" w:rsidR="004F7AA9" w:rsidRPr="00667796" w:rsidRDefault="004F7AA9" w:rsidP="004F7AA9">
      <w:pPr>
        <w:widowControl w:val="0"/>
        <w:numPr>
          <w:ilvl w:val="0"/>
          <w:numId w:val="39"/>
        </w:numPr>
        <w:tabs>
          <w:tab w:val="clear" w:pos="567"/>
        </w:tabs>
        <w:spacing w:line="240" w:lineRule="auto"/>
        <w:contextualSpacing/>
        <w:rPr>
          <w:snapToGrid/>
          <w:szCs w:val="22"/>
          <w:lang w:val="lt-LT"/>
        </w:rPr>
      </w:pPr>
      <w:r w:rsidRPr="008C5426">
        <w:rPr>
          <w:lang w:val="lt-LT"/>
        </w:rPr>
        <w:t>osteonekrozė taip pat labai retai buvo pastebėta pasireiškusi kituose kauluose nei žandikaulio</w:t>
      </w:r>
      <w:r w:rsidRPr="00667796">
        <w:rPr>
          <w:snapToGrid/>
          <w:szCs w:val="22"/>
          <w:lang w:val="lt-LT"/>
        </w:rPr>
        <w:t>, ypač klubo arba</w:t>
      </w:r>
      <w:r>
        <w:rPr>
          <w:snapToGrid/>
          <w:szCs w:val="22"/>
          <w:lang w:val="lt-LT"/>
        </w:rPr>
        <w:t xml:space="preserve"> </w:t>
      </w:r>
      <w:r w:rsidRPr="00667796">
        <w:rPr>
          <w:snapToGrid/>
          <w:szCs w:val="22"/>
          <w:lang w:val="lt-LT"/>
        </w:rPr>
        <w:t xml:space="preserve">šlaunikaulio. Jeigu Jums gydymo Zoledronic </w:t>
      </w:r>
      <w:r>
        <w:rPr>
          <w:snapToGrid/>
          <w:szCs w:val="22"/>
          <w:lang w:val="lt-LT"/>
        </w:rPr>
        <w:t>a</w:t>
      </w:r>
      <w:r w:rsidRPr="00667796">
        <w:rPr>
          <w:snapToGrid/>
          <w:szCs w:val="22"/>
          <w:lang w:val="lt-LT"/>
        </w:rPr>
        <w:t xml:space="preserve">cid </w:t>
      </w:r>
      <w:r>
        <w:rPr>
          <w:snapToGrid/>
          <w:szCs w:val="22"/>
          <w:lang w:val="lt-LT"/>
        </w:rPr>
        <w:t>Norameda</w:t>
      </w:r>
      <w:r w:rsidRPr="00667796">
        <w:rPr>
          <w:snapToGrid/>
          <w:szCs w:val="22"/>
          <w:lang w:val="lt-LT"/>
        </w:rPr>
        <w:t xml:space="preserve"> metu arba nutraukus gydymą</w:t>
      </w:r>
    </w:p>
    <w:p w14:paraId="37975C3E" w14:textId="77777777" w:rsidR="004F7AA9" w:rsidRPr="00BE35E1" w:rsidRDefault="004F7AA9" w:rsidP="004F7AA9">
      <w:pPr>
        <w:widowControl w:val="0"/>
        <w:tabs>
          <w:tab w:val="clear" w:pos="567"/>
        </w:tabs>
        <w:spacing w:line="240" w:lineRule="auto"/>
        <w:ind w:left="567"/>
        <w:contextualSpacing/>
        <w:rPr>
          <w:snapToGrid/>
          <w:szCs w:val="22"/>
          <w:lang w:val="lt-LT"/>
        </w:rPr>
      </w:pPr>
      <w:r>
        <w:rPr>
          <w:snapToGrid/>
          <w:szCs w:val="22"/>
          <w:lang w:val="lt-LT"/>
        </w:rPr>
        <w:t>pasireikštų naujai</w:t>
      </w:r>
      <w:r w:rsidRPr="00BE35E1">
        <w:rPr>
          <w:snapToGrid/>
          <w:szCs w:val="22"/>
          <w:lang w:val="lt-LT"/>
        </w:rPr>
        <w:t xml:space="preserve"> arba sustiprėtų jau esantys tokie simptomai, kaip gėlimas, skausmas ar</w:t>
      </w:r>
    </w:p>
    <w:p w14:paraId="44BA7B4F" w14:textId="77777777" w:rsidR="004F7AA9" w:rsidRDefault="004F7AA9" w:rsidP="004F7AA9">
      <w:pPr>
        <w:widowControl w:val="0"/>
        <w:tabs>
          <w:tab w:val="clear" w:pos="567"/>
        </w:tabs>
        <w:spacing w:line="240" w:lineRule="auto"/>
        <w:ind w:left="567"/>
        <w:contextualSpacing/>
        <w:rPr>
          <w:snapToGrid/>
          <w:szCs w:val="22"/>
          <w:lang w:val="lt-LT"/>
        </w:rPr>
      </w:pPr>
      <w:r>
        <w:rPr>
          <w:snapToGrid/>
          <w:szCs w:val="22"/>
          <w:lang w:val="lt-LT"/>
        </w:rPr>
        <w:t>sustingimas</w:t>
      </w:r>
      <w:r w:rsidRPr="00BE35E1">
        <w:rPr>
          <w:snapToGrid/>
          <w:szCs w:val="22"/>
          <w:lang w:val="lt-LT"/>
        </w:rPr>
        <w:t>, nedelsiant pasakykite savo gydytojui.</w:t>
      </w:r>
    </w:p>
    <w:p w14:paraId="411955CC" w14:textId="77777777" w:rsidR="004F7AA9" w:rsidRPr="007777D9" w:rsidRDefault="004F7AA9" w:rsidP="004F7AA9">
      <w:pPr>
        <w:widowControl w:val="0"/>
        <w:tabs>
          <w:tab w:val="clear" w:pos="567"/>
        </w:tabs>
        <w:spacing w:line="240" w:lineRule="auto"/>
        <w:rPr>
          <w:snapToGrid/>
          <w:szCs w:val="22"/>
          <w:lang w:val="lt-LT"/>
        </w:rPr>
      </w:pPr>
    </w:p>
    <w:p w14:paraId="03FD539F"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 xml:space="preserve">Apie toliau nurodytą šalutinį poveikį gydytojui pasakykite </w:t>
      </w:r>
      <w:r>
        <w:rPr>
          <w:b/>
          <w:snapToGrid/>
          <w:szCs w:val="22"/>
          <w:lang w:val="lt-LT"/>
        </w:rPr>
        <w:t>kiek įmanoma greičiau.</w:t>
      </w:r>
    </w:p>
    <w:p w14:paraId="287DAC71" w14:textId="77777777" w:rsidR="004F7AA9" w:rsidRPr="007777D9" w:rsidRDefault="004F7AA9" w:rsidP="004F7AA9">
      <w:pPr>
        <w:widowControl w:val="0"/>
        <w:tabs>
          <w:tab w:val="clear" w:pos="567"/>
        </w:tabs>
        <w:spacing w:line="240" w:lineRule="auto"/>
        <w:rPr>
          <w:snapToGrid/>
          <w:szCs w:val="22"/>
          <w:lang w:val="lt-LT"/>
        </w:rPr>
      </w:pPr>
    </w:p>
    <w:p w14:paraId="0EE5E3D5" w14:textId="0371D8D5" w:rsidR="00AF1034" w:rsidRPr="007777D9" w:rsidRDefault="00AF1034" w:rsidP="004F7AA9">
      <w:pPr>
        <w:widowControl w:val="0"/>
        <w:tabs>
          <w:tab w:val="clear" w:pos="567"/>
        </w:tabs>
        <w:spacing w:line="240" w:lineRule="auto"/>
        <w:rPr>
          <w:snapToGrid/>
          <w:szCs w:val="22"/>
          <w:lang w:val="lt-LT"/>
        </w:rPr>
      </w:pPr>
      <w:r w:rsidRPr="00AF1034">
        <w:rPr>
          <w:b/>
          <w:snapToGrid/>
          <w:szCs w:val="22"/>
          <w:lang w:val="lt-LT"/>
        </w:rPr>
        <w:t>Labai dažni šalutinio poveikio reiškiniai (gali pasireikšti ne rečiau kaip 1 iš 10 asmenų):</w:t>
      </w:r>
    </w:p>
    <w:p w14:paraId="440E7664"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mažas</w:t>
      </w:r>
      <w:r w:rsidRPr="007777D9">
        <w:rPr>
          <w:snapToGrid/>
          <w:szCs w:val="22"/>
          <w:lang w:val="lt-LT"/>
        </w:rPr>
        <w:t xml:space="preserve"> fosfatų kiekis kraujyje.</w:t>
      </w:r>
    </w:p>
    <w:p w14:paraId="79E0C5FF" w14:textId="77777777" w:rsidR="004F7AA9" w:rsidRPr="007777D9" w:rsidRDefault="004F7AA9" w:rsidP="004F7AA9">
      <w:pPr>
        <w:widowControl w:val="0"/>
        <w:tabs>
          <w:tab w:val="clear" w:pos="567"/>
        </w:tabs>
        <w:spacing w:line="240" w:lineRule="auto"/>
        <w:rPr>
          <w:snapToGrid/>
          <w:szCs w:val="22"/>
          <w:lang w:val="lt-LT"/>
        </w:rPr>
      </w:pPr>
    </w:p>
    <w:p w14:paraId="3F18C884" w14:textId="5EAAF09F" w:rsidR="004F7AA9" w:rsidRPr="00EF2F9F" w:rsidRDefault="00AF1034" w:rsidP="004F7AA9">
      <w:pPr>
        <w:widowControl w:val="0"/>
        <w:tabs>
          <w:tab w:val="clear" w:pos="567"/>
        </w:tabs>
        <w:spacing w:line="240" w:lineRule="auto"/>
        <w:contextualSpacing/>
        <w:rPr>
          <w:b/>
          <w:bCs/>
          <w:snapToGrid/>
          <w:szCs w:val="22"/>
          <w:lang w:val="lt-LT"/>
        </w:rPr>
      </w:pPr>
      <w:r w:rsidRPr="00AF1034">
        <w:rPr>
          <w:b/>
          <w:bCs/>
          <w:snapToGrid/>
          <w:szCs w:val="22"/>
          <w:lang w:val="lt-LT"/>
        </w:rPr>
        <w:t>Dažni šalutinio poveikio reiškiniai (gali pasireikšti rečiau kaip 1 iš 10 asmenų</w:t>
      </w:r>
      <w:r w:rsidR="004F7AA9" w:rsidRPr="007777D9">
        <w:rPr>
          <w:b/>
          <w:snapToGrid/>
          <w:szCs w:val="22"/>
          <w:lang w:val="lt-LT"/>
        </w:rPr>
        <w:t>):</w:t>
      </w:r>
    </w:p>
    <w:p w14:paraId="34D1339D" w14:textId="77777777" w:rsidR="004F7AA9" w:rsidRPr="00B46DFE" w:rsidRDefault="004F7AA9" w:rsidP="004F7AA9">
      <w:pPr>
        <w:widowControl w:val="0"/>
        <w:numPr>
          <w:ilvl w:val="0"/>
          <w:numId w:val="39"/>
        </w:numPr>
        <w:tabs>
          <w:tab w:val="clear" w:pos="567"/>
        </w:tabs>
        <w:spacing w:line="240" w:lineRule="auto"/>
        <w:contextualSpacing/>
        <w:rPr>
          <w:snapToGrid/>
          <w:szCs w:val="22"/>
          <w:lang w:val="lt-LT"/>
        </w:rPr>
      </w:pPr>
      <w:r w:rsidRPr="00B46DFE">
        <w:rPr>
          <w:snapToGrid/>
          <w:szCs w:val="22"/>
          <w:lang w:val="lt-LT"/>
        </w:rPr>
        <w:t xml:space="preserve">galvos skausmas ir į gripą panašus sindromas, pasireiškiantis karščiavimu, nuovargiu, silpnumu, mieguistumu, </w:t>
      </w:r>
      <w:r>
        <w:rPr>
          <w:snapToGrid/>
          <w:szCs w:val="22"/>
          <w:lang w:val="lt-LT"/>
        </w:rPr>
        <w:t>šaltkrėčiu</w:t>
      </w:r>
      <w:r w:rsidRPr="00B46DFE">
        <w:rPr>
          <w:snapToGrid/>
          <w:szCs w:val="22"/>
          <w:lang w:val="lt-LT"/>
        </w:rPr>
        <w:t xml:space="preserve"> bei kaulų, sąnarių ir (ar</w:t>
      </w:r>
      <w:r>
        <w:rPr>
          <w:snapToGrid/>
          <w:szCs w:val="22"/>
          <w:lang w:val="lt-LT"/>
        </w:rPr>
        <w:t>ba</w:t>
      </w:r>
      <w:r w:rsidRPr="00B46DFE">
        <w:rPr>
          <w:snapToGrid/>
          <w:szCs w:val="22"/>
          <w:lang w:val="lt-LT"/>
        </w:rPr>
        <w:t xml:space="preserve">) raumenų </w:t>
      </w:r>
      <w:r>
        <w:rPr>
          <w:snapToGrid/>
          <w:szCs w:val="22"/>
          <w:lang w:val="lt-LT"/>
        </w:rPr>
        <w:t>maudimu</w:t>
      </w:r>
      <w:r w:rsidRPr="00B46DFE">
        <w:rPr>
          <w:snapToGrid/>
          <w:szCs w:val="22"/>
          <w:lang w:val="lt-LT"/>
        </w:rPr>
        <w:t>. Dažniausiai specifi</w:t>
      </w:r>
      <w:r>
        <w:rPr>
          <w:snapToGrid/>
          <w:szCs w:val="22"/>
          <w:lang w:val="lt-LT"/>
        </w:rPr>
        <w:t>nio</w:t>
      </w:r>
      <w:r w:rsidRPr="00B46DFE">
        <w:rPr>
          <w:snapToGrid/>
          <w:szCs w:val="22"/>
          <w:lang w:val="lt-LT"/>
        </w:rPr>
        <w:t xml:space="preserve"> gydy</w:t>
      </w:r>
      <w:r>
        <w:rPr>
          <w:snapToGrid/>
          <w:szCs w:val="22"/>
          <w:lang w:val="lt-LT"/>
        </w:rPr>
        <w:t>mo</w:t>
      </w:r>
      <w:r w:rsidRPr="00B46DFE">
        <w:rPr>
          <w:snapToGrid/>
          <w:szCs w:val="22"/>
          <w:lang w:val="lt-LT"/>
        </w:rPr>
        <w:t xml:space="preserve"> nereikia, o simptomai greitai (per kelias valandas ar dienas) </w:t>
      </w:r>
      <w:r>
        <w:rPr>
          <w:snapToGrid/>
          <w:szCs w:val="22"/>
          <w:lang w:val="lt-LT"/>
        </w:rPr>
        <w:t>išnyksta</w:t>
      </w:r>
      <w:r w:rsidRPr="00B46DFE">
        <w:rPr>
          <w:snapToGrid/>
          <w:szCs w:val="22"/>
          <w:lang w:val="lt-LT"/>
        </w:rPr>
        <w:t xml:space="preserve"> savaime;</w:t>
      </w:r>
    </w:p>
    <w:p w14:paraId="58B5E8B2"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virškinimo trakto reakcijos, </w:t>
      </w:r>
      <w:r>
        <w:rPr>
          <w:snapToGrid/>
          <w:szCs w:val="22"/>
          <w:lang w:val="lt-LT"/>
        </w:rPr>
        <w:t>pvz.,</w:t>
      </w:r>
      <w:r w:rsidRPr="007777D9">
        <w:rPr>
          <w:snapToGrid/>
          <w:szCs w:val="22"/>
          <w:lang w:val="lt-LT"/>
        </w:rPr>
        <w:t xml:space="preserve"> pykinimas ir vėmimas bei apetito stoka;</w:t>
      </w:r>
    </w:p>
    <w:p w14:paraId="55ACECA0"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32D4">
        <w:rPr>
          <w:snapToGrid/>
          <w:szCs w:val="22"/>
          <w:lang w:val="lt-LT"/>
        </w:rPr>
        <w:t>akių junginės uždegimas;</w:t>
      </w:r>
    </w:p>
    <w:p w14:paraId="65FE888B"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mažas</w:t>
      </w:r>
      <w:r w:rsidRPr="007732D4">
        <w:rPr>
          <w:snapToGrid/>
          <w:szCs w:val="22"/>
          <w:lang w:val="lt-LT"/>
        </w:rPr>
        <w:t xml:space="preserve"> raudonųjų kraujo ląstelių </w:t>
      </w:r>
      <w:r>
        <w:rPr>
          <w:snapToGrid/>
          <w:szCs w:val="22"/>
          <w:lang w:val="lt-LT"/>
        </w:rPr>
        <w:t>kiekis</w:t>
      </w:r>
      <w:r w:rsidRPr="007732D4">
        <w:rPr>
          <w:snapToGrid/>
          <w:szCs w:val="22"/>
          <w:lang w:val="lt-LT"/>
        </w:rPr>
        <w:t xml:space="preserve"> (mažakraujystė).</w:t>
      </w:r>
    </w:p>
    <w:p w14:paraId="70C93534" w14:textId="77777777" w:rsidR="004F7AA9" w:rsidRPr="007777D9" w:rsidRDefault="004F7AA9" w:rsidP="004F7AA9">
      <w:pPr>
        <w:widowControl w:val="0"/>
        <w:tabs>
          <w:tab w:val="clear" w:pos="567"/>
        </w:tabs>
        <w:spacing w:line="240" w:lineRule="auto"/>
        <w:rPr>
          <w:snapToGrid/>
          <w:szCs w:val="22"/>
          <w:lang w:val="lt-LT"/>
        </w:rPr>
      </w:pPr>
    </w:p>
    <w:p w14:paraId="6FDB34A3" w14:textId="2007C0AE" w:rsidR="00AF1034" w:rsidRPr="007777D9" w:rsidRDefault="00AF1034" w:rsidP="004F7AA9">
      <w:pPr>
        <w:widowControl w:val="0"/>
        <w:tabs>
          <w:tab w:val="clear" w:pos="567"/>
        </w:tabs>
        <w:spacing w:line="240" w:lineRule="auto"/>
        <w:rPr>
          <w:b/>
          <w:snapToGrid/>
          <w:szCs w:val="22"/>
          <w:lang w:val="lt-LT"/>
        </w:rPr>
      </w:pPr>
      <w:r w:rsidRPr="00AF1034">
        <w:rPr>
          <w:b/>
          <w:snapToGrid/>
          <w:szCs w:val="22"/>
          <w:lang w:val="lt-LT"/>
        </w:rPr>
        <w:t>Nedažni šalutinio poveikio reiškiniai (gali pasireikšti rečiau kaip 1 iš 100 asmenų):</w:t>
      </w:r>
    </w:p>
    <w:p w14:paraId="2AB0FF81"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padidėjusio jautrumo reakcijos;</w:t>
      </w:r>
    </w:p>
    <w:p w14:paraId="6346AEA2"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mažas</w:t>
      </w:r>
      <w:r w:rsidRPr="007777D9">
        <w:rPr>
          <w:snapToGrid/>
          <w:szCs w:val="22"/>
          <w:lang w:val="lt-LT"/>
        </w:rPr>
        <w:t xml:space="preserve"> kraujospūdis;</w:t>
      </w:r>
    </w:p>
    <w:p w14:paraId="29A67497"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krūtinės skausmas;</w:t>
      </w:r>
    </w:p>
    <w:p w14:paraId="71D3825E"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infuzijos vietos odos reakcijos (paraudimas ir patinimas), bėrimas, niež</w:t>
      </w:r>
      <w:r>
        <w:rPr>
          <w:snapToGrid/>
          <w:szCs w:val="22"/>
          <w:lang w:val="lt-LT"/>
        </w:rPr>
        <w:t>ėjimas</w:t>
      </w:r>
      <w:r w:rsidRPr="007777D9">
        <w:rPr>
          <w:snapToGrid/>
          <w:szCs w:val="22"/>
          <w:lang w:val="lt-LT"/>
        </w:rPr>
        <w:t>;</w:t>
      </w:r>
    </w:p>
    <w:p w14:paraId="5A3D5538"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padidėjęs kraujospūdis, dusulys, svaigulys, nerimas, sutrikęs miegas, pakitęs skonio pojūtis, drebėjimas, plaštakų ar pėdų dilgčiojimas ar tirpimas, viduriavimas, vidurių užkietėjimas, pilvo skausmas, burnos </w:t>
      </w:r>
      <w:r>
        <w:rPr>
          <w:snapToGrid/>
          <w:szCs w:val="22"/>
          <w:lang w:val="lt-LT"/>
        </w:rPr>
        <w:t>džiūvimas</w:t>
      </w:r>
      <w:r w:rsidRPr="007777D9">
        <w:rPr>
          <w:snapToGrid/>
          <w:szCs w:val="22"/>
          <w:lang w:val="lt-LT"/>
        </w:rPr>
        <w:t>;</w:t>
      </w:r>
    </w:p>
    <w:p w14:paraId="7DFB35F5"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mažas</w:t>
      </w:r>
      <w:r w:rsidRPr="007777D9">
        <w:rPr>
          <w:snapToGrid/>
          <w:szCs w:val="22"/>
          <w:lang w:val="lt-LT"/>
        </w:rPr>
        <w:t xml:space="preserve"> baltųjų kraujo ląstelių ir trombocitų </w:t>
      </w:r>
      <w:r>
        <w:rPr>
          <w:snapToGrid/>
          <w:szCs w:val="22"/>
          <w:lang w:val="lt-LT"/>
        </w:rPr>
        <w:t>kiekis</w:t>
      </w:r>
      <w:r w:rsidRPr="007777D9">
        <w:rPr>
          <w:snapToGrid/>
          <w:szCs w:val="22"/>
          <w:lang w:val="lt-LT"/>
        </w:rPr>
        <w:t>;</w:t>
      </w:r>
    </w:p>
    <w:p w14:paraId="2951F86F" w14:textId="77777777" w:rsidR="004F7AA9" w:rsidRPr="00085C2C" w:rsidRDefault="004F7AA9" w:rsidP="004F7AA9">
      <w:pPr>
        <w:widowControl w:val="0"/>
        <w:numPr>
          <w:ilvl w:val="0"/>
          <w:numId w:val="39"/>
        </w:numPr>
        <w:tabs>
          <w:tab w:val="clear" w:pos="567"/>
        </w:tabs>
        <w:spacing w:line="240" w:lineRule="auto"/>
        <w:contextualSpacing/>
        <w:rPr>
          <w:snapToGrid/>
          <w:szCs w:val="22"/>
          <w:lang w:val="lt-LT"/>
        </w:rPr>
      </w:pPr>
      <w:r w:rsidRPr="00085C2C">
        <w:rPr>
          <w:snapToGrid/>
          <w:szCs w:val="22"/>
          <w:lang w:val="lt-LT"/>
        </w:rPr>
        <w:t>mažas magnio ir kalio kiekis kraujyje. Gydytojas tai stebės ir prireikus imsis reikiamų priemonių;</w:t>
      </w:r>
    </w:p>
    <w:p w14:paraId="48B47AB0"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padidėjęs kūno svoris;</w:t>
      </w:r>
    </w:p>
    <w:p w14:paraId="4ED38CE6"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sustiprėjęs prakaitavimas;</w:t>
      </w:r>
    </w:p>
    <w:p w14:paraId="24D14107" w14:textId="77777777" w:rsidR="004F7AA9" w:rsidRPr="007732D4" w:rsidRDefault="004F7AA9" w:rsidP="004F7AA9">
      <w:pPr>
        <w:widowControl w:val="0"/>
        <w:numPr>
          <w:ilvl w:val="0"/>
          <w:numId w:val="39"/>
        </w:numPr>
        <w:tabs>
          <w:tab w:val="clear" w:pos="567"/>
        </w:tabs>
        <w:spacing w:line="240" w:lineRule="auto"/>
        <w:contextualSpacing/>
        <w:rPr>
          <w:snapToGrid/>
          <w:szCs w:val="22"/>
          <w:lang w:val="lt-LT"/>
        </w:rPr>
      </w:pPr>
      <w:r w:rsidRPr="007732D4">
        <w:rPr>
          <w:snapToGrid/>
          <w:szCs w:val="22"/>
          <w:lang w:val="lt-LT"/>
        </w:rPr>
        <w:t>mieguistumas;</w:t>
      </w:r>
    </w:p>
    <w:p w14:paraId="0AB86B7C" w14:textId="77777777" w:rsidR="004F7AA9" w:rsidRPr="007732D4"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matomo vaizdo neryškumas</w:t>
      </w:r>
      <w:r w:rsidRPr="007732D4">
        <w:rPr>
          <w:snapToGrid/>
          <w:szCs w:val="22"/>
          <w:lang w:val="lt-LT"/>
        </w:rPr>
        <w:t>, akių ašarojimas, akių jautrumas šviesai;</w:t>
      </w:r>
    </w:p>
    <w:p w14:paraId="60002187" w14:textId="77777777" w:rsidR="004F7AA9" w:rsidRPr="007732D4" w:rsidRDefault="004F7AA9" w:rsidP="004F7AA9">
      <w:pPr>
        <w:widowControl w:val="0"/>
        <w:numPr>
          <w:ilvl w:val="0"/>
          <w:numId w:val="39"/>
        </w:numPr>
        <w:tabs>
          <w:tab w:val="clear" w:pos="567"/>
        </w:tabs>
        <w:spacing w:line="240" w:lineRule="auto"/>
        <w:contextualSpacing/>
        <w:rPr>
          <w:snapToGrid/>
          <w:szCs w:val="22"/>
          <w:lang w:val="lt-LT"/>
        </w:rPr>
      </w:pPr>
      <w:r w:rsidRPr="007732D4">
        <w:rPr>
          <w:snapToGrid/>
          <w:szCs w:val="22"/>
          <w:lang w:val="lt-LT"/>
        </w:rPr>
        <w:t>staigus šal</w:t>
      </w:r>
      <w:r>
        <w:rPr>
          <w:snapToGrid/>
          <w:szCs w:val="22"/>
          <w:lang w:val="lt-LT"/>
        </w:rPr>
        <w:t>čio pojūtis</w:t>
      </w:r>
      <w:r w:rsidRPr="007732D4">
        <w:rPr>
          <w:snapToGrid/>
          <w:szCs w:val="22"/>
          <w:lang w:val="lt-LT"/>
        </w:rPr>
        <w:t xml:space="preserve"> su alpimu, suglebimas ar sąmonės netekimas;</w:t>
      </w:r>
    </w:p>
    <w:p w14:paraId="00131BB4" w14:textId="77777777" w:rsidR="004F7AA9" w:rsidRPr="007732D4" w:rsidRDefault="004F7AA9" w:rsidP="004F7AA9">
      <w:pPr>
        <w:widowControl w:val="0"/>
        <w:numPr>
          <w:ilvl w:val="0"/>
          <w:numId w:val="39"/>
        </w:numPr>
        <w:tabs>
          <w:tab w:val="clear" w:pos="567"/>
        </w:tabs>
        <w:spacing w:line="240" w:lineRule="auto"/>
        <w:contextualSpacing/>
        <w:rPr>
          <w:snapToGrid/>
          <w:szCs w:val="22"/>
          <w:lang w:val="lt-LT"/>
        </w:rPr>
      </w:pPr>
      <w:r w:rsidRPr="007732D4">
        <w:rPr>
          <w:snapToGrid/>
          <w:szCs w:val="22"/>
          <w:lang w:val="lt-LT"/>
        </w:rPr>
        <w:t>apsunkintas kvėpavimas su švokštimu ar kosuliu;</w:t>
      </w:r>
    </w:p>
    <w:p w14:paraId="781A6BD4"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32D4">
        <w:rPr>
          <w:snapToGrid/>
          <w:szCs w:val="22"/>
          <w:lang w:val="lt-LT"/>
        </w:rPr>
        <w:t>dilgėlinė.</w:t>
      </w:r>
    </w:p>
    <w:p w14:paraId="28A7A100" w14:textId="77777777" w:rsidR="004F7AA9" w:rsidRPr="007777D9" w:rsidRDefault="004F7AA9" w:rsidP="004F7AA9">
      <w:pPr>
        <w:widowControl w:val="0"/>
        <w:tabs>
          <w:tab w:val="clear" w:pos="567"/>
        </w:tabs>
        <w:spacing w:line="240" w:lineRule="auto"/>
        <w:rPr>
          <w:snapToGrid/>
          <w:szCs w:val="22"/>
          <w:lang w:val="lt-LT"/>
        </w:rPr>
      </w:pPr>
    </w:p>
    <w:p w14:paraId="1C1C8EDA" w14:textId="5BFC4AE4" w:rsidR="00AF1034" w:rsidRPr="007777D9" w:rsidRDefault="00AF1034" w:rsidP="004F7AA9">
      <w:pPr>
        <w:widowControl w:val="0"/>
        <w:tabs>
          <w:tab w:val="clear" w:pos="567"/>
        </w:tabs>
        <w:spacing w:line="240" w:lineRule="auto"/>
        <w:rPr>
          <w:b/>
          <w:bCs/>
          <w:snapToGrid/>
          <w:szCs w:val="22"/>
          <w:lang w:val="lt-LT"/>
        </w:rPr>
      </w:pPr>
      <w:r>
        <w:rPr>
          <w:b/>
          <w:bCs/>
          <w:color w:val="000000"/>
          <w:szCs w:val="22"/>
          <w:lang w:val="lt-LT"/>
        </w:rPr>
        <w:t>Reti šalutinio poveikio reiškiniai (gali pasireikšti rečiau kaip 1 iš 1 000 asmenų):</w:t>
      </w:r>
    </w:p>
    <w:p w14:paraId="1FB6F3C0"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retas</w:t>
      </w:r>
      <w:r w:rsidRPr="007777D9">
        <w:rPr>
          <w:snapToGrid/>
          <w:szCs w:val="22"/>
          <w:lang w:val="lt-LT"/>
        </w:rPr>
        <w:t xml:space="preserve"> širdies </w:t>
      </w:r>
      <w:r>
        <w:rPr>
          <w:snapToGrid/>
          <w:szCs w:val="22"/>
          <w:lang w:val="lt-LT"/>
        </w:rPr>
        <w:t>plakimas</w:t>
      </w:r>
      <w:r w:rsidRPr="007777D9">
        <w:rPr>
          <w:snapToGrid/>
          <w:szCs w:val="22"/>
          <w:lang w:val="lt-LT"/>
        </w:rPr>
        <w:t>;</w:t>
      </w:r>
    </w:p>
    <w:p w14:paraId="48B1D3DB"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minčių susipainiojimas</w:t>
      </w:r>
      <w:r w:rsidRPr="007777D9">
        <w:rPr>
          <w:snapToGrid/>
          <w:szCs w:val="22"/>
          <w:lang w:val="lt-LT"/>
        </w:rPr>
        <w:t>;</w:t>
      </w:r>
    </w:p>
    <w:p w14:paraId="691960DB"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retais atvejais ilgai nuo osteoporozės gydomiems pacientams gali neįprastoje vietoje lūžti </w:t>
      </w:r>
      <w:r w:rsidRPr="007777D9">
        <w:rPr>
          <w:snapToGrid/>
          <w:szCs w:val="22"/>
          <w:lang w:val="lt-LT"/>
        </w:rPr>
        <w:lastRenderedPageBreak/>
        <w:t>šlaunies kaulas. Jeigu jaučiate šlaunies, klubo ar kirkšnies skausmą, silpnumą ar diskomfortą, kreipkitės į gydytoją, nes tai gali būti ankstyvi galimo šlaunikaulio lūžio požymiai;</w:t>
      </w:r>
    </w:p>
    <w:p w14:paraId="0DA5ABC5"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intersticinė plaučių liga (aplink plaučių </w:t>
      </w:r>
      <w:r>
        <w:rPr>
          <w:snapToGrid/>
          <w:szCs w:val="22"/>
          <w:lang w:val="lt-LT"/>
        </w:rPr>
        <w:t>oro maišelius</w:t>
      </w:r>
      <w:r w:rsidRPr="007777D9">
        <w:rPr>
          <w:snapToGrid/>
          <w:szCs w:val="22"/>
          <w:lang w:val="lt-LT"/>
        </w:rPr>
        <w:t xml:space="preserve"> esančio audinio uždegimas);</w:t>
      </w:r>
    </w:p>
    <w:p w14:paraId="27BB61DC"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į gripą panašūs simptomai, įskaitant artritą ir sąnarių patinimą;</w:t>
      </w:r>
    </w:p>
    <w:p w14:paraId="5AA5FEBA" w14:textId="77777777" w:rsidR="004F7AA9" w:rsidRDefault="004F7AA9" w:rsidP="004F7AA9">
      <w:pPr>
        <w:widowControl w:val="0"/>
        <w:numPr>
          <w:ilvl w:val="0"/>
          <w:numId w:val="39"/>
        </w:numPr>
        <w:tabs>
          <w:tab w:val="clear" w:pos="567"/>
        </w:tabs>
        <w:spacing w:line="240" w:lineRule="auto"/>
        <w:contextualSpacing/>
        <w:rPr>
          <w:snapToGrid/>
          <w:szCs w:val="22"/>
          <w:lang w:val="lt-LT"/>
        </w:rPr>
      </w:pPr>
      <w:r w:rsidRPr="007732D4">
        <w:rPr>
          <w:snapToGrid/>
          <w:szCs w:val="22"/>
          <w:lang w:val="lt-LT"/>
        </w:rPr>
        <w:t>skausmingas akies paraudimas ir (arba) patinimas.</w:t>
      </w:r>
    </w:p>
    <w:p w14:paraId="2D29FC30" w14:textId="77777777" w:rsidR="004F7AA9" w:rsidRPr="007777D9" w:rsidRDefault="004F7AA9" w:rsidP="004F7AA9">
      <w:pPr>
        <w:widowControl w:val="0"/>
        <w:tabs>
          <w:tab w:val="clear" w:pos="567"/>
        </w:tabs>
        <w:spacing w:line="240" w:lineRule="auto"/>
        <w:contextualSpacing/>
        <w:rPr>
          <w:snapToGrid/>
          <w:szCs w:val="22"/>
          <w:lang w:val="lt-LT"/>
        </w:rPr>
      </w:pPr>
    </w:p>
    <w:p w14:paraId="3EBC9661" w14:textId="209FA3EA" w:rsidR="004F7AA9" w:rsidRPr="00EF2F9F" w:rsidRDefault="00AF1034" w:rsidP="004F7AA9">
      <w:pPr>
        <w:widowControl w:val="0"/>
        <w:tabs>
          <w:tab w:val="clear" w:pos="567"/>
        </w:tabs>
        <w:spacing w:line="240" w:lineRule="auto"/>
        <w:rPr>
          <w:b/>
          <w:bCs/>
          <w:color w:val="000000"/>
          <w:szCs w:val="22"/>
          <w:lang w:val="lt-LT"/>
        </w:rPr>
      </w:pPr>
      <w:r>
        <w:rPr>
          <w:b/>
          <w:bCs/>
          <w:color w:val="000000"/>
          <w:szCs w:val="22"/>
          <w:lang w:val="lt-LT"/>
        </w:rPr>
        <w:t>Labai reti šalutinio poveikio reiškiniai (gali pasireikšti rečiau kaip 1 iš 10 000 asmenų</w:t>
      </w:r>
      <w:r w:rsidR="004F7AA9" w:rsidRPr="007777D9">
        <w:rPr>
          <w:b/>
          <w:snapToGrid/>
          <w:szCs w:val="22"/>
          <w:lang w:val="lt-LT"/>
        </w:rPr>
        <w:t>):</w:t>
      </w:r>
    </w:p>
    <w:p w14:paraId="63E1D204"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alpimas dėl sumažėjusio kraujospūdžio;</w:t>
      </w:r>
    </w:p>
    <w:p w14:paraId="6942C7EE"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stiprus</w:t>
      </w:r>
      <w:r w:rsidRPr="007777D9">
        <w:rPr>
          <w:snapToGrid/>
          <w:szCs w:val="22"/>
          <w:lang w:val="lt-LT"/>
        </w:rPr>
        <w:t xml:space="preserve"> kaulų, sąnarių ir (arba) raumenų skausmas, kartais ribojantis </w:t>
      </w:r>
      <w:r>
        <w:rPr>
          <w:snapToGrid/>
          <w:szCs w:val="22"/>
          <w:lang w:val="lt-LT"/>
        </w:rPr>
        <w:t>funkciją</w:t>
      </w:r>
      <w:r w:rsidRPr="007777D9">
        <w:rPr>
          <w:snapToGrid/>
          <w:szCs w:val="22"/>
          <w:lang w:val="lt-LT"/>
        </w:rPr>
        <w:t>.</w:t>
      </w:r>
    </w:p>
    <w:p w14:paraId="41FCE58E" w14:textId="77777777" w:rsidR="004F7AA9" w:rsidRDefault="004F7AA9" w:rsidP="004F7AA9">
      <w:pPr>
        <w:widowControl w:val="0"/>
        <w:tabs>
          <w:tab w:val="clear" w:pos="567"/>
        </w:tabs>
        <w:spacing w:line="240" w:lineRule="auto"/>
        <w:rPr>
          <w:snapToGrid/>
          <w:szCs w:val="22"/>
          <w:lang w:val="lt-LT"/>
        </w:rPr>
      </w:pPr>
    </w:p>
    <w:p w14:paraId="1DFF483D"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 xml:space="preserve">Jeigu pasireiškė </w:t>
      </w:r>
      <w:r>
        <w:rPr>
          <w:snapToGrid/>
          <w:szCs w:val="22"/>
          <w:lang w:val="lt-LT"/>
        </w:rPr>
        <w:t xml:space="preserve">bet koks </w:t>
      </w:r>
      <w:r w:rsidRPr="007777D9">
        <w:rPr>
          <w:snapToGrid/>
          <w:szCs w:val="22"/>
          <w:lang w:val="lt-LT"/>
        </w:rPr>
        <w:t>šiame lapelyje nenurodyt</w:t>
      </w:r>
      <w:r>
        <w:rPr>
          <w:snapToGrid/>
          <w:szCs w:val="22"/>
          <w:lang w:val="lt-LT"/>
        </w:rPr>
        <w:t xml:space="preserve">as arba </w:t>
      </w:r>
      <w:r w:rsidRPr="0043227F">
        <w:rPr>
          <w:b/>
          <w:snapToGrid/>
          <w:szCs w:val="22"/>
          <w:lang w:val="lt-LT"/>
        </w:rPr>
        <w:t>sunkus šalutinis poveikis</w:t>
      </w:r>
      <w:r w:rsidRPr="007777D9">
        <w:rPr>
          <w:snapToGrid/>
          <w:szCs w:val="22"/>
          <w:lang w:val="lt-LT"/>
        </w:rPr>
        <w:t>, pasakykite gydytojui, vaistininkui arba slaugytojui.</w:t>
      </w:r>
    </w:p>
    <w:p w14:paraId="658302DB" w14:textId="77777777" w:rsidR="004F7AA9" w:rsidRPr="007777D9" w:rsidRDefault="004F7AA9" w:rsidP="004F7AA9">
      <w:pPr>
        <w:widowControl w:val="0"/>
        <w:tabs>
          <w:tab w:val="clear" w:pos="567"/>
        </w:tabs>
        <w:spacing w:line="240" w:lineRule="auto"/>
        <w:rPr>
          <w:snapToGrid/>
          <w:szCs w:val="22"/>
          <w:lang w:val="lt-LT"/>
        </w:rPr>
      </w:pPr>
    </w:p>
    <w:p w14:paraId="6E117C53" w14:textId="77777777" w:rsidR="004F7AA9" w:rsidRPr="007777D9" w:rsidRDefault="004F7AA9" w:rsidP="004F7AA9">
      <w:pPr>
        <w:tabs>
          <w:tab w:val="clear" w:pos="567"/>
        </w:tabs>
        <w:spacing w:line="240" w:lineRule="auto"/>
        <w:rPr>
          <w:snapToGrid/>
          <w:szCs w:val="22"/>
          <w:lang w:val="lt-LT"/>
        </w:rPr>
      </w:pPr>
      <w:r w:rsidRPr="007777D9">
        <w:rPr>
          <w:b/>
          <w:snapToGrid/>
          <w:szCs w:val="22"/>
          <w:lang w:val="lt-LT"/>
        </w:rPr>
        <w:t>Pranešimas apie šalutinį poveikį</w:t>
      </w:r>
    </w:p>
    <w:p w14:paraId="2FDB6427" w14:textId="13AA11F8"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Jeigu pasireiškė šalutinis poveikis, įskaitant šiame lapelyje nenurodytą, pasakykite gydytojui, vaistininkui arba slaugytojui. </w:t>
      </w:r>
      <w:r w:rsidR="00AF1034" w:rsidRPr="00AF1034">
        <w:rPr>
          <w:snapToGrid/>
          <w:szCs w:val="22"/>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00AF1034">
        <w:rPr>
          <w:snapToGrid/>
          <w:szCs w:val="22"/>
          <w:lang w:val="lt-LT"/>
        </w:rPr>
        <w:t xml:space="preserve"> </w:t>
      </w:r>
      <w:r w:rsidRPr="007777D9">
        <w:rPr>
          <w:snapToGrid/>
          <w:szCs w:val="22"/>
          <w:lang w:val="lt-LT"/>
        </w:rPr>
        <w:t>Pranešdami apie šalutinį poveikį galite mums padėti gauti daugiau informacijos apie šio vaisto saugumą.</w:t>
      </w:r>
      <w:r w:rsidRPr="007777D9">
        <w:rPr>
          <w:b/>
          <w:bCs/>
          <w:snapToGrid/>
          <w:szCs w:val="22"/>
          <w:lang w:val="lt-LT"/>
        </w:rPr>
        <w:t xml:space="preserve"> </w:t>
      </w:r>
    </w:p>
    <w:p w14:paraId="0E9E0A82" w14:textId="77777777" w:rsidR="004F7AA9" w:rsidRPr="007777D9" w:rsidRDefault="004F7AA9" w:rsidP="004F7AA9">
      <w:pPr>
        <w:widowControl w:val="0"/>
        <w:tabs>
          <w:tab w:val="clear" w:pos="567"/>
        </w:tabs>
        <w:spacing w:line="240" w:lineRule="auto"/>
        <w:rPr>
          <w:snapToGrid/>
          <w:szCs w:val="22"/>
          <w:lang w:val="lt-LT"/>
        </w:rPr>
      </w:pPr>
    </w:p>
    <w:p w14:paraId="6005C4A3" w14:textId="77777777" w:rsidR="004F7AA9" w:rsidRPr="007777D9" w:rsidRDefault="004F7AA9" w:rsidP="004F7AA9">
      <w:pPr>
        <w:widowControl w:val="0"/>
        <w:tabs>
          <w:tab w:val="clear" w:pos="567"/>
        </w:tabs>
        <w:spacing w:line="240" w:lineRule="auto"/>
        <w:rPr>
          <w:snapToGrid/>
          <w:szCs w:val="22"/>
          <w:lang w:val="lt-LT"/>
        </w:rPr>
      </w:pPr>
    </w:p>
    <w:p w14:paraId="58558FE2"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5.</w:t>
      </w:r>
      <w:r w:rsidRPr="007777D9">
        <w:rPr>
          <w:b/>
          <w:bCs/>
          <w:snapToGrid/>
          <w:szCs w:val="22"/>
          <w:lang w:val="lt-LT"/>
        </w:rPr>
        <w:tab/>
        <w:t xml:space="preserve">Kaip laikyti 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w:t>
      </w:r>
    </w:p>
    <w:p w14:paraId="657DB5CE" w14:textId="77777777" w:rsidR="004F7AA9" w:rsidRPr="007777D9" w:rsidRDefault="004F7AA9" w:rsidP="004F7AA9">
      <w:pPr>
        <w:widowControl w:val="0"/>
        <w:tabs>
          <w:tab w:val="clear" w:pos="567"/>
        </w:tabs>
        <w:spacing w:line="240" w:lineRule="auto"/>
        <w:rPr>
          <w:snapToGrid/>
          <w:szCs w:val="22"/>
          <w:lang w:val="lt-LT"/>
        </w:rPr>
      </w:pPr>
    </w:p>
    <w:p w14:paraId="22B47E79"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Gydytojas, slaugytoja</w:t>
      </w:r>
      <w:r>
        <w:rPr>
          <w:snapToGrid/>
          <w:szCs w:val="22"/>
          <w:lang w:val="lt-LT"/>
        </w:rPr>
        <w:t>s</w:t>
      </w:r>
      <w:r w:rsidRPr="007777D9">
        <w:rPr>
          <w:snapToGrid/>
          <w:szCs w:val="22"/>
          <w:lang w:val="lt-LT"/>
        </w:rPr>
        <w:t xml:space="preserve"> ar vaistininkas žino, kaip tinkamai laikyti Zoledronic </w:t>
      </w:r>
      <w:r>
        <w:rPr>
          <w:snapToGrid/>
          <w:szCs w:val="22"/>
          <w:lang w:val="lt-LT"/>
        </w:rPr>
        <w:t>acid</w:t>
      </w:r>
      <w:r w:rsidRPr="007777D9">
        <w:rPr>
          <w:snapToGrid/>
          <w:szCs w:val="22"/>
          <w:lang w:val="lt-LT"/>
        </w:rPr>
        <w:t xml:space="preserve"> </w:t>
      </w:r>
      <w:r>
        <w:rPr>
          <w:snapToGrid/>
          <w:szCs w:val="22"/>
          <w:lang w:val="lt-LT"/>
        </w:rPr>
        <w:t>Norameda (žr. 6 skyrių)</w:t>
      </w:r>
      <w:r w:rsidRPr="007777D9">
        <w:rPr>
          <w:snapToGrid/>
          <w:szCs w:val="22"/>
          <w:lang w:val="lt-LT"/>
        </w:rPr>
        <w:t>.</w:t>
      </w:r>
    </w:p>
    <w:p w14:paraId="0164AB3F" w14:textId="77777777" w:rsidR="004F7AA9" w:rsidRPr="007777D9" w:rsidRDefault="004F7AA9" w:rsidP="004F7AA9">
      <w:pPr>
        <w:widowControl w:val="0"/>
        <w:tabs>
          <w:tab w:val="clear" w:pos="567"/>
        </w:tabs>
        <w:spacing w:line="240" w:lineRule="auto"/>
        <w:rPr>
          <w:snapToGrid/>
          <w:szCs w:val="22"/>
          <w:lang w:val="lt-LT"/>
        </w:rPr>
      </w:pPr>
    </w:p>
    <w:p w14:paraId="0E0A47B6"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Šį vaistą laikykite vaikams nepastebimoje ir nepasiekiamoje vietoje.</w:t>
      </w:r>
    </w:p>
    <w:p w14:paraId="3B6DD0F5" w14:textId="7E8018E1" w:rsidR="004F7AA9" w:rsidRDefault="004F7AA9" w:rsidP="004F7AA9">
      <w:pPr>
        <w:widowControl w:val="0"/>
        <w:tabs>
          <w:tab w:val="clear" w:pos="567"/>
        </w:tabs>
        <w:spacing w:line="240" w:lineRule="auto"/>
        <w:rPr>
          <w:snapToGrid/>
          <w:szCs w:val="22"/>
          <w:lang w:val="lt-LT"/>
        </w:rPr>
      </w:pPr>
      <w:r>
        <w:rPr>
          <w:lang w:val="lt-LT"/>
        </w:rPr>
        <w:t xml:space="preserve">Laikyti ne aukštesnėje kaip </w:t>
      </w:r>
      <w:r w:rsidR="00790619" w:rsidRPr="00153901">
        <w:rPr>
          <w:lang w:val="lt-LT"/>
        </w:rPr>
        <w:t>25</w:t>
      </w:r>
      <w:r w:rsidR="00790619">
        <w:rPr>
          <w:lang w:val="lt-LT"/>
        </w:rPr>
        <w:t> </w:t>
      </w:r>
      <w:r w:rsidRPr="00153901">
        <w:rPr>
          <w:szCs w:val="22"/>
          <w:lang w:val="lt-LT"/>
        </w:rPr>
        <w:sym w:font="Symbol" w:char="F0B0"/>
      </w:r>
      <w:r w:rsidRPr="00153901">
        <w:rPr>
          <w:lang w:val="lt-LT"/>
        </w:rPr>
        <w:t>C temperatūroje</w:t>
      </w:r>
      <w:r>
        <w:rPr>
          <w:snapToGrid/>
          <w:szCs w:val="22"/>
          <w:lang w:val="lt-LT"/>
        </w:rPr>
        <w:t>.</w:t>
      </w:r>
    </w:p>
    <w:p w14:paraId="7EF6230D" w14:textId="77777777" w:rsidR="004F7AA9" w:rsidRPr="007777D9" w:rsidRDefault="004F7AA9" w:rsidP="004F7AA9">
      <w:pPr>
        <w:widowControl w:val="0"/>
        <w:tabs>
          <w:tab w:val="clear" w:pos="567"/>
        </w:tabs>
        <w:spacing w:line="240" w:lineRule="auto"/>
        <w:rPr>
          <w:snapToGrid/>
          <w:szCs w:val="22"/>
          <w:lang w:val="lt-LT"/>
        </w:rPr>
      </w:pPr>
      <w:r>
        <w:rPr>
          <w:snapToGrid/>
          <w:szCs w:val="22"/>
          <w:lang w:val="lt-LT"/>
        </w:rPr>
        <w:t>Laikyti gamintojo pakuotėje, kad vaistas būtų apsaugotas nuo šviesos.</w:t>
      </w:r>
    </w:p>
    <w:p w14:paraId="43AB9C5D" w14:textId="77777777" w:rsidR="004F7AA9" w:rsidRDefault="004F7AA9" w:rsidP="004F7AA9">
      <w:pPr>
        <w:widowControl w:val="0"/>
        <w:tabs>
          <w:tab w:val="clear" w:pos="567"/>
        </w:tabs>
        <w:spacing w:line="240" w:lineRule="auto"/>
        <w:rPr>
          <w:snapToGrid/>
          <w:szCs w:val="22"/>
          <w:lang w:val="lt-LT"/>
        </w:rPr>
      </w:pPr>
      <w:r>
        <w:rPr>
          <w:snapToGrid/>
          <w:szCs w:val="22"/>
          <w:lang w:val="lt-LT"/>
        </w:rPr>
        <w:t xml:space="preserve">Įrodyta, kad cheminiu ir fizikiniu požiūriu </w:t>
      </w:r>
      <w:r w:rsidRPr="007777D9">
        <w:rPr>
          <w:snapToGrid/>
          <w:szCs w:val="22"/>
          <w:lang w:val="lt-LT"/>
        </w:rPr>
        <w:t xml:space="preserve">2 °C–8 °C </w:t>
      </w:r>
      <w:r>
        <w:rPr>
          <w:snapToGrid/>
          <w:szCs w:val="22"/>
          <w:lang w:val="lt-LT"/>
        </w:rPr>
        <w:t>temperatūroje laikomas tirpalas išlieka stabilus 24 valandas. M</w:t>
      </w:r>
      <w:r w:rsidRPr="007777D9">
        <w:rPr>
          <w:snapToGrid/>
          <w:szCs w:val="22"/>
          <w:lang w:val="lt-LT"/>
        </w:rPr>
        <w:t>ikrobiologiniu požiūriu tirpalą reikia vartoti nedelsiant</w:t>
      </w:r>
      <w:r>
        <w:rPr>
          <w:snapToGrid/>
          <w:szCs w:val="22"/>
          <w:lang w:val="lt-LT"/>
        </w:rPr>
        <w:t>, nebent skiesta buvo taip, kad mikrobinis užteršimas nėra įmanomas</w:t>
      </w:r>
      <w:r w:rsidRPr="007777D9">
        <w:rPr>
          <w:snapToGrid/>
          <w:szCs w:val="22"/>
          <w:lang w:val="lt-LT"/>
        </w:rPr>
        <w:t xml:space="preserve">. Jeigu </w:t>
      </w:r>
      <w:r>
        <w:rPr>
          <w:snapToGrid/>
          <w:szCs w:val="22"/>
          <w:lang w:val="lt-LT"/>
        </w:rPr>
        <w:t>tirpalas</w:t>
      </w:r>
      <w:r w:rsidRPr="007777D9">
        <w:rPr>
          <w:snapToGrid/>
          <w:szCs w:val="22"/>
          <w:lang w:val="lt-LT"/>
        </w:rPr>
        <w:t xml:space="preserve"> iš karto nevartojamas, už laikymo sąlygas ir trukmę prieš vartojimą atsako vartotojas.</w:t>
      </w:r>
    </w:p>
    <w:p w14:paraId="299A725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Prieš vartojimą šaldytuve laikytam tirpalui reikia leisti sušilti iki kambario temperatūros.</w:t>
      </w:r>
    </w:p>
    <w:p w14:paraId="2520D27D" w14:textId="77777777" w:rsidR="004F7AA9" w:rsidRDefault="004F7AA9" w:rsidP="004F7AA9">
      <w:pPr>
        <w:widowControl w:val="0"/>
        <w:tabs>
          <w:tab w:val="clear" w:pos="567"/>
        </w:tabs>
        <w:spacing w:line="240" w:lineRule="auto"/>
        <w:rPr>
          <w:snapToGrid/>
          <w:szCs w:val="22"/>
          <w:lang w:val="lt-LT"/>
        </w:rPr>
      </w:pPr>
    </w:p>
    <w:p w14:paraId="7737D44E" w14:textId="77777777" w:rsidR="004F7AA9" w:rsidRPr="007777D9" w:rsidRDefault="004F7AA9" w:rsidP="004F7AA9">
      <w:pPr>
        <w:widowControl w:val="0"/>
        <w:tabs>
          <w:tab w:val="clear" w:pos="567"/>
        </w:tabs>
        <w:spacing w:line="240" w:lineRule="auto"/>
        <w:rPr>
          <w:snapToGrid/>
          <w:szCs w:val="22"/>
          <w:lang w:val="lt-LT"/>
        </w:rPr>
      </w:pPr>
      <w:r>
        <w:rPr>
          <w:snapToGrid/>
          <w:szCs w:val="22"/>
          <w:lang w:val="lt-LT"/>
        </w:rPr>
        <w:t xml:space="preserve">Ant dėžutės po „EXP“ </w:t>
      </w:r>
      <w:r w:rsidRPr="007777D9">
        <w:rPr>
          <w:snapToGrid/>
          <w:szCs w:val="22"/>
          <w:lang w:val="lt-LT"/>
        </w:rPr>
        <w:t>nurodytam tinkamumo laikui pasibaigus, šio vaisto vartoti negalima. Vaistas tinkamas vartoti iki paskutinės nurodyto mėnesio dienos.</w:t>
      </w:r>
    </w:p>
    <w:p w14:paraId="33D8BECE" w14:textId="77777777" w:rsidR="004F7AA9" w:rsidRPr="007777D9" w:rsidRDefault="004F7AA9" w:rsidP="004F7AA9">
      <w:pPr>
        <w:widowControl w:val="0"/>
        <w:tabs>
          <w:tab w:val="clear" w:pos="567"/>
        </w:tabs>
        <w:spacing w:line="240" w:lineRule="auto"/>
        <w:rPr>
          <w:snapToGrid/>
          <w:szCs w:val="22"/>
          <w:lang w:val="lt-LT"/>
        </w:rPr>
      </w:pPr>
    </w:p>
    <w:p w14:paraId="1D1CB217" w14:textId="77777777" w:rsidR="004F7AA9" w:rsidRPr="007777D9" w:rsidRDefault="004F7AA9" w:rsidP="004F7AA9">
      <w:pPr>
        <w:widowControl w:val="0"/>
        <w:tabs>
          <w:tab w:val="clear" w:pos="567"/>
        </w:tabs>
        <w:spacing w:line="240" w:lineRule="auto"/>
        <w:rPr>
          <w:snapToGrid/>
          <w:szCs w:val="22"/>
          <w:lang w:val="lt-LT"/>
        </w:rPr>
      </w:pPr>
      <w:r>
        <w:rPr>
          <w:snapToGrid/>
          <w:szCs w:val="22"/>
          <w:lang w:val="lt-LT"/>
        </w:rPr>
        <w:t>Pastebėjus, kad tirpale yra dalelių, šio vaisto vartoti negalima.</w:t>
      </w:r>
    </w:p>
    <w:p w14:paraId="70E8DA3E" w14:textId="77777777" w:rsidR="004F7AA9" w:rsidRPr="007777D9" w:rsidRDefault="004F7AA9" w:rsidP="004F7AA9">
      <w:pPr>
        <w:widowControl w:val="0"/>
        <w:tabs>
          <w:tab w:val="clear" w:pos="567"/>
        </w:tabs>
        <w:spacing w:line="240" w:lineRule="auto"/>
        <w:rPr>
          <w:snapToGrid/>
          <w:szCs w:val="22"/>
          <w:lang w:val="lt-LT"/>
        </w:rPr>
      </w:pPr>
    </w:p>
    <w:p w14:paraId="30097E13"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Vaistų negalima išmesti į kanalizaciją arba su buitinėmis atliekomis. Kaip išmesti nereikalingus vaistus, klauskite vaistininko. Šios priemonės padės apsaugoti aplinką.</w:t>
      </w:r>
    </w:p>
    <w:p w14:paraId="77367AFC" w14:textId="77777777" w:rsidR="004F7AA9" w:rsidRPr="007777D9" w:rsidRDefault="004F7AA9" w:rsidP="004F7AA9">
      <w:pPr>
        <w:widowControl w:val="0"/>
        <w:tabs>
          <w:tab w:val="clear" w:pos="567"/>
        </w:tabs>
        <w:spacing w:line="240" w:lineRule="auto"/>
        <w:rPr>
          <w:snapToGrid/>
          <w:szCs w:val="22"/>
          <w:lang w:val="lt-LT"/>
        </w:rPr>
      </w:pPr>
    </w:p>
    <w:p w14:paraId="00191ED2" w14:textId="77777777" w:rsidR="004F7AA9" w:rsidRPr="007777D9" w:rsidRDefault="004F7AA9" w:rsidP="004F7AA9">
      <w:pPr>
        <w:widowControl w:val="0"/>
        <w:tabs>
          <w:tab w:val="clear" w:pos="567"/>
        </w:tabs>
        <w:spacing w:line="240" w:lineRule="auto"/>
        <w:rPr>
          <w:snapToGrid/>
          <w:szCs w:val="22"/>
          <w:lang w:val="lt-LT"/>
        </w:rPr>
      </w:pPr>
    </w:p>
    <w:p w14:paraId="5EC008C6"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6.</w:t>
      </w:r>
      <w:r w:rsidRPr="007777D9">
        <w:rPr>
          <w:b/>
          <w:bCs/>
          <w:snapToGrid/>
          <w:szCs w:val="22"/>
          <w:lang w:val="lt-LT"/>
        </w:rPr>
        <w:tab/>
        <w:t>Pakuotės turinys ir kita informacija</w:t>
      </w:r>
    </w:p>
    <w:p w14:paraId="081D6D66" w14:textId="77777777" w:rsidR="004F7AA9" w:rsidRPr="007777D9" w:rsidRDefault="004F7AA9" w:rsidP="004F7AA9">
      <w:pPr>
        <w:widowControl w:val="0"/>
        <w:tabs>
          <w:tab w:val="clear" w:pos="567"/>
        </w:tabs>
        <w:spacing w:line="240" w:lineRule="auto"/>
        <w:rPr>
          <w:snapToGrid/>
          <w:szCs w:val="22"/>
          <w:lang w:val="lt-LT"/>
        </w:rPr>
      </w:pPr>
    </w:p>
    <w:p w14:paraId="6BFA9E85"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 xml:space="preserve">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sudėtis</w:t>
      </w:r>
    </w:p>
    <w:p w14:paraId="08A04490" w14:textId="77777777" w:rsidR="004F7AA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r>
      <w:r w:rsidRPr="0022449E">
        <w:rPr>
          <w:snapToGrid/>
          <w:szCs w:val="22"/>
          <w:lang w:val="lt-LT"/>
        </w:rPr>
        <w:t xml:space="preserve">Zoledronic </w:t>
      </w:r>
      <w:r>
        <w:rPr>
          <w:snapToGrid/>
          <w:szCs w:val="22"/>
          <w:lang w:val="lt-LT"/>
        </w:rPr>
        <w:t>a</w:t>
      </w:r>
      <w:r w:rsidRPr="0022449E">
        <w:rPr>
          <w:snapToGrid/>
          <w:szCs w:val="22"/>
          <w:lang w:val="lt-LT"/>
        </w:rPr>
        <w:t xml:space="preserve">cid </w:t>
      </w:r>
      <w:r>
        <w:rPr>
          <w:snapToGrid/>
          <w:szCs w:val="22"/>
          <w:lang w:val="lt-LT"/>
        </w:rPr>
        <w:t>Norameda</w:t>
      </w:r>
      <w:r w:rsidRPr="007777D9">
        <w:rPr>
          <w:snapToGrid/>
          <w:szCs w:val="22"/>
          <w:lang w:val="lt-LT"/>
        </w:rPr>
        <w:t xml:space="preserve"> veiklioji</w:t>
      </w:r>
      <w:r w:rsidRPr="005D71D6">
        <w:rPr>
          <w:lang w:val="lt-LT"/>
        </w:rPr>
        <w:t xml:space="preserve"> </w:t>
      </w:r>
      <w:r w:rsidRPr="007777D9">
        <w:rPr>
          <w:snapToGrid/>
          <w:szCs w:val="22"/>
          <w:lang w:val="lt-LT"/>
        </w:rPr>
        <w:t>medžiaga yra zoledrono rūgštis.</w:t>
      </w:r>
    </w:p>
    <w:p w14:paraId="0772FFB0" w14:textId="77777777" w:rsidR="004F7AA9" w:rsidRPr="00C46619" w:rsidRDefault="004F7AA9" w:rsidP="004F7AA9">
      <w:pPr>
        <w:widowControl w:val="0"/>
        <w:tabs>
          <w:tab w:val="clear" w:pos="567"/>
        </w:tabs>
        <w:spacing w:line="240" w:lineRule="auto"/>
        <w:ind w:left="567" w:hanging="567"/>
        <w:rPr>
          <w:snapToGrid/>
          <w:szCs w:val="22"/>
          <w:lang w:val="lt-LT"/>
        </w:rPr>
      </w:pPr>
      <w:r>
        <w:rPr>
          <w:snapToGrid/>
          <w:szCs w:val="22"/>
          <w:lang w:val="lt-LT"/>
        </w:rPr>
        <w:tab/>
      </w:r>
      <w:r w:rsidRPr="00C46619">
        <w:rPr>
          <w:snapToGrid/>
          <w:szCs w:val="22"/>
          <w:lang w:val="lt-LT"/>
        </w:rPr>
        <w:t xml:space="preserve">Viename 5 ml koncentrato flakone yra 4 mg zoledrono rūgšties (monohidrato </w:t>
      </w:r>
      <w:r>
        <w:rPr>
          <w:snapToGrid/>
          <w:szCs w:val="22"/>
          <w:lang w:val="lt-LT"/>
        </w:rPr>
        <w:t>pavidalu</w:t>
      </w:r>
      <w:r w:rsidRPr="00C46619">
        <w:rPr>
          <w:snapToGrid/>
          <w:szCs w:val="22"/>
          <w:lang w:val="lt-LT"/>
        </w:rPr>
        <w:t>).</w:t>
      </w:r>
    </w:p>
    <w:p w14:paraId="61C7BF54" w14:textId="77777777" w:rsidR="004F7AA9" w:rsidRPr="00C46619" w:rsidRDefault="004F7AA9" w:rsidP="004F7AA9">
      <w:pPr>
        <w:widowControl w:val="0"/>
        <w:tabs>
          <w:tab w:val="clear" w:pos="567"/>
        </w:tabs>
        <w:spacing w:line="240" w:lineRule="auto"/>
        <w:ind w:left="567" w:hanging="567"/>
        <w:rPr>
          <w:snapToGrid/>
          <w:szCs w:val="22"/>
          <w:lang w:val="lt-LT"/>
        </w:rPr>
      </w:pPr>
      <w:r>
        <w:rPr>
          <w:snapToGrid/>
          <w:szCs w:val="22"/>
          <w:lang w:val="lt-LT"/>
        </w:rPr>
        <w:tab/>
      </w:r>
      <w:r w:rsidRPr="00C46619">
        <w:rPr>
          <w:snapToGrid/>
          <w:szCs w:val="22"/>
          <w:lang w:val="lt-LT"/>
        </w:rPr>
        <w:t xml:space="preserve">Viename mililitre koncentrato yra 0,8 mg zoledrono rūgšties (monohidrato </w:t>
      </w:r>
      <w:r>
        <w:rPr>
          <w:snapToGrid/>
          <w:szCs w:val="22"/>
          <w:lang w:val="lt-LT"/>
        </w:rPr>
        <w:t>pavidalu</w:t>
      </w:r>
      <w:r w:rsidRPr="00C46619">
        <w:rPr>
          <w:snapToGrid/>
          <w:szCs w:val="22"/>
          <w:lang w:val="lt-LT"/>
        </w:rPr>
        <w:t>).</w:t>
      </w:r>
    </w:p>
    <w:p w14:paraId="4703E2CA"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 xml:space="preserve">Pagalbinės medžiagos yra manitolis, natrio citratas </w:t>
      </w:r>
      <w:r w:rsidRPr="007777D9">
        <w:rPr>
          <w:snapToGrid/>
          <w:color w:val="000000"/>
          <w:szCs w:val="22"/>
          <w:lang w:val="lt-LT"/>
        </w:rPr>
        <w:t xml:space="preserve">ir </w:t>
      </w:r>
      <w:r w:rsidRPr="007777D9">
        <w:rPr>
          <w:snapToGrid/>
          <w:szCs w:val="22"/>
          <w:lang w:val="lt-LT"/>
        </w:rPr>
        <w:t>injekcinis vanduo.</w:t>
      </w:r>
    </w:p>
    <w:p w14:paraId="7B204116" w14:textId="77777777" w:rsidR="004F7AA9" w:rsidRPr="007777D9" w:rsidRDefault="004F7AA9" w:rsidP="004F7AA9">
      <w:pPr>
        <w:widowControl w:val="0"/>
        <w:tabs>
          <w:tab w:val="clear" w:pos="567"/>
        </w:tabs>
        <w:spacing w:line="240" w:lineRule="auto"/>
        <w:rPr>
          <w:snapToGrid/>
          <w:szCs w:val="22"/>
          <w:lang w:val="lt-LT"/>
        </w:rPr>
      </w:pPr>
    </w:p>
    <w:p w14:paraId="1F6DE3CD"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 xml:space="preserve">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išvaizda ir kiekis pakuotėje</w:t>
      </w:r>
    </w:p>
    <w:p w14:paraId="55C8FE39"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yra skaidrus, bespalvis</w:t>
      </w:r>
      <w:r>
        <w:rPr>
          <w:snapToGrid/>
          <w:szCs w:val="22"/>
          <w:lang w:val="lt-LT"/>
        </w:rPr>
        <w:t xml:space="preserve"> koncentratas infuziniam tirpalui flakone</w:t>
      </w:r>
      <w:r w:rsidRPr="007777D9">
        <w:rPr>
          <w:snapToGrid/>
          <w:szCs w:val="22"/>
          <w:lang w:val="lt-LT"/>
        </w:rPr>
        <w:t xml:space="preserve">. </w:t>
      </w:r>
      <w:r>
        <w:rPr>
          <w:snapToGrid/>
          <w:szCs w:val="22"/>
          <w:lang w:val="lt-LT"/>
        </w:rPr>
        <w:t xml:space="preserve">Viename </w:t>
      </w:r>
      <w:r>
        <w:rPr>
          <w:snapToGrid/>
          <w:szCs w:val="22"/>
          <w:lang w:val="lt-LT"/>
        </w:rPr>
        <w:lastRenderedPageBreak/>
        <w:t>flakone yra 4 mg zoledrono rūgšties.</w:t>
      </w:r>
    </w:p>
    <w:p w14:paraId="1ACDA6E1" w14:textId="77777777" w:rsidR="004F7AA9" w:rsidRPr="007777D9" w:rsidRDefault="004F7AA9" w:rsidP="004F7AA9">
      <w:pPr>
        <w:widowControl w:val="0"/>
        <w:tabs>
          <w:tab w:val="clear" w:pos="567"/>
        </w:tabs>
        <w:spacing w:line="240" w:lineRule="auto"/>
        <w:rPr>
          <w:snapToGrid/>
          <w:szCs w:val="22"/>
          <w:lang w:val="lt-LT"/>
        </w:rPr>
      </w:pPr>
    </w:p>
    <w:p w14:paraId="5E87B4DE"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pakuotėje yra 1</w:t>
      </w:r>
      <w:r>
        <w:rPr>
          <w:snapToGrid/>
          <w:szCs w:val="22"/>
          <w:lang w:val="lt-LT"/>
        </w:rPr>
        <w:t> flakonas</w:t>
      </w:r>
      <w:r w:rsidRPr="007777D9">
        <w:rPr>
          <w:snapToGrid/>
          <w:szCs w:val="22"/>
          <w:lang w:val="lt-LT"/>
        </w:rPr>
        <w:t>.</w:t>
      </w:r>
    </w:p>
    <w:p w14:paraId="17328C28" w14:textId="77777777" w:rsidR="004F7AA9" w:rsidRPr="007777D9" w:rsidRDefault="004F7AA9" w:rsidP="004F7AA9">
      <w:pPr>
        <w:widowControl w:val="0"/>
        <w:tabs>
          <w:tab w:val="clear" w:pos="567"/>
        </w:tabs>
        <w:spacing w:line="240" w:lineRule="auto"/>
        <w:rPr>
          <w:snapToGrid/>
          <w:szCs w:val="22"/>
          <w:lang w:val="lt-LT"/>
        </w:rPr>
      </w:pPr>
    </w:p>
    <w:p w14:paraId="09379667" w14:textId="77777777" w:rsidR="004F7AA9" w:rsidRDefault="004F7AA9" w:rsidP="004F7AA9">
      <w:pPr>
        <w:widowControl w:val="0"/>
        <w:tabs>
          <w:tab w:val="clear" w:pos="567"/>
        </w:tabs>
        <w:spacing w:line="240" w:lineRule="auto"/>
        <w:rPr>
          <w:b/>
          <w:bCs/>
          <w:snapToGrid/>
          <w:szCs w:val="22"/>
          <w:lang w:val="lt-LT"/>
        </w:rPr>
      </w:pPr>
      <w:r w:rsidRPr="007777D9">
        <w:rPr>
          <w:b/>
          <w:bCs/>
          <w:snapToGrid/>
          <w:szCs w:val="22"/>
          <w:lang w:val="lt-LT"/>
        </w:rPr>
        <w:t xml:space="preserve">Registruotojas </w:t>
      </w:r>
      <w:r>
        <w:rPr>
          <w:b/>
          <w:bCs/>
          <w:snapToGrid/>
          <w:szCs w:val="22"/>
          <w:lang w:val="lt-LT"/>
        </w:rPr>
        <w:t>ir gamintojas</w:t>
      </w:r>
    </w:p>
    <w:p w14:paraId="3491A5EA" w14:textId="77777777" w:rsidR="004F7AA9" w:rsidRPr="00EF629C" w:rsidRDefault="004F7AA9" w:rsidP="004F7AA9">
      <w:pPr>
        <w:widowControl w:val="0"/>
        <w:tabs>
          <w:tab w:val="clear" w:pos="567"/>
        </w:tabs>
        <w:spacing w:line="240" w:lineRule="auto"/>
        <w:rPr>
          <w:i/>
          <w:snapToGrid/>
          <w:szCs w:val="22"/>
          <w:lang w:val="lt-LT" w:bidi="mni-IN"/>
        </w:rPr>
      </w:pPr>
      <w:r w:rsidRPr="00EF629C">
        <w:rPr>
          <w:i/>
          <w:snapToGrid/>
          <w:szCs w:val="22"/>
          <w:lang w:val="lt-LT" w:bidi="mni-IN"/>
        </w:rPr>
        <w:t>Registruotojas</w:t>
      </w:r>
    </w:p>
    <w:p w14:paraId="5296DA33" w14:textId="77777777" w:rsidR="004F7AA9" w:rsidRPr="005D71D6" w:rsidRDefault="004F7AA9" w:rsidP="004F7AA9">
      <w:pPr>
        <w:widowControl w:val="0"/>
        <w:tabs>
          <w:tab w:val="clear" w:pos="567"/>
        </w:tabs>
        <w:spacing w:line="240" w:lineRule="auto"/>
        <w:rPr>
          <w:snapToGrid/>
          <w:szCs w:val="22"/>
          <w:lang w:val="lt-LT" w:bidi="mni-IN"/>
        </w:rPr>
      </w:pPr>
      <w:r w:rsidRPr="005D71D6">
        <w:rPr>
          <w:snapToGrid/>
          <w:szCs w:val="22"/>
          <w:lang w:val="lt-LT" w:bidi="mni-IN"/>
        </w:rPr>
        <w:t>UAB Norameda</w:t>
      </w:r>
    </w:p>
    <w:p w14:paraId="003DA85A" w14:textId="77777777" w:rsidR="004F7AA9" w:rsidRPr="005D71D6" w:rsidRDefault="004F7AA9" w:rsidP="004F7AA9">
      <w:pPr>
        <w:widowControl w:val="0"/>
        <w:tabs>
          <w:tab w:val="clear" w:pos="567"/>
        </w:tabs>
        <w:spacing w:line="240" w:lineRule="auto"/>
        <w:rPr>
          <w:snapToGrid/>
          <w:szCs w:val="22"/>
          <w:lang w:val="lt-LT" w:bidi="mni-IN"/>
        </w:rPr>
      </w:pPr>
      <w:r w:rsidRPr="005D71D6">
        <w:rPr>
          <w:snapToGrid/>
          <w:szCs w:val="22"/>
          <w:lang w:val="lt-LT" w:bidi="mni-IN"/>
        </w:rPr>
        <w:t>Meistrų 8A, Vilnius LT-02189</w:t>
      </w:r>
    </w:p>
    <w:p w14:paraId="587045A8" w14:textId="77777777" w:rsidR="004F7AA9" w:rsidRDefault="004F7AA9" w:rsidP="004F7AA9">
      <w:pPr>
        <w:widowControl w:val="0"/>
        <w:tabs>
          <w:tab w:val="clear" w:pos="567"/>
        </w:tabs>
        <w:spacing w:line="240" w:lineRule="auto"/>
        <w:rPr>
          <w:snapToGrid/>
          <w:szCs w:val="22"/>
          <w:lang w:val="lt-LT" w:bidi="mni-IN"/>
        </w:rPr>
      </w:pPr>
      <w:r w:rsidRPr="005D71D6">
        <w:rPr>
          <w:snapToGrid/>
          <w:szCs w:val="22"/>
          <w:lang w:val="lt-LT" w:bidi="mni-IN"/>
        </w:rPr>
        <w:t>Lietuva</w:t>
      </w:r>
    </w:p>
    <w:p w14:paraId="662D2A61" w14:textId="77777777" w:rsidR="004F7AA9" w:rsidRDefault="004F7AA9" w:rsidP="004F7AA9">
      <w:pPr>
        <w:widowControl w:val="0"/>
        <w:tabs>
          <w:tab w:val="clear" w:pos="567"/>
        </w:tabs>
        <w:spacing w:line="240" w:lineRule="auto"/>
        <w:rPr>
          <w:snapToGrid/>
          <w:szCs w:val="22"/>
          <w:lang w:val="lt-LT" w:bidi="mni-IN"/>
        </w:rPr>
      </w:pPr>
    </w:p>
    <w:p w14:paraId="6DBFA620" w14:textId="77777777" w:rsidR="004F7AA9" w:rsidRPr="00EF629C" w:rsidRDefault="004F7AA9" w:rsidP="004F7AA9">
      <w:pPr>
        <w:widowControl w:val="0"/>
        <w:tabs>
          <w:tab w:val="clear" w:pos="567"/>
        </w:tabs>
        <w:spacing w:line="240" w:lineRule="auto"/>
        <w:rPr>
          <w:i/>
          <w:snapToGrid/>
          <w:szCs w:val="22"/>
          <w:lang w:val="lt-LT" w:bidi="mni-IN"/>
        </w:rPr>
      </w:pPr>
      <w:r w:rsidRPr="00EF629C">
        <w:rPr>
          <w:i/>
          <w:snapToGrid/>
          <w:szCs w:val="22"/>
          <w:lang w:val="lt-LT" w:bidi="mni-IN"/>
        </w:rPr>
        <w:t>Gamintojas</w:t>
      </w:r>
    </w:p>
    <w:p w14:paraId="6C550020" w14:textId="77777777" w:rsidR="004F7AA9" w:rsidRPr="007777D9" w:rsidRDefault="004F7AA9" w:rsidP="004F7AA9">
      <w:pPr>
        <w:tabs>
          <w:tab w:val="clear" w:pos="567"/>
        </w:tabs>
        <w:spacing w:line="240" w:lineRule="auto"/>
        <w:rPr>
          <w:rFonts w:eastAsia="SimSun"/>
          <w:szCs w:val="22"/>
          <w:lang w:val="lt-LT" w:eastAsia="zh-CN"/>
        </w:rPr>
      </w:pPr>
      <w:r w:rsidRPr="007777D9">
        <w:rPr>
          <w:rFonts w:eastAsia="SimSun"/>
          <w:szCs w:val="22"/>
          <w:lang w:val="lt-LT" w:eastAsia="zh-CN"/>
        </w:rPr>
        <w:t>SIA PHARMIDEA</w:t>
      </w:r>
    </w:p>
    <w:p w14:paraId="13F2B80D" w14:textId="77777777" w:rsidR="004F7AA9" w:rsidRDefault="004F7AA9" w:rsidP="004F7AA9">
      <w:pPr>
        <w:tabs>
          <w:tab w:val="clear" w:pos="567"/>
        </w:tabs>
        <w:spacing w:line="240" w:lineRule="auto"/>
        <w:rPr>
          <w:rFonts w:eastAsia="SimSun"/>
          <w:szCs w:val="22"/>
          <w:lang w:val="lt-LT" w:eastAsia="zh-CN"/>
        </w:rPr>
      </w:pPr>
      <w:r w:rsidRPr="007777D9">
        <w:rPr>
          <w:rFonts w:eastAsia="SimSun"/>
          <w:szCs w:val="22"/>
          <w:lang w:val="lt-LT" w:eastAsia="zh-CN"/>
        </w:rPr>
        <w:t>Rūpnīcu iela 4</w:t>
      </w:r>
    </w:p>
    <w:p w14:paraId="618B77E7" w14:textId="77777777" w:rsidR="004F7AA9" w:rsidRPr="007777D9" w:rsidRDefault="004F7AA9" w:rsidP="004F7AA9">
      <w:pPr>
        <w:tabs>
          <w:tab w:val="clear" w:pos="567"/>
        </w:tabs>
        <w:spacing w:line="240" w:lineRule="auto"/>
        <w:rPr>
          <w:rFonts w:eastAsia="SimSun"/>
          <w:szCs w:val="22"/>
          <w:lang w:val="lt-LT" w:eastAsia="zh-CN"/>
        </w:rPr>
      </w:pPr>
      <w:r w:rsidRPr="007777D9">
        <w:rPr>
          <w:rFonts w:eastAsia="SimSun"/>
          <w:szCs w:val="22"/>
          <w:lang w:val="lt-LT" w:eastAsia="zh-CN"/>
        </w:rPr>
        <w:t>Olaine, Olaines nov., LV-2114</w:t>
      </w:r>
    </w:p>
    <w:p w14:paraId="3E83C710" w14:textId="77777777" w:rsidR="004F7AA9" w:rsidRPr="007777D9" w:rsidRDefault="004F7AA9" w:rsidP="004F7AA9">
      <w:pPr>
        <w:tabs>
          <w:tab w:val="clear" w:pos="567"/>
        </w:tabs>
        <w:spacing w:line="240" w:lineRule="auto"/>
        <w:rPr>
          <w:rFonts w:eastAsia="SimSun"/>
          <w:szCs w:val="22"/>
          <w:lang w:val="lt-LT" w:eastAsia="zh-CN"/>
        </w:rPr>
      </w:pPr>
      <w:r w:rsidRPr="007777D9">
        <w:rPr>
          <w:rFonts w:eastAsia="SimSun"/>
          <w:szCs w:val="22"/>
          <w:lang w:val="lt-LT" w:eastAsia="zh-CN"/>
        </w:rPr>
        <w:t>Latvija</w:t>
      </w:r>
    </w:p>
    <w:p w14:paraId="60788B19" w14:textId="77777777" w:rsidR="004F7AA9" w:rsidRDefault="004F7AA9" w:rsidP="004F7AA9">
      <w:pPr>
        <w:widowControl w:val="0"/>
        <w:tabs>
          <w:tab w:val="clear" w:pos="567"/>
        </w:tabs>
        <w:spacing w:line="240" w:lineRule="auto"/>
        <w:rPr>
          <w:snapToGrid/>
          <w:szCs w:val="22"/>
          <w:lang w:val="lt-LT"/>
        </w:rPr>
      </w:pPr>
    </w:p>
    <w:p w14:paraId="0B7D3991" w14:textId="13475C03" w:rsidR="004F7AA9" w:rsidRDefault="004F7AA9" w:rsidP="004F7AA9">
      <w:pPr>
        <w:widowControl w:val="0"/>
        <w:tabs>
          <w:tab w:val="clear" w:pos="567"/>
        </w:tabs>
        <w:spacing w:line="240" w:lineRule="auto"/>
        <w:rPr>
          <w:snapToGrid/>
          <w:szCs w:val="22"/>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w:t>
      </w:r>
      <w:r w:rsidR="001873B5" w:rsidRPr="001873B5">
        <w:rPr>
          <w:b/>
          <w:lang w:val="lt-LT"/>
        </w:rPr>
        <w:t xml:space="preserve">Europos ekonominės erdvės </w:t>
      </w:r>
      <w:r w:rsidRPr="00B34FA1">
        <w:rPr>
          <w:b/>
          <w:lang w:val="lt-LT"/>
        </w:rPr>
        <w:t xml:space="preserve">valstybėse narėse </w:t>
      </w:r>
      <w:r>
        <w:rPr>
          <w:b/>
          <w:lang w:val="lt-LT"/>
        </w:rPr>
        <w:t xml:space="preserve">registruotas </w:t>
      </w:r>
      <w:r w:rsidRPr="00B34FA1">
        <w:rPr>
          <w:b/>
          <w:lang w:val="lt-LT"/>
        </w:rPr>
        <w:t>tokiais pavadinimais</w:t>
      </w:r>
      <w:r>
        <w:rPr>
          <w:b/>
          <w:lang w:val="lt-LT"/>
        </w:rPr>
        <w:t>:</w:t>
      </w:r>
    </w:p>
    <w:p w14:paraId="5E163056" w14:textId="5B38370D" w:rsidR="004F7AA9" w:rsidRPr="006C67D0" w:rsidRDefault="004F7AA9" w:rsidP="004F7AA9">
      <w:pPr>
        <w:widowControl w:val="0"/>
        <w:tabs>
          <w:tab w:val="clear" w:pos="567"/>
        </w:tabs>
        <w:spacing w:line="240" w:lineRule="auto"/>
        <w:rPr>
          <w:snapToGrid/>
          <w:szCs w:val="22"/>
          <w:lang w:val="lt-LT"/>
        </w:rPr>
      </w:pPr>
      <w:r>
        <w:rPr>
          <w:snapToGrid/>
          <w:szCs w:val="22"/>
          <w:lang w:val="lt-LT"/>
        </w:rPr>
        <w:t>Latvija</w:t>
      </w:r>
      <w:r w:rsidRPr="006C67D0">
        <w:rPr>
          <w:snapToGrid/>
          <w:szCs w:val="22"/>
          <w:lang w:val="lt-LT"/>
        </w:rPr>
        <w:t xml:space="preserve">: Zoledronic Acid PharmIdea </w:t>
      </w:r>
      <w:r w:rsidR="00BA1B40" w:rsidRPr="006C67D0">
        <w:rPr>
          <w:snapToGrid/>
          <w:szCs w:val="22"/>
          <w:lang w:val="lt-LT"/>
        </w:rPr>
        <w:t>4</w:t>
      </w:r>
      <w:r w:rsidR="00BA1B40">
        <w:rPr>
          <w:snapToGrid/>
          <w:szCs w:val="22"/>
          <w:lang w:val="lt-LT"/>
        </w:rPr>
        <w:t> </w:t>
      </w:r>
      <w:r w:rsidRPr="006C67D0">
        <w:rPr>
          <w:snapToGrid/>
          <w:szCs w:val="22"/>
          <w:lang w:val="lt-LT"/>
        </w:rPr>
        <w:t>mg/</w:t>
      </w:r>
      <w:r w:rsidR="00BA1B40" w:rsidRPr="006C67D0">
        <w:rPr>
          <w:snapToGrid/>
          <w:szCs w:val="22"/>
          <w:lang w:val="lt-LT"/>
        </w:rPr>
        <w:t>5</w:t>
      </w:r>
      <w:r w:rsidR="00BA1B40">
        <w:rPr>
          <w:snapToGrid/>
          <w:szCs w:val="22"/>
          <w:lang w:val="lt-LT"/>
        </w:rPr>
        <w:t> </w:t>
      </w:r>
      <w:r w:rsidRPr="006C67D0">
        <w:rPr>
          <w:snapToGrid/>
          <w:szCs w:val="22"/>
          <w:lang w:val="lt-LT"/>
        </w:rPr>
        <w:t>ml koncentrāts infūziju šķīduma pagatavošanai</w:t>
      </w:r>
    </w:p>
    <w:p w14:paraId="14494A15" w14:textId="4A7D3180" w:rsidR="004F7AA9" w:rsidRPr="006C67D0" w:rsidRDefault="004F7AA9" w:rsidP="004F7AA9">
      <w:pPr>
        <w:widowControl w:val="0"/>
        <w:tabs>
          <w:tab w:val="clear" w:pos="567"/>
        </w:tabs>
        <w:spacing w:line="240" w:lineRule="auto"/>
        <w:rPr>
          <w:snapToGrid/>
          <w:szCs w:val="22"/>
          <w:lang w:val="lt-LT"/>
        </w:rPr>
      </w:pPr>
      <w:r>
        <w:rPr>
          <w:snapToGrid/>
          <w:szCs w:val="22"/>
          <w:lang w:val="lt-LT"/>
        </w:rPr>
        <w:t>Lietuva: Zoledronic a</w:t>
      </w:r>
      <w:r w:rsidRPr="006C67D0">
        <w:rPr>
          <w:snapToGrid/>
          <w:szCs w:val="22"/>
          <w:lang w:val="lt-LT"/>
        </w:rPr>
        <w:t xml:space="preserve">cid Norameda </w:t>
      </w:r>
      <w:r w:rsidR="00BA1B40" w:rsidRPr="006C67D0">
        <w:rPr>
          <w:snapToGrid/>
          <w:szCs w:val="22"/>
          <w:lang w:val="lt-LT"/>
        </w:rPr>
        <w:t>4</w:t>
      </w:r>
      <w:r w:rsidR="00BA1B40">
        <w:rPr>
          <w:snapToGrid/>
          <w:szCs w:val="22"/>
          <w:lang w:val="lt-LT"/>
        </w:rPr>
        <w:t> </w:t>
      </w:r>
      <w:r w:rsidRPr="006C67D0">
        <w:rPr>
          <w:snapToGrid/>
          <w:szCs w:val="22"/>
          <w:lang w:val="lt-LT"/>
        </w:rPr>
        <w:t>mg/</w:t>
      </w:r>
      <w:r w:rsidR="00BA1B40" w:rsidRPr="006C67D0">
        <w:rPr>
          <w:snapToGrid/>
          <w:szCs w:val="22"/>
          <w:lang w:val="lt-LT"/>
        </w:rPr>
        <w:t>5</w:t>
      </w:r>
      <w:r w:rsidR="00BA1B40">
        <w:rPr>
          <w:snapToGrid/>
          <w:szCs w:val="22"/>
          <w:lang w:val="lt-LT"/>
        </w:rPr>
        <w:t> </w:t>
      </w:r>
      <w:r w:rsidRPr="006C67D0">
        <w:rPr>
          <w:snapToGrid/>
          <w:szCs w:val="22"/>
          <w:lang w:val="lt-LT"/>
        </w:rPr>
        <w:t>ml koncentratas infuziniam tirpalui</w:t>
      </w:r>
    </w:p>
    <w:p w14:paraId="5AABBE40" w14:textId="77777777" w:rsidR="004F7AA9" w:rsidRDefault="004F7AA9" w:rsidP="004F7AA9">
      <w:pPr>
        <w:widowControl w:val="0"/>
        <w:tabs>
          <w:tab w:val="clear" w:pos="567"/>
        </w:tabs>
        <w:spacing w:line="240" w:lineRule="auto"/>
        <w:rPr>
          <w:snapToGrid/>
          <w:szCs w:val="22"/>
          <w:lang w:val="lt-LT"/>
        </w:rPr>
      </w:pPr>
      <w:r>
        <w:rPr>
          <w:snapToGrid/>
          <w:szCs w:val="22"/>
          <w:lang w:val="lt-LT"/>
        </w:rPr>
        <w:t>Estija</w:t>
      </w:r>
      <w:r w:rsidRPr="006C67D0">
        <w:rPr>
          <w:snapToGrid/>
          <w:szCs w:val="22"/>
          <w:lang w:val="lt-LT"/>
        </w:rPr>
        <w:t>: Zoledronic Acid Norameda</w:t>
      </w:r>
    </w:p>
    <w:p w14:paraId="09AE870D" w14:textId="77777777" w:rsidR="004F7AA9" w:rsidRPr="007777D9" w:rsidRDefault="004F7AA9" w:rsidP="004F7AA9">
      <w:pPr>
        <w:widowControl w:val="0"/>
        <w:tabs>
          <w:tab w:val="clear" w:pos="567"/>
        </w:tabs>
        <w:spacing w:line="240" w:lineRule="auto"/>
        <w:rPr>
          <w:snapToGrid/>
          <w:szCs w:val="22"/>
          <w:lang w:val="lt-LT"/>
        </w:rPr>
      </w:pPr>
    </w:p>
    <w:p w14:paraId="077FC37C" w14:textId="4BFFEEEA" w:rsidR="004F7AA9" w:rsidRPr="00EF2F9F" w:rsidRDefault="004F7AA9" w:rsidP="004F7AA9">
      <w:pPr>
        <w:widowControl w:val="0"/>
        <w:tabs>
          <w:tab w:val="clear" w:pos="567"/>
        </w:tabs>
        <w:spacing w:line="240" w:lineRule="auto"/>
        <w:rPr>
          <w:b/>
          <w:snapToGrid/>
          <w:szCs w:val="22"/>
          <w:lang w:val="lt-LT"/>
        </w:rPr>
      </w:pPr>
      <w:r w:rsidRPr="007777D9">
        <w:rPr>
          <w:b/>
          <w:bCs/>
          <w:snapToGrid/>
          <w:szCs w:val="22"/>
          <w:lang w:val="lt-LT"/>
        </w:rPr>
        <w:t xml:space="preserve">Šis pakuotės lapelis paskutinį kartą peržiūrėtas </w:t>
      </w:r>
      <w:r w:rsidR="003E668D">
        <w:rPr>
          <w:b/>
          <w:lang w:val="lt-LT"/>
        </w:rPr>
        <w:t>2022-01-17.</w:t>
      </w:r>
    </w:p>
    <w:p w14:paraId="4B7B23A5" w14:textId="77777777" w:rsidR="004F7AA9" w:rsidRPr="007777D9" w:rsidRDefault="004F7AA9" w:rsidP="004F7AA9">
      <w:pPr>
        <w:widowControl w:val="0"/>
        <w:tabs>
          <w:tab w:val="clear" w:pos="567"/>
        </w:tabs>
        <w:spacing w:line="240" w:lineRule="auto"/>
        <w:rPr>
          <w:snapToGrid/>
          <w:szCs w:val="22"/>
          <w:lang w:val="lt-LT"/>
        </w:rPr>
      </w:pPr>
    </w:p>
    <w:p w14:paraId="4E13423D" w14:textId="77777777" w:rsidR="004F7AA9" w:rsidRPr="007777D9" w:rsidRDefault="004F7AA9" w:rsidP="004F7AA9">
      <w:pPr>
        <w:tabs>
          <w:tab w:val="clear" w:pos="567"/>
        </w:tabs>
        <w:suppressAutoHyphens/>
        <w:spacing w:line="240" w:lineRule="auto"/>
        <w:rPr>
          <w:snapToGrid/>
          <w:szCs w:val="22"/>
          <w:lang w:val="lt-LT" w:eastAsia="ar-SA"/>
        </w:rPr>
      </w:pPr>
      <w:r w:rsidRPr="007777D9">
        <w:rPr>
          <w:snapToGrid/>
          <w:szCs w:val="22"/>
          <w:lang w:val="lt-LT" w:eastAsia="ar-SA"/>
        </w:rPr>
        <w:t xml:space="preserve">Išsami informacija apie šį vaistą pateikiama Valstybinės vaistų kontrolės tarnybos prie Lietuvos Respublikos sveikatos apsaugos ministerijos tinklalapyje </w:t>
      </w:r>
      <w:r w:rsidRPr="007777D9">
        <w:rPr>
          <w:snapToGrid/>
          <w:color w:val="0000FF"/>
          <w:szCs w:val="22"/>
          <w:u w:val="single"/>
          <w:lang w:val="lt-LT" w:eastAsia="ar-SA"/>
        </w:rPr>
        <w:t>http://www.vvkt.lt/</w:t>
      </w:r>
      <w:r w:rsidRPr="007777D9">
        <w:rPr>
          <w:snapToGrid/>
          <w:szCs w:val="22"/>
          <w:lang w:val="lt-LT" w:eastAsia="ar-SA"/>
        </w:rPr>
        <w:t>.</w:t>
      </w:r>
    </w:p>
    <w:p w14:paraId="53E0FB12"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w:t>
      </w:r>
    </w:p>
    <w:p w14:paraId="790CC45E" w14:textId="77777777" w:rsidR="004F7AA9" w:rsidRPr="007777D9" w:rsidRDefault="004F7AA9" w:rsidP="004F7AA9">
      <w:pPr>
        <w:widowControl w:val="0"/>
        <w:tabs>
          <w:tab w:val="clear" w:pos="567"/>
        </w:tabs>
        <w:spacing w:line="240" w:lineRule="auto"/>
        <w:rPr>
          <w:b/>
          <w:snapToGrid/>
          <w:szCs w:val="22"/>
          <w:lang w:val="lt-LT"/>
        </w:rPr>
      </w:pPr>
    </w:p>
    <w:p w14:paraId="79D63A63"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 xml:space="preserve">Toliau pateikta informacija skirta tik sveikatos priežiūros specialistams. </w:t>
      </w:r>
    </w:p>
    <w:p w14:paraId="2A8AEC11" w14:textId="77777777" w:rsidR="004F7AA9" w:rsidRPr="007777D9" w:rsidRDefault="004F7AA9" w:rsidP="004F7AA9">
      <w:pPr>
        <w:widowControl w:val="0"/>
        <w:tabs>
          <w:tab w:val="clear" w:pos="567"/>
        </w:tabs>
        <w:spacing w:line="240" w:lineRule="auto"/>
        <w:rPr>
          <w:snapToGrid/>
          <w:szCs w:val="22"/>
          <w:lang w:val="lt-LT"/>
        </w:rPr>
      </w:pPr>
    </w:p>
    <w:p w14:paraId="2E8F04A5"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 xml:space="preserve">Kaip paruošti ir leisti Zoledronic </w:t>
      </w:r>
      <w:r>
        <w:rPr>
          <w:b/>
          <w:snapToGrid/>
          <w:szCs w:val="22"/>
          <w:lang w:val="lt-LT"/>
        </w:rPr>
        <w:t>acid</w:t>
      </w:r>
      <w:r w:rsidRPr="007777D9">
        <w:rPr>
          <w:b/>
          <w:snapToGrid/>
          <w:szCs w:val="22"/>
          <w:lang w:val="lt-LT"/>
        </w:rPr>
        <w:t xml:space="preserve"> </w:t>
      </w:r>
      <w:r>
        <w:rPr>
          <w:b/>
          <w:snapToGrid/>
          <w:szCs w:val="22"/>
          <w:lang w:val="lt-LT"/>
        </w:rPr>
        <w:t>Norameda</w:t>
      </w:r>
      <w:r w:rsidRPr="007777D9">
        <w:rPr>
          <w:b/>
          <w:snapToGrid/>
          <w:szCs w:val="22"/>
          <w:lang w:val="lt-LT"/>
        </w:rPr>
        <w:t xml:space="preserve"> </w:t>
      </w:r>
    </w:p>
    <w:p w14:paraId="3FB1F7D2"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Infuzi</w:t>
      </w:r>
      <w:r>
        <w:rPr>
          <w:snapToGrid/>
          <w:szCs w:val="22"/>
          <w:lang w:val="lt-LT"/>
        </w:rPr>
        <w:t>niam</w:t>
      </w:r>
      <w:r w:rsidRPr="007777D9">
        <w:rPr>
          <w:snapToGrid/>
          <w:szCs w:val="22"/>
          <w:lang w:val="lt-LT"/>
        </w:rPr>
        <w:t xml:space="preserve"> tirpalui, kurio sudėtyje būtų 4 mg zoledrono rūgšties, paruošti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(5 ml) koncentratą reikia skiesti 100 ml infuzinio tirpalo</w:t>
      </w:r>
      <w:r>
        <w:rPr>
          <w:snapToGrid/>
          <w:szCs w:val="22"/>
          <w:lang w:val="lt-LT"/>
        </w:rPr>
        <w:t>,</w:t>
      </w:r>
      <w:r w:rsidRPr="007777D9">
        <w:rPr>
          <w:snapToGrid/>
          <w:szCs w:val="22"/>
          <w:lang w:val="lt-LT"/>
        </w:rPr>
        <w:t xml:space="preserve"> kuri</w:t>
      </w:r>
      <w:r>
        <w:rPr>
          <w:snapToGrid/>
          <w:szCs w:val="22"/>
          <w:lang w:val="lt-LT"/>
        </w:rPr>
        <w:t>o</w:t>
      </w:r>
      <w:r w:rsidRPr="007777D9">
        <w:rPr>
          <w:snapToGrid/>
          <w:szCs w:val="22"/>
          <w:lang w:val="lt-LT"/>
        </w:rPr>
        <w:t xml:space="preserve"> sudėtyje </w:t>
      </w:r>
      <w:r>
        <w:rPr>
          <w:snapToGrid/>
          <w:szCs w:val="22"/>
          <w:lang w:val="lt-LT"/>
        </w:rPr>
        <w:t>nėra</w:t>
      </w:r>
      <w:r w:rsidRPr="007777D9">
        <w:rPr>
          <w:snapToGrid/>
          <w:szCs w:val="22"/>
          <w:lang w:val="lt-LT"/>
        </w:rPr>
        <w:t xml:space="preserve"> kalcio ar kitų dvivalenčių katijonų. Jeigu reikia mažesnės Zoledronic </w:t>
      </w:r>
      <w:r>
        <w:rPr>
          <w:snapToGrid/>
          <w:szCs w:val="22"/>
          <w:lang w:val="lt-LT"/>
        </w:rPr>
        <w:t>acid</w:t>
      </w:r>
      <w:r w:rsidRPr="007777D9">
        <w:rPr>
          <w:snapToGrid/>
          <w:szCs w:val="22"/>
          <w:lang w:val="lt-LT"/>
        </w:rPr>
        <w:t xml:space="preserve">  dozės, pirmiausia </w:t>
      </w:r>
      <w:r>
        <w:rPr>
          <w:snapToGrid/>
          <w:szCs w:val="22"/>
          <w:lang w:val="lt-LT"/>
        </w:rPr>
        <w:t xml:space="preserve">reikia </w:t>
      </w:r>
      <w:r w:rsidRPr="007777D9">
        <w:rPr>
          <w:snapToGrid/>
          <w:szCs w:val="22"/>
          <w:lang w:val="lt-LT"/>
        </w:rPr>
        <w:t xml:space="preserve">pritraukti reikiamą tirpalo tūrį, kaip nurodyta </w:t>
      </w:r>
      <w:r>
        <w:rPr>
          <w:snapToGrid/>
          <w:szCs w:val="22"/>
          <w:lang w:val="lt-LT"/>
        </w:rPr>
        <w:t>toliau</w:t>
      </w:r>
      <w:r w:rsidRPr="007777D9">
        <w:rPr>
          <w:snapToGrid/>
          <w:szCs w:val="22"/>
          <w:lang w:val="lt-LT"/>
        </w:rPr>
        <w:t xml:space="preserve">, ir po to jį toliau skiesti 100 ml infuzinio tirpalo. </w:t>
      </w:r>
      <w:r w:rsidRPr="0096305E">
        <w:rPr>
          <w:snapToGrid/>
          <w:szCs w:val="22"/>
          <w:lang w:val="lt-LT"/>
        </w:rPr>
        <w:t xml:space="preserve">Kad būtų išvengta galimo nesuderinamumo, Zoledronic </w:t>
      </w:r>
      <w:r>
        <w:rPr>
          <w:snapToGrid/>
          <w:szCs w:val="22"/>
          <w:lang w:val="lt-LT"/>
        </w:rPr>
        <w:t>acid</w:t>
      </w:r>
      <w:r w:rsidRPr="0096305E">
        <w:rPr>
          <w:snapToGrid/>
          <w:szCs w:val="22"/>
          <w:lang w:val="lt-LT"/>
        </w:rPr>
        <w:t xml:space="preserve"> </w:t>
      </w:r>
      <w:r>
        <w:rPr>
          <w:snapToGrid/>
          <w:szCs w:val="22"/>
          <w:lang w:val="lt-LT"/>
        </w:rPr>
        <w:t>Norameda</w:t>
      </w:r>
      <w:r w:rsidRPr="0096305E">
        <w:rPr>
          <w:snapToGrid/>
          <w:szCs w:val="22"/>
          <w:lang w:val="lt-LT"/>
        </w:rPr>
        <w:t xml:space="preserve"> koncentratą reikia skiesti </w:t>
      </w:r>
      <w:r>
        <w:rPr>
          <w:snapToGrid/>
          <w:szCs w:val="22"/>
          <w:lang w:val="lt-LT"/>
        </w:rPr>
        <w:t xml:space="preserve">arba </w:t>
      </w:r>
      <w:r w:rsidRPr="0096305E">
        <w:rPr>
          <w:snapToGrid/>
          <w:szCs w:val="22"/>
          <w:lang w:val="lt-LT"/>
        </w:rPr>
        <w:t>0,9% m/</w:t>
      </w:r>
      <w:r>
        <w:rPr>
          <w:snapToGrid/>
          <w:szCs w:val="22"/>
          <w:lang w:val="lt-LT"/>
        </w:rPr>
        <w:t>V</w:t>
      </w:r>
      <w:r w:rsidRPr="0096305E">
        <w:rPr>
          <w:snapToGrid/>
          <w:szCs w:val="22"/>
          <w:lang w:val="lt-LT"/>
        </w:rPr>
        <w:t xml:space="preserve"> natrio chlorido tirpalu</w:t>
      </w:r>
      <w:r>
        <w:rPr>
          <w:snapToGrid/>
          <w:szCs w:val="22"/>
          <w:lang w:val="lt-LT"/>
        </w:rPr>
        <w:t>,</w:t>
      </w:r>
      <w:r w:rsidRPr="0096305E">
        <w:rPr>
          <w:snapToGrid/>
          <w:szCs w:val="22"/>
          <w:lang w:val="lt-LT"/>
        </w:rPr>
        <w:t xml:space="preserve"> arba 5% m/</w:t>
      </w:r>
      <w:r>
        <w:rPr>
          <w:snapToGrid/>
          <w:szCs w:val="22"/>
          <w:lang w:val="lt-LT"/>
        </w:rPr>
        <w:t xml:space="preserve">V </w:t>
      </w:r>
      <w:r w:rsidRPr="0096305E">
        <w:rPr>
          <w:snapToGrid/>
          <w:szCs w:val="22"/>
          <w:lang w:val="lt-LT"/>
        </w:rPr>
        <w:t>gliukozės tirpalu</w:t>
      </w:r>
      <w:r w:rsidRPr="007777D9">
        <w:rPr>
          <w:snapToGrid/>
          <w:szCs w:val="22"/>
          <w:lang w:val="lt-LT"/>
        </w:rPr>
        <w:t>.</w:t>
      </w:r>
    </w:p>
    <w:p w14:paraId="297D10E0" w14:textId="77777777" w:rsidR="004F7AA9" w:rsidRPr="007777D9" w:rsidRDefault="004F7AA9" w:rsidP="004F7AA9">
      <w:pPr>
        <w:widowControl w:val="0"/>
        <w:tabs>
          <w:tab w:val="clear" w:pos="567"/>
        </w:tabs>
        <w:spacing w:line="240" w:lineRule="auto"/>
        <w:rPr>
          <w:snapToGrid/>
          <w:szCs w:val="22"/>
          <w:lang w:val="lt-LT"/>
        </w:rPr>
      </w:pPr>
    </w:p>
    <w:p w14:paraId="3DFD3632"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 xml:space="preserve">Zoledronic </w:t>
      </w:r>
      <w:r>
        <w:rPr>
          <w:b/>
          <w:snapToGrid/>
          <w:szCs w:val="22"/>
          <w:lang w:val="lt-LT"/>
        </w:rPr>
        <w:t>acid</w:t>
      </w:r>
      <w:r w:rsidRPr="007777D9">
        <w:rPr>
          <w:b/>
          <w:snapToGrid/>
          <w:szCs w:val="22"/>
          <w:lang w:val="lt-LT"/>
        </w:rPr>
        <w:t xml:space="preserve"> </w:t>
      </w:r>
      <w:r>
        <w:rPr>
          <w:b/>
          <w:snapToGrid/>
          <w:szCs w:val="22"/>
          <w:lang w:val="lt-LT"/>
        </w:rPr>
        <w:t>Norameda</w:t>
      </w:r>
      <w:r w:rsidRPr="007777D9">
        <w:rPr>
          <w:b/>
          <w:snapToGrid/>
          <w:szCs w:val="22"/>
          <w:lang w:val="lt-LT"/>
        </w:rPr>
        <w:t xml:space="preserve"> koncentrato negalima maišyti su tirpalais</w:t>
      </w:r>
      <w:r>
        <w:rPr>
          <w:b/>
          <w:snapToGrid/>
          <w:szCs w:val="22"/>
          <w:lang w:val="lt-LT"/>
        </w:rPr>
        <w:t>,</w:t>
      </w:r>
      <w:r w:rsidRPr="007777D9">
        <w:rPr>
          <w:b/>
          <w:snapToGrid/>
          <w:szCs w:val="22"/>
          <w:lang w:val="lt-LT"/>
        </w:rPr>
        <w:t xml:space="preserve"> </w:t>
      </w:r>
      <w:r w:rsidRPr="0096305E">
        <w:rPr>
          <w:b/>
          <w:snapToGrid/>
          <w:szCs w:val="22"/>
          <w:lang w:val="lt-LT"/>
        </w:rPr>
        <w:t>kurių sudėtyje yra kalcio ar kitų dvivalenčių katijonų</w:t>
      </w:r>
      <w:r w:rsidRPr="007777D9">
        <w:rPr>
          <w:b/>
          <w:snapToGrid/>
          <w:szCs w:val="22"/>
          <w:lang w:val="lt-LT"/>
        </w:rPr>
        <w:t xml:space="preserve">, </w:t>
      </w:r>
      <w:r>
        <w:rPr>
          <w:b/>
          <w:snapToGrid/>
          <w:szCs w:val="22"/>
          <w:lang w:val="lt-LT"/>
        </w:rPr>
        <w:t>pvz.,</w:t>
      </w:r>
      <w:r w:rsidRPr="007777D9">
        <w:rPr>
          <w:b/>
          <w:snapToGrid/>
          <w:szCs w:val="22"/>
          <w:lang w:val="lt-LT"/>
        </w:rPr>
        <w:t xml:space="preserve"> Ringerio </w:t>
      </w:r>
      <w:r>
        <w:rPr>
          <w:b/>
          <w:snapToGrid/>
          <w:szCs w:val="22"/>
          <w:lang w:val="lt-LT"/>
        </w:rPr>
        <w:t xml:space="preserve">laktato </w:t>
      </w:r>
      <w:r w:rsidRPr="007777D9">
        <w:rPr>
          <w:b/>
          <w:snapToGrid/>
          <w:szCs w:val="22"/>
          <w:lang w:val="lt-LT"/>
        </w:rPr>
        <w:t>tirpal</w:t>
      </w:r>
      <w:r>
        <w:rPr>
          <w:b/>
          <w:snapToGrid/>
          <w:szCs w:val="22"/>
          <w:lang w:val="lt-LT"/>
        </w:rPr>
        <w:t>u</w:t>
      </w:r>
      <w:r w:rsidRPr="007777D9">
        <w:rPr>
          <w:b/>
          <w:snapToGrid/>
          <w:szCs w:val="22"/>
          <w:lang w:val="lt-LT"/>
        </w:rPr>
        <w:t>.</w:t>
      </w:r>
    </w:p>
    <w:p w14:paraId="3614E751" w14:textId="77777777" w:rsidR="004F7AA9" w:rsidRPr="007777D9" w:rsidRDefault="004F7AA9" w:rsidP="004F7AA9">
      <w:pPr>
        <w:widowControl w:val="0"/>
        <w:tabs>
          <w:tab w:val="clear" w:pos="567"/>
        </w:tabs>
        <w:spacing w:line="240" w:lineRule="auto"/>
        <w:rPr>
          <w:snapToGrid/>
          <w:szCs w:val="22"/>
          <w:lang w:val="lt-LT"/>
        </w:rPr>
      </w:pPr>
    </w:p>
    <w:p w14:paraId="5AFAEF62"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Nurodymai, kaip paruošti mažesnę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dozę: </w:t>
      </w:r>
    </w:p>
    <w:p w14:paraId="67BE5E16"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Pritraukti reikiamą skystojo koncentrato tūrį:</w:t>
      </w:r>
    </w:p>
    <w:p w14:paraId="0D2C69E2"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4,4 ml, kai dozė yra 3,5 mg;</w:t>
      </w:r>
    </w:p>
    <w:p w14:paraId="7BE6A830"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4,1 ml, kai dozė yra 3,3 mg;</w:t>
      </w:r>
    </w:p>
    <w:p w14:paraId="5ACF3644"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3,8 ml, kai dozė yra 3,0 mg.</w:t>
      </w:r>
    </w:p>
    <w:p w14:paraId="5A61C038" w14:textId="77777777" w:rsidR="004F7AA9" w:rsidRPr="007777D9" w:rsidRDefault="004F7AA9" w:rsidP="004F7AA9">
      <w:pPr>
        <w:widowControl w:val="0"/>
        <w:tabs>
          <w:tab w:val="clear" w:pos="567"/>
        </w:tabs>
        <w:spacing w:line="240" w:lineRule="auto"/>
        <w:contextualSpacing/>
        <w:rPr>
          <w:snapToGrid/>
          <w:szCs w:val="22"/>
          <w:lang w:val="lt-LT"/>
        </w:rPr>
      </w:pPr>
    </w:p>
    <w:p w14:paraId="7318054C"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Tik vienkartiniam vartojimui. Nesuvartotą tirpalą reikia išmesti. Galima vartoti tik skaidrų tirpalą, kuriame nėra dalelių ir </w:t>
      </w:r>
      <w:r>
        <w:rPr>
          <w:snapToGrid/>
          <w:szCs w:val="22"/>
          <w:lang w:val="lt-LT"/>
        </w:rPr>
        <w:t>kurio spalva</w:t>
      </w:r>
      <w:r w:rsidRPr="007777D9">
        <w:rPr>
          <w:snapToGrid/>
          <w:szCs w:val="22"/>
          <w:lang w:val="lt-LT"/>
        </w:rPr>
        <w:t xml:space="preserve"> nepakitusi. Ruošiantis infuzijai reikia laikytis aseptikos reikalavimų.</w:t>
      </w:r>
    </w:p>
    <w:p w14:paraId="7B903675" w14:textId="31CC609A"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Mikrobiologiniu požiūriu, praskiestą infuzinį tirpalą reikia vartoti nedelsiant. Jeigu jis iš karto nevartojamas, už laikymo sąlygas ir trukmę prieš vartojimą atsako vartotojas. Paprastai laikymo 2 °C–8 °C temperatūroje trukmė neturi būti ilgesnė kaip </w:t>
      </w:r>
      <w:r w:rsidR="00BA1B40" w:rsidRPr="007777D9">
        <w:rPr>
          <w:snapToGrid/>
          <w:szCs w:val="22"/>
          <w:lang w:val="lt-LT"/>
        </w:rPr>
        <w:t>24</w:t>
      </w:r>
      <w:r w:rsidR="00BA1B40">
        <w:rPr>
          <w:snapToGrid/>
          <w:szCs w:val="22"/>
          <w:lang w:val="lt-LT"/>
        </w:rPr>
        <w:t> </w:t>
      </w:r>
      <w:r w:rsidRPr="007777D9">
        <w:rPr>
          <w:snapToGrid/>
          <w:szCs w:val="22"/>
          <w:lang w:val="lt-LT"/>
        </w:rPr>
        <w:t>val. Prieš vartojimą šaldytuve laikytam tirpalui reikia leisti sušilti iki kambario temperatūros.</w:t>
      </w:r>
    </w:p>
    <w:p w14:paraId="66861E76"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w:t>
      </w:r>
      <w:r>
        <w:rPr>
          <w:snapToGrid/>
          <w:szCs w:val="22"/>
          <w:lang w:val="lt-LT"/>
        </w:rPr>
        <w:t xml:space="preserve">tirpalas </w:t>
      </w:r>
      <w:r w:rsidRPr="007777D9">
        <w:rPr>
          <w:snapToGrid/>
          <w:szCs w:val="22"/>
          <w:lang w:val="lt-LT"/>
        </w:rPr>
        <w:t xml:space="preserve">sulašinamas į veną per 15 minučių per atskirą infuzijų sistemą. Prieš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vartojimą ir po vartojimo būtina </w:t>
      </w:r>
      <w:r>
        <w:rPr>
          <w:snapToGrid/>
          <w:szCs w:val="22"/>
          <w:lang w:val="lt-LT"/>
        </w:rPr>
        <w:t>įvertinti</w:t>
      </w:r>
      <w:r w:rsidRPr="007777D9">
        <w:rPr>
          <w:snapToGrid/>
          <w:szCs w:val="22"/>
          <w:lang w:val="lt-LT"/>
        </w:rPr>
        <w:t xml:space="preserve"> paciento hidratacijos būklę ir įsitikinti, kad ji yra pakankama.</w:t>
      </w:r>
    </w:p>
    <w:p w14:paraId="424B8DBA"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Tyrimų su įvairaus tipo infuzijų sistemomis, pagamintomis iš polivinilchlorido, polietileno ir </w:t>
      </w:r>
      <w:r w:rsidRPr="007777D9">
        <w:rPr>
          <w:snapToGrid/>
          <w:szCs w:val="22"/>
          <w:lang w:val="lt-LT"/>
        </w:rPr>
        <w:lastRenderedPageBreak/>
        <w:t>polipropileno</w:t>
      </w:r>
      <w:r>
        <w:rPr>
          <w:snapToGrid/>
          <w:szCs w:val="22"/>
          <w:lang w:val="lt-LT"/>
        </w:rPr>
        <w:t>,</w:t>
      </w:r>
      <w:r w:rsidRPr="007777D9">
        <w:rPr>
          <w:snapToGrid/>
          <w:szCs w:val="22"/>
          <w:lang w:val="lt-LT"/>
        </w:rPr>
        <w:t xml:space="preserve"> metu nesuderinamumo su zoledrono rūgštimi nepastebėta.</w:t>
      </w:r>
    </w:p>
    <w:p w14:paraId="6788F1E2"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Duome</w:t>
      </w:r>
      <w:r w:rsidRPr="007777D9">
        <w:rPr>
          <w:snapToGrid/>
          <w:szCs w:val="22"/>
          <w:lang w:val="lt-LT"/>
        </w:rPr>
        <w:t xml:space="preserve">nų apie zoledrono rūgšties suderinamumą su kitais į veną vartojamais </w:t>
      </w:r>
      <w:r>
        <w:rPr>
          <w:snapToGrid/>
          <w:szCs w:val="22"/>
          <w:lang w:val="lt-LT"/>
        </w:rPr>
        <w:t>vaistiniais preparatais</w:t>
      </w:r>
      <w:r w:rsidRPr="007777D9">
        <w:rPr>
          <w:snapToGrid/>
          <w:szCs w:val="22"/>
          <w:lang w:val="lt-LT"/>
        </w:rPr>
        <w:t xml:space="preserve"> nėra, todėl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negalima maišyti su kitais </w:t>
      </w:r>
      <w:r>
        <w:rPr>
          <w:snapToGrid/>
          <w:szCs w:val="22"/>
          <w:lang w:val="lt-LT"/>
        </w:rPr>
        <w:t>vaistiniais preparatais</w:t>
      </w:r>
      <w:r w:rsidRPr="007777D9">
        <w:rPr>
          <w:snapToGrid/>
          <w:szCs w:val="22"/>
          <w:lang w:val="lt-LT"/>
        </w:rPr>
        <w:t xml:space="preserve"> bei medžiagomis, visada jį reikia lašinti per atskirą infuzijos liniją.</w:t>
      </w:r>
    </w:p>
    <w:p w14:paraId="0BB458BA" w14:textId="77777777" w:rsidR="004F7AA9" w:rsidRPr="007777D9" w:rsidRDefault="004F7AA9" w:rsidP="004F7AA9">
      <w:pPr>
        <w:widowControl w:val="0"/>
        <w:tabs>
          <w:tab w:val="clear" w:pos="567"/>
        </w:tabs>
        <w:spacing w:line="240" w:lineRule="auto"/>
        <w:rPr>
          <w:snapToGrid/>
          <w:szCs w:val="22"/>
          <w:lang w:val="lt-LT"/>
        </w:rPr>
      </w:pPr>
    </w:p>
    <w:p w14:paraId="20BC8115"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 xml:space="preserve">Kaip laikyti Zoledronic </w:t>
      </w:r>
      <w:r>
        <w:rPr>
          <w:b/>
          <w:snapToGrid/>
          <w:szCs w:val="22"/>
          <w:lang w:val="lt-LT"/>
        </w:rPr>
        <w:t>acid</w:t>
      </w:r>
      <w:r w:rsidRPr="007777D9">
        <w:rPr>
          <w:b/>
          <w:snapToGrid/>
          <w:szCs w:val="22"/>
          <w:lang w:val="lt-LT"/>
        </w:rPr>
        <w:t xml:space="preserve"> </w:t>
      </w:r>
      <w:r>
        <w:rPr>
          <w:b/>
          <w:snapToGrid/>
          <w:szCs w:val="22"/>
          <w:lang w:val="lt-LT"/>
        </w:rPr>
        <w:t>Norameda</w:t>
      </w:r>
    </w:p>
    <w:p w14:paraId="7AB0CE3A"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22449E">
        <w:rPr>
          <w:snapToGrid/>
          <w:szCs w:val="22"/>
          <w:lang w:val="lt-LT"/>
        </w:rPr>
        <w:t xml:space="preserve">Zoledronic </w:t>
      </w:r>
      <w:r>
        <w:rPr>
          <w:snapToGrid/>
          <w:szCs w:val="22"/>
          <w:lang w:val="lt-LT"/>
        </w:rPr>
        <w:t>a</w:t>
      </w:r>
      <w:r w:rsidRPr="0022449E">
        <w:rPr>
          <w:snapToGrid/>
          <w:szCs w:val="22"/>
          <w:lang w:val="lt-LT"/>
        </w:rPr>
        <w:t xml:space="preserve">cid </w:t>
      </w:r>
      <w:r>
        <w:rPr>
          <w:snapToGrid/>
          <w:szCs w:val="22"/>
          <w:lang w:val="lt-LT"/>
        </w:rPr>
        <w:t>Norameda</w:t>
      </w:r>
      <w:r w:rsidRPr="0022449E" w:rsidDel="0022449E">
        <w:rPr>
          <w:snapToGrid/>
          <w:szCs w:val="22"/>
          <w:lang w:val="lt-LT"/>
        </w:rPr>
        <w:t xml:space="preserve"> </w:t>
      </w:r>
      <w:r w:rsidRPr="007777D9">
        <w:rPr>
          <w:snapToGrid/>
          <w:szCs w:val="22"/>
          <w:lang w:val="lt-LT"/>
        </w:rPr>
        <w:t>laikykite vaikams nepastebimoje ir nepasiekiamoje vietoje.</w:t>
      </w:r>
    </w:p>
    <w:p w14:paraId="6BE491D6"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Ant pakuotės nurodytam tinkamumo laikui pasibaigus,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vartoti negalima.</w:t>
      </w:r>
    </w:p>
    <w:p w14:paraId="3ABBA7DE"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Neatidarytam </w:t>
      </w:r>
      <w:r>
        <w:rPr>
          <w:snapToGrid/>
          <w:szCs w:val="22"/>
          <w:lang w:val="lt-LT"/>
        </w:rPr>
        <w:t>flakon</w:t>
      </w:r>
      <w:r w:rsidRPr="007777D9">
        <w:rPr>
          <w:snapToGrid/>
          <w:szCs w:val="22"/>
          <w:lang w:val="lt-LT"/>
        </w:rPr>
        <w:t>ui specialių laikymo sąlygų nereikia.</w:t>
      </w:r>
    </w:p>
    <w:p w14:paraId="4C23C37E" w14:textId="77777777" w:rsidR="004F7AA9" w:rsidRPr="0096305E"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Praskiestą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infuzinį tirpalą reikia suvartoti nedelsiant, kad būtų išvengta mikrobinio užteršimo.</w:t>
      </w:r>
    </w:p>
    <w:p w14:paraId="130F9C6E" w14:textId="77777777" w:rsidR="004F7AA9" w:rsidRDefault="004F7AA9" w:rsidP="004F7AA9">
      <w:pPr>
        <w:rPr>
          <w:lang w:val="lt-LT"/>
        </w:rPr>
      </w:pPr>
    </w:p>
    <w:p w14:paraId="58F0F1C4" w14:textId="77777777" w:rsidR="004F7AA9" w:rsidRDefault="004F7AA9" w:rsidP="004F7AA9">
      <w:pPr>
        <w:rPr>
          <w:lang w:val="lt-LT"/>
        </w:rPr>
      </w:pPr>
    </w:p>
    <w:p w14:paraId="2E77C2D2" w14:textId="77777777" w:rsidR="004F7AA9" w:rsidRDefault="004F7AA9" w:rsidP="004F7AA9">
      <w:pPr>
        <w:rPr>
          <w:lang w:val="lt-LT"/>
        </w:rPr>
      </w:pPr>
    </w:p>
    <w:p w14:paraId="4379CB3B" w14:textId="77777777" w:rsidR="004F7AA9" w:rsidRPr="008C5426" w:rsidRDefault="004F7AA9" w:rsidP="004F7AA9">
      <w:pPr>
        <w:rPr>
          <w:lang w:val="lt-LT"/>
        </w:rPr>
      </w:pPr>
    </w:p>
    <w:p w14:paraId="32766137" w14:textId="77777777" w:rsidR="004F7AA9" w:rsidRPr="005D71D6" w:rsidRDefault="004F7AA9" w:rsidP="004F7AA9">
      <w:pPr>
        <w:rPr>
          <w:lang w:val="lt-LT"/>
        </w:rPr>
      </w:pPr>
    </w:p>
    <w:p w14:paraId="782CEA9A" w14:textId="77777777" w:rsidR="0032490F" w:rsidRPr="00EF2F9F" w:rsidRDefault="0032490F">
      <w:pPr>
        <w:rPr>
          <w:lang w:val="lt-LT"/>
        </w:rPr>
      </w:pPr>
    </w:p>
    <w:sectPr w:rsidR="0032490F" w:rsidRPr="00EF2F9F" w:rsidSect="009A4A51">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274A2" w14:textId="77777777" w:rsidR="00A56092" w:rsidRDefault="00A56092">
      <w:pPr>
        <w:spacing w:line="240" w:lineRule="auto"/>
      </w:pPr>
      <w:r>
        <w:separator/>
      </w:r>
    </w:p>
  </w:endnote>
  <w:endnote w:type="continuationSeparator" w:id="0">
    <w:p w14:paraId="367B26FD" w14:textId="77777777" w:rsidR="00A56092" w:rsidRDefault="00A56092">
      <w:pPr>
        <w:spacing w:line="240" w:lineRule="auto"/>
      </w:pPr>
      <w:r>
        <w:continuationSeparator/>
      </w:r>
    </w:p>
  </w:endnote>
  <w:endnote w:type="continuationNotice" w:id="1">
    <w:p w14:paraId="0D12750D" w14:textId="77777777" w:rsidR="00A56092" w:rsidRDefault="00A560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2B0D9" w14:textId="77777777" w:rsidR="009A4A51" w:rsidRDefault="009A4A51" w:rsidP="009A4A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8745D4" w14:textId="77777777" w:rsidR="009A4A51" w:rsidRDefault="009A4A51" w:rsidP="009A4A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57ED3" w14:textId="41791C97" w:rsidR="009A4A51" w:rsidRPr="00B60887" w:rsidRDefault="009A4A51" w:rsidP="009A4A51">
    <w:pPr>
      <w:pStyle w:val="Footer"/>
      <w:framePr w:wrap="around" w:vAnchor="text" w:hAnchor="margin" w:xAlign="right" w:y="1"/>
      <w:rPr>
        <w:rStyle w:val="PageNumber"/>
      </w:rPr>
    </w:pPr>
    <w:r w:rsidRPr="00B60887">
      <w:rPr>
        <w:rStyle w:val="PageNumber"/>
      </w:rPr>
      <w:fldChar w:fldCharType="begin"/>
    </w:r>
    <w:r w:rsidRPr="00B60887">
      <w:rPr>
        <w:rStyle w:val="PageNumber"/>
      </w:rPr>
      <w:instrText xml:space="preserve">PAGE  </w:instrText>
    </w:r>
    <w:r w:rsidRPr="00B60887">
      <w:rPr>
        <w:rStyle w:val="PageNumber"/>
      </w:rPr>
      <w:fldChar w:fldCharType="separate"/>
    </w:r>
    <w:r w:rsidR="000F233D">
      <w:rPr>
        <w:rStyle w:val="PageNumber"/>
        <w:noProof/>
      </w:rPr>
      <w:t>20</w:t>
    </w:r>
    <w:r w:rsidRPr="00B60887">
      <w:rPr>
        <w:rStyle w:val="PageNumber"/>
      </w:rPr>
      <w:fldChar w:fldCharType="end"/>
    </w:r>
  </w:p>
  <w:p w14:paraId="52DF2D08" w14:textId="77777777" w:rsidR="009A4A51" w:rsidRDefault="009A4A51" w:rsidP="009A4A51">
    <w:pPr>
      <w:spacing w:line="200" w:lineRule="exact"/>
      <w:ind w:right="360"/>
      <w:rPr>
        <w:sz w:val="20"/>
      </w:rPr>
    </w:pPr>
    <w:r>
      <w:rPr>
        <w:noProof/>
        <w:lang w:val="lt-LT" w:eastAsia="lt-LT"/>
      </w:rPr>
      <mc:AlternateContent>
        <mc:Choice Requires="wps">
          <w:drawing>
            <wp:anchor distT="0" distB="0" distL="114300" distR="114300" simplePos="0" relativeHeight="251659264" behindDoc="1" locked="0" layoutInCell="1" allowOverlap="1" wp14:anchorId="702B4347" wp14:editId="46C0E4D1">
              <wp:simplePos x="0" y="0"/>
              <wp:positionH relativeFrom="page">
                <wp:posOffset>3556635</wp:posOffset>
              </wp:positionH>
              <wp:positionV relativeFrom="page">
                <wp:posOffset>10106660</wp:posOffset>
              </wp:positionV>
              <wp:extent cx="231140" cy="1289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27151" w14:textId="77777777" w:rsidR="009A4A51" w:rsidRDefault="009A4A51">
                          <w:pPr>
                            <w:spacing w:before="2" w:line="240" w:lineRule="auto"/>
                            <w:ind w:left="57" w:right="-2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B4347" id="_x0000_t202" coordsize="21600,21600" o:spt="202" path="m,l,21600r21600,l21600,xe">
              <v:stroke joinstyle="miter"/>
              <v:path gradientshapeok="t" o:connecttype="rect"/>
            </v:shapetype>
            <v:shape id="Text Box 1" o:spid="_x0000_s1026" type="#_x0000_t202" style="position:absolute;margin-left:280.05pt;margin-top:795.8pt;width:18.2pt;height:1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" filled="f" stroked="f">
              <v:textbox inset="0,0,0,0">
                <w:txbxContent>
                  <w:p w14:paraId="68827151" w14:textId="77777777" w:rsidR="009A4A51" w:rsidRDefault="009A4A51">
                    <w:pPr>
                      <w:spacing w:before="2" w:line="240" w:lineRule="auto"/>
                      <w:ind w:left="57" w:right="-20"/>
                      <w:rPr>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E1B96" w14:textId="77777777" w:rsidR="00A56092" w:rsidRDefault="00A56092">
      <w:pPr>
        <w:spacing w:line="240" w:lineRule="auto"/>
      </w:pPr>
      <w:r>
        <w:separator/>
      </w:r>
    </w:p>
  </w:footnote>
  <w:footnote w:type="continuationSeparator" w:id="0">
    <w:p w14:paraId="4B616EEF" w14:textId="77777777" w:rsidR="00A56092" w:rsidRDefault="00A56092">
      <w:pPr>
        <w:spacing w:line="240" w:lineRule="auto"/>
      </w:pPr>
      <w:r>
        <w:continuationSeparator/>
      </w:r>
    </w:p>
  </w:footnote>
  <w:footnote w:type="continuationNotice" w:id="1">
    <w:p w14:paraId="66DC135F" w14:textId="77777777" w:rsidR="00A56092" w:rsidRDefault="00A560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DFEB5" w14:textId="77777777" w:rsidR="00AB630B" w:rsidRDefault="00AB6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82C06"/>
    <w:multiLevelType w:val="hybridMultilevel"/>
    <w:tmpl w:val="7BC23526"/>
    <w:lvl w:ilvl="0" w:tplc="75E2FCE4">
      <w:numFmt w:val="bullet"/>
      <w:lvlText w:val=""/>
      <w:lvlJc w:val="left"/>
      <w:pPr>
        <w:ind w:left="1035" w:hanging="675"/>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25AFC"/>
    <w:multiLevelType w:val="hybridMultilevel"/>
    <w:tmpl w:val="74263F3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631496"/>
    <w:multiLevelType w:val="hybridMultilevel"/>
    <w:tmpl w:val="6A466F64"/>
    <w:lvl w:ilvl="0" w:tplc="52AACD52">
      <w:start w:val="1"/>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E11BE"/>
    <w:multiLevelType w:val="hybridMultilevel"/>
    <w:tmpl w:val="C3F2B172"/>
    <w:lvl w:ilvl="0" w:tplc="3C8A0176">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6167FC"/>
    <w:multiLevelType w:val="hybridMultilevel"/>
    <w:tmpl w:val="0A2A5FB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78080F"/>
    <w:multiLevelType w:val="hybridMultilevel"/>
    <w:tmpl w:val="BEA44E6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950E6E"/>
    <w:multiLevelType w:val="hybridMultilevel"/>
    <w:tmpl w:val="A270492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32086E"/>
    <w:multiLevelType w:val="hybridMultilevel"/>
    <w:tmpl w:val="1578F5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6C5095"/>
    <w:multiLevelType w:val="hybridMultilevel"/>
    <w:tmpl w:val="64348B7C"/>
    <w:lvl w:ilvl="0" w:tplc="29A6149E">
      <w:start w:val="1"/>
      <w:numFmt w:val="upperLetter"/>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1" w15:restartNumberingAfterBreak="0">
    <w:nsid w:val="26151D10"/>
    <w:multiLevelType w:val="hybridMultilevel"/>
    <w:tmpl w:val="410AB0F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47DA4"/>
    <w:multiLevelType w:val="hybridMultilevel"/>
    <w:tmpl w:val="BCBAE4AA"/>
    <w:lvl w:ilvl="0" w:tplc="59FA43E8">
      <w:start w:val="2"/>
      <w:numFmt w:val="bullet"/>
      <w:lvlText w:val="-"/>
      <w:lvlJc w:val="left"/>
      <w:pPr>
        <w:tabs>
          <w:tab w:val="num" w:pos="0"/>
        </w:tabs>
        <w:ind w:left="567" w:hanging="567"/>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2A2BD2"/>
    <w:multiLevelType w:val="hybridMultilevel"/>
    <w:tmpl w:val="BD329964"/>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651DB8"/>
    <w:multiLevelType w:val="hybridMultilevel"/>
    <w:tmpl w:val="B950AAC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20236A0"/>
    <w:multiLevelType w:val="hybridMultilevel"/>
    <w:tmpl w:val="B32E872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0044A5"/>
    <w:multiLevelType w:val="hybridMultilevel"/>
    <w:tmpl w:val="413AC81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3EF07A2"/>
    <w:multiLevelType w:val="hybridMultilevel"/>
    <w:tmpl w:val="CE38ED2E"/>
    <w:lvl w:ilvl="0" w:tplc="BBA89912">
      <w:start w:val="1"/>
      <w:numFmt w:val="bullet"/>
      <w:lvlText w:val=""/>
      <w:lvlJc w:val="left"/>
      <w:pPr>
        <w:ind w:left="720" w:hanging="360"/>
      </w:pPr>
      <w:rPr>
        <w:rFonts w:ascii="Symbol" w:hAnsi="Symbol" w:hint="default"/>
      </w:rPr>
    </w:lvl>
    <w:lvl w:ilvl="1" w:tplc="A7669EDE">
      <w:numFmt w:val="bullet"/>
      <w:lvlText w:val=""/>
      <w:lvlJc w:val="left"/>
      <w:pPr>
        <w:ind w:left="1440" w:hanging="360"/>
      </w:pPr>
      <w:rPr>
        <w:rFonts w:ascii="Wingdings" w:eastAsia="Times New Roman"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F86B2D"/>
    <w:multiLevelType w:val="multilevel"/>
    <w:tmpl w:val="F87EB8F0"/>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3D5D01"/>
    <w:multiLevelType w:val="multilevel"/>
    <w:tmpl w:val="F87EB8F0"/>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0B6D97"/>
    <w:multiLevelType w:val="hybridMultilevel"/>
    <w:tmpl w:val="F870A214"/>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3431167"/>
    <w:multiLevelType w:val="hybridMultilevel"/>
    <w:tmpl w:val="43D6B3AC"/>
    <w:lvl w:ilvl="0" w:tplc="F7B46EBE">
      <w:numFmt w:val="bullet"/>
      <w:lvlText w:val="−"/>
      <w:lvlJc w:val="left"/>
      <w:pPr>
        <w:ind w:left="502" w:hanging="360"/>
      </w:pPr>
      <w:rPr>
        <w:rFonts w:ascii="Times New Roman" w:eastAsia="Times New Roman" w:hAnsi="Times New Roman"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45520EAB"/>
    <w:multiLevelType w:val="hybridMultilevel"/>
    <w:tmpl w:val="DAD4B680"/>
    <w:lvl w:ilvl="0" w:tplc="AAC27DB8">
      <w:start w:val="2"/>
      <w:numFmt w:val="bullet"/>
      <w:lvlText w:val="-"/>
      <w:lvlJc w:val="left"/>
      <w:pPr>
        <w:tabs>
          <w:tab w:val="num" w:pos="0"/>
        </w:tabs>
        <w:ind w:left="567" w:hanging="283"/>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6728A5"/>
    <w:multiLevelType w:val="multilevel"/>
    <w:tmpl w:val="06E49B4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47624285"/>
    <w:multiLevelType w:val="hybridMultilevel"/>
    <w:tmpl w:val="7AF8DF84"/>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F30AA"/>
    <w:multiLevelType w:val="hybridMultilevel"/>
    <w:tmpl w:val="376A6BF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514E79"/>
    <w:multiLevelType w:val="hybridMultilevel"/>
    <w:tmpl w:val="7D1C18E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1C6C0C"/>
    <w:multiLevelType w:val="hybridMultilevel"/>
    <w:tmpl w:val="D08C438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1F5391"/>
    <w:multiLevelType w:val="hybridMultilevel"/>
    <w:tmpl w:val="6114BE7A"/>
    <w:lvl w:ilvl="0" w:tplc="BBA89912">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9C5AA3"/>
    <w:multiLevelType w:val="multilevel"/>
    <w:tmpl w:val="E698E41E"/>
    <w:lvl w:ilvl="0">
      <w:start w:val="4"/>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30" w15:restartNumberingAfterBreak="0">
    <w:nsid w:val="51EB5B8D"/>
    <w:multiLevelType w:val="hybridMultilevel"/>
    <w:tmpl w:val="190E7A08"/>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20954"/>
    <w:multiLevelType w:val="hybridMultilevel"/>
    <w:tmpl w:val="2F74D15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6943D2A"/>
    <w:multiLevelType w:val="multilevel"/>
    <w:tmpl w:val="DAD4B680"/>
    <w:lvl w:ilvl="0">
      <w:start w:val="2"/>
      <w:numFmt w:val="bullet"/>
      <w:lvlText w:val="-"/>
      <w:lvlJc w:val="left"/>
      <w:pPr>
        <w:tabs>
          <w:tab w:val="num" w:pos="0"/>
        </w:tabs>
        <w:ind w:left="567" w:hanging="283"/>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FC5BAD"/>
    <w:multiLevelType w:val="hybridMultilevel"/>
    <w:tmpl w:val="A6C43DCC"/>
    <w:lvl w:ilvl="0" w:tplc="B3B6DAF4">
      <w:start w:val="2"/>
      <w:numFmt w:val="bullet"/>
      <w:lvlText w:val="-"/>
      <w:lvlJc w:val="left"/>
      <w:pPr>
        <w:tabs>
          <w:tab w:val="num" w:pos="284"/>
        </w:tabs>
        <w:ind w:left="284" w:hanging="284"/>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6E6F26"/>
    <w:multiLevelType w:val="hybridMultilevel"/>
    <w:tmpl w:val="C3A05DC4"/>
    <w:lvl w:ilvl="0" w:tplc="94505A3A">
      <w:start w:val="1"/>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4D3C7C"/>
    <w:multiLevelType w:val="hybridMultilevel"/>
    <w:tmpl w:val="5EE01F4A"/>
    <w:lvl w:ilvl="0" w:tplc="EB3ABAC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D4088F"/>
    <w:multiLevelType w:val="hybridMultilevel"/>
    <w:tmpl w:val="F87EB8F0"/>
    <w:lvl w:ilvl="0" w:tplc="EB3ABAC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1F060D"/>
    <w:multiLevelType w:val="hybridMultilevel"/>
    <w:tmpl w:val="8C7842D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EE50B91"/>
    <w:multiLevelType w:val="hybridMultilevel"/>
    <w:tmpl w:val="73D05F36"/>
    <w:lvl w:ilvl="0" w:tplc="53EE3A0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2424C4"/>
    <w:multiLevelType w:val="hybridMultilevel"/>
    <w:tmpl w:val="42F886DC"/>
    <w:lvl w:ilvl="0" w:tplc="EB3ABAC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D054F"/>
    <w:multiLevelType w:val="hybridMultilevel"/>
    <w:tmpl w:val="C82485C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D365E2E"/>
    <w:multiLevelType w:val="hybridMultilevel"/>
    <w:tmpl w:val="878801B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ECE7D8D"/>
    <w:multiLevelType w:val="hybridMultilevel"/>
    <w:tmpl w:val="06E49B4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F6B0AA3"/>
    <w:multiLevelType w:val="hybridMultilevel"/>
    <w:tmpl w:val="BD4A60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44"/>
  </w:num>
  <w:num w:numId="8">
    <w:abstractNumId w:val="1"/>
  </w:num>
  <w:num w:numId="9">
    <w:abstractNumId w:val="29"/>
  </w:num>
  <w:num w:numId="10">
    <w:abstractNumId w:val="17"/>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41"/>
  </w:num>
  <w:num w:numId="13">
    <w:abstractNumId w:val="31"/>
  </w:num>
  <w:num w:numId="14">
    <w:abstractNumId w:val="36"/>
  </w:num>
  <w:num w:numId="15">
    <w:abstractNumId w:val="14"/>
  </w:num>
  <w:num w:numId="16">
    <w:abstractNumId w:val="28"/>
  </w:num>
  <w:num w:numId="17">
    <w:abstractNumId w:val="25"/>
  </w:num>
  <w:num w:numId="18">
    <w:abstractNumId w:val="20"/>
  </w:num>
  <w:num w:numId="19">
    <w:abstractNumId w:val="42"/>
  </w:num>
  <w:num w:numId="20">
    <w:abstractNumId w:val="26"/>
  </w:num>
  <w:num w:numId="21">
    <w:abstractNumId w:val="2"/>
  </w:num>
  <w:num w:numId="22">
    <w:abstractNumId w:val="27"/>
  </w:num>
  <w:num w:numId="23">
    <w:abstractNumId w:val="6"/>
  </w:num>
  <w:num w:numId="24">
    <w:abstractNumId w:val="7"/>
  </w:num>
  <w:num w:numId="25">
    <w:abstractNumId w:val="15"/>
  </w:num>
  <w:num w:numId="26">
    <w:abstractNumId w:val="8"/>
  </w:num>
  <w:num w:numId="27">
    <w:abstractNumId w:val="37"/>
  </w:num>
  <w:num w:numId="28">
    <w:abstractNumId w:val="13"/>
  </w:num>
  <w:num w:numId="29">
    <w:abstractNumId w:val="19"/>
  </w:num>
  <w:num w:numId="30">
    <w:abstractNumId w:val="22"/>
  </w:num>
  <w:num w:numId="31">
    <w:abstractNumId w:val="32"/>
  </w:num>
  <w:num w:numId="32">
    <w:abstractNumId w:val="12"/>
  </w:num>
  <w:num w:numId="33">
    <w:abstractNumId w:val="18"/>
  </w:num>
  <w:num w:numId="34">
    <w:abstractNumId w:val="33"/>
  </w:num>
  <w:num w:numId="35">
    <w:abstractNumId w:val="9"/>
  </w:num>
  <w:num w:numId="36">
    <w:abstractNumId w:val="43"/>
  </w:num>
  <w:num w:numId="37">
    <w:abstractNumId w:val="23"/>
  </w:num>
  <w:num w:numId="38">
    <w:abstractNumId w:val="5"/>
  </w:num>
  <w:num w:numId="39">
    <w:abstractNumId w:val="34"/>
  </w:num>
  <w:num w:numId="40">
    <w:abstractNumId w:val="38"/>
  </w:num>
  <w:num w:numId="41">
    <w:abstractNumId w:val="21"/>
  </w:num>
  <w:num w:numId="42">
    <w:abstractNumId w:val="10"/>
  </w:num>
  <w:num w:numId="43">
    <w:abstractNumId w:val="24"/>
  </w:num>
  <w:num w:numId="44">
    <w:abstractNumId w:val="30"/>
  </w:num>
  <w:num w:numId="45">
    <w:abstractNumId w:val="40"/>
  </w:num>
  <w:num w:numId="46">
    <w:abstractNumId w:val="35"/>
  </w:num>
  <w:num w:numId="47">
    <w:abstractNumId w:val="16"/>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A9"/>
    <w:rsid w:val="000F233D"/>
    <w:rsid w:val="001873B5"/>
    <w:rsid w:val="001B2133"/>
    <w:rsid w:val="00224BB3"/>
    <w:rsid w:val="002A0777"/>
    <w:rsid w:val="0032490F"/>
    <w:rsid w:val="00355F29"/>
    <w:rsid w:val="003E668D"/>
    <w:rsid w:val="004F7AA9"/>
    <w:rsid w:val="005B6E75"/>
    <w:rsid w:val="00790619"/>
    <w:rsid w:val="007B5A26"/>
    <w:rsid w:val="00881450"/>
    <w:rsid w:val="009A294A"/>
    <w:rsid w:val="009A4A51"/>
    <w:rsid w:val="00A42614"/>
    <w:rsid w:val="00A56092"/>
    <w:rsid w:val="00AB630B"/>
    <w:rsid w:val="00AF1034"/>
    <w:rsid w:val="00B20DC4"/>
    <w:rsid w:val="00BA1B40"/>
    <w:rsid w:val="00C32B41"/>
    <w:rsid w:val="00CC7698"/>
    <w:rsid w:val="00CE73B8"/>
    <w:rsid w:val="00D049EF"/>
    <w:rsid w:val="00E12820"/>
    <w:rsid w:val="00EF0164"/>
    <w:rsid w:val="00EF2F9F"/>
    <w:rsid w:val="00FB3A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C1CF"/>
  <w15:docId w15:val="{E1049B82-BBDC-4316-8C87-D78D6D37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AA9"/>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1">
    <w:name w:val="heading 1"/>
    <w:basedOn w:val="Normal"/>
    <w:next w:val="Normal"/>
    <w:link w:val="Heading1Char"/>
    <w:uiPriority w:val="99"/>
    <w:qFormat/>
    <w:rsid w:val="004F7AA9"/>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4F7AA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4F7AA9"/>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9"/>
    <w:qFormat/>
    <w:rsid w:val="004F7AA9"/>
    <w:pPr>
      <w:keepNext/>
      <w:jc w:val="both"/>
      <w:outlineLvl w:val="3"/>
    </w:pPr>
    <w:rPr>
      <w:rFonts w:ascii="Calibri" w:hAnsi="Calibri"/>
      <w:b/>
      <w:bCs/>
      <w:sz w:val="28"/>
      <w:szCs w:val="28"/>
    </w:rPr>
  </w:style>
  <w:style w:type="paragraph" w:styleId="Heading5">
    <w:name w:val="heading 5"/>
    <w:basedOn w:val="Normal"/>
    <w:next w:val="Normal"/>
    <w:link w:val="Heading5Char"/>
    <w:uiPriority w:val="99"/>
    <w:qFormat/>
    <w:rsid w:val="004F7AA9"/>
    <w:pPr>
      <w:keepNext/>
      <w:jc w:val="both"/>
      <w:outlineLvl w:val="4"/>
    </w:pPr>
    <w:rPr>
      <w:rFonts w:eastAsia="SimSun"/>
      <w:noProof/>
      <w:snapToGrid/>
      <w:sz w:val="20"/>
    </w:rPr>
  </w:style>
  <w:style w:type="paragraph" w:styleId="Heading6">
    <w:name w:val="heading 6"/>
    <w:basedOn w:val="Normal"/>
    <w:next w:val="Normal"/>
    <w:link w:val="Heading6Char"/>
    <w:uiPriority w:val="99"/>
    <w:qFormat/>
    <w:rsid w:val="004F7AA9"/>
    <w:pPr>
      <w:keepNext/>
      <w:tabs>
        <w:tab w:val="left" w:pos="-720"/>
        <w:tab w:val="left" w:pos="4536"/>
      </w:tabs>
      <w:suppressAutoHyphens/>
      <w:outlineLvl w:val="5"/>
    </w:pPr>
    <w:rPr>
      <w:rFonts w:eastAsia="SimSun"/>
      <w:i/>
      <w:snapToGrid/>
      <w:sz w:val="20"/>
    </w:rPr>
  </w:style>
  <w:style w:type="paragraph" w:styleId="Heading7">
    <w:name w:val="heading 7"/>
    <w:basedOn w:val="Normal"/>
    <w:next w:val="Normal"/>
    <w:link w:val="Heading7Char"/>
    <w:uiPriority w:val="99"/>
    <w:qFormat/>
    <w:rsid w:val="004F7AA9"/>
    <w:pPr>
      <w:keepNext/>
      <w:tabs>
        <w:tab w:val="left" w:pos="-720"/>
        <w:tab w:val="left" w:pos="4536"/>
      </w:tabs>
      <w:suppressAutoHyphens/>
      <w:jc w:val="both"/>
      <w:outlineLvl w:val="6"/>
    </w:pPr>
    <w:rPr>
      <w:rFonts w:eastAsia="SimSun"/>
      <w:i/>
      <w:snapToGrid/>
      <w:sz w:val="20"/>
    </w:rPr>
  </w:style>
  <w:style w:type="paragraph" w:styleId="Heading8">
    <w:name w:val="heading 8"/>
    <w:basedOn w:val="Normal"/>
    <w:next w:val="Normal"/>
    <w:link w:val="Heading8Char"/>
    <w:uiPriority w:val="99"/>
    <w:qFormat/>
    <w:rsid w:val="004F7AA9"/>
    <w:pPr>
      <w:keepNext/>
      <w:ind w:left="567" w:hanging="567"/>
      <w:jc w:val="both"/>
      <w:outlineLvl w:val="7"/>
    </w:pPr>
    <w:rPr>
      <w:rFonts w:eastAsia="SimSun"/>
      <w:b/>
      <w:i/>
      <w:snapToGrid/>
      <w:sz w:val="20"/>
    </w:rPr>
  </w:style>
  <w:style w:type="paragraph" w:styleId="Heading9">
    <w:name w:val="heading 9"/>
    <w:basedOn w:val="Normal"/>
    <w:next w:val="Normal"/>
    <w:link w:val="Heading9Char"/>
    <w:uiPriority w:val="99"/>
    <w:qFormat/>
    <w:rsid w:val="004F7AA9"/>
    <w:pPr>
      <w:keepNext/>
      <w:jc w:val="both"/>
      <w:outlineLvl w:val="8"/>
    </w:pPr>
    <w:rPr>
      <w:rFonts w:eastAsia="SimSun"/>
      <w:b/>
      <w:i/>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F7AA9"/>
    <w:rPr>
      <w:rFonts w:ascii="Times New Roman" w:eastAsia="SimSun" w:hAnsi="Times New Roman" w:cs="Times New Roman"/>
      <w:b/>
      <w:caps/>
      <w:sz w:val="26"/>
      <w:szCs w:val="20"/>
      <w:lang w:val="en-US"/>
    </w:rPr>
  </w:style>
  <w:style w:type="character" w:customStyle="1" w:styleId="Heading2Char">
    <w:name w:val="Heading 2 Char"/>
    <w:basedOn w:val="DefaultParagraphFont"/>
    <w:link w:val="Heading2"/>
    <w:uiPriority w:val="99"/>
    <w:rsid w:val="004F7AA9"/>
    <w:rPr>
      <w:rFonts w:ascii="Cambria" w:eastAsia="Times New Roman" w:hAnsi="Cambria" w:cs="Times New Roman"/>
      <w:b/>
      <w:bCs/>
      <w:i/>
      <w:iCs/>
      <w:snapToGrid w:val="0"/>
      <w:sz w:val="28"/>
      <w:szCs w:val="28"/>
      <w:lang w:val="en-GB"/>
    </w:rPr>
  </w:style>
  <w:style w:type="character" w:customStyle="1" w:styleId="Heading3Char">
    <w:name w:val="Heading 3 Char"/>
    <w:basedOn w:val="DefaultParagraphFont"/>
    <w:link w:val="Heading3"/>
    <w:uiPriority w:val="99"/>
    <w:rsid w:val="004F7AA9"/>
    <w:rPr>
      <w:rFonts w:ascii="Cambria" w:eastAsia="Times New Roman" w:hAnsi="Cambria" w:cs="Times New Roman"/>
      <w:b/>
      <w:bCs/>
      <w:snapToGrid w:val="0"/>
      <w:sz w:val="26"/>
      <w:szCs w:val="26"/>
      <w:lang w:val="en-GB"/>
    </w:rPr>
  </w:style>
  <w:style w:type="character" w:customStyle="1" w:styleId="Heading4Char">
    <w:name w:val="Heading 4 Char"/>
    <w:basedOn w:val="DefaultParagraphFont"/>
    <w:link w:val="Heading4"/>
    <w:uiPriority w:val="99"/>
    <w:rsid w:val="004F7AA9"/>
    <w:rPr>
      <w:rFonts w:ascii="Calibri" w:eastAsia="Times New Roman" w:hAnsi="Calibri" w:cs="Times New Roman"/>
      <w:b/>
      <w:bCs/>
      <w:snapToGrid w:val="0"/>
      <w:sz w:val="28"/>
      <w:szCs w:val="28"/>
      <w:lang w:val="en-GB"/>
    </w:rPr>
  </w:style>
  <w:style w:type="character" w:customStyle="1" w:styleId="Heading5Char">
    <w:name w:val="Heading 5 Char"/>
    <w:basedOn w:val="DefaultParagraphFont"/>
    <w:link w:val="Heading5"/>
    <w:uiPriority w:val="99"/>
    <w:rsid w:val="004F7AA9"/>
    <w:rPr>
      <w:rFonts w:ascii="Times New Roman" w:eastAsia="SimSun" w:hAnsi="Times New Roman" w:cs="Times New Roman"/>
      <w:noProof/>
      <w:sz w:val="20"/>
      <w:szCs w:val="20"/>
      <w:lang w:val="en-GB"/>
    </w:rPr>
  </w:style>
  <w:style w:type="character" w:customStyle="1" w:styleId="Heading6Char">
    <w:name w:val="Heading 6 Char"/>
    <w:basedOn w:val="DefaultParagraphFont"/>
    <w:link w:val="Heading6"/>
    <w:uiPriority w:val="99"/>
    <w:rsid w:val="004F7AA9"/>
    <w:rPr>
      <w:rFonts w:ascii="Times New Roman" w:eastAsia="SimSun" w:hAnsi="Times New Roman" w:cs="Times New Roman"/>
      <w:i/>
      <w:sz w:val="20"/>
      <w:szCs w:val="20"/>
      <w:lang w:val="en-GB"/>
    </w:rPr>
  </w:style>
  <w:style w:type="character" w:customStyle="1" w:styleId="Heading7Char">
    <w:name w:val="Heading 7 Char"/>
    <w:basedOn w:val="DefaultParagraphFont"/>
    <w:link w:val="Heading7"/>
    <w:uiPriority w:val="99"/>
    <w:rsid w:val="004F7AA9"/>
    <w:rPr>
      <w:rFonts w:ascii="Times New Roman" w:eastAsia="SimSun" w:hAnsi="Times New Roman" w:cs="Times New Roman"/>
      <w:i/>
      <w:sz w:val="20"/>
      <w:szCs w:val="20"/>
      <w:lang w:val="en-GB"/>
    </w:rPr>
  </w:style>
  <w:style w:type="character" w:customStyle="1" w:styleId="Heading8Char">
    <w:name w:val="Heading 8 Char"/>
    <w:basedOn w:val="DefaultParagraphFont"/>
    <w:link w:val="Heading8"/>
    <w:uiPriority w:val="99"/>
    <w:rsid w:val="004F7AA9"/>
    <w:rPr>
      <w:rFonts w:ascii="Times New Roman" w:eastAsia="SimSun" w:hAnsi="Times New Roman" w:cs="Times New Roman"/>
      <w:b/>
      <w:i/>
      <w:sz w:val="20"/>
      <w:szCs w:val="20"/>
      <w:lang w:val="en-GB"/>
    </w:rPr>
  </w:style>
  <w:style w:type="character" w:customStyle="1" w:styleId="Heading9Char">
    <w:name w:val="Heading 9 Char"/>
    <w:basedOn w:val="DefaultParagraphFont"/>
    <w:link w:val="Heading9"/>
    <w:uiPriority w:val="99"/>
    <w:rsid w:val="004F7AA9"/>
    <w:rPr>
      <w:rFonts w:ascii="Times New Roman" w:eastAsia="SimSun" w:hAnsi="Times New Roman" w:cs="Times New Roman"/>
      <w:b/>
      <w:i/>
      <w:sz w:val="20"/>
      <w:szCs w:val="20"/>
      <w:lang w:val="en-GB"/>
    </w:rPr>
  </w:style>
  <w:style w:type="paragraph" w:styleId="Footer">
    <w:name w:val="footer"/>
    <w:basedOn w:val="Normal"/>
    <w:link w:val="FooterChar"/>
    <w:rsid w:val="004F7AA9"/>
    <w:pPr>
      <w:tabs>
        <w:tab w:val="center" w:pos="4536"/>
        <w:tab w:val="right" w:pos="8306"/>
      </w:tabs>
    </w:pPr>
    <w:rPr>
      <w:sz w:val="20"/>
    </w:rPr>
  </w:style>
  <w:style w:type="character" w:customStyle="1" w:styleId="FooterChar">
    <w:name w:val="Footer Char"/>
    <w:basedOn w:val="DefaultParagraphFont"/>
    <w:link w:val="Footer"/>
    <w:rsid w:val="004F7AA9"/>
    <w:rPr>
      <w:rFonts w:ascii="Times New Roman" w:eastAsia="Times New Roman" w:hAnsi="Times New Roman" w:cs="Times New Roman"/>
      <w:snapToGrid w:val="0"/>
      <w:sz w:val="20"/>
      <w:szCs w:val="20"/>
      <w:lang w:val="en-GB"/>
    </w:rPr>
  </w:style>
  <w:style w:type="character" w:customStyle="1" w:styleId="HeaderChar">
    <w:name w:val="Header Char"/>
    <w:rsid w:val="004F7AA9"/>
    <w:rPr>
      <w:snapToGrid w:val="0"/>
      <w:sz w:val="22"/>
      <w:lang w:val="en-GB" w:eastAsia="en-US"/>
    </w:rPr>
  </w:style>
  <w:style w:type="character" w:styleId="PageNumber">
    <w:name w:val="page number"/>
    <w:rsid w:val="004F7AA9"/>
    <w:rPr>
      <w:rFonts w:cs="Times New Roman"/>
    </w:rPr>
  </w:style>
  <w:style w:type="character" w:styleId="Hyperlink">
    <w:name w:val="Hyperlink"/>
    <w:rsid w:val="004F7AA9"/>
    <w:rPr>
      <w:color w:val="0000FF"/>
      <w:u w:val="single"/>
    </w:rPr>
  </w:style>
  <w:style w:type="paragraph" w:customStyle="1" w:styleId="BodytextAgency">
    <w:name w:val="Body text (Agency)"/>
    <w:basedOn w:val="Normal"/>
    <w:link w:val="BodytextAgencyChar"/>
    <w:uiPriority w:val="99"/>
    <w:rsid w:val="004F7AA9"/>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4F7AA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Normal"/>
    <w:uiPriority w:val="99"/>
    <w:rsid w:val="004F7AA9"/>
    <w:pPr>
      <w:tabs>
        <w:tab w:val="clear" w:pos="567"/>
      </w:tabs>
      <w:spacing w:line="280" w:lineRule="exact"/>
    </w:pPr>
    <w:rPr>
      <w:rFonts w:ascii="Verdana" w:hAnsi="Verdana"/>
      <w:sz w:val="18"/>
    </w:rPr>
  </w:style>
  <w:style w:type="character" w:customStyle="1" w:styleId="tw4winError">
    <w:name w:val="tw4winError"/>
    <w:uiPriority w:val="99"/>
    <w:rsid w:val="004F7AA9"/>
    <w:rPr>
      <w:rFonts w:ascii="Courier New" w:hAnsi="Courier New"/>
      <w:color w:val="00FF00"/>
      <w:sz w:val="40"/>
    </w:rPr>
  </w:style>
  <w:style w:type="character" w:customStyle="1" w:styleId="tw4winTerm">
    <w:name w:val="tw4winTerm"/>
    <w:uiPriority w:val="99"/>
    <w:rsid w:val="004F7AA9"/>
    <w:rPr>
      <w:color w:val="0000FF"/>
    </w:rPr>
  </w:style>
  <w:style w:type="character" w:customStyle="1" w:styleId="tw4winPopup">
    <w:name w:val="tw4winPopup"/>
    <w:uiPriority w:val="99"/>
    <w:rsid w:val="004F7AA9"/>
    <w:rPr>
      <w:rFonts w:ascii="Courier New" w:hAnsi="Courier New"/>
      <w:noProof/>
      <w:color w:val="008000"/>
    </w:rPr>
  </w:style>
  <w:style w:type="character" w:customStyle="1" w:styleId="tw4winJump">
    <w:name w:val="tw4winJump"/>
    <w:uiPriority w:val="99"/>
    <w:rsid w:val="004F7AA9"/>
    <w:rPr>
      <w:rFonts w:ascii="Courier New" w:hAnsi="Courier New"/>
      <w:noProof/>
      <w:color w:val="008080"/>
    </w:rPr>
  </w:style>
  <w:style w:type="character" w:customStyle="1" w:styleId="tw4winExternal">
    <w:name w:val="tw4winExternal"/>
    <w:uiPriority w:val="99"/>
    <w:rsid w:val="004F7AA9"/>
    <w:rPr>
      <w:rFonts w:ascii="Courier New" w:hAnsi="Courier New"/>
      <w:noProof/>
      <w:color w:val="808080"/>
    </w:rPr>
  </w:style>
  <w:style w:type="character" w:customStyle="1" w:styleId="tw4winInternal">
    <w:name w:val="tw4winInternal"/>
    <w:uiPriority w:val="99"/>
    <w:rsid w:val="004F7AA9"/>
    <w:rPr>
      <w:rFonts w:ascii="Courier New" w:hAnsi="Courier New"/>
      <w:noProof/>
      <w:color w:val="FF0000"/>
    </w:rPr>
  </w:style>
  <w:style w:type="character" w:customStyle="1" w:styleId="DONOTTRANSLATE">
    <w:name w:val="DO_NOT_TRANSLATE"/>
    <w:uiPriority w:val="99"/>
    <w:rsid w:val="004F7AA9"/>
    <w:rPr>
      <w:rFonts w:ascii="Courier New" w:hAnsi="Courier New"/>
      <w:noProof/>
      <w:color w:val="800000"/>
    </w:rPr>
  </w:style>
  <w:style w:type="paragraph" w:styleId="BalloonText">
    <w:name w:val="Balloon Text"/>
    <w:basedOn w:val="Normal"/>
    <w:link w:val="BalloonTextChar"/>
    <w:rsid w:val="004F7AA9"/>
    <w:pPr>
      <w:spacing w:line="240" w:lineRule="auto"/>
    </w:pPr>
    <w:rPr>
      <w:rFonts w:ascii="Tahoma" w:hAnsi="Tahoma"/>
      <w:sz w:val="16"/>
      <w:szCs w:val="16"/>
    </w:rPr>
  </w:style>
  <w:style w:type="character" w:customStyle="1" w:styleId="BalloonTextChar">
    <w:name w:val="Balloon Text Char"/>
    <w:basedOn w:val="DefaultParagraphFont"/>
    <w:link w:val="BalloonText"/>
    <w:rsid w:val="004F7AA9"/>
    <w:rPr>
      <w:rFonts w:ascii="Tahoma" w:eastAsia="Times New Roman" w:hAnsi="Tahoma" w:cs="Times New Roman"/>
      <w:snapToGrid w:val="0"/>
      <w:sz w:val="16"/>
      <w:szCs w:val="16"/>
      <w:lang w:val="en-GB"/>
    </w:rPr>
  </w:style>
  <w:style w:type="character" w:styleId="CommentReference">
    <w:name w:val="annotation reference"/>
    <w:rsid w:val="004F7AA9"/>
    <w:rPr>
      <w:sz w:val="16"/>
      <w:szCs w:val="16"/>
    </w:rPr>
  </w:style>
  <w:style w:type="paragraph" w:styleId="CommentText">
    <w:name w:val="annotation text"/>
    <w:basedOn w:val="Normal"/>
    <w:link w:val="CommentTextChar"/>
    <w:rsid w:val="004F7AA9"/>
    <w:rPr>
      <w:sz w:val="20"/>
    </w:rPr>
  </w:style>
  <w:style w:type="character" w:customStyle="1" w:styleId="CommentTextChar">
    <w:name w:val="Comment Text Char"/>
    <w:basedOn w:val="DefaultParagraphFont"/>
    <w:link w:val="CommentText"/>
    <w:rsid w:val="004F7AA9"/>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rsid w:val="004F7AA9"/>
    <w:rPr>
      <w:b/>
      <w:bCs/>
    </w:rPr>
  </w:style>
  <w:style w:type="character" w:customStyle="1" w:styleId="CommentSubjectChar">
    <w:name w:val="Comment Subject Char"/>
    <w:basedOn w:val="CommentTextChar"/>
    <w:link w:val="CommentSubject"/>
    <w:rsid w:val="004F7AA9"/>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4F7AA9"/>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Normal"/>
    <w:uiPriority w:val="99"/>
    <w:rsid w:val="004F7AA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4F7AA9"/>
    <w:rPr>
      <w:rFonts w:ascii="Courier New" w:hAnsi="Courier New"/>
      <w:vanish/>
      <w:color w:val="800080"/>
      <w:sz w:val="24"/>
      <w:vertAlign w:val="subscript"/>
    </w:rPr>
  </w:style>
  <w:style w:type="paragraph" w:styleId="Header">
    <w:name w:val="header"/>
    <w:basedOn w:val="Normal"/>
    <w:link w:val="HeaderChar1"/>
    <w:uiPriority w:val="99"/>
    <w:rsid w:val="004F7AA9"/>
    <w:pPr>
      <w:tabs>
        <w:tab w:val="clear" w:pos="567"/>
        <w:tab w:val="center" w:pos="4320"/>
        <w:tab w:val="right" w:pos="8640"/>
      </w:tabs>
    </w:pPr>
    <w:rPr>
      <w:rFonts w:eastAsia="SimSun"/>
      <w:snapToGrid/>
      <w:sz w:val="20"/>
      <w:lang w:eastAsia="zh-CN"/>
    </w:rPr>
  </w:style>
  <w:style w:type="character" w:customStyle="1" w:styleId="HeaderChar1">
    <w:name w:val="Header Char1"/>
    <w:basedOn w:val="DefaultParagraphFont"/>
    <w:link w:val="Header"/>
    <w:uiPriority w:val="99"/>
    <w:rsid w:val="004F7AA9"/>
    <w:rPr>
      <w:rFonts w:ascii="Times New Roman" w:eastAsia="SimSun" w:hAnsi="Times New Roman" w:cs="Times New Roman"/>
      <w:sz w:val="20"/>
      <w:szCs w:val="20"/>
      <w:lang w:val="en-GB" w:eastAsia="zh-CN"/>
    </w:rPr>
  </w:style>
  <w:style w:type="paragraph" w:styleId="DocumentMap">
    <w:name w:val="Document Map"/>
    <w:basedOn w:val="Normal"/>
    <w:link w:val="DocumentMapChar"/>
    <w:uiPriority w:val="99"/>
    <w:rsid w:val="004F7AA9"/>
    <w:pPr>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uiPriority w:val="99"/>
    <w:rsid w:val="004F7AA9"/>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4F7AA9"/>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BodyTextIndentChar">
    <w:name w:val="Body Text Indent Char"/>
    <w:basedOn w:val="DefaultParagraphFont"/>
    <w:link w:val="BodyTextIndent"/>
    <w:uiPriority w:val="99"/>
    <w:rsid w:val="004F7AA9"/>
    <w:rPr>
      <w:rFonts w:ascii="Times New Roman" w:eastAsia="SimSun" w:hAnsi="Times New Roman" w:cs="Times New Roman"/>
      <w:sz w:val="20"/>
      <w:szCs w:val="20"/>
      <w:lang w:val="en-GB" w:eastAsia="en-GB"/>
    </w:rPr>
  </w:style>
  <w:style w:type="paragraph" w:styleId="BodyText3">
    <w:name w:val="Body Text 3"/>
    <w:basedOn w:val="Normal"/>
    <w:link w:val="BodyText3Char"/>
    <w:uiPriority w:val="99"/>
    <w:rsid w:val="004F7AA9"/>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BodyText3Char">
    <w:name w:val="Body Text 3 Char"/>
    <w:basedOn w:val="DefaultParagraphFont"/>
    <w:link w:val="BodyText3"/>
    <w:uiPriority w:val="99"/>
    <w:rsid w:val="004F7AA9"/>
    <w:rPr>
      <w:rFonts w:ascii="Times New Roman" w:eastAsia="SimSun" w:hAnsi="Times New Roman" w:cs="Times New Roman"/>
      <w:color w:val="0000FF"/>
      <w:sz w:val="20"/>
      <w:szCs w:val="20"/>
      <w:lang w:val="en-GB" w:eastAsia="en-GB"/>
    </w:rPr>
  </w:style>
  <w:style w:type="paragraph" w:styleId="BodyTextIndent2">
    <w:name w:val="Body Text Indent 2"/>
    <w:basedOn w:val="Normal"/>
    <w:link w:val="BodyTextIndent2Char"/>
    <w:uiPriority w:val="99"/>
    <w:rsid w:val="004F7AA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BodyTextIndent2Char">
    <w:name w:val="Body Text Indent 2 Char"/>
    <w:basedOn w:val="DefaultParagraphFont"/>
    <w:link w:val="BodyTextIndent2"/>
    <w:uiPriority w:val="99"/>
    <w:rsid w:val="004F7AA9"/>
    <w:rPr>
      <w:rFonts w:ascii="Times New Roman" w:eastAsia="SimSun" w:hAnsi="Times New Roman" w:cs="Times New Roman"/>
      <w:b/>
      <w:bCs/>
      <w:color w:val="0000FF"/>
      <w:sz w:val="20"/>
      <w:szCs w:val="20"/>
      <w:lang w:val="en-GB"/>
    </w:rPr>
  </w:style>
  <w:style w:type="paragraph" w:styleId="BodyText">
    <w:name w:val="Body Text"/>
    <w:basedOn w:val="Normal"/>
    <w:link w:val="BodyTextChar"/>
    <w:uiPriority w:val="99"/>
    <w:rsid w:val="004F7AA9"/>
    <w:pPr>
      <w:tabs>
        <w:tab w:val="clear" w:pos="567"/>
      </w:tabs>
      <w:spacing w:line="240" w:lineRule="auto"/>
    </w:pPr>
    <w:rPr>
      <w:rFonts w:eastAsia="SimSun"/>
      <w:i/>
      <w:snapToGrid/>
      <w:color w:val="008000"/>
      <w:sz w:val="20"/>
    </w:rPr>
  </w:style>
  <w:style w:type="character" w:customStyle="1" w:styleId="BodyTextChar">
    <w:name w:val="Body Text Char"/>
    <w:basedOn w:val="DefaultParagraphFont"/>
    <w:link w:val="BodyText"/>
    <w:uiPriority w:val="99"/>
    <w:rsid w:val="004F7AA9"/>
    <w:rPr>
      <w:rFonts w:ascii="Times New Roman" w:eastAsia="SimSun" w:hAnsi="Times New Roman" w:cs="Times New Roman"/>
      <w:i/>
      <w:color w:val="008000"/>
      <w:sz w:val="20"/>
      <w:szCs w:val="20"/>
      <w:lang w:val="en-GB"/>
    </w:rPr>
  </w:style>
  <w:style w:type="paragraph" w:styleId="BodyText2">
    <w:name w:val="Body Text 2"/>
    <w:basedOn w:val="Normal"/>
    <w:link w:val="BodyText2Char"/>
    <w:uiPriority w:val="99"/>
    <w:rsid w:val="004F7AA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BodyText2Char">
    <w:name w:val="Body Text 2 Char"/>
    <w:basedOn w:val="DefaultParagraphFont"/>
    <w:link w:val="BodyText2"/>
    <w:uiPriority w:val="99"/>
    <w:rsid w:val="004F7AA9"/>
    <w:rPr>
      <w:rFonts w:ascii="Times New Roman" w:eastAsia="SimSun" w:hAnsi="Times New Roman" w:cs="Times New Roman"/>
      <w:b/>
      <w:bCs/>
      <w:color w:val="0000FF"/>
      <w:sz w:val="20"/>
      <w:szCs w:val="20"/>
      <w:u w:val="single"/>
      <w:lang w:val="en-GB"/>
    </w:rPr>
  </w:style>
  <w:style w:type="paragraph" w:customStyle="1" w:styleId="AHeader1">
    <w:name w:val="AHeader 1"/>
    <w:basedOn w:val="Normal"/>
    <w:uiPriority w:val="99"/>
    <w:rsid w:val="004F7AA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4F7AA9"/>
    <w:pPr>
      <w:tabs>
        <w:tab w:val="clear" w:pos="720"/>
        <w:tab w:val="num" w:pos="360"/>
      </w:tabs>
      <w:ind w:left="709" w:hanging="425"/>
    </w:pPr>
    <w:rPr>
      <w:sz w:val="22"/>
    </w:rPr>
  </w:style>
  <w:style w:type="paragraph" w:customStyle="1" w:styleId="AHeader3">
    <w:name w:val="AHeader 3"/>
    <w:basedOn w:val="AHeader2"/>
    <w:uiPriority w:val="99"/>
    <w:rsid w:val="004F7AA9"/>
    <w:pPr>
      <w:ind w:left="1276" w:hanging="567"/>
    </w:pPr>
  </w:style>
  <w:style w:type="paragraph" w:customStyle="1" w:styleId="AHeader2abc">
    <w:name w:val="AHeader 2 abc"/>
    <w:basedOn w:val="AHeader3"/>
    <w:uiPriority w:val="99"/>
    <w:rsid w:val="004F7AA9"/>
    <w:pPr>
      <w:jc w:val="both"/>
    </w:pPr>
    <w:rPr>
      <w:b w:val="0"/>
      <w:bCs w:val="0"/>
    </w:rPr>
  </w:style>
  <w:style w:type="paragraph" w:customStyle="1" w:styleId="AHeader3abc">
    <w:name w:val="AHeader 3 abc"/>
    <w:basedOn w:val="AHeader2abc"/>
    <w:uiPriority w:val="99"/>
    <w:rsid w:val="004F7AA9"/>
    <w:pPr>
      <w:ind w:left="1701" w:hanging="425"/>
    </w:pPr>
  </w:style>
  <w:style w:type="paragraph" w:styleId="BodyTextIndent3">
    <w:name w:val="Body Text Indent 3"/>
    <w:basedOn w:val="Normal"/>
    <w:link w:val="BodyTextIndent3Char"/>
    <w:uiPriority w:val="99"/>
    <w:rsid w:val="004F7AA9"/>
    <w:pPr>
      <w:tabs>
        <w:tab w:val="left" w:pos="1134"/>
      </w:tabs>
      <w:autoSpaceDE w:val="0"/>
      <w:autoSpaceDN w:val="0"/>
      <w:adjustRightInd w:val="0"/>
      <w:ind w:left="633"/>
      <w:jc w:val="both"/>
    </w:pPr>
    <w:rPr>
      <w:rFonts w:eastAsia="SimSun"/>
      <w:snapToGrid/>
      <w:sz w:val="20"/>
      <w:szCs w:val="21"/>
    </w:rPr>
  </w:style>
  <w:style w:type="character" w:customStyle="1" w:styleId="BodyTextIndent3Char">
    <w:name w:val="Body Text Indent 3 Char"/>
    <w:basedOn w:val="DefaultParagraphFont"/>
    <w:link w:val="BodyTextIndent3"/>
    <w:uiPriority w:val="99"/>
    <w:rsid w:val="004F7AA9"/>
    <w:rPr>
      <w:rFonts w:ascii="Times New Roman" w:eastAsia="SimSun" w:hAnsi="Times New Roman" w:cs="Times New Roman"/>
      <w:sz w:val="20"/>
      <w:szCs w:val="21"/>
      <w:lang w:val="en-GB"/>
    </w:rPr>
  </w:style>
  <w:style w:type="character" w:styleId="FollowedHyperlink">
    <w:name w:val="FollowedHyperlink"/>
    <w:uiPriority w:val="99"/>
    <w:rsid w:val="004F7AA9"/>
    <w:rPr>
      <w:rFonts w:cs="Times New Roman"/>
      <w:color w:val="800080"/>
      <w:u w:val="single"/>
    </w:rPr>
  </w:style>
  <w:style w:type="character" w:styleId="Strong">
    <w:name w:val="Strong"/>
    <w:uiPriority w:val="99"/>
    <w:qFormat/>
    <w:rsid w:val="004F7AA9"/>
    <w:rPr>
      <w:rFonts w:cs="Times New Roman"/>
      <w:b/>
      <w:bCs/>
    </w:rPr>
  </w:style>
  <w:style w:type="character" w:customStyle="1" w:styleId="BodytextAgencyChar">
    <w:name w:val="Body text (Agency) Char"/>
    <w:link w:val="BodytextAgency"/>
    <w:uiPriority w:val="99"/>
    <w:locked/>
    <w:rsid w:val="004F7AA9"/>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4F7AA9"/>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F7AA9"/>
    <w:pPr>
      <w:keepNext/>
    </w:pPr>
    <w:rPr>
      <w:rFonts w:eastAsia="SimSun" w:cs="Verdana"/>
      <w:b/>
      <w:snapToGrid/>
      <w:szCs w:val="18"/>
      <w:lang w:eastAsia="en-GB"/>
    </w:rPr>
  </w:style>
  <w:style w:type="character" w:customStyle="1" w:styleId="NormalAgencyChar">
    <w:name w:val="Normal (Agency) Char"/>
    <w:link w:val="NormalAgency"/>
    <w:uiPriority w:val="99"/>
    <w:locked/>
    <w:rsid w:val="004F7AA9"/>
    <w:rPr>
      <w:rFonts w:ascii="Verdana" w:eastAsia="Times New Roman" w:hAnsi="Verdana" w:cs="Times New Roman"/>
      <w:snapToGrid w:val="0"/>
      <w:sz w:val="18"/>
      <w:lang w:val="en-GB" w:eastAsia="lt-LT"/>
    </w:rPr>
  </w:style>
  <w:style w:type="paragraph" w:styleId="PlainText">
    <w:name w:val="Plain Text"/>
    <w:basedOn w:val="Normal"/>
    <w:link w:val="PlainTextChar"/>
    <w:uiPriority w:val="99"/>
    <w:rsid w:val="004F7AA9"/>
    <w:pPr>
      <w:tabs>
        <w:tab w:val="clear" w:pos="567"/>
      </w:tabs>
      <w:spacing w:line="240" w:lineRule="auto"/>
    </w:pPr>
    <w:rPr>
      <w:rFonts w:ascii="Courier New" w:eastAsia="SimSun" w:hAnsi="Courier New"/>
      <w:snapToGrid/>
      <w:sz w:val="20"/>
      <w:lang w:val="en-US"/>
    </w:rPr>
  </w:style>
  <w:style w:type="character" w:customStyle="1" w:styleId="PlainTextChar">
    <w:name w:val="Plain Text Char"/>
    <w:basedOn w:val="DefaultParagraphFont"/>
    <w:link w:val="PlainText"/>
    <w:uiPriority w:val="99"/>
    <w:rsid w:val="004F7AA9"/>
    <w:rPr>
      <w:rFonts w:ascii="Courier New" w:eastAsia="SimSun" w:hAnsi="Courier New" w:cs="Times New Roman"/>
      <w:sz w:val="20"/>
      <w:szCs w:val="20"/>
      <w:lang w:val="en-US"/>
    </w:rPr>
  </w:style>
  <w:style w:type="paragraph" w:customStyle="1" w:styleId="Default">
    <w:name w:val="Default"/>
    <w:rsid w:val="004F7AA9"/>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Title">
    <w:name w:val="Title"/>
    <w:basedOn w:val="Normal"/>
    <w:link w:val="TitleChar"/>
    <w:uiPriority w:val="99"/>
    <w:qFormat/>
    <w:rsid w:val="004F7AA9"/>
    <w:pPr>
      <w:tabs>
        <w:tab w:val="clear" w:pos="567"/>
      </w:tabs>
      <w:spacing w:line="240" w:lineRule="auto"/>
      <w:jc w:val="center"/>
    </w:pPr>
    <w:rPr>
      <w:rFonts w:eastAsia="SimSun"/>
      <w:b/>
      <w:snapToGrid/>
      <w:sz w:val="20"/>
    </w:rPr>
  </w:style>
  <w:style w:type="character" w:customStyle="1" w:styleId="TitleChar">
    <w:name w:val="Title Char"/>
    <w:basedOn w:val="DefaultParagraphFont"/>
    <w:link w:val="Title"/>
    <w:uiPriority w:val="99"/>
    <w:rsid w:val="004F7AA9"/>
    <w:rPr>
      <w:rFonts w:ascii="Times New Roman" w:eastAsia="SimSun" w:hAnsi="Times New Roman" w:cs="Times New Roman"/>
      <w:b/>
      <w:sz w:val="20"/>
      <w:szCs w:val="20"/>
      <w:lang w:val="en-GB"/>
    </w:rPr>
  </w:style>
  <w:style w:type="paragraph" w:styleId="EndnoteText">
    <w:name w:val="endnote text"/>
    <w:basedOn w:val="Normal"/>
    <w:link w:val="EndnoteTextChar"/>
    <w:uiPriority w:val="99"/>
    <w:rsid w:val="004F7AA9"/>
    <w:pPr>
      <w:spacing w:line="240" w:lineRule="auto"/>
    </w:pPr>
    <w:rPr>
      <w:rFonts w:eastAsia="SimSun"/>
      <w:snapToGrid/>
      <w:sz w:val="20"/>
    </w:rPr>
  </w:style>
  <w:style w:type="character" w:customStyle="1" w:styleId="EndnoteTextChar">
    <w:name w:val="Endnote Text Char"/>
    <w:basedOn w:val="DefaultParagraphFont"/>
    <w:link w:val="EndnoteText"/>
    <w:uiPriority w:val="99"/>
    <w:rsid w:val="004F7AA9"/>
    <w:rPr>
      <w:rFonts w:ascii="Times New Roman" w:eastAsia="SimSun" w:hAnsi="Times New Roman" w:cs="Times New Roman"/>
      <w:sz w:val="20"/>
      <w:szCs w:val="20"/>
      <w:lang w:val="en-GB"/>
    </w:rPr>
  </w:style>
  <w:style w:type="paragraph" w:customStyle="1" w:styleId="BTEMEASMCA">
    <w:name w:val="BT EMEA_SMCA"/>
    <w:basedOn w:val="Normal"/>
    <w:link w:val="BTEMEASMCAChar"/>
    <w:autoRedefine/>
    <w:uiPriority w:val="99"/>
    <w:rsid w:val="004F7AA9"/>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4F7AA9"/>
    <w:rPr>
      <w:rFonts w:ascii="Times New Roman" w:eastAsia="SimSun" w:hAnsi="Times New Roman" w:cs="Times New Roman"/>
      <w:noProof/>
      <w:sz w:val="20"/>
      <w:szCs w:val="20"/>
      <w:lang w:val="en-GB"/>
    </w:rPr>
  </w:style>
  <w:style w:type="character" w:customStyle="1" w:styleId="CharChar12">
    <w:name w:val="Char Char12"/>
    <w:locked/>
    <w:rsid w:val="004F7AA9"/>
    <w:rPr>
      <w:snapToGrid w:val="0"/>
      <w:lang w:val="en-GB" w:eastAsia="en-US" w:bidi="ar-SA"/>
    </w:rPr>
  </w:style>
  <w:style w:type="numbering" w:customStyle="1" w:styleId="NoList1">
    <w:name w:val="No List1"/>
    <w:next w:val="NoList"/>
    <w:uiPriority w:val="99"/>
    <w:semiHidden/>
    <w:unhideWhenUsed/>
    <w:rsid w:val="004F7AA9"/>
  </w:style>
  <w:style w:type="paragraph" w:styleId="ListParagraph">
    <w:name w:val="List Paragraph"/>
    <w:basedOn w:val="Normal"/>
    <w:qFormat/>
    <w:rsid w:val="004F7AA9"/>
    <w:pPr>
      <w:widowControl w:val="0"/>
      <w:tabs>
        <w:tab w:val="clear" w:pos="567"/>
      </w:tabs>
      <w:spacing w:after="200" w:line="276" w:lineRule="auto"/>
      <w:ind w:left="720"/>
      <w:contextualSpacing/>
    </w:pPr>
    <w:rPr>
      <w:rFonts w:ascii="Calibri" w:hAnsi="Calibri"/>
      <w:snapToGrid/>
      <w:szCs w:val="22"/>
      <w:lang w:val="lt-LT"/>
    </w:rPr>
  </w:style>
  <w:style w:type="paragraph" w:styleId="NoSpacing">
    <w:name w:val="No Spacing"/>
    <w:qFormat/>
    <w:rsid w:val="004F7AA9"/>
    <w:pPr>
      <w:widowControl w:val="0"/>
      <w:spacing w:after="0" w:line="240" w:lineRule="auto"/>
    </w:pPr>
    <w:rPr>
      <w:rFonts w:ascii="Calibri" w:eastAsia="Times New Roman" w:hAnsi="Calibri" w:cs="Times New Roman"/>
      <w:lang w:val="en-US"/>
    </w:rPr>
  </w:style>
  <w:style w:type="paragraph" w:customStyle="1" w:styleId="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w:basedOn w:val="Normal"/>
    <w:rsid w:val="004F7AA9"/>
    <w:pPr>
      <w:tabs>
        <w:tab w:val="clear" w:pos="567"/>
      </w:tabs>
      <w:spacing w:after="160" w:line="240" w:lineRule="exact"/>
    </w:pPr>
    <w:rPr>
      <w:rFonts w:ascii="Verdana" w:eastAsia="Calibri" w:hAnsi="Verdana" w:cs="Verdana"/>
      <w:snapToGrid/>
      <w:sz w:val="20"/>
    </w:rPr>
  </w:style>
  <w:style w:type="table" w:styleId="TableGrid">
    <w:name w:val="Table Grid"/>
    <w:basedOn w:val="TableNormal"/>
    <w:rsid w:val="004F7AA9"/>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qFormat/>
    <w:rsid w:val="004F7AA9"/>
    <w:pPr>
      <w:widowControl w:val="0"/>
      <w:tabs>
        <w:tab w:val="clear" w:pos="567"/>
      </w:tabs>
      <w:spacing w:after="200" w:line="276" w:lineRule="auto"/>
      <w:ind w:left="720"/>
      <w:contextualSpacing/>
    </w:pPr>
    <w:rPr>
      <w:rFonts w:ascii="Calibri" w:hAnsi="Calibri"/>
      <w:snapToGrid/>
      <w:szCs w:val="22"/>
      <w:lang w:val="lt-LT"/>
    </w:rPr>
  </w:style>
  <w:style w:type="paragraph" w:customStyle="1" w:styleId="Betarp1">
    <w:name w:val="Be tarpų1"/>
    <w:qFormat/>
    <w:rsid w:val="004F7AA9"/>
    <w:pPr>
      <w:widowControl w:val="0"/>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46943</Words>
  <Characters>26758</Characters>
  <Application>Microsoft Office Word</Application>
  <DocSecurity>0</DocSecurity>
  <Lines>222</Lines>
  <Paragraphs>147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Mažuolienė</dc:creator>
  <cp:lastModifiedBy>Birutė Valkauskaitė</cp:lastModifiedBy>
  <cp:revision>3</cp:revision>
  <dcterms:created xsi:type="dcterms:W3CDTF">2022-02-03T11:45:00Z</dcterms:created>
  <dcterms:modified xsi:type="dcterms:W3CDTF">2022-02-03T11:46:00Z</dcterms:modified>
</cp:coreProperties>
</file>