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75D" w:rsidRPr="00464A7D" w:rsidRDefault="00D7375D" w:rsidP="00D7375D">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464A7D">
        <w:rPr>
          <w:rFonts w:ascii="Times New Roman" w:hAnsi="Times New Roman"/>
          <w:b/>
          <w:lang w:val="lt-LT"/>
        </w:rPr>
        <w:t>Pakuotės lapelis: informacija vartotojui</w:t>
      </w:r>
    </w:p>
    <w:p w:rsidR="00D7375D" w:rsidRPr="00464A7D" w:rsidRDefault="00D7375D" w:rsidP="00D7375D">
      <w:pPr>
        <w:numPr>
          <w:ilvl w:val="12"/>
          <w:numId w:val="0"/>
        </w:numPr>
        <w:shd w:val="clear" w:color="auto" w:fill="FFFFFF"/>
        <w:spacing w:after="0" w:line="240" w:lineRule="auto"/>
        <w:contextualSpacing/>
        <w:jc w:val="center"/>
        <w:rPr>
          <w:rFonts w:ascii="Times New Roman" w:hAnsi="Times New Roman"/>
          <w:lang w:val="lt-LT"/>
        </w:rPr>
      </w:pPr>
    </w:p>
    <w:p w:rsidR="00D7375D" w:rsidRPr="00464A7D" w:rsidRDefault="00D7375D" w:rsidP="00D7375D">
      <w:pPr>
        <w:tabs>
          <w:tab w:val="left" w:pos="567"/>
        </w:tabs>
        <w:spacing w:after="0" w:line="240" w:lineRule="auto"/>
        <w:contextualSpacing/>
        <w:jc w:val="center"/>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100 mg/100 mg/1 mg/20 mg/2 ml injekcinis tirpalas</w:t>
      </w:r>
    </w:p>
    <w:p w:rsidR="00D7375D" w:rsidRDefault="00D7375D" w:rsidP="00D7375D">
      <w:pPr>
        <w:suppressAutoHyphens/>
        <w:spacing w:after="0" w:line="240" w:lineRule="auto"/>
        <w:ind w:left="142" w:hanging="142"/>
        <w:contextualSpacing/>
        <w:jc w:val="center"/>
        <w:rPr>
          <w:rFonts w:ascii="Times New Roman" w:hAnsi="Times New Roman"/>
          <w:lang w:val="lt-LT"/>
        </w:rPr>
      </w:pPr>
    </w:p>
    <w:p w:rsidR="00D7375D" w:rsidRPr="00464A7D" w:rsidRDefault="00D7375D" w:rsidP="00D7375D">
      <w:pPr>
        <w:suppressAutoHyphens/>
        <w:spacing w:after="0" w:line="240" w:lineRule="auto"/>
        <w:ind w:left="142" w:hanging="142"/>
        <w:contextualSpacing/>
        <w:jc w:val="center"/>
        <w:rPr>
          <w:rFonts w:ascii="Times New Roman" w:eastAsiaTheme="minorHAnsi" w:hAnsi="Times New Roman" w:cstheme="minorBidi"/>
          <w:lang w:val="lt-LT"/>
        </w:rPr>
      </w:pPr>
      <w:proofErr w:type="spellStart"/>
      <w:r>
        <w:rPr>
          <w:rFonts w:ascii="Times New Roman" w:hAnsi="Times New Roman"/>
          <w:lang w:val="lt-LT"/>
        </w:rPr>
        <w:t>P</w:t>
      </w:r>
      <w:r w:rsidRPr="00464A7D">
        <w:rPr>
          <w:rFonts w:ascii="Times New Roman" w:hAnsi="Times New Roman"/>
          <w:lang w:val="lt-LT"/>
        </w:rPr>
        <w:t>iridoksino</w:t>
      </w:r>
      <w:proofErr w:type="spellEnd"/>
      <w:r w:rsidRPr="00464A7D">
        <w:rPr>
          <w:rFonts w:ascii="Times New Roman" w:hAnsi="Times New Roman"/>
          <w:lang w:val="lt-LT"/>
        </w:rPr>
        <w:t xml:space="preserve"> hidrochloridas, tiamino hidrochloridas, </w:t>
      </w:r>
      <w:proofErr w:type="spellStart"/>
      <w:r w:rsidRPr="00464A7D">
        <w:rPr>
          <w:rFonts w:ascii="Times New Roman" w:hAnsi="Times New Roman"/>
          <w:lang w:val="lt-LT"/>
        </w:rPr>
        <w:t>cianokobalaminas</w:t>
      </w:r>
      <w:proofErr w:type="spellEnd"/>
      <w:r w:rsidRPr="00464A7D">
        <w:rPr>
          <w:rFonts w:ascii="Times New Roman" w:hAnsi="Times New Roman"/>
          <w:lang w:val="lt-LT"/>
        </w:rPr>
        <w:t xml:space="preserve">,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hidrochloridas</w:t>
      </w:r>
    </w:p>
    <w:p w:rsidR="00D7375D" w:rsidRPr="00464A7D" w:rsidRDefault="00D7375D" w:rsidP="00D7375D">
      <w:pPr>
        <w:suppressAutoHyphens/>
        <w:spacing w:after="0" w:line="240" w:lineRule="auto"/>
        <w:ind w:left="142" w:hanging="142"/>
        <w:contextualSpacing/>
        <w:rPr>
          <w:rFonts w:ascii="Times New Roman" w:hAnsi="Times New Roman"/>
          <w:lang w:val="lt-LT"/>
        </w:rPr>
      </w:pPr>
    </w:p>
    <w:p w:rsidR="00D7375D" w:rsidRPr="00464A7D" w:rsidRDefault="00D7375D" w:rsidP="00D7375D">
      <w:pPr>
        <w:suppressAutoHyphens/>
        <w:spacing w:after="0" w:line="240" w:lineRule="auto"/>
        <w:contextualSpacing/>
        <w:rPr>
          <w:rFonts w:ascii="Times New Roman" w:eastAsiaTheme="minorHAnsi" w:hAnsi="Times New Roman" w:cstheme="minorBidi"/>
          <w:lang w:val="lt-LT"/>
        </w:rPr>
      </w:pPr>
      <w:r w:rsidRPr="00464A7D">
        <w:rPr>
          <w:rFonts w:ascii="Times New Roman" w:hAnsi="Times New Roman"/>
          <w:b/>
          <w:lang w:val="lt-LT"/>
        </w:rPr>
        <w:t>Atidžiai perskaitykite visą šį lapelį, prieš pradėdami vartoti vaistą, nes jame pateikiama Jums svarbi informacija.</w:t>
      </w:r>
    </w:p>
    <w:p w:rsidR="00D7375D" w:rsidRPr="00464A7D" w:rsidRDefault="00D7375D" w:rsidP="00D7375D">
      <w:pPr>
        <w:numPr>
          <w:ilvl w:val="0"/>
          <w:numId w:val="1"/>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 xml:space="preserve">Neišmeskite šio lapelio, nes vėl gali prireikti jį perskaityti. </w:t>
      </w:r>
    </w:p>
    <w:p w:rsidR="00D7375D" w:rsidRPr="00464A7D" w:rsidRDefault="00D7375D" w:rsidP="00D7375D">
      <w:pPr>
        <w:numPr>
          <w:ilvl w:val="0"/>
          <w:numId w:val="1"/>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Jeigu kiltų daugiau klausimų, kreipkitės į gydytoją arba slaugytoją.</w:t>
      </w:r>
    </w:p>
    <w:p w:rsidR="00D7375D" w:rsidRPr="00464A7D" w:rsidRDefault="00D7375D" w:rsidP="00D7375D">
      <w:pPr>
        <w:tabs>
          <w:tab w:val="left" w:pos="567"/>
        </w:tabs>
        <w:spacing w:after="0" w:line="240" w:lineRule="auto"/>
        <w:ind w:left="567" w:right="-2"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Šis vaistas skirtas tik Jums, todėl kitiems žmonėms jo duoti negalima. Vaistas gali jiems pakenkti (net tiems, kurių ligos požymiai yra tokie patys kaip Jūsų).</w:t>
      </w:r>
      <w:r w:rsidRPr="00464A7D">
        <w:rPr>
          <w:rFonts w:ascii="Times New Roman" w:hAnsi="Times New Roman"/>
          <w:color w:val="008000"/>
          <w:lang w:val="lt-LT"/>
        </w:rPr>
        <w:t xml:space="preserve"> </w:t>
      </w:r>
    </w:p>
    <w:p w:rsidR="00D7375D" w:rsidRPr="00464A7D" w:rsidRDefault="00D7375D" w:rsidP="00D7375D">
      <w:pPr>
        <w:numPr>
          <w:ilvl w:val="0"/>
          <w:numId w:val="1"/>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Jeigu pasireiškė šalutinis poveikis (net jeigu jis šiame lapelyje nenurodytas), kreipkitės į gydytoją arba slaugytoją. Žr. 4 skyrių.</w:t>
      </w:r>
    </w:p>
    <w:p w:rsidR="00D7375D" w:rsidRPr="00464A7D" w:rsidRDefault="00D7375D" w:rsidP="00D7375D">
      <w:p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Apie ką rašoma šiame lapelyje?</w:t>
      </w:r>
    </w:p>
    <w:p w:rsidR="00D7375D" w:rsidRPr="00464A7D" w:rsidRDefault="00D7375D" w:rsidP="00D7375D">
      <w:pPr>
        <w:numPr>
          <w:ilvl w:val="12"/>
          <w:numId w:val="0"/>
        </w:numPr>
        <w:spacing w:after="0" w:line="240" w:lineRule="auto"/>
        <w:ind w:left="284" w:right="-2"/>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1.</w:t>
      </w:r>
      <w:r w:rsidRPr="00464A7D">
        <w:rPr>
          <w:rFonts w:ascii="Times New Roman" w:hAnsi="Times New Roman"/>
          <w:lang w:val="lt-LT"/>
        </w:rPr>
        <w:tab/>
        <w:t xml:space="preserve">Kas yra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ir kam jis vartojamas </w:t>
      </w: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2.</w:t>
      </w:r>
      <w:r w:rsidRPr="00464A7D">
        <w:rPr>
          <w:rFonts w:ascii="Times New Roman" w:hAnsi="Times New Roman"/>
          <w:lang w:val="lt-LT"/>
        </w:rPr>
        <w:tab/>
        <w:t xml:space="preserve">Kas žinotina prieš vartojant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3.</w:t>
      </w:r>
      <w:r w:rsidRPr="00464A7D">
        <w:rPr>
          <w:rFonts w:ascii="Times New Roman" w:hAnsi="Times New Roman"/>
          <w:lang w:val="lt-LT"/>
        </w:rPr>
        <w:tab/>
        <w:t xml:space="preserve">Kaip vartoti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4.</w:t>
      </w:r>
      <w:r w:rsidRPr="00464A7D">
        <w:rPr>
          <w:rFonts w:ascii="Times New Roman" w:hAnsi="Times New Roman"/>
          <w:lang w:val="lt-LT"/>
        </w:rPr>
        <w:tab/>
        <w:t xml:space="preserve">Galimas šalutinis poveikis </w:t>
      </w: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5.</w:t>
      </w:r>
      <w:r w:rsidRPr="00464A7D">
        <w:rPr>
          <w:rFonts w:ascii="Times New Roman" w:hAnsi="Times New Roman"/>
          <w:lang w:val="lt-LT"/>
        </w:rPr>
        <w:tab/>
        <w:t xml:space="preserve">Kaip laikyti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6.</w:t>
      </w:r>
      <w:r w:rsidRPr="00464A7D">
        <w:rPr>
          <w:rFonts w:ascii="Times New Roman" w:hAnsi="Times New Roman"/>
          <w:lang w:val="lt-LT"/>
        </w:rPr>
        <w:tab/>
        <w:t>Pakuotės turinys ir kita informacija</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1.</w:t>
      </w:r>
      <w:r w:rsidRPr="00464A7D">
        <w:rPr>
          <w:rFonts w:ascii="Times New Roman" w:hAnsi="Times New Roman"/>
          <w:b/>
          <w:lang w:val="lt-LT"/>
        </w:rPr>
        <w:tab/>
        <w:t xml:space="preserve">Kas yra </w:t>
      </w: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ir kam jis vartojamas</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veikliosios medžiagos yra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hidrochloridas (vitaminas B</w:t>
      </w:r>
      <w:r w:rsidRPr="00464A7D">
        <w:rPr>
          <w:rFonts w:ascii="Times New Roman" w:hAnsi="Times New Roman"/>
          <w:vertAlign w:val="subscript"/>
          <w:lang w:val="lt-LT"/>
        </w:rPr>
        <w:t>6</w:t>
      </w:r>
      <w:r w:rsidRPr="00464A7D">
        <w:rPr>
          <w:rFonts w:ascii="Times New Roman" w:hAnsi="Times New Roman"/>
          <w:lang w:val="lt-LT"/>
        </w:rPr>
        <w:t>), tiamino hidrochloridas (vitaminas B</w:t>
      </w:r>
      <w:r w:rsidRPr="00464A7D">
        <w:rPr>
          <w:rFonts w:ascii="Times New Roman" w:hAnsi="Times New Roman"/>
          <w:vertAlign w:val="subscript"/>
          <w:lang w:val="lt-LT"/>
        </w:rPr>
        <w:t>1</w:t>
      </w:r>
      <w:r w:rsidRPr="00464A7D">
        <w:rPr>
          <w:rFonts w:ascii="Times New Roman" w:hAnsi="Times New Roman"/>
          <w:lang w:val="lt-LT"/>
        </w:rPr>
        <w:t xml:space="preserve">), </w:t>
      </w:r>
      <w:proofErr w:type="spellStart"/>
      <w:r w:rsidRPr="00464A7D">
        <w:rPr>
          <w:rFonts w:ascii="Times New Roman" w:hAnsi="Times New Roman"/>
          <w:lang w:val="lt-LT"/>
        </w:rPr>
        <w:t>cianokobalaminas</w:t>
      </w:r>
      <w:proofErr w:type="spellEnd"/>
      <w:r w:rsidRPr="00464A7D">
        <w:rPr>
          <w:rFonts w:ascii="Times New Roman" w:hAnsi="Times New Roman"/>
          <w:lang w:val="lt-LT"/>
        </w:rPr>
        <w:t xml:space="preserve"> (vitaminas B</w:t>
      </w:r>
      <w:r w:rsidRPr="00464A7D">
        <w:rPr>
          <w:rFonts w:ascii="Times New Roman" w:hAnsi="Times New Roman"/>
          <w:vertAlign w:val="subscript"/>
          <w:lang w:val="lt-LT"/>
        </w:rPr>
        <w:t>12</w:t>
      </w:r>
      <w:r w:rsidRPr="00464A7D">
        <w:rPr>
          <w:rFonts w:ascii="Times New Roman" w:hAnsi="Times New Roman"/>
          <w:lang w:val="lt-LT"/>
        </w:rPr>
        <w:t xml:space="preserve">),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hidrochloridas.</w:t>
      </w:r>
    </w:p>
    <w:p w:rsidR="00D7375D" w:rsidRPr="00464A7D" w:rsidRDefault="00D7375D" w:rsidP="00D7375D">
      <w:pPr>
        <w:numPr>
          <w:ilvl w:val="12"/>
          <w:numId w:val="0"/>
        </w:numPr>
        <w:tabs>
          <w:tab w:val="left" w:pos="567"/>
        </w:tabs>
        <w:spacing w:after="0" w:line="240" w:lineRule="auto"/>
        <w:ind w:right="-2"/>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vartojamas hematologinių ir neurologinių simptomų, kuriuos sukėlė užsitęsęs vitaminų B</w:t>
      </w:r>
      <w:r w:rsidRPr="00464A7D">
        <w:rPr>
          <w:rFonts w:ascii="Times New Roman" w:hAnsi="Times New Roman"/>
          <w:vertAlign w:val="subscript"/>
          <w:lang w:val="lt-LT"/>
        </w:rPr>
        <w:t>1</w:t>
      </w:r>
      <w:r w:rsidRPr="00464A7D">
        <w:rPr>
          <w:rFonts w:ascii="Times New Roman" w:hAnsi="Times New Roman"/>
          <w:lang w:val="lt-LT"/>
        </w:rPr>
        <w:t>, B</w:t>
      </w:r>
      <w:r w:rsidRPr="00464A7D">
        <w:rPr>
          <w:rFonts w:ascii="Times New Roman" w:hAnsi="Times New Roman"/>
          <w:vertAlign w:val="subscript"/>
          <w:lang w:val="lt-LT"/>
        </w:rPr>
        <w:t>6</w:t>
      </w:r>
      <w:r w:rsidRPr="00464A7D">
        <w:rPr>
          <w:rFonts w:ascii="Times New Roman" w:hAnsi="Times New Roman"/>
          <w:lang w:val="lt-LT"/>
        </w:rPr>
        <w:t xml:space="preserve"> ir B</w:t>
      </w:r>
      <w:r w:rsidRPr="00464A7D">
        <w:rPr>
          <w:rFonts w:ascii="Times New Roman" w:hAnsi="Times New Roman"/>
          <w:vertAlign w:val="subscript"/>
          <w:lang w:val="lt-LT"/>
        </w:rPr>
        <w:t>12</w:t>
      </w:r>
      <w:r w:rsidRPr="00464A7D">
        <w:rPr>
          <w:rFonts w:ascii="Times New Roman" w:hAnsi="Times New Roman"/>
          <w:lang w:val="lt-LT"/>
        </w:rPr>
        <w:t xml:space="preserve"> trūkumas, gydymui suaugusiesiems ir 12 metų bei vyresniems vaikams.</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2.</w:t>
      </w:r>
      <w:r w:rsidRPr="00464A7D">
        <w:rPr>
          <w:rFonts w:ascii="Times New Roman" w:hAnsi="Times New Roman"/>
          <w:b/>
          <w:lang w:val="lt-LT"/>
        </w:rPr>
        <w:tab/>
        <w:t xml:space="preserve">Kas žinotina prieš vartojant </w:t>
      </w: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vartoti negalima</w:t>
      </w:r>
    </w:p>
    <w:p w:rsidR="00D7375D" w:rsidRPr="00464A7D" w:rsidRDefault="00D7375D" w:rsidP="00D7375D">
      <w:pPr>
        <w:numPr>
          <w:ilvl w:val="12"/>
          <w:numId w:val="0"/>
        </w:numPr>
        <w:tabs>
          <w:tab w:val="left" w:pos="567"/>
        </w:tabs>
        <w:spacing w:after="0" w:line="240" w:lineRule="auto"/>
        <w:ind w:left="567"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 xml:space="preserve">jeigu yra alergija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hidrochloridui (vitaminui B</w:t>
      </w:r>
      <w:r w:rsidRPr="00464A7D">
        <w:rPr>
          <w:rFonts w:ascii="Times New Roman" w:hAnsi="Times New Roman"/>
          <w:vertAlign w:val="subscript"/>
          <w:lang w:val="lt-LT"/>
        </w:rPr>
        <w:t>6</w:t>
      </w:r>
      <w:r w:rsidRPr="00464A7D">
        <w:rPr>
          <w:rFonts w:ascii="Times New Roman" w:hAnsi="Times New Roman"/>
          <w:lang w:val="lt-LT"/>
        </w:rPr>
        <w:t>), tiamino hidrochloridui (vitaminui B</w:t>
      </w:r>
      <w:r w:rsidRPr="00464A7D">
        <w:rPr>
          <w:rFonts w:ascii="Times New Roman" w:hAnsi="Times New Roman"/>
          <w:vertAlign w:val="subscript"/>
          <w:lang w:val="lt-LT"/>
        </w:rPr>
        <w:t>1</w:t>
      </w:r>
      <w:r w:rsidRPr="00464A7D">
        <w:rPr>
          <w:rFonts w:ascii="Times New Roman" w:hAnsi="Times New Roman"/>
          <w:lang w:val="lt-LT"/>
        </w:rPr>
        <w:t xml:space="preserve">), </w:t>
      </w:r>
      <w:proofErr w:type="spellStart"/>
      <w:r w:rsidRPr="00464A7D">
        <w:rPr>
          <w:rFonts w:ascii="Times New Roman" w:hAnsi="Times New Roman"/>
          <w:lang w:val="lt-LT"/>
        </w:rPr>
        <w:t>cianokobalaminui</w:t>
      </w:r>
      <w:proofErr w:type="spellEnd"/>
      <w:r w:rsidRPr="00464A7D">
        <w:rPr>
          <w:rFonts w:ascii="Times New Roman" w:hAnsi="Times New Roman"/>
          <w:lang w:val="lt-LT"/>
        </w:rPr>
        <w:t xml:space="preserve"> (vitaminui B</w:t>
      </w:r>
      <w:r w:rsidRPr="00464A7D">
        <w:rPr>
          <w:rFonts w:ascii="Times New Roman" w:hAnsi="Times New Roman"/>
          <w:vertAlign w:val="subscript"/>
          <w:lang w:val="lt-LT"/>
        </w:rPr>
        <w:t>12</w:t>
      </w:r>
      <w:r w:rsidRPr="00464A7D">
        <w:rPr>
          <w:rFonts w:ascii="Times New Roman" w:hAnsi="Times New Roman"/>
          <w:lang w:val="lt-LT"/>
        </w:rPr>
        <w:t xml:space="preserve">),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hidrochloridui arba bet kuriai pagalbinei šio vaisto medžiagai (jos išvardytos 6 skyriuje);</w:t>
      </w:r>
    </w:p>
    <w:p w:rsidR="00D7375D" w:rsidRPr="00464A7D" w:rsidRDefault="00D7375D" w:rsidP="00D7375D">
      <w:pPr>
        <w:numPr>
          <w:ilvl w:val="0"/>
          <w:numId w:val="5"/>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 xml:space="preserve">jeigu Jums yra sunkių širdies laidumo sutrikimų ir sergate ūminiu </w:t>
      </w:r>
      <w:proofErr w:type="spellStart"/>
      <w:r w:rsidRPr="00464A7D">
        <w:rPr>
          <w:rFonts w:ascii="Times New Roman" w:hAnsi="Times New Roman"/>
          <w:lang w:val="lt-LT"/>
        </w:rPr>
        <w:t>dekompensuotu</w:t>
      </w:r>
      <w:proofErr w:type="spellEnd"/>
      <w:r w:rsidRPr="00464A7D">
        <w:rPr>
          <w:rFonts w:ascii="Times New Roman" w:hAnsi="Times New Roman"/>
          <w:lang w:val="lt-LT"/>
        </w:rPr>
        <w:t xml:space="preserve"> širdies nepakankamumu;</w:t>
      </w:r>
    </w:p>
    <w:p w:rsidR="00D7375D" w:rsidRPr="00464A7D" w:rsidRDefault="00D7375D" w:rsidP="00D7375D">
      <w:pPr>
        <w:numPr>
          <w:ilvl w:val="0"/>
          <w:numId w:val="5"/>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 xml:space="preserve">nėštumo ir žindymo laikotarpiu. </w:t>
      </w:r>
    </w:p>
    <w:p w:rsidR="00D7375D" w:rsidRPr="00464A7D" w:rsidRDefault="00D7375D" w:rsidP="00D7375D">
      <w:pPr>
        <w:tabs>
          <w:tab w:val="left" w:pos="567"/>
        </w:tabs>
        <w:spacing w:after="0" w:line="240" w:lineRule="auto"/>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Sudėtyje yra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alkoholio, todėl vaisto negalima vartoti naujagimiams, ypač neišnešiotiems kūdikiams.</w:t>
      </w:r>
    </w:p>
    <w:p w:rsidR="00D7375D" w:rsidRPr="00464A7D" w:rsidRDefault="00D7375D" w:rsidP="00D7375D">
      <w:pPr>
        <w:numPr>
          <w:ilvl w:val="12"/>
          <w:numId w:val="0"/>
        </w:numPr>
        <w:tabs>
          <w:tab w:val="left" w:pos="567"/>
        </w:tabs>
        <w:spacing w:after="0" w:line="240" w:lineRule="auto"/>
        <w:contextualSpacing/>
        <w:rPr>
          <w:rFonts w:ascii="Times New Roman" w:eastAsiaTheme="minorHAnsi" w:hAnsi="Times New Roman" w:cstheme="minorBidi"/>
          <w:lang w:val="lt-LT"/>
        </w:rPr>
      </w:pPr>
      <w:proofErr w:type="spellStart"/>
      <w:r w:rsidRPr="00AE5720">
        <w:rPr>
          <w:rFonts w:ascii="Times New Roman" w:hAnsi="Times New Roman"/>
          <w:lang w:val="lt-LT"/>
        </w:rPr>
        <w:t>Vartot</w:t>
      </w:r>
      <w:r>
        <w:rPr>
          <w:rFonts w:ascii="Times New Roman" w:hAnsi="Times New Roman"/>
          <w:lang w:val="lt-LT"/>
        </w:rPr>
        <w:t>ant</w:t>
      </w:r>
      <w:proofErr w:type="spellEnd"/>
      <w:r w:rsidRPr="00AE5720">
        <w:rPr>
          <w:rFonts w:ascii="Times New Roman" w:hAnsi="Times New Roman"/>
          <w:lang w:val="lt-LT"/>
        </w:rPr>
        <w:t xml:space="preserve"> </w:t>
      </w:r>
      <w:proofErr w:type="spellStart"/>
      <w:r>
        <w:rPr>
          <w:rFonts w:ascii="Times New Roman" w:hAnsi="Times New Roman"/>
          <w:lang w:val="lt-LT"/>
        </w:rPr>
        <w:t>b</w:t>
      </w:r>
      <w:r w:rsidRPr="00464A7D">
        <w:rPr>
          <w:rFonts w:ascii="Times New Roman" w:hAnsi="Times New Roman"/>
          <w:lang w:val="lt-LT"/>
        </w:rPr>
        <w:t>enzilo</w:t>
      </w:r>
      <w:proofErr w:type="spellEnd"/>
      <w:r w:rsidRPr="00464A7D">
        <w:rPr>
          <w:rFonts w:ascii="Times New Roman" w:hAnsi="Times New Roman"/>
          <w:lang w:val="lt-LT"/>
        </w:rPr>
        <w:t xml:space="preserve"> alkoholio 90 mg ir </w:t>
      </w:r>
      <w:r w:rsidRPr="00AE5720">
        <w:rPr>
          <w:rFonts w:ascii="Times New Roman" w:hAnsi="Times New Roman"/>
          <w:lang w:val="lt-LT"/>
        </w:rPr>
        <w:t>daugiau</w:t>
      </w:r>
      <w:r w:rsidRPr="00464A7D">
        <w:rPr>
          <w:rFonts w:ascii="Times New Roman" w:hAnsi="Times New Roman"/>
          <w:lang w:val="lt-LT"/>
        </w:rPr>
        <w:t xml:space="preserve"> per parą: kūdikiams ir vaikams iki 3 metų gali sukelti toksinių ir </w:t>
      </w:r>
      <w:proofErr w:type="spellStart"/>
      <w:r w:rsidRPr="00464A7D">
        <w:rPr>
          <w:rFonts w:ascii="Times New Roman" w:hAnsi="Times New Roman"/>
          <w:lang w:val="lt-LT"/>
        </w:rPr>
        <w:t>anafilaktoidinių</w:t>
      </w:r>
      <w:proofErr w:type="spellEnd"/>
      <w:r w:rsidRPr="00464A7D">
        <w:rPr>
          <w:rFonts w:ascii="Times New Roman" w:hAnsi="Times New Roman"/>
          <w:lang w:val="lt-LT"/>
        </w:rPr>
        <w:t xml:space="preserve"> reakcijų.</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 xml:space="preserve">Įspėjimai ir atsargumo priemonės </w:t>
      </w: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Šį vaistą reikia leisti tik į raumenis (</w:t>
      </w:r>
      <w:proofErr w:type="spellStart"/>
      <w:r w:rsidRPr="00464A7D">
        <w:rPr>
          <w:rFonts w:ascii="Times New Roman" w:hAnsi="Times New Roman"/>
          <w:lang w:val="lt-LT"/>
        </w:rPr>
        <w:t>i.m</w:t>
      </w:r>
      <w:proofErr w:type="spellEnd"/>
      <w:r w:rsidRPr="00464A7D">
        <w:rPr>
          <w:rFonts w:ascii="Times New Roman" w:hAnsi="Times New Roman"/>
          <w:lang w:val="lt-LT"/>
        </w:rPr>
        <w:t>.), ne į veną (</w:t>
      </w:r>
      <w:proofErr w:type="spellStart"/>
      <w:r w:rsidRPr="00464A7D">
        <w:rPr>
          <w:rFonts w:ascii="Times New Roman" w:hAnsi="Times New Roman"/>
          <w:lang w:val="lt-LT"/>
        </w:rPr>
        <w:t>i.v</w:t>
      </w:r>
      <w:proofErr w:type="spellEnd"/>
      <w:r w:rsidRPr="00464A7D">
        <w:rPr>
          <w:rFonts w:ascii="Times New Roman" w:hAnsi="Times New Roman"/>
          <w:lang w:val="lt-LT"/>
        </w:rPr>
        <w:t>.). Jeigu netyčia buvo suleista į veną, priklausomai nuo simptomų sunkumo, Jūsų gydytojas Jus stebės, arba Jūs būsite paguldytas į ligoninę.</w:t>
      </w:r>
    </w:p>
    <w:p w:rsidR="00D7375D" w:rsidRPr="00464A7D" w:rsidRDefault="00D7375D" w:rsidP="00D7375D">
      <w:pPr>
        <w:numPr>
          <w:ilvl w:val="12"/>
          <w:numId w:val="0"/>
        </w:numPr>
        <w:tabs>
          <w:tab w:val="left" w:pos="567"/>
        </w:tabs>
        <w:spacing w:after="0" w:line="240" w:lineRule="auto"/>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lastRenderedPageBreak/>
        <w:t xml:space="preserve">Kiti vaistai ir </w:t>
      </w:r>
      <w:proofErr w:type="spellStart"/>
      <w:r w:rsidRPr="00464A7D">
        <w:rPr>
          <w:rFonts w:ascii="Times New Roman" w:hAnsi="Times New Roman"/>
          <w:b/>
          <w:lang w:val="lt-LT"/>
        </w:rPr>
        <w:t>Neiratax</w:t>
      </w:r>
      <w:proofErr w:type="spellEnd"/>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Jeigu vartojate ar neseniai vartojote kitų vaistų arba dėl to nesate tikri, apie tai pasakykite gydytojui.</w:t>
      </w:r>
    </w:p>
    <w:p w:rsidR="00D7375D" w:rsidRPr="00464A7D" w:rsidRDefault="00D7375D" w:rsidP="00D7375D">
      <w:pPr>
        <w:numPr>
          <w:ilvl w:val="12"/>
          <w:numId w:val="0"/>
        </w:numPr>
        <w:tabs>
          <w:tab w:val="left" w:pos="567"/>
        </w:tabs>
        <w:spacing w:after="0" w:line="240" w:lineRule="auto"/>
        <w:ind w:right="-2"/>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Ypač svarbūs yra šie vaistai:</w:t>
      </w:r>
    </w:p>
    <w:p w:rsidR="00D7375D" w:rsidRPr="00464A7D" w:rsidRDefault="00D7375D" w:rsidP="00D7375D">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tirpalai, kurių sudėtyje yra sulfitų (vitaminas B</w:t>
      </w:r>
      <w:r w:rsidRPr="00464A7D">
        <w:rPr>
          <w:rFonts w:ascii="Times New Roman" w:hAnsi="Times New Roman"/>
          <w:vertAlign w:val="subscript"/>
          <w:lang w:val="lt-LT"/>
        </w:rPr>
        <w:t>1</w:t>
      </w:r>
      <w:r w:rsidRPr="00464A7D">
        <w:rPr>
          <w:rFonts w:ascii="Times New Roman" w:hAnsi="Times New Roman"/>
          <w:lang w:val="lt-LT"/>
        </w:rPr>
        <w:t xml:space="preserve"> suyra sulfitų tirpaluose, kuriuose yra rūgšties. Dėl vitamino B</w:t>
      </w:r>
      <w:r w:rsidRPr="00464A7D">
        <w:rPr>
          <w:rFonts w:ascii="Times New Roman" w:hAnsi="Times New Roman"/>
          <w:vertAlign w:val="subscript"/>
          <w:lang w:val="lt-LT"/>
        </w:rPr>
        <w:t>1</w:t>
      </w:r>
      <w:r w:rsidRPr="00464A7D">
        <w:rPr>
          <w:rFonts w:ascii="Times New Roman" w:hAnsi="Times New Roman"/>
          <w:lang w:val="lt-LT"/>
        </w:rPr>
        <w:t xml:space="preserve"> irimo produktų kiti vitaminai gali tapti neaktyvūs);</w:t>
      </w:r>
    </w:p>
    <w:p w:rsidR="00D7375D" w:rsidRPr="00464A7D" w:rsidRDefault="00D7375D" w:rsidP="00D7375D">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izoniazidas</w:t>
      </w:r>
      <w:proofErr w:type="spellEnd"/>
      <w:r w:rsidRPr="00464A7D">
        <w:rPr>
          <w:rFonts w:ascii="Times New Roman" w:hAnsi="Times New Roman"/>
          <w:lang w:val="lt-LT"/>
        </w:rPr>
        <w:t xml:space="preserve">, </w:t>
      </w:r>
      <w:proofErr w:type="spellStart"/>
      <w:r w:rsidRPr="00464A7D">
        <w:rPr>
          <w:rFonts w:ascii="Times New Roman" w:hAnsi="Times New Roman"/>
          <w:lang w:val="lt-LT"/>
        </w:rPr>
        <w:t>cikloserinas</w:t>
      </w:r>
      <w:proofErr w:type="spellEnd"/>
      <w:r w:rsidRPr="00464A7D">
        <w:rPr>
          <w:rFonts w:ascii="Times New Roman" w:hAnsi="Times New Roman"/>
          <w:lang w:val="lt-LT"/>
        </w:rPr>
        <w:t xml:space="preserve"> - vartojami tuberkuliozei gydyti;</w:t>
      </w:r>
    </w:p>
    <w:p w:rsidR="00D7375D" w:rsidRPr="00464A7D" w:rsidRDefault="00D7375D" w:rsidP="00D7375D">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D-</w:t>
      </w:r>
      <w:proofErr w:type="spellStart"/>
      <w:r w:rsidRPr="00464A7D">
        <w:rPr>
          <w:rFonts w:ascii="Times New Roman" w:hAnsi="Times New Roman"/>
          <w:lang w:val="lt-LT"/>
        </w:rPr>
        <w:t>penicilaminas</w:t>
      </w:r>
      <w:proofErr w:type="spellEnd"/>
      <w:r w:rsidRPr="00464A7D">
        <w:rPr>
          <w:rFonts w:ascii="Times New Roman" w:hAnsi="Times New Roman"/>
          <w:lang w:val="lt-LT"/>
        </w:rPr>
        <w:t xml:space="preserve"> - vartojamas reumatoidinio artrito gydymui;</w:t>
      </w:r>
    </w:p>
    <w:p w:rsidR="00D7375D" w:rsidRPr="00464A7D" w:rsidRDefault="00D7375D" w:rsidP="00D7375D">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epinefrinas</w:t>
      </w:r>
      <w:proofErr w:type="spellEnd"/>
      <w:r w:rsidRPr="00464A7D">
        <w:rPr>
          <w:rFonts w:ascii="Times New Roman" w:hAnsi="Times New Roman"/>
          <w:lang w:val="lt-LT"/>
        </w:rPr>
        <w:t xml:space="preserve"> - vartojamas sunkios alerginės (anafilaksinės) reakcijos gydymui;</w:t>
      </w:r>
    </w:p>
    <w:p w:rsidR="00D7375D" w:rsidRPr="00464A7D" w:rsidRDefault="00D7375D" w:rsidP="00D7375D">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norepinefrinas</w:t>
      </w:r>
      <w:proofErr w:type="spellEnd"/>
      <w:r w:rsidRPr="00464A7D">
        <w:rPr>
          <w:rFonts w:ascii="Times New Roman" w:hAnsi="Times New Roman"/>
          <w:lang w:val="lt-LT"/>
        </w:rPr>
        <w:t xml:space="preserve"> - vartojamas depresijos ir mažo kraujospūdžio gydymui;</w:t>
      </w:r>
    </w:p>
    <w:p w:rsidR="00D7375D" w:rsidRPr="00464A7D" w:rsidRDefault="00D7375D" w:rsidP="00D7375D">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sulfonamidai</w:t>
      </w:r>
      <w:proofErr w:type="spellEnd"/>
      <w:r w:rsidRPr="00464A7D">
        <w:rPr>
          <w:rFonts w:ascii="Times New Roman" w:hAnsi="Times New Roman"/>
          <w:lang w:val="lt-LT"/>
        </w:rPr>
        <w:t xml:space="preserve"> - antibiotikai, kurie taip pat vartojami uždegiminėms žarnų ligoms gydyti;</w:t>
      </w:r>
    </w:p>
    <w:p w:rsidR="00D7375D" w:rsidRPr="00464A7D" w:rsidRDefault="00D7375D" w:rsidP="00D7375D">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levodopa</w:t>
      </w:r>
      <w:proofErr w:type="spellEnd"/>
      <w:r w:rsidRPr="00464A7D">
        <w:rPr>
          <w:rFonts w:ascii="Times New Roman" w:hAnsi="Times New Roman"/>
          <w:lang w:val="lt-LT"/>
        </w:rPr>
        <w:t xml:space="preserve"> - vartojama </w:t>
      </w:r>
      <w:proofErr w:type="spellStart"/>
      <w:r w:rsidRPr="00464A7D">
        <w:rPr>
          <w:rFonts w:ascii="Times New Roman" w:hAnsi="Times New Roman"/>
          <w:lang w:val="lt-LT"/>
        </w:rPr>
        <w:t>Parkinsono</w:t>
      </w:r>
      <w:proofErr w:type="spellEnd"/>
      <w:r w:rsidRPr="00464A7D">
        <w:rPr>
          <w:rFonts w:ascii="Times New Roman" w:hAnsi="Times New Roman"/>
          <w:lang w:val="lt-LT"/>
        </w:rPr>
        <w:t xml:space="preserve"> (</w:t>
      </w:r>
      <w:proofErr w:type="spellStart"/>
      <w:r w:rsidRPr="00464A7D">
        <w:rPr>
          <w:rFonts w:ascii="Times New Roman" w:hAnsi="Times New Roman"/>
          <w:i/>
          <w:lang w:val="lt-LT"/>
        </w:rPr>
        <w:t>Parkinson</w:t>
      </w:r>
      <w:proofErr w:type="spellEnd"/>
      <w:r w:rsidRPr="00464A7D">
        <w:rPr>
          <w:rFonts w:ascii="Times New Roman" w:hAnsi="Times New Roman"/>
          <w:lang w:val="lt-LT"/>
        </w:rPr>
        <w:t>) ligai gydyti.</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Nėštumas ir žindymo laikotarpis</w:t>
      </w:r>
    </w:p>
    <w:p w:rsidR="00D7375D" w:rsidRPr="00464A7D" w:rsidRDefault="00D7375D" w:rsidP="00D7375D">
      <w:pPr>
        <w:numPr>
          <w:ilvl w:val="12"/>
          <w:numId w:val="0"/>
        </w:num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Jeigu esate nėščia, žindote kūdikį, manote, kad galbūt esate nėščia, arba planuojate pastoti, tai prieš vartodama šį vaistą, pasitarkite su gydytoju arba slaugytoju.</w:t>
      </w:r>
    </w:p>
    <w:p w:rsidR="00D7375D" w:rsidRPr="00464A7D" w:rsidRDefault="00D7375D" w:rsidP="00D7375D">
      <w:pPr>
        <w:numPr>
          <w:ilvl w:val="12"/>
          <w:numId w:val="0"/>
        </w:numPr>
        <w:spacing w:after="0" w:line="240" w:lineRule="auto"/>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Saugi vitamino B</w:t>
      </w:r>
      <w:r w:rsidRPr="00464A7D">
        <w:rPr>
          <w:rFonts w:ascii="Times New Roman" w:hAnsi="Times New Roman"/>
          <w:vertAlign w:val="subscript"/>
          <w:lang w:val="lt-LT"/>
        </w:rPr>
        <w:t>6</w:t>
      </w:r>
      <w:r w:rsidRPr="00464A7D">
        <w:rPr>
          <w:rFonts w:ascii="Times New Roman" w:hAnsi="Times New Roman"/>
          <w:lang w:val="lt-LT"/>
        </w:rPr>
        <w:t xml:space="preserve"> paros dozė nėštumo ir žindymo laikotarpiu yra iki 25 mg. Kadangi šio vaisto vienoje 2 ml ampulėje yra 100 mg vitamino B</w:t>
      </w:r>
      <w:r w:rsidRPr="00464A7D">
        <w:rPr>
          <w:rFonts w:ascii="Times New Roman" w:hAnsi="Times New Roman"/>
          <w:vertAlign w:val="subscript"/>
          <w:lang w:val="lt-LT"/>
        </w:rPr>
        <w:t>6</w:t>
      </w:r>
      <w:r w:rsidRPr="00464A7D">
        <w:rPr>
          <w:rFonts w:ascii="Times New Roman" w:hAnsi="Times New Roman"/>
          <w:lang w:val="lt-LT"/>
        </w:rPr>
        <w:t>, jo negalima vartoti nėštumo ir žindymo laikotarpiu.</w:t>
      </w:r>
    </w:p>
    <w:p w:rsidR="00D7375D" w:rsidRPr="00464A7D" w:rsidRDefault="00D7375D" w:rsidP="00D7375D">
      <w:pPr>
        <w:numPr>
          <w:ilvl w:val="12"/>
          <w:numId w:val="0"/>
        </w:numPr>
        <w:spacing w:after="0" w:line="240" w:lineRule="auto"/>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Vairavimas ir mechanizmų valdymas</w:t>
      </w: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spacing w:val="-4"/>
          <w:lang w:val="lt-LT"/>
        </w:rPr>
      </w:pPr>
      <w:r w:rsidRPr="00464A7D">
        <w:rPr>
          <w:rFonts w:ascii="Times New Roman" w:hAnsi="Times New Roman"/>
          <w:spacing w:val="-4"/>
          <w:lang w:val="lt-LT"/>
        </w:rPr>
        <w:t xml:space="preserve">Gebėjimo vairuoti ir valdyti mechanizmus neveikia arba veikia nereikšmingai. </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sudėtyje yra </w:t>
      </w:r>
      <w:proofErr w:type="spellStart"/>
      <w:r w:rsidRPr="00464A7D">
        <w:rPr>
          <w:rFonts w:ascii="Times New Roman" w:hAnsi="Times New Roman"/>
          <w:b/>
          <w:lang w:val="lt-LT"/>
        </w:rPr>
        <w:t>benzilo</w:t>
      </w:r>
      <w:proofErr w:type="spellEnd"/>
      <w:r w:rsidRPr="00464A7D">
        <w:rPr>
          <w:rFonts w:ascii="Times New Roman" w:hAnsi="Times New Roman"/>
          <w:b/>
          <w:lang w:val="lt-LT"/>
        </w:rPr>
        <w:t xml:space="preserve"> alkoholio, natrio ir kalio</w:t>
      </w:r>
    </w:p>
    <w:p w:rsidR="00D7375D" w:rsidRPr="00464A7D" w:rsidRDefault="00D7375D" w:rsidP="00D7375D">
      <w:pPr>
        <w:tabs>
          <w:tab w:val="left" w:pos="567"/>
        </w:tabs>
        <w:spacing w:after="0" w:line="240" w:lineRule="auto"/>
        <w:contextualSpacing/>
        <w:rPr>
          <w:rFonts w:ascii="Times New Roman" w:hAnsi="Times New Roman"/>
          <w:i/>
          <w:iCs/>
          <w:lang w:val="lt-LT"/>
        </w:rPr>
      </w:pPr>
      <w:proofErr w:type="spellStart"/>
      <w:r w:rsidRPr="00464A7D">
        <w:rPr>
          <w:rFonts w:ascii="Times New Roman" w:hAnsi="Times New Roman"/>
          <w:i/>
          <w:iCs/>
          <w:lang w:val="lt-LT"/>
        </w:rPr>
        <w:t>Benzilo</w:t>
      </w:r>
      <w:proofErr w:type="spellEnd"/>
      <w:r w:rsidRPr="00464A7D">
        <w:rPr>
          <w:rFonts w:ascii="Times New Roman" w:hAnsi="Times New Roman"/>
          <w:i/>
          <w:iCs/>
          <w:lang w:val="lt-LT"/>
        </w:rPr>
        <w:t xml:space="preserve"> alkoholis:</w:t>
      </w:r>
    </w:p>
    <w:p w:rsidR="00D7375D" w:rsidRPr="00464A7D" w:rsidRDefault="00D7375D" w:rsidP="00D7375D">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 xml:space="preserve">Kiekvienoje šio vaisto ampulėje yra 40 mg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alkoholio, tai atitinka 20 mg/ml.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gali sukelti alerginių reakcijų.</w:t>
      </w:r>
    </w:p>
    <w:p w:rsidR="00D7375D" w:rsidRPr="00464A7D" w:rsidRDefault="00D7375D" w:rsidP="00D7375D">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Negalima skirti neišnešiotiems kūdikiams ir naujagimiams.</w:t>
      </w:r>
    </w:p>
    <w:p w:rsidR="00D7375D" w:rsidRPr="00464A7D" w:rsidRDefault="00D7375D" w:rsidP="00D7375D">
      <w:pPr>
        <w:pStyle w:val="Sraopastraipa"/>
        <w:numPr>
          <w:ilvl w:val="0"/>
          <w:numId w:val="3"/>
        </w:numPr>
        <w:tabs>
          <w:tab w:val="left" w:pos="567"/>
        </w:tabs>
        <w:spacing w:after="0" w:line="240" w:lineRule="auto"/>
        <w:ind w:left="567" w:right="-2" w:hanging="567"/>
        <w:rPr>
          <w:rFonts w:ascii="Times New Roman" w:hAnsi="Times New Roman"/>
          <w:lang w:val="lt-LT"/>
        </w:rPr>
      </w:pPr>
      <w:r w:rsidRPr="00464A7D">
        <w:rPr>
          <w:rFonts w:ascii="Times New Roman" w:hAnsi="Times New Roman"/>
          <w:lang w:val="lt-LT"/>
        </w:rPr>
        <w:t>Kūdikiams ir vaikams iki 3 metų gali sukelti toksinių ir alerginių reakcijų.</w:t>
      </w:r>
    </w:p>
    <w:p w:rsidR="00D7375D" w:rsidRPr="00464A7D" w:rsidRDefault="00D7375D" w:rsidP="00D7375D">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eastAsiaTheme="minorHAnsi" w:hAnsi="Times New Roman" w:cstheme="minorBidi"/>
          <w:lang w:val="lt-LT"/>
        </w:rPr>
        <w:t xml:space="preserve">Pasitarkite su gydytoju arba vaistininku, jeigu sergate kepenų arba inkstų ligomis, kadangi didelis </w:t>
      </w:r>
      <w:proofErr w:type="spellStart"/>
      <w:r w:rsidRPr="00464A7D">
        <w:rPr>
          <w:rFonts w:ascii="Times New Roman" w:eastAsiaTheme="minorHAnsi" w:hAnsi="Times New Roman" w:cstheme="minorBidi"/>
          <w:lang w:val="lt-LT"/>
        </w:rPr>
        <w:t>benzilo</w:t>
      </w:r>
      <w:proofErr w:type="spellEnd"/>
      <w:r w:rsidRPr="00464A7D">
        <w:rPr>
          <w:rFonts w:ascii="Times New Roman" w:eastAsiaTheme="minorHAnsi" w:hAnsi="Times New Roman" w:cstheme="minorBidi"/>
          <w:lang w:val="lt-LT"/>
        </w:rPr>
        <w:t xml:space="preserve"> alkoholio kiekis gali kauptis Jūsų organizme ir sukelti šalutinį poveikį (vadinamąją </w:t>
      </w:r>
      <w:proofErr w:type="spellStart"/>
      <w:r w:rsidRPr="00464A7D">
        <w:rPr>
          <w:rFonts w:ascii="Times New Roman" w:eastAsiaTheme="minorHAnsi" w:hAnsi="Times New Roman" w:cstheme="minorBidi"/>
          <w:lang w:val="lt-LT"/>
        </w:rPr>
        <w:t>metabolinę</w:t>
      </w:r>
      <w:proofErr w:type="spellEnd"/>
      <w:r w:rsidRPr="00464A7D">
        <w:rPr>
          <w:rFonts w:ascii="Times New Roman" w:eastAsiaTheme="minorHAnsi" w:hAnsi="Times New Roman" w:cstheme="minorBidi"/>
          <w:lang w:val="lt-LT"/>
        </w:rPr>
        <w:t xml:space="preserve"> </w:t>
      </w:r>
      <w:proofErr w:type="spellStart"/>
      <w:r w:rsidRPr="00464A7D">
        <w:rPr>
          <w:rFonts w:ascii="Times New Roman" w:eastAsiaTheme="minorHAnsi" w:hAnsi="Times New Roman" w:cstheme="minorBidi"/>
          <w:lang w:val="lt-LT"/>
        </w:rPr>
        <w:t>acidozę</w:t>
      </w:r>
      <w:proofErr w:type="spellEnd"/>
      <w:r w:rsidRPr="00464A7D">
        <w:rPr>
          <w:rFonts w:ascii="Times New Roman" w:eastAsiaTheme="minorHAnsi" w:hAnsi="Times New Roman" w:cstheme="minorBidi"/>
          <w:lang w:val="lt-LT"/>
        </w:rPr>
        <w:t>).</w:t>
      </w:r>
    </w:p>
    <w:p w:rsidR="00D7375D" w:rsidRPr="00464A7D" w:rsidRDefault="00D7375D" w:rsidP="00D7375D">
      <w:pPr>
        <w:tabs>
          <w:tab w:val="left" w:pos="567"/>
        </w:tabs>
        <w:spacing w:after="0" w:line="240" w:lineRule="auto"/>
        <w:contextualSpacing/>
        <w:rPr>
          <w:rFonts w:ascii="Times New Roman" w:hAnsi="Times New Roman"/>
          <w:i/>
          <w:iCs/>
          <w:lang w:val="lt-LT"/>
        </w:rPr>
      </w:pPr>
      <w:r w:rsidRPr="00464A7D">
        <w:rPr>
          <w:rFonts w:ascii="Times New Roman" w:hAnsi="Times New Roman"/>
          <w:i/>
          <w:iCs/>
          <w:lang w:val="lt-LT"/>
        </w:rPr>
        <w:t>Natris:</w:t>
      </w:r>
    </w:p>
    <w:p w:rsidR="00D7375D" w:rsidRPr="00464A7D" w:rsidRDefault="00D7375D" w:rsidP="00D7375D">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Šio vaisto dozėje yra mažiau kaip 1 </w:t>
      </w:r>
      <w:proofErr w:type="spellStart"/>
      <w:r w:rsidRPr="00464A7D">
        <w:rPr>
          <w:rFonts w:ascii="Times New Roman" w:hAnsi="Times New Roman"/>
          <w:lang w:val="lt-LT"/>
        </w:rPr>
        <w:t>mmol</w:t>
      </w:r>
      <w:proofErr w:type="spellEnd"/>
      <w:r w:rsidRPr="00464A7D">
        <w:rPr>
          <w:rFonts w:ascii="Times New Roman" w:hAnsi="Times New Roman"/>
          <w:lang w:val="lt-LT"/>
        </w:rPr>
        <w:t xml:space="preserve"> (23 mg) natrio, t. y. jis beveik neturi reikšmės.</w:t>
      </w:r>
    </w:p>
    <w:p w:rsidR="00D7375D" w:rsidRPr="00464A7D" w:rsidRDefault="00D7375D" w:rsidP="00D7375D">
      <w:pPr>
        <w:tabs>
          <w:tab w:val="left" w:pos="567"/>
        </w:tabs>
        <w:spacing w:after="0" w:line="240" w:lineRule="auto"/>
        <w:contextualSpacing/>
        <w:rPr>
          <w:rFonts w:ascii="Times New Roman" w:hAnsi="Times New Roman"/>
          <w:i/>
          <w:iCs/>
          <w:lang w:val="lt-LT"/>
        </w:rPr>
      </w:pPr>
      <w:r w:rsidRPr="00464A7D">
        <w:rPr>
          <w:rFonts w:ascii="Times New Roman" w:hAnsi="Times New Roman"/>
          <w:i/>
          <w:iCs/>
          <w:lang w:val="lt-LT"/>
        </w:rPr>
        <w:t>Kalis:</w:t>
      </w:r>
    </w:p>
    <w:p w:rsidR="00D7375D" w:rsidRPr="00464A7D" w:rsidRDefault="00D7375D" w:rsidP="00D7375D">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Šio vaisto dozėje yra mažiau kaip 1 </w:t>
      </w:r>
      <w:proofErr w:type="spellStart"/>
      <w:r w:rsidRPr="00464A7D">
        <w:rPr>
          <w:rFonts w:ascii="Times New Roman" w:hAnsi="Times New Roman"/>
          <w:lang w:val="lt-LT"/>
        </w:rPr>
        <w:t>mmol</w:t>
      </w:r>
      <w:proofErr w:type="spellEnd"/>
      <w:r w:rsidRPr="00464A7D">
        <w:rPr>
          <w:rFonts w:ascii="Times New Roman" w:hAnsi="Times New Roman"/>
          <w:lang w:val="lt-LT"/>
        </w:rPr>
        <w:t xml:space="preserve"> (39 mg) kalio, t. y. jis beveik neturi reikšmės.</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3.</w:t>
      </w:r>
      <w:r w:rsidRPr="00464A7D">
        <w:rPr>
          <w:rFonts w:ascii="Times New Roman" w:hAnsi="Times New Roman"/>
          <w:b/>
          <w:lang w:val="lt-LT"/>
        </w:rPr>
        <w:tab/>
        <w:t xml:space="preserve">Kaip vartoti </w:t>
      </w:r>
      <w:proofErr w:type="spellStart"/>
      <w:r w:rsidRPr="00464A7D">
        <w:rPr>
          <w:rFonts w:ascii="Times New Roman" w:hAnsi="Times New Roman"/>
          <w:b/>
          <w:lang w:val="lt-LT"/>
        </w:rPr>
        <w:t>Neiratax</w:t>
      </w:r>
      <w:proofErr w:type="spellEnd"/>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Visada vartokite šį vaistą tiksliai kaip nurodė gydytojas. Jeigu abejojate, kreipkitės į gydytoją. </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Šį vaistą reikia leisti tik į raumenis (</w:t>
      </w:r>
      <w:proofErr w:type="spellStart"/>
      <w:r w:rsidRPr="00464A7D">
        <w:rPr>
          <w:rFonts w:ascii="Times New Roman" w:hAnsi="Times New Roman"/>
          <w:lang w:val="lt-LT"/>
        </w:rPr>
        <w:t>i.m</w:t>
      </w:r>
      <w:proofErr w:type="spellEnd"/>
      <w:r w:rsidRPr="00464A7D">
        <w:rPr>
          <w:rFonts w:ascii="Times New Roman" w:hAnsi="Times New Roman"/>
          <w:lang w:val="lt-LT"/>
        </w:rPr>
        <w:t>.), ne į veną (</w:t>
      </w:r>
      <w:proofErr w:type="spellStart"/>
      <w:r w:rsidRPr="00464A7D">
        <w:rPr>
          <w:rFonts w:ascii="Times New Roman" w:hAnsi="Times New Roman"/>
          <w:lang w:val="lt-LT"/>
        </w:rPr>
        <w:t>i.v</w:t>
      </w:r>
      <w:proofErr w:type="spellEnd"/>
      <w:r w:rsidRPr="00464A7D">
        <w:rPr>
          <w:rFonts w:ascii="Times New Roman" w:hAnsi="Times New Roman"/>
          <w:lang w:val="lt-LT"/>
        </w:rPr>
        <w:t>.). Jeigu netyčia buvo suleista į veną, priklausomai nuo simptomų sunkumo, Jūsų gydytojas Jus stebės, arba Jūs būsite paguldytas į ligoninę.</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Tinkamą dozę ir injekcijų dažnį nustatys Jūsų gydytojas.</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spacing w:after="0" w:line="240" w:lineRule="auto"/>
        <w:contextualSpacing/>
        <w:rPr>
          <w:rFonts w:ascii="Times New Roman" w:eastAsiaTheme="minorHAnsi" w:hAnsi="Times New Roman" w:cstheme="minorBidi"/>
          <w:i/>
          <w:lang w:val="lt-LT"/>
        </w:rPr>
      </w:pPr>
      <w:r w:rsidRPr="00464A7D">
        <w:rPr>
          <w:rFonts w:ascii="Times New Roman" w:hAnsi="Times New Roman"/>
          <w:i/>
          <w:lang w:val="lt-LT"/>
        </w:rPr>
        <w:t xml:space="preserve">Suaugusiesiems ir 12 metų bei vyresniems vaikams </w:t>
      </w: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Paprastai, jeigu simptomai yra sunkūs ir ūminiai, reikia suleisti vieną injekciją (2 ml) vieną kartą per parą, kad būtų pasiekta didelė veikliųjų medžiagų koncentracija kraujyje. Praėjus ūminei fazei, ir kai simptomai nėra sunkūs, reikia leisti vieną injekciją 2</w:t>
      </w:r>
      <w:r w:rsidRPr="00464A7D">
        <w:rPr>
          <w:rFonts w:ascii="Times New Roman" w:hAnsi="Times New Roman"/>
          <w:lang w:val="lt-LT"/>
        </w:rPr>
        <w:noBreakHyphen/>
        <w:t>3</w:t>
      </w:r>
      <w:r>
        <w:rPr>
          <w:rFonts w:ascii="Times New Roman" w:hAnsi="Times New Roman"/>
          <w:lang w:val="lt-LT"/>
        </w:rPr>
        <w:t> </w:t>
      </w:r>
      <w:r w:rsidRPr="00464A7D">
        <w:rPr>
          <w:rFonts w:ascii="Times New Roman" w:hAnsi="Times New Roman"/>
          <w:lang w:val="lt-LT"/>
        </w:rPr>
        <w:t>kartus per savaitę.</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tabs>
          <w:tab w:val="left" w:pos="567"/>
        </w:tabs>
        <w:spacing w:after="0" w:line="240" w:lineRule="auto"/>
        <w:contextualSpacing/>
        <w:outlineLvl w:val="0"/>
        <w:rPr>
          <w:rFonts w:ascii="Times New Roman" w:eastAsiaTheme="minorHAnsi" w:hAnsi="Times New Roman" w:cstheme="minorBidi"/>
          <w:i/>
          <w:color w:val="000000"/>
          <w:lang w:val="lt-LT"/>
        </w:rPr>
      </w:pPr>
      <w:r w:rsidRPr="00464A7D">
        <w:rPr>
          <w:rFonts w:ascii="Times New Roman" w:hAnsi="Times New Roman"/>
          <w:i/>
          <w:color w:val="000000"/>
          <w:lang w:val="lt-LT"/>
        </w:rPr>
        <w:t>Senyviems pacientams</w:t>
      </w:r>
    </w:p>
    <w:p w:rsidR="00D7375D" w:rsidRPr="00464A7D" w:rsidRDefault="00D7375D" w:rsidP="00D7375D">
      <w:pPr>
        <w:tabs>
          <w:tab w:val="left" w:pos="567"/>
        </w:tabs>
        <w:spacing w:after="0" w:line="240" w:lineRule="auto"/>
        <w:contextualSpacing/>
        <w:outlineLvl w:val="0"/>
        <w:rPr>
          <w:rFonts w:ascii="Times New Roman" w:eastAsiaTheme="minorHAnsi" w:hAnsi="Times New Roman" w:cstheme="minorBidi"/>
          <w:color w:val="000000"/>
          <w:lang w:val="lt-LT"/>
        </w:rPr>
      </w:pPr>
      <w:r w:rsidRPr="00464A7D">
        <w:rPr>
          <w:rFonts w:ascii="Times New Roman" w:hAnsi="Times New Roman"/>
          <w:color w:val="000000"/>
          <w:lang w:val="lt-LT"/>
        </w:rPr>
        <w:t>Dozės koreguoti nereikia.</w:t>
      </w:r>
    </w:p>
    <w:p w:rsidR="00D7375D" w:rsidRPr="00464A7D" w:rsidRDefault="00D7375D" w:rsidP="00D7375D">
      <w:pPr>
        <w:tabs>
          <w:tab w:val="left" w:pos="567"/>
        </w:tabs>
        <w:spacing w:after="0" w:line="240" w:lineRule="auto"/>
        <w:contextualSpacing/>
        <w:outlineLvl w:val="0"/>
        <w:rPr>
          <w:rFonts w:ascii="Times New Roman" w:hAnsi="Times New Roman"/>
          <w:color w:val="000000"/>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i/>
          <w:lang w:val="lt-LT"/>
        </w:rPr>
      </w:pPr>
      <w:r w:rsidRPr="00464A7D">
        <w:rPr>
          <w:rFonts w:ascii="Times New Roman" w:hAnsi="Times New Roman"/>
          <w:i/>
          <w:lang w:val="lt-LT"/>
        </w:rPr>
        <w:t>Vaikų populiacija</w:t>
      </w: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injekcinio tirpalo negalima vartoti jaunesniems kaip 12 metų vaikams. </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Ampulės atidarymo instrukcija:</w:t>
      </w:r>
    </w:p>
    <w:p w:rsidR="00D7375D" w:rsidRPr="00464A7D" w:rsidRDefault="00D7375D" w:rsidP="00D7375D">
      <w:pPr>
        <w:numPr>
          <w:ilvl w:val="0"/>
          <w:numId w:val="4"/>
        </w:numPr>
        <w:tabs>
          <w:tab w:val="left" w:pos="567"/>
        </w:tabs>
        <w:spacing w:after="0" w:line="240" w:lineRule="auto"/>
        <w:ind w:left="284" w:hanging="284"/>
        <w:contextualSpacing/>
        <w:rPr>
          <w:rFonts w:ascii="Times New Roman" w:eastAsiaTheme="minorHAnsi" w:hAnsi="Times New Roman" w:cstheme="minorBidi"/>
          <w:lang w:val="lt-LT"/>
        </w:rPr>
      </w:pPr>
      <w:r w:rsidRPr="00464A7D">
        <w:rPr>
          <w:rFonts w:ascii="Times New Roman" w:hAnsi="Times New Roman"/>
          <w:lang w:val="lt-LT"/>
        </w:rPr>
        <w:t>Paimkite ampulę taip, kad spalvotas taškas būtų viršuje. Jeigu viršutinėje ampulės dalyje yra tirpalo, švelniai pastuksenkite savo pirštu, kad visas tirpalas atsirastų apatinėje ampulės dalyje.</w:t>
      </w:r>
    </w:p>
    <w:p w:rsidR="00D7375D" w:rsidRPr="00464A7D" w:rsidRDefault="00D7375D" w:rsidP="00D7375D">
      <w:pPr>
        <w:numPr>
          <w:ilvl w:val="0"/>
          <w:numId w:val="4"/>
        </w:numPr>
        <w:tabs>
          <w:tab w:val="left" w:pos="567"/>
        </w:tabs>
        <w:spacing w:after="0" w:line="240" w:lineRule="auto"/>
        <w:ind w:left="284" w:hanging="284"/>
        <w:contextualSpacing/>
        <w:rPr>
          <w:rFonts w:ascii="Times New Roman" w:eastAsiaTheme="minorHAnsi" w:hAnsi="Times New Roman" w:cstheme="minorBidi"/>
          <w:lang w:val="lt-LT"/>
        </w:rPr>
      </w:pPr>
      <w:r w:rsidRPr="00464A7D">
        <w:rPr>
          <w:rFonts w:ascii="Times New Roman" w:hAnsi="Times New Roman"/>
          <w:lang w:val="lt-LT"/>
        </w:rPr>
        <w:t>Atidarydami naudokite abi rankas; apatinę ampulės dalį laikykite viena ranka, kita ranka atlaužkite viršutinę ampulės dalį priešinga kryptimi nei spalvotas taškas (žr. paveikslėlius žemiau).</w:t>
      </w:r>
    </w:p>
    <w:p w:rsidR="00D7375D" w:rsidRPr="00464A7D" w:rsidRDefault="00D7375D" w:rsidP="00D7375D">
      <w:pPr>
        <w:spacing w:after="0" w:line="240" w:lineRule="auto"/>
        <w:contextualSpacing/>
        <w:rPr>
          <w:rFonts w:ascii="Times New Roman" w:eastAsia="Times New Roman" w:hAnsi="Times New Roman"/>
          <w:lang w:val="lt-LT"/>
        </w:rPr>
      </w:pPr>
      <w:r w:rsidRPr="00464A7D">
        <w:rPr>
          <w:rFonts w:ascii="Times New Roman" w:eastAsia="Times New Roman" w:hAnsi="Times New Roman"/>
          <w:noProof/>
          <w:lang w:val="lt-LT" w:eastAsia="lt-LT"/>
        </w:rPr>
        <w:drawing>
          <wp:inline distT="0" distB="0" distL="0" distR="0" wp14:anchorId="1906B76E" wp14:editId="31B7BCF2">
            <wp:extent cx="3124200" cy="2238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 xml:space="preserve">Ką daryti pavartojus per didelę </w:t>
      </w: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dozę</w:t>
      </w:r>
      <w:r>
        <w:rPr>
          <w:rFonts w:ascii="Times New Roman" w:hAnsi="Times New Roman"/>
          <w:b/>
          <w:lang w:val="lt-LT"/>
        </w:rPr>
        <w:t>-</w:t>
      </w: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Šis vaistas Jums bus suleistas prižiūrint sveikatos priežiūros darbuotojui, todėl nėra tikėtina, kad Jums bus suleista per didelė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dozė.</w:t>
      </w:r>
    </w:p>
    <w:p w:rsidR="00D7375D" w:rsidRPr="00464A7D" w:rsidRDefault="00D7375D" w:rsidP="00D7375D">
      <w:pPr>
        <w:numPr>
          <w:ilvl w:val="12"/>
          <w:numId w:val="0"/>
        </w:numPr>
        <w:tabs>
          <w:tab w:val="left" w:pos="567"/>
        </w:tabs>
        <w:spacing w:after="0" w:line="240" w:lineRule="auto"/>
        <w:ind w:right="-2"/>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Jeigu manote, kad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poveikis yra per stiprus ar per silpnas, pasakykite gydytojui arba slaugytojui.</w:t>
      </w:r>
    </w:p>
    <w:p w:rsidR="00D7375D" w:rsidRPr="00464A7D" w:rsidRDefault="00D7375D" w:rsidP="00D7375D">
      <w:pPr>
        <w:numPr>
          <w:ilvl w:val="12"/>
          <w:numId w:val="0"/>
        </w:numPr>
        <w:spacing w:after="0" w:line="240" w:lineRule="auto"/>
        <w:contextualSpacing/>
        <w:rPr>
          <w:rFonts w:ascii="Times New Roman" w:hAnsi="Times New Roman"/>
          <w:lang w:val="lt-LT"/>
        </w:rPr>
      </w:pPr>
    </w:p>
    <w:p w:rsidR="00D7375D" w:rsidRPr="00464A7D" w:rsidRDefault="00D7375D" w:rsidP="00D7375D">
      <w:pPr>
        <w:numPr>
          <w:ilvl w:val="12"/>
          <w:numId w:val="0"/>
        </w:numPr>
        <w:spacing w:after="0" w:line="240" w:lineRule="auto"/>
        <w:contextualSpacing/>
        <w:rPr>
          <w:rFonts w:ascii="Times New Roman" w:hAnsi="Times New Roman"/>
          <w:lang w:val="lt-LT"/>
        </w:rPr>
      </w:pPr>
    </w:p>
    <w:p w:rsidR="00D7375D" w:rsidRPr="00464A7D" w:rsidRDefault="00D7375D" w:rsidP="00D7375D">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4.</w:t>
      </w:r>
      <w:r w:rsidRPr="00464A7D">
        <w:rPr>
          <w:rFonts w:ascii="Times New Roman" w:hAnsi="Times New Roman"/>
          <w:b/>
          <w:lang w:val="lt-LT"/>
        </w:rPr>
        <w:tab/>
        <w:t>Galimas šalutinis poveikis</w:t>
      </w:r>
    </w:p>
    <w:p w:rsidR="00D7375D" w:rsidRPr="00464A7D" w:rsidRDefault="00D7375D" w:rsidP="00D7375D">
      <w:pPr>
        <w:numPr>
          <w:ilvl w:val="12"/>
          <w:numId w:val="0"/>
        </w:numPr>
        <w:spacing w:after="0" w:line="240" w:lineRule="auto"/>
        <w:contextualSpacing/>
        <w:rPr>
          <w:rFonts w:ascii="Times New Roman" w:hAnsi="Times New Roman"/>
          <w:lang w:val="lt-LT"/>
        </w:rPr>
      </w:pPr>
    </w:p>
    <w:p w:rsidR="00D7375D" w:rsidRPr="00464A7D" w:rsidRDefault="00D7375D" w:rsidP="00D7375D">
      <w:pPr>
        <w:numPr>
          <w:ilvl w:val="12"/>
          <w:numId w:val="0"/>
        </w:numPr>
        <w:spacing w:after="0" w:line="240" w:lineRule="auto"/>
        <w:ind w:right="-29"/>
        <w:contextualSpacing/>
        <w:rPr>
          <w:rFonts w:ascii="Times New Roman" w:eastAsiaTheme="minorHAnsi" w:hAnsi="Times New Roman" w:cstheme="minorBidi"/>
          <w:lang w:val="lt-LT"/>
        </w:rPr>
      </w:pPr>
      <w:r w:rsidRPr="00464A7D">
        <w:rPr>
          <w:rFonts w:ascii="Times New Roman" w:hAnsi="Times New Roman"/>
          <w:lang w:val="lt-LT"/>
        </w:rPr>
        <w:t>Šis vaistas, kaip ir visi kiti, gali sukelti šalutinį poveikį, nors jis pasireiškia ne visiems žmonėms.</w:t>
      </w:r>
    </w:p>
    <w:p w:rsidR="00D7375D" w:rsidRPr="00464A7D" w:rsidRDefault="00D7375D" w:rsidP="00D7375D">
      <w:pPr>
        <w:numPr>
          <w:ilvl w:val="12"/>
          <w:numId w:val="0"/>
        </w:numPr>
        <w:spacing w:after="0" w:line="240" w:lineRule="auto"/>
        <w:ind w:right="-29"/>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Pr>
          <w:rFonts w:ascii="Times New Roman" w:hAnsi="Times New Roman"/>
          <w:lang w:val="lt-LT"/>
        </w:rPr>
        <w:t>Šalutinio poveikio reiškiniai</w:t>
      </w:r>
      <w:r w:rsidRPr="00464A7D">
        <w:rPr>
          <w:rFonts w:ascii="Times New Roman" w:hAnsi="Times New Roman"/>
          <w:lang w:val="lt-LT"/>
        </w:rPr>
        <w:t xml:space="preserve"> pagal dažnį klasifikuojami taip:</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sidRPr="00464A7D">
        <w:rPr>
          <w:rFonts w:ascii="Times New Roman" w:hAnsi="Times New Roman"/>
          <w:i/>
          <w:lang w:val="lt-LT"/>
        </w:rPr>
        <w:t>Ret</w:t>
      </w:r>
      <w:r>
        <w:rPr>
          <w:rFonts w:ascii="Times New Roman" w:hAnsi="Times New Roman"/>
          <w:i/>
          <w:lang w:val="lt-LT"/>
        </w:rPr>
        <w:t>i šalutinio poveikio reiškiniai</w:t>
      </w:r>
      <w:r w:rsidRPr="00464A7D">
        <w:rPr>
          <w:rFonts w:ascii="Times New Roman" w:hAnsi="Times New Roman"/>
          <w:lang w:val="lt-LT"/>
        </w:rPr>
        <w:t xml:space="preserve"> (</w:t>
      </w:r>
      <w:r>
        <w:rPr>
          <w:rFonts w:ascii="Times New Roman" w:hAnsi="Times New Roman"/>
          <w:lang w:val="lt-LT"/>
        </w:rPr>
        <w:t>gali pasireikšti rečiau kaip</w:t>
      </w:r>
      <w:r w:rsidRPr="00464A7D">
        <w:rPr>
          <w:rFonts w:ascii="Times New Roman" w:hAnsi="Times New Roman"/>
          <w:lang w:val="lt-LT"/>
        </w:rPr>
        <w:t xml:space="preserve"> 1 iš 1 000 </w:t>
      </w:r>
      <w:r>
        <w:rPr>
          <w:rFonts w:ascii="Times New Roman" w:hAnsi="Times New Roman"/>
          <w:lang w:val="lt-LT"/>
        </w:rPr>
        <w:t>asmenų</w:t>
      </w:r>
      <w:r w:rsidRPr="00464A7D">
        <w:rPr>
          <w:rFonts w:ascii="Times New Roman" w:hAnsi="Times New Roman"/>
          <w:lang w:val="lt-LT"/>
        </w:rPr>
        <w:t>)</w:t>
      </w:r>
      <w:r>
        <w:rPr>
          <w:rFonts w:ascii="Times New Roman" w:hAnsi="Times New Roman"/>
          <w:lang w:val="lt-LT"/>
        </w:rPr>
        <w:t>:</w:t>
      </w:r>
    </w:p>
    <w:p w:rsidR="00D7375D" w:rsidRPr="00464A7D" w:rsidRDefault="00D7375D" w:rsidP="00D7375D">
      <w:pPr>
        <w:numPr>
          <w:ilvl w:val="12"/>
          <w:numId w:val="0"/>
        </w:numPr>
        <w:tabs>
          <w:tab w:val="left" w:pos="567"/>
        </w:tabs>
        <w:spacing w:after="0" w:line="240" w:lineRule="auto"/>
        <w:ind w:left="567" w:right="-29"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 xml:space="preserve">Padidėjusio jautrumo reakcijos (pvz., odos išbėrimas, kvėpavimo slopinimas, šokas, </w:t>
      </w:r>
      <w:proofErr w:type="spellStart"/>
      <w:r w:rsidRPr="00464A7D">
        <w:rPr>
          <w:rFonts w:ascii="Times New Roman" w:hAnsi="Times New Roman"/>
          <w:lang w:val="lt-LT"/>
        </w:rPr>
        <w:t>angioneurozinė</w:t>
      </w:r>
      <w:proofErr w:type="spellEnd"/>
      <w:r w:rsidRPr="00464A7D">
        <w:rPr>
          <w:rFonts w:ascii="Times New Roman" w:hAnsi="Times New Roman"/>
          <w:lang w:val="lt-LT"/>
        </w:rPr>
        <w:t xml:space="preserve"> edema).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gali sukelti padidėjusio jautrumo reakcijas.</w:t>
      </w:r>
    </w:p>
    <w:p w:rsidR="00D7375D" w:rsidRPr="00464A7D" w:rsidRDefault="00D7375D" w:rsidP="00D7375D">
      <w:pPr>
        <w:numPr>
          <w:ilvl w:val="12"/>
          <w:numId w:val="0"/>
        </w:numPr>
        <w:tabs>
          <w:tab w:val="left" w:pos="567"/>
        </w:tabs>
        <w:spacing w:after="0" w:line="240" w:lineRule="auto"/>
        <w:ind w:left="567" w:right="-29" w:hanging="567"/>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sidRPr="000A6C1E">
        <w:rPr>
          <w:rFonts w:ascii="Times New Roman" w:hAnsi="Times New Roman"/>
          <w:i/>
          <w:lang w:val="lt-LT"/>
        </w:rPr>
        <w:t xml:space="preserve">Labai reti šalutinio poveikio reiškiniai </w:t>
      </w:r>
      <w:r w:rsidRPr="009B28F8">
        <w:rPr>
          <w:rFonts w:ascii="Times New Roman" w:hAnsi="Times New Roman"/>
          <w:iCs/>
          <w:lang w:val="lt-LT"/>
        </w:rPr>
        <w:t>(gali pasireikšti rečiau kaip 1 iš 10 000 asmenų</w:t>
      </w:r>
      <w:r w:rsidRPr="00464A7D">
        <w:rPr>
          <w:rFonts w:ascii="Times New Roman" w:hAnsi="Times New Roman"/>
          <w:lang w:val="lt-LT"/>
        </w:rPr>
        <w:t>)</w:t>
      </w:r>
      <w:r>
        <w:rPr>
          <w:rFonts w:ascii="Times New Roman" w:hAnsi="Times New Roman"/>
          <w:lang w:val="lt-LT"/>
        </w:rPr>
        <w:t>:</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r>
      <w:proofErr w:type="spellStart"/>
      <w:r w:rsidRPr="00464A7D">
        <w:rPr>
          <w:rFonts w:ascii="Times New Roman" w:hAnsi="Times New Roman"/>
          <w:lang w:val="lt-LT"/>
        </w:rPr>
        <w:t>Palpitacijos</w:t>
      </w:r>
      <w:proofErr w:type="spellEnd"/>
      <w:r w:rsidRPr="00464A7D">
        <w:rPr>
          <w:rFonts w:ascii="Times New Roman" w:hAnsi="Times New Roman"/>
          <w:lang w:val="lt-LT"/>
        </w:rPr>
        <w:t xml:space="preserve"> (</w:t>
      </w:r>
      <w:proofErr w:type="spellStart"/>
      <w:r w:rsidRPr="00464A7D">
        <w:rPr>
          <w:rFonts w:ascii="Times New Roman" w:hAnsi="Times New Roman"/>
          <w:lang w:val="lt-LT"/>
        </w:rPr>
        <w:t>tachikardija</w:t>
      </w:r>
      <w:proofErr w:type="spellEnd"/>
      <w:r w:rsidRPr="00464A7D">
        <w:rPr>
          <w:rFonts w:ascii="Times New Roman" w:hAnsi="Times New Roman"/>
          <w:lang w:val="lt-LT"/>
        </w:rPr>
        <w:t>).</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Stiprus prakaitavimas, spuogai, odos reakcijos su niežuliu ir dilgėline.</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sidRPr="0086515D">
        <w:rPr>
          <w:rFonts w:ascii="Times New Roman" w:hAnsi="Times New Roman"/>
          <w:i/>
          <w:lang w:val="lt-LT"/>
        </w:rPr>
        <w:t xml:space="preserve">Šalutinio poveikio reiškiniai, kurių dažnis nežinomas </w:t>
      </w:r>
      <w:r w:rsidRPr="00464A7D">
        <w:rPr>
          <w:rFonts w:ascii="Times New Roman" w:hAnsi="Times New Roman"/>
          <w:lang w:val="lt-LT"/>
        </w:rPr>
        <w:t>(negali būti apskaičiuotas pagal turimus duomenis)</w:t>
      </w:r>
      <w:r>
        <w:rPr>
          <w:rFonts w:ascii="Times New Roman" w:hAnsi="Times New Roman"/>
          <w:lang w:val="lt-LT"/>
        </w:rPr>
        <w:t>:</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Galvos svaigimas (</w:t>
      </w:r>
      <w:proofErr w:type="spellStart"/>
      <w:r w:rsidRPr="00464A7D">
        <w:rPr>
          <w:rFonts w:ascii="Times New Roman" w:hAnsi="Times New Roman"/>
          <w:i/>
          <w:lang w:val="lt-LT"/>
        </w:rPr>
        <w:t>vertigo</w:t>
      </w:r>
      <w:proofErr w:type="spellEnd"/>
      <w:r w:rsidRPr="00464A7D">
        <w:rPr>
          <w:rFonts w:ascii="Times New Roman" w:hAnsi="Times New Roman"/>
          <w:lang w:val="lt-LT"/>
        </w:rPr>
        <w:t>), sąmonės pritemimas.</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Lėtas širdies ritmas (</w:t>
      </w:r>
      <w:proofErr w:type="spellStart"/>
      <w:r w:rsidRPr="00464A7D">
        <w:rPr>
          <w:rFonts w:ascii="Times New Roman" w:hAnsi="Times New Roman"/>
          <w:lang w:val="lt-LT"/>
        </w:rPr>
        <w:t>bradikardija</w:t>
      </w:r>
      <w:proofErr w:type="spellEnd"/>
      <w:r w:rsidRPr="00464A7D">
        <w:rPr>
          <w:rFonts w:ascii="Times New Roman" w:hAnsi="Times New Roman"/>
          <w:lang w:val="lt-LT"/>
        </w:rPr>
        <w:t>), širdies ritmo sutrikimai.</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Vėmimas.</w:t>
      </w:r>
    </w:p>
    <w:p w:rsidR="00D7375D" w:rsidRPr="00464A7D" w:rsidRDefault="00D7375D" w:rsidP="00D7375D">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Traukuliai.</w:t>
      </w:r>
    </w:p>
    <w:p w:rsidR="00D7375D" w:rsidRPr="00464A7D" w:rsidRDefault="00D7375D" w:rsidP="00D7375D">
      <w:pPr>
        <w:numPr>
          <w:ilvl w:val="12"/>
          <w:numId w:val="0"/>
        </w:numPr>
        <w:tabs>
          <w:tab w:val="left" w:pos="567"/>
        </w:tabs>
        <w:spacing w:after="0" w:line="240" w:lineRule="auto"/>
        <w:ind w:left="567" w:right="-29"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Greitai suleidus injekciją (netyčia suleidus į veną, į gerai krauju aprūpinamus audinius) ar perdozavus, gali pasireikšti sisteminės reakcijos, įskaitant centrinės nervų sistemos sujaudinimą ir (arba) slopinimą (pusiausvyros sutrikimas, nervingumas, pavojaus jautimas, euforija, sumišimas, svaigulys, sąmonės pritemimas, ūžimas ausyse, neryškus regėjimas ar dvejinimas akyse, vėmimas, šalčio ar karščio pojūtis, nutirpimas).</w:t>
      </w:r>
    </w:p>
    <w:p w:rsidR="00D7375D" w:rsidRPr="00464A7D" w:rsidRDefault="00D7375D" w:rsidP="00D7375D">
      <w:pPr>
        <w:tabs>
          <w:tab w:val="left" w:pos="567"/>
        </w:tabs>
        <w:spacing w:after="0" w:line="240" w:lineRule="auto"/>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b/>
          <w:lang w:val="lt-LT"/>
        </w:rPr>
      </w:pPr>
      <w:r w:rsidRPr="00464A7D">
        <w:rPr>
          <w:rFonts w:ascii="Times New Roman" w:hAnsi="Times New Roman"/>
          <w:b/>
          <w:lang w:val="lt-LT"/>
        </w:rPr>
        <w:t>Pranešimas apie šalutinį poveikį</w:t>
      </w:r>
    </w:p>
    <w:p w:rsidR="00D7375D" w:rsidRPr="00464A7D" w:rsidRDefault="00D7375D" w:rsidP="00D7375D">
      <w:pPr>
        <w:tabs>
          <w:tab w:val="left" w:pos="567"/>
        </w:tabs>
        <w:spacing w:after="0" w:line="240" w:lineRule="auto"/>
        <w:ind w:right="-449"/>
        <w:contextualSpacing/>
        <w:rPr>
          <w:rFonts w:ascii="Times New Roman" w:eastAsiaTheme="minorHAnsi" w:hAnsi="Times New Roman" w:cstheme="minorBidi"/>
          <w:lang w:val="lt-LT"/>
        </w:rPr>
      </w:pPr>
      <w:r w:rsidRPr="00464A7D">
        <w:rPr>
          <w:rFonts w:ascii="Times New Roman" w:hAnsi="Times New Roman"/>
          <w:lang w:val="lt-LT"/>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464A7D">
          <w:rPr>
            <w:rStyle w:val="Hipersaitas"/>
            <w:rFonts w:ascii="Times New Roman" w:hAnsi="Times New Roman"/>
            <w:lang w:val="lt-LT"/>
          </w:rPr>
          <w:t>https://vapris.vvkt.lt/vvkt-web/public/nrv</w:t>
        </w:r>
      </w:hyperlink>
      <w:r w:rsidRPr="00464A7D">
        <w:rPr>
          <w:rFonts w:ascii="Times New Roman" w:hAnsi="Times New Roman"/>
          <w:lang w:val="lt-LT"/>
        </w:rPr>
        <w:t xml:space="preserve"> arba užpildant Paciento pranešimo apie įtariamą nepageidaujamą reakciją (ĮNR) formą, kuri skelbiama </w:t>
      </w:r>
      <w:hyperlink r:id="rId7" w:history="1">
        <w:r w:rsidRPr="00464A7D">
          <w:rPr>
            <w:rStyle w:val="Hipersaitas"/>
            <w:rFonts w:ascii="Times New Roman" w:hAnsi="Times New Roman"/>
            <w:lang w:val="lt-LT"/>
          </w:rPr>
          <w:t>https://www.vvkt.lt/index.php?4004286486</w:t>
        </w:r>
      </w:hyperlink>
      <w:r w:rsidRPr="00464A7D">
        <w:rPr>
          <w:rFonts w:ascii="Times New Roman" w:hAnsi="Times New Roman"/>
          <w:lang w:val="lt-LT"/>
        </w:rPr>
        <w:t xml:space="preserve">, ir atsiunčiant elektroniniu paštu (adresu </w:t>
      </w:r>
      <w:hyperlink r:id="rId8" w:history="1">
        <w:r w:rsidRPr="00464A7D">
          <w:rPr>
            <w:rStyle w:val="Hipersaitas"/>
            <w:rFonts w:ascii="Times New Roman" w:hAnsi="Times New Roman"/>
            <w:lang w:val="lt-LT"/>
          </w:rPr>
          <w:t>NepageidaujamaR@vvkt.lt</w:t>
        </w:r>
      </w:hyperlink>
      <w:r w:rsidRPr="00464A7D">
        <w:rPr>
          <w:rFonts w:ascii="Times New Roman" w:hAnsi="Times New Roman"/>
          <w:lang w:val="lt-LT"/>
        </w:rPr>
        <w:t>) arba nemokamu telefonu 8 800 73 568. Pranešdami apie šalutinį poveikį galite mums padėti gauti daugiau informacijos apie šio vaisto saugumą.</w:t>
      </w:r>
    </w:p>
    <w:p w:rsidR="00D7375D" w:rsidRPr="00464A7D" w:rsidRDefault="00D7375D" w:rsidP="00D7375D">
      <w:pPr>
        <w:tabs>
          <w:tab w:val="left" w:pos="567"/>
        </w:tabs>
        <w:spacing w:after="0" w:line="240" w:lineRule="auto"/>
        <w:ind w:right="-449"/>
        <w:contextualSpacing/>
        <w:rPr>
          <w:rFonts w:ascii="Times New Roman" w:hAnsi="Times New Roman"/>
          <w:lang w:val="lt-LT"/>
        </w:rPr>
      </w:pPr>
    </w:p>
    <w:p w:rsidR="00D7375D" w:rsidRPr="00464A7D" w:rsidRDefault="00D7375D" w:rsidP="00D7375D">
      <w:pPr>
        <w:tabs>
          <w:tab w:val="left" w:pos="567"/>
        </w:tabs>
        <w:spacing w:after="0" w:line="240" w:lineRule="auto"/>
        <w:ind w:right="-449"/>
        <w:contextualSpacing/>
        <w:rPr>
          <w:rFonts w:ascii="Times New Roman" w:hAnsi="Times New Roman"/>
          <w:lang w:val="lt-LT"/>
        </w:rPr>
      </w:pPr>
    </w:p>
    <w:p w:rsidR="00D7375D" w:rsidRPr="00464A7D" w:rsidRDefault="00D7375D" w:rsidP="00D7375D">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5.</w:t>
      </w:r>
      <w:r w:rsidRPr="00464A7D">
        <w:rPr>
          <w:rFonts w:ascii="Times New Roman" w:hAnsi="Times New Roman"/>
          <w:b/>
          <w:lang w:val="lt-LT"/>
        </w:rPr>
        <w:tab/>
        <w:t xml:space="preserve">Kaip laikyti </w:t>
      </w:r>
      <w:proofErr w:type="spellStart"/>
      <w:r w:rsidRPr="00464A7D">
        <w:rPr>
          <w:rFonts w:ascii="Times New Roman" w:hAnsi="Times New Roman"/>
          <w:b/>
          <w:lang w:val="lt-LT"/>
        </w:rPr>
        <w:t>Neiratax</w:t>
      </w:r>
      <w:proofErr w:type="spellEnd"/>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Laikyti šaldytuve (2 °C – 8 °C). Negalima užšaldyti. Laikyti gamintojo pakuotėje, kad vaistas būtų apsaugotas nuo šviesos.</w:t>
      </w: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Šį vaistą laikykite vaikams nepastebimoje ir nepasiekiamoje vietoje.</w:t>
      </w:r>
    </w:p>
    <w:p w:rsidR="00D7375D" w:rsidRPr="00464A7D" w:rsidRDefault="00D7375D" w:rsidP="00D7375D">
      <w:pPr>
        <w:tabs>
          <w:tab w:val="left" w:pos="567"/>
        </w:tabs>
        <w:spacing w:after="0" w:line="240" w:lineRule="auto"/>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Atidarius ampulę, turinį reikia suvartoti nedelsiant.</w:t>
      </w:r>
    </w:p>
    <w:p w:rsidR="00D7375D" w:rsidRPr="00464A7D" w:rsidRDefault="00D7375D" w:rsidP="00D7375D">
      <w:pPr>
        <w:tabs>
          <w:tab w:val="left" w:pos="567"/>
        </w:tabs>
        <w:spacing w:after="0" w:line="240" w:lineRule="auto"/>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Ant dėžutės po „Tinka iki“ nurodytam tinkamumo laikui pasibaigus, šio vaisto vartoti negalima. Vaistas tinkamas vartoti iki paskutinės nurodyto mėnesio dienos.</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6.</w:t>
      </w:r>
      <w:r w:rsidRPr="00464A7D">
        <w:rPr>
          <w:rFonts w:ascii="Times New Roman" w:hAnsi="Times New Roman"/>
          <w:lang w:val="lt-LT"/>
        </w:rPr>
        <w:tab/>
      </w:r>
      <w:r w:rsidRPr="00464A7D">
        <w:rPr>
          <w:rFonts w:ascii="Times New Roman" w:hAnsi="Times New Roman"/>
          <w:b/>
          <w:lang w:val="lt-LT"/>
        </w:rPr>
        <w:t>Pakuotės turinys ir kita informacija</w:t>
      </w:r>
    </w:p>
    <w:p w:rsidR="00D7375D" w:rsidRPr="00464A7D" w:rsidRDefault="00D7375D" w:rsidP="00D7375D">
      <w:pPr>
        <w:numPr>
          <w:ilvl w:val="12"/>
          <w:numId w:val="0"/>
        </w:numPr>
        <w:spacing w:after="0" w:line="240" w:lineRule="auto"/>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sudėtis </w:t>
      </w:r>
    </w:p>
    <w:p w:rsidR="00D7375D" w:rsidRPr="00464A7D" w:rsidRDefault="00D7375D" w:rsidP="00D7375D">
      <w:pPr>
        <w:numPr>
          <w:ilvl w:val="0"/>
          <w:numId w:val="2"/>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 xml:space="preserve">Veikliosios medžiagos yra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hidrochloridas (vitaminas B</w:t>
      </w:r>
      <w:r w:rsidRPr="00464A7D">
        <w:rPr>
          <w:rFonts w:ascii="Times New Roman" w:hAnsi="Times New Roman"/>
          <w:vertAlign w:val="subscript"/>
          <w:lang w:val="lt-LT"/>
        </w:rPr>
        <w:t>6</w:t>
      </w:r>
      <w:r w:rsidRPr="00464A7D">
        <w:rPr>
          <w:rFonts w:ascii="Times New Roman" w:hAnsi="Times New Roman"/>
          <w:lang w:val="lt-LT"/>
        </w:rPr>
        <w:t>), tiamino hidrochloridas (vitaminas B</w:t>
      </w:r>
      <w:r w:rsidRPr="00464A7D">
        <w:rPr>
          <w:rFonts w:ascii="Times New Roman" w:hAnsi="Times New Roman"/>
          <w:vertAlign w:val="subscript"/>
          <w:lang w:val="lt-LT"/>
        </w:rPr>
        <w:t>1</w:t>
      </w:r>
      <w:r w:rsidRPr="00464A7D">
        <w:rPr>
          <w:rFonts w:ascii="Times New Roman" w:hAnsi="Times New Roman"/>
          <w:lang w:val="lt-LT"/>
        </w:rPr>
        <w:t xml:space="preserve">), </w:t>
      </w:r>
      <w:proofErr w:type="spellStart"/>
      <w:r w:rsidRPr="00464A7D">
        <w:rPr>
          <w:rFonts w:ascii="Times New Roman" w:hAnsi="Times New Roman"/>
          <w:lang w:val="lt-LT"/>
        </w:rPr>
        <w:t>cianokobalaminas</w:t>
      </w:r>
      <w:proofErr w:type="spellEnd"/>
      <w:r w:rsidRPr="00464A7D">
        <w:rPr>
          <w:rFonts w:ascii="Times New Roman" w:hAnsi="Times New Roman"/>
          <w:lang w:val="lt-LT"/>
        </w:rPr>
        <w:t xml:space="preserve"> (vitaminas B</w:t>
      </w:r>
      <w:r w:rsidRPr="00464A7D">
        <w:rPr>
          <w:rFonts w:ascii="Times New Roman" w:hAnsi="Times New Roman"/>
          <w:vertAlign w:val="subscript"/>
          <w:lang w:val="lt-LT"/>
        </w:rPr>
        <w:t>12</w:t>
      </w:r>
      <w:r w:rsidRPr="00464A7D">
        <w:rPr>
          <w:rFonts w:ascii="Times New Roman" w:hAnsi="Times New Roman"/>
          <w:lang w:val="lt-LT"/>
        </w:rPr>
        <w:t xml:space="preserve">),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hidrochloridas.</w:t>
      </w:r>
    </w:p>
    <w:p w:rsidR="00D7375D" w:rsidRPr="00464A7D" w:rsidRDefault="00D7375D" w:rsidP="00D7375D">
      <w:pPr>
        <w:spacing w:after="0" w:line="240" w:lineRule="auto"/>
        <w:ind w:right="-2"/>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1 ml injekcinio tirpalo yra 50 mg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hidrochlorido, 50 mg tiamino hidrochlorido, 0,5 mg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10 mg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hidrochlorido.</w:t>
      </w: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Vienoje ampulėje (2 ml) yra 100 mg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hidrochlorido, 100 mg tiamino hidrochlorido, 1 mg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20 mg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hidrochlorido.</w:t>
      </w:r>
    </w:p>
    <w:p w:rsidR="00D7375D" w:rsidRPr="00464A7D" w:rsidRDefault="00D7375D" w:rsidP="00D7375D">
      <w:pPr>
        <w:spacing w:after="0" w:line="240" w:lineRule="auto"/>
        <w:ind w:right="-2"/>
        <w:contextualSpacing/>
        <w:rPr>
          <w:rFonts w:ascii="Times New Roman" w:hAnsi="Times New Roman"/>
          <w:lang w:val="lt-LT"/>
        </w:rPr>
      </w:pPr>
    </w:p>
    <w:p w:rsidR="00D7375D" w:rsidRPr="00464A7D" w:rsidRDefault="00D7375D" w:rsidP="00D7375D">
      <w:pPr>
        <w:numPr>
          <w:ilvl w:val="0"/>
          <w:numId w:val="2"/>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 xml:space="preserve">Pagalbinės medžiagos yra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w:t>
      </w:r>
      <w:proofErr w:type="spellStart"/>
      <w:r w:rsidRPr="00464A7D">
        <w:rPr>
          <w:rFonts w:ascii="Times New Roman" w:hAnsi="Times New Roman"/>
          <w:lang w:val="lt-LT"/>
        </w:rPr>
        <w:t>pentanatrio</w:t>
      </w:r>
      <w:proofErr w:type="spellEnd"/>
      <w:r w:rsidRPr="00464A7D">
        <w:rPr>
          <w:rFonts w:ascii="Times New Roman" w:hAnsi="Times New Roman"/>
          <w:lang w:val="lt-LT"/>
        </w:rPr>
        <w:t xml:space="preserve"> </w:t>
      </w:r>
      <w:proofErr w:type="spellStart"/>
      <w:r w:rsidRPr="00464A7D">
        <w:rPr>
          <w:rFonts w:ascii="Times New Roman" w:hAnsi="Times New Roman"/>
          <w:lang w:val="lt-LT"/>
        </w:rPr>
        <w:t>trifosfatas</w:t>
      </w:r>
      <w:proofErr w:type="spellEnd"/>
      <w:r w:rsidRPr="00464A7D">
        <w:rPr>
          <w:rFonts w:ascii="Times New Roman" w:hAnsi="Times New Roman"/>
          <w:lang w:val="lt-LT"/>
        </w:rPr>
        <w:t xml:space="preserve">, natrio </w:t>
      </w:r>
      <w:proofErr w:type="spellStart"/>
      <w:r w:rsidRPr="00464A7D">
        <w:rPr>
          <w:rFonts w:ascii="Times New Roman" w:hAnsi="Times New Roman"/>
          <w:lang w:val="lt-LT"/>
        </w:rPr>
        <w:t>hidroksidas</w:t>
      </w:r>
      <w:proofErr w:type="spellEnd"/>
      <w:r w:rsidRPr="00464A7D">
        <w:rPr>
          <w:rFonts w:ascii="Times New Roman" w:hAnsi="Times New Roman"/>
          <w:lang w:val="lt-LT"/>
        </w:rPr>
        <w:t xml:space="preserve"> (pH koreguoti), kalio </w:t>
      </w:r>
      <w:proofErr w:type="spellStart"/>
      <w:r w:rsidRPr="00464A7D">
        <w:rPr>
          <w:rFonts w:ascii="Times New Roman" w:hAnsi="Times New Roman"/>
          <w:lang w:val="lt-LT"/>
        </w:rPr>
        <w:t>heksacianoferatas</w:t>
      </w:r>
      <w:proofErr w:type="spellEnd"/>
      <w:r w:rsidRPr="00464A7D">
        <w:rPr>
          <w:rFonts w:ascii="Times New Roman" w:hAnsi="Times New Roman"/>
          <w:lang w:val="lt-LT"/>
        </w:rPr>
        <w:t xml:space="preserve"> (III), injekcinis vanduo.</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išvaizda ir kiekis pakuotėje</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Skaidrus raudonas injekcinis tirpalas (injekcija).</w:t>
      </w: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tiekiamas gintaro spalvos stiklo ampulėse po 2 ml.</w:t>
      </w:r>
    </w:p>
    <w:p w:rsidR="00D7375D" w:rsidRPr="00464A7D" w:rsidRDefault="00D7375D" w:rsidP="00D7375D">
      <w:pPr>
        <w:tabs>
          <w:tab w:val="left" w:pos="567"/>
        </w:tabs>
        <w:spacing w:after="0" w:line="260" w:lineRule="exact"/>
        <w:rPr>
          <w:rFonts w:ascii="Times New Roman" w:eastAsiaTheme="minorHAnsi" w:hAnsi="Times New Roman" w:cstheme="minorBidi"/>
          <w:lang w:val="lt-LT"/>
        </w:rPr>
      </w:pPr>
      <w:r w:rsidRPr="00464A7D">
        <w:rPr>
          <w:rFonts w:ascii="Times New Roman" w:hAnsi="Times New Roman"/>
          <w:lang w:val="lt-LT"/>
        </w:rPr>
        <w:t xml:space="preserve">5 ampulės PVC įdėkle. 1, 2 arba 5 įdėklai kartono dėžutėje. </w:t>
      </w:r>
    </w:p>
    <w:p w:rsidR="00D7375D" w:rsidRPr="00464A7D" w:rsidRDefault="00D7375D" w:rsidP="00D7375D">
      <w:pPr>
        <w:tabs>
          <w:tab w:val="left" w:pos="567"/>
        </w:tabs>
        <w:spacing w:after="0" w:line="240" w:lineRule="auto"/>
        <w:contextualSpacing/>
        <w:rPr>
          <w:rFonts w:ascii="Times New Roman" w:hAnsi="Times New Roman"/>
          <w:lang w:val="lt-LT"/>
        </w:rPr>
      </w:pPr>
    </w:p>
    <w:p w:rsidR="00D7375D" w:rsidRPr="00464A7D" w:rsidRDefault="00D7375D" w:rsidP="00D7375D">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Pakuotės dydžiai: 5, 10 arba 25 ampulės.</w:t>
      </w:r>
    </w:p>
    <w:p w:rsidR="00D7375D" w:rsidRPr="00464A7D" w:rsidRDefault="00D7375D" w:rsidP="00D7375D">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Gali būti tiekiamos ne visų dydžių pakuotės.</w:t>
      </w:r>
    </w:p>
    <w:p w:rsidR="00D7375D" w:rsidRPr="00464A7D" w:rsidRDefault="00D7375D" w:rsidP="00D7375D">
      <w:pPr>
        <w:numPr>
          <w:ilvl w:val="12"/>
          <w:numId w:val="0"/>
        </w:numPr>
        <w:spacing w:after="0" w:line="240" w:lineRule="auto"/>
        <w:ind w:right="-2"/>
        <w:contextualSpacing/>
        <w:rPr>
          <w:rFonts w:ascii="Times New Roman" w:hAnsi="Times New Roman"/>
          <w:lang w:val="lt-LT"/>
        </w:rPr>
      </w:pPr>
    </w:p>
    <w:p w:rsidR="00D7375D" w:rsidRPr="00464A7D" w:rsidRDefault="00D7375D" w:rsidP="00D7375D">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Registruotojas</w:t>
      </w:r>
      <w:r>
        <w:rPr>
          <w:rFonts w:ascii="Times New Roman" w:hAnsi="Times New Roman"/>
          <w:b/>
          <w:lang w:val="lt-LT"/>
        </w:rPr>
        <w:t xml:space="preserve"> ir </w:t>
      </w:r>
      <w:r>
        <w:rPr>
          <w:rFonts w:ascii="Times New Roman" w:hAnsi="Times New Roman"/>
          <w:b/>
          <w:bCs/>
          <w:lang w:val="lt-LT"/>
        </w:rPr>
        <w:t>g</w:t>
      </w:r>
      <w:r w:rsidRPr="001A342F">
        <w:rPr>
          <w:rFonts w:ascii="Times New Roman" w:hAnsi="Times New Roman"/>
          <w:b/>
          <w:bCs/>
          <w:lang w:val="lt-LT"/>
        </w:rPr>
        <w:t>amintojas</w:t>
      </w: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AS KALCEKS</w:t>
      </w: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proofErr w:type="spellStart"/>
      <w:r w:rsidRPr="00464A7D">
        <w:rPr>
          <w:rFonts w:ascii="Times New Roman" w:hAnsi="Times New Roman"/>
          <w:lang w:val="lt-LT"/>
        </w:rPr>
        <w:t>Krustpils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iela</w:t>
      </w:r>
      <w:proofErr w:type="spellEnd"/>
      <w:r w:rsidRPr="00464A7D">
        <w:rPr>
          <w:rFonts w:ascii="Times New Roman" w:hAnsi="Times New Roman"/>
          <w:lang w:val="lt-LT"/>
        </w:rPr>
        <w:t xml:space="preserve"> </w:t>
      </w:r>
      <w:r>
        <w:rPr>
          <w:rFonts w:ascii="Times New Roman" w:hAnsi="Times New Roman"/>
          <w:lang w:val="lt-LT"/>
        </w:rPr>
        <w:t>71E</w:t>
      </w:r>
      <w:r w:rsidRPr="00464A7D">
        <w:rPr>
          <w:rFonts w:ascii="Times New Roman" w:hAnsi="Times New Roman"/>
          <w:lang w:val="lt-LT"/>
        </w:rPr>
        <w:t xml:space="preserve">, </w:t>
      </w:r>
      <w:proofErr w:type="spellStart"/>
      <w:r w:rsidRPr="00464A7D">
        <w:rPr>
          <w:rFonts w:ascii="Times New Roman" w:hAnsi="Times New Roman"/>
          <w:lang w:val="lt-LT"/>
        </w:rPr>
        <w:t>Rīga</w:t>
      </w:r>
      <w:proofErr w:type="spellEnd"/>
      <w:r w:rsidRPr="00464A7D">
        <w:rPr>
          <w:rFonts w:ascii="Times New Roman" w:hAnsi="Times New Roman"/>
          <w:lang w:val="lt-LT"/>
        </w:rPr>
        <w:t>, LV-1057, Latvija</w:t>
      </w: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Tel.: +371 67083320</w:t>
      </w: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El. paštas: </w:t>
      </w:r>
      <w:hyperlink r:id="rId9" w:history="1">
        <w:r w:rsidRPr="00464A7D">
          <w:rPr>
            <w:rFonts w:ascii="Times New Roman" w:hAnsi="Times New Roman"/>
            <w:color w:val="0000FF"/>
            <w:u w:val="single"/>
            <w:lang w:val="lt-LT"/>
          </w:rPr>
          <w:t>kalceks@kalceks.lv</w:t>
        </w:r>
      </w:hyperlink>
    </w:p>
    <w:p w:rsidR="00D7375D" w:rsidRPr="00464A7D" w:rsidRDefault="00D7375D" w:rsidP="00D7375D">
      <w:pPr>
        <w:numPr>
          <w:ilvl w:val="12"/>
          <w:numId w:val="0"/>
        </w:numPr>
        <w:spacing w:after="0" w:line="240" w:lineRule="auto"/>
        <w:ind w:right="-2"/>
        <w:contextualSpacing/>
        <w:rPr>
          <w:rFonts w:ascii="Times New Roman" w:eastAsia="Times New Roman" w:hAnsi="Times New Roman"/>
          <w:snapToGrid w:val="0"/>
          <w:lang w:val="lt-LT"/>
        </w:rPr>
      </w:pPr>
    </w:p>
    <w:p w:rsidR="00D7375D" w:rsidRPr="00464A7D" w:rsidRDefault="00D7375D" w:rsidP="00D7375D">
      <w:pPr>
        <w:numPr>
          <w:ilvl w:val="12"/>
          <w:numId w:val="0"/>
        </w:numPr>
        <w:tabs>
          <w:tab w:val="left" w:pos="567"/>
        </w:tabs>
        <w:spacing w:after="0" w:line="240" w:lineRule="auto"/>
        <w:ind w:right="-2"/>
        <w:rPr>
          <w:rFonts w:ascii="Times New Roman" w:eastAsiaTheme="minorHAnsi" w:hAnsi="Times New Roman" w:cstheme="minorBidi"/>
          <w:lang w:val="lt-LT"/>
        </w:rPr>
      </w:pPr>
      <w:r w:rsidRPr="00464A7D">
        <w:rPr>
          <w:rFonts w:ascii="Times New Roman" w:hAnsi="Times New Roman"/>
          <w:lang w:val="lt-LT"/>
        </w:rPr>
        <w:t>Jeigu apie šį vaistą norite sužinoti daugiau, kreipkitės į vietinį registruotojo atstovą.</w:t>
      </w:r>
    </w:p>
    <w:p w:rsidR="00D7375D" w:rsidRPr="00464A7D" w:rsidRDefault="00D7375D" w:rsidP="00D7375D">
      <w:pPr>
        <w:tabs>
          <w:tab w:val="left" w:pos="567"/>
        </w:tabs>
        <w:spacing w:after="0" w:line="240" w:lineRule="auto"/>
        <w:rPr>
          <w:rFonts w:ascii="Times New Roman" w:hAnsi="Times New Roman"/>
          <w:lang w:val="lt-LT"/>
        </w:rPr>
      </w:pPr>
    </w:p>
    <w:p w:rsidR="00D7375D" w:rsidRPr="00EE69E4" w:rsidRDefault="00D7375D" w:rsidP="00D7375D">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rsidR="00D7375D" w:rsidRPr="00EE69E4" w:rsidRDefault="00D7375D" w:rsidP="00D7375D">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rsidR="00D7375D" w:rsidRPr="00EE69E4" w:rsidRDefault="00D7375D" w:rsidP="00D7375D">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rsidR="00D7375D" w:rsidRPr="00EE69E4" w:rsidRDefault="00D7375D" w:rsidP="00D7375D">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rsidR="00D7375D" w:rsidRPr="00464A7D" w:rsidRDefault="00D7375D" w:rsidP="00D7375D">
      <w:pPr>
        <w:numPr>
          <w:ilvl w:val="12"/>
          <w:numId w:val="0"/>
        </w:numPr>
        <w:tabs>
          <w:tab w:val="left" w:pos="567"/>
        </w:tabs>
        <w:spacing w:after="0" w:line="240" w:lineRule="auto"/>
        <w:ind w:right="-2"/>
        <w:contextualSpacing/>
        <w:rPr>
          <w:rFonts w:ascii="Times New Roman" w:hAnsi="Times New Roman"/>
          <w:b/>
          <w:lang w:val="lt-LT"/>
        </w:rPr>
      </w:pPr>
    </w:p>
    <w:p w:rsidR="00D7375D" w:rsidRPr="00464A7D" w:rsidRDefault="00D7375D" w:rsidP="00D7375D">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b/>
          <w:lang w:val="lt-LT"/>
        </w:rPr>
        <w:t>Šis vaistas Europos ekonominės erdvės valstybėse narėse registruotas tokiais pavadinimais</w:t>
      </w:r>
      <w:r w:rsidRPr="009B28F8">
        <w:rPr>
          <w:rFonts w:ascii="Times New Roman" w:hAnsi="Times New Roman"/>
          <w:b/>
          <w:bCs/>
          <w:lang w:val="lt-LT"/>
        </w:rPr>
        <w:t>:</w:t>
      </w:r>
    </w:p>
    <w:p w:rsidR="00D7375D" w:rsidRPr="00464A7D" w:rsidRDefault="00D7375D" w:rsidP="00D7375D">
      <w:pPr>
        <w:tabs>
          <w:tab w:val="left" w:pos="567"/>
        </w:tabs>
        <w:spacing w:after="0" w:line="240" w:lineRule="auto"/>
        <w:ind w:left="567" w:hanging="567"/>
        <w:contextualSpacing/>
        <w:rPr>
          <w:rFonts w:ascii="Times New Roman" w:hAnsi="Times New Roman"/>
          <w:lang w:val="lt-LT"/>
        </w:rPr>
      </w:pPr>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Estija</w:t>
      </w:r>
      <w:r w:rsidRPr="00464A7D">
        <w:rPr>
          <w:rFonts w:ascii="Times New Roman" w:hAnsi="Times New Roman"/>
          <w:lang w:val="lt-LT"/>
        </w:rPr>
        <w:tab/>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Latvija</w:t>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w:t>
      </w:r>
      <w:proofErr w:type="spellStart"/>
      <w:r w:rsidRPr="00464A7D">
        <w:rPr>
          <w:rFonts w:ascii="Times New Roman" w:hAnsi="Times New Roman"/>
          <w:lang w:val="lt-LT"/>
        </w:rPr>
        <w:t>šķīdums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injekcijām</w:t>
      </w:r>
      <w:proofErr w:type="spellEnd"/>
      <w:r w:rsidRPr="00464A7D">
        <w:rPr>
          <w:rFonts w:ascii="Times New Roman" w:hAnsi="Times New Roman"/>
          <w:lang w:val="lt-LT"/>
        </w:rPr>
        <w:t xml:space="preserve"> </w:t>
      </w:r>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Lietuva</w:t>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injekcinis tirpalas </w:t>
      </w:r>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Čekija</w:t>
      </w:r>
      <w:r w:rsidRPr="00464A7D">
        <w:rPr>
          <w:rFonts w:ascii="Times New Roman" w:hAnsi="Times New Roman"/>
          <w:lang w:val="lt-LT"/>
        </w:rPr>
        <w:tab/>
      </w:r>
      <w:proofErr w:type="spellStart"/>
      <w:r w:rsidRPr="00464A7D">
        <w:rPr>
          <w:rFonts w:ascii="Times New Roman" w:hAnsi="Times New Roman"/>
          <w:lang w:val="lt-LT"/>
        </w:rPr>
        <w:t>Neiraxin</w:t>
      </w:r>
      <w:proofErr w:type="spellEnd"/>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Vengrija</w:t>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w:t>
      </w:r>
      <w:proofErr w:type="spellStart"/>
      <w:r w:rsidRPr="00464A7D">
        <w:rPr>
          <w:rFonts w:ascii="Times New Roman" w:hAnsi="Times New Roman"/>
          <w:lang w:val="lt-LT"/>
        </w:rPr>
        <w:t>oldatos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injekció</w:t>
      </w:r>
      <w:proofErr w:type="spellEnd"/>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Bulgarija</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B 100 mg/100 mg/1 mg/20 mg/2 ml </w:t>
      </w:r>
      <w:proofErr w:type="spellStart"/>
      <w:r w:rsidRPr="00464A7D">
        <w:rPr>
          <w:rFonts w:ascii="Times New Roman" w:hAnsi="Times New Roman"/>
          <w:lang w:val="lt-LT"/>
        </w:rPr>
        <w:t>инжекционен</w:t>
      </w:r>
      <w:proofErr w:type="spellEnd"/>
      <w:r w:rsidRPr="00464A7D">
        <w:rPr>
          <w:rFonts w:ascii="Times New Roman" w:hAnsi="Times New Roman"/>
          <w:lang w:val="lt-LT"/>
        </w:rPr>
        <w:t xml:space="preserve"> </w:t>
      </w:r>
      <w:proofErr w:type="spellStart"/>
      <w:r w:rsidRPr="00464A7D">
        <w:rPr>
          <w:rFonts w:ascii="Times New Roman" w:hAnsi="Times New Roman"/>
          <w:lang w:val="lt-LT"/>
        </w:rPr>
        <w:t>разтвор</w:t>
      </w:r>
      <w:proofErr w:type="spellEnd"/>
      <w:r w:rsidRPr="00464A7D">
        <w:rPr>
          <w:rFonts w:ascii="Times New Roman" w:hAnsi="Times New Roman"/>
          <w:lang w:val="lt-LT"/>
        </w:rPr>
        <w:t xml:space="preserve"> </w:t>
      </w:r>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Lenkija</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B</w:t>
      </w:r>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Slovakija</w:t>
      </w:r>
      <w:r w:rsidRPr="00464A7D">
        <w:rPr>
          <w:rFonts w:ascii="Times New Roman" w:hAnsi="Times New Roman"/>
          <w:lang w:val="lt-LT"/>
        </w:rPr>
        <w:tab/>
      </w:r>
      <w:proofErr w:type="spellStart"/>
      <w:r w:rsidRPr="00464A7D">
        <w:rPr>
          <w:rFonts w:ascii="Times New Roman" w:hAnsi="Times New Roman"/>
          <w:lang w:val="lt-LT"/>
        </w:rPr>
        <w:t>Neiraxin</w:t>
      </w:r>
      <w:proofErr w:type="spellEnd"/>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Rumunija</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w:t>
      </w:r>
      <w:proofErr w:type="spellStart"/>
      <w:r w:rsidRPr="00464A7D">
        <w:rPr>
          <w:rFonts w:ascii="Times New Roman" w:hAnsi="Times New Roman"/>
          <w:lang w:val="lt-LT"/>
        </w:rPr>
        <w:t>soluţie</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injectabilă</w:t>
      </w:r>
      <w:proofErr w:type="spellEnd"/>
    </w:p>
    <w:p w:rsidR="00D7375D" w:rsidRPr="00464A7D" w:rsidRDefault="00D7375D" w:rsidP="00D7375D">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Nyderlandai</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100 mg/100 mg/1 mg/20 mg/2 ml </w:t>
      </w:r>
      <w:proofErr w:type="spellStart"/>
      <w:r w:rsidRPr="00464A7D">
        <w:rPr>
          <w:rFonts w:ascii="Times New Roman" w:hAnsi="Times New Roman"/>
          <w:lang w:val="lt-LT"/>
        </w:rPr>
        <w:t>oplossing</w:t>
      </w:r>
      <w:proofErr w:type="spellEnd"/>
      <w:r w:rsidRPr="00464A7D">
        <w:rPr>
          <w:rFonts w:ascii="Times New Roman" w:hAnsi="Times New Roman"/>
          <w:lang w:val="lt-LT"/>
        </w:rPr>
        <w:t xml:space="preserve"> </w:t>
      </w:r>
      <w:proofErr w:type="spellStart"/>
      <w:r w:rsidRPr="00464A7D">
        <w:rPr>
          <w:rFonts w:ascii="Times New Roman" w:hAnsi="Times New Roman"/>
          <w:lang w:val="lt-LT"/>
        </w:rPr>
        <w:t>voor</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injectie</w:t>
      </w:r>
      <w:proofErr w:type="spellEnd"/>
    </w:p>
    <w:p w:rsidR="00D7375D" w:rsidRPr="00464A7D" w:rsidRDefault="00D7375D" w:rsidP="00D7375D">
      <w:pPr>
        <w:tabs>
          <w:tab w:val="left" w:pos="567"/>
        </w:tabs>
        <w:spacing w:after="0" w:line="240" w:lineRule="auto"/>
        <w:ind w:left="567" w:hanging="567"/>
        <w:contextualSpacing/>
        <w:rPr>
          <w:rFonts w:ascii="Times New Roman" w:hAnsi="Times New Roman"/>
          <w:lang w:val="lt-LT"/>
        </w:rPr>
      </w:pPr>
    </w:p>
    <w:p w:rsidR="00D7375D" w:rsidRPr="00464A7D" w:rsidRDefault="00D7375D" w:rsidP="00D7375D">
      <w:pPr>
        <w:tabs>
          <w:tab w:val="left" w:pos="567"/>
        </w:tabs>
        <w:spacing w:after="0" w:line="240" w:lineRule="auto"/>
        <w:ind w:left="567" w:hanging="567"/>
        <w:contextualSpacing/>
        <w:rPr>
          <w:rFonts w:ascii="Times New Roman" w:hAnsi="Times New Roman"/>
          <w:lang w:val="lt-LT"/>
        </w:rPr>
      </w:pPr>
    </w:p>
    <w:p w:rsidR="00D7375D" w:rsidRPr="00464A7D" w:rsidRDefault="00D7375D" w:rsidP="00D7375D">
      <w:pPr>
        <w:numPr>
          <w:ilvl w:val="12"/>
          <w:numId w:val="0"/>
        </w:numPr>
        <w:spacing w:after="0" w:line="240" w:lineRule="auto"/>
        <w:ind w:right="-2"/>
        <w:contextualSpacing/>
        <w:rPr>
          <w:rFonts w:ascii="Times New Roman" w:eastAsiaTheme="minorHAnsi" w:hAnsi="Times New Roman" w:cstheme="minorBidi"/>
          <w:b/>
          <w:lang w:val="lt-LT"/>
        </w:rPr>
      </w:pPr>
      <w:r w:rsidRPr="00464A7D">
        <w:rPr>
          <w:rFonts w:ascii="Times New Roman" w:hAnsi="Times New Roman"/>
          <w:b/>
          <w:lang w:val="lt-LT"/>
        </w:rPr>
        <w:t xml:space="preserve">Šis pakuotės lapelis paskutinį kartą peržiūrėtas </w:t>
      </w:r>
      <w:r>
        <w:rPr>
          <w:rFonts w:ascii="Times New Roman" w:eastAsia="Times New Roman" w:hAnsi="Times New Roman"/>
          <w:b/>
          <w:snapToGrid w:val="0"/>
          <w:szCs w:val="20"/>
          <w:lang w:val="lt-LT"/>
        </w:rPr>
        <w:t>2024-10-01.</w:t>
      </w:r>
    </w:p>
    <w:p w:rsidR="00D7375D" w:rsidRPr="00464A7D" w:rsidRDefault="00D7375D" w:rsidP="00D7375D">
      <w:pPr>
        <w:numPr>
          <w:ilvl w:val="12"/>
          <w:numId w:val="0"/>
        </w:numPr>
        <w:tabs>
          <w:tab w:val="left" w:pos="567"/>
        </w:tabs>
        <w:spacing w:after="0" w:line="240" w:lineRule="auto"/>
        <w:ind w:right="-2"/>
        <w:contextualSpacing/>
        <w:rPr>
          <w:rFonts w:ascii="Times New Roman" w:hAnsi="Times New Roman"/>
          <w:lang w:val="lt-LT"/>
        </w:rPr>
      </w:pPr>
    </w:p>
    <w:p w:rsidR="00D7375D" w:rsidRPr="00464A7D" w:rsidRDefault="00D7375D" w:rsidP="00D7375D">
      <w:pPr>
        <w:numPr>
          <w:ilvl w:val="12"/>
          <w:numId w:val="0"/>
        </w:numPr>
        <w:tabs>
          <w:tab w:val="left" w:pos="567"/>
        </w:tabs>
        <w:spacing w:after="0" w:line="240" w:lineRule="auto"/>
        <w:ind w:right="-2"/>
        <w:contextualSpacing/>
        <w:rPr>
          <w:rFonts w:ascii="Times New Roman" w:hAnsi="Times New Roman"/>
          <w:lang w:val="lt-LT"/>
        </w:rPr>
      </w:pPr>
    </w:p>
    <w:p w:rsidR="00D7375D" w:rsidRDefault="00D7375D" w:rsidP="00D7375D">
      <w:pPr>
        <w:numPr>
          <w:ilvl w:val="12"/>
          <w:numId w:val="0"/>
        </w:numPr>
        <w:tabs>
          <w:tab w:val="left" w:pos="567"/>
        </w:tabs>
        <w:spacing w:after="0" w:line="240" w:lineRule="auto"/>
        <w:ind w:right="-2"/>
        <w:contextualSpacing/>
        <w:rPr>
          <w:rFonts w:ascii="Times New Roman" w:hAnsi="Times New Roman"/>
          <w:lang w:val="lt-LT"/>
        </w:rPr>
      </w:pPr>
      <w:r w:rsidRPr="00464A7D">
        <w:rPr>
          <w:rFonts w:ascii="Times New Roman" w:hAnsi="Times New Roman"/>
          <w:lang w:val="lt-LT"/>
        </w:rPr>
        <w:t>Išsami informacija apie šį vaistą pateikiama Valstybinės vaistų kontrolės tarnybos prie Lietuvos Respublikos sveikatos apsaugos ministerijos tinklalapyje</w:t>
      </w:r>
      <w:r w:rsidRPr="00464A7D">
        <w:rPr>
          <w:rFonts w:ascii="Times New Roman" w:hAnsi="Times New Roman"/>
          <w:i/>
          <w:lang w:val="lt-LT"/>
        </w:rPr>
        <w:t xml:space="preserve"> </w:t>
      </w:r>
      <w:hyperlink r:id="rId10" w:history="1">
        <w:r w:rsidRPr="00464A7D">
          <w:rPr>
            <w:rFonts w:ascii="Times New Roman" w:hAnsi="Times New Roman"/>
            <w:color w:val="0000FF"/>
            <w:u w:val="single"/>
            <w:lang w:val="lt-LT"/>
          </w:rPr>
          <w:t>http://www.vvkt.lt/</w:t>
        </w:r>
      </w:hyperlink>
      <w:r w:rsidRPr="00464A7D">
        <w:rPr>
          <w:rFonts w:ascii="Times New Roman" w:hAnsi="Times New Roman"/>
          <w:lang w:val="lt-LT"/>
        </w:rPr>
        <w:t>.</w:t>
      </w:r>
    </w:p>
    <w:p w:rsidR="00D7375D" w:rsidRDefault="00D7375D" w:rsidP="00D7375D">
      <w:pPr>
        <w:numPr>
          <w:ilvl w:val="12"/>
          <w:numId w:val="0"/>
        </w:numPr>
        <w:tabs>
          <w:tab w:val="left" w:pos="567"/>
        </w:tabs>
        <w:spacing w:after="0" w:line="240" w:lineRule="auto"/>
        <w:ind w:right="-2"/>
        <w:contextualSpacing/>
        <w:rPr>
          <w:rFonts w:ascii="Times New Roman" w:hAnsi="Times New Roman"/>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78077EB"/>
    <w:multiLevelType w:val="hybridMultilevel"/>
    <w:tmpl w:val="954CFF5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AE68AD"/>
    <w:multiLevelType w:val="hybridMultilevel"/>
    <w:tmpl w:val="AA7A8818"/>
    <w:lvl w:ilvl="0" w:tplc="84229644">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0C456A"/>
    <w:multiLevelType w:val="hybridMultilevel"/>
    <w:tmpl w:val="4F5C0F16"/>
    <w:lvl w:ilvl="0" w:tplc="528403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5D"/>
    <w:rsid w:val="00072F85"/>
    <w:rsid w:val="000A5E72"/>
    <w:rsid w:val="000A7B60"/>
    <w:rsid w:val="00181364"/>
    <w:rsid w:val="002945D9"/>
    <w:rsid w:val="00305C48"/>
    <w:rsid w:val="003362C6"/>
    <w:rsid w:val="00497D4D"/>
    <w:rsid w:val="00742EBF"/>
    <w:rsid w:val="00B4219F"/>
    <w:rsid w:val="00BA6577"/>
    <w:rsid w:val="00C30905"/>
    <w:rsid w:val="00D358F2"/>
    <w:rsid w:val="00D7375D"/>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4B27C-DD3A-4B49-876C-4B92C16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375D"/>
    <w:pPr>
      <w:spacing w:after="200" w:line="276" w:lineRule="auto"/>
    </w:pPr>
    <w:rPr>
      <w:rFonts w:ascii="Calibri" w:eastAsia="Calibri"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7375D"/>
    <w:rPr>
      <w:color w:val="0563C1" w:themeColor="hyperlink"/>
      <w:u w:val="single"/>
    </w:rPr>
  </w:style>
  <w:style w:type="paragraph" w:styleId="Sraopastraipa">
    <w:name w:val="List Paragraph"/>
    <w:basedOn w:val="prastasis"/>
    <w:uiPriority w:val="34"/>
    <w:qFormat/>
    <w:rsid w:val="00D7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kalceks@kalceks.l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6873</Words>
  <Characters>3918</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        3.	Kaip vartoti Neiratax</vt:lpstr>
      <vt:lpstr>Senyviems pacientams</vt:lpstr>
      <vt:lpstr>Dozės koreguoti nereikia.</vt:lpstr>
      <vt:lpstr/>
      <vt:lpstr>        4.	Galimas šalutinis poveikis</vt:lpstr>
      <vt:lpstr>        5.	Kaip laikyti Neiratax</vt:lpstr>
      <vt:lpstr>        6.	Pakuotės turinys ir kita informacija</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2024-09-30T07:55:00Z</dcterms:created>
  <dcterms:modified xsi:type="dcterms:W3CDTF">2024-09-30T07:55:00Z</dcterms:modified>
</cp:coreProperties>
</file>