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tabs>
          <w:tab w:val="left" w:pos="567"/>
        </w:tabs>
        <w:ind w:left="567" w:hanging="567"/>
        <w:jc w:val="center"/>
        <w:outlineLvl w:val="0"/>
        <w:rPr>
          <w:b/>
          <w:sz w:val="22"/>
          <w:szCs w:val="22"/>
        </w:rPr>
      </w:pPr>
      <w:bookmarkStart w:id="0" w:name="_Toc129243261"/>
      <w:bookmarkStart w:id="1" w:name="_Toc129243136"/>
      <w:r w:rsidRPr="009E7F31">
        <w:rPr>
          <w:b/>
          <w:sz w:val="22"/>
          <w:szCs w:val="22"/>
        </w:rPr>
        <w:t>A. ŽENKLINIMAS</w:t>
      </w:r>
      <w:bookmarkEnd w:id="0"/>
      <w:bookmarkEnd w:id="1"/>
    </w:p>
    <w:p w:rsidR="007D2BEF" w:rsidRPr="009E7F31" w:rsidRDefault="007D2BEF" w:rsidP="007D2BEF">
      <w:pPr>
        <w:widowControl w:val="0"/>
        <w:rPr>
          <w:noProof/>
          <w:sz w:val="22"/>
          <w:szCs w:val="22"/>
        </w:rPr>
      </w:pPr>
      <w:r w:rsidRPr="009E7F31">
        <w:rPr>
          <w:noProof/>
          <w:sz w:val="22"/>
          <w:szCs w:val="22"/>
        </w:rPr>
        <w:br w:type="page"/>
      </w:r>
    </w:p>
    <w:p w:rsidR="009E7F31" w:rsidRPr="009E7F31" w:rsidRDefault="009E7F31" w:rsidP="009E7F31">
      <w:pPr>
        <w:keepNext/>
        <w:pBdr>
          <w:top w:val="single" w:sz="4" w:space="1" w:color="auto"/>
          <w:left w:val="single" w:sz="4" w:space="4" w:color="auto"/>
          <w:bottom w:val="single" w:sz="4" w:space="1" w:color="auto"/>
          <w:right w:val="single" w:sz="4" w:space="4" w:color="auto"/>
        </w:pBdr>
        <w:tabs>
          <w:tab w:val="left" w:pos="720"/>
        </w:tabs>
        <w:outlineLvl w:val="1"/>
        <w:rPr>
          <w:rFonts w:eastAsia="MS Mincho"/>
          <w:b/>
          <w:sz w:val="22"/>
          <w:szCs w:val="22"/>
        </w:rPr>
      </w:pPr>
      <w:r w:rsidRPr="009E7F31">
        <w:rPr>
          <w:rFonts w:eastAsia="MS Mincho"/>
          <w:b/>
          <w:sz w:val="22"/>
          <w:szCs w:val="22"/>
        </w:rPr>
        <w:lastRenderedPageBreak/>
        <w:t xml:space="preserve">INFORMACIJA ANT IŠORINĖS PAKUOTĖS </w:t>
      </w:r>
    </w:p>
    <w:p w:rsidR="009E7F31" w:rsidRPr="009E7F31" w:rsidRDefault="009E7F31" w:rsidP="009E7F31">
      <w:pPr>
        <w:pBdr>
          <w:top w:val="single" w:sz="4" w:space="1" w:color="auto"/>
          <w:left w:val="single" w:sz="4" w:space="4" w:color="auto"/>
          <w:bottom w:val="single" w:sz="4" w:space="1" w:color="auto"/>
          <w:right w:val="single" w:sz="4" w:space="4" w:color="auto"/>
        </w:pBdr>
        <w:tabs>
          <w:tab w:val="left" w:pos="720"/>
        </w:tabs>
        <w:rPr>
          <w:rFonts w:eastAsia="MS Mincho"/>
          <w:b/>
          <w:sz w:val="22"/>
          <w:szCs w:val="22"/>
        </w:rPr>
      </w:pPr>
      <w:r w:rsidRPr="009E7F31">
        <w:rPr>
          <w:rFonts w:eastAsia="MS Mincho"/>
          <w:b/>
          <w:sz w:val="22"/>
          <w:szCs w:val="22"/>
        </w:rPr>
        <w:t>KARTONINĖ DĖŽUTĖ</w:t>
      </w: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t>1.</w:t>
      </w:r>
      <w:r w:rsidRPr="009E7F31">
        <w:rPr>
          <w:b/>
          <w:sz w:val="22"/>
          <w:szCs w:val="22"/>
        </w:rPr>
        <w:tab/>
        <w:t>VAISTINIO PREPARATO PAVADINIMAS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Nolicin 400 mg plėvele dengtos tabletės</w:t>
      </w:r>
    </w:p>
    <w:p w:rsidR="009E7F31" w:rsidRPr="009E7F31" w:rsidRDefault="009E7F31" w:rsidP="009E7F31">
      <w:pPr>
        <w:widowControl w:val="0"/>
        <w:rPr>
          <w:noProof/>
          <w:sz w:val="22"/>
          <w:szCs w:val="22"/>
        </w:rPr>
      </w:pPr>
      <w:r w:rsidRPr="009E7F31">
        <w:rPr>
          <w:noProof/>
          <w:sz w:val="22"/>
          <w:szCs w:val="22"/>
        </w:rPr>
        <w:t>Norfloksacinas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9E7F31" w:rsidRPr="009E7F31" w:rsidRDefault="009E7F31" w:rsidP="009E7F31">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rPr>
      </w:pPr>
      <w:r w:rsidRPr="009E7F31">
        <w:rPr>
          <w:b/>
          <w:noProof/>
          <w:sz w:val="22"/>
          <w:szCs w:val="22"/>
        </w:rPr>
        <w:t>2.</w:t>
      </w:r>
      <w:r w:rsidRPr="009E7F31">
        <w:rPr>
          <w:b/>
          <w:noProof/>
          <w:sz w:val="22"/>
          <w:szCs w:val="22"/>
        </w:rPr>
        <w:tab/>
        <w:t>VEIKLIOJI (-IOS) MEDŽIAGA (-OS) IR JOS (-Ų) KIEKIS (-IAI)</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Kiekvienoje  plėvele dengtoje tabletėje yra 400 mg norfloksacino.</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rPr>
      </w:pPr>
      <w:r w:rsidRPr="009E7F31">
        <w:rPr>
          <w:b/>
          <w:sz w:val="22"/>
          <w:szCs w:val="22"/>
        </w:rPr>
        <w:t>3.</w:t>
      </w:r>
      <w:r w:rsidRPr="009E7F31">
        <w:rPr>
          <w:b/>
          <w:sz w:val="22"/>
          <w:szCs w:val="22"/>
        </w:rPr>
        <w:tab/>
        <w:t>PAGALBINIŲ MEDŽIAGŲ SĄRAŠAS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Pagalbinės medžiagos: saulėlydžio geltonasis FCF (E110).</w:t>
      </w:r>
    </w:p>
    <w:p w:rsidR="007D2BEF" w:rsidRPr="009E7F31" w:rsidRDefault="007D2BEF" w:rsidP="007D2BEF">
      <w:pPr>
        <w:widowControl w:val="0"/>
        <w:rPr>
          <w:sz w:val="22"/>
          <w:szCs w:val="22"/>
        </w:rPr>
      </w:pPr>
      <w:r w:rsidRPr="009E7F31">
        <w:rPr>
          <w:sz w:val="22"/>
          <w:szCs w:val="22"/>
        </w:rPr>
        <w:t>Daugiau informacijos pateikta pakuotės lapelyje.</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t>4.</w:t>
      </w:r>
      <w:r w:rsidRPr="009E7F31">
        <w:rPr>
          <w:b/>
          <w:sz w:val="22"/>
          <w:szCs w:val="22"/>
        </w:rPr>
        <w:tab/>
        <w:t>FARMACINĖ FORMA IR KIEKIS PAKUOTĖJE</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highlight w:val="lightGray"/>
        </w:rPr>
        <w:t>Plėvele dengta tabletė.</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20 plėvele dengtų tablečių</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rPr>
      </w:pPr>
      <w:r w:rsidRPr="009E7F31">
        <w:rPr>
          <w:b/>
          <w:sz w:val="22"/>
          <w:szCs w:val="22"/>
        </w:rPr>
        <w:t>5.</w:t>
      </w:r>
      <w:r w:rsidRPr="009E7F31">
        <w:rPr>
          <w:b/>
          <w:sz w:val="22"/>
          <w:szCs w:val="22"/>
        </w:rPr>
        <w:tab/>
        <w:t>VARTOJIMO METODAS IR BŪDAS (-AI)</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Vartoti per burną.</w:t>
      </w:r>
    </w:p>
    <w:p w:rsidR="007D2BEF" w:rsidRPr="009E7F31" w:rsidRDefault="007D2BEF" w:rsidP="007D2BEF">
      <w:pPr>
        <w:widowControl w:val="0"/>
        <w:rPr>
          <w:sz w:val="22"/>
          <w:szCs w:val="22"/>
        </w:rPr>
      </w:pPr>
      <w:r w:rsidRPr="009E7F31">
        <w:rPr>
          <w:sz w:val="22"/>
          <w:szCs w:val="22"/>
        </w:rPr>
        <w:t>Prieš vartojimą perskaitykite pakuotės lapelį.</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t>6.</w:t>
      </w:r>
      <w:r w:rsidRPr="009E7F31">
        <w:rPr>
          <w:b/>
          <w:sz w:val="22"/>
          <w:szCs w:val="22"/>
        </w:rPr>
        <w:tab/>
        <w:t>SPECIALUS ĮSPĖJIMAS, KAD VAISTINĮ PREPARATĄ BŪTINA LAIKYTI VAIKAMS NEPASTEBIMOJE IR NEPASIEKIAMOJE VIETOJE</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Laikyti vaikams nepastebimoje ir nepasiekiamoje vietoje.</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rPr>
      </w:pPr>
      <w:r w:rsidRPr="009E7F31">
        <w:rPr>
          <w:b/>
          <w:sz w:val="22"/>
          <w:szCs w:val="22"/>
        </w:rPr>
        <w:t>7.</w:t>
      </w:r>
      <w:r w:rsidRPr="009E7F31">
        <w:rPr>
          <w:b/>
          <w:sz w:val="22"/>
          <w:szCs w:val="22"/>
        </w:rPr>
        <w:tab/>
        <w:t>KITAS (-I) SPECIALUS (-ŪS) ĮSPĖJIMAS (-AI) (JEI REIKIA)</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rPr>
      </w:pPr>
      <w:r w:rsidRPr="009E7F31">
        <w:rPr>
          <w:b/>
          <w:sz w:val="22"/>
          <w:szCs w:val="22"/>
        </w:rPr>
        <w:t>8.</w:t>
      </w:r>
      <w:r w:rsidRPr="009E7F31">
        <w:rPr>
          <w:b/>
          <w:sz w:val="22"/>
          <w:szCs w:val="22"/>
        </w:rPr>
        <w:tab/>
        <w:t>TINKAMUMO LAIKAS</w:t>
      </w:r>
    </w:p>
    <w:p w:rsidR="007D2BEF" w:rsidRPr="009E7F31" w:rsidRDefault="007D2BEF" w:rsidP="007D2BEF">
      <w:pPr>
        <w:widowControl w:val="0"/>
        <w:rPr>
          <w:sz w:val="22"/>
          <w:szCs w:val="22"/>
        </w:rPr>
      </w:pPr>
    </w:p>
    <w:p w:rsidR="009E7F31" w:rsidRPr="009E7F31" w:rsidRDefault="009E7F31" w:rsidP="009E7F31">
      <w:pPr>
        <w:tabs>
          <w:tab w:val="left" w:pos="720"/>
        </w:tabs>
        <w:rPr>
          <w:rFonts w:eastAsia="MS Mincho"/>
          <w:sz w:val="22"/>
          <w:szCs w:val="22"/>
        </w:rPr>
      </w:pPr>
      <w:r w:rsidRPr="009E7F31">
        <w:rPr>
          <w:rFonts w:eastAsia="MS Mincho"/>
          <w:sz w:val="22"/>
          <w:szCs w:val="22"/>
        </w:rPr>
        <w:t xml:space="preserve">Tinka iki: mm/MMMM </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t>9.</w:t>
      </w:r>
      <w:r w:rsidRPr="009E7F31">
        <w:rPr>
          <w:b/>
          <w:sz w:val="22"/>
          <w:szCs w:val="22"/>
        </w:rPr>
        <w:tab/>
        <w:t>SPECIALIOS LAIKYMO SĄLYGOS</w:t>
      </w:r>
    </w:p>
    <w:p w:rsidR="007D2BEF" w:rsidRPr="009E7F31" w:rsidRDefault="007D2BEF" w:rsidP="007D2BEF">
      <w:pPr>
        <w:widowControl w:val="0"/>
        <w:rPr>
          <w:sz w:val="22"/>
          <w:szCs w:val="22"/>
        </w:rPr>
      </w:pPr>
    </w:p>
    <w:p w:rsidR="007D2BEF" w:rsidRDefault="007D2BEF" w:rsidP="007D2BEF">
      <w:pPr>
        <w:widowControl w:val="0"/>
        <w:rPr>
          <w:sz w:val="22"/>
          <w:szCs w:val="22"/>
        </w:rPr>
      </w:pPr>
      <w:r w:rsidRPr="009E7F31">
        <w:rPr>
          <w:sz w:val="22"/>
          <w:szCs w:val="22"/>
        </w:rPr>
        <w:t xml:space="preserve">Laikyti ne aukštesnėje kaip 25 </w:t>
      </w:r>
      <w:r w:rsidRPr="009E7F31">
        <w:rPr>
          <w:sz w:val="22"/>
          <w:szCs w:val="22"/>
        </w:rPr>
        <w:sym w:font="Symbol" w:char="F0B0"/>
      </w:r>
      <w:r w:rsidR="0060531F">
        <w:rPr>
          <w:sz w:val="22"/>
          <w:szCs w:val="22"/>
        </w:rPr>
        <w:t xml:space="preserve">C temperatūroje, gamintojo pakuotėje. </w:t>
      </w:r>
    </w:p>
    <w:p w:rsidR="0060531F" w:rsidRPr="009E7F31" w:rsidRDefault="0060531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lastRenderedPageBreak/>
        <w:t>10.</w:t>
      </w:r>
      <w:r w:rsidRPr="009E7F31">
        <w:rPr>
          <w:b/>
          <w:sz w:val="22"/>
          <w:szCs w:val="22"/>
        </w:rPr>
        <w:tab/>
        <w:t xml:space="preserve">SPECIALIOS ATSARGUMO PRIEMONĖS DĖL NESUVARTOTO </w:t>
      </w:r>
      <w:r w:rsidRPr="009E7F31">
        <w:rPr>
          <w:b/>
          <w:bCs/>
          <w:sz w:val="22"/>
          <w:szCs w:val="22"/>
        </w:rPr>
        <w:t xml:space="preserve">VAISTINIO PREPARATO AR JO ATLIEKŲ </w:t>
      </w:r>
      <w:r w:rsidRPr="009E7F31">
        <w:rPr>
          <w:b/>
          <w:sz w:val="22"/>
          <w:szCs w:val="22"/>
        </w:rPr>
        <w:t>TVARKYMO (JEI REIKIA)</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9E7F31" w:rsidRPr="009E7F31" w:rsidRDefault="009E7F31" w:rsidP="009E7F31">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9E7F31">
        <w:rPr>
          <w:b/>
          <w:bCs/>
          <w:sz w:val="22"/>
          <w:szCs w:val="22"/>
          <w:lang w:eastAsia="lt-LT"/>
        </w:rPr>
        <w:t>11.</w:t>
      </w:r>
      <w:r w:rsidRPr="009E7F31">
        <w:rPr>
          <w:b/>
          <w:bCs/>
          <w:sz w:val="22"/>
          <w:szCs w:val="22"/>
          <w:lang w:eastAsia="lt-LT"/>
        </w:rPr>
        <w:tab/>
        <w:t xml:space="preserve">LYGIAGRETUS IMPORTUOTOJAS </w:t>
      </w:r>
    </w:p>
    <w:p w:rsidR="009E7F31" w:rsidRPr="009E7F31" w:rsidRDefault="009E7F31" w:rsidP="009E7F31">
      <w:pPr>
        <w:tabs>
          <w:tab w:val="left" w:pos="720"/>
        </w:tabs>
        <w:rPr>
          <w:rFonts w:eastAsia="MS Mincho"/>
          <w:sz w:val="22"/>
          <w:szCs w:val="22"/>
        </w:rPr>
      </w:pPr>
    </w:p>
    <w:p w:rsidR="009E7F31" w:rsidRPr="009E7F31" w:rsidRDefault="009E7F31" w:rsidP="009E7F31">
      <w:pPr>
        <w:rPr>
          <w:noProof/>
          <w:sz w:val="22"/>
          <w:szCs w:val="22"/>
          <w:lang w:eastAsia="lt-LT"/>
        </w:rPr>
      </w:pPr>
      <w:r w:rsidRPr="009E7F31">
        <w:rPr>
          <w:sz w:val="22"/>
          <w:szCs w:val="22"/>
          <w:lang w:eastAsia="lt-LT"/>
        </w:rPr>
        <w:t>Lygiagretus importuotojas UAB „Lex ano“.</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9E7F31" w:rsidRPr="009E7F31" w:rsidRDefault="009E7F31" w:rsidP="009E7F31">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9E7F31">
        <w:rPr>
          <w:b/>
          <w:bCs/>
          <w:sz w:val="22"/>
          <w:szCs w:val="22"/>
          <w:lang w:eastAsia="lt-LT"/>
        </w:rPr>
        <w:t>12.</w:t>
      </w:r>
      <w:r w:rsidRPr="009E7F31">
        <w:rPr>
          <w:b/>
          <w:bCs/>
          <w:sz w:val="22"/>
          <w:szCs w:val="22"/>
          <w:lang w:eastAsia="lt-LT"/>
        </w:rPr>
        <w:tab/>
        <w:t>LYGIAGRETAUS IMPORTO LEIDIMO NUMERIS</w:t>
      </w:r>
    </w:p>
    <w:p w:rsidR="009E7F31" w:rsidRPr="009E7F31" w:rsidRDefault="009E7F31" w:rsidP="009E7F31">
      <w:pPr>
        <w:tabs>
          <w:tab w:val="left" w:pos="720"/>
        </w:tabs>
        <w:rPr>
          <w:sz w:val="22"/>
          <w:szCs w:val="22"/>
          <w:lang w:eastAsia="lt-LT"/>
        </w:rPr>
      </w:pPr>
    </w:p>
    <w:p w:rsidR="009E7F31" w:rsidRPr="009E7F31" w:rsidRDefault="009D0B1B" w:rsidP="009E7F31">
      <w:pPr>
        <w:rPr>
          <w:sz w:val="22"/>
          <w:szCs w:val="22"/>
          <w:lang w:eastAsia="lt-LT"/>
        </w:rPr>
      </w:pPr>
      <w:r>
        <w:rPr>
          <w:sz w:val="22"/>
          <w:szCs w:val="22"/>
          <w:lang w:eastAsia="lt-LT"/>
        </w:rPr>
        <w:t>Lyg.imp.Nr.: LT/L/16/0417/001</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t>13.</w:t>
      </w:r>
      <w:r w:rsidRPr="009E7F31">
        <w:rPr>
          <w:b/>
          <w:sz w:val="22"/>
          <w:szCs w:val="22"/>
        </w:rPr>
        <w:tab/>
        <w:t>SERIJOS NUMERIS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Serija</w:t>
      </w:r>
      <w:r w:rsidR="009E7F31" w:rsidRPr="009E7F31">
        <w:rPr>
          <w:sz w:val="22"/>
          <w:szCs w:val="22"/>
        </w:rPr>
        <w:t>:</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t>14.</w:t>
      </w:r>
      <w:r w:rsidRPr="009E7F31">
        <w:rPr>
          <w:b/>
          <w:sz w:val="22"/>
          <w:szCs w:val="22"/>
        </w:rPr>
        <w:tab/>
        <w:t>PARDAVIMO (IŠDAVIMO) TVARKA</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Receptinis vaistinis preparatas.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t>15.</w:t>
      </w:r>
      <w:r w:rsidRPr="009E7F31">
        <w:rPr>
          <w:b/>
          <w:sz w:val="22"/>
          <w:szCs w:val="22"/>
        </w:rPr>
        <w:tab/>
        <w:t>VARTOJIMO INSTRUKCIJA</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E7F31">
        <w:rPr>
          <w:b/>
          <w:sz w:val="22"/>
          <w:szCs w:val="22"/>
        </w:rPr>
        <w:t>16.</w:t>
      </w:r>
      <w:r w:rsidRPr="009E7F31">
        <w:rPr>
          <w:b/>
          <w:sz w:val="22"/>
          <w:szCs w:val="22"/>
        </w:rPr>
        <w:tab/>
        <w:t>INFORMACIJA BRAILIO RAŠTU</w:t>
      </w:r>
    </w:p>
    <w:p w:rsidR="007D2BEF" w:rsidRPr="009E7F31" w:rsidRDefault="007D2BEF" w:rsidP="007D2BEF">
      <w:pPr>
        <w:widowControl w:val="0"/>
        <w:rPr>
          <w:sz w:val="22"/>
          <w:szCs w:val="22"/>
        </w:rPr>
      </w:pPr>
    </w:p>
    <w:p w:rsidR="007D2BEF" w:rsidRPr="009E7F31" w:rsidRDefault="007D2BEF" w:rsidP="007D2BEF">
      <w:pPr>
        <w:rPr>
          <w:sz w:val="22"/>
          <w:szCs w:val="22"/>
        </w:rPr>
      </w:pPr>
      <w:r w:rsidRPr="009E7F31">
        <w:rPr>
          <w:sz w:val="22"/>
          <w:szCs w:val="22"/>
        </w:rPr>
        <w:t>Nolicin 400 mg</w:t>
      </w:r>
    </w:p>
    <w:p w:rsidR="009E7F31" w:rsidRPr="009E7F31" w:rsidRDefault="009E7F31" w:rsidP="009E7F31">
      <w:pPr>
        <w:keepNext/>
        <w:tabs>
          <w:tab w:val="left" w:pos="720"/>
        </w:tabs>
        <w:outlineLvl w:val="1"/>
        <w:rPr>
          <w:rFonts w:eastAsia="MS Mincho"/>
          <w:sz w:val="22"/>
          <w:szCs w:val="22"/>
        </w:rPr>
      </w:pPr>
      <w:r w:rsidRPr="009E7F31">
        <w:rPr>
          <w:rFonts w:eastAsia="MS Mincho"/>
          <w:sz w:val="22"/>
          <w:szCs w:val="22"/>
        </w:rPr>
        <w:t>------------------------------------------------------------------------------------------------------------------------</w:t>
      </w:r>
    </w:p>
    <w:p w:rsidR="009E7F31" w:rsidRPr="009E7F31" w:rsidRDefault="009E7F31" w:rsidP="009E7F31">
      <w:pPr>
        <w:keepNext/>
        <w:widowControl w:val="0"/>
        <w:outlineLvl w:val="5"/>
        <w:rPr>
          <w:sz w:val="22"/>
          <w:szCs w:val="22"/>
        </w:rPr>
      </w:pPr>
      <w:r w:rsidRPr="009E7F31">
        <w:rPr>
          <w:rFonts w:eastAsia="Batang"/>
          <w:color w:val="000000" w:themeColor="text1"/>
          <w:sz w:val="22"/>
          <w:szCs w:val="22"/>
        </w:rPr>
        <w:t xml:space="preserve">Gamintojas: </w:t>
      </w:r>
      <w:r w:rsidRPr="009E7F31">
        <w:rPr>
          <w:sz w:val="22"/>
          <w:szCs w:val="22"/>
        </w:rPr>
        <w:t>Krka, d.d., Novo mesto, Šmarješka cesta 6, 8501 Novo mesto, Slovėnija.</w:t>
      </w:r>
    </w:p>
    <w:p w:rsidR="009E7F31" w:rsidRPr="009E7F31" w:rsidRDefault="009E7F31" w:rsidP="009E7F31">
      <w:pPr>
        <w:rPr>
          <w:sz w:val="22"/>
          <w:szCs w:val="22"/>
          <w:lang w:eastAsia="lt-LT"/>
        </w:rPr>
      </w:pPr>
    </w:p>
    <w:p w:rsidR="009E7F31" w:rsidRPr="009E7F31" w:rsidRDefault="009E7F31" w:rsidP="009E7F31">
      <w:pPr>
        <w:rPr>
          <w:sz w:val="22"/>
          <w:szCs w:val="22"/>
          <w:lang w:eastAsia="lt-LT"/>
        </w:rPr>
      </w:pPr>
      <w:r w:rsidRPr="009E7F31">
        <w:rPr>
          <w:sz w:val="22"/>
          <w:szCs w:val="22"/>
          <w:lang w:eastAsia="lt-LT"/>
        </w:rPr>
        <w:t>Perpakavo BĮ UAB „Norfachema“.</w:t>
      </w:r>
    </w:p>
    <w:p w:rsidR="009E7F31" w:rsidRPr="009E7F31" w:rsidRDefault="009E7F31" w:rsidP="009E7F31">
      <w:pPr>
        <w:rPr>
          <w:sz w:val="22"/>
          <w:szCs w:val="22"/>
          <w:lang w:eastAsia="lt-LT"/>
        </w:rPr>
      </w:pPr>
      <w:r w:rsidRPr="009E7F31">
        <w:rPr>
          <w:sz w:val="22"/>
          <w:szCs w:val="22"/>
          <w:highlight w:val="lightGray"/>
          <w:lang w:eastAsia="lt-LT"/>
        </w:rPr>
        <w:t>Perpakavo UAB „Entafarma“.</w:t>
      </w:r>
    </w:p>
    <w:p w:rsidR="009E7F31" w:rsidRPr="009E7F31" w:rsidRDefault="009E7F31" w:rsidP="009E7F31">
      <w:pPr>
        <w:rPr>
          <w:sz w:val="22"/>
          <w:szCs w:val="22"/>
          <w:lang w:eastAsia="lt-LT"/>
        </w:rPr>
      </w:pPr>
    </w:p>
    <w:p w:rsidR="009E7F31" w:rsidRPr="009E7F31" w:rsidRDefault="009E7F31" w:rsidP="009E7F31">
      <w:pPr>
        <w:rPr>
          <w:sz w:val="22"/>
          <w:szCs w:val="22"/>
          <w:lang w:eastAsia="lt-LT"/>
        </w:rPr>
      </w:pPr>
      <w:r w:rsidRPr="009E7F31">
        <w:rPr>
          <w:sz w:val="22"/>
          <w:szCs w:val="22"/>
          <w:lang w:eastAsia="lt-LT"/>
        </w:rPr>
        <w:t>Perpak.serija:</w:t>
      </w:r>
    </w:p>
    <w:p w:rsidR="007D2BEF" w:rsidRPr="009E7F31" w:rsidRDefault="009E7F31" w:rsidP="009E7F31">
      <w:pPr>
        <w:spacing w:after="160" w:line="259" w:lineRule="auto"/>
        <w:rPr>
          <w:sz w:val="22"/>
          <w:szCs w:val="22"/>
        </w:rPr>
      </w:pPr>
      <w:r w:rsidRPr="009E7F31">
        <w:rPr>
          <w:rFonts w:eastAsia="MS Mincho"/>
          <w:b/>
          <w:sz w:val="22"/>
          <w:szCs w:val="22"/>
        </w:rPr>
        <w:tab/>
      </w:r>
      <w:r w:rsidR="007D2BEF" w:rsidRPr="009E7F31">
        <w:rPr>
          <w:sz w:val="22"/>
          <w:szCs w:val="22"/>
        </w:rPr>
        <w:br w:type="page"/>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tabs>
          <w:tab w:val="left" w:pos="567"/>
        </w:tabs>
        <w:ind w:left="567" w:hanging="567"/>
        <w:jc w:val="center"/>
        <w:outlineLvl w:val="0"/>
        <w:rPr>
          <w:b/>
          <w:sz w:val="22"/>
          <w:szCs w:val="22"/>
        </w:rPr>
      </w:pPr>
      <w:bookmarkStart w:id="2" w:name="_Toc129243262"/>
      <w:bookmarkStart w:id="3" w:name="_Toc129243137"/>
      <w:r w:rsidRPr="009E7F31">
        <w:rPr>
          <w:b/>
          <w:sz w:val="22"/>
          <w:szCs w:val="22"/>
        </w:rPr>
        <w:t>B. PAKUOTĖS LAPELIS</w:t>
      </w:r>
      <w:bookmarkEnd w:id="2"/>
      <w:bookmarkEnd w:id="3"/>
    </w:p>
    <w:p w:rsidR="007D2BEF" w:rsidRPr="009E7F31" w:rsidRDefault="007D2BEF" w:rsidP="007D2BEF">
      <w:pPr>
        <w:widowControl w:val="0"/>
        <w:tabs>
          <w:tab w:val="left" w:pos="567"/>
        </w:tabs>
        <w:ind w:left="567" w:hanging="567"/>
        <w:jc w:val="center"/>
        <w:outlineLvl w:val="0"/>
        <w:rPr>
          <w:b/>
          <w:sz w:val="22"/>
          <w:szCs w:val="22"/>
        </w:rPr>
      </w:pPr>
      <w:r w:rsidRPr="009E7F31">
        <w:rPr>
          <w:b/>
          <w:sz w:val="22"/>
          <w:szCs w:val="22"/>
        </w:rPr>
        <w:br w:type="page"/>
      </w:r>
      <w:bookmarkStart w:id="4" w:name="_Toc129243263"/>
      <w:bookmarkStart w:id="5" w:name="_Toc129243138"/>
      <w:r w:rsidRPr="009E7F31">
        <w:rPr>
          <w:b/>
          <w:sz w:val="22"/>
          <w:szCs w:val="22"/>
        </w:rPr>
        <w:lastRenderedPageBreak/>
        <w:t xml:space="preserve">Pakuotės lapelis: </w:t>
      </w:r>
      <w:bookmarkEnd w:id="4"/>
      <w:bookmarkEnd w:id="5"/>
      <w:r w:rsidRPr="009E7F31">
        <w:rPr>
          <w:b/>
          <w:sz w:val="22"/>
          <w:szCs w:val="22"/>
        </w:rPr>
        <w:t>informacija vartotojui</w:t>
      </w:r>
    </w:p>
    <w:p w:rsidR="007D2BEF" w:rsidRPr="009E7F31" w:rsidRDefault="007D2BEF" w:rsidP="007D2BEF">
      <w:pPr>
        <w:widowControl w:val="0"/>
        <w:rPr>
          <w:sz w:val="22"/>
          <w:szCs w:val="22"/>
        </w:rPr>
      </w:pPr>
    </w:p>
    <w:p w:rsidR="007D2BEF" w:rsidRPr="009E7F31" w:rsidRDefault="007D2BEF" w:rsidP="007D2BEF">
      <w:pPr>
        <w:widowControl w:val="0"/>
        <w:jc w:val="center"/>
        <w:rPr>
          <w:b/>
          <w:sz w:val="22"/>
          <w:szCs w:val="22"/>
        </w:rPr>
      </w:pPr>
      <w:r w:rsidRPr="009E7F31">
        <w:rPr>
          <w:b/>
          <w:sz w:val="22"/>
          <w:szCs w:val="22"/>
        </w:rPr>
        <w:t>Nolicin 400 mg plėvele dengtos tabletės</w:t>
      </w:r>
    </w:p>
    <w:p w:rsidR="007D2BEF" w:rsidRPr="009E7F31" w:rsidRDefault="007D2BEF" w:rsidP="007D2BEF">
      <w:pPr>
        <w:widowControl w:val="0"/>
        <w:jc w:val="center"/>
        <w:rPr>
          <w:noProof/>
          <w:sz w:val="22"/>
          <w:szCs w:val="22"/>
        </w:rPr>
      </w:pPr>
      <w:r w:rsidRPr="009E7F31">
        <w:rPr>
          <w:noProof/>
          <w:sz w:val="22"/>
          <w:szCs w:val="22"/>
        </w:rPr>
        <w:t>Norfloksacinas</w:t>
      </w:r>
    </w:p>
    <w:p w:rsidR="007D2BEF" w:rsidRPr="009E7F31" w:rsidRDefault="007D2BEF" w:rsidP="007D2BEF">
      <w:pPr>
        <w:widowControl w:val="0"/>
        <w:jc w:val="center"/>
        <w:rPr>
          <w:sz w:val="22"/>
          <w:szCs w:val="22"/>
        </w:rPr>
      </w:pPr>
    </w:p>
    <w:p w:rsidR="007D2BEF" w:rsidRPr="009E7F31" w:rsidRDefault="007D2BEF" w:rsidP="007D2BEF">
      <w:pPr>
        <w:widowControl w:val="0"/>
        <w:rPr>
          <w:b/>
          <w:sz w:val="22"/>
          <w:szCs w:val="22"/>
        </w:rPr>
      </w:pPr>
      <w:r w:rsidRPr="009E7F31">
        <w:rPr>
          <w:b/>
          <w:sz w:val="22"/>
          <w:szCs w:val="22"/>
        </w:rPr>
        <w:t>Atidžiai perskaitykite visą šį lapelį, prieš pradėdami vartoti vaistą, nes jame pateikiama Jums svarbi informacija.</w:t>
      </w:r>
    </w:p>
    <w:p w:rsidR="007D2BEF" w:rsidRPr="009E7F31" w:rsidRDefault="007D2BEF" w:rsidP="007D2BEF">
      <w:pPr>
        <w:widowControl w:val="0"/>
        <w:numPr>
          <w:ilvl w:val="0"/>
          <w:numId w:val="1"/>
        </w:numPr>
        <w:tabs>
          <w:tab w:val="clear" w:pos="720"/>
        </w:tabs>
        <w:ind w:left="567" w:hanging="567"/>
        <w:rPr>
          <w:sz w:val="22"/>
          <w:szCs w:val="22"/>
        </w:rPr>
      </w:pPr>
      <w:r w:rsidRPr="009E7F31">
        <w:rPr>
          <w:sz w:val="22"/>
          <w:szCs w:val="22"/>
        </w:rPr>
        <w:t>Neišmeskite šio lapelio, nes vėl gali prireikti jį perskaityti.</w:t>
      </w:r>
    </w:p>
    <w:p w:rsidR="007D2BEF" w:rsidRPr="009E7F31" w:rsidRDefault="007D2BEF" w:rsidP="007D2BEF">
      <w:pPr>
        <w:widowControl w:val="0"/>
        <w:numPr>
          <w:ilvl w:val="0"/>
          <w:numId w:val="1"/>
        </w:numPr>
        <w:tabs>
          <w:tab w:val="clear" w:pos="720"/>
        </w:tabs>
        <w:ind w:left="567" w:hanging="567"/>
        <w:rPr>
          <w:sz w:val="22"/>
          <w:szCs w:val="22"/>
        </w:rPr>
      </w:pPr>
      <w:r w:rsidRPr="009E7F31">
        <w:rPr>
          <w:sz w:val="22"/>
          <w:szCs w:val="22"/>
        </w:rPr>
        <w:t>Jeigu kiltų daugiau klausimų, kreipkitės į gydytoją arba vaistininką.</w:t>
      </w:r>
    </w:p>
    <w:p w:rsidR="007D2BEF" w:rsidRPr="009E7F31" w:rsidRDefault="007D2BEF" w:rsidP="007D2BEF">
      <w:pPr>
        <w:widowControl w:val="0"/>
        <w:numPr>
          <w:ilvl w:val="0"/>
          <w:numId w:val="1"/>
        </w:numPr>
        <w:tabs>
          <w:tab w:val="clear" w:pos="720"/>
        </w:tabs>
        <w:ind w:left="567" w:hanging="567"/>
        <w:rPr>
          <w:sz w:val="22"/>
          <w:szCs w:val="22"/>
        </w:rPr>
      </w:pPr>
      <w:r w:rsidRPr="009E7F31">
        <w:rPr>
          <w:sz w:val="22"/>
          <w:szCs w:val="22"/>
        </w:rPr>
        <w:t>Šis vaistas skirtas tik Jums, todėl kitiems žmonėms jo duoti negalima. Vaistas gali jiems pakenkti (net tiems, kurių ligos požymiai yra tokie patys kaip Jūsų).</w:t>
      </w:r>
    </w:p>
    <w:p w:rsidR="007D2BEF" w:rsidRPr="009E7F31" w:rsidRDefault="007D2BEF" w:rsidP="007D2BEF">
      <w:pPr>
        <w:widowControl w:val="0"/>
        <w:numPr>
          <w:ilvl w:val="0"/>
          <w:numId w:val="1"/>
        </w:numPr>
        <w:tabs>
          <w:tab w:val="clear" w:pos="720"/>
        </w:tabs>
        <w:ind w:left="567" w:hanging="567"/>
        <w:rPr>
          <w:sz w:val="22"/>
          <w:szCs w:val="22"/>
        </w:rPr>
      </w:pPr>
      <w:r w:rsidRPr="009E7F31">
        <w:rPr>
          <w:sz w:val="22"/>
          <w:szCs w:val="22"/>
        </w:rPr>
        <w:t>Jeigu pasireiškė šalutinis poveikis (net jeigu jis šiame lapelyje nenurodytas), kreipkitės į gydytoją arba vaistininką. Žr. 4 skyrių.</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rPr>
          <w:b/>
          <w:sz w:val="22"/>
          <w:szCs w:val="22"/>
        </w:rPr>
      </w:pPr>
      <w:r w:rsidRPr="009E7F31">
        <w:rPr>
          <w:b/>
          <w:sz w:val="22"/>
          <w:szCs w:val="22"/>
        </w:rPr>
        <w:t>Apie ką rašoma šiame lapelyje?</w:t>
      </w:r>
    </w:p>
    <w:p w:rsidR="007D2BEF" w:rsidRPr="009E7F31" w:rsidRDefault="007D2BEF" w:rsidP="007D2BEF">
      <w:pPr>
        <w:widowControl w:val="0"/>
        <w:rPr>
          <w:b/>
          <w:sz w:val="22"/>
          <w:szCs w:val="22"/>
        </w:rPr>
      </w:pPr>
    </w:p>
    <w:p w:rsidR="007D2BEF" w:rsidRPr="009E7F31" w:rsidRDefault="007D2BEF" w:rsidP="007D2BEF">
      <w:pPr>
        <w:widowControl w:val="0"/>
        <w:ind w:left="567" w:hanging="567"/>
        <w:rPr>
          <w:sz w:val="22"/>
          <w:szCs w:val="22"/>
        </w:rPr>
      </w:pPr>
      <w:r w:rsidRPr="009E7F31">
        <w:rPr>
          <w:sz w:val="22"/>
          <w:szCs w:val="22"/>
        </w:rPr>
        <w:t>1.</w:t>
      </w:r>
      <w:r w:rsidRPr="009E7F31">
        <w:rPr>
          <w:sz w:val="22"/>
          <w:szCs w:val="22"/>
        </w:rPr>
        <w:tab/>
        <w:t>Kas yra Nolicin ir kam jis vartojamas</w:t>
      </w:r>
    </w:p>
    <w:p w:rsidR="007D2BEF" w:rsidRPr="009E7F31" w:rsidRDefault="007D2BEF" w:rsidP="007D2BEF">
      <w:pPr>
        <w:widowControl w:val="0"/>
        <w:ind w:left="567" w:hanging="567"/>
        <w:rPr>
          <w:sz w:val="22"/>
          <w:szCs w:val="22"/>
        </w:rPr>
      </w:pPr>
      <w:r w:rsidRPr="009E7F31">
        <w:rPr>
          <w:sz w:val="22"/>
          <w:szCs w:val="22"/>
        </w:rPr>
        <w:t>2.</w:t>
      </w:r>
      <w:r w:rsidRPr="009E7F31">
        <w:rPr>
          <w:sz w:val="22"/>
          <w:szCs w:val="22"/>
        </w:rPr>
        <w:tab/>
        <w:t>Kas žinotina prieš vartojant Nolicin</w:t>
      </w:r>
    </w:p>
    <w:p w:rsidR="007D2BEF" w:rsidRPr="009E7F31" w:rsidRDefault="007D2BEF" w:rsidP="007D2BEF">
      <w:pPr>
        <w:widowControl w:val="0"/>
        <w:ind w:left="567" w:hanging="567"/>
        <w:rPr>
          <w:sz w:val="22"/>
          <w:szCs w:val="22"/>
        </w:rPr>
      </w:pPr>
      <w:r w:rsidRPr="009E7F31">
        <w:rPr>
          <w:sz w:val="22"/>
          <w:szCs w:val="22"/>
        </w:rPr>
        <w:t>3.</w:t>
      </w:r>
      <w:r w:rsidRPr="009E7F31">
        <w:rPr>
          <w:sz w:val="22"/>
          <w:szCs w:val="22"/>
        </w:rPr>
        <w:tab/>
        <w:t>Kaip vartoti Nolicin</w:t>
      </w:r>
    </w:p>
    <w:p w:rsidR="007D2BEF" w:rsidRPr="009E7F31" w:rsidRDefault="007D2BEF" w:rsidP="007D2BEF">
      <w:pPr>
        <w:widowControl w:val="0"/>
        <w:ind w:left="567" w:hanging="567"/>
        <w:rPr>
          <w:sz w:val="22"/>
          <w:szCs w:val="22"/>
        </w:rPr>
      </w:pPr>
      <w:r w:rsidRPr="009E7F31">
        <w:rPr>
          <w:sz w:val="22"/>
          <w:szCs w:val="22"/>
        </w:rPr>
        <w:t>4.</w:t>
      </w:r>
      <w:r w:rsidRPr="009E7F31">
        <w:rPr>
          <w:sz w:val="22"/>
          <w:szCs w:val="22"/>
        </w:rPr>
        <w:tab/>
        <w:t>Galimas šalutinis poveikis</w:t>
      </w:r>
    </w:p>
    <w:p w:rsidR="007D2BEF" w:rsidRPr="009E7F31" w:rsidRDefault="007D2BEF" w:rsidP="007D2BEF">
      <w:pPr>
        <w:widowControl w:val="0"/>
        <w:ind w:left="567" w:hanging="567"/>
        <w:rPr>
          <w:sz w:val="22"/>
          <w:szCs w:val="22"/>
        </w:rPr>
      </w:pPr>
      <w:r w:rsidRPr="009E7F31">
        <w:rPr>
          <w:sz w:val="22"/>
          <w:szCs w:val="22"/>
        </w:rPr>
        <w:t>5.</w:t>
      </w:r>
      <w:r w:rsidRPr="009E7F31">
        <w:rPr>
          <w:sz w:val="22"/>
          <w:szCs w:val="22"/>
        </w:rPr>
        <w:tab/>
        <w:t>Kaip laikyti Nolicin</w:t>
      </w:r>
    </w:p>
    <w:p w:rsidR="007D2BEF" w:rsidRPr="009E7F31" w:rsidRDefault="007D2BEF" w:rsidP="007D2BEF">
      <w:pPr>
        <w:widowControl w:val="0"/>
        <w:ind w:left="567" w:hanging="567"/>
        <w:rPr>
          <w:sz w:val="22"/>
          <w:szCs w:val="22"/>
        </w:rPr>
      </w:pPr>
      <w:r w:rsidRPr="009E7F31">
        <w:rPr>
          <w:sz w:val="22"/>
          <w:szCs w:val="22"/>
        </w:rPr>
        <w:t>6.</w:t>
      </w:r>
      <w:r w:rsidRPr="009E7F31">
        <w:rPr>
          <w:sz w:val="22"/>
          <w:szCs w:val="22"/>
        </w:rPr>
        <w:tab/>
        <w:t>Pakuotės turinys ir kita informacija</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ind w:left="567" w:hanging="567"/>
        <w:outlineLvl w:val="1"/>
        <w:rPr>
          <w:b/>
          <w:sz w:val="22"/>
          <w:szCs w:val="22"/>
        </w:rPr>
      </w:pPr>
      <w:bookmarkStart w:id="6" w:name="_Toc129243264"/>
      <w:bookmarkStart w:id="7" w:name="_Toc129243139"/>
      <w:r w:rsidRPr="009E7F31">
        <w:rPr>
          <w:b/>
          <w:sz w:val="22"/>
          <w:szCs w:val="22"/>
        </w:rPr>
        <w:t>1.</w:t>
      </w:r>
      <w:r w:rsidRPr="009E7F31">
        <w:rPr>
          <w:b/>
          <w:sz w:val="22"/>
          <w:szCs w:val="22"/>
        </w:rPr>
        <w:tab/>
        <w:t>K</w:t>
      </w:r>
      <w:bookmarkEnd w:id="6"/>
      <w:bookmarkEnd w:id="7"/>
      <w:r w:rsidRPr="009E7F31">
        <w:rPr>
          <w:b/>
          <w:sz w:val="22"/>
          <w:szCs w:val="22"/>
        </w:rPr>
        <w:t>as yra Nolicin ir kam jis vartojamas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Nolicin yra chinolonų grupės chemoterapinis vaistas. Jis naikina bakterijas, kurios sukelia įvairias infekcijas žmogaus organizme.</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Gydytojas skyrė Nolicin nuo šiam vaistui jautrių bakterijų infekcijos. Nolicin dažniausiai vartojamas šlapimo takų ir prostatos infekcinėms ligoms, infekciniam viduriavimui ir gonorėjai gydyti.</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tabs>
          <w:tab w:val="left" w:pos="567"/>
        </w:tabs>
        <w:ind w:left="567" w:hanging="567"/>
        <w:outlineLvl w:val="1"/>
        <w:rPr>
          <w:b/>
          <w:sz w:val="22"/>
          <w:szCs w:val="22"/>
        </w:rPr>
      </w:pPr>
      <w:bookmarkStart w:id="8" w:name="_Toc129243265"/>
      <w:bookmarkStart w:id="9" w:name="_Toc129243140"/>
      <w:r w:rsidRPr="009E7F31">
        <w:rPr>
          <w:b/>
          <w:sz w:val="22"/>
          <w:szCs w:val="22"/>
        </w:rPr>
        <w:t>2.</w:t>
      </w:r>
      <w:r w:rsidRPr="009E7F31">
        <w:rPr>
          <w:b/>
          <w:sz w:val="22"/>
          <w:szCs w:val="22"/>
        </w:rPr>
        <w:tab/>
        <w:t>K</w:t>
      </w:r>
      <w:bookmarkEnd w:id="8"/>
      <w:bookmarkEnd w:id="9"/>
      <w:r w:rsidRPr="009E7F31">
        <w:rPr>
          <w:b/>
          <w:sz w:val="22"/>
          <w:szCs w:val="22"/>
        </w:rPr>
        <w:t>as žinotina prieš vartojant Nolicin</w:t>
      </w:r>
    </w:p>
    <w:p w:rsidR="007D2BEF" w:rsidRPr="009E7F31" w:rsidRDefault="007D2BEF" w:rsidP="007D2BEF">
      <w:pPr>
        <w:widowControl w:val="0"/>
        <w:rPr>
          <w:sz w:val="22"/>
          <w:szCs w:val="22"/>
        </w:rPr>
      </w:pPr>
    </w:p>
    <w:p w:rsidR="007D2BEF" w:rsidRPr="009E7F31" w:rsidRDefault="007D2BEF" w:rsidP="007D2BEF">
      <w:pPr>
        <w:widowControl w:val="0"/>
        <w:rPr>
          <w:b/>
          <w:sz w:val="22"/>
          <w:szCs w:val="22"/>
        </w:rPr>
      </w:pPr>
      <w:r w:rsidRPr="009E7F31">
        <w:rPr>
          <w:b/>
          <w:sz w:val="22"/>
          <w:szCs w:val="22"/>
        </w:rPr>
        <w:t>Nolicin vartoti negalima:</w:t>
      </w:r>
    </w:p>
    <w:p w:rsidR="007D2BEF" w:rsidRPr="009E7F31" w:rsidRDefault="007D2BEF" w:rsidP="007D2BEF">
      <w:pPr>
        <w:widowControl w:val="0"/>
        <w:numPr>
          <w:ilvl w:val="0"/>
          <w:numId w:val="2"/>
        </w:numPr>
        <w:ind w:left="567" w:hanging="567"/>
        <w:rPr>
          <w:sz w:val="22"/>
          <w:szCs w:val="22"/>
        </w:rPr>
      </w:pPr>
      <w:r w:rsidRPr="009E7F31">
        <w:rPr>
          <w:sz w:val="22"/>
          <w:szCs w:val="22"/>
        </w:rPr>
        <w:t>jeigu yra alergija norfloksacinuibet kuriam kitam chinolonų grupės vaistui arba bet kuriai pagalbinei šio vaisto medžiagai (jos išvardytos 6 skyriuje);</w:t>
      </w:r>
    </w:p>
    <w:p w:rsidR="007D2BEF" w:rsidRPr="009E7F31" w:rsidRDefault="007D2BEF" w:rsidP="007D2BEF">
      <w:pPr>
        <w:widowControl w:val="0"/>
        <w:numPr>
          <w:ilvl w:val="0"/>
          <w:numId w:val="2"/>
        </w:numPr>
        <w:ind w:left="567" w:hanging="567"/>
        <w:rPr>
          <w:sz w:val="22"/>
          <w:szCs w:val="22"/>
        </w:rPr>
      </w:pPr>
      <w:r w:rsidRPr="009E7F31">
        <w:rPr>
          <w:sz w:val="22"/>
          <w:szCs w:val="22"/>
        </w:rPr>
        <w:t>jei esate nėščia arba žindote kūdikį;</w:t>
      </w:r>
    </w:p>
    <w:p w:rsidR="007D2BEF" w:rsidRPr="009E7F31" w:rsidRDefault="007D2BEF" w:rsidP="007D2BEF">
      <w:pPr>
        <w:widowControl w:val="0"/>
        <w:numPr>
          <w:ilvl w:val="0"/>
          <w:numId w:val="2"/>
        </w:numPr>
        <w:ind w:left="567" w:hanging="567"/>
        <w:rPr>
          <w:sz w:val="22"/>
          <w:szCs w:val="22"/>
        </w:rPr>
      </w:pPr>
      <w:r w:rsidRPr="009E7F31">
        <w:rPr>
          <w:sz w:val="22"/>
          <w:szCs w:val="22"/>
        </w:rPr>
        <w:t>jei esate vaikas ar paauglys;</w:t>
      </w:r>
    </w:p>
    <w:p w:rsidR="007D2BEF" w:rsidRPr="009E7F31" w:rsidRDefault="007D2BEF" w:rsidP="007D2BEF">
      <w:pPr>
        <w:widowControl w:val="0"/>
        <w:numPr>
          <w:ilvl w:val="0"/>
          <w:numId w:val="2"/>
        </w:numPr>
        <w:ind w:left="567" w:hanging="567"/>
        <w:rPr>
          <w:sz w:val="22"/>
          <w:szCs w:val="22"/>
        </w:rPr>
      </w:pPr>
      <w:r w:rsidRPr="009E7F31">
        <w:rPr>
          <w:sz w:val="22"/>
          <w:szCs w:val="22"/>
        </w:rPr>
        <w:t>jei jums buvo su gydymu norfloksacinu susijusio tendinito ar sausgyslės plyšimo atvejų.</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Įspėjimai ir atsargumo priemonės</w:t>
      </w:r>
    </w:p>
    <w:p w:rsidR="007D2BEF" w:rsidRPr="009E7F31" w:rsidRDefault="007D2BEF" w:rsidP="007D2BEF">
      <w:pPr>
        <w:widowControl w:val="0"/>
        <w:rPr>
          <w:sz w:val="22"/>
          <w:szCs w:val="22"/>
        </w:rPr>
      </w:pPr>
      <w:r w:rsidRPr="009E7F31">
        <w:rPr>
          <w:sz w:val="22"/>
          <w:szCs w:val="22"/>
        </w:rPr>
        <w:t>Pasitarkite su gydytoju arba vaistininku, prieš pradėdami vartoti Nolicin.</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Jeigu sergate epilepsija arba kita centrinės nervų sistemos liga (ypač tokia, dėl kurios gali prasidėti trau</w:t>
      </w:r>
      <w:r w:rsidRPr="009E7F31">
        <w:rPr>
          <w:sz w:val="22"/>
          <w:szCs w:val="22"/>
        </w:rPr>
        <w:softHyphen/>
        <w:t>ku</w:t>
      </w:r>
      <w:r w:rsidRPr="009E7F31">
        <w:rPr>
          <w:sz w:val="22"/>
          <w:szCs w:val="22"/>
        </w:rPr>
        <w:softHyphen/>
        <w:t>liai), apie tai pasakykite gydytojui, kadangi tuomet yra didesnė šalutinio poveikio tikimybė.</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Vartojant Nolicin, gali padidėti jautrumas saulės ir dirbtiniams ultravioletiniams spinduliams, todėl rekomenduojama vengti pernelyg ilgo jų poveikio.</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Jeigu sutrinka regėjimas ar atsiranda kitoks poveikis akims, būtina nedelsiant kreiptis į akių ligų specialistą.</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Jei sergate inkstų nepakankamumu, šio vaisto dozę gydytojas Jums atitinkamai sumažins.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Vartojant Nolicin, rekomenduojama gerti daug skysčių. Kiek jų per dieną geriausia suvartoti, paklaus</w:t>
      </w:r>
      <w:r w:rsidRPr="009E7F31">
        <w:rPr>
          <w:sz w:val="22"/>
          <w:szCs w:val="22"/>
        </w:rPr>
        <w:softHyphen/>
        <w:t>ki</w:t>
      </w:r>
      <w:r w:rsidRPr="009E7F31">
        <w:rPr>
          <w:sz w:val="22"/>
          <w:szCs w:val="22"/>
        </w:rPr>
        <w:softHyphen/>
        <w:t>te gydytojo.</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Jei, vartojant Nolicin, pradeda skaudėti sausgyslę, pasikonsultuokite su gydytoju. Venkite per sun</w:t>
      </w:r>
      <w:r w:rsidRPr="009E7F31">
        <w:rPr>
          <w:sz w:val="22"/>
          <w:szCs w:val="22"/>
        </w:rPr>
        <w:softHyphen/>
        <w:t>kaus fizinio krūvio. Aprašyta atvejų, kai senyviems pacientams, kartu vartojantiems kortikosteroidus ir Nolicin, prasidėjo sausgyslės (ypač Achilo) uždegimas ar net ji trūko.</w:t>
      </w:r>
    </w:p>
    <w:p w:rsidR="007D2BEF" w:rsidRPr="009E7F31" w:rsidRDefault="007D2BEF" w:rsidP="007D2BEF">
      <w:pPr>
        <w:widowControl w:val="0"/>
        <w:rPr>
          <w:sz w:val="22"/>
          <w:szCs w:val="22"/>
        </w:rPr>
      </w:pPr>
    </w:p>
    <w:p w:rsidR="007D2BEF" w:rsidRPr="009E7F31" w:rsidRDefault="007D2BEF" w:rsidP="007D2BEF">
      <w:pPr>
        <w:widowControl w:val="0"/>
        <w:rPr>
          <w:i/>
          <w:iCs/>
          <w:sz w:val="22"/>
          <w:szCs w:val="22"/>
        </w:rPr>
      </w:pPr>
      <w:r w:rsidRPr="009E7F31">
        <w:rPr>
          <w:i/>
          <w:iCs/>
          <w:sz w:val="22"/>
          <w:szCs w:val="22"/>
        </w:rPr>
        <w:t>Širdies problemos</w:t>
      </w:r>
    </w:p>
    <w:p w:rsidR="007D2BEF" w:rsidRPr="009E7F31" w:rsidRDefault="007D2BEF" w:rsidP="007D2BEF">
      <w:pPr>
        <w:widowControl w:val="0"/>
        <w:rPr>
          <w:sz w:val="22"/>
          <w:szCs w:val="22"/>
        </w:rPr>
      </w:pPr>
      <w:r w:rsidRPr="009E7F31">
        <w:rPr>
          <w:sz w:val="22"/>
          <w:szCs w:val="22"/>
        </w:rPr>
        <w:t>Atsargiai reikia vartoti šios grupės vaistą, jei gimus Jums nustatytas ilgo QT intervalo sindromas arba šeimos anamnezėje yra minimas ilgo QT intervalo sindromas (matomi EKG, širdies veiklos elektroninis užrašymas), sutrikusi druskų pusiausvyra kraujyje (ypač mažas kalio kiekis ar magnio kiekis kraujyje), labai lėtas širdies ritmas (vadinamas bradikardija), silpna širdies veikla (širdies nepakankamumas), buvęs širdies priepuolis (miokardo infarktas), esate moteris ar senyvo amžiaus ar vartojate kitų vaistų, sukeliančių nenormalius EKG pokyčius (žr. Kitų vaistų vartojimas).</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Kiti vaistai ir Nolicin</w:t>
      </w:r>
    </w:p>
    <w:p w:rsidR="007D2BEF" w:rsidRPr="009E7F31" w:rsidRDefault="007D2BEF" w:rsidP="007D2BEF">
      <w:pPr>
        <w:widowControl w:val="0"/>
        <w:rPr>
          <w:sz w:val="22"/>
          <w:szCs w:val="22"/>
        </w:rPr>
      </w:pPr>
      <w:r w:rsidRPr="009E7F31">
        <w:rPr>
          <w:sz w:val="22"/>
          <w:szCs w:val="22"/>
        </w:rPr>
        <w:t>Jeigu vartojate arba neseniai vartojote kitų vaistų arba dėl to nesate tikri, apie tai pasakykite gydytojui arba vaistininkui.</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Kartu vartojami vaistai nuo rėmens ar opos (neutralizuojantys skrandžio rūgštį, sukralfatas ir tokie, kurių sudėtyje yra geležies, aliuminio, bismuto, mag</w:t>
      </w:r>
      <w:r w:rsidRPr="009E7F31">
        <w:rPr>
          <w:sz w:val="22"/>
          <w:szCs w:val="22"/>
        </w:rPr>
        <w:softHyphen/>
        <w:t>nio, kalcio arba cinko). Pienas, jogurtas (skysti pieno produktai) mažina norfloksacino rezorbciją, todėl Nolicin rekomenduojama vartoti 2 val. prieš juos.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Kartu vartojant Nolicin, gali pasireikšti teofilino ir ciklosporino šalutinis poveikis dėl jų koncentracijų kraujyje padidėjimo. Gydytojas jas tikrins ir prireikus sumažins šių vaistų dozes.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Kartu vartojamas Nolicin gali sustiprinti krešėjimą slopinančių vaistų poveikį, todėl gali prasidėti krau</w:t>
      </w:r>
      <w:r w:rsidRPr="009E7F31">
        <w:rPr>
          <w:sz w:val="22"/>
          <w:szCs w:val="22"/>
        </w:rPr>
        <w:softHyphen/>
        <w:t>javimas.</w:t>
      </w:r>
    </w:p>
    <w:p w:rsidR="007D2BEF" w:rsidRPr="009E7F31" w:rsidRDefault="007D2BEF" w:rsidP="007D2BEF">
      <w:pPr>
        <w:widowControl w:val="0"/>
        <w:rPr>
          <w:sz w:val="22"/>
          <w:szCs w:val="22"/>
        </w:rPr>
      </w:pPr>
    </w:p>
    <w:p w:rsidR="007D2BEF" w:rsidRPr="009E7F31" w:rsidRDefault="007D2BEF" w:rsidP="007D2BEF">
      <w:pPr>
        <w:widowControl w:val="0"/>
        <w:outlineLvl w:val="0"/>
        <w:rPr>
          <w:sz w:val="22"/>
          <w:szCs w:val="22"/>
        </w:rPr>
      </w:pPr>
      <w:r w:rsidRPr="009E7F31">
        <w:rPr>
          <w:sz w:val="22"/>
          <w:szCs w:val="22"/>
        </w:rPr>
        <w:t>Kartu vartojant kortikosteroidus ir Nolicin, gali padidėti sausgyslių uždegimo ar plyšimų pavojus.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Kartu vartojant Nolicin, gali sustiprėti gliukozės koncentraciją mažinantis tam tikrų vaistų (sulfonilurėjos darinių) poveikis.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Nolicin negalima vartoti kartu su nitrofurantoinu, kadangi tuomet susilpnėja šių abiejų vaistų poveikis.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Kartu vartojamas probenecidas norfloksacino koncentracijos serume neveikia, tačiau mažina jo ekskreciją su šlapimu.</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Preparatų, kuriuose yra didanozino, negalima vartoti kartu su norfloksacinu bei 2 valandas po jo pavartojimo, nes minėti preparatai gali veikti norfloksacino absorbciją, todėl jo koncentracija serume ir šlapime gali būti mažesnė.</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Nustatyta, kad kai kurie chinolonai, įskaitant norfloksaciną, daro poveikį kofeino metabolizmui, todėl kofeino klirensas gali sumažėti, o pusinės eliminacijos iš plazmos laikas pailgėti.</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Tyrimų su gyvūnais metu gauti duomenys rodo, kad kartu su fenbufenu vartojami chinolonai gali sukelti traukulius, todėl chinolonų ir fenbufeno kartu vartoti nerekomenduojama.</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Taip pat labai svarbu pranešti gydytojui jeigu jūs vartojate vaistų, kurie gali pakeisti jūsų širdies ritmą: vaistų, kurie priklauso antiaritminių vaistų grupei (pvz., chinidiną, hidrochinidiną, dizopiramidą, amjodaroną, sotalolį, dofetilidą, ibutilidą), triciklių antidepresantų, kai kurių antibakterinių preparatų (kurie priklauso makrolidų grupei), kai kurių antipsichozinių vaistų.</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lastRenderedPageBreak/>
        <w:t>Nolicin vartojimas su maistu, gėrimais ir alkoholiu</w:t>
      </w:r>
    </w:p>
    <w:p w:rsidR="007D2BEF" w:rsidRPr="009E7F31" w:rsidRDefault="007D2BEF" w:rsidP="007D2BEF">
      <w:pPr>
        <w:widowControl w:val="0"/>
        <w:rPr>
          <w:sz w:val="22"/>
          <w:szCs w:val="22"/>
        </w:rPr>
      </w:pPr>
      <w:r w:rsidRPr="009E7F31">
        <w:rPr>
          <w:sz w:val="22"/>
          <w:szCs w:val="22"/>
        </w:rPr>
        <w:t>Nolicin galima gerti nevalgius arba valgio metu, tačiau negalima vartoti kartu su pienu ar jogurtu, ka</w:t>
      </w:r>
      <w:r w:rsidRPr="009E7F31">
        <w:rPr>
          <w:sz w:val="22"/>
          <w:szCs w:val="22"/>
        </w:rPr>
        <w:softHyphen/>
        <w:t>dan</w:t>
      </w:r>
      <w:r w:rsidRPr="009E7F31">
        <w:rPr>
          <w:sz w:val="22"/>
          <w:szCs w:val="22"/>
        </w:rPr>
        <w:softHyphen/>
        <w:t>gi skysti pieno produktai mažina į kraują patenkantį norfloksacino kiekį. Nolicin reikia vartoti 1 val. prieš skystus pieno produktus arba 2 val. po jų. Vartojant šį vaistą, nerekomenduojama gerti alkoholinių gėrimų.</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Nėštumas, žindymo laikotarpis ir vaisingumas</w:t>
      </w:r>
    </w:p>
    <w:p w:rsidR="007D2BEF" w:rsidRPr="009E7F31" w:rsidRDefault="007D2BEF" w:rsidP="007D2BEF">
      <w:pPr>
        <w:widowControl w:val="0"/>
        <w:rPr>
          <w:sz w:val="22"/>
          <w:szCs w:val="22"/>
        </w:rPr>
      </w:pPr>
      <w:r w:rsidRPr="009E7F31">
        <w:rPr>
          <w:sz w:val="22"/>
          <w:szCs w:val="22"/>
        </w:rPr>
        <w:t>Jeigu esate nėščia, žindote kūdikį, manote, kad galbūt esate nėščia arba planuojate pastoti, tai prieš vartodama šį vaistą, pasitarkite su gydytoju arba vaistininku.</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Šalutinio poveikio vaisiui pavojus nepaneigtas. Nėščioms moterims gydytojas gali skirti Nolicin tik išimtiniais atvejais, kai laukiamas palankus poveikis yra didesnis negu pavojus vaisiui.</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Vartojant Nolicin, žindyti negalima.</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Vairavimas ir mechanizmų valdymas</w:t>
      </w:r>
    </w:p>
    <w:p w:rsidR="007D2BEF" w:rsidRPr="009E7F31" w:rsidRDefault="007D2BEF" w:rsidP="007D2BEF">
      <w:pPr>
        <w:widowControl w:val="0"/>
        <w:rPr>
          <w:sz w:val="22"/>
          <w:szCs w:val="22"/>
        </w:rPr>
      </w:pPr>
      <w:r w:rsidRPr="009E7F31">
        <w:rPr>
          <w:sz w:val="22"/>
          <w:szCs w:val="22"/>
        </w:rPr>
        <w:t>Nolicin gali mažinti budrumą, todėl vairuoti automobilį ir dirbti su technika reikia atsargiai, kol pa</w:t>
      </w:r>
      <w:r w:rsidRPr="009E7F31">
        <w:rPr>
          <w:sz w:val="22"/>
          <w:szCs w:val="22"/>
        </w:rPr>
        <w:softHyphen/>
        <w:t>aiš</w:t>
      </w:r>
      <w:r w:rsidRPr="009E7F31">
        <w:rPr>
          <w:sz w:val="22"/>
          <w:szCs w:val="22"/>
        </w:rPr>
        <w:softHyphen/>
        <w:t>kės, kaip šis vaistas veikia organizmą. Nolicin poveikį budrumui stiprina alkoholiniai gėrimai.</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Nolicin sudėtyje yra azo dažiklio E110</w:t>
      </w:r>
    </w:p>
    <w:p w:rsidR="007D2BEF" w:rsidRPr="009E7F31" w:rsidRDefault="007D2BEF" w:rsidP="007D2BEF">
      <w:pPr>
        <w:widowControl w:val="0"/>
        <w:rPr>
          <w:sz w:val="22"/>
          <w:szCs w:val="22"/>
        </w:rPr>
      </w:pPr>
      <w:r w:rsidRPr="009E7F31">
        <w:rPr>
          <w:sz w:val="22"/>
          <w:szCs w:val="22"/>
        </w:rPr>
        <w:t>Azo dažiklis E110 gali sukelti alerginių reakcijų.</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ind w:left="567" w:hanging="567"/>
        <w:outlineLvl w:val="1"/>
        <w:rPr>
          <w:b/>
          <w:sz w:val="22"/>
          <w:szCs w:val="22"/>
        </w:rPr>
      </w:pPr>
      <w:bookmarkStart w:id="10" w:name="_Toc129243266"/>
      <w:bookmarkStart w:id="11" w:name="_Toc129243141"/>
      <w:r w:rsidRPr="009E7F31">
        <w:rPr>
          <w:b/>
          <w:sz w:val="22"/>
          <w:szCs w:val="22"/>
        </w:rPr>
        <w:t>3.</w:t>
      </w:r>
      <w:r w:rsidRPr="009E7F31">
        <w:rPr>
          <w:b/>
          <w:sz w:val="22"/>
          <w:szCs w:val="22"/>
        </w:rPr>
        <w:tab/>
        <w:t>K</w:t>
      </w:r>
      <w:bookmarkEnd w:id="10"/>
      <w:bookmarkEnd w:id="11"/>
      <w:r w:rsidRPr="009E7F31">
        <w:rPr>
          <w:b/>
          <w:sz w:val="22"/>
          <w:szCs w:val="22"/>
        </w:rPr>
        <w:t>aip vartoti Nolicin</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Visada vartokite šį vaistą tiksliai, kaip nurodė gydytojas ar vaistininkas. Jeigu abejojate, kreipkitės į gydytoją arba vaistininką.</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Vaisto dozę ir vartojimo trukmę parinks gydytojas, atsižvelgdamas į ligos pobūdį. Tabletę užgerkite stikline vandens arba arbatos.</w:t>
      </w:r>
    </w:p>
    <w:p w:rsidR="007D2BEF" w:rsidRPr="009E7F31" w:rsidRDefault="007D2BEF" w:rsidP="007D2BEF">
      <w:pPr>
        <w:widowControl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6"/>
        <w:gridCol w:w="3261"/>
      </w:tblGrid>
      <w:tr w:rsidR="007D2BEF" w:rsidRPr="009E7F31" w:rsidTr="00585BEE">
        <w:tc>
          <w:tcPr>
            <w:tcW w:w="2977" w:type="dxa"/>
          </w:tcPr>
          <w:p w:rsidR="007D2BEF" w:rsidRPr="009E7F31" w:rsidRDefault="007D2BEF" w:rsidP="00585BEE">
            <w:pPr>
              <w:widowControl w:val="0"/>
              <w:rPr>
                <w:i/>
                <w:sz w:val="22"/>
                <w:szCs w:val="22"/>
              </w:rPr>
            </w:pPr>
            <w:r w:rsidRPr="009E7F31">
              <w:rPr>
                <w:i/>
                <w:sz w:val="22"/>
                <w:szCs w:val="22"/>
              </w:rPr>
              <w:t>Indikacija</w:t>
            </w:r>
          </w:p>
        </w:tc>
        <w:tc>
          <w:tcPr>
            <w:tcW w:w="2126" w:type="dxa"/>
          </w:tcPr>
          <w:p w:rsidR="007D2BEF" w:rsidRPr="009E7F31" w:rsidRDefault="007D2BEF" w:rsidP="00585BEE">
            <w:pPr>
              <w:widowControl w:val="0"/>
              <w:rPr>
                <w:i/>
                <w:sz w:val="22"/>
                <w:szCs w:val="22"/>
              </w:rPr>
            </w:pPr>
            <w:r w:rsidRPr="009E7F31">
              <w:rPr>
                <w:i/>
                <w:sz w:val="22"/>
                <w:szCs w:val="22"/>
              </w:rPr>
              <w:t>Dozė</w:t>
            </w:r>
          </w:p>
        </w:tc>
        <w:tc>
          <w:tcPr>
            <w:tcW w:w="3261" w:type="dxa"/>
          </w:tcPr>
          <w:p w:rsidR="007D2BEF" w:rsidRPr="009E7F31" w:rsidRDefault="007D2BEF" w:rsidP="00585BEE">
            <w:pPr>
              <w:widowControl w:val="0"/>
              <w:rPr>
                <w:i/>
                <w:sz w:val="22"/>
                <w:szCs w:val="22"/>
              </w:rPr>
            </w:pPr>
            <w:r w:rsidRPr="009E7F31">
              <w:rPr>
                <w:i/>
                <w:sz w:val="22"/>
                <w:szCs w:val="22"/>
              </w:rPr>
              <w:t>Gydymo trukmė</w:t>
            </w:r>
          </w:p>
        </w:tc>
      </w:tr>
      <w:tr w:rsidR="007D2BEF" w:rsidRPr="009E7F31" w:rsidTr="00585BEE">
        <w:tc>
          <w:tcPr>
            <w:tcW w:w="2977" w:type="dxa"/>
          </w:tcPr>
          <w:p w:rsidR="007D2BEF" w:rsidRPr="009E7F31" w:rsidRDefault="007D2BEF" w:rsidP="00585BEE">
            <w:pPr>
              <w:widowControl w:val="0"/>
              <w:rPr>
                <w:i/>
                <w:sz w:val="22"/>
                <w:szCs w:val="22"/>
              </w:rPr>
            </w:pPr>
            <w:r w:rsidRPr="009E7F31">
              <w:rPr>
                <w:i/>
                <w:sz w:val="22"/>
                <w:szCs w:val="22"/>
              </w:rPr>
              <w:t>Gydymas</w:t>
            </w:r>
          </w:p>
        </w:tc>
        <w:tc>
          <w:tcPr>
            <w:tcW w:w="2126" w:type="dxa"/>
          </w:tcPr>
          <w:p w:rsidR="007D2BEF" w:rsidRPr="009E7F31" w:rsidRDefault="007D2BEF" w:rsidP="00585BEE">
            <w:pPr>
              <w:widowControl w:val="0"/>
              <w:rPr>
                <w:i/>
                <w:sz w:val="22"/>
                <w:szCs w:val="22"/>
              </w:rPr>
            </w:pPr>
          </w:p>
        </w:tc>
        <w:tc>
          <w:tcPr>
            <w:tcW w:w="3261" w:type="dxa"/>
          </w:tcPr>
          <w:p w:rsidR="007D2BEF" w:rsidRPr="009E7F31" w:rsidRDefault="007D2BEF" w:rsidP="00585BEE">
            <w:pPr>
              <w:widowControl w:val="0"/>
              <w:rPr>
                <w:i/>
                <w:sz w:val="22"/>
                <w:szCs w:val="22"/>
              </w:rPr>
            </w:pPr>
          </w:p>
        </w:tc>
      </w:tr>
      <w:tr w:rsidR="007D2BEF" w:rsidRPr="009E7F31" w:rsidTr="00585BEE">
        <w:tc>
          <w:tcPr>
            <w:tcW w:w="2977" w:type="dxa"/>
          </w:tcPr>
          <w:p w:rsidR="007D2BEF" w:rsidRPr="009E7F31" w:rsidRDefault="007D2BEF" w:rsidP="00585BEE">
            <w:pPr>
              <w:widowControl w:val="0"/>
              <w:rPr>
                <w:sz w:val="22"/>
                <w:szCs w:val="22"/>
              </w:rPr>
            </w:pPr>
            <w:r w:rsidRPr="009E7F31">
              <w:rPr>
                <w:sz w:val="22"/>
                <w:szCs w:val="22"/>
              </w:rPr>
              <w:t>Ūminis cistitas</w:t>
            </w:r>
          </w:p>
        </w:tc>
        <w:tc>
          <w:tcPr>
            <w:tcW w:w="2126" w:type="dxa"/>
          </w:tcPr>
          <w:p w:rsidR="007D2BEF" w:rsidRPr="009E7F31" w:rsidRDefault="007D2BEF" w:rsidP="00585BEE">
            <w:pPr>
              <w:widowControl w:val="0"/>
              <w:rPr>
                <w:sz w:val="22"/>
                <w:szCs w:val="22"/>
              </w:rPr>
            </w:pPr>
            <w:r w:rsidRPr="009E7F31">
              <w:rPr>
                <w:sz w:val="22"/>
                <w:szCs w:val="22"/>
              </w:rPr>
              <w:t xml:space="preserve">2 </w:t>
            </w:r>
            <w:r w:rsidRPr="009E7F31">
              <w:rPr>
                <w:sz w:val="22"/>
                <w:szCs w:val="22"/>
              </w:rPr>
              <w:sym w:font="Symbol" w:char="F0B4"/>
            </w:r>
            <w:r w:rsidRPr="009E7F31">
              <w:rPr>
                <w:sz w:val="22"/>
                <w:szCs w:val="22"/>
              </w:rPr>
              <w:t xml:space="preserve"> 400 mg</w:t>
            </w:r>
          </w:p>
        </w:tc>
        <w:tc>
          <w:tcPr>
            <w:tcW w:w="3261" w:type="dxa"/>
          </w:tcPr>
          <w:p w:rsidR="007D2BEF" w:rsidRPr="009E7F31" w:rsidRDefault="007D2BEF" w:rsidP="00585BEE">
            <w:pPr>
              <w:widowControl w:val="0"/>
              <w:rPr>
                <w:sz w:val="22"/>
                <w:szCs w:val="22"/>
              </w:rPr>
            </w:pPr>
            <w:r w:rsidRPr="009E7F31">
              <w:rPr>
                <w:sz w:val="22"/>
                <w:szCs w:val="22"/>
              </w:rPr>
              <w:t>3-7 paros</w:t>
            </w:r>
          </w:p>
        </w:tc>
      </w:tr>
      <w:tr w:rsidR="007D2BEF" w:rsidRPr="009E7F31" w:rsidTr="00585BEE">
        <w:tc>
          <w:tcPr>
            <w:tcW w:w="2977" w:type="dxa"/>
          </w:tcPr>
          <w:p w:rsidR="007D2BEF" w:rsidRPr="009E7F31" w:rsidRDefault="007D2BEF" w:rsidP="00585BEE">
            <w:pPr>
              <w:widowControl w:val="0"/>
              <w:rPr>
                <w:sz w:val="22"/>
                <w:szCs w:val="22"/>
              </w:rPr>
            </w:pPr>
            <w:r w:rsidRPr="009E7F31">
              <w:rPr>
                <w:sz w:val="22"/>
                <w:szCs w:val="22"/>
              </w:rPr>
              <w:t>Atsinaujinęs cistitas</w:t>
            </w:r>
          </w:p>
        </w:tc>
        <w:tc>
          <w:tcPr>
            <w:tcW w:w="2126" w:type="dxa"/>
          </w:tcPr>
          <w:p w:rsidR="007D2BEF" w:rsidRPr="009E7F31" w:rsidRDefault="007D2BEF" w:rsidP="00585BEE">
            <w:pPr>
              <w:widowControl w:val="0"/>
              <w:rPr>
                <w:sz w:val="22"/>
                <w:szCs w:val="22"/>
              </w:rPr>
            </w:pPr>
            <w:r w:rsidRPr="009E7F31">
              <w:rPr>
                <w:sz w:val="22"/>
                <w:szCs w:val="22"/>
              </w:rPr>
              <w:t xml:space="preserve">2 </w:t>
            </w:r>
            <w:r w:rsidRPr="009E7F31">
              <w:rPr>
                <w:sz w:val="22"/>
                <w:szCs w:val="22"/>
              </w:rPr>
              <w:sym w:font="Symbol" w:char="F0B4"/>
            </w:r>
            <w:r w:rsidRPr="009E7F31">
              <w:rPr>
                <w:sz w:val="22"/>
                <w:szCs w:val="22"/>
              </w:rPr>
              <w:t xml:space="preserve"> 400 mg</w:t>
            </w:r>
          </w:p>
        </w:tc>
        <w:tc>
          <w:tcPr>
            <w:tcW w:w="3261" w:type="dxa"/>
          </w:tcPr>
          <w:p w:rsidR="007D2BEF" w:rsidRPr="009E7F31" w:rsidRDefault="007D2BEF" w:rsidP="00585BEE">
            <w:pPr>
              <w:widowControl w:val="0"/>
              <w:rPr>
                <w:sz w:val="22"/>
                <w:szCs w:val="22"/>
              </w:rPr>
            </w:pPr>
            <w:r w:rsidRPr="009E7F31">
              <w:rPr>
                <w:sz w:val="22"/>
                <w:szCs w:val="22"/>
              </w:rPr>
              <w:t>7-14 parų</w:t>
            </w:r>
          </w:p>
        </w:tc>
      </w:tr>
      <w:tr w:rsidR="007D2BEF" w:rsidRPr="009E7F31" w:rsidTr="00585BEE">
        <w:tc>
          <w:tcPr>
            <w:tcW w:w="2977" w:type="dxa"/>
          </w:tcPr>
          <w:p w:rsidR="007D2BEF" w:rsidRPr="009E7F31" w:rsidRDefault="007D2BEF" w:rsidP="00585BEE">
            <w:pPr>
              <w:widowControl w:val="0"/>
              <w:rPr>
                <w:sz w:val="22"/>
                <w:szCs w:val="22"/>
              </w:rPr>
            </w:pPr>
            <w:r w:rsidRPr="009E7F31">
              <w:rPr>
                <w:sz w:val="22"/>
                <w:szCs w:val="22"/>
              </w:rPr>
              <w:t>Ūminis nekom</w:t>
            </w:r>
            <w:r w:rsidRPr="009E7F31">
              <w:rPr>
                <w:sz w:val="22"/>
                <w:szCs w:val="22"/>
              </w:rPr>
              <w:softHyphen/>
              <w:t>pli</w:t>
            </w:r>
            <w:r w:rsidRPr="009E7F31">
              <w:rPr>
                <w:sz w:val="22"/>
                <w:szCs w:val="22"/>
              </w:rPr>
              <w:softHyphen/>
              <w:t>kuo</w:t>
            </w:r>
            <w:r w:rsidRPr="009E7F31">
              <w:rPr>
                <w:sz w:val="22"/>
                <w:szCs w:val="22"/>
              </w:rPr>
              <w:softHyphen/>
              <w:t>tas pie</w:t>
            </w:r>
            <w:r w:rsidRPr="009E7F31">
              <w:rPr>
                <w:sz w:val="22"/>
                <w:szCs w:val="22"/>
              </w:rPr>
              <w:softHyphen/>
              <w:t>lonefritas</w:t>
            </w:r>
          </w:p>
        </w:tc>
        <w:tc>
          <w:tcPr>
            <w:tcW w:w="2126" w:type="dxa"/>
          </w:tcPr>
          <w:p w:rsidR="007D2BEF" w:rsidRPr="009E7F31" w:rsidRDefault="007D2BEF" w:rsidP="00585BEE">
            <w:pPr>
              <w:widowControl w:val="0"/>
              <w:rPr>
                <w:sz w:val="22"/>
                <w:szCs w:val="22"/>
              </w:rPr>
            </w:pPr>
            <w:r w:rsidRPr="009E7F31">
              <w:rPr>
                <w:sz w:val="22"/>
                <w:szCs w:val="22"/>
              </w:rPr>
              <w:t xml:space="preserve">2 </w:t>
            </w:r>
            <w:r w:rsidRPr="009E7F31">
              <w:rPr>
                <w:sz w:val="22"/>
                <w:szCs w:val="22"/>
              </w:rPr>
              <w:sym w:font="Symbol" w:char="F0B4"/>
            </w:r>
            <w:r w:rsidRPr="009E7F31">
              <w:rPr>
                <w:sz w:val="22"/>
                <w:szCs w:val="22"/>
              </w:rPr>
              <w:t xml:space="preserve"> 400 mg</w:t>
            </w:r>
          </w:p>
        </w:tc>
        <w:tc>
          <w:tcPr>
            <w:tcW w:w="3261" w:type="dxa"/>
          </w:tcPr>
          <w:p w:rsidR="007D2BEF" w:rsidRPr="009E7F31" w:rsidRDefault="007D2BEF" w:rsidP="00585BEE">
            <w:pPr>
              <w:widowControl w:val="0"/>
              <w:rPr>
                <w:sz w:val="22"/>
                <w:szCs w:val="22"/>
              </w:rPr>
            </w:pPr>
            <w:r w:rsidRPr="009E7F31">
              <w:rPr>
                <w:sz w:val="22"/>
                <w:szCs w:val="22"/>
              </w:rPr>
              <w:t>7-14 parų</w:t>
            </w:r>
          </w:p>
        </w:tc>
      </w:tr>
      <w:tr w:rsidR="007D2BEF" w:rsidRPr="009E7F31" w:rsidTr="00585BEE">
        <w:tc>
          <w:tcPr>
            <w:tcW w:w="2977" w:type="dxa"/>
          </w:tcPr>
          <w:p w:rsidR="007D2BEF" w:rsidRPr="009E7F31" w:rsidRDefault="007D2BEF" w:rsidP="00585BEE">
            <w:pPr>
              <w:widowControl w:val="0"/>
              <w:rPr>
                <w:sz w:val="22"/>
                <w:szCs w:val="22"/>
              </w:rPr>
            </w:pPr>
            <w:r w:rsidRPr="009E7F31">
              <w:rPr>
                <w:sz w:val="22"/>
                <w:szCs w:val="22"/>
              </w:rPr>
              <w:t>Lėtinis prosta</w:t>
            </w:r>
            <w:r w:rsidRPr="009E7F31">
              <w:rPr>
                <w:sz w:val="22"/>
                <w:szCs w:val="22"/>
              </w:rPr>
              <w:softHyphen/>
              <w:t>titas</w:t>
            </w:r>
          </w:p>
        </w:tc>
        <w:tc>
          <w:tcPr>
            <w:tcW w:w="2126" w:type="dxa"/>
          </w:tcPr>
          <w:p w:rsidR="007D2BEF" w:rsidRPr="009E7F31" w:rsidRDefault="007D2BEF" w:rsidP="00585BEE">
            <w:pPr>
              <w:widowControl w:val="0"/>
              <w:rPr>
                <w:sz w:val="22"/>
                <w:szCs w:val="22"/>
              </w:rPr>
            </w:pPr>
            <w:r w:rsidRPr="009E7F31">
              <w:rPr>
                <w:sz w:val="22"/>
                <w:szCs w:val="22"/>
              </w:rPr>
              <w:t xml:space="preserve">2 </w:t>
            </w:r>
            <w:r w:rsidRPr="009E7F31">
              <w:rPr>
                <w:sz w:val="22"/>
                <w:szCs w:val="22"/>
              </w:rPr>
              <w:sym w:font="Symbol" w:char="F0B4"/>
            </w:r>
            <w:r w:rsidRPr="009E7F31">
              <w:rPr>
                <w:sz w:val="22"/>
                <w:szCs w:val="22"/>
              </w:rPr>
              <w:t xml:space="preserve"> 400 mg</w:t>
            </w:r>
          </w:p>
        </w:tc>
        <w:tc>
          <w:tcPr>
            <w:tcW w:w="3261" w:type="dxa"/>
          </w:tcPr>
          <w:p w:rsidR="007D2BEF" w:rsidRPr="009E7F31" w:rsidRDefault="007D2BEF" w:rsidP="00585BEE">
            <w:pPr>
              <w:widowControl w:val="0"/>
              <w:rPr>
                <w:sz w:val="22"/>
                <w:szCs w:val="22"/>
              </w:rPr>
            </w:pPr>
            <w:r w:rsidRPr="009E7F31">
              <w:rPr>
                <w:sz w:val="22"/>
                <w:szCs w:val="22"/>
              </w:rPr>
              <w:t>4</w:t>
            </w:r>
            <w:r w:rsidRPr="009E7F31">
              <w:rPr>
                <w:sz w:val="22"/>
                <w:szCs w:val="22"/>
              </w:rPr>
              <w:noBreakHyphen/>
              <w:t>6 savaitės arba ilgiau</w:t>
            </w:r>
          </w:p>
        </w:tc>
      </w:tr>
      <w:tr w:rsidR="007D2BEF" w:rsidRPr="009E7F31" w:rsidTr="00585BEE">
        <w:tc>
          <w:tcPr>
            <w:tcW w:w="2977" w:type="dxa"/>
          </w:tcPr>
          <w:p w:rsidR="007D2BEF" w:rsidRPr="009E7F31" w:rsidRDefault="007D2BEF" w:rsidP="00585BEE">
            <w:pPr>
              <w:widowControl w:val="0"/>
              <w:rPr>
                <w:sz w:val="22"/>
                <w:szCs w:val="22"/>
              </w:rPr>
            </w:pPr>
            <w:r w:rsidRPr="009E7F31">
              <w:rPr>
                <w:sz w:val="22"/>
                <w:szCs w:val="22"/>
              </w:rPr>
              <w:t>Gonorėja</w:t>
            </w:r>
          </w:p>
        </w:tc>
        <w:tc>
          <w:tcPr>
            <w:tcW w:w="2126" w:type="dxa"/>
          </w:tcPr>
          <w:p w:rsidR="007D2BEF" w:rsidRPr="009E7F31" w:rsidRDefault="007D2BEF" w:rsidP="00585BEE">
            <w:pPr>
              <w:widowControl w:val="0"/>
              <w:rPr>
                <w:sz w:val="22"/>
                <w:szCs w:val="22"/>
              </w:rPr>
            </w:pPr>
            <w:r w:rsidRPr="009E7F31">
              <w:rPr>
                <w:sz w:val="22"/>
                <w:szCs w:val="22"/>
              </w:rPr>
              <w:t xml:space="preserve">2 </w:t>
            </w:r>
            <w:r w:rsidRPr="009E7F31">
              <w:rPr>
                <w:sz w:val="22"/>
                <w:szCs w:val="22"/>
              </w:rPr>
              <w:sym w:font="Symbol" w:char="F0B4"/>
            </w:r>
            <w:r w:rsidRPr="009E7F31">
              <w:rPr>
                <w:sz w:val="22"/>
                <w:szCs w:val="22"/>
              </w:rPr>
              <w:t xml:space="preserve"> 400 mg</w:t>
            </w:r>
          </w:p>
          <w:p w:rsidR="007D2BEF" w:rsidRPr="009E7F31" w:rsidRDefault="007D2BEF" w:rsidP="00585BEE">
            <w:pPr>
              <w:widowControl w:val="0"/>
              <w:rPr>
                <w:sz w:val="22"/>
                <w:szCs w:val="22"/>
              </w:rPr>
            </w:pPr>
          </w:p>
        </w:tc>
        <w:tc>
          <w:tcPr>
            <w:tcW w:w="3261" w:type="dxa"/>
          </w:tcPr>
          <w:p w:rsidR="007D2BEF" w:rsidRPr="009E7F31" w:rsidRDefault="007D2BEF" w:rsidP="00585BEE">
            <w:pPr>
              <w:widowControl w:val="0"/>
              <w:rPr>
                <w:sz w:val="22"/>
                <w:szCs w:val="22"/>
              </w:rPr>
            </w:pPr>
            <w:r w:rsidRPr="009E7F31">
              <w:rPr>
                <w:sz w:val="22"/>
                <w:szCs w:val="22"/>
              </w:rPr>
              <w:t>3-7 paros</w:t>
            </w:r>
          </w:p>
        </w:tc>
      </w:tr>
      <w:tr w:rsidR="007D2BEF" w:rsidRPr="009E7F31" w:rsidTr="00585BEE">
        <w:tc>
          <w:tcPr>
            <w:tcW w:w="2977" w:type="dxa"/>
          </w:tcPr>
          <w:p w:rsidR="007D2BEF" w:rsidRPr="009E7F31" w:rsidRDefault="007D2BEF" w:rsidP="00585BEE">
            <w:pPr>
              <w:widowControl w:val="0"/>
              <w:rPr>
                <w:sz w:val="22"/>
                <w:szCs w:val="22"/>
              </w:rPr>
            </w:pPr>
            <w:r w:rsidRPr="009E7F31">
              <w:rPr>
                <w:sz w:val="22"/>
                <w:szCs w:val="22"/>
              </w:rPr>
              <w:t>Bakterinis gastroenteritas</w:t>
            </w:r>
          </w:p>
        </w:tc>
        <w:tc>
          <w:tcPr>
            <w:tcW w:w="2126" w:type="dxa"/>
          </w:tcPr>
          <w:p w:rsidR="007D2BEF" w:rsidRPr="009E7F31" w:rsidRDefault="007D2BEF" w:rsidP="00585BEE">
            <w:pPr>
              <w:widowControl w:val="0"/>
              <w:rPr>
                <w:sz w:val="22"/>
                <w:szCs w:val="22"/>
              </w:rPr>
            </w:pPr>
            <w:r w:rsidRPr="009E7F31">
              <w:rPr>
                <w:sz w:val="22"/>
                <w:szCs w:val="22"/>
              </w:rPr>
              <w:t xml:space="preserve">2 </w:t>
            </w:r>
            <w:r w:rsidRPr="009E7F31">
              <w:rPr>
                <w:sz w:val="22"/>
                <w:szCs w:val="22"/>
              </w:rPr>
              <w:sym w:font="Symbol" w:char="F0B4"/>
            </w:r>
            <w:r w:rsidRPr="009E7F31">
              <w:rPr>
                <w:sz w:val="22"/>
                <w:szCs w:val="22"/>
              </w:rPr>
              <w:t xml:space="preserve"> 400 mg</w:t>
            </w:r>
          </w:p>
        </w:tc>
        <w:tc>
          <w:tcPr>
            <w:tcW w:w="3261" w:type="dxa"/>
          </w:tcPr>
          <w:p w:rsidR="007D2BEF" w:rsidRPr="009E7F31" w:rsidRDefault="007D2BEF" w:rsidP="00585BEE">
            <w:pPr>
              <w:widowControl w:val="0"/>
              <w:rPr>
                <w:sz w:val="22"/>
                <w:szCs w:val="22"/>
              </w:rPr>
            </w:pPr>
            <w:r w:rsidRPr="009E7F31">
              <w:rPr>
                <w:sz w:val="22"/>
                <w:szCs w:val="22"/>
              </w:rPr>
              <w:t>iki 5 parų</w:t>
            </w:r>
          </w:p>
        </w:tc>
      </w:tr>
    </w:tbl>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Jei sutrikusi inkstų funkcija, gydytojas atitinkamai sumažins šio vaisto dozę.</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Jei manote, kad vaistas veikia per stipriai arba per silpnai, apie tai pasakykite gydytojui arba vaistininkui.</w:t>
      </w:r>
    </w:p>
    <w:p w:rsidR="007D2BEF" w:rsidRPr="009E7F31" w:rsidRDefault="007D2BEF" w:rsidP="007D2BEF">
      <w:pPr>
        <w:widowControl w:val="0"/>
        <w:rPr>
          <w:sz w:val="22"/>
          <w:szCs w:val="22"/>
        </w:rPr>
      </w:pPr>
    </w:p>
    <w:p w:rsidR="007D2BEF" w:rsidRPr="009E7F31" w:rsidRDefault="007D2BEF" w:rsidP="007D2BEF">
      <w:pPr>
        <w:widowControl w:val="0"/>
        <w:rPr>
          <w:b/>
          <w:sz w:val="22"/>
          <w:szCs w:val="22"/>
        </w:rPr>
      </w:pPr>
      <w:r w:rsidRPr="009E7F31">
        <w:rPr>
          <w:b/>
          <w:sz w:val="22"/>
          <w:szCs w:val="22"/>
        </w:rPr>
        <w:t>Vartojimas vaikams ir paaugliams</w:t>
      </w:r>
    </w:p>
    <w:p w:rsidR="007D2BEF" w:rsidRPr="009E7F31" w:rsidRDefault="007D2BEF" w:rsidP="007D2BEF">
      <w:pPr>
        <w:widowControl w:val="0"/>
        <w:rPr>
          <w:sz w:val="22"/>
          <w:szCs w:val="22"/>
        </w:rPr>
      </w:pPr>
      <w:r w:rsidRPr="009E7F31">
        <w:rPr>
          <w:sz w:val="22"/>
          <w:szCs w:val="22"/>
        </w:rPr>
        <w:t>Vaikams ir paaugliams augimo laikotarpiu Nolicin vartoti negalima.</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Ką daryti pavartojus per didelę Nolicin dozę?</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Per didelė dozė gali sukelti pykinimą, vėmimą, viduriavimą, sunkesniais at</w:t>
      </w:r>
      <w:r w:rsidRPr="009E7F31">
        <w:rPr>
          <w:sz w:val="22"/>
          <w:szCs w:val="22"/>
        </w:rPr>
        <w:softHyphen/>
        <w:t>ve</w:t>
      </w:r>
      <w:r w:rsidRPr="009E7F31">
        <w:rPr>
          <w:sz w:val="22"/>
          <w:szCs w:val="22"/>
        </w:rPr>
        <w:softHyphen/>
        <w:t>jais – taip pat galvos svaigimą, nuovargį, orientacijos sutrikimą ir traukulių.</w:t>
      </w:r>
    </w:p>
    <w:p w:rsidR="007D2BEF" w:rsidRPr="009E7F31" w:rsidRDefault="007D2BEF" w:rsidP="007D2BEF">
      <w:pPr>
        <w:widowControl w:val="0"/>
        <w:rPr>
          <w:sz w:val="22"/>
          <w:szCs w:val="22"/>
        </w:rPr>
      </w:pPr>
      <w:r w:rsidRPr="009E7F31">
        <w:rPr>
          <w:i/>
          <w:sz w:val="22"/>
          <w:szCs w:val="22"/>
        </w:rPr>
        <w:t>Išgėrę per didelę dozę, nedelsdami pasikonsultuokite su gydytoju arba vaistininku.</w:t>
      </w:r>
    </w:p>
    <w:p w:rsidR="007D2BEF" w:rsidRPr="009E7F31" w:rsidRDefault="007D2BEF" w:rsidP="007D2BEF">
      <w:pPr>
        <w:widowControl w:val="0"/>
        <w:rPr>
          <w:b/>
          <w:sz w:val="22"/>
          <w:szCs w:val="22"/>
        </w:rPr>
      </w:pPr>
    </w:p>
    <w:p w:rsidR="007D2BEF" w:rsidRPr="009E7F31" w:rsidRDefault="007D2BEF" w:rsidP="007D2BEF">
      <w:pPr>
        <w:widowControl w:val="0"/>
        <w:rPr>
          <w:b/>
          <w:bCs/>
          <w:sz w:val="22"/>
          <w:szCs w:val="22"/>
        </w:rPr>
      </w:pPr>
      <w:r w:rsidRPr="009E7F31">
        <w:rPr>
          <w:b/>
          <w:bCs/>
          <w:sz w:val="22"/>
          <w:szCs w:val="22"/>
        </w:rPr>
        <w:lastRenderedPageBreak/>
        <w:t>Pamiršus pavartoti Nolicin</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Negalima vartoti dvigubos dozės norint kompensuoti praleistą dozę.</w:t>
      </w:r>
      <w:r w:rsidRPr="009E7F31">
        <w:rPr>
          <w:noProof/>
          <w:sz w:val="22"/>
          <w:szCs w:val="22"/>
        </w:rPr>
        <w:t xml:space="preserve"> Užmirštą tabletę prisiminę išgerkite nedelsdami, nebent jau beveik laikas kitai dozei.</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Nustojus vartoti Nolicin</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Per anksti nutraukus šio vaisto vartojimą, liga gali atsinaujinti.</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Jeigu kiltų daugiau klausimų dėl šio vaisto vartojimo, kreipkitės į gydytoją arba vaistininką.</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ind w:left="567" w:hanging="567"/>
        <w:outlineLvl w:val="1"/>
        <w:rPr>
          <w:b/>
          <w:sz w:val="22"/>
          <w:szCs w:val="22"/>
        </w:rPr>
      </w:pPr>
      <w:bookmarkStart w:id="12" w:name="_Toc129243267"/>
      <w:bookmarkStart w:id="13" w:name="_Toc129243142"/>
      <w:r w:rsidRPr="009E7F31">
        <w:rPr>
          <w:b/>
          <w:sz w:val="22"/>
          <w:szCs w:val="22"/>
        </w:rPr>
        <w:t>4.</w:t>
      </w:r>
      <w:r w:rsidRPr="009E7F31">
        <w:rPr>
          <w:b/>
          <w:sz w:val="22"/>
          <w:szCs w:val="22"/>
        </w:rPr>
        <w:tab/>
        <w:t>G</w:t>
      </w:r>
      <w:bookmarkEnd w:id="12"/>
      <w:bookmarkEnd w:id="13"/>
      <w:r w:rsidRPr="009E7F31">
        <w:rPr>
          <w:b/>
          <w:sz w:val="22"/>
          <w:szCs w:val="22"/>
        </w:rPr>
        <w:t>alimas šalutinis poveikis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Šis vaistas, kaip ir visi kiti, gali sukelti šalutinį poveikį, nors jis pasireiškia ne visiems žmonėms.</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Klinikinių tyrimų metu nustatytas bendras su vaistinio preparato vartojimu susijusio nepageidaujamo poveikio dažnis buvo maždaug 3%.</w:t>
      </w:r>
    </w:p>
    <w:p w:rsidR="007D2BEF" w:rsidRPr="009E7F31" w:rsidRDefault="007D2BEF" w:rsidP="007D2BEF">
      <w:pPr>
        <w:widowControl w:val="0"/>
        <w:rPr>
          <w:sz w:val="22"/>
          <w:szCs w:val="22"/>
        </w:rPr>
      </w:pPr>
    </w:p>
    <w:p w:rsidR="007D2BEF" w:rsidRPr="009E7F31" w:rsidRDefault="007D2BEF" w:rsidP="007D2BEF">
      <w:pPr>
        <w:widowControl w:val="0"/>
        <w:rPr>
          <w:i/>
          <w:sz w:val="22"/>
          <w:szCs w:val="22"/>
        </w:rPr>
      </w:pPr>
      <w:r w:rsidRPr="009E7F31">
        <w:rPr>
          <w:i/>
          <w:sz w:val="22"/>
          <w:szCs w:val="22"/>
        </w:rPr>
        <w:t>Nedažnas (gali pasireikšti ne daugiau kaip 1 iš 100 žmonių)</w:t>
      </w:r>
    </w:p>
    <w:p w:rsidR="007D2BEF" w:rsidRPr="009E7F31" w:rsidRDefault="007D2BEF" w:rsidP="007D2BEF">
      <w:pPr>
        <w:widowControl w:val="0"/>
        <w:numPr>
          <w:ilvl w:val="0"/>
          <w:numId w:val="2"/>
        </w:numPr>
        <w:rPr>
          <w:sz w:val="22"/>
          <w:szCs w:val="22"/>
        </w:rPr>
      </w:pPr>
      <w:r w:rsidRPr="009E7F31">
        <w:rPr>
          <w:sz w:val="22"/>
          <w:szCs w:val="22"/>
        </w:rPr>
        <w:t>Kepenų fermentų (transaminazių, šarminės fosfatazės bei laktatdehidrogenazės (LDH)) kiekio padidėjimas, urėjos ir kreatinino koncentracijos serume padidėjimas.</w:t>
      </w:r>
    </w:p>
    <w:p w:rsidR="007D2BEF" w:rsidRPr="009E7F31" w:rsidRDefault="007D2BEF" w:rsidP="007D2BEF">
      <w:pPr>
        <w:widowControl w:val="0"/>
        <w:numPr>
          <w:ilvl w:val="0"/>
          <w:numId w:val="2"/>
        </w:numPr>
        <w:rPr>
          <w:sz w:val="22"/>
          <w:szCs w:val="22"/>
        </w:rPr>
      </w:pPr>
      <w:r w:rsidRPr="009E7F31">
        <w:rPr>
          <w:sz w:val="22"/>
          <w:szCs w:val="22"/>
        </w:rPr>
        <w:t>Baltųjų kraujo kūnelių (taip pat ir vadinamųjų eozinofilų) keikio sumažėjimas, hematokrito rodmens sumažėjimas.</w:t>
      </w:r>
    </w:p>
    <w:p w:rsidR="007D2BEF" w:rsidRPr="009E7F31" w:rsidRDefault="007D2BEF" w:rsidP="007D2BEF">
      <w:pPr>
        <w:widowControl w:val="0"/>
        <w:numPr>
          <w:ilvl w:val="0"/>
          <w:numId w:val="2"/>
        </w:numPr>
        <w:rPr>
          <w:sz w:val="22"/>
          <w:szCs w:val="22"/>
        </w:rPr>
      </w:pPr>
      <w:r w:rsidRPr="009E7F31">
        <w:rPr>
          <w:sz w:val="22"/>
          <w:szCs w:val="22"/>
        </w:rPr>
        <w:t>Galvos skausmas, galvos svaigimas, nuovargis, mieguistumas, nenustygstamumas, irzlumas.</w:t>
      </w:r>
    </w:p>
    <w:p w:rsidR="007D2BEF" w:rsidRPr="009E7F31" w:rsidRDefault="007D2BEF" w:rsidP="007D2BEF">
      <w:pPr>
        <w:widowControl w:val="0"/>
        <w:numPr>
          <w:ilvl w:val="0"/>
          <w:numId w:val="2"/>
        </w:numPr>
        <w:rPr>
          <w:sz w:val="22"/>
          <w:szCs w:val="22"/>
        </w:rPr>
      </w:pPr>
      <w:r w:rsidRPr="009E7F31">
        <w:rPr>
          <w:sz w:val="22"/>
          <w:szCs w:val="22"/>
        </w:rPr>
        <w:t>Pykinimas, viduriavimas.</w:t>
      </w:r>
    </w:p>
    <w:p w:rsidR="007D2BEF" w:rsidRPr="009E7F31" w:rsidRDefault="007D2BEF" w:rsidP="007D2BEF">
      <w:pPr>
        <w:widowControl w:val="0"/>
        <w:numPr>
          <w:ilvl w:val="0"/>
          <w:numId w:val="2"/>
        </w:numPr>
        <w:rPr>
          <w:sz w:val="22"/>
          <w:szCs w:val="22"/>
        </w:rPr>
      </w:pPr>
      <w:r w:rsidRPr="009E7F31">
        <w:rPr>
          <w:sz w:val="22"/>
          <w:szCs w:val="22"/>
        </w:rPr>
        <w:t>Išbėrimas.</w:t>
      </w:r>
    </w:p>
    <w:p w:rsidR="007D2BEF" w:rsidRPr="009E7F31" w:rsidRDefault="007D2BEF" w:rsidP="007D2BEF">
      <w:pPr>
        <w:widowControl w:val="0"/>
        <w:rPr>
          <w:sz w:val="22"/>
          <w:szCs w:val="22"/>
        </w:rPr>
      </w:pPr>
    </w:p>
    <w:p w:rsidR="007D2BEF" w:rsidRPr="009E7F31" w:rsidRDefault="007D2BEF" w:rsidP="007D2BEF">
      <w:pPr>
        <w:widowControl w:val="0"/>
        <w:rPr>
          <w:i/>
          <w:sz w:val="22"/>
          <w:szCs w:val="22"/>
        </w:rPr>
      </w:pPr>
      <w:r w:rsidRPr="009E7F31">
        <w:rPr>
          <w:i/>
          <w:sz w:val="22"/>
          <w:szCs w:val="22"/>
        </w:rPr>
        <w:t>Retas (gali pasireikšti ne daugiau kaip 1 iš 1000 žmonių)</w:t>
      </w:r>
    </w:p>
    <w:p w:rsidR="007D2BEF" w:rsidRPr="009E7F31" w:rsidRDefault="007D2BEF" w:rsidP="007D2BEF">
      <w:pPr>
        <w:widowControl w:val="0"/>
        <w:numPr>
          <w:ilvl w:val="0"/>
          <w:numId w:val="4"/>
        </w:numPr>
        <w:rPr>
          <w:sz w:val="22"/>
          <w:szCs w:val="22"/>
        </w:rPr>
      </w:pPr>
      <w:r w:rsidRPr="009E7F31">
        <w:rPr>
          <w:sz w:val="22"/>
          <w:szCs w:val="22"/>
        </w:rPr>
        <w:t>Sengimas ausyse.</w:t>
      </w:r>
    </w:p>
    <w:p w:rsidR="007D2BEF" w:rsidRPr="009E7F31" w:rsidRDefault="007D2BEF" w:rsidP="007D2BEF">
      <w:pPr>
        <w:widowControl w:val="0"/>
        <w:numPr>
          <w:ilvl w:val="0"/>
          <w:numId w:val="4"/>
        </w:numPr>
        <w:rPr>
          <w:sz w:val="22"/>
          <w:szCs w:val="22"/>
        </w:rPr>
      </w:pPr>
      <w:r w:rsidRPr="009E7F31">
        <w:rPr>
          <w:sz w:val="22"/>
          <w:szCs w:val="22"/>
        </w:rPr>
        <w:t>Apetito stoka, storųjų žarnų uždegimas (pseudomembraninis kolitas).</w:t>
      </w:r>
    </w:p>
    <w:p w:rsidR="007D2BEF" w:rsidRPr="009E7F31" w:rsidRDefault="007D2BEF" w:rsidP="007D2BEF">
      <w:pPr>
        <w:widowControl w:val="0"/>
        <w:numPr>
          <w:ilvl w:val="0"/>
          <w:numId w:val="4"/>
        </w:numPr>
        <w:rPr>
          <w:sz w:val="22"/>
          <w:szCs w:val="22"/>
        </w:rPr>
      </w:pPr>
      <w:r w:rsidRPr="009E7F31">
        <w:rPr>
          <w:sz w:val="22"/>
          <w:szCs w:val="22"/>
        </w:rPr>
        <w:t>Niežulys, dilgėlinė.</w:t>
      </w:r>
    </w:p>
    <w:p w:rsidR="007D2BEF" w:rsidRPr="009E7F31" w:rsidRDefault="007D2BEF" w:rsidP="007D2BEF">
      <w:pPr>
        <w:widowControl w:val="0"/>
        <w:numPr>
          <w:ilvl w:val="0"/>
          <w:numId w:val="4"/>
        </w:numPr>
        <w:rPr>
          <w:sz w:val="22"/>
          <w:szCs w:val="22"/>
        </w:rPr>
      </w:pPr>
      <w:r w:rsidRPr="009E7F31">
        <w:rPr>
          <w:sz w:val="22"/>
          <w:szCs w:val="22"/>
        </w:rPr>
        <w:t>Sausgyslės uždegimas ar sausgyslės plyšimas.</w:t>
      </w:r>
    </w:p>
    <w:p w:rsidR="007D2BEF" w:rsidRPr="009E7F31" w:rsidRDefault="007D2BEF" w:rsidP="007D2BEF">
      <w:pPr>
        <w:widowControl w:val="0"/>
        <w:numPr>
          <w:ilvl w:val="0"/>
          <w:numId w:val="4"/>
        </w:numPr>
        <w:rPr>
          <w:sz w:val="22"/>
          <w:szCs w:val="22"/>
        </w:rPr>
      </w:pPr>
      <w:r w:rsidRPr="009E7F31">
        <w:rPr>
          <w:sz w:val="22"/>
          <w:szCs w:val="22"/>
        </w:rPr>
        <w:t>Sunki alerginė reakcija (anafilaksija).</w:t>
      </w:r>
    </w:p>
    <w:p w:rsidR="007D2BEF" w:rsidRPr="009E7F31" w:rsidRDefault="007D2BEF" w:rsidP="007D2BEF">
      <w:pPr>
        <w:widowControl w:val="0"/>
        <w:numPr>
          <w:ilvl w:val="0"/>
          <w:numId w:val="4"/>
        </w:numPr>
        <w:rPr>
          <w:sz w:val="22"/>
          <w:szCs w:val="22"/>
        </w:rPr>
      </w:pPr>
      <w:r w:rsidRPr="009E7F31">
        <w:rPr>
          <w:sz w:val="22"/>
          <w:szCs w:val="22"/>
        </w:rPr>
        <w:t>Minčių susipainiojimas, baimė, haliucinacijos, depresija.</w:t>
      </w:r>
    </w:p>
    <w:p w:rsidR="007D2BEF" w:rsidRPr="009E7F31" w:rsidRDefault="007D2BEF" w:rsidP="007D2BEF">
      <w:pPr>
        <w:widowControl w:val="0"/>
        <w:rPr>
          <w:sz w:val="22"/>
          <w:szCs w:val="22"/>
        </w:rPr>
      </w:pPr>
    </w:p>
    <w:p w:rsidR="007D2BEF" w:rsidRPr="009E7F31" w:rsidRDefault="007D2BEF" w:rsidP="007D2BEF">
      <w:pPr>
        <w:widowControl w:val="0"/>
        <w:rPr>
          <w:i/>
          <w:sz w:val="22"/>
          <w:szCs w:val="22"/>
        </w:rPr>
      </w:pPr>
      <w:r w:rsidRPr="009E7F31">
        <w:rPr>
          <w:i/>
          <w:sz w:val="22"/>
          <w:szCs w:val="22"/>
        </w:rPr>
        <w:t>Dažnis nežinomas (negali būti apskaičiuotas pagal turimus duomenis)</w:t>
      </w:r>
    </w:p>
    <w:p w:rsidR="007D2BEF" w:rsidRPr="009E7F31" w:rsidRDefault="007D2BEF" w:rsidP="007D2BEF">
      <w:pPr>
        <w:widowControl w:val="0"/>
        <w:numPr>
          <w:ilvl w:val="0"/>
          <w:numId w:val="4"/>
        </w:numPr>
        <w:rPr>
          <w:sz w:val="22"/>
          <w:szCs w:val="22"/>
        </w:rPr>
      </w:pPr>
      <w:r w:rsidRPr="009E7F31">
        <w:rPr>
          <w:sz w:val="22"/>
          <w:szCs w:val="22"/>
        </w:rPr>
        <w:t>Nenormaliai greitas širdies ritmas, gyvybei pavojingas nereguliarus širdies ritmas, sutrikęs širdies ritmas (vadinamas „pailgėjęs QT intervalas“ matomas EKG, vertinant elektrinį širdies aktyvumą).</w:t>
      </w:r>
    </w:p>
    <w:p w:rsidR="007D2BEF" w:rsidRPr="009E7F31" w:rsidRDefault="007D2BEF" w:rsidP="007D2BEF">
      <w:pPr>
        <w:widowControl w:val="0"/>
        <w:rPr>
          <w:sz w:val="22"/>
          <w:szCs w:val="22"/>
        </w:rPr>
      </w:pPr>
    </w:p>
    <w:p w:rsidR="009E7F31" w:rsidRPr="009E7F31" w:rsidRDefault="009E7F31" w:rsidP="009E7F31">
      <w:pPr>
        <w:tabs>
          <w:tab w:val="left" w:pos="567"/>
        </w:tabs>
        <w:ind w:right="567"/>
        <w:jc w:val="both"/>
        <w:rPr>
          <w:b/>
          <w:snapToGrid w:val="0"/>
          <w:sz w:val="22"/>
          <w:szCs w:val="22"/>
        </w:rPr>
      </w:pPr>
      <w:r w:rsidRPr="009E7F31">
        <w:rPr>
          <w:b/>
          <w:noProof/>
          <w:snapToGrid w:val="0"/>
          <w:sz w:val="22"/>
          <w:szCs w:val="22"/>
        </w:rPr>
        <w:t>Pranešimas apie šalutinį poveikį</w:t>
      </w:r>
    </w:p>
    <w:p w:rsidR="009E7F31" w:rsidRPr="009E7F31" w:rsidRDefault="009E7F31" w:rsidP="009E7F31">
      <w:pPr>
        <w:tabs>
          <w:tab w:val="left" w:pos="567"/>
        </w:tabs>
        <w:spacing w:line="260" w:lineRule="exact"/>
        <w:ind w:right="567"/>
        <w:jc w:val="both"/>
        <w:rPr>
          <w:noProof/>
          <w:snapToGrid w:val="0"/>
          <w:sz w:val="22"/>
          <w:szCs w:val="22"/>
        </w:rPr>
      </w:pPr>
      <w:r w:rsidRPr="009E7F31">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E7F31">
        <w:rPr>
          <w:snapToGrid w:val="0"/>
          <w:sz w:val="22"/>
          <w:szCs w:val="22"/>
          <w:lang w:eastAsia="zh-CN"/>
        </w:rPr>
        <w:t>elefonu 8 800 73568</w:t>
      </w:r>
      <w:r w:rsidRPr="009E7F31">
        <w:rPr>
          <w:snapToGrid w:val="0"/>
          <w:sz w:val="22"/>
          <w:szCs w:val="22"/>
        </w:rPr>
        <w:t xml:space="preserve"> arba užpildyti interneto svetainėje </w:t>
      </w:r>
      <w:hyperlink r:id="rId5" w:history="1">
        <w:r w:rsidRPr="009E7F31">
          <w:rPr>
            <w:rFonts w:eastAsia="SimSun"/>
            <w:snapToGrid w:val="0"/>
            <w:color w:val="0000FF"/>
            <w:sz w:val="22"/>
            <w:szCs w:val="22"/>
            <w:u w:val="single"/>
          </w:rPr>
          <w:t>www.vvkt.lt</w:t>
        </w:r>
      </w:hyperlink>
      <w:r w:rsidRPr="009E7F3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9E7F31">
        <w:rPr>
          <w:snapToGrid w:val="0"/>
          <w:sz w:val="22"/>
          <w:szCs w:val="22"/>
          <w:lang w:eastAsia="zh-CN"/>
        </w:rPr>
        <w:t xml:space="preserve">nemokamu </w:t>
      </w:r>
      <w:r w:rsidRPr="009E7F31">
        <w:rPr>
          <w:snapToGrid w:val="0"/>
          <w:sz w:val="22"/>
          <w:szCs w:val="22"/>
        </w:rPr>
        <w:t>fakso numeriu 8 800 20131</w:t>
      </w:r>
      <w:r w:rsidRPr="009E7F31">
        <w:rPr>
          <w:snapToGrid w:val="0"/>
          <w:sz w:val="22"/>
          <w:szCs w:val="22"/>
          <w:lang w:eastAsia="zh-CN"/>
        </w:rPr>
        <w:t xml:space="preserve">, </w:t>
      </w:r>
      <w:r w:rsidRPr="009E7F31">
        <w:rPr>
          <w:snapToGrid w:val="0"/>
          <w:sz w:val="22"/>
          <w:szCs w:val="22"/>
        </w:rPr>
        <w:t xml:space="preserve">el. paštu </w:t>
      </w:r>
      <w:hyperlink r:id="rId6" w:history="1">
        <w:r w:rsidRPr="009E7F31">
          <w:rPr>
            <w:rFonts w:eastAsia="SimSun"/>
            <w:snapToGrid w:val="0"/>
            <w:color w:val="0000FF"/>
            <w:sz w:val="22"/>
            <w:szCs w:val="22"/>
            <w:u w:val="single"/>
          </w:rPr>
          <w:t>NepageidaujamaR@vvkt.lt</w:t>
        </w:r>
      </w:hyperlink>
      <w:r w:rsidRPr="009E7F31">
        <w:rPr>
          <w:snapToGrid w:val="0"/>
          <w:sz w:val="22"/>
          <w:szCs w:val="22"/>
        </w:rPr>
        <w:t xml:space="preserve">, taip pat per Valstybinės vaistų kontrolės tarnybos prie Lietuvos Respublikos sveikatos apsaugos ministerijos interneto svetainę (adresu </w:t>
      </w:r>
      <w:hyperlink r:id="rId7" w:history="1">
        <w:r w:rsidRPr="009E7F31">
          <w:rPr>
            <w:rFonts w:eastAsia="SimSun"/>
            <w:snapToGrid w:val="0"/>
            <w:color w:val="0000FF"/>
            <w:sz w:val="22"/>
            <w:szCs w:val="22"/>
            <w:u w:val="single"/>
          </w:rPr>
          <w:t>http://www.vvkt.lt</w:t>
        </w:r>
      </w:hyperlink>
      <w:r w:rsidRPr="009E7F31">
        <w:rPr>
          <w:snapToGrid w:val="0"/>
          <w:sz w:val="22"/>
          <w:szCs w:val="22"/>
        </w:rPr>
        <w:t>). Pranešdami apie šalutinį poveikį galite mums padėti gauti daugiau informacijos apie šio vaisto saugumą.</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ind w:left="567" w:hanging="567"/>
        <w:outlineLvl w:val="1"/>
        <w:rPr>
          <w:b/>
          <w:sz w:val="22"/>
          <w:szCs w:val="22"/>
        </w:rPr>
      </w:pPr>
      <w:bookmarkStart w:id="14" w:name="_Toc129243268"/>
      <w:bookmarkStart w:id="15" w:name="_Toc129243143"/>
      <w:r w:rsidRPr="009E7F31">
        <w:rPr>
          <w:b/>
          <w:sz w:val="22"/>
          <w:szCs w:val="22"/>
        </w:rPr>
        <w:t>5.</w:t>
      </w:r>
      <w:r w:rsidRPr="009E7F31">
        <w:rPr>
          <w:b/>
          <w:sz w:val="22"/>
          <w:szCs w:val="22"/>
        </w:rPr>
        <w:tab/>
        <w:t>K</w:t>
      </w:r>
      <w:bookmarkEnd w:id="14"/>
      <w:bookmarkEnd w:id="15"/>
      <w:r w:rsidRPr="009E7F31">
        <w:rPr>
          <w:b/>
          <w:sz w:val="22"/>
          <w:szCs w:val="22"/>
        </w:rPr>
        <w:t>aip laikyti Nolicin</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Šį vaistą laikykite vaikams nepastebimoje ir nepasiekiamoje vietoje.</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Ant dėžutės arba lizdinės plokštelės po „Tinka iki/ EXP“ nurodytam tinkamumo laikui pasibaigus, šio vaisto vartoti negalima. Vaistas tinkamas vartoti iki paskutinės nurodyto mėnesio dienos.</w:t>
      </w:r>
    </w:p>
    <w:p w:rsidR="007D2BEF" w:rsidRPr="009E7F31" w:rsidRDefault="007D2BEF" w:rsidP="007D2BEF">
      <w:pPr>
        <w:widowControl w:val="0"/>
        <w:rPr>
          <w:sz w:val="22"/>
          <w:szCs w:val="22"/>
        </w:rPr>
      </w:pPr>
    </w:p>
    <w:p w:rsidR="007D2BEF" w:rsidRPr="009E7F31" w:rsidRDefault="007D2BEF" w:rsidP="0060531F">
      <w:pPr>
        <w:widowControl w:val="0"/>
        <w:rPr>
          <w:sz w:val="22"/>
          <w:szCs w:val="22"/>
        </w:rPr>
      </w:pPr>
      <w:r w:rsidRPr="009E7F31">
        <w:rPr>
          <w:sz w:val="22"/>
          <w:szCs w:val="22"/>
        </w:rPr>
        <w:t>Laikyti ne aukštesnėje kaip 25 </w:t>
      </w:r>
      <w:r w:rsidRPr="009E7F31">
        <w:rPr>
          <w:sz w:val="22"/>
          <w:szCs w:val="22"/>
        </w:rPr>
        <w:sym w:font="Symbol" w:char="F0B0"/>
      </w:r>
      <w:r w:rsidR="0060531F">
        <w:rPr>
          <w:sz w:val="22"/>
          <w:szCs w:val="22"/>
        </w:rPr>
        <w:t xml:space="preserve">C temperatūroje, gamintojo pakuotėje. </w:t>
      </w:r>
    </w:p>
    <w:p w:rsidR="007D2BEF" w:rsidRPr="009E7F31" w:rsidDel="00A85F7A" w:rsidRDefault="007D2BEF" w:rsidP="007D2BEF">
      <w:pPr>
        <w:widowControl w:val="0"/>
        <w:rPr>
          <w:sz w:val="22"/>
          <w:szCs w:val="22"/>
        </w:rPr>
      </w:pPr>
    </w:p>
    <w:p w:rsidR="007D2BEF" w:rsidRPr="009E7F31" w:rsidRDefault="007D2BEF" w:rsidP="007D2BEF">
      <w:pPr>
        <w:widowControl w:val="0"/>
        <w:rPr>
          <w:sz w:val="22"/>
          <w:szCs w:val="22"/>
        </w:rPr>
      </w:pPr>
      <w:r w:rsidRPr="009E7F31">
        <w:rPr>
          <w:sz w:val="22"/>
          <w:szCs w:val="22"/>
        </w:rPr>
        <w:t>Vaistų negalima išmesti į kanalizaciją arba su buitinėmis atliekomis. Kaip išmesti nereikalingus vaistus, klauskite vaistininko. Šios priemonės padės apsaugoti aplinką.</w:t>
      </w:r>
    </w:p>
    <w:p w:rsidR="007D2BEF" w:rsidRPr="009E7F31" w:rsidRDefault="007D2BEF" w:rsidP="007D2BEF">
      <w:pPr>
        <w:widowControl w:val="0"/>
        <w:rPr>
          <w:sz w:val="22"/>
          <w:szCs w:val="22"/>
        </w:rPr>
      </w:pPr>
    </w:p>
    <w:p w:rsidR="007D2BEF" w:rsidRPr="009E7F31" w:rsidRDefault="007D2BEF" w:rsidP="007D2BEF">
      <w:pPr>
        <w:widowControl w:val="0"/>
        <w:rPr>
          <w:sz w:val="22"/>
          <w:szCs w:val="22"/>
        </w:rPr>
      </w:pPr>
    </w:p>
    <w:p w:rsidR="007D2BEF" w:rsidRPr="009E7F31" w:rsidRDefault="007D2BEF" w:rsidP="007D2BEF">
      <w:pPr>
        <w:widowControl w:val="0"/>
        <w:tabs>
          <w:tab w:val="left" w:pos="567"/>
        </w:tabs>
        <w:ind w:left="567" w:hanging="567"/>
        <w:outlineLvl w:val="1"/>
        <w:rPr>
          <w:b/>
          <w:sz w:val="22"/>
          <w:szCs w:val="22"/>
        </w:rPr>
      </w:pPr>
      <w:bookmarkStart w:id="16" w:name="_Toc129243269"/>
      <w:bookmarkStart w:id="17" w:name="_Toc129243144"/>
      <w:r w:rsidRPr="009E7F31">
        <w:rPr>
          <w:b/>
          <w:sz w:val="22"/>
          <w:szCs w:val="22"/>
        </w:rPr>
        <w:t>6.</w:t>
      </w:r>
      <w:r w:rsidRPr="009E7F31">
        <w:rPr>
          <w:b/>
          <w:sz w:val="22"/>
          <w:szCs w:val="22"/>
        </w:rPr>
        <w:tab/>
        <w:t>Pakuotės turinys ir kita informacija</w:t>
      </w:r>
      <w:bookmarkEnd w:id="16"/>
      <w:bookmarkEnd w:id="17"/>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Nolicin sudėtis</w:t>
      </w:r>
    </w:p>
    <w:p w:rsidR="007D2BEF" w:rsidRPr="009E7F31" w:rsidRDefault="007D2BEF" w:rsidP="007D2BEF">
      <w:pPr>
        <w:widowControl w:val="0"/>
        <w:rPr>
          <w:sz w:val="22"/>
          <w:szCs w:val="22"/>
          <w:u w:val="single"/>
        </w:rPr>
      </w:pPr>
    </w:p>
    <w:p w:rsidR="007D2BEF" w:rsidRPr="009E7F31" w:rsidRDefault="007D2BEF" w:rsidP="007D2BEF">
      <w:pPr>
        <w:widowControl w:val="0"/>
        <w:numPr>
          <w:ilvl w:val="0"/>
          <w:numId w:val="3"/>
        </w:numPr>
        <w:ind w:left="567" w:hanging="567"/>
        <w:rPr>
          <w:sz w:val="22"/>
          <w:szCs w:val="22"/>
        </w:rPr>
      </w:pPr>
      <w:r w:rsidRPr="009E7F31">
        <w:rPr>
          <w:sz w:val="22"/>
          <w:szCs w:val="22"/>
        </w:rPr>
        <w:t>Veiklioji medžiaga yra norfloksacinas. Kiekvienoje plėvele dengtoje tabletėje 400 mg norfloksacino.</w:t>
      </w:r>
    </w:p>
    <w:p w:rsidR="007D2BEF" w:rsidRPr="009E7F31" w:rsidRDefault="007D2BEF" w:rsidP="007D2BEF">
      <w:pPr>
        <w:widowControl w:val="0"/>
        <w:numPr>
          <w:ilvl w:val="0"/>
          <w:numId w:val="3"/>
        </w:numPr>
        <w:ind w:left="567" w:hanging="567"/>
        <w:rPr>
          <w:sz w:val="22"/>
          <w:szCs w:val="22"/>
        </w:rPr>
      </w:pPr>
      <w:r w:rsidRPr="009E7F31">
        <w:rPr>
          <w:sz w:val="22"/>
          <w:szCs w:val="22"/>
        </w:rPr>
        <w:t>Pagalbinės medžiagos yra povidonas, mikrokristalinė celiuliozė, karboksimetilkrakmolo A natrio druska, koloidinis bevandenis silicio dioksidas, magnio stearatas ir išgrynintas vanduo tabletės šerdyje ir hipromeliozė, talkas, titano dioksidas (E171), saulėlydžio geltonasis FCF (E 110) ir propilenglikolis tabletės plėvelėje.</w:t>
      </w:r>
    </w:p>
    <w:p w:rsidR="007D2BEF" w:rsidRPr="009E7F31" w:rsidRDefault="007D2BEF" w:rsidP="007D2BEF">
      <w:pPr>
        <w:widowControl w:val="0"/>
        <w:rPr>
          <w:sz w:val="22"/>
          <w:szCs w:val="22"/>
        </w:rPr>
      </w:pPr>
    </w:p>
    <w:p w:rsidR="007D2BEF" w:rsidRPr="009E7F31" w:rsidRDefault="007D2BEF" w:rsidP="007D2BEF">
      <w:pPr>
        <w:widowControl w:val="0"/>
        <w:rPr>
          <w:b/>
          <w:bCs/>
          <w:sz w:val="22"/>
          <w:szCs w:val="22"/>
        </w:rPr>
      </w:pPr>
      <w:r w:rsidRPr="009E7F31">
        <w:rPr>
          <w:b/>
          <w:bCs/>
          <w:sz w:val="22"/>
          <w:szCs w:val="22"/>
        </w:rPr>
        <w:t>Nolicin išvaizda ir kiekis pakuotėje</w:t>
      </w:r>
    </w:p>
    <w:p w:rsidR="007D2BEF" w:rsidRPr="009E7F31" w:rsidRDefault="007D2BEF" w:rsidP="007D2BEF">
      <w:pPr>
        <w:widowControl w:val="0"/>
        <w:rPr>
          <w:sz w:val="22"/>
          <w:szCs w:val="22"/>
          <w:u w:val="single"/>
        </w:rPr>
      </w:pPr>
    </w:p>
    <w:p w:rsidR="007D2BEF" w:rsidRPr="009E7F31" w:rsidRDefault="007D2BEF" w:rsidP="007D2BEF">
      <w:pPr>
        <w:widowControl w:val="0"/>
        <w:outlineLvl w:val="0"/>
        <w:rPr>
          <w:sz w:val="22"/>
          <w:szCs w:val="22"/>
        </w:rPr>
      </w:pPr>
      <w:r w:rsidRPr="009E7F31">
        <w:rPr>
          <w:sz w:val="22"/>
          <w:szCs w:val="22"/>
        </w:rPr>
        <w:t>Plėvele dengtos tabletės yra oranžinės, apvalios, abipus truputį išgaubtos, su vagele vienoje pusėje.</w:t>
      </w:r>
    </w:p>
    <w:p w:rsidR="007D2BEF" w:rsidRPr="009E7F31" w:rsidRDefault="007D2BEF" w:rsidP="007D2BEF">
      <w:pPr>
        <w:widowControl w:val="0"/>
        <w:outlineLvl w:val="0"/>
        <w:rPr>
          <w:sz w:val="22"/>
          <w:szCs w:val="22"/>
        </w:rPr>
      </w:pPr>
      <w:r w:rsidRPr="009E7F31">
        <w:rPr>
          <w:sz w:val="22"/>
          <w:szCs w:val="22"/>
        </w:rPr>
        <w:t>Tabletę galima padalyti į lygias dozes.</w:t>
      </w:r>
    </w:p>
    <w:p w:rsidR="007D2BEF" w:rsidRPr="009E7F31" w:rsidRDefault="007D2BEF" w:rsidP="007D2BEF">
      <w:pPr>
        <w:widowControl w:val="0"/>
        <w:outlineLvl w:val="0"/>
        <w:rPr>
          <w:sz w:val="22"/>
          <w:szCs w:val="22"/>
        </w:rPr>
      </w:pPr>
      <w:r w:rsidRPr="009E7F31">
        <w:rPr>
          <w:sz w:val="22"/>
          <w:szCs w:val="22"/>
        </w:rPr>
        <w:t>Nolicin tiekiamas dėžutėmis, kuriose yra 20 plėvele dengtų tablečių lizdinėse plokštelėse. Dėžutėje yra 2 lizdinės plokštelės, kurių kiekvienoje yra 10 plėvele dengtų tablečių.</w:t>
      </w:r>
    </w:p>
    <w:p w:rsidR="007D2BEF" w:rsidRPr="009E7F31" w:rsidRDefault="007D2BEF" w:rsidP="007D2BEF">
      <w:pPr>
        <w:widowControl w:val="0"/>
        <w:rPr>
          <w:sz w:val="22"/>
          <w:szCs w:val="22"/>
        </w:rPr>
      </w:pPr>
    </w:p>
    <w:p w:rsidR="009E7F31" w:rsidRPr="009E7F31" w:rsidRDefault="009E7F31" w:rsidP="009E7F31">
      <w:pPr>
        <w:keepNext/>
        <w:widowControl w:val="0"/>
        <w:ind w:right="567"/>
        <w:jc w:val="both"/>
        <w:outlineLvl w:val="5"/>
        <w:rPr>
          <w:rFonts w:eastAsia="Batang"/>
          <w:b/>
          <w:sz w:val="22"/>
          <w:szCs w:val="22"/>
        </w:rPr>
      </w:pPr>
      <w:r w:rsidRPr="009E7F31">
        <w:rPr>
          <w:rFonts w:eastAsia="Batang"/>
          <w:b/>
          <w:sz w:val="22"/>
          <w:szCs w:val="22"/>
        </w:rPr>
        <w:t>Gamintojas</w:t>
      </w:r>
    </w:p>
    <w:p w:rsidR="009E7F31" w:rsidRPr="009E7F31" w:rsidRDefault="009E7F31" w:rsidP="009E7F31">
      <w:pPr>
        <w:widowControl w:val="0"/>
        <w:ind w:right="567"/>
        <w:jc w:val="both"/>
        <w:rPr>
          <w:sz w:val="22"/>
          <w:szCs w:val="22"/>
        </w:rPr>
      </w:pPr>
      <w:r w:rsidRPr="009E7F31">
        <w:rPr>
          <w:sz w:val="22"/>
          <w:szCs w:val="22"/>
        </w:rPr>
        <w:t>Krka, d.d., Novo mesto</w:t>
      </w:r>
    </w:p>
    <w:p w:rsidR="009E7F31" w:rsidRPr="009E7F31" w:rsidRDefault="009E7F31" w:rsidP="009E7F31">
      <w:pPr>
        <w:widowControl w:val="0"/>
        <w:ind w:right="567"/>
        <w:jc w:val="both"/>
        <w:rPr>
          <w:sz w:val="22"/>
          <w:szCs w:val="22"/>
        </w:rPr>
      </w:pPr>
      <w:r w:rsidRPr="009E7F31">
        <w:rPr>
          <w:sz w:val="22"/>
          <w:szCs w:val="22"/>
        </w:rPr>
        <w:t>Šmarješka cesta 6</w:t>
      </w:r>
    </w:p>
    <w:p w:rsidR="009E7F31" w:rsidRPr="009E7F31" w:rsidRDefault="009E7F31" w:rsidP="009E7F31">
      <w:pPr>
        <w:widowControl w:val="0"/>
        <w:ind w:right="567"/>
        <w:jc w:val="both"/>
        <w:rPr>
          <w:sz w:val="22"/>
          <w:szCs w:val="22"/>
        </w:rPr>
      </w:pPr>
      <w:r w:rsidRPr="009E7F31">
        <w:rPr>
          <w:sz w:val="22"/>
          <w:szCs w:val="22"/>
        </w:rPr>
        <w:t>8501 Novo mesto</w:t>
      </w:r>
    </w:p>
    <w:p w:rsidR="009E7F31" w:rsidRPr="009E7F31" w:rsidRDefault="009E7F31" w:rsidP="009E7F31">
      <w:pPr>
        <w:widowControl w:val="0"/>
        <w:ind w:right="567"/>
        <w:jc w:val="both"/>
        <w:rPr>
          <w:sz w:val="22"/>
          <w:szCs w:val="22"/>
        </w:rPr>
      </w:pPr>
      <w:r w:rsidRPr="009E7F31">
        <w:rPr>
          <w:sz w:val="22"/>
          <w:szCs w:val="22"/>
        </w:rPr>
        <w:t>Slovėnija</w:t>
      </w:r>
    </w:p>
    <w:p w:rsidR="009E7F31" w:rsidRPr="009E7F31" w:rsidRDefault="009E7F31" w:rsidP="009E7F31">
      <w:pPr>
        <w:widowControl w:val="0"/>
        <w:ind w:right="567"/>
        <w:jc w:val="both"/>
        <w:rPr>
          <w:sz w:val="22"/>
          <w:szCs w:val="22"/>
        </w:rPr>
      </w:pPr>
    </w:p>
    <w:p w:rsidR="009E7F31" w:rsidRPr="009E7F31" w:rsidRDefault="009E7F31" w:rsidP="009E7F31">
      <w:pPr>
        <w:tabs>
          <w:tab w:val="left" w:pos="540"/>
        </w:tabs>
        <w:ind w:right="567"/>
        <w:jc w:val="both"/>
        <w:rPr>
          <w:rFonts w:eastAsia="Batang"/>
          <w:sz w:val="22"/>
          <w:szCs w:val="22"/>
        </w:rPr>
      </w:pPr>
    </w:p>
    <w:p w:rsidR="009E7F31" w:rsidRPr="009E7F31" w:rsidRDefault="009E7F31" w:rsidP="009E7F31">
      <w:pPr>
        <w:ind w:right="567"/>
        <w:jc w:val="both"/>
        <w:rPr>
          <w:b/>
          <w:sz w:val="22"/>
          <w:szCs w:val="22"/>
        </w:rPr>
      </w:pPr>
      <w:r w:rsidRPr="009E7F31">
        <w:rPr>
          <w:b/>
          <w:sz w:val="22"/>
          <w:szCs w:val="22"/>
        </w:rPr>
        <w:t xml:space="preserve">Lygiagretus importuotojas </w:t>
      </w:r>
    </w:p>
    <w:p w:rsidR="009E7F31" w:rsidRPr="009E7F31" w:rsidRDefault="009E7F31" w:rsidP="009E7F31">
      <w:pPr>
        <w:ind w:right="567"/>
        <w:jc w:val="both"/>
        <w:rPr>
          <w:sz w:val="22"/>
          <w:szCs w:val="22"/>
        </w:rPr>
      </w:pPr>
      <w:r w:rsidRPr="009E7F31">
        <w:rPr>
          <w:sz w:val="22"/>
          <w:szCs w:val="22"/>
        </w:rPr>
        <w:t>UAB “Lex ano”</w:t>
      </w:r>
    </w:p>
    <w:p w:rsidR="009E7F31" w:rsidRPr="009E7F31" w:rsidRDefault="009E7F31" w:rsidP="009E7F31">
      <w:pPr>
        <w:ind w:right="567"/>
        <w:jc w:val="both"/>
        <w:rPr>
          <w:sz w:val="22"/>
          <w:szCs w:val="22"/>
        </w:rPr>
      </w:pPr>
      <w:r w:rsidRPr="009E7F31">
        <w:rPr>
          <w:color w:val="000000"/>
          <w:sz w:val="22"/>
          <w:szCs w:val="22"/>
        </w:rPr>
        <w:t>Naugarduko g. 3,</w:t>
      </w:r>
      <w:r w:rsidRPr="009E7F31">
        <w:rPr>
          <w:sz w:val="22"/>
          <w:szCs w:val="22"/>
        </w:rPr>
        <w:t xml:space="preserve"> </w:t>
      </w:r>
    </w:p>
    <w:p w:rsidR="009E7F31" w:rsidRPr="009E7F31" w:rsidRDefault="009E7F31" w:rsidP="009E7F31">
      <w:pPr>
        <w:ind w:right="567"/>
        <w:jc w:val="both"/>
        <w:rPr>
          <w:sz w:val="22"/>
          <w:szCs w:val="22"/>
        </w:rPr>
      </w:pPr>
      <w:r w:rsidRPr="009E7F31">
        <w:rPr>
          <w:sz w:val="22"/>
          <w:szCs w:val="22"/>
        </w:rPr>
        <w:t>LT-03231 Vilnius</w:t>
      </w:r>
    </w:p>
    <w:p w:rsidR="009E7F31" w:rsidRPr="009E7F31" w:rsidRDefault="009E7F31" w:rsidP="009E7F31">
      <w:pPr>
        <w:ind w:right="567"/>
        <w:jc w:val="both"/>
        <w:rPr>
          <w:sz w:val="22"/>
          <w:szCs w:val="22"/>
        </w:rPr>
      </w:pPr>
      <w:r w:rsidRPr="009E7F31">
        <w:rPr>
          <w:sz w:val="22"/>
          <w:szCs w:val="22"/>
        </w:rPr>
        <w:t>Lietuva</w:t>
      </w:r>
    </w:p>
    <w:p w:rsidR="009E7F31" w:rsidRPr="009E7F31" w:rsidRDefault="009E7F31" w:rsidP="009E7F31">
      <w:pPr>
        <w:tabs>
          <w:tab w:val="left" w:pos="567"/>
        </w:tabs>
        <w:ind w:right="567"/>
        <w:jc w:val="both"/>
        <w:rPr>
          <w:sz w:val="22"/>
          <w:szCs w:val="22"/>
        </w:rPr>
      </w:pPr>
    </w:p>
    <w:p w:rsidR="009E7F31" w:rsidRPr="009E7F31" w:rsidRDefault="009E7F31" w:rsidP="009E7F31">
      <w:pPr>
        <w:ind w:right="567"/>
        <w:jc w:val="both"/>
        <w:rPr>
          <w:b/>
          <w:bCs/>
          <w:iCs/>
          <w:sz w:val="22"/>
          <w:szCs w:val="22"/>
          <w:lang w:eastAsia="lt-LT"/>
        </w:rPr>
      </w:pPr>
      <w:r w:rsidRPr="009E7F31">
        <w:rPr>
          <w:b/>
          <w:bCs/>
          <w:iCs/>
          <w:sz w:val="22"/>
          <w:szCs w:val="22"/>
          <w:lang w:eastAsia="lt-LT"/>
        </w:rPr>
        <w:t xml:space="preserve">Perpakavo </w:t>
      </w:r>
    </w:p>
    <w:p w:rsidR="009E7F31" w:rsidRPr="009E7F31" w:rsidRDefault="009E7F31" w:rsidP="009E7F31">
      <w:pPr>
        <w:ind w:right="567"/>
        <w:jc w:val="both"/>
        <w:rPr>
          <w:bCs/>
          <w:iCs/>
          <w:sz w:val="22"/>
          <w:szCs w:val="22"/>
          <w:lang w:eastAsia="lt-LT"/>
        </w:rPr>
      </w:pPr>
      <w:r w:rsidRPr="009E7F31">
        <w:rPr>
          <w:bCs/>
          <w:iCs/>
          <w:sz w:val="22"/>
          <w:szCs w:val="22"/>
          <w:lang w:eastAsia="lt-LT"/>
        </w:rPr>
        <w:t>BĮ UAB „Norfachema“</w:t>
      </w:r>
    </w:p>
    <w:p w:rsidR="009E7F31" w:rsidRPr="009E7F31" w:rsidRDefault="009E7F31" w:rsidP="009E7F31">
      <w:pPr>
        <w:ind w:right="567"/>
        <w:jc w:val="both"/>
        <w:rPr>
          <w:bCs/>
          <w:iCs/>
          <w:sz w:val="22"/>
          <w:szCs w:val="22"/>
          <w:lang w:eastAsia="lt-LT"/>
        </w:rPr>
      </w:pPr>
      <w:r w:rsidRPr="009E7F31">
        <w:rPr>
          <w:bCs/>
          <w:iCs/>
          <w:sz w:val="22"/>
          <w:szCs w:val="22"/>
          <w:lang w:eastAsia="lt-LT"/>
        </w:rPr>
        <w:t>Vytauto g. 6, Jonava</w:t>
      </w:r>
    </w:p>
    <w:p w:rsidR="009E7F31" w:rsidRPr="009E7F31" w:rsidRDefault="009E7F31" w:rsidP="009E7F31">
      <w:pPr>
        <w:ind w:right="567"/>
        <w:jc w:val="both"/>
        <w:rPr>
          <w:bCs/>
          <w:iCs/>
          <w:sz w:val="22"/>
          <w:szCs w:val="22"/>
          <w:lang w:eastAsia="lt-LT"/>
        </w:rPr>
      </w:pPr>
      <w:r w:rsidRPr="009E7F31">
        <w:rPr>
          <w:bCs/>
          <w:iCs/>
          <w:sz w:val="22"/>
          <w:szCs w:val="22"/>
          <w:lang w:eastAsia="lt-LT"/>
        </w:rPr>
        <w:t>Lietuva</w:t>
      </w:r>
    </w:p>
    <w:p w:rsidR="009E7F31" w:rsidRPr="009E7F31" w:rsidRDefault="009E7F31" w:rsidP="009E7F31">
      <w:pPr>
        <w:ind w:right="567"/>
        <w:jc w:val="both"/>
        <w:rPr>
          <w:bCs/>
          <w:iCs/>
          <w:sz w:val="22"/>
          <w:szCs w:val="22"/>
          <w:lang w:eastAsia="lt-LT"/>
        </w:rPr>
      </w:pPr>
    </w:p>
    <w:p w:rsidR="009E7F31" w:rsidRPr="009E7F31" w:rsidRDefault="009E7F31" w:rsidP="009E7F31">
      <w:pPr>
        <w:ind w:right="567"/>
        <w:jc w:val="both"/>
        <w:rPr>
          <w:bCs/>
          <w:iCs/>
          <w:sz w:val="22"/>
          <w:szCs w:val="22"/>
          <w:lang w:eastAsia="lt-LT"/>
        </w:rPr>
      </w:pPr>
      <w:r w:rsidRPr="009E7F31">
        <w:rPr>
          <w:bCs/>
          <w:iCs/>
          <w:sz w:val="22"/>
          <w:szCs w:val="22"/>
          <w:lang w:eastAsia="lt-LT"/>
        </w:rPr>
        <w:t>arba</w:t>
      </w:r>
    </w:p>
    <w:p w:rsidR="009E7F31" w:rsidRPr="009E7F31" w:rsidRDefault="009E7F31" w:rsidP="009E7F31">
      <w:pPr>
        <w:ind w:right="567"/>
        <w:jc w:val="both"/>
        <w:rPr>
          <w:bCs/>
          <w:iCs/>
          <w:sz w:val="22"/>
          <w:szCs w:val="22"/>
          <w:lang w:eastAsia="lt-LT"/>
        </w:rPr>
      </w:pPr>
    </w:p>
    <w:p w:rsidR="009E7F31" w:rsidRPr="009E7F31" w:rsidRDefault="009E7F31" w:rsidP="009E7F31">
      <w:pPr>
        <w:ind w:right="567"/>
        <w:jc w:val="both"/>
        <w:rPr>
          <w:bCs/>
          <w:iCs/>
          <w:sz w:val="22"/>
          <w:szCs w:val="22"/>
          <w:lang w:eastAsia="lt-LT"/>
        </w:rPr>
      </w:pPr>
      <w:r w:rsidRPr="009E7F31">
        <w:rPr>
          <w:bCs/>
          <w:iCs/>
          <w:sz w:val="22"/>
          <w:szCs w:val="22"/>
          <w:lang w:eastAsia="lt-LT"/>
        </w:rPr>
        <w:t>UAB „Entafarma“</w:t>
      </w:r>
    </w:p>
    <w:p w:rsidR="009E7F31" w:rsidRPr="009E7F31" w:rsidRDefault="009E7F31" w:rsidP="009E7F31">
      <w:pPr>
        <w:ind w:right="567"/>
        <w:jc w:val="both"/>
        <w:rPr>
          <w:bCs/>
          <w:iCs/>
          <w:sz w:val="22"/>
          <w:szCs w:val="22"/>
          <w:lang w:eastAsia="lt-LT"/>
        </w:rPr>
      </w:pPr>
      <w:r w:rsidRPr="009E7F31">
        <w:rPr>
          <w:bCs/>
          <w:iCs/>
          <w:sz w:val="22"/>
          <w:szCs w:val="22"/>
          <w:lang w:eastAsia="lt-LT"/>
        </w:rPr>
        <w:t>Klonėnų vs. 1</w:t>
      </w:r>
    </w:p>
    <w:p w:rsidR="009E7F31" w:rsidRPr="009E7F31" w:rsidRDefault="009E7F31" w:rsidP="009E7F31">
      <w:pPr>
        <w:ind w:right="567"/>
        <w:jc w:val="both"/>
        <w:rPr>
          <w:bCs/>
          <w:iCs/>
          <w:sz w:val="22"/>
          <w:szCs w:val="22"/>
          <w:lang w:eastAsia="lt-LT"/>
        </w:rPr>
      </w:pPr>
      <w:r w:rsidRPr="009E7F31">
        <w:rPr>
          <w:bCs/>
          <w:iCs/>
          <w:sz w:val="22"/>
          <w:szCs w:val="22"/>
          <w:lang w:eastAsia="lt-LT"/>
        </w:rPr>
        <w:t>Širvintų r. sav.</w:t>
      </w:r>
    </w:p>
    <w:p w:rsidR="009E7F31" w:rsidRPr="009E7F31" w:rsidRDefault="009E7F31" w:rsidP="009E7F31">
      <w:pPr>
        <w:ind w:right="567"/>
        <w:jc w:val="both"/>
        <w:rPr>
          <w:bCs/>
          <w:iCs/>
          <w:sz w:val="22"/>
          <w:szCs w:val="22"/>
          <w:lang w:eastAsia="lt-LT"/>
        </w:rPr>
      </w:pPr>
      <w:r w:rsidRPr="009E7F31">
        <w:rPr>
          <w:bCs/>
          <w:iCs/>
          <w:sz w:val="22"/>
          <w:szCs w:val="22"/>
          <w:lang w:eastAsia="lt-LT"/>
        </w:rPr>
        <w:t>Lietuva</w:t>
      </w:r>
    </w:p>
    <w:p w:rsidR="009E7F31" w:rsidRPr="009E7F31" w:rsidRDefault="009E7F31" w:rsidP="009E7F31">
      <w:pPr>
        <w:ind w:right="567"/>
        <w:jc w:val="both"/>
        <w:rPr>
          <w:sz w:val="22"/>
          <w:szCs w:val="22"/>
          <w:highlight w:val="yellow"/>
        </w:rPr>
      </w:pPr>
    </w:p>
    <w:p w:rsidR="009E7F31" w:rsidRPr="009E7F31" w:rsidRDefault="009E7F31" w:rsidP="009E7F31">
      <w:pPr>
        <w:widowControl w:val="0"/>
        <w:ind w:right="567"/>
        <w:jc w:val="both"/>
        <w:rPr>
          <w:sz w:val="22"/>
          <w:szCs w:val="22"/>
        </w:rPr>
      </w:pPr>
      <w:r w:rsidRPr="009E7F31">
        <w:rPr>
          <w:sz w:val="22"/>
          <w:szCs w:val="22"/>
        </w:rPr>
        <w:t>Registruotojas eksportuojančioje valstybėje yra Krka, d.d., Novo mesto, Šmarješka cesta 6, 8501 Novo mesto, Slovėnija.</w:t>
      </w:r>
    </w:p>
    <w:p w:rsidR="007D2BEF" w:rsidRPr="009E7F31" w:rsidRDefault="007D2BEF" w:rsidP="007D2BEF">
      <w:pPr>
        <w:widowControl w:val="0"/>
        <w:rPr>
          <w:sz w:val="22"/>
          <w:szCs w:val="22"/>
        </w:rPr>
      </w:pPr>
    </w:p>
    <w:p w:rsidR="007D2BEF" w:rsidRPr="009E7F31" w:rsidRDefault="007D2BEF" w:rsidP="007D2BEF">
      <w:pPr>
        <w:widowControl w:val="0"/>
        <w:rPr>
          <w:b/>
          <w:sz w:val="22"/>
          <w:szCs w:val="22"/>
        </w:rPr>
      </w:pPr>
      <w:r w:rsidRPr="009E7F31">
        <w:rPr>
          <w:b/>
          <w:bCs/>
          <w:sz w:val="22"/>
          <w:szCs w:val="22"/>
        </w:rPr>
        <w:lastRenderedPageBreak/>
        <w:t>Šis pakuotės lapelis</w:t>
      </w:r>
      <w:r w:rsidRPr="009E7F31">
        <w:rPr>
          <w:b/>
          <w:sz w:val="22"/>
          <w:szCs w:val="22"/>
        </w:rPr>
        <w:t xml:space="preserve"> paskutinį kartą peržiūrėtas</w:t>
      </w:r>
      <w:r w:rsidRPr="009E7F31">
        <w:rPr>
          <w:sz w:val="22"/>
          <w:szCs w:val="22"/>
        </w:rPr>
        <w:t xml:space="preserve"> </w:t>
      </w:r>
      <w:r w:rsidR="009D0B1B">
        <w:rPr>
          <w:b/>
          <w:sz w:val="22"/>
          <w:szCs w:val="22"/>
        </w:rPr>
        <w:t>2016-10-19.</w:t>
      </w:r>
      <w:bookmarkStart w:id="18" w:name="_GoBack"/>
      <w:bookmarkEnd w:id="18"/>
    </w:p>
    <w:p w:rsidR="007D2BEF" w:rsidRPr="009E7F31" w:rsidRDefault="007D2BEF" w:rsidP="007D2BEF">
      <w:pPr>
        <w:widowControl w:val="0"/>
        <w:rPr>
          <w:sz w:val="22"/>
          <w:szCs w:val="22"/>
        </w:rPr>
      </w:pPr>
    </w:p>
    <w:p w:rsidR="007D2BEF" w:rsidRPr="009E7F31" w:rsidRDefault="007D2BEF" w:rsidP="007D2BEF">
      <w:pPr>
        <w:widowControl w:val="0"/>
        <w:rPr>
          <w:noProof/>
          <w:color w:val="0000FF"/>
          <w:sz w:val="22"/>
          <w:szCs w:val="22"/>
          <w:u w:val="single"/>
        </w:rPr>
      </w:pPr>
    </w:p>
    <w:p w:rsidR="009E7F31" w:rsidRPr="009E7F31" w:rsidRDefault="009E7F31" w:rsidP="009E7F31">
      <w:pPr>
        <w:tabs>
          <w:tab w:val="left" w:pos="567"/>
        </w:tabs>
        <w:ind w:right="567"/>
        <w:jc w:val="both"/>
        <w:rPr>
          <w:sz w:val="22"/>
          <w:szCs w:val="22"/>
        </w:rPr>
      </w:pPr>
      <w:r w:rsidRPr="009E7F31">
        <w:rPr>
          <w:sz w:val="22"/>
          <w:szCs w:val="22"/>
        </w:rPr>
        <w:t>Išsami informacija apie šį vaistą pateikiama Valstybinės vaistų kontrolės tarnybos prie Lietuvos Respublikos sveikatos apsaugos ministerijos tinklalapyje</w:t>
      </w:r>
      <w:r w:rsidRPr="009E7F31">
        <w:rPr>
          <w:i/>
          <w:sz w:val="22"/>
          <w:szCs w:val="22"/>
        </w:rPr>
        <w:t xml:space="preserve"> </w:t>
      </w:r>
      <w:hyperlink r:id="rId8" w:history="1">
        <w:r w:rsidRPr="009E7F31">
          <w:rPr>
            <w:color w:val="0000FF"/>
            <w:sz w:val="22"/>
            <w:szCs w:val="22"/>
            <w:u w:val="single"/>
          </w:rPr>
          <w:t>http://www.vvkt.lt/</w:t>
        </w:r>
      </w:hyperlink>
      <w:r w:rsidRPr="009E7F31">
        <w:rPr>
          <w:color w:val="0000FF"/>
          <w:sz w:val="22"/>
          <w:szCs w:val="22"/>
        </w:rPr>
        <w:t>.</w:t>
      </w:r>
    </w:p>
    <w:p w:rsidR="007D2BEF" w:rsidRPr="009E7F31" w:rsidRDefault="007D2BEF" w:rsidP="007D2BEF">
      <w:pPr>
        <w:widowControl w:val="0"/>
        <w:rPr>
          <w:noProof/>
          <w:sz w:val="22"/>
          <w:szCs w:val="22"/>
        </w:rPr>
      </w:pPr>
    </w:p>
    <w:p w:rsidR="00562D93" w:rsidRPr="009E7F31" w:rsidRDefault="00562D93" w:rsidP="007D2BEF">
      <w:pPr>
        <w:rPr>
          <w:sz w:val="22"/>
          <w:szCs w:val="22"/>
        </w:rPr>
      </w:pPr>
    </w:p>
    <w:sectPr w:rsidR="00562D93" w:rsidRPr="009E7F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442"/>
    <w:multiLevelType w:val="hybridMultilevel"/>
    <w:tmpl w:val="8F44A26C"/>
    <w:lvl w:ilvl="0" w:tplc="5BE0398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25C9B"/>
    <w:multiLevelType w:val="hybridMultilevel"/>
    <w:tmpl w:val="FA5C49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D48E8"/>
    <w:multiLevelType w:val="hybridMultilevel"/>
    <w:tmpl w:val="7D0E0DA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C3E5C"/>
    <w:multiLevelType w:val="hybridMultilevel"/>
    <w:tmpl w:val="342CD550"/>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EF"/>
    <w:rsid w:val="00562D93"/>
    <w:rsid w:val="0060531F"/>
    <w:rsid w:val="007D2BEF"/>
    <w:rsid w:val="009D0B1B"/>
    <w:rsid w:val="009E7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4301A-A760-4F45-8832-E5A78B0F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BEF"/>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D2BEF"/>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9147</Words>
  <Characters>5214</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21</vt:i4>
      </vt:variant>
    </vt:vector>
  </HeadingPairs>
  <TitlesOfParts>
    <vt:vector size="22" baseType="lpstr">
      <vt:lpstr/>
      <vt:lpstr>A. ŽENKLINIMAS</vt:lpstr>
      <vt:lpstr>Krka, d.d., Novo mesto</vt:lpstr>
      <vt:lpstr>Šmarješka cesta 6</vt:lpstr>
      <vt:lpstr>8501 Novo mesto</vt:lpstr>
      <vt:lpstr>Slovėnija</vt:lpstr>
      <vt:lpstr>B. PAKUOTĖS LAPELIS</vt:lpstr>
      <vt:lpstr>Pakuotės lapelis: informacija vartotojui</vt:lpstr>
      <vt:lpstr>    1.	Kas yra Nolicin ir kam jis vartojamas</vt:lpstr>
      <vt:lpstr>    2.	Kas žinotina prieš vartojant Nolicin</vt:lpstr>
      <vt:lpstr>Kartu vartojant kortikosteroidus ir Nolicin, gali padidėti sausgyslių uždegimo a</vt:lpstr>
      <vt:lpstr>    3.	Kaip vartoti Nolicin</vt:lpstr>
      <vt:lpstr>    4.	Galimas šalutinis poveikis</vt:lpstr>
      <vt:lpstr>    5.	Kaip laikyti Nolicin</vt:lpstr>
      <vt:lpstr>    6.	Pakuotės turinys ir kita informacija</vt:lpstr>
      <vt:lpstr>Plėvele dengtos tabletės yra oranžinės, apvalios, abipus truputį išgaubtos, su v</vt:lpstr>
      <vt:lpstr>Tabletę galima padalyti į lygias dozes.</vt:lpstr>
      <vt:lpstr>Nolicin tiekiamas dėžutėmis, kuriose yra 20 plėvele dengtų tablečių lizdinėse pl</vt:lpstr>
      <vt:lpstr>Krka, d.d., Novo mesto</vt:lpstr>
      <vt:lpstr>Šmarješka cesta 6</vt:lpstr>
      <vt:lpstr>8501 Novo mesto</vt:lpstr>
      <vt:lpstr>Slovėnija</vt:lpstr>
    </vt:vector>
  </TitlesOfParts>
  <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2016-07-01T12:40:00Z</dcterms:created>
  <dcterms:modified xsi:type="dcterms:W3CDTF">2016-10-20T07:35:00Z</dcterms:modified>
</cp:coreProperties>
</file>