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  <w:bookmarkStart w:id="0" w:name="_Toc129243136"/>
      <w:bookmarkStart w:id="1" w:name="_Toc129243261"/>
      <w:r w:rsidRPr="00624096">
        <w:rPr>
          <w:sz w:val="22"/>
          <w:szCs w:val="22"/>
          <w:lang w:val="lt-LT"/>
        </w:rPr>
        <w:t>A. ŽENKLINIMAS</w:t>
      </w:r>
      <w:bookmarkEnd w:id="0"/>
      <w:bookmarkEnd w:id="1"/>
    </w:p>
    <w:p w:rsidR="00857D51" w:rsidRPr="00624096" w:rsidRDefault="00857D51" w:rsidP="00832805">
      <w:pPr>
        <w:pStyle w:val="BTEMEASMCA"/>
      </w:pPr>
      <w:r w:rsidRPr="00624096">
        <w:br w:type="page"/>
      </w: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lastRenderedPageBreak/>
        <w:t>INFORMACIJA ANT IŠORINĖS PAKUOTĖS</w:t>
      </w: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bCs/>
          <w:sz w:val="22"/>
          <w:szCs w:val="22"/>
        </w:rPr>
      </w:pPr>
      <w:r w:rsidRPr="00624096">
        <w:rPr>
          <w:sz w:val="22"/>
          <w:szCs w:val="22"/>
        </w:rPr>
        <w:t>KARTONO DĖŽUTĖ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1.</w:t>
      </w:r>
      <w:r w:rsidRPr="00624096">
        <w:rPr>
          <w:sz w:val="22"/>
          <w:szCs w:val="22"/>
        </w:rPr>
        <w:tab/>
        <w:t>VAISTINIO PREPARATO PAVADINIMAS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napToGrid w:val="0"/>
          <w:szCs w:val="22"/>
          <w:lang w:eastAsia="fr-FR"/>
        </w:rPr>
        <w:t>Stilnox</w:t>
      </w:r>
      <w:proofErr w:type="spellEnd"/>
      <w:r w:rsidRPr="00624096">
        <w:rPr>
          <w:snapToGrid w:val="0"/>
          <w:szCs w:val="22"/>
          <w:lang w:eastAsia="fr-FR"/>
        </w:rPr>
        <w:t xml:space="preserve"> </w:t>
      </w:r>
      <w:r w:rsidRPr="00624096">
        <w:rPr>
          <w:szCs w:val="22"/>
        </w:rPr>
        <w:t xml:space="preserve">10 mg plėvele dengtos tabletės </w:t>
      </w: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zCs w:val="22"/>
        </w:rPr>
        <w:t>Zolpidemo</w:t>
      </w:r>
      <w:proofErr w:type="spellEnd"/>
      <w:r w:rsidRPr="00624096">
        <w:rPr>
          <w:szCs w:val="22"/>
        </w:rPr>
        <w:t xml:space="preserve"> </w:t>
      </w:r>
      <w:proofErr w:type="spellStart"/>
      <w:r w:rsidRPr="00624096">
        <w:rPr>
          <w:szCs w:val="22"/>
        </w:rPr>
        <w:t>tartratas</w:t>
      </w:r>
      <w:proofErr w:type="spellEnd"/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  <w:lang w:val="lt-LT"/>
        </w:rPr>
      </w:pPr>
      <w:r w:rsidRPr="00624096">
        <w:rPr>
          <w:sz w:val="22"/>
          <w:szCs w:val="22"/>
        </w:rPr>
        <w:t>2.</w:t>
      </w:r>
      <w:r w:rsidRPr="00624096">
        <w:rPr>
          <w:sz w:val="22"/>
          <w:szCs w:val="22"/>
        </w:rPr>
        <w:tab/>
        <w:t>VEIKLIOJI</w:t>
      </w:r>
      <w:r w:rsidRPr="00624096">
        <w:rPr>
          <w:sz w:val="22"/>
          <w:szCs w:val="22"/>
          <w:lang w:val="lt-LT"/>
        </w:rPr>
        <w:t xml:space="preserve"> (-IOS) </w:t>
      </w:r>
      <w:r w:rsidRPr="00624096">
        <w:rPr>
          <w:sz w:val="22"/>
          <w:szCs w:val="22"/>
        </w:rPr>
        <w:t>MEDŽIAGA</w:t>
      </w:r>
      <w:r w:rsidRPr="00624096">
        <w:rPr>
          <w:sz w:val="22"/>
          <w:szCs w:val="22"/>
          <w:lang w:val="lt-LT"/>
        </w:rPr>
        <w:t xml:space="preserve"> (-OS) </w:t>
      </w:r>
      <w:r w:rsidRPr="00624096">
        <w:rPr>
          <w:sz w:val="22"/>
          <w:szCs w:val="22"/>
        </w:rPr>
        <w:t>IR JOS</w:t>
      </w:r>
      <w:r w:rsidRPr="00624096">
        <w:rPr>
          <w:sz w:val="22"/>
          <w:szCs w:val="22"/>
          <w:lang w:val="lt-LT"/>
        </w:rPr>
        <w:t xml:space="preserve"> (-Ų)</w:t>
      </w:r>
      <w:r w:rsidRPr="00624096">
        <w:rPr>
          <w:sz w:val="22"/>
          <w:szCs w:val="22"/>
        </w:rPr>
        <w:t xml:space="preserve"> KIEKIS</w:t>
      </w:r>
      <w:r w:rsidRPr="00624096">
        <w:rPr>
          <w:sz w:val="22"/>
          <w:szCs w:val="22"/>
          <w:lang w:val="lt-LT"/>
        </w:rPr>
        <w:t xml:space="preserve"> (-IAI)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Vienoje plėvele dengtoje tabletėje yra 10 mg zolpidemo tartrato.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  <w:highlight w:val="lightGray"/>
        </w:rPr>
      </w:pPr>
      <w:r w:rsidRPr="00624096">
        <w:rPr>
          <w:sz w:val="22"/>
          <w:szCs w:val="22"/>
        </w:rPr>
        <w:t>3.</w:t>
      </w:r>
      <w:r w:rsidRPr="00624096">
        <w:rPr>
          <w:sz w:val="22"/>
          <w:szCs w:val="22"/>
        </w:rPr>
        <w:tab/>
        <w:t>PAGALBINIŲ MEDŽIAGŲ SĄRAŠAS</w:t>
      </w:r>
    </w:p>
    <w:p w:rsidR="00857D51" w:rsidRPr="00624096" w:rsidRDefault="00857D51" w:rsidP="00857D51">
      <w:pPr>
        <w:tabs>
          <w:tab w:val="left" w:pos="567"/>
        </w:tabs>
        <w:rPr>
          <w:noProof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noProof/>
          <w:sz w:val="22"/>
          <w:szCs w:val="22"/>
        </w:rPr>
      </w:pPr>
      <w:r w:rsidRPr="00624096">
        <w:rPr>
          <w:noProof/>
          <w:sz w:val="22"/>
          <w:szCs w:val="22"/>
        </w:rPr>
        <w:t>Sudėtyje yra laktozės monohidrato.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4.</w:t>
      </w:r>
      <w:r w:rsidRPr="00624096">
        <w:rPr>
          <w:sz w:val="22"/>
          <w:szCs w:val="22"/>
        </w:rPr>
        <w:tab/>
        <w:t>FARMACINĖ FORMA IR KIEKIS PAKUOTĖJE</w:t>
      </w:r>
    </w:p>
    <w:p w:rsidR="00857D51" w:rsidRPr="00624096" w:rsidRDefault="00857D51" w:rsidP="00857D51">
      <w:pPr>
        <w:tabs>
          <w:tab w:val="left" w:pos="567"/>
        </w:tabs>
        <w:rPr>
          <w:noProof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noProof/>
          <w:sz w:val="22"/>
          <w:szCs w:val="22"/>
        </w:rPr>
      </w:pPr>
      <w:r w:rsidRPr="00624096">
        <w:rPr>
          <w:noProof/>
          <w:sz w:val="22"/>
          <w:szCs w:val="22"/>
          <w:highlight w:val="lightGray"/>
        </w:rPr>
        <w:t>Plėvele dengtos tabletės</w:t>
      </w:r>
    </w:p>
    <w:p w:rsidR="00857D51" w:rsidRPr="00624096" w:rsidRDefault="00832805" w:rsidP="00857D51">
      <w:pPr>
        <w:tabs>
          <w:tab w:val="left" w:pos="567"/>
        </w:tabs>
        <w:rPr>
          <w:noProof/>
          <w:sz w:val="22"/>
          <w:szCs w:val="22"/>
        </w:rPr>
      </w:pPr>
      <w:r w:rsidRPr="00624096">
        <w:rPr>
          <w:noProof/>
          <w:sz w:val="22"/>
          <w:szCs w:val="22"/>
        </w:rPr>
        <w:t>3</w:t>
      </w:r>
      <w:r w:rsidR="00857D51" w:rsidRPr="00624096">
        <w:rPr>
          <w:noProof/>
          <w:sz w:val="22"/>
          <w:szCs w:val="22"/>
        </w:rPr>
        <w:t>0 plėvele dengtų tablečių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  <w:highlight w:val="lightGray"/>
        </w:rPr>
      </w:pPr>
      <w:r w:rsidRPr="00624096">
        <w:rPr>
          <w:sz w:val="22"/>
          <w:szCs w:val="22"/>
        </w:rPr>
        <w:t>5.</w:t>
      </w:r>
      <w:r w:rsidRPr="00624096">
        <w:rPr>
          <w:sz w:val="22"/>
          <w:szCs w:val="22"/>
        </w:rPr>
        <w:tab/>
        <w:t>VARTOJIMO METODAS IR BŪDAS (-AI)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Vartoti per burną.</w:t>
      </w:r>
    </w:p>
    <w:p w:rsidR="00857D51" w:rsidRPr="00624096" w:rsidRDefault="00857D51" w:rsidP="00832805">
      <w:pPr>
        <w:pStyle w:val="BTEMEASMCA"/>
      </w:pPr>
      <w:r w:rsidRPr="00624096">
        <w:t>Prieš vartojimą perskaitykite pakuotės lapelį.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ind w:left="540" w:hanging="540"/>
        <w:rPr>
          <w:sz w:val="22"/>
          <w:szCs w:val="22"/>
        </w:rPr>
      </w:pPr>
      <w:r w:rsidRPr="00624096">
        <w:rPr>
          <w:sz w:val="22"/>
          <w:szCs w:val="22"/>
        </w:rPr>
        <w:t>6.</w:t>
      </w:r>
      <w:r w:rsidRPr="00624096">
        <w:rPr>
          <w:sz w:val="22"/>
          <w:szCs w:val="22"/>
        </w:rPr>
        <w:tab/>
        <w:t xml:space="preserve">SPECIALUS ĮSPĖJIMAS, KAD VAISTINĮ PREPARATĄ BŪTINA LAIKYTI VAIKAMS NEPASTEBIMOJE </w:t>
      </w:r>
      <w:r w:rsidRPr="00624096">
        <w:rPr>
          <w:sz w:val="22"/>
          <w:szCs w:val="22"/>
          <w:lang w:val="lt-LT"/>
        </w:rPr>
        <w:t xml:space="preserve">IR </w:t>
      </w:r>
      <w:r w:rsidRPr="00624096">
        <w:rPr>
          <w:sz w:val="22"/>
          <w:szCs w:val="22"/>
        </w:rPr>
        <w:t>NEPASIEKIAMOJE VIETOJE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 xml:space="preserve">Laikyti vaikams nepastebimoje </w:t>
      </w:r>
      <w:r w:rsidRPr="00624096">
        <w:rPr>
          <w:lang w:val="lt-LT"/>
        </w:rPr>
        <w:t xml:space="preserve">ir </w:t>
      </w:r>
      <w:r w:rsidRPr="00624096">
        <w:t>nepasiekiamoje vietoje.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  <w:highlight w:val="lightGray"/>
        </w:rPr>
      </w:pPr>
      <w:r w:rsidRPr="00624096">
        <w:rPr>
          <w:sz w:val="22"/>
          <w:szCs w:val="22"/>
        </w:rPr>
        <w:t>7.</w:t>
      </w:r>
      <w:r w:rsidRPr="00624096">
        <w:rPr>
          <w:sz w:val="22"/>
          <w:szCs w:val="22"/>
        </w:rPr>
        <w:tab/>
        <w:t>KITAS (-I) SPECIALUS (-ŪS) ĮSPĖJIMAS (-AI) (JEI REIKIA)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  <w:highlight w:val="lightGray"/>
        </w:rPr>
      </w:pPr>
      <w:r w:rsidRPr="00624096">
        <w:rPr>
          <w:sz w:val="22"/>
          <w:szCs w:val="22"/>
        </w:rPr>
        <w:t>8.</w:t>
      </w:r>
      <w:r w:rsidRPr="00624096">
        <w:rPr>
          <w:sz w:val="22"/>
          <w:szCs w:val="22"/>
        </w:rPr>
        <w:tab/>
        <w:t>TINKAMUMO LAIKAS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  <w:rPr>
          <w:lang w:val="lt-LT"/>
        </w:rPr>
      </w:pPr>
      <w:r w:rsidRPr="00624096">
        <w:t xml:space="preserve">Tinka iki </w:t>
      </w:r>
      <w:r w:rsidR="00832805" w:rsidRPr="00624096">
        <w:rPr>
          <w:lang w:val="lt-LT"/>
        </w:rPr>
        <w:t>: mm/MMMM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9.</w:t>
      </w:r>
      <w:r w:rsidRPr="00624096">
        <w:rPr>
          <w:sz w:val="22"/>
          <w:szCs w:val="22"/>
        </w:rPr>
        <w:tab/>
        <w:t>SPECIALIOS LAIKYMO SĄLYGOS</w:t>
      </w:r>
    </w:p>
    <w:p w:rsidR="00857D51" w:rsidRPr="00624096" w:rsidRDefault="00857D51" w:rsidP="00832805">
      <w:pPr>
        <w:pStyle w:val="BTEMEASMCA"/>
      </w:pPr>
    </w:p>
    <w:p w:rsidR="00832805" w:rsidRPr="00624096" w:rsidRDefault="00832805" w:rsidP="00832805">
      <w:pPr>
        <w:pStyle w:val="BTEMEASMCA"/>
      </w:pPr>
      <w:r w:rsidRPr="00624096">
        <w:t xml:space="preserve">Laikyti ne aukštesnėje kaip 25 </w:t>
      </w:r>
      <w:r w:rsidRPr="00624096">
        <w:sym w:font="Symbol" w:char="F0B0"/>
      </w:r>
      <w:r w:rsidRPr="00624096">
        <w:t>C temperatūroje.</w:t>
      </w:r>
    </w:p>
    <w:p w:rsidR="00857D51" w:rsidRPr="00624096" w:rsidRDefault="00857D51" w:rsidP="00832805">
      <w:pPr>
        <w:pStyle w:val="BTEMEASMCA"/>
      </w:pPr>
    </w:p>
    <w:p w:rsidR="00832805" w:rsidRPr="00624096" w:rsidRDefault="00832805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32805" w:rsidRPr="00624096" w:rsidRDefault="00857D51" w:rsidP="00832805">
      <w:pPr>
        <w:pStyle w:val="PI-1labEMEASMCA"/>
        <w:tabs>
          <w:tab w:val="left" w:pos="567"/>
        </w:tabs>
        <w:ind w:left="540" w:hanging="540"/>
        <w:rPr>
          <w:sz w:val="22"/>
          <w:szCs w:val="22"/>
        </w:rPr>
      </w:pPr>
      <w:r w:rsidRPr="00624096">
        <w:rPr>
          <w:sz w:val="22"/>
          <w:szCs w:val="22"/>
        </w:rPr>
        <w:lastRenderedPageBreak/>
        <w:t>10.</w:t>
      </w:r>
      <w:r w:rsidRPr="00624096">
        <w:rPr>
          <w:sz w:val="22"/>
          <w:szCs w:val="22"/>
        </w:rPr>
        <w:tab/>
        <w:t xml:space="preserve">SPECIALIOS ATSARGUMO PRIEMONĖS DĖL NESUVARTOTO </w:t>
      </w:r>
      <w:r w:rsidRPr="00624096">
        <w:rPr>
          <w:bCs/>
          <w:sz w:val="22"/>
          <w:szCs w:val="22"/>
        </w:rPr>
        <w:t xml:space="preserve">VAISTINIO PREPARATO AR JO ATLIEKŲ </w:t>
      </w:r>
      <w:r w:rsidRPr="00624096">
        <w:rPr>
          <w:sz w:val="22"/>
          <w:szCs w:val="22"/>
        </w:rPr>
        <w:t>TVARKYMO (JEI REIKIA)</w:t>
      </w:r>
    </w:p>
    <w:p w:rsidR="00832805" w:rsidRPr="00624096" w:rsidRDefault="00832805" w:rsidP="00832805">
      <w:pPr>
        <w:pStyle w:val="BTEMEASMCA"/>
      </w:pPr>
    </w:p>
    <w:p w:rsidR="00832805" w:rsidRPr="00624096" w:rsidRDefault="00832805" w:rsidP="00832805">
      <w:pPr>
        <w:tabs>
          <w:tab w:val="left" w:pos="720"/>
        </w:tabs>
        <w:rPr>
          <w:rFonts w:eastAsia="MS Mincho"/>
          <w:b/>
          <w:sz w:val="22"/>
          <w:szCs w:val="22"/>
        </w:rPr>
      </w:pPr>
    </w:p>
    <w:p w:rsidR="00832805" w:rsidRPr="00624096" w:rsidRDefault="00832805" w:rsidP="008328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624096">
        <w:rPr>
          <w:b/>
          <w:bCs/>
          <w:sz w:val="22"/>
          <w:szCs w:val="22"/>
          <w:lang w:eastAsia="lt-LT"/>
        </w:rPr>
        <w:t>11.</w:t>
      </w:r>
      <w:r w:rsidRPr="00624096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:rsidR="00832805" w:rsidRPr="00624096" w:rsidRDefault="00832805" w:rsidP="00832805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832805" w:rsidRPr="00624096" w:rsidRDefault="00832805" w:rsidP="00832805">
      <w:pPr>
        <w:rPr>
          <w:noProof/>
          <w:sz w:val="22"/>
          <w:szCs w:val="22"/>
          <w:lang w:eastAsia="lt-LT"/>
        </w:rPr>
      </w:pPr>
      <w:r w:rsidRPr="00624096">
        <w:rPr>
          <w:sz w:val="22"/>
          <w:szCs w:val="22"/>
          <w:lang w:eastAsia="lt-LT"/>
        </w:rPr>
        <w:t>Lygiagretus importuotojas UAB „</w:t>
      </w:r>
      <w:proofErr w:type="spellStart"/>
      <w:r w:rsidRPr="00624096">
        <w:rPr>
          <w:sz w:val="22"/>
          <w:szCs w:val="22"/>
          <w:lang w:eastAsia="lt-LT"/>
        </w:rPr>
        <w:t>Lex</w:t>
      </w:r>
      <w:proofErr w:type="spellEnd"/>
      <w:r w:rsidRPr="00624096">
        <w:rPr>
          <w:sz w:val="22"/>
          <w:szCs w:val="22"/>
          <w:lang w:eastAsia="lt-LT"/>
        </w:rPr>
        <w:t xml:space="preserve"> ano“.</w:t>
      </w:r>
    </w:p>
    <w:p w:rsidR="00832805" w:rsidRPr="00624096" w:rsidRDefault="00832805" w:rsidP="00832805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832805" w:rsidRPr="00624096" w:rsidRDefault="00832805" w:rsidP="00832805">
      <w:pPr>
        <w:tabs>
          <w:tab w:val="left" w:pos="567"/>
        </w:tabs>
        <w:rPr>
          <w:sz w:val="22"/>
          <w:szCs w:val="22"/>
          <w:lang w:eastAsia="lt-LT"/>
        </w:rPr>
      </w:pPr>
    </w:p>
    <w:p w:rsidR="00832805" w:rsidRPr="00624096" w:rsidRDefault="00832805" w:rsidP="008328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624096">
        <w:rPr>
          <w:b/>
          <w:bCs/>
          <w:sz w:val="22"/>
          <w:szCs w:val="22"/>
          <w:lang w:eastAsia="lt-LT"/>
        </w:rPr>
        <w:t>12.</w:t>
      </w:r>
      <w:r w:rsidRPr="00624096">
        <w:rPr>
          <w:b/>
          <w:bCs/>
          <w:sz w:val="22"/>
          <w:szCs w:val="22"/>
          <w:lang w:eastAsia="lt-LT"/>
        </w:rPr>
        <w:tab/>
        <w:t>LYGIAGRETAUS IMPORTO LEIDIMO NUMERIS</w:t>
      </w:r>
    </w:p>
    <w:p w:rsidR="00832805" w:rsidRPr="00624096" w:rsidRDefault="00832805" w:rsidP="00832805">
      <w:pPr>
        <w:tabs>
          <w:tab w:val="left" w:pos="720"/>
        </w:tabs>
        <w:rPr>
          <w:sz w:val="22"/>
          <w:szCs w:val="22"/>
          <w:lang w:eastAsia="lt-LT"/>
        </w:rPr>
      </w:pPr>
    </w:p>
    <w:p w:rsidR="00832805" w:rsidRPr="00624096" w:rsidRDefault="003443CC" w:rsidP="00832805">
      <w:pPr>
        <w:rPr>
          <w:sz w:val="22"/>
          <w:szCs w:val="22"/>
          <w:lang w:eastAsia="lt-LT"/>
        </w:rPr>
      </w:pPr>
      <w:proofErr w:type="spellStart"/>
      <w:r w:rsidRPr="00624096">
        <w:rPr>
          <w:sz w:val="22"/>
          <w:szCs w:val="22"/>
          <w:lang w:eastAsia="lt-LT"/>
        </w:rPr>
        <w:t>Lyg.imp.Nr</w:t>
      </w:r>
      <w:proofErr w:type="spellEnd"/>
      <w:r w:rsidRPr="00624096">
        <w:rPr>
          <w:sz w:val="22"/>
          <w:szCs w:val="22"/>
          <w:lang w:eastAsia="lt-LT"/>
        </w:rPr>
        <w:t>.: LT/L/17</w:t>
      </w:r>
      <w:r w:rsidR="00EC434C" w:rsidRPr="00624096">
        <w:rPr>
          <w:sz w:val="22"/>
          <w:szCs w:val="22"/>
          <w:lang w:eastAsia="lt-LT"/>
        </w:rPr>
        <w:t>/0454/001</w:t>
      </w:r>
    </w:p>
    <w:p w:rsidR="00832805" w:rsidRPr="00624096" w:rsidRDefault="00832805" w:rsidP="00832805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832805" w:rsidRPr="00624096" w:rsidRDefault="00832805" w:rsidP="00832805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832805" w:rsidRPr="00624096" w:rsidRDefault="00832805" w:rsidP="008328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  <w:sz w:val="22"/>
          <w:szCs w:val="22"/>
        </w:rPr>
      </w:pPr>
      <w:r w:rsidRPr="00624096">
        <w:rPr>
          <w:rFonts w:eastAsia="MS Mincho"/>
          <w:b/>
          <w:sz w:val="22"/>
          <w:szCs w:val="22"/>
        </w:rPr>
        <w:t>13.</w:t>
      </w:r>
      <w:r w:rsidRPr="00624096">
        <w:rPr>
          <w:rFonts w:eastAsia="MS Mincho"/>
          <w:b/>
          <w:sz w:val="22"/>
          <w:szCs w:val="22"/>
        </w:rPr>
        <w:tab/>
        <w:t>SERIJOS NUMERIS</w:t>
      </w:r>
    </w:p>
    <w:p w:rsidR="00832805" w:rsidRPr="00624096" w:rsidRDefault="00832805" w:rsidP="00832805">
      <w:pPr>
        <w:keepNext/>
        <w:tabs>
          <w:tab w:val="left" w:pos="720"/>
        </w:tabs>
        <w:outlineLvl w:val="2"/>
        <w:rPr>
          <w:rFonts w:eastAsia="MS Mincho"/>
          <w:sz w:val="22"/>
          <w:szCs w:val="22"/>
        </w:rPr>
      </w:pPr>
    </w:p>
    <w:p w:rsidR="00832805" w:rsidRPr="00624096" w:rsidRDefault="00832805" w:rsidP="00832805">
      <w:pPr>
        <w:tabs>
          <w:tab w:val="left" w:pos="720"/>
        </w:tabs>
        <w:rPr>
          <w:rFonts w:eastAsia="MS Mincho"/>
          <w:sz w:val="22"/>
          <w:szCs w:val="22"/>
        </w:rPr>
      </w:pPr>
      <w:r w:rsidRPr="00624096">
        <w:rPr>
          <w:rFonts w:eastAsia="MS Mincho"/>
          <w:sz w:val="22"/>
          <w:szCs w:val="22"/>
        </w:rPr>
        <w:t>Serija: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14.</w:t>
      </w:r>
      <w:r w:rsidRPr="00624096">
        <w:rPr>
          <w:sz w:val="22"/>
          <w:szCs w:val="22"/>
        </w:rPr>
        <w:tab/>
        <w:t>PARDAVIMO (IŠDAVIMO) TVARKA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Receptinis vaistinis preparatas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15.</w:t>
      </w:r>
      <w:r w:rsidRPr="00624096">
        <w:rPr>
          <w:sz w:val="22"/>
          <w:szCs w:val="22"/>
        </w:rPr>
        <w:tab/>
        <w:t>VARTOJIMO INSTRUKCIJA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labEMEASMCA"/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16.</w:t>
      </w:r>
      <w:r w:rsidRPr="00624096">
        <w:rPr>
          <w:sz w:val="22"/>
          <w:szCs w:val="22"/>
        </w:rPr>
        <w:tab/>
        <w:t>INFORMACIJA BRAILIO RAŠTU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 xml:space="preserve">Stilnox </w:t>
      </w:r>
    </w:p>
    <w:p w:rsidR="00832805" w:rsidRPr="00624096" w:rsidRDefault="00832805" w:rsidP="00832805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r w:rsidRPr="00624096">
        <w:rPr>
          <w:rFonts w:eastAsia="MS Mincho"/>
          <w:sz w:val="22"/>
          <w:szCs w:val="22"/>
        </w:rPr>
        <w:t>------------------------------------------------------------------------------------------------------------------------</w:t>
      </w:r>
    </w:p>
    <w:p w:rsidR="00832805" w:rsidRPr="00624096" w:rsidRDefault="00832805" w:rsidP="00832805">
      <w:pPr>
        <w:pStyle w:val="Pagrindinistekstas3"/>
        <w:tabs>
          <w:tab w:val="left" w:pos="567"/>
        </w:tabs>
        <w:spacing w:after="0"/>
        <w:rPr>
          <w:iCs/>
          <w:sz w:val="22"/>
          <w:szCs w:val="22"/>
        </w:rPr>
      </w:pPr>
      <w:r w:rsidRPr="00624096">
        <w:rPr>
          <w:rFonts w:eastAsia="Batang"/>
          <w:color w:val="000000" w:themeColor="text1"/>
          <w:sz w:val="22"/>
          <w:szCs w:val="22"/>
        </w:rPr>
        <w:t xml:space="preserve">Gamintojas: </w:t>
      </w:r>
      <w:r w:rsidRPr="00624096">
        <w:rPr>
          <w:iCs/>
          <w:sz w:val="22"/>
          <w:szCs w:val="22"/>
        </w:rPr>
        <w:t xml:space="preserve">SANOFI WINTHROP INDUSTRIE, 30-36 </w:t>
      </w:r>
      <w:proofErr w:type="spellStart"/>
      <w:r w:rsidRPr="00624096">
        <w:rPr>
          <w:iCs/>
          <w:sz w:val="22"/>
          <w:szCs w:val="22"/>
        </w:rPr>
        <w:t>Avenue</w:t>
      </w:r>
      <w:proofErr w:type="spellEnd"/>
      <w:r w:rsidRPr="00624096">
        <w:rPr>
          <w:iCs/>
          <w:sz w:val="22"/>
          <w:szCs w:val="22"/>
        </w:rPr>
        <w:t xml:space="preserve"> Gustave </w:t>
      </w:r>
      <w:proofErr w:type="spellStart"/>
      <w:r w:rsidRPr="00624096">
        <w:rPr>
          <w:iCs/>
          <w:sz w:val="22"/>
          <w:szCs w:val="22"/>
        </w:rPr>
        <w:t>Eiffel</w:t>
      </w:r>
      <w:proofErr w:type="spellEnd"/>
      <w:r w:rsidRPr="00624096">
        <w:rPr>
          <w:iCs/>
          <w:sz w:val="22"/>
          <w:szCs w:val="22"/>
        </w:rPr>
        <w:t xml:space="preserve">, 37100 </w:t>
      </w:r>
      <w:proofErr w:type="spellStart"/>
      <w:r w:rsidRPr="00624096">
        <w:rPr>
          <w:iCs/>
          <w:sz w:val="22"/>
          <w:szCs w:val="22"/>
        </w:rPr>
        <w:t>Tours</w:t>
      </w:r>
      <w:proofErr w:type="spellEnd"/>
      <w:r w:rsidRPr="00624096">
        <w:rPr>
          <w:iCs/>
          <w:sz w:val="22"/>
          <w:szCs w:val="22"/>
        </w:rPr>
        <w:t xml:space="preserve">, </w:t>
      </w:r>
      <w:r w:rsidRPr="00624096">
        <w:rPr>
          <w:sz w:val="22"/>
          <w:szCs w:val="22"/>
        </w:rPr>
        <w:t>Prancūzija</w:t>
      </w:r>
    </w:p>
    <w:p w:rsidR="00832805" w:rsidRPr="00624096" w:rsidRDefault="00832805" w:rsidP="00832805">
      <w:pPr>
        <w:keepNext/>
        <w:widowControl w:val="0"/>
        <w:outlineLvl w:val="5"/>
        <w:rPr>
          <w:sz w:val="22"/>
          <w:szCs w:val="22"/>
          <w:lang w:eastAsia="lt-LT"/>
        </w:rPr>
      </w:pPr>
    </w:p>
    <w:p w:rsidR="006F355E" w:rsidRPr="00624096" w:rsidRDefault="006F355E" w:rsidP="006F355E">
      <w:pPr>
        <w:tabs>
          <w:tab w:val="left" w:pos="567"/>
        </w:tabs>
        <w:rPr>
          <w:sz w:val="22"/>
          <w:szCs w:val="22"/>
          <w:lang w:val="en-GB"/>
        </w:rPr>
      </w:pPr>
      <w:proofErr w:type="spellStart"/>
      <w:r w:rsidRPr="00624096">
        <w:rPr>
          <w:sz w:val="22"/>
          <w:szCs w:val="22"/>
          <w:lang w:val="en-GB"/>
        </w:rPr>
        <w:t>Perpakavo</w:t>
      </w:r>
      <w:proofErr w:type="spellEnd"/>
      <w:r w:rsidRPr="00624096">
        <w:rPr>
          <w:sz w:val="22"/>
          <w:szCs w:val="22"/>
          <w:lang w:val="en-GB"/>
        </w:rPr>
        <w:t xml:space="preserve"> SIA „</w:t>
      </w:r>
      <w:proofErr w:type="spellStart"/>
      <w:r w:rsidRPr="00624096">
        <w:rPr>
          <w:sz w:val="22"/>
          <w:szCs w:val="22"/>
          <w:lang w:val="en-GB"/>
        </w:rPr>
        <w:t>Tamro</w:t>
      </w:r>
      <w:proofErr w:type="spellEnd"/>
      <w:r w:rsidRPr="00624096">
        <w:rPr>
          <w:sz w:val="22"/>
          <w:szCs w:val="22"/>
          <w:lang w:val="en-GB"/>
        </w:rPr>
        <w:t xml:space="preserve">“ </w:t>
      </w:r>
    </w:p>
    <w:p w:rsidR="00832805" w:rsidRPr="00624096" w:rsidRDefault="00832805" w:rsidP="00832805">
      <w:pPr>
        <w:rPr>
          <w:sz w:val="22"/>
          <w:szCs w:val="22"/>
          <w:lang w:eastAsia="lt-LT"/>
        </w:rPr>
      </w:pPr>
    </w:p>
    <w:p w:rsidR="00832805" w:rsidRPr="00624096" w:rsidRDefault="00832805" w:rsidP="00832805">
      <w:pPr>
        <w:rPr>
          <w:sz w:val="22"/>
          <w:szCs w:val="22"/>
          <w:lang w:eastAsia="lt-LT"/>
        </w:rPr>
      </w:pPr>
      <w:proofErr w:type="spellStart"/>
      <w:r w:rsidRPr="00624096">
        <w:rPr>
          <w:sz w:val="22"/>
          <w:szCs w:val="22"/>
          <w:lang w:eastAsia="lt-LT"/>
        </w:rPr>
        <w:t>Perpak.serija</w:t>
      </w:r>
      <w:proofErr w:type="spellEnd"/>
      <w:r w:rsidRPr="00624096">
        <w:rPr>
          <w:sz w:val="22"/>
          <w:szCs w:val="22"/>
          <w:lang w:eastAsia="lt-LT"/>
        </w:rPr>
        <w:t>:</w:t>
      </w:r>
    </w:p>
    <w:p w:rsidR="005A44F4" w:rsidRPr="00624096" w:rsidRDefault="005A44F4" w:rsidP="00832805">
      <w:pPr>
        <w:pStyle w:val="BTEMEASMCA"/>
      </w:pPr>
    </w:p>
    <w:p w:rsidR="005A44F4" w:rsidRPr="00624096" w:rsidRDefault="005A44F4" w:rsidP="005A44F4">
      <w:pPr>
        <w:pStyle w:val="BTEMEASMCA"/>
        <w:rPr>
          <w:i/>
        </w:rPr>
      </w:pPr>
      <w:r w:rsidRPr="00624096">
        <w:rPr>
          <w:i/>
        </w:rPr>
        <w:t>Lygiagrečiai importuojamas vaistinis preparatas skiriasi nuo referencinio vaistinio preparato laikymo sąlygomis bei dozu</w:t>
      </w:r>
      <w:bookmarkStart w:id="2" w:name="_GoBack"/>
      <w:bookmarkEnd w:id="2"/>
      <w:r w:rsidRPr="00624096">
        <w:rPr>
          <w:i/>
        </w:rPr>
        <w:t xml:space="preserve">očių skaičiumi:lygiagrečiai importuojamą vaistinį preparatą laikyti ne aukštesnėje kaip 25 </w:t>
      </w:r>
      <w:r w:rsidRPr="00624096">
        <w:rPr>
          <w:i/>
        </w:rPr>
        <w:sym w:font="Symbol" w:char="F0B0"/>
      </w:r>
      <w:r w:rsidRPr="00624096">
        <w:rPr>
          <w:i/>
        </w:rPr>
        <w:t xml:space="preserve">C temperatūroje, pakuotėje yra 30 plėvele dengtų tablečių. </w:t>
      </w:r>
    </w:p>
    <w:p w:rsidR="00857D51" w:rsidRPr="00624096" w:rsidRDefault="00857D51" w:rsidP="00832805">
      <w:pPr>
        <w:pStyle w:val="BTEMEASMCA"/>
      </w:pPr>
      <w:r w:rsidRPr="00624096">
        <w:br w:type="page"/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  <w:bookmarkStart w:id="3" w:name="_Toc129243137"/>
      <w:bookmarkStart w:id="4" w:name="_Toc129243262"/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</w:p>
    <w:p w:rsidR="00857D51" w:rsidRPr="00624096" w:rsidRDefault="00857D51" w:rsidP="00857D51">
      <w:pPr>
        <w:pStyle w:val="TTEMEASMCA"/>
        <w:rPr>
          <w:sz w:val="22"/>
          <w:szCs w:val="22"/>
          <w:lang w:val="lt-LT"/>
        </w:rPr>
      </w:pPr>
      <w:r w:rsidRPr="00624096">
        <w:rPr>
          <w:sz w:val="22"/>
          <w:szCs w:val="22"/>
          <w:lang w:val="lt-LT"/>
        </w:rPr>
        <w:t>B. PAKUOTĖS LAPELIS</w:t>
      </w:r>
      <w:bookmarkEnd w:id="3"/>
      <w:bookmarkEnd w:id="4"/>
    </w:p>
    <w:p w:rsidR="00857D51" w:rsidRPr="00624096" w:rsidRDefault="00857D51" w:rsidP="00857D51">
      <w:pPr>
        <w:pStyle w:val="TTEMEASMCA"/>
        <w:rPr>
          <w:sz w:val="22"/>
          <w:szCs w:val="22"/>
        </w:rPr>
      </w:pPr>
      <w:r w:rsidRPr="00624096">
        <w:rPr>
          <w:sz w:val="22"/>
          <w:szCs w:val="22"/>
          <w:lang w:val="lt-LT"/>
        </w:rPr>
        <w:br w:type="page"/>
      </w:r>
    </w:p>
    <w:p w:rsidR="00857D51" w:rsidRPr="00624096" w:rsidRDefault="00857D51" w:rsidP="00857D51">
      <w:pPr>
        <w:tabs>
          <w:tab w:val="left" w:pos="567"/>
        </w:tabs>
        <w:jc w:val="center"/>
        <w:rPr>
          <w:b/>
          <w:sz w:val="22"/>
          <w:szCs w:val="22"/>
        </w:rPr>
      </w:pPr>
      <w:r w:rsidRPr="00624096">
        <w:rPr>
          <w:b/>
          <w:sz w:val="22"/>
          <w:szCs w:val="22"/>
        </w:rPr>
        <w:lastRenderedPageBreak/>
        <w:t>Pakuotės lapelis: informacija vartotojui</w:t>
      </w:r>
    </w:p>
    <w:p w:rsidR="00857D51" w:rsidRPr="00624096" w:rsidRDefault="00857D51" w:rsidP="00857D51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624096">
        <w:rPr>
          <w:b/>
          <w:sz w:val="22"/>
          <w:szCs w:val="22"/>
        </w:rPr>
        <w:t>Stilnox</w:t>
      </w:r>
      <w:proofErr w:type="spellEnd"/>
      <w:r w:rsidRPr="00624096">
        <w:rPr>
          <w:b/>
          <w:sz w:val="22"/>
          <w:szCs w:val="22"/>
        </w:rPr>
        <w:t xml:space="preserve"> 10 mg plėvele dengtos tabletės</w:t>
      </w:r>
    </w:p>
    <w:p w:rsidR="00857D51" w:rsidRPr="00624096" w:rsidRDefault="00857D51" w:rsidP="00832805">
      <w:pPr>
        <w:pStyle w:val="BTeEMEASMCA"/>
      </w:pPr>
      <w:r w:rsidRPr="00624096">
        <w:t>Zolpidemo tartratas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bEMEASMCA"/>
        <w:rPr>
          <w:lang w:val="lt-LT"/>
        </w:rPr>
      </w:pPr>
      <w:r w:rsidRPr="00624096">
        <w:t>Atidžiai perskaitykite visą šį lapelį, prieš pradėdami vartoti vaistą</w:t>
      </w:r>
      <w:r w:rsidRPr="00624096">
        <w:rPr>
          <w:lang w:val="lt-LT"/>
        </w:rPr>
        <w:t>, nes jame pateikiama Jums svarbi informacija.</w:t>
      </w:r>
    </w:p>
    <w:p w:rsidR="00857D51" w:rsidRPr="00624096" w:rsidRDefault="00857D51" w:rsidP="003443CC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624096">
        <w:rPr>
          <w:sz w:val="22"/>
          <w:szCs w:val="22"/>
        </w:rPr>
        <w:t>Neišmeskite šio lapelio, nes vėl gali prireikti jį perskaityti.</w:t>
      </w:r>
    </w:p>
    <w:p w:rsidR="00857D51" w:rsidRPr="00624096" w:rsidRDefault="00857D51" w:rsidP="003443CC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624096">
        <w:rPr>
          <w:sz w:val="22"/>
          <w:szCs w:val="22"/>
        </w:rPr>
        <w:t>Jeigu kiltų daugiau klausimų, kreipkitės į gydytoją arba vaistininką, arba slaugytoją.</w:t>
      </w:r>
    </w:p>
    <w:p w:rsidR="00857D51" w:rsidRPr="00624096" w:rsidRDefault="00857D51" w:rsidP="003443CC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624096">
        <w:rPr>
          <w:sz w:val="22"/>
          <w:szCs w:val="22"/>
        </w:rPr>
        <w:t>Šis vaistas skirtas Jums, todėl kitiems žmonėms jo duoti negalima. Vaistas gali jiems</w:t>
      </w:r>
      <w:r w:rsidR="003443CC" w:rsidRPr="00624096">
        <w:rPr>
          <w:sz w:val="22"/>
          <w:szCs w:val="22"/>
        </w:rPr>
        <w:t xml:space="preserve"> pakenkti (net tiems, </w:t>
      </w:r>
      <w:r w:rsidRPr="00624096">
        <w:rPr>
          <w:sz w:val="22"/>
          <w:szCs w:val="22"/>
        </w:rPr>
        <w:t>kurių ligos požymiai yra tokie patys kaip Jūsų).</w:t>
      </w:r>
    </w:p>
    <w:p w:rsidR="00857D51" w:rsidRPr="00624096" w:rsidRDefault="00857D51" w:rsidP="003443CC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624096">
        <w:rPr>
          <w:sz w:val="22"/>
          <w:szCs w:val="22"/>
        </w:rPr>
        <w:t>Jeigu pasireiškė šalutinis poveikis (net jeigu jis šiame lapelyje nenurodytas), kreipkitės į gydytoją, arba vaistininką, arba slaugytoją (žr. 4 skyrių) 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bEMEASMCA"/>
      </w:pPr>
      <w:r w:rsidRPr="00624096">
        <w:t>Apie ką rašoma šiame lapelyje?</w:t>
      </w:r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1.</w:t>
      </w:r>
      <w:r w:rsidRPr="00624096">
        <w:rPr>
          <w:sz w:val="22"/>
          <w:szCs w:val="22"/>
        </w:rPr>
        <w:tab/>
        <w:t xml:space="preserve">Kas yra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ir kam jis vartojamas</w:t>
      </w:r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2.</w:t>
      </w:r>
      <w:r w:rsidRPr="00624096">
        <w:rPr>
          <w:sz w:val="22"/>
          <w:szCs w:val="22"/>
        </w:rPr>
        <w:tab/>
        <w:t xml:space="preserve">Kas žinotina prieš vartojant </w:t>
      </w:r>
      <w:proofErr w:type="spellStart"/>
      <w:r w:rsidRPr="00624096">
        <w:rPr>
          <w:sz w:val="22"/>
          <w:szCs w:val="22"/>
        </w:rPr>
        <w:t>Stilnox</w:t>
      </w:r>
      <w:proofErr w:type="spellEnd"/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3.</w:t>
      </w:r>
      <w:r w:rsidRPr="00624096">
        <w:rPr>
          <w:sz w:val="22"/>
          <w:szCs w:val="22"/>
        </w:rPr>
        <w:tab/>
        <w:t xml:space="preserve">Kaip vartoti </w:t>
      </w:r>
      <w:proofErr w:type="spellStart"/>
      <w:r w:rsidRPr="00624096">
        <w:rPr>
          <w:sz w:val="22"/>
          <w:szCs w:val="22"/>
        </w:rPr>
        <w:t>Stilnox</w:t>
      </w:r>
      <w:proofErr w:type="spellEnd"/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4.</w:t>
      </w:r>
      <w:r w:rsidRPr="00624096">
        <w:rPr>
          <w:sz w:val="22"/>
          <w:szCs w:val="22"/>
        </w:rPr>
        <w:tab/>
        <w:t>Galimas šalutinis poveikis</w:t>
      </w:r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5.</w:t>
      </w:r>
      <w:r w:rsidRPr="00624096">
        <w:rPr>
          <w:sz w:val="22"/>
          <w:szCs w:val="22"/>
        </w:rPr>
        <w:tab/>
        <w:t xml:space="preserve">Kaip laikyti </w:t>
      </w:r>
      <w:proofErr w:type="spellStart"/>
      <w:r w:rsidRPr="00624096">
        <w:rPr>
          <w:sz w:val="22"/>
          <w:szCs w:val="22"/>
        </w:rPr>
        <w:t>Stilnox</w:t>
      </w:r>
      <w:proofErr w:type="spellEnd"/>
    </w:p>
    <w:p w:rsidR="00857D51" w:rsidRPr="00624096" w:rsidRDefault="00857D51" w:rsidP="00857D51">
      <w:pPr>
        <w:tabs>
          <w:tab w:val="left" w:pos="567"/>
        </w:tabs>
        <w:ind w:left="567" w:hanging="567"/>
        <w:rPr>
          <w:sz w:val="22"/>
          <w:szCs w:val="22"/>
        </w:rPr>
      </w:pPr>
      <w:r w:rsidRPr="00624096">
        <w:rPr>
          <w:sz w:val="22"/>
          <w:szCs w:val="22"/>
        </w:rPr>
        <w:t>6.</w:t>
      </w:r>
      <w:r w:rsidRPr="00624096">
        <w:rPr>
          <w:sz w:val="22"/>
          <w:szCs w:val="22"/>
        </w:rPr>
        <w:tab/>
        <w:t>Pakuotės turinys ir kita informacija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5" w:name="_Toc129243139"/>
      <w:bookmarkStart w:id="6" w:name="_Toc129243264"/>
      <w:r w:rsidRPr="00624096">
        <w:t>1.</w:t>
      </w:r>
      <w:r w:rsidRPr="00624096">
        <w:tab/>
        <w:t xml:space="preserve">Kas yra </w:t>
      </w:r>
      <w:proofErr w:type="spellStart"/>
      <w:r w:rsidRPr="00624096">
        <w:t>Stilnox</w:t>
      </w:r>
      <w:proofErr w:type="spellEnd"/>
      <w:r w:rsidRPr="00624096">
        <w:t xml:space="preserve"> ir kam jis vartojamas</w:t>
      </w:r>
      <w:bookmarkEnd w:id="5"/>
      <w:bookmarkEnd w:id="6"/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Raminamasis ir migdomasis vaistas.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vartojamas trumpalaikiam suaugusiųjų nemigos gydymui. 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7" w:name="_Toc129243140"/>
      <w:bookmarkStart w:id="8" w:name="_Toc129243265"/>
      <w:r w:rsidRPr="00624096">
        <w:t>2.</w:t>
      </w:r>
      <w:r w:rsidRPr="00624096">
        <w:tab/>
        <w:t xml:space="preserve">Kas žinotina prieš vartojant </w:t>
      </w:r>
      <w:proofErr w:type="spellStart"/>
      <w:r w:rsidRPr="00624096">
        <w:t>Stilnox</w:t>
      </w:r>
      <w:bookmarkEnd w:id="7"/>
      <w:bookmarkEnd w:id="8"/>
      <w:proofErr w:type="spellEnd"/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proofErr w:type="spellStart"/>
      <w:r w:rsidRPr="00624096">
        <w:t>Stilnox</w:t>
      </w:r>
      <w:proofErr w:type="spellEnd"/>
      <w:r w:rsidRPr="00624096">
        <w:t xml:space="preserve"> vartoti negalima:</w:t>
      </w:r>
    </w:p>
    <w:p w:rsidR="00857D51" w:rsidRPr="00624096" w:rsidRDefault="00857D51" w:rsidP="003443CC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624096">
        <w:rPr>
          <w:sz w:val="22"/>
          <w:szCs w:val="22"/>
        </w:rPr>
        <w:t xml:space="preserve">jeigu yra alergija (padidėjęs jautrumas) </w:t>
      </w:r>
      <w:proofErr w:type="spellStart"/>
      <w:r w:rsidRPr="00624096">
        <w:rPr>
          <w:sz w:val="22"/>
          <w:szCs w:val="22"/>
        </w:rPr>
        <w:t>zolpidemui</w:t>
      </w:r>
      <w:proofErr w:type="spellEnd"/>
      <w:r w:rsidRPr="00624096">
        <w:rPr>
          <w:sz w:val="22"/>
          <w:szCs w:val="22"/>
        </w:rPr>
        <w:t xml:space="preserve"> arba bet kuriai pagalbinei šio vaisto medžiagai (jos išvardytos 6 skyriuje);</w:t>
      </w:r>
    </w:p>
    <w:p w:rsidR="00857D51" w:rsidRPr="00624096" w:rsidRDefault="00857D51" w:rsidP="003443CC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624096">
        <w:rPr>
          <w:sz w:val="22"/>
          <w:szCs w:val="22"/>
        </w:rPr>
        <w:t>jeigu sergate ūminiu ir (arba) sunkiu kvėpavimo nepakankamumu;</w:t>
      </w:r>
    </w:p>
    <w:p w:rsidR="00857D51" w:rsidRPr="00624096" w:rsidRDefault="00857D51" w:rsidP="003443CC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624096">
        <w:rPr>
          <w:sz w:val="22"/>
          <w:szCs w:val="22"/>
        </w:rPr>
        <w:t>jeigu sergate sunkiu kepenų nepakankamumu;</w:t>
      </w:r>
    </w:p>
    <w:p w:rsidR="00857D51" w:rsidRPr="00624096" w:rsidRDefault="00857D51" w:rsidP="003443CC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624096">
        <w:rPr>
          <w:sz w:val="22"/>
          <w:szCs w:val="22"/>
        </w:rPr>
        <w:t xml:space="preserve">jeigu sergate miego </w:t>
      </w:r>
      <w:proofErr w:type="spellStart"/>
      <w:r w:rsidRPr="00624096">
        <w:rPr>
          <w:sz w:val="22"/>
          <w:szCs w:val="22"/>
        </w:rPr>
        <w:t>apnėjos</w:t>
      </w:r>
      <w:proofErr w:type="spellEnd"/>
      <w:r w:rsidRPr="00624096">
        <w:rPr>
          <w:sz w:val="22"/>
          <w:szCs w:val="22"/>
        </w:rPr>
        <w:t xml:space="preserve"> sindromu (pastarasis pasireiškia kvėpavimo </w:t>
      </w:r>
      <w:proofErr w:type="spellStart"/>
      <w:r w:rsidRPr="00624096">
        <w:rPr>
          <w:sz w:val="22"/>
          <w:szCs w:val="22"/>
        </w:rPr>
        <w:t>sustojimais</w:t>
      </w:r>
      <w:proofErr w:type="spellEnd"/>
      <w:r w:rsidRPr="00624096">
        <w:rPr>
          <w:sz w:val="22"/>
          <w:szCs w:val="22"/>
        </w:rPr>
        <w:t xml:space="preserve"> miegant);</w:t>
      </w:r>
    </w:p>
    <w:p w:rsidR="00857D51" w:rsidRPr="00624096" w:rsidRDefault="00857D51" w:rsidP="003443CC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624096">
        <w:rPr>
          <w:sz w:val="22"/>
          <w:szCs w:val="22"/>
        </w:rPr>
        <w:t xml:space="preserve">jeigu sergate </w:t>
      </w:r>
      <w:proofErr w:type="spellStart"/>
      <w:r w:rsidRPr="00624096">
        <w:rPr>
          <w:sz w:val="22"/>
          <w:szCs w:val="22"/>
        </w:rPr>
        <w:t>miastenija</w:t>
      </w:r>
      <w:proofErr w:type="spellEnd"/>
      <w:r w:rsidRPr="00624096">
        <w:rPr>
          <w:sz w:val="22"/>
          <w:szCs w:val="22"/>
        </w:rPr>
        <w:t xml:space="preserve"> (liga, pasireiškiančia vis didėjančiu raumenų silpnumu).</w:t>
      </w:r>
    </w:p>
    <w:p w:rsidR="00857D51" w:rsidRPr="00624096" w:rsidRDefault="00857D51" w:rsidP="003443CC">
      <w:pPr>
        <w:pStyle w:val="BT-EMEASMCA"/>
        <w:numPr>
          <w:ilvl w:val="0"/>
          <w:numId w:val="0"/>
        </w:numPr>
        <w:ind w:left="360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>Įspėjimai ir atsargumo priemonės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Pasitarkite su gydytoju arba vaistininku, arba slaugytoju, prieš pradėdami vartoti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>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Jei vaisto vartojant pakartotinai sumažėja jo veiksmingumas, </w:t>
      </w:r>
      <w:proofErr w:type="spellStart"/>
      <w:r w:rsidRPr="00624096">
        <w:rPr>
          <w:sz w:val="22"/>
          <w:szCs w:val="22"/>
        </w:rPr>
        <w:t>t.y</w:t>
      </w:r>
      <w:proofErr w:type="spellEnd"/>
      <w:r w:rsidRPr="00624096">
        <w:rPr>
          <w:sz w:val="22"/>
          <w:szCs w:val="22"/>
        </w:rPr>
        <w:t xml:space="preserve">. atsiranda </w:t>
      </w:r>
      <w:r w:rsidRPr="00624096">
        <w:rPr>
          <w:i/>
          <w:sz w:val="22"/>
          <w:szCs w:val="22"/>
        </w:rPr>
        <w:t>pripratimas</w:t>
      </w:r>
      <w:r w:rsidRPr="00624096">
        <w:rPr>
          <w:sz w:val="22"/>
          <w:szCs w:val="22"/>
        </w:rPr>
        <w:t xml:space="preserve">, dozės didinti negalima.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proofErr w:type="spellStart"/>
      <w:r w:rsidRPr="00624096">
        <w:rPr>
          <w:i/>
          <w:sz w:val="22"/>
          <w:szCs w:val="22"/>
        </w:rPr>
        <w:t>Psichomotorinės</w:t>
      </w:r>
      <w:proofErr w:type="spellEnd"/>
      <w:r w:rsidRPr="00624096">
        <w:rPr>
          <w:i/>
          <w:sz w:val="22"/>
          <w:szCs w:val="22"/>
        </w:rPr>
        <w:t xml:space="preserve"> veiklos sutrikimas kitą dieną (taip pat žr. „Vairavimas ir mechanizmų valdymas“)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Pavartojus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, </w:t>
      </w:r>
      <w:proofErr w:type="spellStart"/>
      <w:r w:rsidRPr="00624096">
        <w:rPr>
          <w:sz w:val="22"/>
          <w:szCs w:val="22"/>
        </w:rPr>
        <w:t>psichomotorinės</w:t>
      </w:r>
      <w:proofErr w:type="spellEnd"/>
      <w:r w:rsidRPr="00624096">
        <w:rPr>
          <w:sz w:val="22"/>
          <w:szCs w:val="22"/>
        </w:rPr>
        <w:t xml:space="preserve"> veiklos sutrikimo, įskaitant gebėjimo vairuoti sutrikimą, rizika kitą dieną padidėja, jeigu: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vaisto vartojama likus mažiau kaip 8 valandoms iki atlikimo veiksmų, kuriems būtinas budrumas;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vartojama didesnė, nei rekomenduojama, dozė;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</w:r>
      <w:proofErr w:type="spellStart"/>
      <w:r w:rsidRPr="00624096">
        <w:rPr>
          <w:sz w:val="22"/>
          <w:szCs w:val="22"/>
        </w:rPr>
        <w:t>zolpidemo</w:t>
      </w:r>
      <w:proofErr w:type="spellEnd"/>
      <w:r w:rsidRPr="00624096">
        <w:rPr>
          <w:sz w:val="22"/>
          <w:szCs w:val="22"/>
        </w:rPr>
        <w:t xml:space="preserve"> vartojama </w:t>
      </w:r>
      <w:r w:rsidR="00EF5988" w:rsidRPr="00624096">
        <w:rPr>
          <w:sz w:val="22"/>
          <w:szCs w:val="22"/>
        </w:rPr>
        <w:t>su kitais centrinę nervų sistemą</w:t>
      </w:r>
      <w:r w:rsidRPr="00624096">
        <w:rPr>
          <w:sz w:val="22"/>
          <w:szCs w:val="22"/>
        </w:rPr>
        <w:t xml:space="preserve"> slopinančiais vaistais, kitais </w:t>
      </w:r>
      <w:proofErr w:type="spellStart"/>
      <w:r w:rsidRPr="00624096">
        <w:rPr>
          <w:sz w:val="22"/>
          <w:szCs w:val="22"/>
        </w:rPr>
        <w:t>zolpidemo</w:t>
      </w:r>
      <w:proofErr w:type="spellEnd"/>
      <w:r w:rsidRPr="00624096">
        <w:rPr>
          <w:sz w:val="22"/>
          <w:szCs w:val="22"/>
        </w:rPr>
        <w:t xml:space="preserve"> kiekį kraujyje didinančiais vaistais, alkoholiu arba narkotikais.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Vienkartinę dozę reikia išgerti prieš pat miegą.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lastRenderedPageBreak/>
        <w:t>Kitos dozės tą pačią dieną vartoti negalima.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Jei nesilaikoma nurodyto dozavimo ir (arba) vartojimo trukmės, vaistas gali sukelti fizinę ar psichinę </w:t>
      </w:r>
      <w:r w:rsidRPr="00624096">
        <w:rPr>
          <w:i/>
          <w:sz w:val="22"/>
          <w:szCs w:val="22"/>
        </w:rPr>
        <w:t>priklausomybę</w:t>
      </w:r>
      <w:r w:rsidRPr="00624096">
        <w:rPr>
          <w:sz w:val="22"/>
          <w:szCs w:val="22"/>
        </w:rPr>
        <w:t xml:space="preserve">. Toks pavojus didėja didinant dozę ir ilginant gydymo trukmę, be to, jis didesnis pacientams, kurie sirgo psichine liga ir (arba) piktnaudžiavo alkoholiu ar vaistais.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Sunkiu atveju gali sutrikti kontaktas su aplinka, pakisti asmenybė, pasireikšti haliucinacijos, padidėti klausos aštrumas bei jautrumas šviesai ir kitokiems fiziniams dirgikliams, atsirasti galūnių tirpimas ir dilgčiojimas, prasidėti traukuliai.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Pacientui, kuriam yra fizinė priklausomybė, staiga nutraukus vaisto vartojimą, gali atsirasti </w:t>
      </w:r>
      <w:r w:rsidRPr="00624096">
        <w:rPr>
          <w:i/>
          <w:sz w:val="22"/>
          <w:szCs w:val="22"/>
        </w:rPr>
        <w:t>nutraukimo simptomų</w:t>
      </w:r>
      <w:r w:rsidRPr="00624096">
        <w:rPr>
          <w:sz w:val="22"/>
          <w:szCs w:val="22"/>
        </w:rPr>
        <w:t xml:space="preserve">: nemiga, galvos skausmas, raumenų mėšlungis, nerimas, įtampa, sujaudinimas, sumišimas, irzlumas.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Staiga nutraukus gydymą, gali pasireikšti </w:t>
      </w:r>
      <w:r w:rsidRPr="00624096">
        <w:rPr>
          <w:i/>
          <w:sz w:val="22"/>
          <w:szCs w:val="22"/>
        </w:rPr>
        <w:t>atkryčio nemiga</w:t>
      </w:r>
      <w:r w:rsidRPr="00624096">
        <w:rPr>
          <w:sz w:val="22"/>
          <w:szCs w:val="22"/>
        </w:rPr>
        <w:t xml:space="preserve">. Jos simptomai gali būti net sunkesni negu nemiga, dėl kurios buvo pradėta gydyti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. Atkryčio nemiga yra laikina. Būtina laikytis gydytojo nurodyto dozavimo.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turi būti vartojamas kuo trumpiau, neviršyti 4 savaičių.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Išgėrus vaisto, kelias valandas gali būti </w:t>
      </w:r>
      <w:r w:rsidRPr="00624096">
        <w:rPr>
          <w:i/>
          <w:sz w:val="22"/>
          <w:szCs w:val="22"/>
        </w:rPr>
        <w:t>sutrikusi atmintis</w:t>
      </w:r>
      <w:r w:rsidRPr="00624096">
        <w:rPr>
          <w:sz w:val="22"/>
          <w:szCs w:val="22"/>
        </w:rPr>
        <w:t xml:space="preserve">, todėl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rekomenduojama gerti vakare, einant miegoti, ir stengtis nepertraukiamai miegoti kelias valandas.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Kai kuriems pacientams, ypač vaikams bei pagyvenusiems žmonėms, šis vaistas gali sukelti </w:t>
      </w:r>
      <w:r w:rsidRPr="00624096">
        <w:rPr>
          <w:i/>
          <w:sz w:val="22"/>
          <w:szCs w:val="22"/>
        </w:rPr>
        <w:t>paradoksalias reakcijas</w:t>
      </w:r>
      <w:r w:rsidRPr="00624096">
        <w:rPr>
          <w:sz w:val="22"/>
          <w:szCs w:val="22"/>
        </w:rPr>
        <w:t xml:space="preserve">: gali paūmėti nemiga, atsirasti košmariškų sapnų, sujaudinimas, nervingumas, irzlumas, pykčio proveržis, pasireikšti agresyvumas, kliedesys, haliucinacijos, sutrikti elgesys. Tokiu atveju reikia nutraukti gydymą ir kreiptis į gydytoją.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Pacientams, vartojusiems </w:t>
      </w:r>
      <w:proofErr w:type="spellStart"/>
      <w:r w:rsidRPr="00624096">
        <w:rPr>
          <w:sz w:val="22"/>
          <w:szCs w:val="22"/>
        </w:rPr>
        <w:t>zolpidemą</w:t>
      </w:r>
      <w:proofErr w:type="spellEnd"/>
      <w:r w:rsidRPr="00624096">
        <w:rPr>
          <w:sz w:val="22"/>
          <w:szCs w:val="22"/>
        </w:rPr>
        <w:t xml:space="preserve"> ir galutinai neprabudusiems, buvo pastebėtas vaikščiojimas miegant ir kiti panašūs poelgiai, tokie kaip </w:t>
      </w:r>
      <w:r w:rsidR="00213277" w:rsidRPr="00624096">
        <w:rPr>
          <w:sz w:val="22"/>
          <w:szCs w:val="22"/>
        </w:rPr>
        <w:t>„</w:t>
      </w:r>
      <w:r w:rsidRPr="00624096">
        <w:rPr>
          <w:sz w:val="22"/>
          <w:szCs w:val="22"/>
        </w:rPr>
        <w:t xml:space="preserve">vairavimas miegant”, maisto ruošimas ir valgymas, skambinimas telefonu, lytiniai santykiai, viso to neatsimenant. Nustatyta, jog alkoholio ir kitų CNS slopinančių medžiagų vartojimas kartu su </w:t>
      </w:r>
      <w:proofErr w:type="spellStart"/>
      <w:r w:rsidRPr="00624096">
        <w:rPr>
          <w:sz w:val="22"/>
          <w:szCs w:val="22"/>
        </w:rPr>
        <w:t>zolpidemu</w:t>
      </w:r>
      <w:proofErr w:type="spellEnd"/>
      <w:r w:rsidRPr="00624096">
        <w:rPr>
          <w:sz w:val="22"/>
          <w:szCs w:val="22"/>
        </w:rPr>
        <w:t xml:space="preserve"> didina tokių poelgių pavojų, kaip ir didesnių dozių už didžiausią rekomenduojamą </w:t>
      </w:r>
      <w:proofErr w:type="spellStart"/>
      <w:r w:rsidRPr="00624096">
        <w:rPr>
          <w:sz w:val="22"/>
          <w:szCs w:val="22"/>
        </w:rPr>
        <w:t>zolpidemo</w:t>
      </w:r>
      <w:proofErr w:type="spellEnd"/>
      <w:r w:rsidRPr="00624096">
        <w:rPr>
          <w:sz w:val="22"/>
          <w:szCs w:val="22"/>
        </w:rPr>
        <w:t xml:space="preserve"> dozę vartojimas.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Jei Jums yra užslėpta </w:t>
      </w:r>
      <w:r w:rsidRPr="00624096">
        <w:rPr>
          <w:i/>
          <w:sz w:val="22"/>
          <w:szCs w:val="22"/>
        </w:rPr>
        <w:t>depresija</w:t>
      </w:r>
      <w:r w:rsidRPr="00624096">
        <w:rPr>
          <w:sz w:val="22"/>
          <w:szCs w:val="22"/>
        </w:rPr>
        <w:t xml:space="preserve">, vartojant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gali išryškėti jos simptomai.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Sergant depresija vartoti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reikia atsargiai, nes šis vaistas gali skatinti polinkį į savižudybę. Todėl būtina reguliari gydytojo priežiūra.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zCs w:val="22"/>
        </w:rPr>
        <w:t>Stilnox</w:t>
      </w:r>
      <w:proofErr w:type="spellEnd"/>
      <w:r w:rsidRPr="00624096">
        <w:rPr>
          <w:szCs w:val="22"/>
        </w:rPr>
        <w:t xml:space="preserve"> gali sukelti mieguistumą ir sumažinti sąmoningumą, todėl galima griūti ir sunkiai susižeisti. </w:t>
      </w: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zCs w:val="22"/>
        </w:rPr>
        <w:t>Stilnox</w:t>
      </w:r>
      <w:proofErr w:type="spellEnd"/>
      <w:r w:rsidRPr="00624096">
        <w:rPr>
          <w:szCs w:val="22"/>
        </w:rPr>
        <w:t xml:space="preserve"> negalima vartoti pacientams, kuriems yra sunkus kepenų pažeidimas, nes tai gali prisidėti prie </w:t>
      </w:r>
      <w:proofErr w:type="spellStart"/>
      <w:r w:rsidRPr="00624096">
        <w:rPr>
          <w:szCs w:val="22"/>
        </w:rPr>
        <w:t>encefalopatijos</w:t>
      </w:r>
      <w:proofErr w:type="spellEnd"/>
      <w:r w:rsidRPr="00624096">
        <w:rPr>
          <w:szCs w:val="22"/>
        </w:rPr>
        <w:t xml:space="preserve"> pasireiškimo (žr. 2, 3 ir 4 skyrius).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i/>
          <w:sz w:val="22"/>
          <w:szCs w:val="22"/>
        </w:rPr>
        <w:t>Atsargumo priemonės vartojant vaistą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vartojančius pacientus, ypač senyvus (vyresnius nei 65 metų amžiaus) ar sergančius inkstų ar kvėpavimo sistemos nepakankamumu, lėtine kepenų liga, alkoholizmu, reikia labai atidžiai stebėti.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Jei per 7</w:t>
      </w:r>
      <w:r w:rsidRPr="00624096">
        <w:rPr>
          <w:sz w:val="22"/>
          <w:szCs w:val="22"/>
        </w:rPr>
        <w:noBreakHyphen/>
        <w:t xml:space="preserve">14 parų nemiga neišnyksta, būtina kreiptis į gydytoją. Prireikus jis dar kartą atidžiai Jus ištirs bei skirs kitokį gydymą. </w:t>
      </w:r>
    </w:p>
    <w:p w:rsidR="00832805" w:rsidRPr="00624096" w:rsidRDefault="00832805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pStyle w:val="Antrat4"/>
        <w:rPr>
          <w:rFonts w:ascii="Times New Roman" w:hAnsi="Times New Roman"/>
          <w:color w:val="auto"/>
          <w:sz w:val="22"/>
          <w:szCs w:val="22"/>
        </w:rPr>
      </w:pPr>
      <w:r w:rsidRPr="00624096">
        <w:rPr>
          <w:rFonts w:ascii="Times New Roman" w:hAnsi="Times New Roman"/>
          <w:color w:val="auto"/>
          <w:sz w:val="22"/>
          <w:szCs w:val="22"/>
        </w:rPr>
        <w:t>Vaikams ir paaugliams</w:t>
      </w:r>
    </w:p>
    <w:p w:rsidR="00857D51" w:rsidRPr="00624096" w:rsidRDefault="00857D51" w:rsidP="00832805">
      <w:pPr>
        <w:pStyle w:val="BTEMEASMCA"/>
      </w:pPr>
      <w:r w:rsidRPr="00624096">
        <w:t>Jaunesniems kaip 18 metų vaikams ir paaugliams Stilnox vartoti nerekomenduojama, kadangi duomenų apie tokio amžiaus pacientų gydymą nėra.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 xml:space="preserve">Kiti vaistai ir </w:t>
      </w:r>
      <w:proofErr w:type="spellStart"/>
      <w:r w:rsidRPr="00624096">
        <w:t>Stilnox</w:t>
      </w:r>
      <w:proofErr w:type="spellEnd"/>
    </w:p>
    <w:p w:rsidR="00857D51" w:rsidRPr="00624096" w:rsidRDefault="00857D51" w:rsidP="00832805">
      <w:pPr>
        <w:pStyle w:val="BTEMEASMCA"/>
        <w:rPr>
          <w:lang w:val="lt-LT"/>
        </w:rPr>
      </w:pPr>
      <w:r w:rsidRPr="00624096">
        <w:t xml:space="preserve">Jeigu vartojate arba neseniai vartojote kitų vaistų, </w:t>
      </w:r>
      <w:r w:rsidRPr="00624096">
        <w:rPr>
          <w:lang w:val="lt-LT"/>
        </w:rPr>
        <w:t xml:space="preserve">arba dėl to nesate tikri, apie tai </w:t>
      </w:r>
      <w:r w:rsidRPr="00624096">
        <w:t>pasakykite gydytojui arba vaistininkui.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lastRenderedPageBreak/>
        <w:t>Jei zolpidemo vartojama su toliau išvardytais vaistais, gali sustiprėti apsnūdimas ir psichomotorinės veiklos sutrikimas kitą dieną, įskaitant gebėjimo vairuoti sutrikimą: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nuo tam tikrų psichikos sutrikimų (antipsichoziniai vaistai);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nuo miego sutrikimų (migdomieji);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raminamieji arba nerimą mažinantys vaistai;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nuo depresijos;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vidutinio stiprumo ar stipriam skausmui malšinti (narkotiniai analgetikai);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nuo epilepsijos;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vaistai anestezijai sukelti;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mieguistumą sukeliantys vaistai nuo šienligės, išbėrimo ar kitokios alergijos (slopinamąjį poveikį sukeliantys antihistamininiai vaistai).</w:t>
      </w:r>
    </w:p>
    <w:p w:rsidR="00857D51" w:rsidRPr="00624096" w:rsidRDefault="00857D51" w:rsidP="00832805">
      <w:pPr>
        <w:pStyle w:val="BTEMEASMCA"/>
      </w:pPr>
      <w:r w:rsidRPr="00624096">
        <w:t>Zolpidemo vartojant kartu su antidepresantais, įskaitant bupropioną, dezipraminą, fluoksetiną, sertraliną ir venlafaksiną, gali būti matomi nesami daiktai (atsirasti haliucinacijų).</w:t>
      </w:r>
    </w:p>
    <w:p w:rsidR="00857D51" w:rsidRPr="00624096" w:rsidRDefault="00857D51" w:rsidP="00832805">
      <w:pPr>
        <w:pStyle w:val="BTEMEASMCA"/>
      </w:pPr>
      <w:r w:rsidRPr="00624096">
        <w:t>Zolpidemo nerekomenduojama vartoti kartu su fluvoksaminu ar ciprofloksacinu.</w:t>
      </w:r>
    </w:p>
    <w:p w:rsidR="00857D51" w:rsidRPr="00624096" w:rsidRDefault="00857D51" w:rsidP="00857D51">
      <w:pPr>
        <w:pStyle w:val="Style"/>
        <w:tabs>
          <w:tab w:val="left" w:pos="567"/>
        </w:tabs>
        <w:rPr>
          <w:rFonts w:ascii="Times New Roman" w:hAnsi="Times New Roman" w:cs="Times New Roman"/>
          <w:i/>
          <w:sz w:val="22"/>
          <w:szCs w:val="22"/>
          <w:lang w:val="lt-LT" w:bidi="he-IL"/>
        </w:rPr>
      </w:pPr>
    </w:p>
    <w:p w:rsidR="00857D51" w:rsidRPr="00624096" w:rsidRDefault="00857D51" w:rsidP="00857D51">
      <w:pPr>
        <w:pStyle w:val="Style"/>
        <w:tabs>
          <w:tab w:val="left" w:pos="567"/>
        </w:tabs>
        <w:rPr>
          <w:rFonts w:ascii="Times New Roman" w:hAnsi="Times New Roman" w:cs="Times New Roman"/>
          <w:iCs/>
          <w:sz w:val="22"/>
          <w:szCs w:val="22"/>
          <w:lang w:val="lt-LT" w:bidi="he-IL"/>
        </w:rPr>
      </w:pPr>
      <w:r w:rsidRPr="00624096">
        <w:rPr>
          <w:rFonts w:ascii="Times New Roman" w:hAnsi="Times New Roman" w:cs="Times New Roman"/>
          <w:iCs/>
          <w:sz w:val="22"/>
          <w:szCs w:val="22"/>
          <w:lang w:val="lt-LT" w:bidi="he-IL"/>
        </w:rPr>
        <w:t>Dėl kartu vartojamų narkotinių analgetikų taip pat gali sustiprėti euforija, dėl kurios atsiranda padidėjusi psichologinė priklausomybė.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Rifampicinas</w:t>
      </w:r>
      <w:proofErr w:type="spellEnd"/>
      <w:r w:rsidRPr="00624096">
        <w:rPr>
          <w:sz w:val="22"/>
          <w:szCs w:val="22"/>
        </w:rPr>
        <w:t xml:space="preserve"> (vaistas nuo infekcijų) ir paprastųjų jonažolių preparatai (augaliniai vaistai depresijai gydyti) gali silpninti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poveikį.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Ketokonazolas</w:t>
      </w:r>
      <w:proofErr w:type="spellEnd"/>
      <w:r w:rsidRPr="00624096">
        <w:rPr>
          <w:sz w:val="22"/>
          <w:szCs w:val="22"/>
        </w:rPr>
        <w:t xml:space="preserve"> (priešgrybelinis vaistas), vartojamas kartu su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, gali sustiprinti raminamąjį poveikį. </w:t>
      </w:r>
    </w:p>
    <w:p w:rsidR="00832805" w:rsidRPr="00624096" w:rsidRDefault="00832805" w:rsidP="00857D51">
      <w:pPr>
        <w:pStyle w:val="Antrat4"/>
        <w:rPr>
          <w:rFonts w:ascii="Times New Roman" w:hAnsi="Times New Roman"/>
          <w:color w:val="auto"/>
          <w:sz w:val="22"/>
          <w:szCs w:val="22"/>
        </w:rPr>
      </w:pPr>
    </w:p>
    <w:p w:rsidR="00857D51" w:rsidRPr="00624096" w:rsidRDefault="00857D51" w:rsidP="00857D51">
      <w:pPr>
        <w:pStyle w:val="Antrat4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624096">
        <w:rPr>
          <w:rFonts w:ascii="Times New Roman" w:hAnsi="Times New Roman"/>
          <w:color w:val="auto"/>
          <w:sz w:val="22"/>
          <w:szCs w:val="22"/>
        </w:rPr>
        <w:t>Stilnox</w:t>
      </w:r>
      <w:proofErr w:type="spellEnd"/>
      <w:r w:rsidRPr="00624096">
        <w:rPr>
          <w:rFonts w:ascii="Times New Roman" w:hAnsi="Times New Roman"/>
          <w:color w:val="auto"/>
          <w:sz w:val="22"/>
          <w:szCs w:val="22"/>
        </w:rPr>
        <w:t xml:space="preserve"> vartojimas su alkoholiu</w:t>
      </w:r>
    </w:p>
    <w:p w:rsidR="00857D51" w:rsidRPr="00624096" w:rsidRDefault="00857D51" w:rsidP="00857D51">
      <w:pPr>
        <w:pStyle w:val="Style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bidi="he-IL"/>
        </w:rPr>
      </w:pPr>
      <w:r w:rsidRPr="00624096">
        <w:rPr>
          <w:rFonts w:ascii="Times New Roman" w:hAnsi="Times New Roman" w:cs="Times New Roman"/>
          <w:iCs/>
          <w:sz w:val="22"/>
          <w:szCs w:val="22"/>
          <w:lang w:val="lt-LT" w:bidi="he-IL"/>
        </w:rPr>
        <w:t xml:space="preserve">Kartu vartoti alkoholio nerekomenduojama. </w:t>
      </w:r>
      <w:r w:rsidRPr="00624096">
        <w:rPr>
          <w:rFonts w:ascii="Times New Roman" w:hAnsi="Times New Roman" w:cs="Times New Roman"/>
          <w:sz w:val="22"/>
          <w:szCs w:val="22"/>
          <w:lang w:val="lt-LT" w:bidi="he-IL"/>
        </w:rPr>
        <w:t xml:space="preserve">Raminamasis </w:t>
      </w:r>
      <w:proofErr w:type="spellStart"/>
      <w:r w:rsidRPr="00624096">
        <w:rPr>
          <w:rFonts w:ascii="Times New Roman" w:hAnsi="Times New Roman" w:cs="Times New Roman"/>
          <w:sz w:val="22"/>
          <w:szCs w:val="22"/>
          <w:lang w:val="lt-LT" w:bidi="he-IL"/>
        </w:rPr>
        <w:t>Stilnox</w:t>
      </w:r>
      <w:proofErr w:type="spellEnd"/>
      <w:r w:rsidRPr="00624096">
        <w:rPr>
          <w:rFonts w:ascii="Times New Roman" w:hAnsi="Times New Roman" w:cs="Times New Roman"/>
          <w:sz w:val="22"/>
          <w:szCs w:val="22"/>
          <w:lang w:val="lt-LT" w:bidi="he-IL"/>
        </w:rPr>
        <w:t xml:space="preserve"> poveikis gali sustiprėti, kai jo vartojama kartu su alkoholiu.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>Nėštumas, žindymo laikotarpis ir vaisingumas</w:t>
      </w:r>
    </w:p>
    <w:p w:rsidR="00857D51" w:rsidRPr="00624096" w:rsidRDefault="00857D51" w:rsidP="00832805">
      <w:pPr>
        <w:pStyle w:val="BTEMEASMCA"/>
      </w:pPr>
      <w:r w:rsidRPr="00624096">
        <w:t>Jeigu esate nėščia, žindote kūdikį, manote, kad galbūt esate nėščia, arba planuojate pastoti, tai prieš vartodama šį vaistą, pasitarkite su gydytoju arba vaistininku.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Nėštumas</w:t>
      </w:r>
    </w:p>
    <w:p w:rsidR="00857D51" w:rsidRPr="00624096" w:rsidRDefault="00857D51" w:rsidP="00832805">
      <w:pPr>
        <w:pStyle w:val="BTEMEASMCA"/>
      </w:pPr>
      <w:r w:rsidRPr="00624096">
        <w:t>Nėštumo laikotarpiu Stilnox rekomenduojama nevartoti.</w:t>
      </w:r>
    </w:p>
    <w:p w:rsidR="00857D51" w:rsidRPr="00624096" w:rsidRDefault="00857D51" w:rsidP="00832805">
      <w:pPr>
        <w:pStyle w:val="BTEMEASMCA"/>
      </w:pPr>
      <w:r w:rsidRPr="00624096">
        <w:t>Jei moteris vartojo šį vaistą iki gimdymo, gydytojas turi stebėti jos naujagimio sveikatos būklę.</w:t>
      </w: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624096">
        <w:rPr>
          <w:szCs w:val="22"/>
        </w:rPr>
        <w:t>Įtarusi esanti nėščia ar nusprendusi pastoti, moteris turi kreiptis į gydytoją dėl gydymo nutraukimo.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Žindymo laikotarpis</w:t>
      </w:r>
    </w:p>
    <w:p w:rsidR="00857D51" w:rsidRPr="00624096" w:rsidRDefault="00857D51" w:rsidP="00832805">
      <w:pPr>
        <w:pStyle w:val="BTEMEASMCA"/>
      </w:pPr>
      <w:r w:rsidRPr="00624096">
        <w:t>Šio vaisto išsiskiria su motinos pienu, todėl, jį vartojant, žindyti negalima.</w:t>
      </w:r>
    </w:p>
    <w:p w:rsidR="00857D51" w:rsidRPr="00624096" w:rsidRDefault="00857D51" w:rsidP="00832805">
      <w:pPr>
        <w:pStyle w:val="BTEMEASMCA"/>
        <w:rPr>
          <w:lang w:bidi="he-IL"/>
        </w:rPr>
      </w:pPr>
      <w:r w:rsidRPr="00624096">
        <w:rPr>
          <w:lang w:bidi="he-IL"/>
        </w:rPr>
        <w:t>Žindymo laikotarpiu Stilnox vartoti nerekomenduojama.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>Vairavimas ir mechanizmų valdymas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gebėjimą vairuoti ir valdyti mechanizmus veikia stipriai, pvz., gali pasireikšti „vairavimas miegant“. Būtina žinoti, kad, pavartojus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 xml:space="preserve"> (kaip ir kitų migdomųjų vaistų), kitą dieną: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galite jausti apsnūdimą, mieguistumą, svaigulį ar minčių susipainiojimą;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gali pailgėti greitų sprendimų priėmimas;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matomas vaizdas gali tapti neryškus arba dvejintis;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•</w:t>
      </w:r>
      <w:r w:rsidRPr="00624096">
        <w:rPr>
          <w:sz w:val="22"/>
          <w:szCs w:val="22"/>
        </w:rPr>
        <w:tab/>
        <w:t>gali sumažėti budrumas.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Siekiant sumažinti aukščiau paminėto poveikio riziką, rekomenduojama, kad tarp </w:t>
      </w:r>
      <w:proofErr w:type="spellStart"/>
      <w:r w:rsidRPr="00624096">
        <w:rPr>
          <w:sz w:val="22"/>
          <w:szCs w:val="22"/>
        </w:rPr>
        <w:t>zolpidemo</w:t>
      </w:r>
      <w:proofErr w:type="spellEnd"/>
      <w:r w:rsidRPr="00624096">
        <w:rPr>
          <w:sz w:val="22"/>
          <w:szCs w:val="22"/>
        </w:rPr>
        <w:t xml:space="preserve"> vartojimo ir vairavimo, mechanizmo valdymo ir darbo aukštyje praeitų mažiausiai 8 valandos.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Vartojant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>, vartoti alkoholio ar kitokių psichiką veikiančių medžiagų negalima, nes gali sustiprėti aukščiau paminėtas poveikis.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proofErr w:type="spellStart"/>
      <w:r w:rsidRPr="00624096">
        <w:t>Stilnox</w:t>
      </w:r>
      <w:proofErr w:type="spellEnd"/>
      <w:r w:rsidRPr="00624096">
        <w:t xml:space="preserve"> sudėtyje yra laktozės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9" w:name="_Toc129243141"/>
      <w:bookmarkStart w:id="10" w:name="_Toc129243266"/>
      <w:r w:rsidRPr="00624096">
        <w:lastRenderedPageBreak/>
        <w:t>3.</w:t>
      </w:r>
      <w:r w:rsidRPr="00624096">
        <w:tab/>
        <w:t xml:space="preserve">Kaip vartoti </w:t>
      </w:r>
      <w:proofErr w:type="spellStart"/>
      <w:r w:rsidRPr="00624096">
        <w:t>Stilnox</w:t>
      </w:r>
      <w:bookmarkEnd w:id="9"/>
      <w:bookmarkEnd w:id="10"/>
      <w:proofErr w:type="spellEnd"/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Visada vartokite šį vaistą tiksliai kaip nurodė gydytojas. Jeigu abejojate, kreipkitės į gydytoją arba vaistininką.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Dozavimas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Rekomenduojama S</w:t>
      </w:r>
      <w:r w:rsidRPr="00624096">
        <w:rPr>
          <w:lang w:val="lt-LT"/>
        </w:rPr>
        <w:t>tilnox</w:t>
      </w:r>
      <w:r w:rsidRPr="00624096">
        <w:t xml:space="preserve"> dozė, suvartojama 24 valandų laikotarpiu, yra 10 mg. Kai kuriems pacientams gali būti skiriama mažesnė dozė. S</w:t>
      </w:r>
      <w:r w:rsidRPr="00624096">
        <w:rPr>
          <w:lang w:val="lt-LT"/>
        </w:rPr>
        <w:t>tilnox</w:t>
      </w:r>
      <w:r w:rsidRPr="00624096">
        <w:t xml:space="preserve"> vartojama: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iš karto išgeriant visą dozę;</w:t>
      </w:r>
    </w:p>
    <w:p w:rsidR="00857D51" w:rsidRPr="00624096" w:rsidRDefault="00857D51" w:rsidP="00832805">
      <w:pPr>
        <w:pStyle w:val="BTEMEASMCA"/>
      </w:pPr>
      <w:r w:rsidRPr="00624096">
        <w:t>•</w:t>
      </w:r>
      <w:r w:rsidRPr="00624096">
        <w:tab/>
        <w:t>prieš pat einant miegoti.</w:t>
      </w:r>
    </w:p>
    <w:p w:rsidR="00857D51" w:rsidRPr="00624096" w:rsidRDefault="00857D51" w:rsidP="00832805">
      <w:pPr>
        <w:pStyle w:val="BTEMEASMCA"/>
      </w:pPr>
      <w:r w:rsidRPr="00624096">
        <w:t>Būtina užtikrinti, kad nuo vaisto pavartojimo iki veiksmų, kuriems reikalingas budrumas, praeitų mažiausiai 8 valandos.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Didesnės kaip 10 mg dozės 24 valandų laikotarpiu vartoti negalima.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Vyresniems nei 65 metų arba kepenų funkcijos nepakankamumu sergantiems suaugusiems žmonėms per dieną rekomenduojama gerti pusę tabletės.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Per dieną galima gerti ne daugiau kaip 1 tabletę.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Būtina laikytis gydytojo nurodyto dozavimo.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Vartojimo būdas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Vaistas yra geriamas.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i/>
          <w:sz w:val="22"/>
          <w:szCs w:val="22"/>
        </w:rPr>
        <w:t>Vartojimo dažnis ir laikas</w:t>
      </w:r>
      <w:r w:rsidRPr="00624096">
        <w:rPr>
          <w:sz w:val="22"/>
          <w:szCs w:val="22"/>
        </w:rPr>
        <w:t xml:space="preserve">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Vaisto rekomenduojama gerti vakare, einant miegoti, kadangi tokiu atveju rečiau pasireiškia nepageidaujamas poveikis (žr. 4 skyrių).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i/>
          <w:sz w:val="22"/>
          <w:szCs w:val="22"/>
        </w:rPr>
        <w:t>Gydymo trukmė</w:t>
      </w:r>
      <w:r w:rsidRPr="00624096">
        <w:rPr>
          <w:sz w:val="22"/>
          <w:szCs w:val="22"/>
        </w:rPr>
        <w:t xml:space="preserve"> 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Gydymas turėtų būti kiek galima trumpesnis: nuo kelių dienų iki 4 savaičių. Jei nemiga neišnyksta, patariama kreiptis į gydytoją. 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 xml:space="preserve">Ką daryti, pavartojus per didelę </w:t>
      </w:r>
      <w:proofErr w:type="spellStart"/>
      <w:r w:rsidRPr="00624096">
        <w:t>Stilnox</w:t>
      </w:r>
      <w:proofErr w:type="spellEnd"/>
      <w:r w:rsidRPr="00624096">
        <w:t xml:space="preserve"> dozę?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Perdozavus vaisto, reikia nedelsiant kreiptis į gydytoją, nes tai gali būti pavojinga. </w:t>
      </w:r>
    </w:p>
    <w:p w:rsidR="00857D51" w:rsidRPr="00624096" w:rsidRDefault="00857D51" w:rsidP="00832805">
      <w:pPr>
        <w:pStyle w:val="BTEMEASMCA"/>
      </w:pPr>
      <w:r w:rsidRPr="00624096">
        <w:t>Gali atsirasti mieguistumas, koordinacijos sutrikimas, suglebti raumenys, sumažėti kraujospūdis, sutrikti kvėpavimas. Sunkiais atvejais gali ištikti koma.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 xml:space="preserve">Pamiršus pavartoti </w:t>
      </w:r>
      <w:proofErr w:type="spellStart"/>
      <w:r w:rsidRPr="00624096">
        <w:t>Stilnox</w:t>
      </w:r>
      <w:proofErr w:type="spellEnd"/>
    </w:p>
    <w:p w:rsidR="00857D51" w:rsidRPr="00624096" w:rsidRDefault="00857D51" w:rsidP="00832805">
      <w:pPr>
        <w:pStyle w:val="BTEMEASMCA"/>
      </w:pPr>
      <w:r w:rsidRPr="00624096">
        <w:t>Kitą dieną nustatytu laiku reikia gerti įprastinę dozę.</w:t>
      </w:r>
    </w:p>
    <w:p w:rsidR="00857D51" w:rsidRPr="00624096" w:rsidRDefault="00857D51" w:rsidP="00832805">
      <w:pPr>
        <w:pStyle w:val="BTEMEASMCA"/>
      </w:pPr>
      <w:r w:rsidRPr="00624096">
        <w:t>Negalima vartoti dvigubos dozės norint kompensuoti praleistą dozę.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r w:rsidRPr="00624096">
        <w:t xml:space="preserve">Nustojus vartoti </w:t>
      </w:r>
      <w:proofErr w:type="spellStart"/>
      <w:r w:rsidRPr="00624096">
        <w:t>Stilnox</w:t>
      </w:r>
      <w:proofErr w:type="spellEnd"/>
    </w:p>
    <w:p w:rsidR="00857D51" w:rsidRPr="00624096" w:rsidRDefault="00857D51" w:rsidP="00832805">
      <w:pPr>
        <w:pStyle w:val="BTEMEASMCA"/>
      </w:pPr>
      <w:r w:rsidRPr="00624096">
        <w:t xml:space="preserve">Vartokite paskirtą Stilnox dozę, kol gydytojas Jums pasakys vaisto vartojimą nutraukti. Nenutraukite vaisto vartojimo staiga. Gydytojas, palaipsniui mažindamas dozę, nurodys, kada turėtumėte nustoti vartoti Stilnox. </w:t>
      </w:r>
    </w:p>
    <w:p w:rsidR="00857D51" w:rsidRPr="00624096" w:rsidRDefault="00857D51" w:rsidP="00857D51">
      <w:pPr>
        <w:pStyle w:val="Pagrindinistekstas"/>
        <w:spacing w:after="0"/>
        <w:rPr>
          <w:szCs w:val="22"/>
        </w:rPr>
      </w:pPr>
      <w:r w:rsidRPr="00624096">
        <w:rPr>
          <w:szCs w:val="22"/>
        </w:rPr>
        <w:t>Staiga nutraukus jo vartojimą gali pasireikšti nutraukimo simptomų: nemiga, galvos bei raumenų skausmas, nerimas, įtampa, sujaudinimas, sumišimas, irzlumas.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Jeigu kiltų daugiau klausimų dėl šio vaisto vartojimo, kreipkitės į gydytoją arba vaistininką.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11" w:name="_Toc129243142"/>
      <w:bookmarkStart w:id="12" w:name="_Toc129243267"/>
      <w:r w:rsidRPr="00624096">
        <w:t>4.</w:t>
      </w:r>
      <w:r w:rsidRPr="00624096">
        <w:tab/>
        <w:t>Galimas šalutinis poveikis</w:t>
      </w:r>
      <w:bookmarkEnd w:id="11"/>
      <w:bookmarkEnd w:id="12"/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rPr>
          <w:lang w:val="lt-LT"/>
        </w:rPr>
        <w:t>Šis vaistas</w:t>
      </w:r>
      <w:r w:rsidRPr="00624096">
        <w:t>, kaip ir visi kiti vaistai, gali sukelti šalutinį poveikį, nors jis pasireiškia ne visiems žmonėms.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lastRenderedPageBreak/>
        <w:t xml:space="preserve">Vaisto išgėrus, toliau išvardyti šalutiniai poveikiai dažniausiai atsiranda per valandą. Jei vaisto geriama vakare, einant miegoti, jis pasireiškia rečiau (žr. 3 skyrių „Kaip vartoti </w:t>
      </w:r>
      <w:proofErr w:type="spellStart"/>
      <w:r w:rsidRPr="00624096">
        <w:rPr>
          <w:sz w:val="22"/>
          <w:szCs w:val="22"/>
        </w:rPr>
        <w:t>Stilnox</w:t>
      </w:r>
      <w:proofErr w:type="spellEnd"/>
      <w:r w:rsidRPr="00624096">
        <w:rPr>
          <w:sz w:val="22"/>
          <w:szCs w:val="22"/>
        </w:rPr>
        <w:t>“). Šalutinis poveikis dažniausiai atsiranda senyviems pacientams.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Toliau išvardytas šalutinis poveikis suskirstytas pagal </w:t>
      </w:r>
      <w:proofErr w:type="spellStart"/>
      <w:r w:rsidRPr="00624096">
        <w:rPr>
          <w:sz w:val="22"/>
          <w:szCs w:val="22"/>
        </w:rPr>
        <w:t>MedDRA</w:t>
      </w:r>
      <w:proofErr w:type="spellEnd"/>
      <w:r w:rsidRPr="00624096">
        <w:rPr>
          <w:sz w:val="22"/>
          <w:szCs w:val="22"/>
        </w:rPr>
        <w:t xml:space="preserve"> klasifikaciją: labai dažnas (≥ 1/10); dažnas (nuo ≥1/100 iki &lt;1/10); nedažnas (nuo ≥1/1000 iki &lt;1/100); retas (nu</w:t>
      </w:r>
      <w:r w:rsidR="00F03435" w:rsidRPr="00624096">
        <w:rPr>
          <w:sz w:val="22"/>
          <w:szCs w:val="22"/>
        </w:rPr>
        <w:t>o ≥1/10000 iki &lt;1/1</w:t>
      </w:r>
      <w:r w:rsidRPr="00624096">
        <w:rPr>
          <w:sz w:val="22"/>
          <w:szCs w:val="22"/>
        </w:rPr>
        <w:t>000); labai retas (&lt;1/10000); dažnis nežinomas (negali būti įvertintas pagal turimus duomenis).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</w:p>
    <w:p w:rsidR="00EF5988" w:rsidRPr="00624096" w:rsidRDefault="00EF5988" w:rsidP="00EF5988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Nervų sistemos sutrikimai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stiprus mieguistumas, galvos skausmas, galvos svaigimas, nemigos pasunkėjimas, pažintiniai sutrikimai, tokie kaip atminties netekimas (kartu galimas neadekvatus elgesys).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Nedažni: jutimų sutrikimas (</w:t>
      </w:r>
      <w:proofErr w:type="spellStart"/>
      <w:r w:rsidRPr="00624096">
        <w:rPr>
          <w:sz w:val="22"/>
          <w:szCs w:val="22"/>
        </w:rPr>
        <w:t>parestezija</w:t>
      </w:r>
      <w:proofErr w:type="spellEnd"/>
      <w:r w:rsidRPr="00624096">
        <w:rPr>
          <w:sz w:val="22"/>
          <w:szCs w:val="22"/>
        </w:rPr>
        <w:t>), drebulys.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sąmonės priblėsimas, dėmesio sutrikimas, kalbos sutrikimas.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Psichikos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haliucinacijos, baimingas susijaudinimas, košmariški sapnai.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Nedažni: konfūzija, dirglumas.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Dažnis nežinomas: </w:t>
      </w:r>
      <w:proofErr w:type="spellStart"/>
      <w:r w:rsidRPr="00624096">
        <w:rPr>
          <w:sz w:val="22"/>
          <w:szCs w:val="22"/>
        </w:rPr>
        <w:t>nenustygstamumas</w:t>
      </w:r>
      <w:proofErr w:type="spellEnd"/>
      <w:r w:rsidRPr="00624096">
        <w:rPr>
          <w:sz w:val="22"/>
          <w:szCs w:val="22"/>
        </w:rPr>
        <w:t>, agresija, manija, pyktis, nenormalus elgesys, lunatizmas, priklausomybė (vaisto vartojimo nutraukimo sindromas, atkryčio nemiga nutraukus gydymą), lytinio potraukio sutrikimas, depresija (žr. 2 skyrių, poskyrį „Įspėjimai ir atsargumo priemonės“)</w:t>
      </w:r>
      <w:r w:rsidR="00F03435" w:rsidRPr="00624096">
        <w:rPr>
          <w:sz w:val="22"/>
          <w:szCs w:val="22"/>
        </w:rPr>
        <w:t xml:space="preserve"> ir euforinė nuotaika</w:t>
      </w:r>
      <w:r w:rsidRPr="00624096">
        <w:rPr>
          <w:sz w:val="22"/>
          <w:szCs w:val="22"/>
        </w:rPr>
        <w:t>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Dažniausiai šalutinis psichinis poveikis būna susijęs su paradoksaliomis reakcijomis.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Bendrieji sutrikimai ir vartojimo vietos pažeidimai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nuovargis.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eisenos sutrikimas, pripratimas prie vaisto, griuvimas (dažniausiai senyviems žmonėms, kai nesilaikoma dozavimo rekomendacijų).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EF5988" w:rsidRPr="00624096" w:rsidRDefault="00EF5988" w:rsidP="00EF5988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Akių sutrikimai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Nedažni: matomo vaizdo dvigubinimasis, neaiškus matymas.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Labai reti: regos sutrikimas.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Kvėpavimo sistemos, krūtinės ląstos ir tarpuplaučio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kvėpavimo slopinimas.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Virškinimo trakto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viduriavimas, pykinimas, vėmimas, pilvo skausmas.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F03435" w:rsidRPr="00624096" w:rsidRDefault="00F03435" w:rsidP="00F03435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Skeleto, raumenų ir jungiamojo audinio sutrikimai</w:t>
      </w:r>
    </w:p>
    <w:p w:rsidR="00F03435" w:rsidRPr="00624096" w:rsidRDefault="00F03435" w:rsidP="00F03435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nugaros skausmas.</w:t>
      </w:r>
    </w:p>
    <w:p w:rsidR="00F03435" w:rsidRPr="00624096" w:rsidRDefault="00F03435" w:rsidP="00F03435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Nedažni: sąnarių skausmas, raumenų skausmas, raumenų spazmai, kaklo skausmas.</w:t>
      </w:r>
    </w:p>
    <w:p w:rsidR="00F03435" w:rsidRPr="00624096" w:rsidRDefault="00F03435" w:rsidP="00F03435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raumenų silpnumas.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 xml:space="preserve">Infekcijos ir </w:t>
      </w:r>
      <w:proofErr w:type="spellStart"/>
      <w:r w:rsidRPr="00624096">
        <w:rPr>
          <w:i/>
          <w:sz w:val="22"/>
          <w:szCs w:val="22"/>
        </w:rPr>
        <w:t>infestacijos</w:t>
      </w:r>
      <w:proofErr w:type="spellEnd"/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Dažni: viršutinių kvėpavimo takų infekcijos, apatinių kvėpavimo takų infekcijos.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Odos ir poodinio audinio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bėrimas, niežulys, dilgėlinė, padidėjęs prakaitavimas.</w:t>
      </w: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Kepenų, tulžies pūslės ir latakų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Dažnis nežinomas: kepenų fermentų koncentracijos padidėjimas, kepenų pažeidimas (žr. 2 ir 3 skyrius).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EF5988" w:rsidRPr="00624096" w:rsidRDefault="00EF5988" w:rsidP="00EF5988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t>Metabolizmo ir mitybos sutrikimai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>Nedažni: apetito sutrikimas.</w:t>
      </w:r>
    </w:p>
    <w:p w:rsidR="00EF5988" w:rsidRPr="00624096" w:rsidRDefault="00EF5988" w:rsidP="00857D51">
      <w:pPr>
        <w:tabs>
          <w:tab w:val="left" w:pos="567"/>
        </w:tabs>
        <w:rPr>
          <w:sz w:val="22"/>
          <w:szCs w:val="22"/>
          <w:highlight w:val="yellow"/>
        </w:rPr>
      </w:pPr>
    </w:p>
    <w:p w:rsidR="00857D51" w:rsidRPr="00624096" w:rsidRDefault="00857D51" w:rsidP="00857D51">
      <w:pPr>
        <w:tabs>
          <w:tab w:val="left" w:pos="567"/>
        </w:tabs>
        <w:rPr>
          <w:i/>
          <w:sz w:val="22"/>
          <w:szCs w:val="22"/>
        </w:rPr>
      </w:pPr>
      <w:r w:rsidRPr="00624096">
        <w:rPr>
          <w:i/>
          <w:sz w:val="22"/>
          <w:szCs w:val="22"/>
        </w:rPr>
        <w:lastRenderedPageBreak/>
        <w:t>Imuninės sistemos sutrikimai</w:t>
      </w: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  <w:r w:rsidRPr="00624096">
        <w:rPr>
          <w:sz w:val="22"/>
          <w:szCs w:val="22"/>
        </w:rPr>
        <w:t xml:space="preserve">Dažnis nežinomas: </w:t>
      </w:r>
      <w:proofErr w:type="spellStart"/>
      <w:r w:rsidRPr="00624096">
        <w:rPr>
          <w:sz w:val="22"/>
          <w:szCs w:val="22"/>
        </w:rPr>
        <w:t>angioneurozinė</w:t>
      </w:r>
      <w:proofErr w:type="spellEnd"/>
      <w:r w:rsidRPr="00624096">
        <w:rPr>
          <w:sz w:val="22"/>
          <w:szCs w:val="22"/>
        </w:rPr>
        <w:t xml:space="preserve"> edema (alerginis audinių patinimas).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  <w:rPr>
          <w:b/>
        </w:rPr>
      </w:pPr>
      <w:r w:rsidRPr="00624096">
        <w:rPr>
          <w:b/>
        </w:rPr>
        <w:t>Pranešimas apie šalutinį poveikį</w:t>
      </w:r>
    </w:p>
    <w:p w:rsidR="00857D51" w:rsidRPr="00624096" w:rsidRDefault="00857D51" w:rsidP="00832805">
      <w:pPr>
        <w:pStyle w:val="BTEMEASMCA"/>
      </w:pPr>
      <w:r w:rsidRPr="00624096">
        <w:t>Jeigu pasireiškė šalutinis poveikis</w:t>
      </w:r>
      <w:r w:rsidRPr="00624096">
        <w:rPr>
          <w:snapToGrid w:val="0"/>
        </w:rPr>
        <w:t>, įskaitant</w:t>
      </w:r>
      <w:r w:rsidRPr="00624096">
        <w:t xml:space="preserve"> šiame lapelyje nenurodytą, pasakykite gydytojui arba vaistininkui.</w:t>
      </w:r>
      <w:r w:rsidRPr="00624096">
        <w:rPr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624096">
        <w:rPr>
          <w:snapToGrid w:val="0"/>
          <w:lang w:eastAsia="zh-CN"/>
        </w:rPr>
        <w:t>elefonu 8 800 73568</w:t>
      </w:r>
      <w:r w:rsidRPr="00624096">
        <w:rPr>
          <w:snapToGrid w:val="0"/>
        </w:rPr>
        <w:t xml:space="preserve"> arba užpildyti interneto svetainėje </w:t>
      </w:r>
      <w:hyperlink r:id="rId5" w:history="1">
        <w:r w:rsidRPr="00624096">
          <w:rPr>
            <w:rFonts w:eastAsia="SimSun"/>
            <w:snapToGrid w:val="0"/>
            <w:color w:val="0000FF"/>
            <w:u w:val="single"/>
          </w:rPr>
          <w:t>www.vvkt.lt</w:t>
        </w:r>
      </w:hyperlink>
      <w:r w:rsidRPr="00624096">
        <w:rPr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24096">
        <w:rPr>
          <w:snapToGrid w:val="0"/>
          <w:lang w:eastAsia="zh-CN"/>
        </w:rPr>
        <w:t xml:space="preserve">nemokamu </w:t>
      </w:r>
      <w:r w:rsidRPr="00624096">
        <w:rPr>
          <w:snapToGrid w:val="0"/>
        </w:rPr>
        <w:t>fakso numeriu 8 800 20131</w:t>
      </w:r>
      <w:r w:rsidRPr="00624096">
        <w:rPr>
          <w:snapToGrid w:val="0"/>
          <w:lang w:eastAsia="zh-CN"/>
        </w:rPr>
        <w:t xml:space="preserve">, </w:t>
      </w:r>
      <w:r w:rsidRPr="00624096">
        <w:rPr>
          <w:snapToGrid w:val="0"/>
        </w:rPr>
        <w:t xml:space="preserve">el. paštu </w:t>
      </w:r>
      <w:hyperlink r:id="rId6" w:history="1">
        <w:r w:rsidRPr="00624096">
          <w:rPr>
            <w:rFonts w:eastAsia="SimSun"/>
            <w:snapToGrid w:val="0"/>
            <w:color w:val="0000FF"/>
            <w:u w:val="single"/>
          </w:rPr>
          <w:t>NepageidaujamaR@vvkt.lt</w:t>
        </w:r>
      </w:hyperlink>
      <w:r w:rsidRPr="00624096">
        <w:rPr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24096">
          <w:rPr>
            <w:rFonts w:eastAsia="SimSun"/>
            <w:snapToGrid w:val="0"/>
            <w:color w:val="0000FF"/>
            <w:u w:val="single"/>
          </w:rPr>
          <w:t>http://www.vvkt.lt</w:t>
        </w:r>
      </w:hyperlink>
      <w:r w:rsidRPr="00624096">
        <w:rPr>
          <w:snapToGrid w:val="0"/>
        </w:rPr>
        <w:t>). Pranešdami apie šalutinį poveikį galite mums padėti gauti daugiau informacijos apie šio vaisto saugumą.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13" w:name="_Toc129243143"/>
      <w:bookmarkStart w:id="14" w:name="_Toc129243268"/>
      <w:r w:rsidRPr="00624096">
        <w:t>5.</w:t>
      </w:r>
      <w:r w:rsidRPr="00624096">
        <w:tab/>
        <w:t xml:space="preserve">Kaip laikyti </w:t>
      </w:r>
      <w:proofErr w:type="spellStart"/>
      <w:r w:rsidRPr="00624096">
        <w:t>Stilnox</w:t>
      </w:r>
      <w:bookmarkEnd w:id="13"/>
      <w:bookmarkEnd w:id="14"/>
      <w:proofErr w:type="spellEnd"/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rPr>
          <w:lang w:val="lt-LT"/>
        </w:rPr>
        <w:t>Šį vaistą laikykite</w:t>
      </w:r>
      <w:r w:rsidRPr="00624096">
        <w:t xml:space="preserve"> vaikams nepastebimoje </w:t>
      </w:r>
      <w:r w:rsidRPr="00624096">
        <w:rPr>
          <w:lang w:val="lt-LT"/>
        </w:rPr>
        <w:t xml:space="preserve">ir </w:t>
      </w:r>
      <w:r w:rsidRPr="00624096">
        <w:t>nepasiekiamoje vietoje.</w:t>
      </w:r>
    </w:p>
    <w:p w:rsidR="00832805" w:rsidRPr="00624096" w:rsidRDefault="00832805" w:rsidP="00832805">
      <w:pPr>
        <w:pStyle w:val="BTEMEASMCA"/>
      </w:pPr>
      <w:r w:rsidRPr="00624096">
        <w:t xml:space="preserve">Laikyti ne aukštesnėje kaip 25 </w:t>
      </w:r>
      <w:r w:rsidRPr="00624096">
        <w:sym w:font="Symbol" w:char="F0B0"/>
      </w:r>
      <w:r w:rsidRPr="00624096">
        <w:t>C temperatūroje.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Ant</w:t>
      </w:r>
      <w:r w:rsidR="00832805" w:rsidRPr="00624096">
        <w:rPr>
          <w:lang w:val="lt-LT"/>
        </w:rPr>
        <w:t xml:space="preserve"> etiketės, </w:t>
      </w:r>
      <w:r w:rsidRPr="00624096">
        <w:t xml:space="preserve"> dėžutės ir lizdinės plokštelės po „Tinka iki/EXP“ nurodytam tinkamumo laikui pasibaigus, </w:t>
      </w:r>
      <w:r w:rsidRPr="00624096">
        <w:rPr>
          <w:lang w:val="lt-LT"/>
        </w:rPr>
        <w:t xml:space="preserve">šio vaisto </w:t>
      </w:r>
      <w:r w:rsidRPr="00624096">
        <w:t>vartoti negalima. Vaistas tinka</w:t>
      </w:r>
      <w:r w:rsidRPr="00624096">
        <w:rPr>
          <w:lang w:val="lt-LT"/>
        </w:rPr>
        <w:t>mas</w:t>
      </w:r>
      <w:r w:rsidRPr="00624096">
        <w:t xml:space="preserve"> vartoti iki paskutinės nurodyto mėnesio dienos. 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  <w:r w:rsidRPr="00624096">
        <w:t>Vaistų negalima iš</w:t>
      </w:r>
      <w:r w:rsidRPr="00624096">
        <w:rPr>
          <w:lang w:val="lt-LT"/>
        </w:rPr>
        <w:t>mesti</w:t>
      </w:r>
      <w:r w:rsidRPr="00624096">
        <w:t xml:space="preserve"> į kanalizaciją arba su buitinėmis atliekomis. Kaip </w:t>
      </w:r>
      <w:r w:rsidRPr="00624096">
        <w:rPr>
          <w:lang w:val="lt-LT"/>
        </w:rPr>
        <w:t>išmesti</w:t>
      </w:r>
      <w:r w:rsidRPr="00624096">
        <w:t xml:space="preserve"> nereikalingus vaistus, klauskite vaistininko. Šios priemonės padės apsaugoti aplinką.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1EMEASMCA"/>
      </w:pPr>
      <w:bookmarkStart w:id="15" w:name="_Toc129243144"/>
      <w:bookmarkStart w:id="16" w:name="_Toc129243269"/>
      <w:r w:rsidRPr="00624096">
        <w:t>6.</w:t>
      </w:r>
      <w:r w:rsidRPr="00624096">
        <w:tab/>
        <w:t>Pakuotės turinys ir kita informacija</w:t>
      </w:r>
      <w:bookmarkEnd w:id="15"/>
      <w:bookmarkEnd w:id="16"/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proofErr w:type="spellStart"/>
      <w:r w:rsidRPr="00624096">
        <w:t>Stilnox</w:t>
      </w:r>
      <w:proofErr w:type="spellEnd"/>
      <w:r w:rsidRPr="00624096">
        <w:t xml:space="preserve"> sudėtis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-EMEASMCA"/>
      </w:pPr>
      <w:r w:rsidRPr="00624096">
        <w:t>Veiklioji medžiaga yra zolpidemo tartratas. Vienoje tabletėje yra 10</w:t>
      </w:r>
      <w:r w:rsidRPr="00624096">
        <w:rPr>
          <w:lang w:val="lt-LT"/>
        </w:rPr>
        <w:t> </w:t>
      </w:r>
      <w:r w:rsidRPr="00624096">
        <w:t>mg zolpidemo tartrato.</w:t>
      </w:r>
    </w:p>
    <w:p w:rsidR="00857D51" w:rsidRPr="00624096" w:rsidRDefault="00857D51" w:rsidP="00832805">
      <w:pPr>
        <w:pStyle w:val="BT-EMEASMCA"/>
      </w:pPr>
      <w:r w:rsidRPr="00624096">
        <w:t xml:space="preserve">Pagalbinės medžiagos. </w:t>
      </w:r>
      <w:r w:rsidRPr="00624096">
        <w:rPr>
          <w:i/>
        </w:rPr>
        <w:t>Tabletės branduolyje</w:t>
      </w:r>
      <w:r w:rsidRPr="00624096">
        <w:t xml:space="preserve"> yra laktozės monohidrato, mikrokristalinės celiuliozės, hipromeliozės, karboksimetilkrakmolo A natrio druskos, magnio stearato. </w:t>
      </w:r>
      <w:r w:rsidRPr="00624096">
        <w:rPr>
          <w:i/>
        </w:rPr>
        <w:t xml:space="preserve">Tabletės </w:t>
      </w:r>
      <w:r w:rsidRPr="00624096">
        <w:rPr>
          <w:i/>
          <w:lang w:val="lt-LT"/>
        </w:rPr>
        <w:t>plėvelėje</w:t>
      </w:r>
      <w:r w:rsidRPr="00624096">
        <w:t xml:space="preserve"> yra hipromeliozės, titano dioksido (E 171) ir makrogolio 400.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  <w:proofErr w:type="spellStart"/>
      <w:r w:rsidRPr="00624096">
        <w:t>Stilnox</w:t>
      </w:r>
      <w:proofErr w:type="spellEnd"/>
      <w:r w:rsidRPr="00624096">
        <w:t xml:space="preserve"> išvaizda ir kiekis pakuotėje</w:t>
      </w:r>
    </w:p>
    <w:p w:rsidR="00857D51" w:rsidRPr="00624096" w:rsidRDefault="00857D51" w:rsidP="00857D51">
      <w:pPr>
        <w:pStyle w:val="PI-3EMEASMCA"/>
        <w:tabs>
          <w:tab w:val="left" w:pos="567"/>
        </w:tabs>
        <w:spacing w:line="240" w:lineRule="auto"/>
      </w:pP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napToGrid w:val="0"/>
          <w:szCs w:val="22"/>
          <w:lang w:eastAsia="fr-FR"/>
        </w:rPr>
        <w:t>Stilnox</w:t>
      </w:r>
      <w:proofErr w:type="spellEnd"/>
      <w:r w:rsidRPr="00624096">
        <w:rPr>
          <w:szCs w:val="22"/>
        </w:rPr>
        <w:t xml:space="preserve"> yra baltos, pailgos, plėvele dengtos tabletės su laužimo vagele vienoje pusėje ir užrašu “STILNOX” kitoje pusėje. Tabletę galima padalyti į  lygias dozes.</w:t>
      </w:r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624096">
        <w:rPr>
          <w:szCs w:val="22"/>
        </w:rPr>
        <w:t>Stilnox</w:t>
      </w:r>
      <w:proofErr w:type="spellEnd"/>
      <w:r w:rsidRPr="00624096">
        <w:rPr>
          <w:szCs w:val="22"/>
        </w:rPr>
        <w:t xml:space="preserve"> tiekiamas PVC/</w:t>
      </w:r>
      <w:proofErr w:type="spellStart"/>
      <w:r w:rsidRPr="00624096">
        <w:rPr>
          <w:szCs w:val="22"/>
        </w:rPr>
        <w:t>Alu</w:t>
      </w:r>
      <w:proofErr w:type="spellEnd"/>
      <w:r w:rsidRPr="00624096">
        <w:rPr>
          <w:szCs w:val="22"/>
        </w:rPr>
        <w:t xml:space="preserve"> lizdinėmis plokštelėmis</w:t>
      </w:r>
      <w:r w:rsidR="00832805" w:rsidRPr="00624096">
        <w:rPr>
          <w:szCs w:val="22"/>
        </w:rPr>
        <w:t>. Kartono dėžutėje yra 3</w:t>
      </w:r>
      <w:r w:rsidRPr="00624096">
        <w:rPr>
          <w:szCs w:val="22"/>
        </w:rPr>
        <w:t>0 plėvele dengtų tablečių.</w:t>
      </w: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</w:pPr>
    </w:p>
    <w:p w:rsidR="00857D51" w:rsidRPr="00624096" w:rsidRDefault="00857D51" w:rsidP="00832805">
      <w:pPr>
        <w:pStyle w:val="BTEMEASMCA"/>
        <w:rPr>
          <w:b/>
        </w:rPr>
      </w:pPr>
      <w:r w:rsidRPr="00624096">
        <w:rPr>
          <w:b/>
        </w:rPr>
        <w:t>Gamintojas</w:t>
      </w:r>
    </w:p>
    <w:p w:rsidR="00857D51" w:rsidRPr="00624096" w:rsidRDefault="00857D51" w:rsidP="00857D51">
      <w:pPr>
        <w:pStyle w:val="Pagrindinistekstas3"/>
        <w:tabs>
          <w:tab w:val="left" w:pos="567"/>
        </w:tabs>
        <w:spacing w:after="0"/>
        <w:rPr>
          <w:iCs/>
          <w:sz w:val="22"/>
          <w:szCs w:val="22"/>
        </w:rPr>
      </w:pPr>
      <w:r w:rsidRPr="00624096">
        <w:rPr>
          <w:iCs/>
          <w:sz w:val="22"/>
          <w:szCs w:val="22"/>
        </w:rPr>
        <w:t>SANOFI WINTHROP INDUSTRIE</w:t>
      </w:r>
    </w:p>
    <w:p w:rsidR="00857D51" w:rsidRPr="00624096" w:rsidRDefault="00857D51" w:rsidP="00857D51">
      <w:pPr>
        <w:pStyle w:val="Pagrindinistekstas3"/>
        <w:tabs>
          <w:tab w:val="left" w:pos="567"/>
        </w:tabs>
        <w:spacing w:after="0"/>
        <w:rPr>
          <w:iCs/>
          <w:sz w:val="22"/>
          <w:szCs w:val="22"/>
        </w:rPr>
      </w:pPr>
      <w:r w:rsidRPr="00624096">
        <w:rPr>
          <w:iCs/>
          <w:sz w:val="22"/>
          <w:szCs w:val="22"/>
        </w:rPr>
        <w:t xml:space="preserve">30-36 </w:t>
      </w:r>
      <w:proofErr w:type="spellStart"/>
      <w:r w:rsidRPr="00624096">
        <w:rPr>
          <w:iCs/>
          <w:sz w:val="22"/>
          <w:szCs w:val="22"/>
        </w:rPr>
        <w:t>Avenue</w:t>
      </w:r>
      <w:proofErr w:type="spellEnd"/>
      <w:r w:rsidRPr="00624096">
        <w:rPr>
          <w:iCs/>
          <w:sz w:val="22"/>
          <w:szCs w:val="22"/>
        </w:rPr>
        <w:t xml:space="preserve"> Gustave </w:t>
      </w:r>
      <w:proofErr w:type="spellStart"/>
      <w:r w:rsidRPr="00624096">
        <w:rPr>
          <w:iCs/>
          <w:sz w:val="22"/>
          <w:szCs w:val="22"/>
        </w:rPr>
        <w:t>Eiffel</w:t>
      </w:r>
      <w:proofErr w:type="spellEnd"/>
    </w:p>
    <w:p w:rsidR="00857D51" w:rsidRPr="00624096" w:rsidRDefault="00857D51" w:rsidP="00857D51">
      <w:pPr>
        <w:pStyle w:val="Pagrindinistekstas3"/>
        <w:tabs>
          <w:tab w:val="left" w:pos="567"/>
          <w:tab w:val="left" w:pos="1305"/>
        </w:tabs>
        <w:spacing w:after="0"/>
        <w:rPr>
          <w:iCs/>
          <w:sz w:val="22"/>
          <w:szCs w:val="22"/>
        </w:rPr>
      </w:pPr>
      <w:r w:rsidRPr="00624096">
        <w:rPr>
          <w:iCs/>
          <w:sz w:val="22"/>
          <w:szCs w:val="22"/>
        </w:rPr>
        <w:t xml:space="preserve">37100 </w:t>
      </w:r>
      <w:proofErr w:type="spellStart"/>
      <w:r w:rsidRPr="00624096">
        <w:rPr>
          <w:iCs/>
          <w:sz w:val="22"/>
          <w:szCs w:val="22"/>
        </w:rPr>
        <w:t>Tours</w:t>
      </w:r>
      <w:proofErr w:type="spellEnd"/>
    </w:p>
    <w:p w:rsidR="00857D51" w:rsidRPr="00624096" w:rsidRDefault="00857D51" w:rsidP="00857D5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624096">
        <w:rPr>
          <w:szCs w:val="22"/>
        </w:rPr>
        <w:t>Prancūzija</w:t>
      </w:r>
    </w:p>
    <w:p w:rsidR="00832805" w:rsidRPr="00624096" w:rsidRDefault="00832805" w:rsidP="00857D51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832805" w:rsidRPr="00624096" w:rsidRDefault="00832805" w:rsidP="00832805">
      <w:pPr>
        <w:ind w:right="284"/>
        <w:jc w:val="both"/>
        <w:rPr>
          <w:b/>
          <w:sz w:val="22"/>
          <w:szCs w:val="22"/>
        </w:rPr>
      </w:pPr>
      <w:r w:rsidRPr="00624096">
        <w:rPr>
          <w:b/>
          <w:sz w:val="22"/>
          <w:szCs w:val="22"/>
        </w:rPr>
        <w:t xml:space="preserve">Lygiagretus importuotojas </w:t>
      </w:r>
    </w:p>
    <w:p w:rsidR="00832805" w:rsidRPr="00624096" w:rsidRDefault="00EF5988" w:rsidP="00832805">
      <w:pPr>
        <w:ind w:right="284"/>
        <w:jc w:val="both"/>
        <w:rPr>
          <w:sz w:val="22"/>
          <w:szCs w:val="22"/>
        </w:rPr>
      </w:pPr>
      <w:r w:rsidRPr="00624096">
        <w:rPr>
          <w:sz w:val="22"/>
          <w:szCs w:val="22"/>
        </w:rPr>
        <w:t>UAB ,,</w:t>
      </w:r>
      <w:proofErr w:type="spellStart"/>
      <w:r w:rsidR="00832805" w:rsidRPr="00624096">
        <w:rPr>
          <w:sz w:val="22"/>
          <w:szCs w:val="22"/>
        </w:rPr>
        <w:t>Lex</w:t>
      </w:r>
      <w:proofErr w:type="spellEnd"/>
      <w:r w:rsidR="00832805" w:rsidRPr="00624096">
        <w:rPr>
          <w:sz w:val="22"/>
          <w:szCs w:val="22"/>
        </w:rPr>
        <w:t xml:space="preserve"> ano”</w:t>
      </w:r>
    </w:p>
    <w:p w:rsidR="00832805" w:rsidRPr="00624096" w:rsidRDefault="00832805" w:rsidP="00832805">
      <w:pPr>
        <w:ind w:right="284"/>
        <w:jc w:val="both"/>
        <w:rPr>
          <w:sz w:val="22"/>
          <w:szCs w:val="22"/>
        </w:rPr>
      </w:pPr>
      <w:r w:rsidRPr="00624096">
        <w:rPr>
          <w:color w:val="000000"/>
          <w:sz w:val="22"/>
          <w:szCs w:val="22"/>
        </w:rPr>
        <w:t>Naugarduko g. 3,</w:t>
      </w:r>
      <w:r w:rsidRPr="00624096">
        <w:rPr>
          <w:sz w:val="22"/>
          <w:szCs w:val="22"/>
        </w:rPr>
        <w:t xml:space="preserve"> </w:t>
      </w:r>
    </w:p>
    <w:p w:rsidR="00832805" w:rsidRPr="00624096" w:rsidRDefault="00832805" w:rsidP="00832805">
      <w:pPr>
        <w:ind w:right="284"/>
        <w:jc w:val="both"/>
        <w:rPr>
          <w:sz w:val="22"/>
          <w:szCs w:val="22"/>
        </w:rPr>
      </w:pPr>
      <w:r w:rsidRPr="00624096">
        <w:rPr>
          <w:sz w:val="22"/>
          <w:szCs w:val="22"/>
        </w:rPr>
        <w:t>LT-03231 Vilnius</w:t>
      </w:r>
    </w:p>
    <w:p w:rsidR="00832805" w:rsidRPr="00624096" w:rsidRDefault="00832805" w:rsidP="00832805">
      <w:pPr>
        <w:ind w:right="284"/>
        <w:jc w:val="both"/>
        <w:rPr>
          <w:sz w:val="22"/>
          <w:szCs w:val="22"/>
        </w:rPr>
      </w:pPr>
      <w:r w:rsidRPr="00624096">
        <w:rPr>
          <w:sz w:val="22"/>
          <w:szCs w:val="22"/>
        </w:rPr>
        <w:t>Lietuva</w:t>
      </w:r>
    </w:p>
    <w:p w:rsidR="00832805" w:rsidRPr="00624096" w:rsidRDefault="00832805" w:rsidP="00832805">
      <w:pPr>
        <w:tabs>
          <w:tab w:val="left" w:pos="567"/>
        </w:tabs>
        <w:ind w:right="284"/>
        <w:jc w:val="both"/>
        <w:rPr>
          <w:sz w:val="22"/>
          <w:szCs w:val="22"/>
        </w:rPr>
      </w:pPr>
    </w:p>
    <w:p w:rsidR="00EF5988" w:rsidRPr="00624096" w:rsidRDefault="00EF5988" w:rsidP="00EF5988">
      <w:pPr>
        <w:tabs>
          <w:tab w:val="left" w:pos="567"/>
        </w:tabs>
        <w:rPr>
          <w:b/>
          <w:bCs/>
          <w:iCs/>
          <w:sz w:val="22"/>
          <w:szCs w:val="22"/>
          <w:lang w:val="en-GB"/>
        </w:rPr>
      </w:pPr>
      <w:proofErr w:type="spellStart"/>
      <w:r w:rsidRPr="00624096">
        <w:rPr>
          <w:b/>
          <w:bCs/>
          <w:iCs/>
          <w:sz w:val="22"/>
          <w:szCs w:val="22"/>
          <w:lang w:val="en-GB"/>
        </w:rPr>
        <w:t>Perpakavo</w:t>
      </w:r>
      <w:proofErr w:type="spellEnd"/>
      <w:r w:rsidRPr="00624096">
        <w:rPr>
          <w:b/>
          <w:bCs/>
          <w:iCs/>
          <w:sz w:val="22"/>
          <w:szCs w:val="22"/>
          <w:lang w:val="en-GB"/>
        </w:rPr>
        <w:t xml:space="preserve"> 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  <w:lang w:val="en-GB"/>
        </w:rPr>
      </w:pPr>
      <w:r w:rsidRPr="00624096">
        <w:rPr>
          <w:sz w:val="22"/>
          <w:szCs w:val="22"/>
          <w:lang w:val="en-GB"/>
        </w:rPr>
        <w:lastRenderedPageBreak/>
        <w:t>SIA „</w:t>
      </w:r>
      <w:proofErr w:type="spellStart"/>
      <w:r w:rsidRPr="00624096">
        <w:rPr>
          <w:sz w:val="22"/>
          <w:szCs w:val="22"/>
          <w:lang w:val="en-GB"/>
        </w:rPr>
        <w:t>Tamro</w:t>
      </w:r>
      <w:proofErr w:type="spellEnd"/>
      <w:r w:rsidRPr="00624096">
        <w:rPr>
          <w:sz w:val="22"/>
          <w:szCs w:val="22"/>
          <w:lang w:val="en-GB"/>
        </w:rPr>
        <w:t xml:space="preserve">“ 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  <w:lang w:val="en-GB"/>
        </w:rPr>
      </w:pPr>
      <w:proofErr w:type="spellStart"/>
      <w:r w:rsidRPr="00624096">
        <w:rPr>
          <w:sz w:val="22"/>
          <w:szCs w:val="22"/>
          <w:lang w:val="en-GB"/>
        </w:rPr>
        <w:t>Noliktavu</w:t>
      </w:r>
      <w:proofErr w:type="spellEnd"/>
      <w:r w:rsidRPr="00624096">
        <w:rPr>
          <w:sz w:val="22"/>
          <w:szCs w:val="22"/>
          <w:lang w:val="en-GB"/>
        </w:rPr>
        <w:t xml:space="preserve"> </w:t>
      </w:r>
      <w:proofErr w:type="spellStart"/>
      <w:r w:rsidRPr="00624096">
        <w:rPr>
          <w:sz w:val="22"/>
          <w:szCs w:val="22"/>
          <w:lang w:val="en-GB"/>
        </w:rPr>
        <w:t>iela</w:t>
      </w:r>
      <w:proofErr w:type="spellEnd"/>
      <w:r w:rsidRPr="00624096">
        <w:rPr>
          <w:sz w:val="22"/>
          <w:szCs w:val="22"/>
          <w:lang w:val="en-GB"/>
        </w:rPr>
        <w:t xml:space="preserve"> 5, 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  <w:lang w:val="en-GB"/>
        </w:rPr>
      </w:pPr>
      <w:proofErr w:type="spellStart"/>
      <w:r w:rsidRPr="00624096">
        <w:rPr>
          <w:sz w:val="22"/>
          <w:szCs w:val="22"/>
          <w:lang w:val="en-GB"/>
        </w:rPr>
        <w:t>Dreilini</w:t>
      </w:r>
      <w:proofErr w:type="spellEnd"/>
      <w:r w:rsidRPr="00624096">
        <w:rPr>
          <w:sz w:val="22"/>
          <w:szCs w:val="22"/>
          <w:lang w:val="en-GB"/>
        </w:rPr>
        <w:t xml:space="preserve"> </w:t>
      </w:r>
      <w:proofErr w:type="spellStart"/>
      <w:r w:rsidRPr="00624096">
        <w:rPr>
          <w:sz w:val="22"/>
          <w:szCs w:val="22"/>
          <w:lang w:val="en-GB"/>
        </w:rPr>
        <w:t>Stopinu</w:t>
      </w:r>
      <w:proofErr w:type="spellEnd"/>
      <w:r w:rsidRPr="00624096">
        <w:rPr>
          <w:sz w:val="22"/>
          <w:szCs w:val="22"/>
          <w:lang w:val="en-GB"/>
        </w:rPr>
        <w:t xml:space="preserve"> </w:t>
      </w:r>
      <w:proofErr w:type="spellStart"/>
      <w:r w:rsidRPr="00624096">
        <w:rPr>
          <w:sz w:val="22"/>
          <w:szCs w:val="22"/>
          <w:lang w:val="en-GB"/>
        </w:rPr>
        <w:t>novads</w:t>
      </w:r>
      <w:proofErr w:type="spellEnd"/>
      <w:r w:rsidRPr="00624096">
        <w:rPr>
          <w:sz w:val="22"/>
          <w:szCs w:val="22"/>
          <w:lang w:val="en-GB"/>
        </w:rPr>
        <w:t xml:space="preserve">, 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  <w:lang w:val="en-GB"/>
        </w:rPr>
      </w:pPr>
      <w:r w:rsidRPr="00624096">
        <w:rPr>
          <w:sz w:val="22"/>
          <w:szCs w:val="22"/>
          <w:lang w:val="en-GB"/>
        </w:rPr>
        <w:t xml:space="preserve">LV-2130 Riga </w:t>
      </w:r>
    </w:p>
    <w:p w:rsidR="00EF5988" w:rsidRPr="00624096" w:rsidRDefault="00EF5988" w:rsidP="00EF5988">
      <w:pPr>
        <w:tabs>
          <w:tab w:val="left" w:pos="567"/>
        </w:tabs>
        <w:rPr>
          <w:sz w:val="22"/>
          <w:szCs w:val="22"/>
          <w:lang w:val="en-GB"/>
        </w:rPr>
      </w:pPr>
      <w:proofErr w:type="spellStart"/>
      <w:r w:rsidRPr="00624096">
        <w:rPr>
          <w:sz w:val="22"/>
          <w:szCs w:val="22"/>
          <w:lang w:val="en-GB"/>
        </w:rPr>
        <w:t>Latvija</w:t>
      </w:r>
      <w:proofErr w:type="spellEnd"/>
    </w:p>
    <w:p w:rsidR="00832805" w:rsidRPr="00624096" w:rsidRDefault="00832805" w:rsidP="00832805">
      <w:pPr>
        <w:ind w:right="284"/>
        <w:jc w:val="both"/>
        <w:rPr>
          <w:sz w:val="22"/>
          <w:szCs w:val="22"/>
          <w:highlight w:val="yellow"/>
        </w:rPr>
      </w:pPr>
    </w:p>
    <w:p w:rsidR="00832805" w:rsidRPr="00624096" w:rsidRDefault="00832805" w:rsidP="00832805">
      <w:pPr>
        <w:ind w:right="284"/>
        <w:jc w:val="both"/>
        <w:rPr>
          <w:sz w:val="22"/>
          <w:szCs w:val="22"/>
        </w:rPr>
      </w:pPr>
      <w:r w:rsidRPr="00624096">
        <w:rPr>
          <w:sz w:val="22"/>
          <w:szCs w:val="22"/>
        </w:rPr>
        <w:t xml:space="preserve">Registruotojas eksportuojančioje valstybėje yra </w:t>
      </w:r>
      <w:proofErr w:type="spellStart"/>
      <w:r w:rsidRPr="00624096">
        <w:rPr>
          <w:sz w:val="22"/>
          <w:szCs w:val="22"/>
        </w:rPr>
        <w:t>Sanofi</w:t>
      </w:r>
      <w:proofErr w:type="spellEnd"/>
      <w:r w:rsidRPr="00624096">
        <w:rPr>
          <w:sz w:val="22"/>
          <w:szCs w:val="22"/>
        </w:rPr>
        <w:t xml:space="preserve"> - </w:t>
      </w:r>
      <w:proofErr w:type="spellStart"/>
      <w:r w:rsidRPr="00624096">
        <w:rPr>
          <w:sz w:val="22"/>
          <w:szCs w:val="22"/>
        </w:rPr>
        <w:t>Aventis</w:t>
      </w:r>
      <w:proofErr w:type="spellEnd"/>
      <w:r w:rsidRPr="00624096">
        <w:rPr>
          <w:sz w:val="22"/>
          <w:szCs w:val="22"/>
        </w:rPr>
        <w:t xml:space="preserve"> A.E.B.E, 348, </w:t>
      </w:r>
      <w:proofErr w:type="spellStart"/>
      <w:r w:rsidRPr="00624096">
        <w:rPr>
          <w:sz w:val="22"/>
          <w:szCs w:val="22"/>
        </w:rPr>
        <w:t>Syngrou</w:t>
      </w:r>
      <w:proofErr w:type="spellEnd"/>
      <w:r w:rsidRPr="00624096">
        <w:rPr>
          <w:sz w:val="22"/>
          <w:szCs w:val="22"/>
        </w:rPr>
        <w:t xml:space="preserve"> </w:t>
      </w:r>
      <w:proofErr w:type="spellStart"/>
      <w:r w:rsidRPr="00624096">
        <w:rPr>
          <w:sz w:val="22"/>
          <w:szCs w:val="22"/>
        </w:rPr>
        <w:t>Avenue</w:t>
      </w:r>
      <w:proofErr w:type="spellEnd"/>
      <w:r w:rsidRPr="00624096">
        <w:rPr>
          <w:sz w:val="22"/>
          <w:szCs w:val="22"/>
        </w:rPr>
        <w:t xml:space="preserve"> </w:t>
      </w:r>
      <w:proofErr w:type="spellStart"/>
      <w:r w:rsidRPr="00624096">
        <w:rPr>
          <w:sz w:val="22"/>
          <w:szCs w:val="22"/>
        </w:rPr>
        <w:t>Bdlg</w:t>
      </w:r>
      <w:proofErr w:type="spellEnd"/>
      <w:r w:rsidRPr="00624096">
        <w:rPr>
          <w:sz w:val="22"/>
          <w:szCs w:val="22"/>
        </w:rPr>
        <w:t xml:space="preserve"> A 17674 </w:t>
      </w:r>
      <w:proofErr w:type="spellStart"/>
      <w:r w:rsidRPr="00624096">
        <w:rPr>
          <w:sz w:val="22"/>
          <w:szCs w:val="22"/>
        </w:rPr>
        <w:t>Kalithea</w:t>
      </w:r>
      <w:proofErr w:type="spellEnd"/>
      <w:r w:rsidRPr="00624096">
        <w:rPr>
          <w:sz w:val="22"/>
          <w:szCs w:val="22"/>
        </w:rPr>
        <w:t xml:space="preserve">, </w:t>
      </w:r>
      <w:proofErr w:type="spellStart"/>
      <w:r w:rsidRPr="00624096">
        <w:rPr>
          <w:sz w:val="22"/>
          <w:szCs w:val="22"/>
        </w:rPr>
        <w:t>Attiki</w:t>
      </w:r>
      <w:proofErr w:type="spellEnd"/>
      <w:r w:rsidRPr="00624096">
        <w:rPr>
          <w:sz w:val="22"/>
          <w:szCs w:val="22"/>
        </w:rPr>
        <w:t xml:space="preserve">, Graikija. </w:t>
      </w:r>
    </w:p>
    <w:p w:rsidR="00832805" w:rsidRPr="00624096" w:rsidRDefault="00832805" w:rsidP="00832805">
      <w:pPr>
        <w:ind w:right="284"/>
        <w:jc w:val="both"/>
        <w:rPr>
          <w:sz w:val="22"/>
          <w:szCs w:val="22"/>
        </w:rPr>
      </w:pPr>
    </w:p>
    <w:p w:rsidR="00857D51" w:rsidRPr="00624096" w:rsidRDefault="00857D51" w:rsidP="00832805">
      <w:pPr>
        <w:ind w:right="284"/>
        <w:jc w:val="both"/>
        <w:rPr>
          <w:b/>
          <w:sz w:val="22"/>
          <w:szCs w:val="22"/>
        </w:rPr>
      </w:pPr>
      <w:r w:rsidRPr="00624096">
        <w:rPr>
          <w:b/>
          <w:bCs/>
          <w:sz w:val="22"/>
          <w:szCs w:val="22"/>
        </w:rPr>
        <w:t>Šis pakuotės lapelis</w:t>
      </w:r>
      <w:r w:rsidRPr="00624096">
        <w:rPr>
          <w:b/>
          <w:sz w:val="22"/>
          <w:szCs w:val="22"/>
        </w:rPr>
        <w:t xml:space="preserve"> paskutinį kartą patvirtintas </w:t>
      </w:r>
      <w:r w:rsidR="00EF5988" w:rsidRPr="00624096">
        <w:rPr>
          <w:b/>
          <w:sz w:val="22"/>
          <w:szCs w:val="22"/>
        </w:rPr>
        <w:t>2017</w:t>
      </w:r>
      <w:r w:rsidR="00EC434C" w:rsidRPr="00624096">
        <w:rPr>
          <w:b/>
          <w:sz w:val="22"/>
          <w:szCs w:val="22"/>
        </w:rPr>
        <w:t>-01-16.</w:t>
      </w:r>
    </w:p>
    <w:p w:rsidR="00857D51" w:rsidRPr="00624096" w:rsidRDefault="00857D51" w:rsidP="00832805">
      <w:pPr>
        <w:pStyle w:val="BTbEMEASMCA"/>
      </w:pPr>
    </w:p>
    <w:p w:rsidR="00857D51" w:rsidRPr="00624096" w:rsidRDefault="00857D51" w:rsidP="00857D51">
      <w:pPr>
        <w:tabs>
          <w:tab w:val="left" w:pos="567"/>
        </w:tabs>
        <w:rPr>
          <w:sz w:val="22"/>
          <w:szCs w:val="22"/>
        </w:rPr>
      </w:pPr>
    </w:p>
    <w:p w:rsidR="00857D51" w:rsidRPr="00624096" w:rsidRDefault="00857D51" w:rsidP="00832805">
      <w:pPr>
        <w:pStyle w:val="BTEMEASMCA"/>
      </w:pPr>
      <w:r w:rsidRPr="00624096">
        <w:rPr>
          <w:lang w:val="lt-LT"/>
        </w:rPr>
        <w:t xml:space="preserve">Išsami informacija apie šį vaistą </w:t>
      </w:r>
      <w:r w:rsidRPr="00624096">
        <w:t xml:space="preserve">pateikiama Valstybinės vaistų kontrolės tarnybos prie Lietuvos Respublikos sveikatos apsaugos ministerijos </w:t>
      </w:r>
      <w:r w:rsidRPr="00624096">
        <w:rPr>
          <w:lang w:val="lt-LT"/>
        </w:rPr>
        <w:t>tinklalapyje</w:t>
      </w:r>
      <w:r w:rsidRPr="00624096">
        <w:t xml:space="preserve"> </w:t>
      </w:r>
      <w:hyperlink r:id="rId8" w:history="1">
        <w:r w:rsidRPr="00624096">
          <w:rPr>
            <w:rStyle w:val="Hipersaitas"/>
          </w:rPr>
          <w:t>http://www.vvkt.lt/</w:t>
        </w:r>
      </w:hyperlink>
    </w:p>
    <w:p w:rsidR="00857D51" w:rsidRPr="00624096" w:rsidRDefault="00857D51" w:rsidP="00832805">
      <w:pPr>
        <w:pStyle w:val="BTEMEASMCA"/>
      </w:pPr>
    </w:p>
    <w:p w:rsidR="005A44F4" w:rsidRPr="00624096" w:rsidRDefault="005A44F4" w:rsidP="005A44F4">
      <w:pPr>
        <w:pStyle w:val="BTEMEASMCA"/>
        <w:rPr>
          <w:i/>
        </w:rPr>
      </w:pPr>
      <w:r w:rsidRPr="00624096">
        <w:rPr>
          <w:i/>
        </w:rPr>
        <w:t xml:space="preserve">Lygiagrečiai importuojamas vaistinis preparatas skiriasi nuo referencinio vaistinio preparato laikymo sąlygomis bei dozuočių skaičiumi:lygiagrečiai importuojamą vaistinį preparatą laikyti ne aukštesnėje kaip 25 </w:t>
      </w:r>
      <w:r w:rsidRPr="00624096">
        <w:rPr>
          <w:i/>
        </w:rPr>
        <w:sym w:font="Symbol" w:char="F0B0"/>
      </w:r>
      <w:r w:rsidRPr="00624096">
        <w:rPr>
          <w:i/>
        </w:rPr>
        <w:t xml:space="preserve">C temperatūroje, pakuotėje yra 30 plėvele dengtų tablečių. </w:t>
      </w:r>
    </w:p>
    <w:p w:rsidR="00857D51" w:rsidRPr="00624096" w:rsidRDefault="00857D51" w:rsidP="00857D51">
      <w:pPr>
        <w:rPr>
          <w:sz w:val="22"/>
          <w:szCs w:val="22"/>
        </w:rPr>
      </w:pPr>
    </w:p>
    <w:p w:rsidR="003B2B74" w:rsidRPr="00624096" w:rsidRDefault="003B2B74">
      <w:pPr>
        <w:rPr>
          <w:sz w:val="22"/>
          <w:szCs w:val="22"/>
        </w:rPr>
      </w:pPr>
    </w:p>
    <w:sectPr w:rsidR="003B2B74" w:rsidRPr="006240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1154F"/>
    <w:multiLevelType w:val="hybridMultilevel"/>
    <w:tmpl w:val="6A36F502"/>
    <w:lvl w:ilvl="0" w:tplc="B1ACAA86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9D069E26"/>
    <w:lvl w:ilvl="0" w:tplc="A4421B2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7B6C"/>
    <w:multiLevelType w:val="hybridMultilevel"/>
    <w:tmpl w:val="AC68B958"/>
    <w:lvl w:ilvl="0" w:tplc="23B2E78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iprcU621mMCuLWjWgoFT/zDxnK9i8Y2bCEv5YcfHsPzAewLOD0GXSF53Yju+dN3CyaNhWGBhcl8WQjfL4dqdg==" w:salt="ynTBVuZyKIZMLywy3WEt3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51"/>
    <w:rsid w:val="00020B93"/>
    <w:rsid w:val="00213277"/>
    <w:rsid w:val="003443CC"/>
    <w:rsid w:val="003B2B74"/>
    <w:rsid w:val="005A44F4"/>
    <w:rsid w:val="00624096"/>
    <w:rsid w:val="006F355E"/>
    <w:rsid w:val="00832805"/>
    <w:rsid w:val="00857D51"/>
    <w:rsid w:val="00BB0F98"/>
    <w:rsid w:val="00EC434C"/>
    <w:rsid w:val="00EF5988"/>
    <w:rsid w:val="00F0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00D92-10D8-4887-B23E-2BFC8E99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7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857D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x-none" w:eastAsia="x-none"/>
    </w:rPr>
  </w:style>
  <w:style w:type="character" w:customStyle="1" w:styleId="PI-1labEMEASMCAChar">
    <w:name w:val="PI-1_lab EMEA_SMCA Char"/>
    <w:link w:val="PI-1labEMEASMCA"/>
    <w:rsid w:val="00857D51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832805"/>
    <w:pPr>
      <w:tabs>
        <w:tab w:val="left" w:pos="567"/>
      </w:tabs>
    </w:pPr>
    <w:rPr>
      <w:rFonts w:eastAsia="MS Mincho"/>
      <w:noProof/>
      <w:sz w:val="22"/>
      <w:szCs w:val="22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857D5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857D51"/>
    <w:rPr>
      <w:rFonts w:ascii="Times New Roman" w:eastAsia="Times New Roman" w:hAnsi="Times New Roman" w:cs="Times New Roman"/>
      <w:b/>
      <w:caps/>
      <w:sz w:val="20"/>
      <w:szCs w:val="20"/>
      <w:lang w:val="en-US" w:eastAsia="x-none"/>
    </w:rPr>
  </w:style>
  <w:style w:type="character" w:customStyle="1" w:styleId="BTEMEASMCAChar">
    <w:name w:val="BT EMEA_SMCA Char"/>
    <w:link w:val="BTEMEASMCA"/>
    <w:rsid w:val="00832805"/>
    <w:rPr>
      <w:rFonts w:ascii="Times New Roman" w:eastAsia="MS Mincho" w:hAnsi="Times New Roman" w:cs="Times New Roman"/>
      <w:noProof/>
      <w:lang w:val="x-none" w:eastAsia="x-none"/>
    </w:rPr>
  </w:style>
  <w:style w:type="paragraph" w:styleId="Pagrindinistekstas">
    <w:name w:val="Body Text"/>
    <w:basedOn w:val="prastasis"/>
    <w:link w:val="PagrindinistekstasDiagrama"/>
    <w:rsid w:val="00857D5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D51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57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7D5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ipersaitas">
    <w:name w:val="Hyperlink"/>
    <w:rsid w:val="00857D51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857D51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857D51"/>
    <w:pPr>
      <w:numPr>
        <w:numId w:val="1"/>
      </w:numPr>
      <w:tabs>
        <w:tab w:val="clear" w:pos="720"/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rsid w:val="00857D51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57D51"/>
    <w:rPr>
      <w:b/>
    </w:rPr>
  </w:style>
  <w:style w:type="paragraph" w:customStyle="1" w:styleId="BTeEMEASMCA">
    <w:name w:val="BT(e) EMEA_SMCA"/>
    <w:basedOn w:val="BTEMEASMCA"/>
    <w:autoRedefine/>
    <w:rsid w:val="00857D51"/>
    <w:pPr>
      <w:jc w:val="center"/>
    </w:pPr>
  </w:style>
  <w:style w:type="paragraph" w:customStyle="1" w:styleId="Style">
    <w:name w:val="Style"/>
    <w:rsid w:val="00857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paragraph" w:styleId="Pagrindinistekstas3">
    <w:name w:val="Body Text 3"/>
    <w:basedOn w:val="prastasis"/>
    <w:link w:val="Pagrindinistekstas3Diagrama"/>
    <w:rsid w:val="00857D5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57D51"/>
    <w:rPr>
      <w:rFonts w:ascii="Times New Roman" w:eastAsia="Times New Roman" w:hAnsi="Times New Roman" w:cs="Times New Roman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7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34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11815</Words>
  <Characters>6736</Characters>
  <Application>Microsoft Office Word</Application>
  <DocSecurity>8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Birutė Valkauskaitė</cp:lastModifiedBy>
  <cp:revision>3</cp:revision>
  <dcterms:created xsi:type="dcterms:W3CDTF">2017-01-17T12:52:00Z</dcterms:created>
  <dcterms:modified xsi:type="dcterms:W3CDTF">2017-01-17T12:52:00Z</dcterms:modified>
</cp:coreProperties>
</file>