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FF80" w14:textId="77777777" w:rsidR="00342622" w:rsidRPr="00907D70" w:rsidRDefault="00342622" w:rsidP="00342622">
      <w:pPr>
        <w:spacing w:after="0" w:line="240" w:lineRule="auto"/>
        <w:rPr>
          <w:rFonts w:ascii="Times New Roman" w:eastAsia="Times New Roman" w:hAnsi="Times New Roman"/>
        </w:rPr>
      </w:pPr>
      <w:bookmarkStart w:id="0" w:name="_GoBack"/>
      <w:bookmarkEnd w:id="0"/>
    </w:p>
    <w:p w14:paraId="4415747E" w14:textId="77777777" w:rsidR="00342622" w:rsidRPr="00907D70" w:rsidRDefault="00342622" w:rsidP="00342622">
      <w:pPr>
        <w:spacing w:after="0" w:line="240" w:lineRule="auto"/>
        <w:rPr>
          <w:rFonts w:ascii="Times New Roman" w:eastAsia="Times New Roman" w:hAnsi="Times New Roman"/>
        </w:rPr>
      </w:pPr>
    </w:p>
    <w:p w14:paraId="0622D8F3" w14:textId="77777777" w:rsidR="00342622" w:rsidRPr="00907D70" w:rsidRDefault="00342622" w:rsidP="00342622">
      <w:pPr>
        <w:spacing w:after="0" w:line="240" w:lineRule="auto"/>
        <w:rPr>
          <w:rFonts w:ascii="Times New Roman" w:eastAsia="Times New Roman" w:hAnsi="Times New Roman"/>
        </w:rPr>
      </w:pPr>
    </w:p>
    <w:p w14:paraId="01E98739" w14:textId="77777777" w:rsidR="00342622" w:rsidRPr="00907D70" w:rsidRDefault="00342622" w:rsidP="00342622">
      <w:pPr>
        <w:spacing w:after="0" w:line="240" w:lineRule="auto"/>
        <w:rPr>
          <w:rFonts w:ascii="Times New Roman" w:eastAsia="Times New Roman" w:hAnsi="Times New Roman"/>
        </w:rPr>
      </w:pPr>
    </w:p>
    <w:p w14:paraId="76F537DF" w14:textId="77777777" w:rsidR="00342622" w:rsidRPr="00907D70" w:rsidRDefault="00342622" w:rsidP="00342622">
      <w:pPr>
        <w:spacing w:after="0" w:line="240" w:lineRule="auto"/>
        <w:rPr>
          <w:rFonts w:ascii="Times New Roman" w:eastAsia="Times New Roman" w:hAnsi="Times New Roman"/>
        </w:rPr>
      </w:pPr>
    </w:p>
    <w:p w14:paraId="386D5FA0" w14:textId="77777777" w:rsidR="00342622" w:rsidRPr="00907D70" w:rsidRDefault="00342622" w:rsidP="00342622">
      <w:pPr>
        <w:spacing w:after="0" w:line="240" w:lineRule="auto"/>
        <w:rPr>
          <w:rFonts w:ascii="Times New Roman" w:eastAsia="Times New Roman" w:hAnsi="Times New Roman"/>
        </w:rPr>
      </w:pPr>
    </w:p>
    <w:p w14:paraId="56FA4009" w14:textId="77777777" w:rsidR="00342622" w:rsidRPr="00907D70" w:rsidRDefault="00342622" w:rsidP="00342622">
      <w:pPr>
        <w:spacing w:after="0" w:line="240" w:lineRule="auto"/>
        <w:rPr>
          <w:rFonts w:ascii="Times New Roman" w:eastAsia="Times New Roman" w:hAnsi="Times New Roman"/>
        </w:rPr>
      </w:pPr>
    </w:p>
    <w:p w14:paraId="59777AFA" w14:textId="77777777" w:rsidR="00342622" w:rsidRPr="00907D70" w:rsidRDefault="00342622" w:rsidP="00342622">
      <w:pPr>
        <w:spacing w:after="0" w:line="240" w:lineRule="auto"/>
        <w:rPr>
          <w:rFonts w:ascii="Times New Roman" w:eastAsia="Times New Roman" w:hAnsi="Times New Roman"/>
        </w:rPr>
      </w:pPr>
    </w:p>
    <w:p w14:paraId="57B59D43" w14:textId="77777777" w:rsidR="00342622" w:rsidRPr="00907D70" w:rsidRDefault="00342622" w:rsidP="00342622">
      <w:pPr>
        <w:spacing w:after="0" w:line="240" w:lineRule="auto"/>
        <w:rPr>
          <w:rFonts w:ascii="Times New Roman" w:eastAsia="Times New Roman" w:hAnsi="Times New Roman"/>
        </w:rPr>
      </w:pPr>
    </w:p>
    <w:p w14:paraId="6D5F0860" w14:textId="77777777" w:rsidR="00342622" w:rsidRPr="00907D70" w:rsidRDefault="00342622" w:rsidP="00342622">
      <w:pPr>
        <w:spacing w:after="0" w:line="240" w:lineRule="auto"/>
        <w:rPr>
          <w:rFonts w:ascii="Times New Roman" w:eastAsia="Times New Roman" w:hAnsi="Times New Roman"/>
        </w:rPr>
      </w:pPr>
    </w:p>
    <w:p w14:paraId="71D1406F" w14:textId="77777777" w:rsidR="00342622" w:rsidRPr="00907D70" w:rsidRDefault="00342622" w:rsidP="00342622">
      <w:pPr>
        <w:spacing w:after="0" w:line="240" w:lineRule="auto"/>
        <w:rPr>
          <w:rFonts w:ascii="Times New Roman" w:eastAsia="Times New Roman" w:hAnsi="Times New Roman"/>
        </w:rPr>
      </w:pPr>
    </w:p>
    <w:p w14:paraId="03A1E261" w14:textId="77777777" w:rsidR="00342622" w:rsidRPr="00907D70" w:rsidRDefault="00342622" w:rsidP="00342622">
      <w:pPr>
        <w:spacing w:after="0" w:line="240" w:lineRule="auto"/>
        <w:rPr>
          <w:rFonts w:ascii="Times New Roman" w:eastAsia="Times New Roman" w:hAnsi="Times New Roman"/>
        </w:rPr>
      </w:pPr>
    </w:p>
    <w:p w14:paraId="7476670C" w14:textId="77777777" w:rsidR="00342622" w:rsidRPr="00907D70" w:rsidRDefault="00342622" w:rsidP="00342622">
      <w:pPr>
        <w:spacing w:after="0" w:line="240" w:lineRule="auto"/>
        <w:rPr>
          <w:rFonts w:ascii="Times New Roman" w:eastAsia="Times New Roman" w:hAnsi="Times New Roman"/>
        </w:rPr>
      </w:pPr>
    </w:p>
    <w:p w14:paraId="7D5C1FF5" w14:textId="77777777" w:rsidR="00342622" w:rsidRPr="00907D70" w:rsidRDefault="00342622" w:rsidP="00342622">
      <w:pPr>
        <w:spacing w:after="0" w:line="240" w:lineRule="auto"/>
        <w:rPr>
          <w:rFonts w:ascii="Times New Roman" w:eastAsia="Times New Roman" w:hAnsi="Times New Roman"/>
        </w:rPr>
      </w:pPr>
    </w:p>
    <w:p w14:paraId="5242E9B9" w14:textId="77777777" w:rsidR="00342622" w:rsidRPr="00907D70" w:rsidRDefault="00342622" w:rsidP="00342622">
      <w:pPr>
        <w:spacing w:after="0" w:line="240" w:lineRule="auto"/>
        <w:rPr>
          <w:rFonts w:ascii="Times New Roman" w:eastAsia="Times New Roman" w:hAnsi="Times New Roman"/>
        </w:rPr>
      </w:pPr>
    </w:p>
    <w:p w14:paraId="6C0D3173" w14:textId="77777777" w:rsidR="00342622" w:rsidRPr="00907D70" w:rsidRDefault="00342622" w:rsidP="00342622">
      <w:pPr>
        <w:spacing w:after="0" w:line="240" w:lineRule="auto"/>
        <w:rPr>
          <w:rFonts w:ascii="Times New Roman" w:eastAsia="Times New Roman" w:hAnsi="Times New Roman"/>
        </w:rPr>
      </w:pPr>
    </w:p>
    <w:p w14:paraId="512F0169" w14:textId="77777777" w:rsidR="00342622" w:rsidRPr="00907D70" w:rsidRDefault="00342622" w:rsidP="00342622">
      <w:pPr>
        <w:spacing w:after="0" w:line="240" w:lineRule="auto"/>
        <w:rPr>
          <w:rFonts w:ascii="Times New Roman" w:eastAsia="Times New Roman" w:hAnsi="Times New Roman"/>
        </w:rPr>
      </w:pPr>
    </w:p>
    <w:p w14:paraId="13560412" w14:textId="77777777" w:rsidR="00342622" w:rsidRPr="00907D70" w:rsidRDefault="00342622" w:rsidP="00342622">
      <w:pPr>
        <w:spacing w:after="0" w:line="240" w:lineRule="auto"/>
        <w:rPr>
          <w:rFonts w:ascii="Times New Roman" w:eastAsia="Times New Roman" w:hAnsi="Times New Roman"/>
        </w:rPr>
      </w:pPr>
    </w:p>
    <w:p w14:paraId="65E6E1BB" w14:textId="77777777" w:rsidR="00342622" w:rsidRPr="00907D70" w:rsidRDefault="00342622" w:rsidP="00342622">
      <w:pPr>
        <w:spacing w:after="0" w:line="240" w:lineRule="auto"/>
        <w:rPr>
          <w:rFonts w:ascii="Times New Roman" w:eastAsia="Times New Roman" w:hAnsi="Times New Roman"/>
        </w:rPr>
      </w:pPr>
    </w:p>
    <w:p w14:paraId="656EAFCD" w14:textId="77777777" w:rsidR="00342622" w:rsidRPr="00907D70" w:rsidRDefault="00342622" w:rsidP="00342622">
      <w:pPr>
        <w:spacing w:after="0" w:line="240" w:lineRule="auto"/>
        <w:rPr>
          <w:rFonts w:ascii="Times New Roman" w:eastAsia="Times New Roman" w:hAnsi="Times New Roman"/>
        </w:rPr>
      </w:pPr>
    </w:p>
    <w:p w14:paraId="625B48C0" w14:textId="77777777" w:rsidR="00342622" w:rsidRPr="00907D70" w:rsidRDefault="00342622" w:rsidP="00342622">
      <w:pPr>
        <w:spacing w:after="0" w:line="240" w:lineRule="auto"/>
        <w:rPr>
          <w:rFonts w:ascii="Times New Roman" w:eastAsia="Times New Roman" w:hAnsi="Times New Roman"/>
        </w:rPr>
      </w:pPr>
    </w:p>
    <w:p w14:paraId="6302E290" w14:textId="77777777" w:rsidR="00342622" w:rsidRPr="00907D70" w:rsidRDefault="00342622" w:rsidP="00342622">
      <w:pPr>
        <w:spacing w:after="0" w:line="240" w:lineRule="auto"/>
        <w:rPr>
          <w:rFonts w:ascii="Times New Roman" w:eastAsia="Times New Roman" w:hAnsi="Times New Roman"/>
        </w:rPr>
      </w:pPr>
    </w:p>
    <w:p w14:paraId="00BA8EF9" w14:textId="77777777" w:rsidR="00342622" w:rsidRPr="00907D70" w:rsidRDefault="00342622" w:rsidP="00342622">
      <w:pPr>
        <w:spacing w:after="0" w:line="240" w:lineRule="auto"/>
        <w:jc w:val="center"/>
        <w:rPr>
          <w:rFonts w:ascii="Times New Roman" w:eastAsia="Times New Roman" w:hAnsi="Times New Roman"/>
          <w:b/>
        </w:rPr>
      </w:pPr>
      <w:bookmarkStart w:id="1" w:name="_Toc129243096"/>
      <w:bookmarkStart w:id="2" w:name="_Toc129243221"/>
    </w:p>
    <w:p w14:paraId="100BA613" w14:textId="477139D7" w:rsidR="00342622" w:rsidRPr="00907D70" w:rsidRDefault="00342622" w:rsidP="00342622">
      <w:pPr>
        <w:spacing w:after="0" w:line="240" w:lineRule="auto"/>
        <w:jc w:val="center"/>
        <w:rPr>
          <w:rFonts w:ascii="Times New Roman" w:eastAsia="Times New Roman" w:hAnsi="Times New Roman"/>
          <w:b/>
        </w:rPr>
      </w:pPr>
      <w:r w:rsidRPr="00907D70">
        <w:rPr>
          <w:rFonts w:ascii="Times New Roman" w:eastAsia="Times New Roman" w:hAnsi="Times New Roman"/>
          <w:b/>
        </w:rPr>
        <w:t>I PRIEDAS</w:t>
      </w:r>
      <w:bookmarkEnd w:id="1"/>
      <w:bookmarkEnd w:id="2"/>
    </w:p>
    <w:p w14:paraId="29EEE28C" w14:textId="77777777" w:rsidR="00342622" w:rsidRPr="00907D70" w:rsidRDefault="00342622" w:rsidP="00342622">
      <w:pPr>
        <w:spacing w:after="0" w:line="240" w:lineRule="auto"/>
        <w:jc w:val="center"/>
        <w:rPr>
          <w:rFonts w:ascii="Times New Roman" w:eastAsia="Times New Roman" w:hAnsi="Times New Roman"/>
          <w:b/>
        </w:rPr>
      </w:pPr>
    </w:p>
    <w:p w14:paraId="4C75EA51" w14:textId="77777777" w:rsidR="00342622" w:rsidRPr="00907D70" w:rsidRDefault="00342622" w:rsidP="00342622">
      <w:pPr>
        <w:spacing w:after="0" w:line="240" w:lineRule="auto"/>
        <w:jc w:val="center"/>
        <w:rPr>
          <w:rFonts w:ascii="Times New Roman" w:eastAsia="Times New Roman" w:hAnsi="Times New Roman"/>
          <w:b/>
        </w:rPr>
      </w:pPr>
      <w:bookmarkStart w:id="3" w:name="_Toc129243097"/>
      <w:bookmarkStart w:id="4" w:name="_Toc129243222"/>
      <w:r w:rsidRPr="00907D70">
        <w:rPr>
          <w:rFonts w:ascii="Times New Roman" w:eastAsia="Times New Roman" w:hAnsi="Times New Roman"/>
          <w:b/>
        </w:rPr>
        <w:t>PREPARATO CHARAKTERISTIKŲ SANTRAUKA</w:t>
      </w:r>
      <w:bookmarkEnd w:id="3"/>
      <w:bookmarkEnd w:id="4"/>
    </w:p>
    <w:p w14:paraId="62AAF243" w14:textId="77777777" w:rsidR="00342622" w:rsidRPr="00907D70" w:rsidRDefault="00342622" w:rsidP="00342622">
      <w:pPr>
        <w:spacing w:after="0" w:line="240" w:lineRule="auto"/>
        <w:jc w:val="center"/>
        <w:rPr>
          <w:rFonts w:ascii="Times New Roman" w:eastAsia="Times New Roman" w:hAnsi="Times New Roman"/>
          <w:b/>
        </w:rPr>
      </w:pPr>
    </w:p>
    <w:p w14:paraId="531CEBC6" w14:textId="77777777" w:rsidR="00342622" w:rsidRPr="00907D70" w:rsidRDefault="00342622" w:rsidP="00342622">
      <w:pPr>
        <w:spacing w:after="0" w:line="240" w:lineRule="auto"/>
        <w:ind w:left="540" w:hanging="540"/>
        <w:rPr>
          <w:rFonts w:ascii="Times New Roman" w:eastAsia="Times New Roman" w:hAnsi="Times New Roman"/>
          <w:bCs/>
          <w:iCs/>
        </w:rPr>
      </w:pPr>
      <w:r w:rsidRPr="00907D70">
        <w:rPr>
          <w:rFonts w:ascii="Times New Roman" w:eastAsia="Times New Roman" w:hAnsi="Times New Roman"/>
          <w:bCs/>
          <w:iCs/>
        </w:rPr>
        <w:br w:type="page"/>
      </w:r>
      <w:bookmarkStart w:id="5" w:name="_Toc129243098"/>
      <w:bookmarkStart w:id="6" w:name="_Toc129243223"/>
    </w:p>
    <w:p w14:paraId="78B97301"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lastRenderedPageBreak/>
        <w:t>1.</w:t>
      </w:r>
      <w:r w:rsidRPr="00907D70">
        <w:rPr>
          <w:rFonts w:ascii="Times New Roman" w:eastAsia="Times New Roman" w:hAnsi="Times New Roman"/>
          <w:b/>
        </w:rPr>
        <w:tab/>
        <w:t>VAISTINIO PREPARATO PAVADINIMAS</w:t>
      </w:r>
    </w:p>
    <w:p w14:paraId="7D7DD9A2" w14:textId="77777777" w:rsidR="00342622" w:rsidRPr="00907D70" w:rsidRDefault="00342622" w:rsidP="00342622">
      <w:pPr>
        <w:spacing w:after="0" w:line="240" w:lineRule="auto"/>
        <w:rPr>
          <w:rFonts w:ascii="Times New Roman" w:eastAsia="Times New Roman" w:hAnsi="Times New Roman"/>
        </w:rPr>
      </w:pPr>
    </w:p>
    <w:p w14:paraId="601307D2"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200 mg/50 mg plėvele dengtos tabletės</w:t>
      </w:r>
    </w:p>
    <w:p w14:paraId="551FF9C0" w14:textId="77777777" w:rsidR="00342622" w:rsidRPr="00907D70" w:rsidRDefault="00342622" w:rsidP="00342622">
      <w:pPr>
        <w:spacing w:after="0" w:line="240" w:lineRule="auto"/>
        <w:rPr>
          <w:rFonts w:ascii="Times New Roman" w:eastAsia="Times New Roman" w:hAnsi="Times New Roman"/>
        </w:rPr>
      </w:pPr>
    </w:p>
    <w:p w14:paraId="46BD1B42" w14:textId="77777777" w:rsidR="00342622" w:rsidRPr="00907D70" w:rsidRDefault="00342622" w:rsidP="00342622">
      <w:pPr>
        <w:spacing w:after="0" w:line="240" w:lineRule="auto"/>
        <w:rPr>
          <w:rFonts w:ascii="Times New Roman" w:eastAsia="Times New Roman" w:hAnsi="Times New Roman"/>
        </w:rPr>
      </w:pPr>
    </w:p>
    <w:p w14:paraId="5FCB8B04"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t>2.</w:t>
      </w:r>
      <w:r w:rsidRPr="00907D70">
        <w:rPr>
          <w:rFonts w:ascii="Times New Roman" w:eastAsia="Times New Roman" w:hAnsi="Times New Roman"/>
          <w:b/>
        </w:rPr>
        <w:tab/>
        <w:t>KOKYBINĖ IR KIEKYBINĖ SUDĖTIS</w:t>
      </w:r>
    </w:p>
    <w:p w14:paraId="1EA102B4" w14:textId="77777777" w:rsidR="00342622" w:rsidRPr="00907D70" w:rsidRDefault="00342622" w:rsidP="00342622">
      <w:pPr>
        <w:spacing w:after="0" w:line="240" w:lineRule="auto"/>
        <w:rPr>
          <w:rFonts w:ascii="Times New Roman" w:eastAsia="Times New Roman" w:hAnsi="Times New Roman"/>
        </w:rPr>
      </w:pPr>
    </w:p>
    <w:p w14:paraId="21F17C99"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Kiekvienoje plėvele dengtoje tabletėje yra 200 mg lopinaviro kartu su 50 mg ritonaviro farmakokinetikai sustiprinti.</w:t>
      </w:r>
    </w:p>
    <w:p w14:paraId="4845BED1" w14:textId="77777777" w:rsidR="00342622" w:rsidRPr="00907D70" w:rsidRDefault="00342622" w:rsidP="00342622">
      <w:pPr>
        <w:spacing w:after="0" w:line="240" w:lineRule="auto"/>
        <w:rPr>
          <w:rFonts w:ascii="Times New Roman" w:eastAsia="Times New Roman" w:hAnsi="Times New Roman"/>
        </w:rPr>
      </w:pPr>
    </w:p>
    <w:p w14:paraId="36B62B79"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Visos pagalbinės medžiagos išvardytos 6.1 skyriuje.</w:t>
      </w:r>
    </w:p>
    <w:p w14:paraId="05AE88BE" w14:textId="77777777" w:rsidR="00342622" w:rsidRPr="00907D70" w:rsidRDefault="00342622" w:rsidP="00342622">
      <w:pPr>
        <w:spacing w:after="0" w:line="240" w:lineRule="auto"/>
        <w:rPr>
          <w:rFonts w:ascii="Times New Roman" w:eastAsia="Times New Roman" w:hAnsi="Times New Roman"/>
        </w:rPr>
      </w:pPr>
    </w:p>
    <w:p w14:paraId="13C094F4" w14:textId="77777777" w:rsidR="00342622" w:rsidRPr="00907D70" w:rsidRDefault="00342622" w:rsidP="00342622">
      <w:pPr>
        <w:spacing w:after="0" w:line="240" w:lineRule="auto"/>
        <w:rPr>
          <w:rFonts w:ascii="Times New Roman" w:eastAsia="Times New Roman" w:hAnsi="Times New Roman"/>
        </w:rPr>
      </w:pPr>
    </w:p>
    <w:p w14:paraId="5E1F0365"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t>3.</w:t>
      </w:r>
      <w:r w:rsidRPr="00907D70">
        <w:rPr>
          <w:rFonts w:ascii="Times New Roman" w:eastAsia="Times New Roman" w:hAnsi="Times New Roman"/>
          <w:b/>
        </w:rPr>
        <w:tab/>
        <w:t>FARMACINĖ FORMA</w:t>
      </w:r>
    </w:p>
    <w:p w14:paraId="66D220B7" w14:textId="77777777" w:rsidR="00342622" w:rsidRPr="00907D70" w:rsidRDefault="00342622" w:rsidP="00342622">
      <w:pPr>
        <w:spacing w:after="0" w:line="240" w:lineRule="auto"/>
        <w:rPr>
          <w:rFonts w:ascii="Times New Roman" w:eastAsia="Times New Roman" w:hAnsi="Times New Roman"/>
        </w:rPr>
      </w:pPr>
    </w:p>
    <w:p w14:paraId="263E0352"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Plėvele dengta tabletė.</w:t>
      </w:r>
    </w:p>
    <w:p w14:paraId="3412176A" w14:textId="77777777" w:rsidR="00342622" w:rsidRPr="00907D70" w:rsidRDefault="00342622" w:rsidP="00342622">
      <w:pPr>
        <w:spacing w:after="0" w:line="240" w:lineRule="auto"/>
        <w:rPr>
          <w:rFonts w:ascii="Times New Roman" w:eastAsia="Times New Roman" w:hAnsi="Times New Roman"/>
        </w:rPr>
      </w:pPr>
    </w:p>
    <w:p w14:paraId="351900F2"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tabletės yra geltonos, ovalios, abipus išgaubtos, dengtos plėvele, maždaug 19 mm ilgio ir 10,2 mm pločio, vienoje jų pusėje įspausta „H“, kitoje − „L3“.</w:t>
      </w:r>
    </w:p>
    <w:p w14:paraId="1B4609AD" w14:textId="77777777" w:rsidR="00342622" w:rsidRPr="00907D70" w:rsidRDefault="00342622" w:rsidP="00342622">
      <w:pPr>
        <w:spacing w:after="0" w:line="240" w:lineRule="auto"/>
        <w:rPr>
          <w:rFonts w:ascii="Times New Roman" w:eastAsia="Times New Roman" w:hAnsi="Times New Roman"/>
        </w:rPr>
      </w:pPr>
    </w:p>
    <w:p w14:paraId="68EDE971" w14:textId="77777777" w:rsidR="00342622" w:rsidRPr="00907D70" w:rsidRDefault="00342622" w:rsidP="00342622">
      <w:pPr>
        <w:spacing w:after="0" w:line="240" w:lineRule="auto"/>
        <w:rPr>
          <w:rFonts w:ascii="Times New Roman" w:eastAsia="Times New Roman" w:hAnsi="Times New Roman"/>
        </w:rPr>
      </w:pPr>
    </w:p>
    <w:p w14:paraId="0A218BB7"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t>4.</w:t>
      </w:r>
      <w:r w:rsidRPr="00907D70">
        <w:rPr>
          <w:rFonts w:ascii="Times New Roman" w:eastAsia="Times New Roman" w:hAnsi="Times New Roman"/>
          <w:b/>
        </w:rPr>
        <w:tab/>
        <w:t>KLINIKINĖ INFORMACIJA</w:t>
      </w:r>
    </w:p>
    <w:p w14:paraId="43F9A207" w14:textId="77777777" w:rsidR="00342622" w:rsidRPr="00907D70" w:rsidRDefault="00342622" w:rsidP="00342622">
      <w:pPr>
        <w:spacing w:after="0" w:line="240" w:lineRule="auto"/>
        <w:rPr>
          <w:rFonts w:ascii="Times New Roman" w:eastAsia="Times New Roman" w:hAnsi="Times New Roman"/>
        </w:rPr>
      </w:pPr>
    </w:p>
    <w:p w14:paraId="5AC9C95F"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t>4.1</w:t>
      </w:r>
      <w:r w:rsidRPr="00907D70">
        <w:rPr>
          <w:rFonts w:ascii="Times New Roman" w:eastAsia="Times New Roman" w:hAnsi="Times New Roman"/>
          <w:b/>
        </w:rPr>
        <w:tab/>
        <w:t>Terapinės indikacijos</w:t>
      </w:r>
    </w:p>
    <w:p w14:paraId="0A3F31C2" w14:textId="77777777" w:rsidR="00342622" w:rsidRPr="00907D70" w:rsidRDefault="00342622" w:rsidP="00342622">
      <w:pPr>
        <w:spacing w:after="0" w:line="240" w:lineRule="auto"/>
        <w:rPr>
          <w:rFonts w:ascii="Times New Roman" w:eastAsia="Times New Roman" w:hAnsi="Times New Roman"/>
        </w:rPr>
      </w:pPr>
    </w:p>
    <w:p w14:paraId="356496B3"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rPr>
        <w:t>Lopinavir / Ritonavir Accord yra skirtas derinyje</w:t>
      </w:r>
      <w:r w:rsidRPr="00907D70">
        <w:rPr>
          <w:rFonts w:ascii="Times New Roman" w:eastAsia="Times New Roman" w:hAnsi="Times New Roman"/>
          <w:color w:val="000000"/>
        </w:rPr>
        <w:t xml:space="preserve"> su kitais antiretrovirusiniais vaistiniais preparatais žmogaus imunodeficito virusu (ŽIV-1) infekuotiems suaugusiesiems, paaugliams ir vyresniems kaip 2 metų vaikams gydyti.</w:t>
      </w:r>
    </w:p>
    <w:p w14:paraId="6EF625D8"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p w14:paraId="7416C0F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rPr>
        <w:t xml:space="preserve">Pasirinkimas Lopinavir / Ritonavir Accord gydyti </w:t>
      </w:r>
      <w:r w:rsidRPr="00907D70">
        <w:rPr>
          <w:rFonts w:ascii="Times New Roman" w:eastAsia="Times New Roman" w:hAnsi="Times New Roman"/>
          <w:color w:val="000000"/>
        </w:rPr>
        <w:t>ŽIV-1 infekuotus ir proteazių inhibitoriais gydytus pacientus turi būti pagrįstas individualiu viruso atsparumo tyrimu ir paciento gydymo anamneze (žr. 4.4 ir 5.1 skyrius).</w:t>
      </w:r>
    </w:p>
    <w:p w14:paraId="27F66495" w14:textId="77777777" w:rsidR="00342622" w:rsidRPr="00907D70" w:rsidRDefault="00342622" w:rsidP="00342622">
      <w:pPr>
        <w:autoSpaceDE w:val="0"/>
        <w:autoSpaceDN w:val="0"/>
        <w:adjustRightInd w:val="0"/>
        <w:spacing w:after="0" w:line="240" w:lineRule="auto"/>
        <w:rPr>
          <w:rFonts w:ascii="Times New Roman" w:eastAsia="Times New Roman" w:hAnsi="Times New Roman"/>
          <w:lang w:eastAsia="lt-LT"/>
        </w:rPr>
      </w:pPr>
    </w:p>
    <w:p w14:paraId="327D644C" w14:textId="77777777" w:rsidR="00342622" w:rsidRPr="00907D70" w:rsidRDefault="00342622" w:rsidP="00342622">
      <w:pPr>
        <w:spacing w:after="0" w:line="240" w:lineRule="auto"/>
        <w:ind w:left="540" w:hanging="540"/>
        <w:rPr>
          <w:rFonts w:ascii="Times New Roman" w:eastAsia="Times New Roman" w:hAnsi="Times New Roman"/>
          <w:b/>
        </w:rPr>
      </w:pPr>
      <w:r w:rsidRPr="00907D70">
        <w:rPr>
          <w:rFonts w:ascii="Times New Roman" w:eastAsia="Times New Roman" w:hAnsi="Times New Roman"/>
          <w:b/>
        </w:rPr>
        <w:t>4.2</w:t>
      </w:r>
      <w:r w:rsidRPr="00907D70">
        <w:rPr>
          <w:rFonts w:ascii="Times New Roman" w:eastAsia="Times New Roman" w:hAnsi="Times New Roman"/>
          <w:b/>
        </w:rPr>
        <w:tab/>
        <w:t>Dozavimas ir vartojimo metodas</w:t>
      </w:r>
    </w:p>
    <w:p w14:paraId="0F7D8BFB" w14:textId="77777777" w:rsidR="00342622" w:rsidRPr="00907D70" w:rsidRDefault="00342622" w:rsidP="00342622">
      <w:pPr>
        <w:spacing w:after="0" w:line="240" w:lineRule="auto"/>
        <w:rPr>
          <w:rFonts w:ascii="Times New Roman" w:eastAsia="Times New Roman" w:hAnsi="Times New Roman"/>
        </w:rPr>
      </w:pPr>
    </w:p>
    <w:p w14:paraId="5E6FE3E3"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SimSun" w:hAnsi="Times New Roman"/>
          <w:color w:val="000000"/>
          <w:lang w:eastAsia="zh-CN"/>
        </w:rPr>
        <w:t xml:space="preserve">Lopinavir / Ritonavir Accord turi skirti gydytojas, </w:t>
      </w:r>
      <w:r w:rsidRPr="00907D70">
        <w:rPr>
          <w:rFonts w:ascii="Times New Roman" w:eastAsia="SimSun" w:hAnsi="Times New Roman"/>
          <w:color w:val="000000"/>
          <w:lang w:eastAsia="lt-LT"/>
        </w:rPr>
        <w:t xml:space="preserve">turintis </w:t>
      </w:r>
      <w:r w:rsidRPr="00907D70">
        <w:rPr>
          <w:rFonts w:ascii="Times New Roman" w:eastAsia="Times New Roman" w:hAnsi="Times New Roman"/>
          <w:color w:val="000000"/>
        </w:rPr>
        <w:t xml:space="preserve">ŽIV infekcijos gydymo patirties. </w:t>
      </w:r>
    </w:p>
    <w:p w14:paraId="05867527" w14:textId="77777777" w:rsidR="00342622" w:rsidRPr="00907D70" w:rsidRDefault="00342622" w:rsidP="00342622">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Lopinavir / Ritonavir Accord </w:t>
      </w:r>
      <w:r w:rsidRPr="00907D70">
        <w:rPr>
          <w:rFonts w:ascii="Times New Roman" w:eastAsia="Times New Roman" w:hAnsi="Times New Roman"/>
          <w:color w:val="000000"/>
          <w:lang w:eastAsia="zh-CN"/>
        </w:rPr>
        <w:t>tabletę reikia nuryti nepažeistą, jų negalima kramtyti, laužyti ar traiškyti</w:t>
      </w:r>
      <w:r w:rsidRPr="00907D70">
        <w:rPr>
          <w:rFonts w:ascii="Times New Roman" w:eastAsia="SimSun" w:hAnsi="Times New Roman"/>
          <w:color w:val="000000"/>
          <w:lang w:eastAsia="zh-CN"/>
        </w:rPr>
        <w:t>.</w:t>
      </w:r>
    </w:p>
    <w:p w14:paraId="12490C0C" w14:textId="77777777" w:rsidR="00342622" w:rsidRPr="00907D70" w:rsidRDefault="00342622" w:rsidP="00342622">
      <w:pPr>
        <w:spacing w:after="0" w:line="240" w:lineRule="auto"/>
        <w:rPr>
          <w:rFonts w:ascii="Times New Roman" w:eastAsia="Times New Roman" w:hAnsi="Times New Roman"/>
        </w:rPr>
      </w:pPr>
    </w:p>
    <w:p w14:paraId="175FE8A7" w14:textId="77777777" w:rsidR="00342622" w:rsidRPr="00907D70" w:rsidRDefault="00342622" w:rsidP="00342622">
      <w:pPr>
        <w:autoSpaceDE w:val="0"/>
        <w:autoSpaceDN w:val="0"/>
        <w:adjustRightInd w:val="0"/>
        <w:spacing w:after="0" w:line="240" w:lineRule="auto"/>
        <w:rPr>
          <w:rFonts w:ascii="Times New Roman" w:eastAsia="Times New Roman" w:hAnsi="Times New Roman"/>
          <w:u w:val="single"/>
        </w:rPr>
      </w:pPr>
      <w:r w:rsidRPr="00907D70">
        <w:rPr>
          <w:rFonts w:ascii="Times New Roman" w:eastAsia="Times New Roman" w:hAnsi="Times New Roman"/>
          <w:u w:val="single"/>
        </w:rPr>
        <w:t>Dozavimas</w:t>
      </w:r>
    </w:p>
    <w:p w14:paraId="556CFC4C"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iCs/>
        </w:rPr>
        <w:t>Suaugusiesiems ir paaugliams</w:t>
      </w:r>
      <w:r w:rsidRPr="00907D70">
        <w:rPr>
          <w:rFonts w:ascii="Times New Roman" w:eastAsia="Times New Roman" w:hAnsi="Times New Roman"/>
        </w:rPr>
        <w:t>: rekomenduojama standartinė Lopinavir / Ritonavir Accord tablečių dozė yra 400/100 mg (dvi 200/50 mg tabletės) du kartus per parą valgant arba ne valgio metu. Suaugusiems pacientams, tais atvejais, kai laikoma, kad pacientui gydyti reikalinga vaistinio preparato vartoti kartą per parą, galima skirti Lopinavir / Ritonavir Accord 800/200 mg (keturias 200/50 mg tabletes) kartą per parą valgant ar ne valgio metu. Vieną kartą per parą vartojama dozė turi būti skiriama tik tiems suaugusiems pacientams, kuriems yra labai mažai su proteazių inhibitoriais (PI) susijusių mutacijų (t. y. mažiau kaip 3 mutacijos iš eilės klinikinio tyrimo metu, informacija apie populiaciją pilnai pateikiama 5.1 skyriuje). Taip pat visada reikia atsižvelgti į virusologinio slopinimo mažesnio išlaikymo (žr. 5.1 skyrių) ir didesnės viduriavimo tikimybės (žr. 4.8 skyrių) riziką, lyginant su rekomenduojamu standartiniu dozavimu du kartus per parą. Rinkoje yra geriamųjų tirpalų, skirtų pacientams, kuriems sunku ryti.</w:t>
      </w:r>
    </w:p>
    <w:p w14:paraId="5117E133" w14:textId="77777777" w:rsidR="00342622" w:rsidRPr="00907D70" w:rsidRDefault="00342622" w:rsidP="00342622">
      <w:pPr>
        <w:tabs>
          <w:tab w:val="left" w:pos="567"/>
        </w:tabs>
        <w:spacing w:after="0" w:line="240" w:lineRule="auto"/>
        <w:rPr>
          <w:rFonts w:ascii="Times New Roman" w:eastAsia="Times New Roman" w:hAnsi="Times New Roman"/>
          <w:lang w:eastAsia="lt-LT"/>
        </w:rPr>
      </w:pPr>
    </w:p>
    <w:p w14:paraId="1C274975"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rPr>
      </w:pPr>
      <w:r w:rsidRPr="00907D70">
        <w:rPr>
          <w:rFonts w:ascii="Times New Roman" w:eastAsia="Times New Roman" w:hAnsi="Times New Roman"/>
          <w:i/>
          <w:iCs/>
          <w:color w:val="000000"/>
        </w:rPr>
        <w:t xml:space="preserve">Vaikų populiacija </w:t>
      </w:r>
    </w:p>
    <w:p w14:paraId="2A39BE82"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i/>
          <w:iCs/>
          <w:color w:val="000000"/>
        </w:rPr>
        <w:t>Vartojimas vaikams (2 metų amžiaus ir vyresniems)</w:t>
      </w:r>
      <w:r w:rsidRPr="00907D70">
        <w:rPr>
          <w:rFonts w:ascii="Times New Roman" w:eastAsia="Times New Roman" w:hAnsi="Times New Roman"/>
          <w:color w:val="000000"/>
        </w:rPr>
        <w:t xml:space="preserve">: suaugusiesiems skirtą </w:t>
      </w:r>
      <w:r w:rsidRPr="00907D70">
        <w:rPr>
          <w:rFonts w:ascii="Times New Roman" w:eastAsia="Times New Roman" w:hAnsi="Times New Roman"/>
        </w:rPr>
        <w:t xml:space="preserve">Lopinavir / Ritonavir Accord </w:t>
      </w:r>
      <w:r w:rsidRPr="00907D70">
        <w:rPr>
          <w:rFonts w:ascii="Times New Roman" w:eastAsia="Times New Roman" w:hAnsi="Times New Roman"/>
          <w:color w:val="000000"/>
        </w:rPr>
        <w:t>tablečių dozę (400/100 mg du kartus per parą) gali vartoti vaikai, sveriantys 40 kg ir daugiau arba vaikai, kurių kūno paviršiaus plotas (KPP)* yra didesnis už 1,4 m</w:t>
      </w:r>
      <w:r w:rsidRPr="00907D70">
        <w:rPr>
          <w:rFonts w:ascii="Times New Roman" w:eastAsia="Times New Roman" w:hAnsi="Times New Roman"/>
          <w:color w:val="000000"/>
          <w:vertAlign w:val="superscript"/>
        </w:rPr>
        <w:t>2</w:t>
      </w:r>
      <w:r w:rsidRPr="00907D70">
        <w:rPr>
          <w:rFonts w:ascii="Times New Roman" w:eastAsia="Times New Roman" w:hAnsi="Times New Roman"/>
          <w:color w:val="000000"/>
        </w:rPr>
        <w:t>. 200 mg/50 mg tablečių nėra tinkamos vaikams, sveriantiems mažiau kaip 40 kg arba kurių KPP yra 0,5</w:t>
      </w:r>
      <w:r w:rsidRPr="00907D70">
        <w:rPr>
          <w:rFonts w:ascii="Times New Roman" w:eastAsia="Times New Roman" w:hAnsi="Times New Roman"/>
          <w:color w:val="000000"/>
        </w:rPr>
        <w:noBreakHyphen/>
        <w:t>1,4 m</w:t>
      </w:r>
      <w:r w:rsidRPr="00907D70">
        <w:rPr>
          <w:rFonts w:ascii="Times New Roman" w:eastAsia="Times New Roman" w:hAnsi="Times New Roman"/>
          <w:color w:val="000000"/>
          <w:vertAlign w:val="superscript"/>
        </w:rPr>
        <w:t>2</w:t>
      </w:r>
      <w:r w:rsidRPr="00907D70">
        <w:rPr>
          <w:rFonts w:ascii="Times New Roman" w:eastAsia="Times New Roman" w:hAnsi="Times New Roman"/>
          <w:color w:val="000000"/>
        </w:rPr>
        <w:t xml:space="preserve">. Remiantis šiuo </w:t>
      </w:r>
      <w:r w:rsidRPr="00907D70">
        <w:rPr>
          <w:rFonts w:ascii="Times New Roman" w:eastAsia="Times New Roman" w:hAnsi="Times New Roman"/>
          <w:color w:val="000000"/>
        </w:rPr>
        <w:lastRenderedPageBreak/>
        <w:t xml:space="preserve">metu turimais duomenimis </w:t>
      </w:r>
      <w:r w:rsidRPr="00907D70">
        <w:rPr>
          <w:rFonts w:ascii="Times New Roman" w:eastAsia="Times New Roman" w:hAnsi="Times New Roman"/>
        </w:rPr>
        <w:t>Lopinavir / Ritonavir Accord neturi būti skiriamas</w:t>
      </w:r>
      <w:r w:rsidRPr="00907D70">
        <w:rPr>
          <w:rFonts w:ascii="Times New Roman" w:eastAsia="Times New Roman" w:hAnsi="Times New Roman"/>
          <w:color w:val="000000"/>
        </w:rPr>
        <w:t xml:space="preserve"> kartą per parą vaikų populiacijos pacientams (žr. 5.1 skyrių). </w:t>
      </w:r>
    </w:p>
    <w:p w14:paraId="044E5321"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p w14:paraId="4BD7BA8E"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 xml:space="preserve">*Kūno paviršiaus plotą galima apskaičiuoti pagal šią formulę: </w:t>
      </w:r>
    </w:p>
    <w:p w14:paraId="2E1CC1D0"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KPP (m</w:t>
      </w:r>
      <w:r w:rsidRPr="00907D70">
        <w:rPr>
          <w:rFonts w:ascii="Times New Roman" w:eastAsia="Times New Roman" w:hAnsi="Times New Roman"/>
          <w:color w:val="000000"/>
          <w:vertAlign w:val="superscript"/>
        </w:rPr>
        <w:t>2</w:t>
      </w:r>
      <w:r w:rsidRPr="00907D70">
        <w:rPr>
          <w:rFonts w:ascii="Times New Roman" w:eastAsia="Times New Roman" w:hAnsi="Times New Roman"/>
          <w:color w:val="000000"/>
        </w:rPr>
        <w:t xml:space="preserve">) = √ (ūgis (cm) × kūno svoris (kg) / 3600) </w:t>
      </w:r>
    </w:p>
    <w:p w14:paraId="20441571"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rPr>
      </w:pPr>
    </w:p>
    <w:p w14:paraId="6EF75176"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i/>
          <w:iCs/>
          <w:color w:val="000000"/>
        </w:rPr>
        <w:t>Jaunesniems kaip 2 metų vaikams</w:t>
      </w:r>
      <w:r w:rsidRPr="00907D70">
        <w:rPr>
          <w:rFonts w:ascii="Times New Roman" w:eastAsia="Times New Roman" w:hAnsi="Times New Roman"/>
          <w:color w:val="000000"/>
        </w:rPr>
        <w:t xml:space="preserve">. Lopinavir / Ritonavir Accord saugumas ir veiksmingumas jaunesniems kaip 2 metų vaikams dar neištirti. </w:t>
      </w:r>
      <w:r w:rsidRPr="00907D70">
        <w:rPr>
          <w:rFonts w:ascii="Times New Roman" w:eastAsia="Times New Roman" w:hAnsi="Times New Roman"/>
        </w:rPr>
        <w:t>Turimi duomenys pateikiami 5.2 skyriuje, tačiau dozavimo rekomendacijų pateikti negalima</w:t>
      </w:r>
      <w:r w:rsidRPr="00907D70">
        <w:rPr>
          <w:rFonts w:ascii="Times New Roman" w:eastAsia="Times New Roman" w:hAnsi="Times New Roman"/>
          <w:color w:val="000000"/>
        </w:rPr>
        <w:t xml:space="preserve">. </w:t>
      </w:r>
    </w:p>
    <w:p w14:paraId="20FD0BAA"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rPr>
      </w:pPr>
    </w:p>
    <w:p w14:paraId="26B52C89"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i/>
          <w:iCs/>
          <w:color w:val="000000"/>
        </w:rPr>
        <w:t xml:space="preserve">Kartu vartojami vaistiniai preparatai: efavirenzas ar nevirapinas </w:t>
      </w:r>
    </w:p>
    <w:p w14:paraId="0F7A4AF4"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 xml:space="preserve">Toliau lentelėje pateiktos Lopinavir / Ritonavir Accord tablečių dozavimo rekomendacijos pagal KPP vaikams, jeigu minėtų tablečių vartojama derinyje su efavirenzu ar nevirapinu. </w:t>
      </w:r>
    </w:p>
    <w:p w14:paraId="619A3B8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tbl>
      <w:tblPr>
        <w:tblW w:w="0" w:type="auto"/>
        <w:tblInd w:w="5" w:type="dxa"/>
        <w:tblLayout w:type="fixed"/>
        <w:tblCellMar>
          <w:top w:w="28" w:type="dxa"/>
          <w:left w:w="0" w:type="dxa"/>
          <w:bottom w:w="28" w:type="dxa"/>
          <w:right w:w="28" w:type="dxa"/>
        </w:tblCellMar>
        <w:tblLook w:val="0000" w:firstRow="0" w:lastRow="0" w:firstColumn="0" w:lastColumn="0" w:noHBand="0" w:noVBand="0"/>
      </w:tblPr>
      <w:tblGrid>
        <w:gridCol w:w="3925"/>
        <w:gridCol w:w="4184"/>
      </w:tblGrid>
      <w:tr w:rsidR="00342622" w:rsidRPr="00907D70" w14:paraId="43FB4FC8" w14:textId="77777777" w:rsidTr="00160402">
        <w:trPr>
          <w:trHeight w:hRule="exact" w:val="798"/>
        </w:trPr>
        <w:tc>
          <w:tcPr>
            <w:tcW w:w="8109" w:type="dxa"/>
            <w:gridSpan w:val="2"/>
            <w:tcBorders>
              <w:top w:val="single" w:sz="4" w:space="0" w:color="000000"/>
              <w:left w:val="single" w:sz="4" w:space="0" w:color="000000"/>
              <w:bottom w:val="single" w:sz="4" w:space="0" w:color="000000"/>
              <w:right w:val="single" w:sz="4" w:space="0" w:color="000000"/>
            </w:tcBorders>
          </w:tcPr>
          <w:p w14:paraId="74EB3995" w14:textId="77777777" w:rsidR="00342622" w:rsidRPr="00907D70" w:rsidRDefault="00342622" w:rsidP="0084240B">
            <w:pPr>
              <w:autoSpaceDE w:val="0"/>
              <w:autoSpaceDN w:val="0"/>
              <w:adjustRightInd w:val="0"/>
              <w:spacing w:before="9" w:after="0" w:line="110" w:lineRule="exact"/>
              <w:ind w:left="8"/>
              <w:rPr>
                <w:rFonts w:ascii="Times New Roman" w:eastAsia="Times New Roman" w:hAnsi="Times New Roman"/>
              </w:rPr>
            </w:pPr>
          </w:p>
          <w:tbl>
            <w:tblPr>
              <w:tblW w:w="0" w:type="auto"/>
              <w:jc w:val="center"/>
              <w:tblLayout w:type="fixed"/>
              <w:tblLook w:val="0000" w:firstRow="0" w:lastRow="0" w:firstColumn="0" w:lastColumn="0" w:noHBand="0" w:noVBand="0"/>
            </w:tblPr>
            <w:tblGrid>
              <w:gridCol w:w="7247"/>
            </w:tblGrid>
            <w:tr w:rsidR="00342622" w:rsidRPr="00907D70" w14:paraId="2DF30441" w14:textId="77777777" w:rsidTr="00E54F8A">
              <w:trPr>
                <w:trHeight w:val="277"/>
                <w:jc w:val="center"/>
              </w:trPr>
              <w:tc>
                <w:tcPr>
                  <w:tcW w:w="7247" w:type="dxa"/>
                </w:tcPr>
                <w:p w14:paraId="69783C69" w14:textId="77777777" w:rsidR="00D038C7" w:rsidRPr="00907D70" w:rsidRDefault="00342622" w:rsidP="00D038C7">
                  <w:pPr>
                    <w:autoSpaceDE w:val="0"/>
                    <w:autoSpaceDN w:val="0"/>
                    <w:adjustRightInd w:val="0"/>
                    <w:spacing w:after="0" w:line="240" w:lineRule="auto"/>
                    <w:ind w:right="-216"/>
                    <w:jc w:val="center"/>
                    <w:rPr>
                      <w:rFonts w:ascii="Times New Roman" w:eastAsia="Times New Roman" w:hAnsi="Times New Roman"/>
                      <w:b/>
                      <w:bCs/>
                      <w:color w:val="000000"/>
                    </w:rPr>
                  </w:pPr>
                  <w:r w:rsidRPr="00907D70">
                    <w:rPr>
                      <w:rFonts w:ascii="Times New Roman" w:eastAsia="Times New Roman" w:hAnsi="Times New Roman"/>
                      <w:b/>
                      <w:bCs/>
                      <w:color w:val="000000"/>
                    </w:rPr>
                    <w:t xml:space="preserve">Dozavimo rekomendacijos vaikams, kartu vartojantiems </w:t>
                  </w:r>
                </w:p>
                <w:p w14:paraId="7F0CED28" w14:textId="35BE881B" w:rsidR="00342622" w:rsidRPr="00907D70" w:rsidRDefault="00342622" w:rsidP="00E54F8A">
                  <w:pPr>
                    <w:autoSpaceDE w:val="0"/>
                    <w:autoSpaceDN w:val="0"/>
                    <w:adjustRightInd w:val="0"/>
                    <w:spacing w:after="0" w:line="240" w:lineRule="auto"/>
                    <w:ind w:right="-216"/>
                    <w:jc w:val="center"/>
                    <w:rPr>
                      <w:rFonts w:ascii="Times New Roman" w:eastAsia="Times New Roman" w:hAnsi="Times New Roman"/>
                      <w:color w:val="000000"/>
                    </w:rPr>
                  </w:pPr>
                  <w:r w:rsidRPr="00907D70">
                    <w:rPr>
                      <w:rFonts w:ascii="Times New Roman" w:eastAsia="Times New Roman" w:hAnsi="Times New Roman"/>
                      <w:b/>
                      <w:bCs/>
                      <w:color w:val="000000"/>
                    </w:rPr>
                    <w:t>efavirenzo ar nevirapino</w:t>
                  </w:r>
                </w:p>
              </w:tc>
            </w:tr>
          </w:tbl>
          <w:p w14:paraId="5EF6FAAB" w14:textId="77777777" w:rsidR="00342622" w:rsidRPr="00907D70" w:rsidRDefault="00342622" w:rsidP="0084240B">
            <w:pPr>
              <w:autoSpaceDE w:val="0"/>
              <w:autoSpaceDN w:val="0"/>
              <w:adjustRightInd w:val="0"/>
              <w:spacing w:after="0" w:line="240" w:lineRule="auto"/>
              <w:ind w:left="8" w:right="1701"/>
              <w:jc w:val="center"/>
              <w:rPr>
                <w:rFonts w:ascii="Times New Roman" w:eastAsia="Times New Roman" w:hAnsi="Times New Roman"/>
              </w:rPr>
            </w:pPr>
          </w:p>
        </w:tc>
      </w:tr>
      <w:tr w:rsidR="00342622" w:rsidRPr="00907D70" w14:paraId="01059B27" w14:textId="77777777" w:rsidTr="00160402">
        <w:trPr>
          <w:trHeight w:hRule="exact" w:val="739"/>
        </w:trPr>
        <w:tc>
          <w:tcPr>
            <w:tcW w:w="3925" w:type="dxa"/>
            <w:tcBorders>
              <w:top w:val="single" w:sz="4" w:space="0" w:color="000000"/>
              <w:left w:val="single" w:sz="4" w:space="0" w:color="000000"/>
              <w:bottom w:val="single" w:sz="4" w:space="0" w:color="000000"/>
              <w:right w:val="single" w:sz="4" w:space="0" w:color="000000"/>
            </w:tcBorders>
          </w:tcPr>
          <w:p w14:paraId="1B308772" w14:textId="77777777" w:rsidR="00342622" w:rsidRPr="00907D70" w:rsidRDefault="00342622" w:rsidP="00E54F8A">
            <w:pPr>
              <w:autoSpaceDE w:val="0"/>
              <w:autoSpaceDN w:val="0"/>
              <w:adjustRightInd w:val="0"/>
              <w:spacing w:before="92" w:after="0" w:line="240" w:lineRule="auto"/>
              <w:ind w:left="8" w:right="-20"/>
              <w:jc w:val="center"/>
              <w:rPr>
                <w:rFonts w:ascii="Times New Roman" w:eastAsia="Times New Roman" w:hAnsi="Times New Roman"/>
              </w:rPr>
            </w:pPr>
            <w:r w:rsidRPr="00907D70">
              <w:rPr>
                <w:rFonts w:ascii="Times New Roman" w:eastAsia="Times New Roman" w:hAnsi="Times New Roman"/>
              </w:rPr>
              <w:t>Kūno paviršiaus plotas (m</w:t>
            </w:r>
            <w:r w:rsidRPr="00907D70">
              <w:rPr>
                <w:rFonts w:ascii="Times New Roman" w:eastAsia="Times New Roman" w:hAnsi="Times New Roman"/>
                <w:vertAlign w:val="superscript"/>
              </w:rPr>
              <w:t>2</w:t>
            </w:r>
            <w:r w:rsidRPr="00907D70">
              <w:rPr>
                <w:rFonts w:ascii="Times New Roman" w:eastAsia="Times New Roman" w:hAnsi="Times New Roman"/>
              </w:rPr>
              <w:t>)</w:t>
            </w:r>
          </w:p>
        </w:tc>
        <w:tc>
          <w:tcPr>
            <w:tcW w:w="4184" w:type="dxa"/>
            <w:tcBorders>
              <w:top w:val="single" w:sz="4" w:space="0" w:color="000000"/>
              <w:left w:val="single" w:sz="4" w:space="0" w:color="000000"/>
              <w:bottom w:val="single" w:sz="4" w:space="0" w:color="000000"/>
              <w:right w:val="single" w:sz="4" w:space="0" w:color="000000"/>
            </w:tcBorders>
          </w:tcPr>
          <w:p w14:paraId="2FC8E773" w14:textId="77777777" w:rsidR="00342622" w:rsidRPr="00907D70" w:rsidRDefault="00342622" w:rsidP="0084240B">
            <w:pPr>
              <w:autoSpaceDE w:val="0"/>
              <w:autoSpaceDN w:val="0"/>
              <w:adjustRightInd w:val="0"/>
              <w:spacing w:before="8" w:after="0" w:line="110" w:lineRule="exact"/>
              <w:ind w:left="8"/>
              <w:rPr>
                <w:rFonts w:ascii="Times New Roman" w:eastAsia="Times New Roman" w:hAnsi="Times New Roman"/>
              </w:rPr>
            </w:pPr>
          </w:p>
          <w:p w14:paraId="17D8345B" w14:textId="1AB59670" w:rsidR="00342622" w:rsidRPr="00907D70" w:rsidRDefault="00342622" w:rsidP="00E54F8A">
            <w:pPr>
              <w:tabs>
                <w:tab w:val="left" w:pos="4155"/>
              </w:tabs>
              <w:autoSpaceDE w:val="0"/>
              <w:autoSpaceDN w:val="0"/>
              <w:adjustRightInd w:val="0"/>
              <w:spacing w:after="0" w:line="240" w:lineRule="auto"/>
              <w:ind w:right="29"/>
              <w:jc w:val="center"/>
              <w:rPr>
                <w:rFonts w:ascii="Times New Roman" w:eastAsia="Times New Roman" w:hAnsi="Times New Roman"/>
              </w:rPr>
            </w:pPr>
            <w:r w:rsidRPr="00907D70">
              <w:rPr>
                <w:rFonts w:ascii="Times New Roman" w:eastAsia="Times New Roman" w:hAnsi="Times New Roman"/>
              </w:rPr>
              <w:t>Rekomenduojama lopinaviro/ritonaviro dozė (mg) du kartus per parą.</w:t>
            </w:r>
          </w:p>
          <w:p w14:paraId="5C5D43F9" w14:textId="77777777" w:rsidR="00342622" w:rsidRPr="00907D70" w:rsidRDefault="00342622" w:rsidP="0084240B">
            <w:pPr>
              <w:autoSpaceDE w:val="0"/>
              <w:autoSpaceDN w:val="0"/>
              <w:adjustRightInd w:val="0"/>
              <w:spacing w:after="0" w:line="240" w:lineRule="auto"/>
              <w:ind w:left="8" w:right="29"/>
              <w:jc w:val="center"/>
              <w:rPr>
                <w:rFonts w:ascii="Times New Roman" w:eastAsia="Times New Roman" w:hAnsi="Times New Roman"/>
              </w:rPr>
            </w:pPr>
          </w:p>
        </w:tc>
      </w:tr>
      <w:tr w:rsidR="00342622" w:rsidRPr="00907D70" w14:paraId="3BC84381" w14:textId="77777777" w:rsidTr="00160402">
        <w:trPr>
          <w:trHeight w:hRule="exact" w:val="280"/>
        </w:trPr>
        <w:tc>
          <w:tcPr>
            <w:tcW w:w="3925" w:type="dxa"/>
            <w:tcBorders>
              <w:top w:val="single" w:sz="4" w:space="0" w:color="000000"/>
              <w:left w:val="single" w:sz="4" w:space="0" w:color="000000"/>
              <w:bottom w:val="single" w:sz="4" w:space="0" w:color="000000"/>
              <w:right w:val="single" w:sz="4" w:space="0" w:color="000000"/>
            </w:tcBorders>
          </w:tcPr>
          <w:p w14:paraId="4F1DC5AA" w14:textId="77777777" w:rsidR="00342622" w:rsidRPr="00907D70" w:rsidRDefault="00342622" w:rsidP="0084240B">
            <w:pPr>
              <w:tabs>
                <w:tab w:val="left" w:pos="4155"/>
              </w:tabs>
              <w:autoSpaceDE w:val="0"/>
              <w:autoSpaceDN w:val="0"/>
              <w:adjustRightInd w:val="0"/>
              <w:spacing w:after="0" w:line="240" w:lineRule="auto"/>
              <w:ind w:left="8" w:right="29"/>
              <w:jc w:val="center"/>
              <w:rPr>
                <w:rFonts w:ascii="Times New Roman" w:eastAsia="Times New Roman" w:hAnsi="Times New Roman"/>
              </w:rPr>
            </w:pPr>
            <w:r w:rsidRPr="00907D70">
              <w:rPr>
                <w:rFonts w:ascii="Times New Roman" w:eastAsia="Times New Roman" w:hAnsi="Times New Roman"/>
              </w:rPr>
              <w:t>nuo ≥ 0,5 iki &lt; 0,8</w:t>
            </w:r>
          </w:p>
        </w:tc>
        <w:tc>
          <w:tcPr>
            <w:tcW w:w="4184" w:type="dxa"/>
            <w:tcBorders>
              <w:top w:val="single" w:sz="4" w:space="0" w:color="000000"/>
              <w:left w:val="single" w:sz="4" w:space="0" w:color="000000"/>
              <w:bottom w:val="single" w:sz="4" w:space="0" w:color="000000"/>
              <w:right w:val="single" w:sz="4" w:space="0" w:color="000000"/>
            </w:tcBorders>
          </w:tcPr>
          <w:p w14:paraId="4434E1D3" w14:textId="77777777" w:rsidR="00342622" w:rsidRPr="00907D70" w:rsidRDefault="00342622" w:rsidP="0084240B">
            <w:pPr>
              <w:tabs>
                <w:tab w:val="left" w:pos="4155"/>
              </w:tabs>
              <w:autoSpaceDE w:val="0"/>
              <w:autoSpaceDN w:val="0"/>
              <w:adjustRightInd w:val="0"/>
              <w:spacing w:after="0" w:line="249" w:lineRule="exact"/>
              <w:ind w:left="8" w:right="29"/>
              <w:jc w:val="center"/>
              <w:rPr>
                <w:rFonts w:ascii="Times New Roman" w:eastAsia="Times New Roman" w:hAnsi="Times New Roman"/>
              </w:rPr>
            </w:pPr>
            <w:r w:rsidRPr="00907D70">
              <w:rPr>
                <w:rFonts w:ascii="Times New Roman" w:eastAsia="Times New Roman" w:hAnsi="Times New Roman"/>
              </w:rPr>
              <w:t>200/50 mg</w:t>
            </w:r>
          </w:p>
        </w:tc>
      </w:tr>
      <w:tr w:rsidR="00342622" w:rsidRPr="00907D70" w14:paraId="52794CFA" w14:textId="77777777" w:rsidTr="00160402">
        <w:trPr>
          <w:trHeight w:hRule="exact" w:val="280"/>
        </w:trPr>
        <w:tc>
          <w:tcPr>
            <w:tcW w:w="3925" w:type="dxa"/>
            <w:tcBorders>
              <w:top w:val="single" w:sz="4" w:space="0" w:color="000000"/>
              <w:left w:val="single" w:sz="4" w:space="0" w:color="000000"/>
              <w:bottom w:val="single" w:sz="4" w:space="0" w:color="000000"/>
              <w:right w:val="single" w:sz="4" w:space="0" w:color="000000"/>
            </w:tcBorders>
          </w:tcPr>
          <w:p w14:paraId="0CD27C44" w14:textId="77777777" w:rsidR="00342622" w:rsidRPr="00907D70" w:rsidRDefault="00342622" w:rsidP="0084240B">
            <w:pPr>
              <w:tabs>
                <w:tab w:val="left" w:pos="4155"/>
              </w:tabs>
              <w:autoSpaceDE w:val="0"/>
              <w:autoSpaceDN w:val="0"/>
              <w:adjustRightInd w:val="0"/>
              <w:spacing w:after="0" w:line="240" w:lineRule="auto"/>
              <w:ind w:left="8" w:right="29"/>
              <w:jc w:val="center"/>
              <w:rPr>
                <w:rFonts w:ascii="Times New Roman" w:eastAsia="Times New Roman" w:hAnsi="Times New Roman"/>
              </w:rPr>
            </w:pPr>
            <w:r w:rsidRPr="00907D70">
              <w:rPr>
                <w:rFonts w:ascii="Times New Roman" w:eastAsia="Times New Roman" w:hAnsi="Times New Roman"/>
              </w:rPr>
              <w:t>nuo ≥ 0,8 iki &lt; 1,2</w:t>
            </w:r>
          </w:p>
        </w:tc>
        <w:tc>
          <w:tcPr>
            <w:tcW w:w="4184" w:type="dxa"/>
            <w:tcBorders>
              <w:top w:val="single" w:sz="4" w:space="0" w:color="000000"/>
              <w:left w:val="single" w:sz="4" w:space="0" w:color="000000"/>
              <w:bottom w:val="single" w:sz="4" w:space="0" w:color="000000"/>
              <w:right w:val="single" w:sz="4" w:space="0" w:color="000000"/>
            </w:tcBorders>
          </w:tcPr>
          <w:p w14:paraId="01F5EC5D" w14:textId="77777777" w:rsidR="00342622" w:rsidRPr="00907D70" w:rsidRDefault="00342622" w:rsidP="0084240B">
            <w:pPr>
              <w:tabs>
                <w:tab w:val="left" w:pos="4155"/>
              </w:tabs>
              <w:autoSpaceDE w:val="0"/>
              <w:autoSpaceDN w:val="0"/>
              <w:adjustRightInd w:val="0"/>
              <w:spacing w:after="0" w:line="249" w:lineRule="exact"/>
              <w:ind w:left="8" w:right="29"/>
              <w:jc w:val="center"/>
              <w:rPr>
                <w:rFonts w:ascii="Times New Roman" w:eastAsia="Times New Roman" w:hAnsi="Times New Roman"/>
              </w:rPr>
            </w:pPr>
            <w:r w:rsidRPr="00907D70">
              <w:rPr>
                <w:rFonts w:ascii="Times New Roman" w:eastAsia="Times New Roman" w:hAnsi="Times New Roman"/>
              </w:rPr>
              <w:t>300/75 mg</w:t>
            </w:r>
            <w:r w:rsidRPr="00907D70">
              <w:rPr>
                <w:rFonts w:ascii="Times New Roman" w:hAnsi="Times New Roman"/>
              </w:rPr>
              <w:t>*</w:t>
            </w:r>
          </w:p>
        </w:tc>
      </w:tr>
      <w:tr w:rsidR="00342622" w:rsidRPr="00907D70" w14:paraId="4BE776BB" w14:textId="77777777" w:rsidTr="00160402">
        <w:trPr>
          <w:trHeight w:hRule="exact" w:val="280"/>
        </w:trPr>
        <w:tc>
          <w:tcPr>
            <w:tcW w:w="3925" w:type="dxa"/>
            <w:tcBorders>
              <w:top w:val="single" w:sz="4" w:space="0" w:color="000000"/>
              <w:left w:val="single" w:sz="4" w:space="0" w:color="000000"/>
              <w:bottom w:val="single" w:sz="4" w:space="0" w:color="000000"/>
              <w:right w:val="single" w:sz="4" w:space="0" w:color="000000"/>
            </w:tcBorders>
          </w:tcPr>
          <w:p w14:paraId="128AFE93" w14:textId="77777777" w:rsidR="00342622" w:rsidRPr="00907D70" w:rsidRDefault="00342622" w:rsidP="0084240B">
            <w:pPr>
              <w:tabs>
                <w:tab w:val="left" w:pos="4155"/>
              </w:tabs>
              <w:autoSpaceDE w:val="0"/>
              <w:autoSpaceDN w:val="0"/>
              <w:adjustRightInd w:val="0"/>
              <w:spacing w:after="0" w:line="240" w:lineRule="auto"/>
              <w:ind w:left="8" w:right="29"/>
              <w:jc w:val="center"/>
              <w:rPr>
                <w:rFonts w:ascii="Times New Roman" w:eastAsia="Times New Roman" w:hAnsi="Times New Roman"/>
              </w:rPr>
            </w:pPr>
            <w:r w:rsidRPr="00907D70">
              <w:rPr>
                <w:rFonts w:ascii="Times New Roman" w:eastAsia="Times New Roman" w:hAnsi="Times New Roman"/>
              </w:rPr>
              <w:t>nuo ≥ 1,2 iki &lt; 1,4</w:t>
            </w:r>
          </w:p>
        </w:tc>
        <w:tc>
          <w:tcPr>
            <w:tcW w:w="4184" w:type="dxa"/>
            <w:tcBorders>
              <w:top w:val="single" w:sz="4" w:space="0" w:color="000000"/>
              <w:left w:val="single" w:sz="4" w:space="0" w:color="000000"/>
              <w:bottom w:val="single" w:sz="4" w:space="0" w:color="000000"/>
              <w:right w:val="single" w:sz="4" w:space="0" w:color="000000"/>
            </w:tcBorders>
          </w:tcPr>
          <w:p w14:paraId="7954F928" w14:textId="77777777" w:rsidR="00342622" w:rsidRPr="00907D70" w:rsidRDefault="00342622" w:rsidP="0084240B">
            <w:pPr>
              <w:tabs>
                <w:tab w:val="left" w:pos="4155"/>
              </w:tabs>
              <w:autoSpaceDE w:val="0"/>
              <w:autoSpaceDN w:val="0"/>
              <w:adjustRightInd w:val="0"/>
              <w:spacing w:after="0" w:line="249" w:lineRule="exact"/>
              <w:ind w:left="8" w:right="29"/>
              <w:jc w:val="center"/>
              <w:rPr>
                <w:rFonts w:ascii="Times New Roman" w:eastAsia="Times New Roman" w:hAnsi="Times New Roman"/>
              </w:rPr>
            </w:pPr>
            <w:r w:rsidRPr="00907D70">
              <w:rPr>
                <w:rFonts w:ascii="Times New Roman" w:eastAsia="Times New Roman" w:hAnsi="Times New Roman"/>
              </w:rPr>
              <w:t>400/100 mg</w:t>
            </w:r>
          </w:p>
        </w:tc>
      </w:tr>
      <w:tr w:rsidR="00342622" w:rsidRPr="00907D70" w14:paraId="4A445046" w14:textId="77777777" w:rsidTr="00160402">
        <w:trPr>
          <w:trHeight w:hRule="exact" w:val="280"/>
        </w:trPr>
        <w:tc>
          <w:tcPr>
            <w:tcW w:w="3925" w:type="dxa"/>
            <w:tcBorders>
              <w:top w:val="single" w:sz="4" w:space="0" w:color="000000"/>
              <w:left w:val="single" w:sz="4" w:space="0" w:color="000000"/>
              <w:bottom w:val="single" w:sz="4" w:space="0" w:color="000000"/>
              <w:right w:val="single" w:sz="4" w:space="0" w:color="000000"/>
            </w:tcBorders>
          </w:tcPr>
          <w:p w14:paraId="09C2BFE0" w14:textId="77777777" w:rsidR="00342622" w:rsidRPr="00907D70" w:rsidRDefault="00342622" w:rsidP="0084240B">
            <w:pPr>
              <w:tabs>
                <w:tab w:val="left" w:pos="4155"/>
              </w:tabs>
              <w:autoSpaceDE w:val="0"/>
              <w:autoSpaceDN w:val="0"/>
              <w:adjustRightInd w:val="0"/>
              <w:spacing w:after="0" w:line="240" w:lineRule="auto"/>
              <w:ind w:left="8" w:right="29"/>
              <w:jc w:val="center"/>
              <w:rPr>
                <w:rFonts w:ascii="Times New Roman" w:eastAsia="Times New Roman" w:hAnsi="Times New Roman"/>
              </w:rPr>
            </w:pPr>
            <w:r w:rsidRPr="00907D70">
              <w:rPr>
                <w:rFonts w:ascii="Times New Roman" w:eastAsia="Times New Roman" w:hAnsi="Times New Roman"/>
              </w:rPr>
              <w:t>≥ 1,4</w:t>
            </w:r>
          </w:p>
        </w:tc>
        <w:tc>
          <w:tcPr>
            <w:tcW w:w="4184" w:type="dxa"/>
            <w:tcBorders>
              <w:top w:val="single" w:sz="4" w:space="0" w:color="000000"/>
              <w:left w:val="single" w:sz="4" w:space="0" w:color="000000"/>
              <w:bottom w:val="single" w:sz="4" w:space="0" w:color="000000"/>
              <w:right w:val="single" w:sz="4" w:space="0" w:color="000000"/>
            </w:tcBorders>
          </w:tcPr>
          <w:p w14:paraId="0F47A2FC" w14:textId="77777777" w:rsidR="00342622" w:rsidRPr="00907D70" w:rsidRDefault="00342622" w:rsidP="0084240B">
            <w:pPr>
              <w:tabs>
                <w:tab w:val="left" w:pos="4155"/>
              </w:tabs>
              <w:autoSpaceDE w:val="0"/>
              <w:autoSpaceDN w:val="0"/>
              <w:adjustRightInd w:val="0"/>
              <w:spacing w:after="0" w:line="249" w:lineRule="exact"/>
              <w:ind w:left="8" w:right="29"/>
              <w:jc w:val="center"/>
              <w:rPr>
                <w:rFonts w:ascii="Times New Roman" w:eastAsia="Times New Roman" w:hAnsi="Times New Roman"/>
              </w:rPr>
            </w:pPr>
            <w:r w:rsidRPr="00907D70">
              <w:rPr>
                <w:rFonts w:ascii="Times New Roman" w:eastAsia="Times New Roman" w:hAnsi="Times New Roman"/>
              </w:rPr>
              <w:t>500/125 mg</w:t>
            </w:r>
            <w:r w:rsidRPr="00907D70">
              <w:rPr>
                <w:rFonts w:ascii="Times New Roman" w:hAnsi="Times New Roman"/>
              </w:rPr>
              <w:t>*</w:t>
            </w:r>
          </w:p>
        </w:tc>
      </w:tr>
    </w:tbl>
    <w:p w14:paraId="00B79ADF" w14:textId="77777777" w:rsidR="007C65C3" w:rsidRPr="00907D70" w:rsidRDefault="007C65C3" w:rsidP="00E54F8A">
      <w:pPr>
        <w:autoSpaceDE w:val="0"/>
        <w:autoSpaceDN w:val="0"/>
        <w:adjustRightInd w:val="0"/>
        <w:spacing w:after="0" w:line="240" w:lineRule="auto"/>
        <w:ind w:firstLine="567"/>
        <w:rPr>
          <w:rFonts w:ascii="Times New Roman" w:eastAsia="Times New Roman" w:hAnsi="Times New Roman"/>
          <w:lang w:eastAsia="lt-LT"/>
        </w:rPr>
      </w:pP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lang w:eastAsia="lt-LT"/>
        </w:rPr>
        <w:t>tablečių negalima kramtyti, laužyti ir traiškyti.</w:t>
      </w:r>
    </w:p>
    <w:p w14:paraId="1EBD2099" w14:textId="77777777" w:rsidR="007C65C3" w:rsidRPr="00907D70" w:rsidRDefault="007C65C3" w:rsidP="007C65C3">
      <w:pPr>
        <w:autoSpaceDE w:val="0"/>
        <w:autoSpaceDN w:val="0"/>
        <w:adjustRightInd w:val="0"/>
        <w:spacing w:after="0" w:line="240" w:lineRule="auto"/>
        <w:rPr>
          <w:rFonts w:ascii="Times New Roman" w:eastAsia="Times New Roman" w:hAnsi="Times New Roman"/>
        </w:rPr>
      </w:pPr>
    </w:p>
    <w:p w14:paraId="302B74E8" w14:textId="286FB739" w:rsidR="00342622" w:rsidRPr="00907D70" w:rsidRDefault="005A3128">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color w:val="000000"/>
        </w:rPr>
        <w:t xml:space="preserve">* Vartojant šį </w:t>
      </w:r>
      <w:r w:rsidR="00D038C7" w:rsidRPr="00907D70">
        <w:rPr>
          <w:rFonts w:ascii="Times New Roman" w:eastAsia="Times New Roman" w:hAnsi="Times New Roman"/>
          <w:color w:val="000000"/>
        </w:rPr>
        <w:t xml:space="preserve">vaistinį </w:t>
      </w:r>
      <w:r w:rsidRPr="00907D70">
        <w:rPr>
          <w:rFonts w:ascii="Times New Roman" w:eastAsia="Times New Roman" w:hAnsi="Times New Roman"/>
          <w:color w:val="000000"/>
        </w:rPr>
        <w:t>preparatą tokios dozės pasiekti negalima, nes reikia vartoti 100/25</w:t>
      </w:r>
      <w:r w:rsidR="00D038C7" w:rsidRPr="00907D70">
        <w:rPr>
          <w:rFonts w:ascii="Times New Roman" w:eastAsia="Times New Roman" w:hAnsi="Times New Roman"/>
          <w:color w:val="000000"/>
        </w:rPr>
        <w:t> </w:t>
      </w:r>
      <w:r w:rsidRPr="00907D70">
        <w:rPr>
          <w:rFonts w:ascii="Times New Roman" w:eastAsia="Times New Roman" w:hAnsi="Times New Roman"/>
          <w:color w:val="000000"/>
        </w:rPr>
        <w:t xml:space="preserve">mg stiprumo </w:t>
      </w:r>
      <w:r w:rsidR="00D038C7" w:rsidRPr="00907D70">
        <w:rPr>
          <w:rFonts w:ascii="Times New Roman" w:eastAsia="Times New Roman" w:hAnsi="Times New Roman"/>
          <w:color w:val="000000"/>
        </w:rPr>
        <w:t>vaistinį preparatą</w:t>
      </w:r>
      <w:r w:rsidRPr="00907D70">
        <w:rPr>
          <w:rFonts w:ascii="Times New Roman" w:eastAsia="Times New Roman" w:hAnsi="Times New Roman"/>
          <w:color w:val="000000"/>
        </w:rPr>
        <w:t>. Reikėtų patikrinti, ar kiti gamintojai nesiūlo 100/25</w:t>
      </w:r>
      <w:r w:rsidR="00D038C7" w:rsidRPr="00907D70">
        <w:rPr>
          <w:rFonts w:ascii="Times New Roman" w:eastAsia="Times New Roman" w:hAnsi="Times New Roman"/>
          <w:color w:val="000000"/>
        </w:rPr>
        <w:t> </w:t>
      </w:r>
      <w:r w:rsidRPr="00907D70">
        <w:rPr>
          <w:rFonts w:ascii="Times New Roman" w:eastAsia="Times New Roman" w:hAnsi="Times New Roman"/>
          <w:color w:val="000000"/>
        </w:rPr>
        <w:t xml:space="preserve">mg </w:t>
      </w:r>
      <w:r w:rsidR="00D038C7" w:rsidRPr="00907D70">
        <w:rPr>
          <w:rFonts w:ascii="Times New Roman" w:eastAsia="Times New Roman" w:hAnsi="Times New Roman"/>
          <w:color w:val="000000"/>
        </w:rPr>
        <w:t xml:space="preserve">stiprumo </w:t>
      </w:r>
      <w:r w:rsidRPr="00907D70">
        <w:rPr>
          <w:rFonts w:ascii="Times New Roman" w:eastAsia="Times New Roman" w:hAnsi="Times New Roman"/>
          <w:color w:val="000000"/>
        </w:rPr>
        <w:t xml:space="preserve">lopinaviro / ritonaviro </w:t>
      </w:r>
      <w:r w:rsidR="00D038C7" w:rsidRPr="00907D70">
        <w:rPr>
          <w:rFonts w:ascii="Times New Roman" w:eastAsia="Times New Roman" w:hAnsi="Times New Roman"/>
          <w:color w:val="000000"/>
        </w:rPr>
        <w:t>vaistinio (ų) preparato (-ų)</w:t>
      </w:r>
      <w:r w:rsidRPr="00907D70">
        <w:rPr>
          <w:rFonts w:ascii="Times New Roman" w:eastAsia="Times New Roman" w:hAnsi="Times New Roman"/>
          <w:color w:val="000000"/>
        </w:rPr>
        <w:t>.</w:t>
      </w:r>
    </w:p>
    <w:p w14:paraId="0E30C280" w14:textId="77777777" w:rsidR="00342622" w:rsidRPr="00907D70" w:rsidRDefault="00342622" w:rsidP="00342622">
      <w:pPr>
        <w:autoSpaceDE w:val="0"/>
        <w:autoSpaceDN w:val="0"/>
        <w:adjustRightInd w:val="0"/>
        <w:spacing w:after="0" w:line="240" w:lineRule="auto"/>
        <w:rPr>
          <w:rFonts w:ascii="Times New Roman" w:eastAsia="Times New Roman" w:hAnsi="Times New Roman"/>
          <w:i/>
          <w:lang w:eastAsia="lt-LT"/>
        </w:rPr>
      </w:pPr>
    </w:p>
    <w:p w14:paraId="7FA25049" w14:textId="4358FFA2" w:rsidR="00342622" w:rsidRPr="00907D70" w:rsidRDefault="00342622" w:rsidP="00342622">
      <w:pPr>
        <w:autoSpaceDE w:val="0"/>
        <w:autoSpaceDN w:val="0"/>
        <w:adjustRightInd w:val="0"/>
        <w:spacing w:after="0" w:line="240" w:lineRule="auto"/>
        <w:rPr>
          <w:rFonts w:ascii="Times New Roman" w:eastAsia="Times New Roman" w:hAnsi="Times New Roman"/>
          <w:i/>
          <w:lang w:eastAsia="lt-LT"/>
        </w:rPr>
      </w:pPr>
      <w:r w:rsidRPr="00907D70">
        <w:rPr>
          <w:rFonts w:ascii="Times New Roman" w:eastAsia="Times New Roman" w:hAnsi="Times New Roman"/>
          <w:i/>
          <w:iCs/>
          <w:color w:val="000000"/>
        </w:rPr>
        <w:t xml:space="preserve">Pacientams, kurių </w:t>
      </w:r>
      <w:r w:rsidR="005A3128" w:rsidRPr="00907D70">
        <w:rPr>
          <w:rFonts w:ascii="Times New Roman" w:eastAsia="Times New Roman" w:hAnsi="Times New Roman"/>
          <w:i/>
          <w:iCs/>
          <w:color w:val="000000"/>
        </w:rPr>
        <w:t>k</w:t>
      </w:r>
      <w:r w:rsidRPr="00907D70">
        <w:rPr>
          <w:rFonts w:ascii="Times New Roman" w:eastAsia="Times New Roman" w:hAnsi="Times New Roman"/>
          <w:i/>
          <w:iCs/>
          <w:color w:val="000000"/>
        </w:rPr>
        <w:t>epenų funkcija sutrikusi</w:t>
      </w:r>
    </w:p>
    <w:p w14:paraId="10EEEBAC"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 xml:space="preserve">ŽIV infekuotiems pacientams, kuriems yra lengvas ar vidutinio sunkumo kepenų funkcijos sutrikimas, buvo pastebėta apytikriai 30 % didesnė lopinaviro ekspozicija, kuri, tikėtina, nėra kliniškai reikšminga (žr. 5.2 skyrių). Nėra duomenų apie pacientus, kuriems yra sunkus kepenų funkcijos sutrikimas. Lopinavir / Ritonavir Accord šiems pacientams skirti negalima (žr. 4.3 skyrių). </w:t>
      </w:r>
    </w:p>
    <w:p w14:paraId="38D3CF5F"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rPr>
      </w:pPr>
    </w:p>
    <w:p w14:paraId="30C73798" w14:textId="77777777" w:rsidR="00342622" w:rsidRPr="00907D70" w:rsidRDefault="00342622" w:rsidP="00342622">
      <w:pPr>
        <w:autoSpaceDE w:val="0"/>
        <w:autoSpaceDN w:val="0"/>
        <w:adjustRightInd w:val="0"/>
        <w:spacing w:after="0" w:line="240" w:lineRule="auto"/>
        <w:rPr>
          <w:rFonts w:ascii="Times New Roman" w:eastAsia="Times New Roman" w:hAnsi="Times New Roman"/>
          <w:i/>
          <w:lang w:eastAsia="lt-LT"/>
        </w:rPr>
      </w:pPr>
      <w:r w:rsidRPr="00907D70">
        <w:rPr>
          <w:rFonts w:ascii="Times New Roman" w:eastAsia="Times New Roman" w:hAnsi="Times New Roman"/>
          <w:i/>
          <w:iCs/>
          <w:color w:val="000000"/>
        </w:rPr>
        <w:t>Pacientams, kurių inkstų funkcija sutrikusi</w:t>
      </w:r>
    </w:p>
    <w:p w14:paraId="65AC9204"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Kadangi lopinaviro ir ritonaviro inkstų klirensas yra nereikšmingas, jų koncentracijos padidėjimo pacientų, kurių inkstų funkcija sutrikusi, kraujo plazmoje nesitikima. Lopinaviras ir ritonaviras yra gerai surišantys baltymus, todėl mažai tikėtina, kad jie gali būti pašalinti atliekant peritoninę dializę ar hemodializę.</w:t>
      </w:r>
    </w:p>
    <w:p w14:paraId="286A8E74"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rPr>
      </w:pPr>
    </w:p>
    <w:p w14:paraId="1AE7BA4E"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i/>
          <w:iCs/>
          <w:color w:val="000000"/>
        </w:rPr>
        <w:t xml:space="preserve">Nėštumas ir pogimdyminis laikotarpis </w:t>
      </w:r>
    </w:p>
    <w:p w14:paraId="46E304B9" w14:textId="77777777" w:rsidR="00342622" w:rsidRPr="00907D70" w:rsidRDefault="00342622" w:rsidP="00342622">
      <w:pPr>
        <w:numPr>
          <w:ilvl w:val="0"/>
          <w:numId w:val="3"/>
        </w:numPr>
        <w:autoSpaceDE w:val="0"/>
        <w:autoSpaceDN w:val="0"/>
        <w:adjustRightInd w:val="0"/>
        <w:spacing w:after="0" w:line="240" w:lineRule="auto"/>
        <w:ind w:left="567" w:hanging="567"/>
        <w:contextualSpacing/>
        <w:rPr>
          <w:rFonts w:ascii="Times New Roman" w:eastAsia="Times New Roman" w:hAnsi="Times New Roman"/>
          <w:color w:val="000000"/>
        </w:rPr>
      </w:pPr>
      <w:r w:rsidRPr="00907D70">
        <w:rPr>
          <w:rFonts w:ascii="Times New Roman" w:eastAsia="Times New Roman" w:hAnsi="Times New Roman"/>
          <w:color w:val="000000"/>
        </w:rPr>
        <w:t>Nėštumo ir pogimdyminiu laikotarpiu lopinaviro / ritonaviro derinio dozės koreguoti nereikia.</w:t>
      </w:r>
    </w:p>
    <w:p w14:paraId="0E390480" w14:textId="77777777" w:rsidR="00342622" w:rsidRPr="00907D70" w:rsidRDefault="00342622" w:rsidP="00342622">
      <w:pPr>
        <w:numPr>
          <w:ilvl w:val="0"/>
          <w:numId w:val="3"/>
        </w:numPr>
        <w:spacing w:after="0" w:line="240" w:lineRule="auto"/>
        <w:ind w:left="567" w:hanging="567"/>
        <w:contextualSpacing/>
        <w:rPr>
          <w:rFonts w:ascii="Times New Roman" w:eastAsia="Times New Roman" w:hAnsi="Times New Roman"/>
        </w:rPr>
      </w:pPr>
      <w:r w:rsidRPr="00907D70">
        <w:rPr>
          <w:rFonts w:ascii="Times New Roman" w:eastAsia="Times New Roman" w:hAnsi="Times New Roman"/>
        </w:rPr>
        <w:t xml:space="preserve">Kadangi trūksta farmakokinetikos ir klinikinių duomenų, nėščioms moterims lopinaviro / ritonaviro derinio vartoti kartą per parą nerekomenduojama. </w:t>
      </w:r>
    </w:p>
    <w:p w14:paraId="3C6E6D6E" w14:textId="77777777" w:rsidR="00342622" w:rsidRPr="00907D70" w:rsidRDefault="00342622" w:rsidP="00342622">
      <w:pPr>
        <w:spacing w:after="0" w:line="240" w:lineRule="auto"/>
        <w:rPr>
          <w:rFonts w:ascii="Times New Roman" w:eastAsia="Times New Roman" w:hAnsi="Times New Roman"/>
        </w:rPr>
      </w:pPr>
    </w:p>
    <w:p w14:paraId="7368E103"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u w:val="single"/>
        </w:rPr>
      </w:pPr>
      <w:r w:rsidRPr="00907D70">
        <w:rPr>
          <w:rFonts w:ascii="Times New Roman" w:eastAsia="Times New Roman" w:hAnsi="Times New Roman"/>
          <w:color w:val="000000"/>
          <w:u w:val="single"/>
        </w:rPr>
        <w:t xml:space="preserve">Vartojimo metodas </w:t>
      </w:r>
    </w:p>
    <w:p w14:paraId="198D17F1" w14:textId="77777777" w:rsidR="00342622" w:rsidRPr="00907D70" w:rsidRDefault="00342622" w:rsidP="00342622">
      <w:pPr>
        <w:autoSpaceDE w:val="0"/>
        <w:autoSpaceDN w:val="0"/>
        <w:adjustRightInd w:val="0"/>
        <w:spacing w:after="0" w:line="240" w:lineRule="auto"/>
        <w:rPr>
          <w:rFonts w:ascii="Times New Roman" w:eastAsia="Times New Roman" w:hAnsi="Times New Roman"/>
          <w:i/>
          <w:lang w:eastAsia="lt-LT"/>
        </w:rPr>
      </w:pPr>
      <w:r w:rsidRPr="00907D70">
        <w:rPr>
          <w:rFonts w:ascii="Times New Roman" w:eastAsia="Times New Roman" w:hAnsi="Times New Roman"/>
          <w:color w:val="000000"/>
        </w:rPr>
        <w:t>Lopinavir / Ritonavir Accord tabletės vartojamos per burną ir turi būti nuryjamos</w:t>
      </w:r>
      <w:r w:rsidRPr="00907D70">
        <w:rPr>
          <w:rFonts w:ascii="Times New Roman" w:eastAsia="Times New Roman" w:hAnsi="Times New Roman"/>
        </w:rPr>
        <w:t xml:space="preserve"> nepažeistos, jų negalima kramtyti, laužyti ar traiškyti.</w:t>
      </w:r>
      <w:r w:rsidRPr="00907D70">
        <w:rPr>
          <w:rFonts w:ascii="Times New Roman" w:eastAsia="Times New Roman" w:hAnsi="Times New Roman"/>
          <w:color w:val="000000"/>
        </w:rPr>
        <w:t xml:space="preserve"> Lopinavir / Ritonavir Accord tabletės gali būti geriamos valgant arba nevalgius.</w:t>
      </w:r>
    </w:p>
    <w:p w14:paraId="54DC4919" w14:textId="77777777" w:rsidR="00342622" w:rsidRPr="00907D70" w:rsidRDefault="00342622" w:rsidP="00342622">
      <w:pPr>
        <w:spacing w:after="0" w:line="240" w:lineRule="auto"/>
        <w:rPr>
          <w:rFonts w:ascii="Times New Roman" w:eastAsia="Times New Roman" w:hAnsi="Times New Roman"/>
        </w:rPr>
      </w:pPr>
    </w:p>
    <w:p w14:paraId="21ED280A" w14:textId="77777777" w:rsidR="00342622" w:rsidRPr="00907D70" w:rsidRDefault="00342622" w:rsidP="00E54F8A">
      <w:pPr>
        <w:keepNext/>
        <w:spacing w:after="0" w:line="240" w:lineRule="auto"/>
        <w:ind w:left="540" w:hanging="540"/>
        <w:rPr>
          <w:rFonts w:ascii="Times New Roman" w:eastAsia="Times New Roman" w:hAnsi="Times New Roman"/>
          <w:b/>
        </w:rPr>
      </w:pPr>
      <w:r w:rsidRPr="00907D70">
        <w:rPr>
          <w:rFonts w:ascii="Times New Roman" w:eastAsia="Times New Roman" w:hAnsi="Times New Roman"/>
          <w:b/>
        </w:rPr>
        <w:lastRenderedPageBreak/>
        <w:t>4.3</w:t>
      </w:r>
      <w:r w:rsidRPr="00907D70">
        <w:rPr>
          <w:rFonts w:ascii="Times New Roman" w:eastAsia="Times New Roman" w:hAnsi="Times New Roman"/>
          <w:b/>
        </w:rPr>
        <w:tab/>
        <w:t>Kontraindikacijos</w:t>
      </w:r>
    </w:p>
    <w:p w14:paraId="2225C6F3" w14:textId="77777777" w:rsidR="00342622" w:rsidRPr="00907D70" w:rsidRDefault="00342622" w:rsidP="00E54F8A">
      <w:pPr>
        <w:keepNext/>
        <w:spacing w:after="0" w:line="240" w:lineRule="auto"/>
        <w:rPr>
          <w:rFonts w:ascii="Times New Roman" w:eastAsia="Times New Roman" w:hAnsi="Times New Roman"/>
        </w:rPr>
      </w:pPr>
    </w:p>
    <w:p w14:paraId="1E4E1E6A" w14:textId="140B64A6" w:rsidR="00342622" w:rsidRPr="00907D70" w:rsidRDefault="00342622" w:rsidP="00E54F8A">
      <w:pPr>
        <w:keepNext/>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Padidėjęs jautrumas veikliosioms medžiagoms arba bet kuriai</w:t>
      </w:r>
      <w:r w:rsidRPr="00907D70">
        <w:rPr>
          <w:rFonts w:ascii="Times New Roman" w:eastAsia="Times New Roman" w:hAnsi="Times New Roman"/>
        </w:rPr>
        <w:t xml:space="preserve"> 6.1 skyriuje nurodytai pagalbinei medžiagai</w:t>
      </w:r>
      <w:r w:rsidRPr="00907D70">
        <w:rPr>
          <w:rFonts w:ascii="Times New Roman" w:eastAsia="Times New Roman" w:hAnsi="Times New Roman"/>
          <w:color w:val="000000"/>
        </w:rPr>
        <w:t xml:space="preserve">. </w:t>
      </w:r>
    </w:p>
    <w:p w14:paraId="35F17C9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p w14:paraId="0C454330"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 xml:space="preserve">Sunkus kepenų nepakankamumas. </w:t>
      </w:r>
    </w:p>
    <w:p w14:paraId="582F40D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p w14:paraId="27D80925" w14:textId="77777777" w:rsidR="00342622" w:rsidRPr="00907D70" w:rsidRDefault="00342622" w:rsidP="00342622">
      <w:pPr>
        <w:tabs>
          <w:tab w:val="left" w:pos="567"/>
        </w:tabs>
        <w:spacing w:after="0" w:line="240" w:lineRule="auto"/>
        <w:rPr>
          <w:rFonts w:ascii="Times New Roman" w:eastAsia="Times New Roman" w:hAnsi="Times New Roman"/>
          <w:color w:val="000000"/>
        </w:rPr>
      </w:pPr>
      <w:r w:rsidRPr="00907D70">
        <w:rPr>
          <w:rFonts w:ascii="Times New Roman" w:eastAsia="Times New Roman" w:hAnsi="Times New Roman"/>
          <w:color w:val="000000"/>
        </w:rPr>
        <w:t>Lopinavir / Ritonavir Accord sudėtyje yra lopinaviro ir ritonaviro, kurie abu yra P450 CYP3A izoformos inhibitoriai. Lopinavir / Ritonavir Accord negalima vartoti kartu su vaistiniais preparatais, kurie dėl klirenso yra labai priklausomi nuo CYP3A ir kuriems koncentracijų kraujo plazmoje padidėjimas yra susijęs su sunkiais ir (arba) gyvybei gresiančiais reiškiniais. Šie vaistiniai preparatai išvardyti toliau.</w:t>
      </w:r>
    </w:p>
    <w:p w14:paraId="25E3A663" w14:textId="77777777" w:rsidR="00342622" w:rsidRPr="00907D70" w:rsidRDefault="00342622" w:rsidP="00342622">
      <w:pPr>
        <w:tabs>
          <w:tab w:val="left" w:pos="567"/>
        </w:tabs>
        <w:spacing w:after="0" w:line="240" w:lineRule="auto"/>
        <w:rPr>
          <w:rFonts w:ascii="Times New Roman" w:eastAsia="Times New Roman" w:hAnsi="Times New Roman"/>
          <w:color w:val="000000"/>
        </w:rPr>
      </w:pPr>
    </w:p>
    <w:p w14:paraId="2972E48E" w14:textId="77777777" w:rsidR="00342622" w:rsidRPr="00907D70" w:rsidRDefault="00342622" w:rsidP="00342622">
      <w:pPr>
        <w:tabs>
          <w:tab w:val="left" w:pos="567"/>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2391"/>
        <w:gridCol w:w="4436"/>
      </w:tblGrid>
      <w:tr w:rsidR="00E54F8A" w:rsidRPr="00907D70" w14:paraId="7257E299" w14:textId="77777777" w:rsidTr="00160402">
        <w:trPr>
          <w:cantSplit/>
        </w:trPr>
        <w:tc>
          <w:tcPr>
            <w:tcW w:w="2257" w:type="dxa"/>
          </w:tcPr>
          <w:p w14:paraId="37B6E517" w14:textId="77777777" w:rsidR="00342622" w:rsidRPr="00907D70" w:rsidRDefault="00342622" w:rsidP="0084240B">
            <w:pPr>
              <w:tabs>
                <w:tab w:val="left" w:pos="567"/>
              </w:tabs>
              <w:spacing w:after="0" w:line="240" w:lineRule="auto"/>
              <w:rPr>
                <w:rFonts w:ascii="Times New Roman" w:eastAsia="Times New Roman" w:hAnsi="Times New Roman"/>
                <w:b/>
                <w:color w:val="000000"/>
                <w:lang w:eastAsia="lt-LT"/>
              </w:rPr>
            </w:pPr>
            <w:r w:rsidRPr="00907D70">
              <w:rPr>
                <w:rFonts w:ascii="Times New Roman" w:eastAsia="Times New Roman" w:hAnsi="Times New Roman"/>
                <w:b/>
                <w:color w:val="000000"/>
                <w:lang w:eastAsia="lt-LT"/>
              </w:rPr>
              <w:t>Vaistinio preparato klasė</w:t>
            </w:r>
          </w:p>
        </w:tc>
        <w:tc>
          <w:tcPr>
            <w:tcW w:w="2391" w:type="dxa"/>
          </w:tcPr>
          <w:p w14:paraId="7E7F8476" w14:textId="77777777" w:rsidR="00342622" w:rsidRPr="00907D70" w:rsidRDefault="00342622" w:rsidP="0084240B">
            <w:pPr>
              <w:tabs>
                <w:tab w:val="left" w:pos="567"/>
              </w:tabs>
              <w:spacing w:after="0" w:line="240" w:lineRule="auto"/>
              <w:rPr>
                <w:rFonts w:ascii="Times New Roman" w:eastAsia="Times New Roman" w:hAnsi="Times New Roman"/>
                <w:b/>
                <w:color w:val="000000"/>
                <w:lang w:eastAsia="lt-LT"/>
              </w:rPr>
            </w:pPr>
            <w:r w:rsidRPr="00907D70">
              <w:rPr>
                <w:rFonts w:ascii="Times New Roman" w:eastAsia="Times New Roman" w:hAnsi="Times New Roman"/>
                <w:b/>
                <w:color w:val="000000"/>
                <w:lang w:eastAsia="lt-LT"/>
              </w:rPr>
              <w:t>Vaistinio preparato pavadinimas klasėje</w:t>
            </w:r>
          </w:p>
        </w:tc>
        <w:tc>
          <w:tcPr>
            <w:tcW w:w="4571" w:type="dxa"/>
          </w:tcPr>
          <w:p w14:paraId="7D098C4A" w14:textId="77777777" w:rsidR="00342622" w:rsidRPr="00907D70" w:rsidRDefault="00342622" w:rsidP="0084240B">
            <w:pPr>
              <w:tabs>
                <w:tab w:val="left" w:pos="567"/>
              </w:tabs>
              <w:spacing w:after="0" w:line="240" w:lineRule="auto"/>
              <w:rPr>
                <w:rFonts w:ascii="Times New Roman" w:eastAsia="Times New Roman" w:hAnsi="Times New Roman"/>
                <w:b/>
                <w:color w:val="000000"/>
                <w:lang w:eastAsia="lt-LT"/>
              </w:rPr>
            </w:pPr>
            <w:r w:rsidRPr="00907D70">
              <w:rPr>
                <w:rFonts w:ascii="Times New Roman" w:eastAsia="Times New Roman" w:hAnsi="Times New Roman"/>
                <w:b/>
                <w:color w:val="000000"/>
                <w:lang w:eastAsia="lt-LT"/>
              </w:rPr>
              <w:t>Pagrindimas</w:t>
            </w:r>
          </w:p>
        </w:tc>
      </w:tr>
      <w:tr w:rsidR="00E54F8A" w:rsidRPr="00907D70" w14:paraId="1A094293" w14:textId="77777777" w:rsidTr="00160402">
        <w:trPr>
          <w:cantSplit/>
        </w:trPr>
        <w:tc>
          <w:tcPr>
            <w:tcW w:w="9219" w:type="dxa"/>
            <w:gridSpan w:val="3"/>
          </w:tcPr>
          <w:tbl>
            <w:tblPr>
              <w:tblW w:w="0" w:type="auto"/>
              <w:tblLook w:val="0000" w:firstRow="0" w:lastRow="0" w:firstColumn="0" w:lastColumn="0" w:noHBand="0" w:noVBand="0"/>
            </w:tblPr>
            <w:tblGrid>
              <w:gridCol w:w="4609"/>
            </w:tblGrid>
            <w:tr w:rsidR="00342622" w:rsidRPr="00907D70" w14:paraId="12438726" w14:textId="77777777" w:rsidTr="0084240B">
              <w:trPr>
                <w:trHeight w:val="147"/>
              </w:trPr>
              <w:tc>
                <w:tcPr>
                  <w:tcW w:w="0" w:type="auto"/>
                </w:tcPr>
                <w:p w14:paraId="309D0131" w14:textId="77777777" w:rsidR="00342622" w:rsidRPr="00907D70" w:rsidRDefault="00342622" w:rsidP="0084240B">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color w:val="000000"/>
                    </w:rPr>
                    <w:t>Padidėja kartu vartojamo vaistinio preparato lygis</w:t>
                  </w:r>
                </w:p>
              </w:tc>
            </w:tr>
          </w:tbl>
          <w:p w14:paraId="43A4882F"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p>
        </w:tc>
      </w:tr>
      <w:tr w:rsidR="00E54F8A" w:rsidRPr="00907D70" w14:paraId="0F6D06B0" w14:textId="77777777" w:rsidTr="00160402">
        <w:trPr>
          <w:cantSplit/>
        </w:trPr>
        <w:tc>
          <w:tcPr>
            <w:tcW w:w="2257" w:type="dxa"/>
          </w:tcPr>
          <w:p w14:paraId="704BD086"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Alfa</w:t>
            </w:r>
            <w:r w:rsidRPr="00907D70">
              <w:rPr>
                <w:rFonts w:ascii="Times New Roman" w:eastAsia="Times New Roman" w:hAnsi="Times New Roman"/>
                <w:color w:val="000000"/>
                <w:szCs w:val="24"/>
                <w:vertAlign w:val="subscript"/>
              </w:rPr>
              <w:t>1</w:t>
            </w:r>
            <w:r w:rsidRPr="00907D70">
              <w:rPr>
                <w:rFonts w:ascii="Times New Roman" w:eastAsia="Times New Roman" w:hAnsi="Times New Roman"/>
                <w:color w:val="000000"/>
                <w:lang w:eastAsia="lt-LT"/>
              </w:rPr>
              <w:t xml:space="preserve"> adrenoreceptorių blokatoriai</w:t>
            </w:r>
          </w:p>
        </w:tc>
        <w:tc>
          <w:tcPr>
            <w:tcW w:w="2391" w:type="dxa"/>
          </w:tcPr>
          <w:p w14:paraId="278B9DB1"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Alfuzozinas</w:t>
            </w:r>
          </w:p>
        </w:tc>
        <w:tc>
          <w:tcPr>
            <w:tcW w:w="4571" w:type="dxa"/>
          </w:tcPr>
          <w:p w14:paraId="322D5044"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Padidėjusi alfuzozino koncentracija kraujo plazmoje gali sukelti sunkią hipotenziją. Kartu skirti alfuzozino negalima (žr. 4.5 skyrių).</w:t>
            </w:r>
          </w:p>
        </w:tc>
      </w:tr>
      <w:tr w:rsidR="0084240B" w:rsidRPr="00907D70" w14:paraId="6075F665" w14:textId="77777777" w:rsidTr="00160402">
        <w:trPr>
          <w:cantSplit/>
        </w:trPr>
        <w:tc>
          <w:tcPr>
            <w:tcW w:w="2257" w:type="dxa"/>
          </w:tcPr>
          <w:p w14:paraId="64A65A70" w14:textId="77777777" w:rsidR="0084240B" w:rsidRPr="00907D70" w:rsidRDefault="0084240B"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Antiangininiai</w:t>
            </w:r>
            <w:r w:rsidR="00692727" w:rsidRPr="00907D70">
              <w:rPr>
                <w:rFonts w:ascii="Times New Roman" w:eastAsia="Times New Roman" w:hAnsi="Times New Roman"/>
                <w:color w:val="000000"/>
                <w:lang w:eastAsia="lt-LT"/>
              </w:rPr>
              <w:t xml:space="preserve"> vaistiniai preparatai</w:t>
            </w:r>
          </w:p>
        </w:tc>
        <w:tc>
          <w:tcPr>
            <w:tcW w:w="2391" w:type="dxa"/>
          </w:tcPr>
          <w:p w14:paraId="5CE865FC" w14:textId="77777777" w:rsidR="0084240B" w:rsidRPr="00907D70" w:rsidRDefault="0084240B"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Ranolazinas</w:t>
            </w:r>
          </w:p>
        </w:tc>
        <w:tc>
          <w:tcPr>
            <w:tcW w:w="4571" w:type="dxa"/>
          </w:tcPr>
          <w:p w14:paraId="5A9D5295" w14:textId="77777777" w:rsidR="0084240B" w:rsidRPr="00907D70" w:rsidRDefault="0084240B" w:rsidP="00692727">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Padidėjusi ranolazino koncentracija plazmoje gali padidinti </w:t>
            </w:r>
            <w:r w:rsidR="00692727" w:rsidRPr="00907D70">
              <w:rPr>
                <w:rFonts w:ascii="Times New Roman" w:eastAsia="Times New Roman" w:hAnsi="Times New Roman"/>
                <w:color w:val="000000"/>
                <w:lang w:eastAsia="lt-LT"/>
              </w:rPr>
              <w:t>galimų rimtų</w:t>
            </w:r>
            <w:r w:rsidRPr="00907D70">
              <w:rPr>
                <w:rFonts w:ascii="Times New Roman" w:eastAsia="Times New Roman" w:hAnsi="Times New Roman"/>
                <w:color w:val="000000"/>
                <w:lang w:eastAsia="lt-LT"/>
              </w:rPr>
              <w:t xml:space="preserve"> ir (arba) </w:t>
            </w:r>
            <w:r w:rsidR="00692727" w:rsidRPr="00907D70">
              <w:rPr>
                <w:rFonts w:ascii="Times New Roman" w:eastAsia="Times New Roman" w:hAnsi="Times New Roman"/>
                <w:color w:val="000000"/>
                <w:lang w:eastAsia="lt-LT"/>
              </w:rPr>
              <w:t>gyvybei pavojingų</w:t>
            </w:r>
            <w:r w:rsidRPr="00907D70">
              <w:rPr>
                <w:rFonts w:ascii="Times New Roman" w:eastAsia="Times New Roman" w:hAnsi="Times New Roman"/>
                <w:color w:val="000000"/>
                <w:lang w:eastAsia="lt-LT"/>
              </w:rPr>
              <w:t xml:space="preserve"> reakcijų </w:t>
            </w:r>
            <w:r w:rsidR="00692727" w:rsidRPr="00907D70">
              <w:rPr>
                <w:rFonts w:ascii="Times New Roman" w:eastAsia="Times New Roman" w:hAnsi="Times New Roman"/>
                <w:color w:val="000000"/>
                <w:lang w:eastAsia="lt-LT"/>
              </w:rPr>
              <w:t xml:space="preserve">riziką </w:t>
            </w:r>
            <w:r w:rsidRPr="00907D70">
              <w:rPr>
                <w:rFonts w:ascii="Times New Roman" w:eastAsia="Times New Roman" w:hAnsi="Times New Roman"/>
                <w:color w:val="000000"/>
                <w:lang w:eastAsia="lt-LT"/>
              </w:rPr>
              <w:t>(žr. 4.5 skyrių).</w:t>
            </w:r>
          </w:p>
        </w:tc>
      </w:tr>
      <w:tr w:rsidR="00342622" w:rsidRPr="00907D70" w14:paraId="0736DD7F" w14:textId="77777777" w:rsidTr="00160402">
        <w:trPr>
          <w:cantSplit/>
        </w:trPr>
        <w:tc>
          <w:tcPr>
            <w:tcW w:w="2257" w:type="dxa"/>
          </w:tcPr>
          <w:p w14:paraId="287A597C"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Antiaritminiai vaistiniai preparatai</w:t>
            </w:r>
          </w:p>
        </w:tc>
        <w:tc>
          <w:tcPr>
            <w:tcW w:w="2391" w:type="dxa"/>
          </w:tcPr>
          <w:p w14:paraId="78C7A6E3"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Amjodaronas, dronedaronas</w:t>
            </w:r>
          </w:p>
        </w:tc>
        <w:tc>
          <w:tcPr>
            <w:tcW w:w="4571" w:type="dxa"/>
          </w:tcPr>
          <w:p w14:paraId="1E5A3F30" w14:textId="4853C57D"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amjodarono ir dronedarono koncentracija. Dėl to padidėja aritmijų ar kitų sunkių nepageidaujamų reakcijų rizika</w:t>
            </w:r>
            <w:r w:rsidR="0084240B" w:rsidRPr="00907D70">
              <w:rPr>
                <w:rFonts w:ascii="Times New Roman" w:eastAsia="Times New Roman" w:hAnsi="Times New Roman"/>
                <w:color w:val="000000"/>
                <w:lang w:eastAsia="lt-LT"/>
              </w:rPr>
              <w:t xml:space="preserve"> (žr. 4.5 skyrių)</w:t>
            </w:r>
            <w:r w:rsidRPr="00907D70">
              <w:rPr>
                <w:rFonts w:ascii="Times New Roman" w:eastAsia="Times New Roman" w:hAnsi="Times New Roman"/>
                <w:color w:val="000000"/>
                <w:lang w:eastAsia="lt-LT"/>
              </w:rPr>
              <w:t>.</w:t>
            </w:r>
          </w:p>
        </w:tc>
      </w:tr>
      <w:tr w:rsidR="00E54F8A" w:rsidRPr="00907D70" w14:paraId="65AEF501" w14:textId="77777777" w:rsidTr="00160402">
        <w:trPr>
          <w:cantSplit/>
        </w:trPr>
        <w:tc>
          <w:tcPr>
            <w:tcW w:w="2257" w:type="dxa"/>
          </w:tcPr>
          <w:p w14:paraId="5EDC086F"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Antibiotikai</w:t>
            </w:r>
          </w:p>
        </w:tc>
        <w:tc>
          <w:tcPr>
            <w:tcW w:w="2391" w:type="dxa"/>
          </w:tcPr>
          <w:p w14:paraId="3A3C661D"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Fuzido rūgštis</w:t>
            </w:r>
          </w:p>
        </w:tc>
        <w:tc>
          <w:tcPr>
            <w:tcW w:w="4571" w:type="dxa"/>
          </w:tcPr>
          <w:p w14:paraId="3A262D91"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fuzido rūgšties koncentracija. Negalima kartu skirti fuzido rūgšties esant odos infekcijoms (žr. 4.5 skyrių).</w:t>
            </w:r>
          </w:p>
        </w:tc>
      </w:tr>
      <w:tr w:rsidR="00F347F5" w:rsidRPr="00907D70" w14:paraId="3329F2DD" w14:textId="77777777" w:rsidTr="00160402">
        <w:trPr>
          <w:cantSplit/>
        </w:trPr>
        <w:tc>
          <w:tcPr>
            <w:tcW w:w="2257" w:type="dxa"/>
          </w:tcPr>
          <w:p w14:paraId="43D9A352" w14:textId="0BA4120F"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Priešvėžiniai</w:t>
            </w:r>
            <w:r w:rsidR="00320030" w:rsidRPr="00907D70">
              <w:rPr>
                <w:rFonts w:ascii="Times New Roman" w:eastAsia="Times New Roman" w:hAnsi="Times New Roman"/>
                <w:color w:val="000000"/>
                <w:lang w:eastAsia="lt-LT"/>
              </w:rPr>
              <w:t xml:space="preserve"> </w:t>
            </w:r>
            <w:r w:rsidR="00E04F91" w:rsidRPr="00907D70">
              <w:rPr>
                <w:rFonts w:ascii="Times New Roman" w:eastAsia="Times New Roman" w:hAnsi="Times New Roman"/>
                <w:color w:val="000000"/>
                <w:lang w:eastAsia="lt-LT"/>
              </w:rPr>
              <w:t>vaistiniai preparatai</w:t>
            </w:r>
          </w:p>
        </w:tc>
        <w:tc>
          <w:tcPr>
            <w:tcW w:w="2391" w:type="dxa"/>
          </w:tcPr>
          <w:p w14:paraId="0F5B5B9B" w14:textId="7E2B02EF"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Neratinibas</w:t>
            </w:r>
          </w:p>
        </w:tc>
        <w:tc>
          <w:tcPr>
            <w:tcW w:w="4571" w:type="dxa"/>
          </w:tcPr>
          <w:p w14:paraId="3ED6027B" w14:textId="77B9C13C"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Padidėjusi neratinibo koncentracija plazmoje gali padidinti galimų rimtų ir (arba) gyvybei pavojingų reakcijų riziką (žr. 4.5 skyrių)</w:t>
            </w:r>
          </w:p>
        </w:tc>
      </w:tr>
      <w:tr w:rsidR="00E54F8A" w:rsidRPr="00907D70" w14:paraId="6F08745C" w14:textId="77777777" w:rsidTr="00160402">
        <w:trPr>
          <w:cantSplit/>
        </w:trPr>
        <w:tc>
          <w:tcPr>
            <w:tcW w:w="2257" w:type="dxa"/>
          </w:tcPr>
          <w:p w14:paraId="03FA25B2" w14:textId="59419EAD"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p>
        </w:tc>
        <w:tc>
          <w:tcPr>
            <w:tcW w:w="2391" w:type="dxa"/>
          </w:tcPr>
          <w:p w14:paraId="2E84DA95"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Venetoklaksas</w:t>
            </w:r>
          </w:p>
        </w:tc>
        <w:tc>
          <w:tcPr>
            <w:tcW w:w="4571" w:type="dxa"/>
          </w:tcPr>
          <w:p w14:paraId="39C25375"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venetoklakso koncentracija. Pradėjus vartoti dozę ir per dozės didinimo laikotarpį padidėja naviko lizės sindromo rizika (žr. 4.5 skyrių).</w:t>
            </w:r>
          </w:p>
        </w:tc>
      </w:tr>
      <w:tr w:rsidR="00E54F8A" w:rsidRPr="00907D70" w14:paraId="69301C00" w14:textId="77777777" w:rsidTr="00160402">
        <w:trPr>
          <w:cantSplit/>
        </w:trPr>
        <w:tc>
          <w:tcPr>
            <w:tcW w:w="2257" w:type="dxa"/>
          </w:tcPr>
          <w:p w14:paraId="3264EADA" w14:textId="298B34D3"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Vaist</w:t>
            </w:r>
            <w:r w:rsidR="005B48DB" w:rsidRPr="00907D70">
              <w:rPr>
                <w:rFonts w:ascii="Times New Roman" w:eastAsia="Times New Roman" w:hAnsi="Times New Roman"/>
                <w:color w:val="000000"/>
                <w:lang w:eastAsia="lt-LT"/>
              </w:rPr>
              <w:t>ini</w:t>
            </w:r>
            <w:r w:rsidRPr="00907D70">
              <w:rPr>
                <w:rFonts w:ascii="Times New Roman" w:eastAsia="Times New Roman" w:hAnsi="Times New Roman"/>
                <w:color w:val="000000"/>
                <w:lang w:eastAsia="lt-LT"/>
              </w:rPr>
              <w:t xml:space="preserve">ai </w:t>
            </w:r>
            <w:r w:rsidR="005B48DB" w:rsidRPr="00907D70">
              <w:rPr>
                <w:rFonts w:ascii="Times New Roman" w:eastAsia="Times New Roman" w:hAnsi="Times New Roman"/>
                <w:color w:val="000000"/>
                <w:lang w:eastAsia="lt-LT"/>
              </w:rPr>
              <w:t xml:space="preserve">preparatai </w:t>
            </w:r>
            <w:r w:rsidRPr="00907D70">
              <w:rPr>
                <w:rFonts w:ascii="Times New Roman" w:eastAsia="Times New Roman" w:hAnsi="Times New Roman"/>
                <w:color w:val="000000"/>
                <w:lang w:eastAsia="lt-LT"/>
              </w:rPr>
              <w:t>nuo podagros</w:t>
            </w:r>
          </w:p>
        </w:tc>
        <w:tc>
          <w:tcPr>
            <w:tcW w:w="2391" w:type="dxa"/>
          </w:tcPr>
          <w:p w14:paraId="649289BB"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Kolchicinas</w:t>
            </w:r>
          </w:p>
        </w:tc>
        <w:tc>
          <w:tcPr>
            <w:tcW w:w="4571" w:type="dxa"/>
          </w:tcPr>
          <w:p w14:paraId="64BAB149"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Padidėjusi kolchicino koncentracija plazmoje. Galimos sunkios ir (arba) gyvybei pavojingos reakcijos pacientams, kuriems yra inkstų ir / ar kepenų nepakankamumas (žr. 4.4 ir 4.5 skyrius).</w:t>
            </w:r>
          </w:p>
        </w:tc>
      </w:tr>
      <w:tr w:rsidR="00E54F8A" w:rsidRPr="00907D70" w14:paraId="2E746D8F" w14:textId="77777777" w:rsidTr="00160402">
        <w:trPr>
          <w:cantSplit/>
        </w:trPr>
        <w:tc>
          <w:tcPr>
            <w:tcW w:w="2257" w:type="dxa"/>
          </w:tcPr>
          <w:p w14:paraId="75AF2E13" w14:textId="77777777" w:rsidR="00342622" w:rsidRPr="00907D70" w:rsidRDefault="00342622"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Antihistamininiai vaistiniai preparatai</w:t>
            </w:r>
          </w:p>
        </w:tc>
        <w:tc>
          <w:tcPr>
            <w:tcW w:w="2391" w:type="dxa"/>
          </w:tcPr>
          <w:p w14:paraId="5C877554" w14:textId="77777777" w:rsidR="00342622" w:rsidRPr="00907D70" w:rsidRDefault="00342622" w:rsidP="0084240B">
            <w:pPr>
              <w:spacing w:after="0" w:line="240" w:lineRule="auto"/>
              <w:rPr>
                <w:rFonts w:ascii="Times New Roman" w:eastAsia="Times New Roman" w:hAnsi="Times New Roman"/>
                <w:lang w:eastAsia="lt-LT"/>
              </w:rPr>
            </w:pPr>
            <w:r w:rsidRPr="00907D70">
              <w:rPr>
                <w:rFonts w:ascii="Times New Roman" w:eastAsia="Times New Roman" w:hAnsi="Times New Roman"/>
                <w:lang w:eastAsia="lt-LT"/>
              </w:rPr>
              <w:t>Astemizolas, terfenadinas</w:t>
            </w:r>
          </w:p>
        </w:tc>
        <w:tc>
          <w:tcPr>
            <w:tcW w:w="4571" w:type="dxa"/>
          </w:tcPr>
          <w:p w14:paraId="53ACFD0B" w14:textId="2950D256" w:rsidR="00342622" w:rsidRPr="00907D70" w:rsidRDefault="00342622" w:rsidP="0084240B">
            <w:pPr>
              <w:spacing w:after="0" w:line="240" w:lineRule="auto"/>
              <w:rPr>
                <w:rFonts w:ascii="Times New Roman" w:eastAsia="Times New Roman" w:hAnsi="Times New Roman"/>
                <w:lang w:eastAsia="lt-LT"/>
              </w:rPr>
            </w:pPr>
            <w:r w:rsidRPr="00907D70">
              <w:rPr>
                <w:rFonts w:ascii="Times New Roman" w:eastAsia="Times New Roman" w:hAnsi="Times New Roman"/>
                <w:lang w:eastAsia="lt-LT"/>
              </w:rPr>
              <w:t>Kraujo plazmoje padidėja astemizolo ir terfenadino koncentracija. Dėl šių veikliųjų medžiagų padidėja sunkių aritmijų rizika</w:t>
            </w:r>
            <w:r w:rsidR="00D35FC4" w:rsidRPr="00907D70">
              <w:rPr>
                <w:rFonts w:ascii="Times New Roman" w:eastAsia="Times New Roman" w:hAnsi="Times New Roman"/>
                <w:lang w:eastAsia="lt-LT"/>
              </w:rPr>
              <w:t xml:space="preserve"> (žr. 4.5 skyrių)</w:t>
            </w:r>
            <w:r w:rsidRPr="00907D70">
              <w:rPr>
                <w:rFonts w:ascii="Times New Roman" w:eastAsia="Times New Roman" w:hAnsi="Times New Roman"/>
                <w:lang w:eastAsia="lt-LT"/>
              </w:rPr>
              <w:t>.</w:t>
            </w:r>
          </w:p>
        </w:tc>
      </w:tr>
      <w:tr w:rsidR="00F347F5" w:rsidRPr="00907D70" w14:paraId="59052977" w14:textId="77777777" w:rsidTr="00160402">
        <w:trPr>
          <w:cantSplit/>
        </w:trPr>
        <w:tc>
          <w:tcPr>
            <w:tcW w:w="2257" w:type="dxa"/>
            <w:vMerge w:val="restart"/>
          </w:tcPr>
          <w:p w14:paraId="02715E7B" w14:textId="0EB75BE7"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Antipsichoziniai vaistiniai preparatai / neuroleptikai</w:t>
            </w:r>
          </w:p>
        </w:tc>
        <w:tc>
          <w:tcPr>
            <w:tcW w:w="2391" w:type="dxa"/>
          </w:tcPr>
          <w:p w14:paraId="24C711CC" w14:textId="77777777"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Lurazidonas</w:t>
            </w:r>
          </w:p>
          <w:p w14:paraId="52425439" w14:textId="13298367" w:rsidR="00F347F5" w:rsidRPr="00907D70" w:rsidRDefault="00F347F5" w:rsidP="00F347F5">
            <w:pPr>
              <w:spacing w:after="0" w:line="240" w:lineRule="auto"/>
              <w:rPr>
                <w:rFonts w:ascii="Times New Roman" w:eastAsia="Times New Roman" w:hAnsi="Times New Roman"/>
                <w:lang w:eastAsia="lt-LT"/>
              </w:rPr>
            </w:pPr>
          </w:p>
        </w:tc>
        <w:tc>
          <w:tcPr>
            <w:tcW w:w="4571" w:type="dxa"/>
          </w:tcPr>
          <w:p w14:paraId="3CB7DF01" w14:textId="77777777"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lurazidono koncentracija, dėl to gali padidėti sunkių ir (arba) gyvybei grėsmingų reakcijų rizika (žr. 4.5 skyrių).</w:t>
            </w:r>
          </w:p>
          <w:p w14:paraId="55A5E9BF" w14:textId="3AA2BCAB" w:rsidR="00F347F5" w:rsidRPr="00907D70" w:rsidRDefault="00F347F5" w:rsidP="00F347F5">
            <w:pPr>
              <w:spacing w:after="0" w:line="240" w:lineRule="auto"/>
              <w:rPr>
                <w:rFonts w:ascii="Times New Roman" w:eastAsia="Times New Roman" w:hAnsi="Times New Roman"/>
                <w:lang w:eastAsia="lt-LT"/>
              </w:rPr>
            </w:pPr>
          </w:p>
        </w:tc>
      </w:tr>
      <w:tr w:rsidR="00F347F5" w:rsidRPr="00907D70" w14:paraId="13AE2E9F" w14:textId="77777777" w:rsidTr="00160402">
        <w:trPr>
          <w:cantSplit/>
        </w:trPr>
        <w:tc>
          <w:tcPr>
            <w:tcW w:w="2257" w:type="dxa"/>
            <w:vMerge/>
          </w:tcPr>
          <w:p w14:paraId="439BC344" w14:textId="27C66AF9"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tc>
        <w:tc>
          <w:tcPr>
            <w:tcW w:w="2391" w:type="dxa"/>
          </w:tcPr>
          <w:p w14:paraId="7084348D"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Pimozidas</w:t>
            </w:r>
          </w:p>
        </w:tc>
        <w:tc>
          <w:tcPr>
            <w:tcW w:w="4571" w:type="dxa"/>
          </w:tcPr>
          <w:p w14:paraId="44BCA261" w14:textId="486CD742"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pimozido koncentracija. Dėl to padidėja sunkių hematologinių sutrikimų ar kitų sunkių nepageidaujamų reiškinių, susijusių su šia veikliąja medžiaga, rizika (žr. 4.5 skyrių).</w:t>
            </w:r>
          </w:p>
        </w:tc>
      </w:tr>
      <w:tr w:rsidR="00F347F5" w:rsidRPr="00907D70" w14:paraId="5964D9CF" w14:textId="77777777" w:rsidTr="00160402">
        <w:trPr>
          <w:cantSplit/>
        </w:trPr>
        <w:tc>
          <w:tcPr>
            <w:tcW w:w="2257" w:type="dxa"/>
            <w:vMerge/>
          </w:tcPr>
          <w:p w14:paraId="1C3F32E6"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tc>
        <w:tc>
          <w:tcPr>
            <w:tcW w:w="2391" w:type="dxa"/>
          </w:tcPr>
          <w:p w14:paraId="3F9070AE"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Kvetiapinas</w:t>
            </w:r>
          </w:p>
        </w:tc>
        <w:tc>
          <w:tcPr>
            <w:tcW w:w="4571" w:type="dxa"/>
          </w:tcPr>
          <w:p w14:paraId="233F95DC"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Padidėja kvetiapino koncentracija kraujo plazmoje, tai gali sukelti komą. Vartoti kartu su kvetiapinu draudžiama (žr. 4.5 skyrių).</w:t>
            </w:r>
          </w:p>
        </w:tc>
      </w:tr>
      <w:tr w:rsidR="00F347F5" w:rsidRPr="00907D70" w14:paraId="1C12CF06" w14:textId="77777777" w:rsidTr="00160402">
        <w:trPr>
          <w:cantSplit/>
        </w:trPr>
        <w:tc>
          <w:tcPr>
            <w:tcW w:w="2257" w:type="dxa"/>
          </w:tcPr>
          <w:p w14:paraId="0D04BF95"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Skalsių alkaloidai</w:t>
            </w:r>
          </w:p>
        </w:tc>
        <w:tc>
          <w:tcPr>
            <w:tcW w:w="2391" w:type="dxa"/>
          </w:tcPr>
          <w:p w14:paraId="0A366164"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Dihidroergotaminas, ergonovinas, ergotaminas, metilergonovinas</w:t>
            </w:r>
          </w:p>
        </w:tc>
        <w:tc>
          <w:tcPr>
            <w:tcW w:w="4571" w:type="dxa"/>
          </w:tcPr>
          <w:p w14:paraId="6342FDE3" w14:textId="3E124F04"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Skalsių alkaloidų darinių koncentracijos padidėjimas kraujo plazmoje gali sukelti ūminį toksinį skalsių poveikį, įskaitant kraujagyslių spazmą ir išemiją (žr. 4.5 skyrių).</w:t>
            </w:r>
          </w:p>
        </w:tc>
      </w:tr>
      <w:tr w:rsidR="00F347F5" w:rsidRPr="00907D70" w14:paraId="25500E63" w14:textId="77777777" w:rsidTr="00160402">
        <w:trPr>
          <w:cantSplit/>
        </w:trPr>
        <w:tc>
          <w:tcPr>
            <w:tcW w:w="2257" w:type="dxa"/>
          </w:tcPr>
          <w:p w14:paraId="189CDFB1"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Virškinimo trakto judrumą veikiančios medžiagos</w:t>
            </w:r>
          </w:p>
        </w:tc>
        <w:tc>
          <w:tcPr>
            <w:tcW w:w="2391" w:type="dxa"/>
          </w:tcPr>
          <w:p w14:paraId="553E39DA"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Cisapridas</w:t>
            </w:r>
          </w:p>
        </w:tc>
        <w:tc>
          <w:tcPr>
            <w:tcW w:w="4571" w:type="dxa"/>
          </w:tcPr>
          <w:p w14:paraId="4F3E5502" w14:textId="1E167010"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cisaprido koncentracija. Dėl to padidėja sunkių aritmijų rizika (žr. 4.5 skyrių).</w:t>
            </w:r>
          </w:p>
        </w:tc>
      </w:tr>
      <w:tr w:rsidR="00F347F5" w:rsidRPr="00907D70" w14:paraId="3376F81C" w14:textId="77777777" w:rsidTr="00160402">
        <w:trPr>
          <w:cantSplit/>
          <w:trHeight w:val="1574"/>
        </w:trPr>
        <w:tc>
          <w:tcPr>
            <w:tcW w:w="2257" w:type="dxa"/>
          </w:tcPr>
          <w:p w14:paraId="0B44AB95"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Priešvirusiniai vaistai, tiesiogiai veikiantys hepatito C virusą</w:t>
            </w:r>
          </w:p>
        </w:tc>
        <w:tc>
          <w:tcPr>
            <w:tcW w:w="2391" w:type="dxa"/>
          </w:tcPr>
          <w:p w14:paraId="64772EC5"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Elbasviras/grazopreviras</w:t>
            </w:r>
          </w:p>
          <w:p w14:paraId="4B4A2BE2"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p w14:paraId="778261A7"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Ombitasviras / paritapreviras /ritonaviras kartu su dasabuviru arba be jo</w:t>
            </w:r>
          </w:p>
        </w:tc>
        <w:tc>
          <w:tcPr>
            <w:tcW w:w="4571" w:type="dxa"/>
          </w:tcPr>
          <w:p w14:paraId="5FE93ABA"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Padidėjusi alanino transaminazės (ALT) kiekio padidėjimo rizika (žr. 4.5 skyrių).</w:t>
            </w:r>
          </w:p>
          <w:p w14:paraId="117EE38A"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p w14:paraId="4BEBE32C"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Padidėja paritapreviro koncentracija plazmoje, todėl padidėja alanino transaminazės (ALT) kiekio padidėjimo rizika (žr. 4.5 skyrių).</w:t>
            </w:r>
          </w:p>
        </w:tc>
      </w:tr>
      <w:tr w:rsidR="00F347F5" w:rsidRPr="00907D70" w14:paraId="1023C71C" w14:textId="77777777" w:rsidTr="00160402">
        <w:trPr>
          <w:cantSplit/>
        </w:trPr>
        <w:tc>
          <w:tcPr>
            <w:tcW w:w="2257" w:type="dxa"/>
          </w:tcPr>
          <w:p w14:paraId="299B2CDC" w14:textId="30558D7C" w:rsidR="00E04F91" w:rsidRPr="00907D70" w:rsidRDefault="00320030" w:rsidP="00320030">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Lipidų kiekį keičiantys </w:t>
            </w:r>
            <w:r w:rsidR="00E04F91" w:rsidRPr="00907D70">
              <w:rPr>
                <w:rFonts w:ascii="Times New Roman" w:eastAsia="Times New Roman" w:hAnsi="Times New Roman"/>
                <w:color w:val="000000"/>
                <w:lang w:eastAsia="lt-LT"/>
              </w:rPr>
              <w:t xml:space="preserve">vaistiniai </w:t>
            </w:r>
            <w:r w:rsidRPr="00907D70">
              <w:rPr>
                <w:rFonts w:ascii="Times New Roman" w:eastAsia="Times New Roman" w:hAnsi="Times New Roman"/>
                <w:color w:val="000000"/>
                <w:lang w:eastAsia="lt-LT"/>
              </w:rPr>
              <w:t>preparatai</w:t>
            </w:r>
          </w:p>
          <w:p w14:paraId="76191DF0" w14:textId="1D643D95" w:rsidR="00F347F5" w:rsidRPr="00907D70" w:rsidRDefault="00F347F5" w:rsidP="00320030">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HMG-KoA reduktazės inhibitoriai</w:t>
            </w:r>
          </w:p>
        </w:tc>
        <w:tc>
          <w:tcPr>
            <w:tcW w:w="2391" w:type="dxa"/>
          </w:tcPr>
          <w:p w14:paraId="3C9E833D"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Lovastatinas, simvastatinas</w:t>
            </w:r>
          </w:p>
        </w:tc>
        <w:tc>
          <w:tcPr>
            <w:tcW w:w="4571" w:type="dxa"/>
          </w:tcPr>
          <w:p w14:paraId="281D892A"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lovastatino ir simvastatino koncentracija. Dėl to padidėja miopatijos, įskaitant rabdomiolizę, rizika (žr. 4.5 skyrių).</w:t>
            </w:r>
          </w:p>
        </w:tc>
      </w:tr>
      <w:tr w:rsidR="00F347F5" w:rsidRPr="00907D70" w14:paraId="6A96A9BE" w14:textId="77777777" w:rsidTr="00160402">
        <w:trPr>
          <w:cantSplit/>
        </w:trPr>
        <w:tc>
          <w:tcPr>
            <w:tcW w:w="2257" w:type="dxa"/>
          </w:tcPr>
          <w:p w14:paraId="5D83C7B3" w14:textId="7DAA1109"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Mikrosominio triglicerid</w:t>
            </w:r>
            <w:r w:rsidR="00F84641" w:rsidRPr="00907D70">
              <w:rPr>
                <w:rFonts w:ascii="Times New Roman" w:eastAsia="Times New Roman" w:hAnsi="Times New Roman"/>
                <w:color w:val="000000"/>
                <w:lang w:eastAsia="lt-LT"/>
              </w:rPr>
              <w:t>ų</w:t>
            </w:r>
            <w:r w:rsidRPr="00907D70">
              <w:rPr>
                <w:rFonts w:ascii="Times New Roman" w:eastAsia="Times New Roman" w:hAnsi="Times New Roman"/>
                <w:color w:val="000000"/>
                <w:lang w:eastAsia="lt-LT"/>
              </w:rPr>
              <w:t xml:space="preserve"> pernešimo baltymo (MT</w:t>
            </w:r>
            <w:r w:rsidR="00F84641" w:rsidRPr="00907D70">
              <w:rPr>
                <w:rFonts w:ascii="Times New Roman" w:eastAsia="Times New Roman" w:hAnsi="Times New Roman"/>
                <w:color w:val="000000"/>
                <w:lang w:eastAsia="lt-LT"/>
              </w:rPr>
              <w:t>PB</w:t>
            </w:r>
            <w:r w:rsidRPr="00907D70">
              <w:rPr>
                <w:rFonts w:ascii="Times New Roman" w:eastAsia="Times New Roman" w:hAnsi="Times New Roman"/>
                <w:color w:val="000000"/>
                <w:lang w:eastAsia="lt-LT"/>
              </w:rPr>
              <w:t>) inhibitoriai</w:t>
            </w:r>
          </w:p>
        </w:tc>
        <w:tc>
          <w:tcPr>
            <w:tcW w:w="2391" w:type="dxa"/>
          </w:tcPr>
          <w:p w14:paraId="239101C2" w14:textId="1368B151"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Lomitapidas</w:t>
            </w:r>
          </w:p>
        </w:tc>
        <w:tc>
          <w:tcPr>
            <w:tcW w:w="4571" w:type="dxa"/>
          </w:tcPr>
          <w:p w14:paraId="0CFD4041" w14:textId="36AAF683" w:rsidR="00F347F5" w:rsidRPr="00907D70" w:rsidRDefault="00F347F5" w:rsidP="00F347F5">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Kraujo plazmoje padidėja lomitapido koncentracija (žr. 4.5 skyrių).</w:t>
            </w:r>
          </w:p>
        </w:tc>
      </w:tr>
      <w:tr w:rsidR="00F347F5" w:rsidRPr="00907D70" w14:paraId="510D9ACA" w14:textId="77777777" w:rsidTr="00160402">
        <w:trPr>
          <w:cantSplit/>
        </w:trPr>
        <w:tc>
          <w:tcPr>
            <w:tcW w:w="2257" w:type="dxa"/>
            <w:vMerge w:val="restart"/>
          </w:tcPr>
          <w:p w14:paraId="479A2F26"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Fosfodiesterazės (FDE5) inhibitoriai</w:t>
            </w:r>
          </w:p>
        </w:tc>
        <w:tc>
          <w:tcPr>
            <w:tcW w:w="2391" w:type="dxa"/>
          </w:tcPr>
          <w:p w14:paraId="010FA491"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Avanafilis</w:t>
            </w:r>
          </w:p>
        </w:tc>
        <w:tc>
          <w:tcPr>
            <w:tcW w:w="4571" w:type="dxa"/>
          </w:tcPr>
          <w:p w14:paraId="50290765"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Padidėja avanafilio koncentracija kraujo plazmoje (žr. 4.4 ir 4.5 skyrių).</w:t>
            </w:r>
          </w:p>
        </w:tc>
      </w:tr>
      <w:tr w:rsidR="00F347F5" w:rsidRPr="00907D70" w14:paraId="52FBD1BC" w14:textId="77777777" w:rsidTr="00160402">
        <w:trPr>
          <w:cantSplit/>
        </w:trPr>
        <w:tc>
          <w:tcPr>
            <w:tcW w:w="2257" w:type="dxa"/>
            <w:vMerge/>
          </w:tcPr>
          <w:p w14:paraId="11F8084F"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tc>
        <w:tc>
          <w:tcPr>
            <w:tcW w:w="2391" w:type="dxa"/>
          </w:tcPr>
          <w:p w14:paraId="736378C4"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Sildenafilis</w:t>
            </w:r>
          </w:p>
        </w:tc>
        <w:tc>
          <w:tcPr>
            <w:tcW w:w="4571" w:type="dxa"/>
          </w:tcPr>
          <w:p w14:paraId="4A1CEEA3"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Negalima kartu skirti tiktai gydant plautinę arterinę hipertenziją (PAH). Padidėja sildenafilio koncentracija kraujo plazmoje. Dėl to padidėja su juo susijusių nepageidaujamų reiškinių (įskaitant hipotenziją ir apalpimą) galimybė. Žr. 4.4 skyrių ir 4.5 skyrių dėl sildenafilio vartojimo kartu pacientams, kuriems yra erekcijos sutrikimų. </w:t>
            </w:r>
          </w:p>
        </w:tc>
      </w:tr>
      <w:tr w:rsidR="00F347F5" w:rsidRPr="00907D70" w14:paraId="2B046525" w14:textId="77777777" w:rsidTr="00160402">
        <w:trPr>
          <w:cantSplit/>
        </w:trPr>
        <w:tc>
          <w:tcPr>
            <w:tcW w:w="2257" w:type="dxa"/>
            <w:vMerge/>
          </w:tcPr>
          <w:p w14:paraId="21A9F011"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tc>
        <w:tc>
          <w:tcPr>
            <w:tcW w:w="2391" w:type="dxa"/>
          </w:tcPr>
          <w:p w14:paraId="0F6B7CB1"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Vardenafilis</w:t>
            </w:r>
          </w:p>
        </w:tc>
        <w:tc>
          <w:tcPr>
            <w:tcW w:w="4571" w:type="dxa"/>
          </w:tcPr>
          <w:p w14:paraId="299B54D7" w14:textId="77777777" w:rsidR="00F347F5" w:rsidRPr="00907D70" w:rsidRDefault="00F347F5"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Padidėja vardenafilio koncentracija kraujo plazmoje (žr. 4.4 ir 4.5 skyrius). </w:t>
            </w:r>
          </w:p>
          <w:p w14:paraId="47127AF8"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p>
        </w:tc>
      </w:tr>
      <w:tr w:rsidR="00F347F5" w:rsidRPr="00907D70" w14:paraId="5C5C67B9" w14:textId="77777777" w:rsidTr="00160402">
        <w:trPr>
          <w:cantSplit/>
        </w:trPr>
        <w:tc>
          <w:tcPr>
            <w:tcW w:w="2257" w:type="dxa"/>
          </w:tcPr>
          <w:p w14:paraId="62A9093E"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Raminamieji / migdomieji vaistiniai preparatai</w:t>
            </w:r>
          </w:p>
        </w:tc>
        <w:tc>
          <w:tcPr>
            <w:tcW w:w="2391" w:type="dxa"/>
          </w:tcPr>
          <w:p w14:paraId="09D47056"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Per burną vartojami midazolamas, triazolamas</w:t>
            </w:r>
          </w:p>
        </w:tc>
        <w:tc>
          <w:tcPr>
            <w:tcW w:w="4571" w:type="dxa"/>
          </w:tcPr>
          <w:p w14:paraId="35E63A6E" w14:textId="77777777" w:rsidR="00F347F5" w:rsidRPr="00907D70" w:rsidRDefault="00F347F5"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Padidėja per burną vartojamų midazolamo ir triazolamo koncentracija kraujo plazmoje. </w:t>
            </w:r>
            <w:r w:rsidRPr="00907D70">
              <w:rPr>
                <w:rFonts w:ascii="Times New Roman" w:eastAsia="Times New Roman" w:hAnsi="Times New Roman"/>
                <w:color w:val="000000"/>
                <w:lang w:eastAsia="lt-LT"/>
              </w:rPr>
              <w:t xml:space="preserve">Dėl to </w:t>
            </w:r>
            <w:r w:rsidRPr="00907D70">
              <w:rPr>
                <w:rFonts w:ascii="Times New Roman" w:eastAsia="SimSun" w:hAnsi="Times New Roman"/>
                <w:color w:val="000000"/>
                <w:lang w:eastAsia="zh-CN"/>
              </w:rPr>
              <w:t>padidėja per stipraus raminamojo poveikio ir kvėpavimo slopinimo, susijusių su minėtomis medžiagomis, rizika. Apie įspėjimus parenteraliai vartojant midazolamą žr. 4.5 skyriuje.</w:t>
            </w:r>
          </w:p>
        </w:tc>
      </w:tr>
      <w:tr w:rsidR="00F347F5" w:rsidRPr="00907D70" w14:paraId="17B0FBF1" w14:textId="77777777" w:rsidTr="00160402">
        <w:trPr>
          <w:cantSplit/>
        </w:trPr>
        <w:tc>
          <w:tcPr>
            <w:tcW w:w="9219" w:type="dxa"/>
            <w:gridSpan w:val="3"/>
          </w:tcPr>
          <w:p w14:paraId="60041546"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b/>
                <w:bCs/>
              </w:rPr>
              <w:t xml:space="preserve">Lopinaviro / ritonaviro vaistinio preparato lygis sumažėja </w:t>
            </w:r>
          </w:p>
        </w:tc>
      </w:tr>
      <w:tr w:rsidR="00F347F5" w:rsidRPr="00907D70" w14:paraId="13A1BADB" w14:textId="77777777" w:rsidTr="00160402">
        <w:trPr>
          <w:cantSplit/>
        </w:trPr>
        <w:tc>
          <w:tcPr>
            <w:tcW w:w="2257" w:type="dxa"/>
          </w:tcPr>
          <w:p w14:paraId="7BBE1A66"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Vaistažolių preparatai</w:t>
            </w:r>
          </w:p>
        </w:tc>
        <w:tc>
          <w:tcPr>
            <w:tcW w:w="2391" w:type="dxa"/>
          </w:tcPr>
          <w:p w14:paraId="4707B0B1" w14:textId="77777777" w:rsidR="00F347F5" w:rsidRPr="00907D70" w:rsidRDefault="00F347F5" w:rsidP="0084240B">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Jonažolės</w:t>
            </w:r>
          </w:p>
        </w:tc>
        <w:tc>
          <w:tcPr>
            <w:tcW w:w="4571" w:type="dxa"/>
          </w:tcPr>
          <w:p w14:paraId="0D125709" w14:textId="77777777" w:rsidR="00F347F5" w:rsidRPr="00907D70" w:rsidRDefault="00F347F5"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Vartojant vaistažolių preparatus, kurių sudėtyje yra jonažolių (</w:t>
            </w:r>
            <w:r w:rsidRPr="00907D70">
              <w:rPr>
                <w:rFonts w:ascii="Times New Roman" w:eastAsia="SimSun" w:hAnsi="Times New Roman"/>
                <w:i/>
                <w:color w:val="000000"/>
                <w:lang w:eastAsia="zh-CN"/>
              </w:rPr>
              <w:t>Hypericum perforatum</w:t>
            </w:r>
            <w:r w:rsidRPr="00907D70">
              <w:rPr>
                <w:rFonts w:ascii="Times New Roman" w:eastAsia="SimSun" w:hAnsi="Times New Roman"/>
                <w:color w:val="000000"/>
                <w:lang w:eastAsia="zh-CN"/>
              </w:rPr>
              <w:t>), yra pavojus, kad sumažės lopinaviro ir ritonaviro koncentracija kraujo plazmoje ir jų poveikis (žr. 4.5 skyrių).</w:t>
            </w:r>
          </w:p>
        </w:tc>
      </w:tr>
    </w:tbl>
    <w:p w14:paraId="3E8A1B15" w14:textId="77777777" w:rsidR="00342622" w:rsidRPr="00907D70" w:rsidRDefault="00342622" w:rsidP="00342622">
      <w:pPr>
        <w:tabs>
          <w:tab w:val="left" w:pos="567"/>
        </w:tabs>
        <w:spacing w:after="0" w:line="240" w:lineRule="auto"/>
        <w:rPr>
          <w:rFonts w:ascii="Times New Roman" w:eastAsia="Times New Roman" w:hAnsi="Times New Roman"/>
        </w:rPr>
      </w:pPr>
    </w:p>
    <w:p w14:paraId="533DBEF5"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4.4</w:t>
      </w:r>
      <w:r w:rsidRPr="00907D70">
        <w:rPr>
          <w:rFonts w:ascii="Times New Roman" w:eastAsia="Times New Roman" w:hAnsi="Times New Roman"/>
          <w:b/>
          <w:bCs/>
        </w:rPr>
        <w:tab/>
        <w:t xml:space="preserve">Specialūs įspėjimai ir atsargumo priemonės </w:t>
      </w:r>
    </w:p>
    <w:p w14:paraId="02D39E0A" w14:textId="77777777" w:rsidR="00342622" w:rsidRPr="00907D70" w:rsidRDefault="00342622" w:rsidP="00342622">
      <w:pPr>
        <w:tabs>
          <w:tab w:val="left" w:pos="567"/>
        </w:tabs>
        <w:spacing w:after="0" w:line="240" w:lineRule="auto"/>
        <w:rPr>
          <w:rFonts w:ascii="Times New Roman" w:eastAsia="Times New Roman" w:hAnsi="Times New Roman"/>
          <w:bCs/>
        </w:rPr>
      </w:pPr>
    </w:p>
    <w:p w14:paraId="0B62A1BB" w14:textId="77777777" w:rsidR="00342622" w:rsidRPr="00907D70" w:rsidRDefault="00342622" w:rsidP="00342622">
      <w:pPr>
        <w:autoSpaceDE w:val="0"/>
        <w:autoSpaceDN w:val="0"/>
        <w:adjustRightInd w:val="0"/>
        <w:spacing w:after="0" w:line="240" w:lineRule="auto"/>
        <w:rPr>
          <w:rFonts w:ascii="Times New Roman" w:eastAsia="Times New Roman" w:hAnsi="Times New Roman"/>
          <w:iCs/>
          <w:color w:val="000000"/>
          <w:u w:val="single"/>
          <w:lang w:eastAsia="lt-LT"/>
        </w:rPr>
      </w:pPr>
      <w:r w:rsidRPr="00907D70">
        <w:rPr>
          <w:rFonts w:ascii="Times New Roman" w:eastAsia="Times New Roman" w:hAnsi="Times New Roman"/>
          <w:iCs/>
          <w:color w:val="000000"/>
          <w:u w:val="single"/>
          <w:lang w:eastAsia="lt-LT"/>
        </w:rPr>
        <w:t>Pacientai, kartu sergantys ir kitomis ligomis</w:t>
      </w:r>
    </w:p>
    <w:p w14:paraId="61E329F9"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lang w:eastAsia="lt-LT"/>
        </w:rPr>
      </w:pPr>
    </w:p>
    <w:p w14:paraId="62CE1847"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i/>
          <w:iCs/>
          <w:color w:val="000000"/>
          <w:lang w:eastAsia="lt-LT"/>
        </w:rPr>
        <w:lastRenderedPageBreak/>
        <w:t>Kepenų funkcijos sutrikimas.</w:t>
      </w:r>
      <w:r w:rsidRPr="00907D70">
        <w:rPr>
          <w:rFonts w:ascii="Times New Roman" w:eastAsia="Times New Roman" w:hAnsi="Times New Roman"/>
          <w:color w:val="000000"/>
          <w:lang w:eastAsia="lt-LT"/>
        </w:rPr>
        <w:t xml:space="preserve"> </w:t>
      </w:r>
      <w:r w:rsidRPr="00907D70">
        <w:rPr>
          <w:rFonts w:ascii="Times New Roman" w:eastAsia="Times New Roman" w:hAnsi="Times New Roman"/>
        </w:rPr>
        <w:t xml:space="preserve">Lopinavir / Ritonavir Accord </w:t>
      </w:r>
      <w:r w:rsidRPr="00907D70">
        <w:rPr>
          <w:rFonts w:ascii="Times New Roman" w:eastAsia="Times New Roman" w:hAnsi="Times New Roman"/>
          <w:color w:val="000000"/>
          <w:lang w:eastAsia="lt-LT"/>
        </w:rPr>
        <w:t xml:space="preserve">saugumas ir veiksmingumas pacientams, sergantiems sunkia kepenų liga, nenustatytas. </w:t>
      </w:r>
      <w:r w:rsidRPr="00907D70">
        <w:rPr>
          <w:rFonts w:ascii="Times New Roman" w:eastAsia="Times New Roman" w:hAnsi="Times New Roman"/>
          <w:color w:val="000000"/>
        </w:rPr>
        <w:t xml:space="preserve">Lopinavir / Ritonavir Accord negalima </w:t>
      </w:r>
      <w:r w:rsidRPr="00907D70">
        <w:rPr>
          <w:rFonts w:ascii="Times New Roman" w:eastAsia="Times New Roman" w:hAnsi="Times New Roman"/>
          <w:color w:val="000000"/>
          <w:lang w:eastAsia="lt-LT"/>
        </w:rPr>
        <w:t xml:space="preserve">skirti, pacientams, kuriems yra sunkus kepenų funkcijos sutrikimas (žr. 4.3 skyrių). Lėtiniu hepatitu B ar C sergantiems pacientams, kuriems taikomas sudėtinis antiretrovirusinis gydymas, yra padidėjusi sunkių ir galimai mirtinų nepageidaujamų reakcijų kepenims rizika. Kai kartu skiriamas antivirusinis hepatito B ar C gydymas, žr. atitinkamą informaciją apie šiuos vaistinius preparatus. </w:t>
      </w:r>
    </w:p>
    <w:p w14:paraId="17863CC1" w14:textId="77777777" w:rsidR="00342622" w:rsidRPr="00907D70" w:rsidRDefault="00342622" w:rsidP="00342622">
      <w:pPr>
        <w:tabs>
          <w:tab w:val="left" w:pos="567"/>
        </w:tabs>
        <w:spacing w:after="0" w:line="240" w:lineRule="auto"/>
        <w:rPr>
          <w:rFonts w:ascii="Times New Roman" w:eastAsia="Times New Roman" w:hAnsi="Times New Roman"/>
          <w:color w:val="000000"/>
          <w:lang w:eastAsia="lt-LT"/>
        </w:rPr>
      </w:pPr>
    </w:p>
    <w:p w14:paraId="13D56D3E"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color w:val="000000"/>
          <w:lang w:eastAsia="lt-LT"/>
        </w:rPr>
        <w:t>Pacientams, kuriems anksčiau buvo kepenų funkcijos sutrikimų, įskaitant lėtinį hepatitą, taikant sudėtinį antiretrovirusinį gydymą dažniau sutrinka kepenų funkcija, todėl juos reikia stebėti pagal standartinius reikalavimus. Jeigu tokiems pacientams yra kepenų ligos pablogėjimo požymių, turi būti apsvarstyta, ar nereikia laikinai arba visam laikui nutraukti gydymo.</w:t>
      </w:r>
    </w:p>
    <w:p w14:paraId="7DCC8EAE" w14:textId="77777777" w:rsidR="00342622" w:rsidRPr="00907D70" w:rsidRDefault="00342622" w:rsidP="00342622">
      <w:pPr>
        <w:tabs>
          <w:tab w:val="left" w:pos="567"/>
        </w:tabs>
        <w:spacing w:after="0" w:line="240" w:lineRule="auto"/>
        <w:rPr>
          <w:rFonts w:ascii="Times New Roman" w:eastAsia="Times New Roman" w:hAnsi="Times New Roman"/>
          <w:bCs/>
        </w:rPr>
      </w:pPr>
    </w:p>
    <w:p w14:paraId="2B8A9B07"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Buvo gauta pranešimų, kad ŽIV-1 monoinfekuotiems pacientams ir pacientams, kuriems po buvusios ekspozicijos pradedamas profilaktinis gydymas lopinaviro / ritonaviro deriniu kartu su kitais antiretrovirusiniais vaistiniais preparatais, ne anksčiau kaip po 7 parų padidėjo transaminazių aktyvumas kartu su bilirubino kiekio padidėjimu arba be jo. Kai kuriais atvejais kepenų funkcijos sutrikimas buvo sunkus. </w:t>
      </w:r>
    </w:p>
    <w:p w14:paraId="7F6A321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281047F7"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Prieš pradedant gydymą lopinaviro / ritonaviro deriniu turi būti atlikti reikiami laboratoriniai tyrimai ir viso gydymo metu būtinas atidus stebėjimas.</w:t>
      </w:r>
    </w:p>
    <w:p w14:paraId="13A59DC8"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lang w:eastAsia="lt-LT"/>
        </w:rPr>
      </w:pPr>
    </w:p>
    <w:p w14:paraId="53A2CD5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r w:rsidRPr="00907D70">
        <w:rPr>
          <w:rFonts w:ascii="Times New Roman" w:eastAsia="Times New Roman" w:hAnsi="Times New Roman"/>
          <w:i/>
          <w:iCs/>
          <w:color w:val="000000"/>
          <w:lang w:eastAsia="lt-LT"/>
        </w:rPr>
        <w:t>Inkstų funkcijos sutrikimas</w:t>
      </w:r>
      <w:r w:rsidRPr="00907D70">
        <w:rPr>
          <w:rFonts w:ascii="Times New Roman" w:eastAsia="Times New Roman" w:hAnsi="Times New Roman"/>
          <w:color w:val="000000"/>
          <w:lang w:eastAsia="lt-LT"/>
        </w:rPr>
        <w:t xml:space="preserve">. Kadangi lopinaviro ir ritonaviro inkstų klirensas yra nereikšmingas, nesitikima, kad pacientams, kuriems yra inkstų funkcijos sutrikimas, padidės šių vaistinių preparatų koncentracija kraujo plazmoje. </w:t>
      </w:r>
      <w:r w:rsidRPr="00907D70">
        <w:rPr>
          <w:rFonts w:ascii="Times New Roman" w:eastAsia="Times New Roman" w:hAnsi="Times New Roman"/>
          <w:color w:val="000000"/>
        </w:rPr>
        <w:t>Lopinaviras ir ritonaviras labai gerai jungiasi su baltymais, todėl mažai tikėtina, kad jų reikšmingai pasišalintų hemodializės ar peritoninės dializės metu.</w:t>
      </w:r>
    </w:p>
    <w:p w14:paraId="27AC2141" w14:textId="77777777" w:rsidR="00342622" w:rsidRPr="00907D70" w:rsidRDefault="00342622" w:rsidP="00342622">
      <w:pPr>
        <w:tabs>
          <w:tab w:val="left" w:pos="567"/>
        </w:tabs>
        <w:spacing w:after="0" w:line="240" w:lineRule="auto"/>
        <w:rPr>
          <w:rFonts w:ascii="Times New Roman" w:eastAsia="Times New Roman" w:hAnsi="Times New Roman"/>
          <w:i/>
          <w:iCs/>
          <w:color w:val="000000"/>
          <w:lang w:eastAsia="lt-LT"/>
        </w:rPr>
      </w:pPr>
    </w:p>
    <w:p w14:paraId="11847942"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i/>
          <w:iCs/>
          <w:color w:val="000000"/>
          <w:lang w:eastAsia="lt-LT"/>
        </w:rPr>
        <w:t>Hemofilija</w:t>
      </w:r>
      <w:r w:rsidRPr="00907D70">
        <w:rPr>
          <w:rFonts w:ascii="Times New Roman" w:eastAsia="Times New Roman" w:hAnsi="Times New Roman"/>
          <w:color w:val="000000"/>
          <w:lang w:eastAsia="lt-LT"/>
        </w:rPr>
        <w:t>. Yra pranešimų apie padidėjusį kraujavimą, taip pat savaimines odos kraujosruvas ir kraujavimą į sąnarius pacientams, kuriems yra A bei B tipo hemofilija, gydytiems proteazių inhibitoriais. Kai kuriems iš jų buvo papildomai skiriamas VIII faktorius. Daugiau kaip pusei šių asmenų buvo tęsiamas ar atnaujintas nutrauktas gydymas proteazių inhibitoriais. Nustatytas priežastinis ryšys, nors veikimo mechanizmas neišaiškintas. Todėl hemofilija sergantys pacientai turi būti informuoti apie didesnę kraujavimo galimybę.</w:t>
      </w:r>
    </w:p>
    <w:p w14:paraId="222C86C3"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0250843"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Kasos uždegimas</w:t>
      </w:r>
    </w:p>
    <w:p w14:paraId="07BACA76"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color w:val="000000"/>
          <w:u w:val="single"/>
          <w:lang w:eastAsia="lt-LT"/>
        </w:rPr>
      </w:pPr>
    </w:p>
    <w:p w14:paraId="23F5B55C"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Buvo pranešta apie kasos uždegimo atvejus Lopinavir / Ritonavir Accord vartojantiems pacientams, įskaitant tuos, kuriems išsivystė hipertrigliceridemija. Daugeliu atvejų pacientams anksčiau yra buvęs kasos uždegimas ir (arba) jiems kartu buvo taikomas gydymas, susijęs su kasos uždegimu. Ženkliai padidėjęs trigliceridų kiekis yra kasos uždegimo išsivystymo rizikos veiksnys. Pacientams, kuriems yra pažengusi ŽIV liga, yra didesnė trigliceridų kiekio padidėjimo ir kasos uždegimo išsivystymo rizika.</w:t>
      </w:r>
    </w:p>
    <w:p w14:paraId="243B4F82"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color w:val="000000"/>
          <w:lang w:eastAsia="lt-LT"/>
        </w:rPr>
      </w:pPr>
    </w:p>
    <w:p w14:paraId="1265F3D7"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Apie kasos uždegimą turi būti pagalvota atsiradus jam būdingų klinikinių simptomų (pykinimui, vėmimui, pilvo skausmui) ar laboratorinių rodiklių pokyčių (pvz., padidėjus serumo lipazės ar amilazės aktyvumui). Pacientus, kuriems atsiranda šių požymių, reikia ištirti ir nutraukti gydymą </w:t>
      </w:r>
      <w:r w:rsidRPr="00907D70">
        <w:rPr>
          <w:rFonts w:ascii="Times New Roman" w:eastAsia="Times New Roman" w:hAnsi="Times New Roman"/>
          <w:color w:val="000000"/>
        </w:rPr>
        <w:t>Lopinavir / Ritonavir Accord,</w:t>
      </w:r>
      <w:r w:rsidRPr="00907D70">
        <w:rPr>
          <w:rFonts w:ascii="Times New Roman" w:eastAsia="Times New Roman" w:hAnsi="Times New Roman"/>
          <w:color w:val="000000"/>
          <w:lang w:eastAsia="lt-LT"/>
        </w:rPr>
        <w:t xml:space="preserve"> jeigu patvirtinama kasos uždegimo diagnozė (žr. 4.8 skyrių). </w:t>
      </w:r>
    </w:p>
    <w:p w14:paraId="6C4828C3" w14:textId="77777777" w:rsidR="00342622" w:rsidRPr="0071082F" w:rsidRDefault="00342622" w:rsidP="0071082F">
      <w:pPr>
        <w:spacing w:after="0" w:line="240" w:lineRule="auto"/>
        <w:rPr>
          <w:rFonts w:ascii="Times New Roman" w:hAnsi="Times New Roman"/>
        </w:rPr>
      </w:pPr>
    </w:p>
    <w:p w14:paraId="5FFF1542" w14:textId="010B7F66" w:rsidR="00342622" w:rsidRPr="00907D70" w:rsidRDefault="00F84641" w:rsidP="00342622">
      <w:pPr>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Imuniteto atsistatymo uždegiminis</w:t>
      </w:r>
      <w:r w:rsidRPr="00907D70" w:rsidDel="00F84641">
        <w:rPr>
          <w:rFonts w:ascii="Times New Roman" w:eastAsia="Times New Roman" w:hAnsi="Times New Roman"/>
          <w:i/>
          <w:iCs/>
          <w:color w:val="000000"/>
          <w:u w:val="single"/>
          <w:lang w:eastAsia="lt-LT"/>
        </w:rPr>
        <w:t xml:space="preserve"> </w:t>
      </w:r>
      <w:r w:rsidR="00195B10" w:rsidRPr="00907D70">
        <w:rPr>
          <w:rFonts w:ascii="Times New Roman" w:hAnsi="Times New Roman"/>
          <w:i/>
          <w:color w:val="000000"/>
          <w:u w:val="single"/>
        </w:rPr>
        <w:t>sindromas</w:t>
      </w:r>
    </w:p>
    <w:p w14:paraId="57DF75D1" w14:textId="77777777" w:rsidR="00342622" w:rsidRPr="00907D70" w:rsidRDefault="00342622" w:rsidP="00342622">
      <w:pPr>
        <w:autoSpaceDE w:val="0"/>
        <w:autoSpaceDN w:val="0"/>
        <w:adjustRightInd w:val="0"/>
        <w:spacing w:after="0" w:line="240" w:lineRule="auto"/>
        <w:rPr>
          <w:rFonts w:ascii="Times New Roman" w:eastAsia="Times New Roman" w:hAnsi="Times New Roman"/>
          <w:i/>
          <w:color w:val="000000"/>
          <w:u w:val="single"/>
          <w:lang w:eastAsia="lt-LT"/>
        </w:rPr>
      </w:pPr>
    </w:p>
    <w:p w14:paraId="32B7C1E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ŽIV infekuotiems pacientams, kuriems yra sunkus imuninės sistemos nepakankamumas, pradėjus kombinuotą antiretrovirusinį gydymą (KARG), gali atsirasti uždegiminė reakcija į besimptomius arba likusius oportunistinius ligų sukėlėjus ir sukelti sunkias klinikines būkles ar simptomų pablogėjimą. Paprastai tokios reakcijos stebėtos pirmosiomis KARG savaitėmis ar mėnesiais. Tinkami jų pavyzdžiai yra citomegalovirusinis retinitas, išplitę ir (arba) židininės mikobakterinės infekcijos ir </w:t>
      </w:r>
      <w:r w:rsidRPr="00907D70">
        <w:rPr>
          <w:rFonts w:ascii="Times New Roman" w:eastAsia="Times New Roman" w:hAnsi="Times New Roman"/>
          <w:i/>
          <w:iCs/>
          <w:color w:val="000000"/>
          <w:lang w:eastAsia="lt-LT"/>
        </w:rPr>
        <w:t xml:space="preserve">Pneumocystis jiroveci </w:t>
      </w:r>
      <w:r w:rsidRPr="00907D70">
        <w:rPr>
          <w:rFonts w:ascii="Times New Roman" w:eastAsia="Times New Roman" w:hAnsi="Times New Roman"/>
          <w:color w:val="000000"/>
          <w:lang w:eastAsia="lt-LT"/>
        </w:rPr>
        <w:t xml:space="preserve">pneumonija. Reikia įvertinti bet kokius uždegimo simptomus ir prireikus pradėti gydymą. </w:t>
      </w:r>
    </w:p>
    <w:p w14:paraId="4E964868"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76648BEE" w14:textId="601DEA6B" w:rsidR="00342622" w:rsidRPr="00907D70" w:rsidRDefault="00342622" w:rsidP="00E54F8A">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color w:val="000000"/>
          <w:lang w:eastAsia="lt-LT"/>
        </w:rPr>
        <w:lastRenderedPageBreak/>
        <w:t>Taip pat buvo gauta pranešimų apie autoimuninius sutrikimus, tokius kaip Greivso (</w:t>
      </w:r>
      <w:r w:rsidRPr="00907D70">
        <w:rPr>
          <w:rFonts w:ascii="Times New Roman" w:eastAsia="Times New Roman" w:hAnsi="Times New Roman"/>
          <w:i/>
          <w:iCs/>
          <w:color w:val="000000"/>
          <w:lang w:eastAsia="lt-LT"/>
        </w:rPr>
        <w:t>Graves</w:t>
      </w:r>
      <w:r w:rsidRPr="00907D70">
        <w:rPr>
          <w:rFonts w:ascii="Times New Roman" w:eastAsia="Times New Roman" w:hAnsi="Times New Roman"/>
          <w:color w:val="000000"/>
          <w:lang w:eastAsia="lt-LT"/>
        </w:rPr>
        <w:t>) liga</w:t>
      </w:r>
      <w:r w:rsidR="00195B10" w:rsidRPr="00907D70">
        <w:rPr>
          <w:rFonts w:ascii="Times New Roman" w:eastAsia="Times New Roman" w:hAnsi="Times New Roman"/>
          <w:color w:val="000000"/>
          <w:lang w:eastAsia="lt-LT"/>
        </w:rPr>
        <w:t xml:space="preserve"> ir autoimuninis hepatitas</w:t>
      </w:r>
      <w:r w:rsidRPr="00907D70">
        <w:rPr>
          <w:rFonts w:ascii="Times New Roman" w:eastAsia="Times New Roman" w:hAnsi="Times New Roman"/>
          <w:color w:val="000000"/>
          <w:lang w:eastAsia="lt-LT"/>
        </w:rPr>
        <w:t>, atsirandančius imuni</w:t>
      </w:r>
      <w:r w:rsidR="005535C0" w:rsidRPr="00907D70">
        <w:rPr>
          <w:rFonts w:ascii="Times New Roman" w:eastAsia="Times New Roman" w:hAnsi="Times New Roman"/>
          <w:color w:val="000000"/>
          <w:lang w:eastAsia="lt-LT"/>
        </w:rPr>
        <w:t xml:space="preserve">teto atsistatymo </w:t>
      </w:r>
      <w:r w:rsidRPr="00907D70">
        <w:rPr>
          <w:rFonts w:ascii="Times New Roman" w:eastAsia="Times New Roman" w:hAnsi="Times New Roman"/>
          <w:color w:val="000000"/>
          <w:lang w:eastAsia="lt-LT"/>
        </w:rPr>
        <w:t>fone, nors autoimuninių sutrikimų pradžios laikas pranešimuose yra kintamas, ir jie gali pasireikšti po daugelio mėnesių nuo gydymo pradžios.</w:t>
      </w:r>
    </w:p>
    <w:p w14:paraId="0A59149D" w14:textId="77777777" w:rsidR="00342622" w:rsidRPr="00907D70" w:rsidRDefault="00342622" w:rsidP="00342622">
      <w:pPr>
        <w:tabs>
          <w:tab w:val="left" w:pos="567"/>
        </w:tabs>
        <w:spacing w:after="0" w:line="240" w:lineRule="auto"/>
        <w:jc w:val="both"/>
        <w:rPr>
          <w:rFonts w:ascii="Times New Roman" w:eastAsia="Times New Roman" w:hAnsi="Times New Roman"/>
          <w:bCs/>
        </w:rPr>
      </w:pPr>
    </w:p>
    <w:p w14:paraId="167874EC"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Kaulų nekrozė</w:t>
      </w:r>
    </w:p>
    <w:p w14:paraId="262A49D1"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color w:val="000000"/>
          <w:u w:val="single"/>
          <w:lang w:eastAsia="lt-LT"/>
        </w:rPr>
      </w:pPr>
    </w:p>
    <w:p w14:paraId="3F5EA6BA"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Nors manoma, kad nekrozės etiologijoje dalyvauja daug veiksnių (įskaitant kortikosteroidų, alkoholio vartojimą, sunkią imunosupresiją, didesnį kūno masės indeksą), gauta pranešimų apie jos atvejus, ypač pacientams, kuriems yra progresavusi ŽIV liga ir (arba) ilgai gydomiems kombinuotais antiretrovirusiniais preparatais (KARG). Pacientai turi būti informuoti, kad reikia kreiptis į gydytoją, jeigu jiems gelia ir skauda sąnarius, yra sąnarių sustingimas ar tampa sunku judėti. </w:t>
      </w:r>
    </w:p>
    <w:p w14:paraId="2D2EF235"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iCs/>
          <w:color w:val="000000"/>
          <w:lang w:eastAsia="lt-LT"/>
        </w:rPr>
      </w:pPr>
    </w:p>
    <w:p w14:paraId="7D0E9D6A"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PR intervalo pailgėjimas</w:t>
      </w:r>
    </w:p>
    <w:p w14:paraId="34B9D442"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color w:val="000000"/>
          <w:u w:val="single"/>
          <w:lang w:eastAsia="lt-LT"/>
        </w:rPr>
      </w:pPr>
    </w:p>
    <w:p w14:paraId="5810BF6B" w14:textId="7970AEAB" w:rsidR="00342622" w:rsidRPr="00907D70" w:rsidRDefault="00342622" w:rsidP="00342622">
      <w:pPr>
        <w:keepNext/>
        <w:keepLines/>
        <w:tabs>
          <w:tab w:val="left" w:pos="567"/>
        </w:tabs>
        <w:spacing w:after="0" w:line="240" w:lineRule="auto"/>
        <w:rPr>
          <w:rFonts w:ascii="Times New Roman" w:hAnsi="Times New Roman"/>
          <w:color w:val="000000"/>
        </w:rPr>
      </w:pPr>
      <w:r w:rsidRPr="00907D70">
        <w:rPr>
          <w:rFonts w:ascii="Times New Roman" w:eastAsia="Times New Roman" w:hAnsi="Times New Roman"/>
          <w:color w:val="000000"/>
          <w:lang w:eastAsia="lt-LT"/>
        </w:rPr>
        <w:t>Nustatyta, kad lopinaviro / ritonaviro derinys kai kuriems suaugusiems sveikiems asmenims sukelia nedidelį besimptomį PR intervalo pailgėjimą. Retai gauta pranešimų apie 2-ojo ar 3-ojo laipsnio atr</w:t>
      </w:r>
      <w:r w:rsidR="006839C9">
        <w:rPr>
          <w:rFonts w:ascii="Times New Roman" w:eastAsia="Times New Roman" w:hAnsi="Times New Roman"/>
          <w:color w:val="000000"/>
          <w:lang w:eastAsia="lt-LT"/>
        </w:rPr>
        <w:t>i</w:t>
      </w:r>
      <w:r w:rsidRPr="00907D70">
        <w:rPr>
          <w:rFonts w:ascii="Times New Roman" w:eastAsia="Times New Roman" w:hAnsi="Times New Roman"/>
          <w:color w:val="000000"/>
          <w:lang w:eastAsia="lt-LT"/>
        </w:rPr>
        <w:t xml:space="preserve">oventrikulinės blokados atvejus lopinaviro / ritonaviro deriniu gydomiems pacientams, kuriems yra struktūrinė širdies liga ir anksčiau buvo laidžiosios sistemos sutrikimų, arba kurie vartoja PR intervalą ilginančių vaistinių preparatų (tokių, kaip verapamilis ar atazanaviras).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tokiems pacientams turi būti skiriamas atsargiai (žr. 5.1 skyrių).</w:t>
      </w:r>
    </w:p>
    <w:p w14:paraId="158C44BD" w14:textId="77777777" w:rsidR="00342622" w:rsidRPr="00907D70" w:rsidRDefault="00342622" w:rsidP="00342622">
      <w:pPr>
        <w:keepNext/>
        <w:keepLines/>
        <w:tabs>
          <w:tab w:val="left" w:pos="567"/>
        </w:tabs>
        <w:spacing w:after="0" w:line="240" w:lineRule="auto"/>
        <w:rPr>
          <w:rFonts w:ascii="Times New Roman" w:hAnsi="Times New Roman"/>
          <w:color w:val="000000"/>
        </w:rPr>
      </w:pPr>
    </w:p>
    <w:p w14:paraId="4135CA78" w14:textId="77777777" w:rsidR="00342622" w:rsidRPr="00907D70" w:rsidRDefault="00342622" w:rsidP="00342622">
      <w:pPr>
        <w:keepNext/>
        <w:keepLines/>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 xml:space="preserve">Kūno masė ir metabolizmo rodmenys </w:t>
      </w:r>
    </w:p>
    <w:p w14:paraId="47A54632" w14:textId="77777777" w:rsidR="00342622" w:rsidRPr="00907D70" w:rsidRDefault="00342622" w:rsidP="00342622">
      <w:pPr>
        <w:keepNext/>
        <w:keepLines/>
        <w:tabs>
          <w:tab w:val="left" w:pos="567"/>
        </w:tabs>
        <w:spacing w:after="0" w:line="240" w:lineRule="auto"/>
      </w:pPr>
    </w:p>
    <w:p w14:paraId="2A82B585" w14:textId="77777777" w:rsidR="00342622" w:rsidRPr="00907D70" w:rsidRDefault="00342622" w:rsidP="00342622">
      <w:pPr>
        <w:keepNext/>
        <w:keepLines/>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737A827C" w14:textId="77777777" w:rsidR="00342622" w:rsidRPr="00907D70" w:rsidRDefault="00342622" w:rsidP="00342622">
      <w:pPr>
        <w:tabs>
          <w:tab w:val="left" w:pos="567"/>
        </w:tabs>
        <w:spacing w:after="0" w:line="240" w:lineRule="auto"/>
        <w:rPr>
          <w:rFonts w:ascii="Times New Roman" w:eastAsia="Times New Roman" w:hAnsi="Times New Roman"/>
          <w:bCs/>
        </w:rPr>
      </w:pPr>
    </w:p>
    <w:p w14:paraId="3DECC0B7"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Sąveika su kitais vaistiniais preparatais</w:t>
      </w:r>
    </w:p>
    <w:p w14:paraId="3EA9F516" w14:textId="77777777" w:rsidR="00342622" w:rsidRPr="00907D70" w:rsidRDefault="00342622" w:rsidP="00342622">
      <w:pPr>
        <w:autoSpaceDE w:val="0"/>
        <w:autoSpaceDN w:val="0"/>
        <w:adjustRightInd w:val="0"/>
        <w:spacing w:after="0" w:line="240" w:lineRule="auto"/>
        <w:rPr>
          <w:rFonts w:ascii="Times New Roman" w:eastAsia="Times New Roman" w:hAnsi="Times New Roman"/>
          <w:i/>
          <w:color w:val="000000"/>
          <w:u w:val="single"/>
          <w:lang w:eastAsia="lt-LT"/>
        </w:rPr>
      </w:pPr>
    </w:p>
    <w:p w14:paraId="192C273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sudėtyje yra lopinaviro ir ritonaviro, abu jie yra P450 CYP3A izoformos inhibitoriai. Tikėtina, kad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gali didinti vaistinių preparatų, kuriuos daugiausia metabolizuoja CYP3A, koncentracijas kraujo plazmoje. Padidėjusios kartu vartojamų vaistinių preparatų koncentracijos gali sustiprinti ar pailginti savo gydomąjį poveikį ir nepageidaujamus reiškinius (žr. 4.3 ir 4.5 skyrius). </w:t>
      </w:r>
    </w:p>
    <w:p w14:paraId="4DE8EA67" w14:textId="77777777" w:rsidR="00342622" w:rsidRPr="00907D70" w:rsidRDefault="00342622" w:rsidP="00342622">
      <w:pPr>
        <w:tabs>
          <w:tab w:val="left" w:pos="567"/>
        </w:tabs>
        <w:spacing w:after="0" w:line="240" w:lineRule="auto"/>
        <w:rPr>
          <w:rFonts w:ascii="Times New Roman" w:eastAsia="Times New Roman" w:hAnsi="Times New Roman"/>
          <w:color w:val="000000"/>
          <w:lang w:eastAsia="lt-LT"/>
        </w:rPr>
      </w:pPr>
    </w:p>
    <w:p w14:paraId="7B755C90"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Stiprūs CYP3A4 inhibitoriai, tokie kaip proteazės inhibitoriai, gali padidinti bedakvilino ekspoziciją, dėl kurios gali padidėti su bedakvilinu susijusių nepageidaujamų reakcijų rizika. Todėl bedakvilino ir lopinaviro / ritonaviro derinio reikia vengti. Tačiau jei nauda viršija riziką, atsargiai bedakviliną su lopinaviru / ritonaviru vartoti galima. Tokiu atveju rekomenduojama dažniau atlikti elektrokardiogramą ir stebėti transaminazių aktyvumą (žr. 4.5 skyrių bei bedakvilino PCS). </w:t>
      </w:r>
    </w:p>
    <w:p w14:paraId="606CF6C6" w14:textId="77777777" w:rsidR="00342622" w:rsidRPr="00907D70" w:rsidRDefault="00342622" w:rsidP="00342622">
      <w:pPr>
        <w:tabs>
          <w:tab w:val="left" w:pos="567"/>
        </w:tabs>
        <w:spacing w:after="0" w:line="240" w:lineRule="auto"/>
      </w:pPr>
    </w:p>
    <w:p w14:paraId="4F43EA83"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Skiriant delamanidą kartu su stipriu CYP3A inhibitoriumi (pvz., lopinaviru / ritonaviru), gali padidėti delamanido metabolito ekspozicija, kuri yra susijusi su QTc intervalo pailgėjimu. Todėl, jeigu manoma, kad delamanidą skirti kartu su lopinaviru / ritonaviru būtina, rekomenduojama labai dažnai stebėti EKG visą gydymo delamanidu laikotarpį (žr. 4.5 skyrių ir delamanido PCS).</w:t>
      </w:r>
    </w:p>
    <w:p w14:paraId="7B888298" w14:textId="77777777" w:rsidR="00342622" w:rsidRPr="00907D70" w:rsidRDefault="00342622" w:rsidP="00342622">
      <w:pPr>
        <w:tabs>
          <w:tab w:val="left" w:pos="567"/>
        </w:tabs>
        <w:spacing w:after="0" w:line="240" w:lineRule="auto"/>
        <w:rPr>
          <w:rFonts w:ascii="Times New Roman" w:eastAsia="Times New Roman" w:hAnsi="Times New Roman"/>
          <w:color w:val="000000"/>
          <w:lang w:eastAsia="lt-LT"/>
        </w:rPr>
      </w:pPr>
    </w:p>
    <w:p w14:paraId="3F070DB6" w14:textId="77777777" w:rsidR="00342622" w:rsidRPr="00907D70" w:rsidRDefault="00342622" w:rsidP="00342622">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color w:val="000000"/>
          <w:lang w:eastAsia="lt-LT"/>
        </w:rPr>
        <w:t>Buvo gauta pranešimų apie gyvybei pavojingas ar mirtinas vaistinių preparatų sąveikas pacientams, gydytiems kolchicinu ir stipriais CYP3A inhibitoriais, tokiais kaip ritonaviras.</w:t>
      </w:r>
      <w:r w:rsidRPr="00907D70">
        <w:t xml:space="preserve"> </w:t>
      </w:r>
      <w:r w:rsidRPr="00907D70">
        <w:rPr>
          <w:rFonts w:ascii="Times New Roman" w:eastAsia="Times New Roman" w:hAnsi="Times New Roman"/>
          <w:color w:val="000000"/>
          <w:lang w:eastAsia="lt-LT"/>
        </w:rPr>
        <w:t>Negalima vartoti kartu su kolchicinu pacientams, kurių inkstų ir (arba) kepenų funkcija sutrikusi (žr. 4.3 ir 4.5 skyrių).</w:t>
      </w:r>
    </w:p>
    <w:p w14:paraId="0CA5C8C6"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4F141C9C"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Nerekomenduojama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deriniuose su: </w:t>
      </w:r>
    </w:p>
    <w:p w14:paraId="519A6DDA"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t>tadalafiliu, vartojamu plautinės arterinės hipertenzijos gydymui (žr. 4.5 skyrių);</w:t>
      </w:r>
    </w:p>
    <w:p w14:paraId="2C753497"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lastRenderedPageBreak/>
        <w:t xml:space="preserve">riociguatu (žr. 4.5 skyrių); </w:t>
      </w:r>
    </w:p>
    <w:p w14:paraId="276F4A04"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t>vorapaksaru (žr. 4.5 skyrių);</w:t>
      </w:r>
    </w:p>
    <w:p w14:paraId="73774807"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fuzido rūgštimi, skiriama kaulų-sąnarių infekcijoms gydyti (žr. 4.5 skyrių); </w:t>
      </w:r>
    </w:p>
    <w:p w14:paraId="421326CF"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salmeteroliu (žr. 4.5 skyrių); </w:t>
      </w:r>
    </w:p>
    <w:p w14:paraId="73C4AD2F" w14:textId="77777777" w:rsidR="00342622" w:rsidRPr="00907D70" w:rsidRDefault="00342622" w:rsidP="00342622">
      <w:pPr>
        <w:numPr>
          <w:ilvl w:val="0"/>
          <w:numId w:val="4"/>
        </w:numPr>
        <w:autoSpaceDE w:val="0"/>
        <w:autoSpaceDN w:val="0"/>
        <w:adjustRightInd w:val="0"/>
        <w:spacing w:after="0" w:line="240" w:lineRule="auto"/>
        <w:ind w:left="567" w:hanging="567"/>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rivaroksabanu (žr. 4.5 skyrių). </w:t>
      </w:r>
    </w:p>
    <w:p w14:paraId="5B34EA0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18039F82"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rPr>
        <w:t xml:space="preserve">Nerekomenduojama Lopinavir / Ritonavir Accord </w:t>
      </w:r>
      <w:r w:rsidRPr="00907D70">
        <w:rPr>
          <w:rFonts w:ascii="Times New Roman" w:eastAsia="Times New Roman" w:hAnsi="Times New Roman"/>
          <w:color w:val="000000"/>
          <w:lang w:eastAsia="lt-LT"/>
        </w:rPr>
        <w:t xml:space="preserve">derinti su atorvastatinu. Jei manoma, kad atorvastatino vartojimas yra būtinas, reikia skirti mažiausią veiksmingą atorvastatino dozę ir atidžiai stebėti pacientą. Taip pat reikia laikytis atsargumo priemonių ir, jeigu reikia, mažinti dozes, jeigu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vartojamas kartu su rozuvastatinu. Jeigu reikalingas gydymas HMG-KoA reduktazės inhibitoriumi, rekomenduojama skirti pravastatino ar fluvastatino (žr. 4.5 skyrių). </w:t>
      </w:r>
    </w:p>
    <w:p w14:paraId="5E0B0D33"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lang w:eastAsia="lt-LT"/>
        </w:rPr>
      </w:pPr>
    </w:p>
    <w:p w14:paraId="69064899"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i/>
          <w:iCs/>
          <w:color w:val="000000"/>
          <w:lang w:eastAsia="lt-LT"/>
        </w:rPr>
        <w:t>FDE (Fosfodiesterazės) 5 inhibitoriai</w:t>
      </w:r>
      <w:r w:rsidRPr="00907D70">
        <w:rPr>
          <w:rFonts w:ascii="Times New Roman" w:eastAsia="Times New Roman" w:hAnsi="Times New Roman"/>
          <w:color w:val="000000"/>
          <w:lang w:eastAsia="lt-LT"/>
        </w:rPr>
        <w:t xml:space="preserve">. Ypač atsargiai sildenafilio ar tadalafilio reikia skirti erekcijos sutrikimams gydyti pacientams, kurie vartoja </w:t>
      </w:r>
      <w:r w:rsidRPr="00907D70">
        <w:rPr>
          <w:rFonts w:ascii="Times New Roman" w:eastAsia="Times New Roman" w:hAnsi="Times New Roman"/>
          <w:color w:val="000000"/>
        </w:rPr>
        <w:t>Lopinavir / Ritonavir Accord</w:t>
      </w:r>
      <w:r w:rsidRPr="00907D70">
        <w:rPr>
          <w:rFonts w:ascii="Times New Roman" w:eastAsia="Times New Roman" w:hAnsi="Times New Roman"/>
          <w:color w:val="000000"/>
          <w:lang w:eastAsia="lt-LT"/>
        </w:rPr>
        <w:t xml:space="preserve">. Tikėtina, kad vartojant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kartu su minėtais vaistiniais preparatais, labai padidės pastarųjų koncentracija ir tai gali būti susiję su nepageidaujamu poveikiu, tokiu kaip hipotenzija, alpimas, regos sutrikimai ir pailgėjusi erekcija (žr. 4.5 skyrių). Kartu vartoti </w:t>
      </w:r>
      <w:r w:rsidR="00E601A2" w:rsidRPr="00907D70">
        <w:rPr>
          <w:rFonts w:ascii="Times New Roman" w:eastAsia="Times New Roman" w:hAnsi="Times New Roman"/>
          <w:color w:val="000000"/>
          <w:lang w:eastAsia="lt-LT"/>
        </w:rPr>
        <w:t xml:space="preserve">avanafilį ar </w:t>
      </w:r>
      <w:r w:rsidRPr="00907D70">
        <w:rPr>
          <w:rFonts w:ascii="Times New Roman" w:eastAsia="Times New Roman" w:hAnsi="Times New Roman"/>
          <w:color w:val="000000"/>
          <w:lang w:eastAsia="lt-LT"/>
        </w:rPr>
        <w:t xml:space="preserve">vardenafilio ir lopinaviro / ritonaviro derinio yra draudžiama (žr. 4.3 skyrių). Vartoti sildenafilio, skirto plautinės hipertenzijos gydymui, kartu su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yra draudžiama (žr. 4.3 skyrių).</w:t>
      </w:r>
    </w:p>
    <w:p w14:paraId="311C0514"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1AFB8E89"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Ypač atsargiai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reikia skirti kartu su vaistiniais preparatais, ilginančiais QT intervalą, t. y. su chlorfeniraminu, chinidinu, eritromicinu, klaritromicinu. Iš tikrųjų,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gali padidinti šių kartu vartojamų vaistinių preparatų koncentracijas ir dėl to gali padažnėti su jais susijusios nepageidaujamos širdies reakcijos. Apie širdies reiškinius pranešimų gauta ikiklinikinių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tyrimų metu, todėl dar negalima paneigti galimo šio vaistinio preparato poveikio širdžiai (žr. 4.8 ir 5.3 skyrius). </w:t>
      </w:r>
    </w:p>
    <w:p w14:paraId="3F97CF13" w14:textId="77777777" w:rsidR="00342622" w:rsidRPr="00907D70" w:rsidRDefault="00342622" w:rsidP="00342622">
      <w:pPr>
        <w:tabs>
          <w:tab w:val="left" w:pos="567"/>
        </w:tabs>
        <w:spacing w:after="0" w:line="240" w:lineRule="auto"/>
        <w:rPr>
          <w:rFonts w:ascii="Times New Roman" w:eastAsia="Times New Roman" w:hAnsi="Times New Roman"/>
          <w:color w:val="000000"/>
          <w:lang w:eastAsia="lt-LT"/>
        </w:rPr>
      </w:pPr>
    </w:p>
    <w:p w14:paraId="3DEFD34F" w14:textId="77777777" w:rsidR="00342622" w:rsidRPr="00907D70" w:rsidRDefault="00342622" w:rsidP="00342622">
      <w:pPr>
        <w:keepNext/>
        <w:keepLines/>
        <w:tabs>
          <w:tab w:val="left" w:pos="567"/>
        </w:tabs>
        <w:spacing w:after="0" w:line="240" w:lineRule="auto"/>
        <w:rPr>
          <w:rFonts w:ascii="Times New Roman" w:eastAsia="Times New Roman" w:hAnsi="Times New Roman"/>
          <w:bCs/>
        </w:rPr>
      </w:pPr>
      <w:r w:rsidRPr="00907D70">
        <w:rPr>
          <w:rFonts w:ascii="Times New Roman" w:eastAsia="Times New Roman" w:hAnsi="Times New Roman"/>
          <w:color w:val="000000"/>
          <w:lang w:eastAsia="lt-LT"/>
        </w:rPr>
        <w:t xml:space="preserve">Nerekomenduojama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vartoti kartu su rifampicinu. Rifampicino vartojant kartu su Lopinavir / Ritonavir Accord labai sumažėja lopinaviro koncentracija, dėl ko gali reikšmingai sumažėti lopinaviro gydomasis poveikis. Pakankamą lopinaviro / ritonaviro derinio ekspoziciją galima pasiekti didinant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 xml:space="preserve">dozę, bet tai yra susiję su didesne toksinio poveikio kepenims ir virškinimo traktui rizika. Todėl reikia vengti kartu vartoti minėtus vaistinius preparatus, išskyrus neabejotinai būtinus atvejus. (žr. 4.5 skyrių). </w:t>
      </w:r>
    </w:p>
    <w:p w14:paraId="348A5B83" w14:textId="77777777" w:rsidR="00342622" w:rsidRPr="00907D70" w:rsidRDefault="00342622" w:rsidP="00342622">
      <w:pPr>
        <w:tabs>
          <w:tab w:val="left" w:pos="567"/>
        </w:tabs>
        <w:spacing w:after="0" w:line="240" w:lineRule="auto"/>
        <w:rPr>
          <w:rFonts w:ascii="Times New Roman" w:eastAsia="Times New Roman" w:hAnsi="Times New Roman"/>
          <w:bCs/>
        </w:rPr>
      </w:pPr>
    </w:p>
    <w:p w14:paraId="3AE573F3"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vartoti kartu su flutikazonu ar kitais gliukokortikoidais, kurie metabolizuojami dalyvaujant CYP3A4, pavyzdžiui, budezonidu, nerekomenduojama, nebent galima gydymo nauda yra didesnė už sisteminio kortikosteroidų poveikio, įskaitant Kušingo (</w:t>
      </w:r>
      <w:r w:rsidRPr="00907D70">
        <w:rPr>
          <w:rFonts w:ascii="Times New Roman" w:eastAsia="Times New Roman" w:hAnsi="Times New Roman"/>
          <w:i/>
          <w:color w:val="000000"/>
          <w:lang w:eastAsia="lt-LT"/>
        </w:rPr>
        <w:t>Cushing</w:t>
      </w:r>
      <w:r w:rsidRPr="00907D70">
        <w:rPr>
          <w:rFonts w:ascii="Times New Roman" w:eastAsia="Times New Roman" w:hAnsi="Times New Roman"/>
          <w:color w:val="000000"/>
          <w:lang w:eastAsia="lt-LT"/>
        </w:rPr>
        <w:t xml:space="preserve">) sindromą ir antinksčių funkcijos slopinimą, riziką (žr. 4.5 skyrių). </w:t>
      </w:r>
    </w:p>
    <w:p w14:paraId="0F9E166F"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lang w:eastAsia="lt-LT"/>
        </w:rPr>
      </w:pPr>
    </w:p>
    <w:p w14:paraId="3ECF5C0B"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u w:val="single"/>
          <w:lang w:eastAsia="lt-LT"/>
        </w:rPr>
      </w:pPr>
      <w:r w:rsidRPr="00907D70">
        <w:rPr>
          <w:rFonts w:ascii="Times New Roman" w:eastAsia="Times New Roman" w:hAnsi="Times New Roman"/>
          <w:i/>
          <w:iCs/>
          <w:color w:val="000000"/>
          <w:u w:val="single"/>
          <w:lang w:eastAsia="lt-LT"/>
        </w:rPr>
        <w:t>Kita</w:t>
      </w:r>
    </w:p>
    <w:p w14:paraId="340AE2EB" w14:textId="77777777" w:rsidR="00342622" w:rsidRPr="00907D70" w:rsidRDefault="00342622" w:rsidP="00342622">
      <w:pPr>
        <w:autoSpaceDE w:val="0"/>
        <w:autoSpaceDN w:val="0"/>
        <w:adjustRightInd w:val="0"/>
        <w:spacing w:after="0" w:line="240" w:lineRule="auto"/>
        <w:rPr>
          <w:rFonts w:ascii="Times New Roman" w:eastAsia="Times New Roman" w:hAnsi="Times New Roman"/>
          <w:i/>
          <w:color w:val="000000"/>
          <w:u w:val="single"/>
          <w:lang w:eastAsia="lt-LT"/>
        </w:rPr>
      </w:pPr>
    </w:p>
    <w:p w14:paraId="20B031CE" w14:textId="77777777" w:rsidR="00342622" w:rsidRPr="00907D70" w:rsidRDefault="00342622" w:rsidP="00342622">
      <w:pPr>
        <w:tabs>
          <w:tab w:val="left" w:pos="567"/>
        </w:tabs>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color w:val="000000"/>
          <w:lang w:eastAsia="lt-LT"/>
        </w:rPr>
        <w:t>neišgydo nuo ŽIV infekcijos ar AIDS. 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 Lopinavir / Ritonavir Accord vartojantiems pacientams vis tiek gali prasidėti infekcija ar kita su ŽIV ar AIDS susijusi liga.</w:t>
      </w:r>
    </w:p>
    <w:p w14:paraId="22737CE9" w14:textId="77777777" w:rsidR="00342622" w:rsidRPr="00907D70" w:rsidRDefault="00342622" w:rsidP="00342622">
      <w:pPr>
        <w:tabs>
          <w:tab w:val="left" w:pos="567"/>
        </w:tabs>
        <w:spacing w:after="0" w:line="240" w:lineRule="auto"/>
        <w:jc w:val="both"/>
        <w:rPr>
          <w:rFonts w:ascii="Times New Roman" w:eastAsia="Times New Roman" w:hAnsi="Times New Roman"/>
          <w:bCs/>
        </w:rPr>
      </w:pPr>
    </w:p>
    <w:p w14:paraId="438BBEA7"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4.5</w:t>
      </w:r>
      <w:r w:rsidRPr="00907D70">
        <w:rPr>
          <w:rFonts w:ascii="Times New Roman" w:eastAsia="Times New Roman" w:hAnsi="Times New Roman"/>
          <w:b/>
          <w:bCs/>
        </w:rPr>
        <w:tab/>
        <w:t>Sąveika su kitais vaistiniais preparatais ir kitokia sąveika</w:t>
      </w:r>
    </w:p>
    <w:p w14:paraId="631DD57F"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p w14:paraId="0A945842" w14:textId="77777777" w:rsidR="00342622" w:rsidRPr="00907D70" w:rsidRDefault="00342622" w:rsidP="00342622">
      <w:pPr>
        <w:tabs>
          <w:tab w:val="left" w:pos="567"/>
        </w:tabs>
        <w:spacing w:after="0" w:line="240" w:lineRule="auto"/>
        <w:jc w:val="both"/>
        <w:rPr>
          <w:rFonts w:ascii="Times New Roman" w:eastAsia="Times New Roman" w:hAnsi="Times New Roman"/>
        </w:rPr>
      </w:pP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rPr>
        <w:t xml:space="preserve">sudėtyje yra lopinaviro ir ritonaviro, kurie abu yra P450 CYP3A izoformos inhibitoriai </w:t>
      </w:r>
      <w:r w:rsidRPr="00907D70">
        <w:rPr>
          <w:rFonts w:ascii="Times New Roman" w:eastAsia="Times New Roman" w:hAnsi="Times New Roman"/>
          <w:i/>
          <w:iCs/>
        </w:rPr>
        <w:t>in vitro</w:t>
      </w:r>
      <w:r w:rsidRPr="00907D70">
        <w:rPr>
          <w:rFonts w:ascii="Times New Roman" w:eastAsia="Times New Roman" w:hAnsi="Times New Roman"/>
        </w:rPr>
        <w:t xml:space="preserve">.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rPr>
        <w:t>vartojimas kartu su vaistiniais preparatais, kuriuos daugiausia metabolizuoja CYP3A, gali padidinti šių vaisinių preparatų koncentraciją kraujo plazmoje ir dėl to gali sustiprėti ar pailgėti jų gydomasis poveikis ir nepageidaujamos reakcijos.</w:t>
      </w:r>
    </w:p>
    <w:p w14:paraId="780A9DC3" w14:textId="77777777" w:rsidR="00342622" w:rsidRPr="00907D70" w:rsidRDefault="00342622" w:rsidP="00342622">
      <w:pPr>
        <w:tabs>
          <w:tab w:val="left" w:pos="567"/>
        </w:tabs>
        <w:spacing w:after="0" w:line="240" w:lineRule="auto"/>
        <w:jc w:val="both"/>
        <w:rPr>
          <w:rFonts w:ascii="Times New Roman" w:eastAsia="Times New Roman" w:hAnsi="Times New Roman"/>
          <w:color w:val="000000"/>
          <w:lang w:eastAsia="lt-LT"/>
        </w:rPr>
      </w:pPr>
      <w:r w:rsidRPr="00907D70">
        <w:rPr>
          <w:rFonts w:ascii="Times New Roman" w:eastAsia="Times New Roman" w:hAnsi="Times New Roman"/>
          <w:color w:val="000000"/>
          <w:lang w:eastAsia="lt-LT"/>
        </w:rPr>
        <w:t>Lopinavir / Ritonavir Accord</w:t>
      </w:r>
      <w:r w:rsidRPr="00907D70">
        <w:rPr>
          <w:rFonts w:ascii="Times New Roman" w:eastAsia="Times New Roman" w:hAnsi="Times New Roman"/>
          <w:color w:val="000000"/>
        </w:rPr>
        <w:t xml:space="preserve">, esant kliniškai reikšmingoms jo koncentracijoms, </w:t>
      </w:r>
      <w:r w:rsidRPr="00907D70">
        <w:rPr>
          <w:rFonts w:ascii="Times New Roman" w:eastAsia="Times New Roman" w:hAnsi="Times New Roman"/>
          <w:color w:val="000000"/>
          <w:lang w:eastAsia="lt-LT"/>
        </w:rPr>
        <w:t xml:space="preserve">neslopina CYP2D6, CYP2C9, CYP2C19, CYP2E1, CYP2B6 ar CYP1A2 (žr. 4.3 skyrių). </w:t>
      </w:r>
    </w:p>
    <w:p w14:paraId="4A532E1C" w14:textId="77777777" w:rsidR="00342622" w:rsidRPr="00907D70" w:rsidRDefault="00342622" w:rsidP="00342622">
      <w:pPr>
        <w:tabs>
          <w:tab w:val="left" w:pos="567"/>
        </w:tabs>
        <w:spacing w:after="0" w:line="240" w:lineRule="auto"/>
        <w:jc w:val="both"/>
        <w:rPr>
          <w:rFonts w:ascii="Times New Roman" w:eastAsia="Times New Roman" w:hAnsi="Times New Roman"/>
          <w:color w:val="000000"/>
          <w:lang w:eastAsia="lt-LT"/>
        </w:rPr>
      </w:pPr>
    </w:p>
    <w:p w14:paraId="741CD424"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lastRenderedPageBreak/>
        <w:t xml:space="preserve">Nustatyta, kad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i/>
          <w:iCs/>
          <w:color w:val="000000"/>
          <w:lang w:eastAsia="lt-LT"/>
        </w:rPr>
        <w:t xml:space="preserve">in vivo </w:t>
      </w:r>
      <w:r w:rsidRPr="00907D70">
        <w:rPr>
          <w:rFonts w:ascii="Times New Roman" w:eastAsia="Times New Roman" w:hAnsi="Times New Roman"/>
          <w:color w:val="000000"/>
          <w:lang w:eastAsia="lt-LT"/>
        </w:rPr>
        <w:t xml:space="preserve">indukuoja savo paties metabolizmą ir didina kai kurių vaistinių preparatų, metabolizuojamų citochromo P450 fermentų (įskaitant CYP2C9 ir CYP2C19) ir gliukuronizavimo būdu, biotransformaciją. Dėl to gali sumažėti kartu vartojamų vaistinių preparatų koncentracija kraujo plazmoje ir veiksmingumas. </w:t>
      </w:r>
    </w:p>
    <w:p w14:paraId="11035F78"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497231C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Vaistiniai preparatai, kurių negalima vartoti dėl tikėtinos sąveikos ir galimų sunkių nepageidaujamų reiškinių, yra išvardyti 4.3 skyriuje.</w:t>
      </w:r>
    </w:p>
    <w:p w14:paraId="3CEC2EB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4BC97F72" w14:textId="16BCDAED"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Jeigu nenurodyta kitaip, visi sąveikos tyrimai, yra atlikti su Lopinavir / Ritonavir Accord</w:t>
      </w:r>
      <w:r w:rsidR="00753A51" w:rsidRPr="00907D70">
        <w:rPr>
          <w:rFonts w:ascii="Times New Roman" w:eastAsia="Times New Roman" w:hAnsi="Times New Roman"/>
          <w:color w:val="000000"/>
          <w:lang w:eastAsia="lt-LT"/>
        </w:rPr>
        <w:t>,</w:t>
      </w:r>
      <w:r w:rsidRPr="00907D70">
        <w:rPr>
          <w:rFonts w:ascii="Times New Roman" w:eastAsia="Times New Roman" w:hAnsi="Times New Roman"/>
          <w:color w:val="000000"/>
          <w:lang w:eastAsia="lt-LT"/>
        </w:rPr>
        <w:t xml:space="preserve"> kuris sukelia maždaug 20 % mažesnę lopinaviro ekspoziciją, negu 200/50 mg tabletės. </w:t>
      </w:r>
    </w:p>
    <w:p w14:paraId="0C2B0525"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69710FEA" w14:textId="2D3C96CF"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Žinomos ir teorinės sąveikos su parinktais antiretrovirusiniais ir neantiretrovirusiniais vaistiniais preparatais išvardintos lentelėje toliau.</w:t>
      </w:r>
      <w:r w:rsidR="00D35FC4" w:rsidRPr="00907D70">
        <w:rPr>
          <w:rFonts w:ascii="Times New Roman" w:eastAsia="Times New Roman" w:hAnsi="Times New Roman"/>
          <w:color w:val="000000"/>
          <w:lang w:eastAsia="lt-LT"/>
        </w:rPr>
        <w:t xml:space="preserve"> Šis sąrašas nėra išsamus ar baigtinis. Reikia remtis atskiromis PCS.</w:t>
      </w:r>
    </w:p>
    <w:p w14:paraId="317C7C0B"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p>
    <w:p w14:paraId="0FAF8B64" w14:textId="77777777" w:rsidR="00342622" w:rsidRPr="00907D70" w:rsidRDefault="00342622" w:rsidP="00342622">
      <w:pPr>
        <w:autoSpaceDE w:val="0"/>
        <w:autoSpaceDN w:val="0"/>
        <w:adjustRightInd w:val="0"/>
        <w:spacing w:after="0" w:line="240" w:lineRule="auto"/>
        <w:rPr>
          <w:rFonts w:ascii="Times New Roman" w:eastAsia="Times New Roman" w:hAnsi="Times New Roman"/>
          <w:i/>
          <w:iCs/>
          <w:color w:val="000000"/>
          <w:lang w:eastAsia="lt-LT"/>
        </w:rPr>
      </w:pPr>
      <w:r w:rsidRPr="00907D70">
        <w:rPr>
          <w:rFonts w:ascii="Times New Roman" w:eastAsia="Times New Roman" w:hAnsi="Times New Roman"/>
          <w:i/>
          <w:iCs/>
          <w:color w:val="000000"/>
          <w:lang w:eastAsia="lt-LT"/>
        </w:rPr>
        <w:t>Sąveikos lentelė</w:t>
      </w:r>
    </w:p>
    <w:p w14:paraId="5C832330" w14:textId="77777777" w:rsidR="00342622" w:rsidRPr="00907D70" w:rsidRDefault="00342622" w:rsidP="00342622">
      <w:pPr>
        <w:autoSpaceDE w:val="0"/>
        <w:autoSpaceDN w:val="0"/>
        <w:adjustRightInd w:val="0"/>
        <w:spacing w:after="0" w:line="240" w:lineRule="auto"/>
        <w:rPr>
          <w:rFonts w:ascii="Times New Roman" w:eastAsia="Times New Roman" w:hAnsi="Times New Roman"/>
          <w:i/>
          <w:color w:val="000000"/>
          <w:lang w:eastAsia="lt-LT"/>
        </w:rPr>
      </w:pPr>
    </w:p>
    <w:p w14:paraId="2DE9DA8E"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 xml:space="preserve">Lopinavir / Ritonavir Accord sąveikos su kitais kartu vartojamais vaistiniais preparatais yra išvardintos toliau esančioje lentelėje (padidėjimas yra žymimas “↑”, sumažėjimas - “↓”, pokyčių nebuvimas - “↔”, kartą per parą – „QD“, du kartus per parą – „BID“, tris kartus per parą – „TID“). </w:t>
      </w:r>
    </w:p>
    <w:p w14:paraId="7F72458F" w14:textId="77777777" w:rsidR="00342622" w:rsidRPr="00907D70" w:rsidRDefault="00342622" w:rsidP="00342622">
      <w:pPr>
        <w:tabs>
          <w:tab w:val="left" w:pos="567"/>
        </w:tabs>
        <w:spacing w:after="0" w:line="240" w:lineRule="auto"/>
        <w:jc w:val="both"/>
        <w:rPr>
          <w:rFonts w:ascii="Times New Roman" w:eastAsia="Times New Roman" w:hAnsi="Times New Roman"/>
          <w:color w:val="000000"/>
          <w:lang w:eastAsia="lt-LT"/>
        </w:rPr>
      </w:pPr>
    </w:p>
    <w:p w14:paraId="5DE38631" w14:textId="77777777" w:rsidR="00342622" w:rsidRPr="00907D70" w:rsidRDefault="00342622" w:rsidP="00A323F3">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color w:val="000000"/>
          <w:lang w:eastAsia="lt-LT"/>
        </w:rPr>
        <w:t>Jeigu nenurodyta kitaip, toliau detalizuoti tyrimai atlikti skiriant rekomenduojamą lopinaviro / ritonaviro derinio dozę (t. y. 400/100 mg du kartus per parą).</w:t>
      </w:r>
    </w:p>
    <w:p w14:paraId="7CA000C1"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2"/>
        <w:gridCol w:w="3002"/>
        <w:gridCol w:w="3006"/>
      </w:tblGrid>
      <w:tr w:rsidR="00342622" w:rsidRPr="00907D70" w14:paraId="5FB18D34" w14:textId="77777777" w:rsidTr="00160402">
        <w:trPr>
          <w:cantSplit/>
        </w:trPr>
        <w:tc>
          <w:tcPr>
            <w:tcW w:w="3052" w:type="dxa"/>
          </w:tcPr>
          <w:tbl>
            <w:tblPr>
              <w:tblW w:w="0" w:type="auto"/>
              <w:tblLook w:val="0000" w:firstRow="0" w:lastRow="0" w:firstColumn="0" w:lastColumn="0" w:noHBand="0" w:noVBand="0"/>
            </w:tblPr>
            <w:tblGrid>
              <w:gridCol w:w="2836"/>
            </w:tblGrid>
            <w:tr w:rsidR="00342622" w:rsidRPr="00907D70" w14:paraId="2C660C50" w14:textId="77777777" w:rsidTr="00753A51">
              <w:trPr>
                <w:cantSplit/>
                <w:trHeight w:val="1188"/>
              </w:trPr>
              <w:tc>
                <w:tcPr>
                  <w:tcW w:w="0" w:type="auto"/>
                </w:tcPr>
                <w:p w14:paraId="2149EF17" w14:textId="77777777" w:rsidR="00342622" w:rsidRPr="00907D70" w:rsidRDefault="00342622" w:rsidP="0084240B">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b/>
                      <w:bCs/>
                      <w:color w:val="000000"/>
                      <w:lang w:eastAsia="lt-LT"/>
                    </w:rPr>
                    <w:t xml:space="preserve">Kartu vartojamas vaistinis preparatas pagal farmakoterapinę grupę </w:t>
                  </w:r>
                </w:p>
              </w:tc>
            </w:tr>
          </w:tbl>
          <w:p w14:paraId="61F3336D" w14:textId="77777777" w:rsidR="00342622" w:rsidRPr="00907D70" w:rsidRDefault="00342622" w:rsidP="0084240B">
            <w:pPr>
              <w:tabs>
                <w:tab w:val="left" w:pos="567"/>
              </w:tabs>
              <w:spacing w:after="0" w:line="240" w:lineRule="auto"/>
              <w:jc w:val="both"/>
              <w:rPr>
                <w:rFonts w:ascii="Times New Roman" w:eastAsia="Times New Roman" w:hAnsi="Times New Roman"/>
                <w:b/>
                <w:bCs/>
              </w:rPr>
            </w:pPr>
          </w:p>
        </w:tc>
        <w:tc>
          <w:tcPr>
            <w:tcW w:w="3002" w:type="dxa"/>
          </w:tcPr>
          <w:p w14:paraId="4A08B8AF" w14:textId="77777777" w:rsidR="00342622" w:rsidRPr="00907D70" w:rsidRDefault="00342622" w:rsidP="0084240B">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Poveikis vaistinio preparato kiekiams</w:t>
            </w:r>
          </w:p>
          <w:p w14:paraId="4BA1F47B" w14:textId="77777777" w:rsidR="00342622" w:rsidRPr="00907D70" w:rsidRDefault="00342622" w:rsidP="0084240B">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AUC, C</w:t>
            </w:r>
            <w:r w:rsidRPr="00907D70">
              <w:rPr>
                <w:rFonts w:ascii="Times New Roman" w:eastAsia="Times New Roman" w:hAnsi="Times New Roman"/>
                <w:b/>
                <w:bCs/>
                <w:vertAlign w:val="subscript"/>
              </w:rPr>
              <w:t>max</w:t>
            </w:r>
            <w:r w:rsidRPr="00907D70">
              <w:rPr>
                <w:rFonts w:ascii="Times New Roman" w:eastAsia="Times New Roman" w:hAnsi="Times New Roman"/>
                <w:b/>
                <w:bCs/>
              </w:rPr>
              <w:t>, C</w:t>
            </w:r>
            <w:r w:rsidRPr="00907D70">
              <w:rPr>
                <w:rFonts w:ascii="Times New Roman" w:eastAsia="Times New Roman" w:hAnsi="Times New Roman"/>
                <w:b/>
                <w:bCs/>
                <w:vertAlign w:val="subscript"/>
              </w:rPr>
              <w:t>min</w:t>
            </w:r>
            <w:r w:rsidRPr="00907D70">
              <w:rPr>
                <w:rFonts w:ascii="Times New Roman" w:eastAsia="Times New Roman" w:hAnsi="Times New Roman"/>
                <w:b/>
                <w:bCs/>
              </w:rPr>
              <w:t xml:space="preserve"> geometrinio vidurkio pokytis (%) </w:t>
            </w:r>
          </w:p>
          <w:p w14:paraId="1F2CE389" w14:textId="77777777" w:rsidR="00342622" w:rsidRPr="00907D70" w:rsidRDefault="00342622" w:rsidP="0084240B">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Sąveikos mechanizmas</w:t>
            </w:r>
          </w:p>
        </w:tc>
        <w:tc>
          <w:tcPr>
            <w:tcW w:w="3006" w:type="dxa"/>
          </w:tcPr>
          <w:p w14:paraId="1821B1E0" w14:textId="77777777" w:rsidR="00342622" w:rsidRPr="00907D70" w:rsidRDefault="00342622" w:rsidP="0084240B">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Klinikinės rekomendacijos dėl vaistinio preparato vartojimo kartu su Lopinavir / Ritonavir Accord</w:t>
            </w:r>
          </w:p>
        </w:tc>
      </w:tr>
      <w:tr w:rsidR="00342622" w:rsidRPr="00907D70" w14:paraId="6F865DD0" w14:textId="77777777" w:rsidTr="00160402">
        <w:trPr>
          <w:cantSplit/>
        </w:trPr>
        <w:tc>
          <w:tcPr>
            <w:tcW w:w="9060" w:type="dxa"/>
            <w:gridSpan w:val="3"/>
          </w:tcPr>
          <w:p w14:paraId="3982F1E3" w14:textId="77777777" w:rsidR="00342622" w:rsidRPr="00907D70" w:rsidRDefault="00342622" w:rsidP="0084240B">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Antiretrovirusinės medžiagos</w:t>
            </w:r>
          </w:p>
        </w:tc>
      </w:tr>
      <w:tr w:rsidR="00342622" w:rsidRPr="00907D70" w14:paraId="2F46EEF3" w14:textId="77777777" w:rsidTr="00160402">
        <w:trPr>
          <w:cantSplit/>
        </w:trPr>
        <w:tc>
          <w:tcPr>
            <w:tcW w:w="9060" w:type="dxa"/>
            <w:gridSpan w:val="3"/>
          </w:tcPr>
          <w:p w14:paraId="10C9F84A"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Nukleozidiniai / nukleotidiniai atvirkštinės transkriptazės inhibitoriai (NATI)</w:t>
            </w:r>
          </w:p>
        </w:tc>
      </w:tr>
      <w:tr w:rsidR="00342622" w:rsidRPr="00907D70" w14:paraId="315375CD" w14:textId="77777777" w:rsidTr="00160402">
        <w:trPr>
          <w:cantSplit/>
        </w:trPr>
        <w:tc>
          <w:tcPr>
            <w:tcW w:w="3052" w:type="dxa"/>
          </w:tcPr>
          <w:p w14:paraId="4F499F5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Stavudinas, lamivudinas</w:t>
            </w:r>
          </w:p>
        </w:tc>
        <w:tc>
          <w:tcPr>
            <w:tcW w:w="3002" w:type="dxa"/>
          </w:tcPr>
          <w:p w14:paraId="5673B0B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 ↔</w:t>
            </w:r>
          </w:p>
        </w:tc>
        <w:tc>
          <w:tcPr>
            <w:tcW w:w="3006" w:type="dxa"/>
          </w:tcPr>
          <w:p w14:paraId="2F50297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5D53AB77" w14:textId="77777777" w:rsidTr="00160402">
        <w:trPr>
          <w:cantSplit/>
        </w:trPr>
        <w:tc>
          <w:tcPr>
            <w:tcW w:w="3052" w:type="dxa"/>
          </w:tcPr>
          <w:p w14:paraId="69DAFC7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Abakaviras, zidovudinas</w:t>
            </w:r>
          </w:p>
        </w:tc>
        <w:tc>
          <w:tcPr>
            <w:tcW w:w="3002" w:type="dxa"/>
          </w:tcPr>
          <w:p w14:paraId="1113FD2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Abakaviras, zidovudinas:</w:t>
            </w:r>
          </w:p>
          <w:p w14:paraId="46E49E0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gali sumažėti dėl Lopinavir / Ritonavir Accord sukelto gliukuronizavimo padidėjimo.</w:t>
            </w:r>
          </w:p>
        </w:tc>
        <w:tc>
          <w:tcPr>
            <w:tcW w:w="3006" w:type="dxa"/>
          </w:tcPr>
          <w:p w14:paraId="4B8F8E5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Abakaviro ir zidovudino koncentracijų sumažėjimo klinikinė reikšmė nežinoma.</w:t>
            </w:r>
          </w:p>
        </w:tc>
      </w:tr>
      <w:tr w:rsidR="00342622" w:rsidRPr="00907D70" w14:paraId="7ADD8AB5" w14:textId="77777777" w:rsidTr="00160402">
        <w:trPr>
          <w:cantSplit/>
        </w:trPr>
        <w:tc>
          <w:tcPr>
            <w:tcW w:w="3052" w:type="dxa"/>
          </w:tcPr>
          <w:tbl>
            <w:tblPr>
              <w:tblW w:w="0" w:type="auto"/>
              <w:tblLook w:val="0000" w:firstRow="0" w:lastRow="0" w:firstColumn="0" w:lastColumn="0" w:noHBand="0" w:noVBand="0"/>
            </w:tblPr>
            <w:tblGrid>
              <w:gridCol w:w="2836"/>
            </w:tblGrid>
            <w:tr w:rsidR="00342622" w:rsidRPr="00907D70" w14:paraId="26BFFBF3" w14:textId="77777777" w:rsidTr="00753A51">
              <w:trPr>
                <w:trHeight w:val="275"/>
              </w:trPr>
              <w:tc>
                <w:tcPr>
                  <w:tcW w:w="0" w:type="auto"/>
                </w:tcPr>
                <w:p w14:paraId="409127E5" w14:textId="179FD942" w:rsidR="00342622" w:rsidRPr="00907D70" w:rsidRDefault="002F0EA7" w:rsidP="0084240B">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Tenofoviro dizoproksilio fumaratas (DF) 300</w:t>
                  </w:r>
                  <w:r w:rsidR="00B82AAF" w:rsidRPr="00907D70">
                    <w:rPr>
                      <w:rFonts w:ascii="Times New Roman" w:eastAsia="Times New Roman" w:hAnsi="Times New Roman"/>
                      <w:color w:val="000000"/>
                      <w:lang w:eastAsia="lt-LT"/>
                    </w:rPr>
                    <w:t> </w:t>
                  </w:r>
                  <w:r w:rsidRPr="00907D70">
                    <w:rPr>
                      <w:rFonts w:ascii="Times New Roman" w:eastAsia="Times New Roman" w:hAnsi="Times New Roman"/>
                      <w:color w:val="000000"/>
                      <w:lang w:eastAsia="lt-LT"/>
                    </w:rPr>
                    <w:t>mg QD</w:t>
                  </w:r>
                </w:p>
                <w:p w14:paraId="21B0D5F2" w14:textId="77777777" w:rsidR="002F0EA7" w:rsidRPr="00907D70" w:rsidRDefault="002F0EA7" w:rsidP="0084240B">
                  <w:pPr>
                    <w:autoSpaceDE w:val="0"/>
                    <w:autoSpaceDN w:val="0"/>
                    <w:adjustRightInd w:val="0"/>
                    <w:spacing w:after="0" w:line="240" w:lineRule="auto"/>
                    <w:rPr>
                      <w:rFonts w:ascii="Times New Roman" w:eastAsia="Times New Roman" w:hAnsi="Times New Roman"/>
                      <w:color w:val="000000"/>
                      <w:lang w:eastAsia="lt-LT"/>
                    </w:rPr>
                  </w:pPr>
                </w:p>
                <w:p w14:paraId="6DE5DF9A" w14:textId="6A5E7B49" w:rsidR="002F0EA7" w:rsidRPr="00907D70" w:rsidRDefault="002F0EA7" w:rsidP="0084240B">
                  <w:pPr>
                    <w:autoSpaceDE w:val="0"/>
                    <w:autoSpaceDN w:val="0"/>
                    <w:adjustRightInd w:val="0"/>
                    <w:spacing w:after="0" w:line="240" w:lineRule="auto"/>
                    <w:rPr>
                      <w:rFonts w:ascii="Times New Roman" w:eastAsia="Times New Roman" w:hAnsi="Times New Roman"/>
                      <w:color w:val="000000"/>
                      <w:lang w:eastAsia="lt-LT"/>
                    </w:rPr>
                  </w:pPr>
                  <w:r w:rsidRPr="00907D70">
                    <w:rPr>
                      <w:rFonts w:ascii="Times New Roman" w:eastAsia="Times New Roman" w:hAnsi="Times New Roman"/>
                      <w:color w:val="000000"/>
                      <w:lang w:eastAsia="lt-LT"/>
                    </w:rPr>
                    <w:t>(atitinka 245</w:t>
                  </w:r>
                  <w:r w:rsidR="00B82AAF" w:rsidRPr="00907D70">
                    <w:rPr>
                      <w:rFonts w:ascii="Times New Roman" w:eastAsia="Times New Roman" w:hAnsi="Times New Roman"/>
                      <w:color w:val="000000"/>
                      <w:lang w:eastAsia="lt-LT"/>
                    </w:rPr>
                    <w:t> </w:t>
                  </w:r>
                  <w:r w:rsidRPr="00907D70">
                    <w:rPr>
                      <w:rFonts w:ascii="Times New Roman" w:eastAsia="Times New Roman" w:hAnsi="Times New Roman"/>
                      <w:color w:val="000000"/>
                      <w:lang w:eastAsia="lt-LT"/>
                    </w:rPr>
                    <w:t>mg tenofoviro dizoproksilio)</w:t>
                  </w:r>
                </w:p>
              </w:tc>
            </w:tr>
          </w:tbl>
          <w:p w14:paraId="2E316D6C"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393FA16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Tenofoviras:</w:t>
            </w:r>
          </w:p>
          <w:p w14:paraId="591FA5B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32 %</w:t>
            </w:r>
          </w:p>
          <w:p w14:paraId="2E261BC7"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w:t>
            </w:r>
          </w:p>
          <w:p w14:paraId="07046C2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51 %</w:t>
            </w:r>
          </w:p>
          <w:p w14:paraId="4FB5B2E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 ↔</w:t>
            </w:r>
          </w:p>
        </w:tc>
        <w:tc>
          <w:tcPr>
            <w:tcW w:w="3006" w:type="dxa"/>
          </w:tcPr>
          <w:p w14:paraId="089C9A7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 Didesnės tenofoviro koncentracijos gali padidinti tenofoviro sukeliamus nepageidaujamus reiškinius, įskaitant inkstų funkcijos sutrikimus.</w:t>
            </w:r>
          </w:p>
        </w:tc>
      </w:tr>
      <w:tr w:rsidR="00342622" w:rsidRPr="00907D70" w14:paraId="6A26A644" w14:textId="77777777" w:rsidTr="00160402">
        <w:trPr>
          <w:cantSplit/>
        </w:trPr>
        <w:tc>
          <w:tcPr>
            <w:tcW w:w="9060" w:type="dxa"/>
            <w:gridSpan w:val="3"/>
          </w:tcPr>
          <w:p w14:paraId="201F41A9"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Nenukleozidiniai atvirkštinės transkriptazės inhibitoriai (NNATI)</w:t>
            </w:r>
          </w:p>
        </w:tc>
      </w:tr>
      <w:tr w:rsidR="00342622" w:rsidRPr="00907D70" w14:paraId="2C4C88FC" w14:textId="77777777" w:rsidTr="00160402">
        <w:trPr>
          <w:cantSplit/>
        </w:trPr>
        <w:tc>
          <w:tcPr>
            <w:tcW w:w="3052" w:type="dxa"/>
          </w:tcPr>
          <w:p w14:paraId="67C56F8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Efavirenzas, 600 mg QD</w:t>
            </w:r>
          </w:p>
        </w:tc>
        <w:tc>
          <w:tcPr>
            <w:tcW w:w="3002" w:type="dxa"/>
          </w:tcPr>
          <w:p w14:paraId="1C55167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w:t>
            </w:r>
          </w:p>
          <w:p w14:paraId="074BAD7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20 %</w:t>
            </w:r>
          </w:p>
          <w:p w14:paraId="7D49BC9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13 %</w:t>
            </w:r>
          </w:p>
          <w:p w14:paraId="10D3CB77"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42 %</w:t>
            </w:r>
          </w:p>
        </w:tc>
        <w:tc>
          <w:tcPr>
            <w:tcW w:w="3006" w:type="dxa"/>
            <w:vMerge w:val="restart"/>
          </w:tcPr>
          <w:p w14:paraId="28313E1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tablečių, skiriamų kartu su efavirenzu, dozė turi būti padidinta iki 500/125 mg du kartus per parą.</w:t>
            </w:r>
          </w:p>
          <w:p w14:paraId="0428CCF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skirti kartą per parą, jeigu jo vartojama kartu su efavirenzu.</w:t>
            </w:r>
          </w:p>
        </w:tc>
      </w:tr>
      <w:tr w:rsidR="00342622" w:rsidRPr="00907D70" w14:paraId="7CB6026F" w14:textId="77777777" w:rsidTr="00160402">
        <w:trPr>
          <w:cantSplit/>
        </w:trPr>
        <w:tc>
          <w:tcPr>
            <w:tcW w:w="3052" w:type="dxa"/>
          </w:tcPr>
          <w:p w14:paraId="0F2FF02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Efavirenzas, 600 mg QD</w:t>
            </w:r>
          </w:p>
          <w:p w14:paraId="3D1DFD3D"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4288CF8C"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158F052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(Lopinaviro / ritonaviro 500/125 mg derinys BID)</w:t>
            </w:r>
          </w:p>
        </w:tc>
        <w:tc>
          <w:tcPr>
            <w:tcW w:w="3002" w:type="dxa"/>
          </w:tcPr>
          <w:p w14:paraId="2AC5741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 ↔</w:t>
            </w:r>
          </w:p>
          <w:p w14:paraId="7403AF22"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(atitinkamai 400/100 mg BID skiriant jo vieno)</w:t>
            </w:r>
          </w:p>
        </w:tc>
        <w:tc>
          <w:tcPr>
            <w:tcW w:w="3006" w:type="dxa"/>
            <w:vMerge/>
          </w:tcPr>
          <w:p w14:paraId="4C629334"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21016151" w14:textId="77777777" w:rsidTr="00160402">
        <w:trPr>
          <w:cantSplit/>
        </w:trPr>
        <w:tc>
          <w:tcPr>
            <w:tcW w:w="3052" w:type="dxa"/>
          </w:tcPr>
          <w:p w14:paraId="6D8866A4"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Nevirapinas, 200 mg BID</w:t>
            </w:r>
          </w:p>
        </w:tc>
        <w:tc>
          <w:tcPr>
            <w:tcW w:w="3002" w:type="dxa"/>
          </w:tcPr>
          <w:p w14:paraId="24D6876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w:t>
            </w:r>
          </w:p>
          <w:p w14:paraId="551574E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27 %</w:t>
            </w:r>
          </w:p>
          <w:p w14:paraId="3333814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19 %</w:t>
            </w:r>
          </w:p>
          <w:p w14:paraId="59F2C70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51 %</w:t>
            </w:r>
          </w:p>
        </w:tc>
        <w:tc>
          <w:tcPr>
            <w:tcW w:w="3006" w:type="dxa"/>
          </w:tcPr>
          <w:p w14:paraId="51CA094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tablečių dozė, jeigu ji skiriama kartu su nevirapinu, turi būti padidinta iki 500/125 mg du kartus per parą.</w:t>
            </w:r>
          </w:p>
          <w:p w14:paraId="4ED3737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skirti kartą per parą, jeigu jo vartojama kartu su nevirapinu.</w:t>
            </w:r>
          </w:p>
        </w:tc>
      </w:tr>
      <w:tr w:rsidR="00342622" w:rsidRPr="00907D70" w14:paraId="1010BE88" w14:textId="77777777" w:rsidTr="00160402">
        <w:trPr>
          <w:cantSplit/>
        </w:trPr>
        <w:tc>
          <w:tcPr>
            <w:tcW w:w="3052" w:type="dxa"/>
          </w:tcPr>
          <w:p w14:paraId="4CFF260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Etravirinas</w:t>
            </w:r>
          </w:p>
          <w:p w14:paraId="7362F74A"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6B5D1C9"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783DE84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(Lopinaviro / ritonaviro 400/100 mg derinio tabletės BID)</w:t>
            </w:r>
          </w:p>
        </w:tc>
        <w:tc>
          <w:tcPr>
            <w:tcW w:w="3002" w:type="dxa"/>
          </w:tcPr>
          <w:p w14:paraId="7A03F674"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Etravirinas:</w:t>
            </w:r>
          </w:p>
          <w:p w14:paraId="0512AF4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35 %</w:t>
            </w:r>
          </w:p>
          <w:p w14:paraId="38DA5F34"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45 %</w:t>
            </w:r>
          </w:p>
          <w:p w14:paraId="2C831AC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30 %</w:t>
            </w:r>
          </w:p>
          <w:p w14:paraId="3CA6B8F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w:t>
            </w:r>
          </w:p>
          <w:p w14:paraId="63133E9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w:t>
            </w:r>
          </w:p>
          <w:p w14:paraId="7455E72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20 %</w:t>
            </w:r>
          </w:p>
          <w:p w14:paraId="1E92708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w:t>
            </w:r>
          </w:p>
        </w:tc>
        <w:tc>
          <w:tcPr>
            <w:tcW w:w="3006" w:type="dxa"/>
          </w:tcPr>
          <w:p w14:paraId="72F3DA75"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5955D70F" w14:textId="77777777" w:rsidTr="00160402">
        <w:trPr>
          <w:cantSplit/>
        </w:trPr>
        <w:tc>
          <w:tcPr>
            <w:tcW w:w="3052" w:type="dxa"/>
          </w:tcPr>
          <w:p w14:paraId="6D6A1CFA"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Rilpivirinas</w:t>
            </w:r>
          </w:p>
          <w:p w14:paraId="1AE69E28" w14:textId="77777777" w:rsidR="00342622" w:rsidRPr="00907D70" w:rsidRDefault="00342622" w:rsidP="0084240B">
            <w:pPr>
              <w:tabs>
                <w:tab w:val="left" w:pos="567"/>
              </w:tabs>
              <w:spacing w:after="0" w:line="240" w:lineRule="auto"/>
              <w:rPr>
                <w:rFonts w:ascii="Times New Roman" w:eastAsia="Times New Roman" w:hAnsi="Times New Roman"/>
                <w:bCs/>
              </w:rPr>
            </w:pPr>
          </w:p>
          <w:p w14:paraId="1C4E1769" w14:textId="77777777" w:rsidR="00342622" w:rsidRPr="00907D70" w:rsidRDefault="00342622" w:rsidP="0084240B">
            <w:pPr>
              <w:tabs>
                <w:tab w:val="left" w:pos="567"/>
              </w:tabs>
              <w:spacing w:after="0" w:line="240" w:lineRule="auto"/>
              <w:rPr>
                <w:rFonts w:ascii="Times New Roman" w:eastAsia="Times New Roman" w:hAnsi="Times New Roman"/>
                <w:bCs/>
              </w:rPr>
            </w:pPr>
          </w:p>
          <w:p w14:paraId="7AE4D76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(Lopinaviro / ritonaviro 400/100 mg derinys BID)</w:t>
            </w:r>
          </w:p>
        </w:tc>
        <w:tc>
          <w:tcPr>
            <w:tcW w:w="3002" w:type="dxa"/>
          </w:tcPr>
          <w:p w14:paraId="38299152"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Rilpivirinas:</w:t>
            </w:r>
          </w:p>
          <w:p w14:paraId="2DB8C21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52 %</w:t>
            </w:r>
          </w:p>
          <w:p w14:paraId="23FADB4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74 %</w:t>
            </w:r>
          </w:p>
          <w:p w14:paraId="69B9F97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29 %</w:t>
            </w:r>
          </w:p>
          <w:p w14:paraId="1EA54F6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w:t>
            </w:r>
          </w:p>
          <w:p w14:paraId="46E4338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w:t>
            </w:r>
          </w:p>
          <w:p w14:paraId="3B9AA23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11 %</w:t>
            </w:r>
          </w:p>
          <w:p w14:paraId="364D9A0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w:t>
            </w:r>
          </w:p>
          <w:p w14:paraId="5A19EE8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(CYP3A fermentų slopinimas)</w:t>
            </w:r>
          </w:p>
        </w:tc>
        <w:tc>
          <w:tcPr>
            <w:tcW w:w="3006" w:type="dxa"/>
          </w:tcPr>
          <w:p w14:paraId="2FE0ACE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Kartu vartojant Lopinavir / Ritonavir Accord ir rilpiviriną, padidėja rilpivirino koncentracija kraujo plazmoje, tačiau dozės koreguoti nereikia. </w:t>
            </w:r>
          </w:p>
        </w:tc>
      </w:tr>
      <w:tr w:rsidR="00342622" w:rsidRPr="00907D70" w14:paraId="1BACBE13" w14:textId="77777777" w:rsidTr="00160402">
        <w:trPr>
          <w:cantSplit/>
        </w:trPr>
        <w:tc>
          <w:tcPr>
            <w:tcW w:w="9060" w:type="dxa"/>
            <w:gridSpan w:val="3"/>
          </w:tcPr>
          <w:p w14:paraId="4D283CAE"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ŽIV CCR5 – antagonistas</w:t>
            </w:r>
          </w:p>
        </w:tc>
      </w:tr>
      <w:tr w:rsidR="00342622" w:rsidRPr="00907D70" w14:paraId="2CD0A052" w14:textId="77777777" w:rsidTr="00160402">
        <w:trPr>
          <w:cantSplit/>
        </w:trPr>
        <w:tc>
          <w:tcPr>
            <w:tcW w:w="3052" w:type="dxa"/>
          </w:tcPr>
          <w:p w14:paraId="4D0490B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Maravirokas</w:t>
            </w:r>
          </w:p>
        </w:tc>
        <w:tc>
          <w:tcPr>
            <w:tcW w:w="3002" w:type="dxa"/>
          </w:tcPr>
          <w:p w14:paraId="433127C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Maravirokas:</w:t>
            </w:r>
          </w:p>
          <w:p w14:paraId="4FCEFE7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 295 %</w:t>
            </w:r>
          </w:p>
          <w:p w14:paraId="5303FB0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97 %</w:t>
            </w:r>
          </w:p>
          <w:p w14:paraId="5AC254C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Kadangi lopinaviras/ritonaviras slopina CYP3A.</w:t>
            </w:r>
          </w:p>
        </w:tc>
        <w:tc>
          <w:tcPr>
            <w:tcW w:w="3006" w:type="dxa"/>
          </w:tcPr>
          <w:p w14:paraId="6C3AF4D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Maraviroko dozė turi būti sumažinta iki 150 mg du kartus per parą, kai skiriama kartu su Lopinavir / Ritonavir Accord 400/100 mg, vartojamu du kartus per parą.</w:t>
            </w:r>
          </w:p>
        </w:tc>
      </w:tr>
      <w:tr w:rsidR="00342622" w:rsidRPr="00907D70" w14:paraId="442CCBBF" w14:textId="77777777" w:rsidTr="00160402">
        <w:trPr>
          <w:cantSplit/>
        </w:trPr>
        <w:tc>
          <w:tcPr>
            <w:tcW w:w="9060" w:type="dxa"/>
            <w:gridSpan w:val="3"/>
          </w:tcPr>
          <w:p w14:paraId="5AA34221"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Integrazės inhibitorius</w:t>
            </w:r>
          </w:p>
        </w:tc>
      </w:tr>
      <w:tr w:rsidR="00342622" w:rsidRPr="00907D70" w14:paraId="0C7CF8C9" w14:textId="77777777" w:rsidTr="00160402">
        <w:trPr>
          <w:cantSplit/>
        </w:trPr>
        <w:tc>
          <w:tcPr>
            <w:tcW w:w="3052" w:type="dxa"/>
          </w:tcPr>
          <w:p w14:paraId="05913D7A"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Raltegraviras</w:t>
            </w:r>
          </w:p>
        </w:tc>
        <w:tc>
          <w:tcPr>
            <w:tcW w:w="3002" w:type="dxa"/>
          </w:tcPr>
          <w:p w14:paraId="2FF011B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Raltegraviras:</w:t>
            </w:r>
          </w:p>
          <w:p w14:paraId="27E378C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AUC: ↔</w:t>
            </w:r>
          </w:p>
          <w:p w14:paraId="5C9C92E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w:t>
            </w:r>
          </w:p>
          <w:p w14:paraId="7DBD6FE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12</w:t>
            </w:r>
            <w:r w:rsidRPr="00907D70">
              <w:rPr>
                <w:rFonts w:ascii="Times New Roman" w:eastAsia="Times New Roman" w:hAnsi="Times New Roman"/>
                <w:bCs/>
              </w:rPr>
              <w:t>: ↓ 30 %</w:t>
            </w:r>
          </w:p>
          <w:p w14:paraId="6779E62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 ↔</w:t>
            </w:r>
          </w:p>
        </w:tc>
        <w:tc>
          <w:tcPr>
            <w:tcW w:w="3006" w:type="dxa"/>
          </w:tcPr>
          <w:p w14:paraId="4A7F30B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0E0CBF0F" w14:textId="77777777" w:rsidTr="00160402">
        <w:trPr>
          <w:cantSplit/>
        </w:trPr>
        <w:tc>
          <w:tcPr>
            <w:tcW w:w="9060" w:type="dxa"/>
            <w:gridSpan w:val="3"/>
          </w:tcPr>
          <w:p w14:paraId="3160E6C0"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i/>
                <w:iCs/>
                <w:color w:val="000000"/>
                <w:lang w:eastAsia="zh-CN"/>
              </w:rPr>
              <w:t xml:space="preserve">Skyrimas kartu su kitais ŽIV proteazių inhibitoriais (PI) </w:t>
            </w:r>
          </w:p>
          <w:p w14:paraId="6D812246" w14:textId="77777777" w:rsidR="00342622" w:rsidRPr="00907D70" w:rsidRDefault="00342622" w:rsidP="0084240B">
            <w:pPr>
              <w:tabs>
                <w:tab w:val="left" w:pos="567"/>
              </w:tabs>
              <w:spacing w:after="0" w:line="240" w:lineRule="auto"/>
              <w:jc w:val="both"/>
              <w:rPr>
                <w:rFonts w:ascii="Times New Roman" w:hAnsi="Times New Roman"/>
                <w:i/>
              </w:rPr>
            </w:pPr>
            <w:r w:rsidRPr="00907D70">
              <w:rPr>
                <w:rFonts w:ascii="Times New Roman" w:eastAsia="Times New Roman" w:hAnsi="Times New Roman"/>
              </w:rPr>
              <w:t>Remiantis dabartinėmis gydymo rekomendacijomis, dvigubas gydymas proteazių inhibitoriais paprastai nerekomenduojamas.</w:t>
            </w:r>
          </w:p>
        </w:tc>
      </w:tr>
      <w:tr w:rsidR="00342622" w:rsidRPr="00907D70" w14:paraId="3C8FA08A" w14:textId="77777777" w:rsidTr="00160402">
        <w:trPr>
          <w:cantSplit/>
        </w:trPr>
        <w:tc>
          <w:tcPr>
            <w:tcW w:w="3052" w:type="dxa"/>
          </w:tcPr>
          <w:p w14:paraId="1A0A5E05"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lastRenderedPageBreak/>
              <w:t xml:space="preserve">Fosamprenaviro / ritonaviro (700/100 mg derinys BID) </w:t>
            </w:r>
          </w:p>
          <w:p w14:paraId="1AC5A8CE"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p>
          <w:p w14:paraId="2BE9A926"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(Lopinaviro / ritonaviro 400/100 mg derinys BID) </w:t>
            </w:r>
          </w:p>
          <w:p w14:paraId="3E0AE721"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p>
          <w:p w14:paraId="4351AC0A"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arba </w:t>
            </w:r>
          </w:p>
          <w:p w14:paraId="2F41C750"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p>
          <w:p w14:paraId="09880D13"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Fosamprenaviras (1400 mg BID) </w:t>
            </w:r>
          </w:p>
          <w:p w14:paraId="436A508B" w14:textId="77777777" w:rsidR="00342622" w:rsidRPr="00907D70" w:rsidRDefault="00342622" w:rsidP="0084240B">
            <w:pPr>
              <w:tabs>
                <w:tab w:val="left" w:pos="567"/>
              </w:tabs>
              <w:spacing w:after="0" w:line="240" w:lineRule="auto"/>
              <w:rPr>
                <w:rFonts w:ascii="Times New Roman" w:eastAsia="Times New Roman" w:hAnsi="Times New Roman"/>
              </w:rPr>
            </w:pPr>
          </w:p>
          <w:p w14:paraId="60A0B8A4" w14:textId="77777777" w:rsidR="00342622" w:rsidRPr="00907D70" w:rsidRDefault="00342622" w:rsidP="0084240B">
            <w:pPr>
              <w:tabs>
                <w:tab w:val="left" w:pos="567"/>
              </w:tabs>
              <w:spacing w:after="0" w:line="240" w:lineRule="auto"/>
              <w:rPr>
                <w:rFonts w:ascii="Times New Roman" w:eastAsia="Times New Roman" w:hAnsi="Times New Roman"/>
              </w:rPr>
            </w:pPr>
          </w:p>
          <w:p w14:paraId="10D844BF" w14:textId="77777777" w:rsidR="00342622" w:rsidRPr="00907D70" w:rsidRDefault="00342622" w:rsidP="0084240B">
            <w:pPr>
              <w:tabs>
                <w:tab w:val="left" w:pos="567"/>
              </w:tabs>
              <w:spacing w:after="0" w:line="240" w:lineRule="auto"/>
              <w:rPr>
                <w:rFonts w:ascii="Times New Roman" w:eastAsia="Times New Roman" w:hAnsi="Times New Roman"/>
              </w:rPr>
            </w:pPr>
          </w:p>
          <w:p w14:paraId="53D20CB5" w14:textId="77777777" w:rsidR="00342622" w:rsidRPr="00907D70" w:rsidRDefault="00342622" w:rsidP="0084240B">
            <w:pPr>
              <w:tabs>
                <w:tab w:val="left" w:pos="567"/>
              </w:tabs>
              <w:spacing w:after="0" w:line="240" w:lineRule="auto"/>
              <w:rPr>
                <w:rFonts w:ascii="Times New Roman" w:eastAsia="Times New Roman" w:hAnsi="Times New Roman"/>
              </w:rPr>
            </w:pPr>
          </w:p>
          <w:p w14:paraId="3C3E53DF" w14:textId="77777777" w:rsidR="00342622" w:rsidRPr="00907D70" w:rsidRDefault="00342622" w:rsidP="0084240B">
            <w:pPr>
              <w:tabs>
                <w:tab w:val="left" w:pos="567"/>
              </w:tabs>
              <w:spacing w:after="0" w:line="240" w:lineRule="auto"/>
              <w:rPr>
                <w:rFonts w:ascii="Times New Roman" w:eastAsia="Times New Roman" w:hAnsi="Times New Roman"/>
              </w:rPr>
            </w:pPr>
          </w:p>
          <w:p w14:paraId="3E245CDE" w14:textId="77777777" w:rsidR="00342622" w:rsidRPr="00907D70" w:rsidRDefault="00342622" w:rsidP="0084240B">
            <w:pPr>
              <w:tabs>
                <w:tab w:val="left" w:pos="567"/>
              </w:tabs>
              <w:spacing w:after="0" w:line="240" w:lineRule="auto"/>
              <w:rPr>
                <w:rFonts w:ascii="Times New Roman" w:hAnsi="Times New Roman"/>
              </w:rPr>
            </w:pPr>
            <w:r w:rsidRPr="00907D70">
              <w:rPr>
                <w:rFonts w:ascii="Times New Roman" w:eastAsia="Times New Roman" w:hAnsi="Times New Roman"/>
              </w:rPr>
              <w:t xml:space="preserve">(Lopinaviro / ritonaviro 533/133 mg derinys BID) </w:t>
            </w:r>
          </w:p>
        </w:tc>
        <w:tc>
          <w:tcPr>
            <w:tcW w:w="3002" w:type="dxa"/>
          </w:tcPr>
          <w:p w14:paraId="140B75BC"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Fosamprenaviras: </w:t>
            </w:r>
          </w:p>
          <w:p w14:paraId="16B072E8"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reikšmingai sumažėja amprenaviro koncentracija. </w:t>
            </w:r>
          </w:p>
        </w:tc>
        <w:tc>
          <w:tcPr>
            <w:tcW w:w="3006" w:type="dxa"/>
          </w:tcPr>
          <w:p w14:paraId="0A34FE4F"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Kartu skiriant didesnes fosamprenaviro dozes (1400 mg BID) su lopinaviro/ritonaviro deriniu (533/133 mg BID) pacientams, kurie jau yra gydyti proteazių inhibitoriais, dažniau pasireiškė virškinimo trakto nepageidaujami reiškiniai ir trigliceridų kiekio padidėjimas, be virusologinio veiksmingumo padidėjimo, lyginant su standartinėmis fosamprenaviro / ritonaviro dozėmis. Šių vaistinių preparatų vartoti kartu nerekomenduojama. </w:t>
            </w:r>
          </w:p>
          <w:p w14:paraId="2E0CCFE0"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Skiriant kartu su amprenaviru, Lopinavir / Ritonavir Accord negalima vartoti </w:t>
            </w:r>
            <w:r w:rsidRPr="00907D70">
              <w:rPr>
                <w:rFonts w:ascii="Times New Roman" w:eastAsia="SimSun" w:hAnsi="Times New Roman"/>
                <w:bCs/>
                <w:color w:val="000000"/>
                <w:lang w:eastAsia="zh-CN"/>
              </w:rPr>
              <w:t xml:space="preserve">kartą per parą. </w:t>
            </w:r>
          </w:p>
        </w:tc>
      </w:tr>
      <w:tr w:rsidR="00342622" w:rsidRPr="00907D70" w14:paraId="1A29EF23" w14:textId="77777777" w:rsidTr="00160402">
        <w:trPr>
          <w:cantSplit/>
        </w:trPr>
        <w:tc>
          <w:tcPr>
            <w:tcW w:w="3052" w:type="dxa"/>
          </w:tcPr>
          <w:p w14:paraId="6D0E91A4"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Indinaviras, 600 mg BID </w:t>
            </w:r>
          </w:p>
          <w:p w14:paraId="62F633AB"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1A2900F6"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Indinaviras: </w:t>
            </w:r>
          </w:p>
          <w:p w14:paraId="3216AF0A"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AUC: ↔ </w:t>
            </w:r>
          </w:p>
          <w:p w14:paraId="2B45EC06"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C</w:t>
            </w:r>
            <w:r w:rsidRPr="00907D70">
              <w:rPr>
                <w:rFonts w:ascii="Times New Roman" w:eastAsia="SimSun" w:hAnsi="Times New Roman"/>
                <w:color w:val="000000"/>
                <w:vertAlign w:val="subscript"/>
                <w:lang w:eastAsia="zh-CN"/>
              </w:rPr>
              <w:t>min</w:t>
            </w:r>
            <w:r w:rsidRPr="00907D70">
              <w:rPr>
                <w:rFonts w:ascii="Times New Roman" w:eastAsia="SimSun" w:hAnsi="Times New Roman"/>
                <w:color w:val="000000"/>
                <w:lang w:eastAsia="zh-CN"/>
              </w:rPr>
              <w:t xml:space="preserve">: ↑ 3,5 karto </w:t>
            </w:r>
          </w:p>
          <w:p w14:paraId="347C7068"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C</w:t>
            </w:r>
            <w:r w:rsidRPr="00907D70">
              <w:rPr>
                <w:rFonts w:ascii="Times New Roman" w:eastAsia="SimSun" w:hAnsi="Times New Roman"/>
                <w:color w:val="000000"/>
                <w:vertAlign w:val="subscript"/>
                <w:lang w:eastAsia="zh-CN"/>
              </w:rPr>
              <w:t>max</w:t>
            </w:r>
            <w:r w:rsidRPr="00907D70">
              <w:rPr>
                <w:rFonts w:ascii="Times New Roman" w:eastAsia="SimSun" w:hAnsi="Times New Roman"/>
                <w:color w:val="000000"/>
                <w:lang w:eastAsia="zh-CN"/>
              </w:rPr>
              <w:t xml:space="preserve">: ↓ </w:t>
            </w:r>
          </w:p>
          <w:p w14:paraId="24F11189"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(palyginti su vien 800 mg indinaviro TID) </w:t>
            </w:r>
          </w:p>
          <w:p w14:paraId="4F3A80BF"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Lopinaviras: ↔ </w:t>
            </w:r>
          </w:p>
          <w:p w14:paraId="126A004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(palyginti su istoriniu sugretinimu) </w:t>
            </w:r>
          </w:p>
        </w:tc>
        <w:tc>
          <w:tcPr>
            <w:tcW w:w="3006" w:type="dxa"/>
          </w:tcPr>
          <w:p w14:paraId="07992B9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Tinkamos dozės šiam deriniui, atsižvelgiant į veiksmingumą ir saugumą, nenustatytos. </w:t>
            </w:r>
          </w:p>
        </w:tc>
      </w:tr>
      <w:tr w:rsidR="00342622" w:rsidRPr="00907D70" w14:paraId="0A42B2D9" w14:textId="77777777" w:rsidTr="00160402">
        <w:trPr>
          <w:cantSplit/>
        </w:trPr>
        <w:tc>
          <w:tcPr>
            <w:tcW w:w="3052" w:type="dxa"/>
          </w:tcPr>
          <w:p w14:paraId="55C7DCCB"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Sakvinaviras </w:t>
            </w:r>
          </w:p>
          <w:p w14:paraId="6F6E31B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1000 mg BID </w:t>
            </w:r>
          </w:p>
        </w:tc>
        <w:tc>
          <w:tcPr>
            <w:tcW w:w="3002" w:type="dxa"/>
          </w:tcPr>
          <w:p w14:paraId="7176D8E7"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Sakvinaviras: ↔ </w:t>
            </w:r>
          </w:p>
          <w:p w14:paraId="776C0D6D"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6" w:type="dxa"/>
          </w:tcPr>
          <w:p w14:paraId="074C040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38A07851" w14:textId="77777777" w:rsidTr="00160402">
        <w:trPr>
          <w:cantSplit/>
        </w:trPr>
        <w:tc>
          <w:tcPr>
            <w:tcW w:w="3052" w:type="dxa"/>
          </w:tcPr>
          <w:p w14:paraId="3BD3D472"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Tipranaviro / ritonaviro </w:t>
            </w:r>
          </w:p>
          <w:p w14:paraId="4889FA4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(500/100 mg derinys BID) </w:t>
            </w:r>
          </w:p>
        </w:tc>
        <w:tc>
          <w:tcPr>
            <w:tcW w:w="3002" w:type="dxa"/>
          </w:tcPr>
          <w:p w14:paraId="70540A20"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Lopinaviras: </w:t>
            </w:r>
          </w:p>
          <w:p w14:paraId="631569A1"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AUC: ↓ 55 % </w:t>
            </w:r>
          </w:p>
          <w:p w14:paraId="47823701"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C</w:t>
            </w:r>
            <w:r w:rsidRPr="00907D70">
              <w:rPr>
                <w:rFonts w:ascii="Times New Roman" w:eastAsia="SimSun" w:hAnsi="Times New Roman"/>
                <w:color w:val="000000"/>
                <w:vertAlign w:val="subscript"/>
                <w:lang w:eastAsia="zh-CN"/>
              </w:rPr>
              <w:t>min</w:t>
            </w:r>
            <w:r w:rsidRPr="00907D70">
              <w:rPr>
                <w:rFonts w:ascii="Times New Roman" w:eastAsia="SimSun" w:hAnsi="Times New Roman"/>
                <w:color w:val="000000"/>
                <w:lang w:eastAsia="zh-CN"/>
              </w:rPr>
              <w:t xml:space="preserve">: ↓ 70 % </w:t>
            </w:r>
          </w:p>
          <w:p w14:paraId="6985025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C</w:t>
            </w:r>
            <w:r w:rsidRPr="00907D70">
              <w:rPr>
                <w:rFonts w:ascii="Times New Roman" w:eastAsia="Times New Roman" w:hAnsi="Times New Roman"/>
                <w:vertAlign w:val="subscript"/>
              </w:rPr>
              <w:t>max</w:t>
            </w:r>
            <w:r w:rsidRPr="00907D70">
              <w:rPr>
                <w:rFonts w:ascii="Times New Roman" w:eastAsia="Times New Roman" w:hAnsi="Times New Roman"/>
              </w:rPr>
              <w:t xml:space="preserve">: ↓ 47 % </w:t>
            </w:r>
          </w:p>
        </w:tc>
        <w:tc>
          <w:tcPr>
            <w:tcW w:w="3006" w:type="dxa"/>
          </w:tcPr>
          <w:p w14:paraId="2EB6DF4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Kartu skirti šių vaistinių preparatų nerekomenduojama.</w:t>
            </w:r>
          </w:p>
        </w:tc>
      </w:tr>
      <w:tr w:rsidR="00342622" w:rsidRPr="00907D70" w14:paraId="1D273C35" w14:textId="77777777" w:rsidTr="00160402">
        <w:trPr>
          <w:cantSplit/>
        </w:trPr>
        <w:tc>
          <w:tcPr>
            <w:tcW w:w="9060" w:type="dxa"/>
            <w:gridSpan w:val="3"/>
          </w:tcPr>
          <w:p w14:paraId="7F3486E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i/>
                <w:iCs/>
              </w:rPr>
              <w:t>Rūgštingumą mažinančios medžiagos</w:t>
            </w:r>
          </w:p>
        </w:tc>
      </w:tr>
      <w:tr w:rsidR="00342622" w:rsidRPr="00907D70" w14:paraId="4B426CF8" w14:textId="77777777" w:rsidTr="00160402">
        <w:trPr>
          <w:cantSplit/>
        </w:trPr>
        <w:tc>
          <w:tcPr>
            <w:tcW w:w="3052" w:type="dxa"/>
          </w:tcPr>
          <w:p w14:paraId="053D886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Omeprazolas (40 mg QD) </w:t>
            </w:r>
          </w:p>
        </w:tc>
        <w:tc>
          <w:tcPr>
            <w:tcW w:w="3002" w:type="dxa"/>
          </w:tcPr>
          <w:p w14:paraId="24A6DEBE"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Omeprazolas: ↔ </w:t>
            </w:r>
          </w:p>
          <w:p w14:paraId="30BBD42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Lopinaviras: ↔ </w:t>
            </w:r>
          </w:p>
        </w:tc>
        <w:tc>
          <w:tcPr>
            <w:tcW w:w="3006" w:type="dxa"/>
          </w:tcPr>
          <w:p w14:paraId="30C6875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02A6CE38" w14:textId="77777777" w:rsidTr="00160402">
        <w:trPr>
          <w:cantSplit/>
        </w:trPr>
        <w:tc>
          <w:tcPr>
            <w:tcW w:w="3052" w:type="dxa"/>
          </w:tcPr>
          <w:p w14:paraId="4E5B3C8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Ranitidinas (vienkartinė 150 mg dozė) </w:t>
            </w:r>
          </w:p>
        </w:tc>
        <w:tc>
          <w:tcPr>
            <w:tcW w:w="3002" w:type="dxa"/>
          </w:tcPr>
          <w:p w14:paraId="1D2F2B51"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Ranitidinas: ↔ </w:t>
            </w:r>
          </w:p>
          <w:p w14:paraId="359D9573"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6" w:type="dxa"/>
          </w:tcPr>
          <w:p w14:paraId="797B1A2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7F396F60" w14:textId="77777777" w:rsidTr="00160402">
        <w:trPr>
          <w:cantSplit/>
        </w:trPr>
        <w:tc>
          <w:tcPr>
            <w:tcW w:w="9060" w:type="dxa"/>
            <w:gridSpan w:val="3"/>
          </w:tcPr>
          <w:p w14:paraId="5441E6A0"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Alfa</w:t>
            </w:r>
            <w:r w:rsidRPr="00907D70">
              <w:rPr>
                <w:rFonts w:ascii="Times New Roman" w:eastAsia="Times New Roman" w:hAnsi="Times New Roman"/>
                <w:bCs/>
                <w:i/>
                <w:vertAlign w:val="subscript"/>
              </w:rPr>
              <w:t>1</w:t>
            </w:r>
            <w:r w:rsidRPr="00907D70">
              <w:rPr>
                <w:rFonts w:ascii="Times New Roman" w:eastAsia="Times New Roman" w:hAnsi="Times New Roman"/>
                <w:bCs/>
                <w:i/>
              </w:rPr>
              <w:t xml:space="preserve"> adrenoreceptorių blokatoriai</w:t>
            </w:r>
          </w:p>
        </w:tc>
      </w:tr>
      <w:tr w:rsidR="00342622" w:rsidRPr="00907D70" w14:paraId="28B21935" w14:textId="77777777" w:rsidTr="00160402">
        <w:trPr>
          <w:cantSplit/>
        </w:trPr>
        <w:tc>
          <w:tcPr>
            <w:tcW w:w="3052" w:type="dxa"/>
          </w:tcPr>
          <w:p w14:paraId="5972B24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Alfuzozinas </w:t>
            </w:r>
          </w:p>
        </w:tc>
        <w:tc>
          <w:tcPr>
            <w:tcW w:w="3002" w:type="dxa"/>
          </w:tcPr>
          <w:p w14:paraId="202D5589"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Alfuzozinas: </w:t>
            </w:r>
          </w:p>
          <w:p w14:paraId="06372E2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kadangi lopinaviro / ritonaviro derinys slopina CYP3A, tikėtina, kad padidės alfuzozino koncentracija. </w:t>
            </w:r>
          </w:p>
        </w:tc>
        <w:tc>
          <w:tcPr>
            <w:tcW w:w="3006" w:type="dxa"/>
          </w:tcPr>
          <w:p w14:paraId="0DF26FA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Lopinavir / Ritonavir Accord negalima skirti kartu su alfuzozinu (žr. 4.3 skyrių), nes gali padidėti su alfuzozinu susijęs toksinis poveikis, įskaitant hipotenziją. </w:t>
            </w:r>
          </w:p>
        </w:tc>
      </w:tr>
      <w:tr w:rsidR="00342622" w:rsidRPr="00907D70" w14:paraId="1F38C853" w14:textId="77777777" w:rsidTr="00160402">
        <w:trPr>
          <w:cantSplit/>
        </w:trPr>
        <w:tc>
          <w:tcPr>
            <w:tcW w:w="9060" w:type="dxa"/>
            <w:gridSpan w:val="3"/>
          </w:tcPr>
          <w:p w14:paraId="537DE14A"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Analgetikai</w:t>
            </w:r>
          </w:p>
        </w:tc>
      </w:tr>
      <w:tr w:rsidR="00342622" w:rsidRPr="00907D70" w14:paraId="56F56D0F" w14:textId="77777777" w:rsidTr="00160402">
        <w:trPr>
          <w:cantSplit/>
        </w:trPr>
        <w:tc>
          <w:tcPr>
            <w:tcW w:w="3052" w:type="dxa"/>
          </w:tcPr>
          <w:p w14:paraId="6069D5F7"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Fentanilis</w:t>
            </w:r>
          </w:p>
        </w:tc>
        <w:tc>
          <w:tcPr>
            <w:tcW w:w="3002" w:type="dxa"/>
          </w:tcPr>
          <w:p w14:paraId="57425F50"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Fentanilis: </w:t>
            </w:r>
          </w:p>
          <w:p w14:paraId="284F603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didesnė nepageidaujamo poveikio rizika (kvėpavimo funkcijos slopinimas, sedacija) dėl padidėjusių koncentracijų kraujo plazmoje, nes Lopinavir / Ritonavir Accord slopina CYP3A. </w:t>
            </w:r>
          </w:p>
        </w:tc>
        <w:tc>
          <w:tcPr>
            <w:tcW w:w="3006" w:type="dxa"/>
          </w:tcPr>
          <w:p w14:paraId="082A39BB"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Rekomenduojama atidžiai stebėti dėl nepageidaujamo poveikio (ypač kvėpavimo funkcijos slopinimo, taip pat ir sedacijos) pasireiškimo, jeigu fentanilio skiriama kartu su Lopinavir / Ritonavir Accord.</w:t>
            </w:r>
          </w:p>
        </w:tc>
      </w:tr>
      <w:tr w:rsidR="00342622" w:rsidRPr="00907D70" w14:paraId="7B6F5048" w14:textId="77777777" w:rsidTr="00160402">
        <w:trPr>
          <w:cantSplit/>
        </w:trPr>
        <w:tc>
          <w:tcPr>
            <w:tcW w:w="9060" w:type="dxa"/>
            <w:gridSpan w:val="3"/>
          </w:tcPr>
          <w:p w14:paraId="2065C626" w14:textId="77777777" w:rsidR="00342622" w:rsidRPr="00907D70" w:rsidRDefault="00342622" w:rsidP="0084240B">
            <w:pPr>
              <w:autoSpaceDE w:val="0"/>
              <w:autoSpaceDN w:val="0"/>
              <w:adjustRightInd w:val="0"/>
              <w:spacing w:after="0" w:line="240" w:lineRule="auto"/>
              <w:rPr>
                <w:rFonts w:ascii="Times New Roman" w:eastAsia="SimSun" w:hAnsi="Times New Roman"/>
                <w:i/>
                <w:color w:val="000000"/>
                <w:lang w:eastAsia="zh-CN"/>
              </w:rPr>
            </w:pPr>
            <w:r w:rsidRPr="00907D70">
              <w:rPr>
                <w:rFonts w:ascii="Times New Roman" w:eastAsia="SimSun" w:hAnsi="Times New Roman"/>
                <w:i/>
                <w:color w:val="000000"/>
                <w:lang w:eastAsia="zh-CN"/>
              </w:rPr>
              <w:lastRenderedPageBreak/>
              <w:t>Antiangininiai vaistiniai preparatai</w:t>
            </w:r>
          </w:p>
        </w:tc>
      </w:tr>
      <w:tr w:rsidR="00342622" w:rsidRPr="00907D70" w14:paraId="5127515F" w14:textId="77777777" w:rsidTr="00160402">
        <w:trPr>
          <w:cantSplit/>
        </w:trPr>
        <w:tc>
          <w:tcPr>
            <w:tcW w:w="3052" w:type="dxa"/>
          </w:tcPr>
          <w:p w14:paraId="7867C7F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Ranolazinas</w:t>
            </w:r>
          </w:p>
        </w:tc>
        <w:tc>
          <w:tcPr>
            <w:tcW w:w="3002" w:type="dxa"/>
          </w:tcPr>
          <w:p w14:paraId="40708CEE"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Kadangi lopinaviras / ritonaviras slopina CYP3A, tikėtina, kad padidės ranolazino koncentracija.</w:t>
            </w:r>
          </w:p>
        </w:tc>
        <w:tc>
          <w:tcPr>
            <w:tcW w:w="3006" w:type="dxa"/>
          </w:tcPr>
          <w:p w14:paraId="38DB53B6"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Lopinaviro / ritonaviro negalima skirti kartu su ranolazinu (žr. 4.3 skyrių).</w:t>
            </w:r>
          </w:p>
        </w:tc>
      </w:tr>
      <w:tr w:rsidR="00342622" w:rsidRPr="00907D70" w14:paraId="2714A30B" w14:textId="77777777" w:rsidTr="00160402">
        <w:trPr>
          <w:cantSplit/>
        </w:trPr>
        <w:tc>
          <w:tcPr>
            <w:tcW w:w="9060" w:type="dxa"/>
            <w:gridSpan w:val="3"/>
          </w:tcPr>
          <w:p w14:paraId="6C6984B2"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Antiaritminiai vaistiniai preparatai</w:t>
            </w:r>
          </w:p>
        </w:tc>
      </w:tr>
      <w:tr w:rsidR="00342622" w:rsidRPr="00907D70" w14:paraId="1A117ED1" w14:textId="77777777" w:rsidTr="00160402">
        <w:trPr>
          <w:cantSplit/>
        </w:trPr>
        <w:tc>
          <w:tcPr>
            <w:tcW w:w="3052" w:type="dxa"/>
          </w:tcPr>
          <w:p w14:paraId="5DBF929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Amjodaronas, dronedaronas</w:t>
            </w:r>
          </w:p>
        </w:tc>
        <w:tc>
          <w:tcPr>
            <w:tcW w:w="3002" w:type="dxa"/>
          </w:tcPr>
          <w:p w14:paraId="1966C003"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Times New Roman" w:hAnsi="Times New Roman"/>
                <w:bCs/>
              </w:rPr>
              <w:t>Amjodaronas, dronedaronas</w:t>
            </w:r>
            <w:r w:rsidRPr="00907D70">
              <w:rPr>
                <w:rFonts w:ascii="Times New Roman" w:eastAsia="SimSun" w:hAnsi="Times New Roman"/>
                <w:color w:val="000000"/>
                <w:lang w:eastAsia="zh-CN"/>
              </w:rPr>
              <w:t xml:space="preserve">: </w:t>
            </w:r>
          </w:p>
          <w:p w14:paraId="15E0E5D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Koncentracija gali padidėti dėl </w:t>
            </w:r>
            <w:r w:rsidRPr="00907D70">
              <w:rPr>
                <w:rFonts w:ascii="Times New Roman" w:eastAsia="Times New Roman" w:hAnsi="Times New Roman"/>
                <w:bCs/>
              </w:rPr>
              <w:t>Lopinavir / Ritonavir Accord</w:t>
            </w:r>
            <w:r w:rsidRPr="00907D70">
              <w:rPr>
                <w:rFonts w:ascii="Times New Roman" w:eastAsia="Times New Roman" w:hAnsi="Times New Roman"/>
              </w:rPr>
              <w:t xml:space="preserve"> CYP3A4 slopinimo. </w:t>
            </w:r>
          </w:p>
        </w:tc>
        <w:tc>
          <w:tcPr>
            <w:tcW w:w="3006" w:type="dxa"/>
          </w:tcPr>
          <w:p w14:paraId="6FDD5BA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w:t>
            </w:r>
            <w:r w:rsidRPr="00907D70">
              <w:t xml:space="preserve"> </w:t>
            </w:r>
            <w:r w:rsidRPr="00907D70">
              <w:rPr>
                <w:rFonts w:ascii="Times New Roman" w:eastAsia="Times New Roman" w:hAnsi="Times New Roman"/>
                <w:bCs/>
              </w:rPr>
              <w:t>ir amjodarono ar dronedarono kartu vartoti negalima (žr. 4.3 skyrių), nes gali padidėti aritmijų ar kitų sunkių nepageidaujamų reakcijų pavojus.</w:t>
            </w:r>
          </w:p>
        </w:tc>
      </w:tr>
      <w:tr w:rsidR="00342622" w:rsidRPr="00907D70" w14:paraId="260DEC71" w14:textId="77777777" w:rsidTr="00160402">
        <w:trPr>
          <w:cantSplit/>
        </w:trPr>
        <w:tc>
          <w:tcPr>
            <w:tcW w:w="3052" w:type="dxa"/>
          </w:tcPr>
          <w:p w14:paraId="2C3AE27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Digoksinas</w:t>
            </w:r>
          </w:p>
        </w:tc>
        <w:tc>
          <w:tcPr>
            <w:tcW w:w="3002" w:type="dxa"/>
          </w:tcPr>
          <w:p w14:paraId="6A0F5841"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Digoksinas: </w:t>
            </w:r>
          </w:p>
          <w:p w14:paraId="69B9B21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Kraujo plazmoje gali padidėti koncentracija, nes </w:t>
            </w:r>
            <w:r w:rsidRPr="00907D70">
              <w:rPr>
                <w:rFonts w:ascii="Times New Roman" w:eastAsia="Times New Roman" w:hAnsi="Times New Roman"/>
                <w:bCs/>
              </w:rPr>
              <w:t>Lopinavir / Ritonavir Accord</w:t>
            </w:r>
            <w:r w:rsidRPr="00907D70">
              <w:rPr>
                <w:rFonts w:ascii="Times New Roman" w:eastAsia="Times New Roman" w:hAnsi="Times New Roman"/>
              </w:rPr>
              <w:t xml:space="preserve"> slopina P-glikoproteiną. Digoksino kiekio padidėjimas per laiką sumažėja, nes stiprėja Pgp indukcija. </w:t>
            </w:r>
          </w:p>
        </w:tc>
        <w:tc>
          <w:tcPr>
            <w:tcW w:w="3006" w:type="dxa"/>
          </w:tcPr>
          <w:p w14:paraId="13F12B1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Kartu skiriant digoksino ir Lopinavir / Ritonavir Accord turi būti užtikrintos atsargumo priemonės ir, jei įmanoma, rekomenduojamas digoksino gydomųjų koncentracijų stebėjimas. Ypatingų atsargumo priemonių reikia imtis skiriant Lopinavir / Ritonavir Accord pacientams, vartojantiems digoksino, nes dėl stipraus ritonaviro slopinamojo poveikio Pgp tikėtinas reikšmingas digoksino kiekio padidėjimas. Pradėjus vartoti digoksino pacientams, kurie jau vartoja Lopinavir / Ritonavir Accord, tikėtina, kad digoksino koncentracija padidės mažiau nei tikimasi. </w:t>
            </w:r>
          </w:p>
        </w:tc>
      </w:tr>
      <w:tr w:rsidR="00342622" w:rsidRPr="00907D70" w14:paraId="7CE0E0E6" w14:textId="77777777" w:rsidTr="00160402">
        <w:trPr>
          <w:cantSplit/>
        </w:trPr>
        <w:tc>
          <w:tcPr>
            <w:tcW w:w="3052" w:type="dxa"/>
          </w:tcPr>
          <w:p w14:paraId="7F34668A"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Bepridilis, sisteminiu būdu vartojamas lidokainas, chinidinas </w:t>
            </w:r>
          </w:p>
          <w:p w14:paraId="184EC4E1"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20E3B23F"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Bepridilis, sisteminiu būdu vartojamas lidokainas, chinidinas: </w:t>
            </w:r>
          </w:p>
          <w:p w14:paraId="5A39F1C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skiriant kartu su Lopinavir / Ritonavir Accord, jų koncentracija gali padidėti.</w:t>
            </w:r>
          </w:p>
        </w:tc>
        <w:tc>
          <w:tcPr>
            <w:tcW w:w="3006" w:type="dxa"/>
          </w:tcPr>
          <w:p w14:paraId="7BFE3A48"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Turi būti užtikrintos atsargumo priemonės ir, jei įmanoma, rekomenduojamas gydomųjų vaistinio preparato koncentracijos stebėjimas.</w:t>
            </w:r>
          </w:p>
          <w:p w14:paraId="630EE32D"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p>
          <w:p w14:paraId="4D2E1B79" w14:textId="77777777" w:rsidR="00342622" w:rsidRPr="00907D70" w:rsidRDefault="00342622" w:rsidP="0084240B">
            <w:pPr>
              <w:autoSpaceDE w:val="0"/>
              <w:autoSpaceDN w:val="0"/>
              <w:adjustRightInd w:val="0"/>
              <w:spacing w:after="0" w:line="240" w:lineRule="auto"/>
              <w:rPr>
                <w:rFonts w:ascii="Times New Roman" w:eastAsia="Times New Roman" w:hAnsi="Times New Roman"/>
                <w:bCs/>
              </w:rPr>
            </w:pPr>
          </w:p>
        </w:tc>
      </w:tr>
      <w:tr w:rsidR="00342622" w:rsidRPr="00907D70" w14:paraId="356468DE" w14:textId="77777777" w:rsidTr="00160402">
        <w:trPr>
          <w:cantSplit/>
        </w:trPr>
        <w:tc>
          <w:tcPr>
            <w:tcW w:w="9060" w:type="dxa"/>
            <w:gridSpan w:val="3"/>
          </w:tcPr>
          <w:p w14:paraId="5A20BFA1"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Antibiotikai</w:t>
            </w:r>
          </w:p>
        </w:tc>
      </w:tr>
      <w:tr w:rsidR="00342622" w:rsidRPr="00907D70" w14:paraId="50720B1A" w14:textId="77777777" w:rsidTr="00160402">
        <w:trPr>
          <w:cantSplit/>
        </w:trPr>
        <w:tc>
          <w:tcPr>
            <w:tcW w:w="3052" w:type="dxa"/>
          </w:tcPr>
          <w:p w14:paraId="6817DD4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Klaritromicinas</w:t>
            </w:r>
          </w:p>
        </w:tc>
        <w:tc>
          <w:tcPr>
            <w:tcW w:w="3002" w:type="dxa"/>
          </w:tcPr>
          <w:p w14:paraId="76908AFC"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Klaritromicinas: </w:t>
            </w:r>
          </w:p>
          <w:p w14:paraId="2230ED7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tikėtinas vidutiniškai padidėjęs klaritromicino AUC, nes lopinaviras / ritonaviras</w:t>
            </w:r>
            <w:r w:rsidRPr="00907D70" w:rsidDel="0070582B">
              <w:rPr>
                <w:rFonts w:ascii="Times New Roman" w:eastAsia="Times New Roman" w:hAnsi="Times New Roman"/>
              </w:rPr>
              <w:t xml:space="preserve"> </w:t>
            </w:r>
            <w:r w:rsidRPr="00907D70">
              <w:rPr>
                <w:rFonts w:ascii="Times New Roman" w:eastAsia="Times New Roman" w:hAnsi="Times New Roman"/>
              </w:rPr>
              <w:t xml:space="preserve">slopina CYP3A. </w:t>
            </w:r>
          </w:p>
        </w:tc>
        <w:tc>
          <w:tcPr>
            <w:tcW w:w="3006" w:type="dxa"/>
          </w:tcPr>
          <w:p w14:paraId="4A12DB4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Pacientams, kurių inkstų funkcija sutrikusi (kreatinino klirensas &lt;30 ml/min) reikia apsvarstyti klaritromicino dozės sumažinimą (žr. 4.4 skyrių). Reikalingas atsargumas skiriant klaritromicino kartu su Lopinavir / Ritonavir Accord pacientams, kurių kepenų ar inkstų funkcija sutrikusi.</w:t>
            </w:r>
          </w:p>
        </w:tc>
      </w:tr>
      <w:tr w:rsidR="00342622" w:rsidRPr="00907D70" w14:paraId="7FFF67DB" w14:textId="77777777" w:rsidTr="00160402">
        <w:trPr>
          <w:cantSplit/>
        </w:trPr>
        <w:tc>
          <w:tcPr>
            <w:tcW w:w="9060" w:type="dxa"/>
            <w:gridSpan w:val="3"/>
          </w:tcPr>
          <w:p w14:paraId="4220D104"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i/>
                <w:iCs/>
              </w:rPr>
              <w:t>Priešvėžiniai vaistiniai preparatai</w:t>
            </w:r>
          </w:p>
        </w:tc>
      </w:tr>
      <w:tr w:rsidR="00BD784B" w:rsidRPr="00907D70" w14:paraId="230592AF" w14:textId="77777777" w:rsidTr="00160402">
        <w:trPr>
          <w:cantSplit/>
        </w:trPr>
        <w:tc>
          <w:tcPr>
            <w:tcW w:w="3052" w:type="dxa"/>
          </w:tcPr>
          <w:p w14:paraId="6AF78A6F" w14:textId="4CA6BB92" w:rsidR="00BD784B" w:rsidRPr="00907D70" w:rsidRDefault="00BD784B" w:rsidP="005B5FE3">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Abemaciklibas</w:t>
            </w:r>
          </w:p>
        </w:tc>
        <w:tc>
          <w:tcPr>
            <w:tcW w:w="3002" w:type="dxa"/>
          </w:tcPr>
          <w:p w14:paraId="0E705DE5" w14:textId="430F90A0" w:rsidR="00BD784B" w:rsidRPr="00907D70" w:rsidRDefault="00BD784B" w:rsidP="00BD784B">
            <w:pPr>
              <w:tabs>
                <w:tab w:val="left" w:pos="567"/>
              </w:tabs>
              <w:spacing w:after="0" w:line="240" w:lineRule="auto"/>
              <w:rPr>
                <w:rFonts w:ascii="Times New Roman" w:eastAsia="Times New Roman" w:hAnsi="Times New Roman"/>
                <w:bCs/>
              </w:rPr>
            </w:pPr>
            <w:r w:rsidRPr="00907D70">
              <w:rPr>
                <w:rFonts w:ascii="Times New Roman" w:eastAsia="SimSun" w:hAnsi="Times New Roman"/>
                <w:color w:val="000000"/>
                <w:lang w:eastAsia="zh-CN"/>
              </w:rPr>
              <w:t>Dėl ritonaviro sukeliamo CYP3A slopinimo gali padidėti koncentracijos serume.</w:t>
            </w:r>
          </w:p>
        </w:tc>
        <w:tc>
          <w:tcPr>
            <w:tcW w:w="3006" w:type="dxa"/>
          </w:tcPr>
          <w:p w14:paraId="07CEC91A" w14:textId="640B54D0" w:rsidR="00BD784B" w:rsidRPr="00907D70" w:rsidRDefault="00BD784B" w:rsidP="006022CD">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Reikėtų vengti </w:t>
            </w:r>
            <w:r w:rsidR="006022CD" w:rsidRPr="00907D70">
              <w:rPr>
                <w:rFonts w:ascii="Times New Roman" w:eastAsia="Times New Roman" w:hAnsi="Times New Roman"/>
              </w:rPr>
              <w:t xml:space="preserve">kartu vartoti </w:t>
            </w:r>
            <w:r w:rsidRPr="00907D70">
              <w:rPr>
                <w:rFonts w:ascii="Times New Roman" w:eastAsia="Times New Roman" w:hAnsi="Times New Roman"/>
              </w:rPr>
              <w:t xml:space="preserve">abemaciklibą </w:t>
            </w:r>
            <w:r w:rsidR="006022CD" w:rsidRPr="00907D70">
              <w:rPr>
                <w:rFonts w:ascii="Times New Roman" w:eastAsia="Times New Roman" w:hAnsi="Times New Roman"/>
              </w:rPr>
              <w:t xml:space="preserve">ir </w:t>
            </w:r>
            <w:r w:rsidRPr="00907D70">
              <w:rPr>
                <w:rFonts w:ascii="Times New Roman" w:eastAsia="Times New Roman" w:hAnsi="Times New Roman"/>
              </w:rPr>
              <w:t xml:space="preserve">Lopinavir / Ritonavir Accord. </w:t>
            </w:r>
            <w:r w:rsidR="006022CD" w:rsidRPr="00907D70">
              <w:rPr>
                <w:rFonts w:ascii="Times New Roman" w:eastAsia="Times New Roman" w:hAnsi="Times New Roman"/>
              </w:rPr>
              <w:t>Nusprendus</w:t>
            </w:r>
            <w:r w:rsidRPr="00907D70">
              <w:rPr>
                <w:rFonts w:ascii="Times New Roman" w:eastAsia="Times New Roman" w:hAnsi="Times New Roman"/>
              </w:rPr>
              <w:t xml:space="preserve">, kad </w:t>
            </w:r>
            <w:r w:rsidR="006022CD" w:rsidRPr="00907D70">
              <w:rPr>
                <w:rFonts w:ascii="Times New Roman" w:eastAsia="Times New Roman" w:hAnsi="Times New Roman"/>
              </w:rPr>
              <w:t xml:space="preserve">tokio </w:t>
            </w:r>
            <w:r w:rsidRPr="00907D70">
              <w:rPr>
                <w:rFonts w:ascii="Times New Roman" w:eastAsia="Times New Roman" w:hAnsi="Times New Roman"/>
              </w:rPr>
              <w:t xml:space="preserve">vartojimo </w:t>
            </w:r>
            <w:r w:rsidR="006022CD" w:rsidRPr="00907D70">
              <w:rPr>
                <w:rFonts w:ascii="Times New Roman" w:eastAsia="Times New Roman" w:hAnsi="Times New Roman"/>
              </w:rPr>
              <w:t>išvengti neįmanoma</w:t>
            </w:r>
            <w:r w:rsidRPr="00907D70">
              <w:rPr>
                <w:rFonts w:ascii="Times New Roman" w:eastAsia="Times New Roman" w:hAnsi="Times New Roman"/>
              </w:rPr>
              <w:t>,</w:t>
            </w:r>
            <w:r w:rsidR="006022CD" w:rsidRPr="00907D70">
              <w:rPr>
                <w:rFonts w:ascii="Times New Roman" w:eastAsia="Times New Roman" w:hAnsi="Times New Roman"/>
              </w:rPr>
              <w:t xml:space="preserve"> dozavimo rekomendacijos pateiktos </w:t>
            </w:r>
            <w:r w:rsidRPr="00907D70">
              <w:rPr>
                <w:rFonts w:ascii="Times New Roman" w:eastAsia="Times New Roman" w:hAnsi="Times New Roman"/>
              </w:rPr>
              <w:t>abemaciklibo preparato charakteristikų san</w:t>
            </w:r>
            <w:r w:rsidR="006022CD" w:rsidRPr="00907D70">
              <w:rPr>
                <w:rFonts w:ascii="Times New Roman" w:eastAsia="Times New Roman" w:hAnsi="Times New Roman"/>
              </w:rPr>
              <w:t>traukoje.</w:t>
            </w:r>
            <w:r w:rsidR="006022CD" w:rsidRPr="00907D70">
              <w:rPr>
                <w:rFonts w:ascii="Times New Roman" w:eastAsia="SimSun" w:hAnsi="Times New Roman"/>
                <w:color w:val="000000"/>
                <w:lang w:eastAsia="zh-CN"/>
              </w:rPr>
              <w:t xml:space="preserve"> Reikia stebėti, ar neatsiranda su afatinibu susijusių NRV</w:t>
            </w:r>
            <w:r w:rsidRPr="00907D70">
              <w:rPr>
                <w:rFonts w:ascii="Times New Roman" w:eastAsia="Times New Roman" w:hAnsi="Times New Roman"/>
              </w:rPr>
              <w:t>.</w:t>
            </w:r>
          </w:p>
        </w:tc>
      </w:tr>
      <w:tr w:rsidR="005B5FE3" w:rsidRPr="00907D70" w14:paraId="50CE1869" w14:textId="77777777" w:rsidTr="00160402">
        <w:trPr>
          <w:cantSplit/>
        </w:trPr>
        <w:tc>
          <w:tcPr>
            <w:tcW w:w="3052" w:type="dxa"/>
          </w:tcPr>
          <w:p w14:paraId="5B8307EC" w14:textId="5578868E" w:rsidR="005B5FE3" w:rsidRPr="00907D70" w:rsidRDefault="005B5FE3" w:rsidP="00BF5DA7">
            <w:pPr>
              <w:autoSpaceDE w:val="0"/>
              <w:autoSpaceDN w:val="0"/>
              <w:adjustRightInd w:val="0"/>
              <w:spacing w:after="0" w:line="240" w:lineRule="auto"/>
              <w:rPr>
                <w:rFonts w:ascii="Times New Roman" w:eastAsia="Times New Roman" w:hAnsi="Times New Roman"/>
                <w:bCs/>
              </w:rPr>
            </w:pPr>
            <w:r w:rsidRPr="00907D70">
              <w:rPr>
                <w:rFonts w:ascii="Times New Roman" w:eastAsia="SimSun" w:hAnsi="Times New Roman"/>
                <w:color w:val="000000"/>
                <w:lang w:eastAsia="zh-CN"/>
              </w:rPr>
              <w:t>Apalutamidas</w:t>
            </w:r>
            <w:r w:rsidRPr="00907D70">
              <w:rPr>
                <w:rFonts w:ascii="Times New Roman" w:eastAsia="Times New Roman" w:hAnsi="Times New Roman"/>
              </w:rPr>
              <w:t xml:space="preserve"> </w:t>
            </w:r>
          </w:p>
        </w:tc>
        <w:tc>
          <w:tcPr>
            <w:tcW w:w="3002" w:type="dxa"/>
          </w:tcPr>
          <w:p w14:paraId="4B9FA216" w14:textId="31D2E2A0" w:rsidR="005B5FE3" w:rsidRPr="00907D70" w:rsidRDefault="00B73C8A" w:rsidP="00BF5DA7">
            <w:pPr>
              <w:tabs>
                <w:tab w:val="left" w:pos="13"/>
              </w:tabs>
              <w:spacing w:after="0" w:line="240" w:lineRule="auto"/>
              <w:rPr>
                <w:rFonts w:ascii="Times New Roman" w:eastAsia="Times New Roman" w:hAnsi="Times New Roman"/>
              </w:rPr>
            </w:pPr>
            <w:r w:rsidRPr="00907D70">
              <w:rPr>
                <w:rFonts w:ascii="Times New Roman" w:eastAsia="Times New Roman" w:hAnsi="Times New Roman"/>
              </w:rPr>
              <w:t xml:space="preserve">Apalutamidas vidutiniškai ir stipriai </w:t>
            </w:r>
            <w:r w:rsidR="005535C0" w:rsidRPr="00907D70">
              <w:rPr>
                <w:rFonts w:ascii="Times New Roman" w:eastAsia="Times New Roman" w:hAnsi="Times New Roman"/>
              </w:rPr>
              <w:t xml:space="preserve">indukuoja </w:t>
            </w:r>
            <w:r w:rsidRPr="00907D70">
              <w:rPr>
                <w:rFonts w:ascii="Times New Roman" w:eastAsia="Times New Roman" w:hAnsi="Times New Roman"/>
              </w:rPr>
              <w:t>CYP3A4, dėl to gali sumažėti lopinaviro / ritonaviro poveikis</w:t>
            </w:r>
            <w:r w:rsidR="005B48DB" w:rsidRPr="00907D70">
              <w:rPr>
                <w:rFonts w:ascii="Times New Roman" w:eastAsia="Times New Roman" w:hAnsi="Times New Roman"/>
              </w:rPr>
              <w:t>.</w:t>
            </w:r>
          </w:p>
          <w:p w14:paraId="48948292" w14:textId="408E2F47" w:rsidR="00B73C8A" w:rsidRPr="00907D70" w:rsidRDefault="00EA1D22" w:rsidP="00EA1D22">
            <w:pPr>
              <w:tabs>
                <w:tab w:val="left" w:pos="567"/>
              </w:tabs>
              <w:spacing w:after="0" w:line="240" w:lineRule="auto"/>
              <w:rPr>
                <w:rFonts w:ascii="Times New Roman" w:eastAsia="Times New Roman" w:hAnsi="Times New Roman"/>
                <w:bCs/>
              </w:rPr>
            </w:pPr>
            <w:r w:rsidRPr="00907D70">
              <w:rPr>
                <w:rFonts w:ascii="Times New Roman" w:eastAsia="SimSun" w:hAnsi="Times New Roman"/>
                <w:color w:val="000000"/>
                <w:lang w:eastAsia="zh-CN"/>
              </w:rPr>
              <w:t>Dėl lopinaviro / ritonaviro sukeliamo CYP3A slopinimo gali padidėti a</w:t>
            </w:r>
            <w:r w:rsidRPr="00907D70">
              <w:rPr>
                <w:rFonts w:ascii="Times New Roman" w:eastAsia="Times New Roman" w:hAnsi="Times New Roman"/>
              </w:rPr>
              <w:t xml:space="preserve">palutamino </w:t>
            </w:r>
            <w:r w:rsidRPr="00907D70">
              <w:rPr>
                <w:rFonts w:ascii="Times New Roman" w:eastAsia="SimSun" w:hAnsi="Times New Roman"/>
                <w:color w:val="000000"/>
                <w:lang w:eastAsia="zh-CN"/>
              </w:rPr>
              <w:t>koncentracijos serume</w:t>
            </w:r>
            <w:r w:rsidR="00B73C8A" w:rsidRPr="00907D70">
              <w:rPr>
                <w:rFonts w:ascii="Times New Roman" w:eastAsia="Times New Roman" w:hAnsi="Times New Roman"/>
              </w:rPr>
              <w:t>.</w:t>
            </w:r>
          </w:p>
        </w:tc>
        <w:tc>
          <w:tcPr>
            <w:tcW w:w="3006" w:type="dxa"/>
          </w:tcPr>
          <w:p w14:paraId="0461F914" w14:textId="294412D9" w:rsidR="005B5FE3" w:rsidRPr="00907D70" w:rsidRDefault="00B73C8A" w:rsidP="00BF5DA7">
            <w:pPr>
              <w:tabs>
                <w:tab w:val="left" w:pos="209"/>
              </w:tabs>
              <w:autoSpaceDE w:val="0"/>
              <w:autoSpaceDN w:val="0"/>
              <w:adjustRightInd w:val="0"/>
              <w:spacing w:after="0" w:line="240" w:lineRule="auto"/>
              <w:ind w:left="39"/>
              <w:rPr>
                <w:rFonts w:ascii="Times New Roman" w:eastAsia="SimSun" w:hAnsi="Times New Roman"/>
                <w:color w:val="000000"/>
                <w:lang w:eastAsia="zh-CN"/>
              </w:rPr>
            </w:pPr>
            <w:r w:rsidRPr="00907D70">
              <w:rPr>
                <w:rFonts w:ascii="Times New Roman" w:eastAsia="SimSun" w:hAnsi="Times New Roman"/>
                <w:color w:val="000000"/>
                <w:lang w:eastAsia="zh-CN"/>
              </w:rPr>
              <w:t>Sumažėj</w:t>
            </w:r>
            <w:r w:rsidR="00EA1D22" w:rsidRPr="00907D70">
              <w:rPr>
                <w:rFonts w:ascii="Times New Roman" w:eastAsia="SimSun" w:hAnsi="Times New Roman"/>
                <w:color w:val="000000"/>
                <w:lang w:eastAsia="zh-CN"/>
              </w:rPr>
              <w:t>usi</w:t>
            </w:r>
            <w:r w:rsidRPr="00907D70">
              <w:rPr>
                <w:rFonts w:ascii="Times New Roman" w:eastAsia="SimSun" w:hAnsi="Times New Roman"/>
                <w:color w:val="000000"/>
                <w:lang w:eastAsia="zh-CN"/>
              </w:rPr>
              <w:t xml:space="preserve"> Lopinavir / </w:t>
            </w:r>
            <w:r w:rsidRPr="00907D70">
              <w:rPr>
                <w:rFonts w:ascii="Times New Roman" w:eastAsia="Times New Roman" w:hAnsi="Times New Roman"/>
              </w:rPr>
              <w:t xml:space="preserve">Ritonavir Accord </w:t>
            </w:r>
            <w:r w:rsidR="00EA1D22" w:rsidRPr="00907D70">
              <w:rPr>
                <w:rFonts w:ascii="Times New Roman" w:eastAsia="Times New Roman" w:hAnsi="Times New Roman"/>
              </w:rPr>
              <w:t>ekspozicija</w:t>
            </w:r>
            <w:r w:rsidRPr="00907D70">
              <w:rPr>
                <w:rFonts w:ascii="Times New Roman" w:eastAsia="Times New Roman" w:hAnsi="Times New Roman"/>
              </w:rPr>
              <w:t xml:space="preserve"> gali sąlygoti potencialų virusologinio atsako praradimą</w:t>
            </w:r>
            <w:r w:rsidR="005B5FE3" w:rsidRPr="00907D70">
              <w:rPr>
                <w:rFonts w:ascii="Times New Roman" w:eastAsia="SimSun" w:hAnsi="Times New Roman"/>
                <w:color w:val="000000"/>
                <w:lang w:eastAsia="zh-CN"/>
              </w:rPr>
              <w:t xml:space="preserve">. </w:t>
            </w:r>
          </w:p>
          <w:p w14:paraId="6F08528C" w14:textId="3B114091" w:rsidR="00B73C8A" w:rsidRPr="00907D70" w:rsidRDefault="00B73C8A" w:rsidP="005B5FE3">
            <w:pPr>
              <w:autoSpaceDE w:val="0"/>
              <w:autoSpaceDN w:val="0"/>
              <w:adjustRightInd w:val="0"/>
              <w:spacing w:after="0" w:line="240" w:lineRule="auto"/>
              <w:rPr>
                <w:rFonts w:ascii="Times New Roman" w:eastAsia="Times New Roman" w:hAnsi="Times New Roman"/>
              </w:rPr>
            </w:pPr>
            <w:r w:rsidRPr="00907D70">
              <w:rPr>
                <w:rFonts w:ascii="Times New Roman" w:eastAsia="SimSun" w:hAnsi="Times New Roman"/>
                <w:color w:val="000000"/>
                <w:lang w:eastAsia="zh-CN"/>
              </w:rPr>
              <w:t xml:space="preserve">Be to, kartu vartojant apalutamidą ir Lopinavir / </w:t>
            </w:r>
            <w:r w:rsidRPr="00907D70">
              <w:rPr>
                <w:rFonts w:ascii="Times New Roman" w:eastAsia="Times New Roman" w:hAnsi="Times New Roman"/>
              </w:rPr>
              <w:t>Ritonavir Accord, dėl padidėjusio apalutamido lygio gali atsirasti sunkus šalutinis poveikis, įskaitant širdies smūgį.</w:t>
            </w:r>
          </w:p>
          <w:p w14:paraId="1FE6DBC9" w14:textId="7BA8A1CC" w:rsidR="00B73C8A" w:rsidRPr="00907D70" w:rsidRDefault="00B73C8A" w:rsidP="005B5FE3">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Kartu vartoti Lopinavir / </w:t>
            </w:r>
            <w:r w:rsidRPr="00907D70">
              <w:rPr>
                <w:rFonts w:ascii="Times New Roman" w:eastAsia="Times New Roman" w:hAnsi="Times New Roman"/>
              </w:rPr>
              <w:t xml:space="preserve">Ritonavir Accord ir </w:t>
            </w:r>
            <w:r w:rsidRPr="00907D70">
              <w:rPr>
                <w:rFonts w:ascii="Times New Roman" w:eastAsia="SimSun" w:hAnsi="Times New Roman"/>
                <w:color w:val="000000"/>
                <w:lang w:eastAsia="zh-CN"/>
              </w:rPr>
              <w:t>apalutamidą nerekomenduojama.</w:t>
            </w:r>
          </w:p>
          <w:p w14:paraId="3D9D262B" w14:textId="77777777" w:rsidR="005B5FE3" w:rsidRPr="00907D70" w:rsidRDefault="005B5FE3" w:rsidP="005B5FE3">
            <w:pPr>
              <w:tabs>
                <w:tab w:val="left" w:pos="567"/>
              </w:tabs>
              <w:spacing w:after="0" w:line="240" w:lineRule="auto"/>
              <w:rPr>
                <w:rFonts w:ascii="Times New Roman" w:eastAsia="Times New Roman" w:hAnsi="Times New Roman"/>
                <w:bCs/>
              </w:rPr>
            </w:pPr>
          </w:p>
        </w:tc>
      </w:tr>
      <w:tr w:rsidR="00342622" w:rsidRPr="00907D70" w14:paraId="69841A05" w14:textId="77777777" w:rsidTr="00160402">
        <w:trPr>
          <w:cantSplit/>
        </w:trPr>
        <w:tc>
          <w:tcPr>
            <w:tcW w:w="3052" w:type="dxa"/>
          </w:tcPr>
          <w:p w14:paraId="044041DC" w14:textId="768A7114"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Afatinibas</w:t>
            </w:r>
          </w:p>
          <w:p w14:paraId="302B4DCB" w14:textId="77777777" w:rsidR="00342622" w:rsidRPr="00907D70" w:rsidRDefault="00342622" w:rsidP="0084240B">
            <w:pPr>
              <w:autoSpaceDE w:val="0"/>
              <w:autoSpaceDN w:val="0"/>
              <w:adjustRightInd w:val="0"/>
              <w:spacing w:after="0" w:line="240" w:lineRule="auto"/>
              <w:rPr>
                <w:rFonts w:ascii="Times New Roman" w:eastAsia="Times New Roman" w:hAnsi="Times New Roman"/>
                <w:bCs/>
              </w:rPr>
            </w:pPr>
            <w:r w:rsidRPr="00907D70">
              <w:rPr>
                <w:rFonts w:ascii="Times New Roman" w:eastAsia="SimSun" w:hAnsi="Times New Roman"/>
                <w:color w:val="000000"/>
                <w:lang w:eastAsia="zh-CN"/>
              </w:rPr>
              <w:t>(Ritonavir 200 mg du kartus per parą)</w:t>
            </w:r>
            <w:r w:rsidRPr="00907D70">
              <w:rPr>
                <w:rFonts w:ascii="Times New Roman" w:eastAsia="Times New Roman" w:hAnsi="Times New Roman"/>
              </w:rPr>
              <w:t xml:space="preserve"> </w:t>
            </w:r>
          </w:p>
        </w:tc>
        <w:tc>
          <w:tcPr>
            <w:tcW w:w="3002" w:type="dxa"/>
          </w:tcPr>
          <w:p w14:paraId="0854396B" w14:textId="77777777" w:rsidR="00342622" w:rsidRPr="00907D70" w:rsidRDefault="00342622" w:rsidP="00BF5DA7">
            <w:pPr>
              <w:autoSpaceDE w:val="0"/>
              <w:autoSpaceDN w:val="0"/>
              <w:adjustRightInd w:val="0"/>
              <w:spacing w:after="0" w:line="249" w:lineRule="exact"/>
              <w:ind w:right="-20"/>
              <w:rPr>
                <w:rFonts w:ascii="Times New Roman" w:hAnsi="Times New Roman"/>
              </w:rPr>
            </w:pPr>
            <w:r w:rsidRPr="00907D70">
              <w:rPr>
                <w:rFonts w:ascii="Times New Roman" w:hAnsi="Times New Roman"/>
              </w:rPr>
              <w:t xml:space="preserve">Afatinibas: </w:t>
            </w:r>
          </w:p>
          <w:p w14:paraId="222B7B17" w14:textId="77777777" w:rsidR="00342622" w:rsidRPr="00907D70" w:rsidRDefault="00342622" w:rsidP="00BF5DA7">
            <w:pPr>
              <w:autoSpaceDE w:val="0"/>
              <w:autoSpaceDN w:val="0"/>
              <w:adjustRightInd w:val="0"/>
              <w:spacing w:after="0" w:line="249" w:lineRule="exact"/>
              <w:ind w:right="-20"/>
              <w:rPr>
                <w:rFonts w:ascii="Times New Roman" w:hAnsi="Times New Roman"/>
              </w:rPr>
            </w:pPr>
            <w:r w:rsidRPr="00907D70">
              <w:rPr>
                <w:rFonts w:ascii="Times New Roman" w:hAnsi="Times New Roman"/>
              </w:rPr>
              <w:t xml:space="preserve">AUC: ↑ </w:t>
            </w:r>
          </w:p>
          <w:p w14:paraId="791DE430" w14:textId="77777777" w:rsidR="00342622" w:rsidRPr="00907D70" w:rsidRDefault="00342622" w:rsidP="00BF5DA7">
            <w:pPr>
              <w:autoSpaceDE w:val="0"/>
              <w:autoSpaceDN w:val="0"/>
              <w:adjustRightInd w:val="0"/>
              <w:spacing w:after="0" w:line="249" w:lineRule="exact"/>
              <w:ind w:right="-20"/>
              <w:rPr>
                <w:rFonts w:ascii="Times New Roman" w:hAnsi="Times New Roman"/>
              </w:rPr>
            </w:pPr>
            <w:r w:rsidRPr="00907D70">
              <w:rPr>
                <w:rFonts w:ascii="Times New Roman" w:hAnsi="Times New Roman"/>
              </w:rPr>
              <w:t>C</w:t>
            </w:r>
            <w:r w:rsidRPr="00907D70">
              <w:rPr>
                <w:rFonts w:ascii="Times New Roman" w:hAnsi="Times New Roman"/>
                <w:vertAlign w:val="subscript"/>
              </w:rPr>
              <w:t>max</w:t>
            </w:r>
            <w:r w:rsidRPr="00907D70">
              <w:rPr>
                <w:rFonts w:ascii="Times New Roman" w:hAnsi="Times New Roman"/>
              </w:rPr>
              <w:t xml:space="preserve">: ↑ </w:t>
            </w:r>
          </w:p>
          <w:p w14:paraId="0AC8068B" w14:textId="77777777" w:rsidR="00342622" w:rsidRPr="00907D70" w:rsidRDefault="00342622" w:rsidP="00BF5DA7">
            <w:pPr>
              <w:autoSpaceDE w:val="0"/>
              <w:autoSpaceDN w:val="0"/>
              <w:adjustRightInd w:val="0"/>
              <w:spacing w:after="0" w:line="249" w:lineRule="exact"/>
              <w:ind w:right="-20"/>
              <w:rPr>
                <w:rFonts w:ascii="Times New Roman" w:hAnsi="Times New Roman"/>
              </w:rPr>
            </w:pPr>
          </w:p>
          <w:p w14:paraId="36AFB4C6" w14:textId="77777777" w:rsidR="00342622" w:rsidRPr="00907D70" w:rsidRDefault="00342622" w:rsidP="00BF5DA7">
            <w:pPr>
              <w:autoSpaceDE w:val="0"/>
              <w:autoSpaceDN w:val="0"/>
              <w:adjustRightInd w:val="0"/>
              <w:spacing w:after="0" w:line="249" w:lineRule="exact"/>
              <w:ind w:right="-20"/>
              <w:rPr>
                <w:rFonts w:ascii="Times New Roman" w:hAnsi="Times New Roman"/>
              </w:rPr>
            </w:pPr>
            <w:r w:rsidRPr="00907D70">
              <w:rPr>
                <w:rFonts w:ascii="Times New Roman" w:hAnsi="Times New Roman"/>
              </w:rPr>
              <w:t xml:space="preserve">Padidėjimo mastas priklauso nuo ritonaviro vartojimo laiko. </w:t>
            </w:r>
          </w:p>
          <w:p w14:paraId="0DB6E534" w14:textId="77777777" w:rsidR="00342622" w:rsidRPr="00907D70" w:rsidRDefault="00342622" w:rsidP="0084240B">
            <w:pPr>
              <w:autoSpaceDE w:val="0"/>
              <w:autoSpaceDN w:val="0"/>
              <w:adjustRightInd w:val="0"/>
              <w:spacing w:after="0" w:line="249" w:lineRule="exact"/>
              <w:ind w:left="102" w:right="-20"/>
              <w:rPr>
                <w:rFonts w:ascii="Times New Roman" w:hAnsi="Times New Roman"/>
              </w:rPr>
            </w:pPr>
          </w:p>
          <w:p w14:paraId="3C83A421" w14:textId="620AB4E8"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hAnsi="Times New Roman"/>
              </w:rPr>
              <w:t xml:space="preserve">Dėl Lopinavir / Ritonavir Accord sukeliamo BCRP (krūties vėžio atsparumo baltymo [angl. </w:t>
            </w:r>
            <w:r w:rsidRPr="00907D70">
              <w:rPr>
                <w:rFonts w:ascii="Times New Roman" w:hAnsi="Times New Roman"/>
                <w:i/>
              </w:rPr>
              <w:t>breast cancer resistance protein</w:t>
            </w:r>
            <w:r w:rsidRPr="00907D70">
              <w:rPr>
                <w:rFonts w:ascii="Times New Roman" w:hAnsi="Times New Roman"/>
              </w:rPr>
              <w:t>] / ABCG2) ir stipraus Pgp slopinimo</w:t>
            </w:r>
            <w:r w:rsidRPr="00907D70">
              <w:rPr>
                <w:rFonts w:ascii="Times New Roman" w:eastAsia="Times New Roman" w:hAnsi="Times New Roman"/>
              </w:rPr>
              <w:t xml:space="preserve">. </w:t>
            </w:r>
          </w:p>
        </w:tc>
        <w:tc>
          <w:tcPr>
            <w:tcW w:w="3006" w:type="dxa"/>
          </w:tcPr>
          <w:p w14:paraId="213C4E39" w14:textId="4FCB0F02"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Afatinibą su</w:t>
            </w:r>
            <w:r w:rsidRPr="00907D70">
              <w:rPr>
                <w:rFonts w:ascii="Times New Roman" w:eastAsia="Times New Roman" w:hAnsi="Times New Roman"/>
                <w:color w:val="000000"/>
              </w:rPr>
              <w:t xml:space="preserve"> Lopinavir / Ritonavir Accord </w:t>
            </w:r>
            <w:r w:rsidRPr="00907D70">
              <w:rPr>
                <w:rFonts w:ascii="Times New Roman" w:eastAsia="SimSun" w:hAnsi="Times New Roman"/>
                <w:color w:val="000000"/>
                <w:lang w:eastAsia="zh-CN"/>
              </w:rPr>
              <w:t xml:space="preserve">reikia vartoti atsargiai. Dozavimo koregavimo rekomendacijos pateikiamos afatinibo PCS. Reikia stebėti, ar neatsiranda su afatinibu susijusių NRV. </w:t>
            </w:r>
          </w:p>
          <w:p w14:paraId="21919815"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2C12B905" w14:textId="77777777" w:rsidTr="00160402">
        <w:trPr>
          <w:cantSplit/>
        </w:trPr>
        <w:tc>
          <w:tcPr>
            <w:tcW w:w="3052" w:type="dxa"/>
          </w:tcPr>
          <w:p w14:paraId="0BE71B18" w14:textId="77777777" w:rsidR="00342622" w:rsidRPr="00907D70" w:rsidRDefault="00342622" w:rsidP="0084240B">
            <w:pPr>
              <w:autoSpaceDE w:val="0"/>
              <w:autoSpaceDN w:val="0"/>
              <w:adjustRightInd w:val="0"/>
              <w:spacing w:after="0" w:line="240" w:lineRule="auto"/>
              <w:rPr>
                <w:rFonts w:ascii="Times New Roman" w:eastAsia="Times New Roman" w:hAnsi="Times New Roman"/>
                <w:bCs/>
              </w:rPr>
            </w:pPr>
            <w:r w:rsidRPr="00907D70">
              <w:rPr>
                <w:rFonts w:ascii="Times New Roman" w:eastAsia="SimSun" w:hAnsi="Times New Roman"/>
                <w:color w:val="000000"/>
                <w:lang w:eastAsia="zh-CN"/>
              </w:rPr>
              <w:t>Ceritinibas</w:t>
            </w:r>
            <w:r w:rsidRPr="00907D70">
              <w:rPr>
                <w:rFonts w:ascii="Times New Roman" w:eastAsia="Times New Roman" w:hAnsi="Times New Roman"/>
              </w:rPr>
              <w:t xml:space="preserve"> </w:t>
            </w:r>
          </w:p>
        </w:tc>
        <w:tc>
          <w:tcPr>
            <w:tcW w:w="3002" w:type="dxa"/>
          </w:tcPr>
          <w:p w14:paraId="3C07231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SimSun" w:hAnsi="Times New Roman"/>
                <w:color w:val="000000"/>
                <w:lang w:eastAsia="zh-CN"/>
              </w:rPr>
              <w:t>Dėl</w:t>
            </w:r>
            <w:r w:rsidRPr="00907D70">
              <w:rPr>
                <w:rFonts w:ascii="Times New Roman" w:eastAsia="Times New Roman" w:hAnsi="Times New Roman"/>
                <w:color w:val="000000"/>
              </w:rPr>
              <w:t xml:space="preserve"> Lopinavir / Ritonavir Accord </w:t>
            </w:r>
            <w:r w:rsidRPr="00907D70">
              <w:rPr>
                <w:rFonts w:ascii="Times New Roman" w:eastAsia="SimSun" w:hAnsi="Times New Roman"/>
                <w:color w:val="000000"/>
                <w:lang w:eastAsia="zh-CN"/>
              </w:rPr>
              <w:t>sukeliamo CYP3A ir P-pg slopinimo gali padidėti koncentracijos serume</w:t>
            </w:r>
            <w:r w:rsidRPr="00907D70">
              <w:rPr>
                <w:rFonts w:ascii="Times New Roman" w:eastAsia="Times New Roman" w:hAnsi="Times New Roman"/>
              </w:rPr>
              <w:t xml:space="preserve">. </w:t>
            </w:r>
          </w:p>
        </w:tc>
        <w:tc>
          <w:tcPr>
            <w:tcW w:w="3006" w:type="dxa"/>
          </w:tcPr>
          <w:p w14:paraId="78D8F141" w14:textId="66277A0E"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Ceritinibą su </w:t>
            </w:r>
            <w:r w:rsidRPr="00907D70">
              <w:rPr>
                <w:rFonts w:ascii="Times New Roman" w:eastAsia="Times New Roman" w:hAnsi="Times New Roman"/>
                <w:color w:val="000000"/>
              </w:rPr>
              <w:t xml:space="preserve">Lopinavir / Ritonavir Accord </w:t>
            </w:r>
            <w:r w:rsidRPr="00907D70">
              <w:rPr>
                <w:rFonts w:ascii="Times New Roman" w:eastAsia="SimSun" w:hAnsi="Times New Roman"/>
                <w:color w:val="000000"/>
                <w:lang w:eastAsia="zh-CN"/>
              </w:rPr>
              <w:t xml:space="preserve">reikia vartoti atsargiai. Dozavimo koregavimo rekomendacijos pateikiamos ceritinibo PCS. Reikia stebėti, ar neatsiranda su ceritinibu susijusių NRV. </w:t>
            </w:r>
          </w:p>
          <w:p w14:paraId="35AC3FA7"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483CC3D6" w14:textId="77777777" w:rsidTr="00160402">
        <w:trPr>
          <w:cantSplit/>
        </w:trPr>
        <w:tc>
          <w:tcPr>
            <w:tcW w:w="3052" w:type="dxa"/>
          </w:tcPr>
          <w:p w14:paraId="6550B601"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lastRenderedPageBreak/>
              <w:t xml:space="preserve">Dauguma tirozino kinazės inhibitorių (tokie, kaip dazatinibas ir nilotinibas), </w:t>
            </w:r>
          </w:p>
          <w:p w14:paraId="64631F4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vinkristinas, vinblastinas </w:t>
            </w:r>
          </w:p>
        </w:tc>
        <w:tc>
          <w:tcPr>
            <w:tcW w:w="3002" w:type="dxa"/>
          </w:tcPr>
          <w:p w14:paraId="49B2C0C0"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Dauguma tirozino kinazės inhibitorių (tokie, kaip dazatinibas ir nilotinibas), taip pat vinkristinas ir vinblastinas: </w:t>
            </w:r>
          </w:p>
          <w:p w14:paraId="6999722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didesnė nepageidaujamų reiškinių rizika dėl didesnių koncentracijų kraujo serume, nes Lopinavir / Ritonavir Accord</w:t>
            </w:r>
            <w:r w:rsidRPr="00907D70" w:rsidDel="0070582B">
              <w:rPr>
                <w:rFonts w:ascii="Times New Roman" w:eastAsia="Times New Roman" w:hAnsi="Times New Roman"/>
              </w:rPr>
              <w:t xml:space="preserve"> </w:t>
            </w:r>
            <w:r w:rsidRPr="00907D70">
              <w:rPr>
                <w:rFonts w:ascii="Times New Roman" w:eastAsia="Times New Roman" w:hAnsi="Times New Roman"/>
              </w:rPr>
              <w:t xml:space="preserve">slopina CYP3A4. </w:t>
            </w:r>
          </w:p>
        </w:tc>
        <w:tc>
          <w:tcPr>
            <w:tcW w:w="3006" w:type="dxa"/>
          </w:tcPr>
          <w:p w14:paraId="3EBDD574"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Rekomenduojama atidžiai stebėti šių priešvėžinių vaistinių preparatų toleravimą. </w:t>
            </w:r>
          </w:p>
          <w:p w14:paraId="13B2AA52"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B73C8A" w:rsidRPr="00907D70" w14:paraId="139CFEC4" w14:textId="77777777" w:rsidTr="00160402">
        <w:trPr>
          <w:cantSplit/>
        </w:trPr>
        <w:tc>
          <w:tcPr>
            <w:tcW w:w="3052" w:type="dxa"/>
          </w:tcPr>
          <w:p w14:paraId="0A103E16" w14:textId="3C0B9AB1" w:rsidR="00B73C8A" w:rsidRPr="00907D70" w:rsidRDefault="00B73C8A" w:rsidP="00BF5DA7">
            <w:pPr>
              <w:tabs>
                <w:tab w:val="left" w:pos="168"/>
                <w:tab w:val="left" w:pos="567"/>
              </w:tabs>
              <w:spacing w:after="0" w:line="240" w:lineRule="auto"/>
              <w:jc w:val="both"/>
              <w:rPr>
                <w:rFonts w:ascii="Times New Roman" w:eastAsia="Times New Roman" w:hAnsi="Times New Roman"/>
                <w:bCs/>
              </w:rPr>
            </w:pPr>
            <w:r w:rsidRPr="00907D70">
              <w:rPr>
                <w:rFonts w:ascii="Times New Roman" w:eastAsia="SimSun" w:hAnsi="Times New Roman"/>
                <w:color w:val="000000"/>
                <w:lang w:eastAsia="zh-CN"/>
              </w:rPr>
              <w:t>En</w:t>
            </w:r>
            <w:r w:rsidR="005535C0" w:rsidRPr="00907D70">
              <w:rPr>
                <w:rFonts w:ascii="Times New Roman" w:eastAsia="SimSun" w:hAnsi="Times New Roman"/>
                <w:color w:val="000000"/>
                <w:lang w:eastAsia="zh-CN"/>
              </w:rPr>
              <w:t>k</w:t>
            </w:r>
            <w:r w:rsidRPr="00907D70">
              <w:rPr>
                <w:rFonts w:ascii="Times New Roman" w:eastAsia="SimSun" w:hAnsi="Times New Roman"/>
                <w:color w:val="000000"/>
                <w:lang w:eastAsia="zh-CN"/>
              </w:rPr>
              <w:t>orafenibas</w:t>
            </w:r>
          </w:p>
        </w:tc>
        <w:tc>
          <w:tcPr>
            <w:tcW w:w="3002" w:type="dxa"/>
          </w:tcPr>
          <w:p w14:paraId="2C2A9428" w14:textId="77777777" w:rsidR="00B73C8A" w:rsidRPr="00907D70" w:rsidRDefault="00B73C8A" w:rsidP="00BF5DA7">
            <w:pPr>
              <w:tabs>
                <w:tab w:val="left" w:pos="200"/>
              </w:tabs>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Dėl lopinaviro / ritonaviro sukeliamo CYP3A slopinimo gali padidėti koncentracijos serume. </w:t>
            </w:r>
          </w:p>
        </w:tc>
        <w:tc>
          <w:tcPr>
            <w:tcW w:w="3006" w:type="dxa"/>
          </w:tcPr>
          <w:p w14:paraId="788284EA" w14:textId="68F3CEB3" w:rsidR="00B73C8A" w:rsidRPr="00907D70" w:rsidRDefault="00B73C8A" w:rsidP="00320030">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Kartu vartojant </w:t>
            </w:r>
            <w:r w:rsidR="00EA1D22" w:rsidRPr="00907D70">
              <w:rPr>
                <w:rFonts w:ascii="Times New Roman" w:eastAsia="SimSun" w:hAnsi="Times New Roman"/>
                <w:color w:val="000000"/>
                <w:lang w:eastAsia="zh-CN"/>
              </w:rPr>
              <w:t>en</w:t>
            </w:r>
            <w:r w:rsidR="005535C0" w:rsidRPr="00907D70">
              <w:rPr>
                <w:rFonts w:ascii="Times New Roman" w:eastAsia="SimSun" w:hAnsi="Times New Roman"/>
                <w:color w:val="000000"/>
                <w:lang w:eastAsia="zh-CN"/>
              </w:rPr>
              <w:t>k</w:t>
            </w:r>
            <w:r w:rsidR="00EA1D22" w:rsidRPr="00907D70">
              <w:rPr>
                <w:rFonts w:ascii="Times New Roman" w:eastAsia="SimSun" w:hAnsi="Times New Roman"/>
                <w:color w:val="000000"/>
                <w:lang w:eastAsia="zh-CN"/>
              </w:rPr>
              <w:t>orafenibą</w:t>
            </w:r>
            <w:r w:rsidRPr="00907D70">
              <w:rPr>
                <w:rFonts w:ascii="Times New Roman" w:eastAsia="SimSun" w:hAnsi="Times New Roman"/>
                <w:color w:val="000000"/>
                <w:lang w:eastAsia="zh-CN"/>
              </w:rPr>
              <w:t xml:space="preserve"> ir Lopinavir / Ritonavir Accord gali padidėti </w:t>
            </w:r>
            <w:r w:rsidR="00EA1D22" w:rsidRPr="00907D70">
              <w:rPr>
                <w:rFonts w:ascii="Times New Roman" w:eastAsia="SimSun" w:hAnsi="Times New Roman"/>
                <w:color w:val="000000"/>
                <w:lang w:eastAsia="zh-CN"/>
              </w:rPr>
              <w:t>en</w:t>
            </w:r>
            <w:r w:rsidR="005535C0" w:rsidRPr="00907D70">
              <w:rPr>
                <w:rFonts w:ascii="Times New Roman" w:eastAsia="SimSun" w:hAnsi="Times New Roman"/>
                <w:color w:val="000000"/>
                <w:lang w:eastAsia="zh-CN"/>
              </w:rPr>
              <w:t>k</w:t>
            </w:r>
            <w:r w:rsidR="00EA1D22" w:rsidRPr="00907D70">
              <w:rPr>
                <w:rFonts w:ascii="Times New Roman" w:eastAsia="SimSun" w:hAnsi="Times New Roman"/>
                <w:color w:val="000000"/>
                <w:lang w:eastAsia="zh-CN"/>
              </w:rPr>
              <w:t xml:space="preserve">orafenibo </w:t>
            </w:r>
            <w:r w:rsidRPr="00907D70">
              <w:rPr>
                <w:rFonts w:ascii="Times New Roman" w:eastAsia="SimSun" w:hAnsi="Times New Roman"/>
                <w:color w:val="000000"/>
                <w:lang w:eastAsia="zh-CN"/>
              </w:rPr>
              <w:t>ekspozicija, dėl kurios gali padidėti toksiškumo rizika, įskaitant</w:t>
            </w:r>
            <w:r w:rsidR="00EA1D22" w:rsidRPr="00907D70">
              <w:rPr>
                <w:rFonts w:ascii="Times New Roman" w:eastAsia="SimSun" w:hAnsi="Times New Roman"/>
                <w:color w:val="000000"/>
                <w:lang w:eastAsia="zh-CN"/>
              </w:rPr>
              <w:t xml:space="preserve"> sunkių šalutinių reiškini, tokių kaip </w:t>
            </w:r>
            <w:r w:rsidR="00732BA6" w:rsidRPr="00907D70">
              <w:rPr>
                <w:rFonts w:ascii="Times New Roman" w:eastAsia="SimSun" w:hAnsi="Times New Roman"/>
                <w:color w:val="000000"/>
                <w:lang w:eastAsia="zh-CN"/>
              </w:rPr>
              <w:t xml:space="preserve">QT </w:t>
            </w:r>
            <w:r w:rsidR="00EA1D22" w:rsidRPr="00907D70">
              <w:rPr>
                <w:rFonts w:ascii="Times New Roman" w:eastAsia="SimSun" w:hAnsi="Times New Roman"/>
                <w:color w:val="000000"/>
                <w:lang w:eastAsia="zh-CN"/>
              </w:rPr>
              <w:t xml:space="preserve">intervalo pailgėjimas, </w:t>
            </w:r>
            <w:r w:rsidRPr="00907D70">
              <w:rPr>
                <w:rFonts w:ascii="Times New Roman" w:eastAsia="SimSun" w:hAnsi="Times New Roman"/>
                <w:color w:val="000000"/>
                <w:lang w:eastAsia="zh-CN"/>
              </w:rPr>
              <w:t xml:space="preserve">riziką. Reikia vengti kartu vartoti </w:t>
            </w:r>
            <w:r w:rsidR="00EA1D22" w:rsidRPr="00907D70">
              <w:rPr>
                <w:rFonts w:ascii="Times New Roman" w:eastAsia="SimSun" w:hAnsi="Times New Roman"/>
                <w:color w:val="000000"/>
                <w:lang w:eastAsia="zh-CN"/>
              </w:rPr>
              <w:t>en</w:t>
            </w:r>
            <w:r w:rsidR="005535C0" w:rsidRPr="00907D70">
              <w:rPr>
                <w:rFonts w:ascii="Times New Roman" w:eastAsia="SimSun" w:hAnsi="Times New Roman"/>
                <w:color w:val="000000"/>
                <w:lang w:eastAsia="zh-CN"/>
              </w:rPr>
              <w:t>k</w:t>
            </w:r>
            <w:r w:rsidR="00EA1D22" w:rsidRPr="00907D70">
              <w:rPr>
                <w:rFonts w:ascii="Times New Roman" w:eastAsia="SimSun" w:hAnsi="Times New Roman"/>
                <w:color w:val="000000"/>
                <w:lang w:eastAsia="zh-CN"/>
              </w:rPr>
              <w:t xml:space="preserve">orafenibą </w:t>
            </w:r>
            <w:r w:rsidRPr="00907D70">
              <w:rPr>
                <w:rFonts w:ascii="Times New Roman" w:eastAsia="SimSun" w:hAnsi="Times New Roman"/>
                <w:color w:val="000000"/>
                <w:lang w:eastAsia="zh-CN"/>
              </w:rPr>
              <w:t xml:space="preserve">ir Lopinavir / Ritonavir Accord. Jei manoma, kad nauda yra didesnė už riziką, ir Lopinavir / Ritonavir Accord turi būti vartojamas, </w:t>
            </w:r>
            <w:r w:rsidR="00EA1D22" w:rsidRPr="00907D70">
              <w:rPr>
                <w:rFonts w:ascii="Times New Roman" w:eastAsia="SimSun" w:hAnsi="Times New Roman"/>
                <w:color w:val="000000"/>
                <w:lang w:eastAsia="zh-CN"/>
              </w:rPr>
              <w:t>p</w:t>
            </w:r>
            <w:r w:rsidRPr="00907D70">
              <w:rPr>
                <w:rFonts w:ascii="Times New Roman" w:eastAsia="SimSun" w:hAnsi="Times New Roman"/>
                <w:color w:val="000000"/>
                <w:lang w:eastAsia="zh-CN"/>
              </w:rPr>
              <w:t xml:space="preserve">acientas turi būti atidžiai stebimas dėl </w:t>
            </w:r>
            <w:r w:rsidR="00EA1D22" w:rsidRPr="00907D70">
              <w:rPr>
                <w:rFonts w:ascii="Times New Roman" w:eastAsia="SimSun" w:hAnsi="Times New Roman"/>
                <w:color w:val="000000"/>
                <w:lang w:eastAsia="zh-CN"/>
              </w:rPr>
              <w:t>saugumo</w:t>
            </w:r>
            <w:r w:rsidRPr="00907D70">
              <w:rPr>
                <w:rFonts w:ascii="Times New Roman" w:eastAsia="SimSun" w:hAnsi="Times New Roman"/>
                <w:color w:val="000000"/>
                <w:lang w:eastAsia="zh-CN"/>
              </w:rPr>
              <w:t xml:space="preserve">. </w:t>
            </w:r>
          </w:p>
          <w:p w14:paraId="423202AA" w14:textId="77777777" w:rsidR="00B73C8A" w:rsidRPr="00907D70" w:rsidRDefault="00B73C8A" w:rsidP="00320030">
            <w:pPr>
              <w:tabs>
                <w:tab w:val="left" w:pos="567"/>
              </w:tabs>
              <w:spacing w:after="0" w:line="240" w:lineRule="auto"/>
              <w:rPr>
                <w:rFonts w:ascii="Times New Roman" w:eastAsia="SimSun" w:hAnsi="Times New Roman"/>
                <w:color w:val="000000"/>
                <w:lang w:eastAsia="zh-CN"/>
              </w:rPr>
            </w:pPr>
          </w:p>
        </w:tc>
      </w:tr>
      <w:tr w:rsidR="002F0EA7" w:rsidRPr="00907D70" w14:paraId="4B91DEBF" w14:textId="77777777" w:rsidTr="00160402">
        <w:trPr>
          <w:cantSplit/>
        </w:trPr>
        <w:tc>
          <w:tcPr>
            <w:tcW w:w="3052" w:type="dxa"/>
          </w:tcPr>
          <w:p w14:paraId="57368FC3" w14:textId="626B1A1D" w:rsidR="002F0EA7" w:rsidRPr="00907D70" w:rsidRDefault="002F0EA7" w:rsidP="00B82AAF">
            <w:pPr>
              <w:tabs>
                <w:tab w:val="left" w:pos="168"/>
                <w:tab w:val="left" w:pos="567"/>
              </w:tabs>
              <w:spacing w:after="0" w:line="240" w:lineRule="auto"/>
              <w:jc w:val="both"/>
              <w:rPr>
                <w:rFonts w:ascii="Times New Roman" w:eastAsia="Times New Roman" w:hAnsi="Times New Roman"/>
                <w:bCs/>
              </w:rPr>
            </w:pPr>
            <w:r w:rsidRPr="00907D70">
              <w:rPr>
                <w:rFonts w:ascii="Times New Roman" w:eastAsia="SimSun" w:hAnsi="Times New Roman"/>
                <w:color w:val="000000"/>
                <w:lang w:eastAsia="zh-CN"/>
              </w:rPr>
              <w:t>Fostamatinibas</w:t>
            </w:r>
          </w:p>
        </w:tc>
        <w:tc>
          <w:tcPr>
            <w:tcW w:w="3002" w:type="dxa"/>
          </w:tcPr>
          <w:p w14:paraId="633619E8" w14:textId="3FA7E342" w:rsidR="002F0EA7" w:rsidRPr="00907D70" w:rsidRDefault="002F0EA7" w:rsidP="002F0EA7">
            <w:pPr>
              <w:tabs>
                <w:tab w:val="left" w:pos="200"/>
              </w:tabs>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Didesnė fostamatinibo metabolito R406 eksplozicija. </w:t>
            </w:r>
          </w:p>
        </w:tc>
        <w:tc>
          <w:tcPr>
            <w:tcW w:w="3006" w:type="dxa"/>
          </w:tcPr>
          <w:p w14:paraId="0E8626F9" w14:textId="090B3E4F" w:rsidR="002F0EA7" w:rsidRPr="0071082F" w:rsidRDefault="002F0EA7" w:rsidP="00A323F3">
            <w:pPr>
              <w:pStyle w:val="Default"/>
              <w:rPr>
                <w:lang w:val="lt-LT"/>
              </w:rPr>
            </w:pPr>
            <w:r w:rsidRPr="0071082F">
              <w:rPr>
                <w:sz w:val="22"/>
                <w:lang w:val="lt-LT"/>
              </w:rPr>
              <w:t xml:space="preserve">Kartu vartojant fostamatinibą ir </w:t>
            </w:r>
            <w:r w:rsidR="008B54CD" w:rsidRPr="0071082F">
              <w:rPr>
                <w:sz w:val="22"/>
                <w:lang w:val="lt-LT"/>
              </w:rPr>
              <w:t xml:space="preserve">Lopinavir / Ritonavir Accord </w:t>
            </w:r>
            <w:r w:rsidRPr="0071082F">
              <w:rPr>
                <w:sz w:val="22"/>
                <w:lang w:val="lt-LT"/>
              </w:rPr>
              <w:t xml:space="preserve">gali padidėti fostamatinibo metabolito R406 ekspozicija, dėl kurios gali atsirasti su doze susijusių nepageidaujamų reiškinių, pavyzdžiui, hepatotoksiškumas, neutropenija, hipertenzija ar viduriavimas. Jeigu atsirastų tokių reiškinių, skaitykite dozės mažinimo rekomendacijas fostamatinibo </w:t>
            </w:r>
            <w:r w:rsidR="00B82AAF" w:rsidRPr="0071082F">
              <w:rPr>
                <w:sz w:val="22"/>
                <w:lang w:val="lt-LT"/>
              </w:rPr>
              <w:t>PCS</w:t>
            </w:r>
            <w:r w:rsidRPr="0071082F">
              <w:rPr>
                <w:lang w:val="lt-LT"/>
              </w:rPr>
              <w:t xml:space="preserve">. </w:t>
            </w:r>
          </w:p>
        </w:tc>
      </w:tr>
      <w:tr w:rsidR="00E601A2" w:rsidRPr="00907D70" w14:paraId="5EA4E840" w14:textId="77777777" w:rsidTr="00160402">
        <w:trPr>
          <w:cantSplit/>
        </w:trPr>
        <w:tc>
          <w:tcPr>
            <w:tcW w:w="3052" w:type="dxa"/>
          </w:tcPr>
          <w:p w14:paraId="5E31BD7C" w14:textId="77777777" w:rsidR="00E601A2" w:rsidRPr="00907D70" w:rsidRDefault="00E601A2" w:rsidP="00D038C7">
            <w:pPr>
              <w:tabs>
                <w:tab w:val="left" w:pos="567"/>
              </w:tabs>
              <w:spacing w:after="0" w:line="240" w:lineRule="auto"/>
              <w:jc w:val="both"/>
              <w:rPr>
                <w:rFonts w:ascii="Times New Roman" w:eastAsia="Times New Roman" w:hAnsi="Times New Roman"/>
                <w:bCs/>
              </w:rPr>
            </w:pPr>
            <w:r w:rsidRPr="00907D70">
              <w:rPr>
                <w:rFonts w:ascii="Times New Roman" w:eastAsia="SimSun" w:hAnsi="Times New Roman"/>
                <w:color w:val="000000"/>
                <w:lang w:eastAsia="zh-CN"/>
              </w:rPr>
              <w:lastRenderedPageBreak/>
              <w:t>Ibrutinibas</w:t>
            </w:r>
            <w:r w:rsidRPr="00907D70">
              <w:rPr>
                <w:rFonts w:ascii="Times New Roman" w:eastAsia="Times New Roman" w:hAnsi="Times New Roman"/>
              </w:rPr>
              <w:t xml:space="preserve"> </w:t>
            </w:r>
          </w:p>
        </w:tc>
        <w:tc>
          <w:tcPr>
            <w:tcW w:w="3002" w:type="dxa"/>
          </w:tcPr>
          <w:p w14:paraId="353F2899" w14:textId="77777777" w:rsidR="00E601A2" w:rsidRPr="00907D70" w:rsidRDefault="00E601A2" w:rsidP="00C70B5C">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Dėl lopinaviro / ritonaviro sukeliamo CYP3A slopinimo gali padidėti koncentracijos serume. </w:t>
            </w:r>
          </w:p>
        </w:tc>
        <w:tc>
          <w:tcPr>
            <w:tcW w:w="3006" w:type="dxa"/>
          </w:tcPr>
          <w:p w14:paraId="5305344C" w14:textId="6E01297F" w:rsidR="00E601A2" w:rsidRPr="00907D70" w:rsidRDefault="00E601A2" w:rsidP="00D038C7">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Kartu vartojant ibrutinibą ir </w:t>
            </w:r>
            <w:r w:rsidR="00753A51" w:rsidRPr="00907D70">
              <w:rPr>
                <w:rFonts w:ascii="Times New Roman" w:eastAsia="SimSun" w:hAnsi="Times New Roman"/>
                <w:color w:val="000000"/>
                <w:lang w:eastAsia="zh-CN"/>
              </w:rPr>
              <w:t xml:space="preserve">Lopinavir / Ritonavir Accord </w:t>
            </w:r>
            <w:r w:rsidRPr="00907D70">
              <w:rPr>
                <w:rFonts w:ascii="Times New Roman" w:eastAsia="SimSun" w:hAnsi="Times New Roman"/>
                <w:color w:val="000000"/>
                <w:lang w:eastAsia="zh-CN"/>
              </w:rPr>
              <w:t xml:space="preserve">gali padidėti ibrutinibo ekspozicija, dėl kurios gali padidėti toksiškumo rizika, įskaitant naviko irimo sindromo riziką. Reikia vengti kartu vartoti ibrutinibą ir </w:t>
            </w:r>
            <w:r w:rsidR="00753A51" w:rsidRPr="00907D70">
              <w:rPr>
                <w:rFonts w:ascii="Times New Roman" w:eastAsia="SimSun" w:hAnsi="Times New Roman"/>
                <w:color w:val="000000"/>
                <w:lang w:eastAsia="zh-CN"/>
              </w:rPr>
              <w:t>Lopinavir / Ritonavir Accord</w:t>
            </w:r>
            <w:r w:rsidRPr="00907D70">
              <w:rPr>
                <w:rFonts w:ascii="Times New Roman" w:eastAsia="SimSun" w:hAnsi="Times New Roman"/>
                <w:color w:val="000000"/>
                <w:lang w:eastAsia="zh-CN"/>
              </w:rPr>
              <w:t xml:space="preserve">. Jei manoma, kad nauda yra didesnė už riziką, ir </w:t>
            </w:r>
            <w:r w:rsidR="00753A51" w:rsidRPr="00907D70">
              <w:rPr>
                <w:rFonts w:ascii="Times New Roman" w:eastAsia="SimSun" w:hAnsi="Times New Roman"/>
                <w:color w:val="000000"/>
                <w:lang w:eastAsia="zh-CN"/>
              </w:rPr>
              <w:t xml:space="preserve">Lopinavir / Ritonavir Accord </w:t>
            </w:r>
            <w:r w:rsidRPr="00907D70">
              <w:rPr>
                <w:rFonts w:ascii="Times New Roman" w:eastAsia="SimSun" w:hAnsi="Times New Roman"/>
                <w:color w:val="000000"/>
                <w:lang w:eastAsia="zh-CN"/>
              </w:rPr>
              <w:t xml:space="preserve">turi būti vartojamas, ibrutinibo dozė turi būti sumažinta iki 140 mg. Pacientas turi būti atidžiai stebimas dėl toksiškumo. </w:t>
            </w:r>
          </w:p>
          <w:p w14:paraId="09B422BA" w14:textId="77777777" w:rsidR="00E601A2" w:rsidRPr="00907D70" w:rsidRDefault="00E601A2" w:rsidP="00D038C7">
            <w:pPr>
              <w:tabs>
                <w:tab w:val="left" w:pos="567"/>
              </w:tabs>
              <w:spacing w:after="0" w:line="240" w:lineRule="auto"/>
              <w:rPr>
                <w:rFonts w:ascii="Times New Roman" w:eastAsia="SimSun" w:hAnsi="Times New Roman"/>
                <w:color w:val="000000"/>
                <w:lang w:eastAsia="zh-CN"/>
              </w:rPr>
            </w:pPr>
          </w:p>
        </w:tc>
      </w:tr>
      <w:tr w:rsidR="006022CD" w:rsidRPr="00907D70" w14:paraId="6E262414" w14:textId="77777777" w:rsidTr="00160402">
        <w:trPr>
          <w:cantSplit/>
        </w:trPr>
        <w:tc>
          <w:tcPr>
            <w:tcW w:w="3052" w:type="dxa"/>
          </w:tcPr>
          <w:p w14:paraId="70CB8BD8" w14:textId="50A4F076" w:rsidR="006022CD" w:rsidRPr="00907D70" w:rsidRDefault="006022CD" w:rsidP="005B5FE3">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Neratinibas</w:t>
            </w:r>
          </w:p>
        </w:tc>
        <w:tc>
          <w:tcPr>
            <w:tcW w:w="3002" w:type="dxa"/>
          </w:tcPr>
          <w:p w14:paraId="4BC0BE5A" w14:textId="511208F0" w:rsidR="006022CD" w:rsidRPr="00907D70" w:rsidRDefault="006022CD" w:rsidP="005B5FE3">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Dėl ritonaviro sukeliamo CYP3A slopinimo gali padidėti koncentracijos serume.</w:t>
            </w:r>
          </w:p>
        </w:tc>
        <w:tc>
          <w:tcPr>
            <w:tcW w:w="3006" w:type="dxa"/>
          </w:tcPr>
          <w:p w14:paraId="4E8F6518" w14:textId="46A2A39D" w:rsidR="006022CD" w:rsidRPr="00907D70" w:rsidRDefault="006022CD" w:rsidP="006022CD">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Times New Roman" w:hAnsi="Times New Roman"/>
                <w:bCs/>
              </w:rPr>
              <w:t xml:space="preserve">Neratinibo ir </w:t>
            </w:r>
            <w:r w:rsidR="00366F4D" w:rsidRPr="00907D70">
              <w:rPr>
                <w:rFonts w:ascii="Times New Roman" w:eastAsia="Times New Roman" w:hAnsi="Times New Roman"/>
                <w:bCs/>
              </w:rPr>
              <w:t>Lopinavir / Ritonavir Accord</w:t>
            </w:r>
            <w:r w:rsidRPr="00907D70">
              <w:rPr>
                <w:rFonts w:ascii="Times New Roman" w:eastAsia="Times New Roman" w:hAnsi="Times New Roman"/>
                <w:bCs/>
              </w:rPr>
              <w:t xml:space="preserve"> kartu vartoti negalima (žr. 4.3 skyrių), nes gali atsirasti sunkių ir (arba) pavojingų gyvybei reakcijų, įskaitant hepatotoksiškumą</w:t>
            </w:r>
            <w:r w:rsidRPr="00907D70">
              <w:rPr>
                <w:rFonts w:ascii="Times New Roman" w:eastAsia="SimSun" w:hAnsi="Times New Roman"/>
                <w:color w:val="000000"/>
                <w:lang w:eastAsia="zh-CN"/>
              </w:rPr>
              <w:t xml:space="preserve"> (žr. 4.3 skyrių).</w:t>
            </w:r>
          </w:p>
        </w:tc>
      </w:tr>
      <w:tr w:rsidR="00342622" w:rsidRPr="00907D70" w14:paraId="4E269EA0" w14:textId="77777777" w:rsidTr="00160402">
        <w:trPr>
          <w:cantSplit/>
        </w:trPr>
        <w:tc>
          <w:tcPr>
            <w:tcW w:w="3052" w:type="dxa"/>
          </w:tcPr>
          <w:p w14:paraId="776EBF4E"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Venetoklaksas</w:t>
            </w:r>
          </w:p>
        </w:tc>
        <w:tc>
          <w:tcPr>
            <w:tcW w:w="3002" w:type="dxa"/>
          </w:tcPr>
          <w:p w14:paraId="6EAE0E4A"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Lopinaviras / ritonaviras slopina CYP3A4</w:t>
            </w:r>
          </w:p>
        </w:tc>
        <w:tc>
          <w:tcPr>
            <w:tcW w:w="3006" w:type="dxa"/>
          </w:tcPr>
          <w:p w14:paraId="26672FEF"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Kadangi lopinaviras / ritonaviras slopina CYP3A, pradėjus vartoti vaistą ir per dozės didinimo etapą gali padidėti koncentracija serume ir padidėti naviko lizės sindromo rizika (žr. 4.3 skyrių ir venetoklakso preparato charakteristikų santrauką).</w:t>
            </w:r>
          </w:p>
          <w:p w14:paraId="5FA6B1D3"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p>
          <w:p w14:paraId="1900C8DE"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Pacientams, kurie užbaigė dozės didinimo etapą ir kartu su stipriais CYP3A inhibitoriais vartoja pastovią venetoklakso paros dozę, ją reikia sumažinti mažiausiai 75 % (žr. venetoklakso preparato charakteristikų santraukoje pateiktus dozavimo nurodymus). Pacientus reikia atidžiai stebėti, ar jiems nepasireiškia su venetoklakso toksiniu poveikiu susijusių požymių).</w:t>
            </w:r>
          </w:p>
        </w:tc>
      </w:tr>
      <w:tr w:rsidR="00342622" w:rsidRPr="00907D70" w14:paraId="30BFA030" w14:textId="77777777" w:rsidTr="00160402">
        <w:trPr>
          <w:cantSplit/>
        </w:trPr>
        <w:tc>
          <w:tcPr>
            <w:tcW w:w="9060" w:type="dxa"/>
            <w:gridSpan w:val="3"/>
          </w:tcPr>
          <w:p w14:paraId="3AA03FE2"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Antikoaguliantai</w:t>
            </w:r>
          </w:p>
        </w:tc>
      </w:tr>
      <w:tr w:rsidR="00342622" w:rsidRPr="00907D70" w14:paraId="4F4E8498" w14:textId="77777777" w:rsidTr="00160402">
        <w:trPr>
          <w:cantSplit/>
        </w:trPr>
        <w:tc>
          <w:tcPr>
            <w:tcW w:w="3052" w:type="dxa"/>
          </w:tcPr>
          <w:p w14:paraId="4271182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Varfarinas</w:t>
            </w:r>
          </w:p>
        </w:tc>
        <w:tc>
          <w:tcPr>
            <w:tcW w:w="3002" w:type="dxa"/>
          </w:tcPr>
          <w:p w14:paraId="07B91572"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Varfarinas: </w:t>
            </w:r>
          </w:p>
          <w:p w14:paraId="6278788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koncentracija kraujo serume gali būti paveikta dėl CYP2C9 indukcijos, jeigu vartojama kartu su Lopinavir / Ritonavir Accord</w:t>
            </w:r>
            <w:r w:rsidRPr="00907D70">
              <w:rPr>
                <w:rFonts w:ascii="Times New Roman" w:eastAsia="Times New Roman" w:hAnsi="Times New Roman"/>
                <w:color w:val="000000"/>
              </w:rPr>
              <w:t>.</w:t>
            </w:r>
          </w:p>
        </w:tc>
        <w:tc>
          <w:tcPr>
            <w:tcW w:w="3006" w:type="dxa"/>
          </w:tcPr>
          <w:p w14:paraId="42B3A848"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Rekomenduojama stebėti tarptautinį normalizuotą santykį (angl. </w:t>
            </w:r>
            <w:r w:rsidRPr="00907D70">
              <w:rPr>
                <w:rFonts w:ascii="Times New Roman" w:eastAsia="SimSun" w:hAnsi="Times New Roman"/>
                <w:i/>
                <w:color w:val="000000"/>
                <w:lang w:eastAsia="zh-CN"/>
              </w:rPr>
              <w:t>INR</w:t>
            </w:r>
            <w:r w:rsidRPr="00907D70">
              <w:rPr>
                <w:rFonts w:ascii="Times New Roman" w:eastAsia="SimSun" w:hAnsi="Times New Roman"/>
                <w:color w:val="000000"/>
                <w:lang w:eastAsia="zh-CN"/>
              </w:rPr>
              <w:t xml:space="preserve">). </w:t>
            </w:r>
          </w:p>
          <w:p w14:paraId="014BAD93"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6C83AF17" w14:textId="77777777" w:rsidTr="00160402">
        <w:trPr>
          <w:cantSplit/>
        </w:trPr>
        <w:tc>
          <w:tcPr>
            <w:tcW w:w="3052" w:type="dxa"/>
          </w:tcPr>
          <w:p w14:paraId="12418ACC"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lastRenderedPageBreak/>
              <w:t xml:space="preserve">Rivaroksabanas </w:t>
            </w:r>
          </w:p>
          <w:p w14:paraId="77766F4D" w14:textId="77777777" w:rsidR="00342622" w:rsidRPr="00907D70" w:rsidRDefault="00342622" w:rsidP="0084240B">
            <w:pPr>
              <w:tabs>
                <w:tab w:val="left" w:pos="567"/>
              </w:tabs>
              <w:spacing w:after="0" w:line="240" w:lineRule="auto"/>
              <w:jc w:val="both"/>
              <w:rPr>
                <w:rFonts w:ascii="Times New Roman" w:eastAsia="Times New Roman" w:hAnsi="Times New Roman"/>
              </w:rPr>
            </w:pPr>
          </w:p>
          <w:p w14:paraId="1598C9D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rPr>
              <w:t xml:space="preserve">(Ritonaviras 600 mg du kartus per parą) </w:t>
            </w:r>
          </w:p>
        </w:tc>
        <w:tc>
          <w:tcPr>
            <w:tcW w:w="3002" w:type="dxa"/>
          </w:tcPr>
          <w:p w14:paraId="21843A76"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Rivaroksabanas: </w:t>
            </w:r>
          </w:p>
          <w:p w14:paraId="68C39649" w14:textId="77777777" w:rsidR="00342622" w:rsidRPr="00907D70" w:rsidRDefault="00342622" w:rsidP="0084240B">
            <w:pPr>
              <w:autoSpaceDE w:val="0"/>
              <w:autoSpaceDN w:val="0"/>
              <w:adjustRightInd w:val="0"/>
              <w:spacing w:after="0" w:line="240" w:lineRule="auto"/>
              <w:jc w:val="both"/>
              <w:rPr>
                <w:rFonts w:ascii="Times New Roman" w:eastAsia="SimSun" w:hAnsi="Times New Roman"/>
                <w:color w:val="000000"/>
                <w:lang w:eastAsia="zh-CN"/>
              </w:rPr>
            </w:pPr>
            <w:r w:rsidRPr="00907D70">
              <w:rPr>
                <w:rFonts w:ascii="Times New Roman" w:eastAsia="SimSun" w:hAnsi="Times New Roman"/>
                <w:color w:val="000000"/>
                <w:lang w:eastAsia="zh-CN"/>
              </w:rPr>
              <w:t xml:space="preserve">AUC: ↑ 153 % </w:t>
            </w:r>
          </w:p>
          <w:p w14:paraId="32694B0F"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C</w:t>
            </w:r>
            <w:r w:rsidRPr="00907D70">
              <w:rPr>
                <w:rFonts w:ascii="Times New Roman" w:eastAsia="SimSun" w:hAnsi="Times New Roman"/>
                <w:color w:val="000000"/>
                <w:vertAlign w:val="subscript"/>
                <w:lang w:eastAsia="zh-CN"/>
              </w:rPr>
              <w:t>max</w:t>
            </w:r>
            <w:r w:rsidRPr="00907D70">
              <w:rPr>
                <w:rFonts w:ascii="Times New Roman" w:eastAsia="SimSun" w:hAnsi="Times New Roman"/>
                <w:color w:val="000000"/>
                <w:lang w:eastAsia="zh-CN"/>
              </w:rPr>
              <w:t xml:space="preserve">: ↑ 55 %, </w:t>
            </w:r>
          </w:p>
          <w:p w14:paraId="0C713E71"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kadangi lopinaviro / ritonaviro derinys slopina CYP3A ir Pgp. </w:t>
            </w:r>
          </w:p>
        </w:tc>
        <w:tc>
          <w:tcPr>
            <w:tcW w:w="3006" w:type="dxa"/>
          </w:tcPr>
          <w:p w14:paraId="6F752D2B"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Kartu vartojant rivaroksabano ir Lopinavir / Ritonavir Accord gali padidėti rivaroksabano ekspozicija, todėl gali būti didesnė kraujavimo rizika.</w:t>
            </w:r>
          </w:p>
          <w:p w14:paraId="7D52CCB1"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Rivaroksabano vartojimas nerekomenduojamas pacientams, kurie gydomi Lopinavir / Ritonavir Accord (žr. 4.4 skyrių). </w:t>
            </w:r>
          </w:p>
        </w:tc>
      </w:tr>
      <w:tr w:rsidR="00342622" w:rsidRPr="00907D70" w14:paraId="40473249" w14:textId="77777777" w:rsidTr="00160402">
        <w:trPr>
          <w:cantSplit/>
        </w:trPr>
        <w:tc>
          <w:tcPr>
            <w:tcW w:w="3052" w:type="dxa"/>
          </w:tcPr>
          <w:p w14:paraId="12E0EAE3" w14:textId="77777777" w:rsidR="00342622" w:rsidRPr="00907D70" w:rsidRDefault="00342622" w:rsidP="0084240B">
            <w:pPr>
              <w:autoSpaceDE w:val="0"/>
              <w:autoSpaceDN w:val="0"/>
              <w:adjustRightInd w:val="0"/>
              <w:spacing w:after="0" w:line="240" w:lineRule="auto"/>
              <w:rPr>
                <w:rFonts w:ascii="Times New Roman" w:eastAsia="Times New Roman" w:hAnsi="Times New Roman"/>
                <w:bCs/>
              </w:rPr>
            </w:pPr>
            <w:r w:rsidRPr="00907D70">
              <w:rPr>
                <w:rFonts w:ascii="Times New Roman" w:eastAsia="SimSun" w:hAnsi="Times New Roman"/>
                <w:color w:val="000000"/>
                <w:lang w:eastAsia="zh-CN"/>
              </w:rPr>
              <w:t>Vorapaksaras</w:t>
            </w:r>
            <w:r w:rsidRPr="00907D70">
              <w:rPr>
                <w:rFonts w:ascii="Times New Roman" w:eastAsia="Times New Roman" w:hAnsi="Times New Roman"/>
              </w:rPr>
              <w:t xml:space="preserve"> </w:t>
            </w:r>
          </w:p>
        </w:tc>
        <w:tc>
          <w:tcPr>
            <w:tcW w:w="3002" w:type="dxa"/>
          </w:tcPr>
          <w:p w14:paraId="599FBEBC" w14:textId="77777777" w:rsidR="00342622" w:rsidRPr="00907D70" w:rsidRDefault="00342622" w:rsidP="0084240B">
            <w:pPr>
              <w:autoSpaceDE w:val="0"/>
              <w:autoSpaceDN w:val="0"/>
              <w:adjustRightInd w:val="0"/>
              <w:spacing w:after="0" w:line="240" w:lineRule="auto"/>
              <w:rPr>
                <w:rFonts w:ascii="Times New Roman" w:eastAsia="Times New Roman" w:hAnsi="Times New Roman"/>
                <w:bCs/>
              </w:rPr>
            </w:pPr>
            <w:r w:rsidRPr="00907D70">
              <w:rPr>
                <w:rFonts w:ascii="Times New Roman" w:eastAsia="SimSun" w:hAnsi="Times New Roman"/>
                <w:color w:val="000000"/>
                <w:lang w:eastAsia="zh-CN"/>
              </w:rPr>
              <w:t xml:space="preserve">Dėl </w:t>
            </w:r>
            <w:r w:rsidRPr="00907D70">
              <w:rPr>
                <w:rFonts w:ascii="Times New Roman" w:eastAsia="Times New Roman" w:hAnsi="Times New Roman"/>
                <w:color w:val="000000"/>
              </w:rPr>
              <w:t>Lopinavir / Ritonavir Accord</w:t>
            </w:r>
            <w:r w:rsidRPr="00907D70">
              <w:rPr>
                <w:rFonts w:ascii="Times New Roman" w:eastAsia="SimSun" w:hAnsi="Times New Roman"/>
                <w:color w:val="000000"/>
                <w:lang w:eastAsia="zh-CN"/>
              </w:rPr>
              <w:t xml:space="preserve">  sukeliamo CYP3A slopinimo gali padidėti koncentracijos serume</w:t>
            </w:r>
            <w:r w:rsidRPr="00907D70">
              <w:rPr>
                <w:rFonts w:ascii="Times New Roman" w:eastAsia="Times New Roman" w:hAnsi="Times New Roman"/>
              </w:rPr>
              <w:t xml:space="preserve">. </w:t>
            </w:r>
          </w:p>
        </w:tc>
        <w:tc>
          <w:tcPr>
            <w:tcW w:w="3006" w:type="dxa"/>
          </w:tcPr>
          <w:p w14:paraId="60651BF2" w14:textId="77777777" w:rsidR="00342622" w:rsidRPr="00907D70" w:rsidRDefault="00342622" w:rsidP="0084240B">
            <w:pPr>
              <w:autoSpaceDE w:val="0"/>
              <w:autoSpaceDN w:val="0"/>
              <w:adjustRightInd w:val="0"/>
              <w:spacing w:after="0" w:line="240" w:lineRule="auto"/>
              <w:rPr>
                <w:rFonts w:ascii="Times New Roman" w:eastAsia="SimSun" w:hAnsi="Times New Roman"/>
                <w:color w:val="000000"/>
                <w:lang w:eastAsia="zh-CN"/>
              </w:rPr>
            </w:pPr>
            <w:r w:rsidRPr="00907D70">
              <w:rPr>
                <w:rFonts w:ascii="Times New Roman" w:eastAsia="SimSun" w:hAnsi="Times New Roman"/>
                <w:color w:val="000000"/>
                <w:lang w:eastAsia="zh-CN"/>
              </w:rPr>
              <w:t xml:space="preserve">Vorapaksaro ir </w:t>
            </w:r>
            <w:r w:rsidRPr="00907D70">
              <w:rPr>
                <w:rFonts w:ascii="Times New Roman" w:eastAsia="Times New Roman" w:hAnsi="Times New Roman"/>
                <w:color w:val="000000"/>
              </w:rPr>
              <w:t>Lopinavir / Ritonavir Accord</w:t>
            </w:r>
            <w:r w:rsidRPr="00907D70">
              <w:rPr>
                <w:rFonts w:ascii="Times New Roman" w:eastAsia="SimSun" w:hAnsi="Times New Roman"/>
                <w:color w:val="000000"/>
                <w:lang w:eastAsia="zh-CN"/>
              </w:rPr>
              <w:t xml:space="preserve"> kartu vartoti nerekomenduojama (žr. 4.4 skyrių ir vorapaksaro PCS). </w:t>
            </w:r>
          </w:p>
          <w:p w14:paraId="21EDF11A"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4F26CF21" w14:textId="77777777" w:rsidTr="00160402">
        <w:trPr>
          <w:cantSplit/>
        </w:trPr>
        <w:tc>
          <w:tcPr>
            <w:tcW w:w="9060" w:type="dxa"/>
            <w:gridSpan w:val="3"/>
          </w:tcPr>
          <w:p w14:paraId="0660EB12"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Prieštraukuliniai vaistiniai preparatai</w:t>
            </w:r>
          </w:p>
        </w:tc>
      </w:tr>
      <w:tr w:rsidR="00342622" w:rsidRPr="00907D70" w14:paraId="682D7B37" w14:textId="77777777" w:rsidTr="00160402">
        <w:trPr>
          <w:cantSplit/>
        </w:trPr>
        <w:tc>
          <w:tcPr>
            <w:tcW w:w="3052" w:type="dxa"/>
          </w:tcPr>
          <w:p w14:paraId="1EE50AA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Fenitoinas</w:t>
            </w:r>
          </w:p>
        </w:tc>
        <w:tc>
          <w:tcPr>
            <w:tcW w:w="3002" w:type="dxa"/>
          </w:tcPr>
          <w:p w14:paraId="53D7084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Fenitoinas:</w:t>
            </w:r>
          </w:p>
          <w:p w14:paraId="7B64800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dėl </w:t>
            </w:r>
            <w:r w:rsidRPr="00907D70">
              <w:rPr>
                <w:rFonts w:ascii="Times New Roman" w:eastAsia="Times New Roman" w:hAnsi="Times New Roman"/>
              </w:rPr>
              <w:t>Lopinavir / Ritonavir Accord</w:t>
            </w:r>
            <w:r w:rsidRPr="00907D70" w:rsidDel="005015D1">
              <w:rPr>
                <w:rFonts w:ascii="Times New Roman" w:eastAsia="Times New Roman" w:hAnsi="Times New Roman"/>
              </w:rPr>
              <w:t xml:space="preserve"> </w:t>
            </w:r>
            <w:r w:rsidRPr="00907D70">
              <w:rPr>
                <w:rFonts w:ascii="Times New Roman" w:eastAsia="Times New Roman" w:hAnsi="Times New Roman"/>
              </w:rPr>
              <w:t>sukeltos</w:t>
            </w:r>
            <w:r w:rsidRPr="00907D70">
              <w:rPr>
                <w:rFonts w:ascii="Times New Roman" w:eastAsia="Times New Roman" w:hAnsi="Times New Roman"/>
                <w:bCs/>
              </w:rPr>
              <w:t xml:space="preserve"> CYP2C9 ir CYP2C19 indukcijos vidutiniškai sumažėjo pusiausvyrinė koncentracija. </w:t>
            </w:r>
          </w:p>
          <w:p w14:paraId="599155C7"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794923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w:t>
            </w:r>
          </w:p>
          <w:p w14:paraId="59BA9A3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sumažėja, nes fenitoinas indukuoja CYP3A.</w:t>
            </w:r>
          </w:p>
        </w:tc>
        <w:tc>
          <w:tcPr>
            <w:tcW w:w="3006" w:type="dxa"/>
          </w:tcPr>
          <w:p w14:paraId="66BB972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rPr>
              <w:t xml:space="preserve">Lopinavir / Ritonavir Accord </w:t>
            </w:r>
            <w:r w:rsidRPr="00907D70">
              <w:rPr>
                <w:rFonts w:ascii="Times New Roman" w:eastAsia="Times New Roman" w:hAnsi="Times New Roman"/>
                <w:bCs/>
              </w:rPr>
              <w:t>su fenitoinu vartoti reikia labai atsargiai.</w:t>
            </w:r>
          </w:p>
          <w:p w14:paraId="45A1DB0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Reikia stebėti fenitoino kiekį, kai jo vartojama kartu su lopinaviru/ritonaviru.</w:t>
            </w:r>
          </w:p>
          <w:p w14:paraId="6D5D6A8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Vartojant kartu su fenitoinu reikia numatyti galimą </w:t>
            </w:r>
            <w:r w:rsidRPr="00907D70">
              <w:rPr>
                <w:rFonts w:ascii="Times New Roman" w:eastAsia="Times New Roman" w:hAnsi="Times New Roman"/>
              </w:rPr>
              <w:t xml:space="preserve">Lopinavir / Ritonavir Accord </w:t>
            </w:r>
            <w:r w:rsidRPr="00907D70">
              <w:rPr>
                <w:rFonts w:ascii="Times New Roman" w:eastAsia="Times New Roman" w:hAnsi="Times New Roman"/>
                <w:bCs/>
              </w:rPr>
              <w:t>dozės padidinimą. Klinikinėje praktikoje dozės koregavimas nenustatytas.</w:t>
            </w:r>
          </w:p>
          <w:p w14:paraId="33CD5B1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Derinyje su fenitoinu </w:t>
            </w:r>
            <w:r w:rsidRPr="00907D70">
              <w:rPr>
                <w:rFonts w:ascii="Times New Roman" w:eastAsia="Times New Roman" w:hAnsi="Times New Roman"/>
              </w:rPr>
              <w:t xml:space="preserve">Lopinavir / Ritonavir Accord </w:t>
            </w:r>
            <w:r w:rsidRPr="00907D70">
              <w:rPr>
                <w:rFonts w:ascii="Times New Roman" w:eastAsia="Times New Roman" w:hAnsi="Times New Roman"/>
                <w:bCs/>
              </w:rPr>
              <w:t>vartoti vieną kartą per parą negalima.</w:t>
            </w:r>
          </w:p>
        </w:tc>
      </w:tr>
      <w:tr w:rsidR="00342622" w:rsidRPr="00907D70" w14:paraId="56B95EE6" w14:textId="77777777" w:rsidTr="00160402">
        <w:trPr>
          <w:cantSplit/>
        </w:trPr>
        <w:tc>
          <w:tcPr>
            <w:tcW w:w="3052" w:type="dxa"/>
          </w:tcPr>
          <w:p w14:paraId="33DCEDB5"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Karbamazepinas ir fenobarbitalis</w:t>
            </w:r>
          </w:p>
        </w:tc>
        <w:tc>
          <w:tcPr>
            <w:tcW w:w="3002" w:type="dxa"/>
          </w:tcPr>
          <w:p w14:paraId="3D9814D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Karbamazepinas:</w:t>
            </w:r>
          </w:p>
          <w:p w14:paraId="0E645F0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kraujo plazmoje gali padidėti, nes Lopinavir / Ritonavir Accord</w:t>
            </w:r>
            <w:r w:rsidRPr="00907D70" w:rsidDel="005015D1">
              <w:rPr>
                <w:rFonts w:ascii="Times New Roman" w:eastAsia="Times New Roman" w:hAnsi="Times New Roman"/>
                <w:bCs/>
              </w:rPr>
              <w:t xml:space="preserve"> </w:t>
            </w:r>
            <w:r w:rsidRPr="00907D70">
              <w:rPr>
                <w:rFonts w:ascii="Times New Roman" w:eastAsia="Times New Roman" w:hAnsi="Times New Roman"/>
                <w:bCs/>
              </w:rPr>
              <w:t xml:space="preserve">slopina CYP3A4. </w:t>
            </w:r>
          </w:p>
          <w:p w14:paraId="3B9DC6F0" w14:textId="77777777" w:rsidR="00342622" w:rsidRPr="00907D70" w:rsidRDefault="00342622" w:rsidP="0084240B">
            <w:pPr>
              <w:tabs>
                <w:tab w:val="left" w:pos="567"/>
              </w:tabs>
              <w:spacing w:after="0" w:line="240" w:lineRule="auto"/>
              <w:rPr>
                <w:rFonts w:ascii="Times New Roman" w:eastAsia="Times New Roman" w:hAnsi="Times New Roman"/>
                <w:bCs/>
              </w:rPr>
            </w:pPr>
          </w:p>
          <w:p w14:paraId="2EE5BEA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w:t>
            </w:r>
          </w:p>
          <w:p w14:paraId="3ECFE1D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koncentracija gali sumažėti, nes karbamazepinas ir fenobarbitalis indukuoja CYP3A. </w:t>
            </w:r>
          </w:p>
        </w:tc>
        <w:tc>
          <w:tcPr>
            <w:tcW w:w="3006" w:type="dxa"/>
          </w:tcPr>
          <w:p w14:paraId="4818A2E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Reikia laikytis atsargumo skiriant karbamazepino ar fenobarbitalio kartu su Lopinavir / Ritonavir Accord.</w:t>
            </w:r>
          </w:p>
          <w:p w14:paraId="742EDDB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Skiriant karbamazepiną ir fenobarbitalį su lopinaviro / ritonaviro deriniu, reikia stebėti karbamazepino ir fenobarbitalio lygį.</w:t>
            </w:r>
          </w:p>
          <w:p w14:paraId="44FCDF9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Kartu su karbamazepinu ar fenobarbitaliu skiriant </w:t>
            </w:r>
            <w:r w:rsidRPr="00907D70">
              <w:rPr>
                <w:rFonts w:ascii="Times New Roman" w:eastAsia="Times New Roman" w:hAnsi="Times New Roman"/>
              </w:rPr>
              <w:t xml:space="preserve">Lopinavir / Ritonavir Accord </w:t>
            </w:r>
            <w:r w:rsidRPr="00907D70">
              <w:rPr>
                <w:rFonts w:ascii="Times New Roman" w:eastAsia="Times New Roman" w:hAnsi="Times New Roman"/>
                <w:bCs/>
              </w:rPr>
              <w:t>reikia numatyti, kad gali prireikti didinti pastarojo vaistinio preparato dozę. Klinikinėje praktikoje dozės koregavimas nenustatytas.</w:t>
            </w:r>
          </w:p>
          <w:p w14:paraId="3419A41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Derinyje su karbamazepinu ir fenobarbitaliu </w:t>
            </w:r>
            <w:r w:rsidRPr="00907D70">
              <w:rPr>
                <w:rFonts w:ascii="Times New Roman" w:eastAsia="Times New Roman" w:hAnsi="Times New Roman"/>
              </w:rPr>
              <w:t xml:space="preserve">Lopinavir / Ritonavir Accord </w:t>
            </w:r>
            <w:r w:rsidRPr="00907D70">
              <w:rPr>
                <w:rFonts w:ascii="Times New Roman" w:eastAsia="Times New Roman" w:hAnsi="Times New Roman"/>
                <w:bCs/>
              </w:rPr>
              <w:t>vartoti vieną kartą per parą negalima.</w:t>
            </w:r>
          </w:p>
        </w:tc>
      </w:tr>
      <w:tr w:rsidR="00342622" w:rsidRPr="00907D70" w14:paraId="5981C784" w14:textId="77777777" w:rsidTr="00160402">
        <w:trPr>
          <w:cantSplit/>
        </w:trPr>
        <w:tc>
          <w:tcPr>
            <w:tcW w:w="3052" w:type="dxa"/>
          </w:tcPr>
          <w:tbl>
            <w:tblPr>
              <w:tblW w:w="0" w:type="auto"/>
              <w:tblBorders>
                <w:top w:val="nil"/>
                <w:left w:val="nil"/>
                <w:bottom w:val="nil"/>
                <w:right w:val="nil"/>
              </w:tblBorders>
              <w:tblLook w:val="0000" w:firstRow="0" w:lastRow="0" w:firstColumn="0" w:lastColumn="0" w:noHBand="0" w:noVBand="0"/>
            </w:tblPr>
            <w:tblGrid>
              <w:gridCol w:w="2538"/>
            </w:tblGrid>
            <w:tr w:rsidR="00342622" w:rsidRPr="00907D70" w14:paraId="14ECF33F" w14:textId="77777777" w:rsidTr="00753A51">
              <w:trPr>
                <w:trHeight w:val="267"/>
              </w:trPr>
              <w:tc>
                <w:tcPr>
                  <w:tcW w:w="0" w:type="auto"/>
                </w:tcPr>
                <w:p w14:paraId="207A7526" w14:textId="77777777" w:rsidR="00342622" w:rsidRPr="00907D70" w:rsidRDefault="00342622" w:rsidP="0084240B">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lastRenderedPageBreak/>
                    <w:t xml:space="preserve">Lamotriginas ir valproatas </w:t>
                  </w:r>
                </w:p>
              </w:tc>
            </w:tr>
          </w:tbl>
          <w:p w14:paraId="613C7374" w14:textId="77777777" w:rsidR="00342622" w:rsidRPr="00907D70" w:rsidRDefault="00342622" w:rsidP="0084240B">
            <w:pPr>
              <w:tabs>
                <w:tab w:val="left" w:pos="567"/>
              </w:tabs>
              <w:spacing w:after="0" w:line="240" w:lineRule="auto"/>
              <w:rPr>
                <w:rFonts w:ascii="Times New Roman" w:eastAsia="Times New Roman" w:hAnsi="Times New Roman"/>
                <w:bCs/>
              </w:rPr>
            </w:pPr>
          </w:p>
        </w:tc>
        <w:tc>
          <w:tcPr>
            <w:tcW w:w="3002" w:type="dxa"/>
          </w:tcPr>
          <w:p w14:paraId="6726127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Lamotriginas:</w:t>
            </w:r>
          </w:p>
          <w:p w14:paraId="3AA02E1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50 %</w:t>
            </w:r>
          </w:p>
          <w:p w14:paraId="2E14D25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46 %</w:t>
            </w:r>
          </w:p>
          <w:p w14:paraId="6FD53C7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min</w:t>
            </w:r>
            <w:r w:rsidRPr="00907D70">
              <w:rPr>
                <w:rFonts w:ascii="Times New Roman" w:eastAsia="Times New Roman" w:hAnsi="Times New Roman"/>
                <w:bCs/>
              </w:rPr>
              <w:t>: ↓ 56 %</w:t>
            </w:r>
          </w:p>
          <w:p w14:paraId="627DDFF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lamotrigino gliukuronizavimo indukcijos.</w:t>
            </w:r>
          </w:p>
          <w:p w14:paraId="12072529"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7296279" w14:textId="77777777" w:rsidR="00342622" w:rsidRPr="00907D70" w:rsidRDefault="00342622" w:rsidP="0084240B">
            <w:pPr>
              <w:tabs>
                <w:tab w:val="left" w:pos="567"/>
              </w:tabs>
              <w:spacing w:after="0" w:line="240" w:lineRule="auto"/>
              <w:rPr>
                <w:rFonts w:ascii="Times New Roman" w:eastAsia="Times New Roman" w:hAnsi="Times New Roman"/>
                <w:bCs/>
              </w:rPr>
            </w:pPr>
          </w:p>
          <w:p w14:paraId="49B387D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Valproatas: ↓</w:t>
            </w:r>
          </w:p>
          <w:p w14:paraId="076FDCD7" w14:textId="77777777" w:rsidR="00342622" w:rsidRPr="00907D70" w:rsidRDefault="00342622" w:rsidP="0084240B">
            <w:pPr>
              <w:tabs>
                <w:tab w:val="left" w:pos="567"/>
              </w:tabs>
              <w:spacing w:after="0" w:line="240" w:lineRule="auto"/>
              <w:rPr>
                <w:rFonts w:ascii="Times New Roman" w:eastAsia="Times New Roman" w:hAnsi="Times New Roman"/>
                <w:bCs/>
              </w:rPr>
            </w:pPr>
          </w:p>
        </w:tc>
        <w:tc>
          <w:tcPr>
            <w:tcW w:w="3006" w:type="dxa"/>
          </w:tcPr>
          <w:p w14:paraId="6977D66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Jeigu Lopinavir / Ritonavir Accord vartojama kartu su valproine rūgštimi arba valproatu, pacientus reikia atidžiai stebėti, nes gali sumažėti valproinės rūgšties poveikis.</w:t>
            </w:r>
          </w:p>
          <w:p w14:paraId="356842DF" w14:textId="77777777" w:rsidR="00342622" w:rsidRPr="00907D70" w:rsidRDefault="00342622" w:rsidP="0084240B">
            <w:pPr>
              <w:tabs>
                <w:tab w:val="left" w:pos="567"/>
              </w:tabs>
              <w:spacing w:after="0" w:line="240" w:lineRule="auto"/>
              <w:rPr>
                <w:rFonts w:ascii="Times New Roman" w:eastAsia="Times New Roman" w:hAnsi="Times New Roman"/>
                <w:bCs/>
              </w:rPr>
            </w:pPr>
          </w:p>
          <w:p w14:paraId="7BDA339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u w:val="single"/>
              </w:rPr>
              <w:t>Pacientams pradedant arba baigiant vartoti Lopinavir / Ritonavir Accord, kai tuo pačiu metu vartojama palaikomoji lamotrigino dozė</w:t>
            </w:r>
            <w:r w:rsidRPr="00907D70">
              <w:rPr>
                <w:rFonts w:ascii="Times New Roman" w:eastAsia="Times New Roman" w:hAnsi="Times New Roman"/>
                <w:bCs/>
              </w:rPr>
              <w:t>:</w:t>
            </w:r>
          </w:p>
          <w:p w14:paraId="7CFAD64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gali prireikti padidinti lamotrigino dozę, jei pridedama Lopinavir / Ritonavir Accord, arba sumažinti, jei Lopinavir / Ritonavir Accord vartojimas nutraukiamas. Dėl to reikia stebėti lamotrigino koncentraciją kraujo plazmoje, ypač prieš pradedant vartoti Lopinavir / Ritonavir Accord, 2 savaites nuo Lopinavir / Ritonavir Accord vartojimo ar nutraukimo pradžios tam, kad būtų nustatyta, ar reikia koreguoti lamotrigino dozę.</w:t>
            </w:r>
          </w:p>
          <w:p w14:paraId="3DFACC7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u w:val="single"/>
              </w:rPr>
              <w:t>Lopinavir / Ritonavir Accord gydomiems pacientams pradedant vartoti lamotrigino</w:t>
            </w:r>
            <w:r w:rsidRPr="00907D70">
              <w:rPr>
                <w:rFonts w:ascii="Times New Roman" w:eastAsia="Times New Roman" w:hAnsi="Times New Roman"/>
                <w:bCs/>
              </w:rPr>
              <w:t>: dozės priderinimas prie rekomenduojamo lamotrigino dozės didinimo nereikalingas.</w:t>
            </w:r>
          </w:p>
        </w:tc>
      </w:tr>
      <w:tr w:rsidR="00342622" w:rsidRPr="00907D70" w14:paraId="3EAE2031" w14:textId="77777777" w:rsidTr="00160402">
        <w:trPr>
          <w:cantSplit/>
        </w:trPr>
        <w:tc>
          <w:tcPr>
            <w:tcW w:w="9060" w:type="dxa"/>
            <w:gridSpan w:val="3"/>
          </w:tcPr>
          <w:tbl>
            <w:tblPr>
              <w:tblW w:w="0" w:type="auto"/>
              <w:tblBorders>
                <w:top w:val="nil"/>
                <w:left w:val="nil"/>
                <w:bottom w:val="nil"/>
                <w:right w:val="nil"/>
              </w:tblBorders>
              <w:tblLook w:val="0000" w:firstRow="0" w:lastRow="0" w:firstColumn="0" w:lastColumn="0" w:noHBand="0" w:noVBand="0"/>
            </w:tblPr>
            <w:tblGrid>
              <w:gridCol w:w="6498"/>
            </w:tblGrid>
            <w:tr w:rsidR="00342622" w:rsidRPr="00907D70" w14:paraId="611772BF" w14:textId="77777777" w:rsidTr="00753A51">
              <w:trPr>
                <w:trHeight w:val="148"/>
              </w:trPr>
              <w:tc>
                <w:tcPr>
                  <w:tcW w:w="0" w:type="auto"/>
                </w:tcPr>
                <w:p w14:paraId="62D00332" w14:textId="77777777" w:rsidR="00342622" w:rsidRPr="00907D70" w:rsidRDefault="00342622" w:rsidP="0084240B">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i/>
                      <w:iCs/>
                      <w:color w:val="000000"/>
                      <w:lang w:eastAsia="lt-LT"/>
                    </w:rPr>
                    <w:t xml:space="preserve">Antidepresantai ir raminamąjį poveikį sukeliantys vaistiniai preparatai </w:t>
                  </w:r>
                </w:p>
              </w:tc>
            </w:tr>
          </w:tbl>
          <w:p w14:paraId="5B9A0491" w14:textId="77777777" w:rsidR="00342622" w:rsidRPr="00907D70" w:rsidRDefault="00342622" w:rsidP="0084240B">
            <w:pPr>
              <w:tabs>
                <w:tab w:val="left" w:pos="567"/>
              </w:tabs>
              <w:spacing w:after="0" w:line="240" w:lineRule="auto"/>
              <w:rPr>
                <w:rFonts w:ascii="Times New Roman" w:eastAsia="Times New Roman" w:hAnsi="Times New Roman"/>
                <w:bCs/>
                <w:i/>
              </w:rPr>
            </w:pPr>
          </w:p>
        </w:tc>
      </w:tr>
      <w:tr w:rsidR="00342622" w:rsidRPr="00907D70" w14:paraId="11DBF2EC" w14:textId="77777777" w:rsidTr="00160402">
        <w:trPr>
          <w:cantSplit/>
        </w:trPr>
        <w:tc>
          <w:tcPr>
            <w:tcW w:w="3052" w:type="dxa"/>
          </w:tcPr>
          <w:p w14:paraId="3915D8C2"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Trazodono vienkartinė dozė</w:t>
            </w:r>
          </w:p>
          <w:p w14:paraId="162965F8"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4D398641"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2E0371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(Ritonaviras, 200 mg BID)</w:t>
            </w:r>
          </w:p>
        </w:tc>
        <w:tc>
          <w:tcPr>
            <w:tcW w:w="3002" w:type="dxa"/>
          </w:tcPr>
          <w:p w14:paraId="5EAD5DA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Trazodonas:</w:t>
            </w:r>
          </w:p>
          <w:p w14:paraId="3BEE4DF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2,4-karto</w:t>
            </w:r>
          </w:p>
          <w:p w14:paraId="40310FEF"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53D278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Trazodono vartojant kartu su ritonaviru buvo pastebėta nepageidaujamų reiškinių, tokių, kaip pykinimas, svaigulys, hipotenzija ir apalpimas.</w:t>
            </w:r>
          </w:p>
        </w:tc>
        <w:tc>
          <w:tcPr>
            <w:tcW w:w="3006" w:type="dxa"/>
          </w:tcPr>
          <w:p w14:paraId="0623435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Nežinoma, ar lopinaviro / ritonaviro derinys su trazodonu sukelia panašų trazodono ekspozicijos padidėjimą. Tokį derinį reikia skirti atsargiai ir reikia pagalvoti apie mažesnės trazodono dozės skyrimą.</w:t>
            </w:r>
          </w:p>
        </w:tc>
      </w:tr>
      <w:tr w:rsidR="00342622" w:rsidRPr="00907D70" w14:paraId="1357F933" w14:textId="77777777" w:rsidTr="00160402">
        <w:trPr>
          <w:cantSplit/>
        </w:trPr>
        <w:tc>
          <w:tcPr>
            <w:tcW w:w="9060" w:type="dxa"/>
            <w:gridSpan w:val="3"/>
          </w:tcPr>
          <w:p w14:paraId="3E02FAB0"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Priešgrybeliniai vaistiniai preparatai</w:t>
            </w:r>
          </w:p>
        </w:tc>
      </w:tr>
      <w:tr w:rsidR="00342622" w:rsidRPr="00907D70" w14:paraId="708259A6" w14:textId="77777777" w:rsidTr="00160402">
        <w:trPr>
          <w:cantSplit/>
        </w:trPr>
        <w:tc>
          <w:tcPr>
            <w:tcW w:w="3052" w:type="dxa"/>
          </w:tcPr>
          <w:p w14:paraId="30FFC30A"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Ketokonazolas ir itrakonazolas</w:t>
            </w:r>
          </w:p>
        </w:tc>
        <w:tc>
          <w:tcPr>
            <w:tcW w:w="3002" w:type="dxa"/>
          </w:tcPr>
          <w:p w14:paraId="5EEA223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Ketokonazolas, itrakonazolas: koncentracija kraujo serume gali padidėti, nes Lopinavir / Ritonavir Accord</w:t>
            </w:r>
            <w:r w:rsidRPr="00907D70" w:rsidDel="005015D1">
              <w:rPr>
                <w:rFonts w:ascii="Times New Roman" w:eastAsia="Times New Roman" w:hAnsi="Times New Roman"/>
                <w:bCs/>
              </w:rPr>
              <w:t xml:space="preserve"> </w:t>
            </w:r>
            <w:r w:rsidRPr="00907D70">
              <w:rPr>
                <w:rFonts w:ascii="Times New Roman" w:eastAsia="Times New Roman" w:hAnsi="Times New Roman"/>
                <w:bCs/>
              </w:rPr>
              <w:t>slopina CYP3A4.</w:t>
            </w:r>
          </w:p>
        </w:tc>
        <w:tc>
          <w:tcPr>
            <w:tcW w:w="3006" w:type="dxa"/>
          </w:tcPr>
          <w:p w14:paraId="57303C3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Nerekomenduojama vartoti didelių ketokonazolo ir itrakonazolo (&gt; 200 mg/parą) dozių.</w:t>
            </w:r>
          </w:p>
        </w:tc>
      </w:tr>
      <w:tr w:rsidR="00342622" w:rsidRPr="00907D70" w14:paraId="5691C759" w14:textId="77777777" w:rsidTr="00160402">
        <w:trPr>
          <w:cantSplit/>
        </w:trPr>
        <w:tc>
          <w:tcPr>
            <w:tcW w:w="3052" w:type="dxa"/>
          </w:tcPr>
          <w:p w14:paraId="53B62F7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Vorikonazolas</w:t>
            </w:r>
          </w:p>
        </w:tc>
        <w:tc>
          <w:tcPr>
            <w:tcW w:w="3002" w:type="dxa"/>
          </w:tcPr>
          <w:p w14:paraId="0F46B88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Vorikonazolas:</w:t>
            </w:r>
          </w:p>
          <w:p w14:paraId="2721C88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gali sumažėti.</w:t>
            </w:r>
          </w:p>
        </w:tc>
        <w:tc>
          <w:tcPr>
            <w:tcW w:w="3006" w:type="dxa"/>
          </w:tcPr>
          <w:p w14:paraId="56174A7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Reikia vengti kartu skirti vorikonazolą ir mažą ritonaviro dozę (100 mg BID), esančią Lopinavir / Ritonavir Accord sudėtyje, nebent naudos ir rizikos įvertinimas pacientui pateisintų vorikonazolo vartojimą.</w:t>
            </w:r>
          </w:p>
        </w:tc>
      </w:tr>
      <w:tr w:rsidR="00342622" w:rsidRPr="00907D70" w14:paraId="67DD9B3E" w14:textId="77777777" w:rsidTr="00160402">
        <w:trPr>
          <w:cantSplit/>
        </w:trPr>
        <w:tc>
          <w:tcPr>
            <w:tcW w:w="9060" w:type="dxa"/>
            <w:gridSpan w:val="3"/>
          </w:tcPr>
          <w:p w14:paraId="319979AC"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Antipodagriniai vaistiniai preparatai</w:t>
            </w:r>
          </w:p>
        </w:tc>
      </w:tr>
      <w:tr w:rsidR="00342622" w:rsidRPr="00907D70" w14:paraId="1F80B9DF" w14:textId="77777777" w:rsidTr="00160402">
        <w:trPr>
          <w:cantSplit/>
        </w:trPr>
        <w:tc>
          <w:tcPr>
            <w:tcW w:w="3052" w:type="dxa"/>
          </w:tcPr>
          <w:p w14:paraId="3B99789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Vienkartinė kolchicino dozė</w:t>
            </w:r>
          </w:p>
          <w:p w14:paraId="09B4BF68"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761FBE3D"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AD2129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(Ritonaviras 200 mg du kartus per parą)</w:t>
            </w:r>
          </w:p>
          <w:p w14:paraId="2820CC9B"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0D56194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Kolchicinas:</w:t>
            </w:r>
          </w:p>
          <w:p w14:paraId="3B153AE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 3 kartus</w:t>
            </w:r>
          </w:p>
          <w:p w14:paraId="3882400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xml:space="preserve"> : ↑ 1,8 karto</w:t>
            </w:r>
          </w:p>
          <w:p w14:paraId="77E04E7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Pgp ir (arba) CYP3A4 slopinimo ritonaviru.</w:t>
            </w:r>
          </w:p>
        </w:tc>
        <w:tc>
          <w:tcPr>
            <w:tcW w:w="3006" w:type="dxa"/>
          </w:tcPr>
          <w:p w14:paraId="7330502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Negalima kartu vartoti Lopinavir / Ritonavir Accord su kolchicinu pacientams, kuriems yra inkstų ir (arba) kepenų nepakankamumas, nes gali padaugėti su kolchicinu susijusių sunkių ir (arba) gyvybei pavojingų reakcijų, pvz., toksinis poveikis nervams ir raumenims (įskaitant rabdomiolizę) (žr. 4.3 ir 4.4 skyrius). Pacientams, kurių inkstų ar kepenų funkcija normali ir kuriems reikalingas gydymas </w:t>
            </w:r>
            <w:r w:rsidRPr="00907D70">
              <w:rPr>
                <w:rFonts w:ascii="Times New Roman" w:eastAsia="Times New Roman" w:hAnsi="Times New Roman"/>
                <w:color w:val="000000"/>
              </w:rPr>
              <w:t>Lopinavir / Ritonavir Accord</w:t>
            </w:r>
            <w:r w:rsidRPr="00907D70">
              <w:rPr>
                <w:rFonts w:ascii="Times New Roman" w:eastAsia="Times New Roman" w:hAnsi="Times New Roman"/>
                <w:bCs/>
              </w:rPr>
              <w:t>, rekomenduojama sumažinti kolchicino dozę ar laikinai nutraukti gydymą kolchicinu. Žr. kolchicino skyrimo informaciją).</w:t>
            </w:r>
          </w:p>
        </w:tc>
      </w:tr>
      <w:tr w:rsidR="00342622" w:rsidRPr="00907D70" w14:paraId="22C088A1" w14:textId="77777777" w:rsidTr="00160402">
        <w:trPr>
          <w:cantSplit/>
        </w:trPr>
        <w:tc>
          <w:tcPr>
            <w:tcW w:w="9060" w:type="dxa"/>
            <w:gridSpan w:val="3"/>
          </w:tcPr>
          <w:p w14:paraId="28676CAA"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Priešhistamininiai vaistiniai preparatai</w:t>
            </w:r>
          </w:p>
        </w:tc>
      </w:tr>
      <w:tr w:rsidR="00342622" w:rsidRPr="00907D70" w14:paraId="18ECF35A" w14:textId="77777777" w:rsidTr="00160402">
        <w:trPr>
          <w:cantSplit/>
        </w:trPr>
        <w:tc>
          <w:tcPr>
            <w:tcW w:w="3052" w:type="dxa"/>
          </w:tcPr>
          <w:p w14:paraId="4F465E4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Astemizolis</w:t>
            </w:r>
          </w:p>
          <w:p w14:paraId="599BC92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Terfenadinas</w:t>
            </w:r>
          </w:p>
        </w:tc>
        <w:tc>
          <w:tcPr>
            <w:tcW w:w="3002" w:type="dxa"/>
          </w:tcPr>
          <w:p w14:paraId="48816EB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lopinaviras / ritonaviras slopina CYP3A, gali padidėti koncentracija kraujo serume.</w:t>
            </w:r>
          </w:p>
        </w:tc>
        <w:tc>
          <w:tcPr>
            <w:tcW w:w="3006" w:type="dxa"/>
          </w:tcPr>
          <w:p w14:paraId="2881DC4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Negalima lopinaviro / ritonaviro vartoti kartu su astemizoliu ir terfenadinu, nes gali padidėti sunkių šių vaistų sukeliamų aritmijų rizika (žr. 4.3 skyrių).</w:t>
            </w:r>
          </w:p>
        </w:tc>
      </w:tr>
      <w:tr w:rsidR="00342622" w:rsidRPr="00907D70" w14:paraId="28DA5A1C" w14:textId="77777777" w:rsidTr="00160402">
        <w:trPr>
          <w:cantSplit/>
        </w:trPr>
        <w:tc>
          <w:tcPr>
            <w:tcW w:w="9060" w:type="dxa"/>
            <w:gridSpan w:val="3"/>
          </w:tcPr>
          <w:p w14:paraId="55408FD2"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Antiinfekciniai vaistiniai preparatai</w:t>
            </w:r>
          </w:p>
        </w:tc>
      </w:tr>
      <w:tr w:rsidR="00342622" w:rsidRPr="00907D70" w14:paraId="07795E5D" w14:textId="77777777" w:rsidTr="00160402">
        <w:trPr>
          <w:cantSplit/>
        </w:trPr>
        <w:tc>
          <w:tcPr>
            <w:tcW w:w="3052" w:type="dxa"/>
          </w:tcPr>
          <w:p w14:paraId="5BBFB07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Fuzido rūgštis</w:t>
            </w:r>
          </w:p>
        </w:tc>
        <w:tc>
          <w:tcPr>
            <w:tcW w:w="3002" w:type="dxa"/>
          </w:tcPr>
          <w:p w14:paraId="63E1022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Fuzido rūgštis:</w:t>
            </w:r>
          </w:p>
          <w:p w14:paraId="4A1D1605"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gali padidėti jos koncentracija dėl CYP3A slopinimo lopinaviro / ritonaviro deriniu.</w:t>
            </w:r>
          </w:p>
        </w:tc>
        <w:tc>
          <w:tcPr>
            <w:tcW w:w="3006" w:type="dxa"/>
          </w:tcPr>
          <w:p w14:paraId="58E294F5"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vartoti kartu su fuzido rūgštimi esant odos infekcijoms, nes yra padidėjusi su fuzido rūgštimi susijusi nepageidaujamų reiškinių, ypač rabdomiolizės, rizika (žr. 4.3 skyrių). Vartojant kaulų ir sąnarių infekcijoms gydyti, kai neišvengiamai reikia skirti kartu, būtina atidžiai stebėti dėl galimų nepageidaujamų raumenų reiškinių (žr. 4.4 skyrių).</w:t>
            </w:r>
          </w:p>
        </w:tc>
      </w:tr>
      <w:tr w:rsidR="00342622" w:rsidRPr="00907D70" w14:paraId="01D22A96" w14:textId="77777777" w:rsidTr="00160402">
        <w:trPr>
          <w:cantSplit/>
        </w:trPr>
        <w:tc>
          <w:tcPr>
            <w:tcW w:w="9060" w:type="dxa"/>
            <w:gridSpan w:val="3"/>
          </w:tcPr>
          <w:p w14:paraId="5625C3B7"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Antimikobakteriniai vaistiniai preparatai</w:t>
            </w:r>
          </w:p>
        </w:tc>
      </w:tr>
      <w:tr w:rsidR="00342622" w:rsidRPr="00907D70" w14:paraId="4944DF85" w14:textId="77777777" w:rsidTr="00160402">
        <w:trPr>
          <w:cantSplit/>
        </w:trPr>
        <w:tc>
          <w:tcPr>
            <w:tcW w:w="3052" w:type="dxa"/>
          </w:tcPr>
          <w:p w14:paraId="76B86D91"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lastRenderedPageBreak/>
              <w:t xml:space="preserve">Bedakvilinas (vienkartinė dozė) </w:t>
            </w:r>
          </w:p>
          <w:p w14:paraId="1C5052E9" w14:textId="77777777" w:rsidR="00342622" w:rsidRPr="00907D70" w:rsidRDefault="00342622" w:rsidP="0084240B">
            <w:pPr>
              <w:autoSpaceDE w:val="0"/>
              <w:autoSpaceDN w:val="0"/>
              <w:adjustRightInd w:val="0"/>
              <w:spacing w:after="0" w:line="249" w:lineRule="exact"/>
              <w:ind w:left="102" w:right="-20"/>
              <w:rPr>
                <w:rFonts w:ascii="Times New Roman" w:hAnsi="Times New Roman"/>
              </w:rPr>
            </w:pPr>
          </w:p>
          <w:p w14:paraId="5089692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hAnsi="Times New Roman"/>
              </w:rPr>
              <w:t>(Lopinaviras / ritonaviras  400/100 mg du kartus per parą, daugkartinė dozė)</w:t>
            </w:r>
          </w:p>
        </w:tc>
        <w:tc>
          <w:tcPr>
            <w:tcW w:w="3002" w:type="dxa"/>
          </w:tcPr>
          <w:p w14:paraId="42947D20"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Bedakvilinas:</w:t>
            </w:r>
          </w:p>
          <w:p w14:paraId="5590FAAF"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AUC: ↑ 22 %</w:t>
            </w:r>
          </w:p>
          <w:p w14:paraId="35EDDF0C"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C</w:t>
            </w:r>
            <w:r w:rsidRPr="00907D70">
              <w:rPr>
                <w:rFonts w:ascii="Times New Roman" w:hAnsi="Times New Roman"/>
                <w:vertAlign w:val="subscript"/>
              </w:rPr>
              <w:t>max</w:t>
            </w:r>
            <w:r w:rsidRPr="00907D70">
              <w:rPr>
                <w:rFonts w:ascii="Times New Roman" w:hAnsi="Times New Roman"/>
              </w:rPr>
              <w:t>: ↔</w:t>
            </w:r>
          </w:p>
          <w:p w14:paraId="0192902D" w14:textId="77777777" w:rsidR="00342622" w:rsidRPr="00907D70" w:rsidRDefault="00342622" w:rsidP="0084240B">
            <w:pPr>
              <w:autoSpaceDE w:val="0"/>
              <w:autoSpaceDN w:val="0"/>
              <w:adjustRightInd w:val="0"/>
              <w:spacing w:after="0" w:line="249" w:lineRule="exact"/>
              <w:ind w:right="-20"/>
              <w:rPr>
                <w:rFonts w:ascii="Times New Roman" w:hAnsi="Times New Roman"/>
              </w:rPr>
            </w:pPr>
          </w:p>
          <w:p w14:paraId="6EB1C664"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Labiau išreikštas poveikis bedakvilino ekspozicijai plazmoje gali būti pastebėtas jį ilgą laiką vartojant kartu su lopinaviru / ritonaviru.</w:t>
            </w:r>
          </w:p>
          <w:p w14:paraId="3514E570" w14:textId="77777777" w:rsidR="00342622" w:rsidRPr="00907D70" w:rsidRDefault="00342622" w:rsidP="0084240B">
            <w:pPr>
              <w:autoSpaceDE w:val="0"/>
              <w:autoSpaceDN w:val="0"/>
              <w:adjustRightInd w:val="0"/>
              <w:spacing w:after="0" w:line="249" w:lineRule="exact"/>
              <w:ind w:right="-20"/>
              <w:rPr>
                <w:rFonts w:ascii="Times New Roman" w:hAnsi="Times New Roman"/>
              </w:rPr>
            </w:pPr>
          </w:p>
          <w:p w14:paraId="7DB2C97C" w14:textId="77777777" w:rsidR="00342622" w:rsidRPr="00907D70" w:rsidRDefault="00342622" w:rsidP="0084240B">
            <w:pPr>
              <w:autoSpaceDE w:val="0"/>
              <w:autoSpaceDN w:val="0"/>
              <w:adjustRightInd w:val="0"/>
              <w:spacing w:after="0" w:line="249" w:lineRule="exact"/>
              <w:ind w:right="-20"/>
              <w:rPr>
                <w:rFonts w:ascii="Times New Roman" w:eastAsia="Times New Roman" w:hAnsi="Times New Roman"/>
                <w:bCs/>
              </w:rPr>
            </w:pPr>
            <w:r w:rsidRPr="00907D70">
              <w:rPr>
                <w:rFonts w:ascii="Times New Roman" w:hAnsi="Times New Roman"/>
              </w:rPr>
              <w:t>CYP3A4 slopinimas greičiausiai vyksta dėl lopinaviro / ritonaviro.</w:t>
            </w:r>
          </w:p>
        </w:tc>
        <w:tc>
          <w:tcPr>
            <w:tcW w:w="3006" w:type="dxa"/>
          </w:tcPr>
          <w:p w14:paraId="4EE8850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su bedakvilinu susijusių nepageidaujamų reiškinių, bedakvilino ir lopinaviro / ritonaviro derinio reikia vengti. Jei nauda viršija riziką, bedakviliną ir lopinavirą / ritonavirą galima vartoti kartu laikantis atsargumo priemonių. Tokiu atveju rekomenduojama dažniau atlikti elektrokardiogramą ir stebėti transaminazių aktyvumą (žr. 4.4 skyrių bei bedakvilino PCS).</w:t>
            </w:r>
          </w:p>
        </w:tc>
      </w:tr>
      <w:tr w:rsidR="00342622" w:rsidRPr="00907D70" w14:paraId="0387E6BE" w14:textId="77777777" w:rsidTr="00160402">
        <w:trPr>
          <w:cantSplit/>
        </w:trPr>
        <w:tc>
          <w:tcPr>
            <w:tcW w:w="3052" w:type="dxa"/>
          </w:tcPr>
          <w:p w14:paraId="723FDA10"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Delamanidas (100 mg du kartus per parą)</w:t>
            </w:r>
          </w:p>
          <w:p w14:paraId="169D9578"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67BE799"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(Lopinaviras / ritonaviras 400/100 mg du kartus per parą)</w:t>
            </w:r>
          </w:p>
        </w:tc>
        <w:tc>
          <w:tcPr>
            <w:tcW w:w="3002" w:type="dxa"/>
          </w:tcPr>
          <w:p w14:paraId="4A70AB9A"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 xml:space="preserve">Delamanidas: AUC:↑22 % </w:t>
            </w:r>
          </w:p>
          <w:p w14:paraId="5F7416AC" w14:textId="77777777" w:rsidR="00342622" w:rsidRPr="00907D70" w:rsidRDefault="00342622" w:rsidP="0084240B">
            <w:pPr>
              <w:autoSpaceDE w:val="0"/>
              <w:autoSpaceDN w:val="0"/>
              <w:adjustRightInd w:val="0"/>
              <w:spacing w:after="0" w:line="249" w:lineRule="exact"/>
              <w:ind w:right="-20"/>
              <w:rPr>
                <w:rFonts w:ascii="Times New Roman" w:hAnsi="Times New Roman"/>
              </w:rPr>
            </w:pPr>
          </w:p>
          <w:p w14:paraId="0396BBA0"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DM-6705 (delamanido aktyvus metabolitas):</w:t>
            </w:r>
          </w:p>
          <w:p w14:paraId="48A89542" w14:textId="77777777" w:rsidR="00342622" w:rsidRPr="00907D70" w:rsidRDefault="00342622" w:rsidP="0084240B">
            <w:pPr>
              <w:autoSpaceDE w:val="0"/>
              <w:autoSpaceDN w:val="0"/>
              <w:adjustRightInd w:val="0"/>
              <w:spacing w:after="0" w:line="249" w:lineRule="exact"/>
              <w:ind w:right="-20"/>
              <w:rPr>
                <w:rFonts w:ascii="Times New Roman" w:hAnsi="Times New Roman"/>
              </w:rPr>
            </w:pPr>
            <w:r w:rsidRPr="00907D70">
              <w:rPr>
                <w:rFonts w:ascii="Times New Roman" w:hAnsi="Times New Roman"/>
              </w:rPr>
              <w:t>AUC:↑30 %</w:t>
            </w:r>
          </w:p>
          <w:p w14:paraId="0672DE4C" w14:textId="77777777" w:rsidR="00342622" w:rsidRPr="00907D70" w:rsidRDefault="00342622" w:rsidP="0084240B">
            <w:pPr>
              <w:autoSpaceDE w:val="0"/>
              <w:autoSpaceDN w:val="0"/>
              <w:adjustRightInd w:val="0"/>
              <w:spacing w:after="0" w:line="249" w:lineRule="exact"/>
              <w:ind w:right="-20"/>
              <w:rPr>
                <w:rFonts w:ascii="Times New Roman" w:eastAsia="Times New Roman" w:hAnsi="Times New Roman"/>
                <w:bCs/>
              </w:rPr>
            </w:pPr>
            <w:r w:rsidRPr="00907D70">
              <w:rPr>
                <w:rFonts w:ascii="Times New Roman" w:hAnsi="Times New Roman"/>
              </w:rPr>
              <w:t xml:space="preserve">Ilgai vartojant kartu su lopinaviru / ritonaviru gali būti stebimas labiau išreikštas poveikis DM- 6705 ekspozicijai. </w:t>
            </w:r>
          </w:p>
        </w:tc>
        <w:tc>
          <w:tcPr>
            <w:tcW w:w="3006" w:type="dxa"/>
          </w:tcPr>
          <w:p w14:paraId="7FC6AA8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Jeigu manoma, kad delamanido būtina skirti kartu su lopinaviru / ritonaviru, dėl QTc intervalo pailgėjimo, susijusio su DM-6705, rizikos rekomenduojama labai dažnai stebėti EKG viso gydymo delamanidu laikotarpiu (žr. 4.4 skyrių ir delamanido PCS).</w:t>
            </w:r>
          </w:p>
        </w:tc>
      </w:tr>
      <w:tr w:rsidR="00342622" w:rsidRPr="00907D70" w14:paraId="14347B19" w14:textId="77777777" w:rsidTr="00160402">
        <w:trPr>
          <w:cantSplit/>
        </w:trPr>
        <w:tc>
          <w:tcPr>
            <w:tcW w:w="3052" w:type="dxa"/>
          </w:tcPr>
          <w:p w14:paraId="0FABAC6A"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Rifabutinas, 150 mg QD</w:t>
            </w:r>
          </w:p>
        </w:tc>
        <w:tc>
          <w:tcPr>
            <w:tcW w:w="3002" w:type="dxa"/>
          </w:tcPr>
          <w:p w14:paraId="48022A7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Rifabutinas (pirminis vaistinis preparatas ir aktyvus 25-O-deacetlmetabolitas):</w:t>
            </w:r>
          </w:p>
          <w:p w14:paraId="1624B7E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5,7 karto</w:t>
            </w:r>
          </w:p>
          <w:p w14:paraId="19B0F9F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3,5 karto</w:t>
            </w:r>
          </w:p>
        </w:tc>
        <w:tc>
          <w:tcPr>
            <w:tcW w:w="3006" w:type="dxa"/>
          </w:tcPr>
          <w:p w14:paraId="3572E7D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skiriant kartu su rifabutinu, rekomenduojama pastarojo vaistinio preparato dozė yra po 150 mg 3 kartus per savaitę nustatytomis dienomis (pvz., pirmadienį, trečiadienį ir penktadienį). Dėl tikėtinos didesnės rifabutino ekspozicijos būtina atidžiau stebėti, ar nepasireiškia su rifabutinu susiję nepageidaujamos reakcijos, įskaitant neutropeniją ir uveitą. Pacientams, kurie netoleruoja 150 mg rifabutino dozės 3 kartus per savaitę, ją reikia mažinti iki 150 mg 2 kartus per savaitę, skiriant nustatytomis dienomis. Reikia prisiminti, kad du kartus per savaitę vartojama 150 mg rifabutino dozė gali nesukelti optimalios rifabutino ekspozicijos, todėl gali padidėti atsparumo rifamicinui ir neveiksmingo gydymo rizika. Lopinavir / Ritonavir Accord dozės koreguoti nereikia.</w:t>
            </w:r>
          </w:p>
        </w:tc>
      </w:tr>
      <w:tr w:rsidR="00342622" w:rsidRPr="00907D70" w14:paraId="3E64EC2F" w14:textId="77777777" w:rsidTr="00160402">
        <w:trPr>
          <w:cantSplit/>
        </w:trPr>
        <w:tc>
          <w:tcPr>
            <w:tcW w:w="3052" w:type="dxa"/>
          </w:tcPr>
          <w:p w14:paraId="3C6321B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Rifampicinas</w:t>
            </w:r>
          </w:p>
        </w:tc>
        <w:tc>
          <w:tcPr>
            <w:tcW w:w="3002" w:type="dxa"/>
          </w:tcPr>
          <w:p w14:paraId="4210FC5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w:t>
            </w:r>
          </w:p>
          <w:p w14:paraId="20AE4CE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pastebėtas didelis lopinaviro koncentracijos sumažėjimas, nes rifampicinas indukuoja CYP3A.</w:t>
            </w:r>
          </w:p>
        </w:tc>
        <w:tc>
          <w:tcPr>
            <w:tcW w:w="3006" w:type="dxa"/>
          </w:tcPr>
          <w:p w14:paraId="59CA3BC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nerekomenduojama vartoti kartu su rifampicinu, nes lopinaviro koncentracijos sumažėjimas gali reikšmingai sumažinti jo gydomąjį poveikį. Lopinavir / Ritonavir Accord dozės koregavimas 400 mg/400 mg (t. y. Lopinavir / Ritonavir Accord 400/100 mg + ritonaviras 300 mg) du kartus per parą leido kompensuoti rifampicino indukuojantį poveikį CYP 3A4. Vis dėlto, toks dozės koregavimas gali būti susijęs su ALT/AST aktyvumo padidėjimu ir virškinimo trakto sutrikimų padažnėjimu. Taigi, reikia vengti</w:t>
            </w:r>
            <w:r w:rsidRPr="00907D70">
              <w:rPr>
                <w:rFonts w:ascii="Times New Roman" w:eastAsia="Times New Roman" w:hAnsi="Times New Roman"/>
              </w:rPr>
              <w:t xml:space="preserve"> </w:t>
            </w:r>
            <w:r w:rsidRPr="00907D70">
              <w:rPr>
                <w:rFonts w:ascii="Times New Roman" w:eastAsia="Times New Roman" w:hAnsi="Times New Roman"/>
                <w:bCs/>
              </w:rPr>
              <w:t>kartu skirti šių vaistinių preparatų, nebent tai neabejotinai būtina. Nusprendus, kad gydyti minėtų vaistinių preparatų deriniu yra būtina, galima skirti didesnę Lopinavir / Ritonavir Accord dozę iki 400 mg/400 mg du kartus per parą kartu su rifampicinu, atidžiai stebint saugumą ir klinikinį poveikį. Lopinavir / Ritonavir Accord dozę būtina laipsniškai didinti tik po gydymo rifampicinu pradžios (žr. 4.4 skyrių).</w:t>
            </w:r>
          </w:p>
        </w:tc>
      </w:tr>
      <w:tr w:rsidR="00342622" w:rsidRPr="00907D70" w14:paraId="7639FF84" w14:textId="77777777" w:rsidTr="00160402">
        <w:trPr>
          <w:cantSplit/>
        </w:trPr>
        <w:tc>
          <w:tcPr>
            <w:tcW w:w="9060" w:type="dxa"/>
            <w:gridSpan w:val="3"/>
          </w:tcPr>
          <w:p w14:paraId="40C59034"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Antipsichoziniai vaistiniai preparatai</w:t>
            </w:r>
          </w:p>
        </w:tc>
      </w:tr>
      <w:tr w:rsidR="00342622" w:rsidRPr="00907D70" w14:paraId="0701BBEF" w14:textId="77777777" w:rsidTr="00160402">
        <w:trPr>
          <w:cantSplit/>
        </w:trPr>
        <w:tc>
          <w:tcPr>
            <w:tcW w:w="3052" w:type="dxa"/>
          </w:tcPr>
          <w:p w14:paraId="2A0C68FC"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Lurazidonas</w:t>
            </w:r>
          </w:p>
          <w:p w14:paraId="3924531B"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4194F831"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0B025149"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72F51D0E"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4068A37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Pimozidas</w:t>
            </w:r>
          </w:p>
          <w:p w14:paraId="0954C090"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136C191A"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50BA42E"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1AA65939"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7AB99162"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3C0B46DA"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17A9E28E"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6B650E64"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p w14:paraId="1EE603F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Kvetiapinas</w:t>
            </w:r>
          </w:p>
        </w:tc>
        <w:tc>
          <w:tcPr>
            <w:tcW w:w="3002" w:type="dxa"/>
          </w:tcPr>
          <w:p w14:paraId="7934163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lopinaviras / ritonaviras slopina CYP3A, tikėtina, kad padidės lurazidono koncentracija</w:t>
            </w:r>
          </w:p>
          <w:p w14:paraId="5E4622BC" w14:textId="77777777" w:rsidR="00342622" w:rsidRPr="00907D70" w:rsidRDefault="00342622" w:rsidP="0084240B">
            <w:pPr>
              <w:tabs>
                <w:tab w:val="left" w:pos="567"/>
              </w:tabs>
              <w:spacing w:after="0" w:line="240" w:lineRule="auto"/>
              <w:rPr>
                <w:rFonts w:ascii="Times New Roman" w:eastAsia="Times New Roman" w:hAnsi="Times New Roman"/>
                <w:bCs/>
              </w:rPr>
            </w:pPr>
          </w:p>
          <w:p w14:paraId="43AF7AC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lopinaviras / ritonaviras slopina CYP3A, tikėtina, kad padidės pimozido koncentracija</w:t>
            </w:r>
          </w:p>
          <w:p w14:paraId="3E074259"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789206E" w14:textId="77777777" w:rsidR="00342622" w:rsidRPr="00907D70" w:rsidRDefault="00342622" w:rsidP="0084240B">
            <w:pPr>
              <w:tabs>
                <w:tab w:val="left" w:pos="567"/>
              </w:tabs>
              <w:spacing w:after="0" w:line="240" w:lineRule="auto"/>
              <w:rPr>
                <w:rFonts w:ascii="Times New Roman" w:eastAsia="Times New Roman" w:hAnsi="Times New Roman"/>
                <w:bCs/>
              </w:rPr>
            </w:pPr>
          </w:p>
          <w:p w14:paraId="22ADFC78" w14:textId="77777777" w:rsidR="00342622" w:rsidRPr="00907D70" w:rsidRDefault="00342622" w:rsidP="0084240B">
            <w:pPr>
              <w:tabs>
                <w:tab w:val="left" w:pos="567"/>
              </w:tabs>
              <w:spacing w:after="0" w:line="240" w:lineRule="auto"/>
              <w:rPr>
                <w:rFonts w:ascii="Times New Roman" w:eastAsia="Times New Roman" w:hAnsi="Times New Roman"/>
                <w:bCs/>
              </w:rPr>
            </w:pPr>
          </w:p>
          <w:p w14:paraId="07BB5FA3"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A50B41A" w14:textId="77777777" w:rsidR="00342622" w:rsidRPr="00907D70" w:rsidRDefault="00342622" w:rsidP="0084240B">
            <w:pPr>
              <w:tabs>
                <w:tab w:val="left" w:pos="567"/>
              </w:tabs>
              <w:spacing w:after="0" w:line="240" w:lineRule="auto"/>
              <w:rPr>
                <w:rFonts w:ascii="Times New Roman" w:eastAsia="Times New Roman" w:hAnsi="Times New Roman"/>
                <w:bCs/>
              </w:rPr>
            </w:pPr>
          </w:p>
          <w:p w14:paraId="451A12A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lopinaviro / ritonaviro derinys slopina CYP3A, tikėtina, kad padidės kvetiapino koncentracija.</w:t>
            </w:r>
          </w:p>
        </w:tc>
        <w:tc>
          <w:tcPr>
            <w:tcW w:w="3006" w:type="dxa"/>
          </w:tcPr>
          <w:p w14:paraId="144A55E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Negalima skirti kartu su lurazidonu (žr. 4.3 skyrių).</w:t>
            </w:r>
          </w:p>
          <w:p w14:paraId="02CE5278" w14:textId="77777777" w:rsidR="00342622" w:rsidRPr="00907D70" w:rsidRDefault="00342622" w:rsidP="0084240B">
            <w:pPr>
              <w:tabs>
                <w:tab w:val="left" w:pos="567"/>
              </w:tabs>
              <w:spacing w:after="0" w:line="240" w:lineRule="auto"/>
              <w:rPr>
                <w:rFonts w:ascii="Times New Roman" w:eastAsia="Times New Roman" w:hAnsi="Times New Roman"/>
                <w:bCs/>
              </w:rPr>
            </w:pPr>
          </w:p>
          <w:p w14:paraId="403E6703" w14:textId="77777777" w:rsidR="00342622" w:rsidRPr="00907D70" w:rsidRDefault="00342622" w:rsidP="0084240B">
            <w:pPr>
              <w:tabs>
                <w:tab w:val="left" w:pos="567"/>
              </w:tabs>
              <w:spacing w:after="0" w:line="240" w:lineRule="auto"/>
              <w:rPr>
                <w:rFonts w:ascii="Times New Roman" w:eastAsia="Times New Roman" w:hAnsi="Times New Roman"/>
                <w:bCs/>
              </w:rPr>
            </w:pPr>
          </w:p>
          <w:p w14:paraId="3502B862" w14:textId="77777777" w:rsidR="00342622" w:rsidRPr="00907D70" w:rsidRDefault="00342622" w:rsidP="0084240B">
            <w:pPr>
              <w:tabs>
                <w:tab w:val="left" w:pos="567"/>
              </w:tabs>
              <w:spacing w:after="0" w:line="240" w:lineRule="auto"/>
              <w:rPr>
                <w:rFonts w:ascii="Times New Roman" w:eastAsia="Times New Roman" w:hAnsi="Times New Roman"/>
                <w:bCs/>
              </w:rPr>
            </w:pPr>
          </w:p>
          <w:p w14:paraId="44684D5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skirti kartu su pimozidu, nes gali padidėti sunkių hematologinių sutrikimų ar kitų sunkių nepageidaujamų reakcijų rizika (žr. 4.3 skyrių).</w:t>
            </w:r>
          </w:p>
          <w:p w14:paraId="706CA061" w14:textId="77777777" w:rsidR="00342622" w:rsidRPr="00907D70" w:rsidRDefault="00342622" w:rsidP="0084240B">
            <w:pPr>
              <w:tabs>
                <w:tab w:val="left" w:pos="567"/>
              </w:tabs>
              <w:spacing w:after="0" w:line="240" w:lineRule="auto"/>
              <w:rPr>
                <w:rFonts w:ascii="Times New Roman" w:eastAsia="Times New Roman" w:hAnsi="Times New Roman"/>
                <w:bCs/>
              </w:rPr>
            </w:pPr>
          </w:p>
          <w:p w14:paraId="1251A0E7" w14:textId="77777777" w:rsidR="00342622" w:rsidRPr="00907D70" w:rsidRDefault="00342622" w:rsidP="0084240B">
            <w:pPr>
              <w:tabs>
                <w:tab w:val="left" w:pos="567"/>
              </w:tabs>
              <w:spacing w:after="0" w:line="240" w:lineRule="auto"/>
              <w:rPr>
                <w:rFonts w:ascii="Times New Roman" w:eastAsia="Times New Roman" w:hAnsi="Times New Roman"/>
                <w:bCs/>
              </w:rPr>
            </w:pPr>
          </w:p>
          <w:p w14:paraId="6096748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vartoti kartu su kvetiapinu, nes gali sustiprėti kvetiapino toksinis poveikis.</w:t>
            </w:r>
          </w:p>
        </w:tc>
      </w:tr>
      <w:tr w:rsidR="00342622" w:rsidRPr="00907D70" w14:paraId="7E788316" w14:textId="77777777" w:rsidTr="00160402">
        <w:trPr>
          <w:cantSplit/>
        </w:trPr>
        <w:tc>
          <w:tcPr>
            <w:tcW w:w="9060" w:type="dxa"/>
            <w:gridSpan w:val="3"/>
          </w:tcPr>
          <w:p w14:paraId="68938595"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Benzodiazepinai</w:t>
            </w:r>
          </w:p>
        </w:tc>
      </w:tr>
      <w:tr w:rsidR="00342622" w:rsidRPr="00907D70" w14:paraId="4E9C4069" w14:textId="77777777" w:rsidTr="00160402">
        <w:trPr>
          <w:cantSplit/>
        </w:trPr>
        <w:tc>
          <w:tcPr>
            <w:tcW w:w="3052" w:type="dxa"/>
          </w:tcPr>
          <w:p w14:paraId="7049DAA6"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Midazolamas</w:t>
            </w:r>
          </w:p>
        </w:tc>
        <w:tc>
          <w:tcPr>
            <w:tcW w:w="3002" w:type="dxa"/>
          </w:tcPr>
          <w:p w14:paraId="5C5615A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Geriamas midazolamas:</w:t>
            </w:r>
          </w:p>
          <w:p w14:paraId="6D89918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13 kartų</w:t>
            </w:r>
          </w:p>
          <w:p w14:paraId="51A14E3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Parenteriniu būdu skiriamas midazolamas:</w:t>
            </w:r>
          </w:p>
          <w:p w14:paraId="3442BA8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4 kartus</w:t>
            </w:r>
          </w:p>
          <w:p w14:paraId="7EFB5E8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 slopinimo vartojant Lopinavir / Ritonavir Accord</w:t>
            </w:r>
          </w:p>
        </w:tc>
        <w:tc>
          <w:tcPr>
            <w:tcW w:w="3006" w:type="dxa"/>
          </w:tcPr>
          <w:p w14:paraId="0C6660C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negalima skirti kartu su geriamuoju midazolamu (žr. 4.3 skyrių), o su parenteriniu būdu skiriamu midazolamu reikia vartoti atsargiai. Jeigu Lopinavir / Ritonavir Accord skiriamas kartu su midazolamu, vartojamu parenteriniu būdu, tai reikia daryti intensyviosios terapijos skyriuje ar panašiomis sąlygomis, kur galima užtikrinti atidų klinikinį stebėjimą ir reikiamos skubios pagalbos suteikimą kvėpavimo slopinimo ir (arba) užsitęsusios sedacijos atveju. Turi būti apsvarstytas midazolamo dozės priderinimas, ypač jo vartojant kartotinai.</w:t>
            </w:r>
          </w:p>
        </w:tc>
      </w:tr>
      <w:tr w:rsidR="00342622" w:rsidRPr="00907D70" w14:paraId="058FE282" w14:textId="77777777" w:rsidTr="00160402">
        <w:trPr>
          <w:cantSplit/>
        </w:trPr>
        <w:tc>
          <w:tcPr>
            <w:tcW w:w="9060" w:type="dxa"/>
            <w:gridSpan w:val="3"/>
          </w:tcPr>
          <w:p w14:paraId="5B5FCEDD"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Ilgai veikiantys beta</w:t>
            </w:r>
            <w:r w:rsidRPr="00907D70">
              <w:rPr>
                <w:rFonts w:ascii="Times New Roman" w:eastAsia="Times New Roman" w:hAnsi="Times New Roman"/>
                <w:bCs/>
                <w:i/>
                <w:vertAlign w:val="subscript"/>
              </w:rPr>
              <w:t>2</w:t>
            </w:r>
            <w:r w:rsidRPr="00907D70">
              <w:rPr>
                <w:rFonts w:ascii="Times New Roman" w:eastAsia="Times New Roman" w:hAnsi="Times New Roman"/>
                <w:bCs/>
                <w:i/>
              </w:rPr>
              <w:t xml:space="preserve"> adrenoreceptorių blokatoriai</w:t>
            </w:r>
          </w:p>
        </w:tc>
      </w:tr>
      <w:tr w:rsidR="00342622" w:rsidRPr="00907D70" w14:paraId="5C970D7A" w14:textId="77777777" w:rsidTr="00160402">
        <w:trPr>
          <w:cantSplit/>
        </w:trPr>
        <w:tc>
          <w:tcPr>
            <w:tcW w:w="3052" w:type="dxa"/>
          </w:tcPr>
          <w:p w14:paraId="7BF1501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Salmeterolis</w:t>
            </w:r>
          </w:p>
        </w:tc>
        <w:tc>
          <w:tcPr>
            <w:tcW w:w="3002" w:type="dxa"/>
          </w:tcPr>
          <w:p w14:paraId="739B864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Salmeterolis:</w:t>
            </w:r>
          </w:p>
          <w:p w14:paraId="307A797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tikėtina, kad koncentracija padidės dėl CYP3A slopinimo lopinaviro / ritonaviro deriniu.</w:t>
            </w:r>
          </w:p>
        </w:tc>
        <w:tc>
          <w:tcPr>
            <w:tcW w:w="3006" w:type="dxa"/>
          </w:tcPr>
          <w:p w14:paraId="65922B2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Skiriant šio derinio gali būti didesnė širdies ir kraujagyslių nepageidaujamų reiškinių, susijusių su salmeteroliu, įskaitant pailgėjusį QT intervalą, palpitacijas ir sinusinę tachikardiją, rizika.</w:t>
            </w:r>
          </w:p>
          <w:p w14:paraId="338DA8F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Taigi, Lopinavir / Ritonavir Accord vartoti kartu su salmeteroliu nerekomenduojama (žr. 4.4 skyrių).</w:t>
            </w:r>
          </w:p>
        </w:tc>
      </w:tr>
      <w:tr w:rsidR="00342622" w:rsidRPr="00907D70" w14:paraId="7E41A9D5" w14:textId="77777777" w:rsidTr="00160402">
        <w:trPr>
          <w:cantSplit/>
        </w:trPr>
        <w:tc>
          <w:tcPr>
            <w:tcW w:w="9060" w:type="dxa"/>
            <w:gridSpan w:val="3"/>
          </w:tcPr>
          <w:p w14:paraId="29ECD8B0"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Kalcio kanalų blokatoriai</w:t>
            </w:r>
          </w:p>
        </w:tc>
      </w:tr>
      <w:tr w:rsidR="00342622" w:rsidRPr="00907D70" w14:paraId="60A5FA27" w14:textId="77777777" w:rsidTr="00160402">
        <w:trPr>
          <w:cantSplit/>
        </w:trPr>
        <w:tc>
          <w:tcPr>
            <w:tcW w:w="3052" w:type="dxa"/>
          </w:tcPr>
          <w:p w14:paraId="381D3EA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Felodipinas, nifedipinas ir nikardipinas</w:t>
            </w:r>
          </w:p>
        </w:tc>
        <w:tc>
          <w:tcPr>
            <w:tcW w:w="3002" w:type="dxa"/>
          </w:tcPr>
          <w:p w14:paraId="54FA34B5"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Felodipinas, nifedipinas, nikardipinas:</w:t>
            </w:r>
          </w:p>
          <w:p w14:paraId="1DC4F6F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gali padidėti dėl CYP3A slopinimo vartojant Lopinavir / Ritonavir Accord</w:t>
            </w:r>
          </w:p>
        </w:tc>
        <w:tc>
          <w:tcPr>
            <w:tcW w:w="3006" w:type="dxa"/>
          </w:tcPr>
          <w:p w14:paraId="2844560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Šių vaistinių preparatų skiriant kartu su Lopinavir / Ritonavir Accord rekomenduojama stebėti gydomąjį ir nepageidaujamą poveikį.</w:t>
            </w:r>
          </w:p>
        </w:tc>
      </w:tr>
      <w:tr w:rsidR="00342622" w:rsidRPr="00907D70" w14:paraId="293291E2" w14:textId="77777777" w:rsidTr="00160402">
        <w:trPr>
          <w:cantSplit/>
        </w:trPr>
        <w:tc>
          <w:tcPr>
            <w:tcW w:w="9060" w:type="dxa"/>
            <w:gridSpan w:val="3"/>
          </w:tcPr>
          <w:p w14:paraId="5A7A844E"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Kortikosteroidai</w:t>
            </w:r>
          </w:p>
        </w:tc>
      </w:tr>
      <w:tr w:rsidR="00342622" w:rsidRPr="00907D70" w14:paraId="26688D10" w14:textId="77777777" w:rsidTr="00160402">
        <w:trPr>
          <w:cantSplit/>
        </w:trPr>
        <w:tc>
          <w:tcPr>
            <w:tcW w:w="3052" w:type="dxa"/>
          </w:tcPr>
          <w:p w14:paraId="1413540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Deksametazonas</w:t>
            </w:r>
          </w:p>
        </w:tc>
        <w:tc>
          <w:tcPr>
            <w:tcW w:w="3002" w:type="dxa"/>
          </w:tcPr>
          <w:p w14:paraId="448AA07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w:t>
            </w:r>
          </w:p>
          <w:p w14:paraId="153A3FC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gali sumažėti dėl CYP3A indukavimo deksametazonu.</w:t>
            </w:r>
          </w:p>
        </w:tc>
        <w:tc>
          <w:tcPr>
            <w:tcW w:w="3006" w:type="dxa"/>
          </w:tcPr>
          <w:p w14:paraId="76AEAE7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Skiriant kartu su Lopinavir / Ritonavir Accord rekomenduojama stebėti klinikinį antivirusinių vaistinių preparatų veiksmingumą.</w:t>
            </w:r>
          </w:p>
        </w:tc>
      </w:tr>
      <w:tr w:rsidR="00342622" w:rsidRPr="00907D70" w14:paraId="69738621" w14:textId="77777777" w:rsidTr="00160402">
        <w:trPr>
          <w:cantSplit/>
        </w:trPr>
        <w:tc>
          <w:tcPr>
            <w:tcW w:w="3052" w:type="dxa"/>
          </w:tcPr>
          <w:p w14:paraId="13F85357" w14:textId="77777777" w:rsidR="00342622" w:rsidRPr="00907D70" w:rsidDel="001C7789"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Įkvepiamasis, švirkščiamasis arba į nosį purškiamas flutikazono propionatas, budezonidas, triamcinolonas</w:t>
            </w:r>
          </w:p>
          <w:p w14:paraId="38A1F0BF" w14:textId="77777777"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379D957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Flutikazono propionatas:</w:t>
            </w:r>
          </w:p>
          <w:p w14:paraId="337B09E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Kraujo plazmos koncentracija ↑</w:t>
            </w:r>
          </w:p>
          <w:p w14:paraId="12370A4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kortizolio lygis ↓ 86 %</w:t>
            </w:r>
          </w:p>
        </w:tc>
        <w:tc>
          <w:tcPr>
            <w:tcW w:w="3006" w:type="dxa"/>
          </w:tcPr>
          <w:tbl>
            <w:tblPr>
              <w:tblW w:w="0" w:type="auto"/>
              <w:tblBorders>
                <w:top w:val="nil"/>
                <w:left w:val="nil"/>
                <w:bottom w:val="nil"/>
                <w:right w:val="nil"/>
              </w:tblBorders>
              <w:tblLook w:val="0000" w:firstRow="0" w:lastRow="0" w:firstColumn="0" w:lastColumn="0" w:noHBand="0" w:noVBand="0"/>
            </w:tblPr>
            <w:tblGrid>
              <w:gridCol w:w="2790"/>
            </w:tblGrid>
            <w:tr w:rsidR="00342622" w:rsidRPr="00907D70" w14:paraId="5583B3A2" w14:textId="77777777" w:rsidTr="00753A51">
              <w:trPr>
                <w:trHeight w:val="3819"/>
              </w:trPr>
              <w:tc>
                <w:tcPr>
                  <w:tcW w:w="0" w:type="auto"/>
                </w:tcPr>
                <w:p w14:paraId="64922433" w14:textId="77777777" w:rsidR="00342622" w:rsidRPr="00907D70" w:rsidRDefault="00342622" w:rsidP="0084240B">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Inhaliuojant flutikazono propionatą, galima tikėtis stipresnio poveikio. Sisteminis kortikosteroidų poveikis, įskaitant Kušingo (</w:t>
                  </w:r>
                  <w:r w:rsidRPr="00907D70">
                    <w:rPr>
                      <w:rFonts w:ascii="Times New Roman" w:hAnsi="Times New Roman"/>
                      <w:i/>
                      <w:color w:val="000000"/>
                      <w:lang w:eastAsia="lt-LT"/>
                    </w:rPr>
                    <w:t>Cushing</w:t>
                  </w:r>
                  <w:r w:rsidRPr="00907D70">
                    <w:rPr>
                      <w:rFonts w:ascii="Times New Roman" w:hAnsi="Times New Roman"/>
                      <w:color w:val="000000"/>
                      <w:lang w:eastAsia="lt-LT"/>
                    </w:rPr>
                    <w:t>) sindromą ir antinksčių slopinimą, buvo pastebėtas pacientams, kurie buvo gydomi ritonaviru ir inhaliuojamu ar į nosį vartojamu flutikazono propionatu; tai taip pat gali pasireikšti ir vartojant kitų kortikosteroidų, kurie metabolizuojami dalyvaujant P450 3A, pvz.: budezonido ir triamcinolono. Taigi, Lopinavir / Ritonavir Accord ir minėtų gliukokortikoidų vartoti kartu nerekomenduojama, nebent galima gydymo nauda yra didesnė už sisteminio kortikosteroidų poveikio riziką (žr. 4.4 skyrių). Turi būti apsvarstyta, ar nereikia mažinti gliukokortikoido dozės atidžiai stebint lokalų ir sisteminį poveikį, arba pereiti prie gliukokortikoido, kuris nėra CYP3A4 substratas (pvz.: beklometazono). Be to, nutraukiant gydymą gliukokortikoidais, progresyvus dozės mažinimas turi būti atliktas per ilgesnį laiką.</w:t>
                  </w:r>
                </w:p>
              </w:tc>
            </w:tr>
          </w:tbl>
          <w:p w14:paraId="388F3866"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2A582747" w14:textId="77777777" w:rsidTr="00160402">
        <w:trPr>
          <w:cantSplit/>
        </w:trPr>
        <w:tc>
          <w:tcPr>
            <w:tcW w:w="9060" w:type="dxa"/>
            <w:gridSpan w:val="3"/>
          </w:tcPr>
          <w:p w14:paraId="0FEDA178"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Fosfodiesterazės (FDE5) inhibitoriai</w:t>
            </w:r>
          </w:p>
        </w:tc>
      </w:tr>
      <w:tr w:rsidR="00342622" w:rsidRPr="00907D70" w14:paraId="6A67EC1E" w14:textId="77777777" w:rsidTr="00160402">
        <w:trPr>
          <w:cantSplit/>
        </w:trPr>
        <w:tc>
          <w:tcPr>
            <w:tcW w:w="3052" w:type="dxa"/>
          </w:tcPr>
          <w:p w14:paraId="12E7887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Avanafilis (kartu su 600 mg ritonaviro du kartus per parą)</w:t>
            </w:r>
          </w:p>
        </w:tc>
        <w:tc>
          <w:tcPr>
            <w:tcW w:w="3002" w:type="dxa"/>
          </w:tcPr>
          <w:p w14:paraId="576BF80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Avanafilis:</w:t>
            </w:r>
          </w:p>
          <w:p w14:paraId="64161AF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13 kartų</w:t>
            </w:r>
          </w:p>
          <w:p w14:paraId="3F15AFC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 slopinimo lopinaviro / ritonaviro deriniu.</w:t>
            </w:r>
          </w:p>
        </w:tc>
        <w:tc>
          <w:tcPr>
            <w:tcW w:w="3006" w:type="dxa"/>
          </w:tcPr>
          <w:p w14:paraId="3E053FA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Avanafilio draudžiama vartoti kartu su Lopinavir / Ritonavir Accord (žr. 4.3 skyrių).</w:t>
            </w:r>
          </w:p>
        </w:tc>
      </w:tr>
      <w:tr w:rsidR="00342622" w:rsidRPr="00907D70" w14:paraId="1F4793A9" w14:textId="77777777" w:rsidTr="00160402">
        <w:trPr>
          <w:cantSplit/>
        </w:trPr>
        <w:tc>
          <w:tcPr>
            <w:tcW w:w="3052" w:type="dxa"/>
          </w:tcPr>
          <w:p w14:paraId="2FDA1DC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Tadalafilis</w:t>
            </w:r>
          </w:p>
        </w:tc>
        <w:tc>
          <w:tcPr>
            <w:tcW w:w="3002" w:type="dxa"/>
          </w:tcPr>
          <w:p w14:paraId="5DB638A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Tadalafilis:</w:t>
            </w:r>
          </w:p>
          <w:p w14:paraId="32A96B0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2 kartus</w:t>
            </w:r>
          </w:p>
          <w:p w14:paraId="287C33D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CYP3A4 sopinimo lopinaviro / ritonaviro deriniu.</w:t>
            </w:r>
          </w:p>
        </w:tc>
        <w:tc>
          <w:tcPr>
            <w:tcW w:w="3006" w:type="dxa"/>
            <w:tcBorders>
              <w:bottom w:val="nil"/>
            </w:tcBorders>
          </w:tcPr>
          <w:p w14:paraId="3FDD13A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u w:val="single"/>
              </w:rPr>
              <w:t>Gydant plautinę hipertenziją</w:t>
            </w:r>
            <w:r w:rsidRPr="00907D70">
              <w:rPr>
                <w:rFonts w:ascii="Times New Roman" w:eastAsia="Times New Roman" w:hAnsi="Times New Roman"/>
                <w:bCs/>
              </w:rPr>
              <w:t>: Lopinavir / Ritonavir Accord skirti kartu su sildenafiliu draudžiama (žr. 4.3 skyrių). Lopinavir / Ritonavir Accord skirti kartu su tadalafiliu nerekomenduojama.</w:t>
            </w:r>
          </w:p>
        </w:tc>
      </w:tr>
      <w:tr w:rsidR="00342622" w:rsidRPr="00907D70" w14:paraId="3E055149" w14:textId="77777777" w:rsidTr="00160402">
        <w:trPr>
          <w:cantSplit/>
        </w:trPr>
        <w:tc>
          <w:tcPr>
            <w:tcW w:w="3052" w:type="dxa"/>
          </w:tcPr>
          <w:p w14:paraId="17F87165"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Sildenafilis</w:t>
            </w:r>
          </w:p>
        </w:tc>
        <w:tc>
          <w:tcPr>
            <w:tcW w:w="3002" w:type="dxa"/>
            <w:tcBorders>
              <w:right w:val="single" w:sz="4" w:space="0" w:color="auto"/>
            </w:tcBorders>
          </w:tcPr>
          <w:p w14:paraId="3122EF9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Sildenafilis:</w:t>
            </w:r>
          </w:p>
          <w:p w14:paraId="244EE4D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11 kartų</w:t>
            </w:r>
          </w:p>
          <w:p w14:paraId="01AD527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 slopinimo lopinaviro / ritonaviro deriniu.</w:t>
            </w:r>
          </w:p>
        </w:tc>
        <w:tc>
          <w:tcPr>
            <w:tcW w:w="3006" w:type="dxa"/>
            <w:tcBorders>
              <w:top w:val="nil"/>
              <w:left w:val="single" w:sz="4" w:space="0" w:color="auto"/>
              <w:bottom w:val="single" w:sz="4" w:space="0" w:color="auto"/>
              <w:right w:val="single" w:sz="4" w:space="0" w:color="auto"/>
            </w:tcBorders>
          </w:tcPr>
          <w:p w14:paraId="7142451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u w:val="single"/>
              </w:rPr>
              <w:t>Vartojant nuo erekcijos sutrikimų</w:t>
            </w:r>
            <w:r w:rsidRPr="00907D70">
              <w:rPr>
                <w:rFonts w:ascii="Times New Roman" w:eastAsia="Times New Roman" w:hAnsi="Times New Roman"/>
                <w:bCs/>
              </w:rPr>
              <w:t>: reikia laikytis ypatingo atsargumo skiriant sildenafilio ar tadalafilio pacientams, kurie gydomi Lopinavir / Ritonavir Accord. Tokiu atveju reikia atidžiau stebėti dėl galimų nepageidaujamų reiškinių, įskaitant hipotenziją, alpimą, regos pakitimus ir pailgėjusią erekciją (žr.4.4 skyrių).</w:t>
            </w:r>
          </w:p>
          <w:p w14:paraId="1661B91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Kartu su Lopinavir / Ritonavir Accord skiriant sildenafilio, jo dozė turi neviršyti 25 mg per 48 valandas, o tadalafilio dozė turi neviršyti 10 mg kas 72 valandas.</w:t>
            </w:r>
          </w:p>
        </w:tc>
      </w:tr>
      <w:tr w:rsidR="00342622" w:rsidRPr="00907D70" w14:paraId="6CF023DA" w14:textId="77777777" w:rsidTr="00160402">
        <w:trPr>
          <w:cantSplit/>
        </w:trPr>
        <w:tc>
          <w:tcPr>
            <w:tcW w:w="3052" w:type="dxa"/>
          </w:tcPr>
          <w:p w14:paraId="6D0C3961"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Vardenafilis</w:t>
            </w:r>
          </w:p>
        </w:tc>
        <w:tc>
          <w:tcPr>
            <w:tcW w:w="3002" w:type="dxa"/>
          </w:tcPr>
          <w:p w14:paraId="0902329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Vardenafilis:</w:t>
            </w:r>
          </w:p>
          <w:p w14:paraId="345C1B3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49 kartus</w:t>
            </w:r>
          </w:p>
          <w:p w14:paraId="4C8D85B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 slopinimo lopinaviro / ritonaviro deriniu.</w:t>
            </w:r>
          </w:p>
        </w:tc>
        <w:tc>
          <w:tcPr>
            <w:tcW w:w="3006" w:type="dxa"/>
            <w:tcBorders>
              <w:top w:val="single" w:sz="4" w:space="0" w:color="auto"/>
            </w:tcBorders>
          </w:tcPr>
          <w:p w14:paraId="6C50A5A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Vardenafilio draudžiama vartoti kartu su Lopinavir / Ritonavir Accord (žr. 4.3 skyrių).</w:t>
            </w:r>
          </w:p>
        </w:tc>
      </w:tr>
      <w:tr w:rsidR="00342622" w:rsidRPr="00907D70" w14:paraId="2E195B9A" w14:textId="77777777" w:rsidTr="00160402">
        <w:trPr>
          <w:cantSplit/>
        </w:trPr>
        <w:tc>
          <w:tcPr>
            <w:tcW w:w="9060" w:type="dxa"/>
            <w:gridSpan w:val="3"/>
          </w:tcPr>
          <w:p w14:paraId="539C4BE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i/>
                <w:iCs/>
              </w:rPr>
              <w:t>Skalsių alkaloidai</w:t>
            </w:r>
          </w:p>
        </w:tc>
      </w:tr>
      <w:tr w:rsidR="00342622" w:rsidRPr="00907D70" w14:paraId="591E98C6" w14:textId="77777777" w:rsidTr="00160402">
        <w:trPr>
          <w:cantSplit/>
        </w:trPr>
        <w:tc>
          <w:tcPr>
            <w:tcW w:w="3052" w:type="dxa"/>
            <w:tcBorders>
              <w:top w:val="single" w:sz="4" w:space="0" w:color="auto"/>
              <w:left w:val="single" w:sz="4" w:space="0" w:color="auto"/>
              <w:bottom w:val="single" w:sz="4" w:space="0" w:color="auto"/>
              <w:right w:val="single" w:sz="4" w:space="0" w:color="auto"/>
            </w:tcBorders>
          </w:tcPr>
          <w:p w14:paraId="1DDBE5A2"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Dihidroergotaminas,</w:t>
            </w:r>
          </w:p>
          <w:p w14:paraId="180544A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ergonovinas, ergotaminas, metilergonovinas</w:t>
            </w:r>
          </w:p>
        </w:tc>
        <w:tc>
          <w:tcPr>
            <w:tcW w:w="3002" w:type="dxa"/>
            <w:tcBorders>
              <w:top w:val="single" w:sz="4" w:space="0" w:color="auto"/>
              <w:left w:val="single" w:sz="4" w:space="0" w:color="auto"/>
              <w:bottom w:val="single" w:sz="4" w:space="0" w:color="auto"/>
              <w:right w:val="single" w:sz="4" w:space="0" w:color="auto"/>
            </w:tcBorders>
          </w:tcPr>
          <w:p w14:paraId="1D279B7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lopinaviras / ritonaviras slopina  CYP3A, gali padidėti koncentracija serume.</w:t>
            </w:r>
          </w:p>
        </w:tc>
        <w:tc>
          <w:tcPr>
            <w:tcW w:w="3006" w:type="dxa"/>
            <w:tcBorders>
              <w:top w:val="single" w:sz="4" w:space="0" w:color="auto"/>
              <w:left w:val="single" w:sz="4" w:space="0" w:color="auto"/>
              <w:bottom w:val="single" w:sz="4" w:space="0" w:color="auto"/>
              <w:right w:val="single" w:sz="4" w:space="0" w:color="auto"/>
            </w:tcBorders>
          </w:tcPr>
          <w:p w14:paraId="138464E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Negalima kartu skirti Lopinavir / Ritonavir Accord ir skalsių alkaloidų, nes gali pasireikšti ūminis skalsių toksiškumas, įskaitant kraujagyslių spazmą ir išemiją (žr. 4.3 skyrių).</w:t>
            </w:r>
          </w:p>
        </w:tc>
      </w:tr>
      <w:tr w:rsidR="00342622" w:rsidRPr="00907D70" w14:paraId="44131826" w14:textId="77777777" w:rsidTr="00160402">
        <w:trPr>
          <w:cantSplit/>
        </w:trPr>
        <w:tc>
          <w:tcPr>
            <w:tcW w:w="9060" w:type="dxa"/>
            <w:gridSpan w:val="3"/>
          </w:tcPr>
          <w:p w14:paraId="05D7D50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i/>
                <w:iCs/>
              </w:rPr>
              <w:t>Virškinimo sistemos judrumą veikiantys preparatai</w:t>
            </w:r>
          </w:p>
        </w:tc>
      </w:tr>
      <w:tr w:rsidR="00342622" w:rsidRPr="00907D70" w14:paraId="622E5561" w14:textId="77777777" w:rsidTr="00160402">
        <w:trPr>
          <w:cantSplit/>
        </w:trPr>
        <w:tc>
          <w:tcPr>
            <w:tcW w:w="3052" w:type="dxa"/>
            <w:tcBorders>
              <w:top w:val="single" w:sz="4" w:space="0" w:color="auto"/>
              <w:left w:val="single" w:sz="4" w:space="0" w:color="auto"/>
              <w:bottom w:val="single" w:sz="4" w:space="0" w:color="auto"/>
              <w:right w:val="single" w:sz="4" w:space="0" w:color="auto"/>
            </w:tcBorders>
          </w:tcPr>
          <w:p w14:paraId="2B9237A8"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Cisapridas</w:t>
            </w:r>
          </w:p>
        </w:tc>
        <w:tc>
          <w:tcPr>
            <w:tcW w:w="3002" w:type="dxa"/>
            <w:tcBorders>
              <w:top w:val="single" w:sz="4" w:space="0" w:color="auto"/>
              <w:left w:val="single" w:sz="4" w:space="0" w:color="auto"/>
              <w:bottom w:val="single" w:sz="4" w:space="0" w:color="auto"/>
              <w:right w:val="single" w:sz="4" w:space="0" w:color="auto"/>
            </w:tcBorders>
          </w:tcPr>
          <w:p w14:paraId="236DF74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lopinaviras / ritonaviras slopina  CYP3A, gali padidėti koncentracija serume.</w:t>
            </w:r>
          </w:p>
        </w:tc>
        <w:tc>
          <w:tcPr>
            <w:tcW w:w="3006" w:type="dxa"/>
            <w:tcBorders>
              <w:top w:val="single" w:sz="4" w:space="0" w:color="auto"/>
              <w:left w:val="single" w:sz="4" w:space="0" w:color="auto"/>
              <w:bottom w:val="single" w:sz="4" w:space="0" w:color="auto"/>
              <w:right w:val="single" w:sz="4" w:space="0" w:color="auto"/>
            </w:tcBorders>
          </w:tcPr>
          <w:p w14:paraId="4CB54BE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Negalima kartu skirti Lopinavir / Ritonavir Accord ir cisaprido, nes gali padidėti sunkių aritmijų rizika (žr. 4.3 skyrių).</w:t>
            </w:r>
          </w:p>
        </w:tc>
      </w:tr>
      <w:tr w:rsidR="00342622" w:rsidRPr="00907D70" w14:paraId="3CADEFBB" w14:textId="77777777" w:rsidTr="00160402">
        <w:trPr>
          <w:cantSplit/>
        </w:trPr>
        <w:tc>
          <w:tcPr>
            <w:tcW w:w="9060" w:type="dxa"/>
            <w:gridSpan w:val="3"/>
          </w:tcPr>
          <w:p w14:paraId="268E505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i/>
                <w:iCs/>
              </w:rPr>
              <w:t>HCV tiesiogiai veikiantys priešvirusiniai preparatai</w:t>
            </w:r>
          </w:p>
        </w:tc>
      </w:tr>
      <w:tr w:rsidR="00342622" w:rsidRPr="00907D70" w14:paraId="6F617183" w14:textId="77777777" w:rsidTr="0016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hRule="exact" w:val="3809"/>
        </w:trPr>
        <w:tc>
          <w:tcPr>
            <w:tcW w:w="3052" w:type="dxa"/>
            <w:tcBorders>
              <w:top w:val="single" w:sz="4" w:space="0" w:color="000000"/>
              <w:left w:val="single" w:sz="4" w:space="0" w:color="000000"/>
              <w:bottom w:val="single" w:sz="4" w:space="0" w:color="000000"/>
              <w:right w:val="single" w:sz="4" w:space="0" w:color="000000"/>
            </w:tcBorders>
            <w:hideMark/>
          </w:tcPr>
          <w:p w14:paraId="77D29AA5"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Elbasviras / grazopreviras</w:t>
            </w:r>
          </w:p>
          <w:p w14:paraId="6583913E"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(50/200 mg kartą per parą)</w:t>
            </w:r>
          </w:p>
        </w:tc>
        <w:tc>
          <w:tcPr>
            <w:tcW w:w="3002" w:type="dxa"/>
            <w:tcBorders>
              <w:top w:val="single" w:sz="4" w:space="0" w:color="000000"/>
              <w:left w:val="single" w:sz="4" w:space="0" w:color="000000"/>
              <w:bottom w:val="single" w:sz="4" w:space="0" w:color="000000"/>
              <w:right w:val="single" w:sz="4" w:space="0" w:color="000000"/>
            </w:tcBorders>
          </w:tcPr>
          <w:p w14:paraId="0367E78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442A882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Elbasviras:</w:t>
            </w:r>
          </w:p>
          <w:p w14:paraId="2EB70788"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AUC: ↑ 2,71 karto</w:t>
            </w:r>
          </w:p>
          <w:p w14:paraId="3EA8B670"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Cmax: ↑ 1,87 karto</w:t>
            </w:r>
          </w:p>
          <w:p w14:paraId="696BABD8"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C24: ↑ 3,58 karto</w:t>
            </w:r>
          </w:p>
          <w:p w14:paraId="62AC7068"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0C61380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Grazopreviras:</w:t>
            </w:r>
          </w:p>
          <w:p w14:paraId="08AFFE47"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AUC: ↑ 11,86 karto</w:t>
            </w:r>
          </w:p>
          <w:p w14:paraId="62BA9C11"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Cmax: ↑ 6,31 karto</w:t>
            </w:r>
          </w:p>
          <w:p w14:paraId="2C0233CF"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C24: ↑ 20,70 karto</w:t>
            </w:r>
          </w:p>
          <w:p w14:paraId="6B8A5AC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(mechanizmų derinys, įskaitant CYP3A slopinimą)</w:t>
            </w:r>
          </w:p>
          <w:p w14:paraId="35CA32B4"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29080121"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Lopinaviras: ↔</w:t>
            </w:r>
          </w:p>
        </w:tc>
        <w:tc>
          <w:tcPr>
            <w:tcW w:w="3006" w:type="dxa"/>
            <w:tcBorders>
              <w:top w:val="single" w:sz="4" w:space="0" w:color="000000"/>
              <w:left w:val="single" w:sz="4" w:space="0" w:color="000000"/>
              <w:bottom w:val="single" w:sz="4" w:space="0" w:color="000000"/>
              <w:right w:val="single" w:sz="4" w:space="0" w:color="000000"/>
            </w:tcBorders>
            <w:hideMark/>
          </w:tcPr>
          <w:p w14:paraId="33200B62" w14:textId="77777777" w:rsidR="00342622" w:rsidRPr="00907D70" w:rsidRDefault="00342622" w:rsidP="0084240B">
            <w:pPr>
              <w:autoSpaceDE w:val="0"/>
              <w:autoSpaceDN w:val="0"/>
              <w:adjustRightInd w:val="0"/>
              <w:spacing w:after="0" w:line="254" w:lineRule="exact"/>
              <w:ind w:left="102" w:right="45"/>
              <w:rPr>
                <w:rFonts w:ascii="Times New Roman" w:hAnsi="Times New Roman"/>
              </w:rPr>
            </w:pPr>
            <w:r w:rsidRPr="00907D70">
              <w:rPr>
                <w:rFonts w:ascii="Times New Roman" w:hAnsi="Times New Roman"/>
                <w:bCs/>
              </w:rPr>
              <w:t xml:space="preserve">Negalima kartu skirti Lopinavir / Ritonavir Accord ir elbasviro / grazopreviro </w:t>
            </w:r>
            <w:r w:rsidRPr="00907D70">
              <w:rPr>
                <w:rFonts w:ascii="Times New Roman" w:hAnsi="Times New Roman"/>
              </w:rPr>
              <w:t>(žr. 4.3 skyrių).</w:t>
            </w:r>
          </w:p>
        </w:tc>
      </w:tr>
      <w:tr w:rsidR="00BD27E3" w:rsidRPr="00907D70" w14:paraId="6BEB793F" w14:textId="77777777" w:rsidTr="00160402">
        <w:tblPrEx>
          <w:tblCellMar>
            <w:left w:w="0" w:type="dxa"/>
            <w:right w:w="0" w:type="dxa"/>
          </w:tblCellMar>
        </w:tblPrEx>
        <w:trPr>
          <w:trHeight w:hRule="exact" w:val="1891"/>
        </w:trPr>
        <w:tc>
          <w:tcPr>
            <w:tcW w:w="3052" w:type="dxa"/>
            <w:tcBorders>
              <w:top w:val="single" w:sz="4" w:space="0" w:color="000000"/>
              <w:left w:val="single" w:sz="4" w:space="0" w:color="000000"/>
              <w:bottom w:val="single" w:sz="4" w:space="0" w:color="000000"/>
              <w:right w:val="single" w:sz="4" w:space="0" w:color="000000"/>
            </w:tcBorders>
            <w:hideMark/>
          </w:tcPr>
          <w:p w14:paraId="3C79E0C9" w14:textId="5BE8C63B" w:rsidR="00BD27E3" w:rsidRPr="00907D70" w:rsidRDefault="00BD27E3" w:rsidP="005B5FE3">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lastRenderedPageBreak/>
              <w:t xml:space="preserve">Glekapreviras / pibrentasviras </w:t>
            </w:r>
          </w:p>
          <w:p w14:paraId="2AB1648D" w14:textId="3ADEF51D" w:rsidR="00BD27E3" w:rsidRPr="00907D70" w:rsidRDefault="00BD27E3" w:rsidP="005B5FE3">
            <w:pPr>
              <w:autoSpaceDE w:val="0"/>
              <w:autoSpaceDN w:val="0"/>
              <w:adjustRightInd w:val="0"/>
              <w:spacing w:after="0" w:line="251" w:lineRule="exact"/>
              <w:ind w:left="102" w:right="-20"/>
              <w:rPr>
                <w:rFonts w:ascii="Times New Roman" w:hAnsi="Times New Roman"/>
              </w:rPr>
            </w:pPr>
          </w:p>
        </w:tc>
        <w:tc>
          <w:tcPr>
            <w:tcW w:w="3002" w:type="dxa"/>
            <w:tcBorders>
              <w:top w:val="single" w:sz="4" w:space="0" w:color="000000"/>
              <w:left w:val="single" w:sz="4" w:space="0" w:color="000000"/>
              <w:bottom w:val="single" w:sz="4" w:space="0" w:color="000000"/>
              <w:right w:val="single" w:sz="4" w:space="0" w:color="000000"/>
            </w:tcBorders>
          </w:tcPr>
          <w:p w14:paraId="726B2D6B" w14:textId="2BF2CE61" w:rsidR="00BD27E3" w:rsidRPr="00907D70" w:rsidRDefault="00BD27E3" w:rsidP="005B5FE3">
            <w:pPr>
              <w:autoSpaceDE w:val="0"/>
              <w:autoSpaceDN w:val="0"/>
              <w:adjustRightInd w:val="0"/>
              <w:spacing w:after="0" w:line="251" w:lineRule="exact"/>
              <w:ind w:left="102" w:right="-20"/>
              <w:rPr>
                <w:rFonts w:ascii="Times New Roman" w:hAnsi="Times New Roman"/>
              </w:rPr>
            </w:pPr>
            <w:r w:rsidRPr="00907D70">
              <w:rPr>
                <w:rFonts w:ascii="Times New Roman" w:eastAsia="Times New Roman" w:hAnsi="Times New Roman"/>
                <w:bCs/>
              </w:rPr>
              <w:t>Kadangi lopinaviras / ritonaviras slopina P-glikoproteiną, BCRP ir OATP1B, gali padidėti koncentracija serume.</w:t>
            </w:r>
          </w:p>
          <w:p w14:paraId="5E0CDCB6" w14:textId="012BE26F" w:rsidR="00BD27E3" w:rsidRPr="00907D70" w:rsidRDefault="00BD27E3" w:rsidP="005B5FE3">
            <w:pPr>
              <w:autoSpaceDE w:val="0"/>
              <w:autoSpaceDN w:val="0"/>
              <w:adjustRightInd w:val="0"/>
              <w:spacing w:after="0" w:line="251" w:lineRule="exact"/>
              <w:ind w:left="102" w:right="-20"/>
              <w:rPr>
                <w:rFonts w:ascii="Times New Roman" w:hAnsi="Times New Roman"/>
              </w:rPr>
            </w:pPr>
          </w:p>
        </w:tc>
        <w:tc>
          <w:tcPr>
            <w:tcW w:w="3006" w:type="dxa"/>
            <w:tcBorders>
              <w:top w:val="single" w:sz="4" w:space="0" w:color="000000"/>
              <w:left w:val="single" w:sz="4" w:space="0" w:color="000000"/>
              <w:bottom w:val="single" w:sz="4" w:space="0" w:color="000000"/>
              <w:right w:val="single" w:sz="4" w:space="0" w:color="000000"/>
            </w:tcBorders>
            <w:hideMark/>
          </w:tcPr>
          <w:p w14:paraId="2E7C26DB" w14:textId="004719BA" w:rsidR="00BD27E3" w:rsidRPr="00907D70" w:rsidRDefault="00962D63" w:rsidP="00962D63">
            <w:pPr>
              <w:autoSpaceDE w:val="0"/>
              <w:autoSpaceDN w:val="0"/>
              <w:adjustRightInd w:val="0"/>
              <w:spacing w:after="0" w:line="254" w:lineRule="exact"/>
              <w:ind w:left="102" w:right="45"/>
              <w:rPr>
                <w:rFonts w:ascii="Times New Roman" w:hAnsi="Times New Roman"/>
              </w:rPr>
            </w:pPr>
            <w:r w:rsidRPr="00907D70">
              <w:rPr>
                <w:rFonts w:ascii="Times New Roman" w:hAnsi="Times New Roman"/>
                <w:bCs/>
              </w:rPr>
              <w:t xml:space="preserve">Dėl su padidėjusiu glekapreviro poveikiu siejamo ALT padidėjimo pavojaus glekapreviro / pibrentasviro ir </w:t>
            </w:r>
            <w:r w:rsidR="00366F4D" w:rsidRPr="00907D70">
              <w:rPr>
                <w:rFonts w:ascii="Times New Roman" w:hAnsi="Times New Roman"/>
                <w:bCs/>
              </w:rPr>
              <w:t>Lopinavir / Ritonavir Accord</w:t>
            </w:r>
            <w:r w:rsidRPr="00907D70">
              <w:rPr>
                <w:rFonts w:ascii="Times New Roman" w:hAnsi="Times New Roman"/>
                <w:bCs/>
              </w:rPr>
              <w:t xml:space="preserve"> vartoti kartu nerekomenduojama.</w:t>
            </w:r>
          </w:p>
        </w:tc>
      </w:tr>
      <w:tr w:rsidR="00342622" w:rsidRPr="00907D70" w14:paraId="2B079016" w14:textId="77777777" w:rsidTr="0016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hRule="exact" w:val="3809"/>
        </w:trPr>
        <w:tc>
          <w:tcPr>
            <w:tcW w:w="3052" w:type="dxa"/>
            <w:tcBorders>
              <w:top w:val="single" w:sz="4" w:space="0" w:color="000000"/>
              <w:left w:val="single" w:sz="4" w:space="0" w:color="000000"/>
              <w:bottom w:val="single" w:sz="4" w:space="0" w:color="000000"/>
              <w:right w:val="single" w:sz="4" w:space="0" w:color="000000"/>
            </w:tcBorders>
          </w:tcPr>
          <w:p w14:paraId="084C904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Ombitasviras / paritapreviras / ritonaviras + dasabuviras</w:t>
            </w:r>
          </w:p>
          <w:p w14:paraId="7C48880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05984FC4"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(25/150/100 mg kartą per parą + 400 mg du kartus per parą)</w:t>
            </w:r>
          </w:p>
          <w:p w14:paraId="3F38BB30"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7E7207F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Lopinaviras / ritonaviras 400/100 mg du kartus per parą</w:t>
            </w:r>
          </w:p>
        </w:tc>
        <w:tc>
          <w:tcPr>
            <w:tcW w:w="3002" w:type="dxa"/>
            <w:tcBorders>
              <w:top w:val="single" w:sz="4" w:space="0" w:color="000000"/>
              <w:left w:val="single" w:sz="4" w:space="0" w:color="000000"/>
              <w:bottom w:val="single" w:sz="4" w:space="0" w:color="000000"/>
              <w:right w:val="single" w:sz="4" w:space="0" w:color="000000"/>
            </w:tcBorders>
          </w:tcPr>
          <w:p w14:paraId="77A94FC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Ombitasviras: ↔</w:t>
            </w:r>
          </w:p>
          <w:p w14:paraId="35672BB0"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5203CC0A"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Paritapreviras: AUC: ↑ 2,17karto</w:t>
            </w:r>
          </w:p>
          <w:p w14:paraId="76B771F2"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 xml:space="preserve">Cmax: ↑ 2,04o karto </w:t>
            </w:r>
          </w:p>
          <w:p w14:paraId="769B5AB4"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Cmin: ↑ 2,36 karto</w:t>
            </w:r>
          </w:p>
          <w:p w14:paraId="40F3AD17"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5F443561"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(CYP3A / efliukso transporterių slopinimas)</w:t>
            </w:r>
          </w:p>
          <w:p w14:paraId="56C0A4E7"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Dasabuviras: ↔ lopinaviras: ↔</w:t>
            </w:r>
          </w:p>
        </w:tc>
        <w:tc>
          <w:tcPr>
            <w:tcW w:w="3006" w:type="dxa"/>
            <w:tcBorders>
              <w:top w:val="single" w:sz="4" w:space="0" w:color="000000"/>
              <w:left w:val="single" w:sz="4" w:space="0" w:color="000000"/>
              <w:bottom w:val="single" w:sz="4" w:space="0" w:color="000000"/>
              <w:right w:val="single" w:sz="4" w:space="0" w:color="000000"/>
            </w:tcBorders>
          </w:tcPr>
          <w:p w14:paraId="37830384" w14:textId="77777777" w:rsidR="00342622" w:rsidRPr="00907D70" w:rsidRDefault="00342622" w:rsidP="0084240B">
            <w:pPr>
              <w:autoSpaceDE w:val="0"/>
              <w:autoSpaceDN w:val="0"/>
              <w:adjustRightInd w:val="0"/>
              <w:spacing w:after="0" w:line="254" w:lineRule="exact"/>
              <w:ind w:left="102" w:right="45"/>
              <w:rPr>
                <w:rFonts w:ascii="Times New Roman" w:hAnsi="Times New Roman"/>
              </w:rPr>
            </w:pPr>
            <w:r w:rsidRPr="00907D70">
              <w:rPr>
                <w:rFonts w:ascii="Times New Roman" w:hAnsi="Times New Roman"/>
              </w:rPr>
              <w:t>Kartu skirti negalima.</w:t>
            </w:r>
          </w:p>
          <w:p w14:paraId="382AB160" w14:textId="77777777" w:rsidR="00342622" w:rsidRPr="00907D70" w:rsidRDefault="00342622" w:rsidP="0084240B">
            <w:pPr>
              <w:autoSpaceDE w:val="0"/>
              <w:autoSpaceDN w:val="0"/>
              <w:adjustRightInd w:val="0"/>
              <w:spacing w:after="0" w:line="254" w:lineRule="exact"/>
              <w:ind w:left="102" w:right="45"/>
              <w:rPr>
                <w:rFonts w:ascii="Times New Roman" w:hAnsi="Times New Roman"/>
              </w:rPr>
            </w:pPr>
          </w:p>
          <w:p w14:paraId="58E38238" w14:textId="77777777" w:rsidR="00342622" w:rsidRPr="00907D70" w:rsidRDefault="00342622" w:rsidP="0084240B">
            <w:pPr>
              <w:autoSpaceDE w:val="0"/>
              <w:autoSpaceDN w:val="0"/>
              <w:adjustRightInd w:val="0"/>
              <w:spacing w:after="0" w:line="254" w:lineRule="exact"/>
              <w:ind w:left="102" w:right="45"/>
              <w:rPr>
                <w:rFonts w:ascii="Times New Roman" w:hAnsi="Times New Roman"/>
              </w:rPr>
            </w:pPr>
            <w:r w:rsidRPr="00907D70">
              <w:rPr>
                <w:rFonts w:ascii="Times New Roman" w:hAnsi="Times New Roman"/>
              </w:rPr>
              <w:t>Lopinaviras / ritonaviras 800/200 mg kartą per parą buvo skiriamas kartu su ombitasviru / paritapreviru / ritonaviru kartu su dasabuviru arba be jo. Poveikis DAA ir lopinavirui buvo panašus į poveikį, kai lopinaviro / ritonaviro buvo skiriama 400/100 mg du kartus per parą (žr. 4.3 skyrių).</w:t>
            </w:r>
          </w:p>
        </w:tc>
      </w:tr>
      <w:tr w:rsidR="00342622" w:rsidRPr="00907D70" w14:paraId="3322F920" w14:textId="77777777" w:rsidTr="0016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hRule="exact" w:val="3809"/>
        </w:trPr>
        <w:tc>
          <w:tcPr>
            <w:tcW w:w="3052" w:type="dxa"/>
            <w:tcBorders>
              <w:top w:val="single" w:sz="4" w:space="0" w:color="000000"/>
              <w:left w:val="single" w:sz="4" w:space="0" w:color="000000"/>
              <w:bottom w:val="single" w:sz="4" w:space="0" w:color="000000"/>
              <w:right w:val="single" w:sz="4" w:space="0" w:color="000000"/>
            </w:tcBorders>
          </w:tcPr>
          <w:p w14:paraId="5C2F6B7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Ombitasviras / paritapreviras / ritonaviras</w:t>
            </w:r>
          </w:p>
          <w:p w14:paraId="223B8FE6"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(25/150/100 mg kartą per parą)</w:t>
            </w:r>
          </w:p>
          <w:p w14:paraId="620C3D33"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0A94B4C8"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Lopinaviras / ritonaviras 400/100 mg du kartus per parą</w:t>
            </w:r>
          </w:p>
        </w:tc>
        <w:tc>
          <w:tcPr>
            <w:tcW w:w="3002" w:type="dxa"/>
            <w:tcBorders>
              <w:top w:val="single" w:sz="4" w:space="0" w:color="000000"/>
              <w:left w:val="single" w:sz="4" w:space="0" w:color="000000"/>
              <w:bottom w:val="single" w:sz="4" w:space="0" w:color="000000"/>
              <w:right w:val="single" w:sz="4" w:space="0" w:color="000000"/>
            </w:tcBorders>
          </w:tcPr>
          <w:p w14:paraId="05E81BAD"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Ombitasviras: ↔</w:t>
            </w:r>
          </w:p>
          <w:p w14:paraId="347A661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56AC04BB"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Paritapreviras:</w:t>
            </w:r>
          </w:p>
          <w:p w14:paraId="203E5B7E"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AUC: ↑ 6,10 karto</w:t>
            </w:r>
          </w:p>
          <w:p w14:paraId="1348B749"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Cmax: ↑ 4,76 karto</w:t>
            </w:r>
          </w:p>
          <w:p w14:paraId="67AC1C12"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Cmin: ↑ 12,33 karto</w:t>
            </w:r>
          </w:p>
          <w:p w14:paraId="50BDD35A"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1D62045B"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(CYP3A / efliukso transporterių slopinimas)</w:t>
            </w:r>
          </w:p>
          <w:p w14:paraId="544DD6AC"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p>
          <w:p w14:paraId="4931667E" w14:textId="77777777" w:rsidR="00342622" w:rsidRPr="00907D70" w:rsidRDefault="00342622" w:rsidP="0084240B">
            <w:pPr>
              <w:autoSpaceDE w:val="0"/>
              <w:autoSpaceDN w:val="0"/>
              <w:adjustRightInd w:val="0"/>
              <w:spacing w:after="0" w:line="251" w:lineRule="exact"/>
              <w:ind w:left="102" w:right="-20"/>
              <w:rPr>
                <w:rFonts w:ascii="Times New Roman" w:hAnsi="Times New Roman"/>
              </w:rPr>
            </w:pPr>
            <w:r w:rsidRPr="00907D70">
              <w:rPr>
                <w:rFonts w:ascii="Times New Roman" w:hAnsi="Times New Roman"/>
              </w:rPr>
              <w:t>Lopinaviras: ↔</w:t>
            </w:r>
          </w:p>
        </w:tc>
        <w:tc>
          <w:tcPr>
            <w:tcW w:w="3006" w:type="dxa"/>
            <w:tcBorders>
              <w:top w:val="single" w:sz="4" w:space="0" w:color="000000"/>
              <w:left w:val="single" w:sz="4" w:space="0" w:color="000000"/>
              <w:bottom w:val="single" w:sz="4" w:space="0" w:color="000000"/>
              <w:right w:val="single" w:sz="4" w:space="0" w:color="000000"/>
            </w:tcBorders>
          </w:tcPr>
          <w:p w14:paraId="0735B9BB" w14:textId="77777777" w:rsidR="00342622" w:rsidRPr="00907D70" w:rsidRDefault="00342622" w:rsidP="0084240B">
            <w:pPr>
              <w:autoSpaceDE w:val="0"/>
              <w:autoSpaceDN w:val="0"/>
              <w:adjustRightInd w:val="0"/>
              <w:spacing w:after="0" w:line="254" w:lineRule="exact"/>
              <w:ind w:left="102" w:right="45"/>
              <w:rPr>
                <w:rFonts w:ascii="Times New Roman" w:hAnsi="Times New Roman"/>
              </w:rPr>
            </w:pPr>
          </w:p>
        </w:tc>
      </w:tr>
      <w:tr w:rsidR="00962D63" w:rsidRPr="00907D70" w14:paraId="5E905989" w14:textId="77777777" w:rsidTr="00160402">
        <w:trPr>
          <w:cantSplit/>
        </w:trPr>
        <w:tc>
          <w:tcPr>
            <w:tcW w:w="3052" w:type="dxa"/>
          </w:tcPr>
          <w:p w14:paraId="40B68F69" w14:textId="38CFB8B4" w:rsidR="00962D63" w:rsidRPr="00907D70" w:rsidRDefault="00962D63" w:rsidP="00962D63">
            <w:pPr>
              <w:tabs>
                <w:tab w:val="left" w:pos="567"/>
              </w:tabs>
              <w:spacing w:after="0" w:line="240" w:lineRule="auto"/>
              <w:jc w:val="both"/>
              <w:rPr>
                <w:rFonts w:ascii="Times New Roman" w:eastAsia="Times New Roman" w:hAnsi="Times New Roman"/>
                <w:bCs/>
              </w:rPr>
            </w:pPr>
            <w:r w:rsidRPr="00907D70">
              <w:rPr>
                <w:rFonts w:ascii="Times New Roman" w:hAnsi="Times New Roman"/>
              </w:rPr>
              <w:t>Sofosbuviras / velpatasviras / voksilapreviras</w:t>
            </w:r>
          </w:p>
        </w:tc>
        <w:tc>
          <w:tcPr>
            <w:tcW w:w="3002" w:type="dxa"/>
          </w:tcPr>
          <w:p w14:paraId="658A8B93" w14:textId="6C4DA628" w:rsidR="00962D63" w:rsidRPr="00907D70" w:rsidRDefault="00962D63" w:rsidP="003A333F">
            <w:pPr>
              <w:autoSpaceDE w:val="0"/>
              <w:autoSpaceDN w:val="0"/>
              <w:adjustRightInd w:val="0"/>
              <w:spacing w:after="0" w:line="251" w:lineRule="exact"/>
              <w:ind w:left="102" w:right="-20"/>
              <w:rPr>
                <w:rFonts w:ascii="Times New Roman" w:eastAsia="Times New Roman" w:hAnsi="Times New Roman"/>
                <w:bCs/>
                <w:sz w:val="20"/>
                <w:szCs w:val="20"/>
              </w:rPr>
            </w:pPr>
            <w:r w:rsidRPr="00907D70">
              <w:rPr>
                <w:rFonts w:ascii="Times New Roman" w:hAnsi="Times New Roman"/>
              </w:rPr>
              <w:t xml:space="preserve">Dėl lopinaviro / ritonaviro sukeliamo P-glikoproteiino, BCRP ir OATP1B1/3 slopinimo sofosbuviro, velpatasviro ir voksilapreviro koncentracija gali padidėti. </w:t>
            </w:r>
            <w:r w:rsidR="003A333F" w:rsidRPr="00907D70">
              <w:rPr>
                <w:rFonts w:ascii="Times New Roman" w:hAnsi="Times New Roman"/>
              </w:rPr>
              <w:t xml:space="preserve">Tačiau </w:t>
            </w:r>
            <w:r w:rsidRPr="00907D70">
              <w:rPr>
                <w:rFonts w:ascii="Times New Roman" w:hAnsi="Times New Roman"/>
              </w:rPr>
              <w:t>kliniškai reikšmingu laikomas tik voksilapreviro poveikio padidėjimas.</w:t>
            </w:r>
          </w:p>
        </w:tc>
        <w:tc>
          <w:tcPr>
            <w:tcW w:w="3006" w:type="dxa"/>
          </w:tcPr>
          <w:p w14:paraId="0F197453" w14:textId="0DEE7FB8" w:rsidR="00962D63" w:rsidRPr="00907D70" w:rsidRDefault="00962D63" w:rsidP="00962D63">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Lopinavir / Ritonavir Accord nerekomenduojama vartoti kartu su </w:t>
            </w:r>
            <w:r w:rsidRPr="00907D70">
              <w:rPr>
                <w:rFonts w:ascii="Times New Roman" w:hAnsi="Times New Roman"/>
              </w:rPr>
              <w:t>sofosbuviru / velpatasviru / voksilapreviru</w:t>
            </w:r>
            <w:r w:rsidRPr="00907D70">
              <w:rPr>
                <w:rFonts w:ascii="Times New Roman" w:eastAsia="Times New Roman" w:hAnsi="Times New Roman"/>
                <w:bCs/>
              </w:rPr>
              <w:t>.</w:t>
            </w:r>
          </w:p>
        </w:tc>
      </w:tr>
      <w:tr w:rsidR="00342622" w:rsidRPr="00907D70" w14:paraId="4CF168AE" w14:textId="77777777" w:rsidTr="00160402">
        <w:trPr>
          <w:cantSplit/>
        </w:trPr>
        <w:tc>
          <w:tcPr>
            <w:tcW w:w="9060" w:type="dxa"/>
            <w:gridSpan w:val="3"/>
          </w:tcPr>
          <w:p w14:paraId="5FBC1152"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Hepatito C viruso proteazių inhibitoriai</w:t>
            </w:r>
          </w:p>
        </w:tc>
      </w:tr>
      <w:tr w:rsidR="00342622" w:rsidRPr="00907D70" w14:paraId="6BE08BC7" w14:textId="77777777" w:rsidTr="00160402">
        <w:trPr>
          <w:cantSplit/>
        </w:trPr>
        <w:tc>
          <w:tcPr>
            <w:tcW w:w="3052" w:type="dxa"/>
          </w:tcPr>
          <w:p w14:paraId="6449B8A5" w14:textId="42B2A726"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0A564288" w14:textId="609C4DFD" w:rsidR="00342622" w:rsidRPr="00907D70" w:rsidRDefault="00342622" w:rsidP="0084240B">
            <w:pPr>
              <w:tabs>
                <w:tab w:val="left" w:pos="567"/>
              </w:tabs>
              <w:spacing w:after="0" w:line="240" w:lineRule="auto"/>
              <w:rPr>
                <w:rFonts w:ascii="Times New Roman" w:eastAsia="Times New Roman" w:hAnsi="Times New Roman"/>
                <w:bCs/>
              </w:rPr>
            </w:pPr>
          </w:p>
        </w:tc>
        <w:tc>
          <w:tcPr>
            <w:tcW w:w="3006" w:type="dxa"/>
          </w:tcPr>
          <w:p w14:paraId="2A431DF2" w14:textId="6768D40D"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57E1FBD3" w14:textId="77777777" w:rsidTr="00160402">
        <w:trPr>
          <w:cantSplit/>
        </w:trPr>
        <w:tc>
          <w:tcPr>
            <w:tcW w:w="3052" w:type="dxa"/>
          </w:tcPr>
          <w:p w14:paraId="205F3A58" w14:textId="77777777" w:rsidR="00342622" w:rsidRPr="00907D70" w:rsidRDefault="00342622" w:rsidP="0084240B">
            <w:pPr>
              <w:autoSpaceDE w:val="0"/>
              <w:autoSpaceDN w:val="0"/>
              <w:adjustRightInd w:val="0"/>
              <w:spacing w:before="1" w:after="0" w:line="252" w:lineRule="exact"/>
              <w:ind w:right="531"/>
              <w:rPr>
                <w:rFonts w:ascii="Times New Roman" w:hAnsi="Times New Roman"/>
              </w:rPr>
            </w:pPr>
            <w:r w:rsidRPr="00907D70">
              <w:rPr>
                <w:rFonts w:ascii="Times New Roman" w:hAnsi="Times New Roman"/>
              </w:rPr>
              <w:t>Simepreviras 200 mg</w:t>
            </w:r>
          </w:p>
          <w:p w14:paraId="004E0EE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hAnsi="Times New Roman"/>
              </w:rPr>
              <w:t>Kartą per parą (kartu su 100 mg ritonaviro du kartus per parą)</w:t>
            </w:r>
          </w:p>
        </w:tc>
        <w:tc>
          <w:tcPr>
            <w:tcW w:w="3002" w:type="dxa"/>
          </w:tcPr>
          <w:p w14:paraId="4D9F3C1D" w14:textId="77777777" w:rsidR="00342622" w:rsidRPr="00907D70" w:rsidRDefault="00342622" w:rsidP="0084240B">
            <w:pPr>
              <w:autoSpaceDE w:val="0"/>
              <w:autoSpaceDN w:val="0"/>
              <w:adjustRightInd w:val="0"/>
              <w:spacing w:before="1" w:after="0" w:line="252" w:lineRule="exact"/>
              <w:ind w:right="361"/>
              <w:rPr>
                <w:rFonts w:ascii="Times New Roman" w:hAnsi="Times New Roman"/>
              </w:rPr>
            </w:pPr>
            <w:r w:rsidRPr="00907D70">
              <w:rPr>
                <w:rFonts w:ascii="Times New Roman" w:hAnsi="Times New Roman"/>
              </w:rPr>
              <w:t xml:space="preserve">Simepreviras: </w:t>
            </w:r>
          </w:p>
          <w:p w14:paraId="70D21035" w14:textId="77777777" w:rsidR="00342622" w:rsidRPr="00907D70" w:rsidRDefault="00342622" w:rsidP="0084240B">
            <w:pPr>
              <w:autoSpaceDE w:val="0"/>
              <w:autoSpaceDN w:val="0"/>
              <w:adjustRightInd w:val="0"/>
              <w:spacing w:before="1" w:after="0" w:line="252" w:lineRule="exact"/>
              <w:ind w:right="361"/>
              <w:rPr>
                <w:rFonts w:ascii="Times New Roman" w:hAnsi="Times New Roman"/>
              </w:rPr>
            </w:pPr>
            <w:r w:rsidRPr="00907D70">
              <w:rPr>
                <w:rFonts w:ascii="Times New Roman" w:hAnsi="Times New Roman"/>
              </w:rPr>
              <w:t xml:space="preserve">AUC: ↑ 7,2 karto </w:t>
            </w:r>
          </w:p>
          <w:p w14:paraId="45C4AA27" w14:textId="77777777" w:rsidR="00342622" w:rsidRPr="00907D70" w:rsidRDefault="00342622" w:rsidP="0084240B">
            <w:pPr>
              <w:autoSpaceDE w:val="0"/>
              <w:autoSpaceDN w:val="0"/>
              <w:adjustRightInd w:val="0"/>
              <w:spacing w:before="1" w:after="0" w:line="252" w:lineRule="exact"/>
              <w:ind w:right="361"/>
              <w:rPr>
                <w:rFonts w:ascii="Times New Roman" w:hAnsi="Times New Roman"/>
              </w:rPr>
            </w:pPr>
            <w:r w:rsidRPr="00907D70">
              <w:rPr>
                <w:rFonts w:ascii="Times New Roman" w:hAnsi="Times New Roman"/>
              </w:rPr>
              <w:t>C</w:t>
            </w:r>
            <w:r w:rsidRPr="00907D70">
              <w:rPr>
                <w:rFonts w:ascii="Times New Roman" w:hAnsi="Times New Roman"/>
                <w:vertAlign w:val="subscript"/>
              </w:rPr>
              <w:t>max</w:t>
            </w:r>
            <w:r w:rsidRPr="00907D70">
              <w:rPr>
                <w:rFonts w:ascii="Times New Roman" w:hAnsi="Times New Roman"/>
              </w:rPr>
              <w:t xml:space="preserve">: ↑ 4,7 karto </w:t>
            </w:r>
          </w:p>
          <w:p w14:paraId="24C07F6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hAnsi="Times New Roman"/>
              </w:rPr>
              <w:t>C</w:t>
            </w:r>
            <w:r w:rsidRPr="00907D70">
              <w:rPr>
                <w:rFonts w:ascii="Times New Roman" w:hAnsi="Times New Roman"/>
                <w:vertAlign w:val="subscript"/>
              </w:rPr>
              <w:t>min</w:t>
            </w:r>
            <w:r w:rsidRPr="00907D70">
              <w:rPr>
                <w:rFonts w:ascii="Times New Roman" w:hAnsi="Times New Roman"/>
              </w:rPr>
              <w:t>: ↑ 14,4 karto</w:t>
            </w:r>
          </w:p>
        </w:tc>
        <w:tc>
          <w:tcPr>
            <w:tcW w:w="3006" w:type="dxa"/>
          </w:tcPr>
          <w:p w14:paraId="07E42EB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hAnsi="Times New Roman"/>
              </w:rPr>
              <w:t xml:space="preserve">Nerekomenduojama kartu vartoti </w:t>
            </w:r>
            <w:r w:rsidRPr="00907D70">
              <w:rPr>
                <w:rFonts w:ascii="Times New Roman" w:eastAsia="Times New Roman" w:hAnsi="Times New Roman"/>
                <w:color w:val="000000"/>
              </w:rPr>
              <w:t xml:space="preserve">Lopinavir / Ritonavir Accord </w:t>
            </w:r>
            <w:r w:rsidRPr="00907D70">
              <w:rPr>
                <w:rFonts w:ascii="Times New Roman" w:hAnsi="Times New Roman"/>
              </w:rPr>
              <w:t xml:space="preserve"> ir simeprevirą</w:t>
            </w:r>
            <w:r w:rsidRPr="00907D70">
              <w:rPr>
                <w:rFonts w:ascii="Times New Roman" w:eastAsia="Times New Roman" w:hAnsi="Times New Roman"/>
                <w:bCs/>
              </w:rPr>
              <w:t>.</w:t>
            </w:r>
          </w:p>
        </w:tc>
      </w:tr>
      <w:tr w:rsidR="00342622" w:rsidRPr="00907D70" w14:paraId="335D9EBE" w14:textId="77777777" w:rsidTr="00160402">
        <w:trPr>
          <w:cantSplit/>
        </w:trPr>
        <w:tc>
          <w:tcPr>
            <w:tcW w:w="3052" w:type="dxa"/>
          </w:tcPr>
          <w:p w14:paraId="1386AE76" w14:textId="68A79BEA" w:rsidR="00342622" w:rsidRPr="00907D70" w:rsidRDefault="00342622" w:rsidP="0084240B">
            <w:pPr>
              <w:tabs>
                <w:tab w:val="left" w:pos="567"/>
              </w:tabs>
              <w:spacing w:after="0" w:line="240" w:lineRule="auto"/>
              <w:jc w:val="both"/>
              <w:rPr>
                <w:rFonts w:ascii="Times New Roman" w:eastAsia="Times New Roman" w:hAnsi="Times New Roman"/>
                <w:bCs/>
              </w:rPr>
            </w:pPr>
          </w:p>
        </w:tc>
        <w:tc>
          <w:tcPr>
            <w:tcW w:w="3002" w:type="dxa"/>
          </w:tcPr>
          <w:p w14:paraId="76CFDAF3" w14:textId="3058E2CC" w:rsidR="00342622" w:rsidRPr="00907D70" w:rsidRDefault="00342622" w:rsidP="0084240B">
            <w:pPr>
              <w:tabs>
                <w:tab w:val="left" w:pos="567"/>
              </w:tabs>
              <w:spacing w:after="0" w:line="240" w:lineRule="auto"/>
              <w:rPr>
                <w:rFonts w:ascii="Times New Roman" w:eastAsia="Times New Roman" w:hAnsi="Times New Roman"/>
                <w:bCs/>
              </w:rPr>
            </w:pPr>
          </w:p>
        </w:tc>
        <w:tc>
          <w:tcPr>
            <w:tcW w:w="3006" w:type="dxa"/>
          </w:tcPr>
          <w:p w14:paraId="1F0F91EB" w14:textId="5D016D72"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6CA10931" w14:textId="77777777" w:rsidTr="00160402">
        <w:trPr>
          <w:cantSplit/>
        </w:trPr>
        <w:tc>
          <w:tcPr>
            <w:tcW w:w="9060" w:type="dxa"/>
            <w:gridSpan w:val="3"/>
          </w:tcPr>
          <w:p w14:paraId="299FA59C"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Vaistažolių preparatai</w:t>
            </w:r>
          </w:p>
        </w:tc>
      </w:tr>
      <w:tr w:rsidR="00342622" w:rsidRPr="00907D70" w14:paraId="55387885" w14:textId="77777777" w:rsidTr="00160402">
        <w:trPr>
          <w:cantSplit/>
        </w:trPr>
        <w:tc>
          <w:tcPr>
            <w:tcW w:w="3052" w:type="dxa"/>
          </w:tcPr>
          <w:p w14:paraId="78EA8D7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lastRenderedPageBreak/>
              <w:t>Jonažolės (</w:t>
            </w:r>
            <w:r w:rsidRPr="00907D70">
              <w:rPr>
                <w:rFonts w:ascii="Times New Roman" w:eastAsia="Times New Roman" w:hAnsi="Times New Roman"/>
                <w:bCs/>
                <w:i/>
              </w:rPr>
              <w:t>Hypericum perforatum</w:t>
            </w:r>
            <w:r w:rsidRPr="00907D70">
              <w:rPr>
                <w:rFonts w:ascii="Times New Roman" w:eastAsia="Times New Roman" w:hAnsi="Times New Roman"/>
                <w:bCs/>
              </w:rPr>
              <w:t>)</w:t>
            </w:r>
          </w:p>
        </w:tc>
        <w:tc>
          <w:tcPr>
            <w:tcW w:w="3002" w:type="dxa"/>
          </w:tcPr>
          <w:p w14:paraId="5942FBC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w:t>
            </w:r>
          </w:p>
          <w:p w14:paraId="79C2F05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koncentracija gali sumažėti, dėl CYP3A indukavimo vaistažolių preparatais, kurių sudėtyje yra jonažolių.</w:t>
            </w:r>
          </w:p>
        </w:tc>
        <w:tc>
          <w:tcPr>
            <w:tcW w:w="3006" w:type="dxa"/>
          </w:tcPr>
          <w:tbl>
            <w:tblPr>
              <w:tblW w:w="0" w:type="auto"/>
              <w:tblBorders>
                <w:top w:val="nil"/>
                <w:left w:val="nil"/>
                <w:bottom w:val="nil"/>
                <w:right w:val="nil"/>
              </w:tblBorders>
              <w:tblLook w:val="0000" w:firstRow="0" w:lastRow="0" w:firstColumn="0" w:lastColumn="0" w:noHBand="0" w:noVBand="0"/>
            </w:tblPr>
            <w:tblGrid>
              <w:gridCol w:w="2790"/>
            </w:tblGrid>
            <w:tr w:rsidR="00342622" w:rsidRPr="00907D70" w14:paraId="07E2282D" w14:textId="77777777" w:rsidTr="00753A51">
              <w:trPr>
                <w:trHeight w:val="531"/>
              </w:trPr>
              <w:tc>
                <w:tcPr>
                  <w:tcW w:w="0" w:type="auto"/>
                </w:tcPr>
                <w:p w14:paraId="468C1A85" w14:textId="77777777" w:rsidR="00342622" w:rsidRPr="00907D70" w:rsidRDefault="00342622" w:rsidP="0084240B">
                  <w:pPr>
                    <w:autoSpaceDE w:val="0"/>
                    <w:autoSpaceDN w:val="0"/>
                    <w:adjustRightInd w:val="0"/>
                    <w:spacing w:after="0" w:line="240" w:lineRule="auto"/>
                    <w:rPr>
                      <w:rFonts w:ascii="Times New Roman" w:hAnsi="Times New Roman"/>
                      <w:color w:val="000000"/>
                      <w:lang w:eastAsia="lt-LT"/>
                    </w:rPr>
                  </w:pPr>
                  <w:r w:rsidRPr="00907D70">
                    <w:rPr>
                      <w:rFonts w:ascii="Times New Roman" w:eastAsia="Times New Roman" w:hAnsi="Times New Roman"/>
                      <w:bCs/>
                    </w:rPr>
                    <w:t xml:space="preserve">Vaistažolių preparatų, kurių sudėtyje yra jonažolių, negalima skirti kartu su lopinaviru ar ritonaviru. Jeigu pacientai jau gydomi jonažolėmis, reikia nutraukti jų vartojimą ir, jeigu įmanoma, patikrinti virusologinius lygmenis. Nutraukus jonažolių vartojimą gali padidėti lopinaviro ir ritonaviro lygiai. Gali prireikti koreguoti Lopinavir / Ritonavir Accord dozę. Po gydymo jonažolėmis nutraukimo indukuojantis poveikis gali išsilaikyti mažiausiai 2 savaites (žr. 4.3 skyrių). Taigi, Lopinavir / Ritonavir Accord </w:t>
                  </w:r>
                  <w:r w:rsidRPr="00907D70">
                    <w:rPr>
                      <w:rFonts w:ascii="Times New Roman" w:hAnsi="Times New Roman"/>
                      <w:color w:val="000000"/>
                      <w:lang w:eastAsia="lt-LT"/>
                    </w:rPr>
                    <w:t xml:space="preserve">galima </w:t>
                  </w:r>
                  <w:r w:rsidRPr="00907D70">
                    <w:rPr>
                      <w:rFonts w:ascii="Times New Roman" w:eastAsia="Times New Roman" w:hAnsi="Times New Roman"/>
                      <w:bCs/>
                    </w:rPr>
                    <w:t>s</w:t>
                  </w:r>
                  <w:r w:rsidRPr="00907D70">
                    <w:rPr>
                      <w:rFonts w:ascii="Times New Roman" w:hAnsi="Times New Roman"/>
                      <w:color w:val="000000"/>
                      <w:lang w:eastAsia="lt-LT"/>
                    </w:rPr>
                    <w:t xml:space="preserve">augiai pradėti vartoti tik praėjus 2 savaitėms po jonažolių nutraukimo. </w:t>
                  </w:r>
                </w:p>
              </w:tc>
            </w:tr>
          </w:tbl>
          <w:p w14:paraId="0A2C013F"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77A1F8CB" w14:textId="77777777" w:rsidTr="00160402">
        <w:trPr>
          <w:cantSplit/>
        </w:trPr>
        <w:tc>
          <w:tcPr>
            <w:tcW w:w="9060" w:type="dxa"/>
            <w:gridSpan w:val="3"/>
          </w:tcPr>
          <w:p w14:paraId="72746DB7"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Imunosupresantai</w:t>
            </w:r>
          </w:p>
        </w:tc>
      </w:tr>
      <w:tr w:rsidR="00342622" w:rsidRPr="00907D70" w14:paraId="4BB7AF6C" w14:textId="77777777" w:rsidTr="00160402">
        <w:trPr>
          <w:cantSplit/>
        </w:trPr>
        <w:tc>
          <w:tcPr>
            <w:tcW w:w="3052" w:type="dxa"/>
          </w:tcPr>
          <w:p w14:paraId="1BD2729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Ciklosporinas, sirolimuzas (rapamicinas) ir takrolimuzas</w:t>
            </w:r>
          </w:p>
        </w:tc>
        <w:tc>
          <w:tcPr>
            <w:tcW w:w="3002" w:type="dxa"/>
          </w:tcPr>
          <w:p w14:paraId="7381F10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Ciklosporinas, sirolimuzas (rapamicinas), takrolimuzas:</w:t>
            </w:r>
          </w:p>
          <w:p w14:paraId="5B0876E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gali padidėti koncentracija dėl CYP3A slopinimo vartojant Lopinavir / Ritonavir Accord.</w:t>
            </w:r>
          </w:p>
        </w:tc>
        <w:tc>
          <w:tcPr>
            <w:tcW w:w="3006" w:type="dxa"/>
          </w:tcPr>
          <w:p w14:paraId="6EC6625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Rekomenduojama dažniau matuoti šių vaistinių preparatų koncentraciją kraujo plazmoje, kol ji stabilizuosis.</w:t>
            </w:r>
          </w:p>
        </w:tc>
      </w:tr>
      <w:tr w:rsidR="00342622" w:rsidRPr="00907D70" w14:paraId="640CDA32" w14:textId="77777777" w:rsidTr="00160402">
        <w:trPr>
          <w:cantSplit/>
        </w:trPr>
        <w:tc>
          <w:tcPr>
            <w:tcW w:w="9060" w:type="dxa"/>
            <w:gridSpan w:val="3"/>
          </w:tcPr>
          <w:p w14:paraId="60D199F9"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Lipidų kiekį mažinantys vaistiniai preparatai</w:t>
            </w:r>
          </w:p>
        </w:tc>
      </w:tr>
      <w:tr w:rsidR="00342622" w:rsidRPr="00907D70" w14:paraId="32B4B1C7" w14:textId="77777777" w:rsidTr="00160402">
        <w:trPr>
          <w:cantSplit/>
        </w:trPr>
        <w:tc>
          <w:tcPr>
            <w:tcW w:w="3052" w:type="dxa"/>
          </w:tcPr>
          <w:p w14:paraId="5C1B89DA"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Lovastatinas ir simvastatinas</w:t>
            </w:r>
          </w:p>
        </w:tc>
        <w:tc>
          <w:tcPr>
            <w:tcW w:w="3002" w:type="dxa"/>
          </w:tcPr>
          <w:p w14:paraId="27845A4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Lovastatinas, simvastatinas:</w:t>
            </w:r>
          </w:p>
          <w:p w14:paraId="1B88D0E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žymus koncentracijos padidėjimas kraujo plazmoje dėl CYP3A slopinimo vartojant Lopinavir / Ritonavir Accord.</w:t>
            </w:r>
          </w:p>
        </w:tc>
        <w:tc>
          <w:tcPr>
            <w:tcW w:w="3006" w:type="dxa"/>
          </w:tcPr>
          <w:p w14:paraId="6AC2153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Kadangi padidėjusi HMG-KoA reduktazės inhibitorių koncentracija kraujo plazmoje gali sukelti miopatiją, įskaitant rabdomiolizę, šių vaistinių preparatų skirti kartu su Lopinavir / Ritonavir Accord draudžiama (žr. 4.3 skyrių).</w:t>
            </w:r>
          </w:p>
        </w:tc>
      </w:tr>
      <w:tr w:rsidR="00320030" w:rsidRPr="00907D70" w14:paraId="029CC411" w14:textId="77777777" w:rsidTr="00160402">
        <w:trPr>
          <w:cantSplit/>
        </w:trPr>
        <w:tc>
          <w:tcPr>
            <w:tcW w:w="9060" w:type="dxa"/>
            <w:gridSpan w:val="3"/>
          </w:tcPr>
          <w:p w14:paraId="396F6C5B" w14:textId="79735B73" w:rsidR="00320030" w:rsidRPr="00907D70" w:rsidRDefault="00320030" w:rsidP="00BF5DA7">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 xml:space="preserve">Lipidų kiekį keičiantys </w:t>
            </w:r>
            <w:r w:rsidR="005535C0" w:rsidRPr="00907D70">
              <w:rPr>
                <w:rFonts w:ascii="Times New Roman" w:eastAsia="Times New Roman" w:hAnsi="Times New Roman"/>
                <w:bCs/>
                <w:i/>
              </w:rPr>
              <w:t xml:space="preserve">vaistiniai </w:t>
            </w:r>
            <w:r w:rsidRPr="00907D70">
              <w:rPr>
                <w:rFonts w:ascii="Times New Roman" w:eastAsia="Times New Roman" w:hAnsi="Times New Roman"/>
                <w:bCs/>
                <w:i/>
              </w:rPr>
              <w:t>preparatai</w:t>
            </w:r>
          </w:p>
        </w:tc>
      </w:tr>
      <w:tr w:rsidR="00E97851" w:rsidRPr="00907D70" w14:paraId="68F0C27E" w14:textId="77777777" w:rsidTr="00160402">
        <w:trPr>
          <w:cantSplit/>
        </w:trPr>
        <w:tc>
          <w:tcPr>
            <w:tcW w:w="3052" w:type="dxa"/>
          </w:tcPr>
          <w:p w14:paraId="7E1BBDE5" w14:textId="16964042" w:rsidR="00E97851" w:rsidRPr="00907D70" w:rsidRDefault="00E97851" w:rsidP="00E97851">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Lomitapidas</w:t>
            </w:r>
          </w:p>
        </w:tc>
        <w:tc>
          <w:tcPr>
            <w:tcW w:w="3002" w:type="dxa"/>
          </w:tcPr>
          <w:p w14:paraId="03943B94" w14:textId="14D6825D" w:rsidR="00E97851" w:rsidRPr="00907D70" w:rsidRDefault="00E97851" w:rsidP="00E97851">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CYP3A4 inhibitoriai padidina lomitapido </w:t>
            </w:r>
            <w:r w:rsidR="005535C0" w:rsidRPr="00907D70">
              <w:rPr>
                <w:rFonts w:ascii="Times New Roman" w:eastAsia="Times New Roman" w:hAnsi="Times New Roman"/>
                <w:bCs/>
              </w:rPr>
              <w:t>ekspoziciją</w:t>
            </w:r>
            <w:r w:rsidR="00262D33" w:rsidRPr="00907D70">
              <w:rPr>
                <w:rFonts w:ascii="Times New Roman" w:eastAsia="Times New Roman" w:hAnsi="Times New Roman"/>
                <w:bCs/>
              </w:rPr>
              <w:t>, esant</w:t>
            </w:r>
            <w:r w:rsidRPr="00907D70">
              <w:rPr>
                <w:rFonts w:ascii="Times New Roman" w:eastAsia="Times New Roman" w:hAnsi="Times New Roman"/>
                <w:bCs/>
              </w:rPr>
              <w:t xml:space="preserve"> stipri</w:t>
            </w:r>
            <w:r w:rsidR="00262D33" w:rsidRPr="00907D70">
              <w:rPr>
                <w:rFonts w:ascii="Times New Roman" w:eastAsia="Times New Roman" w:hAnsi="Times New Roman"/>
                <w:bCs/>
              </w:rPr>
              <w:t>em</w:t>
            </w:r>
            <w:r w:rsidRPr="00907D70">
              <w:rPr>
                <w:rFonts w:ascii="Times New Roman" w:eastAsia="Times New Roman" w:hAnsi="Times New Roman"/>
                <w:bCs/>
              </w:rPr>
              <w:t>s inhibitoria</w:t>
            </w:r>
            <w:r w:rsidR="00262D33" w:rsidRPr="00907D70">
              <w:rPr>
                <w:rFonts w:ascii="Times New Roman" w:eastAsia="Times New Roman" w:hAnsi="Times New Roman"/>
                <w:bCs/>
              </w:rPr>
              <w:t>m</w:t>
            </w:r>
            <w:r w:rsidRPr="00907D70">
              <w:rPr>
                <w:rFonts w:ascii="Times New Roman" w:eastAsia="Times New Roman" w:hAnsi="Times New Roman"/>
                <w:bCs/>
              </w:rPr>
              <w:t xml:space="preserve">s, </w:t>
            </w:r>
            <w:r w:rsidR="00262D33" w:rsidRPr="00907D70">
              <w:rPr>
                <w:rFonts w:ascii="Times New Roman" w:eastAsia="Times New Roman" w:hAnsi="Times New Roman"/>
                <w:bCs/>
              </w:rPr>
              <w:t>ekspozicija padidėja</w:t>
            </w:r>
            <w:r w:rsidRPr="00907D70">
              <w:rPr>
                <w:rFonts w:ascii="Times New Roman" w:eastAsia="Times New Roman" w:hAnsi="Times New Roman"/>
                <w:bCs/>
              </w:rPr>
              <w:t xml:space="preserve"> maždaug 27 kartus. Dėl CYP3A slopinimo vartojant lopinavirą / ritonavirą, tikėtinas lomitapido koncentracijos padidėjimas.</w:t>
            </w:r>
          </w:p>
        </w:tc>
        <w:tc>
          <w:tcPr>
            <w:tcW w:w="3006" w:type="dxa"/>
          </w:tcPr>
          <w:p w14:paraId="68BE55DC" w14:textId="20D4DF95" w:rsidR="00E97851" w:rsidRPr="00907D70" w:rsidRDefault="00E97851" w:rsidP="00E97851">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Kartu vartoti </w:t>
            </w:r>
            <w:r w:rsidR="00262D33" w:rsidRPr="00907D70">
              <w:rPr>
                <w:rFonts w:ascii="Times New Roman" w:eastAsia="Times New Roman" w:hAnsi="Times New Roman"/>
                <w:bCs/>
              </w:rPr>
              <w:t>Lopinavir / Ritonavir Accord</w:t>
            </w:r>
            <w:r w:rsidRPr="00907D70">
              <w:rPr>
                <w:rFonts w:ascii="Times New Roman" w:eastAsia="Times New Roman" w:hAnsi="Times New Roman"/>
                <w:bCs/>
              </w:rPr>
              <w:t xml:space="preserve"> ir lomitapid</w:t>
            </w:r>
            <w:r w:rsidR="00262D33" w:rsidRPr="00907D70">
              <w:rPr>
                <w:rFonts w:ascii="Times New Roman" w:eastAsia="Times New Roman" w:hAnsi="Times New Roman"/>
                <w:bCs/>
              </w:rPr>
              <w:t>o</w:t>
            </w:r>
            <w:r w:rsidRPr="00907D70">
              <w:rPr>
                <w:rFonts w:ascii="Times New Roman" w:eastAsia="Times New Roman" w:hAnsi="Times New Roman"/>
                <w:bCs/>
              </w:rPr>
              <w:t xml:space="preserve"> negalima (žr. lomitapido skyrimo informaciją) (žr. 4.3 skyrių).</w:t>
            </w:r>
          </w:p>
        </w:tc>
      </w:tr>
      <w:tr w:rsidR="00342622" w:rsidRPr="00907D70" w14:paraId="31511B37" w14:textId="77777777" w:rsidTr="00160402">
        <w:trPr>
          <w:cantSplit/>
        </w:trPr>
        <w:tc>
          <w:tcPr>
            <w:tcW w:w="3052" w:type="dxa"/>
          </w:tcPr>
          <w:p w14:paraId="5914EE1E"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Atorvastatinas</w:t>
            </w:r>
          </w:p>
        </w:tc>
        <w:tc>
          <w:tcPr>
            <w:tcW w:w="3002" w:type="dxa"/>
          </w:tcPr>
          <w:p w14:paraId="12FFD20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Atorvastatinas:</w:t>
            </w:r>
          </w:p>
          <w:p w14:paraId="7B2974A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5,9 karto</w:t>
            </w:r>
          </w:p>
          <w:p w14:paraId="006C9B76"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4,7 karto</w:t>
            </w:r>
          </w:p>
          <w:p w14:paraId="6194B64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 slopinimo vartojant Lopinavir / Ritonavir Accord.</w:t>
            </w:r>
          </w:p>
        </w:tc>
        <w:tc>
          <w:tcPr>
            <w:tcW w:w="3006" w:type="dxa"/>
          </w:tcPr>
          <w:p w14:paraId="2122061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nerekomenduojama skirti kartu su atorvastatinu. Jei manoma, kad atorvastatino vartoti neabejotinai būtina, reikia skirti pačią mažiausią veiksmingą atorvastatino dozę atidžiai stebint saugumą (žr. 4.4 skyrių).</w:t>
            </w:r>
          </w:p>
        </w:tc>
      </w:tr>
      <w:tr w:rsidR="00342622" w:rsidRPr="00907D70" w14:paraId="543F434B" w14:textId="77777777" w:rsidTr="00160402">
        <w:trPr>
          <w:cantSplit/>
        </w:trPr>
        <w:tc>
          <w:tcPr>
            <w:tcW w:w="3052" w:type="dxa"/>
          </w:tcPr>
          <w:p w14:paraId="0F8DEBEB"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Rozuvastatinas, 20 mg QD</w:t>
            </w:r>
          </w:p>
        </w:tc>
        <w:tc>
          <w:tcPr>
            <w:tcW w:w="3002" w:type="dxa"/>
          </w:tcPr>
          <w:p w14:paraId="52A04F2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Rozuvastatinas:</w:t>
            </w:r>
          </w:p>
          <w:p w14:paraId="6B09F25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2 kartus</w:t>
            </w:r>
          </w:p>
          <w:p w14:paraId="77A21B7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5 kartus</w:t>
            </w:r>
          </w:p>
          <w:p w14:paraId="2105733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Nors rozuvastatinas yra labai menkai metabolizuojamas CYP3A4, tačiau buvo pastebėtas jo koncentracijos kraujo plazmoje padidėjimas. Manoma, kad šios sąveikos mechanizmas susijęs su transporto baltymų slopinimu.</w:t>
            </w:r>
          </w:p>
        </w:tc>
        <w:tc>
          <w:tcPr>
            <w:tcW w:w="3006" w:type="dxa"/>
          </w:tcPr>
          <w:p w14:paraId="6922A321"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Reikia laikytis atsargumo ir pagalvoti apie dozių sumažinimą, jeigu rozuvastatino vartojama kartu su Lopinavir / Ritonavir Accord (žr. 4.4 skyrių).</w:t>
            </w:r>
          </w:p>
          <w:p w14:paraId="70D91D20" w14:textId="77777777" w:rsidR="00342622" w:rsidRPr="00907D70" w:rsidRDefault="00342622" w:rsidP="0084240B">
            <w:pPr>
              <w:tabs>
                <w:tab w:val="left" w:pos="567"/>
              </w:tabs>
              <w:spacing w:after="0" w:line="240" w:lineRule="auto"/>
              <w:rPr>
                <w:rFonts w:ascii="Times New Roman" w:eastAsia="Times New Roman" w:hAnsi="Times New Roman"/>
                <w:bCs/>
              </w:rPr>
            </w:pPr>
          </w:p>
        </w:tc>
      </w:tr>
      <w:tr w:rsidR="00342622" w:rsidRPr="00907D70" w14:paraId="0B103EF3" w14:textId="77777777" w:rsidTr="00160402">
        <w:trPr>
          <w:cantSplit/>
        </w:trPr>
        <w:tc>
          <w:tcPr>
            <w:tcW w:w="3052" w:type="dxa"/>
          </w:tcPr>
          <w:p w14:paraId="1A057907"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Fluvastatinas ar pravastatinas</w:t>
            </w:r>
          </w:p>
        </w:tc>
        <w:tc>
          <w:tcPr>
            <w:tcW w:w="3002" w:type="dxa"/>
          </w:tcPr>
          <w:p w14:paraId="5F00C0C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Fluvastatinas, pravastatinas:</w:t>
            </w:r>
          </w:p>
          <w:p w14:paraId="3AF09E2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klinikinės sąveikos nesitikima.</w:t>
            </w:r>
          </w:p>
          <w:p w14:paraId="3BF14FA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CYP450 pravastatino nemetabolizuoja.</w:t>
            </w:r>
          </w:p>
          <w:p w14:paraId="3388DC8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Fluvastatiną dalinai metabolizuoja CYP2C9.</w:t>
            </w:r>
          </w:p>
        </w:tc>
        <w:tc>
          <w:tcPr>
            <w:tcW w:w="3006" w:type="dxa"/>
          </w:tcPr>
          <w:p w14:paraId="24812FB7"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Jei reikalingas gydymas HMG-CoA reduktazės inhibitoriumi, rekomenduojama skirti fluvastatino ar pravastatino.</w:t>
            </w:r>
          </w:p>
        </w:tc>
      </w:tr>
      <w:tr w:rsidR="00342622" w:rsidRPr="00907D70" w14:paraId="34F89EBF" w14:textId="77777777" w:rsidTr="00160402">
        <w:trPr>
          <w:cantSplit/>
        </w:trPr>
        <w:tc>
          <w:tcPr>
            <w:tcW w:w="9060" w:type="dxa"/>
            <w:gridSpan w:val="3"/>
          </w:tcPr>
          <w:p w14:paraId="094B9DFD"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Opioidai</w:t>
            </w:r>
          </w:p>
        </w:tc>
      </w:tr>
      <w:tr w:rsidR="00342622" w:rsidRPr="00907D70" w14:paraId="0C102AE3" w14:textId="77777777" w:rsidTr="00160402">
        <w:trPr>
          <w:cantSplit/>
        </w:trPr>
        <w:tc>
          <w:tcPr>
            <w:tcW w:w="3052" w:type="dxa"/>
          </w:tcPr>
          <w:p w14:paraId="40EEC2D4"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Buprenorfinas, 16 mg QD</w:t>
            </w:r>
          </w:p>
        </w:tc>
        <w:tc>
          <w:tcPr>
            <w:tcW w:w="3002" w:type="dxa"/>
          </w:tcPr>
          <w:p w14:paraId="22B516C2"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Buprenorfinas: ↔</w:t>
            </w:r>
          </w:p>
        </w:tc>
        <w:tc>
          <w:tcPr>
            <w:tcW w:w="3006" w:type="dxa"/>
          </w:tcPr>
          <w:p w14:paraId="1836DED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Dozės koreguoti nereikia.</w:t>
            </w:r>
          </w:p>
        </w:tc>
      </w:tr>
      <w:tr w:rsidR="00342622" w:rsidRPr="00907D70" w14:paraId="2B36614F" w14:textId="77777777" w:rsidTr="00160402">
        <w:trPr>
          <w:cantSplit/>
        </w:trPr>
        <w:tc>
          <w:tcPr>
            <w:tcW w:w="3052" w:type="dxa"/>
          </w:tcPr>
          <w:p w14:paraId="634A0A3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Metadonas</w:t>
            </w:r>
          </w:p>
        </w:tc>
        <w:tc>
          <w:tcPr>
            <w:tcW w:w="3002" w:type="dxa"/>
          </w:tcPr>
          <w:p w14:paraId="2A76282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Metadonas: ↓</w:t>
            </w:r>
          </w:p>
        </w:tc>
        <w:tc>
          <w:tcPr>
            <w:tcW w:w="3006" w:type="dxa"/>
          </w:tcPr>
          <w:p w14:paraId="11EF7A6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Rekomenduojama stebėti metadono koncentraciją kraujo plazmoje.</w:t>
            </w:r>
          </w:p>
        </w:tc>
      </w:tr>
      <w:tr w:rsidR="00342622" w:rsidRPr="00907D70" w14:paraId="0DE20BD2" w14:textId="77777777" w:rsidTr="00160402">
        <w:trPr>
          <w:cantSplit/>
        </w:trPr>
        <w:tc>
          <w:tcPr>
            <w:tcW w:w="9060" w:type="dxa"/>
            <w:gridSpan w:val="3"/>
          </w:tcPr>
          <w:p w14:paraId="603FE286"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Geriamieji kontraceptikai</w:t>
            </w:r>
          </w:p>
        </w:tc>
      </w:tr>
      <w:tr w:rsidR="00342622" w:rsidRPr="00907D70" w14:paraId="560FCA84" w14:textId="77777777" w:rsidTr="00160402">
        <w:trPr>
          <w:cantSplit/>
        </w:trPr>
        <w:tc>
          <w:tcPr>
            <w:tcW w:w="3052" w:type="dxa"/>
          </w:tcPr>
          <w:p w14:paraId="33EC224D"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Etinilestradiolis</w:t>
            </w:r>
          </w:p>
        </w:tc>
        <w:tc>
          <w:tcPr>
            <w:tcW w:w="3002" w:type="dxa"/>
          </w:tcPr>
          <w:p w14:paraId="04ECA17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Etinilestradiolis: ↓</w:t>
            </w:r>
          </w:p>
        </w:tc>
        <w:tc>
          <w:tcPr>
            <w:tcW w:w="3006" w:type="dxa"/>
          </w:tcPr>
          <w:p w14:paraId="04FC172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vartojimo su kontraceptikais, kurių sudėtyje yra etinilestradiolio (bet kokios farmacinės formos kontraceptiką, pvz., geriamąjį ar pleistrą), būtina taikyti papildoma kontracepcijos metodą.</w:t>
            </w:r>
          </w:p>
        </w:tc>
      </w:tr>
      <w:tr w:rsidR="00342622" w:rsidRPr="00907D70" w14:paraId="3E7BF408" w14:textId="77777777" w:rsidTr="00160402">
        <w:trPr>
          <w:cantSplit/>
        </w:trPr>
        <w:tc>
          <w:tcPr>
            <w:tcW w:w="9060" w:type="dxa"/>
            <w:gridSpan w:val="3"/>
          </w:tcPr>
          <w:p w14:paraId="36D90405"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Rūkymo nutraukimo priemonės</w:t>
            </w:r>
          </w:p>
        </w:tc>
      </w:tr>
      <w:tr w:rsidR="00342622" w:rsidRPr="00907D70" w14:paraId="3763207D" w14:textId="77777777" w:rsidTr="00160402">
        <w:trPr>
          <w:cantSplit/>
        </w:trPr>
        <w:tc>
          <w:tcPr>
            <w:tcW w:w="3052" w:type="dxa"/>
          </w:tcPr>
          <w:p w14:paraId="344DA3EF"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Bupropionas</w:t>
            </w:r>
          </w:p>
        </w:tc>
        <w:tc>
          <w:tcPr>
            <w:tcW w:w="3002" w:type="dxa"/>
          </w:tcPr>
          <w:p w14:paraId="2196D72D"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Bupropionas ir jo aktyvus metabolitas hidroksibupropionas:</w:t>
            </w:r>
          </w:p>
          <w:p w14:paraId="32C99A8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ir C</w:t>
            </w:r>
            <w:r w:rsidRPr="00907D70">
              <w:rPr>
                <w:rFonts w:ascii="Times New Roman" w:eastAsia="Times New Roman" w:hAnsi="Times New Roman"/>
                <w:bCs/>
                <w:vertAlign w:val="subscript"/>
              </w:rPr>
              <w:t>max</w:t>
            </w:r>
            <w:r w:rsidRPr="00907D70">
              <w:rPr>
                <w:rFonts w:ascii="Times New Roman" w:eastAsia="Times New Roman" w:hAnsi="Times New Roman"/>
                <w:bCs/>
              </w:rPr>
              <w:t xml:space="preserve"> ↓ ~50%</w:t>
            </w:r>
          </w:p>
          <w:p w14:paraId="7B3A54A7" w14:textId="77777777" w:rsidR="00342622" w:rsidRPr="00907D70" w:rsidRDefault="00342622" w:rsidP="0084240B">
            <w:pPr>
              <w:tabs>
                <w:tab w:val="left" w:pos="567"/>
              </w:tabs>
              <w:spacing w:after="0" w:line="240" w:lineRule="auto"/>
              <w:rPr>
                <w:rFonts w:ascii="Times New Roman" w:eastAsia="Times New Roman" w:hAnsi="Times New Roman"/>
                <w:bCs/>
              </w:rPr>
            </w:pPr>
          </w:p>
          <w:p w14:paraId="07CE9789"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Šis poveikis gali būti dėl bupropiono metabolizmo indukcijos.</w:t>
            </w:r>
          </w:p>
        </w:tc>
        <w:tc>
          <w:tcPr>
            <w:tcW w:w="3006" w:type="dxa"/>
          </w:tcPr>
          <w:p w14:paraId="1B9828D4"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Jeigu manoma, kad bupropiono skirti kartu su lopinaviru / ritonaviru yra būtina, tai reikia daryti atidžiai kliniškai stebint bupropiono veiksmingumą ir nedidinti rekomenduojamos dozės, nepaisant pastebėtos indukcijos.</w:t>
            </w:r>
          </w:p>
        </w:tc>
      </w:tr>
      <w:tr w:rsidR="0012065F" w:rsidRPr="00907D70" w14:paraId="2D61951E" w14:textId="77777777" w:rsidTr="00160402">
        <w:trPr>
          <w:cantSplit/>
        </w:trPr>
        <w:tc>
          <w:tcPr>
            <w:tcW w:w="9060" w:type="dxa"/>
            <w:gridSpan w:val="3"/>
          </w:tcPr>
          <w:p w14:paraId="70E21C38" w14:textId="45555954" w:rsidR="0012065F" w:rsidRPr="00907D70" w:rsidRDefault="0012065F" w:rsidP="00753A51">
            <w:pPr>
              <w:pStyle w:val="Sraopastraipa"/>
              <w:ind w:hanging="698"/>
              <w:jc w:val="both"/>
              <w:rPr>
                <w:bCs/>
                <w:i/>
              </w:rPr>
            </w:pPr>
            <w:r w:rsidRPr="00907D70">
              <w:rPr>
                <w:bCs/>
                <w:i/>
              </w:rPr>
              <w:t>Skydliaukės hormonų p</w:t>
            </w:r>
            <w:r w:rsidR="00753A51" w:rsidRPr="00907D70">
              <w:rPr>
                <w:bCs/>
                <w:i/>
              </w:rPr>
              <w:t>a</w:t>
            </w:r>
            <w:r w:rsidRPr="00907D70">
              <w:rPr>
                <w:bCs/>
                <w:i/>
              </w:rPr>
              <w:t>kaitinė terapija</w:t>
            </w:r>
          </w:p>
        </w:tc>
      </w:tr>
      <w:tr w:rsidR="0012065F" w:rsidRPr="00907D70" w14:paraId="79F6F680" w14:textId="77777777" w:rsidTr="00160402">
        <w:trPr>
          <w:cantSplit/>
        </w:trPr>
        <w:tc>
          <w:tcPr>
            <w:tcW w:w="3052" w:type="dxa"/>
          </w:tcPr>
          <w:p w14:paraId="13A274A5" w14:textId="77777777" w:rsidR="0012065F" w:rsidRPr="00907D70" w:rsidRDefault="0012065F" w:rsidP="00D038C7">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lastRenderedPageBreak/>
              <w:t>Levotiroksinas</w:t>
            </w:r>
          </w:p>
        </w:tc>
        <w:tc>
          <w:tcPr>
            <w:tcW w:w="3002" w:type="dxa"/>
          </w:tcPr>
          <w:p w14:paraId="5A61A220" w14:textId="1EC11E4D" w:rsidR="0012065F" w:rsidRPr="00907D70" w:rsidRDefault="0012065F" w:rsidP="0012065F">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Po vaistinio preparato patekimo į rinką buvo gauta pranešimų apie atvejus, rodančius galimą sąveiką tarp ritonaviro turinčių preparatų ir levotiroksino.</w:t>
            </w:r>
          </w:p>
        </w:tc>
        <w:tc>
          <w:tcPr>
            <w:tcW w:w="3006" w:type="dxa"/>
          </w:tcPr>
          <w:p w14:paraId="6E958AB3" w14:textId="149D7B7F" w:rsidR="0012065F" w:rsidRPr="00907D70" w:rsidRDefault="0012065F" w:rsidP="00D038C7">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Pacientams, gydytiems levotiroksinu, reikia stebėti skydliaukę stimuliuojantį hormoną (TSH – </w:t>
            </w:r>
            <w:r w:rsidRPr="00907D70">
              <w:rPr>
                <w:rFonts w:ascii="Times New Roman" w:eastAsia="Times New Roman" w:hAnsi="Times New Roman"/>
                <w:bCs/>
                <w:i/>
              </w:rPr>
              <w:t>angl. Thyroid-stimulating hormone</w:t>
            </w:r>
            <w:r w:rsidRPr="00907D70">
              <w:rPr>
                <w:rFonts w:ascii="Times New Roman" w:eastAsia="Times New Roman" w:hAnsi="Times New Roman"/>
                <w:bCs/>
              </w:rPr>
              <w:t>) mažiausiai pirmąjį mėnesį po gydymo lopinaviru / ritonaviru pradžios ir (arba) pabaigos.</w:t>
            </w:r>
          </w:p>
        </w:tc>
      </w:tr>
      <w:tr w:rsidR="00342622" w:rsidRPr="00907D70" w14:paraId="5C79AF6A" w14:textId="77777777" w:rsidTr="00160402">
        <w:trPr>
          <w:cantSplit/>
        </w:trPr>
        <w:tc>
          <w:tcPr>
            <w:tcW w:w="9060" w:type="dxa"/>
            <w:gridSpan w:val="3"/>
          </w:tcPr>
          <w:p w14:paraId="125B87E9" w14:textId="77777777" w:rsidR="00342622" w:rsidRPr="00907D70" w:rsidRDefault="00342622" w:rsidP="0084240B">
            <w:pPr>
              <w:tabs>
                <w:tab w:val="left" w:pos="567"/>
              </w:tabs>
              <w:spacing w:after="0" w:line="240" w:lineRule="auto"/>
              <w:jc w:val="both"/>
              <w:rPr>
                <w:rFonts w:ascii="Times New Roman" w:eastAsia="Times New Roman" w:hAnsi="Times New Roman"/>
                <w:bCs/>
                <w:i/>
              </w:rPr>
            </w:pPr>
            <w:r w:rsidRPr="00907D70">
              <w:rPr>
                <w:rFonts w:ascii="Times New Roman" w:eastAsia="Times New Roman" w:hAnsi="Times New Roman"/>
                <w:bCs/>
                <w:i/>
              </w:rPr>
              <w:t>Kraujagysles plečiantys vaistiniai preparatai</w:t>
            </w:r>
          </w:p>
        </w:tc>
      </w:tr>
      <w:tr w:rsidR="00342622" w:rsidRPr="00907D70" w14:paraId="183446B1" w14:textId="77777777" w:rsidTr="00160402">
        <w:trPr>
          <w:cantSplit/>
        </w:trPr>
        <w:tc>
          <w:tcPr>
            <w:tcW w:w="3052" w:type="dxa"/>
          </w:tcPr>
          <w:p w14:paraId="434B5112"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Bozentanas</w:t>
            </w:r>
          </w:p>
        </w:tc>
        <w:tc>
          <w:tcPr>
            <w:tcW w:w="3002" w:type="dxa"/>
          </w:tcPr>
          <w:p w14:paraId="3B71F80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Lopinaviras - ritonaviras:</w:t>
            </w:r>
          </w:p>
          <w:p w14:paraId="1E45123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Lopinaviro / ritonaviro koncentracija kraujo plazmoje gali sumažėti dėl CYP3A4 indukcijos bozentanu.</w:t>
            </w:r>
          </w:p>
          <w:p w14:paraId="5AD98500" w14:textId="77777777" w:rsidR="00342622" w:rsidRPr="00907D70" w:rsidRDefault="00342622" w:rsidP="0084240B">
            <w:pPr>
              <w:tabs>
                <w:tab w:val="left" w:pos="567"/>
              </w:tabs>
              <w:spacing w:after="0" w:line="240" w:lineRule="auto"/>
              <w:rPr>
                <w:rFonts w:ascii="Times New Roman" w:eastAsia="Times New Roman" w:hAnsi="Times New Roman"/>
                <w:bCs/>
              </w:rPr>
            </w:pPr>
          </w:p>
          <w:p w14:paraId="65D03ED8"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Bozentanas:</w:t>
            </w:r>
          </w:p>
          <w:p w14:paraId="0107C94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AUC: ↑ 5 kartus</w:t>
            </w:r>
          </w:p>
          <w:p w14:paraId="22C05B7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C</w:t>
            </w:r>
            <w:r w:rsidRPr="00907D70">
              <w:rPr>
                <w:rFonts w:ascii="Times New Roman" w:eastAsia="Times New Roman" w:hAnsi="Times New Roman"/>
                <w:bCs/>
                <w:vertAlign w:val="subscript"/>
              </w:rPr>
              <w:t>max</w:t>
            </w:r>
            <w:r w:rsidRPr="00907D70">
              <w:rPr>
                <w:rFonts w:ascii="Times New Roman" w:eastAsia="Times New Roman" w:hAnsi="Times New Roman"/>
                <w:bCs/>
              </w:rPr>
              <w:t>: ↑ 6 kartus</w:t>
            </w:r>
          </w:p>
          <w:p w14:paraId="4882AFF0"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Pradžioje bozentano C</w:t>
            </w:r>
            <w:r w:rsidRPr="00907D70">
              <w:rPr>
                <w:rFonts w:ascii="Times New Roman" w:eastAsia="Times New Roman" w:hAnsi="Times New Roman"/>
                <w:bCs/>
                <w:vertAlign w:val="subscript"/>
              </w:rPr>
              <w:t>min</w:t>
            </w:r>
            <w:r w:rsidRPr="00907D70">
              <w:rPr>
                <w:rFonts w:ascii="Times New Roman" w:eastAsia="Times New Roman" w:hAnsi="Times New Roman"/>
                <w:bCs/>
              </w:rPr>
              <w:t xml:space="preserve"> : ↑ maždaug 48 kartus,</w:t>
            </w:r>
          </w:p>
          <w:p w14:paraId="58A4743F"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dėl CYP3A4 slopinimo lopinaviru/ritonaviru</w:t>
            </w:r>
          </w:p>
        </w:tc>
        <w:tc>
          <w:tcPr>
            <w:tcW w:w="3006" w:type="dxa"/>
          </w:tcPr>
          <w:p w14:paraId="380C862E"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skiriant kartu su bozentanu reikia laikytis atsargumo.</w:t>
            </w:r>
          </w:p>
          <w:p w14:paraId="53845EC3"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Lopinavir / Ritonavir Accord vartojant kartu su bozentanu reikia stebėti ŽIV gydymo efektyvumą ir atidžiai stebėti pacientus dėl galimo bozentano toksinio poveikio, ypač pirmąją gydymo minėtų vaistinių preparatų deriniu savaitę.</w:t>
            </w:r>
          </w:p>
        </w:tc>
      </w:tr>
      <w:tr w:rsidR="00342622" w:rsidRPr="00907D70" w14:paraId="7A01E8C0" w14:textId="77777777" w:rsidTr="00160402">
        <w:trPr>
          <w:cantSplit/>
        </w:trPr>
        <w:tc>
          <w:tcPr>
            <w:tcW w:w="3052" w:type="dxa"/>
          </w:tcPr>
          <w:p w14:paraId="2888C4B3" w14:textId="77777777" w:rsidR="00342622" w:rsidRPr="00907D70" w:rsidRDefault="00342622" w:rsidP="0084240B">
            <w:pPr>
              <w:tabs>
                <w:tab w:val="left" w:pos="567"/>
              </w:tabs>
              <w:spacing w:after="0" w:line="240" w:lineRule="auto"/>
              <w:jc w:val="both"/>
              <w:rPr>
                <w:rFonts w:ascii="Times New Roman" w:eastAsia="Times New Roman" w:hAnsi="Times New Roman"/>
                <w:bCs/>
              </w:rPr>
            </w:pPr>
            <w:r w:rsidRPr="00907D70">
              <w:rPr>
                <w:rFonts w:ascii="Times New Roman" w:eastAsia="Times New Roman" w:hAnsi="Times New Roman"/>
                <w:bCs/>
              </w:rPr>
              <w:t>Riociguatas</w:t>
            </w:r>
          </w:p>
        </w:tc>
        <w:tc>
          <w:tcPr>
            <w:tcW w:w="3002" w:type="dxa"/>
          </w:tcPr>
          <w:p w14:paraId="21EEDD0C"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Dėl </w:t>
            </w:r>
            <w:r w:rsidRPr="00907D70">
              <w:rPr>
                <w:rFonts w:ascii="Times New Roman" w:eastAsia="Times New Roman" w:hAnsi="Times New Roman"/>
                <w:color w:val="000000"/>
              </w:rPr>
              <w:t>Lopinavir /Ritonavir Accord</w:t>
            </w:r>
            <w:r w:rsidRPr="00907D70">
              <w:rPr>
                <w:rFonts w:ascii="Times New Roman" w:eastAsia="Times New Roman" w:hAnsi="Times New Roman"/>
                <w:bCs/>
              </w:rPr>
              <w:t xml:space="preserve"> sukeliamo CYP3A ir P-pg slopinimo gali padidėti koncentracijos serume.</w:t>
            </w:r>
          </w:p>
        </w:tc>
        <w:tc>
          <w:tcPr>
            <w:tcW w:w="3006" w:type="dxa"/>
          </w:tcPr>
          <w:p w14:paraId="63A2DCEA"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 xml:space="preserve">Riociguato ir </w:t>
            </w:r>
            <w:r w:rsidRPr="00907D70">
              <w:rPr>
                <w:rFonts w:ascii="Times New Roman" w:eastAsia="Times New Roman" w:hAnsi="Times New Roman"/>
                <w:color w:val="000000"/>
              </w:rPr>
              <w:t xml:space="preserve">Lopinavir / Ritonavir Accord </w:t>
            </w:r>
            <w:r w:rsidRPr="00907D70">
              <w:rPr>
                <w:rFonts w:ascii="Times New Roman" w:eastAsia="Times New Roman" w:hAnsi="Times New Roman"/>
                <w:bCs/>
              </w:rPr>
              <w:t>kartu vartoti nerekomenduojama (žr. 4.4 skyrių ir riociguato PCS).</w:t>
            </w:r>
          </w:p>
        </w:tc>
      </w:tr>
      <w:tr w:rsidR="00342622" w:rsidRPr="00907D70" w14:paraId="79884E31" w14:textId="77777777" w:rsidTr="00160402">
        <w:trPr>
          <w:cantSplit/>
        </w:trPr>
        <w:tc>
          <w:tcPr>
            <w:tcW w:w="9060" w:type="dxa"/>
            <w:gridSpan w:val="3"/>
          </w:tcPr>
          <w:p w14:paraId="364B1599" w14:textId="77777777" w:rsidR="00342622" w:rsidRPr="00907D70" w:rsidRDefault="00342622" w:rsidP="0084240B">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Kiti vaistiniai preparatai</w:t>
            </w:r>
          </w:p>
        </w:tc>
      </w:tr>
      <w:tr w:rsidR="00342622" w:rsidRPr="00907D70" w14:paraId="37557FF1" w14:textId="77777777" w:rsidTr="00160402">
        <w:trPr>
          <w:cantSplit/>
        </w:trPr>
        <w:tc>
          <w:tcPr>
            <w:tcW w:w="9060" w:type="dxa"/>
            <w:gridSpan w:val="3"/>
          </w:tcPr>
          <w:p w14:paraId="7D2CB62B" w14:textId="77777777" w:rsidR="00342622" w:rsidRPr="00907D70" w:rsidRDefault="00342622" w:rsidP="0084240B">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Remiantis žinomomis metabolizmo charakteristikomis, kliniškai reikšmingos Lopinavir / Ritonavir Accord sąveikos su dapsonu, trimetoprimu / sulfametoksazolu, azitromicinu ar flukonazolu nesitikima.</w:t>
            </w:r>
          </w:p>
        </w:tc>
      </w:tr>
    </w:tbl>
    <w:p w14:paraId="6619FED0" w14:textId="637C2FE1" w:rsidR="00342622" w:rsidRPr="00907D70" w:rsidRDefault="00342622" w:rsidP="00342622">
      <w:pPr>
        <w:tabs>
          <w:tab w:val="left" w:pos="567"/>
        </w:tabs>
        <w:spacing w:after="0" w:line="240" w:lineRule="auto"/>
        <w:rPr>
          <w:rFonts w:ascii="Times New Roman" w:eastAsia="Times New Roman" w:hAnsi="Times New Roman"/>
        </w:rPr>
      </w:pPr>
    </w:p>
    <w:p w14:paraId="05F709CD" w14:textId="77777777" w:rsidR="00342622" w:rsidRPr="00907D70" w:rsidRDefault="00342622" w:rsidP="0034262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4.6</w:t>
      </w:r>
      <w:r w:rsidRPr="00907D70">
        <w:rPr>
          <w:rFonts w:ascii="Times New Roman" w:eastAsia="Times New Roman" w:hAnsi="Times New Roman"/>
          <w:b/>
          <w:bCs/>
        </w:rPr>
        <w:tab/>
        <w:t>Vaisingumas, nėštumo ir žindymo laikotarpis</w:t>
      </w:r>
    </w:p>
    <w:p w14:paraId="713FB7EA" w14:textId="77777777" w:rsidR="00342622" w:rsidRPr="00907D70" w:rsidRDefault="00342622" w:rsidP="00342622">
      <w:pPr>
        <w:tabs>
          <w:tab w:val="left" w:pos="567"/>
        </w:tabs>
        <w:spacing w:after="0" w:line="240" w:lineRule="auto"/>
        <w:rPr>
          <w:rFonts w:ascii="Times New Roman" w:eastAsia="Times New Roman" w:hAnsi="Times New Roman"/>
          <w:b/>
          <w:bCs/>
        </w:rPr>
      </w:pPr>
    </w:p>
    <w:p w14:paraId="347F7FEC"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Nėštumas </w:t>
      </w:r>
    </w:p>
    <w:p w14:paraId="1A5B5A93"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Kad būtų galima charakterizuoti gydymo saugumą vaisiui, turi būti taikoma bendra taisyklė: nusprendus skirti antiretrovirusinį gydymą ŽIV infekuotai nėščiai moteriai, ir tokiu būdu sumažinti ŽIV vertikalaus perdavimo riziką naujagimiui, turi būti atsižvelgta į duomenis, gautus tiek iš tyrimų atliktų su gyvūnais, tiek iš klinikinės patirties su nėščiomis moterimis. </w:t>
      </w:r>
    </w:p>
    <w:p w14:paraId="3DAE8B13"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6C1A314A"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Lopinaviro / ritonaviro derinio poveikis buvo įvertintas daugiau nei 3000 nėščių moterų, įskaitant daugiau nei 1000 nėščių moterų pirmojo trimestro metu. </w:t>
      </w:r>
    </w:p>
    <w:p w14:paraId="43E1D879"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4A3A65B6" w14:textId="77777777" w:rsidR="00342622" w:rsidRPr="00907D70" w:rsidRDefault="00342622" w:rsidP="00342622">
      <w:pPr>
        <w:tabs>
          <w:tab w:val="left" w:pos="567"/>
        </w:tabs>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Vaistiniam preparatui patekus į rinką jo poveikis nėščiosioms sekamas per Antiretrovirusinį Nėščiųjų Registrą, kuris sukurtas 1989 sausio mėn., jo duomenimis daugiau kaip 1000 moterų, kurios gavo lopinaviro / ritonaviro pirmo trimestro metu, apsigimimų rizikos padidėjimas nebuvo stebėtas. Apsigimimų paplitimas, vartojant lopinavirą bet kuriuo nėštumo trimestro metu, nesiskiria nuo jų paplitimo bendroje populiacijoje. </w:t>
      </w:r>
    </w:p>
    <w:p w14:paraId="3D5CC318" w14:textId="77777777" w:rsidR="00342622" w:rsidRPr="00907D70" w:rsidRDefault="00342622" w:rsidP="00342622">
      <w:pPr>
        <w:tabs>
          <w:tab w:val="left" w:pos="567"/>
        </w:tabs>
        <w:spacing w:after="0" w:line="240" w:lineRule="auto"/>
        <w:rPr>
          <w:rFonts w:ascii="Times New Roman" w:hAnsi="Times New Roman"/>
          <w:color w:val="000000"/>
          <w:lang w:eastAsia="lt-LT"/>
        </w:rPr>
      </w:pPr>
      <w:r w:rsidRPr="00907D70">
        <w:rPr>
          <w:rFonts w:ascii="Times New Roman" w:hAnsi="Times New Roman"/>
          <w:color w:val="000000"/>
          <w:lang w:eastAsia="lt-LT"/>
        </w:rPr>
        <w:t>Nebuvo stebima tos pačios etiologijos apsigimimų. Tyrimai su gyvūnais parodė toksiškumą reprodukcijai (žr. 5.3 skyrių). Remiantis minėtais duomenimis, apsigimimų rizika žmonėms nėra tikėtina. Lopinavirą galima vartoti nėštumo metu, jei kliniškai reikalinga.</w:t>
      </w:r>
    </w:p>
    <w:p w14:paraId="2AB5509A" w14:textId="77777777" w:rsidR="00342622" w:rsidRPr="00907D70" w:rsidRDefault="00342622" w:rsidP="00342622">
      <w:pPr>
        <w:tabs>
          <w:tab w:val="left" w:pos="567"/>
        </w:tabs>
        <w:spacing w:after="0" w:line="240" w:lineRule="auto"/>
        <w:rPr>
          <w:rFonts w:ascii="Times New Roman" w:eastAsia="Times New Roman" w:hAnsi="Times New Roman"/>
          <w:i/>
          <w:iCs/>
          <w:u w:val="single"/>
        </w:rPr>
      </w:pPr>
    </w:p>
    <w:p w14:paraId="08E1F878"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Žindymas </w:t>
      </w:r>
    </w:p>
    <w:p w14:paraId="6005C2DF"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Tyrimai su žiurkėmis parodė, kad lopinaviro išsiskiria į pieną. Nėra žinoma, ar šio vaistinio preparato patenka į moters pieną. Kaip bendra taisyklė, infekuotoms ŽIV moterims rekomenduojama jokiomis aplinkybėmis nežindyti vaikų, kad būtų išvengta ŽIV perdavimo. </w:t>
      </w:r>
    </w:p>
    <w:p w14:paraId="5811D674"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3F5CFA21"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lastRenderedPageBreak/>
        <w:t xml:space="preserve">Vaisingumas </w:t>
      </w:r>
    </w:p>
    <w:p w14:paraId="6CF4A398"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hAnsi="Times New Roman"/>
          <w:color w:val="000000"/>
          <w:lang w:eastAsia="lt-LT"/>
        </w:rPr>
        <w:t>Tyrimai su gyvūnais neparodė poveikio vaisingumui. Duomenų apie lopinaviro / ritonaviro poveikį žmonių vaisingumui nėra.</w:t>
      </w:r>
    </w:p>
    <w:p w14:paraId="0034F5BC" w14:textId="77777777" w:rsidR="00342622" w:rsidRPr="00907D70" w:rsidRDefault="00342622" w:rsidP="00342622">
      <w:pPr>
        <w:tabs>
          <w:tab w:val="left" w:pos="567"/>
        </w:tabs>
        <w:spacing w:after="0" w:line="240" w:lineRule="auto"/>
        <w:rPr>
          <w:rFonts w:ascii="Times New Roman" w:eastAsia="Times New Roman" w:hAnsi="Times New Roman"/>
        </w:rPr>
      </w:pPr>
    </w:p>
    <w:p w14:paraId="15F4F03B" w14:textId="77777777"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4.7</w:t>
      </w:r>
      <w:r w:rsidRPr="00907D70">
        <w:rPr>
          <w:rFonts w:ascii="Times New Roman" w:eastAsia="Times New Roman" w:hAnsi="Times New Roman"/>
          <w:b/>
        </w:rPr>
        <w:tab/>
        <w:t>Poveikis gebėjimui vairuoti ir valdyti mechanizmus</w:t>
      </w:r>
    </w:p>
    <w:p w14:paraId="70B0B474" w14:textId="77777777" w:rsidR="00342622" w:rsidRPr="00907D70" w:rsidRDefault="00342622" w:rsidP="00342622">
      <w:pPr>
        <w:tabs>
          <w:tab w:val="left" w:pos="567"/>
        </w:tabs>
        <w:spacing w:after="0" w:line="240" w:lineRule="auto"/>
        <w:rPr>
          <w:rFonts w:ascii="Times New Roman" w:eastAsia="Times New Roman" w:hAnsi="Times New Roman"/>
        </w:rPr>
      </w:pPr>
    </w:p>
    <w:p w14:paraId="4607BD77"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Poveikio gebėjimui vairuoti ir valdyti mechanizmus tyrimų neatlikta. Pacientai turi būti informuoti, kad gydymo </w:t>
      </w:r>
      <w:r w:rsidRPr="00907D70">
        <w:rPr>
          <w:rFonts w:ascii="Times New Roman" w:hAnsi="Times New Roman"/>
          <w:color w:val="000000"/>
          <w:lang w:eastAsia="lt-LT"/>
        </w:rPr>
        <w:t>lopinaviro / ritonaviro</w:t>
      </w:r>
      <w:r w:rsidRPr="00907D70">
        <w:rPr>
          <w:rFonts w:ascii="Times New Roman" w:eastAsia="Times New Roman" w:hAnsi="Times New Roman"/>
        </w:rPr>
        <w:t xml:space="preserve"> deriniu metu buvo pranešimų apie pykinimą (žr. 4.8 skyrių).</w:t>
      </w:r>
    </w:p>
    <w:p w14:paraId="31FC4F14" w14:textId="77777777" w:rsidR="00342622" w:rsidRPr="00907D70" w:rsidRDefault="00342622" w:rsidP="00342622">
      <w:pPr>
        <w:tabs>
          <w:tab w:val="left" w:pos="567"/>
        </w:tabs>
        <w:spacing w:after="0" w:line="240" w:lineRule="auto"/>
        <w:rPr>
          <w:rFonts w:ascii="Times New Roman" w:eastAsia="Times New Roman" w:hAnsi="Times New Roman"/>
        </w:rPr>
      </w:pPr>
    </w:p>
    <w:p w14:paraId="37728BBB" w14:textId="77777777" w:rsidR="00342622" w:rsidRPr="00907D70" w:rsidRDefault="00342622" w:rsidP="00342622">
      <w:pPr>
        <w:tabs>
          <w:tab w:val="left" w:pos="567"/>
        </w:tabs>
        <w:spacing w:after="0" w:line="240" w:lineRule="auto"/>
        <w:rPr>
          <w:rFonts w:ascii="Times New Roman" w:eastAsia="Times New Roman" w:hAnsi="Times New Roman"/>
        </w:rPr>
      </w:pPr>
    </w:p>
    <w:p w14:paraId="40675A21"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4.8</w:t>
      </w:r>
      <w:r w:rsidRPr="00907D70">
        <w:rPr>
          <w:rFonts w:ascii="Times New Roman" w:eastAsia="Times New Roman" w:hAnsi="Times New Roman"/>
          <w:b/>
          <w:bCs/>
        </w:rPr>
        <w:tab/>
        <w:t>Nepageidaujamas poveikis</w:t>
      </w:r>
    </w:p>
    <w:p w14:paraId="57F96B9E"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p w14:paraId="16A27F1E" w14:textId="77777777" w:rsidR="00342622" w:rsidRPr="00907D70" w:rsidRDefault="00342622" w:rsidP="00342622">
      <w:pPr>
        <w:tabs>
          <w:tab w:val="left" w:pos="567"/>
        </w:tabs>
        <w:spacing w:after="0" w:line="240" w:lineRule="auto"/>
        <w:jc w:val="both"/>
        <w:rPr>
          <w:rFonts w:ascii="Times New Roman" w:eastAsia="Times New Roman" w:hAnsi="Times New Roman"/>
          <w:b/>
          <w:bCs/>
          <w:u w:val="single"/>
        </w:rPr>
      </w:pPr>
      <w:r w:rsidRPr="00907D70">
        <w:rPr>
          <w:rFonts w:ascii="Times New Roman" w:eastAsia="Times New Roman" w:hAnsi="Times New Roman"/>
          <w:iCs/>
          <w:snapToGrid w:val="0"/>
          <w:u w:val="single"/>
          <w:lang w:eastAsia="lt-LT"/>
        </w:rPr>
        <w:t>a. Saugumo duomenų santrauka</w:t>
      </w:r>
    </w:p>
    <w:p w14:paraId="72F358E5" w14:textId="77777777" w:rsidR="00342622" w:rsidRPr="00907D70" w:rsidRDefault="00342622" w:rsidP="00342622">
      <w:pPr>
        <w:tabs>
          <w:tab w:val="left" w:pos="567"/>
        </w:tabs>
        <w:spacing w:after="0" w:line="240" w:lineRule="auto"/>
        <w:rPr>
          <w:rFonts w:ascii="Times New Roman" w:eastAsia="Times New Roman" w:hAnsi="Times New Roman"/>
        </w:rPr>
      </w:pPr>
    </w:p>
    <w:p w14:paraId="7CA62F77"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Lopinaviro / ritonaviro derinio saugumas tirtas II/IV fazės klinikinių tyrimų metu. Šiuose tyrimuose dalyvavo daugiau nei 2600 pacientų, iš kurių daugiau nei 700 vartojo 800/200 mg (6 kapsules arba 4 tabletes) dozę vieną kartą per parą. Kartu su nukleozidų atvirkštinės transkriptazės inhibitoriais, kai kurių tyrimų metu lopinaviro / ritonaviro derinys buvo vartojamas kartu su efavirenzu ar nevirapinu.</w:t>
      </w:r>
    </w:p>
    <w:p w14:paraId="0E77E630" w14:textId="77777777" w:rsidR="00342622" w:rsidRPr="00907D70" w:rsidRDefault="00342622" w:rsidP="00342622">
      <w:pPr>
        <w:tabs>
          <w:tab w:val="left" w:pos="567"/>
        </w:tabs>
        <w:spacing w:after="0" w:line="240" w:lineRule="auto"/>
        <w:rPr>
          <w:rFonts w:ascii="Times New Roman" w:eastAsia="Times New Roman" w:hAnsi="Times New Roman"/>
        </w:rPr>
      </w:pPr>
    </w:p>
    <w:p w14:paraId="28C67FF4"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Klinikinių tyrimų metu dažniausia su lopinaviro / ritonaviro deriniu susijusi nepageidaujama reakcija buvo viduriavimas, pykinimas, vėmimas, hipertrigliceridemija ir hipercholesterolemija. Didesnė rizika, kad atsiras viduriavimas, jeigu lopinaviro / ritonaviro derinys vartojamas vieną kartą per parą. Viduriavimas, pykinimas ir vėmimas gali pasireikšti gydymo pradžioje, o hipertrigliceridemija ir hipercholesterolemija vėliau. II-IV tyrimo fazės metu 7 % pacientų tyrimą nutraukė anksčiau dėl skubaus gydymo reikalaujančių nepageidaujamų reiškinių.</w:t>
      </w:r>
    </w:p>
    <w:p w14:paraId="6227762D" w14:textId="77777777" w:rsidR="00342622" w:rsidRPr="00907D70" w:rsidRDefault="00342622" w:rsidP="00342622">
      <w:pPr>
        <w:tabs>
          <w:tab w:val="left" w:pos="567"/>
        </w:tabs>
        <w:spacing w:after="0" w:line="240" w:lineRule="auto"/>
        <w:rPr>
          <w:rFonts w:ascii="Times New Roman" w:eastAsia="Times New Roman" w:hAnsi="Times New Roman"/>
        </w:rPr>
      </w:pPr>
    </w:p>
    <w:p w14:paraId="1EED8194"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Svarbu paminėti, kad gauta pranešimų apie kasos uždegimo atvejus lopinaviro / ritonaviro derinio vartojantiems pacientams, taip pat tiems, kuriems išsivystė hipertrigliceridemija. Be to, retai gauta pranešimų apie PR intervalo pailgėjimą gydymo lopinaviro / ritonaviro derinio metu (žr. 4.4 skyrių).</w:t>
      </w:r>
    </w:p>
    <w:p w14:paraId="1890CD74" w14:textId="77777777" w:rsidR="00342622" w:rsidRPr="00907D70" w:rsidRDefault="00342622" w:rsidP="00342622">
      <w:pPr>
        <w:tabs>
          <w:tab w:val="left" w:pos="567"/>
        </w:tabs>
        <w:spacing w:after="0" w:line="240" w:lineRule="auto"/>
        <w:rPr>
          <w:rFonts w:ascii="Times New Roman" w:eastAsia="Times New Roman" w:hAnsi="Times New Roman"/>
        </w:rPr>
      </w:pPr>
    </w:p>
    <w:p w14:paraId="0626A7F2" w14:textId="77777777" w:rsidR="00342622" w:rsidRPr="00907D70" w:rsidRDefault="00342622" w:rsidP="00342622">
      <w:pPr>
        <w:tabs>
          <w:tab w:val="left" w:pos="567"/>
        </w:tabs>
        <w:spacing w:after="0" w:line="240" w:lineRule="auto"/>
        <w:rPr>
          <w:rFonts w:ascii="Times New Roman" w:eastAsia="Times New Roman" w:hAnsi="Times New Roman"/>
          <w:u w:val="single"/>
        </w:rPr>
      </w:pPr>
      <w:r w:rsidRPr="00907D70">
        <w:rPr>
          <w:rFonts w:ascii="Times New Roman" w:eastAsia="Times New Roman" w:hAnsi="Times New Roman"/>
          <w:u w:val="single"/>
        </w:rPr>
        <w:t>b. Nepageidaujamų reakcijų santrauka lentelėje</w:t>
      </w:r>
    </w:p>
    <w:p w14:paraId="1405A95C" w14:textId="77777777" w:rsidR="00342622" w:rsidRPr="00907D70" w:rsidRDefault="00342622" w:rsidP="00342622">
      <w:pPr>
        <w:tabs>
          <w:tab w:val="left" w:pos="567"/>
        </w:tabs>
        <w:spacing w:after="0" w:line="240" w:lineRule="auto"/>
        <w:rPr>
          <w:rFonts w:ascii="Times New Roman" w:eastAsia="Times New Roman" w:hAnsi="Times New Roman"/>
        </w:rPr>
      </w:pPr>
    </w:p>
    <w:p w14:paraId="383EFBF9"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Klinikinių tyrimų metu ir po vaistinio preparato patekimo į rinką pastebėtos nepageidaujamos reakcijos suaugusiesiems ir vaikams.</w:t>
      </w:r>
    </w:p>
    <w:p w14:paraId="63555938" w14:textId="77777777" w:rsidR="00342622" w:rsidRPr="00907D70" w:rsidRDefault="00342622" w:rsidP="00342622">
      <w:pPr>
        <w:tabs>
          <w:tab w:val="left" w:pos="567"/>
        </w:tabs>
        <w:spacing w:after="0" w:line="240" w:lineRule="auto"/>
        <w:rPr>
          <w:rFonts w:ascii="Times New Roman" w:eastAsia="Times New Roman" w:hAnsi="Times New Roman"/>
        </w:rPr>
      </w:pPr>
    </w:p>
    <w:p w14:paraId="78CEF25F" w14:textId="3D651712"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Toliau išvardyti nepageidaujami reiškiniai buvo identifikuoti kaip nepageidaujamos reakcijos. Dažnio kategorijos apima visus pastebėtus vidutinio sunkumo ir sunkius nepageidaujamus reiškinius, neatsižvelgiant į individualų priežasčių įvertinimą. Nepageidaujamos reakcijos išvardytos pagal organų sistemas. Kiekvienoje dažnio grupėje nepageidaujamas poveikis pateikiamas mažėjančio sunkumo tvarka.</w:t>
      </w:r>
      <w:r w:rsidRPr="00907D70">
        <w:rPr>
          <w:rFonts w:ascii="Times New Roman" w:eastAsia="Times New Roman" w:hAnsi="Times New Roman"/>
          <w:snapToGrid w:val="0"/>
        </w:rPr>
        <w:t xml:space="preserve"> Nepageidaujamo poveikio dažnis apibūdinamas taip: labai dažnas (≥ 1/10), dažnas (nuo ≥ 1/100 iki &lt; 1/10), nedažnas (nuo ≥ 1/1000 iki &lt; 1/100), retas (nuo ≥ 1/10000 iki &lt; 1/1000), labai retas (&lt; 1/10000) ir </w:t>
      </w:r>
      <w:r w:rsidR="00262D33" w:rsidRPr="00907D70">
        <w:rPr>
          <w:rFonts w:ascii="Times New Roman" w:eastAsia="Times New Roman" w:hAnsi="Times New Roman"/>
          <w:snapToGrid w:val="0"/>
        </w:rPr>
        <w:t>r</w:t>
      </w:r>
      <w:r w:rsidR="0073694F" w:rsidRPr="00907D70">
        <w:rPr>
          <w:rFonts w:ascii="Times New Roman" w:eastAsia="Times New Roman" w:hAnsi="Times New Roman"/>
          <w:snapToGrid w:val="0"/>
        </w:rPr>
        <w:t>etas</w:t>
      </w:r>
      <w:r w:rsidR="0073694F" w:rsidRPr="00907D70" w:rsidDel="0073694F">
        <w:rPr>
          <w:rFonts w:ascii="Times New Roman" w:eastAsia="Times New Roman" w:hAnsi="Times New Roman"/>
          <w:snapToGrid w:val="0"/>
        </w:rPr>
        <w:t xml:space="preserve"> </w:t>
      </w:r>
      <w:r w:rsidR="0073694F" w:rsidRPr="00907D70">
        <w:rPr>
          <w:rFonts w:ascii="Times New Roman" w:eastAsia="Times New Roman" w:hAnsi="Times New Roman"/>
          <w:snapToGrid w:val="0"/>
        </w:rPr>
        <w:t>(≥</w:t>
      </w:r>
      <w:r w:rsidR="00262D33" w:rsidRPr="00907D70">
        <w:rPr>
          <w:rFonts w:ascii="Times New Roman" w:eastAsia="Times New Roman" w:hAnsi="Times New Roman"/>
          <w:snapToGrid w:val="0"/>
        </w:rPr>
        <w:t> </w:t>
      </w:r>
      <w:r w:rsidR="0073694F" w:rsidRPr="00907D70">
        <w:rPr>
          <w:rFonts w:ascii="Times New Roman" w:eastAsia="Times New Roman" w:hAnsi="Times New Roman"/>
          <w:snapToGrid w:val="0"/>
        </w:rPr>
        <w:t xml:space="preserve">1/10000 </w:t>
      </w:r>
      <w:r w:rsidR="00262D33" w:rsidRPr="00907D70">
        <w:rPr>
          <w:rFonts w:ascii="Times New Roman" w:eastAsia="Times New Roman" w:hAnsi="Times New Roman"/>
          <w:snapToGrid w:val="0"/>
        </w:rPr>
        <w:t>iki</w:t>
      </w:r>
      <w:r w:rsidR="0073694F" w:rsidRPr="00907D70">
        <w:rPr>
          <w:rFonts w:ascii="Times New Roman" w:eastAsia="Times New Roman" w:hAnsi="Times New Roman"/>
          <w:snapToGrid w:val="0"/>
        </w:rPr>
        <w:t xml:space="preserve"> &lt;</w:t>
      </w:r>
      <w:r w:rsidR="00262D33" w:rsidRPr="00907D70">
        <w:rPr>
          <w:rFonts w:ascii="Times New Roman" w:eastAsia="Times New Roman" w:hAnsi="Times New Roman"/>
          <w:snapToGrid w:val="0"/>
        </w:rPr>
        <w:t> </w:t>
      </w:r>
      <w:r w:rsidR="0073694F" w:rsidRPr="00907D70">
        <w:rPr>
          <w:rFonts w:ascii="Times New Roman" w:eastAsia="Times New Roman" w:hAnsi="Times New Roman"/>
          <w:snapToGrid w:val="0"/>
        </w:rPr>
        <w:t>1/1000)</w:t>
      </w:r>
      <w:r w:rsidR="00262D33" w:rsidRPr="00907D70">
        <w:rPr>
          <w:rFonts w:ascii="Times New Roman" w:eastAsia="Times New Roman" w:hAnsi="Times New Roman"/>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411"/>
        <w:gridCol w:w="5015"/>
      </w:tblGrid>
      <w:tr w:rsidR="00342622" w:rsidRPr="00907D70" w14:paraId="311DC097" w14:textId="77777777" w:rsidTr="00160402">
        <w:tc>
          <w:tcPr>
            <w:tcW w:w="9039" w:type="dxa"/>
            <w:gridSpan w:val="3"/>
          </w:tcPr>
          <w:p w14:paraId="36352D75" w14:textId="77777777" w:rsidR="00342622" w:rsidRPr="00907D70" w:rsidRDefault="00342622" w:rsidP="0084240B">
            <w:pPr>
              <w:tabs>
                <w:tab w:val="left" w:pos="567"/>
              </w:tabs>
              <w:spacing w:after="0" w:line="240" w:lineRule="auto"/>
              <w:rPr>
                <w:rFonts w:ascii="Times New Roman" w:eastAsia="Times New Roman" w:hAnsi="Times New Roman"/>
                <w:b/>
                <w:i/>
              </w:rPr>
            </w:pPr>
            <w:r w:rsidRPr="00907D70">
              <w:rPr>
                <w:rFonts w:ascii="Times New Roman" w:eastAsia="Times New Roman" w:hAnsi="Times New Roman"/>
                <w:b/>
                <w:i/>
              </w:rPr>
              <w:t>Nepageidaujamas poveikis klinikinių tyrimų metu ir po vaistinio preparato patekimo į rinką suaugusiesiems</w:t>
            </w:r>
          </w:p>
        </w:tc>
      </w:tr>
      <w:tr w:rsidR="00342622" w:rsidRPr="00907D70" w14:paraId="56F58D85" w14:textId="77777777" w:rsidTr="00160402">
        <w:tc>
          <w:tcPr>
            <w:tcW w:w="2613" w:type="dxa"/>
            <w:shd w:val="clear" w:color="auto" w:fill="auto"/>
          </w:tcPr>
          <w:p w14:paraId="5D722796" w14:textId="77777777" w:rsidR="00342622" w:rsidRPr="00907D70" w:rsidRDefault="00342622" w:rsidP="0084240B">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Organų sistemų klasė</w:t>
            </w:r>
          </w:p>
        </w:tc>
        <w:tc>
          <w:tcPr>
            <w:tcW w:w="1411" w:type="dxa"/>
            <w:shd w:val="clear" w:color="auto" w:fill="auto"/>
          </w:tcPr>
          <w:p w14:paraId="7F65914F" w14:textId="77777777" w:rsidR="00342622" w:rsidRPr="00907D70" w:rsidRDefault="00342622" w:rsidP="0084240B">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Dažnis</w:t>
            </w:r>
          </w:p>
        </w:tc>
        <w:tc>
          <w:tcPr>
            <w:tcW w:w="5015" w:type="dxa"/>
            <w:shd w:val="clear" w:color="auto" w:fill="auto"/>
          </w:tcPr>
          <w:p w14:paraId="76849282" w14:textId="77777777" w:rsidR="00342622" w:rsidRPr="00907D70" w:rsidRDefault="00342622" w:rsidP="0084240B">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Nepageidaujama reakcija</w:t>
            </w:r>
          </w:p>
        </w:tc>
      </w:tr>
      <w:tr w:rsidR="00342622" w:rsidRPr="00907D70" w14:paraId="7CCD8794" w14:textId="77777777" w:rsidTr="00160402">
        <w:tc>
          <w:tcPr>
            <w:tcW w:w="2613" w:type="dxa"/>
            <w:shd w:val="clear" w:color="auto" w:fill="auto"/>
          </w:tcPr>
          <w:p w14:paraId="254310B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Infekcijos ir infestacijos</w:t>
            </w:r>
          </w:p>
        </w:tc>
        <w:tc>
          <w:tcPr>
            <w:tcW w:w="1411" w:type="dxa"/>
            <w:shd w:val="clear" w:color="auto" w:fill="auto"/>
          </w:tcPr>
          <w:p w14:paraId="18E6124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Labai dažnas</w:t>
            </w:r>
          </w:p>
          <w:p w14:paraId="4D59068A" w14:textId="77777777" w:rsidR="00342622" w:rsidRPr="00907D70" w:rsidRDefault="00342622" w:rsidP="0084240B">
            <w:pPr>
              <w:tabs>
                <w:tab w:val="left" w:pos="567"/>
              </w:tabs>
              <w:spacing w:after="0" w:line="240" w:lineRule="auto"/>
              <w:rPr>
                <w:rFonts w:ascii="Times New Roman" w:eastAsia="Times New Roman" w:hAnsi="Times New Roman"/>
              </w:rPr>
            </w:pPr>
          </w:p>
          <w:p w14:paraId="6B5CAB8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tc>
        <w:tc>
          <w:tcPr>
            <w:tcW w:w="5015" w:type="dxa"/>
            <w:shd w:val="clear" w:color="auto" w:fill="auto"/>
          </w:tcPr>
          <w:p w14:paraId="5D2E551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Viršutinių kvėpavimo takų infekcija.</w:t>
            </w:r>
          </w:p>
          <w:p w14:paraId="5583C3A6" w14:textId="77777777" w:rsidR="00342622" w:rsidRPr="00907D70" w:rsidRDefault="00342622" w:rsidP="0084240B">
            <w:pPr>
              <w:tabs>
                <w:tab w:val="left" w:pos="567"/>
              </w:tabs>
              <w:spacing w:after="0" w:line="240" w:lineRule="auto"/>
              <w:rPr>
                <w:rFonts w:ascii="Times New Roman" w:eastAsia="Times New Roman" w:hAnsi="Times New Roman"/>
              </w:rPr>
            </w:pPr>
          </w:p>
          <w:p w14:paraId="3AF5A526"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Apatinių kvėpavimo takų infekcija, odos infekcijos, įskaitant celiulitą, folikulitą ir furunkulus.</w:t>
            </w:r>
          </w:p>
        </w:tc>
      </w:tr>
      <w:tr w:rsidR="00342622" w:rsidRPr="00907D70" w14:paraId="581B2826" w14:textId="77777777" w:rsidTr="00160402">
        <w:tc>
          <w:tcPr>
            <w:tcW w:w="2613" w:type="dxa"/>
            <w:shd w:val="clear" w:color="auto" w:fill="auto"/>
          </w:tcPr>
          <w:p w14:paraId="73D744B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Kraujo ir limfinės sistemos sutrikimai</w:t>
            </w:r>
          </w:p>
        </w:tc>
        <w:tc>
          <w:tcPr>
            <w:tcW w:w="1411" w:type="dxa"/>
            <w:shd w:val="clear" w:color="auto" w:fill="auto"/>
          </w:tcPr>
          <w:p w14:paraId="24749F77"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tc>
        <w:tc>
          <w:tcPr>
            <w:tcW w:w="5015" w:type="dxa"/>
            <w:shd w:val="clear" w:color="auto" w:fill="auto"/>
          </w:tcPr>
          <w:p w14:paraId="2916508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Anemija, leukopenija, neutropenija, limfadenopatija.</w:t>
            </w:r>
          </w:p>
        </w:tc>
      </w:tr>
      <w:tr w:rsidR="00342622" w:rsidRPr="00907D70" w14:paraId="476EE27B" w14:textId="77777777" w:rsidTr="00160402">
        <w:tc>
          <w:tcPr>
            <w:tcW w:w="2613" w:type="dxa"/>
            <w:shd w:val="clear" w:color="auto" w:fill="auto"/>
          </w:tcPr>
          <w:p w14:paraId="24E017F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Imuninės sistemos sutrikimai</w:t>
            </w:r>
          </w:p>
        </w:tc>
        <w:tc>
          <w:tcPr>
            <w:tcW w:w="1411" w:type="dxa"/>
            <w:shd w:val="clear" w:color="auto" w:fill="auto"/>
          </w:tcPr>
          <w:p w14:paraId="44052B1D"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1553C816" w14:textId="77777777" w:rsidR="00342622" w:rsidRPr="00907D70" w:rsidRDefault="00342622" w:rsidP="0084240B">
            <w:pPr>
              <w:tabs>
                <w:tab w:val="left" w:pos="567"/>
              </w:tabs>
              <w:spacing w:after="0" w:line="240" w:lineRule="auto"/>
              <w:rPr>
                <w:rFonts w:ascii="Times New Roman" w:eastAsia="Times New Roman" w:hAnsi="Times New Roman"/>
              </w:rPr>
            </w:pPr>
          </w:p>
          <w:p w14:paraId="4A2FB195"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22BC86C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Padidėjusio jautrumo reakcijos, įskaitant dilgėlinę ir angioneurozinę edemą.</w:t>
            </w:r>
          </w:p>
          <w:p w14:paraId="358C7955" w14:textId="77777777" w:rsidR="00342622" w:rsidRPr="00907D70" w:rsidRDefault="00342622" w:rsidP="0084240B">
            <w:pPr>
              <w:tabs>
                <w:tab w:val="left" w:pos="567"/>
              </w:tabs>
              <w:spacing w:after="0" w:line="240" w:lineRule="auto"/>
              <w:rPr>
                <w:rFonts w:ascii="Times New Roman" w:eastAsia="Times New Roman" w:hAnsi="Times New Roman"/>
              </w:rPr>
            </w:pPr>
          </w:p>
          <w:p w14:paraId="69178C5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Imuniteto atsistatymo uždegiminis sindromas.</w:t>
            </w:r>
          </w:p>
        </w:tc>
      </w:tr>
      <w:tr w:rsidR="00342622" w:rsidRPr="00907D70" w14:paraId="6979D2E2" w14:textId="77777777" w:rsidTr="00160402">
        <w:tc>
          <w:tcPr>
            <w:tcW w:w="2613" w:type="dxa"/>
            <w:shd w:val="clear" w:color="auto" w:fill="auto"/>
          </w:tcPr>
          <w:p w14:paraId="03F3677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Endokrininiai sutrikimai</w:t>
            </w:r>
          </w:p>
        </w:tc>
        <w:tc>
          <w:tcPr>
            <w:tcW w:w="1411" w:type="dxa"/>
            <w:shd w:val="clear" w:color="auto" w:fill="auto"/>
          </w:tcPr>
          <w:p w14:paraId="2BD537D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62"/>
            </w:tblGrid>
            <w:tr w:rsidR="00342622" w:rsidRPr="00907D70" w14:paraId="65058599" w14:textId="77777777" w:rsidTr="003631BD">
              <w:trPr>
                <w:trHeight w:val="147"/>
              </w:trPr>
              <w:tc>
                <w:tcPr>
                  <w:tcW w:w="0" w:type="auto"/>
                </w:tcPr>
                <w:p w14:paraId="2DCB22DF" w14:textId="77777777" w:rsidR="00342622" w:rsidRPr="00907D70" w:rsidRDefault="00342622" w:rsidP="0084240B">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Hipogonadizmas. </w:t>
                  </w:r>
                </w:p>
              </w:tc>
            </w:tr>
          </w:tbl>
          <w:p w14:paraId="1FE32E74" w14:textId="77777777" w:rsidR="00342622" w:rsidRPr="00907D70" w:rsidRDefault="00342622" w:rsidP="0084240B">
            <w:pPr>
              <w:tabs>
                <w:tab w:val="left" w:pos="567"/>
              </w:tabs>
              <w:spacing w:after="0" w:line="240" w:lineRule="auto"/>
              <w:rPr>
                <w:rFonts w:ascii="Times New Roman" w:eastAsia="Times New Roman" w:hAnsi="Times New Roman"/>
              </w:rPr>
            </w:pPr>
          </w:p>
        </w:tc>
      </w:tr>
      <w:tr w:rsidR="00342622" w:rsidRPr="00907D70" w14:paraId="7D8A59DE" w14:textId="77777777" w:rsidTr="00160402">
        <w:tc>
          <w:tcPr>
            <w:tcW w:w="2613" w:type="dxa"/>
            <w:shd w:val="clear" w:color="auto" w:fill="auto"/>
          </w:tcPr>
          <w:p w14:paraId="019C1188"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Metabolizmo ir mitybos sutrikimai</w:t>
            </w:r>
          </w:p>
        </w:tc>
        <w:tc>
          <w:tcPr>
            <w:tcW w:w="1411" w:type="dxa"/>
            <w:shd w:val="clear" w:color="auto" w:fill="auto"/>
          </w:tcPr>
          <w:p w14:paraId="5B593152"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07C6095C" w14:textId="77777777" w:rsidR="00342622" w:rsidRPr="00907D70" w:rsidRDefault="00342622" w:rsidP="0084240B">
            <w:pPr>
              <w:tabs>
                <w:tab w:val="left" w:pos="567"/>
              </w:tabs>
              <w:spacing w:after="0" w:line="240" w:lineRule="auto"/>
              <w:rPr>
                <w:rFonts w:ascii="Times New Roman" w:eastAsia="Times New Roman" w:hAnsi="Times New Roman"/>
              </w:rPr>
            </w:pPr>
          </w:p>
          <w:p w14:paraId="5361C2F2" w14:textId="77777777" w:rsidR="00342622" w:rsidRPr="00907D70" w:rsidRDefault="00342622" w:rsidP="0084240B">
            <w:pPr>
              <w:tabs>
                <w:tab w:val="left" w:pos="567"/>
              </w:tabs>
              <w:spacing w:after="0" w:line="240" w:lineRule="auto"/>
              <w:rPr>
                <w:rFonts w:ascii="Times New Roman" w:eastAsia="Times New Roman" w:hAnsi="Times New Roman"/>
              </w:rPr>
            </w:pPr>
          </w:p>
          <w:p w14:paraId="6880A46A" w14:textId="77777777" w:rsidR="00342622" w:rsidRPr="00907D70" w:rsidRDefault="00342622" w:rsidP="0084240B">
            <w:pPr>
              <w:tabs>
                <w:tab w:val="left" w:pos="567"/>
              </w:tabs>
              <w:spacing w:after="0" w:line="240" w:lineRule="auto"/>
              <w:rPr>
                <w:rFonts w:ascii="Times New Roman" w:eastAsia="Times New Roman" w:hAnsi="Times New Roman"/>
              </w:rPr>
            </w:pPr>
          </w:p>
          <w:p w14:paraId="2A3062E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1D5017E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Gliukozės kraujyje sutrikimai, įskaitant cukrinį diabetą, hipertrigliceridemija, hipercholesterolemija, kūno svorio kritimas, apetito sumažėjimas.</w:t>
            </w:r>
          </w:p>
          <w:p w14:paraId="24B2ECA4" w14:textId="77777777" w:rsidR="00342622" w:rsidRPr="00907D70" w:rsidRDefault="00342622" w:rsidP="0084240B">
            <w:pPr>
              <w:tabs>
                <w:tab w:val="left" w:pos="567"/>
              </w:tabs>
              <w:spacing w:after="0" w:line="240" w:lineRule="auto"/>
              <w:rPr>
                <w:rFonts w:ascii="Times New Roman" w:eastAsia="Times New Roman" w:hAnsi="Times New Roman"/>
              </w:rPr>
            </w:pPr>
          </w:p>
          <w:p w14:paraId="7F2D079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Padidėjęs kūno svoris, padidėjęs apetitas.</w:t>
            </w:r>
          </w:p>
        </w:tc>
      </w:tr>
      <w:tr w:rsidR="00342622" w:rsidRPr="00907D70" w14:paraId="4655CB42" w14:textId="77777777" w:rsidTr="00160402">
        <w:tc>
          <w:tcPr>
            <w:tcW w:w="2613" w:type="dxa"/>
            <w:shd w:val="clear" w:color="auto" w:fill="auto"/>
          </w:tcPr>
          <w:p w14:paraId="3FA68446"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Psichikos sutrikimai</w:t>
            </w:r>
          </w:p>
        </w:tc>
        <w:tc>
          <w:tcPr>
            <w:tcW w:w="1411" w:type="dxa"/>
            <w:shd w:val="clear" w:color="auto" w:fill="auto"/>
          </w:tcPr>
          <w:p w14:paraId="722D372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4BAB0A66" w14:textId="77777777" w:rsidR="00342622" w:rsidRPr="00907D70" w:rsidRDefault="00342622" w:rsidP="0084240B">
            <w:pPr>
              <w:tabs>
                <w:tab w:val="left" w:pos="567"/>
              </w:tabs>
              <w:spacing w:after="0" w:line="240" w:lineRule="auto"/>
              <w:rPr>
                <w:rFonts w:ascii="Times New Roman" w:eastAsia="Times New Roman" w:hAnsi="Times New Roman"/>
              </w:rPr>
            </w:pPr>
          </w:p>
          <w:p w14:paraId="7BBABC80"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45DE655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Nerimas.</w:t>
            </w:r>
          </w:p>
          <w:p w14:paraId="7FE2E211" w14:textId="77777777" w:rsidR="00342622" w:rsidRPr="00907D70" w:rsidRDefault="00342622" w:rsidP="0084240B">
            <w:pPr>
              <w:tabs>
                <w:tab w:val="left" w:pos="567"/>
              </w:tabs>
              <w:spacing w:after="0" w:line="240" w:lineRule="auto"/>
              <w:rPr>
                <w:rFonts w:ascii="Times New Roman" w:eastAsia="Times New Roman" w:hAnsi="Times New Roman"/>
              </w:rPr>
            </w:pPr>
          </w:p>
          <w:p w14:paraId="3E07A51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Nenormalūs sapnai, sumažėjęs lytinis potraukis.</w:t>
            </w:r>
          </w:p>
        </w:tc>
      </w:tr>
      <w:tr w:rsidR="00342622" w:rsidRPr="00907D70" w14:paraId="531F8541" w14:textId="77777777" w:rsidTr="00160402">
        <w:tc>
          <w:tcPr>
            <w:tcW w:w="2613" w:type="dxa"/>
            <w:shd w:val="clear" w:color="auto" w:fill="auto"/>
          </w:tcPr>
          <w:p w14:paraId="646383A2"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Nervų sistemos sutrikimai</w:t>
            </w:r>
          </w:p>
        </w:tc>
        <w:tc>
          <w:tcPr>
            <w:tcW w:w="1411" w:type="dxa"/>
            <w:shd w:val="clear" w:color="auto" w:fill="auto"/>
          </w:tcPr>
          <w:p w14:paraId="58BDC3D4"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030E7E07" w14:textId="77777777" w:rsidR="00342622" w:rsidRPr="00907D70" w:rsidRDefault="00342622" w:rsidP="0084240B">
            <w:pPr>
              <w:tabs>
                <w:tab w:val="left" w:pos="567"/>
              </w:tabs>
              <w:spacing w:after="0" w:line="240" w:lineRule="auto"/>
              <w:rPr>
                <w:rFonts w:ascii="Times New Roman" w:eastAsia="Times New Roman" w:hAnsi="Times New Roman"/>
              </w:rPr>
            </w:pPr>
          </w:p>
          <w:p w14:paraId="5E057622" w14:textId="77777777" w:rsidR="00342622" w:rsidRPr="00907D70" w:rsidRDefault="00342622" w:rsidP="0084240B">
            <w:pPr>
              <w:tabs>
                <w:tab w:val="left" w:pos="567"/>
              </w:tabs>
              <w:spacing w:after="0" w:line="240" w:lineRule="auto"/>
              <w:rPr>
                <w:rFonts w:ascii="Times New Roman" w:eastAsia="Times New Roman" w:hAnsi="Times New Roman"/>
              </w:rPr>
            </w:pPr>
          </w:p>
          <w:p w14:paraId="1291DAE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0087DDFC"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Galvos skausmas (įskaitant migreną), neuropatija (įskaitant periferinę neuropatiją), svaigulys, nemiga.</w:t>
            </w:r>
          </w:p>
          <w:p w14:paraId="775BCF01" w14:textId="77777777" w:rsidR="00342622" w:rsidRPr="00907D70" w:rsidRDefault="00342622" w:rsidP="0084240B">
            <w:pPr>
              <w:tabs>
                <w:tab w:val="left" w:pos="567"/>
              </w:tabs>
              <w:spacing w:after="0" w:line="240" w:lineRule="auto"/>
              <w:rPr>
                <w:rFonts w:ascii="Times New Roman" w:eastAsia="Times New Roman" w:hAnsi="Times New Roman"/>
              </w:rPr>
            </w:pPr>
          </w:p>
          <w:p w14:paraId="18215DF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Cerebrovaskulinis priepuolis, traukuliai, skonio sutrikimas, skonio jutimo nebuvimas, tremoras.</w:t>
            </w:r>
          </w:p>
        </w:tc>
      </w:tr>
      <w:tr w:rsidR="00342622" w:rsidRPr="00907D70" w14:paraId="0FE6366C" w14:textId="77777777" w:rsidTr="00160402">
        <w:tc>
          <w:tcPr>
            <w:tcW w:w="2613" w:type="dxa"/>
            <w:shd w:val="clear" w:color="auto" w:fill="auto"/>
          </w:tcPr>
          <w:p w14:paraId="7B48005A"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Akių sutrikimai</w:t>
            </w:r>
          </w:p>
        </w:tc>
        <w:tc>
          <w:tcPr>
            <w:tcW w:w="1411" w:type="dxa"/>
            <w:shd w:val="clear" w:color="auto" w:fill="auto"/>
          </w:tcPr>
          <w:p w14:paraId="1442728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5431A726"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Susilpnėjęs regėjimas.</w:t>
            </w:r>
          </w:p>
        </w:tc>
      </w:tr>
      <w:tr w:rsidR="00342622" w:rsidRPr="00907D70" w14:paraId="4680C85F" w14:textId="77777777" w:rsidTr="00160402">
        <w:tc>
          <w:tcPr>
            <w:tcW w:w="2613" w:type="dxa"/>
            <w:shd w:val="clear" w:color="auto" w:fill="auto"/>
          </w:tcPr>
          <w:p w14:paraId="0DC28A0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Ausų ir labirintų sutrikimai</w:t>
            </w:r>
          </w:p>
        </w:tc>
        <w:tc>
          <w:tcPr>
            <w:tcW w:w="1411" w:type="dxa"/>
            <w:shd w:val="clear" w:color="auto" w:fill="auto"/>
          </w:tcPr>
          <w:p w14:paraId="7B3507C0"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3C774437"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Ūžesys, galvos svaigimas (</w:t>
            </w:r>
            <w:r w:rsidRPr="00907D70">
              <w:rPr>
                <w:rFonts w:ascii="Times New Roman" w:eastAsia="Times New Roman" w:hAnsi="Times New Roman"/>
                <w:i/>
              </w:rPr>
              <w:t>vertigo</w:t>
            </w:r>
            <w:r w:rsidRPr="00907D70">
              <w:rPr>
                <w:rFonts w:ascii="Times New Roman" w:eastAsia="Times New Roman" w:hAnsi="Times New Roman"/>
              </w:rPr>
              <w:t>).</w:t>
            </w:r>
          </w:p>
        </w:tc>
      </w:tr>
      <w:tr w:rsidR="00342622" w:rsidRPr="00907D70" w14:paraId="526108A6" w14:textId="77777777" w:rsidTr="00160402">
        <w:tc>
          <w:tcPr>
            <w:tcW w:w="2613" w:type="dxa"/>
            <w:shd w:val="clear" w:color="auto" w:fill="auto"/>
          </w:tcPr>
          <w:p w14:paraId="5593CEE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Širdies sutrikimai</w:t>
            </w:r>
          </w:p>
        </w:tc>
        <w:tc>
          <w:tcPr>
            <w:tcW w:w="1411" w:type="dxa"/>
            <w:shd w:val="clear" w:color="auto" w:fill="auto"/>
          </w:tcPr>
          <w:p w14:paraId="227597CA"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p w14:paraId="144CDD61" w14:textId="77777777" w:rsidR="00342622" w:rsidRPr="00907D70" w:rsidRDefault="00342622" w:rsidP="0084240B">
            <w:pPr>
              <w:tabs>
                <w:tab w:val="left" w:pos="567"/>
              </w:tabs>
              <w:spacing w:after="0" w:line="240" w:lineRule="auto"/>
              <w:rPr>
                <w:rFonts w:ascii="Times New Roman" w:eastAsia="Times New Roman" w:hAnsi="Times New Roman"/>
              </w:rPr>
            </w:pPr>
          </w:p>
          <w:p w14:paraId="63D5802B" w14:textId="77777777" w:rsidR="00342622" w:rsidRPr="00907D70" w:rsidRDefault="00342622" w:rsidP="0084240B">
            <w:pPr>
              <w:tabs>
                <w:tab w:val="left" w:pos="567"/>
              </w:tabs>
              <w:spacing w:after="0" w:line="240" w:lineRule="auto"/>
              <w:rPr>
                <w:rFonts w:ascii="Times New Roman" w:eastAsia="Times New Roman" w:hAnsi="Times New Roman"/>
              </w:rPr>
            </w:pPr>
          </w:p>
        </w:tc>
        <w:tc>
          <w:tcPr>
            <w:tcW w:w="5015" w:type="dxa"/>
            <w:shd w:val="clear" w:color="auto" w:fill="auto"/>
          </w:tcPr>
          <w:p w14:paraId="10A2D8BA"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Aterosklerozės sukeltas miokardo infarktas, atrioventrikulinė blokada, triburio vožtuvo nepakankamumas.</w:t>
            </w:r>
          </w:p>
        </w:tc>
      </w:tr>
      <w:tr w:rsidR="00342622" w:rsidRPr="00907D70" w14:paraId="265A606D" w14:textId="77777777" w:rsidTr="00160402">
        <w:tc>
          <w:tcPr>
            <w:tcW w:w="2613" w:type="dxa"/>
            <w:shd w:val="clear" w:color="auto" w:fill="auto"/>
          </w:tcPr>
          <w:p w14:paraId="6F95A12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Kraujagyslių sutrikimai</w:t>
            </w:r>
          </w:p>
        </w:tc>
        <w:tc>
          <w:tcPr>
            <w:tcW w:w="1411" w:type="dxa"/>
            <w:shd w:val="clear" w:color="auto" w:fill="auto"/>
          </w:tcPr>
          <w:p w14:paraId="5A54D8C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040DCC6D" w14:textId="77777777" w:rsidR="00342622" w:rsidRPr="00907D70" w:rsidRDefault="00342622" w:rsidP="0084240B">
            <w:pPr>
              <w:tabs>
                <w:tab w:val="left" w:pos="567"/>
              </w:tabs>
              <w:spacing w:after="0" w:line="240" w:lineRule="auto"/>
              <w:rPr>
                <w:rFonts w:ascii="Times New Roman" w:eastAsia="Times New Roman" w:hAnsi="Times New Roman"/>
              </w:rPr>
            </w:pPr>
          </w:p>
          <w:p w14:paraId="20681B8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54F60BF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Hipertenzija.</w:t>
            </w:r>
          </w:p>
          <w:p w14:paraId="7E3727AD" w14:textId="77777777" w:rsidR="00342622" w:rsidRPr="00907D70" w:rsidRDefault="00342622" w:rsidP="0084240B">
            <w:pPr>
              <w:tabs>
                <w:tab w:val="left" w:pos="567"/>
              </w:tabs>
              <w:spacing w:after="0" w:line="240" w:lineRule="auto"/>
              <w:rPr>
                <w:rFonts w:ascii="Times New Roman" w:eastAsia="Times New Roman" w:hAnsi="Times New Roman"/>
              </w:rPr>
            </w:pPr>
          </w:p>
          <w:p w14:paraId="24FA033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Giliųjų venų trombozė.</w:t>
            </w:r>
          </w:p>
        </w:tc>
      </w:tr>
      <w:tr w:rsidR="00342622" w:rsidRPr="00907D70" w14:paraId="09B449A4" w14:textId="77777777" w:rsidTr="00160402">
        <w:tc>
          <w:tcPr>
            <w:tcW w:w="2613" w:type="dxa"/>
            <w:shd w:val="clear" w:color="auto" w:fill="auto"/>
          </w:tcPr>
          <w:p w14:paraId="7431EA58"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Virškinimo trakto sutrikimai</w:t>
            </w:r>
          </w:p>
        </w:tc>
        <w:tc>
          <w:tcPr>
            <w:tcW w:w="1411" w:type="dxa"/>
            <w:shd w:val="clear" w:color="auto" w:fill="auto"/>
          </w:tcPr>
          <w:p w14:paraId="39F82D60"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Labai dažnas</w:t>
            </w:r>
          </w:p>
          <w:p w14:paraId="00F19C03" w14:textId="77777777" w:rsidR="00342622" w:rsidRPr="00907D70" w:rsidRDefault="00342622" w:rsidP="0084240B">
            <w:pPr>
              <w:tabs>
                <w:tab w:val="left" w:pos="567"/>
              </w:tabs>
              <w:spacing w:after="0" w:line="240" w:lineRule="auto"/>
              <w:rPr>
                <w:rFonts w:ascii="Times New Roman" w:eastAsia="Times New Roman" w:hAnsi="Times New Roman"/>
              </w:rPr>
            </w:pPr>
          </w:p>
          <w:p w14:paraId="4FFAD44A"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64AEF35F" w14:textId="77777777" w:rsidR="00342622" w:rsidRPr="00907D70" w:rsidRDefault="00342622" w:rsidP="0084240B">
            <w:pPr>
              <w:tabs>
                <w:tab w:val="left" w:pos="567"/>
              </w:tabs>
              <w:spacing w:after="0" w:line="240" w:lineRule="auto"/>
              <w:rPr>
                <w:rFonts w:ascii="Times New Roman" w:eastAsia="Times New Roman" w:hAnsi="Times New Roman"/>
              </w:rPr>
            </w:pPr>
          </w:p>
          <w:p w14:paraId="26BB7CAC" w14:textId="77777777" w:rsidR="00342622" w:rsidRPr="00907D70" w:rsidRDefault="00342622" w:rsidP="0084240B">
            <w:pPr>
              <w:tabs>
                <w:tab w:val="left" w:pos="567"/>
              </w:tabs>
              <w:spacing w:after="0" w:line="240" w:lineRule="auto"/>
              <w:rPr>
                <w:rFonts w:ascii="Times New Roman" w:eastAsia="Times New Roman" w:hAnsi="Times New Roman"/>
              </w:rPr>
            </w:pPr>
          </w:p>
          <w:p w14:paraId="01AAA150" w14:textId="77777777" w:rsidR="00342622" w:rsidRPr="00907D70" w:rsidRDefault="00342622" w:rsidP="0084240B">
            <w:pPr>
              <w:tabs>
                <w:tab w:val="left" w:pos="567"/>
              </w:tabs>
              <w:spacing w:after="0" w:line="240" w:lineRule="auto"/>
              <w:rPr>
                <w:rFonts w:ascii="Times New Roman" w:eastAsia="Times New Roman" w:hAnsi="Times New Roman"/>
              </w:rPr>
            </w:pPr>
          </w:p>
          <w:p w14:paraId="09FB30D7" w14:textId="77777777" w:rsidR="00342622" w:rsidRPr="00907D70" w:rsidRDefault="00342622" w:rsidP="0084240B">
            <w:pPr>
              <w:tabs>
                <w:tab w:val="left" w:pos="567"/>
              </w:tabs>
              <w:spacing w:after="0" w:line="240" w:lineRule="auto"/>
              <w:rPr>
                <w:rFonts w:ascii="Times New Roman" w:eastAsia="Times New Roman" w:hAnsi="Times New Roman"/>
              </w:rPr>
            </w:pPr>
          </w:p>
          <w:p w14:paraId="048D531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p w14:paraId="3CBA7A69" w14:textId="77777777" w:rsidR="00342622" w:rsidRPr="00907D70" w:rsidRDefault="00342622" w:rsidP="0084240B">
            <w:pPr>
              <w:tabs>
                <w:tab w:val="left" w:pos="567"/>
              </w:tabs>
              <w:spacing w:after="0" w:line="240" w:lineRule="auto"/>
              <w:rPr>
                <w:rFonts w:ascii="Times New Roman" w:eastAsia="Times New Roman" w:hAnsi="Times New Roman"/>
              </w:rPr>
            </w:pPr>
          </w:p>
        </w:tc>
        <w:tc>
          <w:tcPr>
            <w:tcW w:w="5015" w:type="dxa"/>
            <w:shd w:val="clear" w:color="auto" w:fill="auto"/>
          </w:tcPr>
          <w:p w14:paraId="58F6D487"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Viduriavimas, pykinimas.</w:t>
            </w:r>
          </w:p>
          <w:p w14:paraId="104435CF" w14:textId="77777777" w:rsidR="00342622" w:rsidRPr="00907D70" w:rsidRDefault="00342622" w:rsidP="0084240B">
            <w:pPr>
              <w:tabs>
                <w:tab w:val="left" w:pos="567"/>
              </w:tabs>
              <w:spacing w:after="0" w:line="240" w:lineRule="auto"/>
              <w:rPr>
                <w:rFonts w:ascii="Times New Roman" w:eastAsia="Times New Roman" w:hAnsi="Times New Roman"/>
              </w:rPr>
            </w:pPr>
          </w:p>
          <w:p w14:paraId="23D0F5D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Pankreatitas</w:t>
            </w:r>
            <w:r w:rsidRPr="00907D70">
              <w:rPr>
                <w:rFonts w:ascii="Times New Roman" w:eastAsia="Times New Roman" w:hAnsi="Times New Roman"/>
                <w:vertAlign w:val="superscript"/>
              </w:rPr>
              <w:t>1</w:t>
            </w:r>
            <w:r w:rsidRPr="00907D70">
              <w:rPr>
                <w:rFonts w:ascii="Times New Roman" w:eastAsia="Times New Roman" w:hAnsi="Times New Roman"/>
              </w:rPr>
              <w:t>, vėmimas, gastroezofaginio refliukso liga, gastroenteritas ir kolitas, pilvo skausmai (viršutinės ir apatinės dalies), pilvo pūtimas, dispepsija, hemorojus, dujų susikaupimas žarnyne.</w:t>
            </w:r>
          </w:p>
          <w:p w14:paraId="22749A1E" w14:textId="77777777" w:rsidR="00342622" w:rsidRPr="00907D70" w:rsidRDefault="00342622" w:rsidP="0084240B">
            <w:pPr>
              <w:tabs>
                <w:tab w:val="left" w:pos="567"/>
              </w:tabs>
              <w:spacing w:after="0" w:line="240" w:lineRule="auto"/>
              <w:rPr>
                <w:rFonts w:ascii="Times New Roman" w:eastAsia="Times New Roman" w:hAnsi="Times New Roman"/>
              </w:rPr>
            </w:pPr>
          </w:p>
          <w:p w14:paraId="6E493648"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Kraujavimas iš virškinimo trakto, įskaitant kraujavimą iš virškinimo trakto opos, dvylikapirštės žarnos uždegimas, gastritas ir kraujavimas iš tiesiosios žarnos, stomatitas ir burnos ertmės opos, išmatų nelaikymas, vidurių užkietėjimas, burnos sausmė.</w:t>
            </w:r>
          </w:p>
        </w:tc>
      </w:tr>
      <w:tr w:rsidR="00342622" w:rsidRPr="00907D70" w14:paraId="5A52B80E" w14:textId="77777777" w:rsidTr="00160402">
        <w:tc>
          <w:tcPr>
            <w:tcW w:w="2613" w:type="dxa"/>
            <w:shd w:val="clear" w:color="auto" w:fill="auto"/>
          </w:tcPr>
          <w:p w14:paraId="6479D83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Kepenų, tulžies pūslės ir latakų sutrikimai</w:t>
            </w:r>
          </w:p>
        </w:tc>
        <w:tc>
          <w:tcPr>
            <w:tcW w:w="1411" w:type="dxa"/>
            <w:shd w:val="clear" w:color="auto" w:fill="auto"/>
          </w:tcPr>
          <w:p w14:paraId="3167B1C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721D1C27" w14:textId="77777777" w:rsidR="00342622" w:rsidRPr="00907D70" w:rsidRDefault="00342622" w:rsidP="0084240B">
            <w:pPr>
              <w:tabs>
                <w:tab w:val="left" w:pos="567"/>
              </w:tabs>
              <w:spacing w:after="0" w:line="240" w:lineRule="auto"/>
              <w:rPr>
                <w:rFonts w:ascii="Times New Roman" w:eastAsia="Times New Roman" w:hAnsi="Times New Roman"/>
              </w:rPr>
            </w:pPr>
          </w:p>
          <w:p w14:paraId="61CDE8B8" w14:textId="77777777" w:rsidR="00342622" w:rsidRPr="00907D70" w:rsidRDefault="00342622" w:rsidP="0084240B">
            <w:pPr>
              <w:tabs>
                <w:tab w:val="left" w:pos="567"/>
              </w:tabs>
              <w:spacing w:after="0" w:line="240" w:lineRule="auto"/>
              <w:rPr>
                <w:rFonts w:ascii="Times New Roman" w:eastAsia="Times New Roman" w:hAnsi="Times New Roman"/>
              </w:rPr>
            </w:pPr>
          </w:p>
          <w:p w14:paraId="3365D20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p w14:paraId="64383C8C" w14:textId="77777777" w:rsidR="00342622" w:rsidRPr="00907D70" w:rsidRDefault="00342622" w:rsidP="0084240B">
            <w:pPr>
              <w:tabs>
                <w:tab w:val="left" w:pos="567"/>
              </w:tabs>
              <w:spacing w:after="0" w:line="240" w:lineRule="auto"/>
              <w:rPr>
                <w:rFonts w:ascii="Times New Roman" w:eastAsia="Times New Roman" w:hAnsi="Times New Roman"/>
              </w:rPr>
            </w:pPr>
          </w:p>
          <w:p w14:paraId="796A4A80" w14:textId="6A32D205" w:rsidR="00342622" w:rsidRPr="00907D70" w:rsidRDefault="00342622" w:rsidP="0084240B">
            <w:pPr>
              <w:tabs>
                <w:tab w:val="left" w:pos="567"/>
              </w:tabs>
              <w:spacing w:after="0" w:line="240" w:lineRule="auto"/>
              <w:rPr>
                <w:rFonts w:ascii="Times New Roman" w:eastAsia="Times New Roman" w:hAnsi="Times New Roman"/>
              </w:rPr>
            </w:pPr>
          </w:p>
        </w:tc>
        <w:tc>
          <w:tcPr>
            <w:tcW w:w="5015" w:type="dxa"/>
            <w:shd w:val="clear" w:color="auto" w:fill="auto"/>
          </w:tcPr>
          <w:p w14:paraId="7DB90336"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Hepatitas, įskaitant AST, ALT ir GGT aktyvumo padidėjimą.</w:t>
            </w:r>
          </w:p>
          <w:p w14:paraId="3DBD326B" w14:textId="77777777" w:rsidR="00342622" w:rsidRPr="00907D70" w:rsidRDefault="00342622" w:rsidP="0084240B">
            <w:pPr>
              <w:tabs>
                <w:tab w:val="left" w:pos="567"/>
              </w:tabs>
              <w:spacing w:after="0" w:line="240" w:lineRule="auto"/>
              <w:rPr>
                <w:rFonts w:ascii="Times New Roman" w:eastAsia="Times New Roman" w:hAnsi="Times New Roman"/>
              </w:rPr>
            </w:pPr>
          </w:p>
          <w:p w14:paraId="1E43F9D5" w14:textId="0E99F233" w:rsidR="00342622" w:rsidRPr="00907D70" w:rsidRDefault="00320030"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Gelta, k</w:t>
            </w:r>
            <w:r w:rsidR="00342622" w:rsidRPr="00907D70">
              <w:rPr>
                <w:rFonts w:ascii="Times New Roman" w:eastAsia="Times New Roman" w:hAnsi="Times New Roman"/>
              </w:rPr>
              <w:t>epenų suriebėjimas, hepatomegalija, cholangitas, hiperbilirubinemija.</w:t>
            </w:r>
          </w:p>
          <w:p w14:paraId="531EA953" w14:textId="42ED3EB5" w:rsidR="00342622" w:rsidRPr="00907D70" w:rsidRDefault="00342622" w:rsidP="00320030">
            <w:pPr>
              <w:tabs>
                <w:tab w:val="left" w:pos="567"/>
              </w:tabs>
              <w:spacing w:after="0" w:line="240" w:lineRule="auto"/>
              <w:rPr>
                <w:rFonts w:ascii="Times New Roman" w:eastAsia="Times New Roman" w:hAnsi="Times New Roman"/>
              </w:rPr>
            </w:pPr>
          </w:p>
        </w:tc>
      </w:tr>
      <w:tr w:rsidR="00342622" w:rsidRPr="00907D70" w14:paraId="0E5D6639" w14:textId="77777777" w:rsidTr="00160402">
        <w:tc>
          <w:tcPr>
            <w:tcW w:w="2613" w:type="dxa"/>
            <w:shd w:val="clear" w:color="auto" w:fill="auto"/>
          </w:tcPr>
          <w:p w14:paraId="326BE84C"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Odos ir poodinio audinio sutrikimai</w:t>
            </w:r>
          </w:p>
        </w:tc>
        <w:tc>
          <w:tcPr>
            <w:tcW w:w="1411" w:type="dxa"/>
            <w:shd w:val="clear" w:color="auto" w:fill="auto"/>
          </w:tcPr>
          <w:p w14:paraId="70BB8512"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64ECFF18" w14:textId="7EE700A0" w:rsidR="00342622" w:rsidRPr="00907D70" w:rsidRDefault="00342622" w:rsidP="0084240B">
            <w:pPr>
              <w:tabs>
                <w:tab w:val="left" w:pos="567"/>
              </w:tabs>
              <w:spacing w:after="0" w:line="240" w:lineRule="auto"/>
              <w:rPr>
                <w:rFonts w:ascii="Times New Roman" w:eastAsia="Times New Roman" w:hAnsi="Times New Roman"/>
              </w:rPr>
            </w:pPr>
          </w:p>
          <w:p w14:paraId="7F100138" w14:textId="240BAE5E" w:rsidR="00262D33" w:rsidRPr="00907D70" w:rsidRDefault="00262D33" w:rsidP="0084240B">
            <w:pPr>
              <w:tabs>
                <w:tab w:val="left" w:pos="567"/>
              </w:tabs>
              <w:spacing w:after="0" w:line="240" w:lineRule="auto"/>
              <w:rPr>
                <w:rFonts w:ascii="Times New Roman" w:eastAsia="Times New Roman" w:hAnsi="Times New Roman"/>
              </w:rPr>
            </w:pPr>
          </w:p>
          <w:p w14:paraId="6F2D0AB6" w14:textId="77777777" w:rsidR="00262D33" w:rsidRPr="00907D70" w:rsidRDefault="00262D33" w:rsidP="0084240B">
            <w:pPr>
              <w:tabs>
                <w:tab w:val="left" w:pos="567"/>
              </w:tabs>
              <w:spacing w:after="0" w:line="240" w:lineRule="auto"/>
              <w:rPr>
                <w:rFonts w:ascii="Times New Roman" w:eastAsia="Times New Roman" w:hAnsi="Times New Roman"/>
              </w:rPr>
            </w:pPr>
          </w:p>
          <w:p w14:paraId="22889713"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p w14:paraId="6D187F34" w14:textId="77777777" w:rsidR="00342622" w:rsidRPr="00907D70" w:rsidRDefault="00342622" w:rsidP="0084240B">
            <w:pPr>
              <w:tabs>
                <w:tab w:val="left" w:pos="567"/>
              </w:tabs>
              <w:spacing w:after="0" w:line="240" w:lineRule="auto"/>
              <w:rPr>
                <w:rFonts w:ascii="Times New Roman" w:eastAsia="Times New Roman" w:hAnsi="Times New Roman"/>
              </w:rPr>
            </w:pPr>
          </w:p>
          <w:p w14:paraId="0426DE45" w14:textId="228B77BA" w:rsidR="00342622" w:rsidRPr="00907D70" w:rsidRDefault="0073694F"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Retas</w:t>
            </w:r>
          </w:p>
        </w:tc>
        <w:tc>
          <w:tcPr>
            <w:tcW w:w="5015" w:type="dxa"/>
            <w:shd w:val="clear" w:color="auto" w:fill="auto"/>
          </w:tcPr>
          <w:p w14:paraId="6229A8F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Bėrimas, įskaitant makulopapulinį bėrimą, dermatitas/ bėrimas, įskaitant egzemą ir seborėjinį dermatitą, naktinis prakaitavimas, niežulys.</w:t>
            </w:r>
          </w:p>
          <w:p w14:paraId="7344433A" w14:textId="77777777" w:rsidR="00342622" w:rsidRPr="00907D70" w:rsidRDefault="00342622" w:rsidP="0084240B">
            <w:pPr>
              <w:tabs>
                <w:tab w:val="left" w:pos="567"/>
              </w:tabs>
              <w:spacing w:after="0" w:line="240" w:lineRule="auto"/>
              <w:rPr>
                <w:rFonts w:ascii="Times New Roman" w:eastAsia="Times New Roman" w:hAnsi="Times New Roman"/>
              </w:rPr>
            </w:pPr>
          </w:p>
          <w:p w14:paraId="1CD4020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Plaukų slinkimas, kapiliaritas, vaskulitas.</w:t>
            </w:r>
          </w:p>
          <w:p w14:paraId="0C5FA1D7" w14:textId="77777777" w:rsidR="00342622" w:rsidRPr="00907D70" w:rsidRDefault="00342622" w:rsidP="0084240B">
            <w:pPr>
              <w:tabs>
                <w:tab w:val="left" w:pos="567"/>
              </w:tabs>
              <w:spacing w:after="0" w:line="240" w:lineRule="auto"/>
              <w:rPr>
                <w:rFonts w:ascii="Times New Roman" w:eastAsia="Times New Roman" w:hAnsi="Times New Roman"/>
              </w:rPr>
            </w:pPr>
          </w:p>
          <w:p w14:paraId="14BC1424"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Stivenso-Džonsono (</w:t>
            </w:r>
            <w:r w:rsidRPr="00907D70">
              <w:rPr>
                <w:rFonts w:ascii="Times New Roman" w:eastAsia="Times New Roman" w:hAnsi="Times New Roman"/>
                <w:i/>
              </w:rPr>
              <w:t>Stevens-Johnson</w:t>
            </w:r>
            <w:r w:rsidRPr="00907D70">
              <w:rPr>
                <w:rFonts w:ascii="Times New Roman" w:eastAsia="Times New Roman" w:hAnsi="Times New Roman"/>
              </w:rPr>
              <w:t>) sindromas, daugiaformė raudonė (</w:t>
            </w:r>
            <w:r w:rsidRPr="00907D70">
              <w:rPr>
                <w:rFonts w:ascii="Times New Roman" w:eastAsia="Times New Roman" w:hAnsi="Times New Roman"/>
                <w:i/>
              </w:rPr>
              <w:t>erythema multiforme</w:t>
            </w:r>
            <w:r w:rsidRPr="00907D70">
              <w:rPr>
                <w:rFonts w:ascii="Times New Roman" w:eastAsia="Times New Roman" w:hAnsi="Times New Roman"/>
              </w:rPr>
              <w:t>).</w:t>
            </w:r>
          </w:p>
        </w:tc>
      </w:tr>
      <w:tr w:rsidR="00342622" w:rsidRPr="00907D70" w14:paraId="120DA507" w14:textId="77777777" w:rsidTr="00160402">
        <w:tc>
          <w:tcPr>
            <w:tcW w:w="2613" w:type="dxa"/>
            <w:shd w:val="clear" w:color="auto" w:fill="auto"/>
          </w:tcPr>
          <w:p w14:paraId="30275493"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Skeleto, raumenų ir jungiamojo audinio sutrikimai</w:t>
            </w:r>
          </w:p>
        </w:tc>
        <w:tc>
          <w:tcPr>
            <w:tcW w:w="1411" w:type="dxa"/>
            <w:shd w:val="clear" w:color="auto" w:fill="auto"/>
          </w:tcPr>
          <w:p w14:paraId="6FE46A42"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p w14:paraId="28CD6488" w14:textId="77777777" w:rsidR="00342622" w:rsidRPr="00907D70" w:rsidRDefault="00342622" w:rsidP="0084240B">
            <w:pPr>
              <w:tabs>
                <w:tab w:val="left" w:pos="567"/>
              </w:tabs>
              <w:spacing w:after="0" w:line="240" w:lineRule="auto"/>
              <w:rPr>
                <w:rFonts w:ascii="Times New Roman" w:eastAsia="Times New Roman" w:hAnsi="Times New Roman"/>
              </w:rPr>
            </w:pPr>
          </w:p>
          <w:p w14:paraId="6A96874D" w14:textId="77777777" w:rsidR="00342622" w:rsidRPr="00907D70" w:rsidRDefault="00342622" w:rsidP="0084240B">
            <w:pPr>
              <w:tabs>
                <w:tab w:val="left" w:pos="567"/>
              </w:tabs>
              <w:spacing w:after="0" w:line="240" w:lineRule="auto"/>
              <w:rPr>
                <w:rFonts w:ascii="Times New Roman" w:eastAsia="Times New Roman" w:hAnsi="Times New Roman"/>
              </w:rPr>
            </w:pPr>
          </w:p>
          <w:p w14:paraId="2BD18345" w14:textId="77777777" w:rsidR="00342622" w:rsidRPr="00907D70" w:rsidRDefault="00342622" w:rsidP="0084240B">
            <w:pPr>
              <w:tabs>
                <w:tab w:val="left" w:pos="567"/>
              </w:tabs>
              <w:spacing w:after="0" w:line="240" w:lineRule="auto"/>
              <w:rPr>
                <w:rFonts w:ascii="Times New Roman" w:eastAsia="Times New Roman" w:hAnsi="Times New Roman"/>
              </w:rPr>
            </w:pPr>
          </w:p>
          <w:p w14:paraId="1FA5AFE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tc>
        <w:tc>
          <w:tcPr>
            <w:tcW w:w="5015" w:type="dxa"/>
            <w:shd w:val="clear" w:color="auto" w:fill="auto"/>
          </w:tcPr>
          <w:p w14:paraId="325B0A57"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Mialgija, kaulų ir raumenų skausmas, įskaitant artralgiją ir nugaros skausmą, raumenų pažeidimai, tokie, kaip silpnumas ir spazmai.</w:t>
            </w:r>
          </w:p>
          <w:p w14:paraId="69A86D04" w14:textId="77777777" w:rsidR="00342622" w:rsidRPr="00907D70" w:rsidRDefault="00342622" w:rsidP="0084240B">
            <w:pPr>
              <w:tabs>
                <w:tab w:val="left" w:pos="567"/>
              </w:tabs>
              <w:spacing w:after="0" w:line="240" w:lineRule="auto"/>
              <w:rPr>
                <w:rFonts w:ascii="Times New Roman" w:eastAsia="Times New Roman" w:hAnsi="Times New Roman"/>
              </w:rPr>
            </w:pPr>
          </w:p>
          <w:p w14:paraId="7D6B223E"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Rabdomiolizė, osteonekrozė.</w:t>
            </w:r>
          </w:p>
        </w:tc>
      </w:tr>
      <w:tr w:rsidR="00342622" w:rsidRPr="00907D70" w14:paraId="5CCE4E3A" w14:textId="77777777" w:rsidTr="00160402">
        <w:tc>
          <w:tcPr>
            <w:tcW w:w="2613" w:type="dxa"/>
            <w:shd w:val="clear" w:color="auto" w:fill="auto"/>
          </w:tcPr>
          <w:p w14:paraId="3080C4CD"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Inkstų ir šlapimo takų sutrikimai</w:t>
            </w:r>
          </w:p>
        </w:tc>
        <w:tc>
          <w:tcPr>
            <w:tcW w:w="1411" w:type="dxa"/>
            <w:shd w:val="clear" w:color="auto" w:fill="auto"/>
          </w:tcPr>
          <w:p w14:paraId="66EE863F"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Nedažnas</w:t>
            </w:r>
          </w:p>
          <w:p w14:paraId="73F2E4D2" w14:textId="77777777" w:rsidR="00957AA7" w:rsidRPr="00907D70" w:rsidRDefault="00957AA7" w:rsidP="0084240B">
            <w:pPr>
              <w:tabs>
                <w:tab w:val="left" w:pos="567"/>
              </w:tabs>
              <w:spacing w:after="0" w:line="240" w:lineRule="auto"/>
              <w:rPr>
                <w:rFonts w:ascii="Times New Roman" w:eastAsia="Times New Roman" w:hAnsi="Times New Roman"/>
              </w:rPr>
            </w:pPr>
          </w:p>
          <w:p w14:paraId="570ABC58" w14:textId="1CBD98C2" w:rsidR="00957AA7" w:rsidRPr="00907D70" w:rsidRDefault="00957AA7"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Dažnis nežinomas</w:t>
            </w:r>
          </w:p>
        </w:tc>
        <w:tc>
          <w:tcPr>
            <w:tcW w:w="5015" w:type="dxa"/>
            <w:shd w:val="clear" w:color="auto" w:fill="auto"/>
          </w:tcPr>
          <w:p w14:paraId="2891CB63"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Sumažėjęs kreatinino klirensas, nefritas, hematurija.</w:t>
            </w:r>
          </w:p>
          <w:p w14:paraId="02724EDA" w14:textId="77777777" w:rsidR="00957AA7" w:rsidRPr="00907D70" w:rsidRDefault="00957AA7" w:rsidP="0084240B">
            <w:pPr>
              <w:tabs>
                <w:tab w:val="left" w:pos="567"/>
              </w:tabs>
              <w:spacing w:after="0" w:line="240" w:lineRule="auto"/>
              <w:rPr>
                <w:rFonts w:ascii="Times New Roman" w:eastAsia="Times New Roman" w:hAnsi="Times New Roman"/>
              </w:rPr>
            </w:pPr>
          </w:p>
          <w:p w14:paraId="51E86DEF" w14:textId="181AB741" w:rsidR="00957AA7" w:rsidRPr="00907D70" w:rsidRDefault="00957AA7"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Nefrolitiazė</w:t>
            </w:r>
          </w:p>
        </w:tc>
      </w:tr>
      <w:tr w:rsidR="00342622" w:rsidRPr="00907D70" w14:paraId="42CF5142" w14:textId="77777777" w:rsidTr="00160402">
        <w:tc>
          <w:tcPr>
            <w:tcW w:w="2613" w:type="dxa"/>
            <w:shd w:val="clear" w:color="auto" w:fill="auto"/>
          </w:tcPr>
          <w:p w14:paraId="719BF031"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Lytinės sistemos ir krūties sutrikimai</w:t>
            </w:r>
          </w:p>
        </w:tc>
        <w:tc>
          <w:tcPr>
            <w:tcW w:w="1411" w:type="dxa"/>
            <w:shd w:val="clear" w:color="auto" w:fill="auto"/>
          </w:tcPr>
          <w:p w14:paraId="065A81F0"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tc>
        <w:tc>
          <w:tcPr>
            <w:tcW w:w="5015" w:type="dxa"/>
            <w:shd w:val="clear" w:color="auto" w:fill="auto"/>
          </w:tcPr>
          <w:p w14:paraId="59378AA9"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Erekcijos sutrikimas, mėnesinių sutrikimai - amenorėja, menoragija.</w:t>
            </w:r>
          </w:p>
        </w:tc>
      </w:tr>
      <w:tr w:rsidR="00342622" w:rsidRPr="00907D70" w14:paraId="6CEBD9A5" w14:textId="77777777" w:rsidTr="00160402">
        <w:tc>
          <w:tcPr>
            <w:tcW w:w="2613" w:type="dxa"/>
            <w:shd w:val="clear" w:color="auto" w:fill="auto"/>
          </w:tcPr>
          <w:p w14:paraId="266D1EFB"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Bendrieji sutrikimai ir vartojimo vietos pažeidimai</w:t>
            </w:r>
          </w:p>
        </w:tc>
        <w:tc>
          <w:tcPr>
            <w:tcW w:w="1411" w:type="dxa"/>
            <w:shd w:val="clear" w:color="auto" w:fill="auto"/>
          </w:tcPr>
          <w:p w14:paraId="434A3A08"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Dažnas</w:t>
            </w:r>
          </w:p>
        </w:tc>
        <w:tc>
          <w:tcPr>
            <w:tcW w:w="5015" w:type="dxa"/>
            <w:shd w:val="clear" w:color="auto" w:fill="auto"/>
          </w:tcPr>
          <w:p w14:paraId="11A11D40" w14:textId="77777777" w:rsidR="00342622" w:rsidRPr="00907D70" w:rsidRDefault="00342622" w:rsidP="0084240B">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Nuovargis, įskaitant asteniją.</w:t>
            </w:r>
          </w:p>
        </w:tc>
      </w:tr>
    </w:tbl>
    <w:p w14:paraId="2F096E07" w14:textId="77777777" w:rsidR="00342622" w:rsidRPr="00907D70" w:rsidRDefault="00342622" w:rsidP="00342622">
      <w:pPr>
        <w:tabs>
          <w:tab w:val="left" w:pos="567"/>
        </w:tabs>
        <w:spacing w:after="0" w:line="240" w:lineRule="auto"/>
        <w:rPr>
          <w:rFonts w:ascii="Times New Roman" w:eastAsia="Times New Roman" w:hAnsi="Times New Roman"/>
          <w:vertAlign w:val="superscript"/>
        </w:rPr>
      </w:pPr>
    </w:p>
    <w:p w14:paraId="17CEC95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vertAlign w:val="superscript"/>
        </w:rPr>
        <w:t>1</w:t>
      </w:r>
      <w:r w:rsidRPr="00907D70">
        <w:rPr>
          <w:rFonts w:ascii="Times New Roman" w:eastAsia="Times New Roman" w:hAnsi="Times New Roman"/>
        </w:rPr>
        <w:t xml:space="preserve"> Žr. 4.4 skyriaus poskyrius „Kasos uždegimas“ ir „Padidėjęs lipidų kiekis“.</w:t>
      </w:r>
    </w:p>
    <w:p w14:paraId="730F4E1F" w14:textId="77777777" w:rsidR="00342622" w:rsidRPr="00907D70" w:rsidRDefault="00342622" w:rsidP="00342622">
      <w:pPr>
        <w:tabs>
          <w:tab w:val="left" w:pos="567"/>
        </w:tabs>
        <w:spacing w:after="0" w:line="240" w:lineRule="auto"/>
        <w:rPr>
          <w:rFonts w:ascii="Times New Roman" w:eastAsia="Times New Roman" w:hAnsi="Times New Roman"/>
        </w:rPr>
      </w:pPr>
    </w:p>
    <w:p w14:paraId="2D34DF98" w14:textId="77777777" w:rsidR="00342622" w:rsidRPr="00907D70" w:rsidRDefault="00342622" w:rsidP="00342622">
      <w:pPr>
        <w:tabs>
          <w:tab w:val="left" w:pos="567"/>
        </w:tabs>
        <w:spacing w:after="0" w:line="240" w:lineRule="auto"/>
        <w:rPr>
          <w:rFonts w:ascii="Times New Roman" w:eastAsia="Times New Roman" w:hAnsi="Times New Roman"/>
          <w:u w:val="single"/>
        </w:rPr>
      </w:pPr>
      <w:r w:rsidRPr="00907D70">
        <w:rPr>
          <w:rFonts w:ascii="Times New Roman" w:eastAsia="Times New Roman" w:hAnsi="Times New Roman"/>
          <w:u w:val="single"/>
        </w:rPr>
        <w:t>c. Atrinktų nepageidaujamų reakcijų apibūdinimas</w:t>
      </w:r>
    </w:p>
    <w:p w14:paraId="60728616" w14:textId="77777777" w:rsidR="00342622" w:rsidRPr="00907D70" w:rsidRDefault="00342622" w:rsidP="00342622">
      <w:pPr>
        <w:tabs>
          <w:tab w:val="left" w:pos="567"/>
        </w:tabs>
        <w:spacing w:after="0" w:line="240" w:lineRule="auto"/>
        <w:rPr>
          <w:rFonts w:ascii="Times New Roman" w:eastAsia="Times New Roman" w:hAnsi="Times New Roman"/>
        </w:rPr>
      </w:pPr>
    </w:p>
    <w:p w14:paraId="248ED8D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Gauta pranešimų, kad pacientams gydytiems ritonaviru, kuriems buvo paskirtos flutikazono propionato inhaliacijos arba jo skirta į nosį, pasireiškė Kušingo (</w:t>
      </w:r>
      <w:r w:rsidRPr="00907D70">
        <w:rPr>
          <w:rFonts w:ascii="Times New Roman" w:eastAsia="Times New Roman" w:hAnsi="Times New Roman"/>
          <w:i/>
        </w:rPr>
        <w:t>Cushing</w:t>
      </w:r>
      <w:r w:rsidRPr="00907D70">
        <w:rPr>
          <w:rFonts w:ascii="Times New Roman" w:eastAsia="Times New Roman" w:hAnsi="Times New Roman"/>
        </w:rPr>
        <w:t>) sindromas; tai gali pasireikšti ir vartojant kitų kortikosteroidų, kuriuose metabolizuoja P450 3A, pvz., budezonido (žr. 4.4 ir 4.5 skyrius).</w:t>
      </w:r>
    </w:p>
    <w:p w14:paraId="1721FB64" w14:textId="77777777" w:rsidR="00342622" w:rsidRPr="00907D70" w:rsidRDefault="00342622" w:rsidP="00342622">
      <w:pPr>
        <w:tabs>
          <w:tab w:val="left" w:pos="567"/>
        </w:tabs>
        <w:spacing w:after="0" w:line="240" w:lineRule="auto"/>
        <w:rPr>
          <w:rFonts w:ascii="Times New Roman" w:eastAsia="Times New Roman" w:hAnsi="Times New Roman"/>
        </w:rPr>
      </w:pPr>
    </w:p>
    <w:p w14:paraId="0DB5D6C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Gauta pranešimų apie padidėjusį kreatinfosfokinazės kiekį, mialgiją, miozitą ir, retai, rabdomiolizę, vartojant proteazių inhibitorių, ypač deriniuose su nukleozidų atvirkštinės transkriptazės inhibitoriais.</w:t>
      </w:r>
    </w:p>
    <w:p w14:paraId="13FDC459" w14:textId="77777777" w:rsidR="00342622" w:rsidRPr="00907D70" w:rsidRDefault="00342622" w:rsidP="00342622">
      <w:pPr>
        <w:tabs>
          <w:tab w:val="left" w:pos="567"/>
        </w:tabs>
        <w:spacing w:after="0" w:line="240" w:lineRule="auto"/>
        <w:rPr>
          <w:rFonts w:ascii="Times New Roman" w:eastAsia="Times New Roman" w:hAnsi="Times New Roman"/>
        </w:rPr>
      </w:pPr>
    </w:p>
    <w:p w14:paraId="09625052" w14:textId="77777777" w:rsidR="00342622" w:rsidRPr="00907D70" w:rsidRDefault="00342622" w:rsidP="00342622">
      <w:pPr>
        <w:tabs>
          <w:tab w:val="left" w:pos="567"/>
        </w:tabs>
        <w:spacing w:after="0" w:line="240" w:lineRule="auto"/>
        <w:rPr>
          <w:rFonts w:ascii="Times New Roman" w:eastAsia="Times New Roman" w:hAnsi="Times New Roman"/>
          <w:u w:val="single"/>
        </w:rPr>
      </w:pPr>
      <w:r w:rsidRPr="00907D70">
        <w:rPr>
          <w:rFonts w:ascii="Times New Roman" w:eastAsia="Times New Roman" w:hAnsi="Times New Roman"/>
          <w:u w:val="single"/>
        </w:rPr>
        <w:t>Metabolizmo rodmenys</w:t>
      </w:r>
    </w:p>
    <w:p w14:paraId="1BAFFFEE"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Gydymo antiretrovirusiniais preparatais metu gali padidėti kūno masė ir lipidų bei gliukozės koncentracijos kraujyje (žr. 4.4 skyrių).</w:t>
      </w:r>
    </w:p>
    <w:p w14:paraId="49FA1265"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p>
    <w:p w14:paraId="3EF6D9D6"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ŽIV infekuotiems pacientams, kuriems yra sunkus imuninės sistemos nepakankamumas, pradėjus taikyti kombinuotą antiretrovirusinį gydymą, gali pasireikšti uždegiminės reakcijos į besimptomines ar likusias oportunistines infekcijas. Taip pat buvo gauta pranešimų apie autoimuninius sutrikimus (tokius kaip Greivso (</w:t>
      </w:r>
      <w:r w:rsidRPr="00907D70">
        <w:rPr>
          <w:rFonts w:ascii="Times New Roman" w:eastAsia="Times New Roman" w:hAnsi="Times New Roman"/>
          <w:i/>
        </w:rPr>
        <w:t>Graves</w:t>
      </w:r>
      <w:r w:rsidRPr="00907D70">
        <w:rPr>
          <w:rFonts w:ascii="Times New Roman" w:eastAsia="Times New Roman" w:hAnsi="Times New Roman"/>
        </w:rPr>
        <w:t>) liga</w:t>
      </w:r>
      <w:r w:rsidR="00195B10" w:rsidRPr="00907D70">
        <w:rPr>
          <w:rFonts w:ascii="Times New Roman" w:eastAsia="Times New Roman" w:hAnsi="Times New Roman"/>
        </w:rPr>
        <w:t xml:space="preserve"> ir autoimuninis hepatitas</w:t>
      </w:r>
      <w:r w:rsidRPr="00907D70">
        <w:rPr>
          <w:rFonts w:ascii="Times New Roman" w:eastAsia="Times New Roman" w:hAnsi="Times New Roman"/>
        </w:rPr>
        <w:t>), nors autoimuninių sutrikimų pradžios laikas pranešimuose labai įvairus, ir šių sutrikimų gali atsirasti po daugelio mėnesių nuo gydymo paskyrimo pradžios (žr. 4.4 skyrių).</w:t>
      </w:r>
    </w:p>
    <w:p w14:paraId="1F0FBF89" w14:textId="77777777" w:rsidR="00342622" w:rsidRPr="00907D70" w:rsidRDefault="00342622" w:rsidP="00342622">
      <w:pPr>
        <w:tabs>
          <w:tab w:val="left" w:pos="567"/>
        </w:tabs>
        <w:spacing w:after="0" w:line="240" w:lineRule="auto"/>
        <w:rPr>
          <w:rFonts w:ascii="Times New Roman" w:eastAsia="Times New Roman" w:hAnsi="Times New Roman"/>
        </w:rPr>
      </w:pPr>
    </w:p>
    <w:p w14:paraId="3A33A79D"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Buvo gauta pranešimų apie kaulų nekrozę, dažniausiai pacientams, kurie yra didelės rizikos grupėje, kurių ŽIV liga yra pažengusi ar kuriems ilgai taikomas kombinuotas antiretrovirusinis gydymas (KARG). Šio reiškinio dažnis nežinomas (žr. 4.4 skyrių).</w:t>
      </w:r>
    </w:p>
    <w:p w14:paraId="6AB1F864" w14:textId="77777777" w:rsidR="00342622" w:rsidRPr="00907D70" w:rsidRDefault="00342622" w:rsidP="00342622">
      <w:pPr>
        <w:tabs>
          <w:tab w:val="left" w:pos="567"/>
        </w:tabs>
        <w:spacing w:after="0" w:line="240" w:lineRule="auto"/>
        <w:rPr>
          <w:rFonts w:ascii="Times New Roman" w:eastAsia="Times New Roman" w:hAnsi="Times New Roman"/>
        </w:rPr>
      </w:pPr>
    </w:p>
    <w:p w14:paraId="489303AC" w14:textId="77777777" w:rsidR="00342622" w:rsidRPr="00907D70" w:rsidRDefault="00342622" w:rsidP="00342622">
      <w:pPr>
        <w:tabs>
          <w:tab w:val="left" w:pos="567"/>
        </w:tabs>
        <w:spacing w:after="0" w:line="240" w:lineRule="auto"/>
        <w:rPr>
          <w:rFonts w:ascii="Times New Roman" w:eastAsia="Times New Roman" w:hAnsi="Times New Roman"/>
          <w:u w:val="single"/>
        </w:rPr>
      </w:pPr>
      <w:r w:rsidRPr="00907D70">
        <w:rPr>
          <w:rFonts w:ascii="Times New Roman" w:eastAsia="Times New Roman" w:hAnsi="Times New Roman"/>
          <w:u w:val="single"/>
        </w:rPr>
        <w:t>d. Vaikų populiacija</w:t>
      </w:r>
    </w:p>
    <w:p w14:paraId="4B00B42D" w14:textId="77777777" w:rsidR="00342622" w:rsidRPr="00907D70" w:rsidRDefault="00342622" w:rsidP="00342622">
      <w:pPr>
        <w:tabs>
          <w:tab w:val="left" w:pos="567"/>
        </w:tabs>
        <w:spacing w:after="0" w:line="240" w:lineRule="auto"/>
        <w:rPr>
          <w:rFonts w:ascii="Times New Roman" w:eastAsia="Times New Roman" w:hAnsi="Times New Roman"/>
        </w:rPr>
      </w:pPr>
    </w:p>
    <w:p w14:paraId="750D0241"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2 metų amžiaus arba vyresniems vaikams ir suaugusiesiems saugumo charakteristikos pobūdis yra panašus (žr. lentelę b poskyryje).</w:t>
      </w:r>
    </w:p>
    <w:p w14:paraId="0F1C64A3" w14:textId="77777777" w:rsidR="00342622" w:rsidRPr="00907D70" w:rsidRDefault="00342622" w:rsidP="00342622">
      <w:pPr>
        <w:tabs>
          <w:tab w:val="left" w:pos="567"/>
        </w:tabs>
        <w:spacing w:after="0" w:line="240" w:lineRule="auto"/>
        <w:rPr>
          <w:rFonts w:ascii="Times New Roman" w:eastAsia="Times New Roman" w:hAnsi="Times New Roman"/>
        </w:rPr>
      </w:pPr>
    </w:p>
    <w:p w14:paraId="4F4D7FC8" w14:textId="77777777" w:rsidR="00342622" w:rsidRPr="00907D70" w:rsidRDefault="00342622" w:rsidP="00342622">
      <w:pPr>
        <w:autoSpaceDE w:val="0"/>
        <w:autoSpaceDN w:val="0"/>
        <w:adjustRightInd w:val="0"/>
        <w:spacing w:after="0" w:line="240" w:lineRule="auto"/>
        <w:rPr>
          <w:rFonts w:ascii="Times New Roman" w:eastAsia="Times New Roman" w:hAnsi="Times New Roman"/>
          <w:u w:val="single"/>
        </w:rPr>
      </w:pPr>
      <w:r w:rsidRPr="00907D70">
        <w:rPr>
          <w:rFonts w:ascii="Times New Roman" w:eastAsia="Times New Roman" w:hAnsi="Times New Roman"/>
          <w:u w:val="single"/>
        </w:rPr>
        <w:t>Pranešimas apie įtariamas nepageidaujamas reakcijas</w:t>
      </w:r>
    </w:p>
    <w:p w14:paraId="262F9333" w14:textId="03502626" w:rsidR="00F96154" w:rsidRPr="00907D70" w:rsidRDefault="00342622" w:rsidP="00F96154">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w:t>
      </w:r>
      <w:r w:rsidR="00F96154" w:rsidRPr="00907D70">
        <w:rPr>
          <w:rFonts w:ascii="Times New Roman" w:eastAsia="Times New Roman" w:hAnsi="Times New Roman"/>
        </w:rPr>
        <w:t xml:space="preserve">Sveikatos priežiūros ar farmacijos specialistai turi pranešti apie bet kokias įtariamas nepageidaujamas reakcijas, tiesiogiai užpildę pranešimo formą internetu Tarnybos Vaistinių preparatų informacinėje sistemoje </w:t>
      </w:r>
      <w:r w:rsidR="00F96154" w:rsidRPr="00907D70">
        <w:rPr>
          <w:rFonts w:ascii="Times New Roman" w:eastAsia="Times New Roman" w:hAnsi="Times New Roman"/>
          <w:u w:val="single"/>
        </w:rPr>
        <w:t>https://vapris.vvkt.lt/vvkt-web/public/nrvSpecialist</w:t>
      </w:r>
      <w:r w:rsidR="00F96154" w:rsidRPr="00907D70">
        <w:rPr>
          <w:rFonts w:ascii="Times New Roman" w:eastAsia="Times New Roman" w:hAnsi="Times New Roman"/>
        </w:rPr>
        <w:t xml:space="preserve"> arba užpildę Sveikatos priežiūros ar farmacijos specialisto pranešimo apie įtariamą nepageidaujamą reakciją (ĮNR) formą, kuri skelbiama </w:t>
      </w:r>
      <w:r w:rsidR="00F96154" w:rsidRPr="00907D70">
        <w:rPr>
          <w:rFonts w:ascii="Times New Roman" w:eastAsia="Times New Roman" w:hAnsi="Times New Roman"/>
          <w:u w:val="single"/>
        </w:rPr>
        <w:t>https://www.vvkt.lt/index.php?1399030386</w:t>
      </w:r>
      <w:r w:rsidR="00F96154" w:rsidRPr="00907D70">
        <w:rPr>
          <w:rFonts w:ascii="Times New Roman" w:eastAsia="Times New Roman" w:hAnsi="Times New Roman"/>
        </w:rPr>
        <w:t>, ir atsiųsti elektroniniu paštu (adresu NepageidaujamaR@vvkt.lt).</w:t>
      </w:r>
    </w:p>
    <w:p w14:paraId="0E9010AB" w14:textId="77777777" w:rsidR="00342622" w:rsidRPr="00907D70" w:rsidRDefault="00342622" w:rsidP="0071082F">
      <w:pPr>
        <w:autoSpaceDE w:val="0"/>
        <w:autoSpaceDN w:val="0"/>
        <w:adjustRightInd w:val="0"/>
        <w:spacing w:after="0" w:line="240" w:lineRule="auto"/>
        <w:rPr>
          <w:rFonts w:ascii="Times New Roman" w:eastAsia="Times New Roman" w:hAnsi="Times New Roman"/>
        </w:rPr>
      </w:pPr>
    </w:p>
    <w:p w14:paraId="47DC2924" w14:textId="77777777" w:rsidR="00342622" w:rsidRPr="00907D70" w:rsidRDefault="00342622" w:rsidP="0034262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4.9</w:t>
      </w:r>
      <w:r w:rsidRPr="00907D70">
        <w:rPr>
          <w:rFonts w:ascii="Times New Roman" w:eastAsia="Times New Roman" w:hAnsi="Times New Roman"/>
          <w:b/>
          <w:bCs/>
        </w:rPr>
        <w:tab/>
        <w:t>Perdozavimas</w:t>
      </w:r>
    </w:p>
    <w:p w14:paraId="64232CAF" w14:textId="77777777" w:rsidR="00342622" w:rsidRPr="00907D70" w:rsidRDefault="00342622" w:rsidP="00342622">
      <w:pPr>
        <w:tabs>
          <w:tab w:val="left" w:pos="567"/>
        </w:tabs>
        <w:spacing w:after="0" w:line="240" w:lineRule="auto"/>
        <w:rPr>
          <w:rFonts w:ascii="Times New Roman" w:eastAsia="Times New Roman" w:hAnsi="Times New Roman"/>
          <w:b/>
          <w:bCs/>
        </w:rPr>
      </w:pPr>
    </w:p>
    <w:p w14:paraId="347610E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Kol kas patirties apie ūminį lopinaviro / ritonaviro derinio perdozavimą žmonėms yra nedaug.</w:t>
      </w:r>
    </w:p>
    <w:p w14:paraId="3073A498" w14:textId="77777777" w:rsidR="00342622" w:rsidRPr="00907D70" w:rsidRDefault="00342622" w:rsidP="00342622">
      <w:pPr>
        <w:tabs>
          <w:tab w:val="left" w:pos="567"/>
        </w:tabs>
        <w:spacing w:after="0" w:line="240" w:lineRule="auto"/>
        <w:rPr>
          <w:rFonts w:ascii="Times New Roman" w:eastAsia="Times New Roman" w:hAnsi="Times New Roman"/>
        </w:rPr>
      </w:pPr>
    </w:p>
    <w:p w14:paraId="5F7E2EE9"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Nepageidaujami klinikiniai požymiai, pastebėti šunims, buvo seilėtekis, vėmimas ir viduriavimas / nenormalios išmatos. Pelėms, žiurkėms ar šunims pastebėti toksiškumo požymiai buvo šie: sumažėjęs aktyvumas, ataksija, išsekimas, dehidracija ir tremoras.</w:t>
      </w:r>
    </w:p>
    <w:p w14:paraId="06DA9CBB" w14:textId="77777777" w:rsidR="00342622" w:rsidRPr="00907D70" w:rsidRDefault="00342622" w:rsidP="00342622">
      <w:pPr>
        <w:tabs>
          <w:tab w:val="left" w:pos="567"/>
        </w:tabs>
        <w:spacing w:after="0" w:line="240" w:lineRule="auto"/>
        <w:rPr>
          <w:rFonts w:ascii="Times New Roman" w:eastAsia="Times New Roman" w:hAnsi="Times New Roman"/>
        </w:rPr>
      </w:pPr>
    </w:p>
    <w:p w14:paraId="0BBB5D9F"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Perdozavus lopinaviro / ritonaviro derinio specifinio priešnuodžio nėra. Perdozavus lopinaviro / ritonaviro derinio, taikomos bendrosios palaikomosios priemonės, įskaitant gyvybinių požymių sekimą ir paciento klinikinės būklės įvertinimą. Prireikus neabsorbuotą veikliąją medžiagą galima pašalinti sukeliant vėmimą ar išplaunant skrandį. Neabsorbuotai medžiagai pašalinti taip pat galima duoti aktyvintosios anglies. Kadangi lopinaviras / ritonaviras gerai jungiasi su baltymais, mažai tikėtina, kad dializė reikšmingai pašalintų veikliąją medžiagą. </w:t>
      </w:r>
    </w:p>
    <w:p w14:paraId="2E034C45" w14:textId="77777777" w:rsidR="00342622" w:rsidRPr="00907D70" w:rsidRDefault="00342622" w:rsidP="00342622">
      <w:pPr>
        <w:tabs>
          <w:tab w:val="left" w:pos="567"/>
        </w:tabs>
        <w:spacing w:after="0" w:line="240" w:lineRule="auto"/>
        <w:rPr>
          <w:rFonts w:ascii="Times New Roman" w:eastAsia="Times New Roman" w:hAnsi="Times New Roman"/>
        </w:rPr>
      </w:pPr>
    </w:p>
    <w:p w14:paraId="4F91ACB0" w14:textId="77777777" w:rsidR="00342622" w:rsidRPr="00907D70" w:rsidRDefault="00342622" w:rsidP="00342622">
      <w:pPr>
        <w:tabs>
          <w:tab w:val="left" w:pos="567"/>
        </w:tabs>
        <w:spacing w:after="0" w:line="240" w:lineRule="auto"/>
        <w:rPr>
          <w:rFonts w:ascii="Times New Roman" w:eastAsia="Times New Roman" w:hAnsi="Times New Roman"/>
        </w:rPr>
      </w:pPr>
    </w:p>
    <w:p w14:paraId="229AA991" w14:textId="77777777" w:rsidR="00342622" w:rsidRPr="00907D70" w:rsidRDefault="00342622" w:rsidP="0034262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5.</w:t>
      </w:r>
      <w:r w:rsidRPr="00907D70">
        <w:rPr>
          <w:rFonts w:ascii="Times New Roman" w:eastAsia="Times New Roman" w:hAnsi="Times New Roman"/>
          <w:b/>
          <w:bCs/>
        </w:rPr>
        <w:tab/>
        <w:t>FARMAKOLOGINĖS SAVYBĖS</w:t>
      </w:r>
    </w:p>
    <w:p w14:paraId="2267DA0C" w14:textId="77777777" w:rsidR="00342622" w:rsidRPr="00907D70" w:rsidRDefault="00342622" w:rsidP="00342622">
      <w:pPr>
        <w:tabs>
          <w:tab w:val="left" w:pos="567"/>
        </w:tabs>
        <w:spacing w:after="0" w:line="240" w:lineRule="auto"/>
        <w:rPr>
          <w:rFonts w:ascii="Times New Roman" w:eastAsia="Times New Roman" w:hAnsi="Times New Roman"/>
        </w:rPr>
      </w:pPr>
    </w:p>
    <w:p w14:paraId="0524C4F2" w14:textId="77777777" w:rsidR="00342622" w:rsidRPr="00907D70" w:rsidRDefault="00342622" w:rsidP="0034262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5.1</w:t>
      </w:r>
      <w:r w:rsidRPr="00907D70">
        <w:rPr>
          <w:rFonts w:ascii="Times New Roman" w:eastAsia="Times New Roman" w:hAnsi="Times New Roman"/>
          <w:b/>
          <w:bCs/>
        </w:rPr>
        <w:tab/>
        <w:t>Farmakodinaminės savybės</w:t>
      </w:r>
    </w:p>
    <w:p w14:paraId="6EA42F6F" w14:textId="77777777" w:rsidR="00342622" w:rsidRPr="00907D70" w:rsidRDefault="00342622" w:rsidP="00342622">
      <w:pPr>
        <w:tabs>
          <w:tab w:val="left" w:pos="567"/>
        </w:tabs>
        <w:spacing w:after="0" w:line="240" w:lineRule="auto"/>
        <w:rPr>
          <w:rFonts w:ascii="Times New Roman" w:eastAsia="Times New Roman" w:hAnsi="Times New Roman"/>
          <w:b/>
          <w:bCs/>
        </w:rPr>
      </w:pPr>
    </w:p>
    <w:p w14:paraId="2BBCA605"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szCs w:val="24"/>
        </w:rPr>
        <w:t>Farmakoterapinė grupė</w:t>
      </w:r>
      <w:r w:rsidRPr="00907D70">
        <w:rPr>
          <w:rFonts w:ascii="Times New Roman" w:eastAsia="Times New Roman" w:hAnsi="Times New Roman"/>
        </w:rPr>
        <w:t xml:space="preserve"> – sisteminio poveikio antivirusiniai vaistiniai preparatai, antivirusiniai vaistiniai preparatai ŽIV infekcijai gydyti, deriniai, ATC kodas – J05AR10.</w:t>
      </w:r>
    </w:p>
    <w:p w14:paraId="7F39C87B" w14:textId="77777777" w:rsidR="00342622" w:rsidRPr="00907D70" w:rsidRDefault="00342622" w:rsidP="00342622">
      <w:pPr>
        <w:tabs>
          <w:tab w:val="left" w:pos="567"/>
        </w:tabs>
        <w:spacing w:after="0" w:line="240" w:lineRule="auto"/>
        <w:rPr>
          <w:rFonts w:ascii="Times New Roman" w:eastAsia="Times New Roman" w:hAnsi="Times New Roman"/>
        </w:rPr>
      </w:pPr>
    </w:p>
    <w:p w14:paraId="66CD1F80"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u w:val="single"/>
        </w:rPr>
        <w:t>Veikimo mechanizmas</w:t>
      </w:r>
      <w:r w:rsidRPr="00907D70">
        <w:rPr>
          <w:rFonts w:ascii="Times New Roman" w:eastAsia="Times New Roman" w:hAnsi="Times New Roman"/>
        </w:rPr>
        <w:t xml:space="preserve">. Antivirusinis Lopinavir / Ritonavir Accord aktyvumas priklauso nuo lopinaviro. Lopinaviras yra ŽIV-1 ir ŽIV-2 proteazių inhibitorius. ŽIV proteazių slopinimas užkerta kelią </w:t>
      </w:r>
      <w:r w:rsidRPr="00907D70">
        <w:rPr>
          <w:rFonts w:ascii="Times New Roman" w:eastAsia="Times New Roman" w:hAnsi="Times New Roman"/>
          <w:i/>
        </w:rPr>
        <w:t>gag-pol</w:t>
      </w:r>
      <w:r w:rsidRPr="00907D70">
        <w:rPr>
          <w:rFonts w:ascii="Times New Roman" w:eastAsia="Times New Roman" w:hAnsi="Times New Roman"/>
        </w:rPr>
        <w:t xml:space="preserve"> poliproteino skilimui, todėl formuojasi nesubrendęs, neužkrečiamas virusas.</w:t>
      </w:r>
    </w:p>
    <w:p w14:paraId="663E6569" w14:textId="77777777" w:rsidR="00342622" w:rsidRPr="00907D70" w:rsidRDefault="00342622" w:rsidP="00342622">
      <w:pPr>
        <w:tabs>
          <w:tab w:val="left" w:pos="567"/>
        </w:tabs>
        <w:spacing w:after="0" w:line="240" w:lineRule="auto"/>
        <w:rPr>
          <w:rFonts w:ascii="Times New Roman" w:eastAsia="Times New Roman" w:hAnsi="Times New Roman"/>
        </w:rPr>
      </w:pPr>
    </w:p>
    <w:p w14:paraId="02C56D47" w14:textId="375A157F"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szCs w:val="24"/>
          <w:u w:val="single"/>
        </w:rPr>
        <w:t>Pokyčiai elektrokardiogramoje</w:t>
      </w:r>
      <w:r w:rsidRPr="00907D70">
        <w:rPr>
          <w:rFonts w:ascii="Times New Roman" w:eastAsia="Times New Roman" w:hAnsi="Times New Roman"/>
        </w:rPr>
        <w:t>. QTcF buvo įvertintas atsitiktinės atrankos metodu atlikto, placebu ir aktyviu preparatu (moksifloksacinas 400 mg vieną kartą per parą) kontroliuojamo, kryžminio tyrimo, kuriame dalyvavusiems 39 sveikiems suaugusiesiems 3-ąją parą per 12 valandų buvo atlikta po 10 matavimų, metu. Didžiausias vidutinis (95 % viršutinė pasikliautinojo intervalo riba) QTcF skirtumas, lyginant su placebo grupe, buvo 3,6 (6,3) ir 13,1(15,8), kai lopinaviro / ritonaviro dozė, atitinkamai, buvo 400/100 mg du kartus per parą arba didesnė už gydomąją - 800/200 mg du kartus per parą. Didelių lopinaviro ir ritonaviro dozių (800/200 mg du kartus per parą) sukeltas QRS intervalo pailgėjimas nuo 6 ms iki 9,5 ms prisideda prie QT pailgėjimo. Skiriant šiais dviem gydymo režimais 3-ąją parą susidarė vidutiniškai 1,5 ir 3 kartus didesnės koncentracijos, lyginant su ta pusiausvyrine koncentracija, kuri susidaro vartojant rekomenduojamas lopinaviro / ritonaviro dozes vieną arba du kartus per parą. Nei vienam asmeniui QTcF nepailgėjo ≥ 60 ms, lyginant su pradine verte, ar nepailgėjo tiek, kad viršytų galimai kliniškai reikšmingą 500 ms ribą.</w:t>
      </w:r>
    </w:p>
    <w:p w14:paraId="6AFDE122" w14:textId="77777777" w:rsidR="00342622" w:rsidRPr="00907D70" w:rsidRDefault="00342622" w:rsidP="00342622">
      <w:pPr>
        <w:tabs>
          <w:tab w:val="left" w:pos="567"/>
        </w:tabs>
        <w:spacing w:after="0" w:line="240" w:lineRule="auto"/>
        <w:rPr>
          <w:rFonts w:ascii="Times New Roman" w:eastAsia="Times New Roman" w:hAnsi="Times New Roman"/>
        </w:rPr>
      </w:pPr>
    </w:p>
    <w:p w14:paraId="28B2B2DE"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To paties tyrimo 3-ąją parą lopinavirą ir ritonavirą vartojusiems asmenims stebėtas nedidelis PR intervalo pailgėjimas. Vidutinis PR intervalo trukmės pokytis, lyginant su pradine verte, svyravo nuo 11,6 ms iki 24,4 ms per 12 val. po dozės pavartojimo. Didžiausia PR intervalo trukmė buvo 286 ms, antro ar trečio laipsnio širdies blokados nepastebėta (žr. 4.4 skyrių).</w:t>
      </w:r>
    </w:p>
    <w:p w14:paraId="6A84AD36" w14:textId="77777777" w:rsidR="00342622" w:rsidRPr="00907D70" w:rsidRDefault="00342622" w:rsidP="00342622">
      <w:pPr>
        <w:tabs>
          <w:tab w:val="left" w:pos="567"/>
        </w:tabs>
        <w:spacing w:after="0" w:line="240" w:lineRule="auto"/>
        <w:rPr>
          <w:rFonts w:ascii="Times New Roman" w:eastAsia="Times New Roman" w:hAnsi="Times New Roman"/>
          <w:i/>
        </w:rPr>
      </w:pPr>
    </w:p>
    <w:p w14:paraId="7EF5E427"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u w:val="single"/>
        </w:rPr>
        <w:t>Antivirusinis poveikis in vitro</w:t>
      </w:r>
      <w:r w:rsidRPr="00907D70">
        <w:rPr>
          <w:rFonts w:ascii="Times New Roman" w:eastAsia="Times New Roman" w:hAnsi="Times New Roman"/>
        </w:rPr>
        <w:t xml:space="preserve">. Antivirusinis lopinaviro poveikis </w:t>
      </w:r>
      <w:r w:rsidRPr="00907D70">
        <w:rPr>
          <w:rFonts w:ascii="Times New Roman" w:eastAsia="Times New Roman" w:hAnsi="Times New Roman"/>
          <w:i/>
        </w:rPr>
        <w:t>in vitro</w:t>
      </w:r>
      <w:r w:rsidRPr="00907D70">
        <w:rPr>
          <w:rFonts w:ascii="Times New Roman" w:eastAsia="Times New Roman" w:hAnsi="Times New Roman"/>
        </w:rPr>
        <w:t xml:space="preserve"> laboratorinėms ir klinikinėms ŽIV padermėms tirtas atitinkamai ūmiai infekuotuose limfoblastinėse ląstelėse ir periferinio kraujo limfocituose. Be žmogaus kraujo serumo, vidutinė slopinamoji lopinaviro koncentracija (IC</w:t>
      </w:r>
      <w:r w:rsidRPr="00907D70">
        <w:rPr>
          <w:rFonts w:ascii="Times New Roman" w:eastAsia="Times New Roman" w:hAnsi="Times New Roman"/>
          <w:vertAlign w:val="subscript"/>
        </w:rPr>
        <w:t>50</w:t>
      </w:r>
      <w:r w:rsidRPr="00907D70">
        <w:rPr>
          <w:rFonts w:ascii="Times New Roman" w:eastAsia="Times New Roman" w:hAnsi="Times New Roman"/>
        </w:rPr>
        <w:t>) penkioms skirtingoms laboratorinėms ŽIV-1 padermėms buvo 19 nM. Be žmogaus kraujo serumo ir esant 50 % žmogaus kraujo serumo koncentracijai, vidutinė lopinaviro IC</w:t>
      </w:r>
      <w:r w:rsidRPr="00907D70">
        <w:rPr>
          <w:rFonts w:ascii="Times New Roman" w:eastAsia="Times New Roman" w:hAnsi="Times New Roman"/>
          <w:vertAlign w:val="subscript"/>
        </w:rPr>
        <w:t>50</w:t>
      </w:r>
      <w:r w:rsidRPr="00907D70">
        <w:rPr>
          <w:rFonts w:ascii="Times New Roman" w:eastAsia="Times New Roman" w:hAnsi="Times New Roman"/>
        </w:rPr>
        <w:t xml:space="preserve"> ŽIV-1</w:t>
      </w:r>
      <w:r w:rsidRPr="00907D70">
        <w:rPr>
          <w:rFonts w:ascii="Times New Roman" w:eastAsia="Times New Roman" w:hAnsi="Times New Roman"/>
          <w:vertAlign w:val="subscript"/>
        </w:rPr>
        <w:t>IIIB</w:t>
      </w:r>
      <w:r w:rsidRPr="00907D70">
        <w:rPr>
          <w:rFonts w:ascii="Times New Roman" w:eastAsia="Times New Roman" w:hAnsi="Times New Roman"/>
        </w:rPr>
        <w:t xml:space="preserve"> MT4 ląstelėse buvo atitinkamai 17 nM ir 102 nM. Be žmogaus kraujo serumo, vidutinė lopinaviro IC</w:t>
      </w:r>
      <w:r w:rsidRPr="00907D70">
        <w:rPr>
          <w:rFonts w:ascii="Times New Roman" w:eastAsia="Times New Roman" w:hAnsi="Times New Roman"/>
          <w:vertAlign w:val="subscript"/>
        </w:rPr>
        <w:t>50</w:t>
      </w:r>
      <w:r w:rsidRPr="00907D70">
        <w:rPr>
          <w:rFonts w:ascii="Times New Roman" w:eastAsia="Times New Roman" w:hAnsi="Times New Roman"/>
        </w:rPr>
        <w:t xml:space="preserve"> keliems klinikiniams ŽIV-1 izoliatams buvo 6,5 nM.</w:t>
      </w:r>
    </w:p>
    <w:p w14:paraId="3A3EAFD1" w14:textId="77777777" w:rsidR="00342622" w:rsidRPr="00907D70" w:rsidRDefault="00342622" w:rsidP="00342622">
      <w:pPr>
        <w:tabs>
          <w:tab w:val="left" w:pos="567"/>
        </w:tabs>
        <w:spacing w:after="0" w:line="240" w:lineRule="auto"/>
        <w:rPr>
          <w:rFonts w:ascii="Times New Roman" w:eastAsia="Times New Roman" w:hAnsi="Times New Roman"/>
        </w:rPr>
      </w:pPr>
    </w:p>
    <w:p w14:paraId="11EBC450" w14:textId="77777777" w:rsidR="00342622" w:rsidRPr="00907D70" w:rsidRDefault="00342622" w:rsidP="00342622">
      <w:pPr>
        <w:tabs>
          <w:tab w:val="left" w:pos="567"/>
        </w:tabs>
        <w:spacing w:after="0" w:line="240" w:lineRule="auto"/>
        <w:rPr>
          <w:rFonts w:ascii="Times New Roman" w:eastAsia="Times New Roman" w:hAnsi="Times New Roman"/>
          <w:u w:val="single"/>
        </w:rPr>
      </w:pPr>
      <w:r w:rsidRPr="00907D70">
        <w:rPr>
          <w:rFonts w:ascii="Times New Roman" w:eastAsia="Times New Roman" w:hAnsi="Times New Roman"/>
          <w:u w:val="single"/>
        </w:rPr>
        <w:t>Atsparumas</w:t>
      </w:r>
    </w:p>
    <w:p w14:paraId="1CD6ED4F" w14:textId="77777777" w:rsidR="00342622" w:rsidRPr="00907D70" w:rsidRDefault="00342622" w:rsidP="00342622">
      <w:pPr>
        <w:tabs>
          <w:tab w:val="left" w:pos="567"/>
        </w:tabs>
        <w:spacing w:after="0" w:line="240" w:lineRule="auto"/>
        <w:rPr>
          <w:rFonts w:ascii="Times New Roman" w:eastAsia="Times New Roman" w:hAnsi="Times New Roman"/>
          <w:u w:val="single"/>
        </w:rPr>
      </w:pPr>
    </w:p>
    <w:p w14:paraId="7C5AA4AC"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Atsparumo atranka in vitro</w:t>
      </w:r>
    </w:p>
    <w:p w14:paraId="3C6C446F" w14:textId="77777777" w:rsidR="00342622" w:rsidRPr="00907D70" w:rsidRDefault="00342622" w:rsidP="00342622">
      <w:pPr>
        <w:tabs>
          <w:tab w:val="left" w:pos="567"/>
        </w:tabs>
        <w:spacing w:after="0" w:line="240" w:lineRule="auto"/>
        <w:rPr>
          <w:rFonts w:ascii="Times New Roman" w:eastAsia="Times New Roman" w:hAnsi="Times New Roman"/>
          <w:i/>
        </w:rPr>
      </w:pPr>
    </w:p>
    <w:p w14:paraId="208A2A2C"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szCs w:val="24"/>
        </w:rPr>
        <w:t>In vitro</w:t>
      </w:r>
      <w:r w:rsidRPr="00907D70">
        <w:rPr>
          <w:rFonts w:ascii="Times New Roman" w:eastAsia="Times New Roman" w:hAnsi="Times New Roman"/>
        </w:rPr>
        <w:t xml:space="preserve"> buvo atrinkti ŽIV-1 izoliatai, kurių jautrumas lopinavirui buvo sumažėjęs. ŽIV-1 pasažo </w:t>
      </w:r>
      <w:r w:rsidRPr="00907D70">
        <w:rPr>
          <w:rFonts w:ascii="Times New Roman" w:eastAsia="Times New Roman" w:hAnsi="Times New Roman"/>
          <w:i/>
        </w:rPr>
        <w:t>in vitro</w:t>
      </w:r>
      <w:r w:rsidRPr="00907D70">
        <w:rPr>
          <w:rFonts w:ascii="Times New Roman" w:eastAsia="Times New Roman" w:hAnsi="Times New Roman"/>
        </w:rPr>
        <w:t xml:space="preserve"> metu su vienu lopinaviru ir su lopinaviru bei ritonaviru koncentracijų santykis atitiko kraujo plazmos koncentracijų, kurios nustatytos gydymo lopinaviro / ritonaviro deriniu metu, santykį. </w:t>
      </w:r>
      <w:r w:rsidRPr="00907D70">
        <w:rPr>
          <w:rFonts w:ascii="Times New Roman" w:eastAsia="Times New Roman" w:hAnsi="Times New Roman"/>
        </w:rPr>
        <w:lastRenderedPageBreak/>
        <w:t xml:space="preserve">Genotipinė ir fenotipinė virusų, atrinktų šiais pasažais, analizė rodo, kad ritonaviras, esant tokiam koncentracijų santykiui, neturėjo išmatuojamos įtakos lopinavirui atsparių virusų selekcijai. </w:t>
      </w:r>
    </w:p>
    <w:p w14:paraId="6F809746"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rPr>
        <w:t>In vitro</w:t>
      </w:r>
      <w:r w:rsidRPr="00907D70">
        <w:rPr>
          <w:rFonts w:ascii="Times New Roman" w:eastAsia="Times New Roman" w:hAnsi="Times New Roman"/>
        </w:rPr>
        <w:t xml:space="preserve"> nustatytas fenotipinis kryžminis atsparumas tarp lopinaviro ir kitų proteazių inhibitorių rodo, kad sumažėjęs jautrumas lopinavirui glaudžiai koreliuoja su sumažėjusiu jautrumu ritonavirui, indinavirui, bet nekoreliuoja su sumažėjusiu jautrumu amprenavirui, sakvinavirui ir nelfinavirui.</w:t>
      </w:r>
    </w:p>
    <w:p w14:paraId="33384899" w14:textId="77777777" w:rsidR="00342622" w:rsidRPr="00907D70" w:rsidRDefault="00342622" w:rsidP="00342622">
      <w:pPr>
        <w:tabs>
          <w:tab w:val="left" w:pos="567"/>
        </w:tabs>
        <w:spacing w:after="0" w:line="240" w:lineRule="auto"/>
        <w:rPr>
          <w:rFonts w:ascii="Times New Roman" w:eastAsia="Times New Roman" w:hAnsi="Times New Roman"/>
        </w:rPr>
      </w:pPr>
    </w:p>
    <w:p w14:paraId="1145EC47"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Anksčiau ARV negydytų pacientų atsparumo analizė</w:t>
      </w:r>
    </w:p>
    <w:p w14:paraId="42861957"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Klinikinių tyrimų metu, atliktų su ribotu izoliatų skaičiumi, anksčiau negydytiems pacientams, kurie nebuvo atsparūs proteazių inhibitoriams tyrimo pradžioje, atsparumo lopinavirui nenustatyta. Smulkiau žr. detaliame klinikinio tyrimo aprašyme.</w:t>
      </w:r>
    </w:p>
    <w:p w14:paraId="2D86E544" w14:textId="77777777" w:rsidR="00342622" w:rsidRPr="00907D70" w:rsidRDefault="00342622" w:rsidP="00342622">
      <w:pPr>
        <w:tabs>
          <w:tab w:val="left" w:pos="567"/>
        </w:tabs>
        <w:spacing w:after="0" w:line="240" w:lineRule="auto"/>
        <w:rPr>
          <w:rFonts w:ascii="Times New Roman" w:eastAsia="Times New Roman" w:hAnsi="Times New Roman"/>
        </w:rPr>
      </w:pPr>
    </w:p>
    <w:p w14:paraId="2B162032"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PI vartojusių pacientų atsparumo analizė</w:t>
      </w:r>
    </w:p>
    <w:p w14:paraId="0ADDE460"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Atrenkant pacientus atsparius lopinavirui, kuriems ankstesnis gydymas proteazių inhibitoriumi buvo nesėkmingas, šis atsparumas buvo apibūdinamas analizuojant išilginius izoliatus iš 19 proteazių inhibitoriais gydytų asmenų 2 II fazės ir viename III fazės tyrimuose, pas kuriuos buvo nepilnai nuslopinti virusai arba virusai išliko po pradinio atsako į gydymą lopinaviro / ritonaviro deriniu ir kurių </w:t>
      </w:r>
      <w:r w:rsidRPr="00907D70">
        <w:rPr>
          <w:rFonts w:ascii="Times New Roman" w:eastAsia="Times New Roman" w:hAnsi="Times New Roman"/>
          <w:i/>
        </w:rPr>
        <w:t>in vitro</w:t>
      </w:r>
      <w:r w:rsidRPr="00907D70">
        <w:rPr>
          <w:rFonts w:ascii="Times New Roman" w:eastAsia="Times New Roman" w:hAnsi="Times New Roman"/>
        </w:rPr>
        <w:t xml:space="preserve"> atsparumas laipsniškai didėjo nuo pradinio virusų lygio iki jų išlikimo (apibrėžiamo, kaip naujų mutacijų atsiradimas arba fenotipinio jautrumo lopinavirui pasikeitimas 2 kartus). Laipsniškas atsparumo didėjimas dažniausiai buvo stebimas asmenims, kurių pradiniuose izoliatuose buvo keletas su proteazių inhibitoriais susijusių mutacijų, bet jautrumas lopinavirui iš pradžių buvo sumažėjęs &lt; 40 kartų. Dažniausiai atsirado V82A, I54V ir M46I mutacijos. Taip pat buvo pastebėta L33F, I50V ir V32I derinio su I47V/A mutacijų. Su 19 izoliatų buvo gautas IC</w:t>
      </w:r>
      <w:r w:rsidRPr="00907D70">
        <w:rPr>
          <w:rFonts w:ascii="Times New Roman" w:eastAsia="Times New Roman" w:hAnsi="Times New Roman"/>
          <w:vertAlign w:val="subscript"/>
        </w:rPr>
        <w:t>50</w:t>
      </w:r>
      <w:r w:rsidRPr="00907D70">
        <w:rPr>
          <w:rFonts w:ascii="Times New Roman" w:eastAsia="Times New Roman" w:hAnsi="Times New Roman"/>
        </w:rPr>
        <w:t xml:space="preserve"> padidėjimas 4,3 karto, lyginant su pradiniais izoliatais (nuo 6,2 iki 43 kartų, palyginti su laukinio tipo virusu).</w:t>
      </w:r>
    </w:p>
    <w:p w14:paraId="7D8EF1EA" w14:textId="77777777" w:rsidR="00342622" w:rsidRPr="00907D70" w:rsidRDefault="00342622" w:rsidP="00342622">
      <w:pPr>
        <w:tabs>
          <w:tab w:val="left" w:pos="567"/>
        </w:tabs>
        <w:spacing w:after="0" w:line="240" w:lineRule="auto"/>
        <w:rPr>
          <w:rFonts w:ascii="Times New Roman" w:eastAsia="Times New Roman" w:hAnsi="Times New Roman"/>
        </w:rPr>
      </w:pPr>
    </w:p>
    <w:p w14:paraId="6FE3A34D"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Genotipas koreliuoja su virusų, atrinktų kitų proteazių inhibitorių, sumažėjusiu fenotipiniu jautrumu lopinavirui. Buvo įvertintas antivirusinis lopinaviro aktyvumas </w:t>
      </w:r>
      <w:r w:rsidRPr="00907D70">
        <w:rPr>
          <w:rFonts w:ascii="Times New Roman" w:eastAsia="Times New Roman" w:hAnsi="Times New Roman"/>
          <w:i/>
        </w:rPr>
        <w:t>in vitro</w:t>
      </w:r>
      <w:r w:rsidRPr="00907D70">
        <w:rPr>
          <w:rFonts w:ascii="Times New Roman" w:eastAsia="Times New Roman" w:hAnsi="Times New Roman"/>
        </w:rPr>
        <w:t xml:space="preserve"> 112 klinikinių izoliatų, išskirtų iš pacientų, kuriems gydymas vienu ar daugiau proteazių inhibitorių buvo neveiksmingas. Šio tyrimo metu nustatyta ŽIV proteazių mutacijų, susijusių su sumažėjusiu </w:t>
      </w:r>
      <w:r w:rsidRPr="00907D70">
        <w:rPr>
          <w:rFonts w:ascii="Times New Roman" w:eastAsia="Times New Roman" w:hAnsi="Times New Roman"/>
          <w:i/>
        </w:rPr>
        <w:t>in vitro</w:t>
      </w:r>
      <w:r w:rsidRPr="00907D70">
        <w:rPr>
          <w:rFonts w:ascii="Times New Roman" w:eastAsia="Times New Roman" w:hAnsi="Times New Roman"/>
        </w:rPr>
        <w:t xml:space="preserve"> jautrumu lopinavirui: L10F/I/R/V, K20M/R, L24I, M46I/L, F53L, I54L/T/V, L63P, A71I/L/T/V, V82A/F/T, I84V ir L90M. Lopinaviro EC</w:t>
      </w:r>
      <w:r w:rsidRPr="00907D70">
        <w:rPr>
          <w:rFonts w:ascii="Times New Roman" w:eastAsia="Times New Roman" w:hAnsi="Times New Roman"/>
          <w:vertAlign w:val="subscript"/>
        </w:rPr>
        <w:t>50</w:t>
      </w:r>
      <w:r w:rsidRPr="00907D70">
        <w:rPr>
          <w:rFonts w:ascii="Times New Roman" w:eastAsia="Times New Roman" w:hAnsi="Times New Roman"/>
        </w:rPr>
        <w:t xml:space="preserve"> mediana izoliatams su 0-3, 4-5, 6-7 ir 8-10 mutacijomis, kai amino rūgščių seka tokia, kaip nurodyta anksčiau, buvo atitinkamai 0,8, 2,7, 13,5 ir 44,0 kartų didesnė negu EC</w:t>
      </w:r>
      <w:r w:rsidRPr="00907D70">
        <w:rPr>
          <w:rFonts w:ascii="Times New Roman" w:eastAsia="Times New Roman" w:hAnsi="Times New Roman"/>
          <w:vertAlign w:val="subscript"/>
        </w:rPr>
        <w:t>50</w:t>
      </w:r>
      <w:r w:rsidRPr="00907D70">
        <w:rPr>
          <w:rFonts w:ascii="Times New Roman" w:eastAsia="Times New Roman" w:hAnsi="Times New Roman"/>
        </w:rPr>
        <w:t xml:space="preserve"> laukinio tipo ŽIV. Visiems 16 virusų, kurių jautrumas buvo pakitęs &gt; 20 kartų, mutacijų buvo 10, 54, 63 plius 82 ir (arba) 84 pozicijose. Be to, jie turėjo 3 mutacijų medianą 20, 24, 46, 53, 71 ir 90 amino rūgščių pozicijose. Be anksčiau aprašytų mutacijų išlikusiuose izoliatuose su sumažėjusiu jautrumu lopinavirui, gautuose iš proteazių inhibitoriais gydytų pacientų, gydytų lopinaviro / ritonaviro deriniu, buvo stebimos V321 ir I47A mutacijos, ir I47A bei L76V mutacijos, pastebėtos išlikusiuose izoliatuose su sumažėjusiu jautrumu lopinavirui, pacientams, kurie buvo gydomi lopinaviro / ritonaviro deriniu.</w:t>
      </w:r>
    </w:p>
    <w:p w14:paraId="0AFCC693" w14:textId="77777777" w:rsidR="00342622" w:rsidRPr="00907D70" w:rsidRDefault="00342622" w:rsidP="00342622">
      <w:pPr>
        <w:tabs>
          <w:tab w:val="left" w:pos="567"/>
        </w:tabs>
        <w:spacing w:after="0" w:line="240" w:lineRule="auto"/>
        <w:rPr>
          <w:rFonts w:ascii="Times New Roman" w:eastAsia="Times New Roman" w:hAnsi="Times New Roman"/>
        </w:rPr>
      </w:pPr>
    </w:p>
    <w:p w14:paraId="1E5AA3C9"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Išvados dėl tam tikrų mutacijų ar mutacijų nuokrypių patikimumo gali keistis atsiradus papildomiems duomenims, todėl, analizuojant atsparumo tyrimų rezultatus, visada rekomenduojama peržiūrėti naujausius duomenis įvertinimo sistemose.</w:t>
      </w:r>
    </w:p>
    <w:p w14:paraId="164A1A35" w14:textId="77777777" w:rsidR="00342622" w:rsidRPr="00907D70" w:rsidRDefault="00342622" w:rsidP="00342622">
      <w:pPr>
        <w:tabs>
          <w:tab w:val="left" w:pos="567"/>
        </w:tabs>
        <w:spacing w:after="0" w:line="240" w:lineRule="auto"/>
        <w:rPr>
          <w:rFonts w:ascii="Times New Roman" w:eastAsia="Times New Roman" w:hAnsi="Times New Roman"/>
        </w:rPr>
      </w:pPr>
    </w:p>
    <w:p w14:paraId="33DC21F8"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rPr>
        <w:t>Antivirusinis lopinaviro / ritonaviro derinio aktyvumas pacientams, kuriems gydymas proteazių inhibitoriumi buvo neveiksmingas</w:t>
      </w:r>
      <w:r w:rsidRPr="00907D70">
        <w:rPr>
          <w:rFonts w:ascii="Times New Roman" w:eastAsia="Times New Roman" w:hAnsi="Times New Roman"/>
        </w:rPr>
        <w:t xml:space="preserve">. Sumažėjusio jautrumo lopinavirui </w:t>
      </w:r>
      <w:r w:rsidRPr="00907D70">
        <w:rPr>
          <w:rFonts w:ascii="Times New Roman" w:eastAsia="Times New Roman" w:hAnsi="Times New Roman"/>
          <w:i/>
        </w:rPr>
        <w:t>in vitro</w:t>
      </w:r>
      <w:r w:rsidRPr="00907D70">
        <w:rPr>
          <w:rFonts w:ascii="Times New Roman" w:eastAsia="Times New Roman" w:hAnsi="Times New Roman"/>
        </w:rPr>
        <w:t xml:space="preserve"> klinikinė svarba buvo tirta 56 pacientams, kuriems ankstesnis gydymas keliais proteazių inhibitoriais buvo neveiksmingas, vertinant virusologinį atsaką į gydymą lopinaviro / ritonaviro deriniu, ir atsižvelgiant į pradinį viruso genotipą bei fenotipą. Lopinaviro EC</w:t>
      </w:r>
      <w:r w:rsidRPr="00907D70">
        <w:rPr>
          <w:rFonts w:ascii="Times New Roman" w:eastAsia="Times New Roman" w:hAnsi="Times New Roman"/>
          <w:vertAlign w:val="subscript"/>
        </w:rPr>
        <w:t>50</w:t>
      </w:r>
      <w:r w:rsidRPr="00907D70">
        <w:rPr>
          <w:rFonts w:ascii="Times New Roman" w:eastAsia="Times New Roman" w:hAnsi="Times New Roman"/>
        </w:rPr>
        <w:t xml:space="preserve"> 56 pradiniams viruso izoliatams buvo 0,6-96 kartus didesnė, negu EC</w:t>
      </w:r>
      <w:r w:rsidRPr="00907D70">
        <w:rPr>
          <w:rFonts w:ascii="Times New Roman" w:eastAsia="Times New Roman" w:hAnsi="Times New Roman"/>
          <w:vertAlign w:val="subscript"/>
        </w:rPr>
        <w:t>50</w:t>
      </w:r>
      <w:r w:rsidRPr="00907D70">
        <w:rPr>
          <w:rFonts w:ascii="Times New Roman" w:eastAsia="Times New Roman" w:hAnsi="Times New Roman"/>
        </w:rPr>
        <w:t xml:space="preserve"> prieš laukinio tipo ŽIV. Po 48 gydymo lopinaviro / ritonaviro deriniu, efavirenzu ir nukleozidiniu atvirkštinės transkriptazės inhibitoriumi savaičių plazmos ŽIV RNR ≤ 400 kopijų/ml nustatyta 93 % (25/27), 73 % (11/15) ir 25 % (2/8) pacientų, kurių pradinis jautrumo sumažėjimas lopinavirui buvo atitinkamai &lt; 10 kartų, 10-40 kartų ir &gt; 40 kartų. Be to, virusologinis atsakas nustatytas 91 % (21/23), 71 % (15/21) ir 33 % (2/6) pacientų, kuriems buvo 0-5, 6-7 ir 8-10 anksčiau minėtų ŽIV proteazių mutacijų, susijusių su sumažėjusiu lopinaviro jautrumu </w:t>
      </w:r>
      <w:r w:rsidRPr="00907D70">
        <w:rPr>
          <w:rFonts w:ascii="Times New Roman" w:eastAsia="Times New Roman" w:hAnsi="Times New Roman"/>
          <w:i/>
        </w:rPr>
        <w:t>in vitro</w:t>
      </w:r>
      <w:r w:rsidRPr="00907D70">
        <w:rPr>
          <w:rFonts w:ascii="Times New Roman" w:eastAsia="Times New Roman" w:hAnsi="Times New Roman"/>
        </w:rPr>
        <w:t xml:space="preserve">. Kadangi šiems pacientams anksčiau nebuvo ekspozicijos lopinaviro / ritonaviro deriniu ar efavirenzu, dalį atsako galima priskirti antivirusiniam efavirenzo aktyvumui, ypač asmenims, infekuotiems labai atspariais </w:t>
      </w:r>
      <w:r w:rsidRPr="00907D70">
        <w:rPr>
          <w:rFonts w:ascii="Times New Roman" w:eastAsia="Times New Roman" w:hAnsi="Times New Roman"/>
        </w:rPr>
        <w:lastRenderedPageBreak/>
        <w:t>lopinavirui virusais. Šiame tyrime nebuvo lopinaviro / ritonaviro derinio nevartojusių kontrolinės grupės pacientų.</w:t>
      </w:r>
    </w:p>
    <w:p w14:paraId="1F100235" w14:textId="77777777" w:rsidR="00342622" w:rsidRPr="00907D70" w:rsidRDefault="00342622" w:rsidP="00342622">
      <w:pPr>
        <w:tabs>
          <w:tab w:val="left" w:pos="567"/>
        </w:tabs>
        <w:spacing w:after="0" w:line="240" w:lineRule="auto"/>
        <w:rPr>
          <w:rFonts w:ascii="Times New Roman" w:eastAsia="Times New Roman" w:hAnsi="Times New Roman"/>
        </w:rPr>
      </w:pPr>
    </w:p>
    <w:p w14:paraId="4431804C"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i/>
        </w:rPr>
        <w:t>Kryžminis atsparumas</w:t>
      </w:r>
      <w:r w:rsidRPr="00907D70">
        <w:rPr>
          <w:rFonts w:ascii="Times New Roman" w:eastAsia="Times New Roman" w:hAnsi="Times New Roman"/>
        </w:rPr>
        <w:t>. Kitų proteazių inhibitorių aktyvumas izoliatams, kuriems išsivystė didėjantis atsparumas lopinavirui po gydymo lopinaviro / ritonaviro deriniu pacientams, gydytiems proteazių inhibitoriumi: lopinaviro / ritonaviro derinio 3-jų II fazės ir vieno III fazės tyrimų, atliktų su proteazių inhibitoriais gydytais pacientais, metu kryžminio atsparumo kitiems proteazių inhibitoriams buvimas buvo tiriamas 18-oje išlikusių izoliatų, kuriuose pasireiškė atsparumo lopinavirui vystymasis. Vidutinis šių 18 izoliatų lopinaviro IC</w:t>
      </w:r>
      <w:r w:rsidRPr="00907D70">
        <w:rPr>
          <w:rFonts w:ascii="Times New Roman" w:eastAsia="Times New Roman" w:hAnsi="Times New Roman"/>
          <w:vertAlign w:val="subscript"/>
        </w:rPr>
        <w:t>50</w:t>
      </w:r>
      <w:r w:rsidRPr="00907D70">
        <w:rPr>
          <w:rFonts w:ascii="Times New Roman" w:eastAsia="Times New Roman" w:hAnsi="Times New Roman"/>
        </w:rPr>
        <w:t xml:space="preserve"> padidėjimas nuo pradinio lygio iki virusų išlikimo lygio buvo atitinkamai nuo 6,9 iki 63 kartų, lyginant su laukinio tipo virusu. Apskritai, išlikusiuose izoliatuose reikšmingas kryžminis atsparumas indinavirui, sakvinavirui ir atazanavirui išliko (jei prieš tyrimą buvo kryžminis atsparumas) arba atsirado. Buvo pastebėtas nedidelis amprenaviro aktyvumo sumažėjimas, tyrimo pradžios ir išlikusiuose izoliatuose IC</w:t>
      </w:r>
      <w:r w:rsidRPr="00907D70">
        <w:rPr>
          <w:rFonts w:ascii="Times New Roman" w:eastAsia="Times New Roman" w:hAnsi="Times New Roman"/>
          <w:vertAlign w:val="subscript"/>
        </w:rPr>
        <w:t>50</w:t>
      </w:r>
      <w:r w:rsidRPr="00907D70">
        <w:rPr>
          <w:rFonts w:ascii="Times New Roman" w:eastAsia="Times New Roman" w:hAnsi="Times New Roman"/>
        </w:rPr>
        <w:t xml:space="preserve"> vidutiniškai padidėjo atitinkamai nuo 3,7 iki 8 kartų. Izoliatai liko jautrūs tipranavirui, vidutinis IC</w:t>
      </w:r>
      <w:r w:rsidRPr="00907D70">
        <w:rPr>
          <w:rFonts w:ascii="Times New Roman" w:eastAsia="Times New Roman" w:hAnsi="Times New Roman"/>
          <w:vertAlign w:val="subscript"/>
        </w:rPr>
        <w:t>50</w:t>
      </w:r>
      <w:r w:rsidRPr="00907D70">
        <w:rPr>
          <w:rFonts w:ascii="Times New Roman" w:eastAsia="Times New Roman" w:hAnsi="Times New Roman"/>
        </w:rPr>
        <w:t xml:space="preserve"> padidėjimas tyrimo pradžios ir išlikusiuose izoliatuose buvo atitinkamai nuo 1,9 iki 1,8 karto, lyginant su laukinio tipo virusu. Papildomos informacijos apie tipranaviro vartojimą, įskaitant genotipinius atsako prognostinius požymius, gydant lopinavirui atsparią ŽIV-1 infekciją, žiūrėkite tipranaviro Preparato charakteristikų santraukoje.</w:t>
      </w:r>
    </w:p>
    <w:p w14:paraId="3A13C3AB" w14:textId="77777777" w:rsidR="00342622" w:rsidRPr="00907D70" w:rsidRDefault="00342622" w:rsidP="00342622">
      <w:pPr>
        <w:tabs>
          <w:tab w:val="left" w:pos="567"/>
        </w:tabs>
        <w:spacing w:after="0" w:line="240" w:lineRule="auto"/>
        <w:rPr>
          <w:rFonts w:ascii="Times New Roman" w:eastAsia="Times New Roman" w:hAnsi="Times New Roman"/>
        </w:rPr>
      </w:pPr>
    </w:p>
    <w:p w14:paraId="23464BB8" w14:textId="77777777" w:rsidR="00342622" w:rsidRPr="00907D70" w:rsidRDefault="00342622" w:rsidP="00342622">
      <w:pPr>
        <w:keepNext/>
        <w:keepLines/>
        <w:tabs>
          <w:tab w:val="left" w:pos="567"/>
        </w:tabs>
        <w:spacing w:after="0" w:line="240" w:lineRule="auto"/>
        <w:rPr>
          <w:rFonts w:ascii="Times New Roman" w:eastAsia="Times New Roman" w:hAnsi="Times New Roman"/>
          <w:i/>
          <w:u w:val="single"/>
        </w:rPr>
      </w:pPr>
      <w:r w:rsidRPr="00907D70">
        <w:rPr>
          <w:rFonts w:ascii="Times New Roman" w:eastAsia="Times New Roman" w:hAnsi="Times New Roman"/>
          <w:i/>
          <w:u w:val="single"/>
        </w:rPr>
        <w:t>Klinikiniai rezultatai</w:t>
      </w:r>
    </w:p>
    <w:p w14:paraId="5AD38817"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p>
    <w:p w14:paraId="0018C7AE"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r w:rsidRPr="00907D70">
        <w:rPr>
          <w:rFonts w:ascii="Times New Roman" w:eastAsia="Times New Roman" w:hAnsi="Times New Roman"/>
        </w:rPr>
        <w:t>Lopinaviro / ritonaviro derinio (kartu su kitais antiretrovirusiniais vaistiniais preparatais) poveikis biologiniams žymenims (plazmos ŽIV RNR kiekiui ir CD 4+ T ląstelių skaičiui) buvo tirtas 48-360 savaičių trukusių kontroliuojamų lopinaviro / ritonaviro derinio tyrimų metu.</w:t>
      </w:r>
    </w:p>
    <w:p w14:paraId="51B11236" w14:textId="77777777" w:rsidR="00342622" w:rsidRPr="00907D70" w:rsidRDefault="00342622" w:rsidP="00342622">
      <w:pPr>
        <w:tabs>
          <w:tab w:val="left" w:pos="567"/>
        </w:tabs>
        <w:spacing w:after="0" w:line="240" w:lineRule="auto"/>
        <w:rPr>
          <w:rFonts w:ascii="Times New Roman" w:eastAsia="Times New Roman" w:hAnsi="Times New Roman"/>
        </w:rPr>
      </w:pPr>
    </w:p>
    <w:p w14:paraId="11147DB5"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Vartojimas suaugusiesiems</w:t>
      </w:r>
    </w:p>
    <w:p w14:paraId="5A2752EF" w14:textId="77777777" w:rsidR="00342622" w:rsidRPr="00907D70" w:rsidRDefault="00342622" w:rsidP="00342622">
      <w:pPr>
        <w:tabs>
          <w:tab w:val="left" w:pos="567"/>
        </w:tabs>
        <w:spacing w:after="0" w:line="240" w:lineRule="auto"/>
        <w:rPr>
          <w:rFonts w:ascii="Times New Roman" w:eastAsia="Times New Roman" w:hAnsi="Times New Roman"/>
        </w:rPr>
      </w:pPr>
    </w:p>
    <w:p w14:paraId="31A56DEC"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u w:val="single"/>
        </w:rPr>
        <w:t>Pacientams, kuriems antiretrovirusinis gydymas anksčiau netaikytas</w:t>
      </w:r>
    </w:p>
    <w:p w14:paraId="3276BB12" w14:textId="5B7CE978" w:rsidR="00342622" w:rsidRPr="00907D70" w:rsidRDefault="00320030"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Tyrimas M98-863</w:t>
      </w:r>
      <w:r w:rsidR="00342622" w:rsidRPr="00907D70">
        <w:rPr>
          <w:rFonts w:ascii="Times New Roman" w:eastAsia="Times New Roman" w:hAnsi="Times New Roman"/>
          <w:bCs/>
        </w:rPr>
        <w:t xml:space="preserve"> buvo randomizuotas, dvigubai aklas 653 antiretrovirusiniais vaistiniais preparatais negydytų pacientų tyrimas, kurio metu lygintas lopinaviro / ritonaviro derinio (400/100 mg du kartus per parą) ir nelfinaviro (750 mg tris kartus per parą), vartojamo kartu su stavudinu ir lamivudinu, antiretrovirusinis veiksmingumas. Vidutinis CD4+ T-ląstelių skaičius tyrimo pradžioje buvo 259 ląstelių/mm</w:t>
      </w:r>
      <w:r w:rsidR="00342622" w:rsidRPr="00907D70">
        <w:rPr>
          <w:rFonts w:ascii="Times New Roman" w:eastAsia="Times New Roman" w:hAnsi="Times New Roman"/>
          <w:bCs/>
          <w:vertAlign w:val="superscript"/>
        </w:rPr>
        <w:t>3</w:t>
      </w:r>
      <w:r w:rsidR="00342622" w:rsidRPr="00907D70">
        <w:rPr>
          <w:rFonts w:ascii="Times New Roman" w:eastAsia="Times New Roman" w:hAnsi="Times New Roman"/>
          <w:bCs/>
        </w:rPr>
        <w:t xml:space="preserve"> (ribos: nuo 2 iki 949 ląstelių/ mm</w:t>
      </w:r>
      <w:r w:rsidR="00342622" w:rsidRPr="00907D70">
        <w:rPr>
          <w:rFonts w:ascii="Times New Roman" w:eastAsia="Times New Roman" w:hAnsi="Times New Roman"/>
          <w:bCs/>
          <w:vertAlign w:val="superscript"/>
        </w:rPr>
        <w:t>3</w:t>
      </w:r>
      <w:r w:rsidR="00342622" w:rsidRPr="00907D70">
        <w:rPr>
          <w:rFonts w:ascii="Times New Roman" w:eastAsia="Times New Roman" w:hAnsi="Times New Roman"/>
          <w:bCs/>
        </w:rPr>
        <w:t>), o vidutinis plazmos ŽIV-1 RNR tyrimo pradžioje buvo 4,9 log</w:t>
      </w:r>
      <w:r w:rsidR="00342622" w:rsidRPr="00907D70">
        <w:rPr>
          <w:rFonts w:ascii="Times New Roman" w:eastAsia="Times New Roman" w:hAnsi="Times New Roman"/>
          <w:bCs/>
          <w:vertAlign w:val="subscript"/>
        </w:rPr>
        <w:t>10</w:t>
      </w:r>
      <w:r w:rsidR="00342622" w:rsidRPr="00907D70">
        <w:rPr>
          <w:rFonts w:ascii="Times New Roman" w:eastAsia="Times New Roman" w:hAnsi="Times New Roman"/>
          <w:bCs/>
        </w:rPr>
        <w:t xml:space="preserve"> kopijos/ml (ribos: nuo 2,6 iki 6,8 log</w:t>
      </w:r>
      <w:r w:rsidR="00342622" w:rsidRPr="00907D70">
        <w:rPr>
          <w:rFonts w:ascii="Times New Roman" w:eastAsia="Times New Roman" w:hAnsi="Times New Roman"/>
          <w:bCs/>
          <w:vertAlign w:val="subscript"/>
        </w:rPr>
        <w:t>10</w:t>
      </w:r>
      <w:r w:rsidR="00342622" w:rsidRPr="00907D70">
        <w:rPr>
          <w:rFonts w:ascii="Times New Roman" w:eastAsia="Times New Roman" w:hAnsi="Times New Roman"/>
          <w:bCs/>
        </w:rPr>
        <w:t xml:space="preserve"> kopijos/ml).</w:t>
      </w:r>
    </w:p>
    <w:p w14:paraId="0FF36E32" w14:textId="77777777" w:rsidR="00342622" w:rsidRPr="00907D70" w:rsidRDefault="00342622" w:rsidP="00342622">
      <w:pPr>
        <w:tabs>
          <w:tab w:val="left" w:pos="567"/>
        </w:tabs>
        <w:spacing w:after="0" w:line="240" w:lineRule="auto"/>
        <w:rPr>
          <w:rFonts w:ascii="Times New Roman" w:eastAsia="Times New Roman" w:hAnsi="Times New Roman"/>
          <w:bCs/>
        </w:rPr>
      </w:pPr>
    </w:p>
    <w:p w14:paraId="08D720AD"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1 lentelė</w:t>
      </w:r>
    </w:p>
    <w:p w14:paraId="400D3C47" w14:textId="77777777" w:rsidR="00342622" w:rsidRPr="00907D70" w:rsidRDefault="00342622" w:rsidP="00342622">
      <w:pPr>
        <w:tabs>
          <w:tab w:val="left" w:pos="567"/>
        </w:tabs>
        <w:spacing w:after="0" w:line="240" w:lineRule="auto"/>
        <w:rPr>
          <w:rFonts w:ascii="Times New Roman" w:eastAsia="Times New Roman" w:hAnsi="Times New Roman"/>
          <w:bCs/>
        </w:rPr>
      </w:pPr>
    </w:p>
    <w:tbl>
      <w:tblPr>
        <w:tblW w:w="0" w:type="auto"/>
        <w:tblInd w:w="147" w:type="dxa"/>
        <w:tblLayout w:type="fixed"/>
        <w:tblCellMar>
          <w:left w:w="0" w:type="dxa"/>
          <w:right w:w="0" w:type="dxa"/>
        </w:tblCellMar>
        <w:tblLook w:val="0000" w:firstRow="0" w:lastRow="0" w:firstColumn="0" w:lastColumn="0" w:noHBand="0" w:noVBand="0"/>
      </w:tblPr>
      <w:tblGrid>
        <w:gridCol w:w="4394"/>
        <w:gridCol w:w="2552"/>
        <w:gridCol w:w="1984"/>
      </w:tblGrid>
      <w:tr w:rsidR="00342622" w:rsidRPr="00907D70" w14:paraId="27006A46" w14:textId="77777777" w:rsidTr="00160402">
        <w:trPr>
          <w:trHeight w:hRule="exact" w:val="503"/>
        </w:trPr>
        <w:tc>
          <w:tcPr>
            <w:tcW w:w="8930" w:type="dxa"/>
            <w:gridSpan w:val="3"/>
            <w:tcBorders>
              <w:top w:val="single" w:sz="4" w:space="0" w:color="000000"/>
              <w:left w:val="single" w:sz="4" w:space="0" w:color="000000"/>
              <w:bottom w:val="single" w:sz="4" w:space="0" w:color="000000"/>
              <w:right w:val="single" w:sz="4" w:space="0" w:color="000000"/>
            </w:tcBorders>
          </w:tcPr>
          <w:p w14:paraId="56CE48CF" w14:textId="77777777" w:rsidR="00342622" w:rsidRPr="00907D70" w:rsidRDefault="00342622" w:rsidP="0084240B">
            <w:pPr>
              <w:autoSpaceDE w:val="0"/>
              <w:autoSpaceDN w:val="0"/>
              <w:adjustRightInd w:val="0"/>
              <w:spacing w:before="8" w:after="0" w:line="110" w:lineRule="exact"/>
              <w:ind w:left="8"/>
              <w:rPr>
                <w:rFonts w:ascii="Times New Roman" w:eastAsia="Times New Roman" w:hAnsi="Times New Roman"/>
              </w:rPr>
            </w:pPr>
          </w:p>
          <w:p w14:paraId="42CBFEF2" w14:textId="621584B2"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rPr>
            </w:pPr>
            <w:r w:rsidRPr="00907D70">
              <w:rPr>
                <w:rFonts w:ascii="Times New Roman" w:eastAsia="Times New Roman" w:hAnsi="Times New Roman"/>
                <w:b/>
                <w:bCs/>
              </w:rPr>
              <w:t>M98-863 tyrimo rezultatai 48-ąją savaitę</w:t>
            </w:r>
          </w:p>
        </w:tc>
      </w:tr>
      <w:tr w:rsidR="00342622" w:rsidRPr="00907D70" w14:paraId="5111975E" w14:textId="77777777" w:rsidTr="00160402">
        <w:trPr>
          <w:trHeight w:hRule="exact" w:val="583"/>
        </w:trPr>
        <w:tc>
          <w:tcPr>
            <w:tcW w:w="4394" w:type="dxa"/>
            <w:tcBorders>
              <w:top w:val="single" w:sz="4" w:space="0" w:color="000000"/>
              <w:left w:val="single" w:sz="4" w:space="0" w:color="000000"/>
              <w:bottom w:val="single" w:sz="4" w:space="0" w:color="000000"/>
              <w:right w:val="single" w:sz="4" w:space="0" w:color="000000"/>
            </w:tcBorders>
          </w:tcPr>
          <w:p w14:paraId="55F9C988"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6AB558E5"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rPr>
            </w:pPr>
            <w:r w:rsidRPr="00907D70">
              <w:rPr>
                <w:rFonts w:ascii="Times New Roman" w:eastAsia="Times New Roman" w:hAnsi="Times New Roman"/>
              </w:rPr>
              <w:t xml:space="preserve">Lopinaviro / ritonaviro derinys </w:t>
            </w:r>
            <w:r w:rsidRPr="00907D70">
              <w:rPr>
                <w:rFonts w:ascii="Times New Roman" w:eastAsia="Times New Roman" w:hAnsi="Times New Roman"/>
                <w:szCs w:val="24"/>
              </w:rPr>
              <w:t>(</w:t>
            </w:r>
            <w:r w:rsidRPr="00907D70">
              <w:rPr>
                <w:rFonts w:ascii="Times New Roman" w:eastAsia="Times New Roman" w:hAnsi="Times New Roman"/>
                <w:bCs/>
              </w:rPr>
              <w:t>N</w:t>
            </w:r>
            <w:r w:rsidRPr="00907D70">
              <w:rPr>
                <w:rFonts w:ascii="Times New Roman" w:eastAsia="Times New Roman" w:hAnsi="Times New Roman"/>
                <w:bCs/>
                <w:spacing w:val="1"/>
              </w:rPr>
              <w:t>=326)</w:t>
            </w:r>
          </w:p>
        </w:tc>
        <w:tc>
          <w:tcPr>
            <w:tcW w:w="1984" w:type="dxa"/>
            <w:tcBorders>
              <w:top w:val="single" w:sz="4" w:space="0" w:color="000000"/>
              <w:left w:val="single" w:sz="4" w:space="0" w:color="000000"/>
              <w:bottom w:val="single" w:sz="4" w:space="0" w:color="000000"/>
              <w:right w:val="single" w:sz="4" w:space="0" w:color="000000"/>
            </w:tcBorders>
          </w:tcPr>
          <w:p w14:paraId="4A203803"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rPr>
            </w:pPr>
            <w:r w:rsidRPr="00907D70">
              <w:rPr>
                <w:rFonts w:ascii="Times New Roman" w:eastAsia="Times New Roman" w:hAnsi="Times New Roman"/>
                <w:bCs/>
              </w:rPr>
              <w:t>Nelfin</w:t>
            </w:r>
            <w:r w:rsidRPr="00907D70">
              <w:rPr>
                <w:rFonts w:ascii="Times New Roman" w:eastAsia="Times New Roman" w:hAnsi="Times New Roman"/>
                <w:bCs/>
                <w:spacing w:val="1"/>
              </w:rPr>
              <w:t>av</w:t>
            </w:r>
            <w:r w:rsidRPr="00907D70">
              <w:rPr>
                <w:rFonts w:ascii="Times New Roman" w:eastAsia="Times New Roman" w:hAnsi="Times New Roman"/>
                <w:bCs/>
              </w:rPr>
              <w:t>iras</w:t>
            </w:r>
            <w:r w:rsidRPr="00907D70">
              <w:rPr>
                <w:rFonts w:ascii="Times New Roman" w:eastAsia="Times New Roman" w:hAnsi="Times New Roman"/>
                <w:bCs/>
                <w:spacing w:val="-10"/>
              </w:rPr>
              <w:t xml:space="preserve"> </w:t>
            </w:r>
            <w:r w:rsidRPr="00907D70">
              <w:rPr>
                <w:rFonts w:ascii="Times New Roman" w:eastAsia="Times New Roman" w:hAnsi="Times New Roman"/>
                <w:bCs/>
              </w:rPr>
              <w:t>(N=</w:t>
            </w:r>
            <w:r w:rsidRPr="00907D70">
              <w:rPr>
                <w:rFonts w:ascii="Times New Roman" w:eastAsia="Times New Roman" w:hAnsi="Times New Roman"/>
                <w:bCs/>
                <w:spacing w:val="1"/>
              </w:rPr>
              <w:t>327</w:t>
            </w:r>
            <w:r w:rsidRPr="00907D70">
              <w:rPr>
                <w:rFonts w:ascii="Times New Roman" w:eastAsia="Times New Roman" w:hAnsi="Times New Roman"/>
                <w:bCs/>
              </w:rPr>
              <w:t>)</w:t>
            </w:r>
          </w:p>
        </w:tc>
      </w:tr>
      <w:tr w:rsidR="00342622" w:rsidRPr="00907D70" w14:paraId="1E1F7137" w14:textId="77777777" w:rsidTr="00160402">
        <w:trPr>
          <w:trHeight w:hRule="exact" w:val="264"/>
        </w:trPr>
        <w:tc>
          <w:tcPr>
            <w:tcW w:w="4394" w:type="dxa"/>
            <w:tcBorders>
              <w:top w:val="single" w:sz="4" w:space="0" w:color="000000"/>
              <w:left w:val="single" w:sz="4" w:space="0" w:color="000000"/>
              <w:bottom w:val="single" w:sz="4" w:space="0" w:color="000000"/>
              <w:right w:val="single" w:sz="4" w:space="0" w:color="000000"/>
            </w:tcBorders>
          </w:tcPr>
          <w:p w14:paraId="2AE8C78B"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rPr>
            </w:pPr>
            <w:r w:rsidRPr="00907D70">
              <w:rPr>
                <w:rFonts w:ascii="Times New Roman" w:eastAsia="Times New Roman" w:hAnsi="Times New Roman"/>
              </w:rPr>
              <w:t>ŽIV RNR &lt; 400 kopijų/ml*</w:t>
            </w:r>
          </w:p>
        </w:tc>
        <w:tc>
          <w:tcPr>
            <w:tcW w:w="2552" w:type="dxa"/>
            <w:tcBorders>
              <w:top w:val="single" w:sz="4" w:space="0" w:color="000000"/>
              <w:left w:val="single" w:sz="4" w:space="0" w:color="000000"/>
              <w:bottom w:val="single" w:sz="4" w:space="0" w:color="000000"/>
              <w:right w:val="single" w:sz="4" w:space="0" w:color="000000"/>
            </w:tcBorders>
          </w:tcPr>
          <w:p w14:paraId="3F3BE388"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75 %</w:t>
            </w:r>
          </w:p>
        </w:tc>
        <w:tc>
          <w:tcPr>
            <w:tcW w:w="1984" w:type="dxa"/>
            <w:tcBorders>
              <w:top w:val="single" w:sz="4" w:space="0" w:color="000000"/>
              <w:left w:val="single" w:sz="4" w:space="0" w:color="000000"/>
              <w:bottom w:val="single" w:sz="4" w:space="0" w:color="000000"/>
              <w:right w:val="single" w:sz="4" w:space="0" w:color="000000"/>
            </w:tcBorders>
          </w:tcPr>
          <w:p w14:paraId="7794AF8B"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63 %</w:t>
            </w:r>
          </w:p>
        </w:tc>
      </w:tr>
      <w:tr w:rsidR="00342622" w:rsidRPr="00907D70" w14:paraId="42F4751A" w14:textId="77777777" w:rsidTr="00160402">
        <w:trPr>
          <w:trHeight w:hRule="exact" w:val="263"/>
        </w:trPr>
        <w:tc>
          <w:tcPr>
            <w:tcW w:w="4394" w:type="dxa"/>
            <w:tcBorders>
              <w:top w:val="single" w:sz="4" w:space="0" w:color="000000"/>
              <w:left w:val="single" w:sz="4" w:space="0" w:color="000000"/>
              <w:bottom w:val="single" w:sz="4" w:space="0" w:color="000000"/>
              <w:right w:val="single" w:sz="4" w:space="0" w:color="000000"/>
            </w:tcBorders>
          </w:tcPr>
          <w:p w14:paraId="37471F6D"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rPr>
            </w:pPr>
            <w:r w:rsidRPr="00907D70">
              <w:rPr>
                <w:rFonts w:ascii="Times New Roman" w:eastAsia="Times New Roman" w:hAnsi="Times New Roman"/>
              </w:rPr>
              <w:t>ŽIV RNR &lt; 50 kopijų/ml*†</w:t>
            </w:r>
          </w:p>
        </w:tc>
        <w:tc>
          <w:tcPr>
            <w:tcW w:w="2552" w:type="dxa"/>
            <w:tcBorders>
              <w:top w:val="single" w:sz="4" w:space="0" w:color="000000"/>
              <w:left w:val="single" w:sz="4" w:space="0" w:color="000000"/>
              <w:bottom w:val="single" w:sz="4" w:space="0" w:color="000000"/>
              <w:right w:val="single" w:sz="4" w:space="0" w:color="000000"/>
            </w:tcBorders>
          </w:tcPr>
          <w:p w14:paraId="3E8D6746"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67</w:t>
            </w:r>
            <w:r w:rsidRPr="00907D70">
              <w:rPr>
                <w:rFonts w:ascii="Times New Roman" w:eastAsia="Times New Roman" w:hAnsi="Times New Roman"/>
                <w:sz w:val="24"/>
                <w:szCs w:val="24"/>
              </w:rPr>
              <w:t> </w:t>
            </w:r>
            <w:r w:rsidRPr="00907D70">
              <w:rPr>
                <w:rFonts w:ascii="Times New Roman" w:eastAsia="Times New Roman" w:hAnsi="Times New Roman"/>
                <w:spacing w:val="-1"/>
              </w:rPr>
              <w:t>%</w:t>
            </w:r>
          </w:p>
        </w:tc>
        <w:tc>
          <w:tcPr>
            <w:tcW w:w="1984" w:type="dxa"/>
            <w:tcBorders>
              <w:top w:val="single" w:sz="4" w:space="0" w:color="000000"/>
              <w:left w:val="single" w:sz="4" w:space="0" w:color="000000"/>
              <w:bottom w:val="single" w:sz="4" w:space="0" w:color="000000"/>
              <w:right w:val="single" w:sz="4" w:space="0" w:color="000000"/>
            </w:tcBorders>
          </w:tcPr>
          <w:p w14:paraId="51BFB7A1"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52 %</w:t>
            </w:r>
          </w:p>
        </w:tc>
      </w:tr>
      <w:tr w:rsidR="00342622" w:rsidRPr="00907D70" w14:paraId="486C7CFC" w14:textId="77777777" w:rsidTr="00160402">
        <w:trPr>
          <w:trHeight w:hRule="exact" w:val="741"/>
        </w:trPr>
        <w:tc>
          <w:tcPr>
            <w:tcW w:w="4394" w:type="dxa"/>
            <w:tcBorders>
              <w:top w:val="single" w:sz="4" w:space="0" w:color="000000"/>
              <w:left w:val="single" w:sz="4" w:space="0" w:color="000000"/>
              <w:bottom w:val="single" w:sz="4" w:space="0" w:color="000000"/>
              <w:right w:val="single" w:sz="4" w:space="0" w:color="000000"/>
            </w:tcBorders>
          </w:tcPr>
          <w:p w14:paraId="373D4994"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rPr>
            </w:pPr>
            <w:r w:rsidRPr="00907D70">
              <w:rPr>
                <w:rFonts w:ascii="Times New Roman" w:eastAsia="Times New Roman" w:hAnsi="Times New Roman"/>
              </w:rPr>
              <w:t>CD4+T-ląstelių skaičiaus vidutinis padidėjimas nuo tyrimo pradžios (ląstelių/mm</w:t>
            </w:r>
            <w:r w:rsidRPr="00907D70">
              <w:rPr>
                <w:rFonts w:ascii="Times New Roman" w:eastAsia="Times New Roman" w:hAnsi="Times New Roman"/>
                <w:vertAlign w:val="superscript"/>
              </w:rPr>
              <w:t>3</w:t>
            </w:r>
            <w:r w:rsidRPr="00907D70">
              <w:rPr>
                <w:rFonts w:ascii="Times New Roman" w:eastAsia="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453C7228"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p>
          <w:p w14:paraId="3AF435A2"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207</w:t>
            </w:r>
          </w:p>
        </w:tc>
        <w:tc>
          <w:tcPr>
            <w:tcW w:w="1984" w:type="dxa"/>
            <w:tcBorders>
              <w:top w:val="single" w:sz="4" w:space="0" w:color="000000"/>
              <w:left w:val="single" w:sz="4" w:space="0" w:color="000000"/>
              <w:bottom w:val="single" w:sz="4" w:space="0" w:color="000000"/>
              <w:right w:val="single" w:sz="4" w:space="0" w:color="000000"/>
            </w:tcBorders>
          </w:tcPr>
          <w:p w14:paraId="45BA5E2B"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p>
          <w:p w14:paraId="19BB7B0E" w14:textId="77777777" w:rsidR="00342622" w:rsidRPr="00907D70" w:rsidRDefault="00342622" w:rsidP="0084240B">
            <w:pPr>
              <w:autoSpaceDE w:val="0"/>
              <w:autoSpaceDN w:val="0"/>
              <w:adjustRightInd w:val="0"/>
              <w:spacing w:after="0" w:line="251" w:lineRule="exact"/>
              <w:ind w:left="8" w:right="-20"/>
              <w:jc w:val="center"/>
              <w:rPr>
                <w:rFonts w:ascii="Times New Roman" w:eastAsia="Times New Roman" w:hAnsi="Times New Roman"/>
                <w:spacing w:val="-1"/>
              </w:rPr>
            </w:pPr>
            <w:r w:rsidRPr="00907D70">
              <w:rPr>
                <w:rFonts w:ascii="Times New Roman" w:eastAsia="Times New Roman" w:hAnsi="Times New Roman"/>
                <w:spacing w:val="-1"/>
              </w:rPr>
              <w:t>195</w:t>
            </w:r>
          </w:p>
        </w:tc>
      </w:tr>
    </w:tbl>
    <w:p w14:paraId="0503B288" w14:textId="77777777" w:rsidR="00342622" w:rsidRPr="00907D70" w:rsidRDefault="00342622" w:rsidP="00342622">
      <w:pPr>
        <w:tabs>
          <w:tab w:val="left" w:pos="567"/>
        </w:tabs>
        <w:spacing w:after="0" w:line="240" w:lineRule="auto"/>
        <w:rPr>
          <w:rFonts w:ascii="Times New Roman" w:eastAsia="Times New Roman" w:hAnsi="Times New Roman"/>
          <w:b/>
          <w:bCs/>
        </w:rPr>
      </w:pPr>
    </w:p>
    <w:p w14:paraId="79E4BCDB"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ITT analizėje buvo pacientai, kurių duomenų trūko ir jie buvo įvertinti kaip pacientai, kuriems virusologinio atsako nebuvo.</w:t>
      </w:r>
    </w:p>
    <w:p w14:paraId="572E1944"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 p&lt;0,001 </w:t>
      </w:r>
    </w:p>
    <w:p w14:paraId="1E8C1B59"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0001F06A"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113 nelfinaviru gydytų pacientų ir 74 lopinaviro / ritonaviro deriniu gydytų pacientų ŽIV RNR buvo daugiau nei 400 kopijų/ml 24-96 gydymo savaitėmis. Iš jų 96 gydytiems nelfinaviru ir 51 lopinaviro / ritonaviro deriniu paimti izoliatai atsparumo tyrimams. Atsparumas nelfinavirui apibrėžtas kaip D30N ar L90M mutacijų buvimas proteazėje, jis nustatytas 41/96 (43 %) pacientų. Atsparumas lopinavirui apibrėžtas kaip bet kokių pirminių ar aktyvios mutacijų vietos buvimas proteazėje (žr. anksčiau), jų </w:t>
      </w:r>
      <w:r w:rsidRPr="00907D70">
        <w:rPr>
          <w:rFonts w:ascii="Times New Roman" w:hAnsi="Times New Roman"/>
          <w:color w:val="000000"/>
          <w:lang w:eastAsia="lt-LT"/>
        </w:rPr>
        <w:lastRenderedPageBreak/>
        <w:t xml:space="preserve">nustatyta 0/51 (0 %) pacientų. Atsparumo nebuvimas lopinavirui buvo patvirtintas ir fenotipine analize. </w:t>
      </w:r>
    </w:p>
    <w:p w14:paraId="6570C622"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326DE5F6" w14:textId="78C061F2"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M05-730 buvo atliktas atsitiktinės atrankos metodu, atviras, daugiacentris lyginamasis tyrimas, kurio metu buvo tiriami 664 anksčiau negydyti antiretrovirusiniais vaistiniais preparatais pacientai, kuriems skirta lopinaviro / ritonaviro derinio 800/200 mg vieną kartą per parą su tenofoviru DF ir emtricitabinu arba lopinaviro / ritonaviro derinio 400/100 mg du kartus per parą su tenofoviru DF ir emtricitabinu. Atsižvelgiant į farmakokinetinę lopinaviro / ritonaviro derinio sąveiką su tenofoviru (žr. 4.5 skyrių), šio tyrimo rezultatų nebūtina griežtai ekstrapoliuoti, jeigu yra taikomi kitokie pagrindiniai lopinaviro / ritonaviro derinio dozavimo režimai. Pacientai buvo atsitiktinės atrankos būdu suskirstyti į grupes santykiu 1:1 vartoti lopinaviro / ritonaviro derinio 800/200 mg dozę kartą per parą (n= 333) arba lopinaviro / ritonaviro derinio 400/100 mg dozę du kartus per parą (n= 331). Smulkesnis padalinimas kiekvienoje grupėje buvo 1:1 (tabletės ar minkštos kapsulės). Pacientams buvo skirtos tabletės arba minkštos kapsulės 8 savaites, po to, iki tyrimo pabaigos, visiems likusiems tyrime pacientams skirtos tabletės vieną kartą arba du kartus per parą. Pacientams skirta 200 mg emtricitabino vieną kartą per parą ir 300 mg tenofoviro DF vieną kartą per parą</w:t>
      </w:r>
      <w:r w:rsidR="00957AA7" w:rsidRPr="00907D70">
        <w:rPr>
          <w:rFonts w:ascii="Times New Roman" w:hAnsi="Times New Roman"/>
          <w:color w:val="000000"/>
          <w:lang w:eastAsia="lt-LT"/>
        </w:rPr>
        <w:t xml:space="preserve"> (atitinka 245</w:t>
      </w:r>
      <w:r w:rsidR="00B82AAF" w:rsidRPr="00907D70">
        <w:rPr>
          <w:rFonts w:ascii="Times New Roman" w:hAnsi="Times New Roman"/>
          <w:color w:val="000000"/>
          <w:lang w:eastAsia="lt-LT"/>
        </w:rPr>
        <w:t> </w:t>
      </w:r>
      <w:r w:rsidR="00957AA7" w:rsidRPr="00907D70">
        <w:rPr>
          <w:rFonts w:ascii="Times New Roman" w:hAnsi="Times New Roman"/>
          <w:color w:val="000000"/>
          <w:lang w:eastAsia="lt-LT"/>
        </w:rPr>
        <w:t>mg tenofoviro dizoproksilio)</w:t>
      </w:r>
      <w:r w:rsidRPr="00907D70">
        <w:rPr>
          <w:rFonts w:ascii="Times New Roman" w:hAnsi="Times New Roman"/>
          <w:color w:val="000000"/>
          <w:lang w:eastAsia="lt-LT"/>
        </w:rPr>
        <w:t>. Protokole buvo apibrėžta, kad dozavimas vieną kartą per parą, palyginti su dozavimu du kartus per parą, nebus laikomas prastesniu, jei skirtumo tarp reagavusių pacientų (vieną kartą per parą minus du kartus per parą) apatinė 95 % patikimumo intervalo riba 48 savaitę nepasieks -12 %.Vidutinis tyrime dalyvavusių pacientų amžius buvo 39 metai (nuo 19 iki 71); 75 % baltaodžiai ir 78 % vyrai. Pradiniame taške CD4+T ląstelių skaičius buvo 216 ląstelių/ mm</w:t>
      </w:r>
      <w:r w:rsidRPr="00907D70">
        <w:rPr>
          <w:rFonts w:ascii="Times New Roman" w:hAnsi="Times New Roman"/>
          <w:color w:val="000000"/>
          <w:vertAlign w:val="superscript"/>
          <w:lang w:eastAsia="lt-LT"/>
        </w:rPr>
        <w:t>3</w:t>
      </w:r>
      <w:r w:rsidRPr="00907D70">
        <w:rPr>
          <w:rFonts w:ascii="Times New Roman" w:hAnsi="Times New Roman"/>
          <w:color w:val="000000"/>
          <w:lang w:eastAsia="lt-LT"/>
        </w:rPr>
        <w:t xml:space="preserve"> (diapazonas nuo 20 iki 775 ląstelių/mm</w:t>
      </w:r>
      <w:r w:rsidRPr="00907D70">
        <w:rPr>
          <w:rFonts w:ascii="Times New Roman" w:hAnsi="Times New Roman"/>
          <w:color w:val="000000"/>
          <w:vertAlign w:val="superscript"/>
          <w:lang w:eastAsia="lt-LT"/>
        </w:rPr>
        <w:t>3</w:t>
      </w:r>
      <w:r w:rsidRPr="00907D70">
        <w:rPr>
          <w:rFonts w:ascii="Times New Roman" w:hAnsi="Times New Roman"/>
          <w:color w:val="000000"/>
          <w:lang w:eastAsia="lt-LT"/>
        </w:rPr>
        <w:t>) ir plazmos ŽIV-1 DNR buvo 5,0 log</w:t>
      </w:r>
      <w:r w:rsidRPr="00907D70">
        <w:rPr>
          <w:rFonts w:ascii="Times New Roman" w:hAnsi="Times New Roman"/>
          <w:color w:val="000000"/>
          <w:vertAlign w:val="subscript"/>
          <w:lang w:eastAsia="lt-LT"/>
        </w:rPr>
        <w:t>10</w:t>
      </w:r>
      <w:r w:rsidRPr="00907D70">
        <w:rPr>
          <w:rFonts w:ascii="Times New Roman" w:hAnsi="Times New Roman"/>
          <w:color w:val="000000"/>
          <w:lang w:eastAsia="lt-LT"/>
        </w:rPr>
        <w:t xml:space="preserve"> kopijos/ml (diapazonas nuo 1,7 iki 7,0 log</w:t>
      </w:r>
      <w:r w:rsidRPr="00907D70">
        <w:rPr>
          <w:rFonts w:ascii="Times New Roman" w:hAnsi="Times New Roman"/>
          <w:color w:val="000000"/>
          <w:vertAlign w:val="subscript"/>
          <w:lang w:eastAsia="lt-LT"/>
        </w:rPr>
        <w:t>10</w:t>
      </w:r>
      <w:r w:rsidRPr="00907D70">
        <w:rPr>
          <w:rFonts w:ascii="Times New Roman" w:hAnsi="Times New Roman"/>
          <w:color w:val="000000"/>
          <w:lang w:eastAsia="lt-LT"/>
        </w:rPr>
        <w:t xml:space="preserve"> kopijų/ml). </w:t>
      </w:r>
    </w:p>
    <w:p w14:paraId="3D1BED60" w14:textId="77777777" w:rsidR="00342622" w:rsidRPr="00907D70" w:rsidRDefault="00342622" w:rsidP="00342622">
      <w:pPr>
        <w:tabs>
          <w:tab w:val="left" w:pos="567"/>
        </w:tabs>
        <w:spacing w:after="0" w:line="240" w:lineRule="auto"/>
        <w:rPr>
          <w:rFonts w:ascii="Times New Roman" w:hAnsi="Times New Roman"/>
          <w:color w:val="000000"/>
          <w:lang w:eastAsia="lt-LT"/>
        </w:rPr>
      </w:pPr>
    </w:p>
    <w:p w14:paraId="736E6200" w14:textId="77777777" w:rsidR="00342622" w:rsidRPr="00907D70" w:rsidRDefault="00342622" w:rsidP="00342622">
      <w:pPr>
        <w:keepNext/>
        <w:keepLines/>
        <w:tabs>
          <w:tab w:val="left" w:pos="567"/>
        </w:tabs>
        <w:spacing w:after="0" w:line="240" w:lineRule="auto"/>
        <w:rPr>
          <w:rFonts w:ascii="Times New Roman" w:hAnsi="Times New Roman"/>
          <w:color w:val="000000"/>
          <w:lang w:eastAsia="lt-LT"/>
        </w:rPr>
      </w:pPr>
      <w:r w:rsidRPr="00907D70">
        <w:rPr>
          <w:rFonts w:ascii="Times New Roman" w:hAnsi="Times New Roman"/>
          <w:color w:val="000000"/>
          <w:lang w:eastAsia="lt-LT"/>
        </w:rPr>
        <w:t>2 lentelė</w:t>
      </w:r>
    </w:p>
    <w:p w14:paraId="6CB289F1" w14:textId="77777777" w:rsidR="00342622" w:rsidRPr="00907D70" w:rsidRDefault="00342622" w:rsidP="00342622">
      <w:pPr>
        <w:keepNext/>
        <w:keepLines/>
        <w:tabs>
          <w:tab w:val="left" w:pos="567"/>
        </w:tabs>
        <w:spacing w:after="0" w:line="240" w:lineRule="auto"/>
        <w:rPr>
          <w:rFonts w:ascii="Times New Roman" w:eastAsia="Times New Roman" w:hAnsi="Times New Roman"/>
          <w:b/>
          <w:bCs/>
        </w:rPr>
      </w:pPr>
    </w:p>
    <w:tbl>
      <w:tblPr>
        <w:tblW w:w="5311" w:type="pct"/>
        <w:tblCellMar>
          <w:left w:w="0" w:type="dxa"/>
          <w:right w:w="0" w:type="dxa"/>
        </w:tblCellMar>
        <w:tblLook w:val="0000" w:firstRow="0" w:lastRow="0" w:firstColumn="0" w:lastColumn="0" w:noHBand="0" w:noVBand="0"/>
      </w:tblPr>
      <w:tblGrid>
        <w:gridCol w:w="3600"/>
        <w:gridCol w:w="919"/>
        <w:gridCol w:w="1030"/>
        <w:gridCol w:w="1094"/>
        <w:gridCol w:w="796"/>
        <w:gridCol w:w="796"/>
        <w:gridCol w:w="1389"/>
      </w:tblGrid>
      <w:tr w:rsidR="00342622" w:rsidRPr="00907D70" w14:paraId="17DE9645" w14:textId="77777777" w:rsidTr="00160402">
        <w:trPr>
          <w:trHeight w:val="20"/>
        </w:trPr>
        <w:tc>
          <w:tcPr>
            <w:tcW w:w="5000" w:type="pct"/>
            <w:gridSpan w:val="7"/>
            <w:tcBorders>
              <w:top w:val="single" w:sz="4" w:space="0" w:color="000000"/>
              <w:left w:val="single" w:sz="4" w:space="0" w:color="000000"/>
              <w:bottom w:val="single" w:sz="4" w:space="0" w:color="000000"/>
              <w:right w:val="single" w:sz="4" w:space="0" w:color="000000"/>
            </w:tcBorders>
          </w:tcPr>
          <w:p w14:paraId="1862CAC7" w14:textId="77777777" w:rsidR="00342622" w:rsidRPr="00907D70" w:rsidRDefault="00342622" w:rsidP="0084240B">
            <w:pPr>
              <w:keepNext/>
              <w:keepLines/>
              <w:autoSpaceDE w:val="0"/>
              <w:autoSpaceDN w:val="0"/>
              <w:adjustRightInd w:val="0"/>
              <w:spacing w:after="0" w:line="240" w:lineRule="auto"/>
              <w:ind w:left="8"/>
              <w:rPr>
                <w:rFonts w:ascii="Times New Roman" w:eastAsia="Times New Roman" w:hAnsi="Times New Roman"/>
                <w:u w:val="single"/>
              </w:rPr>
            </w:pPr>
          </w:p>
          <w:p w14:paraId="210A013F" w14:textId="77777777" w:rsidR="00342622" w:rsidRPr="00907D70" w:rsidRDefault="00342622" w:rsidP="0084240B">
            <w:pPr>
              <w:keepNext/>
              <w:keepLines/>
              <w:autoSpaceDE w:val="0"/>
              <w:autoSpaceDN w:val="0"/>
              <w:adjustRightInd w:val="0"/>
              <w:spacing w:after="0" w:line="240" w:lineRule="auto"/>
              <w:ind w:left="8"/>
              <w:jc w:val="center"/>
              <w:rPr>
                <w:rFonts w:ascii="Times New Roman" w:eastAsia="Times New Roman" w:hAnsi="Times New Roman"/>
                <w:b/>
                <w:u w:val="single"/>
              </w:rPr>
            </w:pPr>
            <w:r w:rsidRPr="00907D70">
              <w:rPr>
                <w:rFonts w:ascii="Times New Roman" w:eastAsia="Times New Roman" w:hAnsi="Times New Roman"/>
                <w:b/>
                <w:u w:val="single"/>
              </w:rPr>
              <w:t>Virusologinis tiriamųjų atsakas tyrimo metu 48 ir 96 savaitę</w:t>
            </w:r>
          </w:p>
        </w:tc>
      </w:tr>
      <w:tr w:rsidR="00342622" w:rsidRPr="00907D70" w14:paraId="6E730E92" w14:textId="77777777" w:rsidTr="00160402">
        <w:trPr>
          <w:trHeight w:val="20"/>
        </w:trPr>
        <w:tc>
          <w:tcPr>
            <w:tcW w:w="1875" w:type="pct"/>
            <w:tcBorders>
              <w:top w:val="single" w:sz="4" w:space="0" w:color="000000"/>
              <w:left w:val="single" w:sz="4" w:space="0" w:color="000000"/>
              <w:bottom w:val="single" w:sz="4" w:space="0" w:color="000000"/>
              <w:right w:val="single" w:sz="4" w:space="0" w:color="000000"/>
            </w:tcBorders>
          </w:tcPr>
          <w:p w14:paraId="51379A60"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u w:val="single"/>
              </w:rPr>
            </w:pPr>
          </w:p>
        </w:tc>
        <w:tc>
          <w:tcPr>
            <w:tcW w:w="1595" w:type="pct"/>
            <w:gridSpan w:val="3"/>
            <w:tcBorders>
              <w:top w:val="single" w:sz="4" w:space="0" w:color="000000"/>
              <w:left w:val="single" w:sz="4" w:space="0" w:color="000000"/>
              <w:bottom w:val="single" w:sz="4" w:space="0" w:color="000000"/>
              <w:right w:val="single" w:sz="4" w:space="0" w:color="000000"/>
            </w:tcBorders>
          </w:tcPr>
          <w:p w14:paraId="5D2A2F63" w14:textId="77777777" w:rsidR="00342622" w:rsidRPr="00907D70" w:rsidRDefault="00342622" w:rsidP="0084240B">
            <w:pPr>
              <w:autoSpaceDE w:val="0"/>
              <w:autoSpaceDN w:val="0"/>
              <w:adjustRightInd w:val="0"/>
              <w:spacing w:after="0" w:line="240" w:lineRule="auto"/>
              <w:ind w:left="8" w:right="1207"/>
              <w:jc w:val="center"/>
              <w:rPr>
                <w:rFonts w:ascii="Times New Roman" w:eastAsia="Times New Roman" w:hAnsi="Times New Roman"/>
                <w:u w:val="single"/>
              </w:rPr>
            </w:pPr>
            <w:r w:rsidRPr="00907D70">
              <w:rPr>
                <w:rFonts w:ascii="Times New Roman" w:eastAsia="Times New Roman" w:hAnsi="Times New Roman"/>
                <w:b/>
                <w:bCs/>
                <w:spacing w:val="1"/>
                <w:w w:val="99"/>
                <w:u w:val="single"/>
              </w:rPr>
              <w:t>4</w:t>
            </w:r>
            <w:r w:rsidRPr="00907D70">
              <w:rPr>
                <w:rFonts w:ascii="Times New Roman" w:eastAsia="Times New Roman" w:hAnsi="Times New Roman"/>
                <w:b/>
                <w:bCs/>
                <w:w w:val="99"/>
                <w:u w:val="single"/>
              </w:rPr>
              <w:t>8 savaitė</w:t>
            </w:r>
          </w:p>
        </w:tc>
        <w:tc>
          <w:tcPr>
            <w:tcW w:w="1530" w:type="pct"/>
            <w:gridSpan w:val="3"/>
            <w:tcBorders>
              <w:top w:val="single" w:sz="4" w:space="0" w:color="000000"/>
              <w:left w:val="single" w:sz="4" w:space="0" w:color="000000"/>
              <w:bottom w:val="single" w:sz="4" w:space="0" w:color="000000"/>
              <w:right w:val="single" w:sz="4" w:space="0" w:color="000000"/>
            </w:tcBorders>
          </w:tcPr>
          <w:p w14:paraId="3668D2FD" w14:textId="77777777" w:rsidR="00342622" w:rsidRPr="00907D70" w:rsidRDefault="00342622" w:rsidP="0084240B">
            <w:pPr>
              <w:autoSpaceDE w:val="0"/>
              <w:autoSpaceDN w:val="0"/>
              <w:adjustRightInd w:val="0"/>
              <w:spacing w:after="0" w:line="240" w:lineRule="auto"/>
              <w:ind w:left="8" w:right="1159"/>
              <w:jc w:val="center"/>
              <w:rPr>
                <w:rFonts w:ascii="Times New Roman" w:eastAsia="Times New Roman" w:hAnsi="Times New Roman"/>
                <w:u w:val="single"/>
              </w:rPr>
            </w:pPr>
            <w:r w:rsidRPr="00907D70">
              <w:rPr>
                <w:rFonts w:ascii="Times New Roman" w:eastAsia="Times New Roman" w:hAnsi="Times New Roman"/>
                <w:b/>
                <w:bCs/>
                <w:spacing w:val="1"/>
                <w:w w:val="99"/>
                <w:u w:val="single"/>
              </w:rPr>
              <w:t>9</w:t>
            </w:r>
            <w:r w:rsidRPr="00907D70">
              <w:rPr>
                <w:rFonts w:ascii="Times New Roman" w:eastAsia="Times New Roman" w:hAnsi="Times New Roman"/>
                <w:b/>
                <w:bCs/>
                <w:w w:val="99"/>
                <w:u w:val="single"/>
              </w:rPr>
              <w:t>6 savaitė</w:t>
            </w:r>
          </w:p>
        </w:tc>
      </w:tr>
      <w:tr w:rsidR="00342622" w:rsidRPr="00907D70" w14:paraId="1172E775" w14:textId="77777777" w:rsidTr="00160402">
        <w:trPr>
          <w:trHeight w:val="20"/>
        </w:trPr>
        <w:tc>
          <w:tcPr>
            <w:tcW w:w="1875" w:type="pct"/>
            <w:tcBorders>
              <w:top w:val="single" w:sz="4" w:space="0" w:color="000000"/>
              <w:left w:val="single" w:sz="4" w:space="0" w:color="000000"/>
              <w:bottom w:val="single" w:sz="4" w:space="0" w:color="000000"/>
              <w:right w:val="single" w:sz="4" w:space="0" w:color="000000"/>
            </w:tcBorders>
          </w:tcPr>
          <w:p w14:paraId="4F02EF00"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u w:val="single"/>
              </w:rPr>
            </w:pPr>
          </w:p>
        </w:tc>
        <w:tc>
          <w:tcPr>
            <w:tcW w:w="482" w:type="pct"/>
            <w:tcBorders>
              <w:top w:val="single" w:sz="4" w:space="0" w:color="000000"/>
              <w:left w:val="single" w:sz="4" w:space="0" w:color="000000"/>
              <w:bottom w:val="single" w:sz="4" w:space="0" w:color="000000"/>
              <w:right w:val="single" w:sz="4" w:space="0" w:color="000000"/>
            </w:tcBorders>
          </w:tcPr>
          <w:p w14:paraId="3E97A57F"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QD</w:t>
            </w:r>
          </w:p>
        </w:tc>
        <w:tc>
          <w:tcPr>
            <w:tcW w:w="540" w:type="pct"/>
            <w:tcBorders>
              <w:top w:val="single" w:sz="4" w:space="0" w:color="000000"/>
              <w:left w:val="single" w:sz="4" w:space="0" w:color="000000"/>
              <w:bottom w:val="single" w:sz="4" w:space="0" w:color="000000"/>
              <w:right w:val="single" w:sz="4" w:space="0" w:color="000000"/>
            </w:tcBorders>
          </w:tcPr>
          <w:p w14:paraId="5AB4D273"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BID</w:t>
            </w:r>
          </w:p>
        </w:tc>
        <w:tc>
          <w:tcPr>
            <w:tcW w:w="573" w:type="pct"/>
            <w:tcBorders>
              <w:top w:val="single" w:sz="4" w:space="0" w:color="000000"/>
              <w:left w:val="single" w:sz="4" w:space="0" w:color="000000"/>
              <w:bottom w:val="single" w:sz="4" w:space="0" w:color="000000"/>
              <w:right w:val="single" w:sz="4" w:space="0" w:color="000000"/>
            </w:tcBorders>
          </w:tcPr>
          <w:p w14:paraId="65FA7365"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Skirtumas</w:t>
            </w:r>
          </w:p>
          <w:p w14:paraId="5429DFED"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w:t>
            </w:r>
            <w:r w:rsidRPr="00907D70">
              <w:rPr>
                <w:rFonts w:ascii="Times New Roman" w:eastAsia="Times New Roman" w:hAnsi="Times New Roman"/>
                <w:b/>
                <w:bCs/>
                <w:spacing w:val="1"/>
                <w:u w:val="single"/>
              </w:rPr>
              <w:t>95 </w:t>
            </w:r>
            <w:r w:rsidRPr="00907D70">
              <w:rPr>
                <w:rFonts w:ascii="Times New Roman" w:eastAsia="Times New Roman" w:hAnsi="Times New Roman"/>
                <w:b/>
                <w:bCs/>
                <w:u w:val="single"/>
              </w:rPr>
              <w:t>%</w:t>
            </w:r>
            <w:r w:rsidRPr="00907D70">
              <w:rPr>
                <w:rFonts w:ascii="Times New Roman" w:eastAsia="Times New Roman" w:hAnsi="Times New Roman"/>
                <w:b/>
                <w:bCs/>
                <w:spacing w:val="-6"/>
                <w:u w:val="single"/>
              </w:rPr>
              <w:t xml:space="preserve"> </w:t>
            </w:r>
            <w:r w:rsidRPr="00907D70">
              <w:rPr>
                <w:rFonts w:ascii="Times New Roman" w:eastAsia="Times New Roman" w:hAnsi="Times New Roman"/>
                <w:b/>
                <w:bCs/>
                <w:u w:val="single"/>
              </w:rPr>
              <w:t>PI]</w:t>
            </w:r>
          </w:p>
        </w:tc>
        <w:tc>
          <w:tcPr>
            <w:tcW w:w="402" w:type="pct"/>
            <w:tcBorders>
              <w:top w:val="single" w:sz="4" w:space="0" w:color="000000"/>
              <w:left w:val="single" w:sz="4" w:space="0" w:color="000000"/>
              <w:bottom w:val="single" w:sz="4" w:space="0" w:color="000000"/>
              <w:right w:val="single" w:sz="4" w:space="0" w:color="000000"/>
            </w:tcBorders>
          </w:tcPr>
          <w:p w14:paraId="65807910"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QD</w:t>
            </w:r>
          </w:p>
        </w:tc>
        <w:tc>
          <w:tcPr>
            <w:tcW w:w="402" w:type="pct"/>
            <w:tcBorders>
              <w:top w:val="single" w:sz="4" w:space="0" w:color="000000"/>
              <w:left w:val="single" w:sz="4" w:space="0" w:color="000000"/>
              <w:bottom w:val="single" w:sz="4" w:space="0" w:color="000000"/>
              <w:right w:val="single" w:sz="4" w:space="0" w:color="000000"/>
            </w:tcBorders>
          </w:tcPr>
          <w:p w14:paraId="0CB13F38"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BID</w:t>
            </w:r>
          </w:p>
        </w:tc>
        <w:tc>
          <w:tcPr>
            <w:tcW w:w="726" w:type="pct"/>
            <w:tcBorders>
              <w:top w:val="single" w:sz="4" w:space="0" w:color="000000"/>
              <w:left w:val="single" w:sz="4" w:space="0" w:color="000000"/>
              <w:bottom w:val="single" w:sz="4" w:space="0" w:color="000000"/>
              <w:right w:val="single" w:sz="4" w:space="0" w:color="000000"/>
            </w:tcBorders>
          </w:tcPr>
          <w:p w14:paraId="06D30A1C"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Skirtumas</w:t>
            </w:r>
          </w:p>
          <w:p w14:paraId="69378194"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b/>
                <w:bCs/>
                <w:u w:val="single"/>
              </w:rPr>
              <w:t>[</w:t>
            </w:r>
            <w:r w:rsidRPr="00907D70">
              <w:rPr>
                <w:rFonts w:ascii="Times New Roman" w:eastAsia="Times New Roman" w:hAnsi="Times New Roman"/>
                <w:b/>
                <w:bCs/>
                <w:spacing w:val="1"/>
                <w:u w:val="single"/>
              </w:rPr>
              <w:t>95 </w:t>
            </w:r>
            <w:r w:rsidRPr="00907D70">
              <w:rPr>
                <w:rFonts w:ascii="Times New Roman" w:eastAsia="Times New Roman" w:hAnsi="Times New Roman"/>
                <w:b/>
                <w:bCs/>
                <w:u w:val="single"/>
              </w:rPr>
              <w:t>%</w:t>
            </w:r>
            <w:r w:rsidRPr="00907D70">
              <w:rPr>
                <w:rFonts w:ascii="Times New Roman" w:eastAsia="Times New Roman" w:hAnsi="Times New Roman"/>
                <w:b/>
                <w:bCs/>
                <w:spacing w:val="-6"/>
                <w:u w:val="single"/>
              </w:rPr>
              <w:t xml:space="preserve"> </w:t>
            </w:r>
            <w:r w:rsidRPr="00907D70">
              <w:rPr>
                <w:rFonts w:ascii="Times New Roman" w:eastAsia="Times New Roman" w:hAnsi="Times New Roman"/>
                <w:b/>
                <w:bCs/>
                <w:u w:val="single"/>
              </w:rPr>
              <w:t>PI]</w:t>
            </w:r>
          </w:p>
        </w:tc>
      </w:tr>
      <w:tr w:rsidR="00342622" w:rsidRPr="00907D70" w14:paraId="0929BD28" w14:textId="77777777" w:rsidTr="00160402">
        <w:trPr>
          <w:trHeight w:val="20"/>
        </w:trPr>
        <w:tc>
          <w:tcPr>
            <w:tcW w:w="1875" w:type="pct"/>
            <w:tcBorders>
              <w:top w:val="single" w:sz="4" w:space="0" w:color="000000"/>
              <w:left w:val="single" w:sz="4" w:space="0" w:color="000000"/>
              <w:bottom w:val="single" w:sz="4" w:space="0" w:color="000000"/>
              <w:right w:val="single" w:sz="4" w:space="0" w:color="000000"/>
            </w:tcBorders>
          </w:tcPr>
          <w:p w14:paraId="00261B12"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u w:val="single"/>
              </w:rPr>
              <w:t>NC= Nesėkmė</w:t>
            </w:r>
          </w:p>
        </w:tc>
        <w:tc>
          <w:tcPr>
            <w:tcW w:w="482" w:type="pct"/>
            <w:tcBorders>
              <w:top w:val="single" w:sz="4" w:space="0" w:color="000000"/>
              <w:left w:val="single" w:sz="4" w:space="0" w:color="000000"/>
              <w:bottom w:val="single" w:sz="4" w:space="0" w:color="000000"/>
              <w:right w:val="single" w:sz="4" w:space="0" w:color="000000"/>
            </w:tcBorders>
          </w:tcPr>
          <w:p w14:paraId="50E9316B"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spacing w:val="1"/>
              </w:rPr>
            </w:pPr>
            <w:r w:rsidRPr="00907D70">
              <w:rPr>
                <w:rFonts w:ascii="Times New Roman" w:eastAsia="Times New Roman" w:hAnsi="Times New Roman"/>
                <w:spacing w:val="1"/>
              </w:rPr>
              <w:t>257/333</w:t>
            </w:r>
          </w:p>
          <w:p w14:paraId="1D19B256"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(77,2 %)</w:t>
            </w:r>
          </w:p>
        </w:tc>
        <w:tc>
          <w:tcPr>
            <w:tcW w:w="540" w:type="pct"/>
            <w:tcBorders>
              <w:top w:val="single" w:sz="4" w:space="0" w:color="000000"/>
              <w:left w:val="single" w:sz="4" w:space="0" w:color="000000"/>
              <w:bottom w:val="single" w:sz="4" w:space="0" w:color="000000"/>
              <w:right w:val="single" w:sz="4" w:space="0" w:color="000000"/>
            </w:tcBorders>
          </w:tcPr>
          <w:p w14:paraId="7DDB54A5"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251/331</w:t>
            </w:r>
          </w:p>
          <w:p w14:paraId="624B421D"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(75,8 %)</w:t>
            </w:r>
          </w:p>
        </w:tc>
        <w:tc>
          <w:tcPr>
            <w:tcW w:w="573" w:type="pct"/>
            <w:tcBorders>
              <w:top w:val="single" w:sz="4" w:space="0" w:color="000000"/>
              <w:left w:val="single" w:sz="4" w:space="0" w:color="000000"/>
              <w:bottom w:val="single" w:sz="4" w:space="0" w:color="000000"/>
              <w:right w:val="single" w:sz="4" w:space="0" w:color="000000"/>
            </w:tcBorders>
          </w:tcPr>
          <w:p w14:paraId="7C343C41" w14:textId="77777777" w:rsidR="00342622" w:rsidRPr="00907D70" w:rsidRDefault="00342622" w:rsidP="0084240B">
            <w:pPr>
              <w:autoSpaceDE w:val="0"/>
              <w:autoSpaceDN w:val="0"/>
              <w:adjustRightInd w:val="0"/>
              <w:spacing w:after="0" w:line="240" w:lineRule="auto"/>
              <w:ind w:left="8" w:right="324"/>
              <w:jc w:val="center"/>
              <w:rPr>
                <w:rFonts w:ascii="Times New Roman" w:eastAsia="Times New Roman" w:hAnsi="Times New Roman"/>
                <w:spacing w:val="1"/>
              </w:rPr>
            </w:pPr>
            <w:r w:rsidRPr="00907D70">
              <w:rPr>
                <w:rFonts w:ascii="Times New Roman" w:eastAsia="Times New Roman" w:hAnsi="Times New Roman"/>
                <w:spacing w:val="1"/>
              </w:rPr>
              <w:t>1,3 %</w:t>
            </w:r>
          </w:p>
          <w:p w14:paraId="7AF89520" w14:textId="77777777" w:rsidR="00342622" w:rsidRPr="00907D70" w:rsidRDefault="00342622" w:rsidP="0084240B">
            <w:pPr>
              <w:autoSpaceDE w:val="0"/>
              <w:autoSpaceDN w:val="0"/>
              <w:adjustRightInd w:val="0"/>
              <w:spacing w:after="0" w:line="240" w:lineRule="auto"/>
              <w:ind w:left="8" w:right="140"/>
              <w:jc w:val="center"/>
              <w:rPr>
                <w:rFonts w:ascii="Times New Roman" w:eastAsia="Times New Roman" w:hAnsi="Times New Roman"/>
                <w:spacing w:val="1"/>
              </w:rPr>
            </w:pPr>
            <w:r w:rsidRPr="00907D70">
              <w:rPr>
                <w:rFonts w:ascii="Times New Roman" w:eastAsia="Times New Roman" w:hAnsi="Times New Roman"/>
                <w:spacing w:val="1"/>
              </w:rPr>
              <w:t>[-5,1, 7,8]</w:t>
            </w:r>
          </w:p>
        </w:tc>
        <w:tc>
          <w:tcPr>
            <w:tcW w:w="402" w:type="pct"/>
            <w:tcBorders>
              <w:top w:val="single" w:sz="4" w:space="0" w:color="000000"/>
              <w:left w:val="single" w:sz="4" w:space="0" w:color="000000"/>
              <w:bottom w:val="single" w:sz="4" w:space="0" w:color="000000"/>
              <w:right w:val="single" w:sz="4" w:space="0" w:color="000000"/>
            </w:tcBorders>
          </w:tcPr>
          <w:p w14:paraId="2D7DF539"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216/333</w:t>
            </w:r>
          </w:p>
          <w:p w14:paraId="54354447"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(64,9 %)</w:t>
            </w:r>
          </w:p>
        </w:tc>
        <w:tc>
          <w:tcPr>
            <w:tcW w:w="402" w:type="pct"/>
            <w:tcBorders>
              <w:top w:val="single" w:sz="4" w:space="0" w:color="000000"/>
              <w:left w:val="single" w:sz="4" w:space="0" w:color="000000"/>
              <w:bottom w:val="single" w:sz="4" w:space="0" w:color="000000"/>
              <w:right w:val="single" w:sz="4" w:space="0" w:color="000000"/>
            </w:tcBorders>
          </w:tcPr>
          <w:p w14:paraId="1A8936F4"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229/331</w:t>
            </w:r>
          </w:p>
          <w:p w14:paraId="1D0DFC58"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(69,2 %)</w:t>
            </w:r>
          </w:p>
        </w:tc>
        <w:tc>
          <w:tcPr>
            <w:tcW w:w="726" w:type="pct"/>
            <w:tcBorders>
              <w:top w:val="single" w:sz="4" w:space="0" w:color="000000"/>
              <w:left w:val="single" w:sz="4" w:space="0" w:color="000000"/>
              <w:bottom w:val="single" w:sz="4" w:space="0" w:color="000000"/>
              <w:right w:val="single" w:sz="4" w:space="0" w:color="000000"/>
            </w:tcBorders>
          </w:tcPr>
          <w:p w14:paraId="3C967D4F" w14:textId="77777777" w:rsidR="00342622" w:rsidRPr="00907D70" w:rsidRDefault="00342622" w:rsidP="0084240B">
            <w:pPr>
              <w:autoSpaceDE w:val="0"/>
              <w:autoSpaceDN w:val="0"/>
              <w:adjustRightInd w:val="0"/>
              <w:spacing w:after="0" w:line="240" w:lineRule="auto"/>
              <w:ind w:left="8" w:right="338"/>
              <w:jc w:val="center"/>
              <w:rPr>
                <w:rFonts w:ascii="Times New Roman" w:eastAsia="Times New Roman" w:hAnsi="Times New Roman"/>
                <w:spacing w:val="1"/>
              </w:rPr>
            </w:pPr>
            <w:r w:rsidRPr="00907D70">
              <w:rPr>
                <w:rFonts w:ascii="Times New Roman" w:eastAsia="Times New Roman" w:hAnsi="Times New Roman"/>
                <w:spacing w:val="1"/>
              </w:rPr>
              <w:t>-4,3 %</w:t>
            </w:r>
          </w:p>
          <w:p w14:paraId="74520228" w14:textId="77777777" w:rsidR="00342622" w:rsidRPr="00907D70" w:rsidRDefault="00342622" w:rsidP="0084240B">
            <w:pPr>
              <w:autoSpaceDE w:val="0"/>
              <w:autoSpaceDN w:val="0"/>
              <w:adjustRightInd w:val="0"/>
              <w:spacing w:after="0" w:line="240" w:lineRule="auto"/>
              <w:ind w:left="8" w:right="108"/>
              <w:jc w:val="center"/>
              <w:rPr>
                <w:rFonts w:ascii="Times New Roman" w:eastAsia="Times New Roman" w:hAnsi="Times New Roman"/>
                <w:spacing w:val="1"/>
              </w:rPr>
            </w:pPr>
            <w:r w:rsidRPr="00907D70">
              <w:rPr>
                <w:rFonts w:ascii="Times New Roman" w:eastAsia="Times New Roman" w:hAnsi="Times New Roman"/>
                <w:spacing w:val="1"/>
              </w:rPr>
              <w:t>[-11.5, 2.8]</w:t>
            </w:r>
          </w:p>
        </w:tc>
      </w:tr>
      <w:tr w:rsidR="00342622" w:rsidRPr="00907D70" w14:paraId="3D82DA58" w14:textId="77777777" w:rsidTr="00160402">
        <w:trPr>
          <w:trHeight w:val="20"/>
        </w:trPr>
        <w:tc>
          <w:tcPr>
            <w:tcW w:w="1875" w:type="pct"/>
            <w:tcBorders>
              <w:top w:val="single" w:sz="4" w:space="0" w:color="000000"/>
              <w:left w:val="single" w:sz="4" w:space="0" w:color="000000"/>
              <w:bottom w:val="single" w:sz="4" w:space="0" w:color="000000"/>
              <w:right w:val="single" w:sz="4" w:space="0" w:color="000000"/>
            </w:tcBorders>
          </w:tcPr>
          <w:p w14:paraId="214A6E7E"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u w:val="single"/>
              </w:rPr>
            </w:pPr>
            <w:r w:rsidRPr="00907D70">
              <w:rPr>
                <w:rFonts w:ascii="Times New Roman" w:eastAsia="Times New Roman" w:hAnsi="Times New Roman"/>
                <w:u w:val="single"/>
              </w:rPr>
              <w:t>Stebėti duomenys</w:t>
            </w:r>
          </w:p>
        </w:tc>
        <w:tc>
          <w:tcPr>
            <w:tcW w:w="482" w:type="pct"/>
            <w:tcBorders>
              <w:top w:val="single" w:sz="4" w:space="0" w:color="000000"/>
              <w:left w:val="single" w:sz="4" w:space="0" w:color="000000"/>
              <w:bottom w:val="single" w:sz="4" w:space="0" w:color="000000"/>
              <w:right w:val="single" w:sz="4" w:space="0" w:color="000000"/>
            </w:tcBorders>
          </w:tcPr>
          <w:p w14:paraId="3F7D8BC6"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257/295</w:t>
            </w:r>
          </w:p>
          <w:p w14:paraId="4E680704"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(87,1 %)</w:t>
            </w:r>
          </w:p>
        </w:tc>
        <w:tc>
          <w:tcPr>
            <w:tcW w:w="540" w:type="pct"/>
            <w:tcBorders>
              <w:top w:val="single" w:sz="4" w:space="0" w:color="000000"/>
              <w:left w:val="single" w:sz="4" w:space="0" w:color="000000"/>
              <w:bottom w:val="single" w:sz="4" w:space="0" w:color="000000"/>
              <w:right w:val="single" w:sz="4" w:space="0" w:color="000000"/>
            </w:tcBorders>
          </w:tcPr>
          <w:p w14:paraId="07E2075D"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250/280</w:t>
            </w:r>
          </w:p>
          <w:p w14:paraId="05412546"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(89,3 %)</w:t>
            </w:r>
          </w:p>
        </w:tc>
        <w:tc>
          <w:tcPr>
            <w:tcW w:w="573" w:type="pct"/>
            <w:tcBorders>
              <w:top w:val="single" w:sz="4" w:space="0" w:color="000000"/>
              <w:left w:val="single" w:sz="4" w:space="0" w:color="000000"/>
              <w:bottom w:val="single" w:sz="4" w:space="0" w:color="000000"/>
              <w:right w:val="single" w:sz="4" w:space="0" w:color="000000"/>
            </w:tcBorders>
          </w:tcPr>
          <w:p w14:paraId="2F3FA188" w14:textId="77777777" w:rsidR="00342622" w:rsidRPr="00907D70" w:rsidRDefault="00342622" w:rsidP="0084240B">
            <w:pPr>
              <w:autoSpaceDE w:val="0"/>
              <w:autoSpaceDN w:val="0"/>
              <w:adjustRightInd w:val="0"/>
              <w:spacing w:after="0" w:line="240" w:lineRule="auto"/>
              <w:ind w:left="8" w:right="315"/>
              <w:jc w:val="center"/>
              <w:rPr>
                <w:rFonts w:ascii="Times New Roman" w:eastAsia="Times New Roman" w:hAnsi="Times New Roman"/>
                <w:spacing w:val="1"/>
              </w:rPr>
            </w:pPr>
            <w:r w:rsidRPr="00907D70">
              <w:rPr>
                <w:rFonts w:ascii="Times New Roman" w:eastAsia="Times New Roman" w:hAnsi="Times New Roman"/>
                <w:spacing w:val="1"/>
              </w:rPr>
              <w:t>-2,2 %</w:t>
            </w:r>
          </w:p>
          <w:p w14:paraId="3724B39A" w14:textId="77777777" w:rsidR="00342622" w:rsidRPr="00907D70" w:rsidRDefault="00342622" w:rsidP="0084240B">
            <w:pPr>
              <w:autoSpaceDE w:val="0"/>
              <w:autoSpaceDN w:val="0"/>
              <w:adjustRightInd w:val="0"/>
              <w:spacing w:after="0" w:line="240" w:lineRule="auto"/>
              <w:ind w:left="8" w:right="140"/>
              <w:jc w:val="center"/>
              <w:rPr>
                <w:rFonts w:ascii="Times New Roman" w:eastAsia="Times New Roman" w:hAnsi="Times New Roman"/>
                <w:spacing w:val="1"/>
              </w:rPr>
            </w:pPr>
            <w:r w:rsidRPr="00907D70">
              <w:rPr>
                <w:rFonts w:ascii="Times New Roman" w:eastAsia="Times New Roman" w:hAnsi="Times New Roman"/>
                <w:spacing w:val="1"/>
              </w:rPr>
              <w:t>[-7,4, 3,1]</w:t>
            </w:r>
          </w:p>
        </w:tc>
        <w:tc>
          <w:tcPr>
            <w:tcW w:w="402" w:type="pct"/>
            <w:tcBorders>
              <w:top w:val="single" w:sz="4" w:space="0" w:color="000000"/>
              <w:left w:val="single" w:sz="4" w:space="0" w:color="000000"/>
              <w:bottom w:val="single" w:sz="4" w:space="0" w:color="000000"/>
              <w:right w:val="single" w:sz="4" w:space="0" w:color="000000"/>
            </w:tcBorders>
          </w:tcPr>
          <w:p w14:paraId="160AE294"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216/247</w:t>
            </w:r>
          </w:p>
          <w:p w14:paraId="3AA3141E"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(87,4 %)</w:t>
            </w:r>
          </w:p>
        </w:tc>
        <w:tc>
          <w:tcPr>
            <w:tcW w:w="402" w:type="pct"/>
            <w:tcBorders>
              <w:top w:val="single" w:sz="4" w:space="0" w:color="000000"/>
              <w:left w:val="single" w:sz="4" w:space="0" w:color="000000"/>
              <w:bottom w:val="single" w:sz="4" w:space="0" w:color="000000"/>
              <w:right w:val="single" w:sz="4" w:space="0" w:color="000000"/>
            </w:tcBorders>
          </w:tcPr>
          <w:p w14:paraId="1D47A043"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229/248</w:t>
            </w:r>
          </w:p>
          <w:p w14:paraId="5FDBEA41"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(92,3 %)</w:t>
            </w:r>
          </w:p>
        </w:tc>
        <w:tc>
          <w:tcPr>
            <w:tcW w:w="726" w:type="pct"/>
            <w:tcBorders>
              <w:top w:val="single" w:sz="4" w:space="0" w:color="000000"/>
              <w:left w:val="single" w:sz="4" w:space="0" w:color="000000"/>
              <w:bottom w:val="single" w:sz="4" w:space="0" w:color="000000"/>
              <w:right w:val="single" w:sz="4" w:space="0" w:color="000000"/>
            </w:tcBorders>
          </w:tcPr>
          <w:p w14:paraId="12B69722" w14:textId="77777777" w:rsidR="00342622" w:rsidRPr="00907D70" w:rsidRDefault="00342622" w:rsidP="0084240B">
            <w:pPr>
              <w:autoSpaceDE w:val="0"/>
              <w:autoSpaceDN w:val="0"/>
              <w:adjustRightInd w:val="0"/>
              <w:spacing w:after="0" w:line="240" w:lineRule="auto"/>
              <w:ind w:left="8" w:right="337"/>
              <w:jc w:val="center"/>
              <w:rPr>
                <w:rFonts w:ascii="Times New Roman" w:eastAsia="Times New Roman" w:hAnsi="Times New Roman"/>
                <w:spacing w:val="1"/>
              </w:rPr>
            </w:pPr>
            <w:r w:rsidRPr="00907D70">
              <w:rPr>
                <w:rFonts w:ascii="Times New Roman" w:eastAsia="Times New Roman" w:hAnsi="Times New Roman"/>
                <w:spacing w:val="1"/>
              </w:rPr>
              <w:t>-4,9 %</w:t>
            </w:r>
          </w:p>
          <w:p w14:paraId="01D0ACD3" w14:textId="77777777" w:rsidR="00342622" w:rsidRPr="00907D70" w:rsidRDefault="00342622" w:rsidP="0084240B">
            <w:pPr>
              <w:autoSpaceDE w:val="0"/>
              <w:autoSpaceDN w:val="0"/>
              <w:adjustRightInd w:val="0"/>
              <w:spacing w:after="0" w:line="240" w:lineRule="auto"/>
              <w:ind w:left="8" w:right="108"/>
              <w:jc w:val="center"/>
              <w:rPr>
                <w:rFonts w:ascii="Times New Roman" w:eastAsia="Times New Roman" w:hAnsi="Times New Roman"/>
                <w:spacing w:val="1"/>
              </w:rPr>
            </w:pPr>
            <w:r w:rsidRPr="00907D70">
              <w:rPr>
                <w:rFonts w:ascii="Times New Roman" w:eastAsia="Times New Roman" w:hAnsi="Times New Roman"/>
                <w:spacing w:val="1"/>
              </w:rPr>
              <w:t>[-10,2, 0,4]</w:t>
            </w:r>
          </w:p>
        </w:tc>
      </w:tr>
      <w:tr w:rsidR="00342622" w:rsidRPr="00907D70" w14:paraId="40BBFFA5" w14:textId="77777777" w:rsidTr="00160402">
        <w:trPr>
          <w:trHeight w:val="20"/>
        </w:trPr>
        <w:tc>
          <w:tcPr>
            <w:tcW w:w="1875" w:type="pct"/>
            <w:tcBorders>
              <w:top w:val="single" w:sz="4" w:space="0" w:color="000000"/>
              <w:left w:val="single" w:sz="4" w:space="0" w:color="000000"/>
              <w:bottom w:val="single" w:sz="4" w:space="0" w:color="000000"/>
              <w:right w:val="single" w:sz="4" w:space="0" w:color="000000"/>
            </w:tcBorders>
          </w:tcPr>
          <w:p w14:paraId="5FFF2495" w14:textId="77777777" w:rsidR="00342622" w:rsidRPr="00907D70" w:rsidRDefault="00342622" w:rsidP="0084240B">
            <w:pPr>
              <w:autoSpaceDE w:val="0"/>
              <w:autoSpaceDN w:val="0"/>
              <w:adjustRightInd w:val="0"/>
              <w:spacing w:after="0" w:line="240" w:lineRule="auto"/>
              <w:ind w:left="8" w:right="96"/>
              <w:rPr>
                <w:rFonts w:ascii="Times New Roman" w:eastAsia="Times New Roman" w:hAnsi="Times New Roman"/>
                <w:u w:val="single"/>
              </w:rPr>
            </w:pPr>
            <w:r w:rsidRPr="00907D70">
              <w:rPr>
                <w:rFonts w:ascii="Times New Roman" w:eastAsia="Times New Roman" w:hAnsi="Times New Roman"/>
              </w:rPr>
              <w:t>Vidutinis CD4+ T-ląstelių skaičiaus padidėjimas nuo tyrimo pradžios (ląstelių/mm</w:t>
            </w:r>
            <w:r w:rsidRPr="00907D70">
              <w:rPr>
                <w:rFonts w:ascii="Times New Roman" w:eastAsia="Times New Roman" w:hAnsi="Times New Roman"/>
                <w:spacing w:val="1"/>
                <w:vertAlign w:val="superscript"/>
              </w:rPr>
              <w:t>3</w:t>
            </w:r>
            <w:r w:rsidRPr="00907D70">
              <w:rPr>
                <w:rFonts w:ascii="Times New Roman" w:eastAsia="Times New Roman" w:hAnsi="Times New Roman"/>
              </w:rPr>
              <w:t>)</w:t>
            </w:r>
          </w:p>
        </w:tc>
        <w:tc>
          <w:tcPr>
            <w:tcW w:w="482" w:type="pct"/>
            <w:tcBorders>
              <w:top w:val="single" w:sz="4" w:space="0" w:color="000000"/>
              <w:left w:val="single" w:sz="4" w:space="0" w:color="000000"/>
              <w:bottom w:val="single" w:sz="4" w:space="0" w:color="000000"/>
              <w:right w:val="single" w:sz="4" w:space="0" w:color="000000"/>
            </w:tcBorders>
          </w:tcPr>
          <w:p w14:paraId="5A2B44F7"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186</w:t>
            </w:r>
          </w:p>
        </w:tc>
        <w:tc>
          <w:tcPr>
            <w:tcW w:w="540" w:type="pct"/>
            <w:tcBorders>
              <w:top w:val="single" w:sz="4" w:space="0" w:color="000000"/>
              <w:left w:val="single" w:sz="4" w:space="0" w:color="000000"/>
              <w:bottom w:val="single" w:sz="4" w:space="0" w:color="000000"/>
              <w:right w:val="single" w:sz="4" w:space="0" w:color="000000"/>
            </w:tcBorders>
          </w:tcPr>
          <w:p w14:paraId="49019398"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198</w:t>
            </w:r>
          </w:p>
        </w:tc>
        <w:tc>
          <w:tcPr>
            <w:tcW w:w="573" w:type="pct"/>
            <w:tcBorders>
              <w:top w:val="single" w:sz="4" w:space="0" w:color="000000"/>
              <w:left w:val="single" w:sz="4" w:space="0" w:color="000000"/>
              <w:bottom w:val="single" w:sz="4" w:space="0" w:color="000000"/>
              <w:right w:val="single" w:sz="4" w:space="0" w:color="000000"/>
            </w:tcBorders>
          </w:tcPr>
          <w:p w14:paraId="5C87FC38" w14:textId="77777777" w:rsidR="00342622" w:rsidRPr="00907D70" w:rsidRDefault="00342622" w:rsidP="0084240B">
            <w:pPr>
              <w:autoSpaceDE w:val="0"/>
              <w:autoSpaceDN w:val="0"/>
              <w:adjustRightInd w:val="0"/>
              <w:spacing w:after="0" w:line="240" w:lineRule="auto"/>
              <w:ind w:left="8"/>
              <w:jc w:val="center"/>
              <w:rPr>
                <w:rFonts w:ascii="Times New Roman" w:eastAsia="Times New Roman" w:hAnsi="Times New Roman"/>
                <w:spacing w:val="1"/>
              </w:rPr>
            </w:pPr>
          </w:p>
        </w:tc>
        <w:tc>
          <w:tcPr>
            <w:tcW w:w="402" w:type="pct"/>
            <w:tcBorders>
              <w:top w:val="single" w:sz="4" w:space="0" w:color="000000"/>
              <w:left w:val="single" w:sz="4" w:space="0" w:color="000000"/>
              <w:bottom w:val="single" w:sz="4" w:space="0" w:color="000000"/>
              <w:right w:val="single" w:sz="4" w:space="0" w:color="000000"/>
            </w:tcBorders>
          </w:tcPr>
          <w:p w14:paraId="67E3CD8D"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238</w:t>
            </w:r>
          </w:p>
        </w:tc>
        <w:tc>
          <w:tcPr>
            <w:tcW w:w="402" w:type="pct"/>
            <w:tcBorders>
              <w:top w:val="single" w:sz="4" w:space="0" w:color="000000"/>
              <w:left w:val="single" w:sz="4" w:space="0" w:color="000000"/>
              <w:bottom w:val="single" w:sz="4" w:space="0" w:color="000000"/>
              <w:right w:val="single" w:sz="4" w:space="0" w:color="000000"/>
            </w:tcBorders>
          </w:tcPr>
          <w:p w14:paraId="295198EE"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spacing w:val="1"/>
              </w:rPr>
            </w:pPr>
            <w:r w:rsidRPr="00907D70">
              <w:rPr>
                <w:rFonts w:ascii="Times New Roman" w:eastAsia="Times New Roman" w:hAnsi="Times New Roman"/>
                <w:spacing w:val="1"/>
              </w:rPr>
              <w:t>254</w:t>
            </w:r>
          </w:p>
        </w:tc>
        <w:tc>
          <w:tcPr>
            <w:tcW w:w="726" w:type="pct"/>
            <w:tcBorders>
              <w:top w:val="single" w:sz="4" w:space="0" w:color="000000"/>
              <w:left w:val="single" w:sz="4" w:space="0" w:color="000000"/>
              <w:bottom w:val="single" w:sz="4" w:space="0" w:color="000000"/>
              <w:right w:val="single" w:sz="4" w:space="0" w:color="000000"/>
            </w:tcBorders>
          </w:tcPr>
          <w:p w14:paraId="3A649BDB" w14:textId="77777777" w:rsidR="00342622" w:rsidRPr="00907D70" w:rsidRDefault="00342622" w:rsidP="0084240B">
            <w:pPr>
              <w:autoSpaceDE w:val="0"/>
              <w:autoSpaceDN w:val="0"/>
              <w:adjustRightInd w:val="0"/>
              <w:spacing w:after="0" w:line="240" w:lineRule="auto"/>
              <w:ind w:left="8"/>
              <w:jc w:val="center"/>
              <w:rPr>
                <w:rFonts w:ascii="Times New Roman" w:eastAsia="Times New Roman" w:hAnsi="Times New Roman"/>
                <w:spacing w:val="1"/>
              </w:rPr>
            </w:pPr>
          </w:p>
        </w:tc>
      </w:tr>
    </w:tbl>
    <w:p w14:paraId="074B23AD"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8A4694E"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Per 96 savaites buvo galima atlikti genotipo tyrimus 25 pacientams iš QD grupės ir 26 iš BID grupės, kurių virusologinis atsakas buvo nepakankamas. QD grupėje nebuvo nustatyta atsparumo lopinavirui, o BID grupėje 1 pacientui, kuriam buvo reikšmingas atsparumas proteazių inhibitoriui prieš tyrimą, tyrimo metu nustatytas papildomas atsparumas ir lopinavirui.</w:t>
      </w:r>
    </w:p>
    <w:p w14:paraId="0668BDCA" w14:textId="77777777" w:rsidR="00342622" w:rsidRPr="00907D70" w:rsidRDefault="00342622" w:rsidP="00342622">
      <w:pPr>
        <w:tabs>
          <w:tab w:val="left" w:pos="567"/>
        </w:tabs>
        <w:spacing w:after="0" w:line="240" w:lineRule="auto"/>
        <w:rPr>
          <w:rFonts w:ascii="Times New Roman" w:eastAsia="Times New Roman" w:hAnsi="Times New Roman"/>
          <w:bCs/>
        </w:rPr>
      </w:pPr>
    </w:p>
    <w:p w14:paraId="7B45A9CC"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Išliekantis virusologinis atsakas į lopinaviro / ritonaviro derinį (kartu su nukleozidiniais/nukleotidiniais atvirkštinės transkriptazės inhibitoriais) taip pat pastebėtas nedidelės apimties II fazės 360 savaičių tyrimo (M97-720) metu. Atliekant tyrimą, šimtas pacientų nuo pradžios buvo gydomi lopinaviro / ritonaviro deriniu (įskaitant 51 pacientą, vartojusį po 400/100 mg du kartus per parą ir 49 pacientus, kurie vartojo po 200/100 mg du kartus per parą arba po 400/200 mg du kartus per parą). Visiems pacientams lopinaviro / ritonaviro derinio tyrimą pakeitus į atvirąjį, dozė pakeista į 400/100 mg, du kartus per parą, nuo 48 iki 72 savaitės. Trisdešimt devyni (39 %) pacientai nutraukė tyrimą, įskaitant 16 (16 %), kurie pasitraukė iš tyrimo dėl pašalinių reiškinių, iš jų vienas buvo susijęs su mirtina išeitimi. Šešiasdešimt vienas pacientas užbaigė tyrimą (per visą tyrimo laikotarpį 35 pacientai vartojo rekomenduojamą 400/100 mg dozę du kartus per parą).</w:t>
      </w:r>
    </w:p>
    <w:p w14:paraId="3A8FF8E3" w14:textId="77777777" w:rsidR="00342622" w:rsidRPr="00907D70" w:rsidRDefault="00342622" w:rsidP="00342622">
      <w:pPr>
        <w:tabs>
          <w:tab w:val="left" w:pos="567"/>
        </w:tabs>
        <w:spacing w:after="0" w:line="240" w:lineRule="auto"/>
        <w:rPr>
          <w:rFonts w:ascii="Times New Roman" w:eastAsia="Times New Roman" w:hAnsi="Times New Roman"/>
          <w:bCs/>
        </w:rPr>
      </w:pPr>
    </w:p>
    <w:p w14:paraId="404BE705"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3 lentelė</w:t>
      </w:r>
    </w:p>
    <w:p w14:paraId="3AEA7A64" w14:textId="77777777" w:rsidR="00342622" w:rsidRPr="00907D70" w:rsidRDefault="00342622" w:rsidP="00342622">
      <w:pPr>
        <w:tabs>
          <w:tab w:val="left" w:pos="567"/>
        </w:tabs>
        <w:spacing w:after="0" w:line="240" w:lineRule="auto"/>
        <w:rPr>
          <w:rFonts w:ascii="Times New Roman" w:eastAsia="Times New Roman" w:hAnsi="Times New Roman"/>
          <w:bCs/>
        </w:rPr>
      </w:pPr>
    </w:p>
    <w:tbl>
      <w:tblPr>
        <w:tblW w:w="0" w:type="auto"/>
        <w:tblInd w:w="289" w:type="dxa"/>
        <w:tblLayout w:type="fixed"/>
        <w:tblCellMar>
          <w:left w:w="0" w:type="dxa"/>
          <w:right w:w="0" w:type="dxa"/>
        </w:tblCellMar>
        <w:tblLook w:val="0000" w:firstRow="0" w:lastRow="0" w:firstColumn="0" w:lastColumn="0" w:noHBand="0" w:noVBand="0"/>
      </w:tblPr>
      <w:tblGrid>
        <w:gridCol w:w="6184"/>
        <w:gridCol w:w="2463"/>
      </w:tblGrid>
      <w:tr w:rsidR="00342622" w:rsidRPr="00907D70" w14:paraId="2706271B" w14:textId="77777777" w:rsidTr="00160402">
        <w:trPr>
          <w:trHeight w:hRule="exact" w:val="503"/>
        </w:trPr>
        <w:tc>
          <w:tcPr>
            <w:tcW w:w="8647" w:type="dxa"/>
            <w:gridSpan w:val="2"/>
            <w:tcBorders>
              <w:top w:val="single" w:sz="4" w:space="0" w:color="000000"/>
              <w:left w:val="single" w:sz="4" w:space="0" w:color="000000"/>
              <w:bottom w:val="single" w:sz="4" w:space="0" w:color="000000"/>
              <w:right w:val="single" w:sz="4" w:space="0" w:color="000000"/>
            </w:tcBorders>
          </w:tcPr>
          <w:p w14:paraId="5066246C" w14:textId="77777777" w:rsidR="00342622" w:rsidRPr="00907D70" w:rsidRDefault="00342622" w:rsidP="0084240B">
            <w:pPr>
              <w:autoSpaceDE w:val="0"/>
              <w:autoSpaceDN w:val="0"/>
              <w:adjustRightInd w:val="0"/>
              <w:spacing w:before="8" w:after="0" w:line="110" w:lineRule="exact"/>
              <w:ind w:left="8"/>
              <w:rPr>
                <w:rFonts w:ascii="Times New Roman" w:eastAsia="Times New Roman" w:hAnsi="Times New Roman"/>
              </w:rPr>
            </w:pPr>
          </w:p>
          <w:p w14:paraId="799011C2"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rPr>
            </w:pPr>
            <w:r w:rsidRPr="00907D70">
              <w:rPr>
                <w:rFonts w:ascii="Times New Roman" w:eastAsia="Times New Roman" w:hAnsi="Times New Roman"/>
                <w:b/>
                <w:bCs/>
              </w:rPr>
              <w:t>M97-720 tyrimo rezultatai 360-ąją savaitę</w:t>
            </w:r>
          </w:p>
        </w:tc>
      </w:tr>
      <w:tr w:rsidR="00342622" w:rsidRPr="00907D70" w14:paraId="53F61162" w14:textId="77777777" w:rsidTr="00160402">
        <w:trPr>
          <w:trHeight w:hRule="exact" w:val="490"/>
        </w:trPr>
        <w:tc>
          <w:tcPr>
            <w:tcW w:w="6184" w:type="dxa"/>
            <w:tcBorders>
              <w:top w:val="single" w:sz="4" w:space="0" w:color="000000"/>
              <w:left w:val="single" w:sz="4" w:space="0" w:color="000000"/>
              <w:bottom w:val="single" w:sz="4" w:space="0" w:color="000000"/>
              <w:right w:val="single" w:sz="4" w:space="0" w:color="000000"/>
            </w:tcBorders>
          </w:tcPr>
          <w:p w14:paraId="3216F261"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rPr>
            </w:pPr>
          </w:p>
        </w:tc>
        <w:tc>
          <w:tcPr>
            <w:tcW w:w="2463" w:type="dxa"/>
            <w:tcBorders>
              <w:top w:val="single" w:sz="4" w:space="0" w:color="000000"/>
              <w:left w:val="single" w:sz="4" w:space="0" w:color="000000"/>
              <w:bottom w:val="single" w:sz="4" w:space="0" w:color="000000"/>
              <w:right w:val="single" w:sz="4" w:space="0" w:color="000000"/>
            </w:tcBorders>
          </w:tcPr>
          <w:p w14:paraId="355D363A"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b/>
              </w:rPr>
            </w:pPr>
            <w:r w:rsidRPr="00907D70">
              <w:rPr>
                <w:rFonts w:ascii="Times New Roman" w:eastAsia="Times New Roman" w:hAnsi="Times New Roman"/>
                <w:b/>
              </w:rPr>
              <w:t>Lopinaviro / ritonaviro derinys</w:t>
            </w:r>
            <w:r w:rsidRPr="00907D70">
              <w:rPr>
                <w:rFonts w:ascii="Times New Roman" w:eastAsia="Times New Roman" w:hAnsi="Times New Roman"/>
                <w:b/>
                <w:bCs/>
                <w:spacing w:val="-6"/>
              </w:rPr>
              <w:t xml:space="preserve"> </w:t>
            </w:r>
            <w:r w:rsidRPr="00907D70">
              <w:rPr>
                <w:rFonts w:ascii="Times New Roman" w:eastAsia="Times New Roman" w:hAnsi="Times New Roman"/>
                <w:b/>
                <w:bCs/>
              </w:rPr>
              <w:t>(N</w:t>
            </w:r>
            <w:r w:rsidRPr="00907D70">
              <w:rPr>
                <w:rFonts w:ascii="Times New Roman" w:eastAsia="Times New Roman" w:hAnsi="Times New Roman"/>
                <w:b/>
                <w:bCs/>
                <w:spacing w:val="1"/>
              </w:rPr>
              <w:t>=100)</w:t>
            </w:r>
          </w:p>
        </w:tc>
      </w:tr>
      <w:tr w:rsidR="00342622" w:rsidRPr="00907D70" w14:paraId="6262B07B" w14:textId="77777777" w:rsidTr="00160402">
        <w:trPr>
          <w:trHeight w:hRule="exact" w:val="263"/>
        </w:trPr>
        <w:tc>
          <w:tcPr>
            <w:tcW w:w="6184" w:type="dxa"/>
            <w:tcBorders>
              <w:top w:val="single" w:sz="4" w:space="0" w:color="000000"/>
              <w:left w:val="single" w:sz="4" w:space="0" w:color="000000"/>
              <w:bottom w:val="single" w:sz="4" w:space="0" w:color="000000"/>
              <w:right w:val="single" w:sz="4" w:space="0" w:color="000000"/>
            </w:tcBorders>
          </w:tcPr>
          <w:p w14:paraId="2205ACED"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spacing w:val="1"/>
              </w:rPr>
            </w:pPr>
            <w:r w:rsidRPr="00907D70">
              <w:rPr>
                <w:rFonts w:ascii="Times New Roman" w:eastAsia="Times New Roman" w:hAnsi="Times New Roman"/>
                <w:spacing w:val="1"/>
              </w:rPr>
              <w:t>ŽIV RNR &lt; 400 kopijų/ml</w:t>
            </w:r>
          </w:p>
        </w:tc>
        <w:tc>
          <w:tcPr>
            <w:tcW w:w="2463" w:type="dxa"/>
            <w:tcBorders>
              <w:top w:val="single" w:sz="4" w:space="0" w:color="000000"/>
              <w:left w:val="single" w:sz="4" w:space="0" w:color="000000"/>
              <w:bottom w:val="single" w:sz="4" w:space="0" w:color="000000"/>
              <w:right w:val="single" w:sz="4" w:space="0" w:color="000000"/>
            </w:tcBorders>
          </w:tcPr>
          <w:p w14:paraId="4EC7CF25" w14:textId="77777777" w:rsidR="00342622" w:rsidRPr="00907D70" w:rsidRDefault="00342622" w:rsidP="0084240B">
            <w:pPr>
              <w:autoSpaceDE w:val="0"/>
              <w:autoSpaceDN w:val="0"/>
              <w:adjustRightInd w:val="0"/>
              <w:spacing w:after="0" w:line="251" w:lineRule="exact"/>
              <w:ind w:left="8" w:right="815"/>
              <w:jc w:val="center"/>
              <w:rPr>
                <w:rFonts w:ascii="Times New Roman" w:eastAsia="Times New Roman" w:hAnsi="Times New Roman"/>
                <w:spacing w:val="1"/>
              </w:rPr>
            </w:pPr>
            <w:r w:rsidRPr="00907D70">
              <w:rPr>
                <w:rFonts w:ascii="Times New Roman" w:eastAsia="Times New Roman" w:hAnsi="Times New Roman"/>
                <w:spacing w:val="1"/>
              </w:rPr>
              <w:t>61 %</w:t>
            </w:r>
          </w:p>
        </w:tc>
      </w:tr>
      <w:tr w:rsidR="00342622" w:rsidRPr="00907D70" w14:paraId="55B3A680" w14:textId="77777777" w:rsidTr="00160402">
        <w:trPr>
          <w:trHeight w:hRule="exact" w:val="263"/>
        </w:trPr>
        <w:tc>
          <w:tcPr>
            <w:tcW w:w="6184" w:type="dxa"/>
            <w:tcBorders>
              <w:top w:val="single" w:sz="4" w:space="0" w:color="000000"/>
              <w:left w:val="single" w:sz="4" w:space="0" w:color="000000"/>
              <w:bottom w:val="single" w:sz="4" w:space="0" w:color="000000"/>
              <w:right w:val="single" w:sz="4" w:space="0" w:color="000000"/>
            </w:tcBorders>
          </w:tcPr>
          <w:p w14:paraId="7F194A0D"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spacing w:val="1"/>
              </w:rPr>
            </w:pPr>
            <w:r w:rsidRPr="00907D70">
              <w:rPr>
                <w:rFonts w:ascii="Times New Roman" w:eastAsia="Times New Roman" w:hAnsi="Times New Roman"/>
                <w:spacing w:val="1"/>
              </w:rPr>
              <w:t>ŽIV RNR &lt; 50 kopijų/ml</w:t>
            </w:r>
          </w:p>
        </w:tc>
        <w:tc>
          <w:tcPr>
            <w:tcW w:w="2463" w:type="dxa"/>
            <w:tcBorders>
              <w:top w:val="single" w:sz="4" w:space="0" w:color="000000"/>
              <w:left w:val="single" w:sz="4" w:space="0" w:color="000000"/>
              <w:bottom w:val="single" w:sz="4" w:space="0" w:color="000000"/>
              <w:right w:val="single" w:sz="4" w:space="0" w:color="000000"/>
            </w:tcBorders>
          </w:tcPr>
          <w:p w14:paraId="083AE018" w14:textId="77777777" w:rsidR="00342622" w:rsidRPr="00907D70" w:rsidRDefault="00342622" w:rsidP="0084240B">
            <w:pPr>
              <w:autoSpaceDE w:val="0"/>
              <w:autoSpaceDN w:val="0"/>
              <w:adjustRightInd w:val="0"/>
              <w:spacing w:after="0" w:line="251" w:lineRule="exact"/>
              <w:ind w:left="8" w:right="815"/>
              <w:jc w:val="center"/>
              <w:rPr>
                <w:rFonts w:ascii="Times New Roman" w:eastAsia="Times New Roman" w:hAnsi="Times New Roman"/>
                <w:spacing w:val="1"/>
              </w:rPr>
            </w:pPr>
            <w:r w:rsidRPr="00907D70">
              <w:rPr>
                <w:rFonts w:ascii="Times New Roman" w:eastAsia="Times New Roman" w:hAnsi="Times New Roman"/>
                <w:spacing w:val="1"/>
              </w:rPr>
              <w:t>59 %</w:t>
            </w:r>
          </w:p>
        </w:tc>
      </w:tr>
      <w:tr w:rsidR="00342622" w:rsidRPr="00907D70" w14:paraId="2BC4D92B" w14:textId="77777777" w:rsidTr="00160402">
        <w:trPr>
          <w:trHeight w:hRule="exact" w:val="529"/>
        </w:trPr>
        <w:tc>
          <w:tcPr>
            <w:tcW w:w="6184" w:type="dxa"/>
            <w:tcBorders>
              <w:top w:val="single" w:sz="4" w:space="0" w:color="000000"/>
              <w:left w:val="single" w:sz="4" w:space="0" w:color="000000"/>
              <w:bottom w:val="single" w:sz="4" w:space="0" w:color="000000"/>
              <w:right w:val="single" w:sz="4" w:space="0" w:color="000000"/>
            </w:tcBorders>
          </w:tcPr>
          <w:p w14:paraId="680755AA" w14:textId="77777777" w:rsidR="00342622" w:rsidRPr="00907D70" w:rsidRDefault="00342622" w:rsidP="0084240B">
            <w:pPr>
              <w:autoSpaceDE w:val="0"/>
              <w:autoSpaceDN w:val="0"/>
              <w:adjustRightInd w:val="0"/>
              <w:spacing w:after="0" w:line="251" w:lineRule="exact"/>
              <w:ind w:left="8" w:right="-20"/>
              <w:rPr>
                <w:rFonts w:ascii="Times New Roman" w:eastAsia="Times New Roman" w:hAnsi="Times New Roman"/>
                <w:spacing w:val="1"/>
              </w:rPr>
            </w:pPr>
            <w:r w:rsidRPr="00907D70">
              <w:rPr>
                <w:rFonts w:ascii="Times New Roman" w:eastAsia="Times New Roman" w:hAnsi="Times New Roman"/>
                <w:spacing w:val="1"/>
              </w:rPr>
              <w:t>CD4+T-ląstelių skaičiaus vidutinis padidėjimas nuo tyrimo pradžios (ląstelių/mm</w:t>
            </w:r>
            <w:r w:rsidRPr="00907D70">
              <w:rPr>
                <w:rFonts w:ascii="Times New Roman" w:eastAsia="Times New Roman" w:hAnsi="Times New Roman"/>
                <w:spacing w:val="1"/>
                <w:vertAlign w:val="superscript"/>
              </w:rPr>
              <w:t>3</w:t>
            </w:r>
            <w:r w:rsidRPr="00907D70">
              <w:rPr>
                <w:rFonts w:ascii="Times New Roman" w:eastAsia="Times New Roman" w:hAnsi="Times New Roman"/>
                <w:spacing w:val="1"/>
              </w:rPr>
              <w:t>)</w:t>
            </w:r>
          </w:p>
        </w:tc>
        <w:tc>
          <w:tcPr>
            <w:tcW w:w="2463" w:type="dxa"/>
            <w:tcBorders>
              <w:top w:val="single" w:sz="4" w:space="0" w:color="000000"/>
              <w:left w:val="single" w:sz="4" w:space="0" w:color="000000"/>
              <w:bottom w:val="single" w:sz="4" w:space="0" w:color="000000"/>
              <w:right w:val="single" w:sz="4" w:space="0" w:color="000000"/>
            </w:tcBorders>
          </w:tcPr>
          <w:p w14:paraId="7C6E3A70" w14:textId="77777777" w:rsidR="00342622" w:rsidRPr="00907D70" w:rsidRDefault="00342622" w:rsidP="0084240B">
            <w:pPr>
              <w:autoSpaceDE w:val="0"/>
              <w:autoSpaceDN w:val="0"/>
              <w:adjustRightInd w:val="0"/>
              <w:spacing w:after="0" w:line="251" w:lineRule="exact"/>
              <w:ind w:left="8" w:right="849"/>
              <w:jc w:val="center"/>
              <w:rPr>
                <w:rFonts w:ascii="Times New Roman" w:eastAsia="Times New Roman" w:hAnsi="Times New Roman"/>
                <w:spacing w:val="1"/>
              </w:rPr>
            </w:pPr>
            <w:r w:rsidRPr="00907D70">
              <w:rPr>
                <w:rFonts w:ascii="Times New Roman" w:eastAsia="Times New Roman" w:hAnsi="Times New Roman"/>
                <w:spacing w:val="1"/>
              </w:rPr>
              <w:t>501</w:t>
            </w:r>
          </w:p>
        </w:tc>
      </w:tr>
    </w:tbl>
    <w:p w14:paraId="39CC117A"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4C73A67"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Per 360 gydymo savaites genotipinė virusų izoliatų analizė sėkmingai atlikta 19 iš 28 pacientų, kurių ŽIV RNR buvo daugiau nei 400 kopijų/ml, ir tyrimas parodė, kad pirminių ar aktyvių proteazių mutacijų (aminorūgščių 8, 30, 32, 46, 47, 48, 50, 82, 84 ir 90 pozicijose) arba proteazių inhibitorių fenotipinio atsparumo nėra.</w:t>
      </w:r>
    </w:p>
    <w:p w14:paraId="4A186D64" w14:textId="77777777" w:rsidR="00342622" w:rsidRPr="00907D70" w:rsidRDefault="00342622" w:rsidP="00342622">
      <w:pPr>
        <w:tabs>
          <w:tab w:val="left" w:pos="567"/>
        </w:tabs>
        <w:spacing w:after="0" w:line="240" w:lineRule="auto"/>
        <w:rPr>
          <w:rFonts w:ascii="Times New Roman" w:eastAsia="Times New Roman" w:hAnsi="Times New Roman"/>
          <w:bCs/>
        </w:rPr>
      </w:pPr>
    </w:p>
    <w:p w14:paraId="2629655A"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u w:val="single"/>
        </w:rPr>
        <w:t>Pacientai, kuriems anksčiau taikytas antiretrovirusinis gydymas</w:t>
      </w:r>
    </w:p>
    <w:p w14:paraId="1D22073D"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M06-802 buvo atviras tyrimas, atliktas atsitiktinės atrankos metodu. Jo metu 599 pacientams, kuriems yra nustatyta virusų apkrova ir taikomas antivirusinis gydymas, buvo palygintas lopinaviro/ritonaviro derinio tablečių dozės skyrimo du kartus per parą ir kartą per parą saugumas, toleravimas ir antivirusinis aktyvumas. Pacientams anksčiau nebuvo taikytas gydymas lopinaviro / ritonaviro deriniu. Jie buvo suskirstyti atsitiktinės atrankos metodu santykiu 1:1 ir vartojo arba lopinaviro / ritonaviro 800/200 mg derinio vieną kartą per parą (n= 300), arba lopinaviro / ritonaviro 400/100 mg derinio du kartus per parą (n= 299). Pacientams buvo paskirti bent du nukleozidų/nukleotidų atvirkštinės transkriptazės inhibitoriai, kuriuos parinko tyrėjas. Daugiau negu pusė į tyrimą įtrauktų pacientų niekada nebuvo vartoję proteazių inhibitorių (PI) ir apie 80 % pacientų turėjo virusus su mažiau nei 3 PI mutacijomis. Vidutinis į tyrimą įtrauktų pacientų amžius buvo 41 metai (svyravimas tarp 21 ir 73); 51 % baltaodžių ir 66 % vyrų. Pradinė CD4+ vertė buvo 254 ląstelių/mm</w:t>
      </w:r>
      <w:r w:rsidRPr="00907D70">
        <w:rPr>
          <w:rFonts w:ascii="Times New Roman" w:eastAsia="Times New Roman" w:hAnsi="Times New Roman"/>
          <w:bCs/>
          <w:vertAlign w:val="superscript"/>
        </w:rPr>
        <w:t>3</w:t>
      </w:r>
      <w:r w:rsidRPr="00907D70">
        <w:rPr>
          <w:rFonts w:ascii="Times New Roman" w:eastAsia="Times New Roman" w:hAnsi="Times New Roman"/>
          <w:bCs/>
        </w:rPr>
        <w:t xml:space="preserve"> (diapazonas: nuo 4 iki 952 ląstelių/mm</w:t>
      </w:r>
      <w:r w:rsidRPr="00907D70">
        <w:rPr>
          <w:rFonts w:ascii="Times New Roman" w:eastAsia="Times New Roman" w:hAnsi="Times New Roman"/>
          <w:bCs/>
          <w:vertAlign w:val="superscript"/>
        </w:rPr>
        <w:t>3</w:t>
      </w:r>
      <w:r w:rsidRPr="00907D70">
        <w:rPr>
          <w:rFonts w:ascii="Times New Roman" w:eastAsia="Times New Roman" w:hAnsi="Times New Roman"/>
          <w:bCs/>
        </w:rPr>
        <w:t>) ir vidutinė plazmos ŽIV-1 RNR tyrimo pradžioje buvo 4,3 log</w:t>
      </w:r>
      <w:r w:rsidRPr="00907D70">
        <w:rPr>
          <w:rFonts w:ascii="Times New Roman" w:eastAsia="Times New Roman" w:hAnsi="Times New Roman"/>
          <w:bCs/>
          <w:vertAlign w:val="subscript"/>
        </w:rPr>
        <w:t>10</w:t>
      </w:r>
      <w:r w:rsidRPr="00907D70">
        <w:rPr>
          <w:rFonts w:ascii="Times New Roman" w:eastAsia="Times New Roman" w:hAnsi="Times New Roman"/>
          <w:bCs/>
        </w:rPr>
        <w:t xml:space="preserve"> kopijos/ml (diapazonas: nuo 1,7 iki 6,6 log</w:t>
      </w:r>
      <w:r w:rsidRPr="00907D70">
        <w:rPr>
          <w:rFonts w:ascii="Times New Roman" w:eastAsia="Times New Roman" w:hAnsi="Times New Roman"/>
          <w:bCs/>
          <w:vertAlign w:val="subscript"/>
        </w:rPr>
        <w:t>10</w:t>
      </w:r>
      <w:r w:rsidRPr="00907D70">
        <w:rPr>
          <w:rFonts w:ascii="Times New Roman" w:eastAsia="Times New Roman" w:hAnsi="Times New Roman"/>
          <w:bCs/>
        </w:rPr>
        <w:t xml:space="preserve"> kopijų/ml). Apie 85 % pacientų buvo &lt;100000 virusų kopijų/ml.</w:t>
      </w:r>
    </w:p>
    <w:p w14:paraId="3D7C64F6"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839F4E0" w14:textId="77777777" w:rsidR="00342622" w:rsidRPr="00907D70" w:rsidRDefault="00342622" w:rsidP="00342622">
      <w:pPr>
        <w:spacing w:after="200" w:line="276" w:lineRule="auto"/>
        <w:rPr>
          <w:rFonts w:ascii="Times New Roman" w:hAnsi="Times New Roman"/>
        </w:rPr>
      </w:pPr>
      <w:r w:rsidRPr="00907D70">
        <w:rPr>
          <w:rFonts w:ascii="Times New Roman" w:hAnsi="Times New Roman"/>
        </w:rPr>
        <w:t>4 lentelė</w:t>
      </w:r>
    </w:p>
    <w:p w14:paraId="12742878" w14:textId="77777777" w:rsidR="00342622" w:rsidRPr="00907D70" w:rsidRDefault="00342622" w:rsidP="00342622">
      <w:pPr>
        <w:tabs>
          <w:tab w:val="left" w:pos="567"/>
        </w:tabs>
        <w:spacing w:after="0" w:line="240" w:lineRule="auto"/>
        <w:rPr>
          <w:rFonts w:ascii="Times New Roman" w:eastAsia="Times New Roman" w:hAnsi="Times New Roman"/>
          <w:bCs/>
        </w:rPr>
      </w:pPr>
    </w:p>
    <w:tbl>
      <w:tblPr>
        <w:tblW w:w="0" w:type="auto"/>
        <w:tblInd w:w="150" w:type="dxa"/>
        <w:tblCellMar>
          <w:left w:w="0" w:type="dxa"/>
          <w:right w:w="0" w:type="dxa"/>
        </w:tblCellMar>
        <w:tblLook w:val="0000" w:firstRow="0" w:lastRow="0" w:firstColumn="0" w:lastColumn="0" w:noHBand="0" w:noVBand="0"/>
      </w:tblPr>
      <w:tblGrid>
        <w:gridCol w:w="5298"/>
        <w:gridCol w:w="979"/>
        <w:gridCol w:w="924"/>
        <w:gridCol w:w="1703"/>
      </w:tblGrid>
      <w:tr w:rsidR="00342622" w:rsidRPr="00907D70" w14:paraId="541F1401" w14:textId="77777777" w:rsidTr="00160402">
        <w:trPr>
          <w:trHeight w:val="20"/>
        </w:trPr>
        <w:tc>
          <w:tcPr>
            <w:tcW w:w="8936" w:type="dxa"/>
            <w:gridSpan w:val="4"/>
            <w:tcBorders>
              <w:top w:val="single" w:sz="7" w:space="0" w:color="000000"/>
              <w:left w:val="single" w:sz="6" w:space="0" w:color="000000"/>
              <w:bottom w:val="single" w:sz="7" w:space="0" w:color="000000"/>
              <w:right w:val="single" w:sz="6" w:space="0" w:color="000000"/>
            </w:tcBorders>
          </w:tcPr>
          <w:p w14:paraId="0D413713"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b/>
                <w:bCs/>
              </w:rPr>
            </w:pPr>
            <w:r w:rsidRPr="00907D70">
              <w:rPr>
                <w:rFonts w:ascii="Times New Roman" w:eastAsia="Times New Roman" w:hAnsi="Times New Roman"/>
                <w:b/>
                <w:bCs/>
              </w:rPr>
              <w:t>802 tyrimo virusologinis atsakas 48-ąją savaitę</w:t>
            </w:r>
          </w:p>
          <w:p w14:paraId="19EA7F37" w14:textId="77777777" w:rsidR="00342622" w:rsidRPr="00907D70" w:rsidRDefault="00342622" w:rsidP="0084240B">
            <w:pPr>
              <w:autoSpaceDE w:val="0"/>
              <w:autoSpaceDN w:val="0"/>
              <w:adjustRightInd w:val="0"/>
              <w:spacing w:after="0" w:line="240" w:lineRule="auto"/>
              <w:ind w:left="8" w:right="-20"/>
              <w:jc w:val="center"/>
              <w:rPr>
                <w:rFonts w:ascii="Times New Roman" w:eastAsia="Times New Roman" w:hAnsi="Times New Roman"/>
              </w:rPr>
            </w:pPr>
          </w:p>
        </w:tc>
      </w:tr>
      <w:tr w:rsidR="00342622" w:rsidRPr="00907D70" w14:paraId="1DC796BF" w14:textId="77777777" w:rsidTr="00160402">
        <w:trPr>
          <w:trHeight w:val="20"/>
        </w:trPr>
        <w:tc>
          <w:tcPr>
            <w:tcW w:w="5324" w:type="dxa"/>
            <w:tcBorders>
              <w:top w:val="single" w:sz="7" w:space="0" w:color="000000"/>
              <w:left w:val="single" w:sz="6" w:space="0" w:color="000000"/>
              <w:bottom w:val="single" w:sz="7" w:space="0" w:color="000000"/>
              <w:right w:val="single" w:sz="6" w:space="0" w:color="000000"/>
            </w:tcBorders>
          </w:tcPr>
          <w:p w14:paraId="474F5EF4"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rPr>
            </w:pPr>
          </w:p>
        </w:tc>
        <w:tc>
          <w:tcPr>
            <w:tcW w:w="980" w:type="dxa"/>
            <w:tcBorders>
              <w:top w:val="single" w:sz="7" w:space="0" w:color="000000"/>
              <w:left w:val="single" w:sz="6" w:space="0" w:color="000000"/>
              <w:bottom w:val="single" w:sz="7" w:space="0" w:color="000000"/>
              <w:right w:val="single" w:sz="6" w:space="0" w:color="000000"/>
            </w:tcBorders>
          </w:tcPr>
          <w:p w14:paraId="4AFA8265" w14:textId="77777777" w:rsidR="00342622" w:rsidRPr="00907D70" w:rsidRDefault="00342622" w:rsidP="0084240B">
            <w:pPr>
              <w:autoSpaceDE w:val="0"/>
              <w:autoSpaceDN w:val="0"/>
              <w:adjustRightInd w:val="0"/>
              <w:spacing w:after="0" w:line="240" w:lineRule="auto"/>
              <w:ind w:left="8" w:right="372"/>
              <w:jc w:val="center"/>
              <w:rPr>
                <w:rFonts w:ascii="Times New Roman" w:eastAsia="Times New Roman" w:hAnsi="Times New Roman"/>
              </w:rPr>
            </w:pPr>
            <w:r w:rsidRPr="00907D70">
              <w:rPr>
                <w:rFonts w:ascii="Times New Roman" w:eastAsia="Times New Roman" w:hAnsi="Times New Roman"/>
                <w:b/>
                <w:bCs/>
                <w:w w:val="99"/>
              </w:rPr>
              <w:t>QD</w:t>
            </w:r>
          </w:p>
        </w:tc>
        <w:tc>
          <w:tcPr>
            <w:tcW w:w="925" w:type="dxa"/>
            <w:tcBorders>
              <w:top w:val="single" w:sz="7" w:space="0" w:color="000000"/>
              <w:left w:val="single" w:sz="6" w:space="0" w:color="000000"/>
              <w:bottom w:val="single" w:sz="7" w:space="0" w:color="000000"/>
              <w:right w:val="single" w:sz="6" w:space="0" w:color="000000"/>
            </w:tcBorders>
          </w:tcPr>
          <w:p w14:paraId="076928AC"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b/>
                <w:bCs/>
              </w:rPr>
              <w:t>BID</w:t>
            </w:r>
          </w:p>
        </w:tc>
        <w:tc>
          <w:tcPr>
            <w:tcW w:w="1707" w:type="dxa"/>
            <w:tcBorders>
              <w:top w:val="single" w:sz="7" w:space="0" w:color="000000"/>
              <w:left w:val="single" w:sz="6" w:space="0" w:color="000000"/>
              <w:bottom w:val="single" w:sz="7" w:space="0" w:color="000000"/>
              <w:right w:val="single" w:sz="6" w:space="0" w:color="000000"/>
            </w:tcBorders>
          </w:tcPr>
          <w:p w14:paraId="684A0900"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b/>
                <w:bCs/>
              </w:rPr>
              <w:t>Skirtumas</w:t>
            </w:r>
          </w:p>
          <w:p w14:paraId="7B483FE1"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b/>
                <w:bCs/>
              </w:rPr>
              <w:t>[</w:t>
            </w:r>
            <w:r w:rsidRPr="00907D70">
              <w:rPr>
                <w:rFonts w:ascii="Times New Roman" w:eastAsia="Times New Roman" w:hAnsi="Times New Roman"/>
                <w:b/>
                <w:bCs/>
                <w:spacing w:val="1"/>
              </w:rPr>
              <w:t>95 </w:t>
            </w:r>
            <w:r w:rsidRPr="00907D70">
              <w:rPr>
                <w:rFonts w:ascii="Times New Roman" w:eastAsia="Times New Roman" w:hAnsi="Times New Roman"/>
                <w:b/>
                <w:bCs/>
              </w:rPr>
              <w:t>%</w:t>
            </w:r>
            <w:r w:rsidRPr="00907D70">
              <w:rPr>
                <w:rFonts w:ascii="Times New Roman" w:eastAsia="Times New Roman" w:hAnsi="Times New Roman"/>
                <w:b/>
                <w:bCs/>
                <w:spacing w:val="-5"/>
              </w:rPr>
              <w:t xml:space="preserve"> </w:t>
            </w:r>
            <w:r w:rsidRPr="00907D70">
              <w:rPr>
                <w:rFonts w:ascii="Times New Roman" w:eastAsia="Times New Roman" w:hAnsi="Times New Roman"/>
                <w:b/>
                <w:bCs/>
              </w:rPr>
              <w:t>CI]</w:t>
            </w:r>
          </w:p>
        </w:tc>
      </w:tr>
      <w:tr w:rsidR="00342622" w:rsidRPr="00907D70" w14:paraId="16D4F63D" w14:textId="77777777" w:rsidTr="00160402">
        <w:trPr>
          <w:trHeight w:val="20"/>
        </w:trPr>
        <w:tc>
          <w:tcPr>
            <w:tcW w:w="5324" w:type="dxa"/>
            <w:tcBorders>
              <w:top w:val="single" w:sz="7" w:space="0" w:color="000000"/>
              <w:left w:val="single" w:sz="6" w:space="0" w:color="000000"/>
              <w:bottom w:val="single" w:sz="7" w:space="0" w:color="000000"/>
              <w:right w:val="single" w:sz="6" w:space="0" w:color="000000"/>
            </w:tcBorders>
          </w:tcPr>
          <w:p w14:paraId="0CEEE88B"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NC= Nesėkmė</w:t>
            </w:r>
          </w:p>
        </w:tc>
        <w:tc>
          <w:tcPr>
            <w:tcW w:w="980" w:type="dxa"/>
            <w:tcBorders>
              <w:top w:val="single" w:sz="7" w:space="0" w:color="000000"/>
              <w:left w:val="single" w:sz="6" w:space="0" w:color="000000"/>
              <w:bottom w:val="single" w:sz="7" w:space="0" w:color="000000"/>
              <w:right w:val="single" w:sz="6" w:space="0" w:color="000000"/>
            </w:tcBorders>
          </w:tcPr>
          <w:p w14:paraId="445BD717"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171/300</w:t>
            </w:r>
          </w:p>
          <w:p w14:paraId="125768D9"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(57 %)</w:t>
            </w:r>
          </w:p>
        </w:tc>
        <w:tc>
          <w:tcPr>
            <w:tcW w:w="925" w:type="dxa"/>
            <w:tcBorders>
              <w:top w:val="single" w:sz="7" w:space="0" w:color="000000"/>
              <w:left w:val="single" w:sz="6" w:space="0" w:color="000000"/>
              <w:bottom w:val="single" w:sz="7" w:space="0" w:color="000000"/>
              <w:right w:val="single" w:sz="6" w:space="0" w:color="000000"/>
            </w:tcBorders>
          </w:tcPr>
          <w:p w14:paraId="3E5DF7FE"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161/299</w:t>
            </w:r>
          </w:p>
          <w:p w14:paraId="35FF96BA"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(53,8 %)</w:t>
            </w:r>
          </w:p>
        </w:tc>
        <w:tc>
          <w:tcPr>
            <w:tcW w:w="1707" w:type="dxa"/>
            <w:tcBorders>
              <w:top w:val="single" w:sz="7" w:space="0" w:color="000000"/>
              <w:left w:val="single" w:sz="6" w:space="0" w:color="000000"/>
              <w:bottom w:val="single" w:sz="7" w:space="0" w:color="000000"/>
              <w:right w:val="single" w:sz="6" w:space="0" w:color="000000"/>
            </w:tcBorders>
          </w:tcPr>
          <w:p w14:paraId="2946340A" w14:textId="77777777" w:rsidR="00342622" w:rsidRPr="00907D70" w:rsidRDefault="00342622" w:rsidP="0084240B">
            <w:pPr>
              <w:autoSpaceDE w:val="0"/>
              <w:autoSpaceDN w:val="0"/>
              <w:adjustRightInd w:val="0"/>
              <w:spacing w:after="0" w:line="240" w:lineRule="auto"/>
              <w:ind w:left="8" w:right="515"/>
              <w:jc w:val="center"/>
              <w:rPr>
                <w:rFonts w:ascii="Times New Roman" w:eastAsia="Times New Roman" w:hAnsi="Times New Roman"/>
              </w:rPr>
            </w:pPr>
            <w:r w:rsidRPr="00907D70">
              <w:rPr>
                <w:rFonts w:ascii="Times New Roman" w:eastAsia="Times New Roman" w:hAnsi="Times New Roman"/>
              </w:rPr>
              <w:t>3,2 %</w:t>
            </w:r>
          </w:p>
          <w:p w14:paraId="05472EA4" w14:textId="77777777" w:rsidR="00342622" w:rsidRPr="00907D70" w:rsidRDefault="00342622" w:rsidP="0084240B">
            <w:pPr>
              <w:autoSpaceDE w:val="0"/>
              <w:autoSpaceDN w:val="0"/>
              <w:adjustRightInd w:val="0"/>
              <w:spacing w:after="0" w:line="240" w:lineRule="auto"/>
              <w:ind w:left="8" w:right="67"/>
              <w:jc w:val="center"/>
              <w:rPr>
                <w:rFonts w:ascii="Times New Roman" w:eastAsia="Times New Roman" w:hAnsi="Times New Roman"/>
              </w:rPr>
            </w:pPr>
            <w:r w:rsidRPr="00907D70">
              <w:rPr>
                <w:rFonts w:ascii="Times New Roman" w:eastAsia="Times New Roman" w:hAnsi="Times New Roman"/>
              </w:rPr>
              <w:t>[-4,8 %, 11,1 %]</w:t>
            </w:r>
          </w:p>
        </w:tc>
      </w:tr>
      <w:tr w:rsidR="00342622" w:rsidRPr="00907D70" w14:paraId="753C50E8" w14:textId="77777777" w:rsidTr="00160402">
        <w:trPr>
          <w:trHeight w:val="20"/>
        </w:trPr>
        <w:tc>
          <w:tcPr>
            <w:tcW w:w="5324" w:type="dxa"/>
            <w:tcBorders>
              <w:top w:val="single" w:sz="7" w:space="0" w:color="000000"/>
              <w:left w:val="single" w:sz="6" w:space="0" w:color="000000"/>
              <w:bottom w:val="single" w:sz="7" w:space="0" w:color="000000"/>
              <w:right w:val="single" w:sz="6" w:space="0" w:color="000000"/>
            </w:tcBorders>
          </w:tcPr>
          <w:p w14:paraId="02F73F88"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Stebėti duomenys</w:t>
            </w:r>
          </w:p>
        </w:tc>
        <w:tc>
          <w:tcPr>
            <w:tcW w:w="980" w:type="dxa"/>
            <w:tcBorders>
              <w:top w:val="single" w:sz="7" w:space="0" w:color="000000"/>
              <w:left w:val="single" w:sz="6" w:space="0" w:color="000000"/>
              <w:bottom w:val="single" w:sz="7" w:space="0" w:color="000000"/>
              <w:right w:val="single" w:sz="6" w:space="0" w:color="000000"/>
            </w:tcBorders>
          </w:tcPr>
          <w:p w14:paraId="624CEED0"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171/225</w:t>
            </w:r>
          </w:p>
          <w:p w14:paraId="3C729A6D"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(76,0 %)</w:t>
            </w:r>
          </w:p>
        </w:tc>
        <w:tc>
          <w:tcPr>
            <w:tcW w:w="925" w:type="dxa"/>
            <w:tcBorders>
              <w:top w:val="single" w:sz="7" w:space="0" w:color="000000"/>
              <w:left w:val="single" w:sz="6" w:space="0" w:color="000000"/>
              <w:bottom w:val="single" w:sz="7" w:space="0" w:color="000000"/>
              <w:right w:val="single" w:sz="6" w:space="0" w:color="000000"/>
            </w:tcBorders>
          </w:tcPr>
          <w:p w14:paraId="139B118E"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161/223</w:t>
            </w:r>
          </w:p>
          <w:p w14:paraId="3EFD32C7"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(72,2 %)</w:t>
            </w:r>
          </w:p>
        </w:tc>
        <w:tc>
          <w:tcPr>
            <w:tcW w:w="1707" w:type="dxa"/>
            <w:tcBorders>
              <w:top w:val="single" w:sz="7" w:space="0" w:color="000000"/>
              <w:left w:val="single" w:sz="6" w:space="0" w:color="000000"/>
              <w:bottom w:val="single" w:sz="7" w:space="0" w:color="000000"/>
              <w:right w:val="single" w:sz="6" w:space="0" w:color="000000"/>
            </w:tcBorders>
          </w:tcPr>
          <w:p w14:paraId="1291CCFE" w14:textId="77777777" w:rsidR="00342622" w:rsidRPr="00907D70" w:rsidRDefault="00342622" w:rsidP="0084240B">
            <w:pPr>
              <w:autoSpaceDE w:val="0"/>
              <w:autoSpaceDN w:val="0"/>
              <w:adjustRightInd w:val="0"/>
              <w:spacing w:after="0" w:line="240" w:lineRule="auto"/>
              <w:ind w:left="8" w:right="515"/>
              <w:jc w:val="center"/>
              <w:rPr>
                <w:rFonts w:ascii="Times New Roman" w:eastAsia="Times New Roman" w:hAnsi="Times New Roman"/>
              </w:rPr>
            </w:pPr>
            <w:r w:rsidRPr="00907D70">
              <w:rPr>
                <w:rFonts w:ascii="Times New Roman" w:eastAsia="Times New Roman" w:hAnsi="Times New Roman"/>
              </w:rPr>
              <w:t>3,8 %</w:t>
            </w:r>
          </w:p>
          <w:p w14:paraId="7E71F7CC" w14:textId="77777777" w:rsidR="00342622" w:rsidRPr="00907D70" w:rsidRDefault="00342622" w:rsidP="0084240B">
            <w:pPr>
              <w:autoSpaceDE w:val="0"/>
              <w:autoSpaceDN w:val="0"/>
              <w:adjustRightInd w:val="0"/>
              <w:spacing w:after="0" w:line="240" w:lineRule="auto"/>
              <w:ind w:left="8" w:right="67"/>
              <w:jc w:val="center"/>
              <w:rPr>
                <w:rFonts w:ascii="Times New Roman" w:eastAsia="Times New Roman" w:hAnsi="Times New Roman"/>
              </w:rPr>
            </w:pPr>
            <w:r w:rsidRPr="00907D70">
              <w:rPr>
                <w:rFonts w:ascii="Times New Roman" w:eastAsia="Times New Roman" w:hAnsi="Times New Roman"/>
              </w:rPr>
              <w:t>[-4,3 %, 11,9 %]</w:t>
            </w:r>
          </w:p>
        </w:tc>
      </w:tr>
      <w:tr w:rsidR="00342622" w:rsidRPr="00907D70" w14:paraId="286FFB26" w14:textId="77777777" w:rsidTr="00160402">
        <w:trPr>
          <w:trHeight w:val="20"/>
        </w:trPr>
        <w:tc>
          <w:tcPr>
            <w:tcW w:w="5324" w:type="dxa"/>
            <w:tcBorders>
              <w:top w:val="single" w:sz="7" w:space="0" w:color="000000"/>
              <w:left w:val="single" w:sz="6" w:space="0" w:color="000000"/>
              <w:bottom w:val="single" w:sz="6" w:space="0" w:color="000000"/>
              <w:right w:val="single" w:sz="6" w:space="0" w:color="000000"/>
            </w:tcBorders>
          </w:tcPr>
          <w:p w14:paraId="25F8C19B" w14:textId="77777777" w:rsidR="00342622" w:rsidRPr="00907D70" w:rsidRDefault="00342622" w:rsidP="0084240B">
            <w:pPr>
              <w:autoSpaceDE w:val="0"/>
              <w:autoSpaceDN w:val="0"/>
              <w:adjustRightInd w:val="0"/>
              <w:spacing w:after="0" w:line="240" w:lineRule="auto"/>
              <w:ind w:left="8" w:right="-20"/>
              <w:rPr>
                <w:rFonts w:ascii="Times New Roman" w:eastAsia="Times New Roman" w:hAnsi="Times New Roman"/>
              </w:rPr>
            </w:pPr>
            <w:r w:rsidRPr="00907D70">
              <w:rPr>
                <w:rFonts w:ascii="Times New Roman" w:eastAsia="Times New Roman" w:hAnsi="Times New Roman"/>
              </w:rPr>
              <w:t>CD4+T-ląstelių skaičiaus vidutinis padidėjimas nuo tyrimo pradžios (ląstelių/mm</w:t>
            </w:r>
            <w:r w:rsidRPr="00907D70">
              <w:rPr>
                <w:rFonts w:ascii="Times New Roman" w:eastAsia="Times New Roman" w:hAnsi="Times New Roman"/>
                <w:vertAlign w:val="superscript"/>
              </w:rPr>
              <w:t>3</w:t>
            </w:r>
            <w:r w:rsidRPr="00907D70">
              <w:rPr>
                <w:rFonts w:ascii="Times New Roman" w:eastAsia="Times New Roman" w:hAnsi="Times New Roman"/>
              </w:rPr>
              <w:t>))</w:t>
            </w:r>
          </w:p>
        </w:tc>
        <w:tc>
          <w:tcPr>
            <w:tcW w:w="980" w:type="dxa"/>
            <w:tcBorders>
              <w:top w:val="single" w:sz="7" w:space="0" w:color="000000"/>
              <w:left w:val="single" w:sz="6" w:space="0" w:color="000000"/>
              <w:bottom w:val="single" w:sz="6" w:space="0" w:color="000000"/>
              <w:right w:val="single" w:sz="6" w:space="0" w:color="000000"/>
            </w:tcBorders>
          </w:tcPr>
          <w:p w14:paraId="53280B62" w14:textId="77777777" w:rsidR="00342622" w:rsidRPr="00907D70" w:rsidRDefault="00342622" w:rsidP="0084240B">
            <w:pPr>
              <w:autoSpaceDE w:val="0"/>
              <w:autoSpaceDN w:val="0"/>
              <w:adjustRightInd w:val="0"/>
              <w:spacing w:after="0" w:line="240" w:lineRule="auto"/>
              <w:ind w:left="8" w:right="370"/>
              <w:jc w:val="center"/>
              <w:rPr>
                <w:rFonts w:ascii="Times New Roman" w:eastAsia="Times New Roman" w:hAnsi="Times New Roman"/>
              </w:rPr>
            </w:pPr>
            <w:r w:rsidRPr="00907D70">
              <w:rPr>
                <w:rFonts w:ascii="Times New Roman" w:eastAsia="Times New Roman" w:hAnsi="Times New Roman"/>
              </w:rPr>
              <w:t>135</w:t>
            </w:r>
          </w:p>
        </w:tc>
        <w:tc>
          <w:tcPr>
            <w:tcW w:w="925" w:type="dxa"/>
            <w:tcBorders>
              <w:top w:val="single" w:sz="7" w:space="0" w:color="000000"/>
              <w:left w:val="single" w:sz="6" w:space="0" w:color="000000"/>
              <w:bottom w:val="single" w:sz="6" w:space="0" w:color="000000"/>
              <w:right w:val="single" w:sz="6" w:space="0" w:color="000000"/>
            </w:tcBorders>
          </w:tcPr>
          <w:p w14:paraId="424991A8" w14:textId="77777777" w:rsidR="00342622" w:rsidRPr="00907D70" w:rsidRDefault="00342622" w:rsidP="0084240B">
            <w:pPr>
              <w:autoSpaceDE w:val="0"/>
              <w:autoSpaceDN w:val="0"/>
              <w:adjustRightInd w:val="0"/>
              <w:spacing w:after="0" w:line="240" w:lineRule="auto"/>
              <w:ind w:left="8" w:right="310"/>
              <w:jc w:val="center"/>
              <w:rPr>
                <w:rFonts w:ascii="Times New Roman" w:eastAsia="Times New Roman" w:hAnsi="Times New Roman"/>
              </w:rPr>
            </w:pPr>
            <w:r w:rsidRPr="00907D70">
              <w:rPr>
                <w:rFonts w:ascii="Times New Roman" w:eastAsia="Times New Roman" w:hAnsi="Times New Roman"/>
              </w:rPr>
              <w:t>122</w:t>
            </w:r>
          </w:p>
        </w:tc>
        <w:tc>
          <w:tcPr>
            <w:tcW w:w="1707" w:type="dxa"/>
            <w:tcBorders>
              <w:top w:val="single" w:sz="7" w:space="0" w:color="000000"/>
              <w:left w:val="single" w:sz="6" w:space="0" w:color="000000"/>
              <w:bottom w:val="single" w:sz="6" w:space="0" w:color="000000"/>
              <w:right w:val="single" w:sz="6" w:space="0" w:color="000000"/>
            </w:tcBorders>
          </w:tcPr>
          <w:p w14:paraId="1B65B8D1"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rPr>
            </w:pPr>
          </w:p>
        </w:tc>
      </w:tr>
    </w:tbl>
    <w:p w14:paraId="6B02B6BF"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229A456"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Per 48 savaites buvo galima atlikti genotipo atsparumo tyrimus 75 pacientams QD grupėje ir 75 BID grupėje, šių pacientų virusologinis atsakas buvo nepakankamas. QD grupėje 6/75 (8 %) pacientų buvo nustatytos naujos pirminės proteazių inhibitorių mutacijos (30, 32, 48, 50, 82, 84, 90 kodonuose), o BID grupėje 12/77 (16 %).</w:t>
      </w:r>
    </w:p>
    <w:p w14:paraId="72926742" w14:textId="77777777" w:rsidR="00342622" w:rsidRPr="00907D70" w:rsidRDefault="00342622" w:rsidP="00342622">
      <w:pPr>
        <w:tabs>
          <w:tab w:val="left" w:pos="567"/>
        </w:tabs>
        <w:spacing w:after="0" w:line="240" w:lineRule="auto"/>
        <w:rPr>
          <w:rFonts w:ascii="Times New Roman" w:eastAsia="Times New Roman" w:hAnsi="Times New Roman"/>
          <w:bCs/>
        </w:rPr>
      </w:pPr>
    </w:p>
    <w:p w14:paraId="75903E04" w14:textId="77777777" w:rsidR="00342622" w:rsidRPr="00907D70" w:rsidRDefault="00342622" w:rsidP="00342622">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Vaikų populiacija</w:t>
      </w:r>
    </w:p>
    <w:p w14:paraId="39A82726" w14:textId="77777777" w:rsidR="00342622" w:rsidRPr="00907D70" w:rsidRDefault="00342622" w:rsidP="00342622">
      <w:pPr>
        <w:tabs>
          <w:tab w:val="left" w:pos="567"/>
        </w:tabs>
        <w:spacing w:after="0" w:line="240" w:lineRule="auto"/>
        <w:rPr>
          <w:rFonts w:ascii="Times New Roman" w:eastAsia="Times New Roman" w:hAnsi="Times New Roman"/>
          <w:bCs/>
          <w:i/>
        </w:rPr>
      </w:pPr>
    </w:p>
    <w:p w14:paraId="02F2B4D9" w14:textId="77777777" w:rsidR="00342622" w:rsidRPr="00907D70" w:rsidRDefault="00342622" w:rsidP="00342622">
      <w:pPr>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M98-940 buvo atviras lopinaviro / ritonaviro derinio geriamosios formos tyrimas, kuriame dalyvavo 100 antiretrovirusinio gydymo negavusių (44 %) ir jį gavusių (56 %) vaikų. Visiems pacientams nebuvo taikytas gydymas nenukleozidiniu atvirkštinės transkriptazės inhibitoriumi. Pacientams atsitiktinės atrankos būdu paskirta arba 230 mg lopinaviro / 57,5 mg ritonaviro/m</w:t>
      </w:r>
      <w:r w:rsidRPr="00907D70">
        <w:rPr>
          <w:rFonts w:ascii="Times New Roman" w:eastAsia="Times New Roman" w:hAnsi="Times New Roman"/>
          <w:bCs/>
          <w:vertAlign w:val="superscript"/>
        </w:rPr>
        <w:t>2</w:t>
      </w:r>
      <w:r w:rsidRPr="00907D70">
        <w:rPr>
          <w:rFonts w:ascii="Times New Roman" w:eastAsia="Times New Roman" w:hAnsi="Times New Roman"/>
          <w:bCs/>
        </w:rPr>
        <w:t>, arba 300 mg lopinaviro / 75 mg ritonaviro/m</w:t>
      </w:r>
      <w:r w:rsidRPr="00907D70">
        <w:rPr>
          <w:rFonts w:ascii="Times New Roman" w:eastAsia="Times New Roman" w:hAnsi="Times New Roman"/>
          <w:bCs/>
          <w:vertAlign w:val="superscript"/>
        </w:rPr>
        <w:t>2</w:t>
      </w:r>
      <w:r w:rsidRPr="00907D70">
        <w:rPr>
          <w:rFonts w:ascii="Times New Roman" w:eastAsia="Times New Roman" w:hAnsi="Times New Roman"/>
          <w:bCs/>
        </w:rPr>
        <w:t xml:space="preserve">. Anksčiau negydyti pacientai taip pat vartojo nukleozidinių </w:t>
      </w:r>
      <w:r w:rsidRPr="00907D70">
        <w:rPr>
          <w:rFonts w:ascii="Times New Roman" w:eastAsia="Times New Roman" w:hAnsi="Times New Roman"/>
          <w:bCs/>
        </w:rPr>
        <w:lastRenderedPageBreak/>
        <w:t>atvirkštinės transkriptazės inhibitorių. Anksčiau gydyti pacientai vartojo nevirapino plius iki dviejų nukleozidinių atvirkštinės transkriptazės inhibitorių. Po 3 gydymo savaičių buvo įvertintas kiekvieno paciento dviejų dozavimo režimų saugumas, efektyvumas ir farmakokinetikos charakteristika. Paskui visi pacientai tęsė gydymą vartojant 300/75 mg/m</w:t>
      </w:r>
      <w:r w:rsidRPr="00907D70">
        <w:rPr>
          <w:rFonts w:ascii="Times New Roman" w:eastAsia="Times New Roman" w:hAnsi="Times New Roman"/>
          <w:bCs/>
          <w:vertAlign w:val="superscript"/>
        </w:rPr>
        <w:t>2</w:t>
      </w:r>
      <w:r w:rsidRPr="00907D70">
        <w:rPr>
          <w:rFonts w:ascii="Times New Roman" w:eastAsia="Times New Roman" w:hAnsi="Times New Roman"/>
          <w:bCs/>
        </w:rPr>
        <w:t xml:space="preserve"> dozę. Vidutinis pacientų amžius buvo 5 metai (ribos – nuo 6 mėnesių iki 12 metų), 14 pacientų – jaunesni kaip 2 metų, o 6 pacientai – vienerių metų arba jaunesni. Vidutinis pradinis CD4 + T- ląstelių skaičius buvo 838 ląstelės/mm3, o vidutinis pradinis plazmos ŽIV RNR 4.7 log10 kopijų/ml.</w:t>
      </w:r>
    </w:p>
    <w:p w14:paraId="3410ACB8" w14:textId="77777777" w:rsidR="00342622" w:rsidRPr="00907D70" w:rsidRDefault="00342622" w:rsidP="00342622">
      <w:pPr>
        <w:tabs>
          <w:tab w:val="left" w:pos="567"/>
        </w:tabs>
        <w:spacing w:after="0" w:line="240" w:lineRule="auto"/>
        <w:rPr>
          <w:rFonts w:ascii="Times New Roman" w:eastAsia="Times New Roman" w:hAnsi="Times New Roman"/>
          <w:bCs/>
        </w:rPr>
      </w:pPr>
    </w:p>
    <w:p w14:paraId="7EBED80C" w14:textId="77777777" w:rsidR="00342622" w:rsidRPr="00907D70" w:rsidRDefault="00342622" w:rsidP="00E54F8A">
      <w:pPr>
        <w:keepNext/>
        <w:tabs>
          <w:tab w:val="left" w:pos="567"/>
        </w:tabs>
        <w:spacing w:after="0" w:line="240" w:lineRule="auto"/>
        <w:rPr>
          <w:rFonts w:ascii="Times New Roman" w:eastAsia="Times New Roman" w:hAnsi="Times New Roman"/>
          <w:bCs/>
        </w:rPr>
      </w:pPr>
      <w:r w:rsidRPr="00907D70">
        <w:rPr>
          <w:rFonts w:ascii="Times New Roman" w:eastAsia="Times New Roman" w:hAnsi="Times New Roman"/>
          <w:bCs/>
        </w:rPr>
        <w:t>5 lentelė</w:t>
      </w:r>
    </w:p>
    <w:p w14:paraId="7A7346F5" w14:textId="77777777" w:rsidR="00342622" w:rsidRPr="00907D70" w:rsidRDefault="00342622" w:rsidP="00E54F8A">
      <w:pPr>
        <w:keepNext/>
        <w:tabs>
          <w:tab w:val="left" w:pos="567"/>
        </w:tabs>
        <w:spacing w:after="0" w:line="240" w:lineRule="auto"/>
        <w:rPr>
          <w:rFonts w:ascii="Times New Roman" w:eastAsia="Times New Roman" w:hAnsi="Times New Roman"/>
          <w:bCs/>
        </w:rPr>
      </w:pPr>
    </w:p>
    <w:tbl>
      <w:tblPr>
        <w:tblW w:w="0" w:type="auto"/>
        <w:tblInd w:w="289" w:type="dxa"/>
        <w:tblLayout w:type="fixed"/>
        <w:tblCellMar>
          <w:left w:w="0" w:type="dxa"/>
          <w:right w:w="0" w:type="dxa"/>
        </w:tblCellMar>
        <w:tblLook w:val="0000" w:firstRow="0" w:lastRow="0" w:firstColumn="0" w:lastColumn="0" w:noHBand="0" w:noVBand="0"/>
      </w:tblPr>
      <w:tblGrid>
        <w:gridCol w:w="2977"/>
        <w:gridCol w:w="2967"/>
        <w:gridCol w:w="2844"/>
      </w:tblGrid>
      <w:tr w:rsidR="00342622" w:rsidRPr="00907D70" w14:paraId="2101B2E6" w14:textId="77777777" w:rsidTr="00160402">
        <w:trPr>
          <w:trHeight w:hRule="exact" w:val="503"/>
        </w:trPr>
        <w:tc>
          <w:tcPr>
            <w:tcW w:w="8788" w:type="dxa"/>
            <w:gridSpan w:val="3"/>
            <w:tcBorders>
              <w:top w:val="single" w:sz="4" w:space="0" w:color="000000"/>
              <w:left w:val="single" w:sz="4" w:space="0" w:color="000000"/>
              <w:bottom w:val="single" w:sz="4" w:space="0" w:color="000000"/>
              <w:right w:val="single" w:sz="4" w:space="0" w:color="000000"/>
            </w:tcBorders>
          </w:tcPr>
          <w:p w14:paraId="337615EC" w14:textId="77777777" w:rsidR="00342622" w:rsidRPr="00907D70" w:rsidRDefault="00342622" w:rsidP="00E54F8A">
            <w:pPr>
              <w:keepNext/>
              <w:autoSpaceDE w:val="0"/>
              <w:autoSpaceDN w:val="0"/>
              <w:adjustRightInd w:val="0"/>
              <w:spacing w:before="8" w:after="0" w:line="110" w:lineRule="exact"/>
              <w:ind w:left="8"/>
              <w:rPr>
                <w:rFonts w:ascii="Times New Roman" w:eastAsia="Times New Roman" w:hAnsi="Times New Roman"/>
              </w:rPr>
            </w:pPr>
          </w:p>
          <w:tbl>
            <w:tblPr>
              <w:tblW w:w="0" w:type="auto"/>
              <w:tblBorders>
                <w:top w:val="nil"/>
                <w:left w:val="nil"/>
                <w:bottom w:val="nil"/>
                <w:right w:val="nil"/>
              </w:tblBorders>
              <w:tblLayout w:type="fixed"/>
              <w:tblLook w:val="0000" w:firstRow="0" w:lastRow="0" w:firstColumn="0" w:lastColumn="0" w:noHBand="0" w:noVBand="0"/>
            </w:tblPr>
            <w:tblGrid>
              <w:gridCol w:w="8047"/>
            </w:tblGrid>
            <w:tr w:rsidR="00342622" w:rsidRPr="00907D70" w14:paraId="628162A9" w14:textId="77777777" w:rsidTr="0084240B">
              <w:trPr>
                <w:trHeight w:val="149"/>
              </w:trPr>
              <w:tc>
                <w:tcPr>
                  <w:tcW w:w="8047" w:type="dxa"/>
                </w:tcPr>
                <w:p w14:paraId="5433CE62" w14:textId="77777777" w:rsidR="00342622" w:rsidRPr="00907D70" w:rsidRDefault="00342622" w:rsidP="00E54F8A">
                  <w:pPr>
                    <w:keepNext/>
                    <w:autoSpaceDE w:val="0"/>
                    <w:autoSpaceDN w:val="0"/>
                    <w:adjustRightInd w:val="0"/>
                    <w:spacing w:after="0" w:line="240" w:lineRule="auto"/>
                    <w:jc w:val="center"/>
                    <w:rPr>
                      <w:rFonts w:ascii="Times New Roman" w:hAnsi="Times New Roman"/>
                      <w:color w:val="000000"/>
                      <w:lang w:eastAsia="lt-LT"/>
                    </w:rPr>
                  </w:pPr>
                  <w:r w:rsidRPr="00907D70">
                    <w:rPr>
                      <w:rFonts w:ascii="Times New Roman" w:hAnsi="Times New Roman"/>
                      <w:b/>
                      <w:bCs/>
                      <w:color w:val="000000"/>
                      <w:lang w:eastAsia="lt-LT"/>
                    </w:rPr>
                    <w:t xml:space="preserve">M98-940 tyrimo rezultatai 48-ąją savaitę </w:t>
                  </w:r>
                </w:p>
              </w:tc>
            </w:tr>
          </w:tbl>
          <w:p w14:paraId="18B2DE2A" w14:textId="77777777" w:rsidR="00342622" w:rsidRPr="00907D70" w:rsidRDefault="00342622" w:rsidP="00E54F8A">
            <w:pPr>
              <w:keepNext/>
              <w:autoSpaceDE w:val="0"/>
              <w:autoSpaceDN w:val="0"/>
              <w:adjustRightInd w:val="0"/>
              <w:spacing w:after="0" w:line="240" w:lineRule="auto"/>
              <w:ind w:left="8" w:right="-20"/>
              <w:jc w:val="center"/>
              <w:rPr>
                <w:rFonts w:ascii="Times New Roman" w:eastAsia="Times New Roman" w:hAnsi="Times New Roman"/>
              </w:rPr>
            </w:pPr>
          </w:p>
        </w:tc>
      </w:tr>
      <w:tr w:rsidR="00342622" w:rsidRPr="00907D70" w14:paraId="4825CC3D" w14:textId="77777777" w:rsidTr="00160402">
        <w:trPr>
          <w:trHeight w:hRule="exact" w:val="1210"/>
        </w:trPr>
        <w:tc>
          <w:tcPr>
            <w:tcW w:w="2977" w:type="dxa"/>
            <w:tcBorders>
              <w:top w:val="single" w:sz="4" w:space="0" w:color="000000"/>
              <w:left w:val="single" w:sz="4" w:space="0" w:color="000000"/>
              <w:bottom w:val="single" w:sz="4" w:space="0" w:color="000000"/>
              <w:right w:val="single" w:sz="4" w:space="0" w:color="000000"/>
            </w:tcBorders>
          </w:tcPr>
          <w:p w14:paraId="5938D986" w14:textId="77777777" w:rsidR="00342622" w:rsidRPr="00907D70" w:rsidRDefault="00342622" w:rsidP="0084240B">
            <w:pPr>
              <w:autoSpaceDE w:val="0"/>
              <w:autoSpaceDN w:val="0"/>
              <w:adjustRightInd w:val="0"/>
              <w:spacing w:after="0" w:line="240" w:lineRule="auto"/>
              <w:ind w:left="8"/>
              <w:rPr>
                <w:rFonts w:ascii="Times New Roman" w:eastAsia="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tcPr>
          <w:p w14:paraId="74FDDDD1" w14:textId="77777777" w:rsidR="00342622" w:rsidRPr="00907D70" w:rsidRDefault="00342622" w:rsidP="0084240B">
            <w:pPr>
              <w:autoSpaceDE w:val="0"/>
              <w:autoSpaceDN w:val="0"/>
              <w:adjustRightInd w:val="0"/>
              <w:spacing w:after="0" w:line="251" w:lineRule="exact"/>
              <w:ind w:left="8" w:right="232"/>
              <w:jc w:val="center"/>
              <w:rPr>
                <w:rFonts w:ascii="Times New Roman" w:eastAsia="Times New Roman" w:hAnsi="Times New Roman"/>
              </w:rPr>
            </w:pPr>
            <w:r w:rsidRPr="00907D70">
              <w:rPr>
                <w:rFonts w:ascii="Times New Roman" w:eastAsia="Times New Roman" w:hAnsi="Times New Roman"/>
                <w:b/>
                <w:bCs/>
              </w:rPr>
              <w:t>Gydymas antiretrovirusiniais vaistiniais preparatais netaikytas (N=44)</w:t>
            </w:r>
          </w:p>
          <w:p w14:paraId="4A338998" w14:textId="77777777" w:rsidR="00342622" w:rsidRPr="00907D70" w:rsidRDefault="00342622" w:rsidP="0084240B">
            <w:pPr>
              <w:autoSpaceDE w:val="0"/>
              <w:autoSpaceDN w:val="0"/>
              <w:adjustRightInd w:val="0"/>
              <w:spacing w:after="0" w:line="240" w:lineRule="auto"/>
              <w:ind w:left="8" w:right="873"/>
              <w:jc w:val="center"/>
              <w:rPr>
                <w:rFonts w:ascii="Times New Roman" w:eastAsia="Times New Roman" w:hAnsi="Times New Roman"/>
              </w:rPr>
            </w:pPr>
          </w:p>
        </w:tc>
        <w:tc>
          <w:tcPr>
            <w:tcW w:w="2844" w:type="dxa"/>
            <w:tcBorders>
              <w:top w:val="single" w:sz="4" w:space="0" w:color="000000"/>
              <w:left w:val="single" w:sz="4" w:space="0" w:color="000000"/>
              <w:bottom w:val="single" w:sz="4" w:space="0" w:color="000000"/>
              <w:right w:val="single" w:sz="4" w:space="0" w:color="000000"/>
            </w:tcBorders>
          </w:tcPr>
          <w:p w14:paraId="36327100" w14:textId="77777777" w:rsidR="00342622" w:rsidRPr="00907D70" w:rsidRDefault="00342622" w:rsidP="0084240B">
            <w:pPr>
              <w:autoSpaceDE w:val="0"/>
              <w:autoSpaceDN w:val="0"/>
              <w:adjustRightInd w:val="0"/>
              <w:spacing w:after="0" w:line="240" w:lineRule="auto"/>
              <w:ind w:left="8" w:right="104"/>
              <w:jc w:val="center"/>
              <w:rPr>
                <w:rFonts w:ascii="Times New Roman" w:eastAsia="Times New Roman" w:hAnsi="Times New Roman"/>
              </w:rPr>
            </w:pPr>
            <w:r w:rsidRPr="00907D70">
              <w:rPr>
                <w:rFonts w:ascii="Times New Roman" w:eastAsia="Times New Roman" w:hAnsi="Times New Roman"/>
                <w:b/>
                <w:bCs/>
              </w:rPr>
              <w:t xml:space="preserve">Gydymas antiretrovirusiniais vaistiniais preparatais taikytas (N=56) </w:t>
            </w:r>
          </w:p>
        </w:tc>
      </w:tr>
      <w:tr w:rsidR="00342622" w:rsidRPr="00907D70" w14:paraId="04815D0D" w14:textId="77777777" w:rsidTr="00160402">
        <w:trPr>
          <w:trHeight w:hRule="exact" w:val="263"/>
        </w:trPr>
        <w:tc>
          <w:tcPr>
            <w:tcW w:w="2977" w:type="dxa"/>
            <w:tcBorders>
              <w:top w:val="single" w:sz="4" w:space="0" w:color="000000"/>
              <w:left w:val="single" w:sz="4" w:space="0" w:color="000000"/>
              <w:bottom w:val="single" w:sz="4" w:space="0" w:color="000000"/>
              <w:right w:val="single" w:sz="4" w:space="0" w:color="000000"/>
            </w:tcBorders>
          </w:tcPr>
          <w:p w14:paraId="6D1925B0" w14:textId="77777777" w:rsidR="00342622" w:rsidRPr="00907D70" w:rsidRDefault="00342622" w:rsidP="0084240B">
            <w:pPr>
              <w:autoSpaceDE w:val="0"/>
              <w:autoSpaceDN w:val="0"/>
              <w:adjustRightInd w:val="0"/>
              <w:spacing w:after="0" w:line="249" w:lineRule="exact"/>
              <w:ind w:left="8" w:right="-20"/>
              <w:rPr>
                <w:rFonts w:ascii="Times New Roman" w:eastAsia="Times New Roman" w:hAnsi="Times New Roman"/>
              </w:rPr>
            </w:pPr>
            <w:r w:rsidRPr="00907D70">
              <w:rPr>
                <w:rFonts w:ascii="Times New Roman" w:eastAsia="Times New Roman" w:hAnsi="Times New Roman"/>
              </w:rPr>
              <w:t>ŽIV RNR &lt; 400 kopijų/ml</w:t>
            </w:r>
          </w:p>
        </w:tc>
        <w:tc>
          <w:tcPr>
            <w:tcW w:w="2967" w:type="dxa"/>
            <w:tcBorders>
              <w:top w:val="single" w:sz="4" w:space="0" w:color="000000"/>
              <w:left w:val="single" w:sz="4" w:space="0" w:color="000000"/>
              <w:bottom w:val="single" w:sz="4" w:space="0" w:color="000000"/>
              <w:right w:val="single" w:sz="4" w:space="0" w:color="000000"/>
            </w:tcBorders>
          </w:tcPr>
          <w:p w14:paraId="78C7AF7E" w14:textId="77777777" w:rsidR="00342622" w:rsidRPr="00907D70" w:rsidRDefault="00342622" w:rsidP="0084240B">
            <w:pPr>
              <w:autoSpaceDE w:val="0"/>
              <w:autoSpaceDN w:val="0"/>
              <w:adjustRightInd w:val="0"/>
              <w:spacing w:after="0" w:line="249" w:lineRule="exact"/>
              <w:ind w:left="8" w:right="995"/>
              <w:jc w:val="center"/>
              <w:rPr>
                <w:rFonts w:ascii="Times New Roman" w:eastAsia="Times New Roman" w:hAnsi="Times New Roman"/>
              </w:rPr>
            </w:pPr>
            <w:r w:rsidRPr="00907D70">
              <w:rPr>
                <w:rFonts w:ascii="Times New Roman" w:eastAsia="Times New Roman" w:hAnsi="Times New Roman"/>
              </w:rPr>
              <w:t>84 %</w:t>
            </w:r>
          </w:p>
        </w:tc>
        <w:tc>
          <w:tcPr>
            <w:tcW w:w="2844" w:type="dxa"/>
            <w:tcBorders>
              <w:top w:val="single" w:sz="4" w:space="0" w:color="000000"/>
              <w:left w:val="single" w:sz="4" w:space="0" w:color="000000"/>
              <w:bottom w:val="single" w:sz="4" w:space="0" w:color="000000"/>
              <w:right w:val="single" w:sz="4" w:space="0" w:color="000000"/>
            </w:tcBorders>
          </w:tcPr>
          <w:p w14:paraId="1FA47DF8" w14:textId="77777777" w:rsidR="00342622" w:rsidRPr="00907D70" w:rsidRDefault="00342622" w:rsidP="0084240B">
            <w:pPr>
              <w:autoSpaceDE w:val="0"/>
              <w:autoSpaceDN w:val="0"/>
              <w:adjustRightInd w:val="0"/>
              <w:spacing w:after="0" w:line="249" w:lineRule="exact"/>
              <w:ind w:left="8" w:right="840"/>
              <w:jc w:val="center"/>
              <w:rPr>
                <w:rFonts w:ascii="Times New Roman" w:eastAsia="Times New Roman" w:hAnsi="Times New Roman"/>
              </w:rPr>
            </w:pPr>
            <w:r w:rsidRPr="00907D70">
              <w:rPr>
                <w:rFonts w:ascii="Times New Roman" w:eastAsia="Times New Roman" w:hAnsi="Times New Roman"/>
              </w:rPr>
              <w:t>75 %</w:t>
            </w:r>
          </w:p>
        </w:tc>
      </w:tr>
      <w:tr w:rsidR="00342622" w:rsidRPr="00907D70" w14:paraId="6102EC76" w14:textId="77777777" w:rsidTr="00160402">
        <w:trPr>
          <w:trHeight w:hRule="exact" w:val="1074"/>
        </w:trPr>
        <w:tc>
          <w:tcPr>
            <w:tcW w:w="2977" w:type="dxa"/>
            <w:tcBorders>
              <w:top w:val="single" w:sz="4" w:space="0" w:color="000000"/>
              <w:left w:val="single" w:sz="4" w:space="0" w:color="000000"/>
              <w:bottom w:val="single" w:sz="4" w:space="0" w:color="000000"/>
              <w:right w:val="single" w:sz="4" w:space="0" w:color="000000"/>
            </w:tcBorders>
          </w:tcPr>
          <w:p w14:paraId="71DB79E9" w14:textId="77777777" w:rsidR="00342622" w:rsidRPr="00907D70" w:rsidRDefault="00342622" w:rsidP="0084240B">
            <w:pPr>
              <w:autoSpaceDE w:val="0"/>
              <w:autoSpaceDN w:val="0"/>
              <w:adjustRightInd w:val="0"/>
              <w:spacing w:after="0" w:line="249" w:lineRule="exact"/>
              <w:ind w:left="8" w:right="-20"/>
              <w:rPr>
                <w:rFonts w:ascii="Times New Roman" w:eastAsia="Times New Roman" w:hAnsi="Times New Roman"/>
              </w:rPr>
            </w:pPr>
            <w:r w:rsidRPr="00907D70">
              <w:rPr>
                <w:rFonts w:ascii="Times New Roman" w:eastAsia="Times New Roman" w:hAnsi="Times New Roman"/>
              </w:rPr>
              <w:t>CD4+T-ląstelių skaičiaus vidutinis padidėjimas nuo tyrimo pradžios (ląstelių/mm</w:t>
            </w:r>
            <w:r w:rsidRPr="00907D70">
              <w:rPr>
                <w:rFonts w:ascii="Times New Roman" w:eastAsia="Times New Roman" w:hAnsi="Times New Roman"/>
                <w:vertAlign w:val="superscript"/>
              </w:rPr>
              <w:t>3</w:t>
            </w:r>
            <w:r w:rsidRPr="00907D70">
              <w:rPr>
                <w:rFonts w:ascii="Times New Roman" w:eastAsia="Times New Roman" w:hAnsi="Times New Roman"/>
              </w:rPr>
              <w:t>)</w:t>
            </w:r>
          </w:p>
        </w:tc>
        <w:tc>
          <w:tcPr>
            <w:tcW w:w="2967" w:type="dxa"/>
            <w:tcBorders>
              <w:top w:val="single" w:sz="4" w:space="0" w:color="000000"/>
              <w:left w:val="single" w:sz="4" w:space="0" w:color="000000"/>
              <w:bottom w:val="single" w:sz="4" w:space="0" w:color="000000"/>
              <w:right w:val="single" w:sz="4" w:space="0" w:color="000000"/>
            </w:tcBorders>
          </w:tcPr>
          <w:p w14:paraId="0BE0D6B6" w14:textId="77777777" w:rsidR="00342622" w:rsidRPr="00907D70" w:rsidRDefault="00342622" w:rsidP="0084240B">
            <w:pPr>
              <w:autoSpaceDE w:val="0"/>
              <w:autoSpaceDN w:val="0"/>
              <w:adjustRightInd w:val="0"/>
              <w:spacing w:after="0" w:line="249" w:lineRule="exact"/>
              <w:ind w:left="8" w:right="1032"/>
              <w:jc w:val="center"/>
              <w:rPr>
                <w:rFonts w:ascii="Times New Roman" w:eastAsia="Times New Roman" w:hAnsi="Times New Roman"/>
              </w:rPr>
            </w:pPr>
            <w:r w:rsidRPr="00907D70">
              <w:rPr>
                <w:rFonts w:ascii="Times New Roman" w:eastAsia="Times New Roman" w:hAnsi="Times New Roman"/>
              </w:rPr>
              <w:t>404</w:t>
            </w:r>
          </w:p>
        </w:tc>
        <w:tc>
          <w:tcPr>
            <w:tcW w:w="2844" w:type="dxa"/>
            <w:tcBorders>
              <w:top w:val="single" w:sz="4" w:space="0" w:color="000000"/>
              <w:left w:val="single" w:sz="4" w:space="0" w:color="000000"/>
              <w:bottom w:val="single" w:sz="4" w:space="0" w:color="000000"/>
              <w:right w:val="single" w:sz="4" w:space="0" w:color="000000"/>
            </w:tcBorders>
          </w:tcPr>
          <w:p w14:paraId="4B99A95B" w14:textId="77777777" w:rsidR="00342622" w:rsidRPr="00907D70" w:rsidRDefault="00342622" w:rsidP="0084240B">
            <w:pPr>
              <w:autoSpaceDE w:val="0"/>
              <w:autoSpaceDN w:val="0"/>
              <w:adjustRightInd w:val="0"/>
              <w:spacing w:after="0" w:line="249" w:lineRule="exact"/>
              <w:ind w:left="8" w:right="877"/>
              <w:jc w:val="center"/>
              <w:rPr>
                <w:rFonts w:ascii="Times New Roman" w:eastAsia="Times New Roman" w:hAnsi="Times New Roman"/>
              </w:rPr>
            </w:pPr>
            <w:r w:rsidRPr="00907D70">
              <w:rPr>
                <w:rFonts w:ascii="Times New Roman" w:eastAsia="Times New Roman" w:hAnsi="Times New Roman"/>
              </w:rPr>
              <w:t>284</w:t>
            </w:r>
          </w:p>
        </w:tc>
      </w:tr>
    </w:tbl>
    <w:p w14:paraId="483653FE"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7410B0B" w14:textId="2DA53E2A" w:rsidR="00342622" w:rsidRPr="00907D70" w:rsidRDefault="00342622" w:rsidP="00342622">
      <w:pPr>
        <w:tabs>
          <w:tab w:val="left" w:pos="567"/>
        </w:tabs>
        <w:spacing w:after="0" w:line="240" w:lineRule="auto"/>
        <w:rPr>
          <w:rFonts w:ascii="Times New Roman" w:hAnsi="Times New Roman"/>
          <w:bCs/>
          <w:spacing w:val="1"/>
        </w:rPr>
      </w:pPr>
      <w:r w:rsidRPr="00907D70">
        <w:rPr>
          <w:rFonts w:ascii="Times New Roman" w:hAnsi="Times New Roman"/>
          <w:bCs/>
          <w:spacing w:val="1"/>
        </w:rPr>
        <w:t xml:space="preserve">KONCERT / PENTA 18 yra prospektyvinis daugiacentris, atsitiktinių imčių, atviras tyrimas, kurio metu buvo vertinamas lopinaviro / ritonaviro 100 mg/25 mg tablečių, kaip kombinuoto antiretrovirusinio gydymo dalies, virusologiškai nuslopintiems ŽIV infekuotiems vaikams (n=173), skiriamų dukart per parą lyginant su skiriamomis kartą per parą, dozuojant pagal svorį, farmakokinetinis profilis, veiksmingumas ir saugumas. Vaikų tinkamumo kriterijai buvo šie: amžius &lt; 18 metų, svoris ≥15 kg, gaunantys antiretrovirusinį gydymą lopinaviru / ritonaviru, ŽIV-1 ribonukleino rūgštis (RNR) 50 kopijų/ml virusų išlikimas per 24 stebėjimo savaites ir galintys praryti tabletes. </w:t>
      </w:r>
      <w:r w:rsidR="008D43FD" w:rsidRPr="00907D70">
        <w:rPr>
          <w:rFonts w:ascii="Times New Roman" w:hAnsi="Times New Roman"/>
          <w:bCs/>
          <w:spacing w:val="1"/>
        </w:rPr>
        <w:t>48</w:t>
      </w:r>
      <w:r w:rsidRPr="00907D70">
        <w:rPr>
          <w:rFonts w:ascii="Times New Roman" w:hAnsi="Times New Roman"/>
          <w:bCs/>
          <w:spacing w:val="1"/>
        </w:rPr>
        <w:t xml:space="preserve">-ąją savaitę vaikų populiacijos, kurie vartojo dvi lopinaviro / ritonaviro 100 mg/25 mg tablečių dozes per parą (n=87), gydymo veiksmingumas ir saugumas atitiko veiksmingumo ir saugumo rezultatus, gautus ankstesnio du kartus per parą vartojusiųjų lopinavirą / ritonavirą suaugusiųjų ir vaikų tyrimų metu. Pacientų, </w:t>
      </w:r>
      <w:r w:rsidR="00B83F38" w:rsidRPr="00907D70">
        <w:rPr>
          <w:rFonts w:ascii="Times New Roman" w:hAnsi="Times New Roman"/>
          <w:bCs/>
          <w:spacing w:val="1"/>
        </w:rPr>
        <w:t>kuriems patvirtintas virus</w:t>
      </w:r>
      <w:r w:rsidR="00ED7953" w:rsidRPr="00907D70">
        <w:rPr>
          <w:rFonts w:ascii="Times New Roman" w:hAnsi="Times New Roman"/>
          <w:bCs/>
          <w:spacing w:val="1"/>
        </w:rPr>
        <w:t>o išlikimas</w:t>
      </w:r>
      <w:r w:rsidRPr="00907D70">
        <w:rPr>
          <w:rFonts w:ascii="Times New Roman" w:hAnsi="Times New Roman"/>
          <w:bCs/>
          <w:spacing w:val="1"/>
        </w:rPr>
        <w:t xml:space="preserve"> 50 kopijų/ml virusų </w:t>
      </w:r>
      <w:r w:rsidR="00B83F38" w:rsidRPr="00907D70">
        <w:rPr>
          <w:rFonts w:ascii="Times New Roman" w:hAnsi="Times New Roman"/>
          <w:bCs/>
          <w:spacing w:val="1"/>
        </w:rPr>
        <w:t>48 savaičių</w:t>
      </w:r>
      <w:r w:rsidR="00B83F38" w:rsidRPr="00907D70">
        <w:rPr>
          <w:rFonts w:ascii="Times New Roman" w:hAnsi="Times New Roman"/>
          <w:spacing w:val="1"/>
        </w:rPr>
        <w:t xml:space="preserve"> stebėjimo </w:t>
      </w:r>
      <w:r w:rsidR="00B83F38" w:rsidRPr="00907D70">
        <w:rPr>
          <w:rFonts w:ascii="Times New Roman" w:hAnsi="Times New Roman"/>
          <w:bCs/>
          <w:spacing w:val="1"/>
        </w:rPr>
        <w:t>laikotarpiu</w:t>
      </w:r>
      <w:r w:rsidR="003631BD" w:rsidRPr="00907D70">
        <w:rPr>
          <w:rFonts w:ascii="Times New Roman" w:hAnsi="Times New Roman"/>
          <w:bCs/>
          <w:spacing w:val="1"/>
        </w:rPr>
        <w:t>,</w:t>
      </w:r>
      <w:r w:rsidRPr="00907D70">
        <w:rPr>
          <w:rFonts w:ascii="Times New Roman" w:hAnsi="Times New Roman"/>
          <w:bCs/>
          <w:spacing w:val="1"/>
        </w:rPr>
        <w:t xml:space="preserve"> procentas buvo </w:t>
      </w:r>
      <w:r w:rsidR="00B83F38" w:rsidRPr="00907D70">
        <w:rPr>
          <w:rFonts w:ascii="Times New Roman" w:hAnsi="Times New Roman"/>
          <w:bCs/>
          <w:spacing w:val="1"/>
        </w:rPr>
        <w:t xml:space="preserve">didesnis </w:t>
      </w:r>
      <w:r w:rsidRPr="00907D70">
        <w:rPr>
          <w:rFonts w:ascii="Times New Roman" w:hAnsi="Times New Roman"/>
          <w:bCs/>
          <w:spacing w:val="1"/>
        </w:rPr>
        <w:t>tarp vaikų, vartojusių lopinaviro / ritonaviro tabletes vieną kartą per parą (</w:t>
      </w:r>
      <w:r w:rsidR="00B83F38" w:rsidRPr="00907D70">
        <w:rPr>
          <w:rFonts w:ascii="Times New Roman" w:hAnsi="Times New Roman"/>
          <w:bCs/>
          <w:spacing w:val="1"/>
        </w:rPr>
        <w:t>12</w:t>
      </w:r>
      <w:r w:rsidR="003631BD" w:rsidRPr="00907D70">
        <w:rPr>
          <w:rFonts w:ascii="Times New Roman" w:hAnsi="Times New Roman"/>
          <w:bCs/>
          <w:spacing w:val="1"/>
        </w:rPr>
        <w:t> </w:t>
      </w:r>
      <w:r w:rsidRPr="00907D70">
        <w:rPr>
          <w:rFonts w:ascii="Times New Roman" w:hAnsi="Times New Roman"/>
          <w:bCs/>
          <w:spacing w:val="1"/>
        </w:rPr>
        <w:t>%), negu tarp pacientų, vartojusių dozę du kartus per parą (</w:t>
      </w:r>
      <w:r w:rsidR="00B83F38" w:rsidRPr="00907D70">
        <w:rPr>
          <w:rFonts w:ascii="Times New Roman" w:hAnsi="Times New Roman"/>
          <w:bCs/>
          <w:spacing w:val="1"/>
        </w:rPr>
        <w:t>8</w:t>
      </w:r>
      <w:r w:rsidR="003631BD" w:rsidRPr="00907D70">
        <w:rPr>
          <w:rFonts w:ascii="Times New Roman" w:hAnsi="Times New Roman"/>
          <w:bCs/>
          <w:spacing w:val="1"/>
        </w:rPr>
        <w:t> </w:t>
      </w:r>
      <w:r w:rsidRPr="00907D70">
        <w:rPr>
          <w:rFonts w:ascii="Times New Roman" w:hAnsi="Times New Roman"/>
          <w:bCs/>
          <w:spacing w:val="1"/>
        </w:rPr>
        <w:t>%, p=0,</w:t>
      </w:r>
      <w:r w:rsidR="00B83F38" w:rsidRPr="00907D70">
        <w:rPr>
          <w:rFonts w:ascii="Times New Roman" w:hAnsi="Times New Roman"/>
          <w:bCs/>
          <w:spacing w:val="1"/>
        </w:rPr>
        <w:t>19</w:t>
      </w:r>
      <w:r w:rsidRPr="00907D70">
        <w:rPr>
          <w:rFonts w:ascii="Times New Roman" w:hAnsi="Times New Roman"/>
          <w:bCs/>
          <w:spacing w:val="1"/>
        </w:rPr>
        <w:t xml:space="preserve">), </w:t>
      </w:r>
      <w:r w:rsidR="0017735F">
        <w:rPr>
          <w:rFonts w:ascii="Times New Roman" w:hAnsi="Times New Roman"/>
          <w:bCs/>
          <w:spacing w:val="1"/>
        </w:rPr>
        <w:t>daugiausia</w:t>
      </w:r>
      <w:r w:rsidR="0017735F" w:rsidRPr="00907D70">
        <w:rPr>
          <w:rFonts w:ascii="Times New Roman" w:hAnsi="Times New Roman"/>
          <w:bCs/>
          <w:spacing w:val="1"/>
        </w:rPr>
        <w:t xml:space="preserve"> </w:t>
      </w:r>
      <w:r w:rsidRPr="00907D70">
        <w:rPr>
          <w:rFonts w:ascii="Times New Roman" w:hAnsi="Times New Roman"/>
          <w:bCs/>
          <w:spacing w:val="1"/>
        </w:rPr>
        <w:t>dėl mažesnio režimo laikymosi vieną kartą per parą vartojusių grupėje. Palankesni veiksmingumo duomenys du kartus per parą vartojusių grupėje priklausė ir nuo skirtingų farmakokinetikos parametrų, žymiai palankesnių taikant gydymo režimą du kartus per parą (žr. 5.2 skyrių)</w:t>
      </w:r>
    </w:p>
    <w:p w14:paraId="455181AF" w14:textId="77777777" w:rsidR="00342622" w:rsidRPr="00907D70" w:rsidRDefault="00342622" w:rsidP="00342622">
      <w:pPr>
        <w:tabs>
          <w:tab w:val="left" w:pos="567"/>
        </w:tabs>
        <w:spacing w:after="0" w:line="240" w:lineRule="auto"/>
        <w:rPr>
          <w:rFonts w:ascii="Times New Roman" w:eastAsia="Times New Roman" w:hAnsi="Times New Roman"/>
          <w:bCs/>
        </w:rPr>
      </w:pPr>
    </w:p>
    <w:p w14:paraId="62E8E47F" w14:textId="77777777" w:rsidR="00342622" w:rsidRPr="00907D70" w:rsidRDefault="00342622" w:rsidP="00342622">
      <w:pPr>
        <w:keepNext/>
        <w:keepLines/>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5.2</w:t>
      </w:r>
      <w:r w:rsidRPr="00907D70">
        <w:rPr>
          <w:rFonts w:ascii="Times New Roman" w:eastAsia="Times New Roman" w:hAnsi="Times New Roman"/>
          <w:b/>
          <w:bCs/>
        </w:rPr>
        <w:tab/>
        <w:t>Farmakokinetinės savybės</w:t>
      </w:r>
    </w:p>
    <w:p w14:paraId="1B92D8BF" w14:textId="77777777" w:rsidR="00342622" w:rsidRPr="00907D70" w:rsidRDefault="00342622" w:rsidP="00342622">
      <w:pPr>
        <w:keepNext/>
        <w:keepLines/>
        <w:tabs>
          <w:tab w:val="left" w:pos="567"/>
        </w:tabs>
        <w:spacing w:after="0" w:line="240" w:lineRule="auto"/>
        <w:jc w:val="both"/>
        <w:rPr>
          <w:rFonts w:ascii="Times New Roman" w:eastAsia="Times New Roman" w:hAnsi="Times New Roman"/>
          <w:b/>
          <w:bCs/>
        </w:rPr>
      </w:pPr>
    </w:p>
    <w:p w14:paraId="6B91CD7C"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r w:rsidRPr="00907D70">
        <w:rPr>
          <w:rFonts w:ascii="Times New Roman" w:eastAsia="Times New Roman" w:hAnsi="Times New Roman"/>
        </w:rPr>
        <w:t>Buvo įvertintos sveikų suaugusiųjų savanorių ir ŽIV infekuotų pacientų lopinaviro, vartojamo kartu su ritonaviru, farmakokinetikos savybės. Esminių skirtumų tarp abiejų grupių nestebėta. Lopinavirą praktiškai visiškai metabolizuoja CYP3A. Ritonaviras slopina lopinaviro metabolizmą, todėl didina lopinaviro koncentraciją kraujo plazmoje. Įvairių tyrimų metu lopinaviro / ritonaviro derinio 400/100 mg vartojant du kartus per parą vidutinė pusiausvyrinė lopinaviro koncentracija kraujo plazmoje buvo 15-20 kartų didesnė negu ritonaviro koncentracija ŽIV infekuotiems pacientams. Ritonaviro koncentracija kraujo plazmoje sudaro mažiau kaip 7 % koncentracijos, kuri būna vartojant po 600 mg ritonaviro du kartus per parą. Antivirusinė lopinaviro EC</w:t>
      </w:r>
      <w:r w:rsidRPr="00907D70">
        <w:rPr>
          <w:rFonts w:ascii="Times New Roman" w:eastAsia="Times New Roman" w:hAnsi="Times New Roman"/>
          <w:vertAlign w:val="subscript"/>
        </w:rPr>
        <w:t>50</w:t>
      </w:r>
      <w:r w:rsidRPr="00907D70">
        <w:rPr>
          <w:rFonts w:ascii="Times New Roman" w:eastAsia="Times New Roman" w:hAnsi="Times New Roman"/>
        </w:rPr>
        <w:t xml:space="preserve"> </w:t>
      </w:r>
      <w:r w:rsidRPr="00907D70">
        <w:rPr>
          <w:rFonts w:ascii="Times New Roman" w:eastAsia="Times New Roman" w:hAnsi="Times New Roman"/>
          <w:i/>
        </w:rPr>
        <w:t>in vitro</w:t>
      </w:r>
      <w:r w:rsidRPr="00907D70">
        <w:rPr>
          <w:rFonts w:ascii="Times New Roman" w:eastAsia="Times New Roman" w:hAnsi="Times New Roman"/>
        </w:rPr>
        <w:t xml:space="preserve"> yra maždaug 10 kartų mažesnė negu ritonaviro. Taigi, antivirusinis lopinaviro / ritonaviro derinio aktyvumas priklauso nuo lopinaviro.</w:t>
      </w:r>
    </w:p>
    <w:p w14:paraId="5384ED6E" w14:textId="77777777" w:rsidR="00342622" w:rsidRPr="00907D70" w:rsidRDefault="00342622" w:rsidP="00342622">
      <w:pPr>
        <w:tabs>
          <w:tab w:val="left" w:pos="567"/>
        </w:tabs>
        <w:spacing w:after="0" w:line="240" w:lineRule="auto"/>
        <w:rPr>
          <w:rFonts w:ascii="Times New Roman" w:eastAsia="Times New Roman" w:hAnsi="Times New Roman"/>
        </w:rPr>
      </w:pPr>
    </w:p>
    <w:p w14:paraId="2D9577A5" w14:textId="383DE75A"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u w:val="single"/>
        </w:rPr>
        <w:t>Absorbcija</w:t>
      </w:r>
      <w:r w:rsidRPr="00907D70">
        <w:rPr>
          <w:rFonts w:ascii="Times New Roman" w:eastAsia="Times New Roman" w:hAnsi="Times New Roman"/>
        </w:rPr>
        <w:t xml:space="preserve">. Kartotinai skiriant lopinaviro / ritonaviro derinio po 400/100 mg du kartus per parą 2 savaites ir neribojant valgymo, vidutinė ± SN lopinaviro didžiausia 12,3 ± 5,4 μg/ml koncentracija </w:t>
      </w:r>
      <w:r w:rsidRPr="00907D70">
        <w:rPr>
          <w:rFonts w:ascii="Times New Roman" w:eastAsia="Times New Roman" w:hAnsi="Times New Roman"/>
        </w:rPr>
        <w:lastRenderedPageBreak/>
        <w:t>kraujo plazmoje (C</w:t>
      </w:r>
      <w:r w:rsidRPr="00907D70">
        <w:rPr>
          <w:rFonts w:ascii="Times New Roman" w:eastAsia="Times New Roman" w:hAnsi="Times New Roman"/>
          <w:szCs w:val="24"/>
          <w:vertAlign w:val="subscript"/>
        </w:rPr>
        <w:t>max</w:t>
      </w:r>
      <w:r w:rsidRPr="00907D70">
        <w:rPr>
          <w:rFonts w:ascii="Times New Roman" w:eastAsia="Times New Roman" w:hAnsi="Times New Roman"/>
        </w:rPr>
        <w:t>) atsiranda praėjus maždaug 4 valandoms po pavartojimo. Esant pusiausvyrinei koncentracijai vidutinė mažiausia koncentracija kraujo plazmoje prieš rytinę dozę buvo 8,1 ± 5,</w:t>
      </w:r>
      <w:r w:rsidR="0017735F" w:rsidRPr="00907D70">
        <w:rPr>
          <w:rFonts w:ascii="Times New Roman" w:eastAsia="Times New Roman" w:hAnsi="Times New Roman"/>
        </w:rPr>
        <w:t>7</w:t>
      </w:r>
      <w:r w:rsidR="0017735F">
        <w:rPr>
          <w:rFonts w:ascii="Times New Roman" w:eastAsia="Times New Roman" w:hAnsi="Times New Roman"/>
        </w:rPr>
        <w:t> </w:t>
      </w:r>
      <w:r w:rsidRPr="00907D70">
        <w:rPr>
          <w:rFonts w:ascii="Times New Roman" w:eastAsia="Times New Roman" w:hAnsi="Times New Roman"/>
        </w:rPr>
        <w:t>μg/ml. Lopinaviro skiriant kas 12 valandų, jo AUC buvo vidutiniškai 113,2 ± 60,5 μg•val./ml. Absoliutus lopinaviro, vartojamo derinyje su ritonaviru, biologinis prieinamumas žmonėms nenustatytas.</w:t>
      </w:r>
    </w:p>
    <w:p w14:paraId="5A1BB0E2" w14:textId="77777777" w:rsidR="00342622" w:rsidRPr="00907D70" w:rsidRDefault="00342622" w:rsidP="00342622">
      <w:pPr>
        <w:tabs>
          <w:tab w:val="left" w:pos="567"/>
        </w:tabs>
        <w:spacing w:after="0" w:line="240" w:lineRule="auto"/>
        <w:rPr>
          <w:rFonts w:ascii="Times New Roman" w:eastAsia="Times New Roman" w:hAnsi="Times New Roman"/>
        </w:rPr>
      </w:pPr>
    </w:p>
    <w:p w14:paraId="735DB3ED"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u w:val="single"/>
        </w:rPr>
        <w:t>Maisto poveikis išgerto vaistinio preparato absorbcijai</w:t>
      </w:r>
      <w:r w:rsidRPr="00907D70">
        <w:rPr>
          <w:rFonts w:ascii="Times New Roman" w:eastAsia="Times New Roman" w:hAnsi="Times New Roman"/>
        </w:rPr>
        <w:t>. Skiriant lopinaviro / ritonaviro 400/100 mg derinio tablečių vieną dozę su maistu (gausiai vartojant riebalų, 872 kcal, 56 % riebalinės kilmės) ir lyginant su alkio būsena, nepastebėta jokių reikšmingų C</w:t>
      </w:r>
      <w:r w:rsidRPr="00907D70">
        <w:rPr>
          <w:rFonts w:ascii="Times New Roman" w:eastAsia="Times New Roman" w:hAnsi="Times New Roman"/>
          <w:szCs w:val="24"/>
          <w:vertAlign w:val="subscript"/>
        </w:rPr>
        <w:t>max</w:t>
      </w:r>
      <w:r w:rsidRPr="00907D70">
        <w:rPr>
          <w:rFonts w:ascii="Times New Roman" w:eastAsia="Times New Roman" w:hAnsi="Times New Roman"/>
        </w:rPr>
        <w:t xml:space="preserve"> ir AUC</w:t>
      </w:r>
      <w:r w:rsidRPr="00907D70">
        <w:rPr>
          <w:rFonts w:ascii="Times New Roman" w:eastAsia="Times New Roman" w:hAnsi="Times New Roman"/>
          <w:vertAlign w:val="subscript"/>
        </w:rPr>
        <w:t>inf</w:t>
      </w:r>
      <w:r w:rsidRPr="00907D70">
        <w:rPr>
          <w:rFonts w:ascii="Times New Roman" w:eastAsia="Times New Roman" w:hAnsi="Times New Roman"/>
        </w:rPr>
        <w:t xml:space="preserve"> pokyčių. Taigi, lopinaviro /ritonaviro derinio tabletes galima vartoti valgant arba ne valgio metu. Taip pat nustatyta, kad lopinaviro /ritonaviro derinio tablečių farmakokinetika kinta mažiau, negu lopinaviro / ritonaviro derinio minkštųjų kapsulių farmakokinetika.</w:t>
      </w:r>
    </w:p>
    <w:p w14:paraId="6CCC8587" w14:textId="77777777" w:rsidR="00342622" w:rsidRPr="00907D70" w:rsidRDefault="00342622" w:rsidP="00342622">
      <w:pPr>
        <w:tabs>
          <w:tab w:val="left" w:pos="567"/>
        </w:tabs>
        <w:spacing w:after="0" w:line="240" w:lineRule="auto"/>
        <w:rPr>
          <w:rFonts w:ascii="Times New Roman" w:eastAsia="Times New Roman" w:hAnsi="Times New Roman"/>
        </w:rPr>
      </w:pPr>
    </w:p>
    <w:p w14:paraId="7D2B84C0"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u w:val="single"/>
        </w:rPr>
        <w:t>Pasiskirstymas.</w:t>
      </w:r>
      <w:r w:rsidRPr="00907D70">
        <w:rPr>
          <w:rFonts w:ascii="Times New Roman" w:eastAsia="Times New Roman" w:hAnsi="Times New Roman"/>
        </w:rPr>
        <w:t xml:space="preserve"> Kai nusistovėjusi pusiausvyrinė apykaita, maždaug 98-99 % lopinaviro būna susijungusio su kraujo serumo baltymais. Lopinaviras jungiasi ir su alfa-1-rūgščiuoju glikoproteinu (ARG), ir su albuminu, tačiau jo afinitetas ARG yra didesnis. Kai nusistovėjusi pusiausvyrinė apykaita, lopinaviro prisijungimas prie baltymų išlieka pastovus visame stebėtų koncentracijų, atsirandančių išgėrus lopinaviro /ritonaviro derinio 400/100 mg du kartus per parą, diapazone ir sveikiems savanoriams bei ŽIV teigiamiems pacientams yra panašus.</w:t>
      </w:r>
    </w:p>
    <w:p w14:paraId="0990AB92" w14:textId="77777777" w:rsidR="00342622" w:rsidRPr="00907D70" w:rsidRDefault="00342622" w:rsidP="00342622">
      <w:pPr>
        <w:tabs>
          <w:tab w:val="left" w:pos="567"/>
        </w:tabs>
        <w:spacing w:after="0" w:line="240" w:lineRule="auto"/>
        <w:rPr>
          <w:rFonts w:ascii="Times New Roman" w:eastAsia="Times New Roman" w:hAnsi="Times New Roman"/>
        </w:rPr>
      </w:pPr>
    </w:p>
    <w:p w14:paraId="0E12B039"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u w:val="single"/>
        </w:rPr>
        <w:t>Biotransformacija</w:t>
      </w:r>
      <w:r w:rsidRPr="00907D70">
        <w:rPr>
          <w:rFonts w:ascii="Times New Roman" w:eastAsia="Times New Roman" w:hAnsi="Times New Roman"/>
        </w:rPr>
        <w:t xml:space="preserve">. Eksperimentai </w:t>
      </w:r>
      <w:r w:rsidRPr="00907D70">
        <w:rPr>
          <w:rFonts w:ascii="Times New Roman" w:eastAsia="Times New Roman" w:hAnsi="Times New Roman"/>
          <w:i/>
        </w:rPr>
        <w:t>in vitro</w:t>
      </w:r>
      <w:r w:rsidRPr="00907D70">
        <w:rPr>
          <w:rFonts w:ascii="Times New Roman" w:eastAsia="Times New Roman" w:hAnsi="Times New Roman"/>
        </w:rPr>
        <w:t xml:space="preserve"> su žmogaus kepenų mikrosomomis rodo, kad pirmiausiai lopinaviras metabolizuojamas oksidacijos būdu. Lopinavirą ekstensyviai metabolizuoja kepenų citochromo P450 sistema, beveik vien tik izofermentas CYP3A. Ritonaviras yra stiprus CYP3A inhibitorius, kuris slopina lopinaviro metabolizmą, todėl didina lopinaviro koncentraciją kraujo plazmoje. </w:t>
      </w:r>
      <w:r w:rsidRPr="00907D70">
        <w:rPr>
          <w:rFonts w:ascii="Times New Roman" w:eastAsia="Times New Roman" w:hAnsi="Times New Roman"/>
          <w:vertAlign w:val="superscript"/>
        </w:rPr>
        <w:t>14</w:t>
      </w:r>
      <w:r w:rsidRPr="00907D70">
        <w:rPr>
          <w:rFonts w:ascii="Times New Roman" w:eastAsia="Times New Roman" w:hAnsi="Times New Roman"/>
        </w:rPr>
        <w:t>C- lopinaviro tyrimai žmonėms parodė, kad 89 % plazmos radioaktyvumo po vienkartinės lopinaviro / ritonaviro 400/100 mg derinio dozės sudarė pradinis aktyvus junginys. Žmogaus organizme nustatyta mažiausiai 13 lopinaviro oksidacinių metabolitų. Pagrindiniai yra 4-okso ir 4-hidroksimetabolitų epimerinės poros metabolitai, kuriems būdingas antivirusinis aktyvumas, tačiau jie sudaro labai mažą kraujo plazmos radioaktyvumo dalį. Nustatyta, kad ritonaviras indukuoja metabolizuojančius fermentus, kurie metabolizuoja jį patį, taip pat tikėtina, kad jis indukuoja ir lopinaviro metabolizmą. Nuo kartotinai vartojamų dozių, lopinaviro koncentracija prieš dozę ilgainiui mažėja ir stabilizuojasi maždaug per 10 dienų - 2 savaites.</w:t>
      </w:r>
    </w:p>
    <w:p w14:paraId="7DFF2650" w14:textId="77777777" w:rsidR="00342622" w:rsidRPr="00907D70" w:rsidRDefault="00342622" w:rsidP="00342622">
      <w:pPr>
        <w:tabs>
          <w:tab w:val="left" w:pos="567"/>
        </w:tabs>
        <w:spacing w:after="0" w:line="240" w:lineRule="auto"/>
        <w:rPr>
          <w:rFonts w:ascii="Times New Roman" w:eastAsia="Times New Roman" w:hAnsi="Times New Roman"/>
        </w:rPr>
      </w:pPr>
    </w:p>
    <w:p w14:paraId="406DC053"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u w:val="single"/>
        </w:rPr>
        <w:t>Eliminacija</w:t>
      </w:r>
      <w:r w:rsidRPr="00907D70">
        <w:rPr>
          <w:rFonts w:ascii="Times New Roman" w:eastAsia="Times New Roman" w:hAnsi="Times New Roman"/>
        </w:rPr>
        <w:t xml:space="preserve">. Po 400/100 mg </w:t>
      </w:r>
      <w:r w:rsidRPr="00907D70">
        <w:rPr>
          <w:rFonts w:ascii="Times New Roman" w:eastAsia="Times New Roman" w:hAnsi="Times New Roman"/>
          <w:vertAlign w:val="superscript"/>
        </w:rPr>
        <w:t>14</w:t>
      </w:r>
      <w:r w:rsidRPr="00907D70">
        <w:rPr>
          <w:rFonts w:ascii="Times New Roman" w:eastAsia="Times New Roman" w:hAnsi="Times New Roman"/>
        </w:rPr>
        <w:t xml:space="preserve">C- lopinaviro / ritonaviro derinio dozės maždaug 10,4 ± 2,3 % ir 82,6 ± 2,5 % pavartotos </w:t>
      </w:r>
      <w:r w:rsidRPr="00907D70">
        <w:rPr>
          <w:rFonts w:ascii="Times New Roman" w:eastAsia="Times New Roman" w:hAnsi="Times New Roman"/>
          <w:vertAlign w:val="superscript"/>
        </w:rPr>
        <w:t>14</w:t>
      </w:r>
      <w:r w:rsidRPr="00907D70">
        <w:rPr>
          <w:rFonts w:ascii="Times New Roman" w:eastAsia="Times New Roman" w:hAnsi="Times New Roman"/>
        </w:rPr>
        <w:t>C- lopinaviro dozės aptinkama atitinkamai šlapime ir išmatose. Su šlapimu ir išmatomis išsiskiria atitinkamai 2,2 % ir 19,8 % pavartotos dozės nepakitusio lopinaviro pavidalu. Po kartotinių dozių mažiau kaip 3 % dozės nepakitusio lopinaviro pavidalu išsiskiria su šlapimu. Efektyvus (didžiausias – mažiausias) lopinaviro pusinės eliminacijos periodas per 12 val. dozavimo intervalą vidutiniškai yra 5-6 val., o tariamasis geriamojo lopinaviro klirensas (CL/F) yra 6-7 l/val.</w:t>
      </w:r>
    </w:p>
    <w:p w14:paraId="4D781455" w14:textId="77777777" w:rsidR="00342622" w:rsidRPr="00907D70" w:rsidRDefault="00342622" w:rsidP="00342622">
      <w:pPr>
        <w:tabs>
          <w:tab w:val="left" w:pos="567"/>
        </w:tabs>
        <w:spacing w:after="0" w:line="240" w:lineRule="auto"/>
        <w:rPr>
          <w:rFonts w:ascii="Times New Roman" w:eastAsia="Times New Roman" w:hAnsi="Times New Roman"/>
        </w:rPr>
      </w:pPr>
    </w:p>
    <w:p w14:paraId="12B0D51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Skiriant vieną kartą per parą: buvo ištirta lopinaviro /ritonaviro derinio farmakokinetika skiriant jo ŽIV infekuotiems pacientams, kuriems iki šiol nebuvo taikytas antiretrovirusinis gydymas. Lopinaviro /ritonaviro derinio 800/200 mg buvo skirta kartu su 200 mg emtricitabino ir 300 mg tenofoviro DF, kaip dalis „vieną kartą per parą“ režimo. Daugkartinės lopinaviro / ritonaviro 800/200 mg derinio vieną kartą per parą dozės 2 savaites vartojant ją be maisto (n=16) sąlygojo vidutinę ± SN lopinaviro maksimalią koncentraciją (C</w:t>
      </w:r>
      <w:r w:rsidRPr="00907D70">
        <w:rPr>
          <w:rFonts w:ascii="Times New Roman" w:eastAsia="Times New Roman" w:hAnsi="Times New Roman"/>
          <w:vertAlign w:val="subscript"/>
        </w:rPr>
        <w:t>max</w:t>
      </w:r>
      <w:r w:rsidRPr="00907D70">
        <w:rPr>
          <w:rFonts w:ascii="Times New Roman" w:eastAsia="Times New Roman" w:hAnsi="Times New Roman"/>
        </w:rPr>
        <w:t>) 14,8 ± 3,5 μg/ml, kuri pasiekiama maždaug po 6 valandų išgėrus vaistinio preparato. Vidutinė pusiausvyrinė vaistinio preparato koncentracija prieš rytinę dozę buvo 5,5 ± 5,4 μg/ml. Lopinaviro AUC per 24 valandų intervalą vidutiniškai buvo 206,5 ± 89,7 μg·val./ml.</w:t>
      </w:r>
    </w:p>
    <w:p w14:paraId="24EC0038" w14:textId="77777777" w:rsidR="00342622" w:rsidRPr="00907D70" w:rsidRDefault="00342622" w:rsidP="00342622">
      <w:pPr>
        <w:tabs>
          <w:tab w:val="left" w:pos="567"/>
        </w:tabs>
        <w:spacing w:after="0" w:line="240" w:lineRule="auto"/>
        <w:rPr>
          <w:rFonts w:ascii="Times New Roman" w:eastAsia="Times New Roman" w:hAnsi="Times New Roman"/>
        </w:rPr>
      </w:pPr>
    </w:p>
    <w:p w14:paraId="0CD1198C"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Lyginant su BID režimu, vaistinio preparato skyrimas kartą per parą buvo susijęs su C</w:t>
      </w:r>
      <w:r w:rsidRPr="00907D70">
        <w:rPr>
          <w:rFonts w:ascii="Times New Roman" w:eastAsia="Times New Roman" w:hAnsi="Times New Roman"/>
          <w:vertAlign w:val="subscript"/>
        </w:rPr>
        <w:t>min</w:t>
      </w:r>
      <w:r w:rsidRPr="00907D70">
        <w:rPr>
          <w:rFonts w:ascii="Times New Roman" w:eastAsia="Times New Roman" w:hAnsi="Times New Roman"/>
        </w:rPr>
        <w:t>/C</w:t>
      </w:r>
      <w:r w:rsidRPr="00907D70">
        <w:rPr>
          <w:rFonts w:ascii="Times New Roman" w:eastAsia="Times New Roman" w:hAnsi="Times New Roman"/>
          <w:vertAlign w:val="subscript"/>
        </w:rPr>
        <w:t>imtinai</w:t>
      </w:r>
      <w:r w:rsidRPr="00907D70">
        <w:rPr>
          <w:rFonts w:ascii="Times New Roman" w:eastAsia="Times New Roman" w:hAnsi="Times New Roman"/>
        </w:rPr>
        <w:t xml:space="preserve"> reikšmės sumažėjimu maždaug 50 %.</w:t>
      </w:r>
    </w:p>
    <w:p w14:paraId="4CCDC1FC" w14:textId="77777777" w:rsidR="00342622" w:rsidRPr="00907D70" w:rsidRDefault="00342622" w:rsidP="00342622">
      <w:pPr>
        <w:tabs>
          <w:tab w:val="left" w:pos="567"/>
        </w:tabs>
        <w:spacing w:after="0" w:line="240" w:lineRule="auto"/>
        <w:rPr>
          <w:rFonts w:ascii="Times New Roman" w:eastAsia="Times New Roman" w:hAnsi="Times New Roman"/>
        </w:rPr>
      </w:pPr>
    </w:p>
    <w:p w14:paraId="0C97CE3F" w14:textId="77777777" w:rsidR="00342622" w:rsidRPr="00907D70" w:rsidRDefault="00342622" w:rsidP="00342622">
      <w:pPr>
        <w:tabs>
          <w:tab w:val="left" w:pos="567"/>
        </w:tabs>
        <w:spacing w:after="0" w:line="240" w:lineRule="auto"/>
        <w:rPr>
          <w:rFonts w:ascii="Times New Roman" w:eastAsia="Times New Roman" w:hAnsi="Times New Roman"/>
          <w:i/>
          <w:u w:val="single"/>
        </w:rPr>
      </w:pPr>
      <w:r w:rsidRPr="00907D70">
        <w:rPr>
          <w:rFonts w:ascii="Times New Roman" w:eastAsia="Times New Roman" w:hAnsi="Times New Roman"/>
          <w:i/>
          <w:u w:val="single"/>
        </w:rPr>
        <w:t>Ypatingos populiacijos</w:t>
      </w:r>
    </w:p>
    <w:p w14:paraId="36CFF75E" w14:textId="77777777" w:rsidR="00342622" w:rsidRPr="00907D70" w:rsidRDefault="00342622" w:rsidP="00342622">
      <w:pPr>
        <w:tabs>
          <w:tab w:val="left" w:pos="567"/>
        </w:tabs>
        <w:spacing w:after="0" w:line="240" w:lineRule="auto"/>
        <w:rPr>
          <w:rFonts w:ascii="Times New Roman" w:eastAsia="Times New Roman" w:hAnsi="Times New Roman"/>
        </w:rPr>
      </w:pPr>
    </w:p>
    <w:p w14:paraId="635198A1"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Vaikų populiacija</w:t>
      </w:r>
    </w:p>
    <w:p w14:paraId="4C593D44" w14:textId="77777777" w:rsidR="00342622" w:rsidRPr="00907D70" w:rsidRDefault="00342622" w:rsidP="00342622">
      <w:pPr>
        <w:tabs>
          <w:tab w:val="left" w:pos="567"/>
        </w:tabs>
        <w:spacing w:after="0" w:line="240" w:lineRule="auto"/>
        <w:rPr>
          <w:rFonts w:ascii="Times New Roman" w:eastAsia="Times New Roman" w:hAnsi="Times New Roman"/>
          <w:i/>
        </w:rPr>
      </w:pPr>
    </w:p>
    <w:p w14:paraId="16903F4F"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lastRenderedPageBreak/>
        <w:t>Jaunesnių kaip 2 metų vaikų farmakokinetikos duomenų yra mažai. Tirta 53 vaikų nuo 6 mėnesių iki 12 metų lopinaviro / ritonaviro derinio geriamojo tirpalo 300/75 mg/m</w:t>
      </w:r>
      <w:r w:rsidRPr="00907D70">
        <w:rPr>
          <w:rFonts w:ascii="Times New Roman" w:eastAsia="Times New Roman" w:hAnsi="Times New Roman"/>
          <w:vertAlign w:val="superscript"/>
        </w:rPr>
        <w:t>2</w:t>
      </w:r>
      <w:r w:rsidRPr="00907D70">
        <w:rPr>
          <w:rFonts w:ascii="Times New Roman" w:eastAsia="Times New Roman" w:hAnsi="Times New Roman"/>
        </w:rPr>
        <w:t xml:space="preserve"> du kartus per parą ir 230/57,5 mg/m</w:t>
      </w:r>
      <w:r w:rsidRPr="00907D70">
        <w:rPr>
          <w:rFonts w:ascii="Times New Roman" w:eastAsia="Times New Roman" w:hAnsi="Times New Roman"/>
          <w:vertAlign w:val="superscript"/>
        </w:rPr>
        <w:t>2</w:t>
      </w:r>
      <w:r w:rsidRPr="00907D70">
        <w:rPr>
          <w:rFonts w:ascii="Times New Roman" w:eastAsia="Times New Roman" w:hAnsi="Times New Roman"/>
        </w:rPr>
        <w:t>, skiriamo du kartus per parą, farmakokinetika. Esant pastoviai koncentracijai, lopinaviro AUC, C</w:t>
      </w:r>
      <w:r w:rsidRPr="00907D70">
        <w:rPr>
          <w:rFonts w:ascii="Times New Roman" w:eastAsia="Times New Roman" w:hAnsi="Times New Roman"/>
          <w:vertAlign w:val="subscript"/>
        </w:rPr>
        <w:t>max</w:t>
      </w:r>
      <w:r w:rsidRPr="00907D70">
        <w:rPr>
          <w:rFonts w:ascii="Times New Roman" w:eastAsia="Times New Roman" w:hAnsi="Times New Roman"/>
        </w:rPr>
        <w:t xml:space="preserve"> ir C</w:t>
      </w:r>
      <w:r w:rsidRPr="00907D70">
        <w:rPr>
          <w:rFonts w:ascii="Times New Roman" w:eastAsia="Times New Roman" w:hAnsi="Times New Roman"/>
          <w:vertAlign w:val="subscript"/>
        </w:rPr>
        <w:t xml:space="preserve">min </w:t>
      </w:r>
      <w:r w:rsidRPr="00907D70">
        <w:rPr>
          <w:rFonts w:ascii="Times New Roman" w:eastAsia="Times New Roman" w:hAnsi="Times New Roman"/>
        </w:rPr>
        <w:t>buvo atitinkamai 72,6 ± 31,1 μg•h/ml, 8,2 ± 2,9 μg/ml ir 3,4 ± 2,1 μg/ml, po lopinaviro / ritonaviro derinio geriamojo tirpalo 230/57,5 mg/m</w:t>
      </w:r>
      <w:r w:rsidRPr="00907D70">
        <w:rPr>
          <w:rFonts w:ascii="Times New Roman" w:eastAsia="Times New Roman" w:hAnsi="Times New Roman"/>
          <w:vertAlign w:val="superscript"/>
        </w:rPr>
        <w:t>2</w:t>
      </w:r>
      <w:r w:rsidRPr="00907D70">
        <w:rPr>
          <w:rFonts w:ascii="Times New Roman" w:eastAsia="Times New Roman" w:hAnsi="Times New Roman"/>
        </w:rPr>
        <w:t xml:space="preserve"> du kartus per parą be nevirapino (n=12) bei atitinkamai 85,8 ± 36,9 μg•h/ml, 10,0 ± 3,3 μg/ml ir 3,6 ± 3,5 μg/ml po 300/75 mg/m</w:t>
      </w:r>
      <w:r w:rsidRPr="00907D70">
        <w:rPr>
          <w:rFonts w:ascii="Times New Roman" w:eastAsia="Times New Roman" w:hAnsi="Times New Roman"/>
          <w:vertAlign w:val="superscript"/>
        </w:rPr>
        <w:t xml:space="preserve">2 </w:t>
      </w:r>
      <w:r w:rsidRPr="00907D70">
        <w:rPr>
          <w:rFonts w:ascii="Times New Roman" w:eastAsia="Times New Roman" w:hAnsi="Times New Roman"/>
        </w:rPr>
        <w:t>du kartus per parą su nevirapinu (n=12). Vartojant 230/57,5 mg/m</w:t>
      </w:r>
      <w:r w:rsidRPr="00907D70">
        <w:rPr>
          <w:rFonts w:ascii="Times New Roman" w:eastAsia="Times New Roman" w:hAnsi="Times New Roman"/>
          <w:vertAlign w:val="superscript"/>
        </w:rPr>
        <w:t>2</w:t>
      </w:r>
      <w:r w:rsidRPr="00907D70">
        <w:rPr>
          <w:rFonts w:ascii="Times New Roman" w:eastAsia="Times New Roman" w:hAnsi="Times New Roman"/>
        </w:rPr>
        <w:t xml:space="preserve"> du kartus per parą be nevirapino ir 300/75 mg/m</w:t>
      </w:r>
      <w:r w:rsidRPr="00907D70">
        <w:rPr>
          <w:rFonts w:ascii="Times New Roman" w:eastAsia="Times New Roman" w:hAnsi="Times New Roman"/>
          <w:vertAlign w:val="superscript"/>
        </w:rPr>
        <w:t>2</w:t>
      </w:r>
      <w:r w:rsidRPr="00907D70">
        <w:rPr>
          <w:rFonts w:ascii="Times New Roman" w:eastAsia="Times New Roman" w:hAnsi="Times New Roman"/>
        </w:rPr>
        <w:t xml:space="preserve"> du kartus per parą su nevirapinu, plazmoje susidarė lopinaviro koncentracija, panaši į koncentraciją, nustatytą suaugusiesiems, gaunantiems 400/100 mg du kartus per parą be nevirapino.</w:t>
      </w:r>
    </w:p>
    <w:p w14:paraId="36D978DD" w14:textId="77777777" w:rsidR="00342622" w:rsidRPr="00907D70" w:rsidRDefault="00342622" w:rsidP="00342622">
      <w:pPr>
        <w:tabs>
          <w:tab w:val="left" w:pos="567"/>
        </w:tabs>
        <w:spacing w:after="0" w:line="240" w:lineRule="auto"/>
        <w:rPr>
          <w:rFonts w:ascii="Times New Roman" w:eastAsia="Times New Roman" w:hAnsi="Times New Roman"/>
        </w:rPr>
      </w:pPr>
    </w:p>
    <w:p w14:paraId="4FFE94D8"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Lytis, rasė ir amžius</w:t>
      </w:r>
    </w:p>
    <w:p w14:paraId="74A10525" w14:textId="77777777" w:rsidR="00342622" w:rsidRPr="00907D70" w:rsidRDefault="00342622" w:rsidP="00342622">
      <w:pPr>
        <w:tabs>
          <w:tab w:val="left" w:pos="567"/>
        </w:tabs>
        <w:spacing w:after="0" w:line="240" w:lineRule="auto"/>
        <w:rPr>
          <w:rFonts w:ascii="Times New Roman" w:eastAsia="Times New Roman" w:hAnsi="Times New Roman"/>
          <w:i/>
        </w:rPr>
      </w:pPr>
    </w:p>
    <w:p w14:paraId="604F651C"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Vyresnio amžiaus asmenims lopinaviro / ritonaviro derinio farmakokinetika netirta. </w:t>
      </w:r>
    </w:p>
    <w:p w14:paraId="60E6C8FF"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Suaugusiems pacientams nuo amžiaus ar lyties priklausomų farmakokinetikos skirtumų nepastebėta. Farmakokinetikos skirtumų dėl rasės nenustatyta.</w:t>
      </w:r>
    </w:p>
    <w:p w14:paraId="10B9D913" w14:textId="77777777" w:rsidR="00342622" w:rsidRPr="00907D70" w:rsidRDefault="00342622" w:rsidP="00342622">
      <w:pPr>
        <w:tabs>
          <w:tab w:val="left" w:pos="567"/>
        </w:tabs>
        <w:spacing w:after="0" w:line="240" w:lineRule="auto"/>
        <w:rPr>
          <w:rFonts w:ascii="Times New Roman" w:eastAsia="Times New Roman" w:hAnsi="Times New Roman"/>
        </w:rPr>
      </w:pPr>
    </w:p>
    <w:p w14:paraId="44C959BC"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Nėštumas ir pogimdyminis laikotarpis</w:t>
      </w:r>
    </w:p>
    <w:p w14:paraId="7B846519" w14:textId="77777777" w:rsidR="00342622" w:rsidRPr="00907D70" w:rsidRDefault="00342622" w:rsidP="00342622">
      <w:pPr>
        <w:tabs>
          <w:tab w:val="left" w:pos="567"/>
        </w:tabs>
        <w:spacing w:after="0" w:line="240" w:lineRule="auto"/>
        <w:rPr>
          <w:rFonts w:ascii="Times New Roman" w:eastAsia="Times New Roman" w:hAnsi="Times New Roman"/>
          <w:i/>
        </w:rPr>
      </w:pPr>
    </w:p>
    <w:p w14:paraId="21276E30"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Atviro farmakokinetikos tyrimo metu kombinuotas antiretrovirusinis gydymas buvo taikytas 12 ŽIV infekuotų nėščių moterų, kurių nėštumas buvo mažesnis kaip 20 nėštumo savaičių. Iš pradžių, iki 30 nėštumo savaitės, joms buvo taikytas antiretrovirusinis gydymas lopinaviro / ritonaviro 400 mg/100 mg deriniu (dvi tabletės po 200/50 mg) du kartus per parą kasdien. Kai nėštumas tapo 30 savaičių, dozė buvo padidinta iki 500/125 mg (dvi 200/50 mg tabletės ir viena 100/25 mg tabletė) du kartus per parą kasdien, kol praėjo 2 savaitės po gimdymo. Lopinaviro koncentracija kraujo plazmoje buvo vertinama keturis 12 valandų trukmės laikotarpius antrojo trimestro metu (20–24 nėštumo savaitę), trečiąjį trimestrą prieš dozės padidinimą (30 nėštumo savaitę), trečiąjį trimestrą po dozės padidinimo (32 nėštumo savaitę) ir praėjus 8 savaitėms po gimdymo. Dozės padidinimas nesukėlė reikšmingo lopinaviro koncentracijos padidėjimo kraujo plazmoje.</w:t>
      </w:r>
    </w:p>
    <w:p w14:paraId="00BAF5E4" w14:textId="77777777" w:rsidR="00342622" w:rsidRPr="00907D70" w:rsidRDefault="00342622" w:rsidP="00342622">
      <w:pPr>
        <w:tabs>
          <w:tab w:val="left" w:pos="567"/>
        </w:tabs>
        <w:spacing w:after="0" w:line="240" w:lineRule="auto"/>
        <w:rPr>
          <w:rFonts w:ascii="Times New Roman" w:eastAsia="Times New Roman" w:hAnsi="Times New Roman"/>
        </w:rPr>
      </w:pPr>
    </w:p>
    <w:p w14:paraId="1F77E620"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Kito atviro farmakokinetikos tyrimo metu 19 ŽIV infekuotų nėščių moterų vartojo lopinaviro / ritonaviro 400/100 mg derinio du kartus per parą kasdien kaip dalį taikomo kombinuoto antiretrovirusinio gydymo, kuris buvo pradėtas prieš pastojant ir skiriamas nėštumo metu. Kraujo mėginiai buvo imami prieš pradedant gydymą ir 12 valandų intervalais per visą gydymo kursą II ir III trimestro metu, gimdant ir 4-6 savaites po gimdymo (moterims, kurioms buvo tęsiamas gydymas po gimdymo), siekiant atlikti bendro ir nesujungto lopinaviro koncentracijos kraujo plazmoje analizę.</w:t>
      </w:r>
    </w:p>
    <w:p w14:paraId="55C4193D" w14:textId="77777777" w:rsidR="00342622" w:rsidRPr="00907D70" w:rsidRDefault="00342622" w:rsidP="00342622">
      <w:pPr>
        <w:tabs>
          <w:tab w:val="left" w:pos="567"/>
        </w:tabs>
        <w:spacing w:after="0" w:line="240" w:lineRule="auto"/>
        <w:rPr>
          <w:rFonts w:ascii="Times New Roman" w:eastAsia="Times New Roman" w:hAnsi="Times New Roman"/>
        </w:rPr>
      </w:pPr>
    </w:p>
    <w:p w14:paraId="5F0926AB"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ŽIV-1 infekuotų nėščių moterų, vartojusių lopinaviro / ritonaviro 400/100 mg derinio tablečių du kartus per parą kasdien, farmakokinetikos duomenys pateikti 6 lentelėje (žr. 4.2 skyrių).</w:t>
      </w:r>
    </w:p>
    <w:p w14:paraId="7D1D46AF" w14:textId="77777777" w:rsidR="00342622" w:rsidRPr="00907D70" w:rsidRDefault="00342622" w:rsidP="00342622">
      <w:pPr>
        <w:tabs>
          <w:tab w:val="left" w:pos="567"/>
        </w:tabs>
        <w:spacing w:after="0" w:line="240" w:lineRule="auto"/>
        <w:rPr>
          <w:rFonts w:ascii="Times New Roman" w:eastAsia="Times New Roman" w:hAnsi="Times New Roman"/>
        </w:rPr>
      </w:pPr>
    </w:p>
    <w:p w14:paraId="672D9C3C"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r w:rsidRPr="00907D70">
        <w:rPr>
          <w:rFonts w:ascii="Times New Roman" w:eastAsia="Times New Roman" w:hAnsi="Times New Roman"/>
        </w:rPr>
        <w:t>6 lentelė</w:t>
      </w:r>
    </w:p>
    <w:tbl>
      <w:tblPr>
        <w:tblW w:w="9280" w:type="dxa"/>
        <w:tblInd w:w="103" w:type="dxa"/>
        <w:tblLayout w:type="fixed"/>
        <w:tblCellMar>
          <w:left w:w="0" w:type="dxa"/>
          <w:right w:w="0" w:type="dxa"/>
        </w:tblCellMar>
        <w:tblLook w:val="01E0" w:firstRow="1" w:lastRow="1" w:firstColumn="1" w:lastColumn="1" w:noHBand="0" w:noVBand="0"/>
      </w:tblPr>
      <w:tblGrid>
        <w:gridCol w:w="2316"/>
        <w:gridCol w:w="2126"/>
        <w:gridCol w:w="2268"/>
        <w:gridCol w:w="2570"/>
      </w:tblGrid>
      <w:tr w:rsidR="00342622" w:rsidRPr="00907D70" w14:paraId="46061A8A" w14:textId="77777777" w:rsidTr="00160402">
        <w:trPr>
          <w:trHeight w:hRule="exact" w:val="528"/>
        </w:trPr>
        <w:tc>
          <w:tcPr>
            <w:tcW w:w="9280" w:type="dxa"/>
            <w:gridSpan w:val="4"/>
            <w:tcBorders>
              <w:top w:val="single" w:sz="7" w:space="0" w:color="000000"/>
              <w:left w:val="single" w:sz="7" w:space="0" w:color="000000"/>
              <w:bottom w:val="single" w:sz="7" w:space="0" w:color="000000"/>
              <w:right w:val="single" w:sz="7"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9071"/>
            </w:tblGrid>
            <w:tr w:rsidR="00342622" w:rsidRPr="00907D70" w14:paraId="47AB5FD4" w14:textId="77777777" w:rsidTr="0084240B">
              <w:trPr>
                <w:trHeight w:val="277"/>
              </w:trPr>
              <w:tc>
                <w:tcPr>
                  <w:tcW w:w="9071" w:type="dxa"/>
                </w:tcPr>
                <w:p w14:paraId="5BCFA2F4" w14:textId="77777777" w:rsidR="00342622" w:rsidRPr="00907D70" w:rsidRDefault="00342622" w:rsidP="0084240B">
                  <w:pPr>
                    <w:keepNext/>
                    <w:keepLines/>
                    <w:autoSpaceDE w:val="0"/>
                    <w:autoSpaceDN w:val="0"/>
                    <w:adjustRightInd w:val="0"/>
                    <w:spacing w:after="0" w:line="240" w:lineRule="auto"/>
                    <w:jc w:val="center"/>
                    <w:rPr>
                      <w:rFonts w:ascii="Times New Roman" w:hAnsi="Times New Roman"/>
                      <w:b/>
                      <w:color w:val="000000"/>
                      <w:lang w:eastAsia="lt-LT"/>
                    </w:rPr>
                  </w:pPr>
                  <w:r w:rsidRPr="00907D70">
                    <w:rPr>
                      <w:rFonts w:ascii="Times New Roman" w:hAnsi="Times New Roman"/>
                      <w:b/>
                      <w:bCs/>
                      <w:color w:val="000000"/>
                      <w:lang w:eastAsia="lt-LT"/>
                    </w:rPr>
                    <w:t>Vidutiniai (%CV) lopinaviro farmakokinetikos parametrai esant pusiausvyrinei koncentracijai ŽIV infekuotų moterų organizme</w:t>
                  </w:r>
                </w:p>
              </w:tc>
            </w:tr>
          </w:tbl>
          <w:p w14:paraId="14882528" w14:textId="77777777" w:rsidR="00342622" w:rsidRPr="00907D70" w:rsidRDefault="00342622" w:rsidP="0084240B">
            <w:pPr>
              <w:keepNext/>
              <w:keepLines/>
              <w:spacing w:before="3" w:after="0" w:line="240" w:lineRule="auto"/>
              <w:ind w:left="8" w:right="2906"/>
              <w:jc w:val="center"/>
              <w:rPr>
                <w:rFonts w:ascii="Times New Roman" w:eastAsia="Times New Roman" w:hAnsi="Times New Roman"/>
              </w:rPr>
            </w:pPr>
          </w:p>
        </w:tc>
      </w:tr>
      <w:tr w:rsidR="00342622" w:rsidRPr="00907D70" w14:paraId="0AE02A0B" w14:textId="77777777" w:rsidTr="00160402">
        <w:trPr>
          <w:trHeight w:hRule="exact" w:val="514"/>
        </w:trPr>
        <w:tc>
          <w:tcPr>
            <w:tcW w:w="2316" w:type="dxa"/>
            <w:tcBorders>
              <w:top w:val="single" w:sz="7" w:space="0" w:color="000000"/>
              <w:left w:val="single" w:sz="7" w:space="0" w:color="000000"/>
              <w:bottom w:val="single" w:sz="7" w:space="0" w:color="000000"/>
              <w:right w:val="single" w:sz="7" w:space="0" w:color="000000"/>
            </w:tcBorders>
          </w:tcPr>
          <w:p w14:paraId="73350402" w14:textId="77777777" w:rsidR="00342622" w:rsidRPr="00907D70" w:rsidRDefault="00342622" w:rsidP="0084240B">
            <w:pPr>
              <w:keepNext/>
              <w:keepLines/>
              <w:spacing w:before="3" w:after="0" w:line="240" w:lineRule="auto"/>
              <w:ind w:left="8" w:right="425"/>
              <w:jc w:val="center"/>
              <w:rPr>
                <w:rFonts w:ascii="Times New Roman" w:eastAsia="Times New Roman" w:hAnsi="Times New Roman"/>
              </w:rPr>
            </w:pPr>
            <w:r w:rsidRPr="00907D70">
              <w:rPr>
                <w:rFonts w:ascii="Times New Roman" w:eastAsia="Times New Roman" w:hAnsi="Times New Roman"/>
                <w:b/>
                <w:bCs/>
                <w:spacing w:val="-9"/>
                <w:w w:val="101"/>
              </w:rPr>
              <w:t>Farmakokinetikos parametras</w:t>
            </w:r>
          </w:p>
        </w:tc>
        <w:tc>
          <w:tcPr>
            <w:tcW w:w="2126" w:type="dxa"/>
            <w:tcBorders>
              <w:top w:val="single" w:sz="7" w:space="0" w:color="000000"/>
              <w:left w:val="single" w:sz="7" w:space="0" w:color="000000"/>
              <w:bottom w:val="single" w:sz="7" w:space="0" w:color="000000"/>
              <w:right w:val="single" w:sz="7" w:space="0" w:color="000000"/>
            </w:tcBorders>
          </w:tcPr>
          <w:p w14:paraId="53E7C5CC" w14:textId="77777777" w:rsidR="00342622" w:rsidRPr="00907D70" w:rsidRDefault="00342622" w:rsidP="0084240B">
            <w:pPr>
              <w:keepNext/>
              <w:keepLines/>
              <w:spacing w:after="0" w:line="239" w:lineRule="exact"/>
              <w:ind w:left="8"/>
              <w:jc w:val="center"/>
              <w:rPr>
                <w:rFonts w:ascii="Times New Roman" w:eastAsia="Times New Roman" w:hAnsi="Times New Roman"/>
                <w:b/>
                <w:bCs/>
              </w:rPr>
            </w:pPr>
            <w:r w:rsidRPr="00907D70">
              <w:rPr>
                <w:rFonts w:ascii="Times New Roman" w:eastAsia="Times New Roman" w:hAnsi="Times New Roman"/>
                <w:b/>
                <w:bCs/>
              </w:rPr>
              <w:t xml:space="preserve">2-sis trimestras </w:t>
            </w:r>
          </w:p>
          <w:p w14:paraId="7D9C13B9" w14:textId="77777777" w:rsidR="00342622" w:rsidRPr="00907D70" w:rsidRDefault="00342622" w:rsidP="0084240B">
            <w:pPr>
              <w:keepNext/>
              <w:keepLines/>
              <w:spacing w:after="0" w:line="239" w:lineRule="exact"/>
              <w:ind w:left="8"/>
              <w:jc w:val="center"/>
              <w:rPr>
                <w:rFonts w:ascii="Times New Roman" w:eastAsia="Times New Roman" w:hAnsi="Times New Roman"/>
              </w:rPr>
            </w:pPr>
            <w:r w:rsidRPr="00907D70">
              <w:rPr>
                <w:rFonts w:ascii="Times New Roman" w:eastAsia="Times New Roman" w:hAnsi="Times New Roman"/>
                <w:b/>
                <w:bCs/>
              </w:rPr>
              <w:t>n</w:t>
            </w:r>
            <w:r w:rsidRPr="00907D70">
              <w:rPr>
                <w:rFonts w:ascii="Times New Roman" w:eastAsia="Times New Roman" w:hAnsi="Times New Roman"/>
                <w:b/>
                <w:bCs/>
                <w:spacing w:val="13"/>
              </w:rPr>
              <w:t xml:space="preserve"> </w:t>
            </w:r>
            <w:r w:rsidRPr="00907D70">
              <w:rPr>
                <w:rFonts w:ascii="Times New Roman" w:eastAsia="Times New Roman" w:hAnsi="Times New Roman"/>
                <w:b/>
                <w:bCs/>
              </w:rPr>
              <w:t>=</w:t>
            </w:r>
            <w:r w:rsidRPr="00907D70">
              <w:rPr>
                <w:rFonts w:ascii="Times New Roman" w:eastAsia="Times New Roman" w:hAnsi="Times New Roman"/>
                <w:b/>
                <w:bCs/>
                <w:spacing w:val="10"/>
              </w:rPr>
              <w:t xml:space="preserve"> </w:t>
            </w:r>
            <w:r w:rsidRPr="00907D70">
              <w:rPr>
                <w:rFonts w:ascii="Times New Roman" w:eastAsia="Times New Roman" w:hAnsi="Times New Roman"/>
                <w:b/>
                <w:bCs/>
                <w:w w:val="101"/>
              </w:rPr>
              <w:t>17*</w:t>
            </w:r>
          </w:p>
        </w:tc>
        <w:tc>
          <w:tcPr>
            <w:tcW w:w="2268" w:type="dxa"/>
            <w:tcBorders>
              <w:top w:val="single" w:sz="7" w:space="0" w:color="000000"/>
              <w:left w:val="single" w:sz="7" w:space="0" w:color="000000"/>
              <w:bottom w:val="single" w:sz="7" w:space="0" w:color="000000"/>
              <w:right w:val="single" w:sz="7" w:space="0" w:color="000000"/>
            </w:tcBorders>
          </w:tcPr>
          <w:p w14:paraId="67ADA0A2" w14:textId="77777777" w:rsidR="00342622" w:rsidRPr="00907D70" w:rsidRDefault="00342622" w:rsidP="0084240B">
            <w:pPr>
              <w:keepNext/>
              <w:keepLines/>
              <w:spacing w:after="0" w:line="239" w:lineRule="exact"/>
              <w:ind w:left="8" w:right="370"/>
              <w:jc w:val="center"/>
              <w:rPr>
                <w:rFonts w:ascii="Times New Roman" w:eastAsia="Times New Roman" w:hAnsi="Times New Roman"/>
              </w:rPr>
            </w:pPr>
            <w:r w:rsidRPr="00907D70">
              <w:rPr>
                <w:rFonts w:ascii="Times New Roman" w:eastAsia="Times New Roman" w:hAnsi="Times New Roman"/>
                <w:b/>
                <w:bCs/>
              </w:rPr>
              <w:t>3-iasis trimestras</w:t>
            </w:r>
          </w:p>
          <w:p w14:paraId="0AF84D95" w14:textId="77777777" w:rsidR="00342622" w:rsidRPr="00907D70" w:rsidRDefault="00342622" w:rsidP="0084240B">
            <w:pPr>
              <w:keepNext/>
              <w:keepLines/>
              <w:spacing w:before="3" w:after="0" w:line="240" w:lineRule="auto"/>
              <w:ind w:left="8" w:right="742"/>
              <w:jc w:val="center"/>
              <w:rPr>
                <w:rFonts w:ascii="Times New Roman" w:eastAsia="Times New Roman" w:hAnsi="Times New Roman"/>
              </w:rPr>
            </w:pPr>
            <w:r w:rsidRPr="00907D70">
              <w:rPr>
                <w:rFonts w:ascii="Times New Roman" w:eastAsia="Times New Roman" w:hAnsi="Times New Roman"/>
                <w:b/>
                <w:bCs/>
              </w:rPr>
              <w:t>n</w:t>
            </w:r>
            <w:r w:rsidRPr="00907D70">
              <w:rPr>
                <w:rFonts w:ascii="Times New Roman" w:eastAsia="Times New Roman" w:hAnsi="Times New Roman"/>
                <w:b/>
                <w:bCs/>
                <w:spacing w:val="13"/>
              </w:rPr>
              <w:t xml:space="preserve"> </w:t>
            </w:r>
            <w:r w:rsidRPr="00907D70">
              <w:rPr>
                <w:rFonts w:ascii="Times New Roman" w:eastAsia="Times New Roman" w:hAnsi="Times New Roman"/>
                <w:b/>
                <w:bCs/>
              </w:rPr>
              <w:t>=</w:t>
            </w:r>
            <w:r w:rsidRPr="00907D70">
              <w:rPr>
                <w:rFonts w:ascii="Times New Roman" w:eastAsia="Times New Roman" w:hAnsi="Times New Roman"/>
                <w:b/>
                <w:bCs/>
                <w:spacing w:val="10"/>
              </w:rPr>
              <w:t xml:space="preserve"> </w:t>
            </w:r>
            <w:r w:rsidRPr="00907D70">
              <w:rPr>
                <w:rFonts w:ascii="Times New Roman" w:eastAsia="Times New Roman" w:hAnsi="Times New Roman"/>
                <w:b/>
                <w:bCs/>
                <w:w w:val="101"/>
              </w:rPr>
              <w:t>23</w:t>
            </w:r>
          </w:p>
        </w:tc>
        <w:tc>
          <w:tcPr>
            <w:tcW w:w="2570" w:type="dxa"/>
            <w:tcBorders>
              <w:top w:val="single" w:sz="7" w:space="0" w:color="000000"/>
              <w:left w:val="single" w:sz="7" w:space="0" w:color="000000"/>
              <w:bottom w:val="single" w:sz="7" w:space="0" w:color="000000"/>
              <w:right w:val="single" w:sz="7" w:space="0" w:color="000000"/>
            </w:tcBorders>
          </w:tcPr>
          <w:p w14:paraId="72C501BA" w14:textId="77777777" w:rsidR="00342622" w:rsidRPr="00907D70" w:rsidRDefault="00342622" w:rsidP="0084240B">
            <w:pPr>
              <w:keepNext/>
              <w:keepLines/>
              <w:spacing w:after="0" w:line="239" w:lineRule="exact"/>
              <w:ind w:left="8" w:right="348"/>
              <w:jc w:val="center"/>
              <w:rPr>
                <w:rFonts w:ascii="Times New Roman" w:eastAsia="Times New Roman" w:hAnsi="Times New Roman"/>
              </w:rPr>
            </w:pPr>
            <w:r w:rsidRPr="00907D70">
              <w:rPr>
                <w:rFonts w:ascii="Times New Roman" w:eastAsia="Times New Roman" w:hAnsi="Times New Roman"/>
                <w:b/>
                <w:bCs/>
                <w:spacing w:val="-9"/>
                <w:w w:val="101"/>
              </w:rPr>
              <w:t>P</w:t>
            </w:r>
            <w:r w:rsidRPr="00907D70">
              <w:rPr>
                <w:rFonts w:ascii="Times New Roman" w:eastAsia="Times New Roman" w:hAnsi="Times New Roman"/>
                <w:b/>
                <w:bCs/>
                <w:w w:val="101"/>
              </w:rPr>
              <w:t>ogimdyminis laikotarpis n</w:t>
            </w:r>
            <w:r w:rsidRPr="00907D70">
              <w:rPr>
                <w:rFonts w:ascii="Times New Roman" w:eastAsia="Times New Roman" w:hAnsi="Times New Roman"/>
                <w:b/>
                <w:bCs/>
                <w:spacing w:val="13"/>
              </w:rPr>
              <w:t xml:space="preserve"> </w:t>
            </w:r>
            <w:r w:rsidRPr="00907D70">
              <w:rPr>
                <w:rFonts w:ascii="Times New Roman" w:eastAsia="Times New Roman" w:hAnsi="Times New Roman"/>
                <w:b/>
                <w:bCs/>
              </w:rPr>
              <w:t>=</w:t>
            </w:r>
            <w:r w:rsidRPr="00907D70">
              <w:rPr>
                <w:rFonts w:ascii="Times New Roman" w:eastAsia="Times New Roman" w:hAnsi="Times New Roman"/>
                <w:b/>
                <w:bCs/>
                <w:spacing w:val="10"/>
              </w:rPr>
              <w:t xml:space="preserve"> </w:t>
            </w:r>
            <w:r w:rsidRPr="00907D70">
              <w:rPr>
                <w:rFonts w:ascii="Times New Roman" w:eastAsia="Times New Roman" w:hAnsi="Times New Roman"/>
                <w:b/>
                <w:bCs/>
                <w:w w:val="101"/>
              </w:rPr>
              <w:t>17**</w:t>
            </w:r>
          </w:p>
        </w:tc>
      </w:tr>
      <w:tr w:rsidR="00342622" w:rsidRPr="00907D70" w14:paraId="02F000F1" w14:textId="77777777" w:rsidTr="00160402">
        <w:trPr>
          <w:trHeight w:hRule="exact" w:val="304"/>
        </w:trPr>
        <w:tc>
          <w:tcPr>
            <w:tcW w:w="2316" w:type="dxa"/>
            <w:tcBorders>
              <w:top w:val="single" w:sz="7" w:space="0" w:color="000000"/>
              <w:left w:val="single" w:sz="7" w:space="0" w:color="000000"/>
              <w:bottom w:val="single" w:sz="7" w:space="0" w:color="000000"/>
              <w:right w:val="single" w:sz="7" w:space="0" w:color="000000"/>
            </w:tcBorders>
          </w:tcPr>
          <w:p w14:paraId="54B9AA02" w14:textId="77777777" w:rsidR="00342622" w:rsidRPr="00907D70" w:rsidRDefault="00342622" w:rsidP="0084240B">
            <w:pPr>
              <w:keepNext/>
              <w:keepLines/>
              <w:spacing w:after="0" w:line="283" w:lineRule="exact"/>
              <w:ind w:left="8" w:right="-20"/>
              <w:rPr>
                <w:rFonts w:ascii="Times New Roman" w:eastAsia="Times New Roman" w:hAnsi="Times New Roman"/>
              </w:rPr>
            </w:pPr>
            <w:r w:rsidRPr="00907D70">
              <w:rPr>
                <w:rFonts w:ascii="Times New Roman" w:eastAsia="Times New Roman" w:hAnsi="Times New Roman"/>
              </w:rPr>
              <w:t>AUC</w:t>
            </w:r>
            <w:r w:rsidRPr="00907D70">
              <w:rPr>
                <w:rFonts w:ascii="Times New Roman" w:eastAsia="Times New Roman" w:hAnsi="Times New Roman"/>
                <w:vertAlign w:val="subscript"/>
              </w:rPr>
              <w:t>0-12</w:t>
            </w:r>
            <w:r w:rsidRPr="00907D70">
              <w:rPr>
                <w:rFonts w:ascii="Times New Roman" w:eastAsia="Times New Roman" w:hAnsi="Times New Roman"/>
              </w:rPr>
              <w:t xml:space="preserve"> μg•val./ml</w:t>
            </w:r>
          </w:p>
        </w:tc>
        <w:tc>
          <w:tcPr>
            <w:tcW w:w="2126" w:type="dxa"/>
            <w:tcBorders>
              <w:top w:val="single" w:sz="7" w:space="0" w:color="000000"/>
              <w:left w:val="single" w:sz="7" w:space="0" w:color="000000"/>
              <w:bottom w:val="single" w:sz="7" w:space="0" w:color="000000"/>
              <w:right w:val="single" w:sz="7" w:space="0" w:color="000000"/>
            </w:tcBorders>
          </w:tcPr>
          <w:p w14:paraId="71BBE989" w14:textId="77777777" w:rsidR="00342622" w:rsidRPr="00907D70" w:rsidRDefault="00342622" w:rsidP="0084240B">
            <w:pPr>
              <w:keepNext/>
              <w:keepLines/>
              <w:spacing w:before="1" w:after="0" w:line="240" w:lineRule="auto"/>
              <w:ind w:left="8" w:right="-20"/>
              <w:rPr>
                <w:rFonts w:ascii="Times New Roman" w:eastAsia="Times New Roman" w:hAnsi="Times New Roman"/>
              </w:rPr>
            </w:pPr>
            <w:r w:rsidRPr="00907D70">
              <w:rPr>
                <w:rFonts w:ascii="Times New Roman" w:eastAsia="Times New Roman" w:hAnsi="Times New Roman"/>
              </w:rPr>
              <w:t>68</w:t>
            </w:r>
            <w:r w:rsidRPr="00907D70">
              <w:rPr>
                <w:rFonts w:ascii="Times New Roman" w:eastAsia="Times New Roman" w:hAnsi="Times New Roman"/>
                <w:spacing w:val="8"/>
              </w:rPr>
              <w:t>,</w:t>
            </w:r>
            <w:r w:rsidRPr="00907D70">
              <w:rPr>
                <w:rFonts w:ascii="Times New Roman" w:eastAsia="Times New Roman" w:hAnsi="Times New Roman"/>
              </w:rPr>
              <w:t>7</w:t>
            </w:r>
            <w:r w:rsidRPr="00907D70">
              <w:rPr>
                <w:rFonts w:ascii="Times New Roman" w:eastAsia="Times New Roman" w:hAnsi="Times New Roman"/>
                <w:spacing w:val="13"/>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20</w:t>
            </w:r>
            <w:r w:rsidRPr="00907D70">
              <w:rPr>
                <w:rFonts w:ascii="Times New Roman" w:eastAsia="Times New Roman" w:hAnsi="Times New Roman"/>
                <w:spacing w:val="8"/>
                <w:w w:val="101"/>
              </w:rPr>
              <w:t>,</w:t>
            </w:r>
            <w:r w:rsidRPr="00907D70">
              <w:rPr>
                <w:rFonts w:ascii="Times New Roman" w:eastAsia="Times New Roman" w:hAnsi="Times New Roman"/>
                <w:w w:val="101"/>
              </w:rPr>
              <w:t>6)</w:t>
            </w:r>
          </w:p>
        </w:tc>
        <w:tc>
          <w:tcPr>
            <w:tcW w:w="2268" w:type="dxa"/>
            <w:tcBorders>
              <w:top w:val="single" w:sz="7" w:space="0" w:color="000000"/>
              <w:left w:val="single" w:sz="7" w:space="0" w:color="000000"/>
              <w:bottom w:val="single" w:sz="7" w:space="0" w:color="000000"/>
              <w:right w:val="single" w:sz="7" w:space="0" w:color="000000"/>
            </w:tcBorders>
          </w:tcPr>
          <w:p w14:paraId="50FB32AA" w14:textId="77777777" w:rsidR="00342622" w:rsidRPr="00907D70" w:rsidRDefault="00342622" w:rsidP="0084240B">
            <w:pPr>
              <w:keepNext/>
              <w:keepLines/>
              <w:spacing w:before="1" w:after="0" w:line="240" w:lineRule="auto"/>
              <w:ind w:left="8" w:right="-20"/>
              <w:rPr>
                <w:rFonts w:ascii="Times New Roman" w:eastAsia="Times New Roman" w:hAnsi="Times New Roman"/>
              </w:rPr>
            </w:pPr>
            <w:r w:rsidRPr="00907D70">
              <w:rPr>
                <w:rFonts w:ascii="Times New Roman" w:eastAsia="Times New Roman" w:hAnsi="Times New Roman"/>
              </w:rPr>
              <w:t>61</w:t>
            </w:r>
            <w:r w:rsidRPr="00907D70">
              <w:rPr>
                <w:rFonts w:ascii="Times New Roman" w:eastAsia="Times New Roman" w:hAnsi="Times New Roman"/>
                <w:spacing w:val="8"/>
              </w:rPr>
              <w:t>,</w:t>
            </w:r>
            <w:r w:rsidRPr="00907D70">
              <w:rPr>
                <w:rFonts w:ascii="Times New Roman" w:eastAsia="Times New Roman" w:hAnsi="Times New Roman"/>
              </w:rPr>
              <w:t>3</w:t>
            </w:r>
            <w:r w:rsidRPr="00907D70">
              <w:rPr>
                <w:rFonts w:ascii="Times New Roman" w:eastAsia="Times New Roman" w:hAnsi="Times New Roman"/>
                <w:spacing w:val="13"/>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22</w:t>
            </w:r>
            <w:r w:rsidRPr="00907D70">
              <w:rPr>
                <w:rFonts w:ascii="Times New Roman" w:eastAsia="Times New Roman" w:hAnsi="Times New Roman"/>
                <w:spacing w:val="8"/>
                <w:w w:val="101"/>
              </w:rPr>
              <w:t>,</w:t>
            </w:r>
            <w:r w:rsidRPr="00907D70">
              <w:rPr>
                <w:rFonts w:ascii="Times New Roman" w:eastAsia="Times New Roman" w:hAnsi="Times New Roman"/>
                <w:w w:val="101"/>
              </w:rPr>
              <w:t>7)</w:t>
            </w:r>
          </w:p>
        </w:tc>
        <w:tc>
          <w:tcPr>
            <w:tcW w:w="2570" w:type="dxa"/>
            <w:tcBorders>
              <w:top w:val="single" w:sz="7" w:space="0" w:color="000000"/>
              <w:left w:val="single" w:sz="7" w:space="0" w:color="000000"/>
              <w:bottom w:val="single" w:sz="7" w:space="0" w:color="000000"/>
              <w:right w:val="single" w:sz="7" w:space="0" w:color="000000"/>
            </w:tcBorders>
          </w:tcPr>
          <w:p w14:paraId="4FD39460" w14:textId="77777777" w:rsidR="00342622" w:rsidRPr="00907D70" w:rsidRDefault="00342622" w:rsidP="0084240B">
            <w:pPr>
              <w:keepNext/>
              <w:keepLines/>
              <w:spacing w:before="1" w:after="0" w:line="240" w:lineRule="auto"/>
              <w:ind w:left="8" w:right="-20"/>
              <w:rPr>
                <w:rFonts w:ascii="Times New Roman" w:eastAsia="Times New Roman" w:hAnsi="Times New Roman"/>
              </w:rPr>
            </w:pPr>
            <w:r w:rsidRPr="00907D70">
              <w:rPr>
                <w:rFonts w:ascii="Times New Roman" w:eastAsia="Times New Roman" w:hAnsi="Times New Roman"/>
              </w:rPr>
              <w:t>94</w:t>
            </w:r>
            <w:r w:rsidRPr="00907D70">
              <w:rPr>
                <w:rFonts w:ascii="Times New Roman" w:eastAsia="Times New Roman" w:hAnsi="Times New Roman"/>
                <w:spacing w:val="8"/>
              </w:rPr>
              <w:t>,</w:t>
            </w:r>
            <w:r w:rsidRPr="00907D70">
              <w:rPr>
                <w:rFonts w:ascii="Times New Roman" w:eastAsia="Times New Roman" w:hAnsi="Times New Roman"/>
              </w:rPr>
              <w:t>3</w:t>
            </w:r>
            <w:r w:rsidRPr="00907D70">
              <w:rPr>
                <w:rFonts w:ascii="Times New Roman" w:eastAsia="Times New Roman" w:hAnsi="Times New Roman"/>
                <w:spacing w:val="13"/>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30</w:t>
            </w:r>
            <w:r w:rsidRPr="00907D70">
              <w:rPr>
                <w:rFonts w:ascii="Times New Roman" w:eastAsia="Times New Roman" w:hAnsi="Times New Roman"/>
                <w:spacing w:val="8"/>
                <w:w w:val="101"/>
              </w:rPr>
              <w:t>,</w:t>
            </w:r>
            <w:r w:rsidRPr="00907D70">
              <w:rPr>
                <w:rFonts w:ascii="Times New Roman" w:eastAsia="Times New Roman" w:hAnsi="Times New Roman"/>
                <w:w w:val="101"/>
              </w:rPr>
              <w:t>3)</w:t>
            </w:r>
          </w:p>
        </w:tc>
      </w:tr>
      <w:tr w:rsidR="00342622" w:rsidRPr="00907D70" w14:paraId="6118C793" w14:textId="77777777" w:rsidTr="00160402">
        <w:trPr>
          <w:trHeight w:hRule="exact" w:val="272"/>
        </w:trPr>
        <w:tc>
          <w:tcPr>
            <w:tcW w:w="2316" w:type="dxa"/>
            <w:tcBorders>
              <w:top w:val="single" w:sz="7" w:space="0" w:color="000000"/>
              <w:left w:val="single" w:sz="7" w:space="0" w:color="000000"/>
              <w:bottom w:val="single" w:sz="7" w:space="0" w:color="000000"/>
              <w:right w:val="single" w:sz="7" w:space="0" w:color="000000"/>
            </w:tcBorders>
          </w:tcPr>
          <w:p w14:paraId="4C60DDC4" w14:textId="77777777" w:rsidR="00342622" w:rsidRPr="00907D70" w:rsidRDefault="00342622" w:rsidP="0084240B">
            <w:pPr>
              <w:keepNext/>
              <w:keepLines/>
              <w:spacing w:after="0" w:line="253" w:lineRule="exact"/>
              <w:ind w:left="8" w:right="1149"/>
              <w:rPr>
                <w:rFonts w:ascii="Times New Roman" w:eastAsia="Times New Roman" w:hAnsi="Times New Roman"/>
              </w:rPr>
            </w:pPr>
            <w:r w:rsidRPr="00907D70">
              <w:rPr>
                <w:rFonts w:ascii="Times New Roman" w:eastAsia="Times New Roman" w:hAnsi="Times New Roman"/>
              </w:rPr>
              <w:t>C</w:t>
            </w:r>
            <w:r w:rsidRPr="00907D70">
              <w:rPr>
                <w:rFonts w:ascii="Times New Roman" w:eastAsia="Times New Roman" w:hAnsi="Times New Roman"/>
                <w:vertAlign w:val="subscript"/>
              </w:rPr>
              <w:t>max</w:t>
            </w:r>
          </w:p>
        </w:tc>
        <w:tc>
          <w:tcPr>
            <w:tcW w:w="2126" w:type="dxa"/>
            <w:tcBorders>
              <w:top w:val="single" w:sz="7" w:space="0" w:color="000000"/>
              <w:left w:val="single" w:sz="7" w:space="0" w:color="000000"/>
              <w:bottom w:val="single" w:sz="7" w:space="0" w:color="000000"/>
              <w:right w:val="single" w:sz="7" w:space="0" w:color="000000"/>
            </w:tcBorders>
          </w:tcPr>
          <w:p w14:paraId="3B28753B"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7</w:t>
            </w:r>
            <w:r w:rsidRPr="00907D70">
              <w:rPr>
                <w:rFonts w:ascii="Times New Roman" w:eastAsia="Times New Roman" w:hAnsi="Times New Roman"/>
                <w:spacing w:val="8"/>
              </w:rPr>
              <w:t>,</w:t>
            </w:r>
            <w:r w:rsidRPr="00907D70">
              <w:rPr>
                <w:rFonts w:ascii="Times New Roman" w:eastAsia="Times New Roman" w:hAnsi="Times New Roman"/>
              </w:rPr>
              <w:t>9</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21</w:t>
            </w:r>
            <w:r w:rsidRPr="00907D70">
              <w:rPr>
                <w:rFonts w:ascii="Times New Roman" w:eastAsia="Times New Roman" w:hAnsi="Times New Roman"/>
                <w:spacing w:val="8"/>
                <w:w w:val="101"/>
              </w:rPr>
              <w:t>,</w:t>
            </w:r>
            <w:r w:rsidRPr="00907D70">
              <w:rPr>
                <w:rFonts w:ascii="Times New Roman" w:eastAsia="Times New Roman" w:hAnsi="Times New Roman"/>
                <w:w w:val="101"/>
              </w:rPr>
              <w:t>1)</w:t>
            </w:r>
          </w:p>
        </w:tc>
        <w:tc>
          <w:tcPr>
            <w:tcW w:w="2268" w:type="dxa"/>
            <w:tcBorders>
              <w:top w:val="single" w:sz="7" w:space="0" w:color="000000"/>
              <w:left w:val="single" w:sz="7" w:space="0" w:color="000000"/>
              <w:bottom w:val="single" w:sz="7" w:space="0" w:color="000000"/>
              <w:right w:val="single" w:sz="7" w:space="0" w:color="000000"/>
            </w:tcBorders>
          </w:tcPr>
          <w:p w14:paraId="1A263ECA"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7</w:t>
            </w:r>
            <w:r w:rsidRPr="00907D70">
              <w:rPr>
                <w:rFonts w:ascii="Times New Roman" w:eastAsia="Times New Roman" w:hAnsi="Times New Roman"/>
                <w:spacing w:val="8"/>
              </w:rPr>
              <w:t>,</w:t>
            </w:r>
            <w:r w:rsidRPr="00907D70">
              <w:rPr>
                <w:rFonts w:ascii="Times New Roman" w:eastAsia="Times New Roman" w:hAnsi="Times New Roman"/>
              </w:rPr>
              <w:t>5</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18</w:t>
            </w:r>
            <w:r w:rsidRPr="00907D70">
              <w:rPr>
                <w:rFonts w:ascii="Times New Roman" w:eastAsia="Times New Roman" w:hAnsi="Times New Roman"/>
                <w:spacing w:val="8"/>
                <w:w w:val="101"/>
              </w:rPr>
              <w:t>,</w:t>
            </w:r>
            <w:r w:rsidRPr="00907D70">
              <w:rPr>
                <w:rFonts w:ascii="Times New Roman" w:eastAsia="Times New Roman" w:hAnsi="Times New Roman"/>
                <w:w w:val="101"/>
              </w:rPr>
              <w:t>7)</w:t>
            </w:r>
          </w:p>
        </w:tc>
        <w:tc>
          <w:tcPr>
            <w:tcW w:w="2570" w:type="dxa"/>
            <w:tcBorders>
              <w:top w:val="single" w:sz="7" w:space="0" w:color="000000"/>
              <w:left w:val="single" w:sz="7" w:space="0" w:color="000000"/>
              <w:bottom w:val="single" w:sz="7" w:space="0" w:color="000000"/>
              <w:right w:val="single" w:sz="7" w:space="0" w:color="000000"/>
            </w:tcBorders>
          </w:tcPr>
          <w:p w14:paraId="48438381"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9</w:t>
            </w:r>
            <w:r w:rsidRPr="00907D70">
              <w:rPr>
                <w:rFonts w:ascii="Times New Roman" w:eastAsia="Times New Roman" w:hAnsi="Times New Roman"/>
                <w:spacing w:val="8"/>
              </w:rPr>
              <w:t>,</w:t>
            </w:r>
            <w:r w:rsidRPr="00907D70">
              <w:rPr>
                <w:rFonts w:ascii="Times New Roman" w:eastAsia="Times New Roman" w:hAnsi="Times New Roman"/>
              </w:rPr>
              <w:t>8</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24</w:t>
            </w:r>
            <w:r w:rsidRPr="00907D70">
              <w:rPr>
                <w:rFonts w:ascii="Times New Roman" w:eastAsia="Times New Roman" w:hAnsi="Times New Roman"/>
                <w:spacing w:val="8"/>
                <w:w w:val="101"/>
              </w:rPr>
              <w:t>,</w:t>
            </w:r>
            <w:r w:rsidRPr="00907D70">
              <w:rPr>
                <w:rFonts w:ascii="Times New Roman" w:eastAsia="Times New Roman" w:hAnsi="Times New Roman"/>
                <w:w w:val="101"/>
              </w:rPr>
              <w:t>3)</w:t>
            </w:r>
          </w:p>
        </w:tc>
      </w:tr>
      <w:tr w:rsidR="00342622" w:rsidRPr="00907D70" w14:paraId="18CFB54F" w14:textId="77777777" w:rsidTr="00160402">
        <w:trPr>
          <w:trHeight w:hRule="exact" w:val="272"/>
        </w:trPr>
        <w:tc>
          <w:tcPr>
            <w:tcW w:w="2316" w:type="dxa"/>
            <w:tcBorders>
              <w:top w:val="single" w:sz="7" w:space="0" w:color="000000"/>
              <w:left w:val="single" w:sz="7" w:space="0" w:color="000000"/>
              <w:bottom w:val="single" w:sz="7" w:space="0" w:color="000000"/>
              <w:right w:val="single" w:sz="7" w:space="0" w:color="000000"/>
            </w:tcBorders>
          </w:tcPr>
          <w:p w14:paraId="0EAD38D5" w14:textId="77777777" w:rsidR="00342622" w:rsidRPr="00907D70" w:rsidRDefault="00342622" w:rsidP="0084240B">
            <w:pPr>
              <w:keepNext/>
              <w:keepLines/>
              <w:spacing w:after="0" w:line="253" w:lineRule="exact"/>
              <w:ind w:left="8" w:right="-20"/>
              <w:rPr>
                <w:rFonts w:ascii="Times New Roman" w:eastAsia="Times New Roman" w:hAnsi="Times New Roman"/>
              </w:rPr>
            </w:pPr>
            <w:r w:rsidRPr="00907D70">
              <w:rPr>
                <w:rFonts w:ascii="Times New Roman" w:eastAsia="Times New Roman" w:hAnsi="Times New Roman"/>
              </w:rPr>
              <w:t>C</w:t>
            </w:r>
            <w:r w:rsidRPr="00907D70">
              <w:rPr>
                <w:rFonts w:ascii="Times New Roman" w:eastAsia="Times New Roman" w:hAnsi="Times New Roman"/>
                <w:vertAlign w:val="subscript"/>
              </w:rPr>
              <w:t>prieš dozę</w:t>
            </w:r>
            <w:r w:rsidRPr="00907D70">
              <w:rPr>
                <w:rFonts w:ascii="Times New Roman" w:eastAsia="Times New Roman" w:hAnsi="Times New Roman"/>
              </w:rPr>
              <w:t xml:space="preserve"> μg /ml</w:t>
            </w:r>
          </w:p>
        </w:tc>
        <w:tc>
          <w:tcPr>
            <w:tcW w:w="2126" w:type="dxa"/>
            <w:tcBorders>
              <w:top w:val="single" w:sz="7" w:space="0" w:color="000000"/>
              <w:left w:val="single" w:sz="7" w:space="0" w:color="000000"/>
              <w:bottom w:val="single" w:sz="7" w:space="0" w:color="000000"/>
              <w:right w:val="single" w:sz="7" w:space="0" w:color="000000"/>
            </w:tcBorders>
          </w:tcPr>
          <w:p w14:paraId="266A0278"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4</w:t>
            </w:r>
            <w:r w:rsidRPr="00907D70">
              <w:rPr>
                <w:rFonts w:ascii="Times New Roman" w:eastAsia="Times New Roman" w:hAnsi="Times New Roman"/>
                <w:spacing w:val="8"/>
              </w:rPr>
              <w:t>,</w:t>
            </w:r>
            <w:r w:rsidRPr="00907D70">
              <w:rPr>
                <w:rFonts w:ascii="Times New Roman" w:eastAsia="Times New Roman" w:hAnsi="Times New Roman"/>
              </w:rPr>
              <w:t>7</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25</w:t>
            </w:r>
            <w:r w:rsidRPr="00907D70">
              <w:rPr>
                <w:rFonts w:ascii="Times New Roman" w:eastAsia="Times New Roman" w:hAnsi="Times New Roman"/>
                <w:spacing w:val="8"/>
                <w:w w:val="101"/>
              </w:rPr>
              <w:t>,</w:t>
            </w:r>
            <w:r w:rsidRPr="00907D70">
              <w:rPr>
                <w:rFonts w:ascii="Times New Roman" w:eastAsia="Times New Roman" w:hAnsi="Times New Roman"/>
                <w:w w:val="101"/>
              </w:rPr>
              <w:t>2)</w:t>
            </w:r>
          </w:p>
        </w:tc>
        <w:tc>
          <w:tcPr>
            <w:tcW w:w="2268" w:type="dxa"/>
            <w:tcBorders>
              <w:top w:val="single" w:sz="7" w:space="0" w:color="000000"/>
              <w:left w:val="single" w:sz="7" w:space="0" w:color="000000"/>
              <w:bottom w:val="single" w:sz="7" w:space="0" w:color="000000"/>
              <w:right w:val="single" w:sz="7" w:space="0" w:color="000000"/>
            </w:tcBorders>
          </w:tcPr>
          <w:p w14:paraId="4BED8D2F"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4</w:t>
            </w:r>
            <w:r w:rsidRPr="00907D70">
              <w:rPr>
                <w:rFonts w:ascii="Times New Roman" w:eastAsia="Times New Roman" w:hAnsi="Times New Roman"/>
                <w:spacing w:val="8"/>
              </w:rPr>
              <w:t>,</w:t>
            </w:r>
            <w:r w:rsidRPr="00907D70">
              <w:rPr>
                <w:rFonts w:ascii="Times New Roman" w:eastAsia="Times New Roman" w:hAnsi="Times New Roman"/>
              </w:rPr>
              <w:t>3</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39</w:t>
            </w:r>
            <w:r w:rsidRPr="00907D70">
              <w:rPr>
                <w:rFonts w:ascii="Times New Roman" w:eastAsia="Times New Roman" w:hAnsi="Times New Roman"/>
                <w:spacing w:val="8"/>
                <w:w w:val="101"/>
              </w:rPr>
              <w:t>,</w:t>
            </w:r>
            <w:r w:rsidRPr="00907D70">
              <w:rPr>
                <w:rFonts w:ascii="Times New Roman" w:eastAsia="Times New Roman" w:hAnsi="Times New Roman"/>
                <w:w w:val="101"/>
              </w:rPr>
              <w:t>0)</w:t>
            </w:r>
          </w:p>
        </w:tc>
        <w:tc>
          <w:tcPr>
            <w:tcW w:w="2570" w:type="dxa"/>
            <w:tcBorders>
              <w:top w:val="single" w:sz="7" w:space="0" w:color="000000"/>
              <w:left w:val="single" w:sz="7" w:space="0" w:color="000000"/>
              <w:bottom w:val="single" w:sz="7" w:space="0" w:color="000000"/>
              <w:right w:val="single" w:sz="7" w:space="0" w:color="000000"/>
            </w:tcBorders>
          </w:tcPr>
          <w:p w14:paraId="734E2ADF" w14:textId="77777777" w:rsidR="00342622" w:rsidRPr="00907D70" w:rsidRDefault="00342622" w:rsidP="0084240B">
            <w:pPr>
              <w:keepNext/>
              <w:keepLines/>
              <w:spacing w:after="0" w:line="239" w:lineRule="exact"/>
              <w:ind w:left="8" w:right="-20"/>
              <w:rPr>
                <w:rFonts w:ascii="Times New Roman" w:eastAsia="Times New Roman" w:hAnsi="Times New Roman"/>
              </w:rPr>
            </w:pPr>
            <w:r w:rsidRPr="00907D70">
              <w:rPr>
                <w:rFonts w:ascii="Times New Roman" w:eastAsia="Times New Roman" w:hAnsi="Times New Roman"/>
              </w:rPr>
              <w:t>6</w:t>
            </w:r>
            <w:r w:rsidRPr="00907D70">
              <w:rPr>
                <w:rFonts w:ascii="Times New Roman" w:eastAsia="Times New Roman" w:hAnsi="Times New Roman"/>
                <w:spacing w:val="8"/>
              </w:rPr>
              <w:t>,</w:t>
            </w:r>
            <w:r w:rsidRPr="00907D70">
              <w:rPr>
                <w:rFonts w:ascii="Times New Roman" w:eastAsia="Times New Roman" w:hAnsi="Times New Roman"/>
              </w:rPr>
              <w:t>5</w:t>
            </w:r>
            <w:r w:rsidRPr="00907D70">
              <w:rPr>
                <w:rFonts w:ascii="Times New Roman" w:eastAsia="Times New Roman" w:hAnsi="Times New Roman"/>
                <w:spacing w:val="12"/>
              </w:rPr>
              <w:t xml:space="preserve"> </w:t>
            </w:r>
            <w:r w:rsidRPr="00907D70">
              <w:rPr>
                <w:rFonts w:ascii="Times New Roman" w:eastAsia="Times New Roman" w:hAnsi="Times New Roman"/>
                <w:spacing w:val="5"/>
                <w:w w:val="101"/>
              </w:rPr>
              <w:t>(</w:t>
            </w:r>
            <w:r w:rsidRPr="00907D70">
              <w:rPr>
                <w:rFonts w:ascii="Times New Roman" w:eastAsia="Times New Roman" w:hAnsi="Times New Roman"/>
                <w:w w:val="101"/>
              </w:rPr>
              <w:t>40</w:t>
            </w:r>
            <w:r w:rsidRPr="00907D70">
              <w:rPr>
                <w:rFonts w:ascii="Times New Roman" w:eastAsia="Times New Roman" w:hAnsi="Times New Roman"/>
                <w:spacing w:val="8"/>
                <w:w w:val="101"/>
              </w:rPr>
              <w:t>,</w:t>
            </w:r>
            <w:r w:rsidRPr="00907D70">
              <w:rPr>
                <w:rFonts w:ascii="Times New Roman" w:eastAsia="Times New Roman" w:hAnsi="Times New Roman"/>
                <w:w w:val="101"/>
              </w:rPr>
              <w:t>4)</w:t>
            </w:r>
          </w:p>
        </w:tc>
      </w:tr>
      <w:tr w:rsidR="00342622" w:rsidRPr="00907D70" w14:paraId="3C5BD59D" w14:textId="77777777" w:rsidTr="00160402">
        <w:trPr>
          <w:trHeight w:hRule="exact" w:val="704"/>
        </w:trPr>
        <w:tc>
          <w:tcPr>
            <w:tcW w:w="9280" w:type="dxa"/>
            <w:gridSpan w:val="4"/>
            <w:tcBorders>
              <w:top w:val="single" w:sz="7" w:space="0" w:color="000000"/>
              <w:left w:val="single" w:sz="7" w:space="0" w:color="000000"/>
              <w:bottom w:val="single" w:sz="7" w:space="0" w:color="000000"/>
              <w:right w:val="single" w:sz="7" w:space="0" w:color="000000"/>
            </w:tcBorders>
          </w:tcPr>
          <w:p w14:paraId="736B5AC2" w14:textId="77777777" w:rsidR="00342622" w:rsidRPr="00907D70" w:rsidRDefault="00342622" w:rsidP="0084240B">
            <w:pPr>
              <w:keepNext/>
              <w:keepLines/>
              <w:spacing w:after="0" w:line="235" w:lineRule="exact"/>
              <w:ind w:left="8" w:right="-20"/>
              <w:rPr>
                <w:rFonts w:ascii="Times New Roman" w:eastAsia="Times New Roman" w:hAnsi="Times New Roman"/>
              </w:rPr>
            </w:pPr>
            <w:r w:rsidRPr="00907D70">
              <w:rPr>
                <w:rFonts w:ascii="Times New Roman" w:eastAsia="Times New Roman" w:hAnsi="Times New Roman"/>
              </w:rPr>
              <w:t>* n = 18 C</w:t>
            </w:r>
            <w:r w:rsidRPr="00907D70">
              <w:rPr>
                <w:rFonts w:ascii="Times New Roman" w:eastAsia="Times New Roman" w:hAnsi="Times New Roman"/>
                <w:vertAlign w:val="subscript"/>
              </w:rPr>
              <w:t>max</w:t>
            </w:r>
          </w:p>
          <w:p w14:paraId="7885B41E" w14:textId="77777777" w:rsidR="00342622" w:rsidRPr="00907D70" w:rsidRDefault="00342622" w:rsidP="0084240B">
            <w:pPr>
              <w:keepNext/>
              <w:keepLines/>
              <w:spacing w:after="0" w:line="240" w:lineRule="auto"/>
              <w:ind w:left="6" w:right="-23"/>
              <w:rPr>
                <w:rFonts w:ascii="Times New Roman" w:eastAsia="Times New Roman" w:hAnsi="Times New Roman"/>
              </w:rPr>
            </w:pPr>
            <w:r w:rsidRPr="00907D70">
              <w:rPr>
                <w:rFonts w:ascii="Times New Roman" w:eastAsia="Times New Roman" w:hAnsi="Times New Roman"/>
              </w:rPr>
              <w:t>** n = 16 C</w:t>
            </w:r>
            <w:r w:rsidRPr="00907D70">
              <w:rPr>
                <w:rFonts w:ascii="Times New Roman" w:eastAsia="Times New Roman" w:hAnsi="Times New Roman"/>
                <w:vertAlign w:val="subscript"/>
              </w:rPr>
              <w:t>prieš dozę</w:t>
            </w:r>
          </w:p>
        </w:tc>
      </w:tr>
    </w:tbl>
    <w:p w14:paraId="2A1EC579"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p>
    <w:p w14:paraId="798A79D6" w14:textId="77777777" w:rsidR="00342622" w:rsidRPr="00907D70" w:rsidRDefault="00342622" w:rsidP="00342622">
      <w:pPr>
        <w:keepNext/>
        <w:keepLines/>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t>Sutrikusi inkstų funkcija</w:t>
      </w:r>
    </w:p>
    <w:p w14:paraId="50710080" w14:textId="77777777" w:rsidR="00342622" w:rsidRPr="00907D70" w:rsidRDefault="00342622" w:rsidP="00342622">
      <w:pPr>
        <w:keepNext/>
        <w:keepLines/>
        <w:tabs>
          <w:tab w:val="left" w:pos="567"/>
        </w:tabs>
        <w:spacing w:after="0" w:line="240" w:lineRule="auto"/>
        <w:rPr>
          <w:rFonts w:ascii="Times New Roman" w:eastAsia="Times New Roman" w:hAnsi="Times New Roman"/>
        </w:rPr>
      </w:pPr>
      <w:r w:rsidRPr="00907D70">
        <w:rPr>
          <w:rFonts w:ascii="Times New Roman" w:eastAsia="Times New Roman" w:hAnsi="Times New Roman"/>
        </w:rPr>
        <w:t>Pacientams, kuriems yra inkstų nepakankamumas, lopinaviro / ritonaviro derinio farmakokinetika netirta; vis dėlto, kadangi lopinaviro inkstų klirensas yra nedidelis, nesitikima, kad bendras organizmo klirensas sumažėtų pacientams, kuriems yra inkstų nepakankamumas.</w:t>
      </w:r>
    </w:p>
    <w:p w14:paraId="1A2D0EC9" w14:textId="77777777" w:rsidR="00342622" w:rsidRPr="00907D70" w:rsidRDefault="00342622" w:rsidP="00342622">
      <w:pPr>
        <w:tabs>
          <w:tab w:val="left" w:pos="567"/>
        </w:tabs>
        <w:spacing w:after="0" w:line="240" w:lineRule="auto"/>
        <w:rPr>
          <w:rFonts w:ascii="Times New Roman" w:eastAsia="Times New Roman" w:hAnsi="Times New Roman"/>
          <w:i/>
        </w:rPr>
      </w:pPr>
    </w:p>
    <w:p w14:paraId="4D9CF828" w14:textId="77777777" w:rsidR="00342622" w:rsidRPr="00907D70" w:rsidRDefault="00342622" w:rsidP="00342622">
      <w:pPr>
        <w:tabs>
          <w:tab w:val="left" w:pos="567"/>
        </w:tabs>
        <w:spacing w:after="0" w:line="240" w:lineRule="auto"/>
        <w:rPr>
          <w:rFonts w:ascii="Times New Roman" w:eastAsia="Times New Roman" w:hAnsi="Times New Roman"/>
          <w:i/>
        </w:rPr>
      </w:pPr>
      <w:r w:rsidRPr="00907D70">
        <w:rPr>
          <w:rFonts w:ascii="Times New Roman" w:eastAsia="Times New Roman" w:hAnsi="Times New Roman"/>
          <w:i/>
        </w:rPr>
        <w:lastRenderedPageBreak/>
        <w:t>Sutrikusi kepenų funkcija</w:t>
      </w:r>
    </w:p>
    <w:p w14:paraId="19E8E6C8"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Kartotinių dozių tyrime, kuriame dalyvavę pacientai vartojo lopinaviro / ritonaviro 400/100 mg derinio 2 kartus per parą, nusistovėjus pusiausvyrinei koncentracijai buvo palyginta lopinaviro vidutiniai farmakokinetikos parametrai ŽIV infekuotiems pacientams, kuriems yra lengvas ir vidutinio sunkumo kepenų funkcijos sutrikimas ir ŽIV infekuotiems pacientams, kurių kepenų funkcija normali. Buvo pastebėtas nedidelis suminės (bendros) lopinaviro koncentracijos padidėjimas maždaug 30 %, kuris, tikėtina, nėra kliniškai svarbus (žr. 4.2 skyrių).</w:t>
      </w:r>
    </w:p>
    <w:p w14:paraId="16EA4EBD" w14:textId="77777777" w:rsidR="00342622" w:rsidRPr="00907D70" w:rsidRDefault="00342622" w:rsidP="00342622">
      <w:pPr>
        <w:tabs>
          <w:tab w:val="left" w:pos="567"/>
        </w:tabs>
        <w:spacing w:after="0" w:line="240" w:lineRule="auto"/>
        <w:rPr>
          <w:rFonts w:ascii="Times New Roman" w:eastAsia="Times New Roman" w:hAnsi="Times New Roman"/>
        </w:rPr>
      </w:pPr>
    </w:p>
    <w:p w14:paraId="35DB7876" w14:textId="77777777" w:rsidR="00342622" w:rsidRPr="00907D70" w:rsidRDefault="00342622" w:rsidP="00342622">
      <w:pPr>
        <w:keepNext/>
        <w:tabs>
          <w:tab w:val="left" w:pos="567"/>
        </w:tabs>
        <w:spacing w:after="0" w:line="240" w:lineRule="auto"/>
        <w:jc w:val="both"/>
        <w:rPr>
          <w:rFonts w:ascii="Times New Roman" w:eastAsia="Times New Roman" w:hAnsi="Times New Roman"/>
          <w:b/>
          <w:bCs/>
        </w:rPr>
      </w:pPr>
      <w:r w:rsidRPr="00907D70">
        <w:rPr>
          <w:rFonts w:ascii="Times New Roman" w:eastAsia="Times New Roman" w:hAnsi="Times New Roman"/>
          <w:b/>
          <w:bCs/>
        </w:rPr>
        <w:t>5.3</w:t>
      </w:r>
      <w:r w:rsidRPr="00907D70">
        <w:rPr>
          <w:rFonts w:ascii="Times New Roman" w:eastAsia="Times New Roman" w:hAnsi="Times New Roman"/>
          <w:b/>
          <w:bCs/>
        </w:rPr>
        <w:tab/>
        <w:t>Ikiklinikinių saugumo tyrimų duomenys</w:t>
      </w:r>
    </w:p>
    <w:p w14:paraId="3FA90B80"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p w14:paraId="532B1606"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 xml:space="preserve">Kartotinių dozių toksiškumo graužikams ir šunims tyrimais nustatyta, kad pagrindiniai organai taikiniai yra kepenys, inkstai, skydliaukė, blužnis ir cirkuliuojantys raudonieji kraujo kūneliai. Kepenų pokyčius rodo ląstelių paburkimas su židinine degeneracija. Nors ekspozicija, dėl kurios atsirado šių pokyčių, buvo panaši ar mažesnė negu klinikinė ekspozicija žmogui, dozės gyvūnams buvo maždaug 6 kartus didesnės už rekomenduojamas klinikines dozes. Neryški inkstų kanalėlių degeneracija nustatyta pelėms, kurioms ekspozicija buvo mažiausiai du kartus didesnė už rekomenduojamą žmogui. Žiurkių ir šunų inkstai buvo nepažeisti. Dėl sumažėjusio tiroksino kiekio daugiau išsiskyrė TSH ir pasireiškė žiurkių folikulinių skydliaukės ląstelių hipertrofija. Šie pokyčiai išnyko nutraukus veikliosios medžiagos vartojimą, jų nestebėta pelėms ir šunims. </w:t>
      </w:r>
      <w:r w:rsidRPr="00907D70">
        <w:rPr>
          <w:rFonts w:ascii="Times New Roman" w:eastAsia="Times New Roman" w:hAnsi="Times New Roman"/>
          <w:i/>
        </w:rPr>
        <w:t>Coombs</w:t>
      </w:r>
      <w:r w:rsidRPr="00907D70">
        <w:rPr>
          <w:rFonts w:ascii="Times New Roman" w:eastAsia="Times New Roman" w:hAnsi="Times New Roman"/>
        </w:rPr>
        <w:t xml:space="preserve"> neigiama anizocitozė ir poikilocitozė buvo pastebėta žiurkėms, bet jos nebuvo pelėms ir šunims. Padidėjusi blužnis su histiocitoze stebėta žiurkėms, bet šių pokyčių nebuvo kitų rūšių gyvūnams. Cholesterolio kiekis serume padidėjo graužikams, bet nepadidėjo šunims, o trigliceridų padaugėjo tik pelėms.</w:t>
      </w:r>
    </w:p>
    <w:p w14:paraId="36F8CCEE"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01DA9DC2"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 xml:space="preserve">Tiriant </w:t>
      </w:r>
      <w:r w:rsidRPr="00907D70">
        <w:rPr>
          <w:rFonts w:ascii="Times New Roman" w:eastAsia="Times New Roman" w:hAnsi="Times New Roman"/>
          <w:i/>
        </w:rPr>
        <w:t>in vitro</w:t>
      </w:r>
      <w:r w:rsidRPr="00907D70">
        <w:rPr>
          <w:rFonts w:ascii="Times New Roman" w:eastAsia="Times New Roman" w:hAnsi="Times New Roman"/>
        </w:rPr>
        <w:t xml:space="preserve">, 30 % klonuotų žmogaus širdies kalio kanalų (HERG) buvo slopinama esant didžiausiai tirtai lopinaviro / ritonaviro koncentracijai, atitinkančiai lopinaviro ekspoziciją, kuri atsiranda esant 7 kartus didesniam bendram ir 15 kartų didesniam didžiausiam lygiui už tą, kuris būna žmogui po didžiausios rekomenduojamos gydomosios dozės. Priešingai, panašios lopinaviro / ritonaviro derinio koncentracijos neuždelsė repoliarizacijos šunų širdies </w:t>
      </w:r>
      <w:r w:rsidRPr="00907D70">
        <w:rPr>
          <w:rFonts w:ascii="Times New Roman" w:eastAsia="Times New Roman" w:hAnsi="Times New Roman"/>
          <w:i/>
        </w:rPr>
        <w:t>Purkinje</w:t>
      </w:r>
      <w:r w:rsidRPr="00907D70">
        <w:rPr>
          <w:rFonts w:ascii="Times New Roman" w:eastAsia="Times New Roman" w:hAnsi="Times New Roman"/>
        </w:rPr>
        <w:t xml:space="preserve"> skaidulose. Mažesnės lopinaviro / ritonaviro derinio koncentracijos reikšmingai neslopino kalio (HERG) srauto. Žiurkėms pasiskirstymo audiniuose tyrimai nerodo, kad daug aktyvaus junginio kauptųsi širdyje; 72 val. AUC širdyje buvo maždaug 50 % plazmoje nustatytos AUC. Dėl to galima manyti, kad lopinaviro kiekis širdyje nebus žymiai didesnis negu kraujo plazmoje.</w:t>
      </w:r>
    </w:p>
    <w:p w14:paraId="3AE2C00B"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27EE320D"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Šunų elektrokardiogramoje pastebėtos ryškios U bangos, susijusios su pailgėjusiu PR intervalu ir bradikardija. Manoma, kad šiuos pokyčius gali sukelti elektrolitų sutrikimai.</w:t>
      </w:r>
    </w:p>
    <w:p w14:paraId="7802F536"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24860650"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Klinikinė šių ikiklinikinių duomenų reikšmė nežinoma, tačiau negalima paneigti šio vaistinio preparato galimo poveikio žmogaus širdžiai (taip pat žr. 4.4 ir 4.8 skyrius).</w:t>
      </w:r>
    </w:p>
    <w:p w14:paraId="44AD01E8"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3C2EE8C3"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Žiurkių patelėms, gavusioms toksiškas dozes, pastebėtas embriofetotoksinis poveikis (vaikingumo nutrūkimas, sumažėjęs vaisiaus gyvybingumas, sumažėjęs vaisiaus kūno svoris, padažnėję skeleto pokyčiai) ir toksinis poveikis atsivestų jauniklių vystymuisi (sumažėjęs jauniklių išgyvenamumas). Sisteminė lopinaviro / ritonaviro derinio ekspozicija, skiriant patelei ir vaisiaus raidai toksines dozes, buvo mažesnė negu tikėtina gydomoji ekspozicija žmogui.</w:t>
      </w:r>
    </w:p>
    <w:p w14:paraId="6EA4659E"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33DB4401"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 xml:space="preserve">Ilgalaikiai pelių lopinaviro / ritonaviro derinio kancerogeniškumo tyrimai atskleidė negenotoksinę, kepenų navikų mitogeninę indukciją, kuri, manoma, yra mažai reikšminga žmogui. </w:t>
      </w:r>
    </w:p>
    <w:p w14:paraId="7DCC9986"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p>
    <w:p w14:paraId="2D2AAE9B" w14:textId="77777777" w:rsidR="00342622" w:rsidRPr="00907D70" w:rsidRDefault="00342622" w:rsidP="00342622">
      <w:pPr>
        <w:autoSpaceDE w:val="0"/>
        <w:autoSpaceDN w:val="0"/>
        <w:adjustRightInd w:val="0"/>
        <w:spacing w:after="0" w:line="240" w:lineRule="auto"/>
        <w:rPr>
          <w:rFonts w:ascii="Times New Roman" w:eastAsia="Times New Roman" w:hAnsi="Times New Roman"/>
        </w:rPr>
      </w:pPr>
      <w:r w:rsidRPr="00907D70">
        <w:rPr>
          <w:rFonts w:ascii="Times New Roman" w:eastAsia="Times New Roman" w:hAnsi="Times New Roman"/>
        </w:rPr>
        <w:t xml:space="preserve">Žiurkių kancerogeniškumo tyrimai neparodė jokio tumorogeninio poveikio. </w:t>
      </w:r>
      <w:r w:rsidRPr="00907D70">
        <w:rPr>
          <w:rFonts w:ascii="Times New Roman" w:eastAsia="Times New Roman" w:hAnsi="Times New Roman"/>
          <w:i/>
        </w:rPr>
        <w:t>In vitro</w:t>
      </w:r>
      <w:r w:rsidRPr="00907D70">
        <w:rPr>
          <w:rFonts w:ascii="Times New Roman" w:eastAsia="Times New Roman" w:hAnsi="Times New Roman"/>
        </w:rPr>
        <w:t xml:space="preserve"> ir </w:t>
      </w:r>
      <w:r w:rsidRPr="00907D70">
        <w:rPr>
          <w:rFonts w:ascii="Times New Roman" w:eastAsia="Times New Roman" w:hAnsi="Times New Roman"/>
          <w:i/>
        </w:rPr>
        <w:t>in vivo</w:t>
      </w:r>
      <w:r w:rsidRPr="00907D70">
        <w:rPr>
          <w:rFonts w:ascii="Times New Roman" w:eastAsia="Times New Roman" w:hAnsi="Times New Roman"/>
        </w:rPr>
        <w:t xml:space="preserve"> tyrimų rinkinio, įskaitant </w:t>
      </w:r>
      <w:r w:rsidRPr="00907D70">
        <w:rPr>
          <w:rFonts w:ascii="Times New Roman" w:eastAsia="Times New Roman" w:hAnsi="Times New Roman"/>
          <w:i/>
        </w:rPr>
        <w:t>Ames</w:t>
      </w:r>
      <w:r w:rsidRPr="00907D70">
        <w:rPr>
          <w:rFonts w:ascii="Times New Roman" w:eastAsia="Times New Roman" w:hAnsi="Times New Roman"/>
        </w:rPr>
        <w:t xml:space="preserve"> bakterijų atvirkštinės mutacijos testą, pelių limfomos testą, pelės mikrobranduolių testą ir chromosomų aberacijos testą, duomenimis, lopinaviro / ritonaviro derinys mutageninio ir klastogeninio poveikio nesukelia. </w:t>
      </w:r>
    </w:p>
    <w:p w14:paraId="59792CC6" w14:textId="77777777" w:rsidR="00342622" w:rsidRPr="00907D70" w:rsidRDefault="00342622" w:rsidP="00342622">
      <w:pPr>
        <w:spacing w:after="0" w:line="240" w:lineRule="auto"/>
        <w:rPr>
          <w:rFonts w:ascii="Times New Roman" w:eastAsia="Times New Roman" w:hAnsi="Times New Roman"/>
        </w:rPr>
      </w:pPr>
    </w:p>
    <w:p w14:paraId="18B7982D" w14:textId="77777777" w:rsidR="00342622" w:rsidRPr="00907D70" w:rsidRDefault="00342622" w:rsidP="00342622">
      <w:pPr>
        <w:spacing w:after="0" w:line="240" w:lineRule="auto"/>
        <w:rPr>
          <w:rFonts w:ascii="Times New Roman" w:eastAsia="Times New Roman" w:hAnsi="Times New Roman"/>
        </w:rPr>
      </w:pPr>
    </w:p>
    <w:p w14:paraId="5655AD92" w14:textId="77777777" w:rsidR="00342622" w:rsidRPr="00907D70" w:rsidRDefault="00342622" w:rsidP="0071082F">
      <w:pPr>
        <w:keepNext/>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lastRenderedPageBreak/>
        <w:t>6.</w:t>
      </w:r>
      <w:r w:rsidRPr="00907D70">
        <w:rPr>
          <w:rFonts w:ascii="Times New Roman" w:eastAsia="Times New Roman" w:hAnsi="Times New Roman"/>
          <w:b/>
          <w:bCs/>
        </w:rPr>
        <w:tab/>
        <w:t>FARMACINĖ INFORMACIJA</w:t>
      </w:r>
    </w:p>
    <w:p w14:paraId="2FF08EDC" w14:textId="77777777" w:rsidR="00342622" w:rsidRPr="00907D70" w:rsidRDefault="00342622" w:rsidP="0071082F">
      <w:pPr>
        <w:keepNext/>
        <w:spacing w:after="0" w:line="240" w:lineRule="auto"/>
        <w:jc w:val="both"/>
        <w:rPr>
          <w:rFonts w:ascii="Times New Roman" w:eastAsia="Times New Roman" w:hAnsi="Times New Roman"/>
          <w:b/>
          <w:bCs/>
        </w:rPr>
      </w:pPr>
    </w:p>
    <w:p w14:paraId="3AA55913" w14:textId="77777777" w:rsidR="00342622" w:rsidRPr="00907D70" w:rsidRDefault="00342622" w:rsidP="0071082F">
      <w:pPr>
        <w:keepNext/>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6.1</w:t>
      </w:r>
      <w:r w:rsidRPr="00907D70">
        <w:rPr>
          <w:rFonts w:ascii="Times New Roman" w:eastAsia="Times New Roman" w:hAnsi="Times New Roman"/>
          <w:b/>
          <w:bCs/>
        </w:rPr>
        <w:tab/>
        <w:t>Pagalbinių medžiagų sąrašas</w:t>
      </w:r>
    </w:p>
    <w:p w14:paraId="74570EDB" w14:textId="77777777" w:rsidR="00342622" w:rsidRPr="00907D70" w:rsidRDefault="00342622" w:rsidP="0071082F">
      <w:pPr>
        <w:keepNext/>
        <w:spacing w:after="0" w:line="240" w:lineRule="auto"/>
        <w:jc w:val="both"/>
        <w:rPr>
          <w:rFonts w:ascii="Times New Roman" w:eastAsia="Times New Roman" w:hAnsi="Times New Roman"/>
          <w:b/>
          <w:bCs/>
        </w:rPr>
      </w:pPr>
    </w:p>
    <w:p w14:paraId="4AE1E969" w14:textId="77777777" w:rsidR="00342622" w:rsidRPr="00907D70" w:rsidRDefault="00342622" w:rsidP="0071082F">
      <w:pPr>
        <w:keepNext/>
        <w:spacing w:after="0" w:line="240" w:lineRule="auto"/>
        <w:jc w:val="both"/>
        <w:rPr>
          <w:rFonts w:ascii="Times New Roman" w:eastAsia="Times New Roman" w:hAnsi="Times New Roman"/>
          <w:bCs/>
          <w:u w:val="single"/>
        </w:rPr>
      </w:pPr>
      <w:r w:rsidRPr="00907D70">
        <w:rPr>
          <w:rFonts w:ascii="Times New Roman" w:eastAsia="Times New Roman" w:hAnsi="Times New Roman"/>
          <w:bCs/>
          <w:u w:val="single"/>
        </w:rPr>
        <w:t>Tabletės branduolys</w:t>
      </w:r>
    </w:p>
    <w:p w14:paraId="57C432BE"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Kopovidonas</w:t>
      </w:r>
    </w:p>
    <w:p w14:paraId="1CDB7572"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Sorbitano lauratas</w:t>
      </w:r>
    </w:p>
    <w:p w14:paraId="2A3568C3"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Bevandenis koloidinis silicio dioksidas</w:t>
      </w:r>
    </w:p>
    <w:p w14:paraId="5E00CC37"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Natrio stearilfumaratas</w:t>
      </w:r>
    </w:p>
    <w:p w14:paraId="5FA74FD7" w14:textId="77777777" w:rsidR="00342622" w:rsidRPr="00907D70" w:rsidRDefault="00342622" w:rsidP="00342622">
      <w:pPr>
        <w:spacing w:after="0" w:line="240" w:lineRule="auto"/>
        <w:rPr>
          <w:rFonts w:ascii="Times New Roman" w:eastAsia="Times New Roman" w:hAnsi="Times New Roman"/>
        </w:rPr>
      </w:pPr>
    </w:p>
    <w:p w14:paraId="30AEE098" w14:textId="77777777" w:rsidR="00342622" w:rsidRPr="00907D70" w:rsidRDefault="00342622" w:rsidP="00342622">
      <w:pPr>
        <w:spacing w:after="0" w:line="240" w:lineRule="auto"/>
        <w:jc w:val="both"/>
        <w:rPr>
          <w:rFonts w:ascii="Times New Roman" w:eastAsia="Times New Roman" w:hAnsi="Times New Roman"/>
          <w:u w:val="single"/>
        </w:rPr>
      </w:pPr>
      <w:r w:rsidRPr="00907D70">
        <w:rPr>
          <w:rFonts w:ascii="Times New Roman" w:eastAsia="Times New Roman" w:hAnsi="Times New Roman"/>
          <w:u w:val="single"/>
        </w:rPr>
        <w:t>Tabletės plėvelė</w:t>
      </w:r>
    </w:p>
    <w:p w14:paraId="3FEAF9DD"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Hipromeliozė (E464)</w:t>
      </w:r>
    </w:p>
    <w:p w14:paraId="34807A8A"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 xml:space="preserve">Titano dioksidas (E171) </w:t>
      </w:r>
    </w:p>
    <w:p w14:paraId="3FE9BF26"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Makrogolis (polietilenglikolis 400)</w:t>
      </w:r>
    </w:p>
    <w:p w14:paraId="0556E56E"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Hidroksipropilceliuliozė (E463)</w:t>
      </w:r>
    </w:p>
    <w:p w14:paraId="71AC7185"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Talkas (E553b)</w:t>
      </w:r>
    </w:p>
    <w:p w14:paraId="7F8BDCDF"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Bevandenis koloidinis silicio dioksidas (E551)</w:t>
      </w:r>
    </w:p>
    <w:p w14:paraId="33A54409"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Makrogolis (polietilenglikolis 3350)</w:t>
      </w:r>
    </w:p>
    <w:p w14:paraId="662FCBD5"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Geltonasis geležies oksidas (E172)</w:t>
      </w:r>
    </w:p>
    <w:p w14:paraId="52AB9DEB"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Polisorbatas 80 (E433)</w:t>
      </w:r>
    </w:p>
    <w:p w14:paraId="1CD61DA9" w14:textId="77777777" w:rsidR="00342622" w:rsidRPr="00907D70" w:rsidRDefault="00342622" w:rsidP="00342622">
      <w:pPr>
        <w:spacing w:after="0" w:line="240" w:lineRule="auto"/>
        <w:rPr>
          <w:rFonts w:ascii="Times New Roman" w:eastAsia="Times New Roman" w:hAnsi="Times New Roman"/>
        </w:rPr>
      </w:pPr>
    </w:p>
    <w:p w14:paraId="5D3C9557" w14:textId="77777777" w:rsidR="00342622" w:rsidRPr="00907D70" w:rsidRDefault="00342622" w:rsidP="00342622">
      <w:pPr>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6.2</w:t>
      </w:r>
      <w:r w:rsidRPr="00907D70">
        <w:rPr>
          <w:rFonts w:ascii="Times New Roman" w:eastAsia="Times New Roman" w:hAnsi="Times New Roman"/>
          <w:b/>
          <w:bCs/>
        </w:rPr>
        <w:tab/>
        <w:t>Nesuderinamumas</w:t>
      </w:r>
    </w:p>
    <w:p w14:paraId="783A063D" w14:textId="77777777" w:rsidR="00342622" w:rsidRPr="00907D70" w:rsidRDefault="00342622" w:rsidP="00342622">
      <w:pPr>
        <w:spacing w:after="0" w:line="240" w:lineRule="auto"/>
        <w:jc w:val="both"/>
        <w:rPr>
          <w:rFonts w:ascii="Times New Roman" w:eastAsia="Times New Roman" w:hAnsi="Times New Roman"/>
          <w:b/>
          <w:bCs/>
        </w:rPr>
      </w:pPr>
    </w:p>
    <w:p w14:paraId="650E57FB"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Duomenys nebūtini.</w:t>
      </w:r>
    </w:p>
    <w:p w14:paraId="725221E8" w14:textId="77777777" w:rsidR="00342622" w:rsidRPr="00907D70" w:rsidRDefault="00342622" w:rsidP="00342622">
      <w:pPr>
        <w:spacing w:after="0" w:line="240" w:lineRule="auto"/>
        <w:jc w:val="both"/>
        <w:rPr>
          <w:rFonts w:ascii="Times New Roman" w:eastAsia="Times New Roman" w:hAnsi="Times New Roman"/>
          <w:b/>
          <w:bCs/>
        </w:rPr>
      </w:pPr>
    </w:p>
    <w:p w14:paraId="53EBA66F" w14:textId="77777777" w:rsidR="00342622" w:rsidRPr="00907D70" w:rsidRDefault="00342622" w:rsidP="00342622">
      <w:pPr>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6.3</w:t>
      </w:r>
      <w:r w:rsidRPr="00907D70">
        <w:rPr>
          <w:rFonts w:ascii="Times New Roman" w:eastAsia="Times New Roman" w:hAnsi="Times New Roman"/>
          <w:b/>
          <w:bCs/>
        </w:rPr>
        <w:tab/>
        <w:t>Tinkamumo laikas</w:t>
      </w:r>
    </w:p>
    <w:p w14:paraId="125CD28F" w14:textId="77777777" w:rsidR="00342622" w:rsidRPr="00907D70" w:rsidRDefault="00342622" w:rsidP="00342622">
      <w:pPr>
        <w:spacing w:after="0" w:line="240" w:lineRule="auto"/>
        <w:jc w:val="both"/>
        <w:rPr>
          <w:rFonts w:ascii="Times New Roman" w:eastAsia="Times New Roman" w:hAnsi="Times New Roman"/>
          <w:b/>
          <w:bCs/>
        </w:rPr>
      </w:pPr>
    </w:p>
    <w:p w14:paraId="0E067073"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DTPE buteliukai ir PVC/PVDC-Al lizdinės plokštelės: 2 metai.</w:t>
      </w:r>
    </w:p>
    <w:p w14:paraId="28149D9B" w14:textId="77777777" w:rsidR="00342622" w:rsidRPr="00907D70" w:rsidRDefault="00342622" w:rsidP="00342622">
      <w:pPr>
        <w:spacing w:after="0" w:line="240" w:lineRule="auto"/>
        <w:jc w:val="both"/>
        <w:rPr>
          <w:rFonts w:ascii="Times New Roman" w:eastAsia="Times New Roman" w:hAnsi="Times New Roman"/>
        </w:rPr>
      </w:pPr>
    </w:p>
    <w:p w14:paraId="39EF1522" w14:textId="77777777" w:rsidR="00342622" w:rsidRPr="00907D70" w:rsidRDefault="00342622" w:rsidP="00342622">
      <w:pPr>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6.4</w:t>
      </w:r>
      <w:r w:rsidRPr="00907D70">
        <w:rPr>
          <w:rFonts w:ascii="Times New Roman" w:eastAsia="Times New Roman" w:hAnsi="Times New Roman"/>
          <w:b/>
          <w:bCs/>
        </w:rPr>
        <w:tab/>
        <w:t>Specialios laikymo sąlygos</w:t>
      </w:r>
    </w:p>
    <w:p w14:paraId="240A7A51" w14:textId="77777777" w:rsidR="00342622" w:rsidRPr="00907D70" w:rsidRDefault="00342622" w:rsidP="00342622">
      <w:pPr>
        <w:spacing w:after="0" w:line="240" w:lineRule="auto"/>
        <w:jc w:val="both"/>
        <w:rPr>
          <w:rFonts w:ascii="Times New Roman" w:eastAsia="Times New Roman" w:hAnsi="Times New Roman"/>
          <w:b/>
          <w:bCs/>
        </w:rPr>
      </w:pPr>
    </w:p>
    <w:p w14:paraId="41033B69"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Šiam vaistiniam preparatui specialių laikymo sąlygų nereikia.</w:t>
      </w:r>
    </w:p>
    <w:p w14:paraId="340AF7A6" w14:textId="77777777" w:rsidR="00342622" w:rsidRPr="00907D70" w:rsidRDefault="00342622" w:rsidP="00342622">
      <w:pPr>
        <w:spacing w:after="0" w:line="240" w:lineRule="auto"/>
        <w:jc w:val="both"/>
        <w:rPr>
          <w:rFonts w:ascii="Times New Roman" w:eastAsia="Times New Roman" w:hAnsi="Times New Roman"/>
          <w:b/>
          <w:bCs/>
        </w:rPr>
      </w:pPr>
    </w:p>
    <w:p w14:paraId="23CB603E" w14:textId="77777777" w:rsidR="00342622" w:rsidRPr="00907D70" w:rsidRDefault="00342622" w:rsidP="00342622">
      <w:pPr>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6.5</w:t>
      </w:r>
      <w:r w:rsidRPr="00907D70">
        <w:rPr>
          <w:rFonts w:ascii="Times New Roman" w:eastAsia="Times New Roman" w:hAnsi="Times New Roman"/>
          <w:b/>
          <w:bCs/>
        </w:rPr>
        <w:tab/>
        <w:t>Talpyklės pobūdis ir jos turinys</w:t>
      </w:r>
    </w:p>
    <w:p w14:paraId="4C37E232" w14:textId="77777777" w:rsidR="00342622" w:rsidRPr="00907D70" w:rsidRDefault="00342622" w:rsidP="00342622">
      <w:pPr>
        <w:spacing w:after="0" w:line="240" w:lineRule="auto"/>
        <w:jc w:val="both"/>
        <w:rPr>
          <w:rFonts w:ascii="Times New Roman" w:eastAsia="Times New Roman" w:hAnsi="Times New Roman"/>
          <w:b/>
          <w:bCs/>
        </w:rPr>
      </w:pPr>
    </w:p>
    <w:p w14:paraId="16ED706F"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Baltas didelio tankio polietileno (DTPE) buteliukas, kuriame yra 2 g silikagelio (sausiklio), uždarytas balto propileno dangteliu. Kiekviename buteliuke yra 120 tablečių.</w:t>
      </w:r>
    </w:p>
    <w:p w14:paraId="2DFF04C1"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Tiekiami du pakuočių dydžiai:</w:t>
      </w:r>
    </w:p>
    <w:p w14:paraId="2B661CF5" w14:textId="77777777" w:rsidR="00342622" w:rsidRPr="00907D70" w:rsidRDefault="00342622" w:rsidP="00342622">
      <w:pPr>
        <w:numPr>
          <w:ilvl w:val="0"/>
          <w:numId w:val="5"/>
        </w:numPr>
        <w:spacing w:after="0" w:line="240" w:lineRule="auto"/>
        <w:ind w:left="567" w:hanging="567"/>
        <w:jc w:val="both"/>
        <w:rPr>
          <w:rFonts w:ascii="Times New Roman" w:eastAsia="Times New Roman" w:hAnsi="Times New Roman"/>
        </w:rPr>
      </w:pPr>
      <w:r w:rsidRPr="00907D70">
        <w:rPr>
          <w:rFonts w:ascii="Times New Roman" w:eastAsia="Times New Roman" w:hAnsi="Times New Roman"/>
        </w:rPr>
        <w:t>1 buteliukas, kuriame yra 120 tablečių;</w:t>
      </w:r>
    </w:p>
    <w:p w14:paraId="0771A95E" w14:textId="77777777" w:rsidR="00342622" w:rsidRPr="00907D70" w:rsidRDefault="00342622" w:rsidP="00342622">
      <w:pPr>
        <w:numPr>
          <w:ilvl w:val="0"/>
          <w:numId w:val="5"/>
        </w:numPr>
        <w:spacing w:after="0" w:line="240" w:lineRule="auto"/>
        <w:ind w:left="567" w:hanging="567"/>
        <w:jc w:val="both"/>
        <w:rPr>
          <w:rFonts w:ascii="Times New Roman" w:eastAsia="Times New Roman" w:hAnsi="Times New Roman"/>
        </w:rPr>
      </w:pPr>
      <w:r w:rsidRPr="00907D70">
        <w:rPr>
          <w:rFonts w:ascii="Times New Roman" w:eastAsia="Times New Roman" w:hAnsi="Times New Roman"/>
        </w:rPr>
        <w:t>3 buteliukai, kurių kiekviename yra po 120 tablečių (360 tablečių)</w:t>
      </w:r>
    </w:p>
    <w:p w14:paraId="2E7B1DC4" w14:textId="77777777" w:rsidR="00342622" w:rsidRPr="00907D70" w:rsidRDefault="00342622" w:rsidP="00342622">
      <w:pPr>
        <w:spacing w:after="0" w:line="240" w:lineRule="auto"/>
        <w:jc w:val="both"/>
        <w:rPr>
          <w:rFonts w:ascii="Times New Roman" w:eastAsia="Times New Roman" w:hAnsi="Times New Roman"/>
        </w:rPr>
      </w:pPr>
    </w:p>
    <w:p w14:paraId="4431BEE5" w14:textId="77777777" w:rsidR="00342622" w:rsidRPr="00907D70" w:rsidRDefault="00342622" w:rsidP="00342622">
      <w:pPr>
        <w:keepNext/>
        <w:keepLines/>
        <w:spacing w:after="0" w:line="240" w:lineRule="auto"/>
        <w:jc w:val="both"/>
        <w:rPr>
          <w:rFonts w:ascii="Times New Roman" w:eastAsia="Times New Roman" w:hAnsi="Times New Roman"/>
        </w:rPr>
      </w:pPr>
      <w:r w:rsidRPr="00907D70">
        <w:rPr>
          <w:rFonts w:ascii="Times New Roman" w:eastAsia="Times New Roman" w:hAnsi="Times New Roman"/>
        </w:rPr>
        <w:t>Lizdinės plokštelės</w:t>
      </w:r>
    </w:p>
    <w:p w14:paraId="4375371A" w14:textId="77777777" w:rsidR="00342622" w:rsidRPr="00907D70" w:rsidRDefault="00342622" w:rsidP="00342622">
      <w:pPr>
        <w:keepNext/>
        <w:keepLines/>
        <w:spacing w:after="0" w:line="240" w:lineRule="auto"/>
        <w:jc w:val="both"/>
        <w:rPr>
          <w:rFonts w:ascii="Times New Roman" w:eastAsia="Times New Roman" w:hAnsi="Times New Roman"/>
        </w:rPr>
      </w:pPr>
      <w:r w:rsidRPr="00907D70">
        <w:rPr>
          <w:rFonts w:ascii="Times New Roman" w:eastAsia="Times New Roman" w:hAnsi="Times New Roman"/>
        </w:rPr>
        <w:t xml:space="preserve">Tiekiami trys pakuočių dydžiai: </w:t>
      </w:r>
    </w:p>
    <w:p w14:paraId="02CFA71B" w14:textId="77777777" w:rsidR="00342622" w:rsidRPr="00907D70" w:rsidRDefault="00342622" w:rsidP="00342622">
      <w:pPr>
        <w:pStyle w:val="Sraopastraipa"/>
        <w:keepNext/>
        <w:keepLines/>
        <w:numPr>
          <w:ilvl w:val="0"/>
          <w:numId w:val="30"/>
        </w:numPr>
        <w:jc w:val="both"/>
      </w:pPr>
      <w:r w:rsidRPr="00907D70">
        <w:rPr>
          <w:sz w:val="22"/>
          <w:szCs w:val="22"/>
        </w:rPr>
        <w:t>Kartono dėžutė, kurioje yra 60 plėvele dengtų tablečių PVC/PVDC-Al lizdinėse plokštelėse.</w:t>
      </w:r>
    </w:p>
    <w:p w14:paraId="734A754C" w14:textId="77777777" w:rsidR="00342622" w:rsidRPr="00907D70" w:rsidRDefault="00342622" w:rsidP="00342622">
      <w:pPr>
        <w:pStyle w:val="Sraopastraipa"/>
        <w:keepNext/>
        <w:keepLines/>
        <w:numPr>
          <w:ilvl w:val="0"/>
          <w:numId w:val="30"/>
        </w:numPr>
        <w:rPr>
          <w:sz w:val="22"/>
          <w:szCs w:val="22"/>
        </w:rPr>
      </w:pPr>
      <w:r w:rsidRPr="00907D70">
        <w:rPr>
          <w:sz w:val="22"/>
          <w:szCs w:val="22"/>
        </w:rPr>
        <w:t>Kartono dėžutė, kurioje yra 120 plėvele dengtų tablečių PVC/PVDC-Al lizdinėse plokštelėse.</w:t>
      </w:r>
    </w:p>
    <w:p w14:paraId="0A82D130" w14:textId="77777777" w:rsidR="00342622" w:rsidRPr="00907D70" w:rsidRDefault="00342622" w:rsidP="00342622">
      <w:pPr>
        <w:pStyle w:val="Sraopastraipa"/>
        <w:numPr>
          <w:ilvl w:val="0"/>
          <w:numId w:val="30"/>
        </w:numPr>
        <w:rPr>
          <w:sz w:val="22"/>
          <w:szCs w:val="22"/>
        </w:rPr>
      </w:pPr>
      <w:r w:rsidRPr="00907D70">
        <w:rPr>
          <w:sz w:val="22"/>
          <w:szCs w:val="22"/>
        </w:rPr>
        <w:t>Kartono dėžutė, kurioje yra 40 plėvele dengtų tablečių PVC/PVDC-Al lizdinėse plokštelėse. Kiekvienoje pakuotėje yra 3 dėžutės (120 tablečių).</w:t>
      </w:r>
    </w:p>
    <w:p w14:paraId="579FCA1F" w14:textId="77777777" w:rsidR="00342622" w:rsidRPr="00907D70" w:rsidRDefault="00342622" w:rsidP="00342622">
      <w:pPr>
        <w:spacing w:after="0" w:line="240" w:lineRule="auto"/>
        <w:rPr>
          <w:rFonts w:ascii="Times New Roman" w:eastAsia="Times New Roman" w:hAnsi="Times New Roman"/>
        </w:rPr>
      </w:pPr>
    </w:p>
    <w:p w14:paraId="2819DD22"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Gali būti tiekiamos ne visų dydžių pakuotės.</w:t>
      </w:r>
    </w:p>
    <w:p w14:paraId="03451AFA" w14:textId="77777777" w:rsidR="00342622" w:rsidRPr="00907D70" w:rsidRDefault="00342622" w:rsidP="00342622">
      <w:pPr>
        <w:spacing w:after="0" w:line="240" w:lineRule="auto"/>
        <w:rPr>
          <w:rFonts w:ascii="Times New Roman" w:eastAsia="Times New Roman" w:hAnsi="Times New Roman"/>
        </w:rPr>
      </w:pPr>
    </w:p>
    <w:p w14:paraId="0D289016" w14:textId="77777777" w:rsidR="00342622" w:rsidRPr="00907D70" w:rsidRDefault="00342622" w:rsidP="00342622">
      <w:pPr>
        <w:spacing w:after="0" w:line="240" w:lineRule="auto"/>
        <w:ind w:left="540" w:hanging="540"/>
        <w:rPr>
          <w:rFonts w:ascii="Times New Roman" w:eastAsia="Times New Roman" w:hAnsi="Times New Roman"/>
          <w:b/>
          <w:bCs/>
        </w:rPr>
      </w:pPr>
      <w:r w:rsidRPr="00907D70">
        <w:rPr>
          <w:rFonts w:ascii="Times New Roman" w:eastAsia="Times New Roman" w:hAnsi="Times New Roman"/>
          <w:b/>
          <w:bCs/>
        </w:rPr>
        <w:t>6.6</w:t>
      </w:r>
      <w:r w:rsidRPr="00907D70">
        <w:rPr>
          <w:rFonts w:ascii="Times New Roman" w:eastAsia="Times New Roman" w:hAnsi="Times New Roman"/>
          <w:b/>
          <w:bCs/>
        </w:rPr>
        <w:tab/>
        <w:t>Specialūs reikalavimai atliekoms tvarkyti</w:t>
      </w:r>
    </w:p>
    <w:p w14:paraId="682C565D" w14:textId="77777777" w:rsidR="00342622" w:rsidRPr="00907D70" w:rsidRDefault="00342622" w:rsidP="00342622">
      <w:pPr>
        <w:spacing w:after="0" w:line="240" w:lineRule="auto"/>
        <w:jc w:val="both"/>
        <w:rPr>
          <w:rFonts w:ascii="Times New Roman" w:eastAsia="Times New Roman" w:hAnsi="Times New Roman"/>
        </w:rPr>
      </w:pPr>
    </w:p>
    <w:p w14:paraId="07FA0B5D"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Specialių reikalavimų nėra.</w:t>
      </w:r>
    </w:p>
    <w:p w14:paraId="1E92B452" w14:textId="77777777" w:rsidR="00342622" w:rsidRPr="00907D70" w:rsidRDefault="00342622" w:rsidP="00342622">
      <w:pPr>
        <w:spacing w:after="0" w:line="240" w:lineRule="auto"/>
        <w:rPr>
          <w:rFonts w:ascii="Times New Roman" w:eastAsia="Times New Roman" w:hAnsi="Times New Roman"/>
        </w:rPr>
      </w:pPr>
    </w:p>
    <w:p w14:paraId="7D1C76D7" w14:textId="77777777" w:rsidR="00342622" w:rsidRPr="00907D70" w:rsidRDefault="00342622" w:rsidP="00342622">
      <w:pPr>
        <w:spacing w:after="0" w:line="240" w:lineRule="auto"/>
        <w:rPr>
          <w:rFonts w:ascii="Times New Roman" w:eastAsia="Times New Roman" w:hAnsi="Times New Roman"/>
        </w:rPr>
      </w:pPr>
    </w:p>
    <w:p w14:paraId="48081A21" w14:textId="77777777" w:rsidR="00342622" w:rsidRPr="00907D70" w:rsidRDefault="00342622" w:rsidP="0071082F">
      <w:pPr>
        <w:keepNext/>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lastRenderedPageBreak/>
        <w:t>7.</w:t>
      </w:r>
      <w:r w:rsidRPr="00907D70">
        <w:rPr>
          <w:rFonts w:ascii="Times New Roman" w:eastAsia="Times New Roman" w:hAnsi="Times New Roman"/>
          <w:b/>
        </w:rPr>
        <w:tab/>
        <w:t>REGISTRUOTOJAS</w:t>
      </w:r>
    </w:p>
    <w:p w14:paraId="79DF3FEC" w14:textId="77777777" w:rsidR="00342622" w:rsidRPr="00907D70" w:rsidRDefault="00342622" w:rsidP="0071082F">
      <w:pPr>
        <w:keepNext/>
        <w:spacing w:after="0" w:line="240" w:lineRule="auto"/>
        <w:rPr>
          <w:rFonts w:ascii="Times New Roman" w:eastAsia="Times New Roman" w:hAnsi="Times New Roman"/>
          <w:snapToGrid w:val="0"/>
          <w:szCs w:val="24"/>
        </w:rPr>
      </w:pPr>
    </w:p>
    <w:p w14:paraId="04A43C12" w14:textId="42593F83" w:rsidR="00342622" w:rsidRPr="00907D70" w:rsidRDefault="00342622" w:rsidP="0071082F">
      <w:pPr>
        <w:keepNext/>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 xml:space="preserve">Accord Healthcare </w:t>
      </w:r>
      <w:r w:rsidR="00376923" w:rsidRPr="00907D70">
        <w:rPr>
          <w:rFonts w:ascii="Times New Roman" w:hAnsi="Times New Roman"/>
        </w:rPr>
        <w:t xml:space="preserve">B.V. </w:t>
      </w:r>
    </w:p>
    <w:p w14:paraId="021F2B82" w14:textId="77777777" w:rsidR="00376923" w:rsidRPr="00907D70" w:rsidRDefault="00376923" w:rsidP="0071082F">
      <w:pPr>
        <w:keepNext/>
        <w:spacing w:after="0" w:line="240" w:lineRule="auto"/>
        <w:rPr>
          <w:rFonts w:ascii="Times New Roman" w:hAnsi="Times New Roman"/>
        </w:rPr>
      </w:pPr>
      <w:r w:rsidRPr="00907D70">
        <w:rPr>
          <w:rFonts w:ascii="Times New Roman" w:hAnsi="Times New Roman"/>
        </w:rPr>
        <w:t xml:space="preserve">Winthontlaan 200 </w:t>
      </w:r>
    </w:p>
    <w:p w14:paraId="00D4C264" w14:textId="77777777" w:rsidR="00376923" w:rsidRPr="00907D70" w:rsidRDefault="00376923" w:rsidP="0071082F">
      <w:pPr>
        <w:keepNext/>
        <w:spacing w:after="0" w:line="240" w:lineRule="auto"/>
        <w:rPr>
          <w:rFonts w:ascii="Times New Roman" w:hAnsi="Times New Roman"/>
        </w:rPr>
      </w:pPr>
      <w:r w:rsidRPr="00907D70">
        <w:rPr>
          <w:rFonts w:ascii="Times New Roman" w:hAnsi="Times New Roman"/>
        </w:rPr>
        <w:t xml:space="preserve">3526 KV Utrecht </w:t>
      </w:r>
    </w:p>
    <w:p w14:paraId="7D323797" w14:textId="77777777" w:rsidR="00376923" w:rsidRPr="00907D70" w:rsidRDefault="00376923" w:rsidP="0071082F">
      <w:pPr>
        <w:keepNext/>
        <w:spacing w:after="0" w:line="240" w:lineRule="auto"/>
      </w:pPr>
      <w:r w:rsidRPr="00907D70">
        <w:rPr>
          <w:rFonts w:ascii="Times New Roman" w:hAnsi="Times New Roman"/>
        </w:rPr>
        <w:t>Nyderlandai</w:t>
      </w:r>
    </w:p>
    <w:p w14:paraId="6E4FD40E" w14:textId="77777777" w:rsidR="00342622" w:rsidRPr="00907D70" w:rsidRDefault="00342622" w:rsidP="00342622">
      <w:pPr>
        <w:spacing w:after="0" w:line="240" w:lineRule="auto"/>
        <w:rPr>
          <w:rFonts w:ascii="Times New Roman" w:eastAsia="Times New Roman" w:hAnsi="Times New Roman"/>
          <w:snapToGrid w:val="0"/>
          <w:szCs w:val="24"/>
        </w:rPr>
      </w:pPr>
    </w:p>
    <w:p w14:paraId="07870504" w14:textId="77777777" w:rsidR="00342622" w:rsidRPr="00907D70" w:rsidRDefault="00342622" w:rsidP="00342622">
      <w:pPr>
        <w:spacing w:after="0" w:line="240" w:lineRule="auto"/>
        <w:rPr>
          <w:rFonts w:ascii="Times New Roman" w:eastAsia="Times New Roman" w:hAnsi="Times New Roman"/>
          <w:snapToGrid w:val="0"/>
          <w:szCs w:val="24"/>
        </w:rPr>
      </w:pPr>
    </w:p>
    <w:p w14:paraId="61D81B88" w14:textId="77777777" w:rsidR="00342622" w:rsidRPr="00907D70" w:rsidRDefault="00342622" w:rsidP="00342622">
      <w:pPr>
        <w:keepNext/>
        <w:tabs>
          <w:tab w:val="left" w:pos="567"/>
        </w:tabs>
        <w:spacing w:after="0" w:line="240" w:lineRule="auto"/>
        <w:ind w:left="567" w:hanging="567"/>
        <w:outlineLvl w:val="1"/>
        <w:rPr>
          <w:rFonts w:ascii="Times New Roman" w:hAnsi="Times New Roman"/>
          <w:b/>
          <w:lang w:eastAsia="lt-LT"/>
        </w:rPr>
      </w:pPr>
      <w:r w:rsidRPr="00907D70">
        <w:rPr>
          <w:rFonts w:ascii="Times New Roman" w:hAnsi="Times New Roman"/>
          <w:b/>
          <w:bCs/>
          <w:lang w:eastAsia="lt-LT"/>
        </w:rPr>
        <w:t>8.</w:t>
      </w:r>
      <w:r w:rsidRPr="00907D70">
        <w:rPr>
          <w:rFonts w:ascii="Times New Roman" w:hAnsi="Times New Roman"/>
          <w:bCs/>
          <w:lang w:eastAsia="lt-LT"/>
        </w:rPr>
        <w:tab/>
      </w:r>
      <w:r w:rsidRPr="00907D70">
        <w:rPr>
          <w:rFonts w:ascii="Times New Roman" w:hAnsi="Times New Roman"/>
          <w:b/>
          <w:lang w:eastAsia="lt-LT"/>
        </w:rPr>
        <w:t>REGISTRACIJOS PAŽYMĖJIMO NUMERIS (-IAI)</w:t>
      </w:r>
    </w:p>
    <w:p w14:paraId="3AA50946" w14:textId="77777777" w:rsidR="00342622" w:rsidRPr="00907D70" w:rsidRDefault="00342622" w:rsidP="00342622">
      <w:pPr>
        <w:spacing w:after="0" w:line="240" w:lineRule="auto"/>
        <w:rPr>
          <w:rFonts w:ascii="Times New Roman" w:eastAsia="Times New Roman" w:hAnsi="Times New Roman"/>
          <w:bCs/>
        </w:rPr>
      </w:pPr>
    </w:p>
    <w:p w14:paraId="5098832A"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u w:val="single"/>
        </w:rPr>
        <w:t>Lizdinė plokštelė</w:t>
      </w:r>
      <w:r w:rsidRPr="00B10640">
        <w:rPr>
          <w:rFonts w:ascii="Times New Roman" w:eastAsiaTheme="minorHAnsi" w:hAnsi="Times New Roman"/>
          <w:color w:val="000000"/>
          <w:sz w:val="23"/>
          <w:szCs w:val="23"/>
        </w:rPr>
        <w:t xml:space="preserve">: </w:t>
      </w:r>
    </w:p>
    <w:p w14:paraId="05ECD2E1"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rPr>
        <w:t xml:space="preserve">LT/1/17/4045/001 – N60 </w:t>
      </w:r>
    </w:p>
    <w:p w14:paraId="6962B570"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rPr>
        <w:t xml:space="preserve">LT/1/17/4045/002 – N120 </w:t>
      </w:r>
    </w:p>
    <w:p w14:paraId="0AD77045"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rPr>
        <w:t xml:space="preserve">LT/1/17/4045/003 – N120 (3x40) </w:t>
      </w:r>
    </w:p>
    <w:p w14:paraId="05FAADBC"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u w:val="single"/>
        </w:rPr>
        <w:t>Buteliukas</w:t>
      </w:r>
      <w:r w:rsidRPr="00B10640">
        <w:rPr>
          <w:rFonts w:ascii="Times New Roman" w:eastAsiaTheme="minorHAnsi" w:hAnsi="Times New Roman"/>
          <w:color w:val="000000"/>
          <w:sz w:val="23"/>
          <w:szCs w:val="23"/>
        </w:rPr>
        <w:t xml:space="preserve">: </w:t>
      </w:r>
    </w:p>
    <w:p w14:paraId="7CE7AE47" w14:textId="77777777" w:rsidR="00B10640" w:rsidRPr="00B10640" w:rsidRDefault="00B10640" w:rsidP="00B10640">
      <w:pPr>
        <w:autoSpaceDE w:val="0"/>
        <w:autoSpaceDN w:val="0"/>
        <w:adjustRightInd w:val="0"/>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rPr>
        <w:t xml:space="preserve">LT/1/17/4045/004 – N120 </w:t>
      </w:r>
    </w:p>
    <w:p w14:paraId="1C36E21B" w14:textId="6666E5CA" w:rsidR="00342622" w:rsidRDefault="00B10640" w:rsidP="00B10640">
      <w:pPr>
        <w:spacing w:after="0" w:line="240" w:lineRule="auto"/>
        <w:rPr>
          <w:rFonts w:ascii="Times New Roman" w:eastAsiaTheme="minorHAnsi" w:hAnsi="Times New Roman"/>
          <w:color w:val="000000"/>
          <w:sz w:val="23"/>
          <w:szCs w:val="23"/>
        </w:rPr>
      </w:pPr>
      <w:r w:rsidRPr="00B10640">
        <w:rPr>
          <w:rFonts w:ascii="Times New Roman" w:eastAsiaTheme="minorHAnsi" w:hAnsi="Times New Roman"/>
          <w:color w:val="000000"/>
          <w:sz w:val="23"/>
          <w:szCs w:val="23"/>
        </w:rPr>
        <w:t xml:space="preserve">LT/1/17/4045/005 – N360 (3x120) </w:t>
      </w:r>
    </w:p>
    <w:p w14:paraId="148A6AD3" w14:textId="77777777" w:rsidR="00B10640" w:rsidRPr="00907D70" w:rsidRDefault="00B10640" w:rsidP="00B10640">
      <w:pPr>
        <w:spacing w:after="0" w:line="240" w:lineRule="auto"/>
        <w:rPr>
          <w:rFonts w:ascii="Times New Roman" w:eastAsia="Times New Roman" w:hAnsi="Times New Roman"/>
          <w:bCs/>
        </w:rPr>
      </w:pPr>
    </w:p>
    <w:p w14:paraId="008CF4B6" w14:textId="77777777" w:rsidR="00342622" w:rsidRPr="00907D70" w:rsidRDefault="00342622" w:rsidP="00342622">
      <w:pPr>
        <w:spacing w:after="0" w:line="240" w:lineRule="auto"/>
        <w:rPr>
          <w:rFonts w:ascii="Times New Roman" w:eastAsia="Times New Roman" w:hAnsi="Times New Roman"/>
          <w:bCs/>
        </w:rPr>
      </w:pPr>
    </w:p>
    <w:p w14:paraId="3A94A7DC" w14:textId="77777777" w:rsidR="00342622" w:rsidRPr="00907D70" w:rsidRDefault="00342622" w:rsidP="00342622">
      <w:pPr>
        <w:spacing w:after="0" w:line="240" w:lineRule="auto"/>
        <w:ind w:left="540" w:hanging="540"/>
        <w:rPr>
          <w:rFonts w:ascii="Times New Roman" w:eastAsia="Times New Roman" w:hAnsi="Times New Roman"/>
          <w:b/>
          <w:bCs/>
        </w:rPr>
      </w:pPr>
      <w:r w:rsidRPr="00907D70">
        <w:rPr>
          <w:rFonts w:ascii="Times New Roman" w:eastAsia="Times New Roman" w:hAnsi="Times New Roman"/>
          <w:b/>
          <w:bCs/>
        </w:rPr>
        <w:t>9.</w:t>
      </w:r>
      <w:r w:rsidRPr="00907D70">
        <w:rPr>
          <w:rFonts w:ascii="Times New Roman" w:eastAsia="Times New Roman" w:hAnsi="Times New Roman"/>
          <w:b/>
          <w:bCs/>
        </w:rPr>
        <w:tab/>
        <w:t xml:space="preserve">REGISTRAVIMO </w:t>
      </w:r>
      <w:r w:rsidRPr="00907D70">
        <w:rPr>
          <w:rFonts w:ascii="Times New Roman" w:eastAsia="Times New Roman" w:hAnsi="Times New Roman"/>
          <w:b/>
        </w:rPr>
        <w:t>/ PERREGISTRAVIMO DATA</w:t>
      </w:r>
    </w:p>
    <w:p w14:paraId="73F8702C" w14:textId="77777777" w:rsidR="00342622" w:rsidRPr="00907D70" w:rsidRDefault="00342622" w:rsidP="00342622">
      <w:pPr>
        <w:spacing w:after="0" w:line="240" w:lineRule="auto"/>
        <w:rPr>
          <w:rFonts w:ascii="Times New Roman" w:eastAsia="Times New Roman" w:hAnsi="Times New Roman"/>
          <w:bCs/>
        </w:rPr>
      </w:pPr>
    </w:p>
    <w:p w14:paraId="1CF437B4" w14:textId="5ADC965A" w:rsidR="00342622" w:rsidRPr="00907D70" w:rsidRDefault="00342622" w:rsidP="00342622">
      <w:pPr>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Regis</w:t>
      </w:r>
      <w:r w:rsidR="006F73A8" w:rsidRPr="00907D70">
        <w:rPr>
          <w:rFonts w:ascii="Times New Roman" w:eastAsia="Times New Roman" w:hAnsi="Times New Roman"/>
          <w:snapToGrid w:val="0"/>
          <w:szCs w:val="24"/>
        </w:rPr>
        <w:t>travimo data 2017 m. vasario</w:t>
      </w:r>
      <w:r w:rsidRPr="00907D70">
        <w:rPr>
          <w:rFonts w:ascii="Times New Roman" w:eastAsia="Times New Roman" w:hAnsi="Times New Roman"/>
          <w:snapToGrid w:val="0"/>
          <w:szCs w:val="24"/>
        </w:rPr>
        <w:t xml:space="preserve"> 13 d.</w:t>
      </w:r>
    </w:p>
    <w:p w14:paraId="6009C7A2" w14:textId="3831644D" w:rsidR="00342622" w:rsidRPr="00907D70" w:rsidRDefault="00F96154" w:rsidP="00342622">
      <w:pPr>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 xml:space="preserve">Paskutinio perregistravimo data </w:t>
      </w:r>
      <w:r w:rsidR="00B10640">
        <w:rPr>
          <w:rFonts w:ascii="Times New Roman" w:eastAsia="Times New Roman" w:hAnsi="Times New Roman"/>
          <w:snapToGrid w:val="0"/>
          <w:szCs w:val="24"/>
        </w:rPr>
        <w:t>2022 m. vasario 8 d.</w:t>
      </w:r>
    </w:p>
    <w:p w14:paraId="689FEA75" w14:textId="77777777" w:rsidR="00F96154" w:rsidRPr="00907D70" w:rsidRDefault="00F96154" w:rsidP="00342622">
      <w:pPr>
        <w:spacing w:after="0" w:line="240" w:lineRule="auto"/>
        <w:rPr>
          <w:rFonts w:ascii="Times New Roman" w:eastAsia="Times New Roman" w:hAnsi="Times New Roman"/>
          <w:snapToGrid w:val="0"/>
          <w:szCs w:val="24"/>
        </w:rPr>
      </w:pPr>
    </w:p>
    <w:p w14:paraId="723C8A7C" w14:textId="77777777" w:rsidR="00342622" w:rsidRPr="00907D70" w:rsidRDefault="00342622" w:rsidP="00342622">
      <w:pPr>
        <w:spacing w:after="0" w:line="240" w:lineRule="auto"/>
        <w:rPr>
          <w:rFonts w:ascii="Times New Roman" w:eastAsia="Times New Roman" w:hAnsi="Times New Roman"/>
        </w:rPr>
      </w:pPr>
    </w:p>
    <w:p w14:paraId="1799A1D3" w14:textId="77777777" w:rsidR="00342622" w:rsidRPr="00907D70" w:rsidRDefault="00342622" w:rsidP="00342622">
      <w:pPr>
        <w:spacing w:after="0" w:line="240" w:lineRule="auto"/>
        <w:ind w:left="540" w:hanging="540"/>
        <w:rPr>
          <w:rFonts w:ascii="Times New Roman" w:eastAsia="Times New Roman" w:hAnsi="Times New Roman"/>
          <w:b/>
          <w:bCs/>
        </w:rPr>
      </w:pPr>
      <w:r w:rsidRPr="00907D70">
        <w:rPr>
          <w:rFonts w:ascii="Times New Roman" w:eastAsia="Times New Roman" w:hAnsi="Times New Roman"/>
          <w:b/>
          <w:bCs/>
        </w:rPr>
        <w:t>10.</w:t>
      </w:r>
      <w:r w:rsidRPr="00907D70">
        <w:rPr>
          <w:rFonts w:ascii="Times New Roman" w:eastAsia="Times New Roman" w:hAnsi="Times New Roman"/>
          <w:b/>
          <w:bCs/>
        </w:rPr>
        <w:tab/>
        <w:t>TEKSTO PERŽIŪROS DATA</w:t>
      </w:r>
    </w:p>
    <w:p w14:paraId="7BE1C8FB" w14:textId="1D95EFF0" w:rsidR="00342622" w:rsidRDefault="00342622" w:rsidP="00342622">
      <w:pPr>
        <w:spacing w:after="0" w:line="240" w:lineRule="auto"/>
        <w:jc w:val="both"/>
        <w:rPr>
          <w:rFonts w:ascii="Times New Roman" w:hAnsi="Times New Roman"/>
        </w:rPr>
      </w:pPr>
    </w:p>
    <w:p w14:paraId="59E1BD6E" w14:textId="05CB6736" w:rsidR="00B10640" w:rsidRPr="0071082F" w:rsidRDefault="00B10640" w:rsidP="00342622">
      <w:pPr>
        <w:spacing w:after="0" w:line="240" w:lineRule="auto"/>
        <w:jc w:val="both"/>
        <w:rPr>
          <w:rFonts w:ascii="Times New Roman" w:hAnsi="Times New Roman"/>
        </w:rPr>
      </w:pPr>
      <w:r>
        <w:rPr>
          <w:rFonts w:ascii="Times New Roman" w:eastAsia="Times New Roman" w:hAnsi="Times New Roman"/>
          <w:snapToGrid w:val="0"/>
          <w:szCs w:val="24"/>
        </w:rPr>
        <w:t>2022 m. vasario 8 d.</w:t>
      </w:r>
    </w:p>
    <w:p w14:paraId="1993DA3E" w14:textId="77777777" w:rsidR="00A05C5F" w:rsidRPr="0071082F" w:rsidRDefault="00A05C5F" w:rsidP="00342622">
      <w:pPr>
        <w:spacing w:after="0" w:line="240" w:lineRule="auto"/>
        <w:jc w:val="both"/>
        <w:rPr>
          <w:rFonts w:ascii="Times New Roman" w:hAnsi="Times New Roman"/>
        </w:rPr>
      </w:pPr>
    </w:p>
    <w:p w14:paraId="61295E9E" w14:textId="77777777" w:rsidR="00342622" w:rsidRPr="00907D70" w:rsidRDefault="00342622" w:rsidP="00342622">
      <w:pPr>
        <w:spacing w:after="0" w:line="240" w:lineRule="auto"/>
        <w:ind w:right="28"/>
        <w:rPr>
          <w:rFonts w:ascii="Times New Roman" w:eastAsia="Times New Roman" w:hAnsi="Times New Roman"/>
        </w:rPr>
      </w:pPr>
      <w:r w:rsidRPr="00907D70">
        <w:rPr>
          <w:rFonts w:ascii="Times New Roman" w:eastAsia="Times New Roman" w:hAnsi="Times New Roman"/>
        </w:rPr>
        <w:t>Išsami informacija apie šį vaistinį preparatą pateikiama Valstybinės vaistų kontrolės tarnybos prie Lietuvos Respublikos sveikatos apsaugos ministerijos tinklalapyje</w:t>
      </w:r>
      <w:r w:rsidRPr="00907D70">
        <w:rPr>
          <w:rFonts w:ascii="Times New Roman" w:eastAsia="Times New Roman" w:hAnsi="Times New Roman"/>
          <w:i/>
        </w:rPr>
        <w:t xml:space="preserve"> </w:t>
      </w:r>
      <w:hyperlink r:id="rId8" w:history="1">
        <w:r w:rsidRPr="00907D70">
          <w:rPr>
            <w:rFonts w:ascii="Times New Roman" w:eastAsia="Times New Roman" w:hAnsi="Times New Roman"/>
            <w:color w:val="0000FF"/>
            <w:u w:val="single"/>
          </w:rPr>
          <w:t>http://www.vvkt.lt/</w:t>
        </w:r>
      </w:hyperlink>
    </w:p>
    <w:p w14:paraId="0B1FB363" w14:textId="77777777" w:rsidR="00342622" w:rsidRPr="00907D70" w:rsidRDefault="00342622" w:rsidP="00342622">
      <w:pPr>
        <w:spacing w:after="0" w:line="240" w:lineRule="auto"/>
        <w:jc w:val="center"/>
        <w:outlineLvl w:val="0"/>
        <w:rPr>
          <w:rFonts w:ascii="Times New Roman" w:eastAsia="Times New Roman" w:hAnsi="Times New Roman"/>
        </w:rPr>
      </w:pPr>
      <w:r w:rsidRPr="00907D70">
        <w:rPr>
          <w:rFonts w:ascii="Times New Roman" w:eastAsia="Times New Roman" w:hAnsi="Times New Roman"/>
        </w:rPr>
        <w:br w:type="page"/>
      </w:r>
      <w:bookmarkStart w:id="7" w:name="_Toc129243138"/>
      <w:bookmarkStart w:id="8" w:name="_Toc129243263"/>
      <w:bookmarkEnd w:id="5"/>
      <w:bookmarkEnd w:id="6"/>
    </w:p>
    <w:p w14:paraId="5A31843A" w14:textId="77777777" w:rsidR="00342622" w:rsidRPr="00907D70" w:rsidRDefault="00342622" w:rsidP="00342622">
      <w:pPr>
        <w:spacing w:after="0" w:line="240" w:lineRule="auto"/>
        <w:jc w:val="center"/>
        <w:outlineLvl w:val="0"/>
        <w:rPr>
          <w:rFonts w:ascii="Times New Roman" w:eastAsia="Times New Roman" w:hAnsi="Times New Roman"/>
        </w:rPr>
      </w:pPr>
    </w:p>
    <w:p w14:paraId="38AA85CE" w14:textId="77777777" w:rsidR="00342622" w:rsidRPr="00907D70" w:rsidRDefault="00342622" w:rsidP="00342622">
      <w:pPr>
        <w:spacing w:after="0" w:line="240" w:lineRule="auto"/>
        <w:jc w:val="center"/>
        <w:outlineLvl w:val="0"/>
        <w:rPr>
          <w:rFonts w:ascii="Times New Roman" w:eastAsia="Times New Roman" w:hAnsi="Times New Roman"/>
        </w:rPr>
      </w:pPr>
    </w:p>
    <w:p w14:paraId="00DBF66C" w14:textId="77777777" w:rsidR="00342622" w:rsidRPr="00907D70" w:rsidRDefault="00342622" w:rsidP="00342622">
      <w:pPr>
        <w:spacing w:after="0" w:line="240" w:lineRule="auto"/>
        <w:jc w:val="center"/>
        <w:outlineLvl w:val="0"/>
        <w:rPr>
          <w:rFonts w:ascii="Times New Roman" w:eastAsia="Times New Roman" w:hAnsi="Times New Roman"/>
        </w:rPr>
      </w:pPr>
    </w:p>
    <w:p w14:paraId="118944C2" w14:textId="77777777" w:rsidR="00342622" w:rsidRPr="00907D70" w:rsidRDefault="00342622" w:rsidP="00342622">
      <w:pPr>
        <w:spacing w:after="0" w:line="240" w:lineRule="auto"/>
        <w:jc w:val="center"/>
        <w:outlineLvl w:val="0"/>
        <w:rPr>
          <w:rFonts w:ascii="Times New Roman" w:eastAsia="Times New Roman" w:hAnsi="Times New Roman"/>
        </w:rPr>
      </w:pPr>
    </w:p>
    <w:p w14:paraId="5A1F90CE" w14:textId="77777777" w:rsidR="00342622" w:rsidRPr="00907D70" w:rsidRDefault="00342622" w:rsidP="00342622">
      <w:pPr>
        <w:spacing w:after="0" w:line="240" w:lineRule="auto"/>
        <w:jc w:val="center"/>
        <w:outlineLvl w:val="0"/>
        <w:rPr>
          <w:rFonts w:ascii="Times New Roman" w:eastAsia="Times New Roman" w:hAnsi="Times New Roman"/>
        </w:rPr>
      </w:pPr>
    </w:p>
    <w:p w14:paraId="08031B60" w14:textId="77777777" w:rsidR="00342622" w:rsidRPr="00907D70" w:rsidRDefault="00342622" w:rsidP="00342622">
      <w:pPr>
        <w:spacing w:after="0" w:line="240" w:lineRule="auto"/>
        <w:jc w:val="center"/>
        <w:outlineLvl w:val="0"/>
        <w:rPr>
          <w:rFonts w:ascii="Times New Roman" w:eastAsia="Times New Roman" w:hAnsi="Times New Roman"/>
        </w:rPr>
      </w:pPr>
    </w:p>
    <w:p w14:paraId="7A3DD649" w14:textId="77777777" w:rsidR="00342622" w:rsidRPr="00907D70" w:rsidRDefault="00342622" w:rsidP="00342622">
      <w:pPr>
        <w:spacing w:after="0" w:line="240" w:lineRule="auto"/>
        <w:jc w:val="center"/>
        <w:outlineLvl w:val="0"/>
        <w:rPr>
          <w:rFonts w:ascii="Times New Roman" w:eastAsia="Times New Roman" w:hAnsi="Times New Roman"/>
        </w:rPr>
      </w:pPr>
    </w:p>
    <w:p w14:paraId="3152B95D" w14:textId="77777777" w:rsidR="00342622" w:rsidRPr="00907D70" w:rsidRDefault="00342622" w:rsidP="00342622">
      <w:pPr>
        <w:spacing w:after="0" w:line="240" w:lineRule="auto"/>
        <w:jc w:val="center"/>
        <w:outlineLvl w:val="0"/>
        <w:rPr>
          <w:rFonts w:ascii="Times New Roman" w:eastAsia="Times New Roman" w:hAnsi="Times New Roman"/>
        </w:rPr>
      </w:pPr>
    </w:p>
    <w:p w14:paraId="4D9DEE97" w14:textId="77777777" w:rsidR="00342622" w:rsidRPr="00907D70" w:rsidRDefault="00342622" w:rsidP="00342622">
      <w:pPr>
        <w:spacing w:after="0" w:line="240" w:lineRule="auto"/>
        <w:jc w:val="center"/>
        <w:outlineLvl w:val="0"/>
        <w:rPr>
          <w:rFonts w:ascii="Times New Roman" w:eastAsia="Times New Roman" w:hAnsi="Times New Roman"/>
        </w:rPr>
      </w:pPr>
    </w:p>
    <w:p w14:paraId="3ED6ED79" w14:textId="77777777" w:rsidR="00342622" w:rsidRPr="00907D70" w:rsidRDefault="00342622" w:rsidP="00342622">
      <w:pPr>
        <w:spacing w:after="0" w:line="240" w:lineRule="auto"/>
        <w:jc w:val="center"/>
        <w:outlineLvl w:val="0"/>
        <w:rPr>
          <w:rFonts w:ascii="Times New Roman" w:eastAsia="Times New Roman" w:hAnsi="Times New Roman"/>
        </w:rPr>
      </w:pPr>
    </w:p>
    <w:p w14:paraId="566113E5" w14:textId="77777777" w:rsidR="00342622" w:rsidRPr="00907D70" w:rsidRDefault="00342622" w:rsidP="00342622">
      <w:pPr>
        <w:spacing w:after="0" w:line="240" w:lineRule="auto"/>
        <w:jc w:val="center"/>
        <w:outlineLvl w:val="0"/>
        <w:rPr>
          <w:rFonts w:ascii="Times New Roman" w:eastAsia="Times New Roman" w:hAnsi="Times New Roman"/>
        </w:rPr>
      </w:pPr>
    </w:p>
    <w:p w14:paraId="65452955" w14:textId="77777777" w:rsidR="00342622" w:rsidRPr="00907D70" w:rsidRDefault="00342622" w:rsidP="00342622">
      <w:pPr>
        <w:spacing w:after="0" w:line="240" w:lineRule="auto"/>
        <w:jc w:val="center"/>
        <w:outlineLvl w:val="0"/>
        <w:rPr>
          <w:rFonts w:ascii="Times New Roman" w:eastAsia="Times New Roman" w:hAnsi="Times New Roman"/>
        </w:rPr>
      </w:pPr>
    </w:p>
    <w:p w14:paraId="294F865C" w14:textId="77777777" w:rsidR="00342622" w:rsidRPr="00907D70" w:rsidRDefault="00342622" w:rsidP="00342622">
      <w:pPr>
        <w:spacing w:after="0" w:line="240" w:lineRule="auto"/>
        <w:jc w:val="center"/>
        <w:outlineLvl w:val="0"/>
        <w:rPr>
          <w:rFonts w:ascii="Times New Roman" w:eastAsia="Times New Roman" w:hAnsi="Times New Roman"/>
        </w:rPr>
      </w:pPr>
    </w:p>
    <w:p w14:paraId="6AE24126" w14:textId="77777777" w:rsidR="00342622" w:rsidRPr="00907D70" w:rsidRDefault="00342622" w:rsidP="00342622">
      <w:pPr>
        <w:spacing w:after="0" w:line="240" w:lineRule="auto"/>
        <w:jc w:val="center"/>
        <w:outlineLvl w:val="0"/>
        <w:rPr>
          <w:rFonts w:ascii="Times New Roman" w:eastAsia="Times New Roman" w:hAnsi="Times New Roman"/>
        </w:rPr>
      </w:pPr>
    </w:p>
    <w:p w14:paraId="04EA44D2" w14:textId="77777777" w:rsidR="00342622" w:rsidRPr="00907D70" w:rsidRDefault="00342622" w:rsidP="00342622">
      <w:pPr>
        <w:spacing w:after="0" w:line="240" w:lineRule="auto"/>
        <w:jc w:val="center"/>
        <w:outlineLvl w:val="0"/>
        <w:rPr>
          <w:rFonts w:ascii="Times New Roman" w:eastAsia="Times New Roman" w:hAnsi="Times New Roman"/>
        </w:rPr>
      </w:pPr>
    </w:p>
    <w:p w14:paraId="2A5EE310" w14:textId="77777777" w:rsidR="00342622" w:rsidRPr="00907D70" w:rsidRDefault="00342622" w:rsidP="00342622">
      <w:pPr>
        <w:spacing w:after="0" w:line="240" w:lineRule="auto"/>
        <w:jc w:val="center"/>
        <w:outlineLvl w:val="0"/>
        <w:rPr>
          <w:rFonts w:ascii="Times New Roman" w:eastAsia="Times New Roman" w:hAnsi="Times New Roman"/>
        </w:rPr>
      </w:pPr>
    </w:p>
    <w:p w14:paraId="1539AE30" w14:textId="77777777" w:rsidR="00342622" w:rsidRPr="00907D70" w:rsidRDefault="00342622" w:rsidP="00342622">
      <w:pPr>
        <w:spacing w:after="0" w:line="240" w:lineRule="auto"/>
        <w:jc w:val="center"/>
        <w:outlineLvl w:val="0"/>
        <w:rPr>
          <w:rFonts w:ascii="Times New Roman" w:eastAsia="Times New Roman" w:hAnsi="Times New Roman"/>
        </w:rPr>
      </w:pPr>
    </w:p>
    <w:p w14:paraId="60DC24F4" w14:textId="77777777" w:rsidR="00342622" w:rsidRPr="00907D70" w:rsidRDefault="00342622" w:rsidP="00342622">
      <w:pPr>
        <w:tabs>
          <w:tab w:val="left" w:pos="567"/>
        </w:tabs>
        <w:spacing w:after="0" w:line="240" w:lineRule="auto"/>
        <w:jc w:val="center"/>
        <w:outlineLvl w:val="0"/>
        <w:rPr>
          <w:rFonts w:ascii="Times New Roman" w:hAnsi="Times New Roman"/>
          <w:b/>
          <w:bCs/>
          <w:caps/>
          <w:lang w:eastAsia="lt-LT"/>
        </w:rPr>
      </w:pPr>
    </w:p>
    <w:p w14:paraId="78828359" w14:textId="77777777" w:rsidR="00342622" w:rsidRPr="00907D70" w:rsidRDefault="00342622" w:rsidP="00342622">
      <w:pPr>
        <w:tabs>
          <w:tab w:val="left" w:pos="567"/>
        </w:tabs>
        <w:spacing w:after="0" w:line="240" w:lineRule="auto"/>
        <w:jc w:val="center"/>
        <w:outlineLvl w:val="0"/>
        <w:rPr>
          <w:rFonts w:ascii="Times New Roman" w:hAnsi="Times New Roman"/>
          <w:b/>
          <w:bCs/>
          <w:caps/>
          <w:lang w:eastAsia="lt-LT"/>
        </w:rPr>
      </w:pPr>
    </w:p>
    <w:p w14:paraId="41F5DDF3" w14:textId="77777777" w:rsidR="00342622" w:rsidRPr="00907D70" w:rsidRDefault="00342622" w:rsidP="00342622">
      <w:pPr>
        <w:tabs>
          <w:tab w:val="left" w:pos="567"/>
        </w:tabs>
        <w:spacing w:after="0" w:line="240" w:lineRule="auto"/>
        <w:jc w:val="center"/>
        <w:outlineLvl w:val="0"/>
        <w:rPr>
          <w:rFonts w:ascii="Times New Roman" w:hAnsi="Times New Roman"/>
          <w:b/>
          <w:bCs/>
          <w:caps/>
          <w:lang w:eastAsia="lt-LT"/>
        </w:rPr>
      </w:pPr>
    </w:p>
    <w:p w14:paraId="10508D6B" w14:textId="77777777" w:rsidR="00342622" w:rsidRPr="00907D70" w:rsidRDefault="00342622" w:rsidP="00342622">
      <w:pPr>
        <w:tabs>
          <w:tab w:val="left" w:pos="567"/>
        </w:tabs>
        <w:spacing w:after="0" w:line="240" w:lineRule="auto"/>
        <w:jc w:val="center"/>
        <w:outlineLvl w:val="0"/>
        <w:rPr>
          <w:rFonts w:ascii="Times New Roman" w:hAnsi="Times New Roman"/>
          <w:b/>
          <w:bCs/>
          <w:caps/>
          <w:lang w:eastAsia="lt-LT"/>
        </w:rPr>
      </w:pPr>
      <w:r w:rsidRPr="00907D70">
        <w:rPr>
          <w:rFonts w:ascii="Times New Roman" w:hAnsi="Times New Roman"/>
          <w:b/>
          <w:bCs/>
          <w:caps/>
          <w:lang w:eastAsia="lt-LT"/>
        </w:rPr>
        <w:t>II PRIEDAS</w:t>
      </w:r>
    </w:p>
    <w:p w14:paraId="7D4E090D" w14:textId="77777777" w:rsidR="00342622" w:rsidRPr="00907D70" w:rsidRDefault="00342622" w:rsidP="00342622">
      <w:pPr>
        <w:tabs>
          <w:tab w:val="left" w:pos="567"/>
        </w:tabs>
        <w:spacing w:after="0" w:line="240" w:lineRule="auto"/>
        <w:jc w:val="center"/>
        <w:outlineLvl w:val="0"/>
        <w:rPr>
          <w:rFonts w:ascii="Times New Roman" w:hAnsi="Times New Roman"/>
          <w:b/>
          <w:bCs/>
          <w:caps/>
          <w:lang w:eastAsia="lt-LT"/>
        </w:rPr>
      </w:pPr>
    </w:p>
    <w:p w14:paraId="35BE26FE" w14:textId="77777777" w:rsidR="00342622" w:rsidRPr="00907D70" w:rsidRDefault="00342622" w:rsidP="00342622">
      <w:pPr>
        <w:tabs>
          <w:tab w:val="left" w:pos="567"/>
          <w:tab w:val="left" w:pos="1620"/>
        </w:tabs>
        <w:spacing w:after="0" w:line="240" w:lineRule="auto"/>
        <w:ind w:left="567" w:hanging="567"/>
        <w:jc w:val="center"/>
        <w:outlineLvl w:val="0"/>
        <w:rPr>
          <w:rFonts w:ascii="Times New Roman" w:hAnsi="Times New Roman"/>
          <w:b/>
          <w:bCs/>
          <w:caps/>
          <w:lang w:eastAsia="lt-LT"/>
        </w:rPr>
      </w:pPr>
      <w:r w:rsidRPr="00907D70">
        <w:rPr>
          <w:rFonts w:ascii="Times New Roman" w:hAnsi="Times New Roman"/>
          <w:b/>
          <w:bCs/>
          <w:caps/>
          <w:lang w:eastAsia="lt-LT"/>
        </w:rPr>
        <w:t>REGISTRACIJOS SĄLYGOS</w:t>
      </w:r>
    </w:p>
    <w:p w14:paraId="5AEAAE12" w14:textId="77777777" w:rsidR="00342622" w:rsidRPr="00907D70" w:rsidRDefault="00342622" w:rsidP="00342622">
      <w:pPr>
        <w:tabs>
          <w:tab w:val="left" w:pos="567"/>
        </w:tabs>
        <w:spacing w:after="0" w:line="240" w:lineRule="auto"/>
        <w:rPr>
          <w:rFonts w:ascii="Times New Roman" w:hAnsi="Times New Roman"/>
          <w:lang w:eastAsia="lt-LT"/>
        </w:rPr>
      </w:pPr>
    </w:p>
    <w:p w14:paraId="7824D389" w14:textId="77777777" w:rsidR="00342622" w:rsidRPr="00907D70" w:rsidRDefault="00342622" w:rsidP="00342622">
      <w:pPr>
        <w:tabs>
          <w:tab w:val="left" w:pos="567"/>
          <w:tab w:val="left" w:pos="1701"/>
        </w:tabs>
        <w:spacing w:after="0" w:line="240" w:lineRule="auto"/>
        <w:ind w:left="1134"/>
        <w:rPr>
          <w:rFonts w:ascii="Times New Roman" w:eastAsia="Times New Roman" w:hAnsi="Times New Roman"/>
          <w:b/>
        </w:rPr>
      </w:pPr>
      <w:r w:rsidRPr="00907D70">
        <w:rPr>
          <w:rFonts w:ascii="Times New Roman" w:eastAsia="Times New Roman" w:hAnsi="Times New Roman"/>
          <w:b/>
        </w:rPr>
        <w:t>A.</w:t>
      </w:r>
      <w:r w:rsidRPr="00907D70">
        <w:rPr>
          <w:rFonts w:ascii="Times New Roman" w:eastAsia="Times New Roman" w:hAnsi="Times New Roman"/>
          <w:b/>
        </w:rPr>
        <w:tab/>
        <w:t>GAMINTOJAS (-AI), ATSAKINGAS (-I) UŽ SERIJŲ IŠLEIDIMĄ</w:t>
      </w:r>
    </w:p>
    <w:p w14:paraId="37D4174C" w14:textId="77777777" w:rsidR="00342622" w:rsidRPr="00907D70" w:rsidRDefault="00342622" w:rsidP="00342622">
      <w:pPr>
        <w:tabs>
          <w:tab w:val="left" w:pos="567"/>
        </w:tabs>
        <w:spacing w:after="0" w:line="240" w:lineRule="auto"/>
        <w:rPr>
          <w:rFonts w:ascii="Times New Roman" w:hAnsi="Times New Roman"/>
        </w:rPr>
      </w:pPr>
    </w:p>
    <w:p w14:paraId="5E8E8112" w14:textId="77777777" w:rsidR="00342622" w:rsidRPr="00907D70" w:rsidRDefault="00342622" w:rsidP="00342622">
      <w:pPr>
        <w:tabs>
          <w:tab w:val="left" w:pos="567"/>
          <w:tab w:val="left" w:pos="1701"/>
        </w:tabs>
        <w:spacing w:after="0" w:line="240" w:lineRule="auto"/>
        <w:ind w:left="1134"/>
        <w:rPr>
          <w:rFonts w:ascii="Times New Roman" w:eastAsia="Times New Roman" w:hAnsi="Times New Roman"/>
          <w:b/>
        </w:rPr>
      </w:pPr>
      <w:r w:rsidRPr="00907D70">
        <w:rPr>
          <w:rFonts w:ascii="Times New Roman" w:eastAsia="Times New Roman" w:hAnsi="Times New Roman"/>
          <w:b/>
        </w:rPr>
        <w:t>B.</w:t>
      </w:r>
      <w:r w:rsidRPr="00907D70">
        <w:rPr>
          <w:rFonts w:ascii="Times New Roman" w:eastAsia="Times New Roman" w:hAnsi="Times New Roman"/>
          <w:b/>
        </w:rPr>
        <w:tab/>
        <w:t>TIEKIMO IR VARTOJIMO SĄLYGOS AR APRIBOJIMAI</w:t>
      </w:r>
    </w:p>
    <w:p w14:paraId="1BFA6DCD" w14:textId="77777777" w:rsidR="00342622" w:rsidRPr="00907D70" w:rsidRDefault="00342622" w:rsidP="00342622">
      <w:pPr>
        <w:tabs>
          <w:tab w:val="left" w:pos="567"/>
        </w:tabs>
        <w:spacing w:after="0" w:line="240" w:lineRule="auto"/>
        <w:jc w:val="both"/>
        <w:rPr>
          <w:rFonts w:ascii="Times New Roman" w:eastAsia="Times New Roman" w:hAnsi="Times New Roman"/>
          <w:b/>
        </w:rPr>
      </w:pPr>
      <w:r w:rsidRPr="00907D70">
        <w:rPr>
          <w:rFonts w:ascii="Times New Roman" w:eastAsia="Times New Roman" w:hAnsi="Times New Roman"/>
        </w:rPr>
        <w:br w:type="page"/>
      </w:r>
      <w:r w:rsidRPr="00907D70">
        <w:rPr>
          <w:rFonts w:ascii="Times New Roman" w:eastAsia="Times New Roman" w:hAnsi="Times New Roman"/>
          <w:b/>
        </w:rPr>
        <w:lastRenderedPageBreak/>
        <w:t>A.</w:t>
      </w:r>
      <w:r w:rsidRPr="00907D70">
        <w:rPr>
          <w:rFonts w:ascii="Times New Roman" w:eastAsia="Times New Roman" w:hAnsi="Times New Roman"/>
          <w:b/>
        </w:rPr>
        <w:tab/>
        <w:t>GAMINTOJAS (-AI), ATSAKINGAS (-I) UŽ SERIJŲ IŠLEIDIMĄ</w:t>
      </w:r>
    </w:p>
    <w:p w14:paraId="71531847" w14:textId="77777777" w:rsidR="00342622" w:rsidRPr="00907D70" w:rsidRDefault="00342622" w:rsidP="00342622">
      <w:pPr>
        <w:tabs>
          <w:tab w:val="left" w:pos="567"/>
        </w:tabs>
        <w:spacing w:after="0" w:line="240" w:lineRule="auto"/>
        <w:rPr>
          <w:rFonts w:ascii="Times New Roman" w:hAnsi="Times New Roman"/>
          <w:u w:val="single"/>
          <w:lang w:eastAsia="lt-LT"/>
        </w:rPr>
      </w:pPr>
    </w:p>
    <w:p w14:paraId="1BD74E96" w14:textId="77777777" w:rsidR="00342622" w:rsidRPr="00907D70" w:rsidRDefault="00342622" w:rsidP="00342622">
      <w:pPr>
        <w:tabs>
          <w:tab w:val="left" w:pos="567"/>
        </w:tabs>
        <w:spacing w:after="0" w:line="240" w:lineRule="auto"/>
        <w:jc w:val="both"/>
        <w:rPr>
          <w:rFonts w:ascii="Times New Roman" w:eastAsia="Times New Roman" w:hAnsi="Times New Roman"/>
          <w:snapToGrid w:val="0"/>
          <w:szCs w:val="24"/>
        </w:rPr>
      </w:pPr>
      <w:r w:rsidRPr="00907D70">
        <w:rPr>
          <w:rFonts w:ascii="Times New Roman" w:eastAsia="Times New Roman" w:hAnsi="Times New Roman"/>
          <w:snapToGrid w:val="0"/>
          <w:szCs w:val="24"/>
          <w:u w:val="single"/>
        </w:rPr>
        <w:t>Gamintojo (-ų), atsakingo (-ų) už serijų išleidimą, pavadinimas (-ai) ir adresas (-ai)</w:t>
      </w:r>
    </w:p>
    <w:p w14:paraId="2DEE8E76" w14:textId="77777777" w:rsidR="00342622" w:rsidRPr="00907D70" w:rsidRDefault="00342622" w:rsidP="00342622">
      <w:pPr>
        <w:autoSpaceDE w:val="0"/>
        <w:autoSpaceDN w:val="0"/>
        <w:adjustRightInd w:val="0"/>
        <w:spacing w:after="0" w:line="240" w:lineRule="auto"/>
        <w:rPr>
          <w:rFonts w:ascii="Times New Roman" w:eastAsia="Times New Roman" w:hAnsi="Times New Roman"/>
          <w:color w:val="000000"/>
        </w:rPr>
      </w:pPr>
    </w:p>
    <w:p w14:paraId="28F78306" w14:textId="77777777" w:rsidR="00342622" w:rsidRPr="00907D70" w:rsidRDefault="00342622" w:rsidP="00342622">
      <w:pPr>
        <w:spacing w:after="0" w:line="240" w:lineRule="auto"/>
        <w:rPr>
          <w:rFonts w:ascii="Times New Roman" w:hAnsi="Times New Roman"/>
          <w:bCs/>
        </w:rPr>
      </w:pPr>
      <w:r w:rsidRPr="00907D70">
        <w:rPr>
          <w:rFonts w:ascii="Times New Roman" w:hAnsi="Times New Roman"/>
          <w:bCs/>
        </w:rPr>
        <w:t>Pharmadox Healthcare Ltd.</w:t>
      </w:r>
    </w:p>
    <w:p w14:paraId="3A6A378D" w14:textId="77777777" w:rsidR="00342622" w:rsidRPr="00907D70" w:rsidRDefault="00342622" w:rsidP="00342622">
      <w:pPr>
        <w:spacing w:after="0" w:line="240" w:lineRule="auto"/>
        <w:rPr>
          <w:rFonts w:ascii="Times New Roman" w:hAnsi="Times New Roman"/>
          <w:bCs/>
        </w:rPr>
      </w:pPr>
      <w:r w:rsidRPr="00907D70">
        <w:rPr>
          <w:rFonts w:ascii="Times New Roman" w:hAnsi="Times New Roman"/>
          <w:bCs/>
        </w:rPr>
        <w:t>KW20A Kordin Industrial Park</w:t>
      </w:r>
    </w:p>
    <w:p w14:paraId="17E1E2CF" w14:textId="77777777" w:rsidR="00342622" w:rsidRPr="00907D70" w:rsidRDefault="00342622" w:rsidP="00342622">
      <w:pPr>
        <w:spacing w:after="0" w:line="240" w:lineRule="auto"/>
        <w:rPr>
          <w:rFonts w:ascii="Times New Roman" w:hAnsi="Times New Roman"/>
          <w:bCs/>
        </w:rPr>
      </w:pPr>
      <w:r w:rsidRPr="00907D70">
        <w:rPr>
          <w:rFonts w:ascii="Times New Roman" w:hAnsi="Times New Roman"/>
          <w:bCs/>
        </w:rPr>
        <w:t>Paola, PLA 3000</w:t>
      </w:r>
    </w:p>
    <w:p w14:paraId="4FC6D6B8" w14:textId="77777777" w:rsidR="00342622" w:rsidRPr="00907D70" w:rsidRDefault="00342622" w:rsidP="00342622">
      <w:pPr>
        <w:spacing w:after="0" w:line="240" w:lineRule="auto"/>
        <w:rPr>
          <w:rFonts w:ascii="Times New Roman" w:hAnsi="Times New Roman"/>
          <w:bCs/>
        </w:rPr>
      </w:pPr>
      <w:r w:rsidRPr="00907D70">
        <w:rPr>
          <w:rFonts w:ascii="Times New Roman" w:hAnsi="Times New Roman"/>
          <w:bCs/>
        </w:rPr>
        <w:t>Malta</w:t>
      </w:r>
    </w:p>
    <w:p w14:paraId="1A28418A" w14:textId="77777777" w:rsidR="00342622" w:rsidRPr="00907D70" w:rsidRDefault="00342622" w:rsidP="00342622">
      <w:pPr>
        <w:spacing w:after="0" w:line="240" w:lineRule="auto"/>
        <w:rPr>
          <w:rFonts w:ascii="Times New Roman" w:hAnsi="Times New Roman"/>
          <w:b/>
          <w:bCs/>
        </w:rPr>
      </w:pPr>
    </w:p>
    <w:p w14:paraId="0A7756DE" w14:textId="77777777" w:rsidR="00342622" w:rsidRPr="00907D70" w:rsidRDefault="00342622" w:rsidP="00342622">
      <w:pPr>
        <w:tabs>
          <w:tab w:val="left" w:pos="567"/>
        </w:tabs>
        <w:spacing w:after="0" w:line="240" w:lineRule="auto"/>
        <w:jc w:val="both"/>
        <w:rPr>
          <w:rFonts w:ascii="Times New Roman" w:eastAsia="Times New Roman" w:hAnsi="Times New Roman"/>
        </w:rPr>
      </w:pPr>
    </w:p>
    <w:p w14:paraId="1F4C281D" w14:textId="77777777" w:rsidR="00342622" w:rsidRPr="00907D70" w:rsidRDefault="00342622" w:rsidP="00342622">
      <w:pPr>
        <w:keepNext/>
        <w:keepLines/>
        <w:tabs>
          <w:tab w:val="left" w:pos="567"/>
        </w:tabs>
        <w:spacing w:after="0" w:line="240" w:lineRule="auto"/>
        <w:ind w:left="567" w:hanging="567"/>
        <w:outlineLvl w:val="2"/>
        <w:rPr>
          <w:rFonts w:ascii="Times New Roman" w:eastAsia="Times New Roman" w:hAnsi="Times New Roman"/>
          <w:b/>
          <w:kern w:val="28"/>
        </w:rPr>
      </w:pPr>
      <w:bookmarkStart w:id="9" w:name="_Toc129243129"/>
      <w:bookmarkStart w:id="10" w:name="_Toc129243254"/>
      <w:r w:rsidRPr="00907D70">
        <w:rPr>
          <w:rFonts w:ascii="Times New Roman" w:eastAsia="Times New Roman" w:hAnsi="Times New Roman"/>
          <w:b/>
          <w:kern w:val="28"/>
        </w:rPr>
        <w:t>B.</w:t>
      </w:r>
      <w:r w:rsidRPr="00907D70">
        <w:rPr>
          <w:rFonts w:ascii="Times New Roman" w:eastAsia="Times New Roman" w:hAnsi="Times New Roman"/>
          <w:b/>
          <w:kern w:val="28"/>
        </w:rPr>
        <w:tab/>
        <w:t xml:space="preserve">TIEKIMO IR VARTOJIMO SĄLYGOS AR APRIBOJIMAI </w:t>
      </w:r>
      <w:bookmarkEnd w:id="9"/>
      <w:bookmarkEnd w:id="10"/>
    </w:p>
    <w:p w14:paraId="47ABB37B" w14:textId="77777777" w:rsidR="00342622" w:rsidRPr="00907D70" w:rsidRDefault="00342622" w:rsidP="00342622">
      <w:pPr>
        <w:tabs>
          <w:tab w:val="left" w:pos="567"/>
        </w:tabs>
        <w:spacing w:after="0" w:line="240" w:lineRule="auto"/>
        <w:rPr>
          <w:rFonts w:ascii="Times New Roman" w:hAnsi="Times New Roman"/>
          <w:lang w:eastAsia="lt-LT"/>
        </w:rPr>
      </w:pPr>
    </w:p>
    <w:p w14:paraId="21115272"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Receptinis vaistinis preparatas.</w:t>
      </w:r>
    </w:p>
    <w:p w14:paraId="3094B44F" w14:textId="77777777" w:rsidR="00342622" w:rsidRPr="00907D70" w:rsidRDefault="00342622" w:rsidP="00342622">
      <w:pPr>
        <w:tabs>
          <w:tab w:val="left" w:pos="567"/>
        </w:tabs>
        <w:spacing w:after="0" w:line="240" w:lineRule="auto"/>
        <w:rPr>
          <w:rFonts w:ascii="Times New Roman" w:hAnsi="Times New Roman"/>
          <w:lang w:eastAsia="lt-LT"/>
        </w:rPr>
      </w:pPr>
    </w:p>
    <w:p w14:paraId="53D60CD2" w14:textId="77777777" w:rsidR="00342622" w:rsidRPr="00907D70" w:rsidRDefault="00342622" w:rsidP="00342622">
      <w:pPr>
        <w:tabs>
          <w:tab w:val="left" w:pos="567"/>
        </w:tabs>
        <w:spacing w:after="0" w:line="240" w:lineRule="auto"/>
        <w:rPr>
          <w:rFonts w:ascii="Times New Roman" w:hAnsi="Times New Roman"/>
          <w:lang w:eastAsia="lt-LT"/>
        </w:rPr>
      </w:pPr>
    </w:p>
    <w:p w14:paraId="55B6B120" w14:textId="77777777" w:rsidR="00342622" w:rsidRPr="00907D70" w:rsidRDefault="00342622" w:rsidP="00342622">
      <w:pPr>
        <w:tabs>
          <w:tab w:val="left" w:pos="567"/>
        </w:tabs>
        <w:spacing w:after="0" w:line="240" w:lineRule="auto"/>
        <w:rPr>
          <w:rFonts w:ascii="Times New Roman" w:hAnsi="Times New Roman"/>
          <w:lang w:eastAsia="lt-LT"/>
        </w:rPr>
      </w:pPr>
    </w:p>
    <w:p w14:paraId="5CB5F47C" w14:textId="77777777" w:rsidR="00342622" w:rsidRPr="00907D70" w:rsidRDefault="00342622" w:rsidP="00342622">
      <w:pPr>
        <w:tabs>
          <w:tab w:val="left" w:pos="567"/>
        </w:tabs>
        <w:spacing w:after="0" w:line="240" w:lineRule="auto"/>
        <w:jc w:val="both"/>
        <w:rPr>
          <w:rFonts w:ascii="Times New Roman" w:eastAsia="Arial Unicode MS" w:hAnsi="Times New Roman"/>
        </w:rPr>
      </w:pPr>
      <w:r w:rsidRPr="00907D70">
        <w:rPr>
          <w:rFonts w:ascii="Times New Roman" w:eastAsia="Arial Unicode MS" w:hAnsi="Times New Roman"/>
        </w:rPr>
        <w:br w:type="page"/>
      </w:r>
    </w:p>
    <w:p w14:paraId="4B712D69"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4FE7F25B"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10496567"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6AC3D9D0"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7687DFA5"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559BAA09"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4FD70717"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0737E5CF"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0677F19F"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427D15D0"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53BA971E"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38442979"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29F7DD0D"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24E80A40"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74DDFA82"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02E05573"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733AD8F1"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33A19049"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58291F4D"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3CA2C48F"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4B5B77E4"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0F134CC8" w14:textId="77777777" w:rsidR="00342622" w:rsidRPr="00907D70" w:rsidRDefault="00342622" w:rsidP="00342622">
      <w:pPr>
        <w:tabs>
          <w:tab w:val="left" w:pos="567"/>
        </w:tabs>
        <w:spacing w:after="0" w:line="240" w:lineRule="auto"/>
        <w:jc w:val="both"/>
        <w:rPr>
          <w:rFonts w:ascii="Times New Roman" w:eastAsia="Arial Unicode MS" w:hAnsi="Times New Roman"/>
        </w:rPr>
      </w:pPr>
    </w:p>
    <w:p w14:paraId="72755E28" w14:textId="77777777" w:rsidR="00342622" w:rsidRPr="00907D70" w:rsidRDefault="00342622" w:rsidP="00342622">
      <w:pPr>
        <w:spacing w:after="0" w:line="240" w:lineRule="auto"/>
        <w:jc w:val="center"/>
        <w:rPr>
          <w:rFonts w:ascii="Times New Roman" w:eastAsia="Times New Roman" w:hAnsi="Times New Roman"/>
          <w:b/>
          <w:bCs/>
          <w:caps/>
        </w:rPr>
      </w:pPr>
    </w:p>
    <w:p w14:paraId="1BAA2C01" w14:textId="77777777" w:rsidR="00342622" w:rsidRPr="00907D70" w:rsidRDefault="00342622" w:rsidP="00342622">
      <w:pPr>
        <w:spacing w:after="0" w:line="240" w:lineRule="auto"/>
        <w:jc w:val="center"/>
        <w:rPr>
          <w:rFonts w:ascii="Times New Roman" w:eastAsia="Times New Roman" w:hAnsi="Times New Roman"/>
          <w:b/>
          <w:bCs/>
          <w:caps/>
        </w:rPr>
      </w:pPr>
      <w:r w:rsidRPr="00907D70">
        <w:rPr>
          <w:rFonts w:ascii="Times New Roman" w:eastAsia="Times New Roman" w:hAnsi="Times New Roman"/>
          <w:b/>
          <w:bCs/>
          <w:caps/>
        </w:rPr>
        <w:t>III PRIEDAS</w:t>
      </w:r>
    </w:p>
    <w:p w14:paraId="6A66E56C" w14:textId="77777777" w:rsidR="00342622" w:rsidRPr="00907D70" w:rsidRDefault="00342622" w:rsidP="00342622">
      <w:pPr>
        <w:spacing w:after="0" w:line="240" w:lineRule="auto"/>
        <w:jc w:val="center"/>
        <w:rPr>
          <w:rFonts w:ascii="Times New Roman" w:eastAsia="Times New Roman" w:hAnsi="Times New Roman"/>
          <w:b/>
          <w:bCs/>
          <w:caps/>
        </w:rPr>
      </w:pPr>
    </w:p>
    <w:p w14:paraId="087C4FE2" w14:textId="77777777" w:rsidR="00342622" w:rsidRPr="00907D70" w:rsidRDefault="00342622" w:rsidP="00342622">
      <w:pPr>
        <w:spacing w:after="0" w:line="240" w:lineRule="auto"/>
        <w:jc w:val="center"/>
        <w:rPr>
          <w:rFonts w:ascii="Times New Roman" w:eastAsia="Times New Roman" w:hAnsi="Times New Roman"/>
          <w:b/>
          <w:bCs/>
          <w:caps/>
        </w:rPr>
      </w:pPr>
      <w:r w:rsidRPr="00907D70">
        <w:rPr>
          <w:rFonts w:ascii="Times New Roman" w:eastAsia="Times New Roman" w:hAnsi="Times New Roman"/>
          <w:b/>
          <w:bCs/>
          <w:caps/>
        </w:rPr>
        <w:t>ŽENKLINIMAS IR PAKUOTĖS LAPELIS</w:t>
      </w:r>
    </w:p>
    <w:p w14:paraId="241136F1" w14:textId="77777777" w:rsidR="00342622" w:rsidRPr="00907D70" w:rsidRDefault="00342622" w:rsidP="00342622">
      <w:pPr>
        <w:spacing w:after="0" w:line="240" w:lineRule="auto"/>
        <w:jc w:val="both"/>
        <w:rPr>
          <w:rFonts w:ascii="Times New Roman" w:eastAsia="Times New Roman" w:hAnsi="Times New Roman"/>
          <w:b/>
          <w:bCs/>
          <w:caps/>
        </w:rPr>
      </w:pPr>
      <w:r w:rsidRPr="00907D70">
        <w:rPr>
          <w:rFonts w:ascii="Times New Roman" w:eastAsia="Times New Roman" w:hAnsi="Times New Roman"/>
          <w:b/>
          <w:bCs/>
          <w:caps/>
        </w:rPr>
        <w:br w:type="page"/>
      </w:r>
    </w:p>
    <w:p w14:paraId="43758AFA" w14:textId="77777777" w:rsidR="00342622" w:rsidRPr="00907D70" w:rsidRDefault="00342622" w:rsidP="00342622">
      <w:pPr>
        <w:spacing w:after="0" w:line="240" w:lineRule="auto"/>
        <w:jc w:val="both"/>
        <w:rPr>
          <w:rFonts w:ascii="Times New Roman" w:eastAsia="Times New Roman" w:hAnsi="Times New Roman"/>
          <w:b/>
          <w:bCs/>
          <w:caps/>
        </w:rPr>
      </w:pPr>
    </w:p>
    <w:p w14:paraId="0F6160FB" w14:textId="77777777" w:rsidR="00342622" w:rsidRPr="00907D70" w:rsidRDefault="00342622" w:rsidP="00342622">
      <w:pPr>
        <w:spacing w:after="0" w:line="240" w:lineRule="auto"/>
        <w:jc w:val="both"/>
        <w:rPr>
          <w:rFonts w:ascii="Times New Roman" w:eastAsia="Times New Roman" w:hAnsi="Times New Roman"/>
          <w:b/>
          <w:bCs/>
          <w:caps/>
        </w:rPr>
      </w:pPr>
    </w:p>
    <w:p w14:paraId="25D22D97" w14:textId="77777777" w:rsidR="00342622" w:rsidRPr="00907D70" w:rsidRDefault="00342622" w:rsidP="00342622">
      <w:pPr>
        <w:spacing w:after="0" w:line="240" w:lineRule="auto"/>
        <w:jc w:val="both"/>
        <w:rPr>
          <w:rFonts w:ascii="Times New Roman" w:eastAsia="Times New Roman" w:hAnsi="Times New Roman"/>
          <w:b/>
          <w:bCs/>
          <w:caps/>
        </w:rPr>
      </w:pPr>
    </w:p>
    <w:p w14:paraId="0B2BBA5F" w14:textId="77777777" w:rsidR="00342622" w:rsidRPr="00907D70" w:rsidRDefault="00342622" w:rsidP="00342622">
      <w:pPr>
        <w:spacing w:after="0" w:line="240" w:lineRule="auto"/>
        <w:jc w:val="both"/>
        <w:rPr>
          <w:rFonts w:ascii="Times New Roman" w:eastAsia="Times New Roman" w:hAnsi="Times New Roman"/>
          <w:b/>
          <w:bCs/>
          <w:caps/>
        </w:rPr>
      </w:pPr>
    </w:p>
    <w:p w14:paraId="2799910D" w14:textId="77777777" w:rsidR="00342622" w:rsidRPr="00907D70" w:rsidRDefault="00342622" w:rsidP="00342622">
      <w:pPr>
        <w:spacing w:after="0" w:line="240" w:lineRule="auto"/>
        <w:jc w:val="both"/>
        <w:rPr>
          <w:rFonts w:ascii="Times New Roman" w:eastAsia="Times New Roman" w:hAnsi="Times New Roman"/>
          <w:b/>
          <w:bCs/>
          <w:caps/>
        </w:rPr>
      </w:pPr>
    </w:p>
    <w:p w14:paraId="495E5E96" w14:textId="77777777" w:rsidR="00342622" w:rsidRPr="00907D70" w:rsidRDefault="00342622" w:rsidP="00342622">
      <w:pPr>
        <w:spacing w:after="0" w:line="240" w:lineRule="auto"/>
        <w:jc w:val="both"/>
        <w:rPr>
          <w:rFonts w:ascii="Times New Roman" w:eastAsia="Times New Roman" w:hAnsi="Times New Roman"/>
          <w:b/>
          <w:bCs/>
          <w:caps/>
        </w:rPr>
      </w:pPr>
    </w:p>
    <w:p w14:paraId="445F898B" w14:textId="77777777" w:rsidR="00342622" w:rsidRPr="00907D70" w:rsidRDefault="00342622" w:rsidP="00342622">
      <w:pPr>
        <w:spacing w:after="0" w:line="240" w:lineRule="auto"/>
        <w:jc w:val="both"/>
        <w:rPr>
          <w:rFonts w:ascii="Times New Roman" w:eastAsia="Times New Roman" w:hAnsi="Times New Roman"/>
          <w:b/>
          <w:bCs/>
          <w:caps/>
        </w:rPr>
      </w:pPr>
    </w:p>
    <w:p w14:paraId="202C664D" w14:textId="77777777" w:rsidR="00342622" w:rsidRPr="00907D70" w:rsidRDefault="00342622" w:rsidP="00342622">
      <w:pPr>
        <w:spacing w:after="0" w:line="240" w:lineRule="auto"/>
        <w:jc w:val="both"/>
        <w:rPr>
          <w:rFonts w:ascii="Times New Roman" w:eastAsia="Times New Roman" w:hAnsi="Times New Roman"/>
          <w:b/>
          <w:bCs/>
          <w:caps/>
        </w:rPr>
      </w:pPr>
    </w:p>
    <w:p w14:paraId="625D526A" w14:textId="77777777" w:rsidR="00342622" w:rsidRPr="00907D70" w:rsidRDefault="00342622" w:rsidP="00342622">
      <w:pPr>
        <w:spacing w:after="0" w:line="240" w:lineRule="auto"/>
        <w:jc w:val="both"/>
        <w:rPr>
          <w:rFonts w:ascii="Times New Roman" w:eastAsia="Times New Roman" w:hAnsi="Times New Roman"/>
          <w:b/>
          <w:bCs/>
          <w:caps/>
        </w:rPr>
      </w:pPr>
    </w:p>
    <w:p w14:paraId="312FA06C" w14:textId="77777777" w:rsidR="00342622" w:rsidRPr="00907D70" w:rsidRDefault="00342622" w:rsidP="00342622">
      <w:pPr>
        <w:spacing w:after="0" w:line="240" w:lineRule="auto"/>
        <w:jc w:val="both"/>
        <w:rPr>
          <w:rFonts w:ascii="Times New Roman" w:eastAsia="Times New Roman" w:hAnsi="Times New Roman"/>
          <w:b/>
          <w:bCs/>
          <w:caps/>
        </w:rPr>
      </w:pPr>
    </w:p>
    <w:p w14:paraId="0B2A2901" w14:textId="77777777" w:rsidR="00342622" w:rsidRPr="00907D70" w:rsidRDefault="00342622" w:rsidP="00342622">
      <w:pPr>
        <w:spacing w:after="0" w:line="240" w:lineRule="auto"/>
        <w:jc w:val="both"/>
        <w:rPr>
          <w:rFonts w:ascii="Times New Roman" w:eastAsia="Times New Roman" w:hAnsi="Times New Roman"/>
          <w:b/>
          <w:bCs/>
          <w:caps/>
        </w:rPr>
      </w:pPr>
    </w:p>
    <w:p w14:paraId="6B73AFB4" w14:textId="77777777" w:rsidR="00342622" w:rsidRPr="00907D70" w:rsidRDefault="00342622" w:rsidP="00342622">
      <w:pPr>
        <w:spacing w:after="0" w:line="240" w:lineRule="auto"/>
        <w:jc w:val="both"/>
        <w:rPr>
          <w:rFonts w:ascii="Times New Roman" w:eastAsia="Times New Roman" w:hAnsi="Times New Roman"/>
          <w:b/>
          <w:bCs/>
          <w:caps/>
        </w:rPr>
      </w:pPr>
    </w:p>
    <w:p w14:paraId="502869E7" w14:textId="77777777" w:rsidR="00342622" w:rsidRPr="00907D70" w:rsidRDefault="00342622" w:rsidP="00342622">
      <w:pPr>
        <w:spacing w:after="0" w:line="240" w:lineRule="auto"/>
        <w:jc w:val="both"/>
        <w:rPr>
          <w:rFonts w:ascii="Times New Roman" w:eastAsia="Times New Roman" w:hAnsi="Times New Roman"/>
          <w:b/>
          <w:bCs/>
          <w:caps/>
        </w:rPr>
      </w:pPr>
    </w:p>
    <w:p w14:paraId="397390C5" w14:textId="77777777" w:rsidR="00342622" w:rsidRPr="00907D70" w:rsidRDefault="00342622" w:rsidP="00342622">
      <w:pPr>
        <w:spacing w:after="0" w:line="240" w:lineRule="auto"/>
        <w:jc w:val="both"/>
        <w:rPr>
          <w:rFonts w:ascii="Times New Roman" w:eastAsia="Times New Roman" w:hAnsi="Times New Roman"/>
          <w:b/>
          <w:bCs/>
          <w:caps/>
        </w:rPr>
      </w:pPr>
    </w:p>
    <w:p w14:paraId="2185A4D8" w14:textId="77777777" w:rsidR="00342622" w:rsidRPr="00907D70" w:rsidRDefault="00342622" w:rsidP="00342622">
      <w:pPr>
        <w:spacing w:after="0" w:line="240" w:lineRule="auto"/>
        <w:jc w:val="both"/>
        <w:rPr>
          <w:rFonts w:ascii="Times New Roman" w:eastAsia="Times New Roman" w:hAnsi="Times New Roman"/>
          <w:b/>
          <w:bCs/>
          <w:caps/>
        </w:rPr>
      </w:pPr>
    </w:p>
    <w:p w14:paraId="1F11ACB1" w14:textId="77777777" w:rsidR="00342622" w:rsidRPr="00907D70" w:rsidRDefault="00342622" w:rsidP="00342622">
      <w:pPr>
        <w:spacing w:after="0" w:line="240" w:lineRule="auto"/>
        <w:jc w:val="both"/>
        <w:rPr>
          <w:rFonts w:ascii="Times New Roman" w:eastAsia="Times New Roman" w:hAnsi="Times New Roman"/>
          <w:b/>
          <w:bCs/>
          <w:caps/>
        </w:rPr>
      </w:pPr>
    </w:p>
    <w:p w14:paraId="041ABAF3" w14:textId="77777777" w:rsidR="00342622" w:rsidRPr="00907D70" w:rsidRDefault="00342622" w:rsidP="00342622">
      <w:pPr>
        <w:spacing w:after="0" w:line="240" w:lineRule="auto"/>
        <w:jc w:val="both"/>
        <w:rPr>
          <w:rFonts w:ascii="Times New Roman" w:eastAsia="Times New Roman" w:hAnsi="Times New Roman"/>
          <w:b/>
          <w:bCs/>
          <w:caps/>
        </w:rPr>
      </w:pPr>
    </w:p>
    <w:p w14:paraId="1082BC0B" w14:textId="77777777" w:rsidR="00342622" w:rsidRPr="00907D70" w:rsidRDefault="00342622" w:rsidP="00342622">
      <w:pPr>
        <w:spacing w:after="0" w:line="240" w:lineRule="auto"/>
        <w:jc w:val="both"/>
        <w:rPr>
          <w:rFonts w:ascii="Times New Roman" w:eastAsia="Times New Roman" w:hAnsi="Times New Roman"/>
          <w:b/>
          <w:bCs/>
          <w:caps/>
        </w:rPr>
      </w:pPr>
    </w:p>
    <w:p w14:paraId="0274BB94" w14:textId="77777777" w:rsidR="00342622" w:rsidRPr="00907D70" w:rsidRDefault="00342622" w:rsidP="00342622">
      <w:pPr>
        <w:spacing w:after="0" w:line="240" w:lineRule="auto"/>
        <w:jc w:val="center"/>
        <w:rPr>
          <w:rFonts w:ascii="Times New Roman" w:eastAsia="Times New Roman" w:hAnsi="Times New Roman"/>
          <w:b/>
          <w:bCs/>
          <w:caps/>
        </w:rPr>
      </w:pPr>
    </w:p>
    <w:p w14:paraId="534CDE7A" w14:textId="77777777" w:rsidR="00342622" w:rsidRPr="00907D70" w:rsidRDefault="00342622" w:rsidP="00342622">
      <w:pPr>
        <w:spacing w:after="0" w:line="240" w:lineRule="auto"/>
        <w:jc w:val="center"/>
        <w:rPr>
          <w:rFonts w:ascii="Times New Roman" w:eastAsia="Times New Roman" w:hAnsi="Times New Roman"/>
          <w:b/>
          <w:bCs/>
          <w:caps/>
        </w:rPr>
      </w:pPr>
    </w:p>
    <w:p w14:paraId="46FFD3A0" w14:textId="77777777" w:rsidR="00342622" w:rsidRPr="00907D70" w:rsidRDefault="00342622" w:rsidP="00342622">
      <w:pPr>
        <w:spacing w:after="0" w:line="240" w:lineRule="auto"/>
        <w:jc w:val="center"/>
        <w:rPr>
          <w:rFonts w:ascii="Times New Roman" w:eastAsia="Times New Roman" w:hAnsi="Times New Roman"/>
          <w:b/>
          <w:bCs/>
          <w:caps/>
        </w:rPr>
      </w:pPr>
    </w:p>
    <w:p w14:paraId="5F6681C8" w14:textId="77777777" w:rsidR="00342622" w:rsidRPr="00907D70" w:rsidRDefault="00342622" w:rsidP="00342622">
      <w:pPr>
        <w:spacing w:after="0" w:line="240" w:lineRule="auto"/>
        <w:jc w:val="center"/>
        <w:rPr>
          <w:rFonts w:ascii="Times New Roman" w:eastAsia="Times New Roman" w:hAnsi="Times New Roman"/>
          <w:b/>
          <w:bCs/>
          <w:caps/>
        </w:rPr>
      </w:pPr>
    </w:p>
    <w:p w14:paraId="7A8DBBA1" w14:textId="77777777" w:rsidR="00342622" w:rsidRPr="00907D70" w:rsidRDefault="00342622" w:rsidP="00342622">
      <w:pPr>
        <w:spacing w:after="0" w:line="240" w:lineRule="auto"/>
        <w:jc w:val="center"/>
        <w:rPr>
          <w:rFonts w:ascii="Times New Roman" w:eastAsia="Times New Roman" w:hAnsi="Times New Roman"/>
          <w:b/>
          <w:bCs/>
          <w:caps/>
        </w:rPr>
      </w:pPr>
    </w:p>
    <w:p w14:paraId="2A6417DC" w14:textId="77777777" w:rsidR="00342622" w:rsidRPr="00907D70" w:rsidRDefault="00342622" w:rsidP="00342622">
      <w:pPr>
        <w:spacing w:after="0" w:line="240" w:lineRule="auto"/>
        <w:jc w:val="center"/>
        <w:rPr>
          <w:rFonts w:ascii="Times New Roman" w:eastAsia="Times New Roman" w:hAnsi="Times New Roman"/>
          <w:b/>
          <w:bCs/>
          <w:caps/>
        </w:rPr>
      </w:pPr>
      <w:r w:rsidRPr="00907D70">
        <w:rPr>
          <w:rFonts w:ascii="Times New Roman" w:eastAsia="Times New Roman" w:hAnsi="Times New Roman"/>
          <w:b/>
          <w:bCs/>
          <w:caps/>
        </w:rPr>
        <w:t>A. ŽENKLINIMAS</w:t>
      </w:r>
    </w:p>
    <w:p w14:paraId="5CF41CE0"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Cs/>
          <w:caps/>
          <w:lang w:eastAsia="lt-LT"/>
        </w:rPr>
        <w:br w:type="page"/>
      </w:r>
      <w:r w:rsidRPr="00907D70">
        <w:rPr>
          <w:rFonts w:ascii="Times New Roman" w:hAnsi="Times New Roman"/>
          <w:b/>
          <w:lang w:eastAsia="lt-LT"/>
        </w:rPr>
        <w:lastRenderedPageBreak/>
        <w:t>INFORMACIJA ANT IŠORINĖS PAKUOTĖS</w:t>
      </w:r>
    </w:p>
    <w:p w14:paraId="1C04A1EE"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p>
    <w:p w14:paraId="78C4F828"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bCs/>
          <w:lang w:eastAsia="lt-LT"/>
        </w:rPr>
      </w:pPr>
      <w:r w:rsidRPr="00907D70">
        <w:rPr>
          <w:rFonts w:ascii="Times New Roman" w:hAnsi="Times New Roman"/>
          <w:b/>
          <w:lang w:eastAsia="lt-LT"/>
        </w:rPr>
        <w:t>KARTONO DĖŽUTĖ (LIZDINĖMS PLOKŠTELĖMS)</w:t>
      </w:r>
    </w:p>
    <w:p w14:paraId="3771086C" w14:textId="77777777" w:rsidR="00342622" w:rsidRPr="00907D70" w:rsidRDefault="00342622" w:rsidP="00342622">
      <w:pPr>
        <w:tabs>
          <w:tab w:val="left" w:pos="567"/>
        </w:tabs>
        <w:spacing w:after="0" w:line="240" w:lineRule="auto"/>
        <w:rPr>
          <w:rFonts w:ascii="Times New Roman" w:hAnsi="Times New Roman"/>
          <w:lang w:eastAsia="lt-LT"/>
        </w:rPr>
      </w:pPr>
    </w:p>
    <w:p w14:paraId="065CF4AC" w14:textId="77777777" w:rsidR="00342622" w:rsidRPr="00907D70" w:rsidRDefault="00342622" w:rsidP="00342622">
      <w:pPr>
        <w:tabs>
          <w:tab w:val="left" w:pos="567"/>
        </w:tabs>
        <w:spacing w:after="0" w:line="240" w:lineRule="auto"/>
        <w:rPr>
          <w:rFonts w:ascii="Times New Roman" w:hAnsi="Times New Roman"/>
          <w:lang w:eastAsia="lt-LT"/>
        </w:rPr>
      </w:pPr>
    </w:p>
    <w:p w14:paraId="3723315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w:t>
      </w:r>
      <w:r w:rsidRPr="00907D70">
        <w:rPr>
          <w:rFonts w:ascii="Times New Roman" w:hAnsi="Times New Roman"/>
          <w:b/>
          <w:lang w:eastAsia="lt-LT"/>
        </w:rPr>
        <w:tab/>
        <w:t>VAISTINIO PREPARATO PAVADINIMAS</w:t>
      </w:r>
    </w:p>
    <w:p w14:paraId="5C29B68B" w14:textId="77777777" w:rsidR="00342622" w:rsidRPr="00907D70" w:rsidRDefault="00342622" w:rsidP="00342622">
      <w:pPr>
        <w:tabs>
          <w:tab w:val="left" w:pos="567"/>
        </w:tabs>
        <w:spacing w:after="0" w:line="240" w:lineRule="auto"/>
        <w:rPr>
          <w:rFonts w:ascii="Times New Roman" w:hAnsi="Times New Roman"/>
          <w:lang w:eastAsia="lt-LT"/>
        </w:rPr>
      </w:pPr>
    </w:p>
    <w:p w14:paraId="474CD2B4"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200 mg/50 mg plėvele dengtos tabletės</w:t>
      </w:r>
    </w:p>
    <w:p w14:paraId="693C25EB"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hAnsi="Times New Roman"/>
          <w:lang w:eastAsia="lt-LT"/>
        </w:rPr>
        <w:t>Lopinaviras / Ritonaviras</w:t>
      </w:r>
    </w:p>
    <w:p w14:paraId="4387A31B" w14:textId="77777777" w:rsidR="00342622" w:rsidRPr="00907D70" w:rsidRDefault="00342622" w:rsidP="00342622">
      <w:pPr>
        <w:tabs>
          <w:tab w:val="left" w:pos="567"/>
        </w:tabs>
        <w:spacing w:after="0" w:line="240" w:lineRule="auto"/>
        <w:rPr>
          <w:rFonts w:ascii="Times New Roman" w:hAnsi="Times New Roman"/>
          <w:lang w:eastAsia="lt-LT"/>
        </w:rPr>
      </w:pPr>
    </w:p>
    <w:p w14:paraId="45890A84" w14:textId="77777777" w:rsidR="00342622" w:rsidRPr="00907D70" w:rsidRDefault="00342622" w:rsidP="00342622">
      <w:pPr>
        <w:tabs>
          <w:tab w:val="left" w:pos="567"/>
        </w:tabs>
        <w:spacing w:after="0" w:line="240" w:lineRule="auto"/>
        <w:rPr>
          <w:rFonts w:ascii="Times New Roman" w:hAnsi="Times New Roman"/>
          <w:lang w:eastAsia="lt-LT"/>
        </w:rPr>
      </w:pPr>
    </w:p>
    <w:p w14:paraId="35653D46"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2.</w:t>
      </w:r>
      <w:r w:rsidRPr="00907D70">
        <w:rPr>
          <w:rFonts w:ascii="Times New Roman" w:hAnsi="Times New Roman"/>
          <w:b/>
          <w:lang w:eastAsia="lt-LT"/>
        </w:rPr>
        <w:tab/>
      </w:r>
      <w:r w:rsidRPr="00907D70">
        <w:rPr>
          <w:rFonts w:ascii="Times New Roman" w:eastAsia="Times New Roman" w:hAnsi="Times New Roman"/>
          <w:b/>
          <w:snapToGrid w:val="0"/>
          <w:szCs w:val="24"/>
        </w:rPr>
        <w:t>VEIKLIOJI (-IOS) MEDŽIAGA (-OS) IR JOS (-Ų) KIEKIS (-IAI)</w:t>
      </w:r>
    </w:p>
    <w:p w14:paraId="07EC7FAC" w14:textId="77777777" w:rsidR="00342622" w:rsidRPr="00907D70" w:rsidRDefault="00342622" w:rsidP="00342622">
      <w:pPr>
        <w:tabs>
          <w:tab w:val="left" w:pos="567"/>
        </w:tabs>
        <w:spacing w:after="0" w:line="240" w:lineRule="auto"/>
        <w:rPr>
          <w:rFonts w:ascii="Times New Roman" w:hAnsi="Times New Roman"/>
          <w:lang w:eastAsia="lt-LT"/>
        </w:rPr>
      </w:pPr>
    </w:p>
    <w:p w14:paraId="16EAA9C7"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Kiekvienoje plėvele dengtoje tabletėje yra 200 mg lopinaviro kartu su 50 mg ritonaviro farmakokinetikai sustiprinti.</w:t>
      </w:r>
    </w:p>
    <w:p w14:paraId="437FE4ED" w14:textId="77777777" w:rsidR="00342622" w:rsidRPr="00907D70" w:rsidRDefault="00342622" w:rsidP="00342622">
      <w:pPr>
        <w:tabs>
          <w:tab w:val="left" w:pos="567"/>
        </w:tabs>
        <w:spacing w:after="0" w:line="240" w:lineRule="auto"/>
        <w:rPr>
          <w:rFonts w:ascii="Times New Roman" w:hAnsi="Times New Roman"/>
          <w:lang w:eastAsia="lt-LT"/>
        </w:rPr>
      </w:pPr>
    </w:p>
    <w:p w14:paraId="1C7E2354" w14:textId="77777777" w:rsidR="00342622" w:rsidRPr="00907D70" w:rsidRDefault="00342622" w:rsidP="00342622">
      <w:pPr>
        <w:tabs>
          <w:tab w:val="left" w:pos="567"/>
        </w:tabs>
        <w:spacing w:after="0" w:line="240" w:lineRule="auto"/>
        <w:rPr>
          <w:rFonts w:ascii="Times New Roman" w:hAnsi="Times New Roman"/>
          <w:lang w:eastAsia="lt-LT"/>
        </w:rPr>
      </w:pPr>
    </w:p>
    <w:p w14:paraId="2E1E0F14"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3.</w:t>
      </w:r>
      <w:r w:rsidRPr="00907D70">
        <w:rPr>
          <w:rFonts w:ascii="Times New Roman" w:hAnsi="Times New Roman"/>
          <w:b/>
          <w:lang w:eastAsia="lt-LT"/>
        </w:rPr>
        <w:tab/>
        <w:t>PAGALBINIŲ MEDŽIAGŲ SĄRAŠAS</w:t>
      </w:r>
    </w:p>
    <w:p w14:paraId="523549A2" w14:textId="77777777" w:rsidR="00342622" w:rsidRPr="00907D70" w:rsidRDefault="00342622" w:rsidP="00342622">
      <w:pPr>
        <w:tabs>
          <w:tab w:val="left" w:pos="567"/>
        </w:tabs>
        <w:spacing w:after="0" w:line="240" w:lineRule="auto"/>
        <w:rPr>
          <w:rFonts w:ascii="Times New Roman" w:hAnsi="Times New Roman"/>
          <w:lang w:eastAsia="lt-LT"/>
        </w:rPr>
      </w:pPr>
    </w:p>
    <w:p w14:paraId="61569DBF" w14:textId="77777777" w:rsidR="00342622" w:rsidRPr="00907D70" w:rsidRDefault="00342622" w:rsidP="00342622">
      <w:pPr>
        <w:tabs>
          <w:tab w:val="left" w:pos="567"/>
        </w:tabs>
        <w:spacing w:after="0" w:line="240" w:lineRule="auto"/>
        <w:rPr>
          <w:rFonts w:ascii="Times New Roman" w:hAnsi="Times New Roman"/>
          <w:lang w:eastAsia="lt-LT"/>
        </w:rPr>
      </w:pPr>
    </w:p>
    <w:p w14:paraId="52EE96A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4.</w:t>
      </w:r>
      <w:r w:rsidRPr="00907D70">
        <w:rPr>
          <w:rFonts w:ascii="Times New Roman" w:hAnsi="Times New Roman"/>
          <w:b/>
          <w:lang w:eastAsia="lt-LT"/>
        </w:rPr>
        <w:tab/>
        <w:t>FARMACINĖ FORMA IR KIEKIS PAKUOTĖJE</w:t>
      </w:r>
    </w:p>
    <w:p w14:paraId="26177970" w14:textId="77777777" w:rsidR="00342622" w:rsidRPr="00907D70" w:rsidRDefault="00342622" w:rsidP="00342622">
      <w:pPr>
        <w:tabs>
          <w:tab w:val="left" w:pos="567"/>
        </w:tabs>
        <w:spacing w:after="0" w:line="240" w:lineRule="auto"/>
        <w:rPr>
          <w:rFonts w:ascii="Times New Roman" w:hAnsi="Times New Roman"/>
          <w:lang w:eastAsia="lt-LT"/>
        </w:rPr>
      </w:pPr>
    </w:p>
    <w:p w14:paraId="6D9A8A90"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rPr>
        <w:t>Plėvele dengtos tabletės</w:t>
      </w:r>
    </w:p>
    <w:p w14:paraId="5CC29E16" w14:textId="77777777" w:rsidR="00342622" w:rsidRPr="00907D70" w:rsidRDefault="00342622" w:rsidP="00342622">
      <w:pPr>
        <w:tabs>
          <w:tab w:val="left" w:pos="567"/>
        </w:tabs>
        <w:spacing w:after="0" w:line="240" w:lineRule="auto"/>
        <w:rPr>
          <w:rFonts w:ascii="Times New Roman" w:hAnsi="Times New Roman"/>
          <w:lang w:eastAsia="lt-LT"/>
        </w:rPr>
      </w:pPr>
    </w:p>
    <w:p w14:paraId="3137A1DD"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Sudėtinė pakuotė, kurioje yra 120 tablečių (3 pakuotės po 40 tablečių)</w:t>
      </w:r>
    </w:p>
    <w:p w14:paraId="3E495608" w14:textId="77777777" w:rsidR="00342622" w:rsidRPr="00907D70" w:rsidRDefault="00342622" w:rsidP="00342622">
      <w:pPr>
        <w:tabs>
          <w:tab w:val="left" w:pos="567"/>
        </w:tabs>
        <w:spacing w:after="0" w:line="240" w:lineRule="auto"/>
        <w:rPr>
          <w:rFonts w:ascii="Times New Roman" w:hAnsi="Times New Roman"/>
        </w:rPr>
      </w:pPr>
      <w:r w:rsidRPr="00907D70">
        <w:rPr>
          <w:rFonts w:ascii="Times New Roman" w:hAnsi="Times New Roman"/>
        </w:rPr>
        <w:t>Dėžutė, kurioje yra 60 plėvele dengtų tablečių</w:t>
      </w:r>
    </w:p>
    <w:p w14:paraId="1E7633F8"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rPr>
        <w:t>Dėžutė, kurioje yra 120 plėvele dengtų tablečių</w:t>
      </w:r>
    </w:p>
    <w:p w14:paraId="37B47A60" w14:textId="77777777" w:rsidR="00342622" w:rsidRPr="00907D70" w:rsidRDefault="00342622" w:rsidP="00342622">
      <w:pPr>
        <w:tabs>
          <w:tab w:val="left" w:pos="567"/>
        </w:tabs>
        <w:spacing w:after="0" w:line="240" w:lineRule="auto"/>
        <w:rPr>
          <w:rFonts w:ascii="Times New Roman" w:eastAsia="Times New Roman" w:hAnsi="Times New Roman"/>
        </w:rPr>
      </w:pPr>
    </w:p>
    <w:p w14:paraId="21C78114" w14:textId="77777777" w:rsidR="00342622" w:rsidRPr="00907D70" w:rsidRDefault="00342622" w:rsidP="00342622">
      <w:pPr>
        <w:tabs>
          <w:tab w:val="left" w:pos="567"/>
        </w:tabs>
        <w:spacing w:after="0" w:line="240" w:lineRule="auto"/>
        <w:rPr>
          <w:rFonts w:ascii="Times New Roman" w:eastAsia="Times New Roman" w:hAnsi="Times New Roman"/>
        </w:rPr>
      </w:pPr>
    </w:p>
    <w:p w14:paraId="7DAFABB0"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5.</w:t>
      </w:r>
      <w:r w:rsidRPr="00907D70">
        <w:rPr>
          <w:rFonts w:ascii="Times New Roman" w:hAnsi="Times New Roman"/>
          <w:b/>
          <w:lang w:eastAsia="lt-LT"/>
        </w:rPr>
        <w:tab/>
        <w:t>VARTOJIMO METODAS IR BŪDAS (-AI)</w:t>
      </w:r>
    </w:p>
    <w:p w14:paraId="575A6D75" w14:textId="77777777" w:rsidR="00342622" w:rsidRPr="00907D70" w:rsidRDefault="00342622" w:rsidP="00342622">
      <w:pPr>
        <w:tabs>
          <w:tab w:val="left" w:pos="567"/>
        </w:tabs>
        <w:spacing w:after="0" w:line="240" w:lineRule="auto"/>
        <w:rPr>
          <w:rFonts w:ascii="Times New Roman" w:hAnsi="Times New Roman"/>
          <w:lang w:eastAsia="lt-LT"/>
        </w:rPr>
      </w:pPr>
    </w:p>
    <w:p w14:paraId="4325F859"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Vartoti per burną.</w:t>
      </w:r>
    </w:p>
    <w:p w14:paraId="22B535D1"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Prieš vartojimą perskaitykite pakuotės lapelį.</w:t>
      </w:r>
    </w:p>
    <w:p w14:paraId="1CDE5158" w14:textId="77777777" w:rsidR="00342622" w:rsidRPr="00907D70" w:rsidRDefault="00342622" w:rsidP="00342622">
      <w:pPr>
        <w:tabs>
          <w:tab w:val="left" w:pos="567"/>
        </w:tabs>
        <w:spacing w:after="0" w:line="240" w:lineRule="auto"/>
        <w:rPr>
          <w:rFonts w:ascii="Times New Roman" w:hAnsi="Times New Roman"/>
          <w:lang w:eastAsia="lt-LT"/>
        </w:rPr>
      </w:pPr>
    </w:p>
    <w:p w14:paraId="17E35C36" w14:textId="77777777" w:rsidR="00342622" w:rsidRPr="00907D70" w:rsidRDefault="00342622" w:rsidP="00342622">
      <w:pPr>
        <w:tabs>
          <w:tab w:val="left" w:pos="567"/>
        </w:tabs>
        <w:spacing w:after="0" w:line="240" w:lineRule="auto"/>
        <w:rPr>
          <w:rFonts w:ascii="Times New Roman" w:hAnsi="Times New Roman"/>
          <w:lang w:eastAsia="lt-LT"/>
        </w:rPr>
      </w:pPr>
    </w:p>
    <w:p w14:paraId="085542C9"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6.</w:t>
      </w:r>
      <w:r w:rsidRPr="00907D70">
        <w:rPr>
          <w:rFonts w:ascii="Times New Roman" w:hAnsi="Times New Roman"/>
          <w:b/>
          <w:lang w:eastAsia="lt-LT"/>
        </w:rPr>
        <w:tab/>
        <w:t>SPECIALUS ĮSPĖJIMAS, KAD VAISTINĮ PREPARATĄ BŪTINA LAIKYTI VAIKAMS NEPASTEBIMOJE IR NEPASIEKIAMOJE VIETOJE</w:t>
      </w:r>
    </w:p>
    <w:p w14:paraId="49EFD137" w14:textId="77777777" w:rsidR="00342622" w:rsidRPr="00907D70" w:rsidRDefault="00342622" w:rsidP="00342622">
      <w:pPr>
        <w:tabs>
          <w:tab w:val="left" w:pos="567"/>
        </w:tabs>
        <w:spacing w:after="0" w:line="240" w:lineRule="auto"/>
        <w:rPr>
          <w:rFonts w:ascii="Times New Roman" w:hAnsi="Times New Roman"/>
          <w:lang w:eastAsia="lt-LT"/>
        </w:rPr>
      </w:pPr>
    </w:p>
    <w:p w14:paraId="103A0DAA"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Laikyti vaikams nepastebimoje ir nepasiekiamoje vietoje.</w:t>
      </w:r>
    </w:p>
    <w:p w14:paraId="1E2AEEB4" w14:textId="77777777" w:rsidR="00342622" w:rsidRPr="00907D70" w:rsidRDefault="00342622" w:rsidP="00342622">
      <w:pPr>
        <w:tabs>
          <w:tab w:val="left" w:pos="567"/>
        </w:tabs>
        <w:spacing w:after="0" w:line="240" w:lineRule="auto"/>
        <w:rPr>
          <w:rFonts w:ascii="Times New Roman" w:hAnsi="Times New Roman"/>
          <w:lang w:eastAsia="lt-LT"/>
        </w:rPr>
      </w:pPr>
    </w:p>
    <w:p w14:paraId="70142EDA" w14:textId="77777777" w:rsidR="00342622" w:rsidRPr="00907D70" w:rsidRDefault="00342622" w:rsidP="00342622">
      <w:pPr>
        <w:tabs>
          <w:tab w:val="left" w:pos="567"/>
        </w:tabs>
        <w:spacing w:after="0" w:line="240" w:lineRule="auto"/>
        <w:rPr>
          <w:rFonts w:ascii="Times New Roman" w:hAnsi="Times New Roman"/>
          <w:lang w:eastAsia="lt-LT"/>
        </w:rPr>
      </w:pPr>
    </w:p>
    <w:p w14:paraId="51565BA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7.</w:t>
      </w:r>
      <w:r w:rsidRPr="00907D70">
        <w:rPr>
          <w:rFonts w:ascii="Times New Roman" w:hAnsi="Times New Roman"/>
          <w:b/>
          <w:lang w:eastAsia="lt-LT"/>
        </w:rPr>
        <w:tab/>
        <w:t>KITAS (-I) SPECIALUS (-ŪS) ĮSPĖJIMAS (-AI) (JEI REIKIA)</w:t>
      </w:r>
    </w:p>
    <w:p w14:paraId="790601D5" w14:textId="77777777" w:rsidR="00342622" w:rsidRPr="00907D70" w:rsidRDefault="00342622" w:rsidP="00342622">
      <w:pPr>
        <w:tabs>
          <w:tab w:val="left" w:pos="567"/>
        </w:tabs>
        <w:spacing w:after="0" w:line="240" w:lineRule="auto"/>
        <w:rPr>
          <w:rFonts w:ascii="Times New Roman" w:hAnsi="Times New Roman"/>
          <w:lang w:eastAsia="lt-LT"/>
        </w:rPr>
      </w:pPr>
    </w:p>
    <w:p w14:paraId="76813A1E" w14:textId="77777777" w:rsidR="00342622" w:rsidRPr="00907D70" w:rsidRDefault="00342622" w:rsidP="00342622">
      <w:pPr>
        <w:tabs>
          <w:tab w:val="left" w:pos="567"/>
        </w:tabs>
        <w:spacing w:after="0" w:line="240" w:lineRule="auto"/>
        <w:rPr>
          <w:rFonts w:ascii="Times New Roman" w:hAnsi="Times New Roman"/>
          <w:lang w:eastAsia="lt-LT"/>
        </w:rPr>
      </w:pPr>
    </w:p>
    <w:p w14:paraId="569F86E9"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8.</w:t>
      </w:r>
      <w:r w:rsidRPr="00907D70">
        <w:rPr>
          <w:rFonts w:ascii="Times New Roman" w:hAnsi="Times New Roman"/>
          <w:b/>
          <w:lang w:eastAsia="lt-LT"/>
        </w:rPr>
        <w:tab/>
        <w:t>TINKAMUMO LAIKAS</w:t>
      </w:r>
    </w:p>
    <w:p w14:paraId="410775C8" w14:textId="77777777" w:rsidR="00342622" w:rsidRPr="00907D70" w:rsidRDefault="00342622" w:rsidP="00342622">
      <w:pPr>
        <w:tabs>
          <w:tab w:val="left" w:pos="567"/>
        </w:tabs>
        <w:spacing w:after="0" w:line="240" w:lineRule="auto"/>
        <w:rPr>
          <w:rFonts w:ascii="Times New Roman" w:eastAsia="Times New Roman" w:hAnsi="Times New Roman"/>
        </w:rPr>
      </w:pPr>
    </w:p>
    <w:p w14:paraId="563E4B07"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Tinka iki {mm/MMMM}</w:t>
      </w:r>
    </w:p>
    <w:p w14:paraId="2ED12F6C" w14:textId="77777777" w:rsidR="00342622" w:rsidRPr="00907D70" w:rsidRDefault="00342622" w:rsidP="00342622">
      <w:pPr>
        <w:tabs>
          <w:tab w:val="left" w:pos="567"/>
        </w:tabs>
        <w:spacing w:after="0" w:line="240" w:lineRule="auto"/>
        <w:rPr>
          <w:rFonts w:ascii="Times New Roman" w:eastAsia="Times New Roman" w:hAnsi="Times New Roman"/>
        </w:rPr>
      </w:pPr>
    </w:p>
    <w:p w14:paraId="2A1520F2" w14:textId="77777777" w:rsidR="00342622" w:rsidRPr="00907D70" w:rsidRDefault="00342622" w:rsidP="00342622">
      <w:pPr>
        <w:tabs>
          <w:tab w:val="left" w:pos="567"/>
        </w:tabs>
        <w:spacing w:after="0" w:line="240" w:lineRule="auto"/>
        <w:rPr>
          <w:rFonts w:ascii="Times New Roman" w:eastAsia="Times New Roman" w:hAnsi="Times New Roman"/>
        </w:rPr>
      </w:pPr>
    </w:p>
    <w:p w14:paraId="079DAE2C"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9.</w:t>
      </w:r>
      <w:r w:rsidRPr="00907D70">
        <w:rPr>
          <w:rFonts w:ascii="Times New Roman" w:hAnsi="Times New Roman"/>
          <w:b/>
          <w:lang w:eastAsia="lt-LT"/>
        </w:rPr>
        <w:tab/>
        <w:t>SPECIALIOS LAIKYMO SĄLYGOS</w:t>
      </w:r>
    </w:p>
    <w:p w14:paraId="472F81AF" w14:textId="77777777" w:rsidR="00342622" w:rsidRPr="00907D70" w:rsidRDefault="00342622" w:rsidP="00342622">
      <w:pPr>
        <w:tabs>
          <w:tab w:val="left" w:pos="567"/>
        </w:tabs>
        <w:spacing w:after="0" w:line="240" w:lineRule="auto"/>
        <w:rPr>
          <w:rFonts w:ascii="Times New Roman" w:hAnsi="Times New Roman"/>
          <w:lang w:eastAsia="lt-LT"/>
        </w:rPr>
      </w:pPr>
    </w:p>
    <w:p w14:paraId="048EFD28" w14:textId="77777777" w:rsidR="00342622" w:rsidRPr="00907D70" w:rsidRDefault="00342622" w:rsidP="00342622">
      <w:pPr>
        <w:keepNext/>
        <w:keepLines/>
        <w:tabs>
          <w:tab w:val="left" w:pos="567"/>
        </w:tabs>
        <w:spacing w:after="0" w:line="240" w:lineRule="auto"/>
        <w:rPr>
          <w:rFonts w:ascii="Times New Roman" w:hAnsi="Times New Roman"/>
          <w:lang w:eastAsia="lt-LT"/>
        </w:rPr>
      </w:pPr>
    </w:p>
    <w:p w14:paraId="7C928E31" w14:textId="77777777" w:rsidR="00342622" w:rsidRPr="00907D70" w:rsidRDefault="00342622" w:rsidP="0034262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10.</w:t>
      </w:r>
      <w:r w:rsidRPr="00907D70">
        <w:rPr>
          <w:rFonts w:ascii="Times New Roman" w:hAnsi="Times New Roman"/>
          <w:b/>
          <w:lang w:eastAsia="lt-LT"/>
        </w:rPr>
        <w:tab/>
        <w:t xml:space="preserve">SPECIALIOS ATSARGUMO PRIEMONĖS DĖL NESUVARTOTO </w:t>
      </w:r>
      <w:r w:rsidRPr="00907D70">
        <w:rPr>
          <w:rFonts w:ascii="Times New Roman" w:hAnsi="Times New Roman"/>
          <w:b/>
          <w:bCs/>
          <w:lang w:eastAsia="lt-LT"/>
        </w:rPr>
        <w:t xml:space="preserve">VAISTINIO PREPARATO AR JO ATLIEKŲ </w:t>
      </w:r>
      <w:r w:rsidRPr="00907D70">
        <w:rPr>
          <w:rFonts w:ascii="Times New Roman" w:hAnsi="Times New Roman"/>
          <w:b/>
          <w:lang w:eastAsia="lt-LT"/>
        </w:rPr>
        <w:t>TVARKYMO (JEI REIKIA)</w:t>
      </w:r>
    </w:p>
    <w:p w14:paraId="1D65E384" w14:textId="77777777" w:rsidR="00342622" w:rsidRPr="00907D70" w:rsidRDefault="00342622" w:rsidP="00342622">
      <w:pPr>
        <w:keepNext/>
        <w:keepLines/>
        <w:tabs>
          <w:tab w:val="left" w:pos="567"/>
        </w:tabs>
        <w:spacing w:after="0" w:line="240" w:lineRule="auto"/>
        <w:rPr>
          <w:rFonts w:ascii="Times New Roman" w:hAnsi="Times New Roman"/>
          <w:lang w:eastAsia="lt-LT"/>
        </w:rPr>
      </w:pPr>
    </w:p>
    <w:p w14:paraId="68D60037" w14:textId="77777777" w:rsidR="00342622" w:rsidRPr="00907D70" w:rsidRDefault="00342622" w:rsidP="00342622">
      <w:pPr>
        <w:keepNext/>
        <w:keepLines/>
        <w:tabs>
          <w:tab w:val="left" w:pos="567"/>
        </w:tabs>
        <w:spacing w:after="0" w:line="240" w:lineRule="auto"/>
        <w:rPr>
          <w:rFonts w:ascii="Times New Roman" w:hAnsi="Times New Roman"/>
          <w:lang w:eastAsia="lt-LT"/>
        </w:rPr>
      </w:pPr>
      <w:r w:rsidRPr="00907D70">
        <w:rPr>
          <w:rFonts w:ascii="Times New Roman" w:eastAsia="Times New Roman" w:hAnsi="Times New Roman"/>
          <w:snapToGrid w:val="0"/>
          <w:szCs w:val="24"/>
        </w:rPr>
        <w:t>Nesuvartotą vaistą ar atliekas reikia tvarkyti laikantis vietinių reikalavimų.</w:t>
      </w:r>
    </w:p>
    <w:p w14:paraId="74D31FD5" w14:textId="77777777" w:rsidR="00342622" w:rsidRPr="00907D70" w:rsidRDefault="00342622" w:rsidP="00342622">
      <w:pPr>
        <w:tabs>
          <w:tab w:val="left" w:pos="567"/>
        </w:tabs>
        <w:spacing w:after="0" w:line="240" w:lineRule="auto"/>
        <w:rPr>
          <w:rFonts w:ascii="Times New Roman" w:hAnsi="Times New Roman"/>
          <w:lang w:eastAsia="lt-LT"/>
        </w:rPr>
      </w:pPr>
    </w:p>
    <w:p w14:paraId="6279371F" w14:textId="77777777" w:rsidR="00342622" w:rsidRPr="00907D70" w:rsidRDefault="00342622" w:rsidP="00342622">
      <w:pPr>
        <w:tabs>
          <w:tab w:val="left" w:pos="567"/>
        </w:tabs>
        <w:spacing w:after="0" w:line="240" w:lineRule="auto"/>
        <w:rPr>
          <w:rFonts w:ascii="Times New Roman" w:hAnsi="Times New Roman"/>
          <w:lang w:eastAsia="lt-LT"/>
        </w:rPr>
      </w:pPr>
    </w:p>
    <w:p w14:paraId="5F448D22"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11.</w:t>
      </w:r>
      <w:r w:rsidRPr="00907D70">
        <w:rPr>
          <w:rFonts w:ascii="Times New Roman" w:hAnsi="Times New Roman"/>
          <w:b/>
          <w:lang w:eastAsia="lt-LT"/>
        </w:rPr>
        <w:tab/>
        <w:t>REGISTRUOTOJO PAVADINIMAS IR ADRESAS</w:t>
      </w:r>
    </w:p>
    <w:p w14:paraId="63E72844" w14:textId="77777777" w:rsidR="00342622" w:rsidRPr="00907D70" w:rsidRDefault="00342622" w:rsidP="00342622">
      <w:pPr>
        <w:tabs>
          <w:tab w:val="left" w:pos="567"/>
        </w:tabs>
        <w:spacing w:after="0" w:line="240" w:lineRule="auto"/>
        <w:rPr>
          <w:rFonts w:ascii="Times New Roman" w:hAnsi="Times New Roman"/>
          <w:b/>
          <w:lang w:eastAsia="lt-LT"/>
        </w:rPr>
      </w:pPr>
    </w:p>
    <w:p w14:paraId="3600AD84" w14:textId="4761E0BB" w:rsidR="00342622" w:rsidRPr="00907D70" w:rsidRDefault="00342622" w:rsidP="00342622">
      <w:pPr>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 xml:space="preserve">Accord Healthcare </w:t>
      </w:r>
      <w:r w:rsidR="00376923" w:rsidRPr="00907D70">
        <w:rPr>
          <w:rFonts w:ascii="Times New Roman" w:hAnsi="Times New Roman"/>
        </w:rPr>
        <w:t xml:space="preserve">B.V. </w:t>
      </w:r>
    </w:p>
    <w:p w14:paraId="490209E2"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Winthontlaan 200 </w:t>
      </w:r>
    </w:p>
    <w:p w14:paraId="6E420242"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3526 KV Utrecht </w:t>
      </w:r>
    </w:p>
    <w:p w14:paraId="755D920A" w14:textId="77777777" w:rsidR="00376923" w:rsidRPr="00907D70" w:rsidRDefault="00376923" w:rsidP="00376923">
      <w:pPr>
        <w:spacing w:after="0" w:line="240" w:lineRule="auto"/>
      </w:pPr>
      <w:r w:rsidRPr="00907D70">
        <w:rPr>
          <w:rFonts w:ascii="Times New Roman" w:hAnsi="Times New Roman"/>
        </w:rPr>
        <w:t>Nyderlandai</w:t>
      </w:r>
    </w:p>
    <w:p w14:paraId="62D0BC04" w14:textId="77777777" w:rsidR="00342622" w:rsidRPr="00907D70" w:rsidRDefault="00342622" w:rsidP="00342622">
      <w:pPr>
        <w:tabs>
          <w:tab w:val="left" w:pos="567"/>
        </w:tabs>
        <w:spacing w:after="0" w:line="240" w:lineRule="auto"/>
        <w:rPr>
          <w:rFonts w:ascii="Times New Roman" w:hAnsi="Times New Roman"/>
          <w:lang w:eastAsia="lt-LT"/>
        </w:rPr>
      </w:pPr>
    </w:p>
    <w:p w14:paraId="7CC9CA01" w14:textId="77777777" w:rsidR="00342622" w:rsidRPr="00907D70" w:rsidRDefault="00342622" w:rsidP="00342622">
      <w:pPr>
        <w:tabs>
          <w:tab w:val="left" w:pos="567"/>
        </w:tabs>
        <w:spacing w:after="0" w:line="240" w:lineRule="auto"/>
        <w:rPr>
          <w:rFonts w:ascii="Times New Roman" w:hAnsi="Times New Roman"/>
          <w:lang w:eastAsia="lt-LT"/>
        </w:rPr>
      </w:pPr>
    </w:p>
    <w:p w14:paraId="64577F6C"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12.</w:t>
      </w:r>
      <w:r w:rsidRPr="00907D70">
        <w:rPr>
          <w:rFonts w:ascii="Times New Roman" w:hAnsi="Times New Roman"/>
          <w:b/>
          <w:lang w:eastAsia="lt-LT"/>
        </w:rPr>
        <w:tab/>
        <w:t xml:space="preserve">REGISTRACIJOS PAŽYMĖJIMO NUMERIS (-IAI) </w:t>
      </w:r>
    </w:p>
    <w:p w14:paraId="0BC04434" w14:textId="77777777" w:rsidR="00342622" w:rsidRPr="00907D70" w:rsidRDefault="00342622" w:rsidP="00342622">
      <w:pPr>
        <w:tabs>
          <w:tab w:val="left" w:pos="567"/>
        </w:tabs>
        <w:spacing w:after="0" w:line="240" w:lineRule="auto"/>
        <w:rPr>
          <w:rFonts w:ascii="Times New Roman" w:hAnsi="Times New Roman"/>
          <w:lang w:eastAsia="lt-LT"/>
        </w:rPr>
      </w:pPr>
    </w:p>
    <w:p w14:paraId="56E99092" w14:textId="77777777" w:rsidR="00B10640" w:rsidRPr="00B10640" w:rsidRDefault="00B10640" w:rsidP="00B10640">
      <w:pPr>
        <w:tabs>
          <w:tab w:val="left" w:pos="567"/>
        </w:tabs>
        <w:spacing w:after="0" w:line="240" w:lineRule="auto"/>
        <w:rPr>
          <w:rFonts w:ascii="Times New Roman" w:eastAsia="Times New Roman" w:hAnsi="Times New Roman"/>
        </w:rPr>
      </w:pPr>
      <w:r w:rsidRPr="00B10640">
        <w:rPr>
          <w:rFonts w:ascii="Times New Roman" w:eastAsia="Times New Roman" w:hAnsi="Times New Roman"/>
        </w:rPr>
        <w:t>LT/1/17/4045/001 – N60</w:t>
      </w:r>
    </w:p>
    <w:p w14:paraId="595C210E" w14:textId="77777777" w:rsidR="00B10640" w:rsidRPr="00B10640" w:rsidRDefault="00B10640" w:rsidP="00B10640">
      <w:pPr>
        <w:tabs>
          <w:tab w:val="left" w:pos="567"/>
        </w:tabs>
        <w:spacing w:after="0" w:line="240" w:lineRule="auto"/>
        <w:rPr>
          <w:rFonts w:ascii="Times New Roman" w:eastAsia="Times New Roman" w:hAnsi="Times New Roman"/>
        </w:rPr>
      </w:pPr>
      <w:r w:rsidRPr="00B10640">
        <w:rPr>
          <w:rFonts w:ascii="Times New Roman" w:eastAsia="Times New Roman" w:hAnsi="Times New Roman"/>
        </w:rPr>
        <w:t>LT/1/17/4045/002 – N120</w:t>
      </w:r>
    </w:p>
    <w:p w14:paraId="3E6D0521" w14:textId="77777777" w:rsidR="00B10640" w:rsidRDefault="00B10640" w:rsidP="00B10640">
      <w:pPr>
        <w:tabs>
          <w:tab w:val="left" w:pos="567"/>
        </w:tabs>
        <w:spacing w:after="0" w:line="240" w:lineRule="auto"/>
        <w:rPr>
          <w:rFonts w:ascii="Times New Roman" w:eastAsia="Times New Roman" w:hAnsi="Times New Roman"/>
        </w:rPr>
      </w:pPr>
      <w:r w:rsidRPr="00B10640">
        <w:rPr>
          <w:rFonts w:ascii="Times New Roman" w:eastAsia="Times New Roman" w:hAnsi="Times New Roman"/>
        </w:rPr>
        <w:t>LT/1/17/4045/003 – N120 (3x40)</w:t>
      </w:r>
    </w:p>
    <w:p w14:paraId="6BBA9F9C" w14:textId="77777777" w:rsidR="00B10640" w:rsidRPr="00B10640" w:rsidRDefault="00B10640" w:rsidP="00B10640">
      <w:pPr>
        <w:tabs>
          <w:tab w:val="left" w:pos="567"/>
        </w:tabs>
        <w:spacing w:after="0" w:line="240" w:lineRule="auto"/>
        <w:rPr>
          <w:rFonts w:ascii="Times New Roman" w:eastAsia="Times New Roman" w:hAnsi="Times New Roman"/>
        </w:rPr>
      </w:pPr>
    </w:p>
    <w:p w14:paraId="372CDE78" w14:textId="77777777" w:rsidR="00342622" w:rsidRPr="00907D70" w:rsidRDefault="00342622" w:rsidP="00342622">
      <w:pPr>
        <w:tabs>
          <w:tab w:val="left" w:pos="567"/>
        </w:tabs>
        <w:spacing w:after="0" w:line="240" w:lineRule="auto"/>
        <w:rPr>
          <w:rFonts w:ascii="Times New Roman" w:hAnsi="Times New Roman"/>
          <w:lang w:eastAsia="lt-LT"/>
        </w:rPr>
      </w:pPr>
    </w:p>
    <w:p w14:paraId="4F5F77D6"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13.</w:t>
      </w:r>
      <w:r w:rsidRPr="00907D70">
        <w:rPr>
          <w:rFonts w:ascii="Times New Roman" w:hAnsi="Times New Roman"/>
          <w:b/>
          <w:lang w:eastAsia="lt-LT"/>
        </w:rPr>
        <w:tab/>
        <w:t>SERIJOS NUMERIS</w:t>
      </w:r>
    </w:p>
    <w:p w14:paraId="1C852935" w14:textId="77777777" w:rsidR="00342622" w:rsidRPr="00907D70" w:rsidRDefault="00342622" w:rsidP="00342622">
      <w:pPr>
        <w:tabs>
          <w:tab w:val="left" w:pos="567"/>
        </w:tabs>
        <w:spacing w:after="0" w:line="240" w:lineRule="auto"/>
        <w:rPr>
          <w:rFonts w:ascii="Times New Roman" w:eastAsia="Times New Roman" w:hAnsi="Times New Roman"/>
        </w:rPr>
      </w:pPr>
    </w:p>
    <w:p w14:paraId="3B8A8F46"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Serija {numeris}</w:t>
      </w:r>
    </w:p>
    <w:p w14:paraId="4DA75309" w14:textId="77777777" w:rsidR="00342622" w:rsidRPr="00907D70" w:rsidRDefault="00342622" w:rsidP="00342622">
      <w:pPr>
        <w:tabs>
          <w:tab w:val="left" w:pos="567"/>
        </w:tabs>
        <w:spacing w:after="0" w:line="240" w:lineRule="auto"/>
        <w:rPr>
          <w:rFonts w:ascii="Times New Roman" w:eastAsia="Times New Roman" w:hAnsi="Times New Roman"/>
        </w:rPr>
      </w:pPr>
    </w:p>
    <w:p w14:paraId="27295B9C" w14:textId="77777777" w:rsidR="00342622" w:rsidRPr="00907D70" w:rsidRDefault="00342622" w:rsidP="00342622">
      <w:pPr>
        <w:tabs>
          <w:tab w:val="left" w:pos="567"/>
        </w:tabs>
        <w:spacing w:after="0" w:line="240" w:lineRule="auto"/>
        <w:rPr>
          <w:rFonts w:ascii="Times New Roman" w:eastAsia="Times New Roman" w:hAnsi="Times New Roman"/>
        </w:rPr>
      </w:pPr>
    </w:p>
    <w:p w14:paraId="78AC334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14.</w:t>
      </w:r>
      <w:r w:rsidRPr="00907D70">
        <w:rPr>
          <w:rFonts w:ascii="Times New Roman" w:hAnsi="Times New Roman"/>
          <w:b/>
          <w:lang w:eastAsia="lt-LT"/>
        </w:rPr>
        <w:tab/>
        <w:t>PARDAVIMO (IŠDAVIMO) TVARKA</w:t>
      </w:r>
    </w:p>
    <w:p w14:paraId="01373EAD" w14:textId="77777777" w:rsidR="00342622" w:rsidRPr="00907D70" w:rsidRDefault="00342622" w:rsidP="00342622">
      <w:pPr>
        <w:tabs>
          <w:tab w:val="left" w:pos="567"/>
        </w:tabs>
        <w:spacing w:after="0" w:line="240" w:lineRule="auto"/>
        <w:rPr>
          <w:rFonts w:ascii="Times New Roman" w:hAnsi="Times New Roman"/>
          <w:lang w:eastAsia="lt-LT"/>
        </w:rPr>
      </w:pPr>
    </w:p>
    <w:p w14:paraId="3F6C2247"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Receptinis vaistas.</w:t>
      </w:r>
    </w:p>
    <w:p w14:paraId="326BD6CF" w14:textId="77777777" w:rsidR="00342622" w:rsidRPr="00907D70" w:rsidRDefault="00342622" w:rsidP="00342622">
      <w:pPr>
        <w:tabs>
          <w:tab w:val="left" w:pos="567"/>
        </w:tabs>
        <w:spacing w:after="0" w:line="240" w:lineRule="auto"/>
        <w:rPr>
          <w:rFonts w:ascii="Times New Roman" w:hAnsi="Times New Roman"/>
          <w:lang w:eastAsia="lt-LT"/>
        </w:rPr>
      </w:pPr>
    </w:p>
    <w:p w14:paraId="6E1CA068" w14:textId="77777777" w:rsidR="00342622" w:rsidRPr="00907D70" w:rsidRDefault="00342622" w:rsidP="00342622">
      <w:pPr>
        <w:tabs>
          <w:tab w:val="left" w:pos="567"/>
        </w:tabs>
        <w:spacing w:after="0" w:line="240" w:lineRule="auto"/>
        <w:rPr>
          <w:rFonts w:ascii="Times New Roman" w:hAnsi="Times New Roman"/>
          <w:lang w:eastAsia="lt-LT"/>
        </w:rPr>
      </w:pPr>
    </w:p>
    <w:p w14:paraId="5B42B47C"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15.</w:t>
      </w:r>
      <w:r w:rsidRPr="00907D70">
        <w:rPr>
          <w:rFonts w:ascii="Times New Roman" w:hAnsi="Times New Roman"/>
          <w:b/>
          <w:lang w:eastAsia="lt-LT"/>
        </w:rPr>
        <w:tab/>
        <w:t>VARTOJIMO INSTRUKCIJA</w:t>
      </w:r>
    </w:p>
    <w:p w14:paraId="2912D8E2" w14:textId="77777777" w:rsidR="00342622" w:rsidRPr="00907D70" w:rsidRDefault="00342622" w:rsidP="00342622">
      <w:pPr>
        <w:tabs>
          <w:tab w:val="left" w:pos="567"/>
        </w:tabs>
        <w:spacing w:after="0" w:line="240" w:lineRule="auto"/>
        <w:rPr>
          <w:rFonts w:ascii="Times New Roman" w:hAnsi="Times New Roman"/>
          <w:lang w:eastAsia="lt-LT"/>
        </w:rPr>
      </w:pPr>
    </w:p>
    <w:p w14:paraId="531715CA" w14:textId="77777777" w:rsidR="00342622" w:rsidRPr="00907D70" w:rsidRDefault="00342622" w:rsidP="00342622">
      <w:pPr>
        <w:tabs>
          <w:tab w:val="left" w:pos="567"/>
        </w:tabs>
        <w:spacing w:after="0" w:line="240" w:lineRule="auto"/>
        <w:rPr>
          <w:rFonts w:ascii="Times New Roman" w:hAnsi="Times New Roman"/>
          <w:lang w:eastAsia="lt-LT"/>
        </w:rPr>
      </w:pPr>
    </w:p>
    <w:p w14:paraId="37ABCF5C"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16.</w:t>
      </w:r>
      <w:r w:rsidRPr="00907D70">
        <w:rPr>
          <w:rFonts w:ascii="Times New Roman" w:hAnsi="Times New Roman"/>
          <w:b/>
          <w:lang w:eastAsia="lt-LT"/>
        </w:rPr>
        <w:tab/>
        <w:t xml:space="preserve">INFORMACIJA BRAILIO RAŠTU </w:t>
      </w:r>
    </w:p>
    <w:p w14:paraId="553EC241" w14:textId="77777777" w:rsidR="00342622" w:rsidRPr="00907D70" w:rsidRDefault="00342622" w:rsidP="00342622">
      <w:pPr>
        <w:tabs>
          <w:tab w:val="left" w:pos="567"/>
        </w:tabs>
        <w:spacing w:after="0" w:line="240" w:lineRule="auto"/>
        <w:rPr>
          <w:rFonts w:ascii="Times New Roman" w:hAnsi="Times New Roman"/>
          <w:lang w:eastAsia="lt-LT"/>
        </w:rPr>
      </w:pPr>
    </w:p>
    <w:p w14:paraId="63AF1C8A"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 xml:space="preserve">Lopinavir / Ritonavir Accord 200 mg/50 mg </w:t>
      </w:r>
    </w:p>
    <w:p w14:paraId="4FE6CDAC" w14:textId="77777777" w:rsidR="00342622" w:rsidRPr="00907D70" w:rsidRDefault="00342622" w:rsidP="00342622">
      <w:pPr>
        <w:tabs>
          <w:tab w:val="left" w:pos="567"/>
        </w:tabs>
        <w:spacing w:after="0" w:line="240" w:lineRule="auto"/>
        <w:rPr>
          <w:rFonts w:ascii="Times New Roman" w:hAnsi="Times New Roman"/>
          <w:lang w:eastAsia="lt-LT"/>
        </w:rPr>
      </w:pPr>
    </w:p>
    <w:p w14:paraId="646D1CC5" w14:textId="77777777" w:rsidR="00342622" w:rsidRPr="00907D70" w:rsidRDefault="00342622" w:rsidP="00342622">
      <w:pPr>
        <w:tabs>
          <w:tab w:val="left" w:pos="567"/>
        </w:tabs>
        <w:spacing w:after="0" w:line="240" w:lineRule="auto"/>
        <w:rPr>
          <w:rFonts w:ascii="Times New Roman" w:eastAsia="Times New Roman" w:hAnsi="Times New Roman"/>
          <w:shd w:val="clear" w:color="auto" w:fill="CCCCCC"/>
          <w:lang w:eastAsia="lt-LT" w:bidi="lt-LT"/>
        </w:rPr>
      </w:pPr>
    </w:p>
    <w:p w14:paraId="48F590E0"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17.</w:t>
      </w:r>
      <w:r w:rsidRPr="00907D70">
        <w:rPr>
          <w:rFonts w:ascii="Times New Roman" w:eastAsia="Times New Roman" w:hAnsi="Times New Roman"/>
          <w:b/>
          <w:szCs w:val="20"/>
          <w:lang w:eastAsia="lt-LT" w:bidi="lt-LT"/>
        </w:rPr>
        <w:tab/>
        <w:t>UNIKALUS IDENTIFIKATORIUS – 2D BRŪKŠNINIS KODAS</w:t>
      </w:r>
    </w:p>
    <w:p w14:paraId="0FC3BD04"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6336FB8C" w14:textId="77777777" w:rsidR="00342622" w:rsidRPr="00907D70" w:rsidRDefault="00342622" w:rsidP="00342622">
      <w:pPr>
        <w:tabs>
          <w:tab w:val="left" w:pos="567"/>
        </w:tabs>
        <w:spacing w:after="0" w:line="240" w:lineRule="auto"/>
        <w:rPr>
          <w:rFonts w:ascii="Times New Roman" w:eastAsia="Times New Roman" w:hAnsi="Times New Roman"/>
          <w:shd w:val="clear" w:color="auto" w:fill="CCCCCC"/>
          <w:lang w:eastAsia="lt-LT" w:bidi="lt-LT"/>
        </w:rPr>
      </w:pPr>
      <w:r w:rsidRPr="00907D70">
        <w:rPr>
          <w:rFonts w:ascii="Times New Roman" w:hAnsi="Times New Roman"/>
        </w:rPr>
        <w:t>2D brūkšninis kodas su nurodytu unikaliu identifikatoriumi.</w:t>
      </w:r>
    </w:p>
    <w:p w14:paraId="4F5D136F"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40BF608B"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08E77876"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18.</w:t>
      </w:r>
      <w:r w:rsidRPr="00907D70">
        <w:rPr>
          <w:rFonts w:ascii="Times New Roman" w:eastAsia="Times New Roman" w:hAnsi="Times New Roman"/>
          <w:b/>
          <w:szCs w:val="20"/>
          <w:lang w:eastAsia="lt-LT" w:bidi="lt-LT"/>
        </w:rPr>
        <w:tab/>
        <w:t>UNIKALUS IDENTIFIKATORIUS – ŽMONĖMS SUPRANTAMI DUOMENYS</w:t>
      </w:r>
    </w:p>
    <w:p w14:paraId="3304F0AE"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5F920452" w14:textId="77777777" w:rsidR="00342622" w:rsidRPr="00907D70" w:rsidRDefault="00342622" w:rsidP="00342622">
      <w:pPr>
        <w:tabs>
          <w:tab w:val="left" w:pos="567"/>
        </w:tabs>
        <w:spacing w:after="0" w:line="260" w:lineRule="exact"/>
        <w:rPr>
          <w:rFonts w:ascii="Times New Roman" w:eastAsia="Times New Roman" w:hAnsi="Times New Roman"/>
          <w:color w:val="008000"/>
          <w:lang w:eastAsia="lt-LT" w:bidi="lt-LT"/>
        </w:rPr>
      </w:pPr>
      <w:r w:rsidRPr="00907D70">
        <w:rPr>
          <w:rFonts w:ascii="Times New Roman" w:eastAsia="Times New Roman" w:hAnsi="Times New Roman"/>
          <w:szCs w:val="20"/>
          <w:lang w:eastAsia="lt-LT" w:bidi="lt-LT"/>
        </w:rPr>
        <w:t xml:space="preserve">PC : </w:t>
      </w:r>
    </w:p>
    <w:p w14:paraId="7FBCB812" w14:textId="77777777" w:rsidR="00342622" w:rsidRPr="00907D70" w:rsidRDefault="00342622" w:rsidP="00342622">
      <w:pPr>
        <w:tabs>
          <w:tab w:val="left" w:pos="567"/>
        </w:tabs>
        <w:spacing w:after="0" w:line="260" w:lineRule="exact"/>
        <w:rPr>
          <w:rFonts w:ascii="Times New Roman" w:eastAsia="Times New Roman" w:hAnsi="Times New Roman"/>
          <w:lang w:eastAsia="lt-LT" w:bidi="lt-LT"/>
        </w:rPr>
      </w:pPr>
      <w:r w:rsidRPr="00907D70">
        <w:rPr>
          <w:rFonts w:ascii="Times New Roman" w:eastAsia="Times New Roman" w:hAnsi="Times New Roman"/>
          <w:szCs w:val="20"/>
          <w:lang w:eastAsia="lt-LT" w:bidi="lt-LT"/>
        </w:rPr>
        <w:t xml:space="preserve">SN : </w:t>
      </w:r>
    </w:p>
    <w:p w14:paraId="05EE752A" w14:textId="77777777" w:rsidR="00342622" w:rsidRPr="00907D70" w:rsidRDefault="00342622" w:rsidP="00342622">
      <w:pPr>
        <w:tabs>
          <w:tab w:val="left" w:pos="567"/>
        </w:tabs>
        <w:spacing w:after="0" w:line="260" w:lineRule="exact"/>
        <w:rPr>
          <w:rFonts w:ascii="Times New Roman" w:eastAsia="Times New Roman" w:hAnsi="Times New Roman"/>
          <w:lang w:eastAsia="lt-LT" w:bidi="lt-LT"/>
        </w:rPr>
      </w:pPr>
      <w:r w:rsidRPr="00907D70">
        <w:rPr>
          <w:rFonts w:ascii="Times New Roman" w:hAnsi="Times New Roman"/>
        </w:rPr>
        <w:t>NN :</w:t>
      </w:r>
      <w:r w:rsidRPr="00907D70">
        <w:rPr>
          <w:rFonts w:ascii="Times New Roman" w:eastAsia="Times New Roman" w:hAnsi="Times New Roman"/>
          <w:szCs w:val="20"/>
          <w:lang w:eastAsia="lt-LT" w:bidi="lt-LT"/>
        </w:rPr>
        <w:t xml:space="preserve"> </w:t>
      </w:r>
    </w:p>
    <w:p w14:paraId="28119205" w14:textId="77777777" w:rsidR="00342622" w:rsidRPr="00907D70" w:rsidRDefault="00342622" w:rsidP="00342622">
      <w:pPr>
        <w:tabs>
          <w:tab w:val="left" w:pos="567"/>
        </w:tabs>
        <w:spacing w:after="0" w:line="240" w:lineRule="auto"/>
        <w:rPr>
          <w:rFonts w:ascii="Times New Roman" w:hAnsi="Times New Roman"/>
          <w:snapToGrid w:val="0"/>
          <w:szCs w:val="20"/>
          <w:lang w:eastAsia="lt-LT"/>
        </w:rPr>
      </w:pPr>
      <w:r w:rsidRPr="00907D70">
        <w:rPr>
          <w:rFonts w:ascii="Times New Roman" w:hAnsi="Times New Roman"/>
          <w:lang w:eastAsia="lt-LT"/>
        </w:rPr>
        <w:br w:type="page"/>
      </w:r>
    </w:p>
    <w:p w14:paraId="451B816A"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snapToGrid w:val="0"/>
          <w:szCs w:val="24"/>
        </w:rPr>
      </w:pPr>
      <w:r w:rsidRPr="00907D70">
        <w:rPr>
          <w:rFonts w:ascii="Times New Roman" w:eastAsia="Times New Roman" w:hAnsi="Times New Roman"/>
          <w:b/>
          <w:snapToGrid w:val="0"/>
          <w:szCs w:val="24"/>
        </w:rPr>
        <w:lastRenderedPageBreak/>
        <w:t>MINIMALI INFORMACIJA ANT LIZDINIŲ PLOKŠTELIŲ ARBA DVISLUOKSNIŲ JUOSTELIŲ</w:t>
      </w:r>
    </w:p>
    <w:p w14:paraId="4B4090C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4"/>
        </w:rPr>
      </w:pPr>
    </w:p>
    <w:p w14:paraId="07000BC0"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rPr>
      </w:pPr>
      <w:r w:rsidRPr="00907D70">
        <w:rPr>
          <w:rFonts w:ascii="Times New Roman" w:eastAsia="Times New Roman" w:hAnsi="Times New Roman"/>
          <w:b/>
          <w:snapToGrid w:val="0"/>
          <w:szCs w:val="20"/>
        </w:rPr>
        <w:t xml:space="preserve">LIZDINĖ PLOKŠTELĖ </w:t>
      </w:r>
    </w:p>
    <w:p w14:paraId="27CF8138" w14:textId="77777777" w:rsidR="00342622" w:rsidRPr="00907D70" w:rsidRDefault="00342622" w:rsidP="00342622">
      <w:pPr>
        <w:tabs>
          <w:tab w:val="left" w:pos="567"/>
        </w:tabs>
        <w:spacing w:after="0" w:line="260" w:lineRule="exact"/>
        <w:rPr>
          <w:rFonts w:ascii="Times New Roman" w:eastAsia="Times New Roman" w:hAnsi="Times New Roman"/>
          <w:snapToGrid w:val="0"/>
          <w:szCs w:val="20"/>
        </w:rPr>
      </w:pPr>
    </w:p>
    <w:p w14:paraId="5E9D0B39"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49C4674B"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07D70">
        <w:rPr>
          <w:rFonts w:ascii="Times New Roman" w:eastAsia="Times New Roman" w:hAnsi="Times New Roman"/>
          <w:b/>
          <w:snapToGrid w:val="0"/>
          <w:szCs w:val="24"/>
        </w:rPr>
        <w:t>1.</w:t>
      </w:r>
      <w:r w:rsidRPr="00907D70">
        <w:rPr>
          <w:rFonts w:ascii="Times New Roman" w:eastAsia="Times New Roman" w:hAnsi="Times New Roman"/>
          <w:b/>
          <w:snapToGrid w:val="0"/>
          <w:szCs w:val="24"/>
        </w:rPr>
        <w:tab/>
      </w:r>
      <w:r w:rsidRPr="00907D70">
        <w:rPr>
          <w:rFonts w:ascii="Times New Roman" w:eastAsia="Times New Roman" w:hAnsi="Times New Roman"/>
          <w:b/>
          <w:caps/>
          <w:snapToGrid w:val="0"/>
          <w:szCs w:val="24"/>
        </w:rPr>
        <w:t>VAISTINIO</w:t>
      </w:r>
      <w:r w:rsidRPr="00907D70">
        <w:rPr>
          <w:rFonts w:ascii="Times New Roman" w:eastAsia="Times New Roman" w:hAnsi="Times New Roman"/>
          <w:b/>
          <w:snapToGrid w:val="0"/>
          <w:szCs w:val="24"/>
        </w:rPr>
        <w:t xml:space="preserve"> PREPARATO PAVADINIMAS</w:t>
      </w:r>
    </w:p>
    <w:p w14:paraId="0EBB7D11" w14:textId="77777777" w:rsidR="00342622" w:rsidRPr="00907D70" w:rsidRDefault="00342622" w:rsidP="00342622">
      <w:pPr>
        <w:tabs>
          <w:tab w:val="left" w:pos="567"/>
        </w:tabs>
        <w:spacing w:after="0" w:line="240" w:lineRule="auto"/>
        <w:rPr>
          <w:rFonts w:ascii="Times New Roman" w:hAnsi="Times New Roman"/>
          <w:lang w:eastAsia="lt-LT"/>
        </w:rPr>
      </w:pPr>
    </w:p>
    <w:p w14:paraId="49B9C054"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200 mg/50 mg plėvele dengtos tabletės</w:t>
      </w:r>
    </w:p>
    <w:p w14:paraId="76143778"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r w:rsidRPr="00907D70">
        <w:rPr>
          <w:rFonts w:ascii="Times New Roman" w:eastAsia="Times New Roman" w:hAnsi="Times New Roman"/>
          <w:snapToGrid w:val="0"/>
          <w:szCs w:val="24"/>
        </w:rPr>
        <w:t>Lopinaviras / Ritonaviras</w:t>
      </w:r>
    </w:p>
    <w:p w14:paraId="00A0F873"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3A67FF03"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42AEE883"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07D70">
        <w:rPr>
          <w:rFonts w:ascii="Times New Roman" w:eastAsia="Times New Roman" w:hAnsi="Times New Roman"/>
          <w:b/>
          <w:snapToGrid w:val="0"/>
          <w:szCs w:val="24"/>
        </w:rPr>
        <w:t>2.</w:t>
      </w:r>
      <w:r w:rsidRPr="00907D70">
        <w:rPr>
          <w:rFonts w:ascii="Times New Roman" w:eastAsia="Times New Roman" w:hAnsi="Times New Roman"/>
          <w:b/>
          <w:snapToGrid w:val="0"/>
          <w:szCs w:val="24"/>
        </w:rPr>
        <w:tab/>
      </w:r>
      <w:r w:rsidRPr="00907D70">
        <w:rPr>
          <w:rFonts w:ascii="Times New Roman" w:eastAsia="Times New Roman" w:hAnsi="Times New Roman"/>
          <w:b/>
          <w:caps/>
          <w:snapToGrid w:val="0"/>
          <w:szCs w:val="24"/>
        </w:rPr>
        <w:t>REGISTRUOTOJO pavadinimas</w:t>
      </w:r>
    </w:p>
    <w:p w14:paraId="4B1AC766"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5D607DC7"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r w:rsidRPr="00907D70">
        <w:rPr>
          <w:rFonts w:ascii="Times New Roman" w:eastAsia="Times New Roman" w:hAnsi="Times New Roman"/>
          <w:snapToGrid w:val="0"/>
          <w:szCs w:val="24"/>
        </w:rPr>
        <w:t>Accord</w:t>
      </w:r>
    </w:p>
    <w:p w14:paraId="59C62072"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20D7977F"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09DBB410" w14:textId="77777777" w:rsidR="00342622" w:rsidRPr="00907D70" w:rsidRDefault="00342622" w:rsidP="0034262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07D70">
        <w:rPr>
          <w:rFonts w:ascii="Times New Roman" w:eastAsia="Times New Roman" w:hAnsi="Times New Roman"/>
          <w:b/>
          <w:snapToGrid w:val="0"/>
          <w:szCs w:val="24"/>
        </w:rPr>
        <w:t>3.</w:t>
      </w:r>
      <w:r w:rsidRPr="00907D70">
        <w:rPr>
          <w:rFonts w:ascii="Times New Roman" w:eastAsia="Times New Roman" w:hAnsi="Times New Roman"/>
          <w:b/>
          <w:snapToGrid w:val="0"/>
          <w:szCs w:val="24"/>
        </w:rPr>
        <w:tab/>
        <w:t>TINKAMUMO LAIKAS</w:t>
      </w:r>
    </w:p>
    <w:p w14:paraId="4C9783E2"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6BAB462C" w14:textId="77777777" w:rsidR="00342622" w:rsidRPr="00907D70" w:rsidRDefault="00342622" w:rsidP="00342622">
      <w:pPr>
        <w:tabs>
          <w:tab w:val="left" w:pos="567"/>
        </w:tabs>
        <w:spacing w:after="0" w:line="260" w:lineRule="exact"/>
        <w:rPr>
          <w:rFonts w:ascii="Times New Roman" w:eastAsia="Times New Roman" w:hAnsi="Times New Roman"/>
          <w:snapToGrid w:val="0"/>
          <w:szCs w:val="20"/>
        </w:rPr>
      </w:pPr>
      <w:r w:rsidRPr="00907D70">
        <w:rPr>
          <w:rFonts w:ascii="Times New Roman" w:eastAsia="Times New Roman" w:hAnsi="Times New Roman"/>
          <w:snapToGrid w:val="0"/>
          <w:szCs w:val="20"/>
        </w:rPr>
        <w:t>EXP</w:t>
      </w:r>
      <w:r w:rsidRPr="00907D70">
        <w:rPr>
          <w:rFonts w:ascii="Times New Roman" w:eastAsia="Times New Roman" w:hAnsi="Times New Roman"/>
        </w:rPr>
        <w:t xml:space="preserve"> {mm/MMMM}</w:t>
      </w:r>
    </w:p>
    <w:p w14:paraId="24AFF45B" w14:textId="77777777" w:rsidR="00342622" w:rsidRPr="00907D70" w:rsidRDefault="00342622" w:rsidP="00342622">
      <w:pPr>
        <w:tabs>
          <w:tab w:val="left" w:pos="567"/>
        </w:tabs>
        <w:spacing w:after="0" w:line="260" w:lineRule="exact"/>
        <w:rPr>
          <w:rFonts w:ascii="Times New Roman" w:eastAsia="Times New Roman" w:hAnsi="Times New Roman"/>
          <w:snapToGrid w:val="0"/>
          <w:szCs w:val="20"/>
        </w:rPr>
      </w:pPr>
    </w:p>
    <w:p w14:paraId="0D3E0FF8"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20F74675" w14:textId="77777777" w:rsidR="00342622" w:rsidRPr="00907D70" w:rsidRDefault="00342622" w:rsidP="0034262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07D70">
        <w:rPr>
          <w:rFonts w:ascii="Times New Roman" w:eastAsia="Times New Roman" w:hAnsi="Times New Roman"/>
          <w:b/>
          <w:snapToGrid w:val="0"/>
          <w:szCs w:val="24"/>
        </w:rPr>
        <w:t>4.</w:t>
      </w:r>
      <w:r w:rsidRPr="00907D70">
        <w:rPr>
          <w:rFonts w:ascii="Times New Roman" w:eastAsia="Times New Roman" w:hAnsi="Times New Roman"/>
          <w:b/>
          <w:snapToGrid w:val="0"/>
          <w:szCs w:val="24"/>
        </w:rPr>
        <w:tab/>
        <w:t>SERIJOS NUMERIS</w:t>
      </w:r>
    </w:p>
    <w:p w14:paraId="4956B42B" w14:textId="77777777" w:rsidR="00342622" w:rsidRPr="00907D70" w:rsidRDefault="00342622" w:rsidP="00342622">
      <w:pPr>
        <w:tabs>
          <w:tab w:val="left" w:pos="567"/>
        </w:tabs>
        <w:spacing w:after="0" w:line="260" w:lineRule="exact"/>
        <w:rPr>
          <w:rFonts w:ascii="Times New Roman" w:eastAsia="Times New Roman" w:hAnsi="Times New Roman"/>
          <w:snapToGrid w:val="0"/>
          <w:szCs w:val="20"/>
        </w:rPr>
      </w:pPr>
    </w:p>
    <w:p w14:paraId="1E4AC245" w14:textId="77777777" w:rsidR="00342622" w:rsidRPr="00907D70" w:rsidRDefault="00342622" w:rsidP="00342622">
      <w:pPr>
        <w:tabs>
          <w:tab w:val="left" w:pos="567"/>
        </w:tabs>
        <w:spacing w:after="0" w:line="260" w:lineRule="exact"/>
        <w:rPr>
          <w:rFonts w:ascii="Times New Roman" w:eastAsia="Times New Roman" w:hAnsi="Times New Roman"/>
          <w:snapToGrid w:val="0"/>
          <w:szCs w:val="20"/>
        </w:rPr>
      </w:pPr>
      <w:r w:rsidRPr="00907D70">
        <w:rPr>
          <w:rFonts w:ascii="Times New Roman" w:eastAsia="Times New Roman" w:hAnsi="Times New Roman"/>
          <w:snapToGrid w:val="0"/>
          <w:szCs w:val="20"/>
        </w:rPr>
        <w:t>Lot { numeris}</w:t>
      </w:r>
    </w:p>
    <w:p w14:paraId="350B9314"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18164115"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28CB7BCD"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907D70">
        <w:rPr>
          <w:rFonts w:ascii="Times New Roman" w:eastAsia="Times New Roman" w:hAnsi="Times New Roman"/>
          <w:b/>
          <w:snapToGrid w:val="0"/>
          <w:szCs w:val="24"/>
        </w:rPr>
        <w:t>5.</w:t>
      </w:r>
      <w:r w:rsidRPr="00907D70">
        <w:rPr>
          <w:rFonts w:ascii="Times New Roman" w:eastAsia="Times New Roman" w:hAnsi="Times New Roman"/>
          <w:b/>
          <w:snapToGrid w:val="0"/>
          <w:szCs w:val="24"/>
        </w:rPr>
        <w:tab/>
        <w:t>KITA</w:t>
      </w:r>
    </w:p>
    <w:p w14:paraId="215931A7"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75D2A6C3" w14:textId="77777777" w:rsidR="00342622" w:rsidRPr="00907D70" w:rsidRDefault="00342622" w:rsidP="00342622">
      <w:pPr>
        <w:tabs>
          <w:tab w:val="left" w:pos="567"/>
        </w:tabs>
        <w:spacing w:after="0" w:line="260" w:lineRule="exact"/>
        <w:rPr>
          <w:rFonts w:ascii="Times New Roman" w:eastAsia="Times New Roman" w:hAnsi="Times New Roman"/>
          <w:snapToGrid w:val="0"/>
          <w:szCs w:val="24"/>
        </w:rPr>
      </w:pPr>
    </w:p>
    <w:p w14:paraId="2D54718A"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eastAsia="Times New Roman" w:hAnsi="Times New Roman"/>
          <w:b/>
          <w:snapToGrid w:val="0"/>
          <w:szCs w:val="24"/>
        </w:rPr>
        <w:br w:type="page"/>
      </w:r>
      <w:r w:rsidRPr="00907D70">
        <w:rPr>
          <w:rFonts w:ascii="Times New Roman" w:hAnsi="Times New Roman"/>
          <w:b/>
          <w:lang w:eastAsia="lt-LT"/>
        </w:rPr>
        <w:lastRenderedPageBreak/>
        <w:t>INFORMACIJA ANT IŠORINĖS PAKUOTĖS</w:t>
      </w:r>
    </w:p>
    <w:p w14:paraId="1B9487C9"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p>
    <w:p w14:paraId="2C29FCE4"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bCs/>
          <w:lang w:eastAsia="lt-LT"/>
        </w:rPr>
      </w:pPr>
      <w:r w:rsidRPr="00907D70">
        <w:rPr>
          <w:rFonts w:ascii="Times New Roman" w:hAnsi="Times New Roman"/>
          <w:b/>
          <w:lang w:eastAsia="lt-LT"/>
        </w:rPr>
        <w:t>KARTONO DĖŽUTĖ (BUTELIUKAMS)</w:t>
      </w:r>
    </w:p>
    <w:p w14:paraId="61D78C9F" w14:textId="77777777" w:rsidR="00342622" w:rsidRPr="00907D70" w:rsidRDefault="00342622" w:rsidP="00342622">
      <w:pPr>
        <w:tabs>
          <w:tab w:val="left" w:pos="567"/>
        </w:tabs>
        <w:spacing w:after="0" w:line="240" w:lineRule="auto"/>
        <w:rPr>
          <w:rFonts w:ascii="Times New Roman" w:hAnsi="Times New Roman"/>
          <w:lang w:eastAsia="lt-LT"/>
        </w:rPr>
      </w:pPr>
    </w:p>
    <w:p w14:paraId="253A88C7" w14:textId="77777777" w:rsidR="00342622" w:rsidRPr="00907D70" w:rsidRDefault="00342622" w:rsidP="00342622">
      <w:pPr>
        <w:tabs>
          <w:tab w:val="left" w:pos="567"/>
        </w:tabs>
        <w:spacing w:after="0" w:line="240" w:lineRule="auto"/>
        <w:rPr>
          <w:rFonts w:ascii="Times New Roman" w:hAnsi="Times New Roman"/>
          <w:lang w:eastAsia="lt-LT"/>
        </w:rPr>
      </w:pPr>
    </w:p>
    <w:p w14:paraId="519E0C0A"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w:t>
      </w:r>
      <w:r w:rsidRPr="00907D70">
        <w:rPr>
          <w:rFonts w:ascii="Times New Roman" w:hAnsi="Times New Roman"/>
          <w:b/>
          <w:lang w:eastAsia="lt-LT"/>
        </w:rPr>
        <w:tab/>
        <w:t>VAISTINIO PREPARATO PAVADINIMAS</w:t>
      </w:r>
    </w:p>
    <w:p w14:paraId="3740BBFE" w14:textId="77777777" w:rsidR="00342622" w:rsidRPr="00907D70" w:rsidRDefault="00342622" w:rsidP="00342622">
      <w:pPr>
        <w:tabs>
          <w:tab w:val="left" w:pos="567"/>
        </w:tabs>
        <w:spacing w:after="0" w:line="240" w:lineRule="auto"/>
        <w:rPr>
          <w:rFonts w:ascii="Times New Roman" w:hAnsi="Times New Roman"/>
          <w:lang w:eastAsia="lt-LT"/>
        </w:rPr>
      </w:pPr>
    </w:p>
    <w:p w14:paraId="4978C961"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200 mg/50 mg plėvele dengtos tabletės</w:t>
      </w:r>
    </w:p>
    <w:p w14:paraId="39D25A5E"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Lopinaviras / Ritonaviras</w:t>
      </w:r>
    </w:p>
    <w:p w14:paraId="55E1909A" w14:textId="77777777" w:rsidR="00342622" w:rsidRPr="00907D70" w:rsidRDefault="00342622" w:rsidP="00342622">
      <w:pPr>
        <w:tabs>
          <w:tab w:val="left" w:pos="567"/>
        </w:tabs>
        <w:spacing w:after="0" w:line="240" w:lineRule="auto"/>
        <w:rPr>
          <w:rFonts w:ascii="Times New Roman" w:hAnsi="Times New Roman"/>
          <w:lang w:eastAsia="lt-LT"/>
        </w:rPr>
      </w:pPr>
    </w:p>
    <w:p w14:paraId="49755696" w14:textId="77777777" w:rsidR="00342622" w:rsidRPr="00907D70" w:rsidRDefault="00342622" w:rsidP="00342622">
      <w:pPr>
        <w:tabs>
          <w:tab w:val="left" w:pos="567"/>
        </w:tabs>
        <w:spacing w:after="0" w:line="240" w:lineRule="auto"/>
        <w:rPr>
          <w:rFonts w:ascii="Times New Roman" w:hAnsi="Times New Roman"/>
          <w:lang w:eastAsia="lt-LT"/>
        </w:rPr>
      </w:pPr>
    </w:p>
    <w:p w14:paraId="35878EE3"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2.</w:t>
      </w:r>
      <w:r w:rsidRPr="00907D70">
        <w:rPr>
          <w:rFonts w:ascii="Times New Roman" w:hAnsi="Times New Roman"/>
          <w:b/>
          <w:lang w:eastAsia="lt-LT"/>
        </w:rPr>
        <w:tab/>
      </w:r>
      <w:r w:rsidRPr="00907D70">
        <w:rPr>
          <w:rFonts w:ascii="Times New Roman" w:eastAsia="Times New Roman" w:hAnsi="Times New Roman"/>
          <w:b/>
          <w:snapToGrid w:val="0"/>
          <w:szCs w:val="24"/>
        </w:rPr>
        <w:t>VEIKLIOJI (-IOS) MEDŽIAGA (-OS) IR JOS (-Ų) KIEKIS (-IAI)</w:t>
      </w:r>
    </w:p>
    <w:p w14:paraId="2C815E80" w14:textId="77777777" w:rsidR="00342622" w:rsidRPr="00907D70" w:rsidRDefault="00342622" w:rsidP="00342622">
      <w:pPr>
        <w:tabs>
          <w:tab w:val="left" w:pos="567"/>
        </w:tabs>
        <w:spacing w:after="0" w:line="240" w:lineRule="auto"/>
        <w:rPr>
          <w:rFonts w:ascii="Times New Roman" w:hAnsi="Times New Roman"/>
          <w:lang w:eastAsia="lt-LT"/>
        </w:rPr>
      </w:pPr>
    </w:p>
    <w:p w14:paraId="7A132BA3"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Kiekvienoje plėvele dengtoje tabletėje yra 200 mg lopinaviro kartu su 50 mg ritonaviro farmakokinetikai sustiprinti.</w:t>
      </w:r>
    </w:p>
    <w:p w14:paraId="4C7E15EF" w14:textId="77777777" w:rsidR="00342622" w:rsidRPr="00907D70" w:rsidRDefault="00342622" w:rsidP="00342622">
      <w:pPr>
        <w:tabs>
          <w:tab w:val="left" w:pos="567"/>
        </w:tabs>
        <w:spacing w:after="0" w:line="240" w:lineRule="auto"/>
        <w:rPr>
          <w:rFonts w:ascii="Times New Roman" w:hAnsi="Times New Roman"/>
          <w:lang w:eastAsia="lt-LT"/>
        </w:rPr>
      </w:pPr>
    </w:p>
    <w:p w14:paraId="1C1C4645" w14:textId="77777777" w:rsidR="00342622" w:rsidRPr="00907D70" w:rsidRDefault="00342622" w:rsidP="00342622">
      <w:pPr>
        <w:tabs>
          <w:tab w:val="left" w:pos="567"/>
        </w:tabs>
        <w:spacing w:after="0" w:line="240" w:lineRule="auto"/>
        <w:rPr>
          <w:rFonts w:ascii="Times New Roman" w:hAnsi="Times New Roman"/>
          <w:lang w:eastAsia="lt-LT"/>
        </w:rPr>
      </w:pPr>
    </w:p>
    <w:p w14:paraId="03C093BF"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3.</w:t>
      </w:r>
      <w:r w:rsidRPr="00907D70">
        <w:rPr>
          <w:rFonts w:ascii="Times New Roman" w:hAnsi="Times New Roman"/>
          <w:b/>
          <w:lang w:eastAsia="lt-LT"/>
        </w:rPr>
        <w:tab/>
        <w:t>PAGALBINIŲ MEDŽIAGŲ SĄRAŠAS</w:t>
      </w:r>
    </w:p>
    <w:p w14:paraId="0DF0AF3A" w14:textId="77777777" w:rsidR="00342622" w:rsidRPr="00907D70" w:rsidRDefault="00342622" w:rsidP="00342622">
      <w:pPr>
        <w:tabs>
          <w:tab w:val="left" w:pos="567"/>
        </w:tabs>
        <w:spacing w:after="0" w:line="240" w:lineRule="auto"/>
        <w:rPr>
          <w:rFonts w:ascii="Times New Roman" w:hAnsi="Times New Roman"/>
          <w:lang w:eastAsia="lt-LT"/>
        </w:rPr>
      </w:pPr>
    </w:p>
    <w:p w14:paraId="657EF752" w14:textId="77777777" w:rsidR="00342622" w:rsidRPr="00907D70" w:rsidRDefault="00342622" w:rsidP="00342622">
      <w:pPr>
        <w:tabs>
          <w:tab w:val="left" w:pos="567"/>
        </w:tabs>
        <w:spacing w:after="0" w:line="240" w:lineRule="auto"/>
        <w:rPr>
          <w:rFonts w:ascii="Times New Roman" w:hAnsi="Times New Roman"/>
          <w:lang w:eastAsia="lt-LT"/>
        </w:rPr>
      </w:pPr>
    </w:p>
    <w:p w14:paraId="52E2E7EB"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4.</w:t>
      </w:r>
      <w:r w:rsidRPr="00907D70">
        <w:rPr>
          <w:rFonts w:ascii="Times New Roman" w:hAnsi="Times New Roman"/>
          <w:b/>
          <w:lang w:eastAsia="lt-LT"/>
        </w:rPr>
        <w:tab/>
        <w:t>FARMACINĖ FORMA IR KIEKIS PAKUOTĖJE</w:t>
      </w:r>
    </w:p>
    <w:p w14:paraId="65E8081F" w14:textId="77777777" w:rsidR="00342622" w:rsidRPr="00907D70" w:rsidRDefault="00342622" w:rsidP="00342622">
      <w:pPr>
        <w:tabs>
          <w:tab w:val="left" w:pos="567"/>
        </w:tabs>
        <w:spacing w:after="0" w:line="240" w:lineRule="auto"/>
        <w:rPr>
          <w:rFonts w:ascii="Times New Roman" w:hAnsi="Times New Roman"/>
          <w:lang w:eastAsia="lt-LT"/>
        </w:rPr>
      </w:pPr>
    </w:p>
    <w:p w14:paraId="118C80BB"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rPr>
        <w:t>Plėvele dengtos tabletės</w:t>
      </w:r>
    </w:p>
    <w:p w14:paraId="563335E3" w14:textId="77777777" w:rsidR="00342622" w:rsidRPr="00907D70" w:rsidRDefault="00342622" w:rsidP="00342622">
      <w:pPr>
        <w:tabs>
          <w:tab w:val="left" w:pos="567"/>
        </w:tabs>
        <w:spacing w:after="0" w:line="240" w:lineRule="auto"/>
        <w:rPr>
          <w:rFonts w:ascii="Times New Roman" w:hAnsi="Times New Roman"/>
          <w:lang w:eastAsia="lt-LT"/>
        </w:rPr>
      </w:pPr>
    </w:p>
    <w:p w14:paraId="05A728E6"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120 plėvele dengtų tablečių</w:t>
      </w:r>
    </w:p>
    <w:p w14:paraId="78D8B473"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rPr>
        <w:t>360 plėvele dengtų tablečių (3 buteliukai po 120 plėvele dengtų tablečių)</w:t>
      </w:r>
    </w:p>
    <w:p w14:paraId="2C8FA91F" w14:textId="77777777" w:rsidR="00342622" w:rsidRPr="00907D70" w:rsidRDefault="00342622" w:rsidP="00342622">
      <w:pPr>
        <w:tabs>
          <w:tab w:val="left" w:pos="567"/>
        </w:tabs>
        <w:spacing w:after="0" w:line="240" w:lineRule="auto"/>
        <w:rPr>
          <w:rFonts w:ascii="Times New Roman" w:eastAsia="Times New Roman" w:hAnsi="Times New Roman"/>
        </w:rPr>
      </w:pPr>
    </w:p>
    <w:p w14:paraId="1E57E228" w14:textId="77777777" w:rsidR="00342622" w:rsidRPr="00907D70" w:rsidRDefault="00342622" w:rsidP="00342622">
      <w:pPr>
        <w:tabs>
          <w:tab w:val="left" w:pos="567"/>
        </w:tabs>
        <w:spacing w:after="0" w:line="240" w:lineRule="auto"/>
        <w:rPr>
          <w:rFonts w:ascii="Times New Roman" w:eastAsia="Times New Roman" w:hAnsi="Times New Roman"/>
        </w:rPr>
      </w:pPr>
    </w:p>
    <w:p w14:paraId="2C8BCE7B"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5.</w:t>
      </w:r>
      <w:r w:rsidRPr="00907D70">
        <w:rPr>
          <w:rFonts w:ascii="Times New Roman" w:hAnsi="Times New Roman"/>
          <w:b/>
          <w:lang w:eastAsia="lt-LT"/>
        </w:rPr>
        <w:tab/>
        <w:t>VARTOJIMO METODAS IR BŪDAS (-AI)</w:t>
      </w:r>
    </w:p>
    <w:p w14:paraId="0A7D1622" w14:textId="77777777" w:rsidR="00342622" w:rsidRPr="00907D70" w:rsidRDefault="00342622" w:rsidP="00342622">
      <w:pPr>
        <w:tabs>
          <w:tab w:val="left" w:pos="567"/>
        </w:tabs>
        <w:spacing w:after="0" w:line="240" w:lineRule="auto"/>
        <w:rPr>
          <w:rFonts w:ascii="Times New Roman" w:hAnsi="Times New Roman"/>
          <w:lang w:eastAsia="lt-LT"/>
        </w:rPr>
      </w:pPr>
    </w:p>
    <w:p w14:paraId="7BC6DAD5"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Vartoti per burną.</w:t>
      </w:r>
    </w:p>
    <w:p w14:paraId="16C61E55"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Prieš vartojimą perskaitykite pakuotės lapelį.</w:t>
      </w:r>
    </w:p>
    <w:p w14:paraId="49866D95" w14:textId="77777777" w:rsidR="00342622" w:rsidRPr="00907D70" w:rsidRDefault="00342622" w:rsidP="00342622">
      <w:pPr>
        <w:tabs>
          <w:tab w:val="left" w:pos="567"/>
        </w:tabs>
        <w:spacing w:after="0" w:line="240" w:lineRule="auto"/>
        <w:rPr>
          <w:rFonts w:ascii="Times New Roman" w:hAnsi="Times New Roman"/>
          <w:lang w:eastAsia="lt-LT"/>
        </w:rPr>
      </w:pPr>
    </w:p>
    <w:p w14:paraId="4526CAA4" w14:textId="77777777" w:rsidR="00342622" w:rsidRPr="00907D70" w:rsidRDefault="00342622" w:rsidP="00342622">
      <w:pPr>
        <w:tabs>
          <w:tab w:val="left" w:pos="567"/>
        </w:tabs>
        <w:spacing w:after="0" w:line="240" w:lineRule="auto"/>
        <w:rPr>
          <w:rFonts w:ascii="Times New Roman" w:hAnsi="Times New Roman"/>
          <w:lang w:eastAsia="lt-LT"/>
        </w:rPr>
      </w:pPr>
    </w:p>
    <w:p w14:paraId="7C38C36D"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6.</w:t>
      </w:r>
      <w:r w:rsidRPr="00907D70">
        <w:rPr>
          <w:rFonts w:ascii="Times New Roman" w:hAnsi="Times New Roman"/>
          <w:b/>
          <w:lang w:eastAsia="lt-LT"/>
        </w:rPr>
        <w:tab/>
        <w:t>SPECIALUS ĮSPĖJIMAS, KAD VAISTINĮ PREPARATĄ BŪTINA LAIKYTI VAIKAMS NEPASTEBIMOJE IR NEPASIEKIAMOJE VIETOJE</w:t>
      </w:r>
    </w:p>
    <w:p w14:paraId="28AE223D" w14:textId="77777777" w:rsidR="00342622" w:rsidRPr="00907D70" w:rsidRDefault="00342622" w:rsidP="00342622">
      <w:pPr>
        <w:tabs>
          <w:tab w:val="left" w:pos="567"/>
        </w:tabs>
        <w:spacing w:after="0" w:line="240" w:lineRule="auto"/>
        <w:rPr>
          <w:rFonts w:ascii="Times New Roman" w:hAnsi="Times New Roman"/>
          <w:lang w:eastAsia="lt-LT"/>
        </w:rPr>
      </w:pPr>
    </w:p>
    <w:p w14:paraId="3B643888"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Laikyti vaikams nepastebimoje ir nepasiekiamoje vietoje.</w:t>
      </w:r>
    </w:p>
    <w:p w14:paraId="0ED97FFE" w14:textId="77777777" w:rsidR="00342622" w:rsidRPr="00907D70" w:rsidRDefault="00342622" w:rsidP="00342622">
      <w:pPr>
        <w:tabs>
          <w:tab w:val="left" w:pos="567"/>
        </w:tabs>
        <w:spacing w:after="0" w:line="240" w:lineRule="auto"/>
        <w:rPr>
          <w:rFonts w:ascii="Times New Roman" w:hAnsi="Times New Roman"/>
          <w:lang w:eastAsia="lt-LT"/>
        </w:rPr>
      </w:pPr>
    </w:p>
    <w:p w14:paraId="490FEACC" w14:textId="77777777" w:rsidR="00342622" w:rsidRPr="00907D70" w:rsidRDefault="00342622" w:rsidP="00342622">
      <w:pPr>
        <w:tabs>
          <w:tab w:val="left" w:pos="567"/>
        </w:tabs>
        <w:spacing w:after="0" w:line="240" w:lineRule="auto"/>
        <w:rPr>
          <w:rFonts w:ascii="Times New Roman" w:hAnsi="Times New Roman"/>
          <w:lang w:eastAsia="lt-LT"/>
        </w:rPr>
      </w:pPr>
    </w:p>
    <w:p w14:paraId="02AF5E7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7.</w:t>
      </w:r>
      <w:r w:rsidRPr="00907D70">
        <w:rPr>
          <w:rFonts w:ascii="Times New Roman" w:hAnsi="Times New Roman"/>
          <w:b/>
          <w:lang w:eastAsia="lt-LT"/>
        </w:rPr>
        <w:tab/>
        <w:t>KITAS (-I) SPECIALUS (-ŪS) ĮSPĖJIMAS (-AI) (JEI REIKIA)</w:t>
      </w:r>
    </w:p>
    <w:p w14:paraId="1CC6CFB9" w14:textId="77777777" w:rsidR="00342622" w:rsidRPr="00907D70" w:rsidRDefault="00342622" w:rsidP="00342622">
      <w:pPr>
        <w:tabs>
          <w:tab w:val="left" w:pos="567"/>
        </w:tabs>
        <w:spacing w:after="0" w:line="240" w:lineRule="auto"/>
        <w:rPr>
          <w:rFonts w:ascii="Times New Roman" w:hAnsi="Times New Roman"/>
          <w:lang w:eastAsia="lt-LT"/>
        </w:rPr>
      </w:pPr>
    </w:p>
    <w:p w14:paraId="121BA84E" w14:textId="77777777" w:rsidR="00342622" w:rsidRPr="00907D70" w:rsidRDefault="00342622" w:rsidP="00342622">
      <w:pPr>
        <w:tabs>
          <w:tab w:val="left" w:pos="567"/>
        </w:tabs>
        <w:spacing w:after="0" w:line="240" w:lineRule="auto"/>
        <w:rPr>
          <w:rFonts w:ascii="Times New Roman" w:hAnsi="Times New Roman"/>
          <w:lang w:eastAsia="lt-LT"/>
        </w:rPr>
      </w:pPr>
    </w:p>
    <w:p w14:paraId="4A147660"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8.</w:t>
      </w:r>
      <w:r w:rsidRPr="00907D70">
        <w:rPr>
          <w:rFonts w:ascii="Times New Roman" w:hAnsi="Times New Roman"/>
          <w:b/>
          <w:lang w:eastAsia="lt-LT"/>
        </w:rPr>
        <w:tab/>
        <w:t>TINKAMUMO LAIKAS</w:t>
      </w:r>
    </w:p>
    <w:p w14:paraId="0E0E2A01" w14:textId="77777777" w:rsidR="00342622" w:rsidRPr="00907D70" w:rsidRDefault="00342622" w:rsidP="00342622">
      <w:pPr>
        <w:tabs>
          <w:tab w:val="left" w:pos="567"/>
        </w:tabs>
        <w:spacing w:after="0" w:line="240" w:lineRule="auto"/>
        <w:rPr>
          <w:rFonts w:ascii="Times New Roman" w:eastAsia="Times New Roman" w:hAnsi="Times New Roman"/>
        </w:rPr>
      </w:pPr>
    </w:p>
    <w:p w14:paraId="506E15C5"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Tinka iki {mm/MMMM}</w:t>
      </w:r>
    </w:p>
    <w:p w14:paraId="2A460341" w14:textId="77777777" w:rsidR="00342622" w:rsidRPr="00907D70" w:rsidRDefault="00342622" w:rsidP="00342622">
      <w:pPr>
        <w:tabs>
          <w:tab w:val="left" w:pos="567"/>
        </w:tabs>
        <w:spacing w:after="0" w:line="240" w:lineRule="auto"/>
        <w:rPr>
          <w:rFonts w:ascii="Times New Roman" w:eastAsia="Times New Roman" w:hAnsi="Times New Roman"/>
        </w:rPr>
      </w:pPr>
    </w:p>
    <w:p w14:paraId="5AF7A28A" w14:textId="77777777" w:rsidR="00342622" w:rsidRPr="00907D70" w:rsidRDefault="00342622" w:rsidP="00342622">
      <w:pPr>
        <w:tabs>
          <w:tab w:val="left" w:pos="567"/>
        </w:tabs>
        <w:spacing w:after="0" w:line="240" w:lineRule="auto"/>
        <w:rPr>
          <w:rFonts w:ascii="Times New Roman" w:eastAsia="Times New Roman" w:hAnsi="Times New Roman"/>
        </w:rPr>
      </w:pPr>
    </w:p>
    <w:p w14:paraId="69235E60"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9.</w:t>
      </w:r>
      <w:r w:rsidRPr="00907D70">
        <w:rPr>
          <w:rFonts w:ascii="Times New Roman" w:hAnsi="Times New Roman"/>
          <w:b/>
          <w:lang w:eastAsia="lt-LT"/>
        </w:rPr>
        <w:tab/>
        <w:t>SPECIALIOS LAIKYMO SĄLYGOS</w:t>
      </w:r>
    </w:p>
    <w:p w14:paraId="0CE86557" w14:textId="77777777" w:rsidR="00342622" w:rsidRPr="00907D70" w:rsidRDefault="00342622" w:rsidP="00342622">
      <w:pPr>
        <w:tabs>
          <w:tab w:val="left" w:pos="567"/>
        </w:tabs>
        <w:spacing w:after="0" w:line="240" w:lineRule="auto"/>
        <w:rPr>
          <w:rFonts w:ascii="Times New Roman" w:hAnsi="Times New Roman"/>
          <w:lang w:eastAsia="lt-LT"/>
        </w:rPr>
      </w:pPr>
    </w:p>
    <w:p w14:paraId="4A8473A0" w14:textId="77777777" w:rsidR="00342622" w:rsidRPr="00907D70" w:rsidRDefault="00342622" w:rsidP="00342622">
      <w:pPr>
        <w:keepNext/>
        <w:keepLines/>
        <w:tabs>
          <w:tab w:val="left" w:pos="567"/>
        </w:tabs>
        <w:spacing w:after="0" w:line="240" w:lineRule="auto"/>
        <w:rPr>
          <w:rFonts w:ascii="Times New Roman" w:hAnsi="Times New Roman"/>
          <w:lang w:eastAsia="lt-LT"/>
        </w:rPr>
      </w:pPr>
    </w:p>
    <w:p w14:paraId="5654A3BB" w14:textId="77777777" w:rsidR="00342622" w:rsidRPr="00907D70" w:rsidRDefault="00342622" w:rsidP="0034262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10.</w:t>
      </w:r>
      <w:r w:rsidRPr="00907D70">
        <w:rPr>
          <w:rFonts w:ascii="Times New Roman" w:hAnsi="Times New Roman"/>
          <w:b/>
          <w:lang w:eastAsia="lt-LT"/>
        </w:rPr>
        <w:tab/>
        <w:t xml:space="preserve">SPECIALIOS ATSARGUMO PRIEMONĖS DĖL NESUVARTOTO </w:t>
      </w:r>
      <w:r w:rsidRPr="00907D70">
        <w:rPr>
          <w:rFonts w:ascii="Times New Roman" w:hAnsi="Times New Roman"/>
          <w:b/>
          <w:bCs/>
          <w:lang w:eastAsia="lt-LT"/>
        </w:rPr>
        <w:t xml:space="preserve">VAISTINIO PREPARATO AR JO ATLIEKŲ </w:t>
      </w:r>
      <w:r w:rsidRPr="00907D70">
        <w:rPr>
          <w:rFonts w:ascii="Times New Roman" w:hAnsi="Times New Roman"/>
          <w:b/>
          <w:lang w:eastAsia="lt-LT"/>
        </w:rPr>
        <w:t>TVARKYMO (JEI REIKIA)</w:t>
      </w:r>
    </w:p>
    <w:p w14:paraId="081A1846" w14:textId="77777777" w:rsidR="00342622" w:rsidRPr="00907D70" w:rsidRDefault="00342622" w:rsidP="00342622">
      <w:pPr>
        <w:keepNext/>
        <w:keepLines/>
        <w:tabs>
          <w:tab w:val="left" w:pos="567"/>
        </w:tabs>
        <w:spacing w:after="0" w:line="240" w:lineRule="auto"/>
        <w:rPr>
          <w:rFonts w:ascii="Times New Roman" w:hAnsi="Times New Roman"/>
          <w:lang w:eastAsia="lt-LT"/>
        </w:rPr>
      </w:pPr>
    </w:p>
    <w:p w14:paraId="6C21F903" w14:textId="77777777" w:rsidR="00342622" w:rsidRPr="00907D70" w:rsidRDefault="00342622" w:rsidP="00342622">
      <w:pPr>
        <w:keepNext/>
        <w:keepLines/>
        <w:tabs>
          <w:tab w:val="left" w:pos="567"/>
        </w:tabs>
        <w:spacing w:after="0" w:line="240" w:lineRule="auto"/>
        <w:rPr>
          <w:rFonts w:ascii="Times New Roman" w:hAnsi="Times New Roman"/>
          <w:lang w:eastAsia="lt-LT"/>
        </w:rPr>
      </w:pPr>
      <w:r w:rsidRPr="00907D70">
        <w:rPr>
          <w:rFonts w:ascii="Times New Roman" w:eastAsia="Times New Roman" w:hAnsi="Times New Roman"/>
          <w:snapToGrid w:val="0"/>
          <w:szCs w:val="24"/>
        </w:rPr>
        <w:t>Nesuvartotą vaistą ar atliekas reikia tvarkyti laikantis vietinių reikalavimų.</w:t>
      </w:r>
    </w:p>
    <w:p w14:paraId="6E5AE225" w14:textId="77777777" w:rsidR="00342622" w:rsidRPr="00907D70" w:rsidRDefault="00342622" w:rsidP="00342622">
      <w:pPr>
        <w:tabs>
          <w:tab w:val="left" w:pos="567"/>
        </w:tabs>
        <w:spacing w:after="0" w:line="240" w:lineRule="auto"/>
        <w:rPr>
          <w:rFonts w:ascii="Times New Roman" w:hAnsi="Times New Roman"/>
          <w:lang w:eastAsia="lt-LT"/>
        </w:rPr>
      </w:pPr>
    </w:p>
    <w:p w14:paraId="2FA2A199" w14:textId="77777777" w:rsidR="00342622" w:rsidRPr="00907D70" w:rsidRDefault="00342622" w:rsidP="00342622">
      <w:pPr>
        <w:tabs>
          <w:tab w:val="left" w:pos="567"/>
        </w:tabs>
        <w:spacing w:after="0" w:line="240" w:lineRule="auto"/>
        <w:rPr>
          <w:rFonts w:ascii="Times New Roman" w:hAnsi="Times New Roman"/>
          <w:lang w:eastAsia="lt-LT"/>
        </w:rPr>
      </w:pPr>
    </w:p>
    <w:p w14:paraId="0D1E43AD"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11.</w:t>
      </w:r>
      <w:r w:rsidRPr="00907D70">
        <w:rPr>
          <w:rFonts w:ascii="Times New Roman" w:hAnsi="Times New Roman"/>
          <w:b/>
          <w:lang w:eastAsia="lt-LT"/>
        </w:rPr>
        <w:tab/>
        <w:t>REGISTRUOTOJO PAVADINIMAS IR ADRESAS</w:t>
      </w:r>
    </w:p>
    <w:p w14:paraId="5D16F633" w14:textId="77777777" w:rsidR="00342622" w:rsidRPr="00907D70" w:rsidRDefault="00342622" w:rsidP="00342622">
      <w:pPr>
        <w:tabs>
          <w:tab w:val="left" w:pos="567"/>
        </w:tabs>
        <w:spacing w:after="0" w:line="240" w:lineRule="auto"/>
        <w:rPr>
          <w:rFonts w:ascii="Times New Roman" w:hAnsi="Times New Roman"/>
          <w:b/>
          <w:lang w:eastAsia="lt-LT"/>
        </w:rPr>
      </w:pPr>
    </w:p>
    <w:p w14:paraId="54EFDEC3" w14:textId="1EC34AEE" w:rsidR="00342622" w:rsidRPr="00907D70" w:rsidRDefault="00342622" w:rsidP="00342622">
      <w:pPr>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 xml:space="preserve">Accord Healthcare </w:t>
      </w:r>
      <w:r w:rsidR="00376923" w:rsidRPr="00907D70">
        <w:rPr>
          <w:rFonts w:ascii="Times New Roman" w:hAnsi="Times New Roman"/>
        </w:rPr>
        <w:t xml:space="preserve">B.V. </w:t>
      </w:r>
    </w:p>
    <w:p w14:paraId="3BE392A6"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Winthontlaan 200 </w:t>
      </w:r>
    </w:p>
    <w:p w14:paraId="247DCB6A"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3526 KV Utrecht </w:t>
      </w:r>
    </w:p>
    <w:p w14:paraId="08F16493" w14:textId="77777777" w:rsidR="00376923" w:rsidRPr="00907D70" w:rsidRDefault="00376923" w:rsidP="00376923">
      <w:pPr>
        <w:spacing w:after="0" w:line="240" w:lineRule="auto"/>
      </w:pPr>
      <w:r w:rsidRPr="00907D70">
        <w:rPr>
          <w:rFonts w:ascii="Times New Roman" w:hAnsi="Times New Roman"/>
        </w:rPr>
        <w:t>Nyderlandai</w:t>
      </w:r>
    </w:p>
    <w:p w14:paraId="58ABF53F" w14:textId="77777777" w:rsidR="00342622" w:rsidRPr="00907D70" w:rsidRDefault="00342622" w:rsidP="00342622">
      <w:pPr>
        <w:tabs>
          <w:tab w:val="left" w:pos="567"/>
        </w:tabs>
        <w:spacing w:after="0" w:line="260" w:lineRule="exact"/>
        <w:rPr>
          <w:rFonts w:ascii="Times New Roman" w:hAnsi="Times New Roman"/>
          <w:lang w:eastAsia="lt-LT"/>
        </w:rPr>
      </w:pPr>
      <w:r w:rsidRPr="00907D70">
        <w:rPr>
          <w:rFonts w:ascii="Times New Roman" w:hAnsi="Times New Roman"/>
          <w:lang w:eastAsia="lt-LT"/>
        </w:rPr>
        <w:t xml:space="preserve"> </w:t>
      </w:r>
    </w:p>
    <w:p w14:paraId="57EC5D08" w14:textId="77777777" w:rsidR="00342622" w:rsidRPr="00907D70" w:rsidRDefault="00342622" w:rsidP="00342622">
      <w:pPr>
        <w:tabs>
          <w:tab w:val="left" w:pos="567"/>
        </w:tabs>
        <w:spacing w:after="0" w:line="240" w:lineRule="auto"/>
        <w:rPr>
          <w:rFonts w:ascii="Times New Roman" w:hAnsi="Times New Roman"/>
          <w:lang w:eastAsia="lt-LT"/>
        </w:rPr>
      </w:pPr>
    </w:p>
    <w:p w14:paraId="21B9F25F"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12.</w:t>
      </w:r>
      <w:r w:rsidRPr="00907D70">
        <w:rPr>
          <w:rFonts w:ascii="Times New Roman" w:hAnsi="Times New Roman"/>
          <w:b/>
          <w:lang w:eastAsia="lt-LT"/>
        </w:rPr>
        <w:tab/>
        <w:t xml:space="preserve">REGISTRACIJOS PAŽYMĖJIMO NUMERIS (-IAI) </w:t>
      </w:r>
    </w:p>
    <w:p w14:paraId="7593E0A7" w14:textId="77777777" w:rsidR="00342622" w:rsidRPr="00907D70" w:rsidRDefault="00342622" w:rsidP="00342622">
      <w:pPr>
        <w:tabs>
          <w:tab w:val="left" w:pos="567"/>
        </w:tabs>
        <w:spacing w:after="0" w:line="240" w:lineRule="auto"/>
        <w:rPr>
          <w:rFonts w:ascii="Times New Roman" w:hAnsi="Times New Roman"/>
          <w:lang w:eastAsia="lt-LT"/>
        </w:rPr>
      </w:pPr>
    </w:p>
    <w:p w14:paraId="2C3B5121" w14:textId="77777777" w:rsidR="00B10640" w:rsidRPr="00B10640" w:rsidRDefault="00B10640" w:rsidP="00B10640">
      <w:pPr>
        <w:tabs>
          <w:tab w:val="left" w:pos="567"/>
        </w:tabs>
        <w:spacing w:after="0" w:line="240" w:lineRule="auto"/>
        <w:rPr>
          <w:rFonts w:ascii="Times New Roman" w:eastAsia="Times New Roman" w:hAnsi="Times New Roman"/>
        </w:rPr>
      </w:pPr>
      <w:r w:rsidRPr="00B10640">
        <w:rPr>
          <w:rFonts w:ascii="Times New Roman" w:eastAsia="Times New Roman" w:hAnsi="Times New Roman"/>
        </w:rPr>
        <w:t>LT/1/17/4045/004 – N120</w:t>
      </w:r>
    </w:p>
    <w:p w14:paraId="516FE775" w14:textId="7AA43574" w:rsidR="00342622" w:rsidRDefault="00B10640" w:rsidP="00B10640">
      <w:pPr>
        <w:tabs>
          <w:tab w:val="left" w:pos="567"/>
        </w:tabs>
        <w:spacing w:after="0" w:line="240" w:lineRule="auto"/>
        <w:rPr>
          <w:rFonts w:ascii="Times New Roman" w:eastAsia="Times New Roman" w:hAnsi="Times New Roman"/>
        </w:rPr>
      </w:pPr>
      <w:r w:rsidRPr="00B10640">
        <w:rPr>
          <w:rFonts w:ascii="Times New Roman" w:eastAsia="Times New Roman" w:hAnsi="Times New Roman"/>
        </w:rPr>
        <w:t>LT/1/17/4045/005 – N360 (3x120)</w:t>
      </w:r>
    </w:p>
    <w:p w14:paraId="08A39483" w14:textId="77777777" w:rsidR="00B10640" w:rsidRPr="00907D70" w:rsidRDefault="00B10640" w:rsidP="00B10640">
      <w:pPr>
        <w:tabs>
          <w:tab w:val="left" w:pos="567"/>
        </w:tabs>
        <w:spacing w:after="0" w:line="240" w:lineRule="auto"/>
        <w:rPr>
          <w:rFonts w:ascii="Times New Roman" w:hAnsi="Times New Roman"/>
          <w:lang w:eastAsia="lt-LT"/>
        </w:rPr>
      </w:pPr>
    </w:p>
    <w:p w14:paraId="4D0F5AFB" w14:textId="77777777" w:rsidR="00342622" w:rsidRPr="00907D70" w:rsidRDefault="00342622" w:rsidP="00342622">
      <w:pPr>
        <w:tabs>
          <w:tab w:val="left" w:pos="567"/>
        </w:tabs>
        <w:spacing w:after="0" w:line="240" w:lineRule="auto"/>
        <w:rPr>
          <w:rFonts w:ascii="Times New Roman" w:hAnsi="Times New Roman"/>
          <w:lang w:eastAsia="lt-LT"/>
        </w:rPr>
      </w:pPr>
    </w:p>
    <w:p w14:paraId="6122231A"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13.</w:t>
      </w:r>
      <w:r w:rsidRPr="00907D70">
        <w:rPr>
          <w:rFonts w:ascii="Times New Roman" w:hAnsi="Times New Roman"/>
          <w:b/>
          <w:lang w:eastAsia="lt-LT"/>
        </w:rPr>
        <w:tab/>
        <w:t>SERIJOS NUMERIS</w:t>
      </w:r>
    </w:p>
    <w:p w14:paraId="75A98711" w14:textId="77777777" w:rsidR="00342622" w:rsidRPr="00907D70" w:rsidRDefault="00342622" w:rsidP="00342622">
      <w:pPr>
        <w:tabs>
          <w:tab w:val="left" w:pos="567"/>
        </w:tabs>
        <w:spacing w:after="0" w:line="240" w:lineRule="auto"/>
        <w:rPr>
          <w:rFonts w:ascii="Times New Roman" w:eastAsia="Times New Roman" w:hAnsi="Times New Roman"/>
        </w:rPr>
      </w:pPr>
    </w:p>
    <w:p w14:paraId="03AF833A"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Serija {numeris} </w:t>
      </w:r>
    </w:p>
    <w:p w14:paraId="7F49F8D8" w14:textId="77777777" w:rsidR="00342622" w:rsidRPr="00907D70" w:rsidRDefault="00342622" w:rsidP="00342622">
      <w:pPr>
        <w:tabs>
          <w:tab w:val="left" w:pos="567"/>
        </w:tabs>
        <w:spacing w:after="0" w:line="240" w:lineRule="auto"/>
        <w:rPr>
          <w:rFonts w:ascii="Times New Roman" w:eastAsia="Times New Roman" w:hAnsi="Times New Roman"/>
        </w:rPr>
      </w:pPr>
    </w:p>
    <w:p w14:paraId="53DC8030" w14:textId="77777777" w:rsidR="00342622" w:rsidRPr="00907D70" w:rsidRDefault="00342622" w:rsidP="00342622">
      <w:pPr>
        <w:tabs>
          <w:tab w:val="left" w:pos="567"/>
        </w:tabs>
        <w:spacing w:after="0" w:line="240" w:lineRule="auto"/>
        <w:rPr>
          <w:rFonts w:ascii="Times New Roman" w:eastAsia="Times New Roman" w:hAnsi="Times New Roman"/>
        </w:rPr>
      </w:pPr>
    </w:p>
    <w:p w14:paraId="4D2E85E2"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14.</w:t>
      </w:r>
      <w:r w:rsidRPr="00907D70">
        <w:rPr>
          <w:rFonts w:ascii="Times New Roman" w:hAnsi="Times New Roman"/>
          <w:b/>
          <w:lang w:eastAsia="lt-LT"/>
        </w:rPr>
        <w:tab/>
        <w:t>PARDAVIMO (IŠDAVIMO) TVARKA</w:t>
      </w:r>
    </w:p>
    <w:p w14:paraId="0CD2FDC8" w14:textId="77777777" w:rsidR="00342622" w:rsidRPr="00907D70" w:rsidRDefault="00342622" w:rsidP="00342622">
      <w:pPr>
        <w:tabs>
          <w:tab w:val="left" w:pos="567"/>
        </w:tabs>
        <w:spacing w:after="0" w:line="240" w:lineRule="auto"/>
        <w:rPr>
          <w:rFonts w:ascii="Times New Roman" w:hAnsi="Times New Roman"/>
          <w:lang w:eastAsia="lt-LT"/>
        </w:rPr>
      </w:pPr>
    </w:p>
    <w:p w14:paraId="155E8A7F"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Receptinis vaistas.</w:t>
      </w:r>
    </w:p>
    <w:p w14:paraId="66F3DD63" w14:textId="77777777" w:rsidR="00342622" w:rsidRPr="00907D70" w:rsidRDefault="00342622" w:rsidP="00342622">
      <w:pPr>
        <w:tabs>
          <w:tab w:val="left" w:pos="567"/>
        </w:tabs>
        <w:spacing w:after="0" w:line="240" w:lineRule="auto"/>
        <w:rPr>
          <w:rFonts w:ascii="Times New Roman" w:hAnsi="Times New Roman"/>
          <w:lang w:eastAsia="lt-LT"/>
        </w:rPr>
      </w:pPr>
    </w:p>
    <w:p w14:paraId="34810219" w14:textId="77777777" w:rsidR="00342622" w:rsidRPr="00907D70" w:rsidRDefault="00342622" w:rsidP="00342622">
      <w:pPr>
        <w:tabs>
          <w:tab w:val="left" w:pos="567"/>
        </w:tabs>
        <w:spacing w:after="0" w:line="240" w:lineRule="auto"/>
        <w:rPr>
          <w:rFonts w:ascii="Times New Roman" w:hAnsi="Times New Roman"/>
          <w:lang w:eastAsia="lt-LT"/>
        </w:rPr>
      </w:pPr>
    </w:p>
    <w:p w14:paraId="543A3878"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15.</w:t>
      </w:r>
      <w:r w:rsidRPr="00907D70">
        <w:rPr>
          <w:rFonts w:ascii="Times New Roman" w:hAnsi="Times New Roman"/>
          <w:b/>
          <w:lang w:eastAsia="lt-LT"/>
        </w:rPr>
        <w:tab/>
        <w:t>VARTOJIMO INSTRUKCIJA</w:t>
      </w:r>
    </w:p>
    <w:p w14:paraId="5895470F" w14:textId="77777777" w:rsidR="00342622" w:rsidRPr="00907D70" w:rsidRDefault="00342622" w:rsidP="00342622">
      <w:pPr>
        <w:tabs>
          <w:tab w:val="left" w:pos="567"/>
        </w:tabs>
        <w:spacing w:after="0" w:line="240" w:lineRule="auto"/>
        <w:rPr>
          <w:rFonts w:ascii="Times New Roman" w:hAnsi="Times New Roman"/>
          <w:lang w:eastAsia="lt-LT"/>
        </w:rPr>
      </w:pPr>
    </w:p>
    <w:p w14:paraId="71D3E0C4" w14:textId="77777777" w:rsidR="00342622" w:rsidRPr="00907D70" w:rsidRDefault="00342622" w:rsidP="00342622">
      <w:pPr>
        <w:tabs>
          <w:tab w:val="left" w:pos="567"/>
        </w:tabs>
        <w:spacing w:after="0" w:line="240" w:lineRule="auto"/>
        <w:rPr>
          <w:rFonts w:ascii="Times New Roman" w:hAnsi="Times New Roman"/>
          <w:lang w:eastAsia="lt-LT"/>
        </w:rPr>
      </w:pPr>
    </w:p>
    <w:p w14:paraId="6862A2A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16.</w:t>
      </w:r>
      <w:r w:rsidRPr="00907D70">
        <w:rPr>
          <w:rFonts w:ascii="Times New Roman" w:hAnsi="Times New Roman"/>
          <w:b/>
          <w:lang w:eastAsia="lt-LT"/>
        </w:rPr>
        <w:tab/>
        <w:t xml:space="preserve">INFORMACIJA BRAILIO RAŠTU </w:t>
      </w:r>
    </w:p>
    <w:p w14:paraId="2B05FC31" w14:textId="77777777" w:rsidR="00342622" w:rsidRPr="00907D70" w:rsidRDefault="00342622" w:rsidP="00342622">
      <w:pPr>
        <w:tabs>
          <w:tab w:val="left" w:pos="567"/>
        </w:tabs>
        <w:spacing w:after="0" w:line="240" w:lineRule="auto"/>
        <w:rPr>
          <w:rFonts w:ascii="Times New Roman" w:hAnsi="Times New Roman"/>
          <w:lang w:eastAsia="lt-LT"/>
        </w:rPr>
      </w:pPr>
    </w:p>
    <w:p w14:paraId="1FA8A763" w14:textId="77777777" w:rsidR="00342622" w:rsidRPr="00907D70" w:rsidRDefault="00342622" w:rsidP="00342622">
      <w:pPr>
        <w:spacing w:after="0" w:line="240" w:lineRule="auto"/>
        <w:jc w:val="both"/>
        <w:rPr>
          <w:rFonts w:ascii="Times New Roman" w:eastAsia="Times New Roman" w:hAnsi="Times New Roman"/>
        </w:rPr>
      </w:pPr>
      <w:r w:rsidRPr="00907D70">
        <w:rPr>
          <w:rFonts w:ascii="Times New Roman" w:eastAsia="Times New Roman" w:hAnsi="Times New Roman"/>
        </w:rPr>
        <w:t xml:space="preserve">Lopinavir / Ritonavir Accord 200 mg/50 mg </w:t>
      </w:r>
    </w:p>
    <w:p w14:paraId="242A54A9" w14:textId="77777777" w:rsidR="00342622" w:rsidRPr="00907D70" w:rsidRDefault="00342622" w:rsidP="00342622">
      <w:pPr>
        <w:tabs>
          <w:tab w:val="left" w:pos="567"/>
        </w:tabs>
        <w:spacing w:after="0" w:line="240" w:lineRule="auto"/>
        <w:rPr>
          <w:rFonts w:ascii="Times New Roman" w:hAnsi="Times New Roman"/>
          <w:lang w:eastAsia="lt-LT"/>
        </w:rPr>
      </w:pPr>
    </w:p>
    <w:p w14:paraId="06FEAD1E" w14:textId="77777777" w:rsidR="00342622" w:rsidRPr="00907D70" w:rsidRDefault="00342622" w:rsidP="00342622">
      <w:pPr>
        <w:tabs>
          <w:tab w:val="left" w:pos="567"/>
        </w:tabs>
        <w:spacing w:after="0" w:line="240" w:lineRule="auto"/>
        <w:rPr>
          <w:rFonts w:ascii="Times New Roman" w:eastAsia="Times New Roman" w:hAnsi="Times New Roman"/>
          <w:shd w:val="clear" w:color="auto" w:fill="CCCCCC"/>
          <w:lang w:eastAsia="lt-LT" w:bidi="lt-LT"/>
        </w:rPr>
      </w:pPr>
    </w:p>
    <w:p w14:paraId="73440394"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17.</w:t>
      </w:r>
      <w:r w:rsidRPr="00907D70">
        <w:rPr>
          <w:rFonts w:ascii="Times New Roman" w:eastAsia="Times New Roman" w:hAnsi="Times New Roman"/>
          <w:b/>
          <w:szCs w:val="20"/>
          <w:lang w:eastAsia="lt-LT" w:bidi="lt-LT"/>
        </w:rPr>
        <w:tab/>
        <w:t>UNIKALUS IDENTIFIKATORIUS – 2D BRŪKŠNINIS KODAS</w:t>
      </w:r>
    </w:p>
    <w:p w14:paraId="134A4100"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22AC56C6" w14:textId="77777777" w:rsidR="00342622" w:rsidRPr="00907D70" w:rsidRDefault="00342622" w:rsidP="00342622">
      <w:pPr>
        <w:tabs>
          <w:tab w:val="left" w:pos="567"/>
        </w:tabs>
        <w:spacing w:after="0" w:line="240" w:lineRule="auto"/>
        <w:rPr>
          <w:rFonts w:ascii="Times New Roman" w:eastAsia="Times New Roman" w:hAnsi="Times New Roman"/>
          <w:shd w:val="clear" w:color="auto" w:fill="CCCCCC"/>
          <w:lang w:eastAsia="lt-LT" w:bidi="lt-LT"/>
        </w:rPr>
      </w:pPr>
      <w:r w:rsidRPr="00907D70">
        <w:rPr>
          <w:rFonts w:ascii="Times New Roman" w:hAnsi="Times New Roman"/>
        </w:rPr>
        <w:t>2D brūkšninis kodas su nurodytu unikaliu identifikatoriumi.</w:t>
      </w:r>
    </w:p>
    <w:p w14:paraId="48899F21"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62AA8D7A"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44026F04"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18.</w:t>
      </w:r>
      <w:r w:rsidRPr="00907D70">
        <w:rPr>
          <w:rFonts w:ascii="Times New Roman" w:eastAsia="Times New Roman" w:hAnsi="Times New Roman"/>
          <w:b/>
          <w:szCs w:val="20"/>
          <w:lang w:eastAsia="lt-LT" w:bidi="lt-LT"/>
        </w:rPr>
        <w:tab/>
        <w:t>UNIKALUS IDENTIFIKATORIUS – ŽMONĖMS SUPRANTAMI DUOMENYS</w:t>
      </w:r>
    </w:p>
    <w:p w14:paraId="2C69C34C"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70760217" w14:textId="77777777" w:rsidR="00342622" w:rsidRPr="00907D70" w:rsidRDefault="00342622" w:rsidP="00342622">
      <w:pPr>
        <w:spacing w:after="0"/>
        <w:rPr>
          <w:rFonts w:ascii="Times New Roman" w:hAnsi="Times New Roman"/>
          <w:lang w:eastAsia="lt-LT"/>
        </w:rPr>
      </w:pPr>
      <w:r w:rsidRPr="00907D70">
        <w:rPr>
          <w:rFonts w:ascii="Times New Roman" w:hAnsi="Times New Roman"/>
          <w:lang w:eastAsia="lt-LT"/>
        </w:rPr>
        <w:t>PC: {numeris}</w:t>
      </w:r>
    </w:p>
    <w:p w14:paraId="7A3B1121" w14:textId="77777777" w:rsidR="00342622" w:rsidRPr="00907D70" w:rsidRDefault="00342622" w:rsidP="00342622">
      <w:pPr>
        <w:spacing w:after="0"/>
        <w:rPr>
          <w:rFonts w:ascii="Times New Roman" w:hAnsi="Times New Roman"/>
          <w:lang w:eastAsia="lt-LT"/>
        </w:rPr>
      </w:pPr>
      <w:r w:rsidRPr="00907D70">
        <w:rPr>
          <w:rFonts w:ascii="Times New Roman" w:hAnsi="Times New Roman"/>
          <w:lang w:eastAsia="lt-LT"/>
        </w:rPr>
        <w:t>SN: {numeris}</w:t>
      </w:r>
    </w:p>
    <w:p w14:paraId="470D2B07" w14:textId="77777777" w:rsidR="00342622" w:rsidRPr="00907D70" w:rsidRDefault="00342622" w:rsidP="00342622">
      <w:pPr>
        <w:spacing w:after="0"/>
        <w:rPr>
          <w:rFonts w:ascii="Times New Roman" w:hAnsi="Times New Roman"/>
          <w:lang w:eastAsia="lt-LT"/>
        </w:rPr>
      </w:pPr>
      <w:r w:rsidRPr="00907D70">
        <w:rPr>
          <w:rFonts w:ascii="Times New Roman" w:hAnsi="Times New Roman"/>
        </w:rPr>
        <w:t>NN: {numeris}</w:t>
      </w:r>
    </w:p>
    <w:p w14:paraId="5F38981D" w14:textId="77777777" w:rsidR="00342622" w:rsidRPr="00907D70" w:rsidRDefault="00342622" w:rsidP="00342622">
      <w:pPr>
        <w:rPr>
          <w:rFonts w:ascii="Times New Roman" w:hAnsi="Times New Roman"/>
          <w:lang w:eastAsia="lt-LT"/>
        </w:rPr>
      </w:pPr>
      <w:r w:rsidRPr="00907D70">
        <w:rPr>
          <w:rFonts w:ascii="Times New Roman" w:hAnsi="Times New Roman"/>
          <w:lang w:eastAsia="lt-LT"/>
        </w:rPr>
        <w:t> </w:t>
      </w:r>
      <w:r w:rsidRPr="00907D70">
        <w:rPr>
          <w:rFonts w:ascii="Times New Roman" w:hAnsi="Times New Roman"/>
          <w:lang w:eastAsia="lt-LT"/>
        </w:rPr>
        <w:br w:type="page"/>
      </w:r>
    </w:p>
    <w:p w14:paraId="193071F2"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lastRenderedPageBreak/>
        <w:t>INFORMACIJA ANT VIDINĖS PAKUOTĖS</w:t>
      </w:r>
    </w:p>
    <w:p w14:paraId="7290097B"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p>
    <w:p w14:paraId="1AC8B935" w14:textId="77777777" w:rsidR="00342622" w:rsidRPr="00907D70" w:rsidRDefault="00342622" w:rsidP="00342622">
      <w:pPr>
        <w:pBdr>
          <w:top w:val="single" w:sz="4" w:space="1" w:color="auto"/>
          <w:left w:val="single" w:sz="4" w:space="4" w:color="auto"/>
          <w:bottom w:val="single" w:sz="4" w:space="0"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DTPE BUTELIUKO ETIKETĖ</w:t>
      </w:r>
    </w:p>
    <w:p w14:paraId="2175F41B" w14:textId="77777777" w:rsidR="00342622" w:rsidRPr="00907D70" w:rsidRDefault="00342622" w:rsidP="00342622">
      <w:pPr>
        <w:tabs>
          <w:tab w:val="left" w:pos="567"/>
        </w:tabs>
        <w:spacing w:after="0" w:line="240" w:lineRule="auto"/>
        <w:rPr>
          <w:rFonts w:ascii="Times New Roman" w:hAnsi="Times New Roman"/>
          <w:lang w:eastAsia="lt-LT"/>
        </w:rPr>
      </w:pPr>
    </w:p>
    <w:p w14:paraId="45227F15" w14:textId="77777777" w:rsidR="00342622" w:rsidRPr="00907D70" w:rsidRDefault="00342622" w:rsidP="00342622">
      <w:pPr>
        <w:tabs>
          <w:tab w:val="left" w:pos="567"/>
        </w:tabs>
        <w:spacing w:after="0" w:line="240" w:lineRule="auto"/>
        <w:rPr>
          <w:rFonts w:ascii="Times New Roman" w:hAnsi="Times New Roman"/>
          <w:lang w:eastAsia="lt-LT"/>
        </w:rPr>
      </w:pPr>
    </w:p>
    <w:p w14:paraId="57722936"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w:t>
      </w:r>
      <w:r w:rsidRPr="00907D70">
        <w:rPr>
          <w:rFonts w:ascii="Times New Roman" w:hAnsi="Times New Roman"/>
          <w:b/>
          <w:lang w:eastAsia="lt-LT"/>
        </w:rPr>
        <w:tab/>
        <w:t>VAISTINIO PREPARATO PAVADINIMAS</w:t>
      </w:r>
    </w:p>
    <w:p w14:paraId="51A3DBA0" w14:textId="77777777" w:rsidR="00342622" w:rsidRPr="00907D70" w:rsidRDefault="00342622" w:rsidP="00342622">
      <w:pPr>
        <w:tabs>
          <w:tab w:val="left" w:pos="567"/>
        </w:tabs>
        <w:spacing w:after="0" w:line="240" w:lineRule="auto"/>
        <w:rPr>
          <w:rFonts w:ascii="Times New Roman" w:hAnsi="Times New Roman"/>
          <w:lang w:eastAsia="lt-LT"/>
        </w:rPr>
      </w:pPr>
    </w:p>
    <w:p w14:paraId="162D6F41"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200 mg/50 mg plėvele dengtos tabletės</w:t>
      </w:r>
    </w:p>
    <w:p w14:paraId="6811DA31"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Lopinaviras / Ritonaviras</w:t>
      </w:r>
    </w:p>
    <w:p w14:paraId="0FEC71E1" w14:textId="77777777" w:rsidR="00342622" w:rsidRPr="00907D70" w:rsidRDefault="00342622" w:rsidP="00342622">
      <w:pPr>
        <w:tabs>
          <w:tab w:val="left" w:pos="567"/>
        </w:tabs>
        <w:spacing w:after="0" w:line="240" w:lineRule="auto"/>
        <w:rPr>
          <w:rFonts w:ascii="Times New Roman" w:hAnsi="Times New Roman"/>
          <w:lang w:eastAsia="lt-LT"/>
        </w:rPr>
      </w:pPr>
    </w:p>
    <w:p w14:paraId="7CD983AD" w14:textId="77777777" w:rsidR="00342622" w:rsidRPr="00907D70" w:rsidRDefault="00342622" w:rsidP="00342622">
      <w:pPr>
        <w:tabs>
          <w:tab w:val="left" w:pos="567"/>
        </w:tabs>
        <w:spacing w:after="0" w:line="240" w:lineRule="auto"/>
        <w:rPr>
          <w:rFonts w:ascii="Times New Roman" w:hAnsi="Times New Roman"/>
          <w:lang w:eastAsia="lt-LT"/>
        </w:rPr>
      </w:pPr>
    </w:p>
    <w:p w14:paraId="3F9D73D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2.</w:t>
      </w:r>
      <w:r w:rsidRPr="00907D70">
        <w:rPr>
          <w:rFonts w:ascii="Times New Roman" w:hAnsi="Times New Roman"/>
          <w:b/>
          <w:lang w:eastAsia="lt-LT"/>
        </w:rPr>
        <w:tab/>
      </w:r>
      <w:r w:rsidRPr="00907D70">
        <w:rPr>
          <w:rFonts w:ascii="Times New Roman" w:eastAsia="Times New Roman" w:hAnsi="Times New Roman"/>
          <w:b/>
          <w:snapToGrid w:val="0"/>
          <w:szCs w:val="24"/>
        </w:rPr>
        <w:t>VEIKLIOJI (-IOS) MEDŽIAGA (-OS) IR JOS (-Ų) KIEKIS (-IAI)</w:t>
      </w:r>
    </w:p>
    <w:p w14:paraId="1672D468" w14:textId="77777777" w:rsidR="00342622" w:rsidRPr="00907D70" w:rsidRDefault="00342622" w:rsidP="00342622">
      <w:pPr>
        <w:tabs>
          <w:tab w:val="left" w:pos="567"/>
        </w:tabs>
        <w:spacing w:after="0" w:line="240" w:lineRule="auto"/>
        <w:rPr>
          <w:rFonts w:ascii="Times New Roman" w:hAnsi="Times New Roman"/>
          <w:lang w:eastAsia="lt-LT"/>
        </w:rPr>
      </w:pPr>
    </w:p>
    <w:p w14:paraId="4E4B5B91"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Kiekvienoje plėvele dengtoje tabletėje yra 200 mg lopinaviro kartu su 50 mg ritonaviro farmakokinetikai sustiprinti.</w:t>
      </w:r>
    </w:p>
    <w:p w14:paraId="3C04B5F3" w14:textId="77777777" w:rsidR="00342622" w:rsidRPr="00907D70" w:rsidRDefault="00342622" w:rsidP="00342622">
      <w:pPr>
        <w:tabs>
          <w:tab w:val="left" w:pos="567"/>
        </w:tabs>
        <w:spacing w:after="0" w:line="240" w:lineRule="auto"/>
        <w:rPr>
          <w:rFonts w:ascii="Times New Roman" w:hAnsi="Times New Roman"/>
          <w:lang w:eastAsia="lt-LT"/>
        </w:rPr>
      </w:pPr>
    </w:p>
    <w:p w14:paraId="1BC4F0D0" w14:textId="77777777" w:rsidR="00342622" w:rsidRPr="00907D70" w:rsidRDefault="00342622" w:rsidP="00342622">
      <w:pPr>
        <w:tabs>
          <w:tab w:val="left" w:pos="567"/>
        </w:tabs>
        <w:spacing w:after="0" w:line="240" w:lineRule="auto"/>
        <w:rPr>
          <w:rFonts w:ascii="Times New Roman" w:hAnsi="Times New Roman"/>
          <w:lang w:eastAsia="lt-LT"/>
        </w:rPr>
      </w:pPr>
    </w:p>
    <w:p w14:paraId="6D57249D"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3.</w:t>
      </w:r>
      <w:r w:rsidRPr="00907D70">
        <w:rPr>
          <w:rFonts w:ascii="Times New Roman" w:hAnsi="Times New Roman"/>
          <w:b/>
          <w:lang w:eastAsia="lt-LT"/>
        </w:rPr>
        <w:tab/>
        <w:t>PAGALBINIŲ MEDŽIAGŲ SĄRAŠAS</w:t>
      </w:r>
    </w:p>
    <w:p w14:paraId="43249F0F" w14:textId="77777777" w:rsidR="00342622" w:rsidRPr="00907D70" w:rsidRDefault="00342622" w:rsidP="00342622">
      <w:pPr>
        <w:tabs>
          <w:tab w:val="left" w:pos="567"/>
        </w:tabs>
        <w:spacing w:after="0" w:line="240" w:lineRule="auto"/>
        <w:rPr>
          <w:rFonts w:ascii="Times New Roman" w:hAnsi="Times New Roman"/>
          <w:lang w:eastAsia="lt-LT"/>
        </w:rPr>
      </w:pPr>
    </w:p>
    <w:p w14:paraId="6EF6DE62" w14:textId="77777777" w:rsidR="00342622" w:rsidRPr="00907D70" w:rsidRDefault="00342622" w:rsidP="00342622">
      <w:pPr>
        <w:tabs>
          <w:tab w:val="left" w:pos="567"/>
        </w:tabs>
        <w:spacing w:after="0" w:line="240" w:lineRule="auto"/>
        <w:rPr>
          <w:rFonts w:ascii="Times New Roman" w:hAnsi="Times New Roman"/>
          <w:lang w:eastAsia="lt-LT"/>
        </w:rPr>
      </w:pPr>
    </w:p>
    <w:p w14:paraId="0FBE50F0"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4.</w:t>
      </w:r>
      <w:r w:rsidRPr="00907D70">
        <w:rPr>
          <w:rFonts w:ascii="Times New Roman" w:hAnsi="Times New Roman"/>
          <w:b/>
          <w:lang w:eastAsia="lt-LT"/>
        </w:rPr>
        <w:tab/>
        <w:t>FARMACINĖ FORMA IR KIEKIS PAKUOTĖJE</w:t>
      </w:r>
    </w:p>
    <w:p w14:paraId="1333BA11" w14:textId="77777777" w:rsidR="00342622" w:rsidRPr="00907D70" w:rsidRDefault="00342622" w:rsidP="00342622">
      <w:pPr>
        <w:spacing w:after="0" w:line="240" w:lineRule="auto"/>
        <w:rPr>
          <w:rFonts w:ascii="Times New Roman" w:eastAsia="Times New Roman" w:hAnsi="Times New Roman"/>
        </w:rPr>
      </w:pPr>
    </w:p>
    <w:p w14:paraId="4275DE77"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hAnsi="Times New Roman"/>
        </w:rPr>
        <w:t>Plėvele dengtos tabletės</w:t>
      </w:r>
    </w:p>
    <w:p w14:paraId="3EE44F3A" w14:textId="77777777" w:rsidR="00342622" w:rsidRPr="00907D70" w:rsidRDefault="00342622" w:rsidP="00342622">
      <w:pPr>
        <w:spacing w:after="0" w:line="240" w:lineRule="auto"/>
        <w:rPr>
          <w:rFonts w:ascii="Times New Roman" w:hAnsi="Times New Roman"/>
        </w:rPr>
      </w:pPr>
    </w:p>
    <w:p w14:paraId="57C02F4C"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 xml:space="preserve">120 plėvele dengtų tablečių </w:t>
      </w:r>
    </w:p>
    <w:p w14:paraId="02E35E8A" w14:textId="77777777" w:rsidR="00342622" w:rsidRPr="00907D70" w:rsidRDefault="00342622" w:rsidP="00342622">
      <w:pPr>
        <w:spacing w:after="0" w:line="240" w:lineRule="auto"/>
        <w:rPr>
          <w:rFonts w:ascii="Times New Roman" w:eastAsia="Times New Roman" w:hAnsi="Times New Roman"/>
        </w:rPr>
      </w:pPr>
    </w:p>
    <w:p w14:paraId="67AE8522" w14:textId="77777777" w:rsidR="00342622" w:rsidRPr="00907D70" w:rsidRDefault="00342622" w:rsidP="00342622">
      <w:pPr>
        <w:spacing w:after="0" w:line="240" w:lineRule="auto"/>
        <w:rPr>
          <w:rFonts w:ascii="Times New Roman" w:eastAsia="Times New Roman" w:hAnsi="Times New Roman"/>
        </w:rPr>
      </w:pPr>
    </w:p>
    <w:p w14:paraId="2D36619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5.</w:t>
      </w:r>
      <w:r w:rsidRPr="00907D70">
        <w:rPr>
          <w:rFonts w:ascii="Times New Roman" w:hAnsi="Times New Roman"/>
          <w:b/>
          <w:lang w:eastAsia="lt-LT"/>
        </w:rPr>
        <w:tab/>
        <w:t>VARTOJIMO METODAS IR BŪDAS (-AI)</w:t>
      </w:r>
    </w:p>
    <w:p w14:paraId="1A4BA2F9" w14:textId="77777777" w:rsidR="00342622" w:rsidRPr="00907D70" w:rsidRDefault="00342622" w:rsidP="00342622">
      <w:pPr>
        <w:tabs>
          <w:tab w:val="left" w:pos="567"/>
        </w:tabs>
        <w:spacing w:after="0" w:line="240" w:lineRule="auto"/>
        <w:rPr>
          <w:rFonts w:ascii="Times New Roman" w:hAnsi="Times New Roman"/>
          <w:lang w:eastAsia="lt-LT"/>
        </w:rPr>
      </w:pPr>
    </w:p>
    <w:p w14:paraId="62B7E340"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Vartoti per burną.</w:t>
      </w:r>
    </w:p>
    <w:p w14:paraId="43960250"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Prieš vartojimą perskaitykite pakuotės lapelį.</w:t>
      </w:r>
    </w:p>
    <w:p w14:paraId="6CE39EC3" w14:textId="77777777" w:rsidR="00342622" w:rsidRPr="00907D70" w:rsidRDefault="00342622" w:rsidP="00342622">
      <w:pPr>
        <w:tabs>
          <w:tab w:val="left" w:pos="567"/>
        </w:tabs>
        <w:spacing w:after="0" w:line="240" w:lineRule="auto"/>
        <w:rPr>
          <w:rFonts w:ascii="Times New Roman" w:hAnsi="Times New Roman"/>
          <w:lang w:eastAsia="lt-LT"/>
        </w:rPr>
      </w:pPr>
    </w:p>
    <w:p w14:paraId="734E87A9" w14:textId="77777777" w:rsidR="00342622" w:rsidRPr="00907D70" w:rsidRDefault="00342622" w:rsidP="00342622">
      <w:pPr>
        <w:tabs>
          <w:tab w:val="left" w:pos="567"/>
        </w:tabs>
        <w:spacing w:after="0" w:line="240" w:lineRule="auto"/>
        <w:rPr>
          <w:rFonts w:ascii="Times New Roman" w:hAnsi="Times New Roman"/>
          <w:lang w:eastAsia="lt-LT"/>
        </w:rPr>
      </w:pPr>
    </w:p>
    <w:p w14:paraId="26B76318"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6.</w:t>
      </w:r>
      <w:r w:rsidRPr="00907D70">
        <w:rPr>
          <w:rFonts w:ascii="Times New Roman" w:hAnsi="Times New Roman"/>
          <w:b/>
          <w:lang w:eastAsia="lt-LT"/>
        </w:rPr>
        <w:tab/>
        <w:t>SPECIALUS ĮSPĖJIMAS, KAD VAISTINĮ PREPARATĄ BŪTINA LAIKYTI VAIKAMS NEPASTEBIMOJE IR NEPASIEKIAMOJE VIETOJE</w:t>
      </w:r>
    </w:p>
    <w:p w14:paraId="64615D91" w14:textId="77777777" w:rsidR="00342622" w:rsidRPr="00907D70" w:rsidRDefault="00342622" w:rsidP="00342622">
      <w:pPr>
        <w:tabs>
          <w:tab w:val="left" w:pos="567"/>
        </w:tabs>
        <w:spacing w:after="0" w:line="240" w:lineRule="auto"/>
        <w:rPr>
          <w:rFonts w:ascii="Times New Roman" w:hAnsi="Times New Roman"/>
          <w:lang w:eastAsia="lt-LT"/>
        </w:rPr>
      </w:pPr>
    </w:p>
    <w:p w14:paraId="064F7951"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Laikyti vaikams nepastebimoje ir nepasiekiamoje vietoje.</w:t>
      </w:r>
    </w:p>
    <w:p w14:paraId="31EDD2A5" w14:textId="77777777" w:rsidR="00342622" w:rsidRPr="00907D70" w:rsidRDefault="00342622" w:rsidP="00342622">
      <w:pPr>
        <w:tabs>
          <w:tab w:val="left" w:pos="567"/>
        </w:tabs>
        <w:spacing w:after="0" w:line="240" w:lineRule="auto"/>
        <w:rPr>
          <w:rFonts w:ascii="Times New Roman" w:hAnsi="Times New Roman"/>
          <w:lang w:eastAsia="lt-LT"/>
        </w:rPr>
      </w:pPr>
    </w:p>
    <w:p w14:paraId="0BB6E2F4" w14:textId="77777777" w:rsidR="00342622" w:rsidRPr="00907D70" w:rsidRDefault="00342622" w:rsidP="00342622">
      <w:pPr>
        <w:tabs>
          <w:tab w:val="left" w:pos="567"/>
        </w:tabs>
        <w:spacing w:after="0" w:line="240" w:lineRule="auto"/>
        <w:rPr>
          <w:rFonts w:ascii="Times New Roman" w:hAnsi="Times New Roman"/>
          <w:lang w:eastAsia="lt-LT"/>
        </w:rPr>
      </w:pPr>
    </w:p>
    <w:p w14:paraId="022D6A69"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7.</w:t>
      </w:r>
      <w:r w:rsidRPr="00907D70">
        <w:rPr>
          <w:rFonts w:ascii="Times New Roman" w:hAnsi="Times New Roman"/>
          <w:b/>
          <w:lang w:eastAsia="lt-LT"/>
        </w:rPr>
        <w:tab/>
        <w:t>KITAS (-I) SPECIALUS (-ŪS) ĮSPĖJIMAS (-AI) (JEI REIKIA)</w:t>
      </w:r>
    </w:p>
    <w:p w14:paraId="2357E15D" w14:textId="77777777" w:rsidR="00342622" w:rsidRPr="00907D70" w:rsidRDefault="00342622" w:rsidP="00342622">
      <w:pPr>
        <w:tabs>
          <w:tab w:val="left" w:pos="567"/>
        </w:tabs>
        <w:spacing w:after="0" w:line="240" w:lineRule="auto"/>
        <w:rPr>
          <w:rFonts w:ascii="Times New Roman" w:hAnsi="Times New Roman"/>
          <w:lang w:eastAsia="lt-LT"/>
        </w:rPr>
      </w:pPr>
    </w:p>
    <w:p w14:paraId="7D6D6E7F" w14:textId="77777777" w:rsidR="00342622" w:rsidRPr="00907D70" w:rsidRDefault="00342622" w:rsidP="00342622">
      <w:pPr>
        <w:tabs>
          <w:tab w:val="left" w:pos="567"/>
        </w:tabs>
        <w:spacing w:after="0" w:line="240" w:lineRule="auto"/>
        <w:rPr>
          <w:rFonts w:ascii="Times New Roman" w:hAnsi="Times New Roman"/>
          <w:lang w:eastAsia="lt-LT"/>
        </w:rPr>
      </w:pPr>
    </w:p>
    <w:p w14:paraId="6A34FA7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907D70">
        <w:rPr>
          <w:rFonts w:ascii="Times New Roman" w:hAnsi="Times New Roman"/>
          <w:b/>
          <w:lang w:eastAsia="lt-LT"/>
        </w:rPr>
        <w:t>8.</w:t>
      </w:r>
      <w:r w:rsidRPr="00907D70">
        <w:rPr>
          <w:rFonts w:ascii="Times New Roman" w:hAnsi="Times New Roman"/>
          <w:b/>
          <w:lang w:eastAsia="lt-LT"/>
        </w:rPr>
        <w:tab/>
        <w:t>TINKAMUMO LAIKAS</w:t>
      </w:r>
    </w:p>
    <w:p w14:paraId="0D78A815" w14:textId="77777777" w:rsidR="00342622" w:rsidRPr="00907D70" w:rsidRDefault="00342622" w:rsidP="00342622">
      <w:pPr>
        <w:tabs>
          <w:tab w:val="left" w:pos="567"/>
        </w:tabs>
        <w:spacing w:after="0" w:line="240" w:lineRule="auto"/>
        <w:rPr>
          <w:rFonts w:ascii="Times New Roman" w:eastAsia="Times New Roman" w:hAnsi="Times New Roman"/>
        </w:rPr>
      </w:pPr>
    </w:p>
    <w:p w14:paraId="68D4D7BD"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Tinka iki {mm/MMMM}</w:t>
      </w:r>
    </w:p>
    <w:p w14:paraId="48654AA5" w14:textId="77777777" w:rsidR="00342622" w:rsidRPr="00907D70" w:rsidRDefault="00342622" w:rsidP="00342622">
      <w:pPr>
        <w:tabs>
          <w:tab w:val="left" w:pos="567"/>
        </w:tabs>
        <w:spacing w:after="0" w:line="240" w:lineRule="auto"/>
        <w:rPr>
          <w:rFonts w:ascii="Times New Roman" w:eastAsia="Times New Roman" w:hAnsi="Times New Roman"/>
        </w:rPr>
      </w:pPr>
    </w:p>
    <w:p w14:paraId="70ED85BD" w14:textId="77777777" w:rsidR="00342622" w:rsidRPr="00907D70" w:rsidRDefault="00342622" w:rsidP="00342622">
      <w:pPr>
        <w:tabs>
          <w:tab w:val="left" w:pos="567"/>
        </w:tabs>
        <w:spacing w:after="0" w:line="240" w:lineRule="auto"/>
        <w:rPr>
          <w:rFonts w:ascii="Times New Roman" w:eastAsia="Times New Roman" w:hAnsi="Times New Roman"/>
        </w:rPr>
      </w:pPr>
    </w:p>
    <w:p w14:paraId="63308FC8"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9.</w:t>
      </w:r>
      <w:r w:rsidRPr="00907D70">
        <w:rPr>
          <w:rFonts w:ascii="Times New Roman" w:hAnsi="Times New Roman"/>
          <w:b/>
          <w:lang w:eastAsia="lt-LT"/>
        </w:rPr>
        <w:tab/>
        <w:t>SPECIALIOS LAIKYMO SĄLYGOS</w:t>
      </w:r>
    </w:p>
    <w:p w14:paraId="5908C9B1" w14:textId="77777777" w:rsidR="00342622" w:rsidRPr="00907D70" w:rsidRDefault="00342622" w:rsidP="00342622">
      <w:pPr>
        <w:tabs>
          <w:tab w:val="left" w:pos="567"/>
        </w:tabs>
        <w:spacing w:after="0" w:line="240" w:lineRule="auto"/>
        <w:rPr>
          <w:rFonts w:ascii="Times New Roman" w:hAnsi="Times New Roman"/>
          <w:lang w:eastAsia="lt-LT"/>
        </w:rPr>
      </w:pPr>
    </w:p>
    <w:p w14:paraId="412E6391" w14:textId="77777777" w:rsidR="00342622" w:rsidRPr="00907D70" w:rsidRDefault="00342622" w:rsidP="00342622">
      <w:pPr>
        <w:tabs>
          <w:tab w:val="left" w:pos="567"/>
        </w:tabs>
        <w:spacing w:after="0" w:line="240" w:lineRule="auto"/>
        <w:rPr>
          <w:rFonts w:ascii="Times New Roman" w:hAnsi="Times New Roman"/>
          <w:lang w:eastAsia="lt-LT"/>
        </w:rPr>
      </w:pPr>
    </w:p>
    <w:p w14:paraId="2BAE8A78"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hAnsi="Times New Roman"/>
          <w:b/>
          <w:lang w:eastAsia="lt-LT"/>
        </w:rPr>
      </w:pPr>
      <w:r w:rsidRPr="00907D70">
        <w:rPr>
          <w:rFonts w:ascii="Times New Roman" w:hAnsi="Times New Roman"/>
          <w:b/>
          <w:lang w:eastAsia="lt-LT"/>
        </w:rPr>
        <w:t>10.</w:t>
      </w:r>
      <w:r w:rsidRPr="00907D70">
        <w:rPr>
          <w:rFonts w:ascii="Times New Roman" w:hAnsi="Times New Roman"/>
          <w:b/>
          <w:lang w:eastAsia="lt-LT"/>
        </w:rPr>
        <w:tab/>
        <w:t xml:space="preserve">SPECIALIOS ATSARGUMO PRIEMONĖS DĖL NESUVARTOTO </w:t>
      </w:r>
      <w:r w:rsidRPr="00907D70">
        <w:rPr>
          <w:rFonts w:ascii="Times New Roman" w:hAnsi="Times New Roman"/>
          <w:b/>
          <w:bCs/>
          <w:lang w:eastAsia="lt-LT"/>
        </w:rPr>
        <w:t xml:space="preserve">VAISTINIO PREPARATO AR JO ATLIEKŲ </w:t>
      </w:r>
      <w:r w:rsidRPr="00907D70">
        <w:rPr>
          <w:rFonts w:ascii="Times New Roman" w:hAnsi="Times New Roman"/>
          <w:b/>
          <w:lang w:eastAsia="lt-LT"/>
        </w:rPr>
        <w:t>TVARKYMO (JEI REIKIA)</w:t>
      </w:r>
    </w:p>
    <w:p w14:paraId="6202DA6F" w14:textId="77777777" w:rsidR="00342622" w:rsidRPr="00907D70" w:rsidRDefault="00342622" w:rsidP="00342622">
      <w:pPr>
        <w:tabs>
          <w:tab w:val="left" w:pos="567"/>
        </w:tabs>
        <w:spacing w:after="0" w:line="240" w:lineRule="auto"/>
        <w:rPr>
          <w:rFonts w:ascii="Times New Roman" w:hAnsi="Times New Roman"/>
          <w:lang w:eastAsia="lt-LT"/>
        </w:rPr>
      </w:pPr>
    </w:p>
    <w:p w14:paraId="2282C10C" w14:textId="77777777" w:rsidR="00342622" w:rsidRPr="00907D70" w:rsidRDefault="00342622" w:rsidP="00342622">
      <w:pPr>
        <w:tabs>
          <w:tab w:val="left" w:pos="567"/>
        </w:tabs>
        <w:spacing w:after="0" w:line="240" w:lineRule="auto"/>
        <w:rPr>
          <w:rFonts w:ascii="Times New Roman" w:hAnsi="Times New Roman"/>
          <w:lang w:eastAsia="lt-LT"/>
        </w:rPr>
      </w:pPr>
    </w:p>
    <w:p w14:paraId="0D34B258"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lastRenderedPageBreak/>
        <w:t>11.</w:t>
      </w:r>
      <w:r w:rsidRPr="00907D70">
        <w:rPr>
          <w:rFonts w:ascii="Times New Roman" w:hAnsi="Times New Roman"/>
          <w:b/>
          <w:lang w:eastAsia="lt-LT"/>
        </w:rPr>
        <w:tab/>
        <w:t>REGISTRUOTOJO PAVADINIMAS IR ADRESAS</w:t>
      </w:r>
    </w:p>
    <w:p w14:paraId="39AA8A4C" w14:textId="77777777" w:rsidR="00342622" w:rsidRPr="00907D70" w:rsidRDefault="00342622" w:rsidP="00342622">
      <w:pPr>
        <w:tabs>
          <w:tab w:val="left" w:pos="567"/>
        </w:tabs>
        <w:spacing w:after="0" w:line="240" w:lineRule="auto"/>
        <w:rPr>
          <w:rFonts w:ascii="Times New Roman" w:hAnsi="Times New Roman"/>
          <w:b/>
          <w:lang w:eastAsia="lt-LT"/>
        </w:rPr>
      </w:pPr>
    </w:p>
    <w:p w14:paraId="5E886584" w14:textId="37004927" w:rsidR="00342622" w:rsidRPr="00907D70" w:rsidRDefault="00342622" w:rsidP="00342622">
      <w:pPr>
        <w:spacing w:after="0" w:line="240" w:lineRule="auto"/>
        <w:rPr>
          <w:rFonts w:ascii="Times New Roman" w:eastAsia="Times New Roman" w:hAnsi="Times New Roman"/>
          <w:snapToGrid w:val="0"/>
          <w:szCs w:val="24"/>
        </w:rPr>
      </w:pPr>
      <w:r w:rsidRPr="00907D70">
        <w:rPr>
          <w:rFonts w:ascii="Times New Roman" w:eastAsia="Times New Roman" w:hAnsi="Times New Roman"/>
          <w:snapToGrid w:val="0"/>
          <w:szCs w:val="24"/>
        </w:rPr>
        <w:t xml:space="preserve">Accord Healthcare </w:t>
      </w:r>
      <w:r w:rsidR="00376923" w:rsidRPr="00907D70">
        <w:rPr>
          <w:rFonts w:ascii="Times New Roman" w:hAnsi="Times New Roman"/>
        </w:rPr>
        <w:t xml:space="preserve">B.V. </w:t>
      </w:r>
    </w:p>
    <w:p w14:paraId="74485BFD"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Winthontlaan 200 </w:t>
      </w:r>
    </w:p>
    <w:p w14:paraId="16FDEEB3"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3526 KV Utrecht </w:t>
      </w:r>
    </w:p>
    <w:p w14:paraId="26BB112F" w14:textId="77777777" w:rsidR="00376923" w:rsidRPr="00907D70" w:rsidRDefault="00376923" w:rsidP="00376923">
      <w:pPr>
        <w:spacing w:after="0" w:line="240" w:lineRule="auto"/>
      </w:pPr>
      <w:r w:rsidRPr="00907D70">
        <w:rPr>
          <w:rFonts w:ascii="Times New Roman" w:hAnsi="Times New Roman"/>
        </w:rPr>
        <w:t>Nyderlandai</w:t>
      </w:r>
    </w:p>
    <w:p w14:paraId="34D5A579" w14:textId="77777777" w:rsidR="00342622" w:rsidRPr="00907D70" w:rsidRDefault="00342622" w:rsidP="00342622">
      <w:pPr>
        <w:tabs>
          <w:tab w:val="left" w:pos="567"/>
        </w:tabs>
        <w:spacing w:after="0" w:line="240" w:lineRule="auto"/>
        <w:rPr>
          <w:rFonts w:ascii="Times New Roman" w:hAnsi="Times New Roman"/>
          <w:lang w:eastAsia="lt-LT"/>
        </w:rPr>
      </w:pPr>
    </w:p>
    <w:p w14:paraId="0339F1E5" w14:textId="77777777" w:rsidR="00342622" w:rsidRPr="00907D70" w:rsidRDefault="00342622" w:rsidP="00342622">
      <w:pPr>
        <w:tabs>
          <w:tab w:val="left" w:pos="567"/>
        </w:tabs>
        <w:spacing w:after="0" w:line="240" w:lineRule="auto"/>
        <w:rPr>
          <w:rFonts w:ascii="Times New Roman" w:hAnsi="Times New Roman"/>
          <w:lang w:eastAsia="lt-LT"/>
        </w:rPr>
      </w:pPr>
    </w:p>
    <w:p w14:paraId="610196FC"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12.</w:t>
      </w:r>
      <w:r w:rsidRPr="00907D70">
        <w:rPr>
          <w:rFonts w:ascii="Times New Roman" w:hAnsi="Times New Roman"/>
          <w:b/>
          <w:lang w:eastAsia="lt-LT"/>
        </w:rPr>
        <w:tab/>
        <w:t xml:space="preserve">REGISTRACIJOS PAŽYMĖJIMO NUMERIS (-IAI) </w:t>
      </w:r>
    </w:p>
    <w:p w14:paraId="150A359E" w14:textId="77777777" w:rsidR="00342622" w:rsidRDefault="00342622" w:rsidP="00342622">
      <w:pPr>
        <w:tabs>
          <w:tab w:val="left" w:pos="567"/>
        </w:tabs>
        <w:spacing w:after="0" w:line="240" w:lineRule="auto"/>
        <w:rPr>
          <w:rFonts w:ascii="Times New Roman" w:hAnsi="Times New Roman"/>
          <w:lang w:eastAsia="lt-LT"/>
        </w:rPr>
      </w:pPr>
    </w:p>
    <w:p w14:paraId="28C6F845" w14:textId="77777777" w:rsidR="00B10640" w:rsidRPr="00B10640" w:rsidRDefault="00B10640" w:rsidP="00B10640">
      <w:pPr>
        <w:tabs>
          <w:tab w:val="left" w:pos="567"/>
        </w:tabs>
        <w:spacing w:after="0" w:line="240" w:lineRule="auto"/>
        <w:rPr>
          <w:rFonts w:ascii="Times New Roman" w:hAnsi="Times New Roman"/>
          <w:shd w:val="clear" w:color="auto" w:fill="D9D9D9" w:themeFill="background1" w:themeFillShade="D9"/>
          <w:lang w:eastAsia="lt-LT"/>
        </w:rPr>
      </w:pPr>
      <w:r w:rsidRPr="00B10640">
        <w:rPr>
          <w:rFonts w:ascii="Times New Roman" w:hAnsi="Times New Roman"/>
          <w:shd w:val="clear" w:color="auto" w:fill="D9D9D9" w:themeFill="background1" w:themeFillShade="D9"/>
          <w:lang w:eastAsia="lt-LT"/>
        </w:rPr>
        <w:t>LT/1/17/4045/004 – N120</w:t>
      </w:r>
    </w:p>
    <w:p w14:paraId="06851253" w14:textId="742F27A2" w:rsidR="00B10640" w:rsidRPr="00B10640" w:rsidRDefault="00B10640" w:rsidP="00B10640">
      <w:pPr>
        <w:tabs>
          <w:tab w:val="left" w:pos="567"/>
        </w:tabs>
        <w:spacing w:after="0" w:line="240" w:lineRule="auto"/>
        <w:rPr>
          <w:rFonts w:ascii="Times New Roman" w:hAnsi="Times New Roman"/>
          <w:shd w:val="clear" w:color="auto" w:fill="D9D9D9" w:themeFill="background1" w:themeFillShade="D9"/>
          <w:lang w:eastAsia="lt-LT"/>
        </w:rPr>
      </w:pPr>
      <w:r w:rsidRPr="00B10640">
        <w:rPr>
          <w:rFonts w:ascii="Times New Roman" w:hAnsi="Times New Roman"/>
          <w:shd w:val="clear" w:color="auto" w:fill="D9D9D9" w:themeFill="background1" w:themeFillShade="D9"/>
          <w:lang w:eastAsia="lt-LT"/>
        </w:rPr>
        <w:t>LT/1/17/4045/005 – N360 (3x120)</w:t>
      </w:r>
    </w:p>
    <w:p w14:paraId="50107760" w14:textId="77777777" w:rsidR="00B10640" w:rsidRPr="00907D70" w:rsidRDefault="00B10640" w:rsidP="00B10640">
      <w:pPr>
        <w:tabs>
          <w:tab w:val="left" w:pos="567"/>
        </w:tabs>
        <w:spacing w:after="0" w:line="240" w:lineRule="auto"/>
        <w:rPr>
          <w:rFonts w:ascii="Times New Roman" w:hAnsi="Times New Roman"/>
          <w:lang w:eastAsia="lt-LT"/>
        </w:rPr>
      </w:pPr>
    </w:p>
    <w:p w14:paraId="43B7A060" w14:textId="77777777" w:rsidR="00342622" w:rsidRPr="00907D70" w:rsidRDefault="00342622" w:rsidP="00342622">
      <w:pPr>
        <w:tabs>
          <w:tab w:val="left" w:pos="567"/>
        </w:tabs>
        <w:spacing w:after="0" w:line="240" w:lineRule="auto"/>
        <w:rPr>
          <w:rFonts w:ascii="Times New Roman" w:hAnsi="Times New Roman"/>
          <w:lang w:eastAsia="lt-LT"/>
        </w:rPr>
      </w:pPr>
    </w:p>
    <w:p w14:paraId="769062A1"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13.</w:t>
      </w:r>
      <w:r w:rsidRPr="00907D70">
        <w:rPr>
          <w:rFonts w:ascii="Times New Roman" w:hAnsi="Times New Roman"/>
          <w:b/>
          <w:lang w:eastAsia="lt-LT"/>
        </w:rPr>
        <w:tab/>
        <w:t>SERIJOS NUMERIS</w:t>
      </w:r>
    </w:p>
    <w:p w14:paraId="1C24BFF0" w14:textId="77777777" w:rsidR="00342622" w:rsidRPr="00907D70" w:rsidRDefault="00342622" w:rsidP="00342622">
      <w:pPr>
        <w:tabs>
          <w:tab w:val="left" w:pos="567"/>
        </w:tabs>
        <w:spacing w:after="0" w:line="240" w:lineRule="auto"/>
        <w:rPr>
          <w:rFonts w:ascii="Times New Roman" w:eastAsia="Times New Roman" w:hAnsi="Times New Roman"/>
        </w:rPr>
      </w:pPr>
    </w:p>
    <w:p w14:paraId="48E420FF"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Serija {numeris}</w:t>
      </w:r>
    </w:p>
    <w:p w14:paraId="72D2A310" w14:textId="77777777" w:rsidR="00342622" w:rsidRPr="00907D70" w:rsidRDefault="00342622" w:rsidP="00342622">
      <w:pPr>
        <w:tabs>
          <w:tab w:val="left" w:pos="567"/>
        </w:tabs>
        <w:spacing w:after="0" w:line="240" w:lineRule="auto"/>
        <w:rPr>
          <w:rFonts w:ascii="Times New Roman" w:eastAsia="Times New Roman" w:hAnsi="Times New Roman"/>
        </w:rPr>
      </w:pPr>
    </w:p>
    <w:p w14:paraId="15C68125" w14:textId="77777777" w:rsidR="00342622" w:rsidRPr="00907D70" w:rsidRDefault="00342622" w:rsidP="00342622">
      <w:pPr>
        <w:tabs>
          <w:tab w:val="left" w:pos="567"/>
        </w:tabs>
        <w:spacing w:after="0" w:line="240" w:lineRule="auto"/>
        <w:rPr>
          <w:rFonts w:ascii="Times New Roman" w:eastAsia="Times New Roman" w:hAnsi="Times New Roman"/>
        </w:rPr>
      </w:pPr>
    </w:p>
    <w:p w14:paraId="7B55244E"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14.</w:t>
      </w:r>
      <w:r w:rsidRPr="00907D70">
        <w:rPr>
          <w:rFonts w:ascii="Times New Roman" w:hAnsi="Times New Roman"/>
          <w:b/>
          <w:lang w:eastAsia="lt-LT"/>
        </w:rPr>
        <w:tab/>
        <w:t>PARDAVIMO (IŠDAVIMO) TVARKA</w:t>
      </w:r>
    </w:p>
    <w:p w14:paraId="0C5EC990" w14:textId="77777777" w:rsidR="00342622" w:rsidRPr="00907D70" w:rsidRDefault="00342622" w:rsidP="00342622">
      <w:pPr>
        <w:tabs>
          <w:tab w:val="left" w:pos="567"/>
        </w:tabs>
        <w:spacing w:after="0" w:line="240" w:lineRule="auto"/>
        <w:rPr>
          <w:rFonts w:ascii="Times New Roman" w:hAnsi="Times New Roman"/>
          <w:lang w:eastAsia="lt-LT"/>
        </w:rPr>
      </w:pPr>
    </w:p>
    <w:p w14:paraId="2B674B4B"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t>Receptinis vaistas.</w:t>
      </w:r>
    </w:p>
    <w:p w14:paraId="34C035A4" w14:textId="77777777" w:rsidR="00342622" w:rsidRPr="00907D70" w:rsidRDefault="00342622" w:rsidP="00342622">
      <w:pPr>
        <w:tabs>
          <w:tab w:val="left" w:pos="567"/>
        </w:tabs>
        <w:spacing w:after="0" w:line="240" w:lineRule="auto"/>
        <w:rPr>
          <w:rFonts w:ascii="Times New Roman" w:hAnsi="Times New Roman"/>
          <w:lang w:eastAsia="lt-LT"/>
        </w:rPr>
      </w:pPr>
    </w:p>
    <w:p w14:paraId="4CD6B3A9" w14:textId="77777777" w:rsidR="00342622" w:rsidRPr="00907D70" w:rsidRDefault="00342622" w:rsidP="00342622">
      <w:pPr>
        <w:tabs>
          <w:tab w:val="left" w:pos="567"/>
        </w:tabs>
        <w:spacing w:after="0" w:line="240" w:lineRule="auto"/>
        <w:rPr>
          <w:rFonts w:ascii="Times New Roman" w:hAnsi="Times New Roman"/>
          <w:lang w:eastAsia="lt-LT"/>
        </w:rPr>
      </w:pPr>
    </w:p>
    <w:p w14:paraId="63B7477D"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15.</w:t>
      </w:r>
      <w:r w:rsidRPr="00907D70">
        <w:rPr>
          <w:rFonts w:ascii="Times New Roman" w:hAnsi="Times New Roman"/>
          <w:b/>
          <w:lang w:eastAsia="lt-LT"/>
        </w:rPr>
        <w:tab/>
        <w:t>VARTOJIMO INSTRUKCIJA</w:t>
      </w:r>
    </w:p>
    <w:p w14:paraId="093E723C" w14:textId="77777777" w:rsidR="00342622" w:rsidRPr="00907D70" w:rsidRDefault="00342622" w:rsidP="00342622">
      <w:pPr>
        <w:tabs>
          <w:tab w:val="left" w:pos="567"/>
        </w:tabs>
        <w:spacing w:after="0" w:line="240" w:lineRule="auto"/>
        <w:rPr>
          <w:rFonts w:ascii="Times New Roman" w:hAnsi="Times New Roman"/>
          <w:lang w:eastAsia="lt-LT"/>
        </w:rPr>
      </w:pPr>
    </w:p>
    <w:p w14:paraId="3BB129E2" w14:textId="77777777" w:rsidR="00342622" w:rsidRPr="00907D70" w:rsidRDefault="00342622" w:rsidP="00342622">
      <w:pPr>
        <w:tabs>
          <w:tab w:val="left" w:pos="567"/>
        </w:tabs>
        <w:spacing w:after="0" w:line="240" w:lineRule="auto"/>
        <w:rPr>
          <w:rFonts w:ascii="Times New Roman" w:hAnsi="Times New Roman"/>
          <w:lang w:eastAsia="lt-LT"/>
        </w:rPr>
      </w:pPr>
    </w:p>
    <w:p w14:paraId="16A0A4E3" w14:textId="77777777" w:rsidR="00342622" w:rsidRPr="00907D70" w:rsidRDefault="00342622" w:rsidP="0034262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eastAsia="lt-LT"/>
        </w:rPr>
      </w:pPr>
      <w:r w:rsidRPr="00907D70">
        <w:rPr>
          <w:rFonts w:ascii="Times New Roman" w:hAnsi="Times New Roman"/>
          <w:b/>
          <w:lang w:eastAsia="lt-LT"/>
        </w:rPr>
        <w:t>16.</w:t>
      </w:r>
      <w:r w:rsidRPr="00907D70">
        <w:rPr>
          <w:rFonts w:ascii="Times New Roman" w:hAnsi="Times New Roman"/>
          <w:b/>
          <w:lang w:eastAsia="lt-LT"/>
        </w:rPr>
        <w:tab/>
        <w:t>INFORMACIJA BRAILIO RAŠTU</w:t>
      </w:r>
    </w:p>
    <w:p w14:paraId="2BE24D84" w14:textId="77777777" w:rsidR="00342622" w:rsidRPr="00907D70" w:rsidRDefault="00342622" w:rsidP="00342622">
      <w:pPr>
        <w:tabs>
          <w:tab w:val="left" w:pos="567"/>
        </w:tabs>
        <w:spacing w:after="0" w:line="240" w:lineRule="auto"/>
        <w:rPr>
          <w:rFonts w:ascii="Times New Roman" w:hAnsi="Times New Roman"/>
          <w:lang w:eastAsia="lt-LT"/>
        </w:rPr>
      </w:pPr>
    </w:p>
    <w:p w14:paraId="23C48B82" w14:textId="77777777" w:rsidR="00342622" w:rsidRPr="00907D70" w:rsidRDefault="00342622" w:rsidP="00342622">
      <w:pPr>
        <w:tabs>
          <w:tab w:val="left" w:pos="567"/>
        </w:tabs>
        <w:spacing w:after="0" w:line="240" w:lineRule="auto"/>
        <w:rPr>
          <w:rFonts w:ascii="Times New Roman" w:hAnsi="Times New Roman"/>
          <w:lang w:eastAsia="lt-LT"/>
        </w:rPr>
      </w:pPr>
    </w:p>
    <w:p w14:paraId="4628C9CD"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17.</w:t>
      </w:r>
      <w:r w:rsidRPr="00907D70">
        <w:rPr>
          <w:rFonts w:ascii="Times New Roman" w:eastAsia="Times New Roman" w:hAnsi="Times New Roman"/>
          <w:b/>
          <w:szCs w:val="20"/>
          <w:lang w:eastAsia="lt-LT" w:bidi="lt-LT"/>
        </w:rPr>
        <w:tab/>
        <w:t>UNIKALUS IDENTIFIKATORIUS – 2D BRŪKŠNINIS KODAS</w:t>
      </w:r>
    </w:p>
    <w:p w14:paraId="25D29391"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1A73F034"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6CD2BC27" w14:textId="77777777" w:rsidR="00342622" w:rsidRPr="00907D70" w:rsidRDefault="00342622" w:rsidP="00342622">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i/>
          <w:szCs w:val="20"/>
          <w:lang w:eastAsia="lt-LT" w:bidi="lt-LT"/>
        </w:rPr>
      </w:pPr>
      <w:r w:rsidRPr="00907D70">
        <w:rPr>
          <w:rFonts w:ascii="Times New Roman" w:eastAsia="Times New Roman" w:hAnsi="Times New Roman"/>
          <w:b/>
          <w:szCs w:val="20"/>
          <w:lang w:eastAsia="lt-LT" w:bidi="lt-LT"/>
        </w:rPr>
        <w:t>18.</w:t>
      </w:r>
      <w:r w:rsidRPr="00907D70">
        <w:rPr>
          <w:rFonts w:ascii="Times New Roman" w:eastAsia="Times New Roman" w:hAnsi="Times New Roman"/>
          <w:b/>
          <w:szCs w:val="20"/>
          <w:lang w:eastAsia="lt-LT" w:bidi="lt-LT"/>
        </w:rPr>
        <w:tab/>
        <w:t>UNIKALUS IDENTIFIKATORIUS – ŽMONĖMS SUPRANTAMI DUOMENYS</w:t>
      </w:r>
    </w:p>
    <w:p w14:paraId="6B890606" w14:textId="77777777" w:rsidR="00342622" w:rsidRPr="00907D70" w:rsidRDefault="00342622" w:rsidP="00342622">
      <w:pPr>
        <w:spacing w:after="0" w:line="240" w:lineRule="auto"/>
        <w:rPr>
          <w:rFonts w:ascii="Times New Roman" w:eastAsia="Times New Roman" w:hAnsi="Times New Roman"/>
          <w:szCs w:val="20"/>
          <w:lang w:eastAsia="lt-LT" w:bidi="lt-LT"/>
        </w:rPr>
      </w:pPr>
    </w:p>
    <w:p w14:paraId="02B8F6B7" w14:textId="77777777" w:rsidR="00342622" w:rsidRPr="00907D70" w:rsidRDefault="00342622" w:rsidP="00342622">
      <w:pPr>
        <w:tabs>
          <w:tab w:val="left" w:pos="567"/>
        </w:tabs>
        <w:spacing w:after="0" w:line="240" w:lineRule="auto"/>
        <w:rPr>
          <w:rFonts w:ascii="Times New Roman" w:hAnsi="Times New Roman"/>
          <w:lang w:eastAsia="lt-LT"/>
        </w:rPr>
      </w:pPr>
      <w:r w:rsidRPr="00907D70">
        <w:rPr>
          <w:rFonts w:ascii="Times New Roman" w:hAnsi="Times New Roman"/>
          <w:lang w:eastAsia="lt-LT"/>
        </w:rPr>
        <w:br w:type="page"/>
      </w:r>
    </w:p>
    <w:p w14:paraId="0CDD7891" w14:textId="77777777" w:rsidR="00342622" w:rsidRPr="00907D70" w:rsidRDefault="00342622" w:rsidP="00342622">
      <w:pPr>
        <w:tabs>
          <w:tab w:val="left" w:pos="567"/>
        </w:tabs>
        <w:spacing w:after="0" w:line="240" w:lineRule="auto"/>
        <w:rPr>
          <w:rFonts w:ascii="Times New Roman" w:hAnsi="Times New Roman"/>
          <w:lang w:eastAsia="lt-LT"/>
        </w:rPr>
      </w:pPr>
    </w:p>
    <w:p w14:paraId="2766FAFE" w14:textId="77777777" w:rsidR="00342622" w:rsidRPr="00907D70" w:rsidRDefault="00342622" w:rsidP="00342622">
      <w:pPr>
        <w:tabs>
          <w:tab w:val="left" w:pos="567"/>
        </w:tabs>
        <w:spacing w:after="0" w:line="240" w:lineRule="auto"/>
        <w:rPr>
          <w:rFonts w:ascii="Times New Roman" w:hAnsi="Times New Roman"/>
          <w:lang w:eastAsia="lt-LT"/>
        </w:rPr>
      </w:pPr>
    </w:p>
    <w:p w14:paraId="34B7A21B" w14:textId="77777777" w:rsidR="00342622" w:rsidRPr="00907D70" w:rsidRDefault="00342622" w:rsidP="00342622">
      <w:pPr>
        <w:tabs>
          <w:tab w:val="left" w:pos="567"/>
        </w:tabs>
        <w:spacing w:after="0" w:line="240" w:lineRule="auto"/>
        <w:rPr>
          <w:rFonts w:ascii="Times New Roman" w:hAnsi="Times New Roman"/>
          <w:lang w:eastAsia="lt-LT"/>
        </w:rPr>
      </w:pPr>
    </w:p>
    <w:p w14:paraId="03D2A71D" w14:textId="77777777" w:rsidR="00342622" w:rsidRPr="00907D70" w:rsidRDefault="00342622" w:rsidP="00342622">
      <w:pPr>
        <w:tabs>
          <w:tab w:val="left" w:pos="567"/>
        </w:tabs>
        <w:spacing w:after="0" w:line="240" w:lineRule="auto"/>
        <w:rPr>
          <w:rFonts w:ascii="Times New Roman" w:hAnsi="Times New Roman"/>
          <w:lang w:eastAsia="lt-LT"/>
        </w:rPr>
      </w:pPr>
    </w:p>
    <w:p w14:paraId="4361AF55" w14:textId="77777777" w:rsidR="00342622" w:rsidRPr="00907D70" w:rsidRDefault="00342622" w:rsidP="00342622">
      <w:pPr>
        <w:tabs>
          <w:tab w:val="left" w:pos="567"/>
        </w:tabs>
        <w:spacing w:after="0" w:line="240" w:lineRule="auto"/>
        <w:rPr>
          <w:rFonts w:ascii="Times New Roman" w:hAnsi="Times New Roman"/>
          <w:lang w:eastAsia="lt-LT"/>
        </w:rPr>
      </w:pPr>
    </w:p>
    <w:p w14:paraId="15901D05" w14:textId="77777777" w:rsidR="00342622" w:rsidRPr="00907D70" w:rsidRDefault="00342622" w:rsidP="00342622">
      <w:pPr>
        <w:tabs>
          <w:tab w:val="left" w:pos="567"/>
        </w:tabs>
        <w:spacing w:after="0" w:line="240" w:lineRule="auto"/>
        <w:rPr>
          <w:rFonts w:ascii="Times New Roman" w:hAnsi="Times New Roman"/>
          <w:lang w:eastAsia="lt-LT"/>
        </w:rPr>
      </w:pPr>
    </w:p>
    <w:p w14:paraId="54B60F66" w14:textId="77777777" w:rsidR="00342622" w:rsidRPr="00907D70" w:rsidRDefault="00342622" w:rsidP="00342622">
      <w:pPr>
        <w:tabs>
          <w:tab w:val="left" w:pos="567"/>
        </w:tabs>
        <w:spacing w:after="0" w:line="240" w:lineRule="auto"/>
        <w:rPr>
          <w:rFonts w:ascii="Times New Roman" w:hAnsi="Times New Roman"/>
          <w:lang w:eastAsia="lt-LT"/>
        </w:rPr>
      </w:pPr>
    </w:p>
    <w:p w14:paraId="677999F0" w14:textId="77777777" w:rsidR="00342622" w:rsidRPr="00907D70" w:rsidRDefault="00342622" w:rsidP="00342622">
      <w:pPr>
        <w:tabs>
          <w:tab w:val="left" w:pos="567"/>
        </w:tabs>
        <w:spacing w:after="0" w:line="240" w:lineRule="auto"/>
        <w:rPr>
          <w:rFonts w:ascii="Times New Roman" w:hAnsi="Times New Roman"/>
          <w:lang w:eastAsia="lt-LT"/>
        </w:rPr>
      </w:pPr>
    </w:p>
    <w:p w14:paraId="3F137CE1" w14:textId="77777777" w:rsidR="00342622" w:rsidRPr="00907D70" w:rsidRDefault="00342622" w:rsidP="00342622">
      <w:pPr>
        <w:tabs>
          <w:tab w:val="left" w:pos="567"/>
        </w:tabs>
        <w:spacing w:after="0" w:line="240" w:lineRule="auto"/>
        <w:rPr>
          <w:rFonts w:ascii="Times New Roman" w:hAnsi="Times New Roman"/>
          <w:lang w:eastAsia="lt-LT"/>
        </w:rPr>
      </w:pPr>
    </w:p>
    <w:p w14:paraId="69AAA4C5" w14:textId="77777777" w:rsidR="00342622" w:rsidRPr="00907D70" w:rsidRDefault="00342622" w:rsidP="00342622">
      <w:pPr>
        <w:tabs>
          <w:tab w:val="left" w:pos="567"/>
        </w:tabs>
        <w:spacing w:after="0" w:line="240" w:lineRule="auto"/>
        <w:rPr>
          <w:rFonts w:ascii="Times New Roman" w:hAnsi="Times New Roman"/>
          <w:lang w:eastAsia="lt-LT"/>
        </w:rPr>
      </w:pPr>
    </w:p>
    <w:p w14:paraId="527FFC05" w14:textId="77777777" w:rsidR="00342622" w:rsidRPr="00907D70" w:rsidRDefault="00342622" w:rsidP="00342622">
      <w:pPr>
        <w:tabs>
          <w:tab w:val="left" w:pos="567"/>
        </w:tabs>
        <w:spacing w:after="0" w:line="240" w:lineRule="auto"/>
        <w:rPr>
          <w:rFonts w:ascii="Times New Roman" w:hAnsi="Times New Roman"/>
          <w:lang w:eastAsia="lt-LT"/>
        </w:rPr>
      </w:pPr>
    </w:p>
    <w:p w14:paraId="12F43F95" w14:textId="77777777" w:rsidR="00342622" w:rsidRPr="00907D70" w:rsidRDefault="00342622" w:rsidP="00342622">
      <w:pPr>
        <w:tabs>
          <w:tab w:val="left" w:pos="567"/>
        </w:tabs>
        <w:spacing w:after="0" w:line="240" w:lineRule="auto"/>
        <w:rPr>
          <w:rFonts w:ascii="Times New Roman" w:hAnsi="Times New Roman"/>
          <w:lang w:eastAsia="lt-LT"/>
        </w:rPr>
      </w:pPr>
    </w:p>
    <w:p w14:paraId="3F3802F5" w14:textId="77777777" w:rsidR="00342622" w:rsidRPr="00907D70" w:rsidRDefault="00342622" w:rsidP="00342622">
      <w:pPr>
        <w:tabs>
          <w:tab w:val="left" w:pos="567"/>
        </w:tabs>
        <w:spacing w:after="0" w:line="240" w:lineRule="auto"/>
        <w:rPr>
          <w:rFonts w:ascii="Times New Roman" w:hAnsi="Times New Roman"/>
          <w:lang w:eastAsia="lt-LT"/>
        </w:rPr>
      </w:pPr>
    </w:p>
    <w:p w14:paraId="62D643F3" w14:textId="77777777" w:rsidR="00342622" w:rsidRPr="00907D70" w:rsidRDefault="00342622" w:rsidP="00342622">
      <w:pPr>
        <w:tabs>
          <w:tab w:val="left" w:pos="567"/>
        </w:tabs>
        <w:spacing w:after="0" w:line="240" w:lineRule="auto"/>
        <w:rPr>
          <w:rFonts w:ascii="Times New Roman" w:hAnsi="Times New Roman"/>
          <w:lang w:eastAsia="lt-LT"/>
        </w:rPr>
      </w:pPr>
    </w:p>
    <w:p w14:paraId="50F99E0A" w14:textId="77777777" w:rsidR="00342622" w:rsidRPr="00907D70" w:rsidRDefault="00342622" w:rsidP="00342622">
      <w:pPr>
        <w:tabs>
          <w:tab w:val="left" w:pos="567"/>
        </w:tabs>
        <w:spacing w:after="0" w:line="240" w:lineRule="auto"/>
        <w:rPr>
          <w:rFonts w:ascii="Times New Roman" w:hAnsi="Times New Roman"/>
          <w:lang w:eastAsia="lt-LT"/>
        </w:rPr>
      </w:pPr>
    </w:p>
    <w:p w14:paraId="1330BA88" w14:textId="77777777" w:rsidR="00342622" w:rsidRPr="00907D70" w:rsidRDefault="00342622" w:rsidP="00342622">
      <w:pPr>
        <w:tabs>
          <w:tab w:val="left" w:pos="567"/>
        </w:tabs>
        <w:spacing w:after="0" w:line="240" w:lineRule="auto"/>
        <w:rPr>
          <w:rFonts w:ascii="Times New Roman" w:hAnsi="Times New Roman"/>
          <w:lang w:eastAsia="lt-LT"/>
        </w:rPr>
      </w:pPr>
    </w:p>
    <w:p w14:paraId="4F709F2A" w14:textId="77777777" w:rsidR="00342622" w:rsidRPr="00907D70" w:rsidRDefault="00342622" w:rsidP="00342622">
      <w:pPr>
        <w:tabs>
          <w:tab w:val="left" w:pos="567"/>
        </w:tabs>
        <w:spacing w:after="0" w:line="240" w:lineRule="auto"/>
        <w:rPr>
          <w:rFonts w:ascii="Times New Roman" w:hAnsi="Times New Roman"/>
          <w:lang w:eastAsia="lt-LT"/>
        </w:rPr>
      </w:pPr>
    </w:p>
    <w:p w14:paraId="2E96EB18" w14:textId="77777777" w:rsidR="00342622" w:rsidRPr="00907D70" w:rsidRDefault="00342622" w:rsidP="00342622">
      <w:pPr>
        <w:tabs>
          <w:tab w:val="left" w:pos="567"/>
        </w:tabs>
        <w:spacing w:after="0" w:line="240" w:lineRule="auto"/>
        <w:rPr>
          <w:rFonts w:ascii="Times New Roman" w:hAnsi="Times New Roman"/>
          <w:lang w:eastAsia="lt-LT"/>
        </w:rPr>
      </w:pPr>
    </w:p>
    <w:p w14:paraId="6EC5D394" w14:textId="77777777" w:rsidR="00342622" w:rsidRPr="00907D70" w:rsidRDefault="00342622" w:rsidP="00342622">
      <w:pPr>
        <w:tabs>
          <w:tab w:val="left" w:pos="567"/>
        </w:tabs>
        <w:spacing w:after="0" w:line="240" w:lineRule="auto"/>
        <w:rPr>
          <w:rFonts w:ascii="Times New Roman" w:hAnsi="Times New Roman"/>
          <w:lang w:eastAsia="lt-LT"/>
        </w:rPr>
      </w:pPr>
    </w:p>
    <w:p w14:paraId="3652C921" w14:textId="77777777" w:rsidR="00342622" w:rsidRPr="00907D70" w:rsidRDefault="00342622" w:rsidP="00342622">
      <w:pPr>
        <w:tabs>
          <w:tab w:val="left" w:pos="567"/>
        </w:tabs>
        <w:spacing w:after="0" w:line="240" w:lineRule="auto"/>
        <w:rPr>
          <w:rFonts w:ascii="Times New Roman" w:hAnsi="Times New Roman"/>
          <w:lang w:eastAsia="lt-LT"/>
        </w:rPr>
      </w:pPr>
    </w:p>
    <w:p w14:paraId="20FAD447" w14:textId="77777777" w:rsidR="00342622" w:rsidRPr="00907D70" w:rsidRDefault="00342622" w:rsidP="00342622">
      <w:pPr>
        <w:tabs>
          <w:tab w:val="left" w:pos="567"/>
        </w:tabs>
        <w:spacing w:after="0" w:line="240" w:lineRule="auto"/>
        <w:ind w:left="567" w:hanging="567"/>
        <w:jc w:val="center"/>
        <w:outlineLvl w:val="0"/>
        <w:rPr>
          <w:rFonts w:ascii="Times New Roman" w:hAnsi="Times New Roman"/>
          <w:b/>
          <w:bCs/>
          <w:caps/>
          <w:lang w:eastAsia="lt-LT"/>
        </w:rPr>
      </w:pPr>
    </w:p>
    <w:p w14:paraId="51AE60BD" w14:textId="77777777" w:rsidR="00342622" w:rsidRPr="00907D70" w:rsidRDefault="00342622" w:rsidP="00342622">
      <w:pPr>
        <w:tabs>
          <w:tab w:val="left" w:pos="567"/>
        </w:tabs>
        <w:spacing w:after="0" w:line="240" w:lineRule="auto"/>
        <w:ind w:left="567" w:hanging="567"/>
        <w:jc w:val="center"/>
        <w:outlineLvl w:val="0"/>
        <w:rPr>
          <w:rFonts w:ascii="Times New Roman" w:hAnsi="Times New Roman"/>
          <w:b/>
          <w:bCs/>
          <w:caps/>
          <w:lang w:eastAsia="lt-LT"/>
        </w:rPr>
      </w:pPr>
    </w:p>
    <w:p w14:paraId="29C20E4D" w14:textId="77777777" w:rsidR="00342622" w:rsidRPr="00907D70" w:rsidRDefault="00342622" w:rsidP="00342622">
      <w:pPr>
        <w:tabs>
          <w:tab w:val="left" w:pos="567"/>
        </w:tabs>
        <w:spacing w:after="0" w:line="240" w:lineRule="auto"/>
        <w:ind w:left="567" w:hanging="567"/>
        <w:jc w:val="center"/>
        <w:outlineLvl w:val="0"/>
        <w:rPr>
          <w:rFonts w:ascii="Times New Roman" w:hAnsi="Times New Roman"/>
          <w:b/>
          <w:bCs/>
          <w:caps/>
          <w:lang w:eastAsia="lt-LT"/>
        </w:rPr>
      </w:pPr>
      <w:bookmarkStart w:id="11" w:name="_Toc129243137"/>
      <w:bookmarkStart w:id="12" w:name="_Toc129243262"/>
    </w:p>
    <w:p w14:paraId="14AB5912" w14:textId="77777777" w:rsidR="00342622" w:rsidRPr="00907D70" w:rsidRDefault="00342622" w:rsidP="00342622">
      <w:pPr>
        <w:tabs>
          <w:tab w:val="left" w:pos="567"/>
        </w:tabs>
        <w:spacing w:after="0" w:line="240" w:lineRule="auto"/>
        <w:ind w:left="567" w:hanging="567"/>
        <w:jc w:val="center"/>
        <w:outlineLvl w:val="0"/>
        <w:rPr>
          <w:rFonts w:ascii="Times New Roman" w:hAnsi="Times New Roman"/>
          <w:b/>
          <w:bCs/>
          <w:caps/>
          <w:lang w:eastAsia="lt-LT"/>
        </w:rPr>
      </w:pPr>
      <w:r w:rsidRPr="00907D70">
        <w:rPr>
          <w:rFonts w:ascii="Times New Roman" w:hAnsi="Times New Roman"/>
          <w:b/>
          <w:bCs/>
          <w:caps/>
          <w:lang w:eastAsia="lt-LT"/>
        </w:rPr>
        <w:t>B. PAKUOTĖS LAPELIS</w:t>
      </w:r>
      <w:bookmarkEnd w:id="11"/>
      <w:bookmarkEnd w:id="12"/>
    </w:p>
    <w:p w14:paraId="0C84CAC1" w14:textId="77777777" w:rsidR="00342622" w:rsidRPr="00907D70" w:rsidRDefault="00342622" w:rsidP="00342622">
      <w:pPr>
        <w:tabs>
          <w:tab w:val="left" w:pos="567"/>
        </w:tabs>
        <w:spacing w:after="0" w:line="240" w:lineRule="auto"/>
        <w:jc w:val="center"/>
        <w:outlineLvl w:val="0"/>
        <w:rPr>
          <w:rFonts w:ascii="Times New Roman" w:eastAsia="Times New Roman" w:hAnsi="Times New Roman"/>
        </w:rPr>
      </w:pPr>
      <w:r w:rsidRPr="00907D70">
        <w:rPr>
          <w:rFonts w:ascii="Times New Roman" w:eastAsia="Times New Roman" w:hAnsi="Times New Roman"/>
        </w:rPr>
        <w:br w:type="page"/>
      </w:r>
    </w:p>
    <w:p w14:paraId="5D62FEF7" w14:textId="77777777" w:rsidR="00342622" w:rsidRPr="00907D70" w:rsidRDefault="00342622" w:rsidP="00342622">
      <w:pPr>
        <w:tabs>
          <w:tab w:val="left" w:pos="567"/>
        </w:tabs>
        <w:spacing w:after="0" w:line="240" w:lineRule="auto"/>
        <w:jc w:val="center"/>
        <w:outlineLvl w:val="0"/>
        <w:rPr>
          <w:rFonts w:ascii="Times New Roman" w:eastAsia="Times New Roman" w:hAnsi="Times New Roman"/>
          <w:b/>
        </w:rPr>
      </w:pPr>
      <w:r w:rsidRPr="00907D70">
        <w:rPr>
          <w:rFonts w:ascii="Times New Roman" w:eastAsia="Times New Roman" w:hAnsi="Times New Roman"/>
          <w:b/>
          <w:bCs/>
          <w:color w:val="000000"/>
        </w:rPr>
        <w:lastRenderedPageBreak/>
        <w:t>Pakuotės lapelis: informacija vartotojui</w:t>
      </w:r>
    </w:p>
    <w:p w14:paraId="39DC340E" w14:textId="77777777" w:rsidR="00342622" w:rsidRPr="00907D70" w:rsidRDefault="00342622" w:rsidP="00342622">
      <w:pPr>
        <w:tabs>
          <w:tab w:val="left" w:pos="567"/>
        </w:tabs>
        <w:spacing w:after="0" w:line="240" w:lineRule="auto"/>
        <w:jc w:val="center"/>
        <w:outlineLvl w:val="0"/>
        <w:rPr>
          <w:rFonts w:ascii="Times New Roman" w:eastAsia="Times New Roman" w:hAnsi="Times New Roman"/>
          <w:b/>
        </w:rPr>
      </w:pPr>
    </w:p>
    <w:p w14:paraId="4FC5CD42" w14:textId="77777777" w:rsidR="00342622" w:rsidRPr="00907D70" w:rsidRDefault="00342622" w:rsidP="00342622">
      <w:pPr>
        <w:spacing w:after="0" w:line="240" w:lineRule="auto"/>
        <w:jc w:val="center"/>
        <w:rPr>
          <w:rFonts w:ascii="Times New Roman" w:eastAsia="Times New Roman" w:hAnsi="Times New Roman"/>
          <w:b/>
        </w:rPr>
      </w:pPr>
      <w:r w:rsidRPr="00907D70">
        <w:rPr>
          <w:rFonts w:ascii="Times New Roman" w:eastAsia="Times New Roman" w:hAnsi="Times New Roman"/>
          <w:b/>
        </w:rPr>
        <w:t>Lopinavir / Ritonavir Accord 200 mg/50 mg plėvele dengtos tabletės</w:t>
      </w:r>
    </w:p>
    <w:p w14:paraId="72604473" w14:textId="77777777" w:rsidR="00342622" w:rsidRPr="00907D70" w:rsidRDefault="00342622" w:rsidP="00342622">
      <w:pPr>
        <w:numPr>
          <w:ilvl w:val="12"/>
          <w:numId w:val="0"/>
        </w:numPr>
        <w:tabs>
          <w:tab w:val="left" w:pos="567"/>
        </w:tabs>
        <w:spacing w:after="0" w:line="240" w:lineRule="auto"/>
        <w:jc w:val="center"/>
        <w:rPr>
          <w:rFonts w:ascii="Times New Roman" w:eastAsia="Times New Roman" w:hAnsi="Times New Roman"/>
        </w:rPr>
      </w:pPr>
      <w:r w:rsidRPr="00907D70">
        <w:rPr>
          <w:rFonts w:ascii="Times New Roman" w:eastAsia="Times New Roman" w:hAnsi="Times New Roman"/>
        </w:rPr>
        <w:t>Lopinaviras / Ritonaviras</w:t>
      </w:r>
    </w:p>
    <w:p w14:paraId="722EEA0F" w14:textId="77777777" w:rsidR="00342622" w:rsidRPr="00907D70" w:rsidRDefault="00342622" w:rsidP="00342622">
      <w:pPr>
        <w:numPr>
          <w:ilvl w:val="12"/>
          <w:numId w:val="0"/>
        </w:numPr>
        <w:tabs>
          <w:tab w:val="left" w:pos="567"/>
        </w:tabs>
        <w:spacing w:after="0" w:line="240" w:lineRule="auto"/>
        <w:jc w:val="center"/>
        <w:rPr>
          <w:rFonts w:ascii="Times New Roman" w:eastAsia="Times New Roman" w:hAnsi="Times New Roman"/>
        </w:rPr>
      </w:pPr>
    </w:p>
    <w:p w14:paraId="0CD62C13" w14:textId="77777777" w:rsidR="00342622" w:rsidRPr="00907D70" w:rsidRDefault="00342622" w:rsidP="00342622">
      <w:pPr>
        <w:tabs>
          <w:tab w:val="left" w:pos="567"/>
        </w:tabs>
        <w:suppressAutoHyphens/>
        <w:spacing w:after="0" w:line="240" w:lineRule="auto"/>
        <w:rPr>
          <w:rFonts w:ascii="Times New Roman" w:eastAsia="Times New Roman" w:hAnsi="Times New Roman"/>
          <w:b/>
        </w:rPr>
      </w:pPr>
      <w:r w:rsidRPr="00907D70">
        <w:rPr>
          <w:rFonts w:ascii="Times New Roman" w:eastAsia="Times New Roman" w:hAnsi="Times New Roman"/>
          <w:b/>
        </w:rPr>
        <w:t>Atidžiai perskaitykite visą šį lapelį, prieš pradėdami vartoti vaistą, nes jame pateikiama Jums ir Jūsų vaikui svarbi informacija.</w:t>
      </w:r>
    </w:p>
    <w:p w14:paraId="0F659AAA" w14:textId="77777777" w:rsidR="00342622" w:rsidRPr="00907D70" w:rsidRDefault="00342622" w:rsidP="00342622">
      <w:pPr>
        <w:numPr>
          <w:ilvl w:val="0"/>
          <w:numId w:val="2"/>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Neišmeskite šio lapelio, nes vėl gali prireikti jį perskaityti. </w:t>
      </w:r>
    </w:p>
    <w:p w14:paraId="47EB235B" w14:textId="77777777" w:rsidR="00342622" w:rsidRPr="00907D70" w:rsidRDefault="00342622" w:rsidP="00342622">
      <w:pPr>
        <w:numPr>
          <w:ilvl w:val="0"/>
          <w:numId w:val="2"/>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Jeigu kiltų daugiau klausimų, kreipkitės į gydytoją arba vaistininką. </w:t>
      </w:r>
    </w:p>
    <w:p w14:paraId="22B82B5C" w14:textId="77777777" w:rsidR="00342622" w:rsidRPr="00907D70" w:rsidRDefault="00342622" w:rsidP="00342622">
      <w:pPr>
        <w:numPr>
          <w:ilvl w:val="0"/>
          <w:numId w:val="2"/>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Šis vaistas skirtas tik Jums ar Jūsų vaikui, todėl kitiems žmonėms jo duoti negalima. Vaistas gali jiems pakenkti (net tiems, kurių ligos požymiai yra tokie patys kaip Jūsų). </w:t>
      </w:r>
    </w:p>
    <w:p w14:paraId="0E641EF9" w14:textId="77777777" w:rsidR="00342622" w:rsidRPr="00907D70" w:rsidRDefault="00342622" w:rsidP="00342622">
      <w:pPr>
        <w:numPr>
          <w:ilvl w:val="0"/>
          <w:numId w:val="2"/>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Jeigu pasireiškė šalutinis poveikis (net jeigu jis šiame lapelyje nenurodytas), kreipkitės į gydytoją arba vaistininką. Žr. 4 skyrių.</w:t>
      </w:r>
    </w:p>
    <w:p w14:paraId="3204F2ED" w14:textId="77777777" w:rsidR="00342622" w:rsidRPr="00907D70" w:rsidRDefault="00342622" w:rsidP="00342622">
      <w:pPr>
        <w:tabs>
          <w:tab w:val="left" w:pos="567"/>
        </w:tabs>
        <w:spacing w:after="0" w:line="240" w:lineRule="auto"/>
        <w:rPr>
          <w:rFonts w:ascii="Times New Roman" w:eastAsia="Times New Roman" w:hAnsi="Times New Roman"/>
          <w:b/>
        </w:rPr>
      </w:pPr>
    </w:p>
    <w:p w14:paraId="02E837FB" w14:textId="77777777" w:rsidR="00342622" w:rsidRPr="00907D70" w:rsidRDefault="00342622" w:rsidP="00342622">
      <w:pPr>
        <w:tabs>
          <w:tab w:val="left" w:pos="567"/>
        </w:tabs>
        <w:spacing w:after="0" w:line="240" w:lineRule="auto"/>
        <w:rPr>
          <w:rFonts w:ascii="Times New Roman" w:eastAsia="Times New Roman" w:hAnsi="Times New Roman"/>
          <w:b/>
        </w:rPr>
      </w:pPr>
    </w:p>
    <w:p w14:paraId="21B84F68" w14:textId="77777777"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Apie ką rašoma šiame lapelyje?</w:t>
      </w:r>
    </w:p>
    <w:p w14:paraId="36CB1D9A" w14:textId="77777777" w:rsidR="00342622" w:rsidRPr="00907D70" w:rsidRDefault="00342622" w:rsidP="00342622">
      <w:pPr>
        <w:tabs>
          <w:tab w:val="left" w:pos="567"/>
        </w:tabs>
        <w:spacing w:after="0" w:line="240" w:lineRule="auto"/>
        <w:rPr>
          <w:rFonts w:ascii="Times New Roman" w:eastAsia="Times New Roman" w:hAnsi="Times New Roman"/>
          <w:b/>
        </w:rPr>
      </w:pPr>
    </w:p>
    <w:p w14:paraId="293B7F1A"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1.</w:t>
      </w:r>
      <w:r w:rsidRPr="00907D70">
        <w:rPr>
          <w:rFonts w:ascii="Times New Roman" w:eastAsia="Times New Roman" w:hAnsi="Times New Roman"/>
        </w:rPr>
        <w:tab/>
        <w:t xml:space="preserve">Kas yra Lopinavir / Ritonavir Accord ir kam jis vartojamas </w:t>
      </w:r>
    </w:p>
    <w:p w14:paraId="6A87E055"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2.</w:t>
      </w:r>
      <w:r w:rsidRPr="00907D70">
        <w:rPr>
          <w:rFonts w:ascii="Times New Roman" w:eastAsia="Times New Roman" w:hAnsi="Times New Roman"/>
        </w:rPr>
        <w:tab/>
        <w:t xml:space="preserve">Kas žinotina prieš Jums ar Jūsų vaikui vartojant Lopinavir / Ritonavir Accord </w:t>
      </w:r>
    </w:p>
    <w:p w14:paraId="79B61F8D"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3.</w:t>
      </w:r>
      <w:r w:rsidRPr="00907D70">
        <w:rPr>
          <w:rFonts w:ascii="Times New Roman" w:eastAsia="Times New Roman" w:hAnsi="Times New Roman"/>
        </w:rPr>
        <w:tab/>
        <w:t xml:space="preserve">Kaip vartoti Lopinavir / Ritonavir Accord </w:t>
      </w:r>
    </w:p>
    <w:p w14:paraId="5AE55C08"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4.</w:t>
      </w:r>
      <w:r w:rsidRPr="00907D70">
        <w:rPr>
          <w:rFonts w:ascii="Times New Roman" w:eastAsia="Times New Roman" w:hAnsi="Times New Roman"/>
        </w:rPr>
        <w:tab/>
        <w:t xml:space="preserve">Galimas šalutinis poveikis </w:t>
      </w:r>
    </w:p>
    <w:p w14:paraId="2C0889D5"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5.</w:t>
      </w:r>
      <w:r w:rsidRPr="00907D70">
        <w:rPr>
          <w:rFonts w:ascii="Times New Roman" w:eastAsia="Times New Roman" w:hAnsi="Times New Roman"/>
        </w:rPr>
        <w:tab/>
        <w:t>Kaip laikyti Lopinavir / Ritonavir Accord</w:t>
      </w:r>
    </w:p>
    <w:p w14:paraId="5E9C6B92"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6.</w:t>
      </w:r>
      <w:r w:rsidRPr="00907D70">
        <w:rPr>
          <w:rFonts w:ascii="Times New Roman" w:eastAsia="Times New Roman" w:hAnsi="Times New Roman"/>
        </w:rPr>
        <w:tab/>
        <w:t>Pakuotės turinys ir kita informacija</w:t>
      </w:r>
    </w:p>
    <w:p w14:paraId="31D7ACE9" w14:textId="77777777" w:rsidR="00342622" w:rsidRPr="00907D70" w:rsidRDefault="00342622" w:rsidP="00342622">
      <w:pPr>
        <w:tabs>
          <w:tab w:val="left" w:pos="567"/>
        </w:tabs>
        <w:spacing w:after="0" w:line="240" w:lineRule="auto"/>
        <w:rPr>
          <w:rFonts w:ascii="Times New Roman" w:eastAsia="Times New Roman" w:hAnsi="Times New Roman"/>
        </w:rPr>
      </w:pPr>
    </w:p>
    <w:p w14:paraId="3A113D90" w14:textId="77777777" w:rsidR="00342622" w:rsidRPr="00907D70" w:rsidRDefault="00342622" w:rsidP="00342622">
      <w:pPr>
        <w:tabs>
          <w:tab w:val="left" w:pos="567"/>
        </w:tabs>
        <w:spacing w:after="0" w:line="240" w:lineRule="auto"/>
        <w:rPr>
          <w:rFonts w:ascii="Times New Roman" w:eastAsia="Times New Roman" w:hAnsi="Times New Roman"/>
        </w:rPr>
      </w:pPr>
    </w:p>
    <w:p w14:paraId="42738BC3" w14:textId="77777777"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1.</w:t>
      </w:r>
      <w:r w:rsidRPr="00907D70">
        <w:rPr>
          <w:rFonts w:ascii="Times New Roman" w:eastAsia="Times New Roman" w:hAnsi="Times New Roman"/>
          <w:b/>
        </w:rPr>
        <w:tab/>
        <w:t>Kas yra Lopinavir / Ritonavir Accord ir kam jis vartojamas</w:t>
      </w:r>
    </w:p>
    <w:p w14:paraId="65C5987F" w14:textId="77777777" w:rsidR="00342622" w:rsidRPr="00907D70" w:rsidRDefault="00342622" w:rsidP="00342622">
      <w:pPr>
        <w:tabs>
          <w:tab w:val="left" w:pos="567"/>
        </w:tabs>
        <w:spacing w:after="0" w:line="240" w:lineRule="auto"/>
        <w:rPr>
          <w:rFonts w:ascii="Times New Roman" w:eastAsia="Times New Roman" w:hAnsi="Times New Roman"/>
        </w:rPr>
      </w:pPr>
    </w:p>
    <w:p w14:paraId="6878261D" w14:textId="77777777" w:rsidR="00342622" w:rsidRPr="00907D70" w:rsidRDefault="00342622" w:rsidP="00342622">
      <w:pPr>
        <w:pStyle w:val="Sraopastraipa"/>
        <w:numPr>
          <w:ilvl w:val="0"/>
          <w:numId w:val="6"/>
        </w:numPr>
        <w:tabs>
          <w:tab w:val="left" w:pos="567"/>
        </w:tabs>
        <w:ind w:left="567" w:hanging="567"/>
        <w:rPr>
          <w:sz w:val="22"/>
          <w:szCs w:val="22"/>
          <w:lang w:eastAsia="lt-LT"/>
        </w:rPr>
      </w:pPr>
      <w:r w:rsidRPr="00907D70">
        <w:rPr>
          <w:sz w:val="22"/>
          <w:szCs w:val="22"/>
          <w:lang w:eastAsia="lt-LT"/>
        </w:rPr>
        <w:t>Gydytojas Jums paskyrė Lopinavir / Ritonavir Accord, kuris padės kontroliuoti žmogaus imunodeficito viruso (ŽIV) infekciją. Lopinavir / Ritonavir Accord tai daro slopindamas infekcijos plitimą organizme.</w:t>
      </w:r>
    </w:p>
    <w:p w14:paraId="645B088A" w14:textId="77777777" w:rsidR="00342622" w:rsidRPr="00907D70" w:rsidRDefault="00342622" w:rsidP="00342622">
      <w:pPr>
        <w:pStyle w:val="Sraopastraipa"/>
        <w:numPr>
          <w:ilvl w:val="0"/>
          <w:numId w:val="6"/>
        </w:numPr>
        <w:tabs>
          <w:tab w:val="left" w:pos="567"/>
        </w:tabs>
        <w:ind w:left="567" w:hanging="567"/>
        <w:rPr>
          <w:sz w:val="22"/>
          <w:szCs w:val="22"/>
          <w:lang w:eastAsia="lt-LT"/>
        </w:rPr>
      </w:pPr>
      <w:r w:rsidRPr="00907D70">
        <w:rPr>
          <w:sz w:val="22"/>
          <w:szCs w:val="22"/>
          <w:lang w:eastAsia="lt-LT"/>
        </w:rPr>
        <w:t>Lopinavir / Ritonavir Accord neišgydo nuo ŽIV infekcijos ar AIDS.</w:t>
      </w:r>
    </w:p>
    <w:p w14:paraId="13638674" w14:textId="77777777" w:rsidR="00342622" w:rsidRPr="00907D70" w:rsidRDefault="00342622" w:rsidP="00342622">
      <w:pPr>
        <w:pStyle w:val="Sraopastraipa"/>
        <w:numPr>
          <w:ilvl w:val="0"/>
          <w:numId w:val="6"/>
        </w:numPr>
        <w:tabs>
          <w:tab w:val="left" w:pos="567"/>
        </w:tabs>
        <w:ind w:left="567" w:hanging="567"/>
        <w:rPr>
          <w:sz w:val="22"/>
          <w:szCs w:val="22"/>
          <w:lang w:eastAsia="lt-LT"/>
        </w:rPr>
      </w:pPr>
      <w:r w:rsidRPr="00907D70">
        <w:rPr>
          <w:sz w:val="22"/>
          <w:szCs w:val="22"/>
          <w:lang w:eastAsia="lt-LT"/>
        </w:rPr>
        <w:t>Lopinavir / Ritonavir Accord skiriamas 2 metų arba vyresniems vaikams, paaugliams ir suaugusiesiems, kurie yra infekuoti ŽIV, t. y. virusu, sukeliančiu įgytą imuninės sistemos nepakankamumo sindromą (</w:t>
      </w:r>
      <w:r w:rsidRPr="00907D70">
        <w:rPr>
          <w:i/>
          <w:sz w:val="22"/>
          <w:szCs w:val="22"/>
          <w:lang w:eastAsia="lt-LT"/>
        </w:rPr>
        <w:t>angl.</w:t>
      </w:r>
      <w:r w:rsidRPr="00907D70">
        <w:rPr>
          <w:sz w:val="22"/>
          <w:szCs w:val="22"/>
          <w:lang w:eastAsia="lt-LT"/>
        </w:rPr>
        <w:t xml:space="preserve"> AIDS). </w:t>
      </w:r>
    </w:p>
    <w:p w14:paraId="6C29CE54" w14:textId="77777777" w:rsidR="00342622" w:rsidRPr="00907D70" w:rsidRDefault="00342622" w:rsidP="00342622">
      <w:pPr>
        <w:numPr>
          <w:ilvl w:val="0"/>
          <w:numId w:val="6"/>
        </w:numPr>
        <w:tabs>
          <w:tab w:val="left" w:pos="567"/>
        </w:tabs>
        <w:spacing w:after="0" w:line="240" w:lineRule="auto"/>
        <w:ind w:left="567" w:hanging="567"/>
        <w:rPr>
          <w:rFonts w:ascii="Times New Roman" w:eastAsia="Times New Roman" w:hAnsi="Times New Roman"/>
          <w:lang w:eastAsia="lt-LT"/>
        </w:rPr>
      </w:pPr>
      <w:r w:rsidRPr="00907D70">
        <w:rPr>
          <w:rFonts w:ascii="Times New Roman" w:eastAsia="Times New Roman" w:hAnsi="Times New Roman"/>
          <w:lang w:eastAsia="lt-LT"/>
        </w:rPr>
        <w:t>Lopinavir / Ritonavir Accord sudėtyje yra veikliosios medžiagos – lopinaviras ir ritonaviras. Lopinavir / Ritonavir Accord yra antiretrovirusinis vaistas. Jis priklauso vaistų, vadinamų proteazių inhibitoriais, grupei.</w:t>
      </w:r>
    </w:p>
    <w:p w14:paraId="1ADD6394" w14:textId="77777777" w:rsidR="00342622" w:rsidRPr="00907D70" w:rsidRDefault="00342622" w:rsidP="00342622">
      <w:pPr>
        <w:numPr>
          <w:ilvl w:val="0"/>
          <w:numId w:val="6"/>
        </w:numPr>
        <w:tabs>
          <w:tab w:val="left" w:pos="567"/>
        </w:tabs>
        <w:spacing w:after="0" w:line="240" w:lineRule="auto"/>
        <w:ind w:left="567" w:hanging="567"/>
        <w:rPr>
          <w:rFonts w:ascii="Times New Roman" w:eastAsia="Times New Roman" w:hAnsi="Times New Roman"/>
          <w:lang w:eastAsia="lt-LT"/>
        </w:rPr>
      </w:pPr>
      <w:r w:rsidRPr="00907D70">
        <w:rPr>
          <w:rFonts w:ascii="Times New Roman" w:eastAsia="Times New Roman" w:hAnsi="Times New Roman"/>
          <w:lang w:eastAsia="lt-LT"/>
        </w:rPr>
        <w:t>Lopinavir / Ritonavir Accord skiriamas kartu su kitais antivirusiniais vaistais. Gydytojas pasitars su Jumis ir nuspręs, kuris vaistas Jums labiausiai tinka.</w:t>
      </w:r>
    </w:p>
    <w:p w14:paraId="3A41F05E" w14:textId="77777777" w:rsidR="00342622" w:rsidRPr="00907D70" w:rsidRDefault="00342622" w:rsidP="00342622">
      <w:pPr>
        <w:numPr>
          <w:ilvl w:val="12"/>
          <w:numId w:val="0"/>
        </w:numPr>
        <w:tabs>
          <w:tab w:val="left" w:pos="567"/>
        </w:tabs>
        <w:spacing w:after="0" w:line="240" w:lineRule="auto"/>
        <w:rPr>
          <w:rFonts w:ascii="Times New Roman" w:eastAsia="Times New Roman" w:hAnsi="Times New Roman"/>
        </w:rPr>
      </w:pPr>
    </w:p>
    <w:p w14:paraId="0EAF2A8E" w14:textId="77777777" w:rsidR="00342622" w:rsidRPr="00907D70" w:rsidRDefault="00342622" w:rsidP="00342622">
      <w:pPr>
        <w:numPr>
          <w:ilvl w:val="12"/>
          <w:numId w:val="0"/>
        </w:numPr>
        <w:tabs>
          <w:tab w:val="left" w:pos="567"/>
        </w:tabs>
        <w:spacing w:after="0" w:line="240" w:lineRule="auto"/>
        <w:ind w:right="-2"/>
        <w:rPr>
          <w:rFonts w:ascii="Times New Roman" w:eastAsia="Times New Roman" w:hAnsi="Times New Roman"/>
        </w:rPr>
      </w:pPr>
    </w:p>
    <w:bookmarkEnd w:id="7"/>
    <w:bookmarkEnd w:id="8"/>
    <w:p w14:paraId="71004C58" w14:textId="77777777" w:rsidR="00342622" w:rsidRPr="00907D70" w:rsidRDefault="00342622" w:rsidP="00342622">
      <w:pPr>
        <w:tabs>
          <w:tab w:val="left" w:pos="567"/>
        </w:tabs>
        <w:spacing w:after="0" w:line="240" w:lineRule="auto"/>
        <w:ind w:left="540" w:hanging="540"/>
        <w:jc w:val="both"/>
        <w:rPr>
          <w:rFonts w:ascii="Times New Roman" w:eastAsia="Times New Roman" w:hAnsi="Times New Roman"/>
          <w:b/>
          <w:bCs/>
          <w:i/>
          <w:iCs/>
        </w:rPr>
      </w:pPr>
      <w:r w:rsidRPr="00907D70">
        <w:rPr>
          <w:rFonts w:ascii="Times New Roman" w:eastAsia="Times New Roman" w:hAnsi="Times New Roman"/>
          <w:b/>
          <w:bCs/>
        </w:rPr>
        <w:t>2.</w:t>
      </w:r>
      <w:r w:rsidRPr="00907D70">
        <w:rPr>
          <w:rFonts w:ascii="Times New Roman" w:eastAsia="Times New Roman" w:hAnsi="Times New Roman"/>
          <w:b/>
          <w:bCs/>
        </w:rPr>
        <w:tab/>
      </w:r>
      <w:r w:rsidRPr="00907D70">
        <w:rPr>
          <w:rFonts w:ascii="Times New Roman" w:eastAsia="Times New Roman" w:hAnsi="Times New Roman"/>
          <w:b/>
        </w:rPr>
        <w:t>Kas žinotina prieš Jums ar Jūsų vaikui vartojant Lopinavir / Ritonavir Accord</w:t>
      </w:r>
    </w:p>
    <w:p w14:paraId="337DC61A"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p w14:paraId="7B25B047" w14:textId="136480D9"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 xml:space="preserve">Lopinavir / Ritonavir Accord vartoti </w:t>
      </w:r>
      <w:r w:rsidR="00F96154" w:rsidRPr="00907D70">
        <w:rPr>
          <w:rFonts w:ascii="Times New Roman" w:eastAsia="Times New Roman" w:hAnsi="Times New Roman"/>
          <w:b/>
        </w:rPr>
        <w:t>draudžiama</w:t>
      </w:r>
      <w:r w:rsidRPr="00907D70">
        <w:rPr>
          <w:rFonts w:ascii="Times New Roman" w:eastAsia="Times New Roman" w:hAnsi="Times New Roman"/>
          <w:b/>
        </w:rPr>
        <w:t>:</w:t>
      </w:r>
    </w:p>
    <w:p w14:paraId="6FE89604" w14:textId="77777777" w:rsidR="00342622" w:rsidRPr="00907D70" w:rsidRDefault="00342622" w:rsidP="00342622">
      <w:pPr>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jeigu yra alergija lopinavirui, ritonavirui arba bet kuriai pagalbinei šio vaisto medžiagai (jos išvardytos 6 skyriuje); </w:t>
      </w:r>
    </w:p>
    <w:p w14:paraId="48D00BF7" w14:textId="77777777" w:rsidR="00342622" w:rsidRPr="00907D70" w:rsidRDefault="00342622" w:rsidP="00342622">
      <w:pPr>
        <w:numPr>
          <w:ilvl w:val="0"/>
          <w:numId w:val="7"/>
        </w:numPr>
        <w:tabs>
          <w:tab w:val="left" w:pos="567"/>
        </w:tabs>
        <w:spacing w:after="0" w:line="240" w:lineRule="auto"/>
        <w:ind w:left="567" w:hanging="567"/>
        <w:rPr>
          <w:rFonts w:ascii="Times New Roman" w:eastAsia="Times New Roman" w:hAnsi="Times New Roman"/>
          <w:lang w:eastAsia="lt-LT"/>
        </w:rPr>
      </w:pPr>
      <w:r w:rsidRPr="00907D70">
        <w:rPr>
          <w:rFonts w:ascii="Times New Roman" w:hAnsi="Times New Roman"/>
          <w:color w:val="000000"/>
          <w:lang w:eastAsia="lt-LT"/>
        </w:rPr>
        <w:t>jeigu sergate sunkia kepenų liga.</w:t>
      </w:r>
    </w:p>
    <w:p w14:paraId="7067EDF3" w14:textId="77777777" w:rsidR="00342622" w:rsidRPr="00907D70" w:rsidRDefault="00342622" w:rsidP="00342622">
      <w:pPr>
        <w:tabs>
          <w:tab w:val="left" w:pos="567"/>
        </w:tabs>
        <w:spacing w:after="0" w:line="240" w:lineRule="auto"/>
        <w:rPr>
          <w:rFonts w:ascii="Times New Roman" w:eastAsia="Times New Roman" w:hAnsi="Times New Roman"/>
          <w:b/>
        </w:rPr>
      </w:pPr>
    </w:p>
    <w:p w14:paraId="5E2080B5"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Nevartokite</w:t>
      </w:r>
      <w:r w:rsidRPr="00907D70">
        <w:rPr>
          <w:rFonts w:ascii="Times New Roman" w:eastAsia="Times New Roman" w:hAnsi="Times New Roman"/>
          <w:b/>
        </w:rPr>
        <w:t xml:space="preserve"> Lopinavir / Ritonavir Accord </w:t>
      </w:r>
      <w:r w:rsidRPr="00907D70">
        <w:rPr>
          <w:rFonts w:ascii="Times New Roman" w:hAnsi="Times New Roman"/>
          <w:b/>
          <w:bCs/>
          <w:color w:val="000000"/>
          <w:lang w:eastAsia="lt-LT"/>
        </w:rPr>
        <w:t xml:space="preserve">kartu su bet kuriuo iš šių vaistų: </w:t>
      </w:r>
    </w:p>
    <w:p w14:paraId="1FF67C4B" w14:textId="77777777" w:rsidR="00342622" w:rsidRPr="00907D70" w:rsidRDefault="00342622" w:rsidP="00342622">
      <w:pPr>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Astemizolu ar terfenadinu (dažnai vartojamais alergijos simptomams gydyti – šiuos vaistus galima įsigyti be recepto).</w:t>
      </w:r>
    </w:p>
    <w:p w14:paraId="4E0B093C" w14:textId="77777777" w:rsidR="00342622" w:rsidRPr="00907D70" w:rsidRDefault="00342622" w:rsidP="00342622">
      <w:pPr>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Geriamuoju (vartojamu per burną) midazolamu, triazolamu (vartojamu nerimui ir (arba) miego sutrikimui palengvinti).</w:t>
      </w:r>
    </w:p>
    <w:p w14:paraId="186E2149" w14:textId="77777777" w:rsidR="00342622" w:rsidRPr="00907D70" w:rsidRDefault="00342622" w:rsidP="00342622">
      <w:pPr>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Pimozidu (vartojamu šizofrenijai gydyti).</w:t>
      </w:r>
    </w:p>
    <w:p w14:paraId="53FFA2DE"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Kvetiapinu (vartojamu šizofrenijai, bipoliniam sutrikimui ir didžiosios depresijos sutrikimui gydyti).</w:t>
      </w:r>
    </w:p>
    <w:p w14:paraId="11180514"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Lurazidonu (vartojamu gydyti nuo depresijos).</w:t>
      </w:r>
    </w:p>
    <w:p w14:paraId="61878F5B"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Ranolazinu (vartojamu gydyti nuo lėtinio krūtinės skausmo [krūtinės anginos]).</w:t>
      </w:r>
    </w:p>
    <w:p w14:paraId="28936DA7"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Cisapridu (vartojamu tam tikriems skrandžio sutrikimams gydyti).</w:t>
      </w:r>
    </w:p>
    <w:p w14:paraId="3AE2601B"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Ergotaminu, dihidroergotaminu, ergonovinu, metilergonovinu (vartojamu galvos skausmui malšinti).</w:t>
      </w:r>
    </w:p>
    <w:p w14:paraId="198DCDBE"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Amjodaronu, dronedaronu (vartojamu sutrikusiam širdies ritmui gydyti).</w:t>
      </w:r>
    </w:p>
    <w:p w14:paraId="701AB502"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Lovastatinu, simvastatinu (vartojamais cholesterolio kiekiui kraujyje mažinti).</w:t>
      </w:r>
    </w:p>
    <w:p w14:paraId="70AF84FC" w14:textId="27C4A2A7" w:rsidR="00EF6793" w:rsidRPr="00907D70" w:rsidRDefault="00EF6793"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Lomitapidu (vartojamu cholesterolio kiekiui kraujyje</w:t>
      </w:r>
      <w:r w:rsidR="00262D33" w:rsidRPr="00907D70">
        <w:rPr>
          <w:rFonts w:ascii="Times New Roman" w:hAnsi="Times New Roman"/>
          <w:color w:val="000000"/>
          <w:lang w:eastAsia="lt-LT"/>
        </w:rPr>
        <w:t xml:space="preserve"> mažinti</w:t>
      </w:r>
      <w:r w:rsidRPr="00907D70">
        <w:rPr>
          <w:rFonts w:ascii="Times New Roman" w:hAnsi="Times New Roman"/>
          <w:color w:val="000000"/>
          <w:lang w:eastAsia="lt-LT"/>
        </w:rPr>
        <w:t>).</w:t>
      </w:r>
    </w:p>
    <w:p w14:paraId="4B9EF667" w14:textId="3DA0B2B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Alfuzozinu (vartojamu vyrams prostatos padidėjimo, t. y. gerybinės prostatos hiperplazijos [GPH] simptomams lengvinti</w:t>
      </w:r>
      <w:r w:rsidR="00E04F91" w:rsidRPr="00907D70">
        <w:rPr>
          <w:rFonts w:ascii="Times New Roman" w:hAnsi="Times New Roman"/>
          <w:color w:val="000000"/>
          <w:lang w:eastAsia="lt-LT"/>
        </w:rPr>
        <w:t>)</w:t>
      </w:r>
      <w:r w:rsidRPr="00907D70">
        <w:rPr>
          <w:rFonts w:ascii="Times New Roman" w:hAnsi="Times New Roman"/>
          <w:color w:val="000000"/>
          <w:lang w:eastAsia="lt-LT"/>
        </w:rPr>
        <w:t>.</w:t>
      </w:r>
    </w:p>
    <w:p w14:paraId="2C5F9DD1"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Fuzido rūgštimi (vartojama </w:t>
      </w:r>
      <w:r w:rsidRPr="00907D70">
        <w:rPr>
          <w:rFonts w:ascii="Times New Roman" w:hAnsi="Times New Roman"/>
          <w:i/>
          <w:color w:val="000000"/>
          <w:lang w:eastAsia="lt-LT"/>
        </w:rPr>
        <w:t xml:space="preserve">Staphylococcus </w:t>
      </w:r>
      <w:r w:rsidRPr="00907D70">
        <w:rPr>
          <w:rFonts w:ascii="Times New Roman" w:hAnsi="Times New Roman"/>
          <w:color w:val="000000"/>
          <w:lang w:eastAsia="lt-LT"/>
        </w:rPr>
        <w:t xml:space="preserve">bakterijų sukeltoms odos infekcinėms ligoms, pvz., impetigai ir infekciniam dermatitui, gydyti). Gydytojui prižiūrint fuzido rūgštis gali būti vartojama lėtinėms kaulų ir sąnarių infekcinėms ligoms gydyti (žr. skyrių „Kiti vaistai ir </w:t>
      </w:r>
      <w:r w:rsidRPr="00907D70">
        <w:rPr>
          <w:rFonts w:ascii="Times New Roman" w:eastAsia="Times New Roman" w:hAnsi="Times New Roman"/>
        </w:rPr>
        <w:t>Lopinavir / Ritonavir Accord</w:t>
      </w:r>
      <w:r w:rsidRPr="00907D70">
        <w:rPr>
          <w:rFonts w:ascii="Times New Roman" w:hAnsi="Times New Roman"/>
          <w:color w:val="000000"/>
          <w:lang w:eastAsia="lt-LT"/>
        </w:rPr>
        <w:t>“).</w:t>
      </w:r>
    </w:p>
    <w:p w14:paraId="6B3630F1"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Kolchicinu (vartojamu gydyti podagrą) – jei turite su inkstais ir (arba) kepenimis susijusių problemų (žr. skyrių </w:t>
      </w:r>
      <w:r w:rsidRPr="00907D70">
        <w:rPr>
          <w:rFonts w:ascii="Times New Roman" w:hAnsi="Times New Roman"/>
          <w:b/>
          <w:bCs/>
          <w:color w:val="000000"/>
          <w:lang w:eastAsia="lt-LT"/>
        </w:rPr>
        <w:t>Kiti vaistai ir Lopinavir / Ritonavir Accord</w:t>
      </w:r>
      <w:r w:rsidRPr="00907D70">
        <w:rPr>
          <w:rFonts w:ascii="Times New Roman" w:hAnsi="Times New Roman"/>
          <w:color w:val="000000"/>
          <w:lang w:eastAsia="lt-LT"/>
        </w:rPr>
        <w:t>).</w:t>
      </w:r>
    </w:p>
    <w:p w14:paraId="19007B79" w14:textId="62CB1FF6"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Elbasviru / Grazopreviru (vartojamu gydyti nuo lėtinio hep</w:t>
      </w:r>
      <w:r w:rsidR="0017735F">
        <w:rPr>
          <w:rFonts w:ascii="Times New Roman" w:hAnsi="Times New Roman"/>
          <w:color w:val="000000"/>
          <w:lang w:eastAsia="lt-LT"/>
        </w:rPr>
        <w:t>a</w:t>
      </w:r>
      <w:r w:rsidRPr="00907D70">
        <w:rPr>
          <w:rFonts w:ascii="Times New Roman" w:hAnsi="Times New Roman"/>
          <w:color w:val="000000"/>
          <w:lang w:eastAsia="lt-LT"/>
        </w:rPr>
        <w:t>tito C viruso infekcijos [HCV]).</w:t>
      </w:r>
    </w:p>
    <w:p w14:paraId="428D966A" w14:textId="428AAA10"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Ombitasviru / paritapreviru / ritonaviru kartu su dasabuviru ar be jo (vartojamu gydyti nuo lėtinio hep</w:t>
      </w:r>
      <w:r w:rsidR="00C86B9A">
        <w:rPr>
          <w:rFonts w:ascii="Times New Roman" w:hAnsi="Times New Roman"/>
          <w:color w:val="000000"/>
          <w:lang w:eastAsia="lt-LT"/>
        </w:rPr>
        <w:t>a</w:t>
      </w:r>
      <w:r w:rsidRPr="00907D70">
        <w:rPr>
          <w:rFonts w:ascii="Times New Roman" w:hAnsi="Times New Roman"/>
          <w:color w:val="000000"/>
          <w:lang w:eastAsia="lt-LT"/>
        </w:rPr>
        <w:t>tito C viruso infekcijos [HCV]).</w:t>
      </w:r>
    </w:p>
    <w:p w14:paraId="0F36B96E" w14:textId="41746629" w:rsidR="00EF6793" w:rsidRPr="00907D70" w:rsidRDefault="00EF6793"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Neratinibu (vartojamu krūties vėžiui gydyti).</w:t>
      </w:r>
    </w:p>
    <w:p w14:paraId="4CD048F5"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Avanafiliu ar vardenafiliu (vartojamais erekcijos sutrikimams gydyti).</w:t>
      </w:r>
    </w:p>
    <w:p w14:paraId="6D8BC0C8"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Sildenafiliu, vartojamu plautinei hipertenzijai (aukštam kraujospūdžiui plaučių arterijoje) gydyti. Gydytojui prižiūrint sildenafilio galima vartoti erekcijos sutrikimams gydyti (žr. </w:t>
      </w:r>
      <w:r w:rsidRPr="00907D70">
        <w:rPr>
          <w:rFonts w:ascii="Times New Roman" w:hAnsi="Times New Roman"/>
          <w:b/>
          <w:color w:val="000000"/>
          <w:lang w:eastAsia="lt-LT"/>
        </w:rPr>
        <w:t xml:space="preserve">skyrių „Kiti vaistai ir </w:t>
      </w:r>
      <w:r w:rsidRPr="00907D70">
        <w:rPr>
          <w:rFonts w:ascii="Times New Roman" w:hAnsi="Times New Roman"/>
          <w:b/>
          <w:bCs/>
          <w:color w:val="000000"/>
          <w:lang w:eastAsia="lt-LT"/>
        </w:rPr>
        <w:t>Lopinavir / Ritonavir Accord</w:t>
      </w:r>
      <w:r w:rsidRPr="00907D70">
        <w:rPr>
          <w:rFonts w:ascii="Times New Roman" w:hAnsi="Times New Roman"/>
          <w:b/>
          <w:color w:val="000000"/>
          <w:szCs w:val="24"/>
        </w:rPr>
        <w:t>“</w:t>
      </w:r>
      <w:r w:rsidRPr="00907D70">
        <w:rPr>
          <w:rFonts w:ascii="Times New Roman" w:hAnsi="Times New Roman"/>
          <w:color w:val="000000"/>
          <w:lang w:eastAsia="lt-LT"/>
        </w:rPr>
        <w:t>).</w:t>
      </w:r>
    </w:p>
    <w:p w14:paraId="256FBA6F" w14:textId="77777777" w:rsidR="00342622" w:rsidRPr="00907D70" w:rsidRDefault="00342622" w:rsidP="0034262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Preparatais, kurių sudėtyje yra jonažolių (</w:t>
      </w:r>
      <w:r w:rsidRPr="00907D70">
        <w:rPr>
          <w:rFonts w:ascii="Times New Roman" w:hAnsi="Times New Roman"/>
          <w:i/>
          <w:iCs/>
          <w:color w:val="000000"/>
          <w:lang w:eastAsia="lt-LT"/>
        </w:rPr>
        <w:t xml:space="preserve">Hypericum perforatum). </w:t>
      </w:r>
    </w:p>
    <w:p w14:paraId="4A4FFEE1"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79F1CD4F"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 xml:space="preserve">Perskaitykite vaistų sąrašą skyriuje „Kiti vaistai ir Lopinavir / Ritonavir Accord“ </w:t>
      </w:r>
      <w:r w:rsidRPr="00907D70">
        <w:rPr>
          <w:rFonts w:ascii="Times New Roman" w:hAnsi="Times New Roman"/>
          <w:bCs/>
          <w:color w:val="000000"/>
          <w:lang w:eastAsia="lt-LT"/>
        </w:rPr>
        <w:t>dėl informacijos apie kai kuriuos kitus vaistus, kuriuos vartojant reikia  tam tikro atsargumo</w:t>
      </w:r>
      <w:r w:rsidRPr="00907D70">
        <w:rPr>
          <w:rFonts w:ascii="Times New Roman" w:hAnsi="Times New Roman"/>
          <w:color w:val="000000"/>
          <w:lang w:eastAsia="lt-LT"/>
        </w:rPr>
        <w:t xml:space="preserve">. </w:t>
      </w:r>
    </w:p>
    <w:p w14:paraId="4C5E4C28"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589C6921"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Jeigu vartojate kurio nors iš šių vaistų, klauskite gydytojo apie galimybę atlikti arba Jūsų kitos ligos (-ų) gydymo, arba antivirusinio gydymo būtinus keitimus. </w:t>
      </w:r>
    </w:p>
    <w:p w14:paraId="037A0596"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7B3502DC"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 xml:space="preserve">Įspėjimai ir atsargumo priemonės </w:t>
      </w:r>
    </w:p>
    <w:p w14:paraId="3BBBBB0B"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2C03580F" w14:textId="29800B63"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Pasitarkite su gydytoju</w:t>
      </w:r>
      <w:r w:rsidR="00EF6793" w:rsidRPr="00907D70">
        <w:rPr>
          <w:rFonts w:ascii="Times New Roman" w:hAnsi="Times New Roman"/>
          <w:color w:val="000000"/>
          <w:lang w:eastAsia="lt-LT"/>
        </w:rPr>
        <w:t xml:space="preserve"> arba vaistininku</w:t>
      </w:r>
      <w:r w:rsidRPr="00907D70">
        <w:rPr>
          <w:rFonts w:ascii="Times New Roman" w:hAnsi="Times New Roman"/>
          <w:color w:val="000000"/>
          <w:lang w:eastAsia="lt-LT"/>
        </w:rPr>
        <w:t>, prieš pradėdami vartoti Lopinavir / Ritonavir Accord.</w:t>
      </w:r>
    </w:p>
    <w:p w14:paraId="175600BB"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5966D222"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Svarbi informacija </w:t>
      </w:r>
    </w:p>
    <w:p w14:paraId="677A253B" w14:textId="4A03FCCC" w:rsidR="00342622" w:rsidRPr="00907D70" w:rsidRDefault="00342622" w:rsidP="0034262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Lopinavir / Ritonavir Accord vartojantiems žmonėms vis tiek gali pasireikšti infekcinės ligos ar kiti sutrikimai, susiję su ŽIV liga ir AIDS. Todėl svarbu, kad </w:t>
      </w:r>
      <w:r w:rsidRPr="00907D70">
        <w:rPr>
          <w:rFonts w:ascii="Times New Roman" w:hAnsi="Times New Roman"/>
          <w:bCs/>
          <w:color w:val="000000"/>
          <w:lang w:eastAsia="lt-LT"/>
        </w:rPr>
        <w:t xml:space="preserve">Lopinavir / Ritonavir Accord </w:t>
      </w:r>
      <w:r w:rsidRPr="00907D70">
        <w:rPr>
          <w:rFonts w:ascii="Times New Roman" w:hAnsi="Times New Roman"/>
          <w:color w:val="000000"/>
          <w:lang w:eastAsia="lt-LT"/>
        </w:rPr>
        <w:t>vartojimo metu J</w:t>
      </w:r>
      <w:r w:rsidR="002B6503" w:rsidRPr="00907D70">
        <w:rPr>
          <w:rFonts w:ascii="Times New Roman" w:hAnsi="Times New Roman"/>
          <w:color w:val="000000"/>
          <w:lang w:eastAsia="lt-LT"/>
        </w:rPr>
        <w:t>u</w:t>
      </w:r>
      <w:r w:rsidRPr="00907D70">
        <w:rPr>
          <w:rFonts w:ascii="Times New Roman" w:hAnsi="Times New Roman"/>
          <w:color w:val="000000"/>
          <w:lang w:eastAsia="lt-LT"/>
        </w:rPr>
        <w:t xml:space="preserve">s atidžiai stebėtų gydytojas. </w:t>
      </w:r>
    </w:p>
    <w:p w14:paraId="53F34590" w14:textId="77777777" w:rsidR="00342622" w:rsidRPr="00907D70" w:rsidRDefault="00342622" w:rsidP="0034262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Vartojant šio vaisto Jūs vis dar galite užkrėsti ŽIV kitus žmones</w:t>
      </w:r>
      <w:r w:rsidRPr="00907D70">
        <w:rPr>
          <w:rFonts w:ascii="Times New Roman" w:hAnsi="Times New Roman"/>
          <w:color w:val="000000"/>
          <w:lang w:eastAsia="lt-LT"/>
        </w:rPr>
        <w:t xml:space="preserve">, nors rizika dėl veiksmingo antiretrovirusinio gydymo yra maža. Pasitarkite su gydytoju dėl reikiamų atsargumo priemonių, kad neužkrėstumėte kitų žmonių. </w:t>
      </w:r>
    </w:p>
    <w:p w14:paraId="36C08C31"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13CEF657"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Pasakykite gydytojui, jeigu Jūs ar Jūsų vaikas sergate ar sirgote: </w:t>
      </w:r>
    </w:p>
    <w:p w14:paraId="05CD2679" w14:textId="77777777" w:rsidR="00342622" w:rsidRPr="00907D70" w:rsidRDefault="00342622" w:rsidP="0034262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Hemofilija, </w:t>
      </w:r>
      <w:r w:rsidRPr="00907D70">
        <w:rPr>
          <w:rFonts w:ascii="Times New Roman" w:hAnsi="Times New Roman"/>
          <w:color w:val="000000"/>
          <w:lang w:eastAsia="lt-LT"/>
        </w:rPr>
        <w:t xml:space="preserve">A arba B tipo, nes Lopinavir / Ritonavir Accord gali didinti kraujavimo riziką. </w:t>
      </w:r>
    </w:p>
    <w:p w14:paraId="2A49B2A5" w14:textId="77777777" w:rsidR="00342622" w:rsidRPr="00907D70" w:rsidRDefault="00342622" w:rsidP="0034262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Cukriniu diabetu, </w:t>
      </w:r>
      <w:r w:rsidRPr="00907D70">
        <w:rPr>
          <w:rFonts w:ascii="Times New Roman" w:hAnsi="Times New Roman"/>
          <w:color w:val="000000"/>
          <w:lang w:eastAsia="lt-LT"/>
        </w:rPr>
        <w:t xml:space="preserve">nes Lopinavir / Ritonavir Accord vartojantiems pacientams pastebėta cukraus koncentracijos kraujyje padidėjimo atvejų. </w:t>
      </w:r>
    </w:p>
    <w:p w14:paraId="685730BE" w14:textId="77777777" w:rsidR="00342622" w:rsidRPr="00907D70" w:rsidRDefault="00342622" w:rsidP="0034262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Jeigu yra buvę </w:t>
      </w:r>
      <w:r w:rsidRPr="00907D70">
        <w:rPr>
          <w:rFonts w:ascii="Times New Roman" w:hAnsi="Times New Roman"/>
          <w:b/>
          <w:bCs/>
          <w:color w:val="000000"/>
          <w:lang w:eastAsia="lt-LT"/>
        </w:rPr>
        <w:t xml:space="preserve">kepenų sutrikimų, </w:t>
      </w:r>
      <w:r w:rsidRPr="00907D70">
        <w:rPr>
          <w:rFonts w:ascii="Times New Roman" w:hAnsi="Times New Roman"/>
          <w:color w:val="000000"/>
          <w:lang w:eastAsia="lt-LT"/>
        </w:rPr>
        <w:t xml:space="preserve">kadangi pacientams, kuriems yra buvę kepenų sutrikimų, įskaitant lėtinį hepatitą B ar C, yra didesnė sunkaus ir galimai mirtino šalutinio poveikio kepenims rizika. </w:t>
      </w:r>
    </w:p>
    <w:p w14:paraId="73F5C9D4"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374CBDEE" w14:textId="77777777" w:rsidR="00342622" w:rsidRPr="00907D70" w:rsidRDefault="00342622" w:rsidP="0034262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Pasakykite gydytojui, jeigu Jums ar Jūsų vaikui pasireiškė: </w:t>
      </w:r>
    </w:p>
    <w:p w14:paraId="161F2D4E" w14:textId="77777777" w:rsidR="00342622" w:rsidRPr="00907D70" w:rsidRDefault="00342622" w:rsidP="00342622">
      <w:pPr>
        <w:numPr>
          <w:ilvl w:val="1"/>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Pykinimas, vėmimas, pilvo skausmas, sunkumas kvėpuojant ir stiprus kojų bei rankų raumenų silpnumas, kadangi šie simptomai gali rodyti padidėjusią pieno rūgšties koncentraciją.</w:t>
      </w:r>
    </w:p>
    <w:p w14:paraId="4519B4A5" w14:textId="77777777" w:rsidR="00342622" w:rsidRPr="00907D70" w:rsidRDefault="00342622" w:rsidP="00342622">
      <w:pPr>
        <w:numPr>
          <w:ilvl w:val="0"/>
          <w:numId w:val="11"/>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Troškulys, dažnas šlapinimasis, vaizdo ryškumo sumažėjimas ar kūno masės netekimas, kadangi šie simptomai gali rodyti padidėjusį cukraus kiekį kraujyje.</w:t>
      </w:r>
    </w:p>
    <w:p w14:paraId="0633F756" w14:textId="77777777" w:rsidR="00342622" w:rsidRPr="00907D70" w:rsidRDefault="00342622" w:rsidP="00342622">
      <w:pPr>
        <w:numPr>
          <w:ilvl w:val="1"/>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 xml:space="preserve">Pykinimas, vėmimas, pilvo skausmas, kadangi didelis trigliceridų kiekio (riebalų kraujyje) padidėjimas yra pankreatito (kasos uždegimo) rizikos faktorius, o minėti simptomai gali rodyti šį sutrikimą. </w:t>
      </w:r>
    </w:p>
    <w:p w14:paraId="12A4461B" w14:textId="77777777" w:rsidR="00342622" w:rsidRPr="00907D70" w:rsidRDefault="00342622" w:rsidP="00342622">
      <w:pPr>
        <w:keepNext/>
        <w:keepLines/>
        <w:numPr>
          <w:ilvl w:val="0"/>
          <w:numId w:val="11"/>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Kai kuriems pacientams su progresavusia ŽIV infekcija ir buvusiomis oportunistinėmis infekcijomis, pradėjus ŽIV gydymą, dėl prieš tai buvusių infekcijų gali pasireikšti uždegimo požymių ir simptomų. Manoma, kad taip nutinka dėl organizmo imuninio atsako pagerėjimo, įgalinančio organizmą kovoti su infekcijomis, kurių anksčiau buvo, bet jos nepasireiškė jokiais simptomais. </w:t>
      </w:r>
    </w:p>
    <w:p w14:paraId="43224590" w14:textId="77777777" w:rsidR="00342622" w:rsidRPr="00907D70" w:rsidRDefault="00342622" w:rsidP="00342622">
      <w:pPr>
        <w:autoSpaceDE w:val="0"/>
        <w:autoSpaceDN w:val="0"/>
        <w:adjustRightInd w:val="0"/>
        <w:spacing w:after="0" w:line="240" w:lineRule="auto"/>
        <w:ind w:left="567"/>
        <w:rPr>
          <w:rFonts w:ascii="Times New Roman" w:hAnsi="Times New Roman"/>
          <w:color w:val="000000"/>
          <w:lang w:eastAsia="lt-LT"/>
        </w:rPr>
      </w:pPr>
      <w:r w:rsidRPr="00907D70">
        <w:rPr>
          <w:rFonts w:ascii="Times New Roman" w:hAnsi="Times New Roman"/>
          <w:color w:val="000000"/>
          <w:lang w:eastAsia="lt-LT"/>
        </w:rPr>
        <w:t xml:space="preserve">Be to, pradėjus vartoti vaistų nuo ŽIV infekcijos, prie oportunistinės infekcijos taip pat gali prisidėti autoimuniniai sutrikimai (tai būklė, kuri atsiranda imuninei sistemai atakuojant sveikus kūno audinius). Autoimuniniai sutrikimai gali atsirasti nuo gydymo pradžios praėjus daugeliui mėnesių. Jeigu pastebite bet kokių infekcijos simptomų ar tokių simptomų, kaip raumenų silpnumas, silpnumas, atsirandantis rankose ir pėdose ir plintantis į liemenį, nereguliarus ir dažnas juntamas širdies plakimas, tremoras (drebėjimas) ar hiperaktyvumas (pernelyg didelis aktyvumas), nedelsiant praneškite gydytojui, kad būtų suteikta tinkama pagalba. </w:t>
      </w:r>
    </w:p>
    <w:p w14:paraId="14D3714B" w14:textId="77777777" w:rsidR="00342622" w:rsidRPr="00907D70" w:rsidRDefault="00342622" w:rsidP="00342622">
      <w:pPr>
        <w:numPr>
          <w:ilvl w:val="1"/>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Sąnarių sustingimas, skausmas ar maudimas </w:t>
      </w:r>
      <w:r w:rsidRPr="00907D70">
        <w:rPr>
          <w:rFonts w:ascii="Times New Roman" w:hAnsi="Times New Roman"/>
          <w:color w:val="000000"/>
          <w:lang w:eastAsia="lt-LT"/>
        </w:rPr>
        <w:t xml:space="preserve">(ypač klubo, kelio ar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(imuninės sistemos aktyvumo sumažinimas), didesnis kūno masės indeksas, gali būti vieni iš daugelio šios ligos rizikos faktorių. </w:t>
      </w:r>
    </w:p>
    <w:p w14:paraId="0EAE04C5" w14:textId="77777777" w:rsidR="00342622" w:rsidRPr="00907D70" w:rsidRDefault="00342622" w:rsidP="00342622">
      <w:pPr>
        <w:numPr>
          <w:ilvl w:val="1"/>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Raumenų skausmas, </w:t>
      </w:r>
      <w:r w:rsidRPr="00907D70">
        <w:rPr>
          <w:rFonts w:ascii="Times New Roman" w:hAnsi="Times New Roman"/>
          <w:color w:val="000000"/>
          <w:lang w:eastAsia="lt-LT"/>
        </w:rPr>
        <w:t xml:space="preserve">padidėjęs jautrumas ar silpnumas, ypač vartojant deriniuose su kitais vaistais. Retais atvejais šie raumenų sutrikimai buvo sunkūs. </w:t>
      </w:r>
    </w:p>
    <w:p w14:paraId="44F9A7B9" w14:textId="77777777" w:rsidR="00342622" w:rsidRPr="00907D70" w:rsidRDefault="00342622" w:rsidP="00342622">
      <w:pPr>
        <w:numPr>
          <w:ilvl w:val="1"/>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Galvos sukimasis, svaigulys, nualpimas ar nenormalaus širdies plakimo pojūtis. Lopinavir / Ritonavir Accord gali sukelti širdies ritmo ir širdies elektrinio aktyvumo pokyčius. Šie pokyčiai gali būti matomi EKG (elektrokardiogramoje). </w:t>
      </w:r>
    </w:p>
    <w:p w14:paraId="38A439DA"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0F4C2B47"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 xml:space="preserve">Kiti vaistai ir Lopinavir / Ritonavir Accord </w:t>
      </w:r>
    </w:p>
    <w:p w14:paraId="7824F66A"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3D0E467B" w14:textId="77777777" w:rsidR="00342622" w:rsidRPr="00907D70" w:rsidRDefault="00342622" w:rsidP="00342622">
      <w:pPr>
        <w:autoSpaceDE w:val="0"/>
        <w:autoSpaceDN w:val="0"/>
        <w:adjustRightInd w:val="0"/>
        <w:spacing w:after="0" w:line="240" w:lineRule="auto"/>
        <w:rPr>
          <w:rFonts w:ascii="Times New Roman" w:hAnsi="Times New Roman"/>
          <w:b/>
          <w:color w:val="000000"/>
          <w:lang w:eastAsia="lt-LT"/>
        </w:rPr>
      </w:pPr>
      <w:r w:rsidRPr="00907D70">
        <w:rPr>
          <w:rFonts w:ascii="Times New Roman" w:hAnsi="Times New Roman"/>
          <w:b/>
          <w:bCs/>
          <w:color w:val="000000"/>
          <w:lang w:eastAsia="lt-LT"/>
        </w:rPr>
        <w:t xml:space="preserve">Jeigu Jūs ar Jūsų vaikas vartojate ar neseniai vartojote kitų vaistų arba dėl to nesate tikri, apie tai pasakykite </w:t>
      </w:r>
      <w:r w:rsidRPr="00907D70">
        <w:rPr>
          <w:rFonts w:ascii="Times New Roman" w:hAnsi="Times New Roman"/>
          <w:b/>
          <w:bCs/>
          <w:color w:val="000000"/>
          <w:u w:val="single"/>
          <w:lang w:eastAsia="lt-LT"/>
        </w:rPr>
        <w:t>gydytojui arba vaistininkui:</w:t>
      </w:r>
      <w:r w:rsidRPr="00907D70">
        <w:rPr>
          <w:rFonts w:ascii="Times New Roman" w:hAnsi="Times New Roman"/>
          <w:b/>
          <w:bCs/>
          <w:color w:val="000000"/>
          <w:lang w:eastAsia="lt-LT"/>
        </w:rPr>
        <w:t xml:space="preserve"> </w:t>
      </w:r>
    </w:p>
    <w:p w14:paraId="67B2ADD4"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Antibiotikų (pvz., rifabutino, rifampicino, klaritromicino).</w:t>
      </w:r>
    </w:p>
    <w:p w14:paraId="4CC3935A" w14:textId="162BDB0E"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Priešvėžinių vaistų (pvz., </w:t>
      </w:r>
      <w:r w:rsidR="00EF6793" w:rsidRPr="00907D70">
        <w:rPr>
          <w:rFonts w:ascii="Times New Roman" w:hAnsi="Times New Roman"/>
          <w:color w:val="000000"/>
          <w:lang w:eastAsia="lt-LT"/>
        </w:rPr>
        <w:t xml:space="preserve">abemaciklibo, </w:t>
      </w:r>
      <w:r w:rsidRPr="00907D70">
        <w:rPr>
          <w:rFonts w:ascii="Times New Roman" w:hAnsi="Times New Roman"/>
          <w:color w:val="000000"/>
          <w:lang w:eastAsia="lt-LT"/>
        </w:rPr>
        <w:t xml:space="preserve">afatinibo, </w:t>
      </w:r>
      <w:r w:rsidR="00874EB4" w:rsidRPr="00907D70">
        <w:rPr>
          <w:rFonts w:ascii="Times New Roman" w:hAnsi="Times New Roman"/>
          <w:color w:val="000000"/>
          <w:lang w:eastAsia="lt-LT"/>
        </w:rPr>
        <w:t xml:space="preserve">apalutamido, </w:t>
      </w:r>
      <w:r w:rsidRPr="00907D70">
        <w:rPr>
          <w:rFonts w:ascii="Times New Roman" w:hAnsi="Times New Roman"/>
          <w:color w:val="000000"/>
          <w:lang w:eastAsia="lt-LT"/>
        </w:rPr>
        <w:t xml:space="preserve">ceritinibo, </w:t>
      </w:r>
      <w:r w:rsidR="00874EB4" w:rsidRPr="00907D70">
        <w:rPr>
          <w:rFonts w:ascii="Times New Roman" w:hAnsi="Times New Roman"/>
          <w:color w:val="000000"/>
          <w:lang w:eastAsia="lt-LT"/>
        </w:rPr>
        <w:t>en</w:t>
      </w:r>
      <w:r w:rsidR="00262D33" w:rsidRPr="00907D70">
        <w:rPr>
          <w:rFonts w:ascii="Times New Roman" w:hAnsi="Times New Roman"/>
          <w:color w:val="000000"/>
          <w:lang w:eastAsia="lt-LT"/>
        </w:rPr>
        <w:t>k</w:t>
      </w:r>
      <w:r w:rsidR="00874EB4" w:rsidRPr="00907D70">
        <w:rPr>
          <w:rFonts w:ascii="Times New Roman" w:hAnsi="Times New Roman"/>
          <w:color w:val="000000"/>
          <w:lang w:eastAsia="lt-LT"/>
        </w:rPr>
        <w:t xml:space="preserve">orafenibo, </w:t>
      </w:r>
      <w:r w:rsidR="00ED7953" w:rsidRPr="00907D70">
        <w:rPr>
          <w:rFonts w:ascii="Times New Roman" w:hAnsi="Times New Roman"/>
          <w:color w:val="000000"/>
          <w:lang w:eastAsia="lt-LT"/>
        </w:rPr>
        <w:t xml:space="preserve">ibrutinibo, </w:t>
      </w:r>
      <w:r w:rsidRPr="00907D70">
        <w:rPr>
          <w:rFonts w:ascii="Times New Roman" w:hAnsi="Times New Roman"/>
          <w:color w:val="000000"/>
          <w:lang w:eastAsia="lt-LT"/>
        </w:rPr>
        <w:t>venetoklakso, daugumos tirozino kinazių inhibitorių, tokių, kaip dazatinibas ir nilotinibas, taip pat vinkristino ir vinblastino).</w:t>
      </w:r>
    </w:p>
    <w:p w14:paraId="05F8CEC6"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Antikoaguliantų (pvz., varfarino, rivaroksabano, vorapaksaro).</w:t>
      </w:r>
    </w:p>
    <w:p w14:paraId="352124B3"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Antidepresantų (pvz., trazodono, bupropiono).</w:t>
      </w:r>
    </w:p>
    <w:p w14:paraId="5389A54B"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nuo epilepsijos (pvz., karbamazepino, fenitoino, fenobarbitalio, lamotrigino ir valproato).</w:t>
      </w:r>
    </w:p>
    <w:p w14:paraId="629705E9"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Priešgrybelinių vaistų (pvz., ketokonazolo, itrakonazolo, vorikonazolo).</w:t>
      </w:r>
    </w:p>
    <w:p w14:paraId="56CAA96A"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nuo podagros (pvz., kolchicino). Lopinavir / Ritonavir Accord negalima vartoti su kolchicinu, jei Jums yra sutrikusi inkstų ir (arba) kepenų veikla (taip pat žr. </w:t>
      </w:r>
      <w:r w:rsidRPr="00907D70">
        <w:rPr>
          <w:rFonts w:ascii="Times New Roman" w:eastAsia="Times New Roman" w:hAnsi="Times New Roman"/>
        </w:rPr>
        <w:t>aukščiau</w:t>
      </w:r>
      <w:r w:rsidRPr="00907D70">
        <w:rPr>
          <w:rFonts w:ascii="Times New Roman" w:eastAsia="Times New Roman" w:hAnsi="Times New Roman"/>
          <w:b/>
        </w:rPr>
        <w:t xml:space="preserve"> Lopinavir / Ritonavir Accord vartoti negalima</w:t>
      </w:r>
      <w:r w:rsidRPr="00907D70">
        <w:rPr>
          <w:rFonts w:ascii="Times New Roman" w:eastAsia="Times New Roman" w:hAnsi="Times New Roman"/>
        </w:rPr>
        <w:t>).</w:t>
      </w:r>
    </w:p>
    <w:p w14:paraId="37D22552"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Vaisto nuo tuberkuliozės (bedakvilino, delamadino).</w:t>
      </w:r>
    </w:p>
    <w:p w14:paraId="13EE7E27" w14:textId="452ACEE1"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Antivirusinio vaisto, vartojamo suaugusių žmonių lėtinio hepatito C (HCV) infekcijai gydyti (pvz., </w:t>
      </w:r>
      <w:r w:rsidR="00EF6793" w:rsidRPr="00907D70">
        <w:rPr>
          <w:rFonts w:ascii="Times New Roman" w:hAnsi="Times New Roman"/>
          <w:color w:val="000000"/>
          <w:lang w:eastAsia="lt-LT"/>
        </w:rPr>
        <w:t>glekapreviro / pibrentasviro,</w:t>
      </w:r>
      <w:r w:rsidRPr="00907D70">
        <w:rPr>
          <w:rFonts w:ascii="Times New Roman" w:hAnsi="Times New Roman"/>
          <w:color w:val="000000"/>
          <w:lang w:eastAsia="lt-LT"/>
        </w:rPr>
        <w:t xml:space="preserve"> simepreviro ir </w:t>
      </w:r>
      <w:r w:rsidR="00EF6793" w:rsidRPr="00907D70">
        <w:rPr>
          <w:rFonts w:ascii="Times New Roman" w:hAnsi="Times New Roman"/>
          <w:color w:val="000000"/>
          <w:lang w:eastAsia="lt-LT"/>
        </w:rPr>
        <w:t>sofosbuviro / velpatasviro / voksilapreviro</w:t>
      </w:r>
      <w:r w:rsidRPr="00907D70">
        <w:rPr>
          <w:rFonts w:ascii="Times New Roman" w:hAnsi="Times New Roman"/>
          <w:color w:val="000000"/>
          <w:lang w:eastAsia="lt-LT"/>
        </w:rPr>
        <w:t>).</w:t>
      </w:r>
    </w:p>
    <w:p w14:paraId="3F6A5CF5"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erekcijos sutrikimams gydyti (pvz., sildenafilio ir tadalafilio).</w:t>
      </w:r>
    </w:p>
    <w:p w14:paraId="6E7D0515" w14:textId="77777777" w:rsidR="00342622" w:rsidRPr="00907D70" w:rsidRDefault="00342622" w:rsidP="00342622">
      <w:pPr>
        <w:numPr>
          <w:ilvl w:val="1"/>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Fuzido rūgšties, vartojamos lėtinėms kaulų ir sąnarių infekcinėms ligoms (pvz., osteomielitui) gydyti.</w:t>
      </w:r>
    </w:p>
    <w:p w14:paraId="4D38EDEA" w14:textId="77777777" w:rsidR="00342622" w:rsidRPr="00907D70" w:rsidRDefault="00342622" w:rsidP="00342622">
      <w:pPr>
        <w:numPr>
          <w:ilvl w:val="0"/>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nuo širdies ligų, įskaitant: </w:t>
      </w:r>
    </w:p>
    <w:p w14:paraId="1C0C0A71" w14:textId="77777777" w:rsidR="00342622" w:rsidRPr="00907D70" w:rsidRDefault="00342622" w:rsidP="0034262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t xml:space="preserve">digoksiną; </w:t>
      </w:r>
    </w:p>
    <w:p w14:paraId="14F96220" w14:textId="77777777" w:rsidR="00342622" w:rsidRPr="00907D70" w:rsidRDefault="00342622" w:rsidP="0034262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t xml:space="preserve">kalcio kanalų blokatorius (pvz., felodipiną, nifedipiną, nikardipiną); </w:t>
      </w:r>
    </w:p>
    <w:p w14:paraId="3E362DA2" w14:textId="77777777" w:rsidR="00342622" w:rsidRPr="00907D70" w:rsidRDefault="00342622" w:rsidP="0034262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t>vaistus, vartojamus širdies ritmui koreguoti (pvz., bepridilį, sisteminio veikimo lidokainą, chinidiną).</w:t>
      </w:r>
    </w:p>
    <w:p w14:paraId="3F8168AF"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ŽIV CCR5 antagonisto (pvz., maraviroko).</w:t>
      </w:r>
    </w:p>
    <w:p w14:paraId="6299CA54" w14:textId="0E10FC7E"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ŽIV-1 integrazės inhibitoriaus (pvz., raltegraviro).</w:t>
      </w:r>
    </w:p>
    <w:p w14:paraId="3CB328F8" w14:textId="7C9047C2" w:rsidR="00957AA7" w:rsidRPr="00907D70" w:rsidRDefault="00957AA7"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w:t>
      </w:r>
      <w:r w:rsidR="002B6503" w:rsidRPr="00907D70">
        <w:rPr>
          <w:rFonts w:ascii="Times New Roman" w:hAnsi="Times New Roman"/>
          <w:color w:val="000000"/>
          <w:lang w:eastAsia="lt-LT"/>
        </w:rPr>
        <w:t>ų</w:t>
      </w:r>
      <w:r w:rsidRPr="00907D70">
        <w:rPr>
          <w:rFonts w:ascii="Times New Roman" w:hAnsi="Times New Roman"/>
          <w:color w:val="000000"/>
          <w:lang w:eastAsia="lt-LT"/>
        </w:rPr>
        <w:t>, vartojam</w:t>
      </w:r>
      <w:r w:rsidR="002B6503" w:rsidRPr="00907D70">
        <w:rPr>
          <w:rFonts w:ascii="Times New Roman" w:hAnsi="Times New Roman"/>
          <w:color w:val="000000"/>
          <w:lang w:eastAsia="lt-LT"/>
        </w:rPr>
        <w:t>ų</w:t>
      </w:r>
      <w:r w:rsidRPr="00907D70">
        <w:rPr>
          <w:rFonts w:ascii="Times New Roman" w:hAnsi="Times New Roman"/>
          <w:color w:val="000000"/>
          <w:lang w:eastAsia="lt-LT"/>
        </w:rPr>
        <w:t xml:space="preserve"> mažam trombocitų kiekiui kraujyje gydyti</w:t>
      </w:r>
      <w:r w:rsidR="002B6503" w:rsidRPr="00907D70">
        <w:rPr>
          <w:rFonts w:ascii="Times New Roman" w:hAnsi="Times New Roman"/>
          <w:color w:val="000000"/>
          <w:lang w:eastAsia="lt-LT"/>
        </w:rPr>
        <w:t xml:space="preserve"> (pvz., </w:t>
      </w:r>
      <w:r w:rsidR="002B6503" w:rsidRPr="00907D70">
        <w:rPr>
          <w:rFonts w:ascii="Times New Roman" w:hAnsi="Times New Roman"/>
          <w:color w:val="000000"/>
        </w:rPr>
        <w:t>fostamatinibo)</w:t>
      </w:r>
      <w:r w:rsidRPr="00907D70">
        <w:rPr>
          <w:rFonts w:ascii="Times New Roman" w:hAnsi="Times New Roman"/>
          <w:color w:val="000000"/>
          <w:lang w:eastAsia="lt-LT"/>
        </w:rPr>
        <w:t>.</w:t>
      </w:r>
    </w:p>
    <w:p w14:paraId="40F3E0AB"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Vaistų, vartojamų cholesterolio kiekiui kraujyje mažinti (pvz., atorvastatino, lovastatino, rozuvastatino ar simvastatino).</w:t>
      </w:r>
    </w:p>
    <w:p w14:paraId="66FEC607"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vartojamų astmai ar kitoms plaučių ligoms, pvz., lėtinei obstrukcinei plaučių ligai (LOPL), gydyti (pvz., salmeterolio).</w:t>
      </w:r>
    </w:p>
    <w:p w14:paraId="56FFE670"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vartojamų plautinei hipertenzijai (aukštam kraujospūdžiui plaučių arterijoje) gydyti (pvz., bozentano, riociguato, sildenafilio, tadalafilio).</w:t>
      </w:r>
    </w:p>
    <w:p w14:paraId="3238461B" w14:textId="3785183E"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Imuninę sistemą veikiančius vaistų, pvz., ciklosporino, sirolimuzo (rapamicino), takrolimuzo</w:t>
      </w:r>
      <w:r w:rsidR="002B6503" w:rsidRPr="00907D70">
        <w:rPr>
          <w:rFonts w:ascii="Times New Roman" w:hAnsi="Times New Roman"/>
          <w:color w:val="000000"/>
          <w:lang w:eastAsia="lt-LT"/>
        </w:rPr>
        <w:t>.</w:t>
      </w:r>
    </w:p>
    <w:p w14:paraId="33E65778"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vartojamų norint mesti rūkyti (pvz., bupropiono).</w:t>
      </w:r>
    </w:p>
    <w:p w14:paraId="26B67262"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Vaistų, vartojamų skausmui malšinti (pvz., fentanilio).</w:t>
      </w:r>
    </w:p>
    <w:p w14:paraId="404EE0A2"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Į morfiną panašių vaistų (pvz., metadono).</w:t>
      </w:r>
    </w:p>
    <w:p w14:paraId="2D0C882F"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Ne nukleozido atvirkštinės transkriptazės inhibitorių (NNATI), pvz., efavirenzo, nevirapino.</w:t>
      </w:r>
    </w:p>
    <w:p w14:paraId="54D14B0A" w14:textId="77777777" w:rsidR="00342622" w:rsidRPr="00907D70" w:rsidRDefault="00342622" w:rsidP="00342622">
      <w:pPr>
        <w:numPr>
          <w:ilvl w:val="1"/>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Geriamųjų kontraceptikų ar kontraceptinį pleistrą, vartojamą nėštumui išvengti (taip pat žr. skyrių toliau, pavadintą </w:t>
      </w:r>
      <w:r w:rsidRPr="00907D70">
        <w:rPr>
          <w:rFonts w:ascii="Times New Roman" w:hAnsi="Times New Roman"/>
          <w:b/>
          <w:color w:val="000000"/>
          <w:szCs w:val="24"/>
        </w:rPr>
        <w:t>„</w:t>
      </w:r>
      <w:r w:rsidRPr="00907D70">
        <w:rPr>
          <w:rFonts w:ascii="Times New Roman" w:hAnsi="Times New Roman"/>
          <w:b/>
          <w:bCs/>
          <w:color w:val="000000"/>
          <w:lang w:eastAsia="lt-LT"/>
        </w:rPr>
        <w:t>Kontraceptiniai preparatai“</w:t>
      </w:r>
      <w:r w:rsidRPr="00907D70">
        <w:rPr>
          <w:rFonts w:ascii="Times New Roman" w:hAnsi="Times New Roman"/>
          <w:color w:val="000000"/>
          <w:lang w:eastAsia="lt-LT"/>
        </w:rPr>
        <w:t>).</w:t>
      </w:r>
    </w:p>
    <w:p w14:paraId="7C38A1E9" w14:textId="77777777" w:rsidR="00342622" w:rsidRPr="00907D70" w:rsidRDefault="00342622" w:rsidP="00342622">
      <w:pPr>
        <w:numPr>
          <w:ilvl w:val="1"/>
          <w:numId w:val="14"/>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Proteazių inhibitorių (pvz.,  fosamprenaviro, indinaviro, ritonaviro, sakvinaviro, tipranaviro).</w:t>
      </w:r>
    </w:p>
    <w:p w14:paraId="23A85B56" w14:textId="77777777" w:rsidR="00342622" w:rsidRPr="00907D70" w:rsidRDefault="00342622" w:rsidP="00342622">
      <w:pPr>
        <w:numPr>
          <w:ilvl w:val="1"/>
          <w:numId w:val="14"/>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Raminamųjų preparatų (pvz., injekcijomis vartojamo midazolamo).</w:t>
      </w:r>
    </w:p>
    <w:p w14:paraId="0CC4B71B" w14:textId="148A349F" w:rsidR="00342622" w:rsidRPr="00907D70" w:rsidRDefault="00342622" w:rsidP="00342622">
      <w:pPr>
        <w:numPr>
          <w:ilvl w:val="1"/>
          <w:numId w:val="14"/>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Steroidų (pvz., budezonido, deksametazono, flutikazono propionato, etinilestradiolio, triamcinolono)</w:t>
      </w:r>
      <w:r w:rsidR="00104C36" w:rsidRPr="00907D70">
        <w:rPr>
          <w:rFonts w:ascii="Times New Roman" w:hAnsi="Times New Roman"/>
          <w:color w:val="000000"/>
          <w:lang w:eastAsia="lt-LT"/>
        </w:rPr>
        <w:t>;</w:t>
      </w:r>
    </w:p>
    <w:p w14:paraId="71B13782" w14:textId="52BEBC4A" w:rsidR="00CF0F06" w:rsidRPr="00907D70" w:rsidRDefault="00CF0F06" w:rsidP="00AA3DB6">
      <w:pPr>
        <w:numPr>
          <w:ilvl w:val="1"/>
          <w:numId w:val="14"/>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Levotiroksin</w:t>
      </w:r>
      <w:r w:rsidR="00104C36" w:rsidRPr="00907D70">
        <w:rPr>
          <w:rFonts w:ascii="Times New Roman" w:hAnsi="Times New Roman"/>
          <w:color w:val="000000"/>
          <w:lang w:eastAsia="lt-LT"/>
        </w:rPr>
        <w:t>o</w:t>
      </w:r>
      <w:r w:rsidRPr="00907D70">
        <w:rPr>
          <w:rFonts w:ascii="Times New Roman" w:hAnsi="Times New Roman"/>
          <w:color w:val="000000"/>
          <w:lang w:eastAsia="lt-LT"/>
        </w:rPr>
        <w:t xml:space="preserve"> (vartojam</w:t>
      </w:r>
      <w:r w:rsidR="00104C36" w:rsidRPr="00907D70">
        <w:rPr>
          <w:rFonts w:ascii="Times New Roman" w:hAnsi="Times New Roman"/>
          <w:color w:val="000000"/>
          <w:lang w:eastAsia="lt-LT"/>
        </w:rPr>
        <w:t>o</w:t>
      </w:r>
      <w:r w:rsidRPr="00907D70">
        <w:rPr>
          <w:rFonts w:ascii="Times New Roman" w:hAnsi="Times New Roman"/>
          <w:color w:val="000000"/>
          <w:lang w:eastAsia="lt-LT"/>
        </w:rPr>
        <w:t xml:space="preserve"> skydliaukės sutrikimams gydyti)</w:t>
      </w:r>
      <w:r w:rsidR="00104C36" w:rsidRPr="00907D70">
        <w:rPr>
          <w:rFonts w:ascii="Times New Roman" w:hAnsi="Times New Roman"/>
          <w:color w:val="000000"/>
          <w:lang w:eastAsia="lt-LT"/>
        </w:rPr>
        <w:t>.</w:t>
      </w:r>
    </w:p>
    <w:p w14:paraId="36AB78FA"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6B4CE74F"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Perskaitykite vaistų sąrašą pirmesniame skyriuje „Nevartokite</w:t>
      </w:r>
      <w:r w:rsidRPr="00907D70">
        <w:rPr>
          <w:rFonts w:ascii="Times New Roman" w:eastAsia="Times New Roman" w:hAnsi="Times New Roman"/>
          <w:b/>
        </w:rPr>
        <w:t xml:space="preserve"> Lopinavir / Ritonavir Accord </w:t>
      </w:r>
      <w:r w:rsidRPr="00907D70">
        <w:rPr>
          <w:rFonts w:ascii="Times New Roman" w:hAnsi="Times New Roman"/>
          <w:b/>
          <w:bCs/>
          <w:color w:val="000000"/>
          <w:lang w:eastAsia="lt-LT"/>
        </w:rPr>
        <w:t xml:space="preserve">kartu su bet kuriuo iš šių vaistų“ </w:t>
      </w:r>
      <w:r w:rsidRPr="00907D70">
        <w:rPr>
          <w:rFonts w:ascii="Times New Roman" w:hAnsi="Times New Roman"/>
          <w:color w:val="000000"/>
          <w:lang w:eastAsia="lt-LT"/>
        </w:rPr>
        <w:t xml:space="preserve">tam, kad sužinotumėte, kurių vaistų negalima vartoti kartu su Lopinavir / Ritonavir Accord. </w:t>
      </w:r>
    </w:p>
    <w:p w14:paraId="0052AF66"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7F1F8C88"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Jeigu Jūs ar Jūsų vaikas vartojate, neseniai vartojote ar galėjote vartoti kitų vaistų, įskaitant įsigytus be recepto, arba dėl to nesate tikri pasakykite gydytojui arba vaistininkui. </w:t>
      </w:r>
    </w:p>
    <w:p w14:paraId="785F2B40"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760B2969"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Vaistai erekcijos sutrikimams gydyti (avanafilis, vardenafilis, sildenafilis, tadalafilis)</w:t>
      </w:r>
    </w:p>
    <w:p w14:paraId="2540A864"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3C88D8EC" w14:textId="77777777" w:rsidR="00342622" w:rsidRPr="00907D70" w:rsidRDefault="00342622" w:rsidP="00342622">
      <w:pPr>
        <w:numPr>
          <w:ilvl w:val="1"/>
          <w:numId w:val="15"/>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Nevartokite </w:t>
      </w:r>
      <w:r w:rsidRPr="00907D70">
        <w:rPr>
          <w:rFonts w:ascii="Times New Roman" w:eastAsia="Times New Roman" w:hAnsi="Times New Roman"/>
          <w:b/>
        </w:rPr>
        <w:t>Lopinavir / Ritonavir Accord</w:t>
      </w:r>
      <w:r w:rsidRPr="00907D70">
        <w:rPr>
          <w:rFonts w:ascii="Times New Roman" w:hAnsi="Times New Roman"/>
          <w:b/>
          <w:bCs/>
          <w:color w:val="000000"/>
          <w:lang w:eastAsia="lt-LT"/>
        </w:rPr>
        <w:t xml:space="preserve">, </w:t>
      </w:r>
      <w:r w:rsidRPr="00907D70">
        <w:rPr>
          <w:rFonts w:ascii="Times New Roman" w:hAnsi="Times New Roman"/>
          <w:color w:val="000000"/>
          <w:lang w:eastAsia="lt-LT"/>
        </w:rPr>
        <w:t xml:space="preserve">jei šiuo metu vartojate avanafilio ar vardenafilio. </w:t>
      </w:r>
    </w:p>
    <w:p w14:paraId="68F6B258" w14:textId="77777777" w:rsidR="00342622" w:rsidRPr="00907D70" w:rsidRDefault="00342622" w:rsidP="00342622">
      <w:pPr>
        <w:numPr>
          <w:ilvl w:val="1"/>
          <w:numId w:val="15"/>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eastAsia="Times New Roman" w:hAnsi="Times New Roman"/>
        </w:rPr>
        <w:t xml:space="preserve">Lopinavir / Ritonavir Accord </w:t>
      </w:r>
      <w:r w:rsidRPr="00907D70">
        <w:rPr>
          <w:rFonts w:ascii="Times New Roman" w:hAnsi="Times New Roman"/>
          <w:color w:val="000000"/>
          <w:lang w:eastAsia="lt-LT"/>
        </w:rPr>
        <w:t>ir sildenafilio, jeigu juo gydoma plautinė hipertenzija (aukštas kraujospūdis plaučių arterijoje) (žr. pirmesnį skyrių „</w:t>
      </w:r>
      <w:r w:rsidRPr="00907D70">
        <w:rPr>
          <w:rFonts w:ascii="Times New Roman" w:hAnsi="Times New Roman"/>
          <w:b/>
          <w:color w:val="000000"/>
          <w:lang w:eastAsia="lt-LT"/>
        </w:rPr>
        <w:t>Lopinavir / Ritonavir Accord vartoti negalima</w:t>
      </w:r>
      <w:r w:rsidRPr="00907D70">
        <w:rPr>
          <w:rFonts w:ascii="Times New Roman" w:hAnsi="Times New Roman"/>
          <w:color w:val="000000"/>
          <w:lang w:eastAsia="lt-LT"/>
        </w:rPr>
        <w:t xml:space="preserve">“), kartu vartoti draudžiama. </w:t>
      </w:r>
    </w:p>
    <w:p w14:paraId="5B24C74A" w14:textId="77777777" w:rsidR="00342622" w:rsidRPr="00907D70" w:rsidRDefault="00342622" w:rsidP="00342622">
      <w:pPr>
        <w:numPr>
          <w:ilvl w:val="1"/>
          <w:numId w:val="15"/>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 vartojate sildenafilio ar tadalafilio kartu su Lopinavir / Ritonavir Accord, Jums gali būti didesnė šalutinio poveikio, tokio, kaip žemas kraujospūdis, nualpimas, regos pokyčiai ir varpos erekcija, trunkanti daugiau nei 4 valandas, rizika. Jeigu erekcija trunka daugiau nei 4 valandas, turite </w:t>
      </w:r>
      <w:r w:rsidRPr="00907D70">
        <w:rPr>
          <w:rFonts w:ascii="Times New Roman" w:hAnsi="Times New Roman"/>
          <w:b/>
          <w:bCs/>
          <w:color w:val="000000"/>
          <w:lang w:eastAsia="lt-LT"/>
        </w:rPr>
        <w:t xml:space="preserve">nedelsiant </w:t>
      </w:r>
      <w:r w:rsidRPr="00907D70">
        <w:rPr>
          <w:rFonts w:ascii="Times New Roman" w:hAnsi="Times New Roman"/>
          <w:color w:val="000000"/>
          <w:lang w:eastAsia="lt-LT"/>
        </w:rPr>
        <w:t xml:space="preserve">kreiptis medicininės pagalbos, kad išvengtumėte negrįžtamo varpos pakenkimo. Gydytojas Jums gali paaiškinti šiuos simptomus. </w:t>
      </w:r>
    </w:p>
    <w:p w14:paraId="2CFE3C3F"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305A18FA"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Kontraceptiniai preparatai</w:t>
      </w:r>
    </w:p>
    <w:p w14:paraId="0B7CEB5E"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525E1FA2" w14:textId="77777777" w:rsidR="00342622" w:rsidRPr="00907D70" w:rsidRDefault="00342622" w:rsidP="00342622">
      <w:pPr>
        <w:numPr>
          <w:ilvl w:val="0"/>
          <w:numId w:val="16"/>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 vartojate geriamųjų kontraceptikų ar naudojate kontraceptinį pleistrą, Jums reikės papildomų ar kitokių kontracepcijos priemonių (pvz., prezervatyvo), nes Lopinavir / Ritonavir Accord gali sumažinti geriamųjų kontraceptikų ir kontraceptinių pleistrų veiksmingumą. </w:t>
      </w:r>
    </w:p>
    <w:p w14:paraId="7FF06350" w14:textId="77777777" w:rsidR="00342622" w:rsidRPr="00907D70" w:rsidRDefault="00342622" w:rsidP="00342622">
      <w:pPr>
        <w:numPr>
          <w:ilvl w:val="0"/>
          <w:numId w:val="16"/>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Lopinavir / Ritonavir Accord nesumažina ŽIV perdavimo kitiems rizikos. Reikia vartoti atitinkamas apsaugos priemones (pvz., naudoti prezervatyvą), kad liga nebūtų perduota lytinio kontakto metu.</w:t>
      </w:r>
    </w:p>
    <w:p w14:paraId="441EEF9F" w14:textId="77777777" w:rsidR="00342622" w:rsidRPr="00907D70" w:rsidRDefault="00342622" w:rsidP="00342622">
      <w:pPr>
        <w:tabs>
          <w:tab w:val="left" w:pos="567"/>
        </w:tabs>
        <w:spacing w:after="0" w:line="240" w:lineRule="auto"/>
        <w:rPr>
          <w:rFonts w:ascii="Times New Roman" w:eastAsia="Times New Roman" w:hAnsi="Times New Roman"/>
          <w:b/>
        </w:rPr>
      </w:pPr>
    </w:p>
    <w:p w14:paraId="71DB6E77"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Nėštumo ir žindymo laikotarpis</w:t>
      </w:r>
    </w:p>
    <w:p w14:paraId="0A29C4EB"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7F741E3E" w14:textId="77777777" w:rsidR="00342622" w:rsidRPr="00907D70" w:rsidRDefault="00342622" w:rsidP="00342622">
      <w:pPr>
        <w:numPr>
          <w:ilvl w:val="0"/>
          <w:numId w:val="1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Nedelsdama</w:t>
      </w:r>
      <w:r w:rsidRPr="00907D70">
        <w:rPr>
          <w:rFonts w:ascii="Times New Roman" w:hAnsi="Times New Roman"/>
          <w:bCs/>
          <w:color w:val="000000"/>
          <w:lang w:eastAsia="lt-LT"/>
        </w:rPr>
        <w:t xml:space="preserve"> </w:t>
      </w:r>
      <w:r w:rsidRPr="00907D70">
        <w:rPr>
          <w:rFonts w:ascii="Times New Roman" w:hAnsi="Times New Roman"/>
          <w:color w:val="000000"/>
          <w:lang w:eastAsia="lt-LT"/>
        </w:rPr>
        <w:t>pasakykite gydytojui, jei planuojate susilaukti kūdikio, esate nėščia, manote, jog pastojote, taip pat, jei žindote kūdikį.</w:t>
      </w:r>
    </w:p>
    <w:p w14:paraId="24B93D8A" w14:textId="77777777" w:rsidR="00342622" w:rsidRPr="00907D70" w:rsidRDefault="00342622" w:rsidP="00342622">
      <w:pPr>
        <w:numPr>
          <w:ilvl w:val="0"/>
          <w:numId w:val="1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Žindyvėms negalima vartoti Lopinavir / Ritonavir Accord, nebent būtų konkrečiai nurodyta gydytojo.</w:t>
      </w:r>
    </w:p>
    <w:p w14:paraId="717AAB46" w14:textId="77777777" w:rsidR="00342622" w:rsidRPr="00907D70" w:rsidRDefault="00342622" w:rsidP="00342622">
      <w:pPr>
        <w:numPr>
          <w:ilvl w:val="0"/>
          <w:numId w:val="1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ŽIV infekuotoms motinoms nerekomenduojama žindyti savo kūdikio, nes yra galimybė jį su pienu užkrėsti ŽIV.</w:t>
      </w:r>
    </w:p>
    <w:p w14:paraId="0A099BF6"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2DB0E5D7"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Vairavimas ir mechanizmų valdymas</w:t>
      </w:r>
    </w:p>
    <w:p w14:paraId="766E28CB" w14:textId="77777777"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p>
    <w:p w14:paraId="7B1FDCB8" w14:textId="57483CB9" w:rsidR="00342622" w:rsidRPr="00907D70" w:rsidRDefault="00342622" w:rsidP="0034262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Lopinavir / Ritonavir Accord galimas poveikis gebėjimui vairuoti automobilį ar valdyti mechanizmus specialiai netirtas. Nevairuokite automobilio ir nevaldykite mechanizmų, jei pasireiškė bet koks šalutinis poveikis (pvz., pykinimas), kuri</w:t>
      </w:r>
      <w:r w:rsidR="00E04F91" w:rsidRPr="00907D70">
        <w:rPr>
          <w:rFonts w:ascii="Times New Roman" w:hAnsi="Times New Roman"/>
          <w:color w:val="000000"/>
          <w:lang w:eastAsia="lt-LT"/>
        </w:rPr>
        <w:t>s</w:t>
      </w:r>
      <w:r w:rsidRPr="00907D70">
        <w:rPr>
          <w:rFonts w:ascii="Times New Roman" w:hAnsi="Times New Roman"/>
          <w:color w:val="000000"/>
          <w:lang w:eastAsia="lt-LT"/>
        </w:rPr>
        <w:t xml:space="preserve"> gali paveikti Jūsų gebėjimą tai daryti saugiai. Vietoj to, kreipkitės į gydytoją. </w:t>
      </w:r>
    </w:p>
    <w:p w14:paraId="10636B1E" w14:textId="77777777" w:rsidR="00342622" w:rsidRPr="00907D70" w:rsidRDefault="00342622" w:rsidP="00342622">
      <w:pPr>
        <w:autoSpaceDE w:val="0"/>
        <w:autoSpaceDN w:val="0"/>
        <w:adjustRightInd w:val="0"/>
        <w:spacing w:after="0" w:line="240" w:lineRule="auto"/>
        <w:rPr>
          <w:rFonts w:ascii="Times New Roman" w:hAnsi="Times New Roman"/>
          <w:b/>
          <w:bCs/>
          <w:color w:val="000000"/>
          <w:lang w:eastAsia="lt-LT"/>
        </w:rPr>
      </w:pPr>
    </w:p>
    <w:p w14:paraId="51112382" w14:textId="77777777" w:rsidR="00342622" w:rsidRPr="00907D70" w:rsidRDefault="00342622" w:rsidP="00342622">
      <w:pPr>
        <w:spacing w:after="0" w:line="240" w:lineRule="auto"/>
        <w:rPr>
          <w:rFonts w:ascii="Times New Roman" w:eastAsia="Times New Roman" w:hAnsi="Times New Roman"/>
        </w:rPr>
      </w:pPr>
    </w:p>
    <w:p w14:paraId="198C0241" w14:textId="77777777" w:rsidR="00342622" w:rsidRPr="00907D70" w:rsidRDefault="00342622" w:rsidP="00342622">
      <w:pPr>
        <w:keepNext/>
        <w:keepLines/>
        <w:spacing w:after="0" w:line="240" w:lineRule="auto"/>
        <w:ind w:left="540" w:hanging="540"/>
        <w:rPr>
          <w:rFonts w:ascii="Times New Roman" w:eastAsia="Times New Roman" w:hAnsi="Times New Roman"/>
          <w:b/>
          <w:bCs/>
          <w:i/>
          <w:iCs/>
        </w:rPr>
      </w:pPr>
      <w:r w:rsidRPr="00907D70">
        <w:rPr>
          <w:rFonts w:ascii="Times New Roman" w:eastAsia="Times New Roman" w:hAnsi="Times New Roman"/>
          <w:b/>
          <w:bCs/>
        </w:rPr>
        <w:t>3.</w:t>
      </w:r>
      <w:r w:rsidRPr="00907D70">
        <w:rPr>
          <w:rFonts w:ascii="Times New Roman" w:eastAsia="Times New Roman" w:hAnsi="Times New Roman"/>
          <w:b/>
          <w:bCs/>
        </w:rPr>
        <w:tab/>
        <w:t>Kaip vartoti Lopinavir / Ritonavir Accord</w:t>
      </w:r>
    </w:p>
    <w:p w14:paraId="2B3F2ACA" w14:textId="77777777" w:rsidR="00342622" w:rsidRPr="00907D70" w:rsidRDefault="00342622" w:rsidP="00342622">
      <w:pPr>
        <w:keepNext/>
        <w:keepLines/>
        <w:spacing w:after="0" w:line="240" w:lineRule="auto"/>
        <w:rPr>
          <w:rFonts w:ascii="Times New Roman" w:eastAsia="Times New Roman" w:hAnsi="Times New Roman"/>
        </w:rPr>
      </w:pPr>
    </w:p>
    <w:p w14:paraId="3159638C" w14:textId="77777777" w:rsidR="00342622" w:rsidRPr="00907D70" w:rsidRDefault="00342622" w:rsidP="0034262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07D70">
        <w:rPr>
          <w:rFonts w:ascii="Times New Roman" w:eastAsia="Times New Roman" w:hAnsi="Times New Roman"/>
        </w:rPr>
        <w:t xml:space="preserve">Yra svarbu, kad </w:t>
      </w:r>
      <w:r w:rsidRPr="00907D70">
        <w:rPr>
          <w:rFonts w:ascii="Times New Roman" w:hAnsi="Times New Roman"/>
          <w:color w:val="000000"/>
          <w:lang w:eastAsia="lt-LT"/>
        </w:rPr>
        <w:t xml:space="preserve">Lopinavir / Ritonavir Accord </w:t>
      </w:r>
      <w:r w:rsidRPr="00907D70">
        <w:rPr>
          <w:rFonts w:ascii="Times New Roman" w:eastAsia="Times New Roman" w:hAnsi="Times New Roman"/>
        </w:rPr>
        <w:t>tabletės būtų nuryjamos nepažeistos. Jų negalima kramtyti, laužyti ar smulkinti.</w:t>
      </w:r>
    </w:p>
    <w:p w14:paraId="4D4CB55F" w14:textId="77777777" w:rsidR="00342622" w:rsidRPr="00907D70" w:rsidRDefault="00342622" w:rsidP="00342622">
      <w:pPr>
        <w:keepNext/>
        <w:keepLines/>
        <w:spacing w:after="0" w:line="240" w:lineRule="auto"/>
        <w:rPr>
          <w:rFonts w:ascii="Times New Roman" w:eastAsia="Times New Roman" w:hAnsi="Times New Roman"/>
        </w:rPr>
      </w:pPr>
    </w:p>
    <w:p w14:paraId="12D6CA3E" w14:textId="15117428" w:rsidR="00342622" w:rsidRPr="00907D70" w:rsidRDefault="00342622" w:rsidP="00342622">
      <w:pPr>
        <w:numPr>
          <w:ilvl w:val="0"/>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Šį vaistą visada vartokite</w:t>
      </w:r>
      <w:r w:rsidRPr="00907D70">
        <w:rPr>
          <w:rFonts w:ascii="Times New Roman" w:hAnsi="Times New Roman"/>
        </w:rPr>
        <w:t xml:space="preserve"> </w:t>
      </w:r>
      <w:r w:rsidRPr="00907D70">
        <w:rPr>
          <w:rFonts w:ascii="Times New Roman" w:eastAsia="Times New Roman" w:hAnsi="Times New Roman"/>
        </w:rPr>
        <w:t>tiksliai kaip nurodė gydytojas.</w:t>
      </w:r>
    </w:p>
    <w:p w14:paraId="55196000" w14:textId="77777777" w:rsidR="00342622" w:rsidRPr="00907D70" w:rsidRDefault="00342622" w:rsidP="00342622">
      <w:pPr>
        <w:numPr>
          <w:ilvl w:val="0"/>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Jeigu abejojate, kaip reikia vartoti šį vaistą, kreipkitės į gydytoją arba vaistininką. </w:t>
      </w:r>
    </w:p>
    <w:p w14:paraId="4984B1AC" w14:textId="77777777" w:rsidR="00342622" w:rsidRPr="00907D70" w:rsidRDefault="00342622" w:rsidP="00342622">
      <w:pPr>
        <w:spacing w:after="0" w:line="240" w:lineRule="auto"/>
        <w:rPr>
          <w:rFonts w:ascii="Times New Roman" w:eastAsia="Times New Roman" w:hAnsi="Times New Roman"/>
        </w:rPr>
      </w:pPr>
    </w:p>
    <w:p w14:paraId="02A0ECE1"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 xml:space="preserve">Kiek </w:t>
      </w:r>
      <w:r w:rsidRPr="00907D70">
        <w:rPr>
          <w:rFonts w:ascii="Times New Roman" w:hAnsi="Times New Roman"/>
          <w:b/>
          <w:color w:val="000000"/>
          <w:lang w:eastAsia="lt-LT"/>
        </w:rPr>
        <w:t xml:space="preserve">Lopinavir / Ritonavir Accord </w:t>
      </w:r>
      <w:r w:rsidRPr="00907D70">
        <w:rPr>
          <w:rFonts w:ascii="Times New Roman" w:eastAsia="Times New Roman" w:hAnsi="Times New Roman"/>
          <w:b/>
        </w:rPr>
        <w:t>vartoti ir kada?</w:t>
      </w:r>
    </w:p>
    <w:p w14:paraId="72AC1B99" w14:textId="77777777" w:rsidR="00342622" w:rsidRPr="00907D70" w:rsidRDefault="00342622" w:rsidP="00342622">
      <w:pPr>
        <w:spacing w:after="0" w:line="240" w:lineRule="auto"/>
        <w:rPr>
          <w:rFonts w:ascii="Times New Roman" w:eastAsia="Times New Roman" w:hAnsi="Times New Roman"/>
        </w:rPr>
      </w:pPr>
    </w:p>
    <w:p w14:paraId="4FABAEB3"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Vartojimas suaugusiesiems</w:t>
      </w:r>
    </w:p>
    <w:p w14:paraId="0859EC03" w14:textId="77777777" w:rsidR="00342622" w:rsidRPr="00907D70" w:rsidRDefault="00342622" w:rsidP="00342622">
      <w:pPr>
        <w:numPr>
          <w:ilvl w:val="0"/>
          <w:numId w:val="19"/>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Įprastinė suaugusiųjų dozė yra po 400 mg/100 mg du kartus per parą, t. y. kas 12 valandų, derinyje su kitais vaistais nuo ŽIV. Suaugusieji pacientai, kurie iki šiol nebuvo gydyti antiretrovirusiniais vaistais, gali vartoti </w:t>
      </w:r>
      <w:r w:rsidRPr="00907D70">
        <w:rPr>
          <w:rFonts w:ascii="Times New Roman" w:hAnsi="Times New Roman"/>
          <w:color w:val="000000"/>
          <w:lang w:eastAsia="lt-LT"/>
        </w:rPr>
        <w:t>Lopinavir / Ritonavir Accord tablečių</w:t>
      </w:r>
      <w:r w:rsidRPr="00907D70">
        <w:rPr>
          <w:rFonts w:ascii="Times New Roman" w:eastAsia="Times New Roman" w:hAnsi="Times New Roman"/>
        </w:rPr>
        <w:t xml:space="preserve"> 800 mg/200 mg dozę kartą per parą. Gydytojas patars, kiek tablečių reikia gerti. Suaugusieji pacientai, kurie anksčiau jau buvo gydyti kitais antivirusiniais vaistais, gali vartoti </w:t>
      </w:r>
      <w:r w:rsidRPr="00907D70">
        <w:rPr>
          <w:rFonts w:ascii="Times New Roman" w:hAnsi="Times New Roman"/>
          <w:color w:val="000000"/>
          <w:lang w:eastAsia="lt-LT"/>
        </w:rPr>
        <w:t xml:space="preserve">Lopinavir / Ritonavir Accord </w:t>
      </w:r>
      <w:r w:rsidRPr="00907D70">
        <w:rPr>
          <w:rFonts w:ascii="Times New Roman" w:eastAsia="Times New Roman" w:hAnsi="Times New Roman"/>
        </w:rPr>
        <w:t>tablečių 800 mg/200 mg dozę vieną kartą per parą, jei gydytojas nusprendžia, kad toks gydymas tinka.</w:t>
      </w:r>
    </w:p>
    <w:p w14:paraId="7CBFE08A" w14:textId="77777777" w:rsidR="00342622" w:rsidRPr="00907D70" w:rsidRDefault="00342622" w:rsidP="00342622">
      <w:pPr>
        <w:numPr>
          <w:ilvl w:val="0"/>
          <w:numId w:val="19"/>
        </w:numPr>
        <w:spacing w:after="0" w:line="240" w:lineRule="auto"/>
        <w:ind w:left="567" w:hanging="567"/>
        <w:rPr>
          <w:rFonts w:ascii="Times New Roman" w:eastAsia="Times New Roman" w:hAnsi="Times New Roman"/>
        </w:rPr>
      </w:pPr>
      <w:r w:rsidRPr="00907D70">
        <w:rPr>
          <w:rFonts w:ascii="Times New Roman" w:hAnsi="Times New Roman"/>
          <w:color w:val="000000"/>
          <w:lang w:eastAsia="lt-LT"/>
        </w:rPr>
        <w:t>Lopinavir / Ritonavir Accord paros dozės</w:t>
      </w:r>
      <w:r w:rsidRPr="00907D70">
        <w:rPr>
          <w:rFonts w:ascii="Times New Roman" w:eastAsia="Times New Roman" w:hAnsi="Times New Roman"/>
        </w:rPr>
        <w:t xml:space="preserve"> negalima išgerti per vieną kartą, jeigu kartu su šiuo vaistu vartojama efavirenzo, nevirapino,  karbamazepino, fenobarbitalio ir fenitoino.</w:t>
      </w:r>
    </w:p>
    <w:p w14:paraId="681609D6" w14:textId="77777777" w:rsidR="00342622" w:rsidRPr="00907D70" w:rsidRDefault="00342622" w:rsidP="00342622">
      <w:pPr>
        <w:numPr>
          <w:ilvl w:val="0"/>
          <w:numId w:val="19"/>
        </w:numPr>
        <w:spacing w:after="0" w:line="240" w:lineRule="auto"/>
        <w:ind w:left="567" w:hanging="567"/>
        <w:rPr>
          <w:rFonts w:ascii="Times New Roman" w:eastAsia="Times New Roman" w:hAnsi="Times New Roman"/>
        </w:rPr>
      </w:pPr>
      <w:r w:rsidRPr="00907D70">
        <w:rPr>
          <w:rFonts w:ascii="Times New Roman" w:hAnsi="Times New Roman"/>
          <w:color w:val="000000"/>
          <w:lang w:eastAsia="lt-LT"/>
        </w:rPr>
        <w:t xml:space="preserve">Lopinavir / Ritonavir Accord </w:t>
      </w:r>
      <w:r w:rsidRPr="00907D70">
        <w:rPr>
          <w:rFonts w:ascii="Times New Roman" w:eastAsia="Times New Roman" w:hAnsi="Times New Roman"/>
        </w:rPr>
        <w:t>tablečių galima gerti valgant ar kitu laiku.</w:t>
      </w:r>
    </w:p>
    <w:p w14:paraId="308452C0" w14:textId="77777777" w:rsidR="00342622" w:rsidRPr="00907D70" w:rsidRDefault="00342622" w:rsidP="00342622">
      <w:pPr>
        <w:spacing w:after="0" w:line="240" w:lineRule="auto"/>
        <w:rPr>
          <w:rFonts w:ascii="Times New Roman" w:eastAsia="Times New Roman" w:hAnsi="Times New Roman"/>
        </w:rPr>
      </w:pPr>
    </w:p>
    <w:p w14:paraId="5F675AD4"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Vartojimas vaikams</w:t>
      </w:r>
    </w:p>
    <w:p w14:paraId="1B145102" w14:textId="77777777" w:rsidR="00342622" w:rsidRPr="00907D70" w:rsidRDefault="00342622" w:rsidP="0034262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Vaikams gydytojas parinks reikiamą dozę (tablečių kiekį), atsižvelgdamas į vaiko ūgį ir svorį.</w:t>
      </w:r>
    </w:p>
    <w:p w14:paraId="757472F8" w14:textId="77777777" w:rsidR="00342622" w:rsidRPr="00907D70" w:rsidRDefault="00342622" w:rsidP="00342622">
      <w:pPr>
        <w:numPr>
          <w:ilvl w:val="0"/>
          <w:numId w:val="19"/>
        </w:numPr>
        <w:spacing w:after="0" w:line="240" w:lineRule="auto"/>
        <w:ind w:left="567" w:hanging="567"/>
        <w:rPr>
          <w:rFonts w:ascii="Times New Roman" w:eastAsia="Times New Roman" w:hAnsi="Times New Roman"/>
        </w:rPr>
      </w:pPr>
      <w:r w:rsidRPr="00907D70">
        <w:rPr>
          <w:rFonts w:ascii="Times New Roman" w:hAnsi="Times New Roman"/>
          <w:color w:val="000000"/>
          <w:lang w:eastAsia="lt-LT"/>
        </w:rPr>
        <w:t xml:space="preserve">Lopinavir / Ritonavir Accord </w:t>
      </w:r>
      <w:r w:rsidRPr="00907D70">
        <w:rPr>
          <w:rFonts w:ascii="Times New Roman" w:eastAsia="Times New Roman" w:hAnsi="Times New Roman"/>
        </w:rPr>
        <w:t>tablečių galima gerti valgant ar kitu laiku.</w:t>
      </w:r>
    </w:p>
    <w:p w14:paraId="0F6B8B9C" w14:textId="77777777" w:rsidR="00342622" w:rsidRPr="00907D70" w:rsidRDefault="00342622" w:rsidP="00342622">
      <w:pPr>
        <w:spacing w:after="0" w:line="240" w:lineRule="auto"/>
        <w:rPr>
          <w:rFonts w:ascii="Times New Roman" w:eastAsia="Times New Roman" w:hAnsi="Times New Roman"/>
        </w:rPr>
      </w:pPr>
    </w:p>
    <w:p w14:paraId="2BD7885C" w14:textId="094E6B30"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Ką daryti</w:t>
      </w:r>
      <w:r w:rsidR="00E04F91" w:rsidRPr="00907D70">
        <w:rPr>
          <w:rFonts w:ascii="Times New Roman" w:eastAsia="Times New Roman" w:hAnsi="Times New Roman"/>
          <w:b/>
        </w:rPr>
        <w:t>,</w:t>
      </w:r>
      <w:r w:rsidRPr="00907D70">
        <w:rPr>
          <w:rFonts w:ascii="Times New Roman" w:eastAsia="Times New Roman" w:hAnsi="Times New Roman"/>
          <w:b/>
        </w:rPr>
        <w:t xml:space="preserve"> jei Jūs ar Jūsų vaikas pavartojo per didelę Lopinavir / Ritonavir Accord dozę?</w:t>
      </w:r>
    </w:p>
    <w:p w14:paraId="0696FD1A" w14:textId="77777777" w:rsidR="00342622" w:rsidRPr="00907D70" w:rsidRDefault="00342622" w:rsidP="00342622">
      <w:pPr>
        <w:numPr>
          <w:ilvl w:val="0"/>
          <w:numId w:val="21"/>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Suvokę, kad išgėrėte </w:t>
      </w:r>
      <w:r w:rsidRPr="00907D70">
        <w:rPr>
          <w:rFonts w:ascii="Times New Roman" w:hAnsi="Times New Roman"/>
          <w:color w:val="000000"/>
          <w:lang w:eastAsia="lt-LT"/>
        </w:rPr>
        <w:t xml:space="preserve">Lopinavir / Ritonavir Accord </w:t>
      </w:r>
      <w:r w:rsidRPr="00907D70">
        <w:rPr>
          <w:rFonts w:ascii="Times New Roman" w:eastAsia="Times New Roman" w:hAnsi="Times New Roman"/>
        </w:rPr>
        <w:t>daugiau negu Jums paskirta, iš karto kreipkitės į gydytoją.</w:t>
      </w:r>
    </w:p>
    <w:p w14:paraId="69789374" w14:textId="77777777" w:rsidR="00342622" w:rsidRPr="00907D70" w:rsidRDefault="00342622" w:rsidP="00342622">
      <w:pPr>
        <w:numPr>
          <w:ilvl w:val="0"/>
          <w:numId w:val="21"/>
        </w:numPr>
        <w:spacing w:after="0" w:line="240" w:lineRule="auto"/>
        <w:ind w:left="567" w:hanging="567"/>
        <w:rPr>
          <w:rFonts w:ascii="Times New Roman" w:eastAsia="Times New Roman" w:hAnsi="Times New Roman"/>
        </w:rPr>
      </w:pPr>
      <w:r w:rsidRPr="00907D70">
        <w:rPr>
          <w:rFonts w:ascii="Times New Roman" w:eastAsia="Times New Roman" w:hAnsi="Times New Roman"/>
        </w:rPr>
        <w:t>Jeigu negalite susisiekti su gydytoju, vykite į ligoninę.</w:t>
      </w:r>
    </w:p>
    <w:p w14:paraId="51BDAE25" w14:textId="77777777" w:rsidR="00342622" w:rsidRPr="00907D70" w:rsidRDefault="00342622" w:rsidP="00342622">
      <w:pPr>
        <w:spacing w:after="0" w:line="240" w:lineRule="auto"/>
        <w:rPr>
          <w:rFonts w:ascii="Times New Roman" w:eastAsia="Times New Roman" w:hAnsi="Times New Roman"/>
        </w:rPr>
      </w:pPr>
    </w:p>
    <w:p w14:paraId="74CE9595"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Jei Jūs ar Jūsų vaikas pamiršote pavartoti Lopinavir / Ritonavir Accord</w:t>
      </w:r>
    </w:p>
    <w:p w14:paraId="344D74A8" w14:textId="77777777" w:rsidR="00342622" w:rsidRPr="00907D70" w:rsidRDefault="00342622" w:rsidP="00342622">
      <w:pPr>
        <w:spacing w:after="0" w:line="240" w:lineRule="auto"/>
        <w:rPr>
          <w:rFonts w:ascii="Times New Roman" w:eastAsia="Times New Roman" w:hAnsi="Times New Roman"/>
          <w:b/>
        </w:rPr>
      </w:pPr>
    </w:p>
    <w:p w14:paraId="1A8130DE" w14:textId="77777777" w:rsidR="00342622" w:rsidRPr="00907D70" w:rsidRDefault="00342622" w:rsidP="00342622">
      <w:pPr>
        <w:spacing w:after="0" w:line="240" w:lineRule="auto"/>
        <w:rPr>
          <w:rFonts w:ascii="Times New Roman" w:eastAsia="Times New Roman" w:hAnsi="Times New Roman"/>
          <w:u w:val="single"/>
        </w:rPr>
      </w:pPr>
      <w:r w:rsidRPr="00907D70">
        <w:rPr>
          <w:rFonts w:ascii="Times New Roman" w:eastAsia="Times New Roman" w:hAnsi="Times New Roman"/>
          <w:u w:val="single"/>
        </w:rPr>
        <w:t>Jei vartojate Lopinavir / Ritonavir Accord du kartus per parą</w:t>
      </w:r>
    </w:p>
    <w:p w14:paraId="693C7456" w14:textId="77777777" w:rsidR="00342622" w:rsidRPr="00907D70" w:rsidRDefault="00342622" w:rsidP="00342622">
      <w:pPr>
        <w:spacing w:after="0" w:line="240" w:lineRule="auto"/>
        <w:rPr>
          <w:rFonts w:ascii="Times New Roman" w:eastAsia="Times New Roman" w:hAnsi="Times New Roman"/>
        </w:rPr>
      </w:pPr>
    </w:p>
    <w:p w14:paraId="4F47F037" w14:textId="77777777" w:rsidR="00342622" w:rsidRPr="00907D70" w:rsidRDefault="00342622" w:rsidP="00342622">
      <w:pPr>
        <w:pStyle w:val="Sraopastraipa"/>
        <w:numPr>
          <w:ilvl w:val="0"/>
          <w:numId w:val="21"/>
        </w:numPr>
        <w:ind w:left="567" w:hanging="567"/>
        <w:rPr>
          <w:sz w:val="22"/>
        </w:rPr>
      </w:pPr>
      <w:r w:rsidRPr="00907D70">
        <w:rPr>
          <w:sz w:val="22"/>
          <w:szCs w:val="22"/>
        </w:rPr>
        <w:t>Jei per 6 valandas nuo įprasto vaisto vartojimo laiko pastebėjote, kad pamiršote pavartoti dozę, kuo greičiau ją išgerkite, paskui vartokite normalią dozę įprastine tvarka taip, kaip paskyrė gydytojas.</w:t>
      </w:r>
    </w:p>
    <w:p w14:paraId="15D75A2E" w14:textId="77777777" w:rsidR="00342622" w:rsidRPr="00907D70" w:rsidRDefault="00342622" w:rsidP="00342622">
      <w:pPr>
        <w:pStyle w:val="Sraopastraipa"/>
        <w:numPr>
          <w:ilvl w:val="0"/>
          <w:numId w:val="21"/>
        </w:numPr>
        <w:ind w:left="567" w:hanging="567"/>
        <w:rPr>
          <w:sz w:val="22"/>
        </w:rPr>
      </w:pPr>
      <w:r w:rsidRPr="00907D70">
        <w:rPr>
          <w:sz w:val="22"/>
          <w:szCs w:val="22"/>
        </w:rPr>
        <w:t>Jei pastebėjote, kad pamiršote pavartoti dozę praėjus daugiau nei 6 valandoms nuo įprasto vaisto vartojimo laiko, pamirštos dozės nebegerkite. Kitą dozę vartokite, kaip įprasta. Negalima vartoti dvigubos dozės norint kompensuoti praleistą dozę.</w:t>
      </w:r>
    </w:p>
    <w:p w14:paraId="01AB5548" w14:textId="77777777" w:rsidR="00342622" w:rsidRPr="00907D70" w:rsidRDefault="00342622" w:rsidP="00342622">
      <w:pPr>
        <w:spacing w:after="0" w:line="240" w:lineRule="auto"/>
        <w:rPr>
          <w:rFonts w:ascii="Times New Roman" w:eastAsia="Times New Roman" w:hAnsi="Times New Roman"/>
        </w:rPr>
      </w:pPr>
    </w:p>
    <w:p w14:paraId="24F351F9" w14:textId="77777777" w:rsidR="00342622" w:rsidRPr="00907D70" w:rsidRDefault="00342622" w:rsidP="00342622">
      <w:pPr>
        <w:spacing w:after="0" w:line="240" w:lineRule="auto"/>
        <w:rPr>
          <w:rFonts w:ascii="Times New Roman" w:eastAsia="Times New Roman" w:hAnsi="Times New Roman"/>
          <w:u w:val="single"/>
        </w:rPr>
      </w:pPr>
      <w:r w:rsidRPr="00907D70">
        <w:rPr>
          <w:rFonts w:ascii="Times New Roman" w:eastAsia="Times New Roman" w:hAnsi="Times New Roman"/>
          <w:u w:val="single"/>
        </w:rPr>
        <w:t>Jei vartojate Lopinavir / Ritonavir Accord vieną kartą per parą</w:t>
      </w:r>
    </w:p>
    <w:p w14:paraId="259C7462" w14:textId="77777777" w:rsidR="00342622" w:rsidRPr="00907D70" w:rsidRDefault="00342622" w:rsidP="00342622">
      <w:pPr>
        <w:spacing w:after="0" w:line="240" w:lineRule="auto"/>
        <w:rPr>
          <w:rFonts w:ascii="Times New Roman" w:eastAsia="Times New Roman" w:hAnsi="Times New Roman"/>
        </w:rPr>
      </w:pPr>
    </w:p>
    <w:p w14:paraId="7E29A38C" w14:textId="77777777" w:rsidR="00342622" w:rsidRPr="00907D70" w:rsidRDefault="00342622" w:rsidP="00342622">
      <w:pPr>
        <w:pStyle w:val="Sraopastraipa"/>
        <w:numPr>
          <w:ilvl w:val="0"/>
          <w:numId w:val="21"/>
        </w:numPr>
        <w:ind w:left="567" w:hanging="567"/>
        <w:rPr>
          <w:sz w:val="22"/>
          <w:szCs w:val="22"/>
        </w:rPr>
      </w:pPr>
      <w:r w:rsidRPr="00907D70">
        <w:rPr>
          <w:sz w:val="22"/>
          <w:szCs w:val="22"/>
        </w:rPr>
        <w:t>Jei per 12 valandų nuo įprasto vaisto vartojimo laiko pastebėjote, kad pamiršote pavartoti dozę, kuo greičiau ją išgerkite, paskui vartokite normalią dozę įprastine tvarka taip, kaip paskyrė gydytojas.</w:t>
      </w:r>
    </w:p>
    <w:p w14:paraId="1E742ACC" w14:textId="77777777" w:rsidR="00342622" w:rsidRPr="00907D70" w:rsidRDefault="00342622" w:rsidP="00342622">
      <w:pPr>
        <w:pStyle w:val="Sraopastraipa"/>
        <w:numPr>
          <w:ilvl w:val="0"/>
          <w:numId w:val="21"/>
        </w:numPr>
        <w:ind w:left="567" w:hanging="567"/>
        <w:rPr>
          <w:sz w:val="22"/>
          <w:szCs w:val="22"/>
        </w:rPr>
      </w:pPr>
      <w:r w:rsidRPr="00907D70">
        <w:rPr>
          <w:sz w:val="22"/>
          <w:szCs w:val="22"/>
        </w:rPr>
        <w:lastRenderedPageBreak/>
        <w:t>Jei pastebėjote, kad pamiršote pavartoti dozę praėjus daugiau nei 12 valandų nuo įprasto vaisto vartojimo laiko, pamirštos dozės nebegerkite. Kitą dozę vartokite, kaip įprasta. Negalima vartoti dvigubos dozės norint kompensuoti praleistą dozę</w:t>
      </w:r>
    </w:p>
    <w:p w14:paraId="699A8E2D" w14:textId="77777777" w:rsidR="00342622" w:rsidRPr="00907D70" w:rsidRDefault="00342622" w:rsidP="00342622">
      <w:pPr>
        <w:spacing w:after="0" w:line="240" w:lineRule="auto"/>
        <w:rPr>
          <w:rFonts w:ascii="Times New Roman" w:eastAsia="Times New Roman" w:hAnsi="Times New Roman"/>
        </w:rPr>
      </w:pPr>
    </w:p>
    <w:p w14:paraId="694D4BC8"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Jei Jūs ar Jūsų vaikas nustojote vartoti Lopinavir / Ritonavir Accord</w:t>
      </w:r>
    </w:p>
    <w:p w14:paraId="55612606"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Nekeiskite Lopinavir / Ritonavir Accord paros dozės bei nenustokite vartoti vaisto prieš tai nepasitarę su gydytoju.</w:t>
      </w:r>
    </w:p>
    <w:p w14:paraId="0AFCA360"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Siekiant kontroliuoti ŽIV infekciją, Lopinavir / Ritonavir Accord reikia vartoti du kartus per parą kasdien, neatsižvelgiant į geresnę Jūsų savijautą.</w:t>
      </w:r>
    </w:p>
    <w:p w14:paraId="191462A2"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Lopinavir / Ritonavir Accord vartojimas taip, kaip rekomenduojama, Jums suteikia geriausią galimybę atitolinti atsparumo vaistui išsivystymą.</w:t>
      </w:r>
    </w:p>
    <w:p w14:paraId="3E18A2A4"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Jeigu dėl nepageidaujamo poveikio Lopinavir / Ritonavir Accord negalima vartoti taip, kaip nurodyta, nedelsiant praneškite gydytojui.</w:t>
      </w:r>
    </w:p>
    <w:p w14:paraId="5224337C"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Visada turėkite pakankamai Lopinavir / Ritonavir Accord, kad jis nepasibaigtų. Jeigu keliausite ar būsite guldomas į ligoninę, įsitikinkite, kad Jums pakaks Lopinavir / Ritonavir Accord, kol vėl galėsite jo įsigyti.</w:t>
      </w:r>
    </w:p>
    <w:p w14:paraId="51D807F1" w14:textId="77777777" w:rsidR="00342622" w:rsidRPr="00907D70" w:rsidRDefault="00342622" w:rsidP="0034262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Tęskite šio vaisto vartojimą tol, kol gydytojas nenurodys kitaip.</w:t>
      </w:r>
    </w:p>
    <w:p w14:paraId="67B597F8" w14:textId="77777777" w:rsidR="00342622" w:rsidRPr="00907D70" w:rsidRDefault="00342622" w:rsidP="00342622">
      <w:pPr>
        <w:spacing w:after="0" w:line="240" w:lineRule="auto"/>
        <w:rPr>
          <w:rFonts w:ascii="Times New Roman" w:eastAsia="Times New Roman" w:hAnsi="Times New Roman"/>
        </w:rPr>
      </w:pPr>
    </w:p>
    <w:p w14:paraId="3C93E2C1" w14:textId="77777777" w:rsidR="00342622" w:rsidRPr="00907D70" w:rsidRDefault="00342622" w:rsidP="00342622">
      <w:pPr>
        <w:spacing w:after="0" w:line="240" w:lineRule="auto"/>
        <w:rPr>
          <w:rFonts w:ascii="Times New Roman" w:eastAsia="Times New Roman" w:hAnsi="Times New Roman"/>
        </w:rPr>
      </w:pPr>
    </w:p>
    <w:p w14:paraId="106EE1E7" w14:textId="77777777" w:rsidR="00342622" w:rsidRPr="00907D70" w:rsidRDefault="00342622" w:rsidP="00342622">
      <w:pPr>
        <w:spacing w:after="0" w:line="240" w:lineRule="auto"/>
        <w:ind w:left="567" w:hanging="567"/>
        <w:rPr>
          <w:rFonts w:ascii="Times New Roman" w:eastAsia="Times New Roman" w:hAnsi="Times New Roman"/>
          <w:b/>
        </w:rPr>
      </w:pPr>
      <w:r w:rsidRPr="00907D70">
        <w:rPr>
          <w:rFonts w:ascii="Times New Roman" w:eastAsia="Times New Roman" w:hAnsi="Times New Roman"/>
          <w:b/>
        </w:rPr>
        <w:t>4.</w:t>
      </w:r>
      <w:r w:rsidRPr="00907D70">
        <w:rPr>
          <w:rFonts w:ascii="Times New Roman" w:eastAsia="Times New Roman" w:hAnsi="Times New Roman"/>
          <w:b/>
        </w:rPr>
        <w:tab/>
        <w:t>Galimas šalutinis poveikis</w:t>
      </w:r>
    </w:p>
    <w:p w14:paraId="08DD21F4" w14:textId="77777777" w:rsidR="00342622" w:rsidRPr="00907D70" w:rsidRDefault="00342622" w:rsidP="00342622">
      <w:pPr>
        <w:spacing w:after="0" w:line="240" w:lineRule="auto"/>
        <w:rPr>
          <w:rFonts w:ascii="Times New Roman" w:eastAsia="Times New Roman" w:hAnsi="Times New Roman"/>
        </w:rPr>
      </w:pPr>
    </w:p>
    <w:p w14:paraId="266C489C"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Šis vaistas, kaip ir visi kiti, gali sukelti šalutinį poveikį, nors jis pasireiškia ne visiems žmonėms.</w:t>
      </w:r>
    </w:p>
    <w:p w14:paraId="232A60A4"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Gali būti sunku atskirti šalutinį Lopinavir / Ritonavir Accord sukeltą poveikį nuo poveikio, galinčio atsirasti dėl kitų kartu vartojamų vaistų ar dėl pačios ŽIV infekcijos komplikacijų.</w:t>
      </w:r>
    </w:p>
    <w:p w14:paraId="2BCA307F" w14:textId="77777777" w:rsidR="00342622" w:rsidRPr="00907D70" w:rsidRDefault="00342622" w:rsidP="00342622">
      <w:pPr>
        <w:spacing w:after="0" w:line="240" w:lineRule="auto"/>
        <w:rPr>
          <w:rFonts w:ascii="Times New Roman" w:eastAsia="Times New Roman" w:hAnsi="Times New Roman"/>
        </w:rPr>
      </w:pPr>
    </w:p>
    <w:p w14:paraId="06B34577" w14:textId="2072CC15"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r w:rsidR="00E04F91" w:rsidRPr="00907D70">
        <w:rPr>
          <w:rFonts w:ascii="Times New Roman" w:eastAsia="Times New Roman" w:hAnsi="Times New Roman"/>
        </w:rPr>
        <w:t>.</w:t>
      </w:r>
    </w:p>
    <w:p w14:paraId="267CAB17" w14:textId="77777777" w:rsidR="00342622" w:rsidRPr="00907D70" w:rsidRDefault="00342622" w:rsidP="00342622">
      <w:pPr>
        <w:spacing w:after="0" w:line="240" w:lineRule="auto"/>
        <w:rPr>
          <w:rFonts w:ascii="Times New Roman" w:eastAsia="Times New Roman" w:hAnsi="Times New Roman"/>
        </w:rPr>
      </w:pPr>
    </w:p>
    <w:p w14:paraId="17BC686D" w14:textId="10F84BD8"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b/>
        </w:rPr>
        <w:t xml:space="preserve">Šio vaisto vartojusiems pacientams buvo užregistruota toliau išvardytų </w:t>
      </w:r>
      <w:r w:rsidR="00F96154" w:rsidRPr="00907D70">
        <w:rPr>
          <w:rFonts w:ascii="Times New Roman" w:eastAsia="Times New Roman" w:hAnsi="Times New Roman"/>
          <w:b/>
        </w:rPr>
        <w:t xml:space="preserve">šalutinio </w:t>
      </w:r>
      <w:r w:rsidRPr="00907D70">
        <w:rPr>
          <w:rFonts w:ascii="Times New Roman" w:eastAsia="Times New Roman" w:hAnsi="Times New Roman"/>
          <w:b/>
        </w:rPr>
        <w:t>poveiki</w:t>
      </w:r>
      <w:r w:rsidR="00F96154" w:rsidRPr="00907D70">
        <w:rPr>
          <w:rFonts w:ascii="Times New Roman" w:eastAsia="Times New Roman" w:hAnsi="Times New Roman"/>
          <w:b/>
        </w:rPr>
        <w:t>o reiškinių</w:t>
      </w:r>
      <w:r w:rsidRPr="00907D70">
        <w:rPr>
          <w:rFonts w:ascii="Times New Roman" w:eastAsia="Times New Roman" w:hAnsi="Times New Roman"/>
        </w:rPr>
        <w:t>. Svarbu skubiai pranešti gydytojui apie šiuos ar bet kokius kitus simptomus. Jeigu būklė tęsiasi ar sunkėja, kreipkitės medicininės pagalbos.</w:t>
      </w:r>
    </w:p>
    <w:p w14:paraId="31FED39F" w14:textId="77777777" w:rsidR="00342622" w:rsidRPr="00907D70" w:rsidRDefault="00342622" w:rsidP="00342622">
      <w:pPr>
        <w:spacing w:after="0" w:line="240" w:lineRule="auto"/>
        <w:rPr>
          <w:rFonts w:ascii="Times New Roman" w:eastAsia="Times New Roman" w:hAnsi="Times New Roman"/>
        </w:rPr>
      </w:pPr>
    </w:p>
    <w:p w14:paraId="1809532E" w14:textId="3FD658D3" w:rsidR="00342622" w:rsidRPr="00907D70" w:rsidRDefault="00342622" w:rsidP="00342622">
      <w:pPr>
        <w:keepNext/>
        <w:keepLines/>
        <w:spacing w:after="0" w:line="240" w:lineRule="auto"/>
        <w:rPr>
          <w:rFonts w:ascii="Times New Roman" w:eastAsia="Times New Roman" w:hAnsi="Times New Roman"/>
          <w:u w:val="single"/>
        </w:rPr>
      </w:pPr>
      <w:r w:rsidRPr="00907D70">
        <w:rPr>
          <w:rFonts w:ascii="Times New Roman" w:eastAsia="Times New Roman" w:hAnsi="Times New Roman"/>
          <w:b/>
          <w:u w:val="single"/>
        </w:rPr>
        <w:t>Labai dažn</w:t>
      </w:r>
      <w:r w:rsidR="00F96154" w:rsidRPr="00907D70">
        <w:rPr>
          <w:rFonts w:ascii="Times New Roman" w:eastAsia="Times New Roman" w:hAnsi="Times New Roman"/>
          <w:b/>
          <w:u w:val="single"/>
        </w:rPr>
        <w:t>i šalutinio poveikio reiškiniai (</w:t>
      </w:r>
      <w:r w:rsidRPr="00907D70">
        <w:rPr>
          <w:rFonts w:ascii="Times New Roman" w:eastAsia="Times New Roman" w:hAnsi="Times New Roman"/>
          <w:u w:val="single"/>
        </w:rPr>
        <w:t xml:space="preserve">gali pasireikšti </w:t>
      </w:r>
      <w:r w:rsidR="00F96154" w:rsidRPr="00907D70">
        <w:rPr>
          <w:rFonts w:ascii="Times New Roman" w:eastAsia="Times New Roman" w:hAnsi="Times New Roman"/>
          <w:u w:val="single"/>
        </w:rPr>
        <w:t>ne rečiau kaip</w:t>
      </w:r>
      <w:r w:rsidRPr="00907D70">
        <w:rPr>
          <w:rFonts w:ascii="Times New Roman" w:eastAsia="Times New Roman" w:hAnsi="Times New Roman"/>
          <w:u w:val="single"/>
        </w:rPr>
        <w:t xml:space="preserve"> 1 iš 10 </w:t>
      </w:r>
      <w:r w:rsidR="00F96154" w:rsidRPr="00907D70">
        <w:rPr>
          <w:rFonts w:ascii="Times New Roman" w:eastAsia="Times New Roman" w:hAnsi="Times New Roman"/>
          <w:u w:val="single"/>
        </w:rPr>
        <w:t>asmenų)</w:t>
      </w:r>
    </w:p>
    <w:p w14:paraId="38C8CC13" w14:textId="77777777" w:rsidR="00342622" w:rsidRPr="00907D70" w:rsidRDefault="00342622" w:rsidP="00342622">
      <w:pPr>
        <w:keepNext/>
        <w:keepLines/>
        <w:numPr>
          <w:ilvl w:val="0"/>
          <w:numId w:val="23"/>
        </w:numPr>
        <w:spacing w:after="0" w:line="240" w:lineRule="auto"/>
        <w:ind w:left="567" w:hanging="567"/>
        <w:rPr>
          <w:rFonts w:ascii="Times New Roman" w:eastAsia="Times New Roman" w:hAnsi="Times New Roman"/>
        </w:rPr>
      </w:pPr>
      <w:r w:rsidRPr="00907D70">
        <w:rPr>
          <w:rFonts w:ascii="Times New Roman" w:eastAsia="Times New Roman" w:hAnsi="Times New Roman"/>
        </w:rPr>
        <w:t>Viduriavimas.</w:t>
      </w:r>
    </w:p>
    <w:p w14:paraId="0A49CFDE" w14:textId="77777777" w:rsidR="00342622" w:rsidRPr="00907D70" w:rsidRDefault="00342622" w:rsidP="00342622">
      <w:pPr>
        <w:keepNext/>
        <w:keepLines/>
        <w:numPr>
          <w:ilvl w:val="0"/>
          <w:numId w:val="23"/>
        </w:numPr>
        <w:spacing w:after="0" w:line="240" w:lineRule="auto"/>
        <w:ind w:left="567" w:hanging="567"/>
        <w:rPr>
          <w:rFonts w:ascii="Times New Roman" w:eastAsia="Times New Roman" w:hAnsi="Times New Roman"/>
        </w:rPr>
      </w:pPr>
      <w:r w:rsidRPr="00907D70">
        <w:rPr>
          <w:rFonts w:ascii="Times New Roman" w:eastAsia="Times New Roman" w:hAnsi="Times New Roman"/>
        </w:rPr>
        <w:t>Pykinimas.</w:t>
      </w:r>
    </w:p>
    <w:p w14:paraId="4CB83EC1" w14:textId="77777777" w:rsidR="00342622" w:rsidRPr="00907D70" w:rsidRDefault="00342622" w:rsidP="00342622">
      <w:pPr>
        <w:keepNext/>
        <w:keepLines/>
        <w:numPr>
          <w:ilvl w:val="0"/>
          <w:numId w:val="23"/>
        </w:numPr>
        <w:spacing w:after="0" w:line="240" w:lineRule="auto"/>
        <w:ind w:left="567" w:hanging="567"/>
        <w:rPr>
          <w:rFonts w:ascii="Times New Roman" w:eastAsia="Times New Roman" w:hAnsi="Times New Roman"/>
        </w:rPr>
      </w:pPr>
      <w:r w:rsidRPr="00907D70">
        <w:rPr>
          <w:rFonts w:ascii="Times New Roman" w:eastAsia="Times New Roman" w:hAnsi="Times New Roman"/>
        </w:rPr>
        <w:t>Viršutinių kvėpavimo takų infekcija.</w:t>
      </w:r>
    </w:p>
    <w:p w14:paraId="534C5A6A" w14:textId="77777777" w:rsidR="00342622" w:rsidRPr="00907D70" w:rsidRDefault="00342622" w:rsidP="00342622">
      <w:pPr>
        <w:spacing w:after="0" w:line="240" w:lineRule="auto"/>
        <w:rPr>
          <w:rFonts w:ascii="Times New Roman" w:eastAsia="Times New Roman" w:hAnsi="Times New Roman"/>
        </w:rPr>
      </w:pPr>
    </w:p>
    <w:p w14:paraId="3335685B" w14:textId="5CAAF2AA"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b/>
          <w:u w:val="single"/>
        </w:rPr>
        <w:t>Dažn</w:t>
      </w:r>
      <w:r w:rsidR="00C86B9A">
        <w:rPr>
          <w:rFonts w:ascii="Times New Roman" w:eastAsia="Times New Roman" w:hAnsi="Times New Roman"/>
          <w:b/>
          <w:u w:val="single"/>
        </w:rPr>
        <w:t>i</w:t>
      </w:r>
      <w:r w:rsidR="00F96154" w:rsidRPr="00160402">
        <w:rPr>
          <w:u w:val="single"/>
        </w:rPr>
        <w:t xml:space="preserve"> </w:t>
      </w:r>
      <w:r w:rsidR="00F96154" w:rsidRPr="00907D70">
        <w:rPr>
          <w:rFonts w:ascii="Times New Roman" w:eastAsia="Times New Roman" w:hAnsi="Times New Roman"/>
          <w:b/>
          <w:u w:val="single"/>
        </w:rPr>
        <w:t>šalutinio poveikio reiškiniai (</w:t>
      </w:r>
      <w:r w:rsidRPr="00907D70">
        <w:rPr>
          <w:rFonts w:ascii="Times New Roman" w:eastAsia="Times New Roman" w:hAnsi="Times New Roman"/>
          <w:u w:val="single"/>
        </w:rPr>
        <w:t xml:space="preserve">gali pasireikšti rečiau </w:t>
      </w:r>
      <w:r w:rsidR="00F96154" w:rsidRPr="00907D70">
        <w:rPr>
          <w:rFonts w:ascii="Times New Roman" w:eastAsia="Times New Roman" w:hAnsi="Times New Roman"/>
          <w:u w:val="single"/>
        </w:rPr>
        <w:t xml:space="preserve">kaip </w:t>
      </w:r>
      <w:r w:rsidRPr="00907D70">
        <w:rPr>
          <w:rFonts w:ascii="Times New Roman" w:eastAsia="Times New Roman" w:hAnsi="Times New Roman"/>
          <w:u w:val="single"/>
        </w:rPr>
        <w:t xml:space="preserve">1 iš 10 </w:t>
      </w:r>
      <w:r w:rsidR="00F96154" w:rsidRPr="00907D70">
        <w:rPr>
          <w:rFonts w:ascii="Times New Roman" w:eastAsia="Times New Roman" w:hAnsi="Times New Roman"/>
          <w:u w:val="single"/>
        </w:rPr>
        <w:t>asmenų)</w:t>
      </w:r>
    </w:p>
    <w:p w14:paraId="22F1285A"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Kasos uždegimas.</w:t>
      </w:r>
    </w:p>
    <w:p w14:paraId="18A5CE81"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Vėmimas, pilvo padidėjimas, pilvo viršutinės ir apatinės dalies skausmas, pilvo pūtimas, nevirškinimas, sumažėjęs apetitas, refliuksas iš skrandžio į stemplę, kuris gali sukelti skausmą.</w:t>
      </w:r>
    </w:p>
    <w:p w14:paraId="2BEFDB1E"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b/>
        </w:rPr>
        <w:t>Pasakykite gydytojui</w:t>
      </w:r>
      <w:r w:rsidRPr="00907D70">
        <w:rPr>
          <w:rFonts w:ascii="Times New Roman" w:eastAsia="Times New Roman" w:hAnsi="Times New Roman"/>
        </w:rPr>
        <w:t>, jei pasireiškė pykinimas, vėmimas ar pilvo skausmas, nes tai gali būt pankreatito (kasos uždegimo) požymiai.</w:t>
      </w:r>
    </w:p>
    <w:p w14:paraId="2BB5E6D7"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Skrandžio, plonųjų ir storųjų žarnų patinimas ar uždegimas.</w:t>
      </w:r>
    </w:p>
    <w:p w14:paraId="7C6590E1"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Cholesterolio kiekio padidėjimas kraujyje, trigliceridų (tam tikra riebalų forma) kiekio padidėjimas kraujyje, aukštas kraujospūdis.</w:t>
      </w:r>
    </w:p>
    <w:p w14:paraId="5F741294"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Sumažėjęs organizmo gebėjimas reguliuoti cukraus kiekį, įskaitant cukrinį diabetą, svorio kritimas.</w:t>
      </w:r>
    </w:p>
    <w:p w14:paraId="02F9A7F0"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Mažas raudonųjų kraujo kūnelių skaičius, mažas baltųjų kraujo kūnelių, kurie paprastai kovoja su infekcija, skaičius.</w:t>
      </w:r>
    </w:p>
    <w:p w14:paraId="3EAC5271"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Išbėrimas, egzema, riebaluotos odos pleiskanų sankaupos.</w:t>
      </w:r>
    </w:p>
    <w:p w14:paraId="73E391FD"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Svaigulys, nerimas, miegojimo sunkumai.</w:t>
      </w:r>
    </w:p>
    <w:p w14:paraId="7C649F0D"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Nuovargio jausmas, jėgų ir energijos stoka, galvos skausmas, įskaitant migreną.</w:t>
      </w:r>
    </w:p>
    <w:p w14:paraId="3B36B793"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Hemorojus.</w:t>
      </w:r>
    </w:p>
    <w:p w14:paraId="3D2D5400"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Kepenų uždegimas, įskaitant ir kepenų fermentų aktyvumo padidėjimą.</w:t>
      </w:r>
    </w:p>
    <w:p w14:paraId="0EFC566D"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lastRenderedPageBreak/>
        <w:t>Alerginės reakcijos, įskaitant dilgėlinę ir burnos ertmės uždegimą.</w:t>
      </w:r>
    </w:p>
    <w:p w14:paraId="018C3F96"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Apatinių kvėpavimo takų infekcijos.</w:t>
      </w:r>
    </w:p>
    <w:p w14:paraId="7C700281"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Limfmazgių padidėjimas.</w:t>
      </w:r>
    </w:p>
    <w:p w14:paraId="701D04B9"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Impotencija, nenormaliai stiprus ar užsitęsęs menstruacinis kraujavimas ar menstruacijų sutrikimas.</w:t>
      </w:r>
    </w:p>
    <w:p w14:paraId="244B2E4F"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Raumenų sutrikimai, tokie kaip silpnumas ir spazmai, sąnarių, raumenų ir nugaros skausmai.</w:t>
      </w:r>
    </w:p>
    <w:p w14:paraId="733C6556"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Periferinės nervų sistemos nervų pažeidimas.</w:t>
      </w:r>
    </w:p>
    <w:p w14:paraId="6F088FDF" w14:textId="77777777" w:rsidR="00342622" w:rsidRPr="00907D70" w:rsidRDefault="00342622" w:rsidP="00342622">
      <w:pPr>
        <w:numPr>
          <w:ilvl w:val="0"/>
          <w:numId w:val="24"/>
        </w:numPr>
        <w:spacing w:after="0" w:line="240" w:lineRule="auto"/>
        <w:ind w:left="567" w:hanging="567"/>
        <w:rPr>
          <w:rFonts w:ascii="Times New Roman" w:eastAsia="Times New Roman" w:hAnsi="Times New Roman"/>
        </w:rPr>
      </w:pPr>
      <w:r w:rsidRPr="00907D70">
        <w:rPr>
          <w:rFonts w:ascii="Times New Roman" w:eastAsia="Times New Roman" w:hAnsi="Times New Roman"/>
        </w:rPr>
        <w:t>Naktinis prakaitavimas, niežulys, išbėrimas, įskaitant ant odos iškilusius gumbus, odos infekcija, odos ar plaukų porų uždegimas, skysčių susikaupimas ląstelėse ar audiniuose.</w:t>
      </w:r>
    </w:p>
    <w:p w14:paraId="36845320" w14:textId="77777777" w:rsidR="00342622" w:rsidRPr="00907D70" w:rsidRDefault="00342622" w:rsidP="00342622">
      <w:pPr>
        <w:spacing w:after="0" w:line="240" w:lineRule="auto"/>
        <w:rPr>
          <w:rFonts w:ascii="Times New Roman" w:eastAsia="Times New Roman" w:hAnsi="Times New Roman"/>
        </w:rPr>
      </w:pPr>
    </w:p>
    <w:p w14:paraId="11DB168F" w14:textId="50A713F0" w:rsidR="00342622" w:rsidRPr="00907D70" w:rsidRDefault="00F96154" w:rsidP="00342622">
      <w:pPr>
        <w:spacing w:after="0" w:line="240" w:lineRule="auto"/>
        <w:ind w:left="567" w:hanging="567"/>
        <w:rPr>
          <w:rFonts w:ascii="Times New Roman" w:eastAsia="Times New Roman" w:hAnsi="Times New Roman"/>
          <w:u w:val="single"/>
        </w:rPr>
      </w:pPr>
      <w:r w:rsidRPr="00907D70">
        <w:rPr>
          <w:rFonts w:ascii="Times New Roman" w:eastAsia="Times New Roman" w:hAnsi="Times New Roman"/>
          <w:b/>
          <w:u w:val="single"/>
        </w:rPr>
        <w:t>Nedažni šalutinio poveikio reiškiniai (</w:t>
      </w:r>
      <w:r w:rsidR="00342622" w:rsidRPr="00907D70">
        <w:rPr>
          <w:rFonts w:ascii="Times New Roman" w:eastAsia="Times New Roman" w:hAnsi="Times New Roman"/>
          <w:u w:val="single"/>
        </w:rPr>
        <w:t xml:space="preserve">gali pasireikšti rečiau </w:t>
      </w:r>
      <w:r w:rsidRPr="00907D70">
        <w:rPr>
          <w:rFonts w:ascii="Times New Roman" w:eastAsia="Times New Roman" w:hAnsi="Times New Roman"/>
          <w:u w:val="single"/>
        </w:rPr>
        <w:t xml:space="preserve">kaip </w:t>
      </w:r>
      <w:r w:rsidR="00342622" w:rsidRPr="00907D70">
        <w:rPr>
          <w:rFonts w:ascii="Times New Roman" w:eastAsia="Times New Roman" w:hAnsi="Times New Roman"/>
          <w:u w:val="single"/>
        </w:rPr>
        <w:t xml:space="preserve">1 iš 100 </w:t>
      </w:r>
      <w:r w:rsidRPr="00907D70">
        <w:rPr>
          <w:rFonts w:ascii="Times New Roman" w:eastAsia="Times New Roman" w:hAnsi="Times New Roman"/>
          <w:u w:val="single"/>
        </w:rPr>
        <w:t>asmenų)</w:t>
      </w:r>
    </w:p>
    <w:p w14:paraId="1CFD2845"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Nenormalūs sapnai.</w:t>
      </w:r>
    </w:p>
    <w:p w14:paraId="36FE9B03"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Skonio pojūčio praradimas ar pokytis.</w:t>
      </w:r>
    </w:p>
    <w:p w14:paraId="608D818D"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Plaukų slinkimas.</w:t>
      </w:r>
    </w:p>
    <w:p w14:paraId="2FAFF8A8"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Pokyčiai elektrokardiogramoje (EKG), vadinama atrioventrikulinė blokada.</w:t>
      </w:r>
    </w:p>
    <w:p w14:paraId="0CE3173B"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Plokštelių susidarymas arterijose, dėl kurių jus gali ištikti širdies smūgis ar insultas.</w:t>
      </w:r>
    </w:p>
    <w:p w14:paraId="7EFEEFDF"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Kraujagyslių ir kapiliarų uždegimas.</w:t>
      </w:r>
    </w:p>
    <w:p w14:paraId="15453C1E"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Tulžies latakų uždegimas.</w:t>
      </w:r>
    </w:p>
    <w:p w14:paraId="1C20195A"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Nekontroliuojamas kūno drebulys.</w:t>
      </w:r>
    </w:p>
    <w:p w14:paraId="16794BFE"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Vidurių užkietėjimas.</w:t>
      </w:r>
    </w:p>
    <w:p w14:paraId="46650EE3"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Su kraujo krešuliu susijęs giliosios venos uždegimas.</w:t>
      </w:r>
    </w:p>
    <w:p w14:paraId="2DF8FC79"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Burnos sausmė.</w:t>
      </w:r>
    </w:p>
    <w:p w14:paraId="43FA77E9"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Negebėjimas kontroliuoti savo vidurių.</w:t>
      </w:r>
    </w:p>
    <w:p w14:paraId="7AD70A32"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Plonojo žarnyno dalies, esančios prie skrandžio, uždegimas, žaizdos ar opos virškinamajame trakte, kraujavimas iš žarnyno ir tiesiosios žarnos.</w:t>
      </w:r>
    </w:p>
    <w:p w14:paraId="26AF173A"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Eritrocitai šlapime.</w:t>
      </w:r>
    </w:p>
    <w:p w14:paraId="1A04B10A" w14:textId="41088A39" w:rsidR="00320030" w:rsidRPr="00907D70" w:rsidRDefault="00320030"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Odos arba akių obuolių pageltimas (gelta).</w:t>
      </w:r>
    </w:p>
    <w:p w14:paraId="261AD7AD"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Riebalų sankaupos kepenyse, kepenų padidėjimas.</w:t>
      </w:r>
    </w:p>
    <w:p w14:paraId="6ED0C5E3"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Sėklidžių funkcijos susilpnėjimas.</w:t>
      </w:r>
    </w:p>
    <w:p w14:paraId="5A447E97"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Simptomų, susijusių su infekcijų suaktyvėjimu, paūmėjimas (imuninės sistemos reaktyvacija).</w:t>
      </w:r>
    </w:p>
    <w:p w14:paraId="10B93AB4"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Apetito pagerėjimas.</w:t>
      </w:r>
    </w:p>
    <w:p w14:paraId="2D0DC8AF"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Nenormaliai didelis bilirubino (pigmento, kuris susidaro irstant eritrocitams) kiekis kraujyje.</w:t>
      </w:r>
    </w:p>
    <w:p w14:paraId="04D8AB62"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Lytinio potraukio sumažėjimas.</w:t>
      </w:r>
    </w:p>
    <w:p w14:paraId="07337EDC"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Inkstų uždegimas.</w:t>
      </w:r>
    </w:p>
    <w:p w14:paraId="5D96707F"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Kaulo žuvimas dėl sutrikusio šios srities aprūpinimo krauju.</w:t>
      </w:r>
    </w:p>
    <w:p w14:paraId="6F66A947"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Burnos ertmės išbėrimas ar opos, skrandžio ir žarnyno uždegimas.</w:t>
      </w:r>
    </w:p>
    <w:p w14:paraId="5078ED45"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Inkstų nepakankamumas.</w:t>
      </w:r>
    </w:p>
    <w:p w14:paraId="4A33603C"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Raumenų audinio irimas, sukeliantis raumenų skaidulų sudedamosios dalies (mioglobino) patekimą į kraują.</w:t>
      </w:r>
    </w:p>
    <w:p w14:paraId="2FFFB46A"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Garsai vienoje ar abiejose ausyse, tokie kaip zvimbimas, spengimas ar švilpimas.</w:t>
      </w:r>
    </w:p>
    <w:p w14:paraId="7FB91F72"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Tremoras.</w:t>
      </w:r>
    </w:p>
    <w:p w14:paraId="7BF8498D"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Nenormalus vieno iš vožtuvų užsidarymas (triburio vožtuvo širdyje).</w:t>
      </w:r>
    </w:p>
    <w:p w14:paraId="7F2AB136" w14:textId="59A1E571"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Galvos svaigimas (</w:t>
      </w:r>
      <w:r w:rsidRPr="00907D70">
        <w:rPr>
          <w:rFonts w:ascii="Times New Roman" w:eastAsia="Times New Roman" w:hAnsi="Times New Roman"/>
          <w:i/>
        </w:rPr>
        <w:t>vertigo</w:t>
      </w:r>
      <w:r w:rsidRPr="00907D70">
        <w:rPr>
          <w:rFonts w:ascii="Times New Roman" w:eastAsia="Times New Roman" w:hAnsi="Times New Roman"/>
        </w:rPr>
        <w:t>) (sukimosi pojūtis).</w:t>
      </w:r>
    </w:p>
    <w:p w14:paraId="23DD62B9"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Akių sutrikimas, nenormalus matymas.</w:t>
      </w:r>
    </w:p>
    <w:p w14:paraId="7F2121A7" w14:textId="77777777" w:rsidR="00342622" w:rsidRPr="00907D70" w:rsidRDefault="00342622" w:rsidP="00342622">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Svorio augimas.</w:t>
      </w:r>
    </w:p>
    <w:p w14:paraId="35150AB1" w14:textId="77777777" w:rsidR="00342622" w:rsidRPr="00907D70" w:rsidRDefault="00342622" w:rsidP="00342622">
      <w:pPr>
        <w:spacing w:after="0" w:line="240" w:lineRule="auto"/>
        <w:ind w:left="567" w:hanging="567"/>
        <w:rPr>
          <w:rFonts w:ascii="Times New Roman" w:eastAsia="Times New Roman" w:hAnsi="Times New Roman"/>
        </w:rPr>
      </w:pPr>
    </w:p>
    <w:p w14:paraId="7ED89982" w14:textId="79F0AFDD" w:rsidR="00212D46" w:rsidRPr="00907D70" w:rsidRDefault="00F96154" w:rsidP="00212D46">
      <w:pPr>
        <w:spacing w:after="0" w:line="240" w:lineRule="auto"/>
        <w:ind w:left="567" w:hanging="567"/>
        <w:rPr>
          <w:rFonts w:ascii="Times New Roman" w:eastAsia="Times New Roman" w:hAnsi="Times New Roman"/>
          <w:b/>
          <w:u w:val="single"/>
        </w:rPr>
      </w:pPr>
      <w:r w:rsidRPr="00907D70">
        <w:rPr>
          <w:rFonts w:ascii="Times New Roman" w:eastAsia="Times New Roman" w:hAnsi="Times New Roman"/>
          <w:b/>
          <w:u w:val="single"/>
        </w:rPr>
        <w:t>Reti šalutinio poveikio reiškiniai (</w:t>
      </w:r>
      <w:r w:rsidR="00320030" w:rsidRPr="00907D70">
        <w:rPr>
          <w:rFonts w:ascii="Times New Roman" w:eastAsia="Times New Roman" w:hAnsi="Times New Roman"/>
          <w:bCs/>
          <w:u w:val="single"/>
        </w:rPr>
        <w:t>gali pa</w:t>
      </w:r>
      <w:r w:rsidR="00212D46" w:rsidRPr="00907D70">
        <w:rPr>
          <w:rFonts w:ascii="Times New Roman" w:eastAsia="Times New Roman" w:hAnsi="Times New Roman"/>
          <w:bCs/>
          <w:u w:val="single"/>
        </w:rPr>
        <w:t xml:space="preserve">sireikšti </w:t>
      </w:r>
      <w:r w:rsidR="00262D33" w:rsidRPr="00907D70">
        <w:rPr>
          <w:rFonts w:ascii="Times New Roman" w:eastAsia="Times New Roman" w:hAnsi="Times New Roman"/>
          <w:bCs/>
          <w:u w:val="single"/>
        </w:rPr>
        <w:t xml:space="preserve">rečiau </w:t>
      </w:r>
      <w:r w:rsidRPr="00907D70">
        <w:rPr>
          <w:rFonts w:ascii="Times New Roman" w:eastAsia="Times New Roman" w:hAnsi="Times New Roman"/>
          <w:bCs/>
          <w:u w:val="single"/>
        </w:rPr>
        <w:t xml:space="preserve">kaip </w:t>
      </w:r>
      <w:r w:rsidR="00320030" w:rsidRPr="00907D70">
        <w:rPr>
          <w:rFonts w:ascii="Times New Roman" w:eastAsia="Times New Roman" w:hAnsi="Times New Roman"/>
          <w:bCs/>
          <w:u w:val="single"/>
        </w:rPr>
        <w:t>1 iš 1</w:t>
      </w:r>
      <w:r w:rsidRPr="00907D70">
        <w:rPr>
          <w:rFonts w:ascii="Times New Roman" w:eastAsia="Times New Roman" w:hAnsi="Times New Roman"/>
          <w:bCs/>
          <w:u w:val="single"/>
        </w:rPr>
        <w:t> </w:t>
      </w:r>
      <w:r w:rsidR="00320030" w:rsidRPr="00907D70">
        <w:rPr>
          <w:rFonts w:ascii="Times New Roman" w:eastAsia="Times New Roman" w:hAnsi="Times New Roman"/>
          <w:bCs/>
          <w:u w:val="single"/>
        </w:rPr>
        <w:t xml:space="preserve">000 </w:t>
      </w:r>
      <w:r w:rsidRPr="00907D70">
        <w:rPr>
          <w:rFonts w:ascii="Times New Roman" w:eastAsia="Times New Roman" w:hAnsi="Times New Roman"/>
          <w:bCs/>
          <w:u w:val="single"/>
        </w:rPr>
        <w:t>asmenų)</w:t>
      </w:r>
    </w:p>
    <w:p w14:paraId="789E9DC1" w14:textId="0CBAEFE5" w:rsidR="00342622" w:rsidRPr="00907D70" w:rsidRDefault="00262D33" w:rsidP="00BF5DA7">
      <w:pPr>
        <w:pStyle w:val="Sraopastraipa"/>
        <w:numPr>
          <w:ilvl w:val="0"/>
          <w:numId w:val="33"/>
        </w:numPr>
        <w:ind w:left="567" w:hanging="567"/>
        <w:rPr>
          <w:sz w:val="22"/>
          <w:szCs w:val="22"/>
        </w:rPr>
      </w:pPr>
      <w:r w:rsidRPr="00907D70">
        <w:rPr>
          <w:sz w:val="22"/>
          <w:szCs w:val="22"/>
        </w:rPr>
        <w:t>S</w:t>
      </w:r>
      <w:r w:rsidR="00342622" w:rsidRPr="00907D70">
        <w:rPr>
          <w:sz w:val="22"/>
          <w:szCs w:val="22"/>
        </w:rPr>
        <w:t>unkus ar gyvybei gresiantis odos išbėrimas ir pūslės (Stivenso-Džonsono (</w:t>
      </w:r>
      <w:r w:rsidR="00342622" w:rsidRPr="00907D70">
        <w:rPr>
          <w:i/>
          <w:sz w:val="22"/>
          <w:szCs w:val="22"/>
        </w:rPr>
        <w:t>Stevens-Johnson</w:t>
      </w:r>
      <w:r w:rsidR="00342622" w:rsidRPr="00907D70">
        <w:rPr>
          <w:sz w:val="22"/>
          <w:szCs w:val="22"/>
        </w:rPr>
        <w:t xml:space="preserve">) sindromas ir daugiaformė raudonė (eritema)). </w:t>
      </w:r>
    </w:p>
    <w:p w14:paraId="7816DD30" w14:textId="081F8BA8" w:rsidR="00342622" w:rsidRPr="00907D70" w:rsidRDefault="00342622" w:rsidP="00342622">
      <w:pPr>
        <w:spacing w:after="0" w:line="240" w:lineRule="auto"/>
        <w:ind w:left="567" w:hanging="567"/>
        <w:rPr>
          <w:rFonts w:ascii="Times New Roman" w:eastAsia="Times New Roman" w:hAnsi="Times New Roman"/>
        </w:rPr>
      </w:pPr>
    </w:p>
    <w:p w14:paraId="3D3D6A5F" w14:textId="44FD83B6" w:rsidR="00957AA7" w:rsidRPr="00907D70" w:rsidRDefault="00F96154" w:rsidP="0071082F">
      <w:pPr>
        <w:spacing w:after="0" w:line="240" w:lineRule="auto"/>
        <w:rPr>
          <w:rFonts w:ascii="Times New Roman" w:eastAsia="Times New Roman" w:hAnsi="Times New Roman"/>
          <w:u w:val="single"/>
        </w:rPr>
      </w:pPr>
      <w:r w:rsidRPr="00907D70">
        <w:rPr>
          <w:rFonts w:ascii="Times New Roman" w:eastAsia="Times New Roman" w:hAnsi="Times New Roman"/>
          <w:b/>
          <w:u w:val="single"/>
        </w:rPr>
        <w:t>Šalutinio poveikio reiškiniai, kurių d</w:t>
      </w:r>
      <w:r w:rsidR="00957AA7" w:rsidRPr="00907D70">
        <w:rPr>
          <w:rFonts w:ascii="Times New Roman" w:eastAsia="Times New Roman" w:hAnsi="Times New Roman"/>
          <w:b/>
          <w:u w:val="single"/>
        </w:rPr>
        <w:t>ažnis nežinomas</w:t>
      </w:r>
      <w:r w:rsidRPr="00907D70">
        <w:rPr>
          <w:rFonts w:ascii="Times New Roman" w:eastAsia="Times New Roman" w:hAnsi="Times New Roman"/>
          <w:bCs/>
          <w:u w:val="single"/>
        </w:rPr>
        <w:t xml:space="preserve"> (</w:t>
      </w:r>
      <w:r w:rsidR="00957AA7" w:rsidRPr="00907D70">
        <w:rPr>
          <w:rFonts w:ascii="Times New Roman" w:eastAsia="Times New Roman" w:hAnsi="Times New Roman"/>
          <w:u w:val="single"/>
        </w:rPr>
        <w:t>negali būti apskaičiuotas pagal turimus duomenis</w:t>
      </w:r>
      <w:r w:rsidRPr="00907D70">
        <w:rPr>
          <w:rFonts w:ascii="Times New Roman" w:eastAsia="Times New Roman" w:hAnsi="Times New Roman"/>
          <w:u w:val="single"/>
        </w:rPr>
        <w:t>)</w:t>
      </w:r>
    </w:p>
    <w:p w14:paraId="76CDC8E7" w14:textId="02893111" w:rsidR="00957AA7" w:rsidRPr="00907D70" w:rsidRDefault="002B6503" w:rsidP="00957AA7">
      <w:pPr>
        <w:numPr>
          <w:ilvl w:val="1"/>
          <w:numId w:val="28"/>
        </w:numPr>
        <w:spacing w:after="0" w:line="240" w:lineRule="auto"/>
        <w:ind w:left="567" w:hanging="567"/>
        <w:rPr>
          <w:rFonts w:ascii="Times New Roman" w:eastAsia="Times New Roman" w:hAnsi="Times New Roman"/>
        </w:rPr>
      </w:pPr>
      <w:r w:rsidRPr="00907D70">
        <w:rPr>
          <w:rFonts w:ascii="Times New Roman" w:eastAsia="Times New Roman" w:hAnsi="Times New Roman"/>
        </w:rPr>
        <w:t>A</w:t>
      </w:r>
      <w:r w:rsidR="00957AA7" w:rsidRPr="00907D70">
        <w:rPr>
          <w:rFonts w:ascii="Times New Roman" w:eastAsia="Times New Roman" w:hAnsi="Times New Roman"/>
        </w:rPr>
        <w:t>kmenys inkstuose.</w:t>
      </w:r>
    </w:p>
    <w:p w14:paraId="2DF0435E" w14:textId="77777777" w:rsidR="00957AA7" w:rsidRPr="00907D70" w:rsidRDefault="00957AA7" w:rsidP="00342622">
      <w:pPr>
        <w:spacing w:after="0" w:line="240" w:lineRule="auto"/>
        <w:ind w:left="567" w:hanging="567"/>
        <w:rPr>
          <w:rFonts w:ascii="Times New Roman" w:eastAsia="Times New Roman" w:hAnsi="Times New Roman"/>
        </w:rPr>
      </w:pPr>
    </w:p>
    <w:p w14:paraId="203076BF" w14:textId="77777777" w:rsidR="00342622" w:rsidRPr="00907D70" w:rsidRDefault="00342622" w:rsidP="00342622">
      <w:pPr>
        <w:tabs>
          <w:tab w:val="left" w:pos="567"/>
        </w:tabs>
        <w:spacing w:after="0" w:line="240" w:lineRule="auto"/>
        <w:rPr>
          <w:rFonts w:ascii="Times New Roman" w:eastAsia="Times New Roman" w:hAnsi="Times New Roman"/>
          <w:b/>
          <w:snapToGrid w:val="0"/>
        </w:rPr>
      </w:pPr>
      <w:r w:rsidRPr="00907D70">
        <w:rPr>
          <w:rFonts w:ascii="Times New Roman" w:eastAsia="Times New Roman" w:hAnsi="Times New Roman"/>
          <w:b/>
          <w:snapToGrid w:val="0"/>
        </w:rPr>
        <w:t>Pranešimas apie šalutinį poveikį</w:t>
      </w:r>
    </w:p>
    <w:p w14:paraId="7E483E0C" w14:textId="390BF7B3" w:rsidR="00342622" w:rsidRPr="00907D70" w:rsidRDefault="00342622" w:rsidP="00342622">
      <w:pPr>
        <w:tabs>
          <w:tab w:val="left" w:pos="567"/>
        </w:tabs>
        <w:spacing w:after="0" w:line="260" w:lineRule="exact"/>
        <w:ind w:right="-449"/>
        <w:rPr>
          <w:rFonts w:ascii="Times New Roman" w:eastAsia="Times New Roman" w:hAnsi="Times New Roman"/>
          <w:snapToGrid w:val="0"/>
        </w:rPr>
      </w:pPr>
      <w:r w:rsidRPr="00907D70">
        <w:rPr>
          <w:rFonts w:ascii="Times New Roman" w:eastAsia="Times New Roman" w:hAnsi="Times New Roman"/>
          <w:snapToGrid w:val="0"/>
        </w:rPr>
        <w:t xml:space="preserve">Jeigu pasireiškė šalutinis poveikis, įskaitant šiame lapelyje nenurodytą, pasakykite gydytojui arba vaistininkui. </w:t>
      </w:r>
      <w:r w:rsidR="00F96154" w:rsidRPr="00907D70">
        <w:rPr>
          <w:rFonts w:ascii="Times New Roman" w:eastAsia="Times New Roman" w:hAnsi="Times New Roman"/>
          <w:snapToGrid w:val="0"/>
        </w:rPr>
        <w:t xml:space="preserve">Pranešimą apie šalutinį poveikį galite pateikti šiais būdais: tiesiogiai užpildant formą internetu </w:t>
      </w:r>
      <w:r w:rsidR="00F96154" w:rsidRPr="00907D70">
        <w:rPr>
          <w:rFonts w:ascii="Times New Roman" w:eastAsia="Times New Roman" w:hAnsi="Times New Roman"/>
          <w:snapToGrid w:val="0"/>
        </w:rPr>
        <w:lastRenderedPageBreak/>
        <w:t xml:space="preserve">Valstybinės vaistų kontrolės tarnybos prie Lietuvos Respublikos sveikatos apsaugos ministerijos Vaistinių preparatų informacinėje sistemoje </w:t>
      </w:r>
      <w:r w:rsidR="00F96154" w:rsidRPr="00907D70">
        <w:rPr>
          <w:rFonts w:ascii="Times New Roman" w:eastAsia="Times New Roman" w:hAnsi="Times New Roman"/>
          <w:snapToGrid w:val="0"/>
          <w:u w:val="single"/>
        </w:rPr>
        <w:t>https://vapris.vvkt.lt/vvkt-web/public/nrv</w:t>
      </w:r>
      <w:r w:rsidR="00F96154" w:rsidRPr="00907D70">
        <w:rPr>
          <w:rFonts w:ascii="Times New Roman" w:eastAsia="Times New Roman" w:hAnsi="Times New Roman"/>
          <w:snapToGrid w:val="0"/>
        </w:rPr>
        <w:t xml:space="preserve"> arba užpildant Paciento pranešimo apie įtariamą nepageidaujamą reakciją (ĮNR) formą, kuri skelbiama </w:t>
      </w:r>
      <w:r w:rsidR="00F96154" w:rsidRPr="00907D70">
        <w:rPr>
          <w:rFonts w:ascii="Times New Roman" w:eastAsia="Times New Roman" w:hAnsi="Times New Roman"/>
          <w:snapToGrid w:val="0"/>
          <w:u w:val="single"/>
        </w:rPr>
        <w:t>https://www.vvkt.lt/index.php?4004286486</w:t>
      </w:r>
      <w:r w:rsidR="00F96154" w:rsidRPr="00907D70">
        <w:rPr>
          <w:rFonts w:ascii="Times New Roman" w:eastAsia="Times New Roman" w:hAnsi="Times New Roman"/>
          <w:snapToGrid w:val="0"/>
        </w:rPr>
        <w:t xml:space="preserve">, ir atsiunčiant elektroniniu paštu (adresu </w:t>
      </w:r>
      <w:r w:rsidR="00F96154" w:rsidRPr="00907D70">
        <w:rPr>
          <w:rFonts w:ascii="Times New Roman" w:eastAsia="Times New Roman" w:hAnsi="Times New Roman"/>
          <w:snapToGrid w:val="0"/>
          <w:u w:val="single"/>
        </w:rPr>
        <w:t>NepageidaujamaR@vvkt.lt</w:t>
      </w:r>
      <w:r w:rsidR="00F96154" w:rsidRPr="00907D70">
        <w:rPr>
          <w:rFonts w:ascii="Times New Roman" w:eastAsia="Times New Roman" w:hAnsi="Times New Roman"/>
          <w:snapToGrid w:val="0"/>
        </w:rPr>
        <w:t xml:space="preserve">) arba nemokamu telefonu 8 800 73 568. </w:t>
      </w:r>
      <w:r w:rsidRPr="00907D70">
        <w:rPr>
          <w:rFonts w:ascii="Times New Roman" w:eastAsia="Times New Roman" w:hAnsi="Times New Roman"/>
          <w:snapToGrid w:val="0"/>
        </w:rPr>
        <w:t>Pranešdami apie šalutinį poveikį galite mums padėti gauti daugiau informacijos apie šio vaisto saugumą.</w:t>
      </w:r>
    </w:p>
    <w:p w14:paraId="34814932" w14:textId="77777777" w:rsidR="00342622" w:rsidRPr="00907D70" w:rsidRDefault="00342622" w:rsidP="00342622">
      <w:pPr>
        <w:tabs>
          <w:tab w:val="left" w:pos="567"/>
        </w:tabs>
        <w:spacing w:after="0" w:line="260" w:lineRule="exact"/>
        <w:ind w:right="-449"/>
        <w:rPr>
          <w:rFonts w:ascii="Times New Roman" w:hAnsi="Times New Roman"/>
          <w:color w:val="000000"/>
          <w:lang w:eastAsia="lt-LT"/>
        </w:rPr>
      </w:pPr>
    </w:p>
    <w:p w14:paraId="5EE1E04C" w14:textId="77777777" w:rsidR="00342622" w:rsidRPr="00907D70" w:rsidRDefault="00342622" w:rsidP="00342622">
      <w:pPr>
        <w:spacing w:after="0" w:line="240" w:lineRule="auto"/>
        <w:rPr>
          <w:rFonts w:ascii="Times New Roman" w:eastAsia="Times New Roman" w:hAnsi="Times New Roman"/>
        </w:rPr>
      </w:pPr>
    </w:p>
    <w:p w14:paraId="1A66BB59" w14:textId="77777777" w:rsidR="00342622" w:rsidRPr="00907D70" w:rsidRDefault="00342622" w:rsidP="00342622">
      <w:pPr>
        <w:tabs>
          <w:tab w:val="left" w:pos="567"/>
        </w:tabs>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5.</w:t>
      </w:r>
      <w:r w:rsidRPr="00907D70">
        <w:rPr>
          <w:rFonts w:ascii="Times New Roman" w:eastAsia="Times New Roman" w:hAnsi="Times New Roman"/>
          <w:b/>
          <w:bCs/>
        </w:rPr>
        <w:tab/>
        <w:t>Kaip laikyti Lopinavir / Ritonavir Accord</w:t>
      </w:r>
    </w:p>
    <w:p w14:paraId="722E02D8" w14:textId="77777777" w:rsidR="00342622" w:rsidRPr="00907D70" w:rsidRDefault="00342622" w:rsidP="00342622">
      <w:pPr>
        <w:tabs>
          <w:tab w:val="left" w:pos="567"/>
        </w:tabs>
        <w:spacing w:after="0" w:line="240" w:lineRule="auto"/>
        <w:jc w:val="both"/>
        <w:rPr>
          <w:rFonts w:ascii="Times New Roman" w:eastAsia="Times New Roman" w:hAnsi="Times New Roman"/>
          <w:b/>
          <w:bCs/>
        </w:rPr>
      </w:pPr>
    </w:p>
    <w:p w14:paraId="6A301D8A" w14:textId="77777777" w:rsidR="00342622" w:rsidRPr="00907D70" w:rsidRDefault="00342622" w:rsidP="00E54F8A">
      <w:pPr>
        <w:numPr>
          <w:ilvl w:val="0"/>
          <w:numId w:val="26"/>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Šį vaistą laikykite vaikams nepastebimoje ir nepasiekiamoje vietoje.</w:t>
      </w:r>
    </w:p>
    <w:p w14:paraId="52EA27C0" w14:textId="77777777" w:rsidR="00342622" w:rsidRPr="00907D70" w:rsidRDefault="00342622" w:rsidP="00E54F8A">
      <w:pPr>
        <w:numPr>
          <w:ilvl w:val="0"/>
          <w:numId w:val="26"/>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iCs/>
        </w:rPr>
        <w:t xml:space="preserve">Ant pakuotės po „Tinka iki/EXP“ nurodytam tinkamumo laikui pasibaigus, </w:t>
      </w:r>
      <w:r w:rsidRPr="00907D70">
        <w:rPr>
          <w:rFonts w:ascii="Times New Roman" w:eastAsia="Times New Roman" w:hAnsi="Times New Roman"/>
        </w:rPr>
        <w:t xml:space="preserve">šio vaisto </w:t>
      </w:r>
      <w:r w:rsidRPr="00907D70">
        <w:rPr>
          <w:rFonts w:ascii="Times New Roman" w:eastAsia="Times New Roman" w:hAnsi="Times New Roman"/>
          <w:iCs/>
        </w:rPr>
        <w:t xml:space="preserve">vartoti negalima. </w:t>
      </w:r>
    </w:p>
    <w:p w14:paraId="7C03CACF" w14:textId="10F69B1E" w:rsidR="00342622" w:rsidRPr="00907D70" w:rsidRDefault="00342622" w:rsidP="00E54F8A">
      <w:pPr>
        <w:numPr>
          <w:ilvl w:val="0"/>
          <w:numId w:val="26"/>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Šiam vaistui specialių laikymo sąlygų nereikia.</w:t>
      </w:r>
    </w:p>
    <w:p w14:paraId="5FA99AD9" w14:textId="5F2A9758" w:rsidR="00957AA7" w:rsidRPr="00907D70" w:rsidRDefault="00957AA7" w:rsidP="00E54F8A">
      <w:pPr>
        <w:numPr>
          <w:ilvl w:val="0"/>
          <w:numId w:val="26"/>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Pastebėjus</w:t>
      </w:r>
      <w:r w:rsidR="00CB6F1D" w:rsidRPr="00907D70">
        <w:rPr>
          <w:rFonts w:ascii="Times New Roman" w:eastAsia="Times New Roman" w:hAnsi="Times New Roman"/>
        </w:rPr>
        <w:t xml:space="preserve"> spalvos pokyčių</w:t>
      </w:r>
      <w:r w:rsidRPr="00907D70">
        <w:rPr>
          <w:rFonts w:ascii="Times New Roman" w:eastAsia="Times New Roman" w:hAnsi="Times New Roman"/>
        </w:rPr>
        <w:t xml:space="preserve">, </w:t>
      </w:r>
      <w:r w:rsidR="00CB6F1D" w:rsidRPr="00907D70">
        <w:rPr>
          <w:rFonts w:ascii="Times New Roman" w:eastAsia="Times New Roman" w:hAnsi="Times New Roman"/>
        </w:rPr>
        <w:t xml:space="preserve">šio vaisto </w:t>
      </w:r>
      <w:r w:rsidRPr="00907D70">
        <w:rPr>
          <w:rFonts w:ascii="Times New Roman" w:eastAsia="Times New Roman" w:hAnsi="Times New Roman"/>
        </w:rPr>
        <w:t>vartoti negalima.</w:t>
      </w:r>
    </w:p>
    <w:p w14:paraId="38887424" w14:textId="77777777" w:rsidR="00342622" w:rsidRPr="00907D70" w:rsidRDefault="00342622" w:rsidP="00342622">
      <w:pPr>
        <w:tabs>
          <w:tab w:val="left" w:pos="567"/>
        </w:tabs>
        <w:spacing w:after="0" w:line="240" w:lineRule="auto"/>
        <w:rPr>
          <w:rFonts w:ascii="Times New Roman" w:eastAsia="Times New Roman" w:hAnsi="Times New Roman"/>
        </w:rPr>
      </w:pPr>
    </w:p>
    <w:p w14:paraId="65DC562D" w14:textId="77777777" w:rsidR="00342622" w:rsidRPr="00907D70" w:rsidRDefault="00342622" w:rsidP="00342622">
      <w:pPr>
        <w:keepNext/>
        <w:keepLines/>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 xml:space="preserve">Kaip aš turiu sutvarkyti bet kokį nesuvartotą </w:t>
      </w:r>
      <w:r w:rsidRPr="00907D70">
        <w:rPr>
          <w:rFonts w:ascii="Times New Roman" w:eastAsia="Times New Roman" w:hAnsi="Times New Roman"/>
          <w:b/>
          <w:bCs/>
        </w:rPr>
        <w:t>Lopinavir / Ritonavir Accord</w:t>
      </w:r>
      <w:r w:rsidRPr="00907D70">
        <w:rPr>
          <w:rFonts w:ascii="Times New Roman" w:eastAsia="Times New Roman" w:hAnsi="Times New Roman"/>
          <w:b/>
        </w:rPr>
        <w:t xml:space="preserve">? </w:t>
      </w:r>
    </w:p>
    <w:p w14:paraId="50E2F907" w14:textId="77777777" w:rsidR="00342622" w:rsidRPr="00907D70" w:rsidRDefault="00342622" w:rsidP="00342622">
      <w:pPr>
        <w:keepNext/>
        <w:keepLines/>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w:t>
      </w:r>
      <w:r w:rsidRPr="00907D70">
        <w:rPr>
          <w:rFonts w:ascii="Times New Roman" w:eastAsia="Times New Roman" w:hAnsi="Times New Roman"/>
        </w:rPr>
        <w:tab/>
        <w:t xml:space="preserve">Vaistų negalima išmesti į kanalizaciją. </w:t>
      </w:r>
    </w:p>
    <w:p w14:paraId="2E7864F9" w14:textId="77777777" w:rsidR="00342622" w:rsidRPr="00907D70" w:rsidRDefault="00342622" w:rsidP="00342622">
      <w:pPr>
        <w:keepNext/>
        <w:keepLines/>
        <w:tabs>
          <w:tab w:val="left" w:pos="567"/>
        </w:tabs>
        <w:spacing w:after="0" w:line="240" w:lineRule="auto"/>
        <w:ind w:left="567" w:hanging="567"/>
        <w:rPr>
          <w:rFonts w:ascii="Times New Roman" w:eastAsia="Times New Roman" w:hAnsi="Times New Roman"/>
          <w:iCs/>
        </w:rPr>
      </w:pPr>
      <w:r w:rsidRPr="00907D70">
        <w:rPr>
          <w:rFonts w:ascii="Times New Roman" w:eastAsia="Times New Roman" w:hAnsi="Times New Roman"/>
        </w:rPr>
        <w:t>-</w:t>
      </w:r>
      <w:r w:rsidRPr="00907D70">
        <w:rPr>
          <w:rFonts w:ascii="Times New Roman" w:eastAsia="Times New Roman" w:hAnsi="Times New Roman"/>
        </w:rPr>
        <w:tab/>
        <w:t>Kaip išmesti nereikalingus vaistus, klauskite vaistininko. Šios priemonės padės apsaugoti aplinką.</w:t>
      </w:r>
    </w:p>
    <w:p w14:paraId="5BC67FB8" w14:textId="77777777" w:rsidR="00342622" w:rsidRPr="00907D70" w:rsidRDefault="00342622" w:rsidP="00342622">
      <w:pPr>
        <w:spacing w:after="0" w:line="240" w:lineRule="auto"/>
        <w:rPr>
          <w:rFonts w:ascii="Times New Roman" w:eastAsia="Times New Roman" w:hAnsi="Times New Roman"/>
          <w:i/>
          <w:iCs/>
        </w:rPr>
      </w:pPr>
    </w:p>
    <w:p w14:paraId="691E98D2" w14:textId="77777777" w:rsidR="00342622" w:rsidRPr="00907D70" w:rsidRDefault="00342622" w:rsidP="00342622">
      <w:pPr>
        <w:spacing w:after="0" w:line="240" w:lineRule="auto"/>
        <w:rPr>
          <w:rFonts w:ascii="Times New Roman" w:eastAsia="Times New Roman" w:hAnsi="Times New Roman"/>
          <w:i/>
          <w:iCs/>
        </w:rPr>
      </w:pPr>
    </w:p>
    <w:p w14:paraId="55D9AE78" w14:textId="77777777"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6.</w:t>
      </w:r>
      <w:r w:rsidRPr="00907D70">
        <w:rPr>
          <w:rFonts w:ascii="Times New Roman" w:eastAsia="Times New Roman" w:hAnsi="Times New Roman"/>
          <w:b/>
        </w:rPr>
        <w:tab/>
        <w:t>Pakuotės turinys ir kita informacija</w:t>
      </w:r>
    </w:p>
    <w:p w14:paraId="1B0706F1" w14:textId="77777777" w:rsidR="00342622" w:rsidRPr="00907D70" w:rsidRDefault="00342622" w:rsidP="00342622">
      <w:pPr>
        <w:tabs>
          <w:tab w:val="left" w:pos="567"/>
        </w:tabs>
        <w:spacing w:after="0" w:line="240" w:lineRule="auto"/>
        <w:rPr>
          <w:rFonts w:ascii="Times New Roman" w:eastAsia="Times New Roman" w:hAnsi="Times New Roman"/>
        </w:rPr>
      </w:pPr>
    </w:p>
    <w:p w14:paraId="77A1FAC1" w14:textId="77777777" w:rsidR="00342622" w:rsidRPr="00907D70" w:rsidRDefault="00342622" w:rsidP="00342622">
      <w:pPr>
        <w:tabs>
          <w:tab w:val="left" w:pos="567"/>
        </w:tabs>
        <w:spacing w:after="0" w:line="240" w:lineRule="auto"/>
        <w:ind w:left="540" w:hanging="540"/>
        <w:rPr>
          <w:rFonts w:ascii="Times New Roman" w:eastAsia="Times New Roman" w:hAnsi="Times New Roman"/>
          <w:b/>
        </w:rPr>
      </w:pPr>
      <w:r w:rsidRPr="00907D70">
        <w:rPr>
          <w:rFonts w:ascii="Times New Roman" w:eastAsia="Times New Roman" w:hAnsi="Times New Roman"/>
          <w:b/>
        </w:rPr>
        <w:t>Lopinavir / Ritonavir Accord sudėtis</w:t>
      </w:r>
    </w:p>
    <w:p w14:paraId="1C1DA897" w14:textId="77777777" w:rsidR="00342622" w:rsidRPr="00907D70" w:rsidRDefault="00342622" w:rsidP="00342622">
      <w:p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Veikliosios medžiagos yra lopinaviras ir ritonaviras. </w:t>
      </w:r>
    </w:p>
    <w:p w14:paraId="38D960AE" w14:textId="77777777" w:rsidR="00342622" w:rsidRPr="00907D70" w:rsidRDefault="00342622" w:rsidP="0034262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Kiekvienoje Lopinavir / Ritonavir Accord tabletėje yra 200 mg lopinaviro ir 50 mg ritonaviro.</w:t>
      </w:r>
    </w:p>
    <w:p w14:paraId="065EB30E" w14:textId="77777777" w:rsidR="00342622" w:rsidRPr="00907D70" w:rsidRDefault="00342622" w:rsidP="00342622">
      <w:pPr>
        <w:spacing w:after="0" w:line="240" w:lineRule="auto"/>
        <w:rPr>
          <w:rFonts w:ascii="Times New Roman" w:eastAsia="Times New Roman" w:hAnsi="Times New Roman"/>
        </w:rPr>
      </w:pPr>
    </w:p>
    <w:p w14:paraId="7A07CA44"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 xml:space="preserve">Pagalbinės medžiagos. </w:t>
      </w:r>
      <w:r w:rsidRPr="00907D70">
        <w:rPr>
          <w:rFonts w:ascii="Times New Roman" w:eastAsia="Times New Roman" w:hAnsi="Times New Roman"/>
          <w:bCs/>
          <w:i/>
        </w:rPr>
        <w:t>Tabletės branduolys</w:t>
      </w:r>
      <w:r w:rsidRPr="00907D70">
        <w:rPr>
          <w:rFonts w:ascii="Times New Roman" w:eastAsia="Times New Roman" w:hAnsi="Times New Roman"/>
          <w:bCs/>
        </w:rPr>
        <w:t>: k</w:t>
      </w:r>
      <w:r w:rsidRPr="00907D70">
        <w:rPr>
          <w:rFonts w:ascii="Times New Roman" w:eastAsia="Times New Roman" w:hAnsi="Times New Roman"/>
        </w:rPr>
        <w:t xml:space="preserve">opovidonas, sorbitano lauratas, bevandenis koloidinis silicio dioksidas, natrio stearilfumaratas. </w:t>
      </w:r>
    </w:p>
    <w:p w14:paraId="17E79D06"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i/>
        </w:rPr>
        <w:t>Tabletės plėvelė</w:t>
      </w:r>
      <w:r w:rsidRPr="00907D70">
        <w:rPr>
          <w:rFonts w:ascii="Times New Roman" w:eastAsia="Times New Roman" w:hAnsi="Times New Roman"/>
        </w:rPr>
        <w:t>: hipromeliozė (E464), titano dioksidas (E171), makrogolis (polietilenglikolis 400), hidroksipropilceliuliozė (E463), talkas (E553b), bevandenis koloidinis silicio dioksidas (E551), makrogolis (polietilenglikolis 3350), geltonasis geležies oksidas (E172), polisorbatas 80 (E433).</w:t>
      </w:r>
    </w:p>
    <w:p w14:paraId="2B7FAEA5" w14:textId="77777777" w:rsidR="00342622" w:rsidRPr="00907D70" w:rsidRDefault="00342622" w:rsidP="00342622">
      <w:pPr>
        <w:spacing w:after="0" w:line="240" w:lineRule="auto"/>
        <w:rPr>
          <w:rFonts w:ascii="Times New Roman" w:eastAsia="Times New Roman" w:hAnsi="Times New Roman"/>
        </w:rPr>
      </w:pPr>
    </w:p>
    <w:p w14:paraId="5C5BC402" w14:textId="77777777" w:rsidR="00342622" w:rsidRPr="00907D70" w:rsidRDefault="00342622" w:rsidP="00342622">
      <w:pPr>
        <w:spacing w:after="0" w:line="240" w:lineRule="auto"/>
        <w:rPr>
          <w:rFonts w:ascii="Times New Roman" w:eastAsia="Times New Roman" w:hAnsi="Times New Roman"/>
          <w:b/>
        </w:rPr>
      </w:pPr>
      <w:r w:rsidRPr="00907D70">
        <w:rPr>
          <w:rFonts w:ascii="Times New Roman" w:eastAsia="Times New Roman" w:hAnsi="Times New Roman"/>
          <w:b/>
        </w:rPr>
        <w:t>Lopinavir / Ritonavir Accord išvaizda ir kiekis pakuotėje</w:t>
      </w:r>
    </w:p>
    <w:p w14:paraId="477B7949"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Lopinavir / Ritonavir Accord tabletės yra geltonos, ovalios, abipus išgaubtos, dengtos plėvele, vienoje jų pusėje įspausta „H“, kitoje − „L3“.</w:t>
      </w:r>
    </w:p>
    <w:p w14:paraId="66E8C952" w14:textId="77777777" w:rsidR="00342622" w:rsidRPr="00907D70" w:rsidRDefault="00342622" w:rsidP="00342622">
      <w:pPr>
        <w:spacing w:after="0" w:line="240" w:lineRule="auto"/>
        <w:rPr>
          <w:rFonts w:ascii="Times New Roman" w:eastAsia="Times New Roman" w:hAnsi="Times New Roman"/>
        </w:rPr>
      </w:pPr>
    </w:p>
    <w:p w14:paraId="0B804CE6"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 xml:space="preserve">Lopinavir / Ritonavir Accord plėvele dengtos tabletės tiekiamos pakuotėse po 120 tablečių (1 plastiko buteliukas, kuriame yra 120 tablečių) ir po 360 tablečių (3 plastiko buteliukai po 120 tablečių). Taip pat tiekiamos sudėtinės lizdinės plokštelės po 60 ir 120 tablečių (1 pakuotė, kurioje yra 120 tablečių arba 3 pakuotės po 40 tablečių). </w:t>
      </w:r>
    </w:p>
    <w:p w14:paraId="5412BB91" w14:textId="77777777" w:rsidR="00342622" w:rsidRPr="00907D70" w:rsidRDefault="00342622" w:rsidP="00342622">
      <w:pPr>
        <w:spacing w:after="0" w:line="240" w:lineRule="auto"/>
        <w:rPr>
          <w:rFonts w:ascii="Times New Roman" w:eastAsia="Times New Roman" w:hAnsi="Times New Roman"/>
        </w:rPr>
      </w:pPr>
    </w:p>
    <w:p w14:paraId="6DB2835D" w14:textId="77777777" w:rsidR="00342622" w:rsidRPr="00907D70" w:rsidRDefault="00342622" w:rsidP="00342622">
      <w:pPr>
        <w:spacing w:after="0" w:line="240" w:lineRule="auto"/>
        <w:rPr>
          <w:rFonts w:ascii="Times New Roman" w:eastAsia="Times New Roman" w:hAnsi="Times New Roman"/>
        </w:rPr>
      </w:pPr>
      <w:r w:rsidRPr="00907D70">
        <w:rPr>
          <w:rFonts w:ascii="Times New Roman" w:eastAsia="Times New Roman" w:hAnsi="Times New Roman"/>
        </w:rPr>
        <w:t>Gali būti tiekiamos ne visų dydžių pakuotės.</w:t>
      </w:r>
    </w:p>
    <w:p w14:paraId="746670E1" w14:textId="77777777" w:rsidR="00342622" w:rsidRPr="00907D70" w:rsidRDefault="00342622" w:rsidP="00342622">
      <w:pPr>
        <w:spacing w:after="0" w:line="240" w:lineRule="auto"/>
        <w:rPr>
          <w:rFonts w:ascii="Times New Roman" w:eastAsia="Times New Roman" w:hAnsi="Times New Roman"/>
        </w:rPr>
      </w:pPr>
    </w:p>
    <w:p w14:paraId="19056FBC" w14:textId="77777777" w:rsidR="00342622" w:rsidRPr="00907D70" w:rsidRDefault="00342622" w:rsidP="0034262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Registruotojas ir gamintojas</w:t>
      </w:r>
    </w:p>
    <w:p w14:paraId="009C4CDA" w14:textId="77777777" w:rsidR="00342622" w:rsidRPr="00907D70" w:rsidRDefault="00342622" w:rsidP="00342622">
      <w:pPr>
        <w:tabs>
          <w:tab w:val="left" w:pos="567"/>
        </w:tabs>
        <w:spacing w:after="0" w:line="240" w:lineRule="auto"/>
        <w:rPr>
          <w:rFonts w:ascii="Times New Roman" w:eastAsia="Times New Roman" w:hAnsi="Times New Roman"/>
          <w:b/>
          <w:bCs/>
          <w:i/>
        </w:rPr>
      </w:pPr>
    </w:p>
    <w:p w14:paraId="073CFA9A" w14:textId="77777777" w:rsidR="00342622" w:rsidRPr="00907D70" w:rsidRDefault="00342622" w:rsidP="00342622">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Registruotojas</w:t>
      </w:r>
    </w:p>
    <w:p w14:paraId="49668A49" w14:textId="5AA9DE90" w:rsidR="00342622" w:rsidRPr="00907D70" w:rsidRDefault="00342622" w:rsidP="00342622">
      <w:pPr>
        <w:spacing w:after="0" w:line="240" w:lineRule="auto"/>
        <w:rPr>
          <w:rFonts w:ascii="Times New Roman" w:hAnsi="Times New Roman"/>
        </w:rPr>
      </w:pPr>
      <w:r w:rsidRPr="00907D70">
        <w:rPr>
          <w:rFonts w:ascii="Times New Roman" w:hAnsi="Times New Roman"/>
        </w:rPr>
        <w:t xml:space="preserve">Accord Healthcare </w:t>
      </w:r>
      <w:r w:rsidR="00376923" w:rsidRPr="00907D70">
        <w:rPr>
          <w:rFonts w:ascii="Times New Roman" w:hAnsi="Times New Roman"/>
        </w:rPr>
        <w:t xml:space="preserve">B.V. </w:t>
      </w:r>
    </w:p>
    <w:p w14:paraId="183934FC"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Winthontlaan 200 </w:t>
      </w:r>
    </w:p>
    <w:p w14:paraId="65B26A28" w14:textId="77777777" w:rsidR="00376923" w:rsidRPr="00907D70" w:rsidRDefault="00376923" w:rsidP="00376923">
      <w:pPr>
        <w:spacing w:after="0" w:line="240" w:lineRule="auto"/>
        <w:rPr>
          <w:rFonts w:ascii="Times New Roman" w:hAnsi="Times New Roman"/>
        </w:rPr>
      </w:pPr>
      <w:r w:rsidRPr="00907D70">
        <w:rPr>
          <w:rFonts w:ascii="Times New Roman" w:hAnsi="Times New Roman"/>
        </w:rPr>
        <w:t xml:space="preserve">3526 KV Utrecht </w:t>
      </w:r>
    </w:p>
    <w:p w14:paraId="089F6CBB" w14:textId="77777777" w:rsidR="00376923" w:rsidRPr="00907D70" w:rsidRDefault="00376923" w:rsidP="00376923">
      <w:pPr>
        <w:spacing w:after="0" w:line="240" w:lineRule="auto"/>
      </w:pPr>
      <w:r w:rsidRPr="00907D70">
        <w:rPr>
          <w:rFonts w:ascii="Times New Roman" w:hAnsi="Times New Roman"/>
        </w:rPr>
        <w:t>Nyderlandai</w:t>
      </w:r>
    </w:p>
    <w:p w14:paraId="208CB541" w14:textId="77777777" w:rsidR="00342622" w:rsidRPr="00907D70" w:rsidRDefault="00342622" w:rsidP="00342622">
      <w:pPr>
        <w:spacing w:after="0" w:line="240" w:lineRule="auto"/>
        <w:rPr>
          <w:rFonts w:ascii="Times New Roman" w:hAnsi="Times New Roman"/>
        </w:rPr>
      </w:pPr>
    </w:p>
    <w:p w14:paraId="511251DC" w14:textId="77777777" w:rsidR="00342622" w:rsidRPr="00907D70" w:rsidRDefault="00342622" w:rsidP="00160402">
      <w:pPr>
        <w:keepNext/>
        <w:widowControl w:val="0"/>
        <w:autoSpaceDE w:val="0"/>
        <w:autoSpaceDN w:val="0"/>
        <w:adjustRightInd w:val="0"/>
        <w:spacing w:after="0" w:line="273" w:lineRule="exact"/>
        <w:ind w:right="-20"/>
        <w:rPr>
          <w:rFonts w:ascii="Times New Roman" w:hAnsi="Times New Roman"/>
          <w:i/>
          <w:kern w:val="22"/>
        </w:rPr>
      </w:pPr>
      <w:r w:rsidRPr="00907D70">
        <w:rPr>
          <w:rFonts w:ascii="Times New Roman" w:hAnsi="Times New Roman"/>
          <w:i/>
          <w:kern w:val="22"/>
        </w:rPr>
        <w:lastRenderedPageBreak/>
        <w:t>Gamintojas</w:t>
      </w:r>
    </w:p>
    <w:p w14:paraId="54E7975F" w14:textId="77777777" w:rsidR="00342622" w:rsidRPr="00907D70" w:rsidRDefault="00342622" w:rsidP="00160402">
      <w:pPr>
        <w:keepNext/>
        <w:spacing w:after="0" w:line="240" w:lineRule="auto"/>
        <w:rPr>
          <w:rFonts w:ascii="Times New Roman" w:hAnsi="Times New Roman"/>
          <w:bCs/>
        </w:rPr>
      </w:pPr>
      <w:r w:rsidRPr="00907D70">
        <w:rPr>
          <w:rFonts w:ascii="Times New Roman" w:hAnsi="Times New Roman"/>
          <w:bCs/>
        </w:rPr>
        <w:t>Pharmadox Healthcare Ltd.</w:t>
      </w:r>
    </w:p>
    <w:p w14:paraId="53A6F2D9" w14:textId="77777777" w:rsidR="00342622" w:rsidRPr="00907D70" w:rsidRDefault="00342622" w:rsidP="00160402">
      <w:pPr>
        <w:keepNext/>
        <w:spacing w:after="0" w:line="240" w:lineRule="auto"/>
        <w:rPr>
          <w:rFonts w:ascii="Times New Roman" w:hAnsi="Times New Roman"/>
          <w:bCs/>
        </w:rPr>
      </w:pPr>
      <w:r w:rsidRPr="00907D70">
        <w:rPr>
          <w:rFonts w:ascii="Times New Roman" w:hAnsi="Times New Roman"/>
          <w:bCs/>
        </w:rPr>
        <w:t>KW20A Kordin Industrial Park,</w:t>
      </w:r>
    </w:p>
    <w:p w14:paraId="46BF58C8" w14:textId="77777777" w:rsidR="00342622" w:rsidRPr="00907D70" w:rsidRDefault="00342622" w:rsidP="00160402">
      <w:pPr>
        <w:keepNext/>
        <w:spacing w:after="0" w:line="240" w:lineRule="auto"/>
        <w:rPr>
          <w:rFonts w:ascii="Times New Roman" w:hAnsi="Times New Roman"/>
          <w:bCs/>
        </w:rPr>
      </w:pPr>
      <w:r w:rsidRPr="00907D70">
        <w:rPr>
          <w:rFonts w:ascii="Times New Roman" w:hAnsi="Times New Roman"/>
          <w:bCs/>
        </w:rPr>
        <w:t>Paola, PLA 3000</w:t>
      </w:r>
    </w:p>
    <w:p w14:paraId="35BDC45A" w14:textId="77777777" w:rsidR="00342622" w:rsidRPr="00907D70" w:rsidRDefault="00342622" w:rsidP="00160402">
      <w:pPr>
        <w:keepNext/>
        <w:spacing w:after="0" w:line="240" w:lineRule="auto"/>
        <w:rPr>
          <w:rFonts w:ascii="Times New Roman" w:hAnsi="Times New Roman"/>
          <w:bCs/>
        </w:rPr>
      </w:pPr>
      <w:r w:rsidRPr="00907D70">
        <w:rPr>
          <w:rFonts w:ascii="Times New Roman" w:hAnsi="Times New Roman"/>
          <w:bCs/>
        </w:rPr>
        <w:t>Malta</w:t>
      </w:r>
    </w:p>
    <w:p w14:paraId="4C22866A" w14:textId="77777777" w:rsidR="00342622" w:rsidRPr="00907D70" w:rsidRDefault="00342622" w:rsidP="00342622">
      <w:pPr>
        <w:tabs>
          <w:tab w:val="left" w:pos="567"/>
        </w:tabs>
        <w:spacing w:after="0" w:line="240" w:lineRule="auto"/>
        <w:rPr>
          <w:rFonts w:ascii="Times New Roman" w:eastAsia="Times New Roman" w:hAnsi="Times New Roman"/>
        </w:rPr>
      </w:pPr>
    </w:p>
    <w:p w14:paraId="638B628D" w14:textId="2B2A55FB"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 xml:space="preserve">Šis vaistas </w:t>
      </w:r>
      <w:r w:rsidR="008F1D33" w:rsidRPr="00907D70">
        <w:rPr>
          <w:rFonts w:ascii="Times New Roman" w:eastAsia="Times New Roman" w:hAnsi="Times New Roman"/>
          <w:b/>
        </w:rPr>
        <w:t xml:space="preserve">Europos ekonominės erdvės valstybėse narėse ir Jungtinėje Karalystėje (Šiaurės Airijoje) </w:t>
      </w:r>
      <w:r w:rsidRPr="00907D70">
        <w:rPr>
          <w:rFonts w:ascii="Times New Roman" w:eastAsia="Times New Roman" w:hAnsi="Times New Roman"/>
          <w:b/>
        </w:rPr>
        <w:t>registruotas tokiais pavadinimais:</w:t>
      </w:r>
    </w:p>
    <w:p w14:paraId="7550B773" w14:textId="77777777" w:rsidR="00342622" w:rsidRPr="00907D70" w:rsidRDefault="00342622" w:rsidP="00342622">
      <w:pPr>
        <w:tabs>
          <w:tab w:val="left" w:pos="567"/>
        </w:tabs>
        <w:spacing w:after="0" w:line="240" w:lineRule="auto"/>
        <w:rPr>
          <w:rFonts w:ascii="Times New Roman" w:eastAsia="Times New Roman" w:hAnsi="Times New Roman"/>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342622" w:rsidRPr="00907D70" w14:paraId="1B3B51DB" w14:textId="77777777" w:rsidTr="00160402">
        <w:trPr>
          <w:trHeight w:val="465"/>
        </w:trPr>
        <w:tc>
          <w:tcPr>
            <w:tcW w:w="1843" w:type="dxa"/>
            <w:shd w:val="clear" w:color="auto" w:fill="auto"/>
          </w:tcPr>
          <w:p w14:paraId="349ABD20" w14:textId="77777777" w:rsidR="00342622" w:rsidRPr="00907D70" w:rsidRDefault="00342622" w:rsidP="00E54F8A">
            <w:pPr>
              <w:autoSpaceDE w:val="0"/>
              <w:autoSpaceDN w:val="0"/>
              <w:adjustRightInd w:val="0"/>
              <w:spacing w:after="0" w:line="240" w:lineRule="auto"/>
              <w:ind w:right="-23"/>
              <w:rPr>
                <w:rFonts w:ascii="Times New Roman" w:hAnsi="Times New Roman"/>
                <w:bCs/>
              </w:rPr>
            </w:pPr>
            <w:r w:rsidRPr="00907D70">
              <w:rPr>
                <w:rFonts w:ascii="Times New Roman" w:hAnsi="Times New Roman"/>
                <w:b/>
              </w:rPr>
              <w:t>Valstybės narės pavadinimas</w:t>
            </w:r>
          </w:p>
        </w:tc>
        <w:tc>
          <w:tcPr>
            <w:tcW w:w="7371" w:type="dxa"/>
            <w:shd w:val="clear" w:color="auto" w:fill="auto"/>
          </w:tcPr>
          <w:p w14:paraId="2F564254" w14:textId="77777777" w:rsidR="00342622" w:rsidRPr="00907D70" w:rsidRDefault="00342622" w:rsidP="00E54F8A">
            <w:pPr>
              <w:autoSpaceDE w:val="0"/>
              <w:autoSpaceDN w:val="0"/>
              <w:adjustRightInd w:val="0"/>
              <w:spacing w:after="0" w:line="240" w:lineRule="auto"/>
              <w:ind w:right="-23"/>
              <w:rPr>
                <w:rFonts w:ascii="Times New Roman" w:hAnsi="Times New Roman"/>
                <w:bCs/>
              </w:rPr>
            </w:pPr>
            <w:r w:rsidRPr="00907D70">
              <w:rPr>
                <w:rFonts w:ascii="Times New Roman" w:hAnsi="Times New Roman"/>
                <w:b/>
              </w:rPr>
              <w:t>Vaisto pavadinimas</w:t>
            </w:r>
          </w:p>
        </w:tc>
      </w:tr>
      <w:tr w:rsidR="00E54F8A" w:rsidRPr="00907D70" w14:paraId="7FF3F512" w14:textId="77777777" w:rsidTr="00160402">
        <w:trPr>
          <w:trHeight w:val="227"/>
        </w:trPr>
        <w:tc>
          <w:tcPr>
            <w:tcW w:w="1843" w:type="dxa"/>
            <w:shd w:val="clear" w:color="auto" w:fill="auto"/>
          </w:tcPr>
          <w:p w14:paraId="4DC00105"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Vokietija:</w:t>
            </w:r>
          </w:p>
        </w:tc>
        <w:tc>
          <w:tcPr>
            <w:tcW w:w="7371" w:type="dxa"/>
            <w:shd w:val="clear" w:color="auto" w:fill="auto"/>
          </w:tcPr>
          <w:p w14:paraId="59F3FB13"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Lopinavir/Ritonavir Accord 200 mg/50 mg Filmtabletten</w:t>
            </w:r>
          </w:p>
        </w:tc>
      </w:tr>
      <w:tr w:rsidR="00342622" w:rsidRPr="00907D70" w14:paraId="28CFE8A0" w14:textId="77777777" w:rsidTr="00160402">
        <w:tc>
          <w:tcPr>
            <w:tcW w:w="1843" w:type="dxa"/>
            <w:shd w:val="clear" w:color="auto" w:fill="auto"/>
          </w:tcPr>
          <w:p w14:paraId="4D0DA65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Ispanija:</w:t>
            </w:r>
          </w:p>
        </w:tc>
        <w:tc>
          <w:tcPr>
            <w:tcW w:w="7371" w:type="dxa"/>
            <w:shd w:val="clear" w:color="auto" w:fill="auto"/>
          </w:tcPr>
          <w:p w14:paraId="1FB2C8D9"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Lopinavir/Ritonavir Accord 200 mg/50 mg comprimidos recubiertos con película EFG</w:t>
            </w:r>
          </w:p>
        </w:tc>
      </w:tr>
      <w:tr w:rsidR="00342622" w:rsidRPr="00907D70" w14:paraId="0CAE1BA7" w14:textId="77777777" w:rsidTr="00160402">
        <w:tc>
          <w:tcPr>
            <w:tcW w:w="1843" w:type="dxa"/>
            <w:shd w:val="clear" w:color="auto" w:fill="auto"/>
          </w:tcPr>
          <w:p w14:paraId="4B1C1A0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Nyderlandai:</w:t>
            </w:r>
          </w:p>
        </w:tc>
        <w:tc>
          <w:tcPr>
            <w:tcW w:w="7371" w:type="dxa"/>
            <w:shd w:val="clear" w:color="auto" w:fill="auto"/>
          </w:tcPr>
          <w:p w14:paraId="101EE7C5"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Lopinavir/Ritonavir Accord 200 mg/50 mg filmomhulde tabletten</w:t>
            </w:r>
          </w:p>
        </w:tc>
      </w:tr>
      <w:tr w:rsidR="00342622" w:rsidRPr="00907D70" w14:paraId="696A711A" w14:textId="77777777" w:rsidTr="00160402">
        <w:tc>
          <w:tcPr>
            <w:tcW w:w="1843" w:type="dxa"/>
            <w:shd w:val="clear" w:color="auto" w:fill="auto"/>
            <w:vAlign w:val="center"/>
          </w:tcPr>
          <w:p w14:paraId="0E679A28"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Austrija:</w:t>
            </w:r>
          </w:p>
        </w:tc>
        <w:tc>
          <w:tcPr>
            <w:tcW w:w="7371" w:type="dxa"/>
            <w:shd w:val="clear" w:color="auto" w:fill="auto"/>
            <w:vAlign w:val="center"/>
          </w:tcPr>
          <w:p w14:paraId="3791A4C2"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Filmtabletten</w:t>
            </w:r>
          </w:p>
        </w:tc>
      </w:tr>
      <w:tr w:rsidR="00342622" w:rsidRPr="00907D70" w14:paraId="0AC06C06" w14:textId="77777777" w:rsidTr="00160402">
        <w:tc>
          <w:tcPr>
            <w:tcW w:w="1843" w:type="dxa"/>
            <w:shd w:val="clear" w:color="auto" w:fill="auto"/>
            <w:vAlign w:val="center"/>
          </w:tcPr>
          <w:p w14:paraId="3381EF5A"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Belgija:</w:t>
            </w:r>
          </w:p>
        </w:tc>
        <w:tc>
          <w:tcPr>
            <w:tcW w:w="7371" w:type="dxa"/>
            <w:shd w:val="clear" w:color="auto" w:fill="auto"/>
            <w:vAlign w:val="center"/>
          </w:tcPr>
          <w:p w14:paraId="1AC821AB"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Filmtabletten/ comprimé pelliculé/ filmomhulde tabletten</w:t>
            </w:r>
          </w:p>
        </w:tc>
      </w:tr>
      <w:tr w:rsidR="00342622" w:rsidRPr="00907D70" w14:paraId="1C1C00CE" w14:textId="77777777" w:rsidTr="00160402">
        <w:tc>
          <w:tcPr>
            <w:tcW w:w="1843" w:type="dxa"/>
            <w:shd w:val="clear" w:color="auto" w:fill="auto"/>
            <w:vAlign w:val="center"/>
          </w:tcPr>
          <w:p w14:paraId="12FCDFEC"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Bulgarija:</w:t>
            </w:r>
          </w:p>
        </w:tc>
        <w:tc>
          <w:tcPr>
            <w:tcW w:w="7371" w:type="dxa"/>
            <w:shd w:val="clear" w:color="auto" w:fill="auto"/>
            <w:vAlign w:val="center"/>
          </w:tcPr>
          <w:p w14:paraId="0A272DFD"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film-coated tablets</w:t>
            </w:r>
          </w:p>
        </w:tc>
      </w:tr>
      <w:tr w:rsidR="00342622" w:rsidRPr="00907D70" w14:paraId="3D3EEFB8" w14:textId="77777777" w:rsidTr="00160402">
        <w:tc>
          <w:tcPr>
            <w:tcW w:w="1843" w:type="dxa"/>
            <w:shd w:val="clear" w:color="auto" w:fill="auto"/>
            <w:vAlign w:val="center"/>
          </w:tcPr>
          <w:p w14:paraId="795793A8"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Kroatija:</w:t>
            </w:r>
          </w:p>
        </w:tc>
        <w:tc>
          <w:tcPr>
            <w:tcW w:w="7371" w:type="dxa"/>
            <w:shd w:val="clear" w:color="auto" w:fill="auto"/>
            <w:vAlign w:val="center"/>
          </w:tcPr>
          <w:p w14:paraId="2FC89668"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filmom obložene tablete</w:t>
            </w:r>
          </w:p>
        </w:tc>
      </w:tr>
      <w:tr w:rsidR="00342622" w:rsidRPr="00907D70" w14:paraId="5C71DD62" w14:textId="77777777" w:rsidTr="00160402">
        <w:tc>
          <w:tcPr>
            <w:tcW w:w="1843" w:type="dxa"/>
            <w:shd w:val="clear" w:color="auto" w:fill="auto"/>
            <w:vAlign w:val="center"/>
          </w:tcPr>
          <w:p w14:paraId="327F3AD0"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Kipras:</w:t>
            </w:r>
          </w:p>
        </w:tc>
        <w:tc>
          <w:tcPr>
            <w:tcW w:w="7371" w:type="dxa"/>
            <w:shd w:val="clear" w:color="auto" w:fill="auto"/>
            <w:vAlign w:val="center"/>
          </w:tcPr>
          <w:p w14:paraId="560016A7"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film-coated tablets</w:t>
            </w:r>
          </w:p>
        </w:tc>
      </w:tr>
      <w:tr w:rsidR="00342622" w:rsidRPr="00907D70" w14:paraId="65E97119" w14:textId="77777777" w:rsidTr="00160402">
        <w:tc>
          <w:tcPr>
            <w:tcW w:w="1843" w:type="dxa"/>
            <w:shd w:val="clear" w:color="auto" w:fill="auto"/>
            <w:vAlign w:val="center"/>
          </w:tcPr>
          <w:p w14:paraId="1746D4D7"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Danija:</w:t>
            </w:r>
          </w:p>
        </w:tc>
        <w:tc>
          <w:tcPr>
            <w:tcW w:w="7371" w:type="dxa"/>
            <w:shd w:val="clear" w:color="auto" w:fill="auto"/>
            <w:vAlign w:val="center"/>
          </w:tcPr>
          <w:p w14:paraId="13600696"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filmovertrukne tabletter</w:t>
            </w:r>
          </w:p>
        </w:tc>
      </w:tr>
      <w:tr w:rsidR="00342622" w:rsidRPr="00907D70" w14:paraId="330E20A0" w14:textId="77777777" w:rsidTr="00160402">
        <w:tc>
          <w:tcPr>
            <w:tcW w:w="1843" w:type="dxa"/>
            <w:shd w:val="clear" w:color="auto" w:fill="auto"/>
            <w:vAlign w:val="center"/>
          </w:tcPr>
          <w:p w14:paraId="47A4A64C"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Estija:</w:t>
            </w:r>
          </w:p>
        </w:tc>
        <w:tc>
          <w:tcPr>
            <w:tcW w:w="7371" w:type="dxa"/>
            <w:shd w:val="clear" w:color="auto" w:fill="auto"/>
            <w:vAlign w:val="center"/>
          </w:tcPr>
          <w:p w14:paraId="128C7FC3"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w:t>
            </w:r>
          </w:p>
        </w:tc>
      </w:tr>
      <w:tr w:rsidR="00342622" w:rsidRPr="00907D70" w14:paraId="370A2F06" w14:textId="77777777" w:rsidTr="00160402">
        <w:tc>
          <w:tcPr>
            <w:tcW w:w="1843" w:type="dxa"/>
            <w:shd w:val="clear" w:color="auto" w:fill="auto"/>
            <w:vAlign w:val="center"/>
          </w:tcPr>
          <w:p w14:paraId="40066A39"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Suomija:</w:t>
            </w:r>
          </w:p>
        </w:tc>
        <w:tc>
          <w:tcPr>
            <w:tcW w:w="7371" w:type="dxa"/>
            <w:shd w:val="clear" w:color="auto" w:fill="auto"/>
            <w:vAlign w:val="center"/>
          </w:tcPr>
          <w:p w14:paraId="5125ED37"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kalvopäällysteiset tabletit</w:t>
            </w:r>
          </w:p>
        </w:tc>
      </w:tr>
      <w:tr w:rsidR="00342622" w:rsidRPr="00907D70" w14:paraId="2572BAD6" w14:textId="77777777" w:rsidTr="00160402">
        <w:tc>
          <w:tcPr>
            <w:tcW w:w="1843" w:type="dxa"/>
            <w:shd w:val="clear" w:color="auto" w:fill="auto"/>
            <w:vAlign w:val="center"/>
          </w:tcPr>
          <w:p w14:paraId="1CBABD11"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Vengrija:</w:t>
            </w:r>
          </w:p>
        </w:tc>
        <w:tc>
          <w:tcPr>
            <w:tcW w:w="7371" w:type="dxa"/>
            <w:shd w:val="clear" w:color="auto" w:fill="auto"/>
            <w:vAlign w:val="center"/>
          </w:tcPr>
          <w:p w14:paraId="42F3FE62"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mg/50 mg filmtabletta</w:t>
            </w:r>
          </w:p>
        </w:tc>
      </w:tr>
      <w:tr w:rsidR="00342622" w:rsidRPr="00907D70" w14:paraId="7EA4690B" w14:textId="77777777" w:rsidTr="00160402">
        <w:tc>
          <w:tcPr>
            <w:tcW w:w="1843" w:type="dxa"/>
            <w:shd w:val="clear" w:color="auto" w:fill="auto"/>
            <w:vAlign w:val="center"/>
          </w:tcPr>
          <w:p w14:paraId="3D76774A"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Italija:</w:t>
            </w:r>
          </w:p>
        </w:tc>
        <w:tc>
          <w:tcPr>
            <w:tcW w:w="7371" w:type="dxa"/>
            <w:shd w:val="clear" w:color="auto" w:fill="auto"/>
            <w:vAlign w:val="center"/>
          </w:tcPr>
          <w:p w14:paraId="04CB19AB"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 xml:space="preserve">Lopinavir / Ritonavir Accord 200 mg / 50 mg </w:t>
            </w:r>
          </w:p>
        </w:tc>
      </w:tr>
      <w:tr w:rsidR="00342622" w:rsidRPr="00907D70" w14:paraId="36FFAFCE" w14:textId="77777777" w:rsidTr="00160402">
        <w:tc>
          <w:tcPr>
            <w:tcW w:w="1843" w:type="dxa"/>
            <w:shd w:val="clear" w:color="auto" w:fill="auto"/>
            <w:vAlign w:val="center"/>
          </w:tcPr>
          <w:p w14:paraId="045EC67B"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Lietuva:</w:t>
            </w:r>
          </w:p>
        </w:tc>
        <w:tc>
          <w:tcPr>
            <w:tcW w:w="7371" w:type="dxa"/>
            <w:shd w:val="clear" w:color="auto" w:fill="auto"/>
            <w:vAlign w:val="center"/>
          </w:tcPr>
          <w:p w14:paraId="42F11D59" w14:textId="12314A2A"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mg/50 mg plėvele dengtos tabletės</w:t>
            </w:r>
          </w:p>
        </w:tc>
      </w:tr>
      <w:tr w:rsidR="00342622" w:rsidRPr="00907D70" w14:paraId="44D7101D" w14:textId="77777777" w:rsidTr="00160402">
        <w:tc>
          <w:tcPr>
            <w:tcW w:w="1843" w:type="dxa"/>
            <w:shd w:val="clear" w:color="auto" w:fill="auto"/>
            <w:vAlign w:val="center"/>
          </w:tcPr>
          <w:p w14:paraId="0A084ED3" w14:textId="6F0C0B95" w:rsidR="00342622" w:rsidRPr="00907D70" w:rsidRDefault="00342622" w:rsidP="00E54F8A">
            <w:pPr>
              <w:autoSpaceDE w:val="0"/>
              <w:autoSpaceDN w:val="0"/>
              <w:adjustRightInd w:val="0"/>
              <w:spacing w:after="0" w:line="240" w:lineRule="auto"/>
              <w:ind w:right="-23"/>
              <w:rPr>
                <w:rFonts w:ascii="Times New Roman" w:hAnsi="Times New Roman"/>
              </w:rPr>
            </w:pPr>
            <w:r w:rsidRPr="00907D70">
              <w:rPr>
                <w:rFonts w:ascii="Times New Roman" w:hAnsi="Times New Roman"/>
              </w:rPr>
              <w:t>Latvija</w:t>
            </w:r>
            <w:r w:rsidR="00E04F91" w:rsidRPr="00907D70">
              <w:rPr>
                <w:rFonts w:ascii="Times New Roman" w:hAnsi="Times New Roman"/>
              </w:rPr>
              <w:t>:</w:t>
            </w:r>
          </w:p>
        </w:tc>
        <w:tc>
          <w:tcPr>
            <w:tcW w:w="7371" w:type="dxa"/>
            <w:shd w:val="clear" w:color="auto" w:fill="auto"/>
            <w:vAlign w:val="center"/>
          </w:tcPr>
          <w:p w14:paraId="7BC4B816" w14:textId="77777777" w:rsidR="00342622" w:rsidRPr="00907D70" w:rsidRDefault="00342622" w:rsidP="00E54F8A">
            <w:pPr>
              <w:autoSpaceDE w:val="0"/>
              <w:autoSpaceDN w:val="0"/>
              <w:adjustRightInd w:val="0"/>
              <w:spacing w:after="0" w:line="240" w:lineRule="auto"/>
              <w:ind w:right="-23"/>
              <w:rPr>
                <w:rFonts w:ascii="Times New Roman" w:hAnsi="Times New Roman"/>
              </w:rPr>
            </w:pPr>
            <w:r w:rsidRPr="00907D70">
              <w:rPr>
                <w:rFonts w:ascii="Times New Roman" w:hAnsi="Times New Roman"/>
              </w:rPr>
              <w:t>Lopinavir / Ritonavir Accord 200 mg / 50 mg apvalkotās tabletes</w:t>
            </w:r>
          </w:p>
        </w:tc>
      </w:tr>
      <w:tr w:rsidR="00342622" w:rsidRPr="00907D70" w14:paraId="6A407420" w14:textId="77777777" w:rsidTr="00160402">
        <w:tc>
          <w:tcPr>
            <w:tcW w:w="1843" w:type="dxa"/>
            <w:shd w:val="clear" w:color="auto" w:fill="auto"/>
            <w:vAlign w:val="center"/>
          </w:tcPr>
          <w:p w14:paraId="09920693"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Malta:</w:t>
            </w:r>
          </w:p>
        </w:tc>
        <w:tc>
          <w:tcPr>
            <w:tcW w:w="7371" w:type="dxa"/>
            <w:shd w:val="clear" w:color="auto" w:fill="auto"/>
            <w:vAlign w:val="center"/>
          </w:tcPr>
          <w:p w14:paraId="4212E74E"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film-coated tablets</w:t>
            </w:r>
          </w:p>
        </w:tc>
      </w:tr>
      <w:tr w:rsidR="00342622" w:rsidRPr="00907D70" w14:paraId="46E54AA4" w14:textId="77777777" w:rsidTr="00160402">
        <w:tc>
          <w:tcPr>
            <w:tcW w:w="1843" w:type="dxa"/>
            <w:shd w:val="clear" w:color="auto" w:fill="auto"/>
            <w:vAlign w:val="center"/>
          </w:tcPr>
          <w:p w14:paraId="45B3D2D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Norvegija:</w:t>
            </w:r>
          </w:p>
        </w:tc>
        <w:tc>
          <w:tcPr>
            <w:tcW w:w="7371" w:type="dxa"/>
            <w:shd w:val="clear" w:color="auto" w:fill="auto"/>
            <w:vAlign w:val="center"/>
          </w:tcPr>
          <w:p w14:paraId="1EABFBBD"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w:t>
            </w:r>
          </w:p>
        </w:tc>
      </w:tr>
      <w:tr w:rsidR="00342622" w:rsidRPr="00907D70" w14:paraId="6C91877A" w14:textId="77777777" w:rsidTr="00160402">
        <w:tc>
          <w:tcPr>
            <w:tcW w:w="1843" w:type="dxa"/>
            <w:shd w:val="clear" w:color="auto" w:fill="auto"/>
            <w:vAlign w:val="center"/>
          </w:tcPr>
          <w:p w14:paraId="656D4C45"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Lenkija:</w:t>
            </w:r>
          </w:p>
        </w:tc>
        <w:tc>
          <w:tcPr>
            <w:tcW w:w="7371" w:type="dxa"/>
            <w:shd w:val="clear" w:color="auto" w:fill="auto"/>
            <w:vAlign w:val="center"/>
          </w:tcPr>
          <w:p w14:paraId="2D13D2FA"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 xml:space="preserve">Lopinavir / Ritonavir Accord </w:t>
            </w:r>
          </w:p>
        </w:tc>
      </w:tr>
      <w:tr w:rsidR="00342622" w:rsidRPr="00907D70" w14:paraId="4ED9D4BC" w14:textId="77777777" w:rsidTr="00160402">
        <w:tc>
          <w:tcPr>
            <w:tcW w:w="1843" w:type="dxa"/>
            <w:shd w:val="clear" w:color="auto" w:fill="auto"/>
            <w:vAlign w:val="center"/>
          </w:tcPr>
          <w:p w14:paraId="2607382D"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Rumunija:</w:t>
            </w:r>
          </w:p>
        </w:tc>
        <w:tc>
          <w:tcPr>
            <w:tcW w:w="7371" w:type="dxa"/>
            <w:shd w:val="clear" w:color="auto" w:fill="auto"/>
            <w:vAlign w:val="center"/>
          </w:tcPr>
          <w:p w14:paraId="7E02DCB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tabletki powlekane</w:t>
            </w:r>
          </w:p>
        </w:tc>
      </w:tr>
      <w:tr w:rsidR="00342622" w:rsidRPr="00907D70" w14:paraId="6E8FCDBA" w14:textId="77777777" w:rsidTr="00160402">
        <w:tc>
          <w:tcPr>
            <w:tcW w:w="1843" w:type="dxa"/>
            <w:shd w:val="clear" w:color="auto" w:fill="auto"/>
            <w:vAlign w:val="center"/>
          </w:tcPr>
          <w:p w14:paraId="15C3072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Slovėnija:</w:t>
            </w:r>
          </w:p>
        </w:tc>
        <w:tc>
          <w:tcPr>
            <w:tcW w:w="7371" w:type="dxa"/>
            <w:shd w:val="clear" w:color="auto" w:fill="auto"/>
            <w:vAlign w:val="center"/>
          </w:tcPr>
          <w:p w14:paraId="75F5B78F"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mg/50 mg filmsko obložene tablete</w:t>
            </w:r>
          </w:p>
        </w:tc>
      </w:tr>
      <w:tr w:rsidR="00342622" w:rsidRPr="00907D70" w14:paraId="2376E0EA" w14:textId="77777777" w:rsidTr="00160402">
        <w:tc>
          <w:tcPr>
            <w:tcW w:w="1843" w:type="dxa"/>
            <w:shd w:val="clear" w:color="auto" w:fill="auto"/>
            <w:vAlign w:val="center"/>
          </w:tcPr>
          <w:p w14:paraId="1DD43E40"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Švedija:</w:t>
            </w:r>
          </w:p>
        </w:tc>
        <w:tc>
          <w:tcPr>
            <w:tcW w:w="7371" w:type="dxa"/>
            <w:shd w:val="clear" w:color="auto" w:fill="auto"/>
            <w:vAlign w:val="center"/>
          </w:tcPr>
          <w:p w14:paraId="7264E374" w14:textId="77777777"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filmdragerade tabletter</w:t>
            </w:r>
          </w:p>
        </w:tc>
      </w:tr>
      <w:tr w:rsidR="00342622" w:rsidRPr="00907D70" w14:paraId="71EFDECC" w14:textId="77777777" w:rsidTr="00160402">
        <w:tc>
          <w:tcPr>
            <w:tcW w:w="1843" w:type="dxa"/>
            <w:shd w:val="clear" w:color="auto" w:fill="auto"/>
            <w:vAlign w:val="center"/>
          </w:tcPr>
          <w:p w14:paraId="229F2995" w14:textId="07F6E7C8" w:rsidR="00342622" w:rsidRPr="00907D70" w:rsidRDefault="00342622" w:rsidP="00E54F8A">
            <w:pPr>
              <w:autoSpaceDE w:val="0"/>
              <w:autoSpaceDN w:val="0"/>
              <w:adjustRightInd w:val="0"/>
              <w:spacing w:after="0" w:line="240" w:lineRule="auto"/>
              <w:ind w:right="-23"/>
              <w:rPr>
                <w:rFonts w:ascii="Times New Roman" w:hAnsi="Times New Roman"/>
                <w:b/>
                <w:i/>
              </w:rPr>
            </w:pPr>
            <w:r w:rsidRPr="00907D70">
              <w:rPr>
                <w:rFonts w:ascii="Times New Roman" w:hAnsi="Times New Roman"/>
              </w:rPr>
              <w:t>Jungtinė Karalystė</w:t>
            </w:r>
            <w:r w:rsidR="008F1D33" w:rsidRPr="00907D70">
              <w:rPr>
                <w:rFonts w:ascii="Times New Roman" w:hAnsi="Times New Roman"/>
              </w:rPr>
              <w:t xml:space="preserve"> (Šiaurės Airija)</w:t>
            </w:r>
            <w:r w:rsidRPr="00907D70">
              <w:rPr>
                <w:rFonts w:ascii="Times New Roman" w:hAnsi="Times New Roman"/>
              </w:rPr>
              <w:t>:</w:t>
            </w:r>
          </w:p>
        </w:tc>
        <w:tc>
          <w:tcPr>
            <w:tcW w:w="7371" w:type="dxa"/>
            <w:shd w:val="clear" w:color="auto" w:fill="auto"/>
          </w:tcPr>
          <w:p w14:paraId="4F0AF1ED" w14:textId="77777777" w:rsidR="00342622" w:rsidRPr="00907D70" w:rsidRDefault="00342622" w:rsidP="008F1D33">
            <w:pPr>
              <w:autoSpaceDE w:val="0"/>
              <w:autoSpaceDN w:val="0"/>
              <w:adjustRightInd w:val="0"/>
              <w:spacing w:after="0" w:line="240" w:lineRule="auto"/>
              <w:ind w:right="-23"/>
              <w:rPr>
                <w:rFonts w:ascii="Times New Roman" w:hAnsi="Times New Roman"/>
                <w:b/>
                <w:i/>
              </w:rPr>
            </w:pPr>
            <w:r w:rsidRPr="00907D70">
              <w:rPr>
                <w:rFonts w:ascii="Times New Roman" w:hAnsi="Times New Roman"/>
              </w:rPr>
              <w:t>Lopinavir / Ritonavir Accord 200 mg / 50 mg film-coated tablets</w:t>
            </w:r>
          </w:p>
        </w:tc>
      </w:tr>
    </w:tbl>
    <w:p w14:paraId="1A431FD0" w14:textId="77777777" w:rsidR="00342622" w:rsidRPr="00907D70" w:rsidRDefault="00342622" w:rsidP="00342622">
      <w:pPr>
        <w:tabs>
          <w:tab w:val="left" w:pos="567"/>
        </w:tabs>
        <w:spacing w:after="0" w:line="240" w:lineRule="auto"/>
        <w:rPr>
          <w:rFonts w:ascii="Times New Roman" w:eastAsia="Times New Roman" w:hAnsi="Times New Roman"/>
          <w:b/>
        </w:rPr>
      </w:pPr>
    </w:p>
    <w:p w14:paraId="1C283107" w14:textId="716AC2A9" w:rsidR="00342622" w:rsidRPr="00907D70" w:rsidRDefault="00342622" w:rsidP="0034262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Šis pakuotės lapelis paskutinį kartą peržiūrėtas</w:t>
      </w:r>
      <w:r w:rsidR="006A7FF3">
        <w:rPr>
          <w:rFonts w:ascii="Times New Roman" w:eastAsia="Times New Roman" w:hAnsi="Times New Roman"/>
          <w:b/>
        </w:rPr>
        <w:t xml:space="preserve"> 2022-10-19</w:t>
      </w:r>
      <w:r w:rsidR="002B6503" w:rsidRPr="00907D70">
        <w:rPr>
          <w:rFonts w:ascii="Times New Roman" w:eastAsia="Times New Roman" w:hAnsi="Times New Roman"/>
          <w:b/>
        </w:rPr>
        <w:t>.</w:t>
      </w:r>
    </w:p>
    <w:p w14:paraId="4CED9170" w14:textId="77777777" w:rsidR="00342622" w:rsidRPr="00907D70" w:rsidRDefault="00342622" w:rsidP="00342622">
      <w:pPr>
        <w:spacing w:after="0" w:line="240" w:lineRule="auto"/>
        <w:rPr>
          <w:rFonts w:ascii="Times New Roman" w:hAnsi="Times New Roman"/>
          <w:lang w:eastAsia="lt-LT"/>
        </w:rPr>
      </w:pPr>
    </w:p>
    <w:p w14:paraId="26B260AA" w14:textId="2DE0BDC5" w:rsidR="00F132FD" w:rsidRPr="00907D70" w:rsidRDefault="00342622" w:rsidP="003D77A8">
      <w:pPr>
        <w:rPr>
          <w:rFonts w:ascii="Times New Roman" w:hAnsi="Times New Roman"/>
          <w:color w:val="0000FF"/>
          <w:u w:val="single"/>
          <w:lang w:eastAsia="lt-LT"/>
        </w:rPr>
      </w:pPr>
      <w:r w:rsidRPr="00907D70">
        <w:rPr>
          <w:rFonts w:ascii="Times New Roman" w:hAnsi="Times New Roman"/>
          <w:lang w:eastAsia="lt-LT"/>
        </w:rPr>
        <w:t>Išsami informacija apie šį vaistą pateikiama Valstybinės vaistų kontrolės tarnybos prie Lietuvos Respublikos sveikatos apsaugos ministerijos tinklalapyje</w:t>
      </w:r>
      <w:r w:rsidRPr="00907D70">
        <w:rPr>
          <w:rFonts w:ascii="Times New Roman" w:hAnsi="Times New Roman"/>
          <w:i/>
          <w:lang w:eastAsia="lt-LT"/>
        </w:rPr>
        <w:t xml:space="preserve"> </w:t>
      </w:r>
      <w:hyperlink r:id="rId9" w:history="1">
        <w:r w:rsidRPr="00907D70">
          <w:rPr>
            <w:rFonts w:ascii="Times New Roman" w:hAnsi="Times New Roman"/>
            <w:color w:val="0000FF"/>
            <w:u w:val="single"/>
            <w:lang w:eastAsia="lt-LT"/>
          </w:rPr>
          <w:t>http://www.vvkt.lt/</w:t>
        </w:r>
      </w:hyperlink>
    </w:p>
    <w:p w14:paraId="21DCE770" w14:textId="77777777" w:rsidR="009A45FE" w:rsidRPr="00907D70" w:rsidRDefault="009A45FE" w:rsidP="003D77A8"/>
    <w:sectPr w:rsidR="009A45FE" w:rsidRPr="00907D70" w:rsidSect="0084240B">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7D85" w14:textId="77777777" w:rsidR="00A5134C" w:rsidRDefault="00A5134C">
      <w:pPr>
        <w:spacing w:after="0" w:line="240" w:lineRule="auto"/>
      </w:pPr>
      <w:r>
        <w:separator/>
      </w:r>
    </w:p>
  </w:endnote>
  <w:endnote w:type="continuationSeparator" w:id="0">
    <w:p w14:paraId="750F8260" w14:textId="77777777" w:rsidR="00A5134C" w:rsidRDefault="00A5134C">
      <w:pPr>
        <w:spacing w:after="0" w:line="240" w:lineRule="auto"/>
      </w:pPr>
      <w:r>
        <w:continuationSeparator/>
      </w:r>
    </w:p>
  </w:endnote>
  <w:endnote w:type="continuationNotice" w:id="1">
    <w:p w14:paraId="5DDC0599" w14:textId="77777777" w:rsidR="00A5134C" w:rsidRDefault="00A51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rinda">
    <w:altName w:val="Bahnschrift Light"/>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istika">
    <w:panose1 w:val="02020603050405020304"/>
    <w:charset w:val="BA"/>
    <w:family w:val="roman"/>
    <w:pitch w:val="variable"/>
    <w:sig w:usb0="A00002FF" w:usb1="500078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158D" w14:textId="6B95C898" w:rsidR="00B82AAF" w:rsidRPr="00A7395A" w:rsidRDefault="00B82AAF">
    <w:pPr>
      <w:pStyle w:val="Porat"/>
      <w:jc w:val="right"/>
      <w:rPr>
        <w:sz w:val="22"/>
        <w:szCs w:val="22"/>
      </w:rPr>
    </w:pPr>
    <w:r w:rsidRPr="00A7395A">
      <w:rPr>
        <w:sz w:val="22"/>
        <w:szCs w:val="22"/>
      </w:rPr>
      <w:fldChar w:fldCharType="begin"/>
    </w:r>
    <w:r w:rsidRPr="00A7395A">
      <w:rPr>
        <w:sz w:val="22"/>
        <w:szCs w:val="22"/>
      </w:rPr>
      <w:instrText xml:space="preserve"> PAGE   \* MERGEFORMAT </w:instrText>
    </w:r>
    <w:r w:rsidRPr="00A7395A">
      <w:rPr>
        <w:sz w:val="22"/>
        <w:szCs w:val="22"/>
      </w:rPr>
      <w:fldChar w:fldCharType="separate"/>
    </w:r>
    <w:r w:rsidR="00242E06">
      <w:rPr>
        <w:sz w:val="22"/>
        <w:szCs w:val="22"/>
      </w:rPr>
      <w:t>42</w:t>
    </w:r>
    <w:r w:rsidRPr="00A7395A">
      <w:rPr>
        <w:sz w:val="22"/>
        <w:szCs w:val="22"/>
      </w:rPr>
      <w:fldChar w:fldCharType="end"/>
    </w:r>
  </w:p>
  <w:p w14:paraId="56CE9A1D" w14:textId="77777777" w:rsidR="00B82AAF" w:rsidRDefault="00B82A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6B760" w14:textId="77777777" w:rsidR="00A5134C" w:rsidRDefault="00A5134C">
      <w:pPr>
        <w:spacing w:after="0" w:line="240" w:lineRule="auto"/>
      </w:pPr>
      <w:r>
        <w:separator/>
      </w:r>
    </w:p>
  </w:footnote>
  <w:footnote w:type="continuationSeparator" w:id="0">
    <w:p w14:paraId="58DCF25B" w14:textId="77777777" w:rsidR="00A5134C" w:rsidRDefault="00A5134C">
      <w:pPr>
        <w:spacing w:after="0" w:line="240" w:lineRule="auto"/>
      </w:pPr>
      <w:r>
        <w:continuationSeparator/>
      </w:r>
    </w:p>
  </w:footnote>
  <w:footnote w:type="continuationNotice" w:id="1">
    <w:p w14:paraId="5617E32E" w14:textId="77777777" w:rsidR="00A5134C" w:rsidRDefault="00A51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E86E" w14:textId="77777777" w:rsidR="00B82AAF" w:rsidRDefault="00B82A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A96930"/>
    <w:multiLevelType w:val="hybridMultilevel"/>
    <w:tmpl w:val="664E5B4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D85BDB"/>
    <w:multiLevelType w:val="hybridMultilevel"/>
    <w:tmpl w:val="5C2C6B8E"/>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0F24DE5"/>
    <w:multiLevelType w:val="hybridMultilevel"/>
    <w:tmpl w:val="3C6EA3EE"/>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41A5341"/>
    <w:multiLevelType w:val="hybridMultilevel"/>
    <w:tmpl w:val="737AB3D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9405D7"/>
    <w:multiLevelType w:val="hybridMultilevel"/>
    <w:tmpl w:val="634CB468"/>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FB6289"/>
    <w:multiLevelType w:val="hybridMultilevel"/>
    <w:tmpl w:val="CC52118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4175E"/>
    <w:multiLevelType w:val="hybridMultilevel"/>
    <w:tmpl w:val="6BD0829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D3974"/>
    <w:multiLevelType w:val="hybridMultilevel"/>
    <w:tmpl w:val="902C80C0"/>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5B4F98"/>
    <w:multiLevelType w:val="hybridMultilevel"/>
    <w:tmpl w:val="89F0467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6251FCE"/>
    <w:multiLevelType w:val="hybridMultilevel"/>
    <w:tmpl w:val="CB20261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25D72"/>
    <w:multiLevelType w:val="hybridMultilevel"/>
    <w:tmpl w:val="416422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1313F1"/>
    <w:multiLevelType w:val="hybridMultilevel"/>
    <w:tmpl w:val="8438EBAE"/>
    <w:lvl w:ilvl="0" w:tplc="FFFFFFFF">
      <w:start w:val="1"/>
      <w:numFmt w:val="bullet"/>
      <w:lvlText w:val="-"/>
      <w:lvlJc w:val="left"/>
      <w:pPr>
        <w:ind w:left="720" w:hanging="360"/>
      </w:pPr>
    </w:lvl>
    <w:lvl w:ilvl="1" w:tplc="FFFFFFFF">
      <w:start w:val="1"/>
      <w:numFmt w:val="bullet"/>
      <w:lvlText w:val="-"/>
      <w:lvlJc w:val="left"/>
      <w:pPr>
        <w:ind w:left="36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A00EDE"/>
    <w:multiLevelType w:val="hybridMultilevel"/>
    <w:tmpl w:val="28C6BA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A93A5A"/>
    <w:multiLevelType w:val="hybridMultilevel"/>
    <w:tmpl w:val="F558C698"/>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E0D4092"/>
    <w:multiLevelType w:val="hybridMultilevel"/>
    <w:tmpl w:val="B67C5266"/>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BBD589D"/>
    <w:multiLevelType w:val="hybridMultilevel"/>
    <w:tmpl w:val="AA96D1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410671"/>
    <w:multiLevelType w:val="hybridMultilevel"/>
    <w:tmpl w:val="808856A0"/>
    <w:lvl w:ilvl="0" w:tplc="FFFFFFFF">
      <w:start w:val="1"/>
      <w:numFmt w:val="bullet"/>
      <w:lvlText w:val="-"/>
      <w:lvlJc w:val="left"/>
      <w:pPr>
        <w:ind w:left="720" w:hanging="360"/>
      </w:pPr>
    </w:lvl>
    <w:lvl w:ilvl="1" w:tplc="3FCAA52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DC1323"/>
    <w:multiLevelType w:val="hybridMultilevel"/>
    <w:tmpl w:val="90B8491A"/>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41038EE"/>
    <w:multiLevelType w:val="hybridMultilevel"/>
    <w:tmpl w:val="7E948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C66F2B"/>
    <w:multiLevelType w:val="hybridMultilevel"/>
    <w:tmpl w:val="4CDCEAB6"/>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55021"/>
    <w:multiLevelType w:val="hybridMultilevel"/>
    <w:tmpl w:val="362E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B6C71"/>
    <w:multiLevelType w:val="hybridMultilevel"/>
    <w:tmpl w:val="D2B61712"/>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FD53210"/>
    <w:multiLevelType w:val="hybridMultilevel"/>
    <w:tmpl w:val="B9A0C04E"/>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027077F"/>
    <w:multiLevelType w:val="hybridMultilevel"/>
    <w:tmpl w:val="C686BA38"/>
    <w:lvl w:ilvl="0" w:tplc="FFFFFFFF">
      <w:start w:val="1"/>
      <w:numFmt w:val="bullet"/>
      <w:lvlText w:val="-"/>
      <w:lvlJc w:val="left"/>
      <w:pPr>
        <w:ind w:left="720" w:hanging="360"/>
      </w:pPr>
    </w:lvl>
    <w:lvl w:ilvl="1" w:tplc="94924318">
      <w:start w:val="3"/>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367248"/>
    <w:multiLevelType w:val="hybridMultilevel"/>
    <w:tmpl w:val="2452B0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D762D0"/>
    <w:multiLevelType w:val="hybridMultilevel"/>
    <w:tmpl w:val="45A88F9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A147BE"/>
    <w:multiLevelType w:val="hybridMultilevel"/>
    <w:tmpl w:val="09E85E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DA379F"/>
    <w:multiLevelType w:val="hybridMultilevel"/>
    <w:tmpl w:val="095207D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B75AE"/>
    <w:multiLevelType w:val="hybridMultilevel"/>
    <w:tmpl w:val="AA6A0F38"/>
    <w:lvl w:ilvl="0" w:tplc="8C3433B6">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A35083"/>
    <w:multiLevelType w:val="hybridMultilevel"/>
    <w:tmpl w:val="FCB65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1"/>
  </w:num>
  <w:num w:numId="2">
    <w:abstractNumId w:val="0"/>
    <w:lvlOverride w:ilvl="0">
      <w:lvl w:ilvl="0">
        <w:start w:val="1"/>
        <w:numFmt w:val="bullet"/>
        <w:lvlText w:val="-"/>
        <w:legacy w:legacy="1" w:legacySpace="0" w:legacyIndent="360"/>
        <w:lvlJc w:val="left"/>
        <w:pPr>
          <w:ind w:left="360" w:hanging="360"/>
        </w:pPr>
      </w:lvl>
    </w:lvlOverride>
  </w:num>
  <w:num w:numId="3">
    <w:abstractNumId w:val="30"/>
  </w:num>
  <w:num w:numId="4">
    <w:abstractNumId w:val="5"/>
  </w:num>
  <w:num w:numId="5">
    <w:abstractNumId w:val="6"/>
  </w:num>
  <w:num w:numId="6">
    <w:abstractNumId w:val="20"/>
  </w:num>
  <w:num w:numId="7">
    <w:abstractNumId w:val="15"/>
  </w:num>
  <w:num w:numId="8">
    <w:abstractNumId w:val="14"/>
  </w:num>
  <w:num w:numId="9">
    <w:abstractNumId w:val="24"/>
  </w:num>
  <w:num w:numId="10">
    <w:abstractNumId w:val="19"/>
  </w:num>
  <w:num w:numId="11">
    <w:abstractNumId w:val="25"/>
  </w:num>
  <w:num w:numId="12">
    <w:abstractNumId w:val="7"/>
  </w:num>
  <w:num w:numId="13">
    <w:abstractNumId w:val="4"/>
  </w:num>
  <w:num w:numId="14">
    <w:abstractNumId w:val="13"/>
  </w:num>
  <w:num w:numId="15">
    <w:abstractNumId w:val="8"/>
  </w:num>
  <w:num w:numId="16">
    <w:abstractNumId w:val="23"/>
  </w:num>
  <w:num w:numId="17">
    <w:abstractNumId w:val="12"/>
  </w:num>
  <w:num w:numId="18">
    <w:abstractNumId w:val="26"/>
  </w:num>
  <w:num w:numId="19">
    <w:abstractNumId w:val="2"/>
  </w:num>
  <w:num w:numId="20">
    <w:abstractNumId w:val="16"/>
  </w:num>
  <w:num w:numId="21">
    <w:abstractNumId w:val="28"/>
  </w:num>
  <w:num w:numId="22">
    <w:abstractNumId w:val="21"/>
  </w:num>
  <w:num w:numId="23">
    <w:abstractNumId w:val="3"/>
  </w:num>
  <w:num w:numId="24">
    <w:abstractNumId w:val="17"/>
  </w:num>
  <w:num w:numId="25">
    <w:abstractNumId w:val="31"/>
  </w:num>
  <w:num w:numId="26">
    <w:abstractNumId w:val="10"/>
  </w:num>
  <w:num w:numId="27">
    <w:abstractNumId w:val="1"/>
  </w:num>
  <w:num w:numId="28">
    <w:abstractNumId w:val="18"/>
  </w:num>
  <w:num w:numId="29">
    <w:abstractNumId w:val="27"/>
  </w:num>
  <w:num w:numId="30">
    <w:abstractNumId w:val="9"/>
  </w:num>
  <w:num w:numId="31">
    <w:abstractNumId w:val="32"/>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B6"/>
    <w:rsid w:val="00011845"/>
    <w:rsid w:val="00020C2F"/>
    <w:rsid w:val="00026042"/>
    <w:rsid w:val="00031AB0"/>
    <w:rsid w:val="000321BD"/>
    <w:rsid w:val="00035BAD"/>
    <w:rsid w:val="00040323"/>
    <w:rsid w:val="00041960"/>
    <w:rsid w:val="00046A77"/>
    <w:rsid w:val="00054385"/>
    <w:rsid w:val="000606F3"/>
    <w:rsid w:val="000814BC"/>
    <w:rsid w:val="000939EB"/>
    <w:rsid w:val="000B0966"/>
    <w:rsid w:val="000B2E9C"/>
    <w:rsid w:val="000C4EA3"/>
    <w:rsid w:val="000C4FC1"/>
    <w:rsid w:val="000D1A56"/>
    <w:rsid w:val="000D7F42"/>
    <w:rsid w:val="000E3457"/>
    <w:rsid w:val="0010046A"/>
    <w:rsid w:val="001049A4"/>
    <w:rsid w:val="00104C36"/>
    <w:rsid w:val="0012065F"/>
    <w:rsid w:val="00143425"/>
    <w:rsid w:val="00147015"/>
    <w:rsid w:val="00160402"/>
    <w:rsid w:val="00162D07"/>
    <w:rsid w:val="00166B5E"/>
    <w:rsid w:val="001756D2"/>
    <w:rsid w:val="0017735F"/>
    <w:rsid w:val="0018097F"/>
    <w:rsid w:val="00185750"/>
    <w:rsid w:val="0019001E"/>
    <w:rsid w:val="00192330"/>
    <w:rsid w:val="00195B10"/>
    <w:rsid w:val="001A2DCC"/>
    <w:rsid w:val="001B3AC3"/>
    <w:rsid w:val="001C0258"/>
    <w:rsid w:val="001C7789"/>
    <w:rsid w:val="001E25E1"/>
    <w:rsid w:val="001F10ED"/>
    <w:rsid w:val="001F4557"/>
    <w:rsid w:val="001F64D5"/>
    <w:rsid w:val="00204E89"/>
    <w:rsid w:val="00207CF3"/>
    <w:rsid w:val="00212452"/>
    <w:rsid w:val="00212D46"/>
    <w:rsid w:val="0021723D"/>
    <w:rsid w:val="0022087D"/>
    <w:rsid w:val="00222E68"/>
    <w:rsid w:val="00242E06"/>
    <w:rsid w:val="0024780B"/>
    <w:rsid w:val="00250A4F"/>
    <w:rsid w:val="00251A84"/>
    <w:rsid w:val="00253209"/>
    <w:rsid w:val="00262D33"/>
    <w:rsid w:val="002720EC"/>
    <w:rsid w:val="00274D8A"/>
    <w:rsid w:val="00275D74"/>
    <w:rsid w:val="00276139"/>
    <w:rsid w:val="002931B6"/>
    <w:rsid w:val="002B1494"/>
    <w:rsid w:val="002B6503"/>
    <w:rsid w:val="002D2363"/>
    <w:rsid w:val="002F0EA7"/>
    <w:rsid w:val="002F253D"/>
    <w:rsid w:val="002F5080"/>
    <w:rsid w:val="00303CC8"/>
    <w:rsid w:val="00305D7B"/>
    <w:rsid w:val="00306821"/>
    <w:rsid w:val="00312FE9"/>
    <w:rsid w:val="00320030"/>
    <w:rsid w:val="0032146C"/>
    <w:rsid w:val="00326835"/>
    <w:rsid w:val="0033786F"/>
    <w:rsid w:val="00342622"/>
    <w:rsid w:val="0035218D"/>
    <w:rsid w:val="00353105"/>
    <w:rsid w:val="003570B4"/>
    <w:rsid w:val="003631BD"/>
    <w:rsid w:val="00366F4D"/>
    <w:rsid w:val="00376923"/>
    <w:rsid w:val="00381123"/>
    <w:rsid w:val="003823AA"/>
    <w:rsid w:val="0038779B"/>
    <w:rsid w:val="00394DBD"/>
    <w:rsid w:val="003A25AA"/>
    <w:rsid w:val="003A333F"/>
    <w:rsid w:val="003C5664"/>
    <w:rsid w:val="003D3EB6"/>
    <w:rsid w:val="003D77A8"/>
    <w:rsid w:val="003E33E3"/>
    <w:rsid w:val="003E3ED6"/>
    <w:rsid w:val="003F40CB"/>
    <w:rsid w:val="003F5C0E"/>
    <w:rsid w:val="00403EC1"/>
    <w:rsid w:val="0042045D"/>
    <w:rsid w:val="00425E4C"/>
    <w:rsid w:val="004441F2"/>
    <w:rsid w:val="0044635B"/>
    <w:rsid w:val="00450D8E"/>
    <w:rsid w:val="00450EC3"/>
    <w:rsid w:val="00456293"/>
    <w:rsid w:val="00461B0C"/>
    <w:rsid w:val="004633E5"/>
    <w:rsid w:val="00472DCD"/>
    <w:rsid w:val="004767BE"/>
    <w:rsid w:val="0047685B"/>
    <w:rsid w:val="00480633"/>
    <w:rsid w:val="004960AE"/>
    <w:rsid w:val="004A7744"/>
    <w:rsid w:val="004A7E09"/>
    <w:rsid w:val="004B2E5D"/>
    <w:rsid w:val="004B5793"/>
    <w:rsid w:val="004E08FB"/>
    <w:rsid w:val="004E1991"/>
    <w:rsid w:val="004E5D7A"/>
    <w:rsid w:val="004F0D49"/>
    <w:rsid w:val="005015D1"/>
    <w:rsid w:val="00513C07"/>
    <w:rsid w:val="005152F2"/>
    <w:rsid w:val="00525C65"/>
    <w:rsid w:val="00532E88"/>
    <w:rsid w:val="005369D3"/>
    <w:rsid w:val="00542A80"/>
    <w:rsid w:val="00543B03"/>
    <w:rsid w:val="005535C0"/>
    <w:rsid w:val="0055470B"/>
    <w:rsid w:val="00565CB2"/>
    <w:rsid w:val="00582B4C"/>
    <w:rsid w:val="00593ADA"/>
    <w:rsid w:val="005A3128"/>
    <w:rsid w:val="005A6BFE"/>
    <w:rsid w:val="005B48DB"/>
    <w:rsid w:val="005B5FE3"/>
    <w:rsid w:val="005B62FB"/>
    <w:rsid w:val="005D609A"/>
    <w:rsid w:val="005E3833"/>
    <w:rsid w:val="005E6F05"/>
    <w:rsid w:val="005F1F65"/>
    <w:rsid w:val="006022CD"/>
    <w:rsid w:val="00602C1F"/>
    <w:rsid w:val="00613F09"/>
    <w:rsid w:val="006162A5"/>
    <w:rsid w:val="006225EC"/>
    <w:rsid w:val="0062277F"/>
    <w:rsid w:val="00627015"/>
    <w:rsid w:val="0063630D"/>
    <w:rsid w:val="00637A1D"/>
    <w:rsid w:val="00641721"/>
    <w:rsid w:val="00667785"/>
    <w:rsid w:val="00671C1B"/>
    <w:rsid w:val="006839C9"/>
    <w:rsid w:val="00687535"/>
    <w:rsid w:val="00692727"/>
    <w:rsid w:val="006A5E01"/>
    <w:rsid w:val="006A7C42"/>
    <w:rsid w:val="006A7FF3"/>
    <w:rsid w:val="006C01DC"/>
    <w:rsid w:val="006C2F6A"/>
    <w:rsid w:val="006D510E"/>
    <w:rsid w:val="006F08C9"/>
    <w:rsid w:val="006F134E"/>
    <w:rsid w:val="006F340A"/>
    <w:rsid w:val="006F73A8"/>
    <w:rsid w:val="00700224"/>
    <w:rsid w:val="0070582B"/>
    <w:rsid w:val="0070694A"/>
    <w:rsid w:val="0071082F"/>
    <w:rsid w:val="00725763"/>
    <w:rsid w:val="00732BA6"/>
    <w:rsid w:val="007331C1"/>
    <w:rsid w:val="00735979"/>
    <w:rsid w:val="0073694F"/>
    <w:rsid w:val="0074488E"/>
    <w:rsid w:val="00750725"/>
    <w:rsid w:val="00752688"/>
    <w:rsid w:val="00753A51"/>
    <w:rsid w:val="0075406D"/>
    <w:rsid w:val="00756E34"/>
    <w:rsid w:val="00766F62"/>
    <w:rsid w:val="007734E9"/>
    <w:rsid w:val="00773D4E"/>
    <w:rsid w:val="00776ED2"/>
    <w:rsid w:val="007808E2"/>
    <w:rsid w:val="00785424"/>
    <w:rsid w:val="00797AA8"/>
    <w:rsid w:val="007A526A"/>
    <w:rsid w:val="007A5DA8"/>
    <w:rsid w:val="007B2FFE"/>
    <w:rsid w:val="007B6135"/>
    <w:rsid w:val="007C2B67"/>
    <w:rsid w:val="007C3B97"/>
    <w:rsid w:val="007C65C3"/>
    <w:rsid w:val="007D35B7"/>
    <w:rsid w:val="007E1856"/>
    <w:rsid w:val="007E6D95"/>
    <w:rsid w:val="007F24AC"/>
    <w:rsid w:val="00807F04"/>
    <w:rsid w:val="008121E3"/>
    <w:rsid w:val="00817255"/>
    <w:rsid w:val="00821D07"/>
    <w:rsid w:val="008220D4"/>
    <w:rsid w:val="00823A20"/>
    <w:rsid w:val="00827FF9"/>
    <w:rsid w:val="008315B3"/>
    <w:rsid w:val="00840710"/>
    <w:rsid w:val="0084240B"/>
    <w:rsid w:val="00846BE0"/>
    <w:rsid w:val="008512A5"/>
    <w:rsid w:val="0085194B"/>
    <w:rsid w:val="00854094"/>
    <w:rsid w:val="00855313"/>
    <w:rsid w:val="00855FA7"/>
    <w:rsid w:val="0085765C"/>
    <w:rsid w:val="008716E4"/>
    <w:rsid w:val="00874EB4"/>
    <w:rsid w:val="00877F01"/>
    <w:rsid w:val="00894D69"/>
    <w:rsid w:val="00895C66"/>
    <w:rsid w:val="008A10EA"/>
    <w:rsid w:val="008A21AD"/>
    <w:rsid w:val="008A3E85"/>
    <w:rsid w:val="008B54CD"/>
    <w:rsid w:val="008C0E4A"/>
    <w:rsid w:val="008C7D47"/>
    <w:rsid w:val="008D3FDA"/>
    <w:rsid w:val="008D43FD"/>
    <w:rsid w:val="008E29E1"/>
    <w:rsid w:val="008E7FA6"/>
    <w:rsid w:val="008F1D33"/>
    <w:rsid w:val="008F23B9"/>
    <w:rsid w:val="009030A9"/>
    <w:rsid w:val="00906F7A"/>
    <w:rsid w:val="00907D70"/>
    <w:rsid w:val="009110C1"/>
    <w:rsid w:val="00914605"/>
    <w:rsid w:val="00916B76"/>
    <w:rsid w:val="00920AB0"/>
    <w:rsid w:val="00923D24"/>
    <w:rsid w:val="00924C31"/>
    <w:rsid w:val="009265BE"/>
    <w:rsid w:val="009316A8"/>
    <w:rsid w:val="00933AED"/>
    <w:rsid w:val="009366BF"/>
    <w:rsid w:val="00941E66"/>
    <w:rsid w:val="009469B7"/>
    <w:rsid w:val="00953282"/>
    <w:rsid w:val="00957AA7"/>
    <w:rsid w:val="00962D63"/>
    <w:rsid w:val="0096392B"/>
    <w:rsid w:val="009778C2"/>
    <w:rsid w:val="0099478C"/>
    <w:rsid w:val="0099585C"/>
    <w:rsid w:val="009962D0"/>
    <w:rsid w:val="00997250"/>
    <w:rsid w:val="009A26F0"/>
    <w:rsid w:val="009A45FE"/>
    <w:rsid w:val="009B20E6"/>
    <w:rsid w:val="009C60C3"/>
    <w:rsid w:val="009D155A"/>
    <w:rsid w:val="009E259D"/>
    <w:rsid w:val="009E3193"/>
    <w:rsid w:val="009E49A8"/>
    <w:rsid w:val="009E59F7"/>
    <w:rsid w:val="009E6C7D"/>
    <w:rsid w:val="009E7C80"/>
    <w:rsid w:val="009F1F51"/>
    <w:rsid w:val="009F674D"/>
    <w:rsid w:val="00A05C5F"/>
    <w:rsid w:val="00A06009"/>
    <w:rsid w:val="00A301E3"/>
    <w:rsid w:val="00A323F3"/>
    <w:rsid w:val="00A33000"/>
    <w:rsid w:val="00A42576"/>
    <w:rsid w:val="00A4412A"/>
    <w:rsid w:val="00A459A0"/>
    <w:rsid w:val="00A5134C"/>
    <w:rsid w:val="00A52A03"/>
    <w:rsid w:val="00A5325C"/>
    <w:rsid w:val="00A5667D"/>
    <w:rsid w:val="00A70ECF"/>
    <w:rsid w:val="00A72229"/>
    <w:rsid w:val="00A72E93"/>
    <w:rsid w:val="00A76CD8"/>
    <w:rsid w:val="00A80D2E"/>
    <w:rsid w:val="00A81E16"/>
    <w:rsid w:val="00AA1F16"/>
    <w:rsid w:val="00AA3DB6"/>
    <w:rsid w:val="00AB4C3C"/>
    <w:rsid w:val="00AC66C1"/>
    <w:rsid w:val="00AD189E"/>
    <w:rsid w:val="00AD2DDD"/>
    <w:rsid w:val="00AD7413"/>
    <w:rsid w:val="00AE4149"/>
    <w:rsid w:val="00AE4241"/>
    <w:rsid w:val="00AE6080"/>
    <w:rsid w:val="00AF364C"/>
    <w:rsid w:val="00AF3D57"/>
    <w:rsid w:val="00AF7828"/>
    <w:rsid w:val="00B00D9C"/>
    <w:rsid w:val="00B10640"/>
    <w:rsid w:val="00B21662"/>
    <w:rsid w:val="00B376C7"/>
    <w:rsid w:val="00B402B6"/>
    <w:rsid w:val="00B54F9C"/>
    <w:rsid w:val="00B706E8"/>
    <w:rsid w:val="00B73C8A"/>
    <w:rsid w:val="00B82AAF"/>
    <w:rsid w:val="00B83F38"/>
    <w:rsid w:val="00B86E8A"/>
    <w:rsid w:val="00B97D1B"/>
    <w:rsid w:val="00BA177A"/>
    <w:rsid w:val="00BA684B"/>
    <w:rsid w:val="00BA773A"/>
    <w:rsid w:val="00BB7A45"/>
    <w:rsid w:val="00BC7FD9"/>
    <w:rsid w:val="00BD13A7"/>
    <w:rsid w:val="00BD27E3"/>
    <w:rsid w:val="00BD3871"/>
    <w:rsid w:val="00BD784B"/>
    <w:rsid w:val="00BE02EF"/>
    <w:rsid w:val="00BE1B8E"/>
    <w:rsid w:val="00BF5DA7"/>
    <w:rsid w:val="00C03C22"/>
    <w:rsid w:val="00C06468"/>
    <w:rsid w:val="00C112C0"/>
    <w:rsid w:val="00C13FB1"/>
    <w:rsid w:val="00C15567"/>
    <w:rsid w:val="00C17211"/>
    <w:rsid w:val="00C17552"/>
    <w:rsid w:val="00C25A64"/>
    <w:rsid w:val="00C33E6E"/>
    <w:rsid w:val="00C4514A"/>
    <w:rsid w:val="00C46965"/>
    <w:rsid w:val="00C51C1B"/>
    <w:rsid w:val="00C53B95"/>
    <w:rsid w:val="00C70A82"/>
    <w:rsid w:val="00C70B5C"/>
    <w:rsid w:val="00C7116A"/>
    <w:rsid w:val="00C71E6B"/>
    <w:rsid w:val="00C761FF"/>
    <w:rsid w:val="00C855D4"/>
    <w:rsid w:val="00C86B9A"/>
    <w:rsid w:val="00C911ED"/>
    <w:rsid w:val="00CA5779"/>
    <w:rsid w:val="00CA7D3F"/>
    <w:rsid w:val="00CB6F1D"/>
    <w:rsid w:val="00CB78F1"/>
    <w:rsid w:val="00CC3095"/>
    <w:rsid w:val="00CC52C7"/>
    <w:rsid w:val="00CF0F06"/>
    <w:rsid w:val="00CF5E4B"/>
    <w:rsid w:val="00D032B0"/>
    <w:rsid w:val="00D038C7"/>
    <w:rsid w:val="00D14DC8"/>
    <w:rsid w:val="00D32B96"/>
    <w:rsid w:val="00D35F02"/>
    <w:rsid w:val="00D35FC4"/>
    <w:rsid w:val="00D4044E"/>
    <w:rsid w:val="00D42392"/>
    <w:rsid w:val="00D42E19"/>
    <w:rsid w:val="00D47B4F"/>
    <w:rsid w:val="00D62477"/>
    <w:rsid w:val="00D73FF0"/>
    <w:rsid w:val="00D7617A"/>
    <w:rsid w:val="00D90528"/>
    <w:rsid w:val="00D926B2"/>
    <w:rsid w:val="00DB64BF"/>
    <w:rsid w:val="00DC25D2"/>
    <w:rsid w:val="00DC4782"/>
    <w:rsid w:val="00DC5CF2"/>
    <w:rsid w:val="00DD5DFE"/>
    <w:rsid w:val="00DE349B"/>
    <w:rsid w:val="00DE4560"/>
    <w:rsid w:val="00DF21AF"/>
    <w:rsid w:val="00E04F91"/>
    <w:rsid w:val="00E0583F"/>
    <w:rsid w:val="00E07C58"/>
    <w:rsid w:val="00E10C27"/>
    <w:rsid w:val="00E136C4"/>
    <w:rsid w:val="00E31D07"/>
    <w:rsid w:val="00E33493"/>
    <w:rsid w:val="00E41D66"/>
    <w:rsid w:val="00E46FE7"/>
    <w:rsid w:val="00E51982"/>
    <w:rsid w:val="00E531D1"/>
    <w:rsid w:val="00E54F8A"/>
    <w:rsid w:val="00E601A2"/>
    <w:rsid w:val="00E60D93"/>
    <w:rsid w:val="00E6569A"/>
    <w:rsid w:val="00E86794"/>
    <w:rsid w:val="00E918FE"/>
    <w:rsid w:val="00E97851"/>
    <w:rsid w:val="00EA1D22"/>
    <w:rsid w:val="00EC2D23"/>
    <w:rsid w:val="00EC6069"/>
    <w:rsid w:val="00ED58E6"/>
    <w:rsid w:val="00ED7953"/>
    <w:rsid w:val="00EF40D8"/>
    <w:rsid w:val="00EF6793"/>
    <w:rsid w:val="00F00FCD"/>
    <w:rsid w:val="00F132FD"/>
    <w:rsid w:val="00F20003"/>
    <w:rsid w:val="00F254A9"/>
    <w:rsid w:val="00F34218"/>
    <w:rsid w:val="00F347F5"/>
    <w:rsid w:val="00F37BB0"/>
    <w:rsid w:val="00F44C19"/>
    <w:rsid w:val="00F5262E"/>
    <w:rsid w:val="00F52D12"/>
    <w:rsid w:val="00F55DBE"/>
    <w:rsid w:val="00F6023D"/>
    <w:rsid w:val="00F63C99"/>
    <w:rsid w:val="00F76523"/>
    <w:rsid w:val="00F84641"/>
    <w:rsid w:val="00F92407"/>
    <w:rsid w:val="00F96154"/>
    <w:rsid w:val="00F97682"/>
    <w:rsid w:val="00FA1EB5"/>
    <w:rsid w:val="00FA3626"/>
    <w:rsid w:val="00FA6FA2"/>
    <w:rsid w:val="00FB5E8E"/>
    <w:rsid w:val="00FC1599"/>
    <w:rsid w:val="00FC2AF0"/>
    <w:rsid w:val="00FC530B"/>
    <w:rsid w:val="00FC5314"/>
    <w:rsid w:val="00FD288A"/>
    <w:rsid w:val="00FE1FA2"/>
    <w:rsid w:val="00FE7135"/>
    <w:rsid w:val="00FF26AF"/>
    <w:rsid w:val="00FF446A"/>
    <w:rsid w:val="00FF52F6"/>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9A21"/>
  <w15:docId w15:val="{3EC9A56B-1812-44BB-BA62-72CF454F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7A8"/>
    <w:pPr>
      <w:spacing w:after="160" w:line="259" w:lineRule="auto"/>
    </w:pPr>
    <w:rPr>
      <w:rFonts w:ascii="Calibri" w:eastAsia="Calibri" w:hAnsi="Calibri" w:cs="Times New Roman"/>
      <w:lang w:val="lt-LT"/>
    </w:rPr>
  </w:style>
  <w:style w:type="paragraph" w:styleId="Antrat1">
    <w:name w:val="heading 1"/>
    <w:basedOn w:val="prastasis"/>
    <w:next w:val="prastasis"/>
    <w:link w:val="Antrat1Diagrama"/>
    <w:autoRedefine/>
    <w:uiPriority w:val="99"/>
    <w:qFormat/>
    <w:rsid w:val="00342622"/>
    <w:pPr>
      <w:keepNext/>
      <w:tabs>
        <w:tab w:val="left" w:pos="540"/>
      </w:tabs>
      <w:spacing w:after="0" w:line="240" w:lineRule="auto"/>
      <w:outlineLvl w:val="0"/>
    </w:pPr>
    <w:rPr>
      <w:rFonts w:ascii="Times New Roman" w:hAnsi="Times New Roman"/>
      <w:b/>
      <w:sz w:val="20"/>
      <w:szCs w:val="20"/>
      <w:lang w:eastAsia="lt-LT"/>
    </w:rPr>
  </w:style>
  <w:style w:type="paragraph" w:styleId="Antrat2">
    <w:name w:val="heading 2"/>
    <w:basedOn w:val="prastasis"/>
    <w:next w:val="prastasis"/>
    <w:link w:val="Antrat2Diagrama"/>
    <w:uiPriority w:val="99"/>
    <w:qFormat/>
    <w:rsid w:val="00342622"/>
    <w:pPr>
      <w:keepNext/>
      <w:spacing w:before="240" w:after="60" w:line="240" w:lineRule="auto"/>
      <w:outlineLvl w:val="1"/>
    </w:pPr>
    <w:rPr>
      <w:rFonts w:ascii="Arial" w:eastAsia="Times New Roman" w:hAnsi="Arial"/>
      <w:b/>
      <w:bCs/>
      <w:i/>
      <w:iCs/>
      <w:sz w:val="28"/>
      <w:szCs w:val="28"/>
      <w:lang w:eastAsia="x-none"/>
    </w:rPr>
  </w:style>
  <w:style w:type="paragraph" w:styleId="Antrat3">
    <w:name w:val="heading 3"/>
    <w:basedOn w:val="prastasis"/>
    <w:next w:val="prastasis"/>
    <w:link w:val="Antrat3Diagrama"/>
    <w:uiPriority w:val="99"/>
    <w:qFormat/>
    <w:rsid w:val="00342622"/>
    <w:pPr>
      <w:keepNext/>
      <w:spacing w:after="0" w:line="360" w:lineRule="auto"/>
      <w:jc w:val="both"/>
      <w:outlineLvl w:val="2"/>
    </w:pPr>
    <w:rPr>
      <w:rFonts w:ascii="Times New Roman" w:eastAsia="Times New Roman" w:hAnsi="Times New Roman"/>
      <w:i/>
      <w:iCs/>
      <w:sz w:val="28"/>
      <w:szCs w:val="24"/>
      <w:lang w:eastAsia="x-none"/>
    </w:rPr>
  </w:style>
  <w:style w:type="paragraph" w:styleId="Antrat5">
    <w:name w:val="heading 5"/>
    <w:basedOn w:val="prastasis"/>
    <w:next w:val="prastasis"/>
    <w:link w:val="Antrat5Diagrama"/>
    <w:uiPriority w:val="99"/>
    <w:qFormat/>
    <w:rsid w:val="00342622"/>
    <w:pPr>
      <w:spacing w:before="240" w:after="60" w:line="240" w:lineRule="auto"/>
      <w:outlineLvl w:val="4"/>
    </w:pPr>
    <w:rPr>
      <w:rFonts w:ascii="Times New Roman" w:eastAsia="Times New Roman" w:hAnsi="Times New Roman"/>
      <w:b/>
      <w:bCs/>
      <w:i/>
      <w:iCs/>
      <w:sz w:val="26"/>
      <w:szCs w:val="26"/>
      <w:lang w:eastAsia="x-none"/>
    </w:rPr>
  </w:style>
  <w:style w:type="paragraph" w:styleId="Antrat6">
    <w:name w:val="heading 6"/>
    <w:basedOn w:val="prastasis"/>
    <w:next w:val="prastasis"/>
    <w:link w:val="Antrat6Diagrama"/>
    <w:uiPriority w:val="99"/>
    <w:qFormat/>
    <w:rsid w:val="00342622"/>
    <w:pPr>
      <w:spacing w:before="240" w:after="60" w:line="240" w:lineRule="auto"/>
      <w:outlineLvl w:val="5"/>
    </w:pPr>
    <w:rPr>
      <w:rFonts w:ascii="Times New Roman" w:eastAsia="Times New Roman" w:hAnsi="Times New Roman"/>
      <w:b/>
      <w:bCs/>
      <w:sz w:val="20"/>
      <w:szCs w:val="20"/>
      <w:lang w:eastAsia="x-none"/>
    </w:rPr>
  </w:style>
  <w:style w:type="paragraph" w:styleId="Antrat7">
    <w:name w:val="heading 7"/>
    <w:basedOn w:val="prastasis"/>
    <w:next w:val="prastasis"/>
    <w:link w:val="Antrat7Diagrama"/>
    <w:uiPriority w:val="99"/>
    <w:qFormat/>
    <w:rsid w:val="00342622"/>
    <w:pPr>
      <w:keepNext/>
      <w:spacing w:after="0" w:line="240" w:lineRule="auto"/>
      <w:outlineLvl w:val="6"/>
    </w:pPr>
    <w:rPr>
      <w:rFonts w:ascii="Times New Roman" w:eastAsia="Times New Roman" w:hAnsi="Times New Roman"/>
      <w:i/>
      <w:iCs/>
      <w:sz w:val="20"/>
      <w:szCs w:val="20"/>
      <w:lang w:eastAsia="x-none"/>
    </w:rPr>
  </w:style>
  <w:style w:type="paragraph" w:styleId="Antrat8">
    <w:name w:val="heading 8"/>
    <w:basedOn w:val="prastasis"/>
    <w:next w:val="prastasis"/>
    <w:link w:val="Antrat8Diagrama"/>
    <w:uiPriority w:val="99"/>
    <w:qFormat/>
    <w:rsid w:val="00342622"/>
    <w:pPr>
      <w:keepNext/>
      <w:spacing w:after="0" w:line="240" w:lineRule="auto"/>
      <w:outlineLvl w:val="7"/>
    </w:pPr>
    <w:rPr>
      <w:rFonts w:ascii="Times New Roman" w:eastAsia="Times New Roman" w:hAnsi="Times New Roman"/>
      <w:b/>
      <w:bCs/>
      <w:sz w:val="20"/>
      <w:szCs w:val="20"/>
      <w:lang w:eastAsia="x-none"/>
    </w:rPr>
  </w:style>
  <w:style w:type="paragraph" w:styleId="Antrat9">
    <w:name w:val="heading 9"/>
    <w:basedOn w:val="prastasis"/>
    <w:next w:val="prastasis"/>
    <w:link w:val="Antrat9Diagrama"/>
    <w:uiPriority w:val="99"/>
    <w:qFormat/>
    <w:rsid w:val="00342622"/>
    <w:pPr>
      <w:spacing w:before="240" w:after="60" w:line="240" w:lineRule="auto"/>
      <w:outlineLvl w:val="8"/>
    </w:pPr>
    <w:rPr>
      <w:rFonts w:ascii="Arial" w:eastAsia="Times New Roman" w:hAnsi="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3D77A8"/>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9"/>
    <w:rsid w:val="00342622"/>
    <w:rPr>
      <w:rFonts w:ascii="Arial" w:eastAsia="Times New Roman" w:hAnsi="Arial" w:cs="Times New Roman"/>
      <w:b/>
      <w:bCs/>
      <w:i/>
      <w:iCs/>
      <w:sz w:val="28"/>
      <w:szCs w:val="28"/>
      <w:lang w:val="lt-LT" w:eastAsia="x-none"/>
    </w:rPr>
  </w:style>
  <w:style w:type="character" w:customStyle="1" w:styleId="Antrat3Diagrama">
    <w:name w:val="Antraštė 3 Diagrama"/>
    <w:basedOn w:val="Numatytasispastraiposriftas"/>
    <w:link w:val="Antrat3"/>
    <w:uiPriority w:val="99"/>
    <w:rsid w:val="00342622"/>
    <w:rPr>
      <w:rFonts w:ascii="Times New Roman" w:eastAsia="Times New Roman" w:hAnsi="Times New Roman" w:cs="Times New Roman"/>
      <w:i/>
      <w:iCs/>
      <w:sz w:val="28"/>
      <w:szCs w:val="24"/>
      <w:lang w:val="lt-LT" w:eastAsia="x-none"/>
    </w:rPr>
  </w:style>
  <w:style w:type="character" w:customStyle="1" w:styleId="Antrat5Diagrama">
    <w:name w:val="Antraštė 5 Diagrama"/>
    <w:basedOn w:val="Numatytasispastraiposriftas"/>
    <w:link w:val="Antrat5"/>
    <w:uiPriority w:val="99"/>
    <w:rsid w:val="00342622"/>
    <w:rPr>
      <w:rFonts w:ascii="Times New Roman" w:eastAsia="Times New Roman" w:hAnsi="Times New Roman" w:cs="Times New Roman"/>
      <w:b/>
      <w:bCs/>
      <w:i/>
      <w:iCs/>
      <w:sz w:val="26"/>
      <w:szCs w:val="26"/>
      <w:lang w:val="lt-LT" w:eastAsia="x-none"/>
    </w:rPr>
  </w:style>
  <w:style w:type="character" w:customStyle="1" w:styleId="Antrat6Diagrama">
    <w:name w:val="Antraštė 6 Diagrama"/>
    <w:basedOn w:val="Numatytasispastraiposriftas"/>
    <w:link w:val="Antrat6"/>
    <w:uiPriority w:val="99"/>
    <w:rsid w:val="00342622"/>
    <w:rPr>
      <w:rFonts w:ascii="Times New Roman" w:eastAsia="Times New Roman" w:hAnsi="Times New Roman" w:cs="Times New Roman"/>
      <w:b/>
      <w:bCs/>
      <w:sz w:val="20"/>
      <w:szCs w:val="20"/>
      <w:lang w:val="lt-LT" w:eastAsia="x-none"/>
    </w:rPr>
  </w:style>
  <w:style w:type="character" w:customStyle="1" w:styleId="Antrat7Diagrama">
    <w:name w:val="Antraštė 7 Diagrama"/>
    <w:basedOn w:val="Numatytasispastraiposriftas"/>
    <w:link w:val="Antrat7"/>
    <w:uiPriority w:val="99"/>
    <w:rsid w:val="00342622"/>
    <w:rPr>
      <w:rFonts w:ascii="Times New Roman" w:eastAsia="Times New Roman" w:hAnsi="Times New Roman" w:cs="Times New Roman"/>
      <w:i/>
      <w:iCs/>
      <w:sz w:val="20"/>
      <w:szCs w:val="20"/>
      <w:lang w:val="lt-LT" w:eastAsia="x-none"/>
    </w:rPr>
  </w:style>
  <w:style w:type="character" w:customStyle="1" w:styleId="Antrat8Diagrama">
    <w:name w:val="Antraštė 8 Diagrama"/>
    <w:basedOn w:val="Numatytasispastraiposriftas"/>
    <w:link w:val="Antrat8"/>
    <w:uiPriority w:val="99"/>
    <w:rsid w:val="00342622"/>
    <w:rPr>
      <w:rFonts w:ascii="Times New Roman" w:eastAsia="Times New Roman" w:hAnsi="Times New Roman" w:cs="Times New Roman"/>
      <w:b/>
      <w:bCs/>
      <w:sz w:val="20"/>
      <w:szCs w:val="20"/>
      <w:lang w:val="lt-LT" w:eastAsia="x-none"/>
    </w:rPr>
  </w:style>
  <w:style w:type="character" w:customStyle="1" w:styleId="Antrat9Diagrama">
    <w:name w:val="Antraštė 9 Diagrama"/>
    <w:basedOn w:val="Numatytasispastraiposriftas"/>
    <w:link w:val="Antrat9"/>
    <w:uiPriority w:val="99"/>
    <w:rsid w:val="00342622"/>
    <w:rPr>
      <w:rFonts w:ascii="Arial" w:eastAsia="Times New Roman" w:hAnsi="Arial" w:cs="Times New Roman"/>
      <w:sz w:val="20"/>
      <w:szCs w:val="20"/>
      <w:lang w:val="lt-LT" w:eastAsia="lt-LT"/>
    </w:rPr>
  </w:style>
  <w:style w:type="numbering" w:customStyle="1" w:styleId="NoList1">
    <w:name w:val="No List1"/>
    <w:next w:val="Sraonra"/>
    <w:uiPriority w:val="99"/>
    <w:semiHidden/>
    <w:unhideWhenUsed/>
    <w:rsid w:val="00342622"/>
  </w:style>
  <w:style w:type="character" w:customStyle="1" w:styleId="Antrat1Diagrama">
    <w:name w:val="Antraštė 1 Diagrama"/>
    <w:link w:val="Antrat1"/>
    <w:uiPriority w:val="99"/>
    <w:locked/>
    <w:rsid w:val="00342622"/>
    <w:rPr>
      <w:rFonts w:ascii="Times New Roman" w:eastAsia="Calibri" w:hAnsi="Times New Roman" w:cs="Times New Roman"/>
      <w:b/>
      <w:sz w:val="20"/>
      <w:szCs w:val="20"/>
      <w:lang w:val="lt-LT" w:eastAsia="lt-LT"/>
    </w:rPr>
  </w:style>
  <w:style w:type="character" w:styleId="Hipersaitas">
    <w:name w:val="Hyperlink"/>
    <w:uiPriority w:val="99"/>
    <w:rsid w:val="00342622"/>
    <w:rPr>
      <w:rFonts w:cs="Times New Roman"/>
      <w:color w:val="0000FF"/>
      <w:u w:val="single"/>
    </w:rPr>
  </w:style>
  <w:style w:type="paragraph" w:styleId="Pagrindinistekstas">
    <w:name w:val="Body Text"/>
    <w:basedOn w:val="prastasis"/>
    <w:link w:val="PagrindinistekstasDiagrama"/>
    <w:uiPriority w:val="99"/>
    <w:rsid w:val="00342622"/>
    <w:pPr>
      <w:spacing w:after="0" w:line="360" w:lineRule="auto"/>
      <w:jc w:val="both"/>
    </w:pPr>
    <w:rPr>
      <w:rFonts w:ascii="Times New Roman" w:eastAsia="Times New Roman" w:hAnsi="Times New Roman"/>
      <w:sz w:val="20"/>
      <w:szCs w:val="24"/>
      <w:lang w:eastAsia="x-none"/>
    </w:rPr>
  </w:style>
  <w:style w:type="character" w:customStyle="1" w:styleId="PagrindinistekstasDiagrama">
    <w:name w:val="Pagrindinis tekstas Diagrama"/>
    <w:basedOn w:val="Numatytasispastraiposriftas"/>
    <w:link w:val="Pagrindinistekstas"/>
    <w:uiPriority w:val="99"/>
    <w:rsid w:val="00342622"/>
    <w:rPr>
      <w:rFonts w:ascii="Times New Roman" w:eastAsia="Times New Roman" w:hAnsi="Times New Roman" w:cs="Times New Roman"/>
      <w:sz w:val="20"/>
      <w:szCs w:val="24"/>
      <w:lang w:val="lt-LT" w:eastAsia="x-none"/>
    </w:rPr>
  </w:style>
  <w:style w:type="paragraph" w:styleId="Pagrindinistekstas2">
    <w:name w:val="Body Text 2"/>
    <w:basedOn w:val="prastasis"/>
    <w:link w:val="Pagrindinistekstas2Diagrama"/>
    <w:uiPriority w:val="99"/>
    <w:rsid w:val="00342622"/>
    <w:pPr>
      <w:spacing w:after="0" w:line="360" w:lineRule="auto"/>
      <w:jc w:val="both"/>
    </w:pPr>
    <w:rPr>
      <w:rFonts w:ascii="Times New Roman" w:eastAsia="Times New Roman" w:hAnsi="Times New Roman"/>
      <w:sz w:val="24"/>
      <w:szCs w:val="24"/>
      <w:lang w:eastAsia="x-none"/>
    </w:rPr>
  </w:style>
  <w:style w:type="character" w:customStyle="1" w:styleId="Pagrindinistekstas2Diagrama">
    <w:name w:val="Pagrindinis tekstas 2 Diagrama"/>
    <w:basedOn w:val="Numatytasispastraiposriftas"/>
    <w:link w:val="Pagrindinistekstas2"/>
    <w:uiPriority w:val="99"/>
    <w:rsid w:val="00342622"/>
    <w:rPr>
      <w:rFonts w:ascii="Times New Roman" w:eastAsia="Times New Roman" w:hAnsi="Times New Roman" w:cs="Times New Roman"/>
      <w:sz w:val="24"/>
      <w:szCs w:val="24"/>
      <w:lang w:val="lt-LT" w:eastAsia="x-none"/>
    </w:rPr>
  </w:style>
  <w:style w:type="paragraph" w:customStyle="1" w:styleId="BTEMEASMCA">
    <w:name w:val="BT EMEA_SMCA"/>
    <w:basedOn w:val="prastasis"/>
    <w:link w:val="BTEMEASMCAChar"/>
    <w:autoRedefine/>
    <w:uiPriority w:val="99"/>
    <w:rsid w:val="00342622"/>
    <w:pPr>
      <w:spacing w:after="0" w:line="240" w:lineRule="auto"/>
    </w:pPr>
    <w:rPr>
      <w:rFonts w:ascii="Times New Roman" w:hAnsi="Times New Roman"/>
      <w:noProof/>
      <w:sz w:val="20"/>
      <w:szCs w:val="20"/>
      <w:lang w:eastAsia="lt-LT"/>
    </w:rPr>
  </w:style>
  <w:style w:type="character" w:customStyle="1" w:styleId="BTEMEASMCAChar">
    <w:name w:val="BT EMEA_SMCA Char"/>
    <w:link w:val="BTEMEASMCA"/>
    <w:uiPriority w:val="99"/>
    <w:locked/>
    <w:rsid w:val="00342622"/>
    <w:rPr>
      <w:rFonts w:ascii="Times New Roman" w:eastAsia="Calibri" w:hAnsi="Times New Roman" w:cs="Times New Roman"/>
      <w:noProof/>
      <w:sz w:val="20"/>
      <w:szCs w:val="20"/>
      <w:lang w:val="lt-LT" w:eastAsia="lt-LT"/>
    </w:rPr>
  </w:style>
  <w:style w:type="paragraph" w:customStyle="1" w:styleId="PI-1EMEASMCA">
    <w:name w:val="PI-1 EMEA_SMCA"/>
    <w:basedOn w:val="Antrat2"/>
    <w:link w:val="PI-1EMEASMCAChar"/>
    <w:autoRedefine/>
    <w:uiPriority w:val="99"/>
    <w:rsid w:val="00342622"/>
    <w:pPr>
      <w:tabs>
        <w:tab w:val="left" w:pos="567"/>
      </w:tabs>
      <w:spacing w:before="0" w:after="0"/>
      <w:ind w:left="567" w:hanging="567"/>
    </w:pPr>
    <w:rPr>
      <w:rFonts w:ascii="Times New Roman" w:eastAsia="Calibri" w:hAnsi="Times New Roman"/>
      <w:bCs w:val="0"/>
      <w:i w:val="0"/>
      <w:iCs w:val="0"/>
      <w:sz w:val="20"/>
      <w:szCs w:val="20"/>
      <w:lang w:eastAsia="lt-LT"/>
    </w:rPr>
  </w:style>
  <w:style w:type="character" w:customStyle="1" w:styleId="PI-1EMEASMCAChar">
    <w:name w:val="PI-1 EMEA_SMCA Char"/>
    <w:link w:val="PI-1EMEASMCA"/>
    <w:uiPriority w:val="99"/>
    <w:locked/>
    <w:rsid w:val="00342622"/>
    <w:rPr>
      <w:rFonts w:ascii="Times New Roman" w:eastAsia="Calibri" w:hAnsi="Times New Roman" w:cs="Times New Roman"/>
      <w:b/>
      <w:sz w:val="20"/>
      <w:szCs w:val="20"/>
      <w:lang w:val="lt-LT" w:eastAsia="lt-LT"/>
    </w:rPr>
  </w:style>
  <w:style w:type="paragraph" w:customStyle="1" w:styleId="PI-2EMEASMCA">
    <w:name w:val="PI-2 EMEA_SMCA"/>
    <w:basedOn w:val="Antrat3"/>
    <w:autoRedefine/>
    <w:uiPriority w:val="99"/>
    <w:rsid w:val="00342622"/>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uiPriority w:val="99"/>
    <w:rsid w:val="00342622"/>
    <w:rPr>
      <w:b/>
    </w:rPr>
  </w:style>
  <w:style w:type="paragraph" w:customStyle="1" w:styleId="PI-3EMEASMCA">
    <w:name w:val="PI-3 EMEA_SMCA"/>
    <w:basedOn w:val="prastasis"/>
    <w:autoRedefine/>
    <w:uiPriority w:val="99"/>
    <w:rsid w:val="00342622"/>
    <w:pPr>
      <w:spacing w:after="0" w:line="220" w:lineRule="exact"/>
    </w:pPr>
    <w:rPr>
      <w:rFonts w:ascii="Times New Roman" w:eastAsia="Times New Roman" w:hAnsi="Times New Roman"/>
      <w:b/>
      <w:bCs/>
    </w:rPr>
  </w:style>
  <w:style w:type="paragraph" w:styleId="Debesliotekstas">
    <w:name w:val="Balloon Text"/>
    <w:basedOn w:val="prastasis"/>
    <w:link w:val="DebesliotekstasDiagrama"/>
    <w:uiPriority w:val="99"/>
    <w:semiHidden/>
    <w:rsid w:val="00342622"/>
    <w:pPr>
      <w:spacing w:after="0" w:line="240" w:lineRule="auto"/>
    </w:pPr>
    <w:rPr>
      <w:rFonts w:ascii="Tahoma" w:eastAsia="Times New Roman"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342622"/>
    <w:rPr>
      <w:rFonts w:ascii="Tahoma" w:eastAsia="Times New Roman" w:hAnsi="Tahoma" w:cs="Times New Roman"/>
      <w:sz w:val="16"/>
      <w:szCs w:val="16"/>
      <w:lang w:val="lt-LT" w:eastAsia="x-none"/>
    </w:rPr>
  </w:style>
  <w:style w:type="paragraph" w:customStyle="1" w:styleId="Default">
    <w:name w:val="Default"/>
    <w:rsid w:val="003D77A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342622"/>
    <w:pPr>
      <w:spacing w:after="0" w:line="240" w:lineRule="auto"/>
      <w:jc w:val="center"/>
    </w:pPr>
    <w:rPr>
      <w:rFonts w:ascii="Times New Roman" w:eastAsia="SimSun" w:hAnsi="Times New Roman"/>
      <w:b/>
      <w:sz w:val="20"/>
      <w:szCs w:val="20"/>
      <w:lang w:val="en-GB" w:eastAsia="lt-LT"/>
    </w:rPr>
  </w:style>
  <w:style w:type="character" w:customStyle="1" w:styleId="TitleChar">
    <w:name w:val="Title Char"/>
    <w:basedOn w:val="Numatytasispastraiposriftas"/>
    <w:uiPriority w:val="99"/>
    <w:rsid w:val="003D77A8"/>
    <w:rPr>
      <w:rFonts w:asciiTheme="majorHAnsi" w:eastAsiaTheme="majorEastAsia" w:hAnsiTheme="majorHAnsi" w:cstheme="majorBidi"/>
      <w:color w:val="17365D" w:themeColor="text2" w:themeShade="BF"/>
      <w:spacing w:val="5"/>
      <w:kern w:val="28"/>
      <w:sz w:val="52"/>
      <w:szCs w:val="52"/>
      <w:lang w:val="lt-LT"/>
    </w:rPr>
  </w:style>
  <w:style w:type="character" w:customStyle="1" w:styleId="PavadinimasDiagrama">
    <w:name w:val="Pavadinimas Diagrama"/>
    <w:link w:val="Pavadinimas"/>
    <w:uiPriority w:val="99"/>
    <w:locked/>
    <w:rsid w:val="00342622"/>
    <w:rPr>
      <w:rFonts w:ascii="Times New Roman" w:eastAsia="SimSun" w:hAnsi="Times New Roman" w:cs="Times New Roman"/>
      <w:b/>
      <w:sz w:val="20"/>
      <w:szCs w:val="20"/>
      <w:lang w:val="en-GB" w:eastAsia="lt-LT"/>
    </w:rPr>
  </w:style>
  <w:style w:type="paragraph" w:styleId="Komentarotekstas">
    <w:name w:val="annotation text"/>
    <w:basedOn w:val="prastasis"/>
    <w:link w:val="KomentarotekstasDiagrama"/>
    <w:uiPriority w:val="99"/>
    <w:semiHidden/>
    <w:rsid w:val="00342622"/>
    <w:pPr>
      <w:spacing w:after="0" w:line="240" w:lineRule="auto"/>
    </w:pPr>
    <w:rPr>
      <w:rFonts w:ascii="Times New Roman" w:eastAsia="Times New Roman" w:hAnsi="Times New Roman"/>
      <w:noProof/>
      <w:sz w:val="20"/>
      <w:szCs w:val="20"/>
      <w:lang w:eastAsia="lt-LT"/>
    </w:rPr>
  </w:style>
  <w:style w:type="character" w:customStyle="1" w:styleId="KomentarotekstasDiagrama">
    <w:name w:val="Komentaro tekstas Diagrama"/>
    <w:basedOn w:val="Numatytasispastraiposriftas"/>
    <w:link w:val="Komentarotekstas"/>
    <w:uiPriority w:val="99"/>
    <w:semiHidden/>
    <w:rsid w:val="00342622"/>
    <w:rPr>
      <w:rFonts w:ascii="Times New Roman" w:eastAsia="Times New Roman" w:hAnsi="Times New Roman" w:cs="Times New Roman"/>
      <w:noProof/>
      <w:sz w:val="20"/>
      <w:szCs w:val="20"/>
      <w:lang w:val="lt-LT" w:eastAsia="lt-LT"/>
    </w:rPr>
  </w:style>
  <w:style w:type="paragraph" w:styleId="Antrats">
    <w:name w:val="header"/>
    <w:basedOn w:val="prastasis"/>
    <w:link w:val="AntratsDiagrama"/>
    <w:uiPriority w:val="99"/>
    <w:rsid w:val="00342622"/>
    <w:pPr>
      <w:tabs>
        <w:tab w:val="center" w:pos="4819"/>
        <w:tab w:val="right" w:pos="9638"/>
      </w:tabs>
      <w:spacing w:after="0" w:line="240" w:lineRule="auto"/>
    </w:pPr>
    <w:rPr>
      <w:rFonts w:ascii="Times New Roman" w:eastAsia="Times New Roman" w:hAnsi="Times New Roman"/>
      <w:noProof/>
      <w:sz w:val="24"/>
      <w:szCs w:val="24"/>
      <w:lang w:eastAsia="lt-LT"/>
    </w:rPr>
  </w:style>
  <w:style w:type="character" w:customStyle="1" w:styleId="AntratsDiagrama">
    <w:name w:val="Antraštės Diagrama"/>
    <w:basedOn w:val="Numatytasispastraiposriftas"/>
    <w:link w:val="Antrats"/>
    <w:uiPriority w:val="99"/>
    <w:rsid w:val="00342622"/>
    <w:rPr>
      <w:rFonts w:ascii="Times New Roman" w:eastAsia="Times New Roman" w:hAnsi="Times New Roman" w:cs="Times New Roman"/>
      <w:noProof/>
      <w:sz w:val="24"/>
      <w:szCs w:val="24"/>
      <w:lang w:val="lt-LT" w:eastAsia="lt-LT"/>
    </w:rPr>
  </w:style>
  <w:style w:type="paragraph" w:styleId="Porat">
    <w:name w:val="footer"/>
    <w:basedOn w:val="prastasis"/>
    <w:link w:val="PoratDiagrama"/>
    <w:uiPriority w:val="99"/>
    <w:rsid w:val="00342622"/>
    <w:pPr>
      <w:tabs>
        <w:tab w:val="center" w:pos="4819"/>
        <w:tab w:val="right" w:pos="9638"/>
      </w:tabs>
      <w:spacing w:after="0" w:line="240" w:lineRule="auto"/>
    </w:pPr>
    <w:rPr>
      <w:rFonts w:ascii="Times New Roman" w:hAnsi="Times New Roman"/>
      <w:noProof/>
      <w:sz w:val="24"/>
      <w:szCs w:val="20"/>
      <w:lang w:eastAsia="lt-LT"/>
    </w:rPr>
  </w:style>
  <w:style w:type="character" w:customStyle="1" w:styleId="FooterChar">
    <w:name w:val="Footer Char"/>
    <w:basedOn w:val="Numatytasispastraiposriftas"/>
    <w:uiPriority w:val="99"/>
    <w:rsid w:val="003D77A8"/>
    <w:rPr>
      <w:rFonts w:ascii="Calibri" w:eastAsia="Calibri" w:hAnsi="Calibri" w:cs="Times New Roman"/>
      <w:lang w:val="lt-LT"/>
    </w:rPr>
  </w:style>
  <w:style w:type="character" w:customStyle="1" w:styleId="PoratDiagrama">
    <w:name w:val="Poraštė Diagrama"/>
    <w:link w:val="Porat"/>
    <w:uiPriority w:val="99"/>
    <w:locked/>
    <w:rsid w:val="00342622"/>
    <w:rPr>
      <w:rFonts w:ascii="Times New Roman" w:eastAsia="Calibri" w:hAnsi="Times New Roman" w:cs="Times New Roman"/>
      <w:noProof/>
      <w:sz w:val="24"/>
      <w:szCs w:val="20"/>
      <w:lang w:val="lt-LT" w:eastAsia="lt-LT"/>
    </w:rPr>
  </w:style>
  <w:style w:type="paragraph" w:styleId="Dokumentoinaostekstas">
    <w:name w:val="endnote text"/>
    <w:basedOn w:val="prastasis"/>
    <w:next w:val="prastasis"/>
    <w:link w:val="DokumentoinaostekstasDiagrama"/>
    <w:uiPriority w:val="99"/>
    <w:semiHidden/>
    <w:rsid w:val="00342622"/>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342622"/>
    <w:rPr>
      <w:rFonts w:ascii="Times New Roman" w:eastAsia="Times New Roman" w:hAnsi="Times New Roman" w:cs="Times New Roman"/>
      <w:sz w:val="20"/>
      <w:szCs w:val="20"/>
      <w:lang w:val="en-GB" w:eastAsia="lt-LT"/>
    </w:rPr>
  </w:style>
  <w:style w:type="character" w:customStyle="1" w:styleId="CharChar5">
    <w:name w:val="Char Char5"/>
    <w:uiPriority w:val="99"/>
    <w:locked/>
    <w:rsid w:val="00342622"/>
    <w:rPr>
      <w:rFonts w:ascii="Times New Roman" w:hAnsi="Times New Roman"/>
      <w:b/>
      <w:kern w:val="28"/>
      <w:lang w:eastAsia="lt-LT"/>
    </w:rPr>
  </w:style>
  <w:style w:type="paragraph" w:styleId="Pagrindiniotekstotrauka">
    <w:name w:val="Body Text Indent"/>
    <w:basedOn w:val="prastasis"/>
    <w:link w:val="PagrindiniotekstotraukaDiagrama"/>
    <w:uiPriority w:val="99"/>
    <w:semiHidden/>
    <w:rsid w:val="00342622"/>
    <w:pPr>
      <w:spacing w:after="120" w:line="240" w:lineRule="auto"/>
      <w:ind w:left="283"/>
    </w:pPr>
    <w:rPr>
      <w:rFonts w:ascii="Times New Roman" w:eastAsia="Times New Roman" w:hAnsi="Times New Roman"/>
      <w:noProof/>
      <w:sz w:val="24"/>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342622"/>
    <w:rPr>
      <w:rFonts w:ascii="Times New Roman" w:eastAsia="Times New Roman" w:hAnsi="Times New Roman" w:cs="Times New Roman"/>
      <w:noProof/>
      <w:sz w:val="24"/>
      <w:szCs w:val="24"/>
      <w:lang w:val="lt-LT" w:eastAsia="lt-LT"/>
    </w:rPr>
  </w:style>
  <w:style w:type="paragraph" w:styleId="Pagrindiniotekstotrauka3">
    <w:name w:val="Body Text Indent 3"/>
    <w:basedOn w:val="prastasis"/>
    <w:link w:val="Pagrindiniotekstotrauka3Diagrama"/>
    <w:uiPriority w:val="99"/>
    <w:semiHidden/>
    <w:rsid w:val="00342622"/>
    <w:pPr>
      <w:tabs>
        <w:tab w:val="left" w:pos="540"/>
      </w:tabs>
      <w:spacing w:after="0" w:line="240" w:lineRule="auto"/>
      <w:ind w:left="540" w:hanging="540"/>
    </w:pPr>
    <w:rPr>
      <w:rFonts w:ascii="Times New Roman" w:eastAsia="Times New Roman" w:hAnsi="Times New Roman"/>
      <w:noProof/>
      <w:sz w:val="20"/>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342622"/>
    <w:rPr>
      <w:rFonts w:ascii="Times New Roman" w:eastAsia="Times New Roman" w:hAnsi="Times New Roman" w:cs="Times New Roman"/>
      <w:noProof/>
      <w:sz w:val="20"/>
      <w:szCs w:val="20"/>
      <w:lang w:val="lt-LT" w:eastAsia="lt-LT"/>
    </w:rPr>
  </w:style>
  <w:style w:type="paragraph" w:customStyle="1" w:styleId="BT-EMEASMCA">
    <w:name w:val="BT- EMEA_SMCA"/>
    <w:basedOn w:val="prastasis"/>
    <w:autoRedefine/>
    <w:uiPriority w:val="99"/>
    <w:rsid w:val="00342622"/>
    <w:pPr>
      <w:tabs>
        <w:tab w:val="num" w:pos="720"/>
      </w:tabs>
      <w:spacing w:after="0" w:line="240" w:lineRule="auto"/>
      <w:ind w:left="720" w:hanging="363"/>
    </w:pPr>
    <w:rPr>
      <w:rFonts w:ascii="Times New Roman" w:eastAsia="Times New Roman" w:hAnsi="Times New Roman"/>
      <w:noProof/>
    </w:rPr>
  </w:style>
  <w:style w:type="character" w:customStyle="1" w:styleId="CharChar12">
    <w:name w:val="Char Char12"/>
    <w:uiPriority w:val="99"/>
    <w:locked/>
    <w:rsid w:val="00342622"/>
    <w:rPr>
      <w:rFonts w:ascii="Times New Roman" w:hAnsi="Times New Roman"/>
      <w:b/>
      <w:lang w:val="lt-LT" w:eastAsia="lt-LT"/>
    </w:rPr>
  </w:style>
  <w:style w:type="character" w:customStyle="1" w:styleId="CharChar14">
    <w:name w:val="Char Char14"/>
    <w:uiPriority w:val="99"/>
    <w:locked/>
    <w:rsid w:val="00342622"/>
    <w:rPr>
      <w:b/>
      <w:lang w:val="lt-LT" w:eastAsia="lt-LT"/>
    </w:rPr>
  </w:style>
  <w:style w:type="character" w:customStyle="1" w:styleId="CharChar13">
    <w:name w:val="Char Char13"/>
    <w:uiPriority w:val="99"/>
    <w:locked/>
    <w:rsid w:val="00342622"/>
    <w:rPr>
      <w:b/>
      <w:lang w:val="lt-LT" w:eastAsia="lt-LT"/>
    </w:rPr>
  </w:style>
  <w:style w:type="table" w:styleId="Lentelstinklelis">
    <w:name w:val="Table Grid"/>
    <w:basedOn w:val="prastojilentel"/>
    <w:uiPriority w:val="99"/>
    <w:rsid w:val="0034262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342622"/>
    <w:pPr>
      <w:spacing w:after="0" w:line="240" w:lineRule="auto"/>
    </w:pPr>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rsid w:val="00342622"/>
    <w:rPr>
      <w:rFonts w:ascii="Courier New" w:eastAsia="SimSun" w:hAnsi="Courier New" w:cs="Times New Roman"/>
      <w:sz w:val="20"/>
      <w:szCs w:val="20"/>
      <w:lang w:val="x-none" w:eastAsia="x-none"/>
    </w:rPr>
  </w:style>
  <w:style w:type="character" w:customStyle="1" w:styleId="CharChar17">
    <w:name w:val="Char Char17"/>
    <w:uiPriority w:val="99"/>
    <w:locked/>
    <w:rsid w:val="00342622"/>
    <w:rPr>
      <w:rFonts w:ascii="Cambria" w:hAnsi="Cambria"/>
      <w:b/>
      <w:kern w:val="32"/>
      <w:sz w:val="32"/>
      <w:lang w:eastAsia="en-US"/>
    </w:rPr>
  </w:style>
  <w:style w:type="paragraph" w:customStyle="1" w:styleId="PI-1labEMEASMCA">
    <w:name w:val="PI-1_lab EMEA_SMCA"/>
    <w:basedOn w:val="prastasis"/>
    <w:link w:val="PI-1labEMEASMCAChar"/>
    <w:autoRedefine/>
    <w:uiPriority w:val="99"/>
    <w:rsid w:val="0034262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342622"/>
    <w:rPr>
      <w:rFonts w:ascii="Times New Roman" w:eastAsia="Calibri" w:hAnsi="Times New Roman" w:cs="Times New Roman"/>
      <w:b/>
      <w:noProof/>
      <w:sz w:val="20"/>
      <w:szCs w:val="20"/>
      <w:lang w:val="lt-LT" w:eastAsia="lt-LT"/>
    </w:rPr>
  </w:style>
  <w:style w:type="paragraph" w:customStyle="1" w:styleId="TTEMEASMCA">
    <w:name w:val="TT EMEA_SMCA"/>
    <w:basedOn w:val="Antrat1"/>
    <w:link w:val="TTEMEASMCAChar"/>
    <w:autoRedefine/>
    <w:uiPriority w:val="99"/>
    <w:rsid w:val="00342622"/>
    <w:pPr>
      <w:keepNext w:val="0"/>
      <w:tabs>
        <w:tab w:val="clear" w:pos="540"/>
        <w:tab w:val="left" w:pos="567"/>
      </w:tabs>
      <w:ind w:left="567" w:hanging="567"/>
      <w:jc w:val="center"/>
    </w:pPr>
    <w:rPr>
      <w:bCs/>
      <w:caps/>
    </w:rPr>
  </w:style>
  <w:style w:type="character" w:customStyle="1" w:styleId="TTEMEASMCAChar">
    <w:name w:val="TT EMEA_SMCA Char"/>
    <w:link w:val="TTEMEASMCA"/>
    <w:uiPriority w:val="99"/>
    <w:locked/>
    <w:rsid w:val="00342622"/>
    <w:rPr>
      <w:rFonts w:ascii="Times New Roman" w:eastAsia="Calibri" w:hAnsi="Times New Roman" w:cs="Times New Roman"/>
      <w:b/>
      <w:bCs/>
      <w:caps/>
      <w:sz w:val="20"/>
      <w:szCs w:val="20"/>
      <w:lang w:val="lt-LT" w:eastAsia="lt-LT"/>
    </w:rPr>
  </w:style>
  <w:style w:type="paragraph" w:customStyle="1" w:styleId="BTAnIIEMEASMCA">
    <w:name w:val="BT(AnII) EMEA_SMCA"/>
    <w:basedOn w:val="Debesliotekstas"/>
    <w:autoRedefine/>
    <w:uiPriority w:val="99"/>
    <w:rsid w:val="00342622"/>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uiPriority w:val="99"/>
    <w:rsid w:val="00342622"/>
    <w:pPr>
      <w:jc w:val="center"/>
    </w:pPr>
    <w:rPr>
      <w:b/>
    </w:rPr>
  </w:style>
  <w:style w:type="paragraph" w:customStyle="1" w:styleId="BTeEMEASMCA">
    <w:name w:val="BT(e) EMEA_SMCA"/>
    <w:basedOn w:val="BTEMEASMCA"/>
    <w:autoRedefine/>
    <w:uiPriority w:val="99"/>
    <w:rsid w:val="00342622"/>
    <w:pPr>
      <w:jc w:val="center"/>
    </w:pPr>
  </w:style>
  <w:style w:type="paragraph" w:customStyle="1" w:styleId="BTgEMEASMCA">
    <w:name w:val="BT(g) EMEA_SMCA"/>
    <w:basedOn w:val="BTEMEASMCA"/>
    <w:link w:val="BTgEMEASMCAChar"/>
    <w:autoRedefine/>
    <w:uiPriority w:val="99"/>
    <w:rsid w:val="00342622"/>
    <w:rPr>
      <w:i/>
      <w:color w:val="008000"/>
    </w:rPr>
  </w:style>
  <w:style w:type="character" w:customStyle="1" w:styleId="BTgEMEASMCAChar">
    <w:name w:val="BT(g) EMEA_SMCA Char"/>
    <w:link w:val="BTgEMEASMCA"/>
    <w:uiPriority w:val="99"/>
    <w:locked/>
    <w:rsid w:val="00342622"/>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uiPriority w:val="99"/>
    <w:rsid w:val="00342622"/>
    <w:rPr>
      <w:u w:val="single"/>
    </w:rPr>
  </w:style>
  <w:style w:type="character" w:styleId="Puslapionumeris">
    <w:name w:val="page number"/>
    <w:uiPriority w:val="99"/>
    <w:rsid w:val="00342622"/>
    <w:rPr>
      <w:rFonts w:cs="Times New Roman"/>
    </w:rPr>
  </w:style>
  <w:style w:type="paragraph" w:customStyle="1" w:styleId="mdTblEntryMod">
    <w:name w:val="md_Tbl Entry/Mod"/>
    <w:basedOn w:val="prastasis"/>
    <w:uiPriority w:val="99"/>
    <w:rsid w:val="00342622"/>
    <w:pPr>
      <w:keepNext/>
      <w:keepLines/>
      <w:spacing w:after="0" w:line="259" w:lineRule="atLeast"/>
    </w:pPr>
    <w:rPr>
      <w:rFonts w:ascii="Times New Roman" w:eastAsia="Times New Roman" w:hAnsi="Times New Roman"/>
      <w:sz w:val="20"/>
      <w:szCs w:val="20"/>
      <w:lang w:val="en-US"/>
    </w:rPr>
  </w:style>
  <w:style w:type="paragraph" w:customStyle="1" w:styleId="Cmsor">
    <w:name w:val="Címsor"/>
    <w:basedOn w:val="prastasis"/>
    <w:next w:val="Pagrindinistekstas"/>
    <w:uiPriority w:val="99"/>
    <w:rsid w:val="00342622"/>
    <w:pPr>
      <w:keepNext/>
      <w:suppressAutoHyphens/>
      <w:spacing w:before="240" w:after="120" w:line="240" w:lineRule="auto"/>
    </w:pPr>
    <w:rPr>
      <w:rFonts w:ascii="Albany" w:eastAsia="Times New Roman" w:hAnsi="Albany" w:cs="Albany"/>
      <w:noProof/>
      <w:color w:val="000000"/>
      <w:sz w:val="28"/>
      <w:szCs w:val="28"/>
      <w:lang w:val="hu-HU" w:eastAsia="lt-LT"/>
    </w:rPr>
  </w:style>
  <w:style w:type="paragraph" w:customStyle="1" w:styleId="knZulassung02">
    <w:name w:val="knZulassung02"/>
    <w:basedOn w:val="prastasis"/>
    <w:uiPriority w:val="99"/>
    <w:rsid w:val="00342622"/>
    <w:pPr>
      <w:spacing w:after="240" w:line="240" w:lineRule="auto"/>
      <w:ind w:left="1843" w:right="284"/>
      <w:jc w:val="both"/>
    </w:pPr>
    <w:rPr>
      <w:rFonts w:ascii="Arial" w:eastAsia="Times New Roman" w:hAnsi="Arial"/>
      <w:sz w:val="24"/>
      <w:szCs w:val="20"/>
      <w:lang w:val="de-DE" w:eastAsia="de-DE"/>
    </w:rPr>
  </w:style>
  <w:style w:type="paragraph" w:customStyle="1" w:styleId="Agendaindenteda">
    <w:name w:val="Agenda indented a)"/>
    <w:basedOn w:val="prastasis"/>
    <w:uiPriority w:val="99"/>
    <w:rsid w:val="00342622"/>
    <w:pPr>
      <w:tabs>
        <w:tab w:val="num" w:pos="2160"/>
      </w:tabs>
      <w:spacing w:after="0" w:line="240" w:lineRule="auto"/>
      <w:ind w:left="2160" w:hanging="360"/>
    </w:pPr>
    <w:rPr>
      <w:rFonts w:ascii="Times New Roman" w:eastAsia="Times New Roman" w:hAnsi="Times New Roman"/>
      <w:sz w:val="20"/>
      <w:szCs w:val="20"/>
      <w:lang w:val="en-GB"/>
    </w:rPr>
  </w:style>
  <w:style w:type="paragraph" w:customStyle="1" w:styleId="Char">
    <w:name w:val="Char"/>
    <w:basedOn w:val="prastasis"/>
    <w:uiPriority w:val="99"/>
    <w:rsid w:val="00342622"/>
    <w:pPr>
      <w:numPr>
        <w:numId w:val="1"/>
      </w:numPr>
      <w:spacing w:line="240" w:lineRule="exact"/>
    </w:pPr>
    <w:rPr>
      <w:rFonts w:ascii="Verdana" w:eastAsia="Times New Roman" w:hAnsi="Verdana" w:cs="Verdana"/>
      <w:sz w:val="20"/>
      <w:szCs w:val="20"/>
      <w:lang w:val="en-GB"/>
    </w:rPr>
  </w:style>
  <w:style w:type="paragraph" w:customStyle="1" w:styleId="TOCHeading1">
    <w:name w:val="TOC Heading1"/>
    <w:basedOn w:val="prastasis"/>
    <w:uiPriority w:val="99"/>
    <w:rsid w:val="00342622"/>
    <w:pPr>
      <w:tabs>
        <w:tab w:val="left" w:pos="7649"/>
        <w:tab w:val="left" w:pos="7920"/>
      </w:tabs>
      <w:spacing w:after="240" w:line="359" w:lineRule="atLeast"/>
    </w:pPr>
    <w:rPr>
      <w:rFonts w:ascii="Times" w:eastAsia="Times New Roman" w:hAnsi="Times"/>
      <w:b/>
      <w:szCs w:val="20"/>
      <w:lang w:val="en-US"/>
    </w:rPr>
  </w:style>
  <w:style w:type="paragraph" w:customStyle="1" w:styleId="mdTblEntryC">
    <w:name w:val="md_Tbl Entry/C"/>
    <w:basedOn w:val="prastasis"/>
    <w:uiPriority w:val="99"/>
    <w:rsid w:val="00342622"/>
    <w:pPr>
      <w:keepNext/>
      <w:keepLines/>
      <w:spacing w:after="0" w:line="259" w:lineRule="atLeast"/>
      <w:jc w:val="center"/>
    </w:pPr>
    <w:rPr>
      <w:rFonts w:ascii="Times New Roman" w:eastAsia="Times New Roman" w:hAnsi="Times New Roman"/>
      <w:sz w:val="20"/>
      <w:szCs w:val="20"/>
      <w:lang w:val="en-US"/>
    </w:rPr>
  </w:style>
  <w:style w:type="paragraph" w:customStyle="1" w:styleId="FigFootnote">
    <w:name w:val="Fig Footnote"/>
    <w:basedOn w:val="prastasis"/>
    <w:next w:val="prastasis"/>
    <w:uiPriority w:val="99"/>
    <w:rsid w:val="00342622"/>
    <w:pPr>
      <w:keepNext/>
      <w:keepLines/>
      <w:spacing w:after="0" w:line="259" w:lineRule="atLeast"/>
      <w:ind w:left="2304"/>
    </w:pPr>
    <w:rPr>
      <w:rFonts w:ascii="Times New Roman" w:eastAsia="Times New Roman" w:hAnsi="Times New Roman"/>
      <w:sz w:val="20"/>
      <w:szCs w:val="20"/>
      <w:lang w:val="en-US"/>
    </w:rPr>
  </w:style>
  <w:style w:type="paragraph" w:customStyle="1" w:styleId="msolistparagraph0">
    <w:name w:val="msolistparagraph"/>
    <w:basedOn w:val="prastasis"/>
    <w:uiPriority w:val="99"/>
    <w:rsid w:val="00342622"/>
    <w:pPr>
      <w:spacing w:after="0" w:line="240" w:lineRule="auto"/>
      <w:ind w:left="720"/>
    </w:pPr>
    <w:rPr>
      <w:rFonts w:eastAsia="Times New Roman"/>
      <w:lang w:val="en-US"/>
    </w:rPr>
  </w:style>
  <w:style w:type="paragraph" w:customStyle="1" w:styleId="CM6">
    <w:name w:val="CM6"/>
    <w:basedOn w:val="prastasis"/>
    <w:next w:val="prastasis"/>
    <w:uiPriority w:val="99"/>
    <w:rsid w:val="00342622"/>
    <w:pPr>
      <w:widowControl w:val="0"/>
      <w:autoSpaceDE w:val="0"/>
      <w:autoSpaceDN w:val="0"/>
      <w:adjustRightInd w:val="0"/>
      <w:spacing w:after="0" w:line="253" w:lineRule="atLeast"/>
    </w:pPr>
    <w:rPr>
      <w:rFonts w:ascii="Times New Roman" w:eastAsia="Times New Roman" w:hAnsi="Times New Roman"/>
      <w:sz w:val="24"/>
      <w:szCs w:val="24"/>
      <w:lang w:val="de-DE" w:eastAsia="de-DE"/>
    </w:rPr>
  </w:style>
  <w:style w:type="paragraph" w:customStyle="1" w:styleId="TextTi10">
    <w:name w:val="Text:Ti10"/>
    <w:basedOn w:val="prastasis"/>
    <w:uiPriority w:val="99"/>
    <w:rsid w:val="00342622"/>
    <w:pPr>
      <w:spacing w:after="0" w:line="240" w:lineRule="auto"/>
    </w:pPr>
    <w:rPr>
      <w:rFonts w:ascii="Times New Roman" w:eastAsia="Times New Roman" w:hAnsi="Times New Roman"/>
      <w:szCs w:val="20"/>
      <w:lang w:val="en-US"/>
    </w:rPr>
  </w:style>
  <w:style w:type="paragraph" w:customStyle="1" w:styleId="StyleTextTi12AsianMSMincho9ptBold">
    <w:name w:val="Style Text:Ti12 + (Asian) MS Mincho 9 pt Bold"/>
    <w:basedOn w:val="prastasis"/>
    <w:uiPriority w:val="99"/>
    <w:rsid w:val="00342622"/>
    <w:pPr>
      <w:spacing w:after="0" w:line="280" w:lineRule="atLeast"/>
    </w:pPr>
    <w:rPr>
      <w:rFonts w:ascii="Times New Roman" w:eastAsia="MS Mincho" w:hAnsi="Times New Roman"/>
      <w:b/>
      <w:bCs/>
      <w:sz w:val="18"/>
      <w:szCs w:val="24"/>
      <w:lang w:val="en-US" w:eastAsia="de-DE"/>
    </w:rPr>
  </w:style>
  <w:style w:type="paragraph" w:customStyle="1" w:styleId="Annex">
    <w:name w:val="Annex"/>
    <w:basedOn w:val="prastasis"/>
    <w:next w:val="prastasis"/>
    <w:uiPriority w:val="99"/>
    <w:rsid w:val="00342622"/>
    <w:pPr>
      <w:spacing w:after="0" w:line="240" w:lineRule="auto"/>
      <w:jc w:val="center"/>
    </w:pPr>
    <w:rPr>
      <w:rFonts w:ascii="Times New Roman" w:eastAsia="Times New Roman" w:hAnsi="Times New Roman"/>
      <w:b/>
      <w:szCs w:val="20"/>
      <w:lang w:val="en-US" w:eastAsia="ja-JP"/>
    </w:rPr>
  </w:style>
  <w:style w:type="paragraph" w:customStyle="1" w:styleId="Description">
    <w:name w:val="Description"/>
    <w:basedOn w:val="prastasis"/>
    <w:next w:val="prastasis"/>
    <w:uiPriority w:val="99"/>
    <w:rsid w:val="00342622"/>
    <w:pPr>
      <w:spacing w:after="0" w:line="240" w:lineRule="auto"/>
    </w:pPr>
    <w:rPr>
      <w:rFonts w:ascii="Times New Roman" w:eastAsia="Times New Roman" w:hAnsi="Times New Roman"/>
      <w:szCs w:val="20"/>
      <w:lang w:val="en-US" w:eastAsia="ja-JP"/>
    </w:rPr>
  </w:style>
  <w:style w:type="paragraph" w:styleId="Komentarotema">
    <w:name w:val="annotation subject"/>
    <w:basedOn w:val="Komentarotekstas"/>
    <w:next w:val="Komentarotekstas"/>
    <w:link w:val="KomentarotemaDiagrama"/>
    <w:uiPriority w:val="99"/>
    <w:semiHidden/>
    <w:rsid w:val="00342622"/>
    <w:rPr>
      <w:b/>
      <w:bCs/>
    </w:rPr>
  </w:style>
  <w:style w:type="character" w:customStyle="1" w:styleId="KomentarotemaDiagrama">
    <w:name w:val="Komentaro tema Diagrama"/>
    <w:basedOn w:val="KomentarotekstasDiagrama"/>
    <w:link w:val="Komentarotema"/>
    <w:uiPriority w:val="99"/>
    <w:semiHidden/>
    <w:rsid w:val="00342622"/>
    <w:rPr>
      <w:rFonts w:ascii="Times New Roman" w:eastAsia="Times New Roman" w:hAnsi="Times New Roman" w:cs="Times New Roman"/>
      <w:b/>
      <w:bCs/>
      <w:noProof/>
      <w:sz w:val="20"/>
      <w:szCs w:val="20"/>
      <w:lang w:val="lt-LT" w:eastAsia="lt-LT"/>
    </w:rPr>
  </w:style>
  <w:style w:type="character" w:styleId="Komentaronuoroda">
    <w:name w:val="annotation reference"/>
    <w:uiPriority w:val="99"/>
    <w:rsid w:val="00342622"/>
    <w:rPr>
      <w:rFonts w:cs="Times New Roman"/>
      <w:sz w:val="16"/>
    </w:rPr>
  </w:style>
  <w:style w:type="paragraph" w:styleId="Pataisymai">
    <w:name w:val="Revision"/>
    <w:hidden/>
    <w:uiPriority w:val="99"/>
    <w:semiHidden/>
    <w:rsid w:val="003D77A8"/>
    <w:pPr>
      <w:spacing w:after="0" w:line="240" w:lineRule="auto"/>
    </w:pPr>
    <w:rPr>
      <w:rFonts w:ascii="Times New Roman" w:eastAsia="Times New Roman" w:hAnsi="Times New Roman" w:cs="Times New Roman"/>
      <w:sz w:val="24"/>
      <w:szCs w:val="24"/>
      <w:lang w:val="lt-LT"/>
    </w:rPr>
  </w:style>
  <w:style w:type="character" w:customStyle="1" w:styleId="ltcm">
    <w:name w:val="ltcm"/>
    <w:uiPriority w:val="99"/>
    <w:rsid w:val="00342622"/>
    <w:rPr>
      <w:rFonts w:ascii="Aistika" w:hAnsi="Aistika" w:cs="Times New Roman"/>
      <w:i/>
      <w:iCs/>
      <w:color w:val="808080"/>
    </w:rPr>
  </w:style>
  <w:style w:type="paragraph" w:styleId="Sraopastraipa">
    <w:name w:val="List Paragraph"/>
    <w:basedOn w:val="prastasis"/>
    <w:uiPriority w:val="99"/>
    <w:qFormat/>
    <w:rsid w:val="00342622"/>
    <w:pPr>
      <w:spacing w:after="0" w:line="240" w:lineRule="auto"/>
      <w:ind w:left="720"/>
      <w:contextualSpacing/>
    </w:pPr>
    <w:rPr>
      <w:rFonts w:ascii="Times New Roman" w:eastAsia="Times New Roman" w:hAnsi="Times New Roman"/>
      <w:sz w:val="24"/>
      <w:szCs w:val="24"/>
    </w:rPr>
  </w:style>
  <w:style w:type="paragraph" w:customStyle="1" w:styleId="BodytextAgency">
    <w:name w:val="Body text (Agency)"/>
    <w:basedOn w:val="prastasis"/>
    <w:link w:val="BodytextAgencyChar"/>
    <w:uiPriority w:val="99"/>
    <w:rsid w:val="00342622"/>
    <w:pPr>
      <w:spacing w:after="140" w:line="280" w:lineRule="atLeast"/>
    </w:pPr>
    <w:rPr>
      <w:rFonts w:ascii="Verdana" w:eastAsia="Times New Roman" w:hAnsi="Verdana"/>
      <w:snapToGrid w:val="0"/>
      <w:sz w:val="18"/>
      <w:szCs w:val="20"/>
      <w:lang w:val="en-GB" w:eastAsia="x-none"/>
    </w:rPr>
  </w:style>
  <w:style w:type="character" w:customStyle="1" w:styleId="BodytextAgencyChar">
    <w:name w:val="Body text (Agency) Char"/>
    <w:link w:val="BodytextAgency"/>
    <w:uiPriority w:val="99"/>
    <w:locked/>
    <w:rsid w:val="00342622"/>
    <w:rPr>
      <w:rFonts w:ascii="Verdana" w:eastAsia="Times New Roman" w:hAnsi="Verdana" w:cs="Times New Roman"/>
      <w:snapToGrid w:val="0"/>
      <w:sz w:val="18"/>
      <w:szCs w:val="20"/>
      <w:lang w:val="en-GB" w:eastAsia="x-none"/>
    </w:rPr>
  </w:style>
  <w:style w:type="table" w:customStyle="1" w:styleId="TableGrid1">
    <w:name w:val="Table Grid1"/>
    <w:basedOn w:val="prastojilentel"/>
    <w:next w:val="Lentelstinklelis"/>
    <w:uiPriority w:val="59"/>
    <w:rsid w:val="00342622"/>
    <w:pPr>
      <w:spacing w:after="0" w:line="240" w:lineRule="auto"/>
    </w:pPr>
    <w:rPr>
      <w:rFonts w:ascii="Calibri" w:eastAsia="Calibri" w:hAnsi="Calibri" w:cs="Times New Roman"/>
      <w:sz w:val="20"/>
      <w:szCs w:val="20"/>
      <w:lang w:val="es-E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1859">
      <w:bodyDiv w:val="1"/>
      <w:marLeft w:val="0"/>
      <w:marRight w:val="0"/>
      <w:marTop w:val="0"/>
      <w:marBottom w:val="0"/>
      <w:divBdr>
        <w:top w:val="none" w:sz="0" w:space="0" w:color="auto"/>
        <w:left w:val="none" w:sz="0" w:space="0" w:color="auto"/>
        <w:bottom w:val="none" w:sz="0" w:space="0" w:color="auto"/>
        <w:right w:val="none" w:sz="0" w:space="0" w:color="auto"/>
      </w:divBdr>
    </w:div>
    <w:div w:id="103228461">
      <w:bodyDiv w:val="1"/>
      <w:marLeft w:val="0"/>
      <w:marRight w:val="0"/>
      <w:marTop w:val="0"/>
      <w:marBottom w:val="0"/>
      <w:divBdr>
        <w:top w:val="none" w:sz="0" w:space="0" w:color="auto"/>
        <w:left w:val="none" w:sz="0" w:space="0" w:color="auto"/>
        <w:bottom w:val="none" w:sz="0" w:space="0" w:color="auto"/>
        <w:right w:val="none" w:sz="0" w:space="0" w:color="auto"/>
      </w:divBdr>
    </w:div>
    <w:div w:id="162623957">
      <w:bodyDiv w:val="1"/>
      <w:marLeft w:val="0"/>
      <w:marRight w:val="0"/>
      <w:marTop w:val="0"/>
      <w:marBottom w:val="0"/>
      <w:divBdr>
        <w:top w:val="none" w:sz="0" w:space="0" w:color="auto"/>
        <w:left w:val="none" w:sz="0" w:space="0" w:color="auto"/>
        <w:bottom w:val="none" w:sz="0" w:space="0" w:color="auto"/>
        <w:right w:val="none" w:sz="0" w:space="0" w:color="auto"/>
      </w:divBdr>
    </w:div>
    <w:div w:id="212273514">
      <w:bodyDiv w:val="1"/>
      <w:marLeft w:val="0"/>
      <w:marRight w:val="0"/>
      <w:marTop w:val="0"/>
      <w:marBottom w:val="0"/>
      <w:divBdr>
        <w:top w:val="none" w:sz="0" w:space="0" w:color="auto"/>
        <w:left w:val="none" w:sz="0" w:space="0" w:color="auto"/>
        <w:bottom w:val="none" w:sz="0" w:space="0" w:color="auto"/>
        <w:right w:val="none" w:sz="0" w:space="0" w:color="auto"/>
      </w:divBdr>
    </w:div>
    <w:div w:id="583341767">
      <w:bodyDiv w:val="1"/>
      <w:marLeft w:val="0"/>
      <w:marRight w:val="0"/>
      <w:marTop w:val="0"/>
      <w:marBottom w:val="0"/>
      <w:divBdr>
        <w:top w:val="none" w:sz="0" w:space="0" w:color="auto"/>
        <w:left w:val="none" w:sz="0" w:space="0" w:color="auto"/>
        <w:bottom w:val="none" w:sz="0" w:space="0" w:color="auto"/>
        <w:right w:val="none" w:sz="0" w:space="0" w:color="auto"/>
      </w:divBdr>
    </w:div>
    <w:div w:id="884148159">
      <w:bodyDiv w:val="1"/>
      <w:marLeft w:val="0"/>
      <w:marRight w:val="0"/>
      <w:marTop w:val="0"/>
      <w:marBottom w:val="0"/>
      <w:divBdr>
        <w:top w:val="none" w:sz="0" w:space="0" w:color="auto"/>
        <w:left w:val="none" w:sz="0" w:space="0" w:color="auto"/>
        <w:bottom w:val="none" w:sz="0" w:space="0" w:color="auto"/>
        <w:right w:val="none" w:sz="0" w:space="0" w:color="auto"/>
      </w:divBdr>
    </w:div>
    <w:div w:id="1012536887">
      <w:bodyDiv w:val="1"/>
      <w:marLeft w:val="0"/>
      <w:marRight w:val="0"/>
      <w:marTop w:val="0"/>
      <w:marBottom w:val="0"/>
      <w:divBdr>
        <w:top w:val="none" w:sz="0" w:space="0" w:color="auto"/>
        <w:left w:val="none" w:sz="0" w:space="0" w:color="auto"/>
        <w:bottom w:val="none" w:sz="0" w:space="0" w:color="auto"/>
        <w:right w:val="none" w:sz="0" w:space="0" w:color="auto"/>
      </w:divBdr>
    </w:div>
    <w:div w:id="1048987884">
      <w:bodyDiv w:val="1"/>
      <w:marLeft w:val="0"/>
      <w:marRight w:val="0"/>
      <w:marTop w:val="0"/>
      <w:marBottom w:val="0"/>
      <w:divBdr>
        <w:top w:val="none" w:sz="0" w:space="0" w:color="auto"/>
        <w:left w:val="none" w:sz="0" w:space="0" w:color="auto"/>
        <w:bottom w:val="none" w:sz="0" w:space="0" w:color="auto"/>
        <w:right w:val="none" w:sz="0" w:space="0" w:color="auto"/>
      </w:divBdr>
    </w:div>
    <w:div w:id="1189030822">
      <w:bodyDiv w:val="1"/>
      <w:marLeft w:val="0"/>
      <w:marRight w:val="0"/>
      <w:marTop w:val="0"/>
      <w:marBottom w:val="0"/>
      <w:divBdr>
        <w:top w:val="none" w:sz="0" w:space="0" w:color="auto"/>
        <w:left w:val="none" w:sz="0" w:space="0" w:color="auto"/>
        <w:bottom w:val="none" w:sz="0" w:space="0" w:color="auto"/>
        <w:right w:val="none" w:sz="0" w:space="0" w:color="auto"/>
      </w:divBdr>
    </w:div>
    <w:div w:id="1520773232">
      <w:bodyDiv w:val="1"/>
      <w:marLeft w:val="0"/>
      <w:marRight w:val="0"/>
      <w:marTop w:val="0"/>
      <w:marBottom w:val="0"/>
      <w:divBdr>
        <w:top w:val="none" w:sz="0" w:space="0" w:color="auto"/>
        <w:left w:val="none" w:sz="0" w:space="0" w:color="auto"/>
        <w:bottom w:val="none" w:sz="0" w:space="0" w:color="auto"/>
        <w:right w:val="none" w:sz="0" w:space="0" w:color="auto"/>
      </w:divBdr>
    </w:div>
    <w:div w:id="1699117455">
      <w:bodyDiv w:val="1"/>
      <w:marLeft w:val="0"/>
      <w:marRight w:val="0"/>
      <w:marTop w:val="0"/>
      <w:marBottom w:val="0"/>
      <w:divBdr>
        <w:top w:val="none" w:sz="0" w:space="0" w:color="auto"/>
        <w:left w:val="none" w:sz="0" w:space="0" w:color="auto"/>
        <w:bottom w:val="none" w:sz="0" w:space="0" w:color="auto"/>
        <w:right w:val="none" w:sz="0" w:space="0" w:color="auto"/>
      </w:divBdr>
    </w:div>
    <w:div w:id="1700933491">
      <w:bodyDiv w:val="1"/>
      <w:marLeft w:val="0"/>
      <w:marRight w:val="0"/>
      <w:marTop w:val="0"/>
      <w:marBottom w:val="0"/>
      <w:divBdr>
        <w:top w:val="none" w:sz="0" w:space="0" w:color="auto"/>
        <w:left w:val="none" w:sz="0" w:space="0" w:color="auto"/>
        <w:bottom w:val="none" w:sz="0" w:space="0" w:color="auto"/>
        <w:right w:val="none" w:sz="0" w:space="0" w:color="auto"/>
      </w:divBdr>
    </w:div>
    <w:div w:id="1767995659">
      <w:bodyDiv w:val="1"/>
      <w:marLeft w:val="0"/>
      <w:marRight w:val="0"/>
      <w:marTop w:val="0"/>
      <w:marBottom w:val="0"/>
      <w:divBdr>
        <w:top w:val="none" w:sz="0" w:space="0" w:color="auto"/>
        <w:left w:val="none" w:sz="0" w:space="0" w:color="auto"/>
        <w:bottom w:val="none" w:sz="0" w:space="0" w:color="auto"/>
        <w:right w:val="none" w:sz="0" w:space="0" w:color="auto"/>
      </w:divBdr>
    </w:div>
    <w:div w:id="19782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AF0D-AA32-4F2D-9FF3-B4F79DFA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88089</Words>
  <Characters>50211</Characters>
  <Application>Microsoft Office Word</Application>
  <DocSecurity>4</DocSecurity>
  <Lines>418</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rtiwari</dc:creator>
  <cp:lastModifiedBy>Albina Burkauskaitė</cp:lastModifiedBy>
  <cp:revision>2</cp:revision>
  <dcterms:created xsi:type="dcterms:W3CDTF">2022-11-07T09:24:00Z</dcterms:created>
  <dcterms:modified xsi:type="dcterms:W3CDTF">2022-11-07T09:24:00Z</dcterms:modified>
</cp:coreProperties>
</file>