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EE952" w14:textId="77777777" w:rsidR="0061061F" w:rsidRPr="00D166EA" w:rsidRDefault="0061061F" w:rsidP="0061061F">
      <w:pPr>
        <w:widowControl w:val="0"/>
        <w:rPr>
          <w:szCs w:val="22"/>
        </w:rPr>
      </w:pPr>
      <w:bookmarkStart w:id="0" w:name="_GoBack"/>
      <w:bookmarkEnd w:id="0"/>
    </w:p>
    <w:p w14:paraId="7BB9BBBD" w14:textId="77777777" w:rsidR="0061061F" w:rsidRPr="00D166EA" w:rsidRDefault="0061061F" w:rsidP="0061061F">
      <w:pPr>
        <w:outlineLvl w:val="0"/>
        <w:rPr>
          <w:b/>
          <w:bCs/>
          <w:szCs w:val="22"/>
        </w:rPr>
      </w:pPr>
    </w:p>
    <w:p w14:paraId="1F643068" w14:textId="77777777" w:rsidR="0061061F" w:rsidRPr="00D166EA" w:rsidRDefault="0061061F" w:rsidP="0061061F">
      <w:pPr>
        <w:outlineLvl w:val="0"/>
        <w:rPr>
          <w:b/>
          <w:bCs/>
          <w:szCs w:val="22"/>
        </w:rPr>
      </w:pPr>
    </w:p>
    <w:p w14:paraId="61A1CB3D" w14:textId="77777777" w:rsidR="0061061F" w:rsidRPr="00D166EA" w:rsidRDefault="0061061F" w:rsidP="0061061F">
      <w:pPr>
        <w:outlineLvl w:val="0"/>
        <w:rPr>
          <w:b/>
          <w:bCs/>
          <w:szCs w:val="22"/>
        </w:rPr>
      </w:pPr>
    </w:p>
    <w:p w14:paraId="16FECB9D" w14:textId="77777777" w:rsidR="0061061F" w:rsidRPr="00D166EA" w:rsidRDefault="0061061F" w:rsidP="0061061F">
      <w:pPr>
        <w:outlineLvl w:val="0"/>
        <w:rPr>
          <w:b/>
          <w:bCs/>
          <w:szCs w:val="22"/>
        </w:rPr>
      </w:pPr>
    </w:p>
    <w:p w14:paraId="47D60174" w14:textId="77777777" w:rsidR="0061061F" w:rsidRPr="00D166EA" w:rsidRDefault="0061061F" w:rsidP="0061061F">
      <w:pPr>
        <w:tabs>
          <w:tab w:val="left" w:pos="-1440"/>
          <w:tab w:val="left" w:pos="-720"/>
        </w:tabs>
        <w:rPr>
          <w:b/>
          <w:bCs/>
          <w:szCs w:val="22"/>
        </w:rPr>
      </w:pPr>
    </w:p>
    <w:p w14:paraId="78029A8D" w14:textId="77777777" w:rsidR="0061061F" w:rsidRPr="00D166EA" w:rsidRDefault="0061061F" w:rsidP="0061061F">
      <w:pPr>
        <w:tabs>
          <w:tab w:val="left" w:pos="-1440"/>
          <w:tab w:val="left" w:pos="-720"/>
        </w:tabs>
        <w:rPr>
          <w:b/>
          <w:bCs/>
          <w:szCs w:val="22"/>
        </w:rPr>
      </w:pPr>
    </w:p>
    <w:p w14:paraId="16F00424" w14:textId="77777777" w:rsidR="0061061F" w:rsidRPr="00D166EA" w:rsidRDefault="0061061F" w:rsidP="0061061F">
      <w:pPr>
        <w:tabs>
          <w:tab w:val="left" w:pos="-1440"/>
          <w:tab w:val="left" w:pos="-720"/>
        </w:tabs>
        <w:rPr>
          <w:b/>
          <w:bCs/>
          <w:szCs w:val="22"/>
        </w:rPr>
      </w:pPr>
    </w:p>
    <w:p w14:paraId="10DBA8BB" w14:textId="77777777" w:rsidR="0061061F" w:rsidRPr="00D166EA" w:rsidRDefault="0061061F" w:rsidP="0061061F">
      <w:pPr>
        <w:tabs>
          <w:tab w:val="left" w:pos="-1440"/>
          <w:tab w:val="left" w:pos="-720"/>
        </w:tabs>
        <w:rPr>
          <w:b/>
          <w:bCs/>
          <w:szCs w:val="22"/>
        </w:rPr>
      </w:pPr>
    </w:p>
    <w:p w14:paraId="55E4C4A1" w14:textId="77777777" w:rsidR="0061061F" w:rsidRPr="00D166EA" w:rsidRDefault="0061061F" w:rsidP="0061061F">
      <w:pPr>
        <w:tabs>
          <w:tab w:val="left" w:pos="-1440"/>
          <w:tab w:val="left" w:pos="-720"/>
        </w:tabs>
        <w:rPr>
          <w:b/>
          <w:bCs/>
          <w:szCs w:val="22"/>
        </w:rPr>
      </w:pPr>
    </w:p>
    <w:p w14:paraId="44584541" w14:textId="77777777" w:rsidR="0061061F" w:rsidRPr="00D166EA" w:rsidRDefault="0061061F" w:rsidP="0061061F">
      <w:pPr>
        <w:tabs>
          <w:tab w:val="left" w:pos="-1440"/>
          <w:tab w:val="left" w:pos="-720"/>
        </w:tabs>
        <w:rPr>
          <w:b/>
          <w:bCs/>
          <w:szCs w:val="22"/>
        </w:rPr>
      </w:pPr>
    </w:p>
    <w:p w14:paraId="0965B69E" w14:textId="77777777" w:rsidR="0061061F" w:rsidRPr="00D166EA" w:rsidRDefault="0061061F" w:rsidP="0061061F">
      <w:pPr>
        <w:tabs>
          <w:tab w:val="left" w:pos="-1440"/>
          <w:tab w:val="left" w:pos="-720"/>
        </w:tabs>
        <w:rPr>
          <w:b/>
          <w:bCs/>
          <w:szCs w:val="22"/>
        </w:rPr>
      </w:pPr>
    </w:p>
    <w:p w14:paraId="1E1B835F" w14:textId="77777777" w:rsidR="0061061F" w:rsidRPr="00D166EA" w:rsidRDefault="0061061F" w:rsidP="0061061F">
      <w:pPr>
        <w:tabs>
          <w:tab w:val="left" w:pos="-1440"/>
          <w:tab w:val="left" w:pos="-720"/>
        </w:tabs>
        <w:rPr>
          <w:b/>
          <w:bCs/>
          <w:szCs w:val="22"/>
        </w:rPr>
      </w:pPr>
    </w:p>
    <w:p w14:paraId="208BA14A" w14:textId="77777777" w:rsidR="0061061F" w:rsidRPr="00D166EA" w:rsidRDefault="0061061F" w:rsidP="0061061F">
      <w:pPr>
        <w:tabs>
          <w:tab w:val="left" w:pos="-1440"/>
          <w:tab w:val="left" w:pos="-720"/>
        </w:tabs>
        <w:rPr>
          <w:b/>
          <w:bCs/>
          <w:szCs w:val="22"/>
        </w:rPr>
      </w:pPr>
    </w:p>
    <w:p w14:paraId="27B75C31" w14:textId="77777777" w:rsidR="0061061F" w:rsidRPr="00D166EA" w:rsidRDefault="0061061F" w:rsidP="0061061F">
      <w:pPr>
        <w:tabs>
          <w:tab w:val="left" w:pos="-1440"/>
          <w:tab w:val="left" w:pos="-720"/>
        </w:tabs>
        <w:rPr>
          <w:b/>
          <w:bCs/>
          <w:szCs w:val="22"/>
        </w:rPr>
      </w:pPr>
    </w:p>
    <w:p w14:paraId="40588224" w14:textId="77777777" w:rsidR="0061061F" w:rsidRPr="00D166EA" w:rsidRDefault="0061061F" w:rsidP="0061061F">
      <w:pPr>
        <w:tabs>
          <w:tab w:val="left" w:pos="-1440"/>
          <w:tab w:val="left" w:pos="-720"/>
        </w:tabs>
        <w:rPr>
          <w:b/>
          <w:bCs/>
          <w:szCs w:val="22"/>
        </w:rPr>
      </w:pPr>
    </w:p>
    <w:p w14:paraId="1E857DB7" w14:textId="77777777" w:rsidR="0061061F" w:rsidRPr="00D166EA" w:rsidRDefault="0061061F" w:rsidP="0061061F">
      <w:pPr>
        <w:tabs>
          <w:tab w:val="left" w:pos="-1440"/>
          <w:tab w:val="left" w:pos="-720"/>
        </w:tabs>
        <w:rPr>
          <w:b/>
          <w:bCs/>
          <w:szCs w:val="22"/>
        </w:rPr>
      </w:pPr>
    </w:p>
    <w:p w14:paraId="023498C5" w14:textId="77777777" w:rsidR="0061061F" w:rsidRPr="00D166EA" w:rsidRDefault="0061061F" w:rsidP="0061061F">
      <w:pPr>
        <w:tabs>
          <w:tab w:val="left" w:pos="-1440"/>
          <w:tab w:val="left" w:pos="-720"/>
        </w:tabs>
        <w:rPr>
          <w:b/>
          <w:bCs/>
          <w:szCs w:val="22"/>
        </w:rPr>
      </w:pPr>
    </w:p>
    <w:p w14:paraId="36D57564" w14:textId="77777777" w:rsidR="0061061F" w:rsidRPr="00D166EA" w:rsidRDefault="0061061F" w:rsidP="0061061F">
      <w:pPr>
        <w:tabs>
          <w:tab w:val="left" w:pos="-1440"/>
          <w:tab w:val="left" w:pos="-720"/>
        </w:tabs>
        <w:rPr>
          <w:b/>
          <w:bCs/>
          <w:szCs w:val="22"/>
        </w:rPr>
      </w:pPr>
    </w:p>
    <w:p w14:paraId="36053D2C" w14:textId="77777777" w:rsidR="0061061F" w:rsidRPr="00D166EA" w:rsidRDefault="0061061F" w:rsidP="0061061F">
      <w:pPr>
        <w:tabs>
          <w:tab w:val="left" w:pos="-1440"/>
          <w:tab w:val="left" w:pos="-720"/>
        </w:tabs>
        <w:rPr>
          <w:b/>
          <w:bCs/>
          <w:szCs w:val="22"/>
        </w:rPr>
      </w:pPr>
    </w:p>
    <w:p w14:paraId="0208822D" w14:textId="77777777" w:rsidR="0061061F" w:rsidRPr="00D166EA" w:rsidRDefault="0061061F" w:rsidP="0061061F">
      <w:pPr>
        <w:tabs>
          <w:tab w:val="left" w:pos="-1440"/>
          <w:tab w:val="left" w:pos="-720"/>
        </w:tabs>
        <w:rPr>
          <w:b/>
          <w:bCs/>
          <w:szCs w:val="22"/>
        </w:rPr>
      </w:pPr>
    </w:p>
    <w:p w14:paraId="1B76ACE0" w14:textId="77777777" w:rsidR="0061061F" w:rsidRPr="00D166EA" w:rsidRDefault="0061061F" w:rsidP="0061061F">
      <w:pPr>
        <w:tabs>
          <w:tab w:val="left" w:pos="-1440"/>
          <w:tab w:val="left" w:pos="-720"/>
        </w:tabs>
        <w:rPr>
          <w:b/>
          <w:bCs/>
          <w:szCs w:val="22"/>
        </w:rPr>
      </w:pPr>
    </w:p>
    <w:p w14:paraId="32D2CD84" w14:textId="77777777" w:rsidR="0061061F" w:rsidRPr="00D166EA" w:rsidRDefault="0061061F" w:rsidP="0061061F">
      <w:pPr>
        <w:tabs>
          <w:tab w:val="left" w:pos="-1440"/>
          <w:tab w:val="left" w:pos="-720"/>
        </w:tabs>
        <w:rPr>
          <w:b/>
          <w:bCs/>
          <w:szCs w:val="22"/>
        </w:rPr>
      </w:pPr>
    </w:p>
    <w:p w14:paraId="5C231E03" w14:textId="77777777" w:rsidR="0061061F" w:rsidRPr="00D166EA" w:rsidRDefault="0061061F" w:rsidP="0061061F">
      <w:pPr>
        <w:pStyle w:val="Antrat2"/>
      </w:pPr>
      <w:r w:rsidRPr="00D166EA">
        <w:t>I PRIEDAS</w:t>
      </w:r>
    </w:p>
    <w:p w14:paraId="4A4349DB" w14:textId="77777777" w:rsidR="0061061F" w:rsidRPr="00D166EA" w:rsidRDefault="0061061F" w:rsidP="0061061F">
      <w:pPr>
        <w:rPr>
          <w:szCs w:val="22"/>
        </w:rPr>
      </w:pPr>
    </w:p>
    <w:p w14:paraId="12753E90" w14:textId="77777777" w:rsidR="0061061F" w:rsidRPr="00D166EA" w:rsidRDefault="0061061F" w:rsidP="0061061F">
      <w:pPr>
        <w:tabs>
          <w:tab w:val="left" w:pos="-1440"/>
          <w:tab w:val="left" w:pos="-720"/>
        </w:tabs>
        <w:jc w:val="center"/>
        <w:rPr>
          <w:b/>
          <w:bCs/>
          <w:szCs w:val="22"/>
        </w:rPr>
      </w:pPr>
      <w:r w:rsidRPr="00D166EA">
        <w:rPr>
          <w:b/>
          <w:bCs/>
          <w:szCs w:val="22"/>
        </w:rPr>
        <w:t>PREPARATO CHARAKTERISTIKŲ SANTRAUKA</w:t>
      </w:r>
    </w:p>
    <w:p w14:paraId="36EDD249" w14:textId="77777777" w:rsidR="0061061F" w:rsidRPr="00D166EA" w:rsidRDefault="0061061F" w:rsidP="0061061F">
      <w:pPr>
        <w:tabs>
          <w:tab w:val="left" w:pos="-1440"/>
          <w:tab w:val="left" w:pos="-720"/>
        </w:tabs>
        <w:rPr>
          <w:b/>
          <w:szCs w:val="22"/>
        </w:rPr>
      </w:pPr>
      <w:r w:rsidRPr="00D166EA">
        <w:rPr>
          <w:szCs w:val="22"/>
          <w:lang w:eastAsia="zh-CN"/>
        </w:rPr>
        <w:br w:type="page"/>
      </w:r>
      <w:r w:rsidRPr="00D166EA">
        <w:rPr>
          <w:b/>
          <w:szCs w:val="22"/>
        </w:rPr>
        <w:lastRenderedPageBreak/>
        <w:t>1.</w:t>
      </w:r>
      <w:r w:rsidRPr="00D166EA">
        <w:rPr>
          <w:b/>
          <w:szCs w:val="22"/>
        </w:rPr>
        <w:tab/>
        <w:t>VAISTINIO PREPARATO PAVADINIMAS</w:t>
      </w:r>
    </w:p>
    <w:p w14:paraId="5CA9084B" w14:textId="77777777" w:rsidR="0061061F" w:rsidRPr="00D166EA" w:rsidRDefault="0061061F" w:rsidP="0061061F">
      <w:pPr>
        <w:rPr>
          <w:szCs w:val="22"/>
        </w:rPr>
      </w:pPr>
    </w:p>
    <w:p w14:paraId="5BB013EA" w14:textId="77777777" w:rsidR="0061061F" w:rsidRPr="00D166EA" w:rsidRDefault="009D4230" w:rsidP="0061061F">
      <w:pPr>
        <w:rPr>
          <w:szCs w:val="22"/>
        </w:rPr>
      </w:pPr>
      <w:r w:rsidRPr="00591D31">
        <w:rPr>
          <w:szCs w:val="22"/>
        </w:rPr>
        <w:t>Entecavir</w:t>
      </w:r>
      <w:r w:rsidR="0061061F" w:rsidRPr="00591D31">
        <w:rPr>
          <w:szCs w:val="22"/>
        </w:rPr>
        <w:t xml:space="preserve"> Sandoz</w:t>
      </w:r>
      <w:r w:rsidR="0061061F" w:rsidRPr="00591D31">
        <w:rPr>
          <w:caps/>
          <w:szCs w:val="22"/>
        </w:rPr>
        <w:t xml:space="preserve"> </w:t>
      </w:r>
      <w:r w:rsidRPr="00591D31">
        <w:rPr>
          <w:caps/>
          <w:szCs w:val="22"/>
        </w:rPr>
        <w:t>0,</w:t>
      </w:r>
      <w:r w:rsidR="0061061F" w:rsidRPr="00591D31">
        <w:rPr>
          <w:caps/>
          <w:szCs w:val="22"/>
        </w:rPr>
        <w:t>5 </w:t>
      </w:r>
      <w:r w:rsidR="0061061F" w:rsidRPr="00591D31">
        <w:rPr>
          <w:szCs w:val="22"/>
        </w:rPr>
        <w:t>mg plėvele dengtos tabletės</w:t>
      </w:r>
    </w:p>
    <w:p w14:paraId="0CF8DCB7" w14:textId="77777777" w:rsidR="0061061F" w:rsidRPr="00D166EA" w:rsidRDefault="009D4230" w:rsidP="0061061F">
      <w:pPr>
        <w:rPr>
          <w:szCs w:val="22"/>
        </w:rPr>
      </w:pPr>
      <w:r w:rsidRPr="00591D31">
        <w:rPr>
          <w:szCs w:val="22"/>
          <w:highlight w:val="lightGray"/>
        </w:rPr>
        <w:t>Entecavir</w:t>
      </w:r>
      <w:r w:rsidR="0061061F" w:rsidRPr="00591D31">
        <w:rPr>
          <w:szCs w:val="22"/>
          <w:highlight w:val="lightGray"/>
        </w:rPr>
        <w:t xml:space="preserve"> Sandoz</w:t>
      </w:r>
      <w:r w:rsidR="0061061F" w:rsidRPr="00591D31">
        <w:rPr>
          <w:caps/>
          <w:szCs w:val="22"/>
          <w:highlight w:val="lightGray"/>
        </w:rPr>
        <w:t xml:space="preserve"> 1 </w:t>
      </w:r>
      <w:r w:rsidR="0061061F" w:rsidRPr="00591D31">
        <w:rPr>
          <w:szCs w:val="22"/>
          <w:highlight w:val="lightGray"/>
        </w:rPr>
        <w:t>mg plėvele dengtos tabletės</w:t>
      </w:r>
    </w:p>
    <w:p w14:paraId="423810C0" w14:textId="77777777" w:rsidR="0061061F" w:rsidRPr="00D166EA" w:rsidRDefault="0061061F" w:rsidP="0061061F">
      <w:pPr>
        <w:rPr>
          <w:szCs w:val="22"/>
        </w:rPr>
      </w:pPr>
    </w:p>
    <w:p w14:paraId="7BE77F65" w14:textId="77777777" w:rsidR="0061061F" w:rsidRPr="00D166EA" w:rsidRDefault="0061061F" w:rsidP="0061061F">
      <w:pPr>
        <w:rPr>
          <w:szCs w:val="22"/>
        </w:rPr>
      </w:pPr>
    </w:p>
    <w:p w14:paraId="7B0F4A3C" w14:textId="77777777" w:rsidR="0061061F" w:rsidRPr="00D166EA" w:rsidRDefault="0061061F" w:rsidP="0061061F">
      <w:pPr>
        <w:pStyle w:val="Normal11pt0"/>
        <w:rPr>
          <w:rFonts w:ascii="Times New Roman" w:hAnsi="Times New Roman"/>
          <w:b/>
          <w:lang w:val="lt-LT"/>
        </w:rPr>
      </w:pPr>
      <w:r w:rsidRPr="00D166EA">
        <w:rPr>
          <w:rFonts w:ascii="Times New Roman" w:hAnsi="Times New Roman"/>
          <w:b/>
          <w:lang w:val="lt-LT"/>
        </w:rPr>
        <w:t>2.</w:t>
      </w:r>
      <w:r w:rsidRPr="00D166EA">
        <w:rPr>
          <w:rFonts w:ascii="Times New Roman" w:hAnsi="Times New Roman"/>
          <w:b/>
          <w:lang w:val="lt-LT"/>
        </w:rPr>
        <w:tab/>
        <w:t>KOKYBINĖ IR KIEKYBINĖ SUDĖTIS</w:t>
      </w:r>
    </w:p>
    <w:p w14:paraId="149FEC71" w14:textId="77777777" w:rsidR="0061061F" w:rsidRPr="00D166EA" w:rsidRDefault="0061061F" w:rsidP="0061061F">
      <w:pPr>
        <w:rPr>
          <w:szCs w:val="22"/>
        </w:rPr>
      </w:pPr>
    </w:p>
    <w:p w14:paraId="563E5C47" w14:textId="77777777" w:rsidR="009D4230" w:rsidRPr="00650FF8" w:rsidRDefault="009D4230" w:rsidP="009D4230">
      <w:pPr>
        <w:rPr>
          <w:szCs w:val="22"/>
          <w:u w:val="single"/>
        </w:rPr>
      </w:pPr>
      <w:r w:rsidRPr="00650FF8">
        <w:rPr>
          <w:szCs w:val="22"/>
          <w:highlight w:val="lightGray"/>
          <w:u w:val="single"/>
        </w:rPr>
        <w:t>Entecavir Sandoz</w:t>
      </w:r>
      <w:r w:rsidRPr="00650FF8">
        <w:rPr>
          <w:caps/>
          <w:szCs w:val="22"/>
          <w:highlight w:val="lightGray"/>
          <w:u w:val="single"/>
        </w:rPr>
        <w:t xml:space="preserve"> 0,5 </w:t>
      </w:r>
      <w:r w:rsidRPr="00650FF8">
        <w:rPr>
          <w:szCs w:val="22"/>
          <w:highlight w:val="lightGray"/>
          <w:u w:val="single"/>
        </w:rPr>
        <w:t>mg plėvele dengtos tabletės</w:t>
      </w:r>
    </w:p>
    <w:p w14:paraId="3166F699" w14:textId="77777777" w:rsidR="0061061F" w:rsidRPr="00591D31" w:rsidRDefault="009D4230" w:rsidP="0061061F">
      <w:pPr>
        <w:rPr>
          <w:szCs w:val="22"/>
        </w:rPr>
      </w:pPr>
      <w:r w:rsidRPr="00591D31">
        <w:rPr>
          <w:szCs w:val="22"/>
        </w:rPr>
        <w:t>Kiek</w:t>
      </w:r>
      <w:r w:rsidR="0061061F" w:rsidRPr="00591D31">
        <w:rPr>
          <w:szCs w:val="22"/>
        </w:rPr>
        <w:t xml:space="preserve">vienoje </w:t>
      </w:r>
      <w:r w:rsidR="001E0A14" w:rsidRPr="00591D31">
        <w:rPr>
          <w:szCs w:val="22"/>
        </w:rPr>
        <w:t xml:space="preserve">plėvele dengtoje </w:t>
      </w:r>
      <w:r w:rsidR="0061061F" w:rsidRPr="00591D31">
        <w:rPr>
          <w:szCs w:val="22"/>
        </w:rPr>
        <w:t xml:space="preserve">tabletėje yra </w:t>
      </w:r>
      <w:r w:rsidRPr="00591D31">
        <w:rPr>
          <w:szCs w:val="22"/>
        </w:rPr>
        <w:t>0,</w:t>
      </w:r>
      <w:r w:rsidR="0061061F" w:rsidRPr="00591D31">
        <w:rPr>
          <w:szCs w:val="22"/>
        </w:rPr>
        <w:t xml:space="preserve">5 mg </w:t>
      </w:r>
      <w:r w:rsidRPr="00591D31">
        <w:rPr>
          <w:szCs w:val="22"/>
        </w:rPr>
        <w:t>entekavir</w:t>
      </w:r>
      <w:r w:rsidR="0061061F" w:rsidRPr="00591D31">
        <w:rPr>
          <w:szCs w:val="22"/>
        </w:rPr>
        <w:t>o (</w:t>
      </w:r>
      <w:r w:rsidRPr="00591D31">
        <w:rPr>
          <w:szCs w:val="22"/>
        </w:rPr>
        <w:t>monohidrato</w:t>
      </w:r>
      <w:r w:rsidR="0061061F" w:rsidRPr="00591D31">
        <w:rPr>
          <w:szCs w:val="22"/>
        </w:rPr>
        <w:t xml:space="preserve"> pavidalu).</w:t>
      </w:r>
    </w:p>
    <w:p w14:paraId="560F0726" w14:textId="77777777" w:rsidR="009D4230" w:rsidRDefault="009D4230" w:rsidP="0061061F">
      <w:pPr>
        <w:rPr>
          <w:szCs w:val="22"/>
          <w:highlight w:val="lightGray"/>
        </w:rPr>
      </w:pPr>
    </w:p>
    <w:p w14:paraId="19922628" w14:textId="77777777" w:rsidR="001E0A14" w:rsidRPr="00D166EA" w:rsidRDefault="001E0A14" w:rsidP="001E0A14">
      <w:pPr>
        <w:rPr>
          <w:rFonts w:eastAsia="SimSun"/>
          <w:szCs w:val="22"/>
        </w:rPr>
      </w:pPr>
      <w:r w:rsidRPr="00D166EA">
        <w:rPr>
          <w:rFonts w:eastAsia="SimSun"/>
          <w:szCs w:val="22"/>
          <w:u w:val="single"/>
        </w:rPr>
        <w:t>Pagalbinė medžiag</w:t>
      </w:r>
      <w:r>
        <w:rPr>
          <w:rFonts w:eastAsia="SimSun"/>
          <w:szCs w:val="22"/>
          <w:u w:val="single"/>
        </w:rPr>
        <w:t>a</w:t>
      </w:r>
      <w:r w:rsidRPr="00D166EA">
        <w:rPr>
          <w:rFonts w:eastAsia="SimSun"/>
          <w:szCs w:val="22"/>
          <w:u w:val="single"/>
        </w:rPr>
        <w:t>, kuri</w:t>
      </w:r>
      <w:r>
        <w:rPr>
          <w:rFonts w:eastAsia="SimSun"/>
          <w:szCs w:val="22"/>
          <w:u w:val="single"/>
        </w:rPr>
        <w:t>os</w:t>
      </w:r>
      <w:r w:rsidRPr="00D166EA">
        <w:rPr>
          <w:rFonts w:eastAsia="SimSun"/>
          <w:szCs w:val="22"/>
          <w:u w:val="single"/>
        </w:rPr>
        <w:t xml:space="preserve"> poveikis žinomas</w:t>
      </w:r>
      <w:r w:rsidRPr="00D166EA">
        <w:rPr>
          <w:rFonts w:eastAsia="SimSun"/>
          <w:szCs w:val="22"/>
        </w:rPr>
        <w:t xml:space="preserve"> </w:t>
      </w:r>
    </w:p>
    <w:p w14:paraId="16CE8ED8" w14:textId="77777777" w:rsidR="001E0A14" w:rsidRPr="00D166EA" w:rsidRDefault="001E0A14" w:rsidP="001E0A14">
      <w:pPr>
        <w:rPr>
          <w:rFonts w:eastAsia="SimSun"/>
          <w:szCs w:val="22"/>
        </w:rPr>
      </w:pPr>
      <w:r w:rsidRPr="00591D31">
        <w:rPr>
          <w:rFonts w:eastAsia="SimSun"/>
          <w:szCs w:val="22"/>
        </w:rPr>
        <w:t xml:space="preserve">Kiekvienoje </w:t>
      </w:r>
      <w:r w:rsidRPr="00591D31">
        <w:rPr>
          <w:caps/>
          <w:szCs w:val="22"/>
        </w:rPr>
        <w:t>0,5 </w:t>
      </w:r>
      <w:r w:rsidRPr="00591D31">
        <w:rPr>
          <w:szCs w:val="22"/>
        </w:rPr>
        <w:t xml:space="preserve">mg </w:t>
      </w:r>
      <w:r w:rsidRPr="00591D31">
        <w:rPr>
          <w:rFonts w:eastAsia="SimSun"/>
          <w:szCs w:val="22"/>
        </w:rPr>
        <w:t>plėvele dengtoje tabletėje yra 1</w:t>
      </w:r>
      <w:r w:rsidR="00A263D3" w:rsidRPr="00591D31">
        <w:rPr>
          <w:rFonts w:eastAsia="SimSun"/>
          <w:szCs w:val="22"/>
        </w:rPr>
        <w:t>14</w:t>
      </w:r>
      <w:r w:rsidRPr="00591D31">
        <w:rPr>
          <w:rFonts w:eastAsia="SimSun"/>
          <w:szCs w:val="22"/>
        </w:rPr>
        <w:t>,</w:t>
      </w:r>
      <w:r w:rsidR="00A263D3" w:rsidRPr="00591D31">
        <w:rPr>
          <w:rFonts w:eastAsia="SimSun"/>
          <w:szCs w:val="22"/>
        </w:rPr>
        <w:t>4</w:t>
      </w:r>
      <w:r w:rsidRPr="00591D31">
        <w:rPr>
          <w:rFonts w:eastAsia="SimSun"/>
          <w:szCs w:val="22"/>
        </w:rPr>
        <w:t xml:space="preserve"> mg laktozės </w:t>
      </w:r>
      <w:r w:rsidR="00A263D3" w:rsidRPr="00591D31">
        <w:rPr>
          <w:rFonts w:eastAsia="SimSun"/>
          <w:szCs w:val="22"/>
        </w:rPr>
        <w:t>(</w:t>
      </w:r>
      <w:r w:rsidRPr="00591D31">
        <w:rPr>
          <w:rFonts w:eastAsia="SimSun"/>
          <w:szCs w:val="22"/>
        </w:rPr>
        <w:t>monohidrato</w:t>
      </w:r>
      <w:r w:rsidR="00A263D3" w:rsidRPr="00591D31">
        <w:rPr>
          <w:rFonts w:eastAsia="SimSun"/>
          <w:szCs w:val="22"/>
        </w:rPr>
        <w:t xml:space="preserve"> pavidalu)</w:t>
      </w:r>
      <w:r w:rsidRPr="00591D31">
        <w:rPr>
          <w:rFonts w:eastAsia="SimSun"/>
          <w:szCs w:val="22"/>
        </w:rPr>
        <w:t>.</w:t>
      </w:r>
    </w:p>
    <w:p w14:paraId="0D4AC4CC" w14:textId="77777777" w:rsidR="001E0A14" w:rsidRPr="00D166EA" w:rsidRDefault="001E0A14" w:rsidP="0061061F">
      <w:pPr>
        <w:rPr>
          <w:szCs w:val="22"/>
          <w:highlight w:val="lightGray"/>
        </w:rPr>
      </w:pPr>
    </w:p>
    <w:p w14:paraId="086C6ECD" w14:textId="77777777" w:rsidR="009D4230" w:rsidRPr="00AA571D" w:rsidRDefault="009D4230" w:rsidP="009D4230">
      <w:pPr>
        <w:rPr>
          <w:szCs w:val="22"/>
          <w:u w:val="single"/>
        </w:rPr>
      </w:pPr>
      <w:r w:rsidRPr="00591D31">
        <w:rPr>
          <w:szCs w:val="22"/>
          <w:highlight w:val="lightGray"/>
          <w:u w:val="single"/>
        </w:rPr>
        <w:t>Entecavir Sandoz</w:t>
      </w:r>
      <w:r w:rsidRPr="00591D31">
        <w:rPr>
          <w:caps/>
          <w:szCs w:val="22"/>
          <w:highlight w:val="lightGray"/>
          <w:u w:val="single"/>
        </w:rPr>
        <w:t xml:space="preserve"> 1 </w:t>
      </w:r>
      <w:r w:rsidRPr="00591D31">
        <w:rPr>
          <w:szCs w:val="22"/>
          <w:highlight w:val="lightGray"/>
          <w:u w:val="single"/>
        </w:rPr>
        <w:t>mg plėvele dengtos tabletės</w:t>
      </w:r>
    </w:p>
    <w:p w14:paraId="42E353C9" w14:textId="77777777" w:rsidR="009D4230" w:rsidRPr="00D166EA" w:rsidRDefault="009D4230" w:rsidP="009D4230">
      <w:pPr>
        <w:rPr>
          <w:rFonts w:eastAsia="SimSun"/>
          <w:szCs w:val="22"/>
        </w:rPr>
      </w:pPr>
      <w:r w:rsidRPr="00591D31">
        <w:rPr>
          <w:szCs w:val="22"/>
          <w:highlight w:val="lightGray"/>
        </w:rPr>
        <w:t>Kiek</w:t>
      </w:r>
      <w:r w:rsidRPr="00591D31">
        <w:rPr>
          <w:rFonts w:eastAsia="SimSun"/>
          <w:szCs w:val="22"/>
          <w:highlight w:val="lightGray"/>
        </w:rPr>
        <w:t xml:space="preserve">vienoje </w:t>
      </w:r>
      <w:r w:rsidR="00A263D3" w:rsidRPr="00591D31">
        <w:rPr>
          <w:rFonts w:eastAsia="SimSun"/>
          <w:szCs w:val="22"/>
          <w:highlight w:val="lightGray"/>
        </w:rPr>
        <w:t xml:space="preserve">plėvele dengtoje </w:t>
      </w:r>
      <w:r w:rsidRPr="00591D31">
        <w:rPr>
          <w:rFonts w:eastAsia="SimSun"/>
          <w:szCs w:val="22"/>
          <w:highlight w:val="lightGray"/>
        </w:rPr>
        <w:t>tabletėje yra 1 mg entekaviro (monohidrato pavidalu).</w:t>
      </w:r>
    </w:p>
    <w:p w14:paraId="26123165" w14:textId="77777777" w:rsidR="0061061F" w:rsidRDefault="0061061F" w:rsidP="0061061F">
      <w:pPr>
        <w:rPr>
          <w:rFonts w:eastAsia="SimSun"/>
          <w:szCs w:val="22"/>
        </w:rPr>
      </w:pPr>
    </w:p>
    <w:p w14:paraId="22FDAE55" w14:textId="77777777" w:rsidR="00A263D3" w:rsidRPr="00D166EA" w:rsidRDefault="00A263D3" w:rsidP="00A263D3">
      <w:pPr>
        <w:rPr>
          <w:rFonts w:eastAsia="SimSun"/>
          <w:szCs w:val="22"/>
        </w:rPr>
      </w:pPr>
      <w:r w:rsidRPr="00591D31">
        <w:rPr>
          <w:rFonts w:eastAsia="SimSun"/>
          <w:szCs w:val="22"/>
          <w:highlight w:val="lightGray"/>
          <w:u w:val="single"/>
        </w:rPr>
        <w:t>Pagalbinė medžiaga, kurios poveikis žinomas</w:t>
      </w:r>
      <w:r w:rsidRPr="00D166EA">
        <w:rPr>
          <w:rFonts w:eastAsia="SimSun"/>
          <w:szCs w:val="22"/>
        </w:rPr>
        <w:t xml:space="preserve"> </w:t>
      </w:r>
    </w:p>
    <w:p w14:paraId="7915C705" w14:textId="77777777" w:rsidR="00A263D3" w:rsidRPr="00D166EA" w:rsidRDefault="00A263D3" w:rsidP="00A263D3">
      <w:pPr>
        <w:rPr>
          <w:rFonts w:eastAsia="SimSun"/>
          <w:szCs w:val="22"/>
        </w:rPr>
      </w:pPr>
      <w:r w:rsidRPr="00591D31">
        <w:rPr>
          <w:rFonts w:eastAsia="SimSun"/>
          <w:szCs w:val="22"/>
          <w:highlight w:val="lightGray"/>
        </w:rPr>
        <w:t xml:space="preserve">Kiekvienoje </w:t>
      </w:r>
      <w:r w:rsidR="00186F93" w:rsidRPr="00591D31">
        <w:rPr>
          <w:caps/>
          <w:szCs w:val="22"/>
          <w:highlight w:val="lightGray"/>
        </w:rPr>
        <w:t>1</w:t>
      </w:r>
      <w:r w:rsidRPr="00591D31">
        <w:rPr>
          <w:caps/>
          <w:szCs w:val="22"/>
          <w:highlight w:val="lightGray"/>
        </w:rPr>
        <w:t> </w:t>
      </w:r>
      <w:r w:rsidRPr="00591D31">
        <w:rPr>
          <w:szCs w:val="22"/>
          <w:highlight w:val="lightGray"/>
        </w:rPr>
        <w:t xml:space="preserve">mg </w:t>
      </w:r>
      <w:r w:rsidRPr="00591D31">
        <w:rPr>
          <w:rFonts w:eastAsia="SimSun"/>
          <w:szCs w:val="22"/>
          <w:highlight w:val="lightGray"/>
        </w:rPr>
        <w:t xml:space="preserve">plėvele dengtoje tabletėje yra </w:t>
      </w:r>
      <w:r w:rsidR="00186F93" w:rsidRPr="00591D31">
        <w:rPr>
          <w:rFonts w:eastAsia="SimSun"/>
          <w:szCs w:val="22"/>
          <w:highlight w:val="lightGray"/>
        </w:rPr>
        <w:t>228</w:t>
      </w:r>
      <w:r w:rsidRPr="00591D31">
        <w:rPr>
          <w:rFonts w:eastAsia="SimSun"/>
          <w:szCs w:val="22"/>
          <w:highlight w:val="lightGray"/>
        </w:rPr>
        <w:t>,4 mg laktozės (monohidrato pavidalu).</w:t>
      </w:r>
    </w:p>
    <w:p w14:paraId="53810A58" w14:textId="77777777" w:rsidR="00A263D3" w:rsidRPr="00D166EA" w:rsidRDefault="00A263D3" w:rsidP="0061061F">
      <w:pPr>
        <w:rPr>
          <w:rFonts w:eastAsia="SimSun"/>
          <w:szCs w:val="22"/>
        </w:rPr>
      </w:pPr>
    </w:p>
    <w:p w14:paraId="1876B1CE" w14:textId="77777777" w:rsidR="0061061F" w:rsidRPr="00D166EA" w:rsidRDefault="0061061F" w:rsidP="0061061F">
      <w:pPr>
        <w:rPr>
          <w:szCs w:val="22"/>
        </w:rPr>
      </w:pPr>
      <w:r w:rsidRPr="00D166EA">
        <w:rPr>
          <w:rFonts w:eastAsia="SimSun"/>
          <w:szCs w:val="22"/>
        </w:rPr>
        <w:t>Visos pagalbinės medžiagos išvardytos 6.1 skyriuje.</w:t>
      </w:r>
    </w:p>
    <w:p w14:paraId="1C8FEB87" w14:textId="77777777" w:rsidR="0061061F" w:rsidRPr="00D166EA" w:rsidRDefault="0061061F" w:rsidP="0061061F">
      <w:pPr>
        <w:rPr>
          <w:szCs w:val="22"/>
        </w:rPr>
      </w:pPr>
    </w:p>
    <w:p w14:paraId="584B5CA7" w14:textId="77777777" w:rsidR="0061061F" w:rsidRPr="00D166EA" w:rsidRDefault="0061061F" w:rsidP="0061061F">
      <w:pPr>
        <w:rPr>
          <w:szCs w:val="22"/>
        </w:rPr>
      </w:pPr>
    </w:p>
    <w:p w14:paraId="5E2E5EDD" w14:textId="77777777" w:rsidR="0061061F" w:rsidRPr="00D166EA" w:rsidRDefault="0061061F" w:rsidP="0061061F">
      <w:pPr>
        <w:pStyle w:val="Antrat3"/>
        <w:spacing w:before="0" w:after="0"/>
        <w:rPr>
          <w:rFonts w:ascii="Times New Roman" w:hAnsi="Times New Roman"/>
          <w:sz w:val="22"/>
          <w:szCs w:val="22"/>
        </w:rPr>
      </w:pPr>
      <w:r w:rsidRPr="00D166EA">
        <w:rPr>
          <w:rFonts w:ascii="Times New Roman" w:hAnsi="Times New Roman"/>
          <w:sz w:val="22"/>
          <w:szCs w:val="22"/>
        </w:rPr>
        <w:t>3.</w:t>
      </w:r>
      <w:r w:rsidRPr="00D166EA">
        <w:rPr>
          <w:rFonts w:ascii="Times New Roman" w:hAnsi="Times New Roman"/>
          <w:sz w:val="22"/>
          <w:szCs w:val="22"/>
        </w:rPr>
        <w:tab/>
        <w:t>FARMACINĖ FORMA</w:t>
      </w:r>
    </w:p>
    <w:p w14:paraId="33FA2937" w14:textId="77777777" w:rsidR="0061061F" w:rsidRPr="00D166EA" w:rsidRDefault="0061061F" w:rsidP="00964C31">
      <w:pPr>
        <w:pStyle w:val="Normal11pt"/>
        <w:rPr>
          <w:lang w:val="lt-LT"/>
        </w:rPr>
      </w:pPr>
    </w:p>
    <w:p w14:paraId="1F0BF029" w14:textId="77777777" w:rsidR="00964C31" w:rsidRPr="00D166EA" w:rsidRDefault="0061061F" w:rsidP="00964C31">
      <w:pPr>
        <w:pStyle w:val="Normal11pt"/>
        <w:rPr>
          <w:iCs/>
          <w:lang w:val="lt-LT"/>
        </w:rPr>
      </w:pPr>
      <w:r w:rsidRPr="00D166EA">
        <w:rPr>
          <w:iCs/>
          <w:lang w:val="lt-LT"/>
        </w:rPr>
        <w:t>Plėvele dengta tabletė</w:t>
      </w:r>
      <w:r w:rsidR="00964C31" w:rsidRPr="00D166EA">
        <w:rPr>
          <w:iCs/>
          <w:lang w:val="lt-LT"/>
        </w:rPr>
        <w:t>.</w:t>
      </w:r>
    </w:p>
    <w:p w14:paraId="28090BD2" w14:textId="77777777" w:rsidR="00EC6058" w:rsidRPr="00D166EA" w:rsidRDefault="00EC6058" w:rsidP="00964C31">
      <w:pPr>
        <w:pStyle w:val="Normal11pt"/>
        <w:rPr>
          <w:rFonts w:eastAsia="SimSun"/>
          <w:lang w:val="lt-LT"/>
        </w:rPr>
      </w:pPr>
    </w:p>
    <w:p w14:paraId="7E17303B" w14:textId="77777777" w:rsidR="00EC6058" w:rsidRPr="00D166EA" w:rsidRDefault="00EC6058" w:rsidP="00EC6058">
      <w:pPr>
        <w:rPr>
          <w:szCs w:val="22"/>
          <w:u w:val="single"/>
        </w:rPr>
      </w:pPr>
      <w:r w:rsidRPr="00D166EA">
        <w:rPr>
          <w:szCs w:val="22"/>
          <w:highlight w:val="lightGray"/>
          <w:u w:val="single"/>
        </w:rPr>
        <w:t>Entecavir Sandoz</w:t>
      </w:r>
      <w:r w:rsidRPr="00D166EA">
        <w:rPr>
          <w:caps/>
          <w:szCs w:val="22"/>
          <w:highlight w:val="lightGray"/>
          <w:u w:val="single"/>
        </w:rPr>
        <w:t xml:space="preserve"> 0,5 </w:t>
      </w:r>
      <w:r w:rsidRPr="00D166EA">
        <w:rPr>
          <w:szCs w:val="22"/>
          <w:highlight w:val="lightGray"/>
          <w:u w:val="single"/>
        </w:rPr>
        <w:t>mg plėvele dengtos tabletės</w:t>
      </w:r>
    </w:p>
    <w:p w14:paraId="5AA2496F" w14:textId="77777777" w:rsidR="0061061F" w:rsidRPr="00D166EA" w:rsidRDefault="00EC6058" w:rsidP="00964C31">
      <w:pPr>
        <w:pStyle w:val="Normal11pt"/>
        <w:rPr>
          <w:rFonts w:eastAsia="SimSun"/>
          <w:lang w:val="lt-LT"/>
        </w:rPr>
      </w:pPr>
      <w:r w:rsidRPr="00591D31">
        <w:rPr>
          <w:rFonts w:eastAsia="SimSun"/>
          <w:lang w:val="lt-LT"/>
        </w:rPr>
        <w:t>B</w:t>
      </w:r>
      <w:r w:rsidR="0061061F" w:rsidRPr="00591D31">
        <w:rPr>
          <w:rFonts w:eastAsia="SimSun"/>
          <w:lang w:val="lt-LT"/>
        </w:rPr>
        <w:t>alt</w:t>
      </w:r>
      <w:r w:rsidRPr="00591D31">
        <w:rPr>
          <w:rFonts w:eastAsia="SimSun"/>
          <w:lang w:val="lt-LT"/>
        </w:rPr>
        <w:t>a</w:t>
      </w:r>
      <w:r w:rsidR="0061061F" w:rsidRPr="00591D31">
        <w:rPr>
          <w:rFonts w:eastAsia="SimSun"/>
          <w:lang w:val="lt-LT"/>
        </w:rPr>
        <w:t>, ap</w:t>
      </w:r>
      <w:r w:rsidR="009426C7" w:rsidRPr="00591D31">
        <w:rPr>
          <w:rFonts w:eastAsia="SimSun"/>
          <w:lang w:val="lt-LT"/>
        </w:rPr>
        <w:t>val</w:t>
      </w:r>
      <w:r w:rsidR="0061061F" w:rsidRPr="00591D31">
        <w:rPr>
          <w:rFonts w:eastAsia="SimSun"/>
          <w:lang w:val="lt-LT"/>
        </w:rPr>
        <w:t>i</w:t>
      </w:r>
      <w:r w:rsidRPr="00591D31">
        <w:rPr>
          <w:rFonts w:eastAsia="SimSun"/>
          <w:lang w:val="lt-LT"/>
        </w:rPr>
        <w:t xml:space="preserve">, apytiksliai </w:t>
      </w:r>
      <w:r w:rsidR="00D01886" w:rsidRPr="00591D31">
        <w:rPr>
          <w:rFonts w:eastAsia="SimSun"/>
          <w:lang w:val="lt-LT"/>
        </w:rPr>
        <w:t>8</w:t>
      </w:r>
      <w:r w:rsidRPr="00591D31">
        <w:rPr>
          <w:rFonts w:eastAsia="SimSun"/>
          <w:lang w:val="lt-LT"/>
        </w:rPr>
        <w:t xml:space="preserve"> mm skersmens </w:t>
      </w:r>
      <w:r w:rsidR="0061061F" w:rsidRPr="00591D31">
        <w:rPr>
          <w:rFonts w:eastAsia="SimSun"/>
          <w:lang w:val="lt-LT"/>
        </w:rPr>
        <w:t>plėvele dengt</w:t>
      </w:r>
      <w:r w:rsidRPr="00591D31">
        <w:rPr>
          <w:rFonts w:eastAsia="SimSun"/>
          <w:lang w:val="lt-LT"/>
        </w:rPr>
        <w:t>a</w:t>
      </w:r>
      <w:r w:rsidR="0061061F" w:rsidRPr="00591D31">
        <w:rPr>
          <w:rFonts w:eastAsia="SimSun"/>
          <w:lang w:val="lt-LT"/>
        </w:rPr>
        <w:t xml:space="preserve"> tabletė, kuri</w:t>
      </w:r>
      <w:r w:rsidRPr="00591D31">
        <w:rPr>
          <w:rFonts w:eastAsia="SimSun"/>
          <w:lang w:val="lt-LT"/>
        </w:rPr>
        <w:t>os abiejose pusėse yra įspaudai: „SZ“ vienoje pusėje ir „108“ kitoje pusėje</w:t>
      </w:r>
      <w:r w:rsidR="0061061F" w:rsidRPr="00591D31">
        <w:rPr>
          <w:rFonts w:eastAsia="SimSun"/>
          <w:lang w:val="lt-LT"/>
        </w:rPr>
        <w:t>.</w:t>
      </w:r>
      <w:r w:rsidR="0061061F" w:rsidRPr="00D166EA">
        <w:rPr>
          <w:rFonts w:eastAsia="SimSun"/>
          <w:lang w:val="lt-LT"/>
        </w:rPr>
        <w:t xml:space="preserve"> </w:t>
      </w:r>
    </w:p>
    <w:p w14:paraId="1EE806DC" w14:textId="77777777" w:rsidR="00EC6058" w:rsidRPr="00D166EA" w:rsidRDefault="00EC6058" w:rsidP="00CA1BA1">
      <w:pPr>
        <w:pStyle w:val="Normal11pt"/>
        <w:rPr>
          <w:rFonts w:eastAsia="SimSun"/>
          <w:highlight w:val="lightGray"/>
          <w:lang w:val="lt-LT"/>
        </w:rPr>
      </w:pPr>
    </w:p>
    <w:p w14:paraId="465BF01A" w14:textId="77777777" w:rsidR="00EC6058" w:rsidRPr="00591D31" w:rsidRDefault="00EC6058" w:rsidP="00EC6058">
      <w:pPr>
        <w:rPr>
          <w:szCs w:val="22"/>
          <w:highlight w:val="lightGray"/>
          <w:u w:val="single"/>
        </w:rPr>
      </w:pPr>
      <w:r w:rsidRPr="00591D31">
        <w:rPr>
          <w:szCs w:val="22"/>
          <w:highlight w:val="lightGray"/>
          <w:u w:val="single"/>
        </w:rPr>
        <w:t>Entecavir Sandoz</w:t>
      </w:r>
      <w:r w:rsidRPr="00591D31">
        <w:rPr>
          <w:caps/>
          <w:szCs w:val="22"/>
          <w:highlight w:val="lightGray"/>
          <w:u w:val="single"/>
        </w:rPr>
        <w:t xml:space="preserve"> 1 </w:t>
      </w:r>
      <w:r w:rsidRPr="00591D31">
        <w:rPr>
          <w:szCs w:val="22"/>
          <w:highlight w:val="lightGray"/>
          <w:u w:val="single"/>
        </w:rPr>
        <w:t>mg plėvele dengtos tabletės</w:t>
      </w:r>
    </w:p>
    <w:p w14:paraId="5016E88A" w14:textId="77777777" w:rsidR="00EC6058" w:rsidRPr="00D166EA" w:rsidRDefault="00EC6058" w:rsidP="00EC6058">
      <w:pPr>
        <w:pStyle w:val="Normal11pt"/>
        <w:rPr>
          <w:rFonts w:eastAsia="SimSun"/>
          <w:lang w:val="lt-LT"/>
        </w:rPr>
      </w:pPr>
      <w:r w:rsidRPr="00591D31">
        <w:rPr>
          <w:rFonts w:eastAsia="SimSun"/>
          <w:highlight w:val="lightGray"/>
          <w:lang w:val="lt-LT"/>
        </w:rPr>
        <w:t xml:space="preserve">Rausva, apvali, apytiksliai </w:t>
      </w:r>
      <w:r w:rsidR="00D01886" w:rsidRPr="00591D31">
        <w:rPr>
          <w:rFonts w:eastAsia="SimSun"/>
          <w:highlight w:val="lightGray"/>
          <w:lang w:val="lt-LT"/>
        </w:rPr>
        <w:t>10</w:t>
      </w:r>
      <w:r w:rsidRPr="00591D31">
        <w:rPr>
          <w:rFonts w:eastAsia="SimSun"/>
          <w:highlight w:val="lightGray"/>
          <w:lang w:val="lt-LT"/>
        </w:rPr>
        <w:t> mm skersmens plėvele dengta tabletė, kurios abiejose pusėse yra įspaudai: „SZ“ vienoje pusėje ir „109“ kitoje pusėje.</w:t>
      </w:r>
      <w:r w:rsidRPr="00D166EA">
        <w:rPr>
          <w:rFonts w:eastAsia="SimSun"/>
          <w:lang w:val="lt-LT"/>
        </w:rPr>
        <w:t xml:space="preserve"> </w:t>
      </w:r>
    </w:p>
    <w:p w14:paraId="19E3E0D5" w14:textId="77777777" w:rsidR="00EC6058" w:rsidRPr="00D166EA" w:rsidRDefault="00EC6058" w:rsidP="00CA1BA1">
      <w:pPr>
        <w:pStyle w:val="Normal11pt"/>
        <w:rPr>
          <w:rFonts w:eastAsia="SimSun"/>
          <w:highlight w:val="lightGray"/>
          <w:lang w:val="lt-LT"/>
        </w:rPr>
      </w:pPr>
    </w:p>
    <w:p w14:paraId="56351808" w14:textId="77777777" w:rsidR="0061061F" w:rsidRPr="00D166EA" w:rsidRDefault="0061061F" w:rsidP="00CA1BA1">
      <w:pPr>
        <w:pStyle w:val="Normal11pt0"/>
        <w:spacing w:line="240" w:lineRule="auto"/>
        <w:rPr>
          <w:rFonts w:ascii="Times New Roman" w:hAnsi="Times New Roman"/>
          <w:b/>
          <w:lang w:val="lt-LT"/>
        </w:rPr>
      </w:pPr>
    </w:p>
    <w:p w14:paraId="4DE7BDC7" w14:textId="77777777" w:rsidR="0061061F" w:rsidRPr="00D166EA" w:rsidRDefault="0061061F" w:rsidP="00CA1BA1">
      <w:pPr>
        <w:pStyle w:val="Normal11pt0"/>
        <w:spacing w:line="240" w:lineRule="auto"/>
        <w:rPr>
          <w:rFonts w:ascii="Times New Roman" w:hAnsi="Times New Roman"/>
          <w:b/>
          <w:lang w:val="lt-LT"/>
        </w:rPr>
      </w:pPr>
      <w:r w:rsidRPr="00D166EA">
        <w:rPr>
          <w:rFonts w:ascii="Times New Roman" w:hAnsi="Times New Roman"/>
          <w:b/>
          <w:lang w:val="lt-LT"/>
        </w:rPr>
        <w:t>4.</w:t>
      </w:r>
      <w:r w:rsidRPr="00D166EA">
        <w:rPr>
          <w:rFonts w:ascii="Times New Roman" w:hAnsi="Times New Roman"/>
          <w:b/>
          <w:lang w:val="lt-LT"/>
        </w:rPr>
        <w:tab/>
        <w:t>KLINIKINĖ INFORMACIJA</w:t>
      </w:r>
    </w:p>
    <w:p w14:paraId="4E685116" w14:textId="77777777" w:rsidR="0061061F" w:rsidRPr="00D166EA" w:rsidRDefault="0061061F" w:rsidP="00CA1BA1">
      <w:pPr>
        <w:pStyle w:val="Normal11pt0"/>
        <w:spacing w:line="240" w:lineRule="auto"/>
        <w:rPr>
          <w:rFonts w:ascii="Times New Roman" w:hAnsi="Times New Roman"/>
          <w:b/>
          <w:lang w:val="lt-LT"/>
        </w:rPr>
      </w:pPr>
    </w:p>
    <w:p w14:paraId="12FB9203" w14:textId="77777777" w:rsidR="0061061F" w:rsidRPr="00D166EA" w:rsidRDefault="0061061F" w:rsidP="00CA1BA1">
      <w:pPr>
        <w:pStyle w:val="Normal11pt0"/>
        <w:spacing w:line="240" w:lineRule="auto"/>
        <w:rPr>
          <w:rFonts w:ascii="Times New Roman" w:hAnsi="Times New Roman"/>
          <w:b/>
          <w:lang w:val="lt-LT"/>
        </w:rPr>
      </w:pPr>
      <w:r w:rsidRPr="00D166EA">
        <w:rPr>
          <w:rFonts w:ascii="Times New Roman" w:hAnsi="Times New Roman"/>
          <w:b/>
          <w:lang w:val="lt-LT"/>
        </w:rPr>
        <w:t>4.1</w:t>
      </w:r>
      <w:r w:rsidRPr="00D166EA">
        <w:rPr>
          <w:rFonts w:ascii="Times New Roman" w:hAnsi="Times New Roman"/>
          <w:b/>
          <w:lang w:val="lt-LT"/>
        </w:rPr>
        <w:tab/>
        <w:t>Terapinės indikacijos</w:t>
      </w:r>
    </w:p>
    <w:p w14:paraId="581D2879" w14:textId="77777777" w:rsidR="0061061F" w:rsidRPr="00D166EA" w:rsidRDefault="0061061F" w:rsidP="00CA1BA1">
      <w:pPr>
        <w:rPr>
          <w:szCs w:val="22"/>
        </w:rPr>
      </w:pPr>
    </w:p>
    <w:p w14:paraId="71A68A50" w14:textId="77777777" w:rsidR="00F53673" w:rsidRPr="00D166EA" w:rsidRDefault="00690C55" w:rsidP="00F53673">
      <w:pPr>
        <w:rPr>
          <w:szCs w:val="22"/>
        </w:rPr>
      </w:pPr>
      <w:r>
        <w:rPr>
          <w:szCs w:val="22"/>
        </w:rPr>
        <w:t>Entekaviras yra skirtas l</w:t>
      </w:r>
      <w:r w:rsidR="00F53673" w:rsidRPr="00D166EA">
        <w:rPr>
          <w:szCs w:val="22"/>
        </w:rPr>
        <w:t>ėtinės hepatito B viruso (HBV) infekcijos (žr. 5.1 skyrių)</w:t>
      </w:r>
      <w:r w:rsidR="004C1B3D" w:rsidRPr="00D166EA">
        <w:rPr>
          <w:szCs w:val="22"/>
        </w:rPr>
        <w:t xml:space="preserve"> </w:t>
      </w:r>
      <w:r w:rsidRPr="00D166EA">
        <w:rPr>
          <w:szCs w:val="22"/>
        </w:rPr>
        <w:t>gyd</w:t>
      </w:r>
      <w:r>
        <w:rPr>
          <w:szCs w:val="22"/>
        </w:rPr>
        <w:t>y</w:t>
      </w:r>
      <w:r w:rsidRPr="00D166EA">
        <w:rPr>
          <w:szCs w:val="22"/>
        </w:rPr>
        <w:t>m</w:t>
      </w:r>
      <w:r>
        <w:rPr>
          <w:szCs w:val="22"/>
        </w:rPr>
        <w:t>ui</w:t>
      </w:r>
      <w:r w:rsidRPr="00D166EA">
        <w:rPr>
          <w:szCs w:val="22"/>
        </w:rPr>
        <w:t xml:space="preserve"> </w:t>
      </w:r>
      <w:r w:rsidR="004C1B3D" w:rsidRPr="00D166EA">
        <w:rPr>
          <w:szCs w:val="22"/>
        </w:rPr>
        <w:t>suaugusiesiems, kuriems</w:t>
      </w:r>
      <w:r w:rsidR="00F53673" w:rsidRPr="00D166EA">
        <w:rPr>
          <w:szCs w:val="22"/>
        </w:rPr>
        <w:t>:</w:t>
      </w:r>
    </w:p>
    <w:p w14:paraId="1D150F88" w14:textId="77777777" w:rsidR="00F53673" w:rsidRPr="00D166EA" w:rsidRDefault="00F53673" w:rsidP="004C1B3D">
      <w:pPr>
        <w:numPr>
          <w:ilvl w:val="0"/>
          <w:numId w:val="30"/>
        </w:numPr>
        <w:ind w:left="851" w:hanging="284"/>
        <w:rPr>
          <w:szCs w:val="22"/>
        </w:rPr>
      </w:pPr>
      <w:r w:rsidRPr="00D166EA">
        <w:rPr>
          <w:szCs w:val="22"/>
        </w:rPr>
        <w:t xml:space="preserve">kepenų liga </w:t>
      </w:r>
      <w:r w:rsidR="000E689B" w:rsidRPr="00D166EA">
        <w:rPr>
          <w:szCs w:val="22"/>
        </w:rPr>
        <w:t xml:space="preserve">kompensuota </w:t>
      </w:r>
      <w:r w:rsidR="004C1B3D" w:rsidRPr="00D166EA">
        <w:rPr>
          <w:szCs w:val="22"/>
        </w:rPr>
        <w:t xml:space="preserve">ir </w:t>
      </w:r>
      <w:r w:rsidR="000E689B" w:rsidRPr="00D166EA">
        <w:rPr>
          <w:szCs w:val="22"/>
        </w:rPr>
        <w:t xml:space="preserve">yra </w:t>
      </w:r>
      <w:r w:rsidR="004C1B3D" w:rsidRPr="00D166EA">
        <w:rPr>
          <w:szCs w:val="22"/>
        </w:rPr>
        <w:t>aktyvios virusų replikacijos požymių</w:t>
      </w:r>
      <w:r w:rsidRPr="00D166EA">
        <w:rPr>
          <w:szCs w:val="22"/>
        </w:rPr>
        <w:t>, nuolat padidėj</w:t>
      </w:r>
      <w:r w:rsidR="004C1B3D" w:rsidRPr="00D166EA">
        <w:rPr>
          <w:szCs w:val="22"/>
        </w:rPr>
        <w:t>ęs</w:t>
      </w:r>
      <w:r w:rsidRPr="00D166EA">
        <w:rPr>
          <w:szCs w:val="22"/>
        </w:rPr>
        <w:t xml:space="preserve"> alaninaminotransferazės (ALT) </w:t>
      </w:r>
      <w:r w:rsidR="004C1B3D" w:rsidRPr="00D166EA">
        <w:rPr>
          <w:szCs w:val="22"/>
        </w:rPr>
        <w:t>aktyvumas</w:t>
      </w:r>
      <w:r w:rsidRPr="00D166EA">
        <w:rPr>
          <w:szCs w:val="22"/>
        </w:rPr>
        <w:t xml:space="preserve"> serume</w:t>
      </w:r>
      <w:r w:rsidR="00326119">
        <w:rPr>
          <w:szCs w:val="22"/>
        </w:rPr>
        <w:t>, o histologiniai duomenys rodo</w:t>
      </w:r>
      <w:r w:rsidR="004C1B3D" w:rsidRPr="00D166EA">
        <w:rPr>
          <w:szCs w:val="22"/>
        </w:rPr>
        <w:t xml:space="preserve"> </w:t>
      </w:r>
      <w:r w:rsidR="00326119">
        <w:rPr>
          <w:szCs w:val="22"/>
        </w:rPr>
        <w:t>aktyvų</w:t>
      </w:r>
      <w:r w:rsidR="004C1B3D" w:rsidRPr="00D166EA">
        <w:rPr>
          <w:szCs w:val="22"/>
        </w:rPr>
        <w:t xml:space="preserve"> uždegim</w:t>
      </w:r>
      <w:r w:rsidR="00326119">
        <w:rPr>
          <w:szCs w:val="22"/>
        </w:rPr>
        <w:t>ą</w:t>
      </w:r>
      <w:r w:rsidR="004C1B3D" w:rsidRPr="00D166EA">
        <w:rPr>
          <w:szCs w:val="22"/>
        </w:rPr>
        <w:t xml:space="preserve"> ir (arba) fibroz</w:t>
      </w:r>
      <w:r w:rsidR="00326119">
        <w:rPr>
          <w:szCs w:val="22"/>
        </w:rPr>
        <w:t>ę</w:t>
      </w:r>
      <w:r w:rsidRPr="00D166EA">
        <w:rPr>
          <w:szCs w:val="22"/>
        </w:rPr>
        <w:t>;</w:t>
      </w:r>
    </w:p>
    <w:p w14:paraId="4C01A09C" w14:textId="77777777" w:rsidR="00F53673" w:rsidRPr="00D166EA" w:rsidRDefault="004C1B3D" w:rsidP="00322DE6">
      <w:pPr>
        <w:numPr>
          <w:ilvl w:val="0"/>
          <w:numId w:val="30"/>
        </w:numPr>
        <w:ind w:left="851" w:hanging="284"/>
        <w:rPr>
          <w:szCs w:val="22"/>
        </w:rPr>
      </w:pPr>
      <w:r w:rsidRPr="00D166EA">
        <w:rPr>
          <w:szCs w:val="22"/>
        </w:rPr>
        <w:t xml:space="preserve">kepenų liga </w:t>
      </w:r>
      <w:r w:rsidR="000E689B" w:rsidRPr="00D166EA">
        <w:rPr>
          <w:szCs w:val="22"/>
        </w:rPr>
        <w:t xml:space="preserve">nekompensuota </w:t>
      </w:r>
      <w:r w:rsidR="00F53673" w:rsidRPr="00D166EA">
        <w:rPr>
          <w:szCs w:val="22"/>
        </w:rPr>
        <w:t>(žr. 4.4 skyrių).</w:t>
      </w:r>
    </w:p>
    <w:p w14:paraId="757B5018" w14:textId="77777777" w:rsidR="00F53673" w:rsidRPr="00D166EA" w:rsidRDefault="00F53673" w:rsidP="00F53673">
      <w:pPr>
        <w:rPr>
          <w:szCs w:val="22"/>
        </w:rPr>
      </w:pPr>
      <w:r w:rsidRPr="00D166EA">
        <w:rPr>
          <w:szCs w:val="22"/>
        </w:rPr>
        <w:t xml:space="preserve">Ši indikacija (esant kompensuotai arba nekompensuotai kepenų ligai) pagrįsta klinikinių tyrimų, atliktų su nukleozidų nevartojusiais pacientais, užsikrėtusiais HBeAg teigiama ir HBeAg neigiama HBV infekcija, duomenimis. Dėl pacientų, </w:t>
      </w:r>
      <w:r w:rsidR="00322DE6" w:rsidRPr="00D166EA">
        <w:rPr>
          <w:szCs w:val="22"/>
        </w:rPr>
        <w:t>kuriems yra</w:t>
      </w:r>
      <w:r w:rsidRPr="00D166EA">
        <w:rPr>
          <w:szCs w:val="22"/>
        </w:rPr>
        <w:t xml:space="preserve"> lamivudin</w:t>
      </w:r>
      <w:r w:rsidR="00326119">
        <w:rPr>
          <w:szCs w:val="22"/>
        </w:rPr>
        <w:t>ui</w:t>
      </w:r>
      <w:r w:rsidR="001570EE">
        <w:rPr>
          <w:szCs w:val="22"/>
        </w:rPr>
        <w:t xml:space="preserve"> </w:t>
      </w:r>
      <w:r w:rsidR="00326119">
        <w:rPr>
          <w:szCs w:val="22"/>
        </w:rPr>
        <w:t>atsparus</w:t>
      </w:r>
      <w:r w:rsidRPr="00D166EA">
        <w:rPr>
          <w:szCs w:val="22"/>
        </w:rPr>
        <w:t xml:space="preserve"> (refrakterini</w:t>
      </w:r>
      <w:r w:rsidR="00322DE6" w:rsidRPr="00D166EA">
        <w:rPr>
          <w:szCs w:val="22"/>
        </w:rPr>
        <w:t>s</w:t>
      </w:r>
      <w:r w:rsidRPr="00D166EA">
        <w:rPr>
          <w:szCs w:val="22"/>
        </w:rPr>
        <w:t>) hepatit</w:t>
      </w:r>
      <w:r w:rsidR="00322DE6" w:rsidRPr="00D166EA">
        <w:rPr>
          <w:szCs w:val="22"/>
        </w:rPr>
        <w:t>as</w:t>
      </w:r>
      <w:r w:rsidRPr="00D166EA">
        <w:rPr>
          <w:szCs w:val="22"/>
        </w:rPr>
        <w:t xml:space="preserve"> B, žr. 4.2, 4.4 ir 5.1 skyrius.</w:t>
      </w:r>
    </w:p>
    <w:p w14:paraId="16BC973E" w14:textId="77777777" w:rsidR="00322DE6" w:rsidRPr="00D166EA" w:rsidRDefault="00322DE6" w:rsidP="00F53673">
      <w:pPr>
        <w:rPr>
          <w:szCs w:val="22"/>
        </w:rPr>
      </w:pPr>
    </w:p>
    <w:p w14:paraId="5C02D600" w14:textId="77777777" w:rsidR="00322DE6" w:rsidRPr="00AA571D" w:rsidRDefault="00322DE6" w:rsidP="00F53673">
      <w:pPr>
        <w:rPr>
          <w:szCs w:val="22"/>
          <w:u w:val="single"/>
        </w:rPr>
      </w:pPr>
      <w:r w:rsidRPr="00AA571D">
        <w:rPr>
          <w:szCs w:val="22"/>
          <w:u w:val="single"/>
        </w:rPr>
        <w:t>Vaikų populiacija</w:t>
      </w:r>
    </w:p>
    <w:p w14:paraId="73D8ABD8" w14:textId="77777777" w:rsidR="00F53673" w:rsidRPr="00D166EA" w:rsidRDefault="00DE2EDE" w:rsidP="00F53673">
      <w:pPr>
        <w:rPr>
          <w:szCs w:val="22"/>
        </w:rPr>
      </w:pPr>
      <w:r>
        <w:rPr>
          <w:szCs w:val="22"/>
        </w:rPr>
        <w:t>Entekaviras yra skirtas l</w:t>
      </w:r>
      <w:r w:rsidR="00F53673" w:rsidRPr="00D166EA">
        <w:rPr>
          <w:szCs w:val="22"/>
        </w:rPr>
        <w:t>ėtin</w:t>
      </w:r>
      <w:r w:rsidR="00322DE6" w:rsidRPr="00D166EA">
        <w:rPr>
          <w:szCs w:val="22"/>
        </w:rPr>
        <w:t>ės</w:t>
      </w:r>
      <w:r w:rsidR="00F53673" w:rsidRPr="00D166EA">
        <w:rPr>
          <w:szCs w:val="22"/>
        </w:rPr>
        <w:t xml:space="preserve"> HBV infekcij</w:t>
      </w:r>
      <w:r w:rsidR="00322DE6" w:rsidRPr="00D166EA">
        <w:rPr>
          <w:szCs w:val="22"/>
        </w:rPr>
        <w:t xml:space="preserve">os </w:t>
      </w:r>
      <w:r w:rsidRPr="00D166EA">
        <w:rPr>
          <w:szCs w:val="22"/>
        </w:rPr>
        <w:t>gydym</w:t>
      </w:r>
      <w:r>
        <w:rPr>
          <w:szCs w:val="22"/>
        </w:rPr>
        <w:t>ui</w:t>
      </w:r>
      <w:r w:rsidRPr="00D166EA">
        <w:rPr>
          <w:szCs w:val="22"/>
        </w:rPr>
        <w:t xml:space="preserve"> </w:t>
      </w:r>
      <w:r w:rsidR="00F53673" w:rsidRPr="00D166EA">
        <w:rPr>
          <w:szCs w:val="22"/>
        </w:rPr>
        <w:t xml:space="preserve">nukleozidų </w:t>
      </w:r>
      <w:r w:rsidR="00322DE6" w:rsidRPr="00D166EA">
        <w:rPr>
          <w:szCs w:val="22"/>
        </w:rPr>
        <w:t>nevartojusiems</w:t>
      </w:r>
      <w:r w:rsidR="00C06535">
        <w:rPr>
          <w:szCs w:val="22"/>
        </w:rPr>
        <w:t>,</w:t>
      </w:r>
      <w:r w:rsidR="00322DE6" w:rsidRPr="00D166EA">
        <w:rPr>
          <w:szCs w:val="22"/>
        </w:rPr>
        <w:t xml:space="preserve"> nuo 2 iki </w:t>
      </w:r>
      <w:r w:rsidR="00322DE6" w:rsidRPr="001A4AD2">
        <w:rPr>
          <w:szCs w:val="22"/>
        </w:rPr>
        <w:t>&lt;</w:t>
      </w:r>
      <w:r w:rsidR="00A916D0">
        <w:rPr>
          <w:szCs w:val="22"/>
        </w:rPr>
        <w:t> </w:t>
      </w:r>
      <w:r w:rsidR="00322DE6" w:rsidRPr="00D166EA">
        <w:rPr>
          <w:szCs w:val="22"/>
        </w:rPr>
        <w:t xml:space="preserve">18 metų </w:t>
      </w:r>
      <w:r w:rsidR="005C737F">
        <w:rPr>
          <w:szCs w:val="22"/>
        </w:rPr>
        <w:t>vaikų populiacijos</w:t>
      </w:r>
      <w:r w:rsidR="00322DE6" w:rsidRPr="00D166EA">
        <w:rPr>
          <w:szCs w:val="22"/>
        </w:rPr>
        <w:t xml:space="preserve"> pacientams</w:t>
      </w:r>
      <w:r w:rsidR="00F53673" w:rsidRPr="00D166EA">
        <w:rPr>
          <w:szCs w:val="22"/>
        </w:rPr>
        <w:t>, kuri</w:t>
      </w:r>
      <w:r w:rsidR="0044298C">
        <w:rPr>
          <w:szCs w:val="22"/>
        </w:rPr>
        <w:t>ų</w:t>
      </w:r>
      <w:r w:rsidR="00EB6B7E" w:rsidRPr="00D166EA">
        <w:rPr>
          <w:szCs w:val="22"/>
        </w:rPr>
        <w:t xml:space="preserve"> </w:t>
      </w:r>
      <w:r w:rsidR="00322DE6" w:rsidRPr="00D166EA">
        <w:rPr>
          <w:szCs w:val="22"/>
        </w:rPr>
        <w:t xml:space="preserve">kepenų liga </w:t>
      </w:r>
      <w:r w:rsidR="0044298C" w:rsidRPr="00D166EA">
        <w:rPr>
          <w:szCs w:val="22"/>
        </w:rPr>
        <w:t xml:space="preserve">kompensuota </w:t>
      </w:r>
      <w:r w:rsidR="00322DE6" w:rsidRPr="00D166EA">
        <w:rPr>
          <w:szCs w:val="22"/>
        </w:rPr>
        <w:t xml:space="preserve">ir </w:t>
      </w:r>
      <w:r w:rsidR="0044298C" w:rsidRPr="00D166EA">
        <w:rPr>
          <w:szCs w:val="22"/>
        </w:rPr>
        <w:t xml:space="preserve">yra </w:t>
      </w:r>
      <w:r w:rsidR="00322DE6" w:rsidRPr="00D166EA">
        <w:rPr>
          <w:szCs w:val="22"/>
        </w:rPr>
        <w:t xml:space="preserve">aktyvios virusų replikacijos požymių, nuolat padidėjęs alaninaminotransferazės (ALT) aktyvumas serume </w:t>
      </w:r>
      <w:r w:rsidR="00EB6B7E" w:rsidRPr="00D166EA">
        <w:rPr>
          <w:szCs w:val="22"/>
        </w:rPr>
        <w:t>arba</w:t>
      </w:r>
      <w:r w:rsidR="00322DE6" w:rsidRPr="00D166EA">
        <w:rPr>
          <w:szCs w:val="22"/>
        </w:rPr>
        <w:t xml:space="preserve"> </w:t>
      </w:r>
      <w:r w:rsidR="0044298C">
        <w:t xml:space="preserve">histologiniai </w:t>
      </w:r>
      <w:r w:rsidR="0044298C">
        <w:lastRenderedPageBreak/>
        <w:t>duomenys rodo vidutinio sunkumo ar sunkų uždegimą</w:t>
      </w:r>
      <w:r w:rsidR="00322DE6" w:rsidRPr="00D166EA">
        <w:rPr>
          <w:szCs w:val="22"/>
        </w:rPr>
        <w:t xml:space="preserve"> ir (arba) fibroz</w:t>
      </w:r>
      <w:r w:rsidR="0044298C">
        <w:rPr>
          <w:szCs w:val="22"/>
        </w:rPr>
        <w:t>ę.</w:t>
      </w:r>
      <w:r w:rsidR="00EB6B7E" w:rsidRPr="00D166EA">
        <w:rPr>
          <w:szCs w:val="22"/>
        </w:rPr>
        <w:t xml:space="preserve"> </w:t>
      </w:r>
      <w:r w:rsidR="00F53673" w:rsidRPr="00D166EA">
        <w:rPr>
          <w:szCs w:val="22"/>
        </w:rPr>
        <w:t xml:space="preserve">Dėl sprendimo, ar pradėti </w:t>
      </w:r>
      <w:r w:rsidR="005C737F">
        <w:rPr>
          <w:szCs w:val="22"/>
        </w:rPr>
        <w:t>vaikų populiacijos</w:t>
      </w:r>
      <w:r w:rsidR="003C26B2">
        <w:rPr>
          <w:szCs w:val="22"/>
        </w:rPr>
        <w:t xml:space="preserve"> </w:t>
      </w:r>
      <w:r w:rsidR="00EB6B7E" w:rsidRPr="00D166EA">
        <w:rPr>
          <w:szCs w:val="22"/>
        </w:rPr>
        <w:t>pacientų</w:t>
      </w:r>
      <w:r w:rsidR="00F53673" w:rsidRPr="00D166EA">
        <w:rPr>
          <w:szCs w:val="22"/>
        </w:rPr>
        <w:t xml:space="preserve"> gydymą, žiūrėti 4.2, 4.4 ir 5.1 skyri</w:t>
      </w:r>
      <w:r w:rsidR="00EB6B7E" w:rsidRPr="00D166EA">
        <w:rPr>
          <w:szCs w:val="22"/>
        </w:rPr>
        <w:t>us</w:t>
      </w:r>
      <w:r w:rsidR="00F53673" w:rsidRPr="00D166EA">
        <w:rPr>
          <w:szCs w:val="22"/>
        </w:rPr>
        <w:t>.</w:t>
      </w:r>
    </w:p>
    <w:p w14:paraId="5A45623F" w14:textId="77777777" w:rsidR="0061061F" w:rsidRPr="00D166EA" w:rsidRDefault="0061061F" w:rsidP="00702449">
      <w:pPr>
        <w:rPr>
          <w:szCs w:val="22"/>
        </w:rPr>
      </w:pPr>
    </w:p>
    <w:p w14:paraId="32D6F091" w14:textId="77777777" w:rsidR="0061061F" w:rsidRPr="00D166EA" w:rsidRDefault="0061061F" w:rsidP="00702449">
      <w:pPr>
        <w:rPr>
          <w:b/>
          <w:szCs w:val="22"/>
        </w:rPr>
      </w:pPr>
      <w:r w:rsidRPr="00D166EA">
        <w:rPr>
          <w:b/>
          <w:szCs w:val="22"/>
        </w:rPr>
        <w:t>4.2</w:t>
      </w:r>
      <w:r w:rsidRPr="00D166EA">
        <w:rPr>
          <w:b/>
          <w:szCs w:val="22"/>
        </w:rPr>
        <w:tab/>
        <w:t>Dozavimas ir vartojimo metodas</w:t>
      </w:r>
    </w:p>
    <w:p w14:paraId="7AD7B0CE" w14:textId="77777777" w:rsidR="0061061F" w:rsidRPr="00D166EA" w:rsidRDefault="0061061F" w:rsidP="00702449">
      <w:pPr>
        <w:rPr>
          <w:szCs w:val="22"/>
        </w:rPr>
      </w:pPr>
    </w:p>
    <w:p w14:paraId="3FA6CFA3" w14:textId="77777777" w:rsidR="0061061F" w:rsidRPr="00D166EA" w:rsidRDefault="0061061F" w:rsidP="00702449">
      <w:pPr>
        <w:rPr>
          <w:szCs w:val="22"/>
        </w:rPr>
      </w:pPr>
      <w:r w:rsidRPr="00D166EA">
        <w:rPr>
          <w:szCs w:val="22"/>
        </w:rPr>
        <w:t xml:space="preserve">Gydymą </w:t>
      </w:r>
      <w:r w:rsidR="009D4230" w:rsidRPr="00D166EA">
        <w:rPr>
          <w:szCs w:val="22"/>
        </w:rPr>
        <w:t>Entecavir</w:t>
      </w:r>
      <w:r w:rsidRPr="00D166EA">
        <w:rPr>
          <w:szCs w:val="22"/>
        </w:rPr>
        <w:t xml:space="preserve"> Sandoz turi </w:t>
      </w:r>
      <w:r w:rsidR="00EB6B7E" w:rsidRPr="00D166EA">
        <w:rPr>
          <w:szCs w:val="22"/>
        </w:rPr>
        <w:t>pradėti</w:t>
      </w:r>
      <w:r w:rsidRPr="00D166EA">
        <w:rPr>
          <w:szCs w:val="22"/>
        </w:rPr>
        <w:t xml:space="preserve"> gydytojas, turintis gydymo </w:t>
      </w:r>
      <w:r w:rsidR="00702449" w:rsidRPr="00D166EA">
        <w:rPr>
          <w:szCs w:val="22"/>
        </w:rPr>
        <w:t xml:space="preserve">nuo </w:t>
      </w:r>
      <w:r w:rsidR="00EB6B7E" w:rsidRPr="00D166EA">
        <w:rPr>
          <w:szCs w:val="22"/>
        </w:rPr>
        <w:t>lėtinės hepatito B infekcijos patirties</w:t>
      </w:r>
      <w:r w:rsidRPr="00D166EA">
        <w:rPr>
          <w:szCs w:val="22"/>
        </w:rPr>
        <w:t>.</w:t>
      </w:r>
    </w:p>
    <w:p w14:paraId="7D788357" w14:textId="77777777" w:rsidR="0061061F" w:rsidRPr="00D166EA" w:rsidRDefault="0061061F" w:rsidP="0061061F">
      <w:pPr>
        <w:rPr>
          <w:szCs w:val="22"/>
          <w:u w:val="single"/>
        </w:rPr>
      </w:pPr>
    </w:p>
    <w:p w14:paraId="1353ACB9" w14:textId="77777777" w:rsidR="00EB6B7E" w:rsidRPr="00D166EA" w:rsidRDefault="00EB6B7E" w:rsidP="0061061F">
      <w:pPr>
        <w:rPr>
          <w:szCs w:val="22"/>
          <w:u w:val="single"/>
        </w:rPr>
      </w:pPr>
      <w:r w:rsidRPr="00D166EA">
        <w:rPr>
          <w:szCs w:val="22"/>
          <w:u w:val="single"/>
        </w:rPr>
        <w:t>Dozavimas</w:t>
      </w:r>
    </w:p>
    <w:p w14:paraId="0C160276" w14:textId="77777777" w:rsidR="00EB6B7E" w:rsidRPr="00D166EA" w:rsidRDefault="00EB6B7E" w:rsidP="0061061F">
      <w:pPr>
        <w:rPr>
          <w:szCs w:val="22"/>
        </w:rPr>
      </w:pPr>
    </w:p>
    <w:p w14:paraId="436926C2" w14:textId="77777777" w:rsidR="00AF6C01" w:rsidRPr="00D166EA" w:rsidRDefault="00AF6C01" w:rsidP="00AF6C01">
      <w:pPr>
        <w:rPr>
          <w:i/>
          <w:szCs w:val="22"/>
        </w:rPr>
      </w:pPr>
      <w:r w:rsidRPr="00D166EA">
        <w:rPr>
          <w:i/>
          <w:szCs w:val="22"/>
        </w:rPr>
        <w:t>Kompensuota kepenų liga</w:t>
      </w:r>
    </w:p>
    <w:p w14:paraId="3400BBAA" w14:textId="77777777" w:rsidR="00AF6C01" w:rsidRPr="00D166EA" w:rsidRDefault="00AF6C01" w:rsidP="00AF6C01">
      <w:pPr>
        <w:rPr>
          <w:szCs w:val="22"/>
        </w:rPr>
      </w:pPr>
    </w:p>
    <w:p w14:paraId="1B2C44C6" w14:textId="77777777" w:rsidR="00AF6C01" w:rsidRPr="00D166EA" w:rsidRDefault="00AF6C01" w:rsidP="00AF6C01">
      <w:pPr>
        <w:rPr>
          <w:szCs w:val="22"/>
        </w:rPr>
      </w:pPr>
      <w:r w:rsidRPr="00D166EA">
        <w:rPr>
          <w:i/>
          <w:szCs w:val="22"/>
        </w:rPr>
        <w:t>Nukleozidų nevartoję pacientai</w:t>
      </w:r>
      <w:r w:rsidRPr="00D166EA">
        <w:rPr>
          <w:szCs w:val="22"/>
        </w:rPr>
        <w:t>. Rekomenduojama dozė suaugusiesiems yra 0,5 mg 1</w:t>
      </w:r>
      <w:r w:rsidR="00A916D0">
        <w:rPr>
          <w:szCs w:val="22"/>
        </w:rPr>
        <w:t> </w:t>
      </w:r>
      <w:r w:rsidRPr="00D166EA">
        <w:rPr>
          <w:szCs w:val="22"/>
        </w:rPr>
        <w:t>kartą per parą, valgant arba kitu laiku.</w:t>
      </w:r>
    </w:p>
    <w:p w14:paraId="0C571582" w14:textId="77777777" w:rsidR="00AF6C01" w:rsidRPr="00D166EA" w:rsidRDefault="00AF6C01" w:rsidP="00AF6C01">
      <w:pPr>
        <w:rPr>
          <w:szCs w:val="22"/>
        </w:rPr>
      </w:pPr>
    </w:p>
    <w:p w14:paraId="03E0CAD6" w14:textId="77777777" w:rsidR="00AF6C01" w:rsidRPr="00D166EA" w:rsidRDefault="00AF6C01" w:rsidP="00AF6C01">
      <w:pPr>
        <w:rPr>
          <w:szCs w:val="22"/>
        </w:rPr>
      </w:pPr>
      <w:r w:rsidRPr="00D166EA">
        <w:rPr>
          <w:i/>
          <w:szCs w:val="22"/>
        </w:rPr>
        <w:t>Lamivudinui atsparūs pacientai</w:t>
      </w:r>
      <w:r w:rsidRPr="00D166EA">
        <w:rPr>
          <w:szCs w:val="22"/>
        </w:rPr>
        <w:t xml:space="preserve"> (t.y. </w:t>
      </w:r>
      <w:r w:rsidR="009C113D" w:rsidRPr="00D166EA">
        <w:rPr>
          <w:szCs w:val="22"/>
        </w:rPr>
        <w:t xml:space="preserve">pacientai, kuriems yra viremijos požymių </w:t>
      </w:r>
      <w:r w:rsidRPr="00D166EA">
        <w:rPr>
          <w:szCs w:val="22"/>
        </w:rPr>
        <w:t>lamivudino vartojimo metu</w:t>
      </w:r>
      <w:r w:rsidR="009C113D" w:rsidRPr="00D166EA">
        <w:rPr>
          <w:szCs w:val="22"/>
        </w:rPr>
        <w:t xml:space="preserve"> ar yra </w:t>
      </w:r>
      <w:r w:rsidRPr="00D166EA">
        <w:rPr>
          <w:szCs w:val="22"/>
        </w:rPr>
        <w:t>atsparumą lamivudinui lemianči</w:t>
      </w:r>
      <w:r w:rsidR="009C113D" w:rsidRPr="00D166EA">
        <w:rPr>
          <w:szCs w:val="22"/>
        </w:rPr>
        <w:t>ų</w:t>
      </w:r>
      <w:r w:rsidRPr="00D166EA">
        <w:rPr>
          <w:szCs w:val="22"/>
        </w:rPr>
        <w:t xml:space="preserve"> [LVDr] mutacij</w:t>
      </w:r>
      <w:r w:rsidR="009C113D" w:rsidRPr="00D166EA">
        <w:rPr>
          <w:szCs w:val="22"/>
        </w:rPr>
        <w:t>ų</w:t>
      </w:r>
      <w:r w:rsidRPr="00D166EA">
        <w:rPr>
          <w:szCs w:val="22"/>
        </w:rPr>
        <w:t>) (žr. 4.4 ir 5.1 skyrius)</w:t>
      </w:r>
      <w:r w:rsidR="009C113D" w:rsidRPr="00D166EA">
        <w:rPr>
          <w:szCs w:val="22"/>
        </w:rPr>
        <w:t>:</w:t>
      </w:r>
      <w:r w:rsidRPr="00D166EA">
        <w:rPr>
          <w:szCs w:val="22"/>
        </w:rPr>
        <w:t xml:space="preserve"> rekomenduojama dozė yra 1</w:t>
      </w:r>
      <w:r w:rsidR="009C113D" w:rsidRPr="00D166EA">
        <w:rPr>
          <w:szCs w:val="22"/>
        </w:rPr>
        <w:t> </w:t>
      </w:r>
      <w:r w:rsidRPr="00D166EA">
        <w:rPr>
          <w:szCs w:val="22"/>
        </w:rPr>
        <w:t>mg 1</w:t>
      </w:r>
      <w:r w:rsidR="00A916D0">
        <w:rPr>
          <w:szCs w:val="22"/>
        </w:rPr>
        <w:t> </w:t>
      </w:r>
      <w:r w:rsidRPr="00D166EA">
        <w:rPr>
          <w:szCs w:val="22"/>
        </w:rPr>
        <w:t>kartą per parą. Ji geriama kai skrandis tuščias, t.y. iki valgio likus bent 2</w:t>
      </w:r>
      <w:r w:rsidR="00A916D0">
        <w:rPr>
          <w:szCs w:val="22"/>
        </w:rPr>
        <w:t> </w:t>
      </w:r>
      <w:r w:rsidRPr="00D166EA">
        <w:rPr>
          <w:szCs w:val="22"/>
        </w:rPr>
        <w:t>val. ir po jo praėjus bent 2</w:t>
      </w:r>
      <w:r w:rsidR="00A916D0">
        <w:rPr>
          <w:szCs w:val="22"/>
        </w:rPr>
        <w:t> </w:t>
      </w:r>
      <w:r w:rsidRPr="00D166EA">
        <w:rPr>
          <w:szCs w:val="22"/>
        </w:rPr>
        <w:t xml:space="preserve">val. (žr. 5.2 skyrių). Jei yra LVDr mutacijų, tai </w:t>
      </w:r>
      <w:r w:rsidR="009C113D" w:rsidRPr="00D166EA">
        <w:rPr>
          <w:szCs w:val="22"/>
        </w:rPr>
        <w:t>tinkamesniu laikytinas</w:t>
      </w:r>
      <w:r w:rsidRPr="00D166EA">
        <w:rPr>
          <w:szCs w:val="22"/>
        </w:rPr>
        <w:t xml:space="preserve"> gydymas ne entekaviru atskirai, bet jo deriniu su kitu antivirusiniu vaistiniu preparatu (tokiu, kad nebūtų kryžminio atsparumo nei </w:t>
      </w:r>
      <w:r w:rsidR="009C113D" w:rsidRPr="00D166EA">
        <w:rPr>
          <w:szCs w:val="22"/>
        </w:rPr>
        <w:t>su</w:t>
      </w:r>
      <w:r w:rsidRPr="00D166EA">
        <w:rPr>
          <w:szCs w:val="22"/>
        </w:rPr>
        <w:t xml:space="preserve"> </w:t>
      </w:r>
      <w:r w:rsidR="009C113D" w:rsidRPr="00D166EA">
        <w:rPr>
          <w:szCs w:val="22"/>
        </w:rPr>
        <w:t xml:space="preserve">lamivudinu, nei su </w:t>
      </w:r>
      <w:r w:rsidRPr="00D166EA">
        <w:rPr>
          <w:szCs w:val="22"/>
        </w:rPr>
        <w:t>entekaviru) (žr. 4.4 skyrių).</w:t>
      </w:r>
    </w:p>
    <w:p w14:paraId="61D22678" w14:textId="77777777" w:rsidR="009C113D" w:rsidRPr="00D166EA" w:rsidRDefault="009C113D" w:rsidP="00AF6C01">
      <w:pPr>
        <w:rPr>
          <w:szCs w:val="22"/>
        </w:rPr>
      </w:pPr>
    </w:p>
    <w:p w14:paraId="561AA24F" w14:textId="77777777" w:rsidR="00AF6C01" w:rsidRPr="00D166EA" w:rsidRDefault="00AF6C01" w:rsidP="00AF6C01">
      <w:pPr>
        <w:rPr>
          <w:i/>
          <w:szCs w:val="22"/>
        </w:rPr>
      </w:pPr>
      <w:r w:rsidRPr="00D166EA">
        <w:rPr>
          <w:i/>
          <w:szCs w:val="22"/>
        </w:rPr>
        <w:t>Nekompensuota kepenų liga</w:t>
      </w:r>
    </w:p>
    <w:p w14:paraId="56D18CEF" w14:textId="77777777" w:rsidR="009C113D" w:rsidRPr="00D166EA" w:rsidRDefault="009C113D" w:rsidP="00AF6C01">
      <w:pPr>
        <w:rPr>
          <w:szCs w:val="22"/>
        </w:rPr>
      </w:pPr>
    </w:p>
    <w:p w14:paraId="40189DAB" w14:textId="77777777" w:rsidR="00AF6C01" w:rsidRPr="00D166EA" w:rsidRDefault="00AF6C01" w:rsidP="00AF6C01">
      <w:pPr>
        <w:rPr>
          <w:szCs w:val="22"/>
        </w:rPr>
      </w:pPr>
      <w:r w:rsidRPr="00D166EA">
        <w:rPr>
          <w:szCs w:val="22"/>
        </w:rPr>
        <w:t>Rekomenduojama dozė suaugusiems pacientams, kurių kepenų liga nekompensuota, yra 1</w:t>
      </w:r>
      <w:r w:rsidR="00A916D0">
        <w:rPr>
          <w:szCs w:val="22"/>
        </w:rPr>
        <w:t> </w:t>
      </w:r>
      <w:r w:rsidRPr="00D166EA">
        <w:rPr>
          <w:szCs w:val="22"/>
        </w:rPr>
        <w:t>mg 1</w:t>
      </w:r>
      <w:r w:rsidR="00A916D0">
        <w:rPr>
          <w:szCs w:val="22"/>
        </w:rPr>
        <w:t> </w:t>
      </w:r>
      <w:r w:rsidRPr="00D166EA">
        <w:rPr>
          <w:szCs w:val="22"/>
        </w:rPr>
        <w:t>kartą per parą. Ją reikia gerti esant tuščiam skrandžiui (daugiau kaip 2</w:t>
      </w:r>
      <w:r w:rsidR="00A916D0">
        <w:rPr>
          <w:szCs w:val="22"/>
        </w:rPr>
        <w:t> </w:t>
      </w:r>
      <w:r w:rsidRPr="00D166EA">
        <w:rPr>
          <w:szCs w:val="22"/>
        </w:rPr>
        <w:t>val. prieš valgį ir daugiau kaip 2</w:t>
      </w:r>
      <w:r w:rsidR="00A916D0">
        <w:rPr>
          <w:szCs w:val="22"/>
        </w:rPr>
        <w:t> </w:t>
      </w:r>
      <w:r w:rsidRPr="00D166EA">
        <w:rPr>
          <w:szCs w:val="22"/>
        </w:rPr>
        <w:t xml:space="preserve">val. po jo) (žr. 5.2 skyrių). Apie pacientus, </w:t>
      </w:r>
      <w:r w:rsidR="007804BF" w:rsidRPr="00D166EA">
        <w:rPr>
          <w:szCs w:val="22"/>
        </w:rPr>
        <w:t>kuriems yra</w:t>
      </w:r>
      <w:r w:rsidRPr="00D166EA">
        <w:rPr>
          <w:szCs w:val="22"/>
        </w:rPr>
        <w:t xml:space="preserve"> lamivudinui atspar</w:t>
      </w:r>
      <w:r w:rsidR="007804BF" w:rsidRPr="00D166EA">
        <w:rPr>
          <w:szCs w:val="22"/>
        </w:rPr>
        <w:t>us</w:t>
      </w:r>
      <w:r w:rsidRPr="00D166EA">
        <w:rPr>
          <w:szCs w:val="22"/>
        </w:rPr>
        <w:t xml:space="preserve"> hepatit</w:t>
      </w:r>
      <w:r w:rsidR="007804BF" w:rsidRPr="00D166EA">
        <w:rPr>
          <w:szCs w:val="22"/>
        </w:rPr>
        <w:t>as</w:t>
      </w:r>
      <w:r w:rsidRPr="00D166EA">
        <w:rPr>
          <w:szCs w:val="22"/>
        </w:rPr>
        <w:t xml:space="preserve"> B, žr. 4.4 ir 5.1 skyrius.</w:t>
      </w:r>
    </w:p>
    <w:p w14:paraId="0B6571BB" w14:textId="77777777" w:rsidR="007804BF" w:rsidRPr="00D166EA" w:rsidRDefault="007804BF" w:rsidP="00AF6C01">
      <w:pPr>
        <w:rPr>
          <w:szCs w:val="22"/>
        </w:rPr>
      </w:pPr>
    </w:p>
    <w:p w14:paraId="4DC8C6C9" w14:textId="77777777" w:rsidR="00AF6C01" w:rsidRPr="00D166EA" w:rsidRDefault="00AF6C01" w:rsidP="00AF6C01">
      <w:pPr>
        <w:rPr>
          <w:i/>
          <w:szCs w:val="22"/>
        </w:rPr>
      </w:pPr>
      <w:r w:rsidRPr="00D166EA">
        <w:rPr>
          <w:i/>
          <w:szCs w:val="22"/>
        </w:rPr>
        <w:t>Gydymo trukmė</w:t>
      </w:r>
    </w:p>
    <w:p w14:paraId="2A7EDB2C" w14:textId="77777777" w:rsidR="00AF6C01" w:rsidRPr="00D166EA" w:rsidRDefault="00AF6C01" w:rsidP="00AF6C01">
      <w:pPr>
        <w:rPr>
          <w:szCs w:val="22"/>
        </w:rPr>
      </w:pPr>
      <w:r w:rsidRPr="00D166EA">
        <w:rPr>
          <w:szCs w:val="22"/>
        </w:rPr>
        <w:t>Optimali gydymo trukmė nežinoma. Gydymo nutraukim</w:t>
      </w:r>
      <w:r w:rsidR="007804BF" w:rsidRPr="00D166EA">
        <w:rPr>
          <w:szCs w:val="22"/>
        </w:rPr>
        <w:t>as gali būti apsvarstytas, jeigu yra taip:</w:t>
      </w:r>
    </w:p>
    <w:p w14:paraId="5FAAEBC4" w14:textId="77777777" w:rsidR="00AF6C01" w:rsidRPr="00D166EA" w:rsidRDefault="00AF6C01" w:rsidP="007804BF">
      <w:pPr>
        <w:numPr>
          <w:ilvl w:val="0"/>
          <w:numId w:val="31"/>
        </w:numPr>
        <w:ind w:left="851" w:hanging="284"/>
        <w:rPr>
          <w:szCs w:val="22"/>
        </w:rPr>
      </w:pPr>
      <w:r w:rsidRPr="00D166EA">
        <w:rPr>
          <w:szCs w:val="22"/>
        </w:rPr>
        <w:t>HBeAg teigiami suaugę pacientai gydomi bent 12</w:t>
      </w:r>
      <w:r w:rsidR="00A916D0">
        <w:rPr>
          <w:szCs w:val="22"/>
        </w:rPr>
        <w:t> </w:t>
      </w:r>
      <w:r w:rsidRPr="00D166EA">
        <w:rPr>
          <w:szCs w:val="22"/>
        </w:rPr>
        <w:t>mėn. po HBe serologinės konversijos (t.y. kol dviejuose iš eilės serumo mėginiuose, paimtuose bent 3-6</w:t>
      </w:r>
      <w:r w:rsidR="00A916D0">
        <w:rPr>
          <w:szCs w:val="22"/>
        </w:rPr>
        <w:t> </w:t>
      </w:r>
      <w:r w:rsidRPr="00D166EA">
        <w:rPr>
          <w:szCs w:val="22"/>
        </w:rPr>
        <w:t>mėn. intervalu, bu</w:t>
      </w:r>
      <w:r w:rsidR="007804BF" w:rsidRPr="00D166EA">
        <w:rPr>
          <w:szCs w:val="22"/>
        </w:rPr>
        <w:t>vo</w:t>
      </w:r>
      <w:r w:rsidRPr="00D166EA">
        <w:rPr>
          <w:szCs w:val="22"/>
        </w:rPr>
        <w:t xml:space="preserve"> nerasta HBeAg ir HBV DNR bei rasta anti-HBe)</w:t>
      </w:r>
      <w:r w:rsidR="007804BF" w:rsidRPr="00D166EA">
        <w:rPr>
          <w:szCs w:val="22"/>
        </w:rPr>
        <w:t>,</w:t>
      </w:r>
      <w:r w:rsidRPr="00D166EA">
        <w:rPr>
          <w:szCs w:val="22"/>
        </w:rPr>
        <w:t xml:space="preserve"> iki HBs serologinės konversijos arba </w:t>
      </w:r>
      <w:r w:rsidR="00963E9A" w:rsidRPr="00D166EA">
        <w:rPr>
          <w:szCs w:val="22"/>
        </w:rPr>
        <w:t>iki veiksmingumo išnykimo</w:t>
      </w:r>
      <w:r w:rsidRPr="00D166EA">
        <w:rPr>
          <w:szCs w:val="22"/>
        </w:rPr>
        <w:t xml:space="preserve"> (žr. 4.4 skyrių);</w:t>
      </w:r>
    </w:p>
    <w:p w14:paraId="3B23B4AA" w14:textId="77777777" w:rsidR="00AF6C01" w:rsidRPr="00D166EA" w:rsidRDefault="00AF6C01" w:rsidP="007804BF">
      <w:pPr>
        <w:numPr>
          <w:ilvl w:val="0"/>
          <w:numId w:val="31"/>
        </w:numPr>
        <w:ind w:left="851" w:hanging="284"/>
        <w:rPr>
          <w:szCs w:val="22"/>
        </w:rPr>
      </w:pPr>
      <w:r w:rsidRPr="00D166EA">
        <w:rPr>
          <w:szCs w:val="22"/>
        </w:rPr>
        <w:t xml:space="preserve">HBeAg neigiami suaugę pacientai gydomi bent iki HBs serologinės konversijos arba </w:t>
      </w:r>
      <w:r w:rsidR="00963E9A" w:rsidRPr="00D166EA">
        <w:rPr>
          <w:szCs w:val="22"/>
        </w:rPr>
        <w:t>iki veiksmingumo išnykimo</w:t>
      </w:r>
      <w:r w:rsidRPr="00D166EA">
        <w:rPr>
          <w:szCs w:val="22"/>
        </w:rPr>
        <w:t>. Jei vaist</w:t>
      </w:r>
      <w:r w:rsidR="00963E9A" w:rsidRPr="00D166EA">
        <w:rPr>
          <w:szCs w:val="22"/>
        </w:rPr>
        <w:t>inio preparato</w:t>
      </w:r>
      <w:r w:rsidRPr="00D166EA">
        <w:rPr>
          <w:szCs w:val="22"/>
        </w:rPr>
        <w:t xml:space="preserve"> vartojama ilgiau kaip 2</w:t>
      </w:r>
      <w:r w:rsidR="00A916D0">
        <w:rPr>
          <w:szCs w:val="22"/>
        </w:rPr>
        <w:t> </w:t>
      </w:r>
      <w:r w:rsidRPr="00D166EA">
        <w:rPr>
          <w:szCs w:val="22"/>
        </w:rPr>
        <w:t xml:space="preserve">metus, paciento būklę rekomenduojama reguliariai </w:t>
      </w:r>
      <w:r w:rsidR="00963E9A" w:rsidRPr="00D166EA">
        <w:rPr>
          <w:szCs w:val="22"/>
        </w:rPr>
        <w:t>iš naujo įvertinti</w:t>
      </w:r>
      <w:r w:rsidRPr="00D166EA">
        <w:rPr>
          <w:szCs w:val="22"/>
        </w:rPr>
        <w:t xml:space="preserve">, </w:t>
      </w:r>
      <w:r w:rsidR="00963E9A" w:rsidRPr="00D166EA">
        <w:rPr>
          <w:szCs w:val="22"/>
        </w:rPr>
        <w:t>kad patvirtinti, jog</w:t>
      </w:r>
      <w:r w:rsidRPr="00D166EA">
        <w:rPr>
          <w:szCs w:val="22"/>
        </w:rPr>
        <w:t xml:space="preserve"> </w:t>
      </w:r>
      <w:r w:rsidR="00963E9A" w:rsidRPr="00D166EA">
        <w:rPr>
          <w:szCs w:val="22"/>
        </w:rPr>
        <w:t>parinkto gydymo tęsimas išlieka tinkamas pacientui</w:t>
      </w:r>
      <w:r w:rsidRPr="00D166EA">
        <w:rPr>
          <w:szCs w:val="22"/>
        </w:rPr>
        <w:t>.</w:t>
      </w:r>
    </w:p>
    <w:p w14:paraId="63D6BE43" w14:textId="77777777" w:rsidR="00AF6C01" w:rsidRPr="00D166EA" w:rsidRDefault="00AF6C01" w:rsidP="00AF6C01">
      <w:pPr>
        <w:rPr>
          <w:szCs w:val="22"/>
        </w:rPr>
      </w:pPr>
      <w:r w:rsidRPr="00D166EA">
        <w:rPr>
          <w:szCs w:val="22"/>
        </w:rPr>
        <w:t xml:space="preserve">Pacientų, </w:t>
      </w:r>
      <w:r w:rsidR="00963E9A" w:rsidRPr="00D166EA">
        <w:rPr>
          <w:szCs w:val="22"/>
        </w:rPr>
        <w:t>kuriems yra</w:t>
      </w:r>
      <w:r w:rsidRPr="00D166EA">
        <w:rPr>
          <w:szCs w:val="22"/>
        </w:rPr>
        <w:t xml:space="preserve"> nekompensuota kepenų liga arba ciroz</w:t>
      </w:r>
      <w:r w:rsidR="00086CE8">
        <w:rPr>
          <w:szCs w:val="22"/>
        </w:rPr>
        <w:t>ė</w:t>
      </w:r>
      <w:r w:rsidRPr="00D166EA">
        <w:rPr>
          <w:szCs w:val="22"/>
        </w:rPr>
        <w:t>, gydymo nutraukti nerekomenduojama.</w:t>
      </w:r>
    </w:p>
    <w:p w14:paraId="404E0EBF" w14:textId="77777777" w:rsidR="00963E9A" w:rsidRPr="00D166EA" w:rsidRDefault="00963E9A" w:rsidP="00AF6C01">
      <w:pPr>
        <w:rPr>
          <w:szCs w:val="22"/>
        </w:rPr>
      </w:pPr>
    </w:p>
    <w:p w14:paraId="0D987946" w14:textId="77777777" w:rsidR="00AF6C01" w:rsidRPr="00D166EA" w:rsidRDefault="00AF6C01" w:rsidP="00AF6C01">
      <w:pPr>
        <w:rPr>
          <w:i/>
          <w:szCs w:val="22"/>
        </w:rPr>
      </w:pPr>
      <w:r w:rsidRPr="00D166EA">
        <w:rPr>
          <w:i/>
          <w:szCs w:val="22"/>
        </w:rPr>
        <w:t>Vaikų populiacija</w:t>
      </w:r>
    </w:p>
    <w:p w14:paraId="2D713BA3" w14:textId="77777777" w:rsidR="00963E9A" w:rsidRPr="00D166EA" w:rsidRDefault="00963E9A" w:rsidP="00AF6C01">
      <w:pPr>
        <w:rPr>
          <w:szCs w:val="22"/>
        </w:rPr>
      </w:pPr>
    </w:p>
    <w:p w14:paraId="6C09A172" w14:textId="77777777" w:rsidR="00AF6C01" w:rsidRPr="00D166EA" w:rsidRDefault="00677684" w:rsidP="00AF6C01">
      <w:pPr>
        <w:rPr>
          <w:szCs w:val="22"/>
        </w:rPr>
      </w:pPr>
      <w:r w:rsidRPr="00D166EA">
        <w:rPr>
          <w:szCs w:val="22"/>
        </w:rPr>
        <w:t>Tinkamam dozavimui vaikų populiacijos pacientams yra tiekiamos Entecavir Sandoz</w:t>
      </w:r>
      <w:r w:rsidR="00AF6C01" w:rsidRPr="00D166EA">
        <w:rPr>
          <w:szCs w:val="22"/>
        </w:rPr>
        <w:t xml:space="preserve"> 0,5</w:t>
      </w:r>
      <w:r w:rsidRPr="00D166EA">
        <w:rPr>
          <w:szCs w:val="22"/>
        </w:rPr>
        <w:t> </w:t>
      </w:r>
      <w:r w:rsidR="00AF6C01" w:rsidRPr="00D166EA">
        <w:rPr>
          <w:szCs w:val="22"/>
        </w:rPr>
        <w:t>mg plėvele dengtos tabletės</w:t>
      </w:r>
      <w:r w:rsidRPr="00D166EA">
        <w:rPr>
          <w:szCs w:val="22"/>
        </w:rPr>
        <w:t xml:space="preserve"> ir mažesnėms negu 0,5 mg dozėms gali būti </w:t>
      </w:r>
      <w:r w:rsidR="002B53A1" w:rsidRPr="00D166EA">
        <w:rPr>
          <w:szCs w:val="22"/>
        </w:rPr>
        <w:t>tinkamas geriamasis tirpalas</w:t>
      </w:r>
      <w:r w:rsidR="00AF6C01" w:rsidRPr="00D166EA">
        <w:rPr>
          <w:szCs w:val="22"/>
        </w:rPr>
        <w:t>.</w:t>
      </w:r>
    </w:p>
    <w:p w14:paraId="48838C52" w14:textId="77777777" w:rsidR="002B53A1" w:rsidRPr="00D166EA" w:rsidRDefault="002B53A1" w:rsidP="00AF6C01">
      <w:pPr>
        <w:rPr>
          <w:szCs w:val="22"/>
        </w:rPr>
      </w:pPr>
    </w:p>
    <w:p w14:paraId="79AB1401" w14:textId="77777777" w:rsidR="00AF6C01" w:rsidRPr="00D166EA" w:rsidRDefault="00AF6C01" w:rsidP="00AF6C01">
      <w:pPr>
        <w:rPr>
          <w:szCs w:val="22"/>
        </w:rPr>
      </w:pPr>
      <w:r w:rsidRPr="00D166EA">
        <w:rPr>
          <w:szCs w:val="22"/>
        </w:rPr>
        <w:t>Sprendimą dėl vaikų</w:t>
      </w:r>
      <w:r w:rsidR="002B53A1" w:rsidRPr="00D166EA">
        <w:rPr>
          <w:szCs w:val="22"/>
        </w:rPr>
        <w:t xml:space="preserve"> populiacijos pacientų</w:t>
      </w:r>
      <w:r w:rsidRPr="00D166EA">
        <w:rPr>
          <w:szCs w:val="22"/>
        </w:rPr>
        <w:t xml:space="preserve"> gydymo reikia priimti kruopščiai įvertinus konkretaus paciento poreikius ir atsižvelgiant</w:t>
      </w:r>
      <w:r w:rsidR="00086CE8">
        <w:rPr>
          <w:szCs w:val="22"/>
        </w:rPr>
        <w:t xml:space="preserve"> į</w:t>
      </w:r>
      <w:r w:rsidRPr="00D166EA">
        <w:rPr>
          <w:szCs w:val="22"/>
        </w:rPr>
        <w:t xml:space="preserve"> galiojančias vaikų gydymo metodikas, įskaitant pradin</w:t>
      </w:r>
      <w:r w:rsidR="002B53A1" w:rsidRPr="00D166EA">
        <w:rPr>
          <w:szCs w:val="22"/>
        </w:rPr>
        <w:t>ės</w:t>
      </w:r>
      <w:r w:rsidRPr="00D166EA">
        <w:rPr>
          <w:szCs w:val="22"/>
        </w:rPr>
        <w:t xml:space="preserve"> histologin</w:t>
      </w:r>
      <w:r w:rsidR="002B53A1" w:rsidRPr="00D166EA">
        <w:rPr>
          <w:szCs w:val="22"/>
        </w:rPr>
        <w:t>ės informacijos įvertinimą</w:t>
      </w:r>
      <w:r w:rsidRPr="00D166EA">
        <w:rPr>
          <w:szCs w:val="22"/>
        </w:rPr>
        <w:t>. Tęsiamo gydymo sukeliamos ilgalaik</w:t>
      </w:r>
      <w:r w:rsidR="002B53A1" w:rsidRPr="00D166EA">
        <w:rPr>
          <w:szCs w:val="22"/>
        </w:rPr>
        <w:t>io</w:t>
      </w:r>
      <w:r w:rsidRPr="00D166EA">
        <w:rPr>
          <w:szCs w:val="22"/>
        </w:rPr>
        <w:t xml:space="preserve"> virusologin</w:t>
      </w:r>
      <w:r w:rsidR="002B53A1" w:rsidRPr="00D166EA">
        <w:rPr>
          <w:szCs w:val="22"/>
        </w:rPr>
        <w:t>io slopinimo</w:t>
      </w:r>
      <w:r w:rsidRPr="00D166EA">
        <w:rPr>
          <w:szCs w:val="22"/>
        </w:rPr>
        <w:t xml:space="preserve"> teikiamą naudą reikia vertinti atsižvelgiant į ilgalaikio gydymo keliam</w:t>
      </w:r>
      <w:r w:rsidR="002B53A1" w:rsidRPr="00D166EA">
        <w:rPr>
          <w:szCs w:val="22"/>
        </w:rPr>
        <w:t>ą riziką</w:t>
      </w:r>
      <w:r w:rsidRPr="00D166EA">
        <w:rPr>
          <w:szCs w:val="22"/>
        </w:rPr>
        <w:t>, įskaitant atspar</w:t>
      </w:r>
      <w:r w:rsidR="002B53A1" w:rsidRPr="00D166EA">
        <w:rPr>
          <w:szCs w:val="22"/>
        </w:rPr>
        <w:t>aus</w:t>
      </w:r>
      <w:r w:rsidRPr="00D166EA">
        <w:rPr>
          <w:szCs w:val="22"/>
        </w:rPr>
        <w:t xml:space="preserve"> hepatito B virus</w:t>
      </w:r>
      <w:r w:rsidR="002B53A1" w:rsidRPr="00D166EA">
        <w:rPr>
          <w:szCs w:val="22"/>
        </w:rPr>
        <w:t>o</w:t>
      </w:r>
      <w:r w:rsidRPr="00D166EA">
        <w:rPr>
          <w:szCs w:val="22"/>
        </w:rPr>
        <w:t xml:space="preserve"> atsiradim</w:t>
      </w:r>
      <w:r w:rsidR="002B53A1" w:rsidRPr="00D166EA">
        <w:rPr>
          <w:szCs w:val="22"/>
        </w:rPr>
        <w:t>ą</w:t>
      </w:r>
      <w:r w:rsidRPr="00D166EA">
        <w:rPr>
          <w:szCs w:val="22"/>
        </w:rPr>
        <w:t>.</w:t>
      </w:r>
    </w:p>
    <w:p w14:paraId="332B71FC" w14:textId="77777777" w:rsidR="002B53A1" w:rsidRPr="00D166EA" w:rsidRDefault="002B53A1" w:rsidP="00AF6C01">
      <w:pPr>
        <w:rPr>
          <w:szCs w:val="22"/>
        </w:rPr>
      </w:pPr>
    </w:p>
    <w:p w14:paraId="24C0A1B2" w14:textId="77777777" w:rsidR="00AF6C01" w:rsidRPr="00D166EA" w:rsidRDefault="00AF6C01" w:rsidP="00AF6C01">
      <w:pPr>
        <w:rPr>
          <w:szCs w:val="22"/>
        </w:rPr>
      </w:pPr>
      <w:r w:rsidRPr="00D166EA">
        <w:rPr>
          <w:szCs w:val="22"/>
        </w:rPr>
        <w:t xml:space="preserve">ALT </w:t>
      </w:r>
      <w:r w:rsidR="002B53A1" w:rsidRPr="00D166EA">
        <w:rPr>
          <w:szCs w:val="22"/>
        </w:rPr>
        <w:t>aktyvumas</w:t>
      </w:r>
      <w:r w:rsidRPr="00D166EA">
        <w:rPr>
          <w:szCs w:val="22"/>
        </w:rPr>
        <w:t xml:space="preserve"> serume turi būti nuolat padidė</w:t>
      </w:r>
      <w:r w:rsidR="002B53A1" w:rsidRPr="00D166EA">
        <w:rPr>
          <w:szCs w:val="22"/>
        </w:rPr>
        <w:t>jęs</w:t>
      </w:r>
      <w:r w:rsidRPr="00D166EA">
        <w:rPr>
          <w:szCs w:val="22"/>
        </w:rPr>
        <w:t xml:space="preserve"> bent 6</w:t>
      </w:r>
      <w:r w:rsidR="00A916D0">
        <w:rPr>
          <w:szCs w:val="22"/>
        </w:rPr>
        <w:t> </w:t>
      </w:r>
      <w:r w:rsidRPr="00D166EA">
        <w:rPr>
          <w:szCs w:val="22"/>
        </w:rPr>
        <w:t xml:space="preserve">mėn. prieš pradedant gydyti HBeAg teigiamu lėtiniu hepatitu B sergančius vaikus, kurių kepenų </w:t>
      </w:r>
      <w:r w:rsidR="002B53A1" w:rsidRPr="00D166EA">
        <w:rPr>
          <w:szCs w:val="22"/>
        </w:rPr>
        <w:t>liga</w:t>
      </w:r>
      <w:r w:rsidRPr="00D166EA">
        <w:rPr>
          <w:szCs w:val="22"/>
        </w:rPr>
        <w:t xml:space="preserve"> kompensuota, ir bent 12</w:t>
      </w:r>
      <w:r w:rsidR="00A916D0">
        <w:rPr>
          <w:szCs w:val="22"/>
        </w:rPr>
        <w:t> </w:t>
      </w:r>
      <w:r w:rsidRPr="00D166EA">
        <w:rPr>
          <w:szCs w:val="22"/>
        </w:rPr>
        <w:t xml:space="preserve">mėn. prieš pradedant gydyti </w:t>
      </w:r>
      <w:r w:rsidR="0019110E" w:rsidRPr="00D166EA">
        <w:rPr>
          <w:szCs w:val="22"/>
        </w:rPr>
        <w:t xml:space="preserve">pacientus, kurių liga yra negatyvi </w:t>
      </w:r>
      <w:r w:rsidRPr="00D166EA">
        <w:rPr>
          <w:szCs w:val="22"/>
        </w:rPr>
        <w:t xml:space="preserve">HBeAg </w:t>
      </w:r>
      <w:r w:rsidR="0019110E" w:rsidRPr="00D166EA">
        <w:rPr>
          <w:szCs w:val="22"/>
        </w:rPr>
        <w:t>atžvilgiu</w:t>
      </w:r>
      <w:r w:rsidRPr="00D166EA">
        <w:rPr>
          <w:szCs w:val="22"/>
        </w:rPr>
        <w:t>.</w:t>
      </w:r>
    </w:p>
    <w:p w14:paraId="0D07F8A4" w14:textId="77777777" w:rsidR="00EB6B7E" w:rsidRPr="00D166EA" w:rsidRDefault="00AF6C01" w:rsidP="00AF6C01">
      <w:pPr>
        <w:rPr>
          <w:szCs w:val="22"/>
        </w:rPr>
      </w:pPr>
      <w:r w:rsidRPr="00D166EA">
        <w:rPr>
          <w:szCs w:val="22"/>
        </w:rPr>
        <w:lastRenderedPageBreak/>
        <w:t>32,6</w:t>
      </w:r>
      <w:r w:rsidR="00A916D0">
        <w:rPr>
          <w:szCs w:val="22"/>
        </w:rPr>
        <w:t> </w:t>
      </w:r>
      <w:r w:rsidRPr="00D166EA">
        <w:rPr>
          <w:szCs w:val="22"/>
        </w:rPr>
        <w:t xml:space="preserve">kg ir didesnio svorio </w:t>
      </w:r>
      <w:r w:rsidR="000272B0">
        <w:rPr>
          <w:szCs w:val="22"/>
        </w:rPr>
        <w:t>vaikų populiacijos</w:t>
      </w:r>
      <w:r w:rsidR="0019110E" w:rsidRPr="00D166EA">
        <w:rPr>
          <w:szCs w:val="22"/>
        </w:rPr>
        <w:t xml:space="preserve"> pacientai turi gerti kartą per parą vieną</w:t>
      </w:r>
      <w:r w:rsidRPr="00D166EA">
        <w:rPr>
          <w:szCs w:val="22"/>
        </w:rPr>
        <w:t xml:space="preserve"> 0,5</w:t>
      </w:r>
      <w:r w:rsidR="0019110E" w:rsidRPr="00D166EA">
        <w:rPr>
          <w:szCs w:val="22"/>
        </w:rPr>
        <w:t> </w:t>
      </w:r>
      <w:r w:rsidRPr="00D166EA">
        <w:rPr>
          <w:szCs w:val="22"/>
        </w:rPr>
        <w:t>mg tablet</w:t>
      </w:r>
      <w:r w:rsidR="00C06535">
        <w:rPr>
          <w:szCs w:val="22"/>
        </w:rPr>
        <w:t>ę</w:t>
      </w:r>
      <w:r w:rsidRPr="00D166EA">
        <w:rPr>
          <w:szCs w:val="22"/>
        </w:rPr>
        <w:t xml:space="preserve"> valgant arba kitu laiku. </w:t>
      </w:r>
      <w:r w:rsidR="0034132A" w:rsidRPr="00D166EA">
        <w:rPr>
          <w:szCs w:val="22"/>
        </w:rPr>
        <w:t>Mažesnio kaip</w:t>
      </w:r>
      <w:r w:rsidRPr="00D166EA">
        <w:rPr>
          <w:szCs w:val="22"/>
        </w:rPr>
        <w:t xml:space="preserve"> 32,6</w:t>
      </w:r>
      <w:r w:rsidR="00A916D0">
        <w:rPr>
          <w:szCs w:val="22"/>
        </w:rPr>
        <w:t> </w:t>
      </w:r>
      <w:r w:rsidRPr="00D166EA">
        <w:rPr>
          <w:szCs w:val="22"/>
        </w:rPr>
        <w:t>kg svorio pacientams</w:t>
      </w:r>
      <w:r w:rsidR="0034132A" w:rsidRPr="00D166EA">
        <w:rPr>
          <w:szCs w:val="22"/>
        </w:rPr>
        <w:t xml:space="preserve"> </w:t>
      </w:r>
      <w:r w:rsidR="00C06535">
        <w:rPr>
          <w:szCs w:val="22"/>
        </w:rPr>
        <w:t>gali būti tinkamas geriamasis tirpalas.</w:t>
      </w:r>
    </w:p>
    <w:p w14:paraId="05DA704B" w14:textId="77777777" w:rsidR="00EB6B7E" w:rsidRPr="00D166EA" w:rsidRDefault="00EB6B7E" w:rsidP="0061061F">
      <w:pPr>
        <w:rPr>
          <w:szCs w:val="22"/>
        </w:rPr>
      </w:pPr>
    </w:p>
    <w:p w14:paraId="28129004" w14:textId="77777777" w:rsidR="00AB3A2D" w:rsidRPr="00D166EA" w:rsidRDefault="000272B0" w:rsidP="00AB3A2D">
      <w:pPr>
        <w:rPr>
          <w:i/>
          <w:szCs w:val="22"/>
        </w:rPr>
      </w:pPr>
      <w:r>
        <w:rPr>
          <w:i/>
          <w:szCs w:val="22"/>
        </w:rPr>
        <w:t>Vaikų populiacijos</w:t>
      </w:r>
      <w:r w:rsidR="00AB3A2D" w:rsidRPr="00D166EA">
        <w:rPr>
          <w:i/>
          <w:szCs w:val="22"/>
        </w:rPr>
        <w:t xml:space="preserve"> pacientų gydymo trukmė</w:t>
      </w:r>
    </w:p>
    <w:p w14:paraId="6B2BA7B7" w14:textId="77777777" w:rsidR="00AB3A2D" w:rsidRPr="00D166EA" w:rsidRDefault="00AB3A2D" w:rsidP="00AB3A2D">
      <w:pPr>
        <w:rPr>
          <w:szCs w:val="22"/>
        </w:rPr>
      </w:pPr>
      <w:r w:rsidRPr="00D166EA">
        <w:rPr>
          <w:szCs w:val="22"/>
        </w:rPr>
        <w:t xml:space="preserve">Optimali gydymo trukmė nežinoma. Remiantis dabartinėmis </w:t>
      </w:r>
      <w:r w:rsidR="000272B0">
        <w:rPr>
          <w:szCs w:val="22"/>
        </w:rPr>
        <w:t>vaikų</w:t>
      </w:r>
      <w:r w:rsidRPr="00D166EA">
        <w:rPr>
          <w:szCs w:val="22"/>
        </w:rPr>
        <w:t xml:space="preserve"> praktikos rekomendacij</w:t>
      </w:r>
      <w:r w:rsidR="000272B0">
        <w:rPr>
          <w:szCs w:val="22"/>
        </w:rPr>
        <w:t>ų</w:t>
      </w:r>
      <w:r w:rsidRPr="00D166EA">
        <w:rPr>
          <w:szCs w:val="22"/>
        </w:rPr>
        <w:t xml:space="preserve"> metodikomis, gydymo nutraukimas gali būti apsvarstytas, jeigu yra taip:</w:t>
      </w:r>
    </w:p>
    <w:p w14:paraId="04CE1584" w14:textId="77777777" w:rsidR="00AB3A2D" w:rsidRPr="00D166EA" w:rsidRDefault="00AB3A2D" w:rsidP="00A4353C">
      <w:pPr>
        <w:numPr>
          <w:ilvl w:val="0"/>
          <w:numId w:val="32"/>
        </w:numPr>
        <w:ind w:left="1134" w:hanging="567"/>
        <w:rPr>
          <w:szCs w:val="22"/>
        </w:rPr>
      </w:pPr>
      <w:r w:rsidRPr="00D166EA">
        <w:rPr>
          <w:szCs w:val="22"/>
        </w:rPr>
        <w:t xml:space="preserve">HBeAg teigiami </w:t>
      </w:r>
      <w:r w:rsidR="000272B0">
        <w:rPr>
          <w:szCs w:val="22"/>
        </w:rPr>
        <w:t>vaikų populiacijos</w:t>
      </w:r>
      <w:r w:rsidR="00A4353C" w:rsidRPr="00D166EA">
        <w:rPr>
          <w:szCs w:val="22"/>
        </w:rPr>
        <w:t xml:space="preserve"> pacientai</w:t>
      </w:r>
      <w:r w:rsidRPr="00D166EA">
        <w:rPr>
          <w:szCs w:val="22"/>
        </w:rPr>
        <w:t xml:space="preserve"> gydomi bent 12</w:t>
      </w:r>
      <w:r w:rsidR="00A916D0">
        <w:rPr>
          <w:szCs w:val="22"/>
        </w:rPr>
        <w:t> </w:t>
      </w:r>
      <w:r w:rsidRPr="00D166EA">
        <w:rPr>
          <w:szCs w:val="22"/>
        </w:rPr>
        <w:t>mėn. po to, kai neberandama HBV DNR ir pasireiškia HBeAg serologinė konversija (dviejuose iš eilės serumo mėginiuose, paimtuose bent 3-6</w:t>
      </w:r>
      <w:r w:rsidR="00A916D0">
        <w:rPr>
          <w:szCs w:val="22"/>
        </w:rPr>
        <w:t> </w:t>
      </w:r>
      <w:r w:rsidRPr="00D166EA">
        <w:rPr>
          <w:szCs w:val="22"/>
        </w:rPr>
        <w:t>mėn. intervalu, nerandama HBeAg ir randama anti-HBe) arba pasireiškia HBs serologinė konversija arba nustatomas vaistinio preparato neveiksmingumas. Baigus gydyti, reikia reguliariai tirti ALT</w:t>
      </w:r>
      <w:r w:rsidR="00A4353C" w:rsidRPr="00D166EA">
        <w:rPr>
          <w:szCs w:val="22"/>
        </w:rPr>
        <w:t xml:space="preserve"> aktyvumą </w:t>
      </w:r>
      <w:r w:rsidRPr="00D166EA">
        <w:rPr>
          <w:szCs w:val="22"/>
        </w:rPr>
        <w:t>ir HBV DNR koncentraciją serume (žr. 4.4 skyrių);</w:t>
      </w:r>
    </w:p>
    <w:p w14:paraId="711C0A25" w14:textId="77777777" w:rsidR="00AB3A2D" w:rsidRPr="00D166EA" w:rsidRDefault="00AB3A2D" w:rsidP="00A4353C">
      <w:pPr>
        <w:numPr>
          <w:ilvl w:val="0"/>
          <w:numId w:val="32"/>
        </w:numPr>
        <w:ind w:left="1134" w:hanging="567"/>
        <w:rPr>
          <w:szCs w:val="22"/>
        </w:rPr>
      </w:pPr>
      <w:r w:rsidRPr="00D166EA">
        <w:rPr>
          <w:szCs w:val="22"/>
        </w:rPr>
        <w:t xml:space="preserve">HBeAg neigiami </w:t>
      </w:r>
      <w:r w:rsidR="00B40DEB">
        <w:rPr>
          <w:szCs w:val="22"/>
        </w:rPr>
        <w:t>vaikų populiacijos</w:t>
      </w:r>
      <w:r w:rsidR="00A4353C" w:rsidRPr="00D166EA">
        <w:rPr>
          <w:szCs w:val="22"/>
        </w:rPr>
        <w:t xml:space="preserve"> pacientai</w:t>
      </w:r>
      <w:r w:rsidRPr="00D166EA">
        <w:rPr>
          <w:szCs w:val="22"/>
        </w:rPr>
        <w:t xml:space="preserve"> gydomi, kol pasireiškia HBs serologinė konversija arba </w:t>
      </w:r>
      <w:r w:rsidR="00A4353C" w:rsidRPr="00D166EA">
        <w:rPr>
          <w:szCs w:val="22"/>
        </w:rPr>
        <w:t>at</w:t>
      </w:r>
      <w:r w:rsidR="001570EE">
        <w:rPr>
          <w:szCs w:val="22"/>
        </w:rPr>
        <w:t>s</w:t>
      </w:r>
      <w:r w:rsidR="00A4353C" w:rsidRPr="00D166EA">
        <w:rPr>
          <w:szCs w:val="22"/>
        </w:rPr>
        <w:t>iranda</w:t>
      </w:r>
      <w:r w:rsidRPr="00D166EA">
        <w:rPr>
          <w:szCs w:val="22"/>
        </w:rPr>
        <w:t xml:space="preserve"> </w:t>
      </w:r>
      <w:r w:rsidR="00A4353C" w:rsidRPr="00D166EA">
        <w:rPr>
          <w:szCs w:val="22"/>
        </w:rPr>
        <w:t xml:space="preserve">veiksmingumo netekimo </w:t>
      </w:r>
      <w:r w:rsidRPr="00D166EA">
        <w:rPr>
          <w:szCs w:val="22"/>
        </w:rPr>
        <w:t>įrodymų.</w:t>
      </w:r>
    </w:p>
    <w:p w14:paraId="5BBE1930" w14:textId="77777777" w:rsidR="00A4353C" w:rsidRPr="00D166EA" w:rsidRDefault="00A4353C" w:rsidP="00AB3A2D">
      <w:pPr>
        <w:rPr>
          <w:szCs w:val="22"/>
        </w:rPr>
      </w:pPr>
    </w:p>
    <w:p w14:paraId="26D92812" w14:textId="77777777" w:rsidR="00AB3A2D" w:rsidRPr="00D166EA" w:rsidRDefault="00AB3A2D" w:rsidP="00AB3A2D">
      <w:pPr>
        <w:rPr>
          <w:szCs w:val="22"/>
        </w:rPr>
      </w:pPr>
      <w:r w:rsidRPr="00D166EA">
        <w:rPr>
          <w:szCs w:val="22"/>
        </w:rPr>
        <w:t xml:space="preserve">Farmakokinetika </w:t>
      </w:r>
      <w:r w:rsidR="00BB1E67">
        <w:rPr>
          <w:szCs w:val="22"/>
        </w:rPr>
        <w:t>vaikų populiacijos</w:t>
      </w:r>
      <w:r w:rsidR="00A4353C" w:rsidRPr="00D166EA">
        <w:rPr>
          <w:szCs w:val="22"/>
        </w:rPr>
        <w:t xml:space="preserve"> pacientų</w:t>
      </w:r>
      <w:r w:rsidRPr="00D166EA">
        <w:rPr>
          <w:szCs w:val="22"/>
        </w:rPr>
        <w:t>, kurių inkstų ar kepenų funkcija sutrikusi, organizme netirta.</w:t>
      </w:r>
    </w:p>
    <w:p w14:paraId="73E30803" w14:textId="77777777" w:rsidR="00A4353C" w:rsidRPr="00D166EA" w:rsidRDefault="00A4353C" w:rsidP="00AB3A2D">
      <w:pPr>
        <w:rPr>
          <w:szCs w:val="22"/>
        </w:rPr>
      </w:pPr>
    </w:p>
    <w:p w14:paraId="67B7543F" w14:textId="77777777" w:rsidR="00AB3A2D" w:rsidRPr="00D166EA" w:rsidRDefault="00AB3A2D" w:rsidP="00AB3A2D">
      <w:pPr>
        <w:rPr>
          <w:szCs w:val="22"/>
        </w:rPr>
      </w:pPr>
      <w:r w:rsidRPr="00D166EA">
        <w:rPr>
          <w:i/>
          <w:szCs w:val="22"/>
        </w:rPr>
        <w:t>Senyviems pacientams</w:t>
      </w:r>
      <w:r w:rsidRPr="00D166EA">
        <w:rPr>
          <w:szCs w:val="22"/>
        </w:rPr>
        <w:t xml:space="preserve">. Dėl amžiaus dozės koreguoti nereikia. Ji </w:t>
      </w:r>
      <w:r w:rsidR="00060FC6" w:rsidRPr="00D166EA">
        <w:rPr>
          <w:szCs w:val="22"/>
        </w:rPr>
        <w:t>turi būti priderinta</w:t>
      </w:r>
      <w:r w:rsidRPr="00D166EA">
        <w:rPr>
          <w:szCs w:val="22"/>
        </w:rPr>
        <w:t xml:space="preserve"> atsižvelgiant į paciento inkstų funkciją (žr. dozavimo rekomendacijas </w:t>
      </w:r>
      <w:r w:rsidR="00060FC6" w:rsidRPr="00D166EA">
        <w:rPr>
          <w:szCs w:val="22"/>
        </w:rPr>
        <w:t>esant</w:t>
      </w:r>
      <w:r w:rsidRPr="00D166EA">
        <w:rPr>
          <w:szCs w:val="22"/>
        </w:rPr>
        <w:t xml:space="preserve"> inkstų </w:t>
      </w:r>
      <w:r w:rsidR="00060FC6" w:rsidRPr="00D166EA">
        <w:rPr>
          <w:szCs w:val="22"/>
        </w:rPr>
        <w:t xml:space="preserve">pakenkimui </w:t>
      </w:r>
      <w:r w:rsidRPr="00D166EA">
        <w:rPr>
          <w:szCs w:val="22"/>
        </w:rPr>
        <w:t>ir 5.2 skyrių).</w:t>
      </w:r>
    </w:p>
    <w:p w14:paraId="7F27EA25" w14:textId="77777777" w:rsidR="00060FC6" w:rsidRPr="00D166EA" w:rsidRDefault="00060FC6" w:rsidP="00AB3A2D">
      <w:pPr>
        <w:rPr>
          <w:szCs w:val="22"/>
        </w:rPr>
      </w:pPr>
    </w:p>
    <w:p w14:paraId="394E97E9" w14:textId="77777777" w:rsidR="00AB3A2D" w:rsidRPr="00D166EA" w:rsidRDefault="00AB3A2D" w:rsidP="00AB3A2D">
      <w:pPr>
        <w:rPr>
          <w:szCs w:val="22"/>
        </w:rPr>
      </w:pPr>
      <w:r w:rsidRPr="00D166EA">
        <w:rPr>
          <w:i/>
          <w:szCs w:val="22"/>
        </w:rPr>
        <w:t>Lytis ir rasė.</w:t>
      </w:r>
      <w:r w:rsidRPr="00D166EA">
        <w:rPr>
          <w:szCs w:val="22"/>
        </w:rPr>
        <w:t xml:space="preserve"> Dėl lyties ar rasės dozės koreguoti nereikia.</w:t>
      </w:r>
    </w:p>
    <w:p w14:paraId="172692E6" w14:textId="77777777" w:rsidR="00060FC6" w:rsidRPr="00D166EA" w:rsidRDefault="00060FC6" w:rsidP="00AB3A2D">
      <w:pPr>
        <w:rPr>
          <w:szCs w:val="22"/>
        </w:rPr>
      </w:pPr>
    </w:p>
    <w:p w14:paraId="3DDE3F72" w14:textId="77777777" w:rsidR="00EB6B7E" w:rsidRPr="00D166EA" w:rsidRDefault="00F325C0" w:rsidP="00AB3A2D">
      <w:pPr>
        <w:rPr>
          <w:szCs w:val="22"/>
        </w:rPr>
      </w:pPr>
      <w:r>
        <w:rPr>
          <w:i/>
          <w:szCs w:val="22"/>
        </w:rPr>
        <w:t>Pacientams, kurių i</w:t>
      </w:r>
      <w:r w:rsidR="00AB3A2D" w:rsidRPr="00D166EA">
        <w:rPr>
          <w:i/>
          <w:szCs w:val="22"/>
        </w:rPr>
        <w:t xml:space="preserve">nkstų </w:t>
      </w:r>
      <w:r>
        <w:rPr>
          <w:i/>
          <w:szCs w:val="22"/>
        </w:rPr>
        <w:t>funkcija sutrikusi</w:t>
      </w:r>
      <w:r w:rsidR="00AB3A2D" w:rsidRPr="00D166EA">
        <w:rPr>
          <w:szCs w:val="22"/>
        </w:rPr>
        <w:t xml:space="preserve">. Mažėjant kreatinino klirensui, mažėja ir entekaviro klirensas (žr. 5.2 skyrių). </w:t>
      </w:r>
      <w:r w:rsidR="00C84D8F" w:rsidRPr="00D166EA">
        <w:rPr>
          <w:szCs w:val="22"/>
        </w:rPr>
        <w:t>Dozės priderinimas yra rekomenduojamas pacientams, kuriems</w:t>
      </w:r>
      <w:r w:rsidR="00AB3A2D" w:rsidRPr="00D166EA">
        <w:rPr>
          <w:szCs w:val="22"/>
        </w:rPr>
        <w:t xml:space="preserve"> kreatinino klirensas yra mažesnis kaip 50</w:t>
      </w:r>
      <w:r w:rsidR="00A916D0">
        <w:rPr>
          <w:szCs w:val="22"/>
        </w:rPr>
        <w:t> </w:t>
      </w:r>
      <w:r w:rsidR="00AB3A2D" w:rsidRPr="00D166EA">
        <w:rPr>
          <w:szCs w:val="22"/>
        </w:rPr>
        <w:t>ml/min. (įskaitant pacientus, kuriems atliekama hemodializė arba nepertraukiama ambulatorinė peritoninė dializė</w:t>
      </w:r>
      <w:r w:rsidR="00C84D8F" w:rsidRPr="00D166EA">
        <w:rPr>
          <w:szCs w:val="22"/>
        </w:rPr>
        <w:t xml:space="preserve"> [</w:t>
      </w:r>
      <w:r w:rsidR="00C84D8F" w:rsidRPr="00D166EA">
        <w:rPr>
          <w:i/>
          <w:szCs w:val="22"/>
        </w:rPr>
        <w:t xml:space="preserve">angl. </w:t>
      </w:r>
      <w:r w:rsidR="00C84D8F" w:rsidRPr="00D166EA">
        <w:rPr>
          <w:szCs w:val="22"/>
        </w:rPr>
        <w:t>continuous ambulatory peritoneal dialysis</w:t>
      </w:r>
      <w:r w:rsidR="00C84D8F" w:rsidRPr="00D166EA">
        <w:rPr>
          <w:i/>
          <w:szCs w:val="22"/>
        </w:rPr>
        <w:t xml:space="preserve"> </w:t>
      </w:r>
      <w:r w:rsidR="00AB3A2D" w:rsidRPr="00D166EA">
        <w:rPr>
          <w:szCs w:val="22"/>
        </w:rPr>
        <w:t>CAPD</w:t>
      </w:r>
      <w:r w:rsidR="00C84D8F" w:rsidRPr="00D166EA">
        <w:rPr>
          <w:szCs w:val="22"/>
        </w:rPr>
        <w:t>]</w:t>
      </w:r>
      <w:r w:rsidR="00AB3A2D" w:rsidRPr="00D166EA">
        <w:rPr>
          <w:szCs w:val="22"/>
        </w:rPr>
        <w:t xml:space="preserve">). </w:t>
      </w:r>
      <w:r w:rsidR="00C84D8F" w:rsidRPr="00D166EA">
        <w:rPr>
          <w:szCs w:val="22"/>
        </w:rPr>
        <w:t>Paros dozę rekomenduojama sumažinti vartojant</w:t>
      </w:r>
      <w:r w:rsidR="00AB3A2D" w:rsidRPr="00D166EA">
        <w:rPr>
          <w:szCs w:val="22"/>
        </w:rPr>
        <w:t xml:space="preserve"> </w:t>
      </w:r>
      <w:r w:rsidR="00C84D8F" w:rsidRPr="00D166EA">
        <w:rPr>
          <w:szCs w:val="22"/>
        </w:rPr>
        <w:t>entekaviro</w:t>
      </w:r>
      <w:r w:rsidR="00AB3A2D" w:rsidRPr="00D166EA">
        <w:rPr>
          <w:szCs w:val="22"/>
        </w:rPr>
        <w:t xml:space="preserve"> geriam</w:t>
      </w:r>
      <w:r w:rsidR="00C84D8F" w:rsidRPr="00D166EA">
        <w:rPr>
          <w:szCs w:val="22"/>
        </w:rPr>
        <w:t>ojo</w:t>
      </w:r>
      <w:r w:rsidR="00AB3A2D" w:rsidRPr="00D166EA">
        <w:rPr>
          <w:szCs w:val="22"/>
        </w:rPr>
        <w:t xml:space="preserve"> tirpal</w:t>
      </w:r>
      <w:r w:rsidR="00C84D8F" w:rsidRPr="00D166EA">
        <w:rPr>
          <w:szCs w:val="22"/>
        </w:rPr>
        <w:t>o,</w:t>
      </w:r>
      <w:r w:rsidR="00AB3A2D" w:rsidRPr="00D166EA">
        <w:rPr>
          <w:szCs w:val="22"/>
        </w:rPr>
        <w:t xml:space="preserve"> </w:t>
      </w:r>
      <w:r w:rsidR="00C84D8F" w:rsidRPr="00D166EA">
        <w:rPr>
          <w:szCs w:val="22"/>
        </w:rPr>
        <w:t>kaip detalizuota</w:t>
      </w:r>
      <w:r w:rsidR="00AB3A2D" w:rsidRPr="00D166EA">
        <w:rPr>
          <w:szCs w:val="22"/>
        </w:rPr>
        <w:t xml:space="preserve"> lentelėje. </w:t>
      </w:r>
      <w:r w:rsidR="00C84D8F" w:rsidRPr="00D166EA">
        <w:rPr>
          <w:szCs w:val="22"/>
        </w:rPr>
        <w:t>Kaip alternatyva, jeigu</w:t>
      </w:r>
      <w:r w:rsidR="00AB3A2D" w:rsidRPr="00D166EA">
        <w:rPr>
          <w:szCs w:val="22"/>
        </w:rPr>
        <w:t xml:space="preserve"> geriamojo tirpalo </w:t>
      </w:r>
      <w:r w:rsidR="00C84D8F" w:rsidRPr="00D166EA">
        <w:rPr>
          <w:szCs w:val="22"/>
        </w:rPr>
        <w:t>nėra</w:t>
      </w:r>
      <w:r w:rsidR="00AB3A2D" w:rsidRPr="00D166EA">
        <w:rPr>
          <w:szCs w:val="22"/>
        </w:rPr>
        <w:t xml:space="preserve">, </w:t>
      </w:r>
      <w:r w:rsidR="00025146" w:rsidRPr="00D166EA">
        <w:rPr>
          <w:szCs w:val="22"/>
        </w:rPr>
        <w:t xml:space="preserve">dozę galima priderinti </w:t>
      </w:r>
      <w:r w:rsidR="00AB3A2D" w:rsidRPr="00D166EA">
        <w:rPr>
          <w:szCs w:val="22"/>
        </w:rPr>
        <w:t>ilgin</w:t>
      </w:r>
      <w:r w:rsidR="00025146" w:rsidRPr="00D166EA">
        <w:rPr>
          <w:szCs w:val="22"/>
        </w:rPr>
        <w:t>ant dozavimo intervalą</w:t>
      </w:r>
      <w:r w:rsidR="00AB3A2D" w:rsidRPr="00D166EA">
        <w:rPr>
          <w:szCs w:val="22"/>
        </w:rPr>
        <w:t xml:space="preserve"> (tai taip pat nurodyta lentelėje). Siūlomas dozės </w:t>
      </w:r>
      <w:r w:rsidR="00025146" w:rsidRPr="00D166EA">
        <w:rPr>
          <w:szCs w:val="22"/>
        </w:rPr>
        <w:t>modifikavima</w:t>
      </w:r>
      <w:r>
        <w:rPr>
          <w:szCs w:val="22"/>
        </w:rPr>
        <w:t>s</w:t>
      </w:r>
      <w:r w:rsidR="00025146" w:rsidRPr="00D166EA">
        <w:rPr>
          <w:szCs w:val="22"/>
        </w:rPr>
        <w:t xml:space="preserve"> yra</w:t>
      </w:r>
      <w:r w:rsidR="00AB3A2D" w:rsidRPr="00D166EA">
        <w:rPr>
          <w:szCs w:val="22"/>
        </w:rPr>
        <w:t xml:space="preserve"> pagrįstas </w:t>
      </w:r>
      <w:r w:rsidR="00025146" w:rsidRPr="00D166EA">
        <w:rPr>
          <w:szCs w:val="22"/>
        </w:rPr>
        <w:t>nedidelių duomenų ekstrapoliacij</w:t>
      </w:r>
      <w:r>
        <w:rPr>
          <w:szCs w:val="22"/>
        </w:rPr>
        <w:t>a</w:t>
      </w:r>
      <w:r w:rsidR="00025146" w:rsidRPr="00D166EA">
        <w:rPr>
          <w:szCs w:val="22"/>
        </w:rPr>
        <w:t>, jų</w:t>
      </w:r>
      <w:r w:rsidR="00AB3A2D" w:rsidRPr="00D166EA">
        <w:rPr>
          <w:szCs w:val="22"/>
        </w:rPr>
        <w:t xml:space="preserve"> saugumas </w:t>
      </w:r>
      <w:r w:rsidR="00025146" w:rsidRPr="00D166EA">
        <w:rPr>
          <w:szCs w:val="22"/>
        </w:rPr>
        <w:t xml:space="preserve">bei </w:t>
      </w:r>
      <w:r w:rsidR="00AB3A2D" w:rsidRPr="00D166EA">
        <w:rPr>
          <w:szCs w:val="22"/>
        </w:rPr>
        <w:t>veiksmingumas kliniškai neištirt</w:t>
      </w:r>
      <w:r w:rsidR="00025146" w:rsidRPr="00D166EA">
        <w:rPr>
          <w:szCs w:val="22"/>
        </w:rPr>
        <w:t>i</w:t>
      </w:r>
      <w:r w:rsidR="00AB3A2D" w:rsidRPr="00D166EA">
        <w:rPr>
          <w:szCs w:val="22"/>
        </w:rPr>
        <w:t>, todėl reikia atidžiai stebėti vir</w:t>
      </w:r>
      <w:r w:rsidR="00025146" w:rsidRPr="00D166EA">
        <w:rPr>
          <w:szCs w:val="22"/>
        </w:rPr>
        <w:t>uso</w:t>
      </w:r>
      <w:r w:rsidR="00AB3A2D" w:rsidRPr="00D166EA">
        <w:rPr>
          <w:szCs w:val="22"/>
        </w:rPr>
        <w:t>loginį atsaką.</w:t>
      </w:r>
    </w:p>
    <w:p w14:paraId="1234D39B" w14:textId="77777777" w:rsidR="00AB3A2D" w:rsidRPr="00D166EA" w:rsidRDefault="00AB3A2D" w:rsidP="0061061F">
      <w:pPr>
        <w:rPr>
          <w:szCs w:val="22"/>
        </w:rPr>
      </w:pPr>
    </w:p>
    <w:tbl>
      <w:tblPr>
        <w:tblW w:w="0" w:type="auto"/>
        <w:tblInd w:w="117" w:type="dxa"/>
        <w:tblLayout w:type="fixed"/>
        <w:tblCellMar>
          <w:left w:w="0" w:type="dxa"/>
          <w:right w:w="0" w:type="dxa"/>
        </w:tblCellMar>
        <w:tblLook w:val="01E0" w:firstRow="1" w:lastRow="1" w:firstColumn="1" w:lastColumn="1" w:noHBand="0" w:noVBand="0"/>
      </w:tblPr>
      <w:tblGrid>
        <w:gridCol w:w="2277"/>
        <w:gridCol w:w="3105"/>
        <w:gridCol w:w="3156"/>
      </w:tblGrid>
      <w:tr w:rsidR="00025146" w:rsidRPr="00D166EA" w14:paraId="03090B80" w14:textId="77777777" w:rsidTr="002746CC">
        <w:trPr>
          <w:trHeight w:hRule="exact" w:val="634"/>
        </w:trPr>
        <w:tc>
          <w:tcPr>
            <w:tcW w:w="2277" w:type="dxa"/>
            <w:vMerge w:val="restart"/>
            <w:tcBorders>
              <w:top w:val="single" w:sz="7" w:space="0" w:color="000000"/>
              <w:left w:val="single" w:sz="6" w:space="0" w:color="000000"/>
              <w:right w:val="single" w:sz="6" w:space="0" w:color="000000"/>
            </w:tcBorders>
          </w:tcPr>
          <w:p w14:paraId="0FA696F6" w14:textId="77777777" w:rsidR="00025146" w:rsidRPr="00B606B7" w:rsidRDefault="00025146" w:rsidP="00025146">
            <w:pPr>
              <w:spacing w:before="8" w:line="190" w:lineRule="exact"/>
              <w:rPr>
                <w:szCs w:val="22"/>
                <w:lang w:eastAsia="en-US"/>
              </w:rPr>
            </w:pPr>
          </w:p>
          <w:p w14:paraId="04FA10F2" w14:textId="77777777" w:rsidR="00025146" w:rsidRPr="00B606B7" w:rsidRDefault="00025146" w:rsidP="00025146">
            <w:pPr>
              <w:spacing w:line="200" w:lineRule="exact"/>
              <w:rPr>
                <w:szCs w:val="22"/>
                <w:lang w:eastAsia="en-US"/>
              </w:rPr>
            </w:pPr>
          </w:p>
          <w:p w14:paraId="0868C286" w14:textId="77777777" w:rsidR="00025146" w:rsidRPr="00D166EA" w:rsidRDefault="00383640" w:rsidP="00383640">
            <w:pPr>
              <w:spacing w:before="6"/>
              <w:ind w:left="710" w:right="118"/>
              <w:jc w:val="center"/>
              <w:rPr>
                <w:szCs w:val="22"/>
                <w:lang w:val="en-US" w:eastAsia="en-US"/>
              </w:rPr>
            </w:pPr>
            <w:r w:rsidRPr="00D166EA">
              <w:rPr>
                <w:b/>
                <w:bCs/>
                <w:szCs w:val="22"/>
                <w:lang w:val="en-US" w:eastAsia="en-US"/>
              </w:rPr>
              <w:t>Kreatinino klirensas (ml/min.)</w:t>
            </w:r>
          </w:p>
        </w:tc>
        <w:tc>
          <w:tcPr>
            <w:tcW w:w="6261" w:type="dxa"/>
            <w:gridSpan w:val="2"/>
            <w:tcBorders>
              <w:top w:val="single" w:sz="7" w:space="0" w:color="000000"/>
              <w:left w:val="single" w:sz="6" w:space="0" w:color="000000"/>
              <w:bottom w:val="single" w:sz="6" w:space="0" w:color="000000"/>
              <w:right w:val="single" w:sz="6" w:space="0" w:color="000000"/>
            </w:tcBorders>
          </w:tcPr>
          <w:p w14:paraId="35FB4168" w14:textId="77777777" w:rsidR="00025146" w:rsidRPr="00D166EA" w:rsidRDefault="00025146" w:rsidP="00383640">
            <w:pPr>
              <w:spacing w:before="5"/>
              <w:ind w:left="2075" w:right="2057"/>
              <w:jc w:val="center"/>
              <w:rPr>
                <w:szCs w:val="22"/>
                <w:lang w:val="en-US" w:eastAsia="en-US"/>
              </w:rPr>
            </w:pPr>
            <w:r w:rsidRPr="00D166EA">
              <w:rPr>
                <w:b/>
                <w:bCs/>
                <w:szCs w:val="22"/>
                <w:lang w:val="en-US" w:eastAsia="en-US"/>
              </w:rPr>
              <w:t>Ente</w:t>
            </w:r>
            <w:r w:rsidR="00383640" w:rsidRPr="00D166EA">
              <w:rPr>
                <w:b/>
                <w:bCs/>
                <w:szCs w:val="22"/>
                <w:lang w:val="en-US" w:eastAsia="en-US"/>
              </w:rPr>
              <w:t>kaviro</w:t>
            </w:r>
            <w:r w:rsidRPr="00D166EA">
              <w:rPr>
                <w:b/>
                <w:bCs/>
                <w:spacing w:val="29"/>
                <w:szCs w:val="22"/>
                <w:lang w:val="en-US" w:eastAsia="en-US"/>
              </w:rPr>
              <w:t xml:space="preserve"> </w:t>
            </w:r>
            <w:r w:rsidRPr="00D166EA">
              <w:rPr>
                <w:b/>
                <w:bCs/>
                <w:w w:val="103"/>
                <w:szCs w:val="22"/>
                <w:lang w:val="en-US" w:eastAsia="en-US"/>
              </w:rPr>
              <w:t>do</w:t>
            </w:r>
            <w:r w:rsidR="00383640" w:rsidRPr="00D166EA">
              <w:rPr>
                <w:b/>
                <w:bCs/>
                <w:spacing w:val="1"/>
                <w:w w:val="103"/>
                <w:szCs w:val="22"/>
                <w:lang w:val="en-US" w:eastAsia="en-US"/>
              </w:rPr>
              <w:t>zavimas</w:t>
            </w:r>
            <w:r w:rsidRPr="00D166EA">
              <w:rPr>
                <w:b/>
                <w:bCs/>
                <w:w w:val="103"/>
                <w:szCs w:val="22"/>
                <w:lang w:val="en-US" w:eastAsia="en-US"/>
              </w:rPr>
              <w:t>*</w:t>
            </w:r>
          </w:p>
        </w:tc>
      </w:tr>
      <w:tr w:rsidR="00025146" w:rsidRPr="00B606B7" w14:paraId="2A311368" w14:textId="77777777" w:rsidTr="002746CC">
        <w:trPr>
          <w:trHeight w:hRule="exact" w:val="835"/>
        </w:trPr>
        <w:tc>
          <w:tcPr>
            <w:tcW w:w="2277" w:type="dxa"/>
            <w:vMerge/>
            <w:tcBorders>
              <w:left w:val="single" w:sz="6" w:space="0" w:color="000000"/>
              <w:bottom w:val="single" w:sz="6" w:space="0" w:color="000000"/>
              <w:right w:val="single" w:sz="6" w:space="0" w:color="000000"/>
            </w:tcBorders>
          </w:tcPr>
          <w:p w14:paraId="0D0AE360" w14:textId="77777777" w:rsidR="00025146" w:rsidRPr="00D166EA" w:rsidRDefault="00025146" w:rsidP="00025146">
            <w:pPr>
              <w:rPr>
                <w:szCs w:val="22"/>
                <w:lang w:val="en-US" w:eastAsia="en-US"/>
              </w:rPr>
            </w:pPr>
          </w:p>
        </w:tc>
        <w:tc>
          <w:tcPr>
            <w:tcW w:w="3105" w:type="dxa"/>
            <w:tcBorders>
              <w:top w:val="single" w:sz="6" w:space="0" w:color="000000"/>
              <w:left w:val="single" w:sz="6" w:space="0" w:color="000000"/>
              <w:bottom w:val="single" w:sz="6" w:space="0" w:color="000000"/>
              <w:right w:val="single" w:sz="6" w:space="0" w:color="000000"/>
            </w:tcBorders>
          </w:tcPr>
          <w:p w14:paraId="75C1A45A" w14:textId="77777777" w:rsidR="00025146" w:rsidRPr="00D166EA" w:rsidRDefault="00383640" w:rsidP="00025146">
            <w:pPr>
              <w:spacing w:before="5"/>
              <w:ind w:left="429" w:right="-20"/>
              <w:rPr>
                <w:szCs w:val="22"/>
                <w:lang w:val="en-US" w:eastAsia="en-US"/>
              </w:rPr>
            </w:pPr>
            <w:r w:rsidRPr="00D166EA">
              <w:rPr>
                <w:b/>
                <w:bCs/>
                <w:szCs w:val="22"/>
                <w:lang w:val="en-US" w:eastAsia="en-US"/>
              </w:rPr>
              <w:t>Nukleozidų nevartojusiems pacientams</w:t>
            </w:r>
          </w:p>
        </w:tc>
        <w:tc>
          <w:tcPr>
            <w:tcW w:w="3156" w:type="dxa"/>
            <w:tcBorders>
              <w:top w:val="single" w:sz="6" w:space="0" w:color="000000"/>
              <w:left w:val="single" w:sz="6" w:space="0" w:color="000000"/>
              <w:bottom w:val="single" w:sz="6" w:space="0" w:color="000000"/>
              <w:right w:val="single" w:sz="6" w:space="0" w:color="000000"/>
            </w:tcBorders>
          </w:tcPr>
          <w:p w14:paraId="20CB16A9" w14:textId="77777777" w:rsidR="00025146" w:rsidRPr="00B606B7" w:rsidRDefault="00383640" w:rsidP="00F325C0">
            <w:pPr>
              <w:spacing w:before="5" w:line="247" w:lineRule="auto"/>
              <w:ind w:left="147" w:right="95" w:firstLine="95"/>
              <w:rPr>
                <w:szCs w:val="22"/>
                <w:lang w:val="en-US" w:eastAsia="en-US"/>
              </w:rPr>
            </w:pPr>
            <w:r w:rsidRPr="00B606B7">
              <w:rPr>
                <w:b/>
                <w:bCs/>
                <w:szCs w:val="22"/>
                <w:lang w:val="en-US" w:eastAsia="en-US"/>
              </w:rPr>
              <w:t>Lamivudin</w:t>
            </w:r>
            <w:r w:rsidR="00F325C0" w:rsidRPr="00B606B7">
              <w:rPr>
                <w:b/>
                <w:bCs/>
                <w:szCs w:val="22"/>
                <w:lang w:val="en-US" w:eastAsia="en-US"/>
              </w:rPr>
              <w:t>o</w:t>
            </w:r>
            <w:r w:rsidRPr="00B606B7">
              <w:rPr>
                <w:b/>
                <w:bCs/>
                <w:szCs w:val="22"/>
                <w:lang w:val="en-US" w:eastAsia="en-US"/>
              </w:rPr>
              <w:t xml:space="preserve"> </w:t>
            </w:r>
            <w:r w:rsidR="001570EE" w:rsidRPr="00B606B7">
              <w:rPr>
                <w:b/>
                <w:bCs/>
                <w:szCs w:val="22"/>
                <w:lang w:val="en-US" w:eastAsia="en-US"/>
              </w:rPr>
              <w:t>poveikiui nejautri</w:t>
            </w:r>
            <w:r w:rsidRPr="00B606B7">
              <w:rPr>
                <w:b/>
                <w:bCs/>
                <w:szCs w:val="22"/>
                <w:lang w:val="en-US" w:eastAsia="en-US"/>
              </w:rPr>
              <w:t xml:space="preserve"> arba nekompensuota kepenų liga</w:t>
            </w:r>
          </w:p>
        </w:tc>
      </w:tr>
      <w:tr w:rsidR="00025146" w:rsidRPr="00D166EA" w14:paraId="44923757" w14:textId="77777777" w:rsidTr="002746CC">
        <w:trPr>
          <w:trHeight w:hRule="exact" w:val="394"/>
        </w:trPr>
        <w:tc>
          <w:tcPr>
            <w:tcW w:w="2277" w:type="dxa"/>
            <w:tcBorders>
              <w:top w:val="single" w:sz="6" w:space="0" w:color="000000"/>
              <w:left w:val="single" w:sz="6" w:space="0" w:color="000000"/>
              <w:bottom w:val="single" w:sz="6" w:space="0" w:color="000000"/>
              <w:right w:val="single" w:sz="6" w:space="0" w:color="000000"/>
            </w:tcBorders>
          </w:tcPr>
          <w:p w14:paraId="37C25798" w14:textId="77777777" w:rsidR="00025146" w:rsidRPr="00D166EA" w:rsidRDefault="00025146" w:rsidP="00B606B7">
            <w:pPr>
              <w:spacing w:before="4"/>
              <w:ind w:left="71" w:right="136"/>
              <w:jc w:val="center"/>
              <w:rPr>
                <w:szCs w:val="22"/>
                <w:lang w:val="en-US" w:eastAsia="en-US"/>
              </w:rPr>
            </w:pPr>
            <w:r w:rsidRPr="00D166EA">
              <w:rPr>
                <w:szCs w:val="22"/>
                <w:lang w:val="en-US" w:eastAsia="en-US"/>
              </w:rPr>
              <w:t>≥</w:t>
            </w:r>
            <w:r w:rsidR="00A916D0">
              <w:rPr>
                <w:szCs w:val="22"/>
                <w:lang w:val="en-US" w:eastAsia="en-US"/>
              </w:rPr>
              <w:t> </w:t>
            </w:r>
            <w:r w:rsidRPr="00D166EA">
              <w:rPr>
                <w:w w:val="103"/>
                <w:szCs w:val="22"/>
                <w:lang w:val="en-US" w:eastAsia="en-US"/>
              </w:rPr>
              <w:t>50</w:t>
            </w:r>
          </w:p>
        </w:tc>
        <w:tc>
          <w:tcPr>
            <w:tcW w:w="3105" w:type="dxa"/>
            <w:tcBorders>
              <w:top w:val="single" w:sz="6" w:space="0" w:color="000000"/>
              <w:left w:val="single" w:sz="6" w:space="0" w:color="000000"/>
              <w:bottom w:val="single" w:sz="6" w:space="0" w:color="000000"/>
              <w:right w:val="single" w:sz="6" w:space="0" w:color="000000"/>
            </w:tcBorders>
          </w:tcPr>
          <w:p w14:paraId="35A741C1" w14:textId="77777777" w:rsidR="00025146" w:rsidRPr="00D166EA" w:rsidRDefault="00025146" w:rsidP="00383640">
            <w:pPr>
              <w:spacing w:before="4"/>
              <w:ind w:left="802" w:right="-20"/>
              <w:rPr>
                <w:szCs w:val="22"/>
                <w:lang w:val="en-US" w:eastAsia="en-US"/>
              </w:rPr>
            </w:pPr>
            <w:r w:rsidRPr="00D166EA">
              <w:rPr>
                <w:szCs w:val="22"/>
                <w:lang w:val="en-US" w:eastAsia="en-US"/>
              </w:rPr>
              <w:t>0</w:t>
            </w:r>
            <w:r w:rsidR="00383640" w:rsidRPr="00D166EA">
              <w:rPr>
                <w:szCs w:val="22"/>
                <w:lang w:val="en-US" w:eastAsia="en-US"/>
              </w:rPr>
              <w:t>,</w:t>
            </w:r>
            <w:r w:rsidRPr="00D166EA">
              <w:rPr>
                <w:szCs w:val="22"/>
                <w:lang w:val="en-US" w:eastAsia="en-US"/>
              </w:rPr>
              <w:t>5</w:t>
            </w:r>
            <w:r w:rsidR="00383640" w:rsidRPr="00D166EA">
              <w:rPr>
                <w:spacing w:val="11"/>
                <w:szCs w:val="22"/>
                <w:lang w:val="en-US" w:eastAsia="en-US"/>
              </w:rPr>
              <w:t> </w:t>
            </w:r>
            <w:r w:rsidRPr="00D166EA">
              <w:rPr>
                <w:szCs w:val="22"/>
                <w:lang w:val="en-US" w:eastAsia="en-US"/>
              </w:rPr>
              <w:t>mg</w:t>
            </w:r>
            <w:r w:rsidRPr="00D166EA">
              <w:rPr>
                <w:spacing w:val="11"/>
                <w:szCs w:val="22"/>
                <w:lang w:val="en-US" w:eastAsia="en-US"/>
              </w:rPr>
              <w:t xml:space="preserve"> </w:t>
            </w:r>
            <w:r w:rsidR="00383640" w:rsidRPr="00D166EA">
              <w:rPr>
                <w:spacing w:val="-1"/>
                <w:szCs w:val="22"/>
                <w:lang w:val="en-US" w:eastAsia="en-US"/>
              </w:rPr>
              <w:t>kartą per parą</w:t>
            </w:r>
          </w:p>
        </w:tc>
        <w:tc>
          <w:tcPr>
            <w:tcW w:w="3156" w:type="dxa"/>
            <w:tcBorders>
              <w:top w:val="single" w:sz="6" w:space="0" w:color="000000"/>
              <w:left w:val="single" w:sz="6" w:space="0" w:color="000000"/>
              <w:bottom w:val="single" w:sz="6" w:space="0" w:color="000000"/>
              <w:right w:val="single" w:sz="6" w:space="0" w:color="000000"/>
            </w:tcBorders>
          </w:tcPr>
          <w:p w14:paraId="6C92534A" w14:textId="77777777" w:rsidR="00025146" w:rsidRPr="00D166EA" w:rsidRDefault="00025146" w:rsidP="00383640">
            <w:pPr>
              <w:spacing w:before="4"/>
              <w:ind w:left="725" w:right="-20"/>
              <w:rPr>
                <w:szCs w:val="22"/>
                <w:lang w:val="en-US" w:eastAsia="en-US"/>
              </w:rPr>
            </w:pPr>
            <w:r w:rsidRPr="00D166EA">
              <w:rPr>
                <w:szCs w:val="22"/>
                <w:lang w:val="en-US" w:eastAsia="en-US"/>
              </w:rPr>
              <w:t>1</w:t>
            </w:r>
            <w:r w:rsidR="00383640" w:rsidRPr="00D166EA">
              <w:rPr>
                <w:spacing w:val="6"/>
                <w:szCs w:val="22"/>
                <w:lang w:val="en-US" w:eastAsia="en-US"/>
              </w:rPr>
              <w:t> </w:t>
            </w:r>
            <w:r w:rsidRPr="00D166EA">
              <w:rPr>
                <w:spacing w:val="-2"/>
                <w:szCs w:val="22"/>
                <w:lang w:val="en-US" w:eastAsia="en-US"/>
              </w:rPr>
              <w:t>m</w:t>
            </w:r>
            <w:r w:rsidRPr="00D166EA">
              <w:rPr>
                <w:szCs w:val="22"/>
                <w:lang w:val="en-US" w:eastAsia="en-US"/>
              </w:rPr>
              <w:t>g</w:t>
            </w:r>
            <w:r w:rsidRPr="00D166EA">
              <w:rPr>
                <w:spacing w:val="11"/>
                <w:szCs w:val="22"/>
                <w:lang w:val="en-US" w:eastAsia="en-US"/>
              </w:rPr>
              <w:t xml:space="preserve"> </w:t>
            </w:r>
            <w:r w:rsidR="00383640" w:rsidRPr="00D166EA">
              <w:rPr>
                <w:spacing w:val="1"/>
                <w:szCs w:val="22"/>
                <w:lang w:val="en-US" w:eastAsia="en-US"/>
              </w:rPr>
              <w:t>kartą per parą</w:t>
            </w:r>
          </w:p>
        </w:tc>
      </w:tr>
      <w:tr w:rsidR="00025146" w:rsidRPr="00D166EA" w14:paraId="19F8E92A" w14:textId="77777777" w:rsidTr="002746CC">
        <w:trPr>
          <w:trHeight w:hRule="exact" w:val="1075"/>
        </w:trPr>
        <w:tc>
          <w:tcPr>
            <w:tcW w:w="2277" w:type="dxa"/>
            <w:tcBorders>
              <w:top w:val="single" w:sz="6" w:space="0" w:color="000000"/>
              <w:left w:val="single" w:sz="6" w:space="0" w:color="000000"/>
              <w:bottom w:val="single" w:sz="6" w:space="0" w:color="000000"/>
              <w:right w:val="single" w:sz="6" w:space="0" w:color="000000"/>
            </w:tcBorders>
          </w:tcPr>
          <w:p w14:paraId="3861EF61" w14:textId="77777777" w:rsidR="00025146" w:rsidRPr="00D166EA" w:rsidRDefault="00025146" w:rsidP="00B606B7">
            <w:pPr>
              <w:spacing w:before="3"/>
              <w:ind w:left="71" w:right="136"/>
              <w:jc w:val="center"/>
              <w:rPr>
                <w:szCs w:val="22"/>
                <w:lang w:val="en-US" w:eastAsia="en-US"/>
              </w:rPr>
            </w:pPr>
            <w:r w:rsidRPr="00D166EA">
              <w:rPr>
                <w:szCs w:val="22"/>
                <w:lang w:val="en-US" w:eastAsia="en-US"/>
              </w:rPr>
              <w:t>30</w:t>
            </w:r>
            <w:r w:rsidR="00A916D0">
              <w:rPr>
                <w:szCs w:val="22"/>
                <w:lang w:val="en-US" w:eastAsia="en-US"/>
              </w:rPr>
              <w:t> </w:t>
            </w:r>
            <w:r w:rsidRPr="00D166EA">
              <w:rPr>
                <w:szCs w:val="22"/>
                <w:lang w:val="en-US" w:eastAsia="en-US"/>
              </w:rPr>
              <w:t>-</w:t>
            </w:r>
            <w:r w:rsidR="00A916D0">
              <w:rPr>
                <w:szCs w:val="22"/>
                <w:lang w:val="en-US" w:eastAsia="en-US"/>
              </w:rPr>
              <w:t> </w:t>
            </w:r>
            <w:r w:rsidRPr="00D166EA">
              <w:rPr>
                <w:w w:val="103"/>
                <w:szCs w:val="22"/>
                <w:lang w:val="en-US" w:eastAsia="en-US"/>
              </w:rPr>
              <w:t>49</w:t>
            </w:r>
          </w:p>
        </w:tc>
        <w:tc>
          <w:tcPr>
            <w:tcW w:w="3105" w:type="dxa"/>
            <w:tcBorders>
              <w:top w:val="single" w:sz="6" w:space="0" w:color="000000"/>
              <w:left w:val="single" w:sz="6" w:space="0" w:color="000000"/>
              <w:bottom w:val="single" w:sz="6" w:space="0" w:color="000000"/>
              <w:right w:val="single" w:sz="6" w:space="0" w:color="000000"/>
            </w:tcBorders>
          </w:tcPr>
          <w:p w14:paraId="20292FDC" w14:textId="77777777" w:rsidR="00025146" w:rsidRPr="00B606B7" w:rsidRDefault="00025146" w:rsidP="00383640">
            <w:pPr>
              <w:tabs>
                <w:tab w:val="left" w:pos="2859"/>
              </w:tabs>
              <w:spacing w:before="3" w:line="249" w:lineRule="auto"/>
              <w:ind w:left="682" w:right="246"/>
              <w:jc w:val="center"/>
              <w:rPr>
                <w:szCs w:val="22"/>
                <w:lang w:val="de-DE" w:eastAsia="en-US"/>
              </w:rPr>
            </w:pPr>
            <w:r w:rsidRPr="00B606B7">
              <w:rPr>
                <w:spacing w:val="-1"/>
                <w:szCs w:val="22"/>
                <w:lang w:val="de-DE" w:eastAsia="en-US"/>
              </w:rPr>
              <w:t>0</w:t>
            </w:r>
            <w:r w:rsidR="00383640" w:rsidRPr="00B606B7">
              <w:rPr>
                <w:spacing w:val="1"/>
                <w:szCs w:val="22"/>
                <w:lang w:val="de-DE" w:eastAsia="en-US"/>
              </w:rPr>
              <w:t>,</w:t>
            </w:r>
            <w:r w:rsidRPr="00B606B7">
              <w:rPr>
                <w:szCs w:val="22"/>
                <w:lang w:val="de-DE" w:eastAsia="en-US"/>
              </w:rPr>
              <w:t>25</w:t>
            </w:r>
            <w:r w:rsidR="00383640" w:rsidRPr="00B606B7">
              <w:rPr>
                <w:spacing w:val="13"/>
                <w:szCs w:val="22"/>
                <w:lang w:val="de-DE" w:eastAsia="en-US"/>
              </w:rPr>
              <w:t> </w:t>
            </w:r>
            <w:r w:rsidRPr="00B606B7">
              <w:rPr>
                <w:szCs w:val="22"/>
                <w:lang w:val="de-DE" w:eastAsia="en-US"/>
              </w:rPr>
              <w:t>mg</w:t>
            </w:r>
            <w:r w:rsidRPr="00B606B7">
              <w:rPr>
                <w:spacing w:val="11"/>
                <w:szCs w:val="22"/>
                <w:lang w:val="de-DE" w:eastAsia="en-US"/>
              </w:rPr>
              <w:t xml:space="preserve"> </w:t>
            </w:r>
            <w:r w:rsidR="00383640" w:rsidRPr="00B606B7">
              <w:rPr>
                <w:szCs w:val="22"/>
                <w:lang w:val="de-DE" w:eastAsia="en-US"/>
              </w:rPr>
              <w:t>kartą per parą</w:t>
            </w:r>
            <w:r w:rsidRPr="00B606B7">
              <w:rPr>
                <w:w w:val="103"/>
                <w:szCs w:val="22"/>
                <w:lang w:val="de-DE" w:eastAsia="en-US"/>
              </w:rPr>
              <w:t xml:space="preserve">* </w:t>
            </w:r>
            <w:r w:rsidR="00383640" w:rsidRPr="00B606B7">
              <w:rPr>
                <w:w w:val="103"/>
                <w:szCs w:val="22"/>
                <w:lang w:val="de-DE" w:eastAsia="en-US"/>
              </w:rPr>
              <w:t>arba</w:t>
            </w:r>
          </w:p>
          <w:p w14:paraId="671DD9AB" w14:textId="77777777" w:rsidR="00025146" w:rsidRPr="00B606B7" w:rsidRDefault="00025146" w:rsidP="00A916D0">
            <w:pPr>
              <w:spacing w:line="229" w:lineRule="exact"/>
              <w:ind w:left="580" w:right="246"/>
              <w:jc w:val="center"/>
              <w:rPr>
                <w:szCs w:val="22"/>
                <w:lang w:val="de-DE" w:eastAsia="en-US"/>
              </w:rPr>
            </w:pPr>
            <w:r w:rsidRPr="00B606B7">
              <w:rPr>
                <w:szCs w:val="22"/>
                <w:lang w:val="de-DE" w:eastAsia="en-US"/>
              </w:rPr>
              <w:t>0</w:t>
            </w:r>
            <w:r w:rsidR="00383640" w:rsidRPr="00B606B7">
              <w:rPr>
                <w:szCs w:val="22"/>
                <w:lang w:val="de-DE" w:eastAsia="en-US"/>
              </w:rPr>
              <w:t>,</w:t>
            </w:r>
            <w:r w:rsidRPr="00B606B7">
              <w:rPr>
                <w:szCs w:val="22"/>
                <w:lang w:val="de-DE" w:eastAsia="en-US"/>
              </w:rPr>
              <w:t>5</w:t>
            </w:r>
            <w:r w:rsidR="00383640" w:rsidRPr="00B606B7">
              <w:rPr>
                <w:spacing w:val="11"/>
                <w:szCs w:val="22"/>
                <w:lang w:val="de-DE" w:eastAsia="en-US"/>
              </w:rPr>
              <w:t> </w:t>
            </w:r>
            <w:r w:rsidRPr="00B606B7">
              <w:rPr>
                <w:szCs w:val="22"/>
                <w:lang w:val="de-DE" w:eastAsia="en-US"/>
              </w:rPr>
              <w:t>mg</w:t>
            </w:r>
            <w:r w:rsidRPr="00B606B7">
              <w:rPr>
                <w:spacing w:val="8"/>
                <w:szCs w:val="22"/>
                <w:lang w:val="de-DE" w:eastAsia="en-US"/>
              </w:rPr>
              <w:t xml:space="preserve"> </w:t>
            </w:r>
            <w:r w:rsidR="00383640" w:rsidRPr="00B606B7">
              <w:rPr>
                <w:spacing w:val="2"/>
                <w:szCs w:val="22"/>
                <w:lang w:val="de-DE" w:eastAsia="en-US"/>
              </w:rPr>
              <w:t xml:space="preserve">kas </w:t>
            </w:r>
            <w:r w:rsidRPr="00B606B7">
              <w:rPr>
                <w:spacing w:val="-1"/>
                <w:szCs w:val="22"/>
                <w:lang w:val="de-DE" w:eastAsia="en-US"/>
              </w:rPr>
              <w:t>4</w:t>
            </w:r>
            <w:r w:rsidRPr="00B606B7">
              <w:rPr>
                <w:szCs w:val="22"/>
                <w:lang w:val="de-DE" w:eastAsia="en-US"/>
              </w:rPr>
              <w:t>8</w:t>
            </w:r>
            <w:r w:rsidR="00A916D0" w:rsidRPr="00B606B7">
              <w:rPr>
                <w:szCs w:val="22"/>
                <w:lang w:val="de-DE" w:eastAsia="en-US"/>
              </w:rPr>
              <w:t> </w:t>
            </w:r>
            <w:r w:rsidR="00383640" w:rsidRPr="00B606B7">
              <w:rPr>
                <w:w w:val="103"/>
                <w:szCs w:val="22"/>
                <w:lang w:val="de-DE" w:eastAsia="en-US"/>
              </w:rPr>
              <w:t>valandas</w:t>
            </w:r>
          </w:p>
        </w:tc>
        <w:tc>
          <w:tcPr>
            <w:tcW w:w="3156" w:type="dxa"/>
            <w:tcBorders>
              <w:top w:val="single" w:sz="6" w:space="0" w:color="000000"/>
              <w:left w:val="single" w:sz="6" w:space="0" w:color="000000"/>
              <w:bottom w:val="single" w:sz="6" w:space="0" w:color="000000"/>
              <w:right w:val="single" w:sz="6" w:space="0" w:color="000000"/>
            </w:tcBorders>
          </w:tcPr>
          <w:p w14:paraId="7F3471A6" w14:textId="77777777" w:rsidR="00025146" w:rsidRPr="00D166EA" w:rsidRDefault="00025146" w:rsidP="00383640">
            <w:pPr>
              <w:spacing w:before="3"/>
              <w:ind w:left="647" w:right="-20"/>
              <w:rPr>
                <w:szCs w:val="22"/>
                <w:lang w:val="en-US" w:eastAsia="en-US"/>
              </w:rPr>
            </w:pPr>
            <w:r w:rsidRPr="00D166EA">
              <w:rPr>
                <w:spacing w:val="-1"/>
                <w:szCs w:val="22"/>
                <w:lang w:val="en-US" w:eastAsia="en-US"/>
              </w:rPr>
              <w:t>0</w:t>
            </w:r>
            <w:r w:rsidR="00383640" w:rsidRPr="00D166EA">
              <w:rPr>
                <w:spacing w:val="1"/>
                <w:szCs w:val="22"/>
                <w:lang w:val="en-US" w:eastAsia="en-US"/>
              </w:rPr>
              <w:t>,</w:t>
            </w:r>
            <w:r w:rsidRPr="00D166EA">
              <w:rPr>
                <w:szCs w:val="22"/>
                <w:lang w:val="en-US" w:eastAsia="en-US"/>
              </w:rPr>
              <w:t>5</w:t>
            </w:r>
            <w:r w:rsidR="00383640" w:rsidRPr="00D166EA">
              <w:rPr>
                <w:spacing w:val="10"/>
                <w:szCs w:val="22"/>
                <w:lang w:val="en-US" w:eastAsia="en-US"/>
              </w:rPr>
              <w:t> </w:t>
            </w:r>
            <w:r w:rsidRPr="00D166EA">
              <w:rPr>
                <w:spacing w:val="-1"/>
                <w:szCs w:val="22"/>
                <w:lang w:val="en-US" w:eastAsia="en-US"/>
              </w:rPr>
              <w:t>m</w:t>
            </w:r>
            <w:r w:rsidRPr="00D166EA">
              <w:rPr>
                <w:szCs w:val="22"/>
                <w:lang w:val="en-US" w:eastAsia="en-US"/>
              </w:rPr>
              <w:t>g</w:t>
            </w:r>
            <w:r w:rsidRPr="00D166EA">
              <w:rPr>
                <w:spacing w:val="11"/>
                <w:szCs w:val="22"/>
                <w:lang w:val="en-US" w:eastAsia="en-US"/>
              </w:rPr>
              <w:t xml:space="preserve"> </w:t>
            </w:r>
            <w:r w:rsidR="00383640" w:rsidRPr="00D166EA">
              <w:rPr>
                <w:szCs w:val="22"/>
                <w:lang w:val="en-US" w:eastAsia="en-US"/>
              </w:rPr>
              <w:t>kartą per parą</w:t>
            </w:r>
          </w:p>
        </w:tc>
      </w:tr>
      <w:tr w:rsidR="00025146" w:rsidRPr="00B606B7" w14:paraId="585893E3" w14:textId="77777777" w:rsidTr="002746CC">
        <w:trPr>
          <w:trHeight w:hRule="exact" w:val="1043"/>
        </w:trPr>
        <w:tc>
          <w:tcPr>
            <w:tcW w:w="2277" w:type="dxa"/>
            <w:tcBorders>
              <w:top w:val="single" w:sz="6" w:space="0" w:color="000000"/>
              <w:left w:val="single" w:sz="6" w:space="0" w:color="000000"/>
              <w:bottom w:val="single" w:sz="6" w:space="0" w:color="000000"/>
              <w:right w:val="single" w:sz="6" w:space="0" w:color="000000"/>
            </w:tcBorders>
          </w:tcPr>
          <w:p w14:paraId="7D15AD79" w14:textId="77777777" w:rsidR="00025146" w:rsidRPr="00D166EA" w:rsidRDefault="00025146" w:rsidP="00B606B7">
            <w:pPr>
              <w:spacing w:before="3"/>
              <w:ind w:left="71" w:right="136"/>
              <w:jc w:val="center"/>
              <w:rPr>
                <w:szCs w:val="22"/>
                <w:lang w:val="en-US" w:eastAsia="en-US"/>
              </w:rPr>
            </w:pPr>
            <w:r w:rsidRPr="00D166EA">
              <w:rPr>
                <w:szCs w:val="22"/>
                <w:lang w:val="en-US" w:eastAsia="en-US"/>
              </w:rPr>
              <w:t>10</w:t>
            </w:r>
            <w:r w:rsidR="00A916D0">
              <w:rPr>
                <w:szCs w:val="22"/>
                <w:lang w:val="en-US" w:eastAsia="en-US"/>
              </w:rPr>
              <w:t> </w:t>
            </w:r>
            <w:r w:rsidRPr="00D166EA">
              <w:rPr>
                <w:szCs w:val="22"/>
                <w:lang w:val="en-US" w:eastAsia="en-US"/>
              </w:rPr>
              <w:t>-</w:t>
            </w:r>
            <w:r w:rsidR="00A916D0">
              <w:rPr>
                <w:szCs w:val="22"/>
                <w:lang w:val="en-US" w:eastAsia="en-US"/>
              </w:rPr>
              <w:t> </w:t>
            </w:r>
            <w:r w:rsidRPr="00D166EA">
              <w:rPr>
                <w:w w:val="103"/>
                <w:szCs w:val="22"/>
                <w:lang w:val="en-US" w:eastAsia="en-US"/>
              </w:rPr>
              <w:t>29</w:t>
            </w:r>
          </w:p>
        </w:tc>
        <w:tc>
          <w:tcPr>
            <w:tcW w:w="3105" w:type="dxa"/>
            <w:tcBorders>
              <w:top w:val="single" w:sz="6" w:space="0" w:color="000000"/>
              <w:left w:val="single" w:sz="6" w:space="0" w:color="000000"/>
              <w:bottom w:val="single" w:sz="6" w:space="0" w:color="000000"/>
              <w:right w:val="single" w:sz="6" w:space="0" w:color="000000"/>
            </w:tcBorders>
          </w:tcPr>
          <w:p w14:paraId="43ACE428" w14:textId="77777777" w:rsidR="00025146" w:rsidRPr="00B606B7" w:rsidRDefault="00025146" w:rsidP="00025146">
            <w:pPr>
              <w:spacing w:before="3" w:line="249" w:lineRule="auto"/>
              <w:ind w:left="682" w:right="660"/>
              <w:jc w:val="center"/>
              <w:rPr>
                <w:szCs w:val="22"/>
                <w:lang w:val="de-DE" w:eastAsia="en-US"/>
              </w:rPr>
            </w:pPr>
            <w:r w:rsidRPr="00B606B7">
              <w:rPr>
                <w:spacing w:val="-1"/>
                <w:szCs w:val="22"/>
                <w:lang w:val="de-DE" w:eastAsia="en-US"/>
              </w:rPr>
              <w:t>0</w:t>
            </w:r>
            <w:r w:rsidR="00383640" w:rsidRPr="00B606B7">
              <w:rPr>
                <w:spacing w:val="1"/>
                <w:szCs w:val="22"/>
                <w:lang w:val="de-DE" w:eastAsia="en-US"/>
              </w:rPr>
              <w:t>,</w:t>
            </w:r>
            <w:r w:rsidRPr="00B606B7">
              <w:rPr>
                <w:szCs w:val="22"/>
                <w:lang w:val="de-DE" w:eastAsia="en-US"/>
              </w:rPr>
              <w:t>15</w:t>
            </w:r>
            <w:r w:rsidR="00383640" w:rsidRPr="00B606B7">
              <w:rPr>
                <w:spacing w:val="13"/>
                <w:szCs w:val="22"/>
                <w:lang w:val="de-DE" w:eastAsia="en-US"/>
              </w:rPr>
              <w:t> </w:t>
            </w:r>
            <w:r w:rsidRPr="00B606B7">
              <w:rPr>
                <w:szCs w:val="22"/>
                <w:lang w:val="de-DE" w:eastAsia="en-US"/>
              </w:rPr>
              <w:t>mg</w:t>
            </w:r>
            <w:r w:rsidRPr="00B606B7">
              <w:rPr>
                <w:spacing w:val="11"/>
                <w:szCs w:val="22"/>
                <w:lang w:val="de-DE" w:eastAsia="en-US"/>
              </w:rPr>
              <w:t xml:space="preserve"> </w:t>
            </w:r>
            <w:r w:rsidR="00383640" w:rsidRPr="00B606B7">
              <w:rPr>
                <w:szCs w:val="22"/>
                <w:lang w:val="de-DE" w:eastAsia="en-US"/>
              </w:rPr>
              <w:t>kartą per parą</w:t>
            </w:r>
            <w:r w:rsidRPr="00B606B7">
              <w:rPr>
                <w:w w:val="103"/>
                <w:szCs w:val="22"/>
                <w:lang w:val="de-DE" w:eastAsia="en-US"/>
              </w:rPr>
              <w:t xml:space="preserve">* </w:t>
            </w:r>
            <w:r w:rsidR="00383640" w:rsidRPr="00B606B7">
              <w:rPr>
                <w:w w:val="103"/>
                <w:szCs w:val="22"/>
                <w:lang w:val="de-DE" w:eastAsia="en-US"/>
              </w:rPr>
              <w:t>arba</w:t>
            </w:r>
          </w:p>
          <w:p w14:paraId="5AB9AD45" w14:textId="77777777" w:rsidR="00025146" w:rsidRPr="00B606B7" w:rsidRDefault="00025146" w:rsidP="00A916D0">
            <w:pPr>
              <w:spacing w:line="229" w:lineRule="exact"/>
              <w:ind w:left="580" w:right="246"/>
              <w:jc w:val="center"/>
              <w:rPr>
                <w:szCs w:val="22"/>
                <w:lang w:val="de-DE" w:eastAsia="en-US"/>
              </w:rPr>
            </w:pPr>
            <w:r w:rsidRPr="00B606B7">
              <w:rPr>
                <w:szCs w:val="22"/>
                <w:lang w:val="de-DE" w:eastAsia="en-US"/>
              </w:rPr>
              <w:t>0</w:t>
            </w:r>
            <w:r w:rsidR="00383640" w:rsidRPr="00B606B7">
              <w:rPr>
                <w:szCs w:val="22"/>
                <w:lang w:val="de-DE" w:eastAsia="en-US"/>
              </w:rPr>
              <w:t>,</w:t>
            </w:r>
            <w:r w:rsidRPr="00B606B7">
              <w:rPr>
                <w:szCs w:val="22"/>
                <w:lang w:val="de-DE" w:eastAsia="en-US"/>
              </w:rPr>
              <w:t>5</w:t>
            </w:r>
            <w:r w:rsidR="00383640" w:rsidRPr="00B606B7">
              <w:rPr>
                <w:spacing w:val="11"/>
                <w:szCs w:val="22"/>
                <w:lang w:val="de-DE" w:eastAsia="en-US"/>
              </w:rPr>
              <w:t> </w:t>
            </w:r>
            <w:r w:rsidRPr="00B606B7">
              <w:rPr>
                <w:szCs w:val="22"/>
                <w:lang w:val="de-DE" w:eastAsia="en-US"/>
              </w:rPr>
              <w:t>mg</w:t>
            </w:r>
            <w:r w:rsidRPr="00B606B7">
              <w:rPr>
                <w:spacing w:val="8"/>
                <w:szCs w:val="22"/>
                <w:lang w:val="de-DE" w:eastAsia="en-US"/>
              </w:rPr>
              <w:t xml:space="preserve"> </w:t>
            </w:r>
            <w:r w:rsidR="00383640" w:rsidRPr="00B606B7">
              <w:rPr>
                <w:spacing w:val="2"/>
                <w:szCs w:val="22"/>
                <w:lang w:val="de-DE" w:eastAsia="en-US"/>
              </w:rPr>
              <w:t>kas</w:t>
            </w:r>
            <w:r w:rsidRPr="00B606B7">
              <w:rPr>
                <w:spacing w:val="17"/>
                <w:szCs w:val="22"/>
                <w:lang w:val="de-DE" w:eastAsia="en-US"/>
              </w:rPr>
              <w:t xml:space="preserve"> </w:t>
            </w:r>
            <w:r w:rsidRPr="00B606B7">
              <w:rPr>
                <w:spacing w:val="-1"/>
                <w:szCs w:val="22"/>
                <w:lang w:val="de-DE" w:eastAsia="en-US"/>
              </w:rPr>
              <w:t>7</w:t>
            </w:r>
            <w:r w:rsidRPr="00B606B7">
              <w:rPr>
                <w:szCs w:val="22"/>
                <w:lang w:val="de-DE" w:eastAsia="en-US"/>
              </w:rPr>
              <w:t>2</w:t>
            </w:r>
            <w:r w:rsidR="00A916D0" w:rsidRPr="00B606B7">
              <w:rPr>
                <w:szCs w:val="22"/>
                <w:lang w:val="de-DE" w:eastAsia="en-US"/>
              </w:rPr>
              <w:t> </w:t>
            </w:r>
            <w:r w:rsidR="00383640" w:rsidRPr="00B606B7">
              <w:rPr>
                <w:w w:val="103"/>
                <w:szCs w:val="22"/>
                <w:lang w:val="de-DE" w:eastAsia="en-US"/>
              </w:rPr>
              <w:t>valandas</w:t>
            </w:r>
          </w:p>
        </w:tc>
        <w:tc>
          <w:tcPr>
            <w:tcW w:w="3156" w:type="dxa"/>
            <w:tcBorders>
              <w:top w:val="single" w:sz="6" w:space="0" w:color="000000"/>
              <w:left w:val="single" w:sz="6" w:space="0" w:color="000000"/>
              <w:bottom w:val="single" w:sz="6" w:space="0" w:color="000000"/>
              <w:right w:val="single" w:sz="6" w:space="0" w:color="000000"/>
            </w:tcBorders>
          </w:tcPr>
          <w:p w14:paraId="203908A2" w14:textId="77777777" w:rsidR="00025146" w:rsidRPr="00B606B7" w:rsidRDefault="00025146" w:rsidP="00383640">
            <w:pPr>
              <w:tabs>
                <w:tab w:val="left" w:pos="2873"/>
              </w:tabs>
              <w:spacing w:before="3" w:line="249" w:lineRule="auto"/>
              <w:ind w:left="578" w:right="283"/>
              <w:jc w:val="center"/>
              <w:rPr>
                <w:szCs w:val="22"/>
                <w:lang w:val="de-DE" w:eastAsia="en-US"/>
              </w:rPr>
            </w:pPr>
            <w:r w:rsidRPr="00B606B7">
              <w:rPr>
                <w:spacing w:val="-1"/>
                <w:szCs w:val="22"/>
                <w:lang w:val="de-DE" w:eastAsia="en-US"/>
              </w:rPr>
              <w:t>0</w:t>
            </w:r>
            <w:r w:rsidR="00383640" w:rsidRPr="00B606B7">
              <w:rPr>
                <w:szCs w:val="22"/>
                <w:lang w:val="de-DE" w:eastAsia="en-US"/>
              </w:rPr>
              <w:t>,</w:t>
            </w:r>
            <w:r w:rsidRPr="00B606B7">
              <w:rPr>
                <w:szCs w:val="22"/>
                <w:lang w:val="de-DE" w:eastAsia="en-US"/>
              </w:rPr>
              <w:t>3</w:t>
            </w:r>
            <w:r w:rsidR="00383640" w:rsidRPr="00B606B7">
              <w:rPr>
                <w:spacing w:val="11"/>
                <w:szCs w:val="22"/>
                <w:lang w:val="de-DE" w:eastAsia="en-US"/>
              </w:rPr>
              <w:t> </w:t>
            </w:r>
            <w:r w:rsidRPr="00B606B7">
              <w:rPr>
                <w:spacing w:val="-1"/>
                <w:szCs w:val="22"/>
                <w:lang w:val="de-DE" w:eastAsia="en-US"/>
              </w:rPr>
              <w:t>m</w:t>
            </w:r>
            <w:r w:rsidRPr="00B606B7">
              <w:rPr>
                <w:szCs w:val="22"/>
                <w:lang w:val="de-DE" w:eastAsia="en-US"/>
              </w:rPr>
              <w:t>g</w:t>
            </w:r>
            <w:r w:rsidRPr="00B606B7">
              <w:rPr>
                <w:spacing w:val="11"/>
                <w:szCs w:val="22"/>
                <w:lang w:val="de-DE" w:eastAsia="en-US"/>
              </w:rPr>
              <w:t xml:space="preserve"> </w:t>
            </w:r>
            <w:r w:rsidR="00383640" w:rsidRPr="00B606B7">
              <w:rPr>
                <w:spacing w:val="-1"/>
                <w:szCs w:val="22"/>
                <w:lang w:val="de-DE" w:eastAsia="en-US"/>
              </w:rPr>
              <w:t>kartą per parą</w:t>
            </w:r>
            <w:r w:rsidRPr="00B606B7">
              <w:rPr>
                <w:w w:val="103"/>
                <w:szCs w:val="22"/>
                <w:lang w:val="de-DE" w:eastAsia="en-US"/>
              </w:rPr>
              <w:t xml:space="preserve">* </w:t>
            </w:r>
            <w:r w:rsidR="00383640" w:rsidRPr="00B606B7">
              <w:rPr>
                <w:w w:val="103"/>
                <w:szCs w:val="22"/>
                <w:lang w:val="de-DE" w:eastAsia="en-US"/>
              </w:rPr>
              <w:t>arba</w:t>
            </w:r>
          </w:p>
          <w:p w14:paraId="470CFD27" w14:textId="77777777" w:rsidR="00025146" w:rsidRPr="00B606B7" w:rsidRDefault="00025146" w:rsidP="00A916D0">
            <w:pPr>
              <w:spacing w:line="229" w:lineRule="exact"/>
              <w:ind w:left="424" w:right="406"/>
              <w:jc w:val="center"/>
              <w:rPr>
                <w:szCs w:val="22"/>
                <w:lang w:val="de-DE" w:eastAsia="en-US"/>
              </w:rPr>
            </w:pPr>
            <w:r w:rsidRPr="00B606B7">
              <w:rPr>
                <w:spacing w:val="-1"/>
                <w:szCs w:val="22"/>
                <w:lang w:val="de-DE" w:eastAsia="en-US"/>
              </w:rPr>
              <w:t>0</w:t>
            </w:r>
            <w:r w:rsidR="00383640" w:rsidRPr="00B606B7">
              <w:rPr>
                <w:szCs w:val="22"/>
                <w:lang w:val="de-DE" w:eastAsia="en-US"/>
              </w:rPr>
              <w:t>,</w:t>
            </w:r>
            <w:r w:rsidRPr="00B606B7">
              <w:rPr>
                <w:szCs w:val="22"/>
                <w:lang w:val="de-DE" w:eastAsia="en-US"/>
              </w:rPr>
              <w:t>5</w:t>
            </w:r>
            <w:r w:rsidR="00383640" w:rsidRPr="00B606B7">
              <w:rPr>
                <w:spacing w:val="11"/>
                <w:szCs w:val="22"/>
                <w:lang w:val="de-DE" w:eastAsia="en-US"/>
              </w:rPr>
              <w:t> </w:t>
            </w:r>
            <w:r w:rsidRPr="00B606B7">
              <w:rPr>
                <w:szCs w:val="22"/>
                <w:lang w:val="de-DE" w:eastAsia="en-US"/>
              </w:rPr>
              <w:t>mg</w:t>
            </w:r>
            <w:r w:rsidRPr="00B606B7">
              <w:rPr>
                <w:spacing w:val="10"/>
                <w:szCs w:val="22"/>
                <w:lang w:val="de-DE" w:eastAsia="en-US"/>
              </w:rPr>
              <w:t xml:space="preserve"> </w:t>
            </w:r>
            <w:r w:rsidR="00383640" w:rsidRPr="00B606B7">
              <w:rPr>
                <w:szCs w:val="22"/>
                <w:lang w:val="de-DE" w:eastAsia="en-US"/>
              </w:rPr>
              <w:t>kas</w:t>
            </w:r>
            <w:r w:rsidRPr="00B606B7">
              <w:rPr>
                <w:spacing w:val="17"/>
                <w:szCs w:val="22"/>
                <w:lang w:val="de-DE" w:eastAsia="en-US"/>
              </w:rPr>
              <w:t xml:space="preserve"> </w:t>
            </w:r>
            <w:r w:rsidRPr="00B606B7">
              <w:rPr>
                <w:szCs w:val="22"/>
                <w:lang w:val="de-DE" w:eastAsia="en-US"/>
              </w:rPr>
              <w:t>48</w:t>
            </w:r>
            <w:r w:rsidR="00A916D0" w:rsidRPr="00B606B7">
              <w:rPr>
                <w:szCs w:val="22"/>
                <w:lang w:val="de-DE" w:eastAsia="en-US"/>
              </w:rPr>
              <w:t> </w:t>
            </w:r>
            <w:r w:rsidR="00383640" w:rsidRPr="00B606B7">
              <w:rPr>
                <w:w w:val="103"/>
                <w:szCs w:val="22"/>
                <w:lang w:val="de-DE" w:eastAsia="en-US"/>
              </w:rPr>
              <w:t>valandas</w:t>
            </w:r>
          </w:p>
        </w:tc>
      </w:tr>
      <w:tr w:rsidR="00025146" w:rsidRPr="00B606B7" w14:paraId="69396DE0" w14:textId="77777777" w:rsidTr="002746CC">
        <w:trPr>
          <w:trHeight w:hRule="exact" w:val="1167"/>
        </w:trPr>
        <w:tc>
          <w:tcPr>
            <w:tcW w:w="2277" w:type="dxa"/>
            <w:tcBorders>
              <w:top w:val="single" w:sz="6" w:space="0" w:color="000000"/>
              <w:left w:val="single" w:sz="6" w:space="0" w:color="000000"/>
              <w:bottom w:val="single" w:sz="6" w:space="0" w:color="000000"/>
              <w:right w:val="single" w:sz="6" w:space="0" w:color="000000"/>
            </w:tcBorders>
          </w:tcPr>
          <w:p w14:paraId="592E59AF" w14:textId="77777777" w:rsidR="00025146" w:rsidRPr="00D166EA" w:rsidRDefault="00025146" w:rsidP="00025146">
            <w:pPr>
              <w:spacing w:before="3"/>
              <w:ind w:left="906" w:right="889"/>
              <w:jc w:val="center"/>
              <w:rPr>
                <w:szCs w:val="22"/>
                <w:lang w:val="en-US" w:eastAsia="en-US"/>
              </w:rPr>
            </w:pPr>
            <w:r w:rsidRPr="00D166EA">
              <w:rPr>
                <w:szCs w:val="22"/>
                <w:lang w:val="en-US" w:eastAsia="en-US"/>
              </w:rPr>
              <w:t>&lt;</w:t>
            </w:r>
            <w:r w:rsidR="00A916D0">
              <w:rPr>
                <w:szCs w:val="22"/>
                <w:lang w:val="en-US" w:eastAsia="en-US"/>
              </w:rPr>
              <w:t> </w:t>
            </w:r>
            <w:r w:rsidRPr="00D166EA">
              <w:rPr>
                <w:w w:val="103"/>
                <w:szCs w:val="22"/>
                <w:lang w:val="en-US" w:eastAsia="en-US"/>
              </w:rPr>
              <w:t>10</w:t>
            </w:r>
          </w:p>
          <w:p w14:paraId="62336FD4" w14:textId="77777777" w:rsidR="00025146" w:rsidRPr="00D166EA" w:rsidRDefault="00383640" w:rsidP="00383640">
            <w:pPr>
              <w:spacing w:before="9"/>
              <w:ind w:left="715" w:right="118"/>
              <w:jc w:val="center"/>
              <w:rPr>
                <w:szCs w:val="22"/>
                <w:lang w:val="en-US" w:eastAsia="en-US"/>
              </w:rPr>
            </w:pPr>
            <w:r w:rsidRPr="00D166EA">
              <w:rPr>
                <w:szCs w:val="22"/>
                <w:lang w:val="en-US" w:eastAsia="en-US"/>
              </w:rPr>
              <w:t xml:space="preserve">Hemodializė arba </w:t>
            </w:r>
            <w:r w:rsidR="00025146" w:rsidRPr="00D166EA">
              <w:rPr>
                <w:w w:val="103"/>
                <w:szCs w:val="22"/>
                <w:lang w:val="en-US" w:eastAsia="en-US"/>
              </w:rPr>
              <w:t>CAPD**</w:t>
            </w:r>
          </w:p>
        </w:tc>
        <w:tc>
          <w:tcPr>
            <w:tcW w:w="3105" w:type="dxa"/>
            <w:tcBorders>
              <w:top w:val="single" w:sz="6" w:space="0" w:color="000000"/>
              <w:left w:val="single" w:sz="6" w:space="0" w:color="000000"/>
              <w:bottom w:val="single" w:sz="6" w:space="0" w:color="000000"/>
              <w:right w:val="single" w:sz="6" w:space="0" w:color="000000"/>
            </w:tcBorders>
          </w:tcPr>
          <w:p w14:paraId="6A560F60" w14:textId="77777777" w:rsidR="00025146" w:rsidRPr="00591D31" w:rsidRDefault="00025146" w:rsidP="00383640">
            <w:pPr>
              <w:spacing w:before="3" w:line="247" w:lineRule="auto"/>
              <w:ind w:left="683" w:right="246"/>
              <w:jc w:val="center"/>
              <w:rPr>
                <w:szCs w:val="22"/>
                <w:lang w:val="de-DE" w:eastAsia="en-US"/>
              </w:rPr>
            </w:pPr>
            <w:r w:rsidRPr="00591D31">
              <w:rPr>
                <w:spacing w:val="-1"/>
                <w:szCs w:val="22"/>
                <w:lang w:val="de-DE" w:eastAsia="en-US"/>
              </w:rPr>
              <w:t>0</w:t>
            </w:r>
            <w:r w:rsidR="00383640" w:rsidRPr="00591D31">
              <w:rPr>
                <w:spacing w:val="1"/>
                <w:szCs w:val="22"/>
                <w:lang w:val="de-DE" w:eastAsia="en-US"/>
              </w:rPr>
              <w:t>,</w:t>
            </w:r>
            <w:r w:rsidRPr="00591D31">
              <w:rPr>
                <w:szCs w:val="22"/>
                <w:lang w:val="de-DE" w:eastAsia="en-US"/>
              </w:rPr>
              <w:t>05</w:t>
            </w:r>
            <w:r w:rsidR="00383640" w:rsidRPr="00591D31">
              <w:rPr>
                <w:spacing w:val="13"/>
                <w:szCs w:val="22"/>
                <w:lang w:val="de-DE" w:eastAsia="en-US"/>
              </w:rPr>
              <w:t> </w:t>
            </w:r>
            <w:r w:rsidRPr="00591D31">
              <w:rPr>
                <w:szCs w:val="22"/>
                <w:lang w:val="de-DE" w:eastAsia="en-US"/>
              </w:rPr>
              <w:t>mg</w:t>
            </w:r>
            <w:r w:rsidRPr="00591D31">
              <w:rPr>
                <w:spacing w:val="11"/>
                <w:szCs w:val="22"/>
                <w:lang w:val="de-DE" w:eastAsia="en-US"/>
              </w:rPr>
              <w:t xml:space="preserve"> </w:t>
            </w:r>
            <w:r w:rsidR="00383640" w:rsidRPr="00591D31">
              <w:rPr>
                <w:szCs w:val="22"/>
                <w:lang w:val="de-DE" w:eastAsia="en-US"/>
              </w:rPr>
              <w:t xml:space="preserve">kartą per parą* </w:t>
            </w:r>
            <w:r w:rsidRPr="00591D31">
              <w:rPr>
                <w:w w:val="103"/>
                <w:szCs w:val="22"/>
                <w:lang w:val="de-DE" w:eastAsia="en-US"/>
              </w:rPr>
              <w:t xml:space="preserve"> </w:t>
            </w:r>
            <w:r w:rsidR="00383640" w:rsidRPr="00591D31">
              <w:rPr>
                <w:w w:val="103"/>
                <w:szCs w:val="22"/>
                <w:lang w:val="de-DE" w:eastAsia="en-US"/>
              </w:rPr>
              <w:t>arba</w:t>
            </w:r>
          </w:p>
          <w:p w14:paraId="0298BD48" w14:textId="77777777" w:rsidR="00025146" w:rsidRPr="00591D31" w:rsidRDefault="00383640" w:rsidP="00A916D0">
            <w:pPr>
              <w:spacing w:before="1"/>
              <w:ind w:left="586" w:right="246"/>
              <w:jc w:val="center"/>
              <w:rPr>
                <w:szCs w:val="22"/>
                <w:lang w:val="de-DE" w:eastAsia="en-US"/>
              </w:rPr>
            </w:pPr>
            <w:r w:rsidRPr="00591D31">
              <w:rPr>
                <w:spacing w:val="-1"/>
                <w:szCs w:val="22"/>
                <w:lang w:val="de-DE" w:eastAsia="en-US"/>
              </w:rPr>
              <w:t>0,5</w:t>
            </w:r>
            <w:r w:rsidR="00A916D0" w:rsidRPr="00591D31">
              <w:rPr>
                <w:spacing w:val="-1"/>
                <w:szCs w:val="22"/>
                <w:lang w:val="de-DE" w:eastAsia="en-US"/>
              </w:rPr>
              <w:t> </w:t>
            </w:r>
            <w:r w:rsidRPr="00591D31">
              <w:rPr>
                <w:spacing w:val="-1"/>
                <w:szCs w:val="22"/>
                <w:lang w:val="de-DE" w:eastAsia="en-US"/>
              </w:rPr>
              <w:t>mg kas 5–7</w:t>
            </w:r>
            <w:r w:rsidR="00A916D0" w:rsidRPr="00591D31">
              <w:rPr>
                <w:spacing w:val="-1"/>
                <w:szCs w:val="22"/>
                <w:lang w:val="de-DE" w:eastAsia="en-US"/>
              </w:rPr>
              <w:t> </w:t>
            </w:r>
            <w:r w:rsidRPr="00591D31">
              <w:rPr>
                <w:spacing w:val="-1"/>
                <w:szCs w:val="22"/>
                <w:lang w:val="de-DE" w:eastAsia="en-US"/>
              </w:rPr>
              <w:t xml:space="preserve">paras </w:t>
            </w:r>
          </w:p>
        </w:tc>
        <w:tc>
          <w:tcPr>
            <w:tcW w:w="3156" w:type="dxa"/>
            <w:tcBorders>
              <w:top w:val="single" w:sz="6" w:space="0" w:color="000000"/>
              <w:left w:val="single" w:sz="6" w:space="0" w:color="000000"/>
              <w:bottom w:val="single" w:sz="6" w:space="0" w:color="000000"/>
              <w:right w:val="single" w:sz="6" w:space="0" w:color="000000"/>
            </w:tcBorders>
          </w:tcPr>
          <w:p w14:paraId="38A219BF" w14:textId="77777777" w:rsidR="00383640" w:rsidRPr="00B606B7" w:rsidRDefault="00383640" w:rsidP="00383640">
            <w:pPr>
              <w:spacing w:before="3" w:line="247" w:lineRule="auto"/>
              <w:ind w:left="578" w:right="558"/>
              <w:jc w:val="center"/>
              <w:rPr>
                <w:spacing w:val="-1"/>
                <w:szCs w:val="22"/>
                <w:lang w:val="de-DE" w:eastAsia="en-US"/>
              </w:rPr>
            </w:pPr>
            <w:r w:rsidRPr="00B606B7">
              <w:rPr>
                <w:spacing w:val="-1"/>
                <w:szCs w:val="22"/>
                <w:lang w:val="de-DE" w:eastAsia="en-US"/>
              </w:rPr>
              <w:t>0,1 mg kartą per parą* arba</w:t>
            </w:r>
          </w:p>
          <w:p w14:paraId="3DC27CC5" w14:textId="77777777" w:rsidR="00025146" w:rsidRPr="00B606B7" w:rsidRDefault="00383640" w:rsidP="00A916D0">
            <w:pPr>
              <w:spacing w:before="1"/>
              <w:ind w:left="424" w:right="406"/>
              <w:jc w:val="center"/>
              <w:rPr>
                <w:szCs w:val="22"/>
                <w:lang w:val="de-DE" w:eastAsia="en-US"/>
              </w:rPr>
            </w:pPr>
            <w:r w:rsidRPr="00B606B7">
              <w:rPr>
                <w:spacing w:val="-1"/>
                <w:szCs w:val="22"/>
                <w:lang w:val="de-DE" w:eastAsia="en-US"/>
              </w:rPr>
              <w:t>0,5</w:t>
            </w:r>
            <w:r w:rsidR="00A916D0" w:rsidRPr="00B606B7">
              <w:rPr>
                <w:spacing w:val="-1"/>
                <w:szCs w:val="22"/>
                <w:lang w:val="de-DE" w:eastAsia="en-US"/>
              </w:rPr>
              <w:t> </w:t>
            </w:r>
            <w:r w:rsidRPr="00B606B7">
              <w:rPr>
                <w:spacing w:val="-1"/>
                <w:szCs w:val="22"/>
                <w:lang w:val="de-DE" w:eastAsia="en-US"/>
              </w:rPr>
              <w:t>mg kas 72</w:t>
            </w:r>
            <w:r w:rsidR="00A916D0" w:rsidRPr="00B606B7">
              <w:rPr>
                <w:spacing w:val="-1"/>
                <w:szCs w:val="22"/>
                <w:lang w:val="de-DE" w:eastAsia="en-US"/>
              </w:rPr>
              <w:t> </w:t>
            </w:r>
            <w:r w:rsidRPr="00B606B7">
              <w:rPr>
                <w:spacing w:val="-1"/>
                <w:szCs w:val="22"/>
                <w:lang w:val="de-DE" w:eastAsia="en-US"/>
              </w:rPr>
              <w:t>valandas</w:t>
            </w:r>
          </w:p>
        </w:tc>
      </w:tr>
    </w:tbl>
    <w:p w14:paraId="5B39222F" w14:textId="77777777" w:rsidR="00383640" w:rsidRPr="00D166EA" w:rsidRDefault="00383640" w:rsidP="00383640">
      <w:pPr>
        <w:rPr>
          <w:szCs w:val="22"/>
        </w:rPr>
      </w:pPr>
      <w:r w:rsidRPr="00D166EA">
        <w:rPr>
          <w:szCs w:val="22"/>
        </w:rPr>
        <w:t>* Mažesnėms kaip 0,5 mg entekaviro dozėms vartoti rekomenduojamas geriamasis tirpalas.</w:t>
      </w:r>
    </w:p>
    <w:p w14:paraId="39E14FEC" w14:textId="77777777" w:rsidR="00AB3A2D" w:rsidRPr="00D166EA" w:rsidRDefault="00383640" w:rsidP="00383640">
      <w:pPr>
        <w:rPr>
          <w:szCs w:val="22"/>
        </w:rPr>
      </w:pPr>
      <w:r w:rsidRPr="00D166EA">
        <w:rPr>
          <w:szCs w:val="22"/>
        </w:rPr>
        <w:t>** Hemodializės dienomis entekaviro vartojama po hemodializės.</w:t>
      </w:r>
    </w:p>
    <w:p w14:paraId="13C3EB53" w14:textId="77777777" w:rsidR="00AB3A2D" w:rsidRPr="00D166EA" w:rsidRDefault="00AB3A2D" w:rsidP="0061061F">
      <w:pPr>
        <w:rPr>
          <w:szCs w:val="22"/>
          <w:u w:val="single"/>
        </w:rPr>
      </w:pPr>
    </w:p>
    <w:p w14:paraId="5E2799C8" w14:textId="77777777" w:rsidR="009A3DE8" w:rsidRPr="00D166EA" w:rsidRDefault="00F325C0" w:rsidP="0061061F">
      <w:pPr>
        <w:rPr>
          <w:szCs w:val="22"/>
          <w:u w:val="single"/>
        </w:rPr>
      </w:pPr>
      <w:r>
        <w:rPr>
          <w:i/>
          <w:szCs w:val="22"/>
        </w:rPr>
        <w:t>Pacientams, kurių k</w:t>
      </w:r>
      <w:r w:rsidR="009A3DE8" w:rsidRPr="00D166EA">
        <w:rPr>
          <w:i/>
          <w:szCs w:val="22"/>
        </w:rPr>
        <w:t xml:space="preserve">epenų </w:t>
      </w:r>
      <w:r>
        <w:rPr>
          <w:i/>
          <w:szCs w:val="22"/>
        </w:rPr>
        <w:t>funkcija sutrikusi</w:t>
      </w:r>
      <w:r w:rsidR="009A3DE8" w:rsidRPr="00D166EA">
        <w:rPr>
          <w:i/>
          <w:szCs w:val="22"/>
        </w:rPr>
        <w:t>.</w:t>
      </w:r>
      <w:r w:rsidR="009A3DE8" w:rsidRPr="00D166EA">
        <w:rPr>
          <w:szCs w:val="22"/>
        </w:rPr>
        <w:t xml:space="preserve"> Pacientams, kurių kepenų funkcija sutrikusi, dozės priderinti nereikia. </w:t>
      </w:r>
    </w:p>
    <w:p w14:paraId="30436433" w14:textId="77777777" w:rsidR="009A3DE8" w:rsidRPr="00D166EA" w:rsidRDefault="009A3DE8" w:rsidP="0061061F">
      <w:pPr>
        <w:rPr>
          <w:szCs w:val="22"/>
          <w:u w:val="single"/>
        </w:rPr>
      </w:pPr>
    </w:p>
    <w:p w14:paraId="2467CA80" w14:textId="77777777" w:rsidR="009A3DE8" w:rsidRPr="00D166EA" w:rsidRDefault="009A3DE8" w:rsidP="009A3DE8">
      <w:pPr>
        <w:rPr>
          <w:szCs w:val="22"/>
          <w:u w:val="single"/>
        </w:rPr>
      </w:pPr>
      <w:r w:rsidRPr="00D166EA">
        <w:rPr>
          <w:szCs w:val="22"/>
          <w:u w:val="single"/>
        </w:rPr>
        <w:t>Vartojimo metodas</w:t>
      </w:r>
    </w:p>
    <w:p w14:paraId="3CD05F66" w14:textId="77777777" w:rsidR="009A3DE8" w:rsidRPr="00D166EA" w:rsidRDefault="009A3DE8" w:rsidP="009A3DE8">
      <w:pPr>
        <w:rPr>
          <w:szCs w:val="22"/>
        </w:rPr>
      </w:pPr>
      <w:r w:rsidRPr="00D166EA">
        <w:rPr>
          <w:szCs w:val="22"/>
        </w:rPr>
        <w:t>Entecavir Sandoz turi būti vartojamas per burną.</w:t>
      </w:r>
    </w:p>
    <w:p w14:paraId="20E8B029" w14:textId="77777777" w:rsidR="0061061F" w:rsidRPr="00D166EA" w:rsidRDefault="0061061F" w:rsidP="001D294C">
      <w:pPr>
        <w:rPr>
          <w:szCs w:val="22"/>
        </w:rPr>
      </w:pPr>
    </w:p>
    <w:p w14:paraId="19BAE226" w14:textId="77777777" w:rsidR="0061061F" w:rsidRPr="00D166EA" w:rsidRDefault="0061061F" w:rsidP="001D294C">
      <w:pPr>
        <w:rPr>
          <w:b/>
          <w:szCs w:val="22"/>
        </w:rPr>
      </w:pPr>
      <w:r w:rsidRPr="00D166EA">
        <w:rPr>
          <w:b/>
          <w:szCs w:val="22"/>
        </w:rPr>
        <w:t>4.3</w:t>
      </w:r>
      <w:r w:rsidRPr="00D166EA">
        <w:rPr>
          <w:b/>
          <w:szCs w:val="22"/>
        </w:rPr>
        <w:tab/>
        <w:t>Kontraindikacijos</w:t>
      </w:r>
    </w:p>
    <w:p w14:paraId="318289B2" w14:textId="77777777" w:rsidR="0061061F" w:rsidRPr="00D166EA" w:rsidRDefault="0061061F" w:rsidP="001D294C">
      <w:pPr>
        <w:rPr>
          <w:szCs w:val="22"/>
        </w:rPr>
      </w:pPr>
    </w:p>
    <w:p w14:paraId="77E94CD9" w14:textId="77777777" w:rsidR="0061061F" w:rsidRPr="00D166EA" w:rsidRDefault="0061061F" w:rsidP="001D294C">
      <w:pPr>
        <w:rPr>
          <w:szCs w:val="22"/>
        </w:rPr>
      </w:pPr>
      <w:r w:rsidRPr="00D166EA">
        <w:rPr>
          <w:szCs w:val="22"/>
        </w:rPr>
        <w:t xml:space="preserve">Padidėjęs jautrumas </w:t>
      </w:r>
      <w:r w:rsidR="009A3DE8" w:rsidRPr="00D166EA">
        <w:rPr>
          <w:szCs w:val="22"/>
        </w:rPr>
        <w:t>veikliajai medžiagai</w:t>
      </w:r>
      <w:r w:rsidRPr="00D166EA">
        <w:rPr>
          <w:szCs w:val="22"/>
        </w:rPr>
        <w:t xml:space="preserve"> arba bet kuriai 6.1 skyriuje nurodytai pagalbinei medžiagai.</w:t>
      </w:r>
    </w:p>
    <w:p w14:paraId="4C362335" w14:textId="77777777" w:rsidR="0061061F" w:rsidRPr="00D166EA" w:rsidRDefault="0061061F" w:rsidP="001D294C">
      <w:pPr>
        <w:rPr>
          <w:szCs w:val="22"/>
        </w:rPr>
      </w:pPr>
    </w:p>
    <w:p w14:paraId="53F18431" w14:textId="77777777" w:rsidR="0061061F" w:rsidRPr="00D166EA" w:rsidRDefault="0061061F" w:rsidP="001D294C">
      <w:pPr>
        <w:rPr>
          <w:b/>
          <w:szCs w:val="22"/>
        </w:rPr>
      </w:pPr>
      <w:r w:rsidRPr="00D166EA">
        <w:rPr>
          <w:b/>
          <w:szCs w:val="22"/>
        </w:rPr>
        <w:t>4.4</w:t>
      </w:r>
      <w:r w:rsidRPr="00D166EA">
        <w:rPr>
          <w:b/>
          <w:szCs w:val="22"/>
        </w:rPr>
        <w:tab/>
        <w:t>Specialūs įspėjimai ir atsargumo priemonės</w:t>
      </w:r>
    </w:p>
    <w:p w14:paraId="736920C4" w14:textId="77777777" w:rsidR="0061061F" w:rsidRPr="00D166EA" w:rsidRDefault="0061061F" w:rsidP="001D294C">
      <w:pPr>
        <w:rPr>
          <w:szCs w:val="22"/>
        </w:rPr>
      </w:pPr>
    </w:p>
    <w:p w14:paraId="231AFEA9" w14:textId="77777777" w:rsidR="00A65294" w:rsidRPr="00D166EA" w:rsidRDefault="00A65294" w:rsidP="00A65294">
      <w:pPr>
        <w:rPr>
          <w:szCs w:val="22"/>
        </w:rPr>
      </w:pPr>
      <w:r w:rsidRPr="00D166EA">
        <w:rPr>
          <w:i/>
          <w:szCs w:val="22"/>
        </w:rPr>
        <w:t>Inkstų pakenkimas</w:t>
      </w:r>
      <w:r w:rsidRPr="00D166EA">
        <w:rPr>
          <w:szCs w:val="22"/>
        </w:rPr>
        <w:t xml:space="preserve">. </w:t>
      </w:r>
      <w:r w:rsidRPr="00D166EA">
        <w:rPr>
          <w:iCs/>
          <w:color w:val="000000"/>
          <w:szCs w:val="22"/>
        </w:rPr>
        <w:t>Pacientams, kurių inkstų funkcija sutrikusi,</w:t>
      </w:r>
      <w:r w:rsidRPr="00D166EA">
        <w:rPr>
          <w:szCs w:val="22"/>
        </w:rPr>
        <w:t xml:space="preserve"> dozę rekomenduojama koreguoti (žr. 4.2 skyrių). Siūlomi dozės modifikavimai yra pagristi nedidelio kiekio duomenų ekstrapoliavimu, jų saugumas ir veiksmingumas kliniškai neįvertintas, todėl turi būti atidžiai stebimas vir</w:t>
      </w:r>
      <w:r w:rsidR="001570EE">
        <w:rPr>
          <w:szCs w:val="22"/>
        </w:rPr>
        <w:t>usologinis</w:t>
      </w:r>
      <w:r w:rsidRPr="00D166EA">
        <w:rPr>
          <w:szCs w:val="22"/>
        </w:rPr>
        <w:t xml:space="preserve"> atsakas.</w:t>
      </w:r>
    </w:p>
    <w:p w14:paraId="5DA84BD2" w14:textId="77777777" w:rsidR="00A65294" w:rsidRPr="00D166EA" w:rsidRDefault="00A65294" w:rsidP="00A65294">
      <w:pPr>
        <w:rPr>
          <w:szCs w:val="22"/>
        </w:rPr>
      </w:pPr>
    </w:p>
    <w:p w14:paraId="1C719A7F" w14:textId="77777777" w:rsidR="00A65294" w:rsidRPr="00D166EA" w:rsidRDefault="00A65294" w:rsidP="00A65294">
      <w:pPr>
        <w:rPr>
          <w:szCs w:val="22"/>
        </w:rPr>
      </w:pPr>
      <w:r w:rsidRPr="00D166EA">
        <w:rPr>
          <w:i/>
          <w:szCs w:val="22"/>
        </w:rPr>
        <w:t>Hepatito paūmėjimai</w:t>
      </w:r>
      <w:r w:rsidRPr="00D166EA">
        <w:rPr>
          <w:szCs w:val="22"/>
        </w:rPr>
        <w:t>. Santykinai dažnai būna savaiminių lėtinio hepatito B paūmėjimų. Jiems būdingas trumpalaikis ALT aktyvumo serume padidėjimas. Pradėjus antivirusinį gydymą, kai kurių pacientų serume gali padidėti ALT aktyvumas, nes serume mažėja HBV DNR kiekis (žr. 4.8 skyrių). Entakaviru gydytiems pacientams tokių paūmėjimų</w:t>
      </w:r>
      <w:r w:rsidR="00311CAE" w:rsidRPr="00D166EA">
        <w:rPr>
          <w:szCs w:val="22"/>
        </w:rPr>
        <w:t xml:space="preserve"> gydymo metu</w:t>
      </w:r>
      <w:r w:rsidRPr="00D166EA">
        <w:rPr>
          <w:szCs w:val="22"/>
        </w:rPr>
        <w:t xml:space="preserve"> pasireiškimo pradžios mediana buvo 4-5</w:t>
      </w:r>
      <w:r w:rsidR="00A916D0">
        <w:rPr>
          <w:szCs w:val="22"/>
        </w:rPr>
        <w:t> </w:t>
      </w:r>
      <w:r w:rsidRPr="00D166EA">
        <w:rPr>
          <w:szCs w:val="22"/>
        </w:rPr>
        <w:t xml:space="preserve">savaitės. Pacientų, kurių kepenų funkcija kompensuota, serume padidėjus ALT </w:t>
      </w:r>
      <w:r w:rsidR="00311CAE" w:rsidRPr="00D166EA">
        <w:rPr>
          <w:szCs w:val="22"/>
        </w:rPr>
        <w:t>aktyvumui</w:t>
      </w:r>
      <w:r w:rsidRPr="00D166EA">
        <w:rPr>
          <w:szCs w:val="22"/>
        </w:rPr>
        <w:t>, bilirubino koncentracij</w:t>
      </w:r>
      <w:r w:rsidR="00311CAE" w:rsidRPr="00D166EA">
        <w:rPr>
          <w:szCs w:val="22"/>
        </w:rPr>
        <w:t>os</w:t>
      </w:r>
      <w:r w:rsidRPr="00D166EA">
        <w:rPr>
          <w:szCs w:val="22"/>
        </w:rPr>
        <w:t xml:space="preserve"> kartu nepadidėdavo</w:t>
      </w:r>
      <w:r w:rsidR="00311CAE" w:rsidRPr="00D166EA">
        <w:rPr>
          <w:szCs w:val="22"/>
        </w:rPr>
        <w:t xml:space="preserve"> ar</w:t>
      </w:r>
      <w:r w:rsidRPr="00D166EA">
        <w:rPr>
          <w:szCs w:val="22"/>
        </w:rPr>
        <w:t xml:space="preserve"> kepenų funkcijos dekompensacija nepasireikšdavo. Progresavusia kepenų liga arba ciroze sergantiems pacientams kepenų funkcijos dekompensacijos paūmėjus hepatitui </w:t>
      </w:r>
      <w:r w:rsidR="00311CAE" w:rsidRPr="00D166EA">
        <w:rPr>
          <w:szCs w:val="22"/>
        </w:rPr>
        <w:t>rizika</w:t>
      </w:r>
      <w:r w:rsidRPr="00D166EA">
        <w:rPr>
          <w:szCs w:val="22"/>
        </w:rPr>
        <w:t xml:space="preserve"> gali būti </w:t>
      </w:r>
      <w:r w:rsidR="00F325C0">
        <w:rPr>
          <w:szCs w:val="22"/>
        </w:rPr>
        <w:t>d</w:t>
      </w:r>
      <w:r w:rsidR="0004270F">
        <w:rPr>
          <w:szCs w:val="22"/>
        </w:rPr>
        <w:t>i</w:t>
      </w:r>
      <w:r w:rsidR="00F325C0">
        <w:rPr>
          <w:szCs w:val="22"/>
        </w:rPr>
        <w:t>desn</w:t>
      </w:r>
      <w:r w:rsidR="00311CAE" w:rsidRPr="00D166EA">
        <w:rPr>
          <w:szCs w:val="22"/>
        </w:rPr>
        <w:t>ė</w:t>
      </w:r>
      <w:r w:rsidR="00F325C0">
        <w:rPr>
          <w:szCs w:val="22"/>
        </w:rPr>
        <w:t>,</w:t>
      </w:r>
      <w:r w:rsidRPr="00D166EA">
        <w:rPr>
          <w:szCs w:val="22"/>
        </w:rPr>
        <w:t xml:space="preserve"> todėl gydymo metu juos reikia atidžiai stebėti.</w:t>
      </w:r>
    </w:p>
    <w:p w14:paraId="4D40C07E" w14:textId="77777777" w:rsidR="00A65294" w:rsidRPr="00D166EA" w:rsidRDefault="00A65294" w:rsidP="00A65294">
      <w:pPr>
        <w:rPr>
          <w:szCs w:val="22"/>
        </w:rPr>
      </w:pPr>
    </w:p>
    <w:p w14:paraId="4825911E" w14:textId="77777777" w:rsidR="00A65294" w:rsidRPr="00D166EA" w:rsidRDefault="00311CAE" w:rsidP="00A65294">
      <w:pPr>
        <w:rPr>
          <w:szCs w:val="22"/>
        </w:rPr>
      </w:pPr>
      <w:r w:rsidRPr="00D166EA">
        <w:rPr>
          <w:szCs w:val="22"/>
        </w:rPr>
        <w:t>Taip pat gauta pranešimų apie stiprų h</w:t>
      </w:r>
      <w:r w:rsidR="00A65294" w:rsidRPr="00D166EA">
        <w:rPr>
          <w:szCs w:val="22"/>
        </w:rPr>
        <w:t>epatito paūmėjim</w:t>
      </w:r>
      <w:r w:rsidRPr="00D166EA">
        <w:rPr>
          <w:szCs w:val="22"/>
        </w:rPr>
        <w:t xml:space="preserve">ą pacientams, kurie </w:t>
      </w:r>
      <w:r w:rsidR="00E14568">
        <w:rPr>
          <w:szCs w:val="22"/>
        </w:rPr>
        <w:t>nutraukė</w:t>
      </w:r>
      <w:r w:rsidRPr="00D166EA">
        <w:rPr>
          <w:szCs w:val="22"/>
        </w:rPr>
        <w:t xml:space="preserve"> gydymą nuo hepatito</w:t>
      </w:r>
      <w:r w:rsidR="00A65294" w:rsidRPr="00D166EA">
        <w:rPr>
          <w:szCs w:val="22"/>
        </w:rPr>
        <w:t xml:space="preserve"> B (žr. 4.2 skyrių). Po gydymo pasireiškę paūmėjimai dažniausiai būdavo susiję su HBV DNR </w:t>
      </w:r>
      <w:r w:rsidRPr="00D166EA">
        <w:rPr>
          <w:szCs w:val="22"/>
        </w:rPr>
        <w:t>padaugėjimu</w:t>
      </w:r>
      <w:r w:rsidR="00A65294" w:rsidRPr="00D166EA">
        <w:rPr>
          <w:szCs w:val="22"/>
        </w:rPr>
        <w:t xml:space="preserve"> ir daugum</w:t>
      </w:r>
      <w:r w:rsidRPr="00D166EA">
        <w:rPr>
          <w:szCs w:val="22"/>
        </w:rPr>
        <w:t>a atvejų</w:t>
      </w:r>
      <w:r w:rsidR="00A65294" w:rsidRPr="00D166EA">
        <w:rPr>
          <w:szCs w:val="22"/>
        </w:rPr>
        <w:t xml:space="preserve"> praeidavo savaime. Vis dėlto</w:t>
      </w:r>
      <w:r w:rsidRPr="00D166EA">
        <w:rPr>
          <w:szCs w:val="22"/>
        </w:rPr>
        <w:t>, gauta pranešimų apie sunkius paūmėjimus, įskaitant pasibaigusius mirtimi</w:t>
      </w:r>
      <w:r w:rsidR="00A65294" w:rsidRPr="00D166EA">
        <w:rPr>
          <w:szCs w:val="22"/>
        </w:rPr>
        <w:t>.</w:t>
      </w:r>
    </w:p>
    <w:p w14:paraId="643D0297" w14:textId="77777777" w:rsidR="00311CAE" w:rsidRPr="00D166EA" w:rsidRDefault="00311CAE" w:rsidP="00A65294">
      <w:pPr>
        <w:rPr>
          <w:szCs w:val="22"/>
        </w:rPr>
      </w:pPr>
    </w:p>
    <w:p w14:paraId="13993AC4" w14:textId="77777777" w:rsidR="00A65294" w:rsidRPr="00D166EA" w:rsidRDefault="00A65294" w:rsidP="00A65294">
      <w:pPr>
        <w:rPr>
          <w:szCs w:val="22"/>
        </w:rPr>
      </w:pPr>
      <w:r w:rsidRPr="00D166EA">
        <w:rPr>
          <w:szCs w:val="22"/>
        </w:rPr>
        <w:t>Iki tol nukleozidų nevartojusiems pacientams baigus vartoti entekavir</w:t>
      </w:r>
      <w:r w:rsidR="00311CAE" w:rsidRPr="00D166EA">
        <w:rPr>
          <w:szCs w:val="22"/>
        </w:rPr>
        <w:t>o</w:t>
      </w:r>
      <w:r w:rsidRPr="00D166EA">
        <w:rPr>
          <w:szCs w:val="22"/>
        </w:rPr>
        <w:t>, paūmėjimai pasireikšdavo po laikotarpio, kurio trukmės mediana – 23-24</w:t>
      </w:r>
      <w:r w:rsidR="00A916D0">
        <w:rPr>
          <w:szCs w:val="22"/>
        </w:rPr>
        <w:t> </w:t>
      </w:r>
      <w:r w:rsidRPr="00D166EA">
        <w:rPr>
          <w:szCs w:val="22"/>
        </w:rPr>
        <w:t xml:space="preserve">savaitės. Dauguma jų pastebėta HBeAg neigiamiems pacientams (žr. 4.8 skyrių). Baigus </w:t>
      </w:r>
      <w:r w:rsidR="00311CAE" w:rsidRPr="00D166EA">
        <w:rPr>
          <w:szCs w:val="22"/>
        </w:rPr>
        <w:t>gydymą</w:t>
      </w:r>
      <w:r w:rsidRPr="00D166EA">
        <w:rPr>
          <w:szCs w:val="22"/>
        </w:rPr>
        <w:t xml:space="preserve"> nuo hepatito B, bent 6</w:t>
      </w:r>
      <w:r w:rsidR="00A916D0">
        <w:rPr>
          <w:szCs w:val="22"/>
        </w:rPr>
        <w:t> </w:t>
      </w:r>
      <w:r w:rsidRPr="00D166EA">
        <w:rPr>
          <w:szCs w:val="22"/>
        </w:rPr>
        <w:t xml:space="preserve">mėn. reikia kartotinai tirti kepenų funkciją klinikiniais ir laboratoriniais metodais. Prireikus galima vėl </w:t>
      </w:r>
      <w:r w:rsidR="00E14568">
        <w:rPr>
          <w:szCs w:val="22"/>
        </w:rPr>
        <w:t>atnaujinti</w:t>
      </w:r>
      <w:r w:rsidRPr="00D166EA">
        <w:rPr>
          <w:szCs w:val="22"/>
        </w:rPr>
        <w:t xml:space="preserve"> </w:t>
      </w:r>
      <w:r w:rsidR="00414461" w:rsidRPr="00D166EA">
        <w:rPr>
          <w:szCs w:val="22"/>
        </w:rPr>
        <w:t>gydymą</w:t>
      </w:r>
      <w:r w:rsidRPr="00D166EA">
        <w:rPr>
          <w:szCs w:val="22"/>
        </w:rPr>
        <w:t xml:space="preserve"> nuo hepatito B.</w:t>
      </w:r>
    </w:p>
    <w:p w14:paraId="787037DB" w14:textId="77777777" w:rsidR="00414461" w:rsidRPr="00D166EA" w:rsidRDefault="00414461" w:rsidP="00A65294">
      <w:pPr>
        <w:rPr>
          <w:szCs w:val="22"/>
        </w:rPr>
      </w:pPr>
    </w:p>
    <w:p w14:paraId="041BD7C8" w14:textId="77777777" w:rsidR="00A65294" w:rsidRPr="00D166EA" w:rsidRDefault="00A65294" w:rsidP="00A65294">
      <w:pPr>
        <w:rPr>
          <w:szCs w:val="22"/>
        </w:rPr>
      </w:pPr>
      <w:r w:rsidRPr="00D166EA">
        <w:rPr>
          <w:i/>
          <w:szCs w:val="22"/>
        </w:rPr>
        <w:t>Pacienta</w:t>
      </w:r>
      <w:r w:rsidR="00414461" w:rsidRPr="00D166EA">
        <w:rPr>
          <w:i/>
          <w:szCs w:val="22"/>
        </w:rPr>
        <w:t xml:space="preserve">i kuriems yra </w:t>
      </w:r>
      <w:r w:rsidRPr="00D166EA">
        <w:rPr>
          <w:i/>
          <w:szCs w:val="22"/>
        </w:rPr>
        <w:t>nekompensuota kepenų liga</w:t>
      </w:r>
      <w:r w:rsidRPr="00D166EA">
        <w:rPr>
          <w:szCs w:val="22"/>
        </w:rPr>
        <w:t xml:space="preserve">. </w:t>
      </w:r>
      <w:r w:rsidR="00414461" w:rsidRPr="00D166EA">
        <w:rPr>
          <w:szCs w:val="22"/>
        </w:rPr>
        <w:t xml:space="preserve">Didesnis </w:t>
      </w:r>
      <w:r w:rsidR="00F325C0">
        <w:rPr>
          <w:szCs w:val="22"/>
        </w:rPr>
        <w:t>s</w:t>
      </w:r>
      <w:r w:rsidR="00414461" w:rsidRPr="00D166EA">
        <w:rPr>
          <w:szCs w:val="22"/>
        </w:rPr>
        <w:t>unkių kepenų nepageidaujamų reiškinių (nepriklausomai nuo priežasties) dažnis buvo pastebėtas p</w:t>
      </w:r>
      <w:r w:rsidRPr="00D166EA">
        <w:rPr>
          <w:szCs w:val="22"/>
        </w:rPr>
        <w:t xml:space="preserve">acientams, </w:t>
      </w:r>
      <w:r w:rsidR="00414461" w:rsidRPr="00D166EA">
        <w:rPr>
          <w:szCs w:val="22"/>
        </w:rPr>
        <w:t xml:space="preserve">kuriems yra </w:t>
      </w:r>
      <w:r w:rsidRPr="00D166EA">
        <w:rPr>
          <w:szCs w:val="22"/>
        </w:rPr>
        <w:t xml:space="preserve">nekompensuota kepenų liga (ypač C klasės pagal Child-Turcotte-Pugh, CTP), negu </w:t>
      </w:r>
      <w:r w:rsidR="00414461" w:rsidRPr="00D166EA">
        <w:rPr>
          <w:szCs w:val="22"/>
        </w:rPr>
        <w:t>pacientams</w:t>
      </w:r>
      <w:r w:rsidRPr="00D166EA">
        <w:rPr>
          <w:szCs w:val="22"/>
        </w:rPr>
        <w:t xml:space="preserve">, kurių kepenų funkcija buvo kompensuota. Be to, nekompensuota kepenų liga sergantiems pacientams gali būti didesnė </w:t>
      </w:r>
      <w:r w:rsidR="00414461" w:rsidRPr="00D166EA">
        <w:rPr>
          <w:szCs w:val="22"/>
        </w:rPr>
        <w:t>pieno rūgšties</w:t>
      </w:r>
      <w:r w:rsidRPr="00D166EA">
        <w:rPr>
          <w:szCs w:val="22"/>
        </w:rPr>
        <w:t xml:space="preserve"> acidozės ir tam tikrų inkstų nepageidaujamų reiškinių (pvz., hepatorenalinio sindromo) rizika. Dėl to šios pacientų populiacijos klinikinius ir laboratorinius rodiklius reikia atidžiai </w:t>
      </w:r>
      <w:r w:rsidR="00414461" w:rsidRPr="00D166EA">
        <w:rPr>
          <w:szCs w:val="22"/>
        </w:rPr>
        <w:t>stebėti</w:t>
      </w:r>
      <w:r w:rsidRPr="00D166EA">
        <w:rPr>
          <w:szCs w:val="22"/>
        </w:rPr>
        <w:t xml:space="preserve"> (žr. 4.8 ir 5.1 skyrius).</w:t>
      </w:r>
    </w:p>
    <w:p w14:paraId="3B31B3A7" w14:textId="77777777" w:rsidR="00B363C9" w:rsidRPr="00D166EA" w:rsidRDefault="00B363C9" w:rsidP="00A65294">
      <w:pPr>
        <w:rPr>
          <w:szCs w:val="22"/>
        </w:rPr>
      </w:pPr>
    </w:p>
    <w:p w14:paraId="7CC5D6A5" w14:textId="77777777" w:rsidR="00B363C9" w:rsidRPr="00D166EA" w:rsidRDefault="00B363C9" w:rsidP="00A65294">
      <w:pPr>
        <w:rPr>
          <w:szCs w:val="22"/>
        </w:rPr>
      </w:pPr>
      <w:r w:rsidRPr="00D166EA">
        <w:rPr>
          <w:i/>
          <w:szCs w:val="22"/>
        </w:rPr>
        <w:t>Pieno rūgšties</w:t>
      </w:r>
      <w:r w:rsidR="00A65294" w:rsidRPr="00D166EA">
        <w:rPr>
          <w:i/>
          <w:szCs w:val="22"/>
        </w:rPr>
        <w:t xml:space="preserve"> acidozė ir sunki hepatomegalija su steatoze</w:t>
      </w:r>
      <w:r w:rsidR="00A65294" w:rsidRPr="00D166EA">
        <w:rPr>
          <w:szCs w:val="22"/>
        </w:rPr>
        <w:t>. Buvo atvejų, kai vartojant nukleozidų analog</w:t>
      </w:r>
      <w:r w:rsidRPr="00D166EA">
        <w:rPr>
          <w:szCs w:val="22"/>
        </w:rPr>
        <w:t>ų</w:t>
      </w:r>
      <w:r w:rsidR="00A65294" w:rsidRPr="00D166EA">
        <w:rPr>
          <w:szCs w:val="22"/>
        </w:rPr>
        <w:t xml:space="preserve">, pasireiškė </w:t>
      </w:r>
      <w:r w:rsidRPr="00D166EA">
        <w:rPr>
          <w:szCs w:val="22"/>
        </w:rPr>
        <w:t>pieno rūgšties</w:t>
      </w:r>
      <w:r w:rsidR="00A65294" w:rsidRPr="00D166EA">
        <w:rPr>
          <w:szCs w:val="22"/>
        </w:rPr>
        <w:t xml:space="preserve"> acidozė (nesant hipoksemijos), kai kuriais atvejais </w:t>
      </w:r>
      <w:r w:rsidRPr="00D166EA">
        <w:rPr>
          <w:szCs w:val="22"/>
        </w:rPr>
        <w:t>sukėlusi</w:t>
      </w:r>
      <w:r w:rsidR="00A65294" w:rsidRPr="00D166EA">
        <w:rPr>
          <w:szCs w:val="22"/>
        </w:rPr>
        <w:t xml:space="preserve"> mirtį. Dažniausiai kartu būdavo sunki hepatomegalija ir kepenų steatozė. </w:t>
      </w:r>
      <w:r w:rsidRPr="00D166EA">
        <w:rPr>
          <w:szCs w:val="22"/>
        </w:rPr>
        <w:t>Kadangi e</w:t>
      </w:r>
      <w:r w:rsidR="00A65294" w:rsidRPr="00D166EA">
        <w:rPr>
          <w:szCs w:val="22"/>
        </w:rPr>
        <w:t xml:space="preserve">ntekaviras yra nukleozido analogas, </w:t>
      </w:r>
      <w:r w:rsidRPr="00D166EA">
        <w:rPr>
          <w:szCs w:val="22"/>
        </w:rPr>
        <w:t>šios riziko</w:t>
      </w:r>
      <w:r w:rsidR="001570EE">
        <w:rPr>
          <w:szCs w:val="22"/>
        </w:rPr>
        <w:t>s</w:t>
      </w:r>
      <w:r w:rsidRPr="00D166EA">
        <w:rPr>
          <w:szCs w:val="22"/>
        </w:rPr>
        <w:t xml:space="preserve"> paneigti negalima.</w:t>
      </w:r>
      <w:r w:rsidR="00A65294" w:rsidRPr="00D166EA">
        <w:rPr>
          <w:szCs w:val="22"/>
        </w:rPr>
        <w:t xml:space="preserve"> Nukleozidų analogų vartojimą būtina nutraukti, jeigu greitai didėja aminotransferazių </w:t>
      </w:r>
      <w:r w:rsidRPr="00D166EA">
        <w:rPr>
          <w:szCs w:val="22"/>
        </w:rPr>
        <w:t>aktyvumas</w:t>
      </w:r>
      <w:r w:rsidR="00A65294" w:rsidRPr="00D166EA">
        <w:rPr>
          <w:szCs w:val="22"/>
        </w:rPr>
        <w:t xml:space="preserve">, progresuoja hepatomegalija arba pasireiškia neaiškios </w:t>
      </w:r>
      <w:r w:rsidRPr="00D166EA">
        <w:rPr>
          <w:szCs w:val="22"/>
        </w:rPr>
        <w:t>priežasties sukelta</w:t>
      </w:r>
      <w:r w:rsidR="00A65294" w:rsidRPr="00D166EA">
        <w:rPr>
          <w:szCs w:val="22"/>
        </w:rPr>
        <w:t xml:space="preserve"> metabolinė (</w:t>
      </w:r>
      <w:r w:rsidRPr="00D166EA">
        <w:rPr>
          <w:szCs w:val="22"/>
        </w:rPr>
        <w:t>pieno rūgšties</w:t>
      </w:r>
      <w:r w:rsidR="00A65294" w:rsidRPr="00D166EA">
        <w:rPr>
          <w:szCs w:val="22"/>
        </w:rPr>
        <w:t>) acidozė. Gerybiniai virš</w:t>
      </w:r>
      <w:r w:rsidR="00F325C0">
        <w:rPr>
          <w:szCs w:val="22"/>
        </w:rPr>
        <w:t>k</w:t>
      </w:r>
      <w:r w:rsidR="00A65294" w:rsidRPr="00D166EA">
        <w:rPr>
          <w:szCs w:val="22"/>
        </w:rPr>
        <w:t xml:space="preserve">inimo </w:t>
      </w:r>
      <w:r w:rsidRPr="00D166EA">
        <w:rPr>
          <w:szCs w:val="22"/>
        </w:rPr>
        <w:t>simptomai</w:t>
      </w:r>
      <w:r w:rsidR="00A65294" w:rsidRPr="00D166EA">
        <w:rPr>
          <w:szCs w:val="22"/>
        </w:rPr>
        <w:t xml:space="preserve"> (pvz., pykinimas, vėmimas ir pilvo skausmas) gali rodyti </w:t>
      </w:r>
      <w:r w:rsidRPr="00D166EA">
        <w:rPr>
          <w:szCs w:val="22"/>
        </w:rPr>
        <w:t>pieno rūgšties</w:t>
      </w:r>
      <w:r w:rsidR="00A65294" w:rsidRPr="00D166EA">
        <w:rPr>
          <w:szCs w:val="22"/>
        </w:rPr>
        <w:t xml:space="preserve"> acidozės vyst</w:t>
      </w:r>
      <w:r w:rsidR="00F325C0">
        <w:rPr>
          <w:szCs w:val="22"/>
        </w:rPr>
        <w:t>y</w:t>
      </w:r>
      <w:r w:rsidR="00A65294" w:rsidRPr="00D166EA">
        <w:rPr>
          <w:szCs w:val="22"/>
        </w:rPr>
        <w:t xml:space="preserve">mąsi. Sunkūs ir kartais </w:t>
      </w:r>
      <w:r w:rsidRPr="00D166EA">
        <w:rPr>
          <w:szCs w:val="22"/>
        </w:rPr>
        <w:t>sukėlę</w:t>
      </w:r>
      <w:r w:rsidR="00A65294" w:rsidRPr="00D166EA">
        <w:rPr>
          <w:szCs w:val="22"/>
        </w:rPr>
        <w:t xml:space="preserve"> mirtį atvejai buvo susiję su pankreatitu, kepenų nepakankamumu / steatoze, inkstų nepakankamumu ir dides</w:t>
      </w:r>
      <w:r w:rsidR="001570EE">
        <w:rPr>
          <w:szCs w:val="22"/>
        </w:rPr>
        <w:t>n</w:t>
      </w:r>
      <w:r w:rsidRPr="00D166EA">
        <w:rPr>
          <w:szCs w:val="22"/>
        </w:rPr>
        <w:t>iu</w:t>
      </w:r>
      <w:r w:rsidR="00A65294" w:rsidRPr="00D166EA">
        <w:rPr>
          <w:szCs w:val="22"/>
        </w:rPr>
        <w:t xml:space="preserve"> laktato </w:t>
      </w:r>
      <w:r w:rsidRPr="00D166EA">
        <w:rPr>
          <w:szCs w:val="22"/>
        </w:rPr>
        <w:t>kiekiu serume</w:t>
      </w:r>
      <w:r w:rsidR="00A65294" w:rsidRPr="00D166EA">
        <w:rPr>
          <w:szCs w:val="22"/>
        </w:rPr>
        <w:t xml:space="preserve">. </w:t>
      </w:r>
    </w:p>
    <w:p w14:paraId="4CC874FF" w14:textId="77777777" w:rsidR="00B363C9" w:rsidRPr="00D166EA" w:rsidRDefault="00B363C9" w:rsidP="00A65294">
      <w:pPr>
        <w:rPr>
          <w:szCs w:val="22"/>
        </w:rPr>
      </w:pPr>
    </w:p>
    <w:p w14:paraId="413D3A9F" w14:textId="77777777" w:rsidR="00A65294" w:rsidRPr="00D166EA" w:rsidRDefault="00A65294" w:rsidP="00A65294">
      <w:pPr>
        <w:rPr>
          <w:szCs w:val="22"/>
        </w:rPr>
      </w:pPr>
      <w:r w:rsidRPr="00D166EA">
        <w:rPr>
          <w:szCs w:val="22"/>
        </w:rPr>
        <w:lastRenderedPageBreak/>
        <w:t>Jeigu nustatyta hepatomegalija, hepatitas arba kitokių kepenų pažeidimo rizikos veiksnių, nukleozidų analogų</w:t>
      </w:r>
      <w:r w:rsidR="00B363C9" w:rsidRPr="00D166EA">
        <w:rPr>
          <w:szCs w:val="22"/>
        </w:rPr>
        <w:t xml:space="preserve"> bet kokiam pacientui,</w:t>
      </w:r>
      <w:r w:rsidRPr="00D166EA">
        <w:rPr>
          <w:szCs w:val="22"/>
        </w:rPr>
        <w:t xml:space="preserve"> </w:t>
      </w:r>
      <w:r w:rsidR="00B363C9" w:rsidRPr="00D166EA">
        <w:rPr>
          <w:szCs w:val="22"/>
        </w:rPr>
        <w:t xml:space="preserve">ypač nutukusioms moterims, turi būti </w:t>
      </w:r>
      <w:r w:rsidRPr="00D166EA">
        <w:rPr>
          <w:szCs w:val="22"/>
        </w:rPr>
        <w:t>skiriama atsargiai. Tokius pacientus reikia atidžiai stebėti.</w:t>
      </w:r>
    </w:p>
    <w:p w14:paraId="64FEB363" w14:textId="77777777" w:rsidR="00EE1553" w:rsidRPr="00D166EA" w:rsidRDefault="00EE1553" w:rsidP="00A65294">
      <w:pPr>
        <w:rPr>
          <w:szCs w:val="22"/>
        </w:rPr>
      </w:pPr>
    </w:p>
    <w:p w14:paraId="1A34BDB3" w14:textId="77777777" w:rsidR="00A65294" w:rsidRPr="00D166EA" w:rsidRDefault="00A65294" w:rsidP="00A65294">
      <w:pPr>
        <w:rPr>
          <w:szCs w:val="22"/>
        </w:rPr>
      </w:pPr>
      <w:r w:rsidRPr="00D166EA">
        <w:rPr>
          <w:szCs w:val="22"/>
        </w:rPr>
        <w:t xml:space="preserve">Norėdamas nustatyti, ar aminotransferazių </w:t>
      </w:r>
      <w:r w:rsidR="00EE1553" w:rsidRPr="00D166EA">
        <w:rPr>
          <w:szCs w:val="22"/>
        </w:rPr>
        <w:t>aktyvumo</w:t>
      </w:r>
      <w:r w:rsidRPr="00D166EA">
        <w:rPr>
          <w:szCs w:val="22"/>
        </w:rPr>
        <w:t xml:space="preserve"> padidėjimas yra atsakas į gydymą, ar gali būti susijęs su </w:t>
      </w:r>
      <w:r w:rsidR="00EE1553" w:rsidRPr="00D166EA">
        <w:rPr>
          <w:szCs w:val="22"/>
        </w:rPr>
        <w:t>pieno rūgšties</w:t>
      </w:r>
      <w:r w:rsidRPr="00D166EA">
        <w:rPr>
          <w:szCs w:val="22"/>
        </w:rPr>
        <w:t xml:space="preserve"> acidoze, gydytojas turi </w:t>
      </w:r>
      <w:r w:rsidR="00EE1553" w:rsidRPr="00D166EA">
        <w:rPr>
          <w:szCs w:val="22"/>
        </w:rPr>
        <w:t>garantuoti, kad</w:t>
      </w:r>
      <w:r w:rsidRPr="00D166EA">
        <w:rPr>
          <w:szCs w:val="22"/>
        </w:rPr>
        <w:t xml:space="preserve"> ALT </w:t>
      </w:r>
      <w:r w:rsidR="00EE1553" w:rsidRPr="00D166EA">
        <w:rPr>
          <w:szCs w:val="22"/>
        </w:rPr>
        <w:t>aktyvumo</w:t>
      </w:r>
      <w:r w:rsidRPr="00D166EA">
        <w:rPr>
          <w:szCs w:val="22"/>
        </w:rPr>
        <w:t xml:space="preserve"> pokyčiai </w:t>
      </w:r>
      <w:r w:rsidR="00EE1553" w:rsidRPr="00D166EA">
        <w:rPr>
          <w:szCs w:val="22"/>
        </w:rPr>
        <w:t xml:space="preserve">yra </w:t>
      </w:r>
      <w:r w:rsidRPr="00D166EA">
        <w:rPr>
          <w:szCs w:val="22"/>
        </w:rPr>
        <w:t>susiję su palankiais kitų laboratorinių lėtinio hepatito B žymenų pokyčiais.</w:t>
      </w:r>
    </w:p>
    <w:p w14:paraId="745E429B" w14:textId="77777777" w:rsidR="00EE1553" w:rsidRPr="00D166EA" w:rsidRDefault="00EE1553" w:rsidP="00A65294">
      <w:pPr>
        <w:rPr>
          <w:szCs w:val="22"/>
        </w:rPr>
      </w:pPr>
    </w:p>
    <w:p w14:paraId="5F2E388E" w14:textId="77777777" w:rsidR="000B1643" w:rsidRPr="00D166EA" w:rsidRDefault="00A65294" w:rsidP="00A65294">
      <w:pPr>
        <w:rPr>
          <w:szCs w:val="22"/>
        </w:rPr>
      </w:pPr>
      <w:r w:rsidRPr="00D166EA">
        <w:rPr>
          <w:i/>
          <w:szCs w:val="22"/>
        </w:rPr>
        <w:t>Atsparumas ir specialios atsargumo priemonės lamivudinui atspariems pacientams</w:t>
      </w:r>
      <w:r w:rsidRPr="00D166EA">
        <w:rPr>
          <w:szCs w:val="22"/>
        </w:rPr>
        <w:t xml:space="preserve">. HBV polimerazės mutacijos, koduojančios atsparumą lamivudinui lemiančius pakeitimus, gali </w:t>
      </w:r>
      <w:r w:rsidR="00EE1553" w:rsidRPr="00D166EA">
        <w:rPr>
          <w:szCs w:val="22"/>
        </w:rPr>
        <w:t>paskatinti</w:t>
      </w:r>
      <w:r w:rsidRPr="00D166EA">
        <w:rPr>
          <w:szCs w:val="22"/>
        </w:rPr>
        <w:t xml:space="preserve"> antrinių pakeitimų, įskaitant susijusius su atsparumu entekavirui (ETVr), atsiradimą. Nedideliam procentui pacientų, kurių infekcija buvo atspari lamivudinui, </w:t>
      </w:r>
      <w:r w:rsidR="00EE1553" w:rsidRPr="00D166EA">
        <w:rPr>
          <w:szCs w:val="22"/>
        </w:rPr>
        <w:t>prieš gydymo pradžią aptikta</w:t>
      </w:r>
      <w:r w:rsidRPr="00D166EA">
        <w:rPr>
          <w:szCs w:val="22"/>
        </w:rPr>
        <w:t xml:space="preserve"> ETVr pakeitimų rtT184, rtS202 ar rtM250 liekanose. Lamivudinui atsparia HBV infekcija užsikrėtusiems pacientams atsparumo entekavirui pasireiškimo </w:t>
      </w:r>
      <w:r w:rsidR="00EE1553" w:rsidRPr="00D166EA">
        <w:rPr>
          <w:szCs w:val="22"/>
        </w:rPr>
        <w:t>rizika</w:t>
      </w:r>
      <w:r w:rsidRPr="00D166EA">
        <w:rPr>
          <w:szCs w:val="22"/>
        </w:rPr>
        <w:t xml:space="preserve"> </w:t>
      </w:r>
      <w:r w:rsidR="00EE1553" w:rsidRPr="00D166EA">
        <w:rPr>
          <w:szCs w:val="22"/>
        </w:rPr>
        <w:t>yra didesnė</w:t>
      </w:r>
      <w:r w:rsidR="000B1643" w:rsidRPr="00D166EA">
        <w:rPr>
          <w:szCs w:val="22"/>
        </w:rPr>
        <w:t>,</w:t>
      </w:r>
      <w:r w:rsidR="00EE1553" w:rsidRPr="00D166EA">
        <w:rPr>
          <w:szCs w:val="22"/>
        </w:rPr>
        <w:t xml:space="preserve"> </w:t>
      </w:r>
      <w:r w:rsidRPr="00D166EA">
        <w:rPr>
          <w:szCs w:val="22"/>
        </w:rPr>
        <w:t xml:space="preserve">negu </w:t>
      </w:r>
      <w:r w:rsidR="000B1643" w:rsidRPr="00D166EA">
        <w:rPr>
          <w:szCs w:val="22"/>
        </w:rPr>
        <w:t>pacientams, kuriems atsparumo lamivudinui nėra</w:t>
      </w:r>
      <w:r w:rsidRPr="00D166EA">
        <w:rPr>
          <w:szCs w:val="22"/>
        </w:rPr>
        <w:t xml:space="preserve">. Genotipinio atsparumo entekavirui pasireiškimo kumuliacinė tikimybė per 1, 2, 3, 4 ir 5 gydymo metus </w:t>
      </w:r>
      <w:r w:rsidR="000B1643" w:rsidRPr="00D166EA">
        <w:rPr>
          <w:szCs w:val="22"/>
        </w:rPr>
        <w:t>la</w:t>
      </w:r>
      <w:r w:rsidRPr="00D166EA">
        <w:rPr>
          <w:szCs w:val="22"/>
        </w:rPr>
        <w:t>mivudinui</w:t>
      </w:r>
      <w:r w:rsidR="000B1643" w:rsidRPr="00D166EA">
        <w:rPr>
          <w:szCs w:val="22"/>
        </w:rPr>
        <w:t xml:space="preserve"> atsparių tyrimų metu</w:t>
      </w:r>
      <w:r w:rsidRPr="00D166EA">
        <w:rPr>
          <w:szCs w:val="22"/>
        </w:rPr>
        <w:t xml:space="preserve"> buvo atitinkamai 6</w:t>
      </w:r>
      <w:r w:rsidR="00A916D0">
        <w:rPr>
          <w:szCs w:val="22"/>
        </w:rPr>
        <w:t> </w:t>
      </w:r>
      <w:r w:rsidRPr="00D166EA">
        <w:rPr>
          <w:szCs w:val="22"/>
        </w:rPr>
        <w:t>%, 15</w:t>
      </w:r>
      <w:r w:rsidR="00A916D0">
        <w:rPr>
          <w:szCs w:val="22"/>
        </w:rPr>
        <w:t> </w:t>
      </w:r>
      <w:r w:rsidRPr="00D166EA">
        <w:rPr>
          <w:szCs w:val="22"/>
        </w:rPr>
        <w:t>%, 36</w:t>
      </w:r>
      <w:r w:rsidR="00A916D0">
        <w:rPr>
          <w:szCs w:val="22"/>
        </w:rPr>
        <w:t> </w:t>
      </w:r>
      <w:r w:rsidRPr="00D166EA">
        <w:rPr>
          <w:szCs w:val="22"/>
        </w:rPr>
        <w:t>%, 47</w:t>
      </w:r>
      <w:r w:rsidR="00A916D0">
        <w:rPr>
          <w:szCs w:val="22"/>
        </w:rPr>
        <w:t> </w:t>
      </w:r>
      <w:r w:rsidRPr="00D166EA">
        <w:rPr>
          <w:szCs w:val="22"/>
        </w:rPr>
        <w:t>% ir 51</w:t>
      </w:r>
      <w:r w:rsidR="00A916D0">
        <w:rPr>
          <w:szCs w:val="22"/>
        </w:rPr>
        <w:t> </w:t>
      </w:r>
      <w:r w:rsidRPr="00D166EA">
        <w:rPr>
          <w:szCs w:val="22"/>
        </w:rPr>
        <w:t xml:space="preserve">%. Būtina </w:t>
      </w:r>
      <w:r w:rsidR="000B1643" w:rsidRPr="00D166EA">
        <w:rPr>
          <w:szCs w:val="22"/>
        </w:rPr>
        <w:t>dažnai tikrinti</w:t>
      </w:r>
      <w:r w:rsidRPr="00D166EA">
        <w:rPr>
          <w:szCs w:val="22"/>
        </w:rPr>
        <w:t xml:space="preserve"> </w:t>
      </w:r>
      <w:r w:rsidR="000B1643" w:rsidRPr="00D166EA">
        <w:rPr>
          <w:szCs w:val="22"/>
        </w:rPr>
        <w:t xml:space="preserve">virusologinį atsaką </w:t>
      </w:r>
      <w:r w:rsidRPr="00D166EA">
        <w:rPr>
          <w:szCs w:val="22"/>
        </w:rPr>
        <w:t>lamivudinui atspari</w:t>
      </w:r>
      <w:r w:rsidR="000B1643" w:rsidRPr="00D166EA">
        <w:rPr>
          <w:szCs w:val="22"/>
        </w:rPr>
        <w:t>oje populiacijoje</w:t>
      </w:r>
      <w:r w:rsidRPr="00D166EA">
        <w:rPr>
          <w:szCs w:val="22"/>
        </w:rPr>
        <w:t xml:space="preserve"> ir daryti reikiamus atsparumo tyrimus. Jeigu po 24 entekaviro vartojimo savaičių virusologinis atsakas yra silpnesnis už optimalų, </w:t>
      </w:r>
      <w:r w:rsidR="000B1643" w:rsidRPr="00D166EA">
        <w:rPr>
          <w:szCs w:val="22"/>
        </w:rPr>
        <w:t xml:space="preserve">turi būti apgalvotas </w:t>
      </w:r>
      <w:r w:rsidRPr="00D166EA">
        <w:rPr>
          <w:szCs w:val="22"/>
        </w:rPr>
        <w:t xml:space="preserve">gydymo </w:t>
      </w:r>
      <w:r w:rsidR="000B1643" w:rsidRPr="00D166EA">
        <w:rPr>
          <w:szCs w:val="22"/>
        </w:rPr>
        <w:t>modifikavimas</w:t>
      </w:r>
      <w:r w:rsidRPr="00D166EA">
        <w:rPr>
          <w:szCs w:val="22"/>
        </w:rPr>
        <w:t xml:space="preserve"> (žr. 4.5 ir 5.1 skyrius). Pradedant gydyti pacientus, kurių anamnezės dokumentuose užfiksuotas lamivudinui atsparus HBV, pasirinktinu laikytinas gydymas ne </w:t>
      </w:r>
      <w:r w:rsidR="000B1643" w:rsidRPr="00D166EA">
        <w:rPr>
          <w:szCs w:val="22"/>
        </w:rPr>
        <w:t xml:space="preserve">vienu </w:t>
      </w:r>
      <w:r w:rsidRPr="00D166EA">
        <w:rPr>
          <w:szCs w:val="22"/>
        </w:rPr>
        <w:t xml:space="preserve">entekaviru, bet jo deriniu su kitu antivirusiniu vaistiniu preparatu (tokiu, kad nebūtų kryžminio atsparumo nei </w:t>
      </w:r>
      <w:r w:rsidR="000B1643" w:rsidRPr="00D166EA">
        <w:rPr>
          <w:szCs w:val="22"/>
        </w:rPr>
        <w:t>su</w:t>
      </w:r>
      <w:r w:rsidRPr="00D166EA">
        <w:rPr>
          <w:szCs w:val="22"/>
        </w:rPr>
        <w:t xml:space="preserve"> entekavir</w:t>
      </w:r>
      <w:r w:rsidR="000B1643" w:rsidRPr="00D166EA">
        <w:rPr>
          <w:szCs w:val="22"/>
        </w:rPr>
        <w:t>u</w:t>
      </w:r>
      <w:r w:rsidRPr="00D166EA">
        <w:rPr>
          <w:szCs w:val="22"/>
        </w:rPr>
        <w:t xml:space="preserve">, nei </w:t>
      </w:r>
      <w:r w:rsidR="000B1643" w:rsidRPr="00D166EA">
        <w:rPr>
          <w:szCs w:val="22"/>
        </w:rPr>
        <w:t>su</w:t>
      </w:r>
      <w:r w:rsidRPr="00D166EA">
        <w:rPr>
          <w:szCs w:val="22"/>
        </w:rPr>
        <w:t xml:space="preserve"> lamivudinu).</w:t>
      </w:r>
    </w:p>
    <w:p w14:paraId="0B3C905B" w14:textId="77777777" w:rsidR="000B1643" w:rsidRPr="00D166EA" w:rsidRDefault="000B1643" w:rsidP="00A65294">
      <w:pPr>
        <w:rPr>
          <w:szCs w:val="22"/>
        </w:rPr>
      </w:pPr>
    </w:p>
    <w:p w14:paraId="2D7AB4B2" w14:textId="77777777" w:rsidR="00A65294" w:rsidRPr="00D166EA" w:rsidRDefault="00B40DEB" w:rsidP="00A65294">
      <w:pPr>
        <w:rPr>
          <w:szCs w:val="22"/>
        </w:rPr>
      </w:pPr>
      <w:r>
        <w:rPr>
          <w:szCs w:val="22"/>
        </w:rPr>
        <w:t>A</w:t>
      </w:r>
      <w:r w:rsidR="000B1643" w:rsidRPr="00D166EA">
        <w:rPr>
          <w:szCs w:val="22"/>
        </w:rPr>
        <w:t xml:space="preserve">nksčiau </w:t>
      </w:r>
      <w:r w:rsidR="00A65294" w:rsidRPr="00D166EA">
        <w:rPr>
          <w:szCs w:val="22"/>
        </w:rPr>
        <w:t>lamivudinui atsparus HBV yra susijęs su didesne atsparumo entekavirui rizika</w:t>
      </w:r>
      <w:r w:rsidR="00C16E26">
        <w:rPr>
          <w:szCs w:val="22"/>
        </w:rPr>
        <w:t xml:space="preserve"> vėliau</w:t>
      </w:r>
      <w:r w:rsidR="00A65294" w:rsidRPr="00D166EA">
        <w:rPr>
          <w:szCs w:val="22"/>
        </w:rPr>
        <w:t>, nepriklausomai nuo kepenų ligos sunkumo laipsnio</w:t>
      </w:r>
      <w:r w:rsidR="00096BCF" w:rsidRPr="00D166EA">
        <w:rPr>
          <w:szCs w:val="22"/>
        </w:rPr>
        <w:t>;</w:t>
      </w:r>
      <w:r w:rsidR="00A65294" w:rsidRPr="00D166EA">
        <w:rPr>
          <w:szCs w:val="22"/>
        </w:rPr>
        <w:t xml:space="preserve"> </w:t>
      </w:r>
      <w:r w:rsidR="00096BCF" w:rsidRPr="00D166EA">
        <w:rPr>
          <w:szCs w:val="22"/>
        </w:rPr>
        <w:t xml:space="preserve">staigus </w:t>
      </w:r>
      <w:r w:rsidR="00A65294" w:rsidRPr="00D166EA">
        <w:rPr>
          <w:szCs w:val="22"/>
        </w:rPr>
        <w:t xml:space="preserve">virusų kiekio padidėjimas nekompensuota kepenų liga sergantiems pacientams gali sukelti sunkių klinikinių kepenų ligos komplikacijų. </w:t>
      </w:r>
      <w:r w:rsidR="00A65294" w:rsidRPr="006559C4">
        <w:rPr>
          <w:szCs w:val="22"/>
        </w:rPr>
        <w:t>Dėl to pacientams, kurie</w:t>
      </w:r>
      <w:r w:rsidR="00096BCF" w:rsidRPr="006559C4">
        <w:rPr>
          <w:szCs w:val="22"/>
        </w:rPr>
        <w:t>ms yra</w:t>
      </w:r>
      <w:r w:rsidR="00A65294" w:rsidRPr="006559C4">
        <w:rPr>
          <w:szCs w:val="22"/>
        </w:rPr>
        <w:t xml:space="preserve"> lamivudinui atspar</w:t>
      </w:r>
      <w:r w:rsidR="00096BCF" w:rsidRPr="006559C4">
        <w:rPr>
          <w:szCs w:val="22"/>
        </w:rPr>
        <w:t>us</w:t>
      </w:r>
      <w:r w:rsidR="00A65294" w:rsidRPr="006559C4">
        <w:rPr>
          <w:szCs w:val="22"/>
        </w:rPr>
        <w:t xml:space="preserve"> HBV ir </w:t>
      </w:r>
      <w:r w:rsidR="00096BCF" w:rsidRPr="006559C4">
        <w:rPr>
          <w:szCs w:val="22"/>
        </w:rPr>
        <w:t>n</w:t>
      </w:r>
      <w:r w:rsidR="00A65294" w:rsidRPr="006559C4">
        <w:rPr>
          <w:szCs w:val="22"/>
        </w:rPr>
        <w:t>ekompensuot</w:t>
      </w:r>
      <w:r w:rsidR="00096BCF" w:rsidRPr="006559C4">
        <w:rPr>
          <w:szCs w:val="22"/>
        </w:rPr>
        <w:t>a</w:t>
      </w:r>
      <w:r w:rsidR="00A65294" w:rsidRPr="006559C4">
        <w:rPr>
          <w:szCs w:val="22"/>
        </w:rPr>
        <w:t xml:space="preserve"> kepenų funkcij</w:t>
      </w:r>
      <w:r w:rsidR="00096BCF" w:rsidRPr="006559C4">
        <w:rPr>
          <w:szCs w:val="22"/>
        </w:rPr>
        <w:t>a</w:t>
      </w:r>
      <w:r w:rsidR="00A65294" w:rsidRPr="006559C4">
        <w:rPr>
          <w:szCs w:val="22"/>
        </w:rPr>
        <w:t xml:space="preserve">, tikslingiau skirti entekaviro ir kito antivirusinio vaistinio preparato, kuriam nebūdingas kryžminis atsparumas </w:t>
      </w:r>
      <w:r w:rsidR="00096BCF" w:rsidRPr="006559C4">
        <w:rPr>
          <w:szCs w:val="22"/>
        </w:rPr>
        <w:t xml:space="preserve">nei </w:t>
      </w:r>
      <w:r w:rsidR="00A65294" w:rsidRPr="006559C4">
        <w:rPr>
          <w:szCs w:val="22"/>
        </w:rPr>
        <w:t>su lamivudinu</w:t>
      </w:r>
      <w:r w:rsidR="00096BCF" w:rsidRPr="006559C4">
        <w:rPr>
          <w:szCs w:val="22"/>
        </w:rPr>
        <w:t>, ne su</w:t>
      </w:r>
      <w:r w:rsidR="00A65294" w:rsidRPr="006559C4">
        <w:rPr>
          <w:szCs w:val="22"/>
        </w:rPr>
        <w:t xml:space="preserve"> entekaviru, derinį</w:t>
      </w:r>
      <w:r w:rsidR="00096BCF" w:rsidRPr="006559C4">
        <w:rPr>
          <w:szCs w:val="22"/>
        </w:rPr>
        <w:t>,</w:t>
      </w:r>
      <w:r w:rsidR="00A65294" w:rsidRPr="006559C4">
        <w:rPr>
          <w:szCs w:val="22"/>
        </w:rPr>
        <w:t xml:space="preserve"> negu </w:t>
      </w:r>
      <w:r w:rsidR="00096BCF" w:rsidRPr="006559C4">
        <w:rPr>
          <w:szCs w:val="22"/>
        </w:rPr>
        <w:t>gydymą vienu</w:t>
      </w:r>
      <w:r w:rsidR="00A65294" w:rsidRPr="006559C4">
        <w:rPr>
          <w:szCs w:val="22"/>
        </w:rPr>
        <w:t xml:space="preserve"> entekaviru.</w:t>
      </w:r>
    </w:p>
    <w:p w14:paraId="5772EEFF" w14:textId="77777777" w:rsidR="00096BCF" w:rsidRPr="00D166EA" w:rsidRDefault="00096BCF" w:rsidP="00A65294">
      <w:pPr>
        <w:rPr>
          <w:szCs w:val="22"/>
        </w:rPr>
      </w:pPr>
    </w:p>
    <w:p w14:paraId="6F47A0C6" w14:textId="77777777" w:rsidR="00061FB3" w:rsidRDefault="00A65294" w:rsidP="00A65294">
      <w:pPr>
        <w:rPr>
          <w:szCs w:val="22"/>
        </w:rPr>
      </w:pPr>
      <w:r w:rsidRPr="00591D31">
        <w:rPr>
          <w:szCs w:val="22"/>
          <w:u w:val="single"/>
        </w:rPr>
        <w:t>Vaikų populiacija</w:t>
      </w:r>
      <w:r w:rsidRPr="00D166EA">
        <w:rPr>
          <w:szCs w:val="22"/>
        </w:rPr>
        <w:t xml:space="preserve"> </w:t>
      </w:r>
    </w:p>
    <w:p w14:paraId="29EFBA9A" w14:textId="77777777" w:rsidR="00A65294" w:rsidRPr="00D166EA" w:rsidRDefault="00A65294" w:rsidP="00A65294">
      <w:pPr>
        <w:rPr>
          <w:szCs w:val="22"/>
        </w:rPr>
      </w:pPr>
      <w:r w:rsidRPr="00D166EA">
        <w:rPr>
          <w:szCs w:val="22"/>
        </w:rPr>
        <w:t>Vaikams, kurių pradin</w:t>
      </w:r>
      <w:r w:rsidR="00096BCF" w:rsidRPr="00D166EA">
        <w:rPr>
          <w:szCs w:val="22"/>
        </w:rPr>
        <w:t>is</w:t>
      </w:r>
      <w:r w:rsidRPr="00D166EA">
        <w:rPr>
          <w:szCs w:val="22"/>
        </w:rPr>
        <w:t xml:space="preserve"> HBV DNR </w:t>
      </w:r>
      <w:r w:rsidR="00096BCF" w:rsidRPr="00D166EA">
        <w:rPr>
          <w:szCs w:val="22"/>
        </w:rPr>
        <w:t>kiekis</w:t>
      </w:r>
      <w:r w:rsidRPr="00D166EA">
        <w:rPr>
          <w:szCs w:val="22"/>
        </w:rPr>
        <w:t xml:space="preserve"> buvo ≥</w:t>
      </w:r>
      <w:r w:rsidR="00A916D0">
        <w:rPr>
          <w:szCs w:val="22"/>
        </w:rPr>
        <w:t> </w:t>
      </w:r>
      <w:r w:rsidRPr="00D166EA">
        <w:rPr>
          <w:szCs w:val="22"/>
        </w:rPr>
        <w:t>8,0</w:t>
      </w:r>
      <w:r w:rsidR="00A916D0">
        <w:rPr>
          <w:szCs w:val="22"/>
        </w:rPr>
        <w:t> </w:t>
      </w:r>
      <w:r w:rsidRPr="00D166EA">
        <w:rPr>
          <w:szCs w:val="22"/>
        </w:rPr>
        <w:t>log</w:t>
      </w:r>
      <w:r w:rsidRPr="00D166EA">
        <w:rPr>
          <w:szCs w:val="22"/>
          <w:vertAlign w:val="subscript"/>
        </w:rPr>
        <w:t>10</w:t>
      </w:r>
      <w:r w:rsidR="00A916D0">
        <w:rPr>
          <w:szCs w:val="22"/>
        </w:rPr>
        <w:t> </w:t>
      </w:r>
      <w:r w:rsidRPr="00D166EA">
        <w:rPr>
          <w:szCs w:val="22"/>
        </w:rPr>
        <w:t>TV/ml, virusologinis atsakas (HBV DNR &lt;</w:t>
      </w:r>
      <w:r w:rsidR="00A916D0">
        <w:rPr>
          <w:szCs w:val="22"/>
        </w:rPr>
        <w:t> </w:t>
      </w:r>
      <w:r w:rsidRPr="00D166EA">
        <w:rPr>
          <w:szCs w:val="22"/>
        </w:rPr>
        <w:t>50</w:t>
      </w:r>
      <w:r w:rsidR="00A916D0">
        <w:rPr>
          <w:szCs w:val="22"/>
        </w:rPr>
        <w:t> </w:t>
      </w:r>
      <w:r w:rsidRPr="00D166EA">
        <w:rPr>
          <w:szCs w:val="22"/>
        </w:rPr>
        <w:t xml:space="preserve">TV/ml) pasireiškė rečiau (žr. 5.1 skyrių). Tokiems </w:t>
      </w:r>
      <w:r w:rsidR="00096BCF" w:rsidRPr="00D166EA">
        <w:rPr>
          <w:szCs w:val="22"/>
        </w:rPr>
        <w:t>pacientams</w:t>
      </w:r>
      <w:r w:rsidRPr="00D166EA">
        <w:rPr>
          <w:szCs w:val="22"/>
        </w:rPr>
        <w:t xml:space="preserve"> entekaviro turi būti vartojama tik jei</w:t>
      </w:r>
      <w:r w:rsidR="00096BCF" w:rsidRPr="00D166EA">
        <w:rPr>
          <w:szCs w:val="22"/>
        </w:rPr>
        <w:t>g</w:t>
      </w:r>
      <w:r w:rsidR="001570EE">
        <w:rPr>
          <w:szCs w:val="22"/>
        </w:rPr>
        <w:t>u</w:t>
      </w:r>
      <w:r w:rsidRPr="00D166EA">
        <w:rPr>
          <w:szCs w:val="22"/>
        </w:rPr>
        <w:t xml:space="preserve"> laukiama nauda </w:t>
      </w:r>
      <w:r w:rsidR="00096BCF" w:rsidRPr="00D166EA">
        <w:rPr>
          <w:szCs w:val="22"/>
        </w:rPr>
        <w:t>pateisina</w:t>
      </w:r>
      <w:r w:rsidRPr="00D166EA">
        <w:rPr>
          <w:szCs w:val="22"/>
        </w:rPr>
        <w:t xml:space="preserve"> galimą </w:t>
      </w:r>
      <w:r w:rsidR="00096BCF" w:rsidRPr="00D166EA">
        <w:rPr>
          <w:szCs w:val="22"/>
        </w:rPr>
        <w:t>riziką</w:t>
      </w:r>
      <w:r w:rsidRPr="00D166EA">
        <w:rPr>
          <w:szCs w:val="22"/>
        </w:rPr>
        <w:t xml:space="preserve"> </w:t>
      </w:r>
      <w:r w:rsidR="00096BCF" w:rsidRPr="00D166EA">
        <w:rPr>
          <w:szCs w:val="22"/>
        </w:rPr>
        <w:t xml:space="preserve">vaikui </w:t>
      </w:r>
      <w:r w:rsidRPr="00D166EA">
        <w:rPr>
          <w:szCs w:val="22"/>
        </w:rPr>
        <w:t>(pvz., virusų atsparum</w:t>
      </w:r>
      <w:r w:rsidR="00096BCF" w:rsidRPr="00D166EA">
        <w:rPr>
          <w:szCs w:val="22"/>
        </w:rPr>
        <w:t>as</w:t>
      </w:r>
      <w:r w:rsidRPr="00D166EA">
        <w:rPr>
          <w:szCs w:val="22"/>
        </w:rPr>
        <w:t xml:space="preserve">). Kai kurių vaikų lėtinį aktyvų hepatitą B gali tekti gydyti ilgai ar net visą gyvenimą, todėl būtina įvertinti entekaviro įtaką </w:t>
      </w:r>
      <w:r w:rsidR="00096BCF" w:rsidRPr="00D166EA">
        <w:rPr>
          <w:szCs w:val="22"/>
        </w:rPr>
        <w:t>būsimo</w:t>
      </w:r>
      <w:r w:rsidRPr="00D166EA">
        <w:rPr>
          <w:szCs w:val="22"/>
        </w:rPr>
        <w:t xml:space="preserve"> gydymo </w:t>
      </w:r>
      <w:r w:rsidR="00096BCF" w:rsidRPr="00D166EA">
        <w:rPr>
          <w:szCs w:val="22"/>
        </w:rPr>
        <w:t>pasirinkimui</w:t>
      </w:r>
      <w:r w:rsidRPr="00D166EA">
        <w:rPr>
          <w:szCs w:val="22"/>
        </w:rPr>
        <w:t>.</w:t>
      </w:r>
    </w:p>
    <w:p w14:paraId="6CD6645C" w14:textId="77777777" w:rsidR="00096BCF" w:rsidRPr="00D166EA" w:rsidRDefault="00096BCF" w:rsidP="00A65294">
      <w:pPr>
        <w:rPr>
          <w:szCs w:val="22"/>
        </w:rPr>
      </w:pPr>
    </w:p>
    <w:p w14:paraId="77D50306" w14:textId="77777777" w:rsidR="00A65294" w:rsidRPr="00D166EA" w:rsidRDefault="00A65294" w:rsidP="00A65294">
      <w:pPr>
        <w:rPr>
          <w:szCs w:val="22"/>
        </w:rPr>
      </w:pPr>
      <w:r w:rsidRPr="00D166EA">
        <w:rPr>
          <w:i/>
          <w:szCs w:val="22"/>
        </w:rPr>
        <w:t xml:space="preserve">Pacientai, kuriems </w:t>
      </w:r>
      <w:r w:rsidR="00F15499" w:rsidRPr="00D166EA">
        <w:rPr>
          <w:i/>
          <w:szCs w:val="22"/>
        </w:rPr>
        <w:t>persodintos</w:t>
      </w:r>
      <w:r w:rsidRPr="00D166EA">
        <w:rPr>
          <w:i/>
          <w:szCs w:val="22"/>
        </w:rPr>
        <w:t xml:space="preserve"> kepenys</w:t>
      </w:r>
      <w:r w:rsidRPr="00D166EA">
        <w:rPr>
          <w:szCs w:val="22"/>
        </w:rPr>
        <w:t>. Jeigu toks pacientas vartoja ciklosporin</w:t>
      </w:r>
      <w:r w:rsidR="00F15499" w:rsidRPr="00D166EA">
        <w:rPr>
          <w:szCs w:val="22"/>
        </w:rPr>
        <w:t>o</w:t>
      </w:r>
      <w:r w:rsidRPr="00D166EA">
        <w:rPr>
          <w:szCs w:val="22"/>
        </w:rPr>
        <w:t xml:space="preserve"> arba takrolimu</w:t>
      </w:r>
      <w:r w:rsidR="00F15499" w:rsidRPr="00D166EA">
        <w:rPr>
          <w:szCs w:val="22"/>
        </w:rPr>
        <w:t>zo</w:t>
      </w:r>
      <w:r w:rsidRPr="00D166EA">
        <w:rPr>
          <w:szCs w:val="22"/>
        </w:rPr>
        <w:t xml:space="preserve">, jo inkstų funkciją reikia atidžiai </w:t>
      </w:r>
      <w:r w:rsidR="00F15499" w:rsidRPr="00D166EA">
        <w:rPr>
          <w:szCs w:val="22"/>
        </w:rPr>
        <w:t>įvertinti</w:t>
      </w:r>
      <w:r w:rsidRPr="00D166EA">
        <w:rPr>
          <w:szCs w:val="22"/>
        </w:rPr>
        <w:t xml:space="preserve"> prieš </w:t>
      </w:r>
      <w:r w:rsidR="00F15499" w:rsidRPr="00D166EA">
        <w:rPr>
          <w:szCs w:val="22"/>
        </w:rPr>
        <w:t>pradedant gydymą</w:t>
      </w:r>
      <w:r w:rsidRPr="00D166EA">
        <w:rPr>
          <w:szCs w:val="22"/>
        </w:rPr>
        <w:t xml:space="preserve"> entekavir</w:t>
      </w:r>
      <w:r w:rsidR="00F15499" w:rsidRPr="00D166EA">
        <w:rPr>
          <w:szCs w:val="22"/>
        </w:rPr>
        <w:t>u</w:t>
      </w:r>
      <w:r w:rsidRPr="00D166EA">
        <w:rPr>
          <w:szCs w:val="22"/>
        </w:rPr>
        <w:t xml:space="preserve"> ir </w:t>
      </w:r>
      <w:r w:rsidR="00F15499" w:rsidRPr="00D166EA">
        <w:rPr>
          <w:szCs w:val="22"/>
        </w:rPr>
        <w:t>j</w:t>
      </w:r>
      <w:r w:rsidRPr="00D166EA">
        <w:rPr>
          <w:szCs w:val="22"/>
        </w:rPr>
        <w:t>o metu (žr. 5.2 skyrių).</w:t>
      </w:r>
    </w:p>
    <w:p w14:paraId="41E1E2B5" w14:textId="77777777" w:rsidR="00F15499" w:rsidRPr="00D166EA" w:rsidRDefault="00F15499" w:rsidP="00A65294">
      <w:pPr>
        <w:rPr>
          <w:szCs w:val="22"/>
        </w:rPr>
      </w:pPr>
    </w:p>
    <w:p w14:paraId="11C31864" w14:textId="77777777" w:rsidR="00A65294" w:rsidRPr="00D166EA" w:rsidRDefault="00A65294" w:rsidP="00A65294">
      <w:pPr>
        <w:rPr>
          <w:szCs w:val="22"/>
        </w:rPr>
      </w:pPr>
      <w:r w:rsidRPr="00D166EA">
        <w:rPr>
          <w:i/>
          <w:szCs w:val="22"/>
        </w:rPr>
        <w:t>Pacienta</w:t>
      </w:r>
      <w:r w:rsidR="00F15499" w:rsidRPr="00D166EA">
        <w:rPr>
          <w:i/>
          <w:szCs w:val="22"/>
        </w:rPr>
        <w:t>i</w:t>
      </w:r>
      <w:r w:rsidRPr="00D166EA">
        <w:rPr>
          <w:i/>
          <w:szCs w:val="22"/>
        </w:rPr>
        <w:t xml:space="preserve">, kurie </w:t>
      </w:r>
      <w:r w:rsidR="00F15499" w:rsidRPr="00D166EA">
        <w:rPr>
          <w:i/>
          <w:szCs w:val="22"/>
        </w:rPr>
        <w:t>užsikrėtę</w:t>
      </w:r>
      <w:r w:rsidRPr="00D166EA">
        <w:rPr>
          <w:i/>
          <w:szCs w:val="22"/>
        </w:rPr>
        <w:t xml:space="preserve"> ir hepatitu C arba D</w:t>
      </w:r>
      <w:r w:rsidRPr="00D166EA">
        <w:rPr>
          <w:szCs w:val="22"/>
        </w:rPr>
        <w:t xml:space="preserve">. Duomenų apie entekaviro veiksmingumą pacientams, kartu </w:t>
      </w:r>
      <w:r w:rsidR="00F15499" w:rsidRPr="00D166EA">
        <w:rPr>
          <w:szCs w:val="22"/>
        </w:rPr>
        <w:t>užsikrėtusiems ir</w:t>
      </w:r>
      <w:r w:rsidRPr="00D166EA">
        <w:rPr>
          <w:szCs w:val="22"/>
        </w:rPr>
        <w:t xml:space="preserve"> hepatito C ar D virusu nėra.</w:t>
      </w:r>
    </w:p>
    <w:p w14:paraId="048B779E" w14:textId="77777777" w:rsidR="00F15499" w:rsidRPr="00D166EA" w:rsidRDefault="00F15499" w:rsidP="00A65294">
      <w:pPr>
        <w:rPr>
          <w:szCs w:val="22"/>
        </w:rPr>
      </w:pPr>
    </w:p>
    <w:p w14:paraId="7578A038" w14:textId="77777777" w:rsidR="00A65294" w:rsidRPr="00D166EA" w:rsidRDefault="00A65294" w:rsidP="00A65294">
      <w:pPr>
        <w:rPr>
          <w:szCs w:val="22"/>
        </w:rPr>
      </w:pPr>
      <w:r w:rsidRPr="00D166EA">
        <w:rPr>
          <w:i/>
          <w:szCs w:val="22"/>
        </w:rPr>
        <w:t>Pacienta</w:t>
      </w:r>
      <w:r w:rsidR="00F15499" w:rsidRPr="00D166EA">
        <w:rPr>
          <w:i/>
          <w:szCs w:val="22"/>
        </w:rPr>
        <w:t>i</w:t>
      </w:r>
      <w:r w:rsidRPr="00D166EA">
        <w:rPr>
          <w:i/>
          <w:szCs w:val="22"/>
        </w:rPr>
        <w:t xml:space="preserve">, kurie kartu </w:t>
      </w:r>
      <w:r w:rsidR="00F15499" w:rsidRPr="00D166EA">
        <w:rPr>
          <w:i/>
          <w:szCs w:val="22"/>
        </w:rPr>
        <w:t>užsikrėtę</w:t>
      </w:r>
      <w:r w:rsidRPr="00D166EA">
        <w:rPr>
          <w:i/>
          <w:szCs w:val="22"/>
        </w:rPr>
        <w:t xml:space="preserve"> žmogaus imunodeficito virus</w:t>
      </w:r>
      <w:r w:rsidR="00F15499" w:rsidRPr="00D166EA">
        <w:rPr>
          <w:i/>
          <w:szCs w:val="22"/>
        </w:rPr>
        <w:t>u</w:t>
      </w:r>
      <w:r w:rsidRPr="00D166EA">
        <w:rPr>
          <w:i/>
          <w:szCs w:val="22"/>
        </w:rPr>
        <w:t xml:space="preserve"> (ŽIV) ir HBV, tuo pačiu metu negaunantys antiretrovirusinio gydymo</w:t>
      </w:r>
      <w:r w:rsidRPr="00D166EA">
        <w:rPr>
          <w:szCs w:val="22"/>
        </w:rPr>
        <w:t>. Entekaviro poveikis kartu ŽIV ir HBV infekuotiems pacientams, kurie tuo pačiu metu nevartoja veiksmingų vaist</w:t>
      </w:r>
      <w:r w:rsidR="00F15499" w:rsidRPr="00D166EA">
        <w:rPr>
          <w:szCs w:val="22"/>
        </w:rPr>
        <w:t>inių preparatų</w:t>
      </w:r>
      <w:r w:rsidRPr="00D166EA">
        <w:rPr>
          <w:szCs w:val="22"/>
        </w:rPr>
        <w:t xml:space="preserve"> nuo ŽIV, netirtas. Entekaviru gydant ŽIV infekuotus lėtinio hepatito B infekcija sergančius pacientus, kuriems netaikomas didelio aktyvumo antivirusinis gydymas (HAART), buvo atsparumo ŽIV pasireiškimo atvejų (žr. 5.1 skyrių). Dėl to kartu ŽIV ir HBV infekuoti pacienta</w:t>
      </w:r>
      <w:r w:rsidR="0036731D" w:rsidRPr="00D166EA">
        <w:rPr>
          <w:szCs w:val="22"/>
        </w:rPr>
        <w:t>i</w:t>
      </w:r>
      <w:r w:rsidRPr="00D166EA">
        <w:rPr>
          <w:szCs w:val="22"/>
        </w:rPr>
        <w:t>, kuriems netaikomas HAART, entekavir</w:t>
      </w:r>
      <w:r w:rsidR="0036731D" w:rsidRPr="00D166EA">
        <w:rPr>
          <w:szCs w:val="22"/>
        </w:rPr>
        <w:t>u turi būti negydomi</w:t>
      </w:r>
      <w:r w:rsidRPr="00D166EA">
        <w:rPr>
          <w:szCs w:val="22"/>
        </w:rPr>
        <w:t>. Entekaviro veiksmingumas ŽIV infekcijai gydyti netirtas, todėl šiai indikacijai jis nerekomenduojamas.</w:t>
      </w:r>
    </w:p>
    <w:p w14:paraId="2FA76A8C" w14:textId="77777777" w:rsidR="0036731D" w:rsidRPr="00D166EA" w:rsidRDefault="0036731D" w:rsidP="00A65294">
      <w:pPr>
        <w:rPr>
          <w:szCs w:val="22"/>
        </w:rPr>
      </w:pPr>
    </w:p>
    <w:p w14:paraId="44AF4D68" w14:textId="77777777" w:rsidR="00A65294" w:rsidRPr="00D166EA" w:rsidRDefault="00A65294" w:rsidP="00A65294">
      <w:pPr>
        <w:rPr>
          <w:szCs w:val="22"/>
        </w:rPr>
      </w:pPr>
      <w:r w:rsidRPr="00D166EA">
        <w:rPr>
          <w:i/>
          <w:szCs w:val="22"/>
        </w:rPr>
        <w:t>Pacienta</w:t>
      </w:r>
      <w:r w:rsidR="0036731D" w:rsidRPr="00D166EA">
        <w:rPr>
          <w:i/>
          <w:szCs w:val="22"/>
        </w:rPr>
        <w:t>i</w:t>
      </w:r>
      <w:r w:rsidRPr="00D166EA">
        <w:rPr>
          <w:i/>
          <w:szCs w:val="22"/>
        </w:rPr>
        <w:t>, kurie kartu infekuoti ŽIV ir HBV, tuo pačiu metu gaunantys antiretrovirusinį gydymą.</w:t>
      </w:r>
      <w:r w:rsidRPr="00D166EA">
        <w:rPr>
          <w:szCs w:val="22"/>
        </w:rPr>
        <w:t xml:space="preserve"> Entekaviro poveikis tirtas 68 kartu ŽIV ir HBV infekuotiems suaugusiems pacientams taikant HAART, kurio sudėtyje yra lamivudin</w:t>
      </w:r>
      <w:r w:rsidR="0036731D" w:rsidRPr="00D166EA">
        <w:rPr>
          <w:szCs w:val="22"/>
        </w:rPr>
        <w:t>o</w:t>
      </w:r>
      <w:r w:rsidRPr="00D166EA">
        <w:rPr>
          <w:szCs w:val="22"/>
        </w:rPr>
        <w:t xml:space="preserve"> (žr. 5.1 skyrių). Duomenų apie entekaviro veiksmingumą HBeAg neigiamiems pacientams, kartu infekuotiems ŽIV, nėra. Duomenų apie pacientus, kartu infekuotus ŽIV</w:t>
      </w:r>
      <w:r w:rsidR="0036731D" w:rsidRPr="00D166EA">
        <w:rPr>
          <w:szCs w:val="22"/>
        </w:rPr>
        <w:t>, kuriems yra nedidelis kiekis</w:t>
      </w:r>
      <w:r w:rsidRPr="00D166EA">
        <w:rPr>
          <w:szCs w:val="22"/>
        </w:rPr>
        <w:t xml:space="preserve"> CD4 ląstelių (&lt;</w:t>
      </w:r>
      <w:r w:rsidR="00A916D0">
        <w:rPr>
          <w:szCs w:val="22"/>
        </w:rPr>
        <w:t> </w:t>
      </w:r>
      <w:r w:rsidRPr="00D166EA">
        <w:rPr>
          <w:szCs w:val="22"/>
        </w:rPr>
        <w:t>200</w:t>
      </w:r>
      <w:r w:rsidR="00A916D0">
        <w:rPr>
          <w:szCs w:val="22"/>
        </w:rPr>
        <w:t> </w:t>
      </w:r>
      <w:r w:rsidRPr="00D166EA">
        <w:rPr>
          <w:szCs w:val="22"/>
        </w:rPr>
        <w:t>ląstelių/mm</w:t>
      </w:r>
      <w:r w:rsidRPr="00D166EA">
        <w:rPr>
          <w:szCs w:val="22"/>
          <w:vertAlign w:val="superscript"/>
        </w:rPr>
        <w:t>3</w:t>
      </w:r>
      <w:r w:rsidRPr="00D166EA">
        <w:rPr>
          <w:szCs w:val="22"/>
        </w:rPr>
        <w:t>), yra mažai.</w:t>
      </w:r>
    </w:p>
    <w:p w14:paraId="143972BD" w14:textId="77777777" w:rsidR="0036731D" w:rsidRPr="00D166EA" w:rsidRDefault="0036731D" w:rsidP="00A65294">
      <w:pPr>
        <w:rPr>
          <w:szCs w:val="22"/>
        </w:rPr>
      </w:pPr>
    </w:p>
    <w:p w14:paraId="7AF37BF9" w14:textId="77777777" w:rsidR="00A65294" w:rsidRPr="00D166EA" w:rsidRDefault="00A65294" w:rsidP="00A65294">
      <w:pPr>
        <w:rPr>
          <w:szCs w:val="22"/>
        </w:rPr>
      </w:pPr>
      <w:r w:rsidRPr="00D166EA">
        <w:rPr>
          <w:i/>
          <w:szCs w:val="22"/>
        </w:rPr>
        <w:t>Bendr</w:t>
      </w:r>
      <w:r w:rsidR="0036731D" w:rsidRPr="00D166EA">
        <w:rPr>
          <w:i/>
          <w:szCs w:val="22"/>
        </w:rPr>
        <w:t>i įspėjimai</w:t>
      </w:r>
      <w:r w:rsidRPr="00D166EA">
        <w:rPr>
          <w:szCs w:val="22"/>
        </w:rPr>
        <w:t>. Pacient</w:t>
      </w:r>
      <w:r w:rsidR="0036731D" w:rsidRPr="00D166EA">
        <w:rPr>
          <w:szCs w:val="22"/>
        </w:rPr>
        <w:t>ai turi būti informuoti</w:t>
      </w:r>
      <w:r w:rsidRPr="00D166EA">
        <w:rPr>
          <w:szCs w:val="22"/>
        </w:rPr>
        <w:t xml:space="preserve">, kad nėra duomenų apie tai, jog entekaviro vartojimas sumažintų </w:t>
      </w:r>
      <w:r w:rsidR="0036731D" w:rsidRPr="00D166EA">
        <w:rPr>
          <w:szCs w:val="22"/>
        </w:rPr>
        <w:t>riziką</w:t>
      </w:r>
      <w:r w:rsidRPr="00D166EA">
        <w:rPr>
          <w:szCs w:val="22"/>
        </w:rPr>
        <w:t xml:space="preserve"> apkrėsti kitus žmones HBV, todėl </w:t>
      </w:r>
      <w:r w:rsidR="00F56558" w:rsidRPr="00D166EA">
        <w:rPr>
          <w:szCs w:val="22"/>
        </w:rPr>
        <w:t xml:space="preserve">vis tiek </w:t>
      </w:r>
      <w:r w:rsidRPr="00D166EA">
        <w:rPr>
          <w:szCs w:val="22"/>
        </w:rPr>
        <w:t xml:space="preserve">būtina </w:t>
      </w:r>
      <w:r w:rsidR="00F56558" w:rsidRPr="00D166EA">
        <w:rPr>
          <w:szCs w:val="22"/>
        </w:rPr>
        <w:t>taikyti</w:t>
      </w:r>
      <w:r w:rsidRPr="00D166EA">
        <w:rPr>
          <w:szCs w:val="22"/>
        </w:rPr>
        <w:t xml:space="preserve"> atitinkam</w:t>
      </w:r>
      <w:r w:rsidR="00F56558" w:rsidRPr="00D166EA">
        <w:rPr>
          <w:szCs w:val="22"/>
        </w:rPr>
        <w:t>as</w:t>
      </w:r>
      <w:r w:rsidRPr="00D166EA">
        <w:rPr>
          <w:szCs w:val="22"/>
        </w:rPr>
        <w:t xml:space="preserve"> atsargumo priemon</w:t>
      </w:r>
      <w:r w:rsidR="00F56558" w:rsidRPr="00D166EA">
        <w:rPr>
          <w:szCs w:val="22"/>
        </w:rPr>
        <w:t>es</w:t>
      </w:r>
      <w:r w:rsidRPr="00D166EA">
        <w:rPr>
          <w:szCs w:val="22"/>
        </w:rPr>
        <w:t>.</w:t>
      </w:r>
    </w:p>
    <w:p w14:paraId="69E7EBF3" w14:textId="77777777" w:rsidR="00F56558" w:rsidRPr="00D166EA" w:rsidRDefault="00F56558" w:rsidP="00A65294">
      <w:pPr>
        <w:rPr>
          <w:szCs w:val="22"/>
        </w:rPr>
      </w:pPr>
    </w:p>
    <w:p w14:paraId="0153CA15" w14:textId="77777777" w:rsidR="00A65294" w:rsidRPr="00D166EA" w:rsidRDefault="00FA7147" w:rsidP="00F56558">
      <w:pPr>
        <w:rPr>
          <w:szCs w:val="22"/>
        </w:rPr>
      </w:pPr>
      <w:r>
        <w:rPr>
          <w:i/>
          <w:szCs w:val="22"/>
        </w:rPr>
        <w:t>Entecavir Sandoz</w:t>
      </w:r>
      <w:r w:rsidR="00CE17DC">
        <w:rPr>
          <w:i/>
          <w:szCs w:val="22"/>
        </w:rPr>
        <w:t xml:space="preserve"> sudėtyje yra laktozės</w:t>
      </w:r>
      <w:r w:rsidR="00A65294" w:rsidRPr="00D166EA">
        <w:rPr>
          <w:i/>
          <w:szCs w:val="22"/>
        </w:rPr>
        <w:t>.</w:t>
      </w:r>
      <w:r w:rsidR="00A65294" w:rsidRPr="00D166EA">
        <w:rPr>
          <w:szCs w:val="22"/>
        </w:rPr>
        <w:t xml:space="preserve"> </w:t>
      </w:r>
      <w:r w:rsidR="00F56558" w:rsidRPr="00D166EA">
        <w:rPr>
          <w:szCs w:val="22"/>
        </w:rPr>
        <w:t xml:space="preserve">Šio vaistinio preparato negalima vartoti pacientams, kuriems nustatytas retas paveldimas sutrikimas – galaktozės netoleravimas, </w:t>
      </w:r>
      <w:r w:rsidR="00CE17DC">
        <w:rPr>
          <w:szCs w:val="22"/>
        </w:rPr>
        <w:t>visiškas</w:t>
      </w:r>
      <w:r w:rsidR="00CE17DC" w:rsidRPr="00D166EA">
        <w:rPr>
          <w:szCs w:val="22"/>
        </w:rPr>
        <w:t xml:space="preserve"> </w:t>
      </w:r>
      <w:r w:rsidR="00F56558" w:rsidRPr="00D166EA">
        <w:rPr>
          <w:szCs w:val="22"/>
        </w:rPr>
        <w:t>laktazės stygius arba gliukozės ir galaktozės malabsorbcija</w:t>
      </w:r>
      <w:r w:rsidR="00A65294" w:rsidRPr="00D166EA">
        <w:rPr>
          <w:szCs w:val="22"/>
        </w:rPr>
        <w:t xml:space="preserve">. </w:t>
      </w:r>
    </w:p>
    <w:p w14:paraId="067C4453" w14:textId="77777777" w:rsidR="0061061F" w:rsidRPr="00D166EA" w:rsidRDefault="0061061F" w:rsidP="008374A5">
      <w:pPr>
        <w:rPr>
          <w:szCs w:val="22"/>
        </w:rPr>
      </w:pPr>
    </w:p>
    <w:p w14:paraId="6855DC93" w14:textId="77777777" w:rsidR="0061061F" w:rsidRPr="00D166EA" w:rsidRDefault="0061061F" w:rsidP="008374A5">
      <w:pPr>
        <w:rPr>
          <w:b/>
          <w:szCs w:val="22"/>
        </w:rPr>
      </w:pPr>
      <w:r w:rsidRPr="00D166EA">
        <w:rPr>
          <w:b/>
          <w:szCs w:val="22"/>
        </w:rPr>
        <w:t>4.5</w:t>
      </w:r>
      <w:r w:rsidRPr="00D166EA">
        <w:rPr>
          <w:b/>
          <w:szCs w:val="22"/>
        </w:rPr>
        <w:tab/>
        <w:t>Sąveika su kitais vaistiniais preparatais ir kitokia sąveika</w:t>
      </w:r>
    </w:p>
    <w:p w14:paraId="40FBD01F" w14:textId="77777777" w:rsidR="0061061F" w:rsidRPr="00D166EA" w:rsidRDefault="0061061F" w:rsidP="008374A5">
      <w:pPr>
        <w:rPr>
          <w:szCs w:val="22"/>
        </w:rPr>
      </w:pPr>
    </w:p>
    <w:p w14:paraId="176C1240" w14:textId="77777777" w:rsidR="00490777" w:rsidRPr="00D166EA" w:rsidRDefault="00490777" w:rsidP="00B87879">
      <w:pPr>
        <w:pStyle w:val="Default"/>
        <w:rPr>
          <w:color w:val="auto"/>
          <w:sz w:val="22"/>
          <w:szCs w:val="22"/>
        </w:rPr>
      </w:pPr>
      <w:r w:rsidRPr="00D166EA">
        <w:rPr>
          <w:sz w:val="22"/>
          <w:szCs w:val="22"/>
        </w:rPr>
        <w:t>Daugiausia entekaviro pašalinama per inkstus (žr. 5.2 skyrių), todėl kartu vartojant vaist</w:t>
      </w:r>
      <w:r w:rsidR="00B87879" w:rsidRPr="00D166EA">
        <w:rPr>
          <w:sz w:val="22"/>
          <w:szCs w:val="22"/>
        </w:rPr>
        <w:t>inių preparatų</w:t>
      </w:r>
      <w:r w:rsidRPr="00D166EA">
        <w:rPr>
          <w:sz w:val="22"/>
          <w:szCs w:val="22"/>
        </w:rPr>
        <w:t xml:space="preserve">, kurie silpnina inkstų funkciją arba konkuruoja dėl aktyvios sekrecijos inkstų kanalėliuose, gali padidėti </w:t>
      </w:r>
      <w:r w:rsidR="00B87879" w:rsidRPr="00D166EA">
        <w:rPr>
          <w:sz w:val="22"/>
          <w:szCs w:val="22"/>
        </w:rPr>
        <w:t>vieno ar kito vaistinio preparato</w:t>
      </w:r>
      <w:r w:rsidRPr="00D166EA">
        <w:rPr>
          <w:sz w:val="22"/>
          <w:szCs w:val="22"/>
        </w:rPr>
        <w:t xml:space="preserve"> koncentracij</w:t>
      </w:r>
      <w:r w:rsidR="00B87879" w:rsidRPr="00D166EA">
        <w:rPr>
          <w:sz w:val="22"/>
          <w:szCs w:val="22"/>
        </w:rPr>
        <w:t>os</w:t>
      </w:r>
      <w:r w:rsidRPr="00D166EA">
        <w:rPr>
          <w:sz w:val="22"/>
          <w:szCs w:val="22"/>
        </w:rPr>
        <w:t xml:space="preserve"> serume. Entekaviro vartojimo kartu su vaist</w:t>
      </w:r>
      <w:r w:rsidR="00B87879" w:rsidRPr="00D166EA">
        <w:rPr>
          <w:sz w:val="22"/>
          <w:szCs w:val="22"/>
        </w:rPr>
        <w:t>iniais preparatais</w:t>
      </w:r>
      <w:r w:rsidRPr="00D166EA">
        <w:rPr>
          <w:sz w:val="22"/>
          <w:szCs w:val="22"/>
        </w:rPr>
        <w:t xml:space="preserve">, kurie </w:t>
      </w:r>
      <w:r w:rsidR="00B87879" w:rsidRPr="00D166EA">
        <w:rPr>
          <w:sz w:val="22"/>
          <w:szCs w:val="22"/>
        </w:rPr>
        <w:t>šalinami</w:t>
      </w:r>
      <w:r w:rsidRPr="00D166EA">
        <w:rPr>
          <w:sz w:val="22"/>
          <w:szCs w:val="22"/>
        </w:rPr>
        <w:t xml:space="preserve"> per inkstus arba veikia jų funkciją (išskyrus lamivudiną, adefoviro dipivoksilį ir tenofoviro dizoproksilio </w:t>
      </w:r>
      <w:r w:rsidRPr="00D166EA">
        <w:rPr>
          <w:color w:val="auto"/>
          <w:sz w:val="22"/>
          <w:szCs w:val="22"/>
        </w:rPr>
        <w:t xml:space="preserve">fumaratą), </w:t>
      </w:r>
      <w:r w:rsidR="008B3FC2">
        <w:rPr>
          <w:color w:val="auto"/>
          <w:sz w:val="22"/>
          <w:szCs w:val="22"/>
        </w:rPr>
        <w:t>poveikiai</w:t>
      </w:r>
      <w:r w:rsidR="008B3FC2" w:rsidRPr="00D166EA">
        <w:rPr>
          <w:color w:val="auto"/>
          <w:sz w:val="22"/>
          <w:szCs w:val="22"/>
        </w:rPr>
        <w:t xml:space="preserve"> </w:t>
      </w:r>
      <w:r w:rsidRPr="00D166EA">
        <w:rPr>
          <w:color w:val="auto"/>
          <w:sz w:val="22"/>
          <w:szCs w:val="22"/>
        </w:rPr>
        <w:t>neištirti. Pacientus, kurie vartoja entekavir</w:t>
      </w:r>
      <w:r w:rsidR="00B87879" w:rsidRPr="00D166EA">
        <w:rPr>
          <w:color w:val="auto"/>
          <w:sz w:val="22"/>
          <w:szCs w:val="22"/>
        </w:rPr>
        <w:t>o</w:t>
      </w:r>
      <w:r w:rsidRPr="00D166EA">
        <w:rPr>
          <w:color w:val="auto"/>
          <w:sz w:val="22"/>
          <w:szCs w:val="22"/>
        </w:rPr>
        <w:t xml:space="preserve"> kartu su tokiais vaist</w:t>
      </w:r>
      <w:r w:rsidR="00B87879" w:rsidRPr="00D166EA">
        <w:rPr>
          <w:color w:val="auto"/>
          <w:sz w:val="22"/>
          <w:szCs w:val="22"/>
        </w:rPr>
        <w:t>iniais preparatais</w:t>
      </w:r>
      <w:r w:rsidRPr="00D166EA">
        <w:rPr>
          <w:color w:val="auto"/>
          <w:sz w:val="22"/>
          <w:szCs w:val="22"/>
        </w:rPr>
        <w:t xml:space="preserve">, reikia atidžiai stebėti dėl nepageidaujamų reakcijų. </w:t>
      </w:r>
    </w:p>
    <w:p w14:paraId="2804E4B0" w14:textId="77777777" w:rsidR="00B87879" w:rsidRPr="00D166EA" w:rsidRDefault="00B87879" w:rsidP="00490777">
      <w:pPr>
        <w:pStyle w:val="Default"/>
        <w:rPr>
          <w:color w:val="auto"/>
          <w:sz w:val="22"/>
          <w:szCs w:val="22"/>
        </w:rPr>
      </w:pPr>
    </w:p>
    <w:p w14:paraId="5EC5F9B2" w14:textId="77777777" w:rsidR="00490777" w:rsidRPr="00D166EA" w:rsidRDefault="00490777" w:rsidP="00490777">
      <w:pPr>
        <w:pStyle w:val="Default"/>
        <w:rPr>
          <w:color w:val="auto"/>
          <w:sz w:val="22"/>
          <w:szCs w:val="22"/>
        </w:rPr>
      </w:pPr>
      <w:r w:rsidRPr="00D166EA">
        <w:rPr>
          <w:color w:val="auto"/>
          <w:sz w:val="22"/>
          <w:szCs w:val="22"/>
        </w:rPr>
        <w:t xml:space="preserve">Farmakokinetinės entekaviro </w:t>
      </w:r>
      <w:r w:rsidR="00B87879" w:rsidRPr="00D166EA">
        <w:rPr>
          <w:color w:val="auto"/>
          <w:sz w:val="22"/>
          <w:szCs w:val="22"/>
        </w:rPr>
        <w:t>sąveikos su</w:t>
      </w:r>
      <w:r w:rsidRPr="00D166EA">
        <w:rPr>
          <w:color w:val="auto"/>
          <w:sz w:val="22"/>
          <w:szCs w:val="22"/>
        </w:rPr>
        <w:t xml:space="preserve"> lamivudin</w:t>
      </w:r>
      <w:r w:rsidR="00B87879" w:rsidRPr="00D166EA">
        <w:rPr>
          <w:color w:val="auto"/>
          <w:sz w:val="22"/>
          <w:szCs w:val="22"/>
        </w:rPr>
        <w:t>u</w:t>
      </w:r>
      <w:r w:rsidRPr="00D166EA">
        <w:rPr>
          <w:color w:val="auto"/>
          <w:sz w:val="22"/>
          <w:szCs w:val="22"/>
        </w:rPr>
        <w:t>, adefovir</w:t>
      </w:r>
      <w:r w:rsidR="00B87879" w:rsidRPr="00D166EA">
        <w:rPr>
          <w:color w:val="auto"/>
          <w:sz w:val="22"/>
          <w:szCs w:val="22"/>
        </w:rPr>
        <w:t>u</w:t>
      </w:r>
      <w:r w:rsidRPr="00D166EA">
        <w:rPr>
          <w:color w:val="auto"/>
          <w:sz w:val="22"/>
          <w:szCs w:val="22"/>
        </w:rPr>
        <w:t xml:space="preserve"> ar tenofovir</w:t>
      </w:r>
      <w:r w:rsidR="00B87879" w:rsidRPr="00D166EA">
        <w:rPr>
          <w:color w:val="auto"/>
          <w:sz w:val="22"/>
          <w:szCs w:val="22"/>
        </w:rPr>
        <w:t>u</w:t>
      </w:r>
      <w:r w:rsidRPr="00D166EA">
        <w:rPr>
          <w:color w:val="auto"/>
          <w:sz w:val="22"/>
          <w:szCs w:val="22"/>
        </w:rPr>
        <w:t xml:space="preserve"> nepastebėta. </w:t>
      </w:r>
    </w:p>
    <w:p w14:paraId="6C08FF9F" w14:textId="77777777" w:rsidR="00490777" w:rsidRPr="00D166EA" w:rsidRDefault="00490777" w:rsidP="00490777">
      <w:pPr>
        <w:pStyle w:val="Default"/>
        <w:rPr>
          <w:color w:val="auto"/>
          <w:sz w:val="22"/>
          <w:szCs w:val="22"/>
        </w:rPr>
      </w:pPr>
      <w:r w:rsidRPr="00D166EA">
        <w:rPr>
          <w:color w:val="auto"/>
          <w:sz w:val="22"/>
          <w:szCs w:val="22"/>
        </w:rPr>
        <w:t>Entekaviras nėra nei citochromo P450 (CYP450) fermentų substratas, nei jų induktorius ar inhibitorius (žr. 5.2 skyrių), todėl su CYP450 susijusios entekaviro sąveik</w:t>
      </w:r>
      <w:r w:rsidR="00B87879" w:rsidRPr="00D166EA">
        <w:rPr>
          <w:color w:val="auto"/>
          <w:sz w:val="22"/>
          <w:szCs w:val="22"/>
        </w:rPr>
        <w:t>a</w:t>
      </w:r>
      <w:r w:rsidRPr="00D166EA">
        <w:rPr>
          <w:color w:val="auto"/>
          <w:sz w:val="22"/>
          <w:szCs w:val="22"/>
        </w:rPr>
        <w:t xml:space="preserve"> su kitais vaist</w:t>
      </w:r>
      <w:r w:rsidR="00B87879" w:rsidRPr="00D166EA">
        <w:rPr>
          <w:color w:val="auto"/>
          <w:sz w:val="22"/>
          <w:szCs w:val="22"/>
        </w:rPr>
        <w:t>iniais preparatais</w:t>
      </w:r>
      <w:r w:rsidRPr="00D166EA">
        <w:rPr>
          <w:color w:val="auto"/>
          <w:sz w:val="22"/>
          <w:szCs w:val="22"/>
        </w:rPr>
        <w:t xml:space="preserve"> neturėtų pasireikšti. </w:t>
      </w:r>
    </w:p>
    <w:p w14:paraId="30436E6C" w14:textId="77777777" w:rsidR="00B87879" w:rsidRPr="00D166EA" w:rsidRDefault="00B87879" w:rsidP="00490777">
      <w:pPr>
        <w:pStyle w:val="Default"/>
        <w:rPr>
          <w:i/>
          <w:iCs/>
          <w:color w:val="auto"/>
          <w:sz w:val="22"/>
          <w:szCs w:val="22"/>
        </w:rPr>
      </w:pPr>
    </w:p>
    <w:p w14:paraId="25F00239" w14:textId="77777777" w:rsidR="00490777" w:rsidRPr="00591D31" w:rsidRDefault="00490777" w:rsidP="00490777">
      <w:pPr>
        <w:pStyle w:val="Default"/>
        <w:rPr>
          <w:color w:val="auto"/>
          <w:sz w:val="22"/>
          <w:szCs w:val="22"/>
          <w:u w:val="single"/>
        </w:rPr>
      </w:pPr>
      <w:r w:rsidRPr="00591D31">
        <w:rPr>
          <w:iCs/>
          <w:color w:val="auto"/>
          <w:sz w:val="22"/>
          <w:szCs w:val="22"/>
          <w:u w:val="single"/>
        </w:rPr>
        <w:t xml:space="preserve">Vaikų populiacija </w:t>
      </w:r>
    </w:p>
    <w:p w14:paraId="03920826" w14:textId="77777777" w:rsidR="00490777" w:rsidRPr="00D166EA" w:rsidRDefault="00490777" w:rsidP="00490777">
      <w:pPr>
        <w:pStyle w:val="Default"/>
        <w:rPr>
          <w:color w:val="auto"/>
          <w:sz w:val="22"/>
          <w:szCs w:val="22"/>
        </w:rPr>
      </w:pPr>
      <w:r w:rsidRPr="00D166EA">
        <w:rPr>
          <w:color w:val="auto"/>
          <w:sz w:val="22"/>
          <w:szCs w:val="22"/>
        </w:rPr>
        <w:t xml:space="preserve">Sąveikos tyrimai atlikti tik suaugusiesiems. </w:t>
      </w:r>
    </w:p>
    <w:p w14:paraId="144F3934" w14:textId="77777777" w:rsidR="00B87879" w:rsidRPr="00D166EA" w:rsidRDefault="00B87879" w:rsidP="00490777">
      <w:pPr>
        <w:pStyle w:val="Default"/>
        <w:rPr>
          <w:color w:val="auto"/>
          <w:sz w:val="22"/>
          <w:szCs w:val="22"/>
        </w:rPr>
      </w:pPr>
    </w:p>
    <w:p w14:paraId="3E52377D" w14:textId="77777777" w:rsidR="00490777" w:rsidRPr="00D166EA" w:rsidRDefault="00490777" w:rsidP="00490777">
      <w:pPr>
        <w:pStyle w:val="Default"/>
        <w:rPr>
          <w:color w:val="auto"/>
          <w:sz w:val="22"/>
          <w:szCs w:val="22"/>
        </w:rPr>
      </w:pPr>
      <w:r w:rsidRPr="00D166EA">
        <w:rPr>
          <w:b/>
          <w:bCs/>
          <w:color w:val="auto"/>
          <w:sz w:val="22"/>
          <w:szCs w:val="22"/>
        </w:rPr>
        <w:t>4.6</w:t>
      </w:r>
      <w:r w:rsidR="00B87879" w:rsidRPr="00D166EA">
        <w:rPr>
          <w:b/>
          <w:bCs/>
          <w:color w:val="auto"/>
          <w:sz w:val="22"/>
          <w:szCs w:val="22"/>
        </w:rPr>
        <w:tab/>
      </w:r>
      <w:r w:rsidRPr="00D166EA">
        <w:rPr>
          <w:b/>
          <w:bCs/>
          <w:color w:val="auto"/>
          <w:sz w:val="22"/>
          <w:szCs w:val="22"/>
        </w:rPr>
        <w:t xml:space="preserve">Vaisingumas, nėštumo ir žindymo laikotarpis </w:t>
      </w:r>
    </w:p>
    <w:p w14:paraId="732787B4" w14:textId="77777777" w:rsidR="00B87879" w:rsidRPr="00D166EA" w:rsidRDefault="00B87879" w:rsidP="00490777">
      <w:pPr>
        <w:pStyle w:val="Default"/>
        <w:rPr>
          <w:i/>
          <w:iCs/>
          <w:color w:val="auto"/>
          <w:sz w:val="22"/>
          <w:szCs w:val="22"/>
        </w:rPr>
      </w:pPr>
    </w:p>
    <w:p w14:paraId="4E8E07AA" w14:textId="77777777" w:rsidR="00061FB3" w:rsidRDefault="00490777" w:rsidP="00490777">
      <w:pPr>
        <w:pStyle w:val="Default"/>
        <w:rPr>
          <w:i/>
          <w:iCs/>
          <w:color w:val="auto"/>
          <w:sz w:val="22"/>
          <w:szCs w:val="22"/>
        </w:rPr>
      </w:pPr>
      <w:r w:rsidRPr="00591D31">
        <w:rPr>
          <w:iCs/>
          <w:color w:val="auto"/>
          <w:sz w:val="22"/>
          <w:szCs w:val="22"/>
          <w:u w:val="single"/>
        </w:rPr>
        <w:t>Vaisingo</w:t>
      </w:r>
      <w:r w:rsidR="00D82434" w:rsidRPr="00591D31">
        <w:rPr>
          <w:iCs/>
          <w:color w:val="auto"/>
          <w:sz w:val="22"/>
          <w:szCs w:val="22"/>
          <w:u w:val="single"/>
        </w:rPr>
        <w:t>s</w:t>
      </w:r>
      <w:r w:rsidRPr="00591D31">
        <w:rPr>
          <w:iCs/>
          <w:color w:val="auto"/>
          <w:sz w:val="22"/>
          <w:szCs w:val="22"/>
          <w:u w:val="single"/>
        </w:rPr>
        <w:t xml:space="preserve"> moterys</w:t>
      </w:r>
    </w:p>
    <w:p w14:paraId="39C8E797" w14:textId="77777777" w:rsidR="00490777" w:rsidRPr="00D166EA" w:rsidRDefault="00490777" w:rsidP="00490777">
      <w:pPr>
        <w:pStyle w:val="Default"/>
        <w:rPr>
          <w:color w:val="auto"/>
          <w:sz w:val="22"/>
          <w:szCs w:val="22"/>
        </w:rPr>
      </w:pPr>
      <w:r w:rsidRPr="00D166EA">
        <w:rPr>
          <w:color w:val="auto"/>
          <w:sz w:val="22"/>
          <w:szCs w:val="22"/>
        </w:rPr>
        <w:t>Galima</w:t>
      </w:r>
      <w:r w:rsidR="00BA6359" w:rsidRPr="00D166EA">
        <w:rPr>
          <w:color w:val="auto"/>
          <w:sz w:val="22"/>
          <w:szCs w:val="22"/>
        </w:rPr>
        <w:t xml:space="preserve"> rizika</w:t>
      </w:r>
      <w:r w:rsidRPr="00D166EA">
        <w:rPr>
          <w:color w:val="auto"/>
          <w:sz w:val="22"/>
          <w:szCs w:val="22"/>
        </w:rPr>
        <w:t xml:space="preserve"> vaisi</w:t>
      </w:r>
      <w:r w:rsidR="00BA6359" w:rsidRPr="00D166EA">
        <w:rPr>
          <w:color w:val="auto"/>
          <w:sz w:val="22"/>
          <w:szCs w:val="22"/>
        </w:rPr>
        <w:t>aus vystymuisi</w:t>
      </w:r>
      <w:r w:rsidRPr="00D166EA">
        <w:rPr>
          <w:color w:val="auto"/>
          <w:sz w:val="22"/>
          <w:szCs w:val="22"/>
        </w:rPr>
        <w:t xml:space="preserve"> nežinoma, todėl vaisingo amžiaus moter</w:t>
      </w:r>
      <w:r w:rsidR="00BA6359" w:rsidRPr="00D166EA">
        <w:rPr>
          <w:color w:val="auto"/>
          <w:sz w:val="22"/>
          <w:szCs w:val="22"/>
        </w:rPr>
        <w:t>ys turi naudoti</w:t>
      </w:r>
      <w:r w:rsidRPr="00D166EA">
        <w:rPr>
          <w:color w:val="auto"/>
          <w:sz w:val="22"/>
          <w:szCs w:val="22"/>
        </w:rPr>
        <w:t xml:space="preserve"> veiksming</w:t>
      </w:r>
      <w:r w:rsidR="00BA6359" w:rsidRPr="00D166EA">
        <w:rPr>
          <w:color w:val="auto"/>
          <w:sz w:val="22"/>
          <w:szCs w:val="22"/>
        </w:rPr>
        <w:t>ą</w:t>
      </w:r>
      <w:r w:rsidRPr="00D166EA">
        <w:rPr>
          <w:color w:val="auto"/>
          <w:sz w:val="22"/>
          <w:szCs w:val="22"/>
        </w:rPr>
        <w:t xml:space="preserve"> kontracepcij</w:t>
      </w:r>
      <w:r w:rsidR="00BA6359" w:rsidRPr="00D166EA">
        <w:rPr>
          <w:color w:val="auto"/>
          <w:sz w:val="22"/>
          <w:szCs w:val="22"/>
        </w:rPr>
        <w:t>ą</w:t>
      </w:r>
      <w:r w:rsidRPr="00D166EA">
        <w:rPr>
          <w:color w:val="auto"/>
          <w:sz w:val="22"/>
          <w:szCs w:val="22"/>
        </w:rPr>
        <w:t xml:space="preserve">. </w:t>
      </w:r>
    </w:p>
    <w:p w14:paraId="6B6955BC" w14:textId="77777777" w:rsidR="00BA6359" w:rsidRPr="00D166EA" w:rsidRDefault="00BA6359" w:rsidP="00490777">
      <w:pPr>
        <w:pStyle w:val="Default"/>
        <w:rPr>
          <w:i/>
          <w:iCs/>
          <w:color w:val="auto"/>
          <w:sz w:val="22"/>
          <w:szCs w:val="22"/>
        </w:rPr>
      </w:pPr>
    </w:p>
    <w:p w14:paraId="430AEAE2" w14:textId="77777777" w:rsidR="00061FB3" w:rsidRPr="00591D31" w:rsidRDefault="00490777" w:rsidP="00490777">
      <w:pPr>
        <w:pStyle w:val="Default"/>
        <w:rPr>
          <w:iCs/>
          <w:color w:val="auto"/>
          <w:sz w:val="22"/>
          <w:szCs w:val="22"/>
          <w:u w:val="single"/>
        </w:rPr>
      </w:pPr>
      <w:r w:rsidRPr="00591D31">
        <w:rPr>
          <w:iCs/>
          <w:color w:val="auto"/>
          <w:sz w:val="22"/>
          <w:szCs w:val="22"/>
          <w:u w:val="single"/>
        </w:rPr>
        <w:t>Nėštumas</w:t>
      </w:r>
    </w:p>
    <w:p w14:paraId="14E1B500" w14:textId="77777777" w:rsidR="00490777" w:rsidRPr="00D166EA" w:rsidRDefault="00BA6359" w:rsidP="00490777">
      <w:pPr>
        <w:pStyle w:val="Default"/>
        <w:rPr>
          <w:color w:val="auto"/>
          <w:sz w:val="22"/>
          <w:szCs w:val="22"/>
        </w:rPr>
      </w:pPr>
      <w:r w:rsidRPr="00D166EA">
        <w:rPr>
          <w:color w:val="auto"/>
          <w:sz w:val="22"/>
          <w:szCs w:val="22"/>
        </w:rPr>
        <w:t>Pakankamų</w:t>
      </w:r>
      <w:r w:rsidR="00490777" w:rsidRPr="00D166EA">
        <w:rPr>
          <w:color w:val="auto"/>
          <w:sz w:val="22"/>
          <w:szCs w:val="22"/>
        </w:rPr>
        <w:t xml:space="preserve"> duomenų apie entekaviro vartojimą nėštumo metu nėra. Su gyvūnais atlikti tyrimai parodė didelių dozių toksinį poveikį reprodukcijai (žr. 5.3 skyrių). Galima</w:t>
      </w:r>
      <w:r w:rsidRPr="00D166EA">
        <w:rPr>
          <w:color w:val="auto"/>
          <w:sz w:val="22"/>
          <w:szCs w:val="22"/>
        </w:rPr>
        <w:t xml:space="preserve"> rizika</w:t>
      </w:r>
      <w:r w:rsidR="00490777" w:rsidRPr="00D166EA">
        <w:rPr>
          <w:color w:val="auto"/>
          <w:sz w:val="22"/>
          <w:szCs w:val="22"/>
        </w:rPr>
        <w:t xml:space="preserve"> žmogui nežinoma. </w:t>
      </w:r>
      <w:r w:rsidRPr="00D166EA">
        <w:rPr>
          <w:color w:val="auto"/>
          <w:sz w:val="22"/>
          <w:szCs w:val="22"/>
        </w:rPr>
        <w:t>Entecavir</w:t>
      </w:r>
      <w:r w:rsidR="00490777" w:rsidRPr="00D166EA">
        <w:rPr>
          <w:color w:val="auto"/>
          <w:sz w:val="22"/>
          <w:szCs w:val="22"/>
        </w:rPr>
        <w:t xml:space="preserve"> </w:t>
      </w:r>
      <w:r w:rsidRPr="00D166EA">
        <w:rPr>
          <w:color w:val="auto"/>
          <w:sz w:val="22"/>
          <w:szCs w:val="22"/>
        </w:rPr>
        <w:t xml:space="preserve">Sandoz </w:t>
      </w:r>
      <w:r w:rsidR="00490777" w:rsidRPr="00D166EA">
        <w:rPr>
          <w:color w:val="auto"/>
          <w:sz w:val="22"/>
          <w:szCs w:val="22"/>
        </w:rPr>
        <w:t xml:space="preserve">nėštumo metu </w:t>
      </w:r>
      <w:r w:rsidRPr="00D166EA">
        <w:rPr>
          <w:color w:val="auto"/>
          <w:sz w:val="22"/>
          <w:szCs w:val="22"/>
        </w:rPr>
        <w:t>turi būti nevartojamas</w:t>
      </w:r>
      <w:r w:rsidR="00490777" w:rsidRPr="00D166EA">
        <w:rPr>
          <w:color w:val="auto"/>
          <w:sz w:val="22"/>
          <w:szCs w:val="22"/>
        </w:rPr>
        <w:t xml:space="preserve">, išskyrus neabejotinai būtinus atvejus. </w:t>
      </w:r>
    </w:p>
    <w:p w14:paraId="31E96CC2" w14:textId="77777777" w:rsidR="00490777" w:rsidRPr="00D166EA" w:rsidRDefault="00490777" w:rsidP="00490777">
      <w:pPr>
        <w:pStyle w:val="Default"/>
        <w:rPr>
          <w:color w:val="auto"/>
          <w:sz w:val="22"/>
          <w:szCs w:val="22"/>
        </w:rPr>
      </w:pPr>
      <w:r w:rsidRPr="00D166EA">
        <w:rPr>
          <w:color w:val="auto"/>
          <w:sz w:val="22"/>
          <w:szCs w:val="22"/>
        </w:rPr>
        <w:t xml:space="preserve">Apie entekaviro poveikį HBV perdavimui iš motinos į naujagimio organizmą nežinoma, todėl būtina imtis reikiamų </w:t>
      </w:r>
      <w:r w:rsidR="00BA6359" w:rsidRPr="00D166EA">
        <w:rPr>
          <w:color w:val="auto"/>
          <w:sz w:val="22"/>
          <w:szCs w:val="22"/>
        </w:rPr>
        <w:t>veiksmų užkirsti kelią</w:t>
      </w:r>
      <w:r w:rsidRPr="00D166EA">
        <w:rPr>
          <w:color w:val="auto"/>
          <w:sz w:val="22"/>
          <w:szCs w:val="22"/>
        </w:rPr>
        <w:t xml:space="preserve"> naujagimio </w:t>
      </w:r>
      <w:r w:rsidR="00BA6359" w:rsidRPr="00D166EA">
        <w:rPr>
          <w:color w:val="auto"/>
          <w:sz w:val="22"/>
          <w:szCs w:val="22"/>
        </w:rPr>
        <w:t>už</w:t>
      </w:r>
      <w:r w:rsidRPr="00D166EA">
        <w:rPr>
          <w:color w:val="auto"/>
          <w:sz w:val="22"/>
          <w:szCs w:val="22"/>
        </w:rPr>
        <w:t xml:space="preserve">krėtimui HBV. </w:t>
      </w:r>
    </w:p>
    <w:p w14:paraId="62FE2B50" w14:textId="77777777" w:rsidR="00BA6359" w:rsidRPr="00D166EA" w:rsidRDefault="00BA6359" w:rsidP="00490777">
      <w:pPr>
        <w:pStyle w:val="Default"/>
        <w:rPr>
          <w:i/>
          <w:iCs/>
          <w:color w:val="auto"/>
          <w:sz w:val="22"/>
          <w:szCs w:val="22"/>
        </w:rPr>
      </w:pPr>
    </w:p>
    <w:p w14:paraId="4BD077ED" w14:textId="77777777" w:rsidR="00061FB3" w:rsidRDefault="00490777" w:rsidP="00490777">
      <w:pPr>
        <w:pStyle w:val="Default"/>
        <w:rPr>
          <w:i/>
          <w:iCs/>
          <w:color w:val="auto"/>
          <w:sz w:val="22"/>
          <w:szCs w:val="22"/>
        </w:rPr>
      </w:pPr>
      <w:r w:rsidRPr="00591D31">
        <w:rPr>
          <w:iCs/>
          <w:color w:val="auto"/>
          <w:sz w:val="22"/>
          <w:szCs w:val="22"/>
          <w:u w:val="single"/>
        </w:rPr>
        <w:t>Žindymas</w:t>
      </w:r>
      <w:r w:rsidRPr="00D166EA">
        <w:rPr>
          <w:i/>
          <w:iCs/>
          <w:color w:val="auto"/>
          <w:sz w:val="22"/>
          <w:szCs w:val="22"/>
        </w:rPr>
        <w:t xml:space="preserve"> </w:t>
      </w:r>
    </w:p>
    <w:p w14:paraId="17958D1A" w14:textId="77777777" w:rsidR="00490777" w:rsidRPr="00D166EA" w:rsidRDefault="00490777" w:rsidP="00490777">
      <w:pPr>
        <w:pStyle w:val="Default"/>
        <w:rPr>
          <w:color w:val="auto"/>
          <w:sz w:val="22"/>
          <w:szCs w:val="22"/>
        </w:rPr>
      </w:pPr>
      <w:r w:rsidRPr="00D166EA">
        <w:rPr>
          <w:color w:val="auto"/>
          <w:sz w:val="22"/>
          <w:szCs w:val="22"/>
        </w:rPr>
        <w:t xml:space="preserve">Ar entekaviro išskiriama su </w:t>
      </w:r>
      <w:r w:rsidR="00BA6359" w:rsidRPr="00D166EA">
        <w:rPr>
          <w:color w:val="auto"/>
          <w:sz w:val="22"/>
          <w:szCs w:val="22"/>
        </w:rPr>
        <w:t>moters</w:t>
      </w:r>
      <w:r w:rsidRPr="00D166EA">
        <w:rPr>
          <w:color w:val="auto"/>
          <w:sz w:val="22"/>
          <w:szCs w:val="22"/>
        </w:rPr>
        <w:t xml:space="preserve"> pienu, nežinoma. Turimi toksikologinių tyrimų su gyvūnais duomenys parodė entekaviro išskyrimą su pienu (smulkiau žr. 5.3 skyrių). </w:t>
      </w:r>
      <w:r w:rsidR="00BA6359" w:rsidRPr="00D166EA">
        <w:rPr>
          <w:color w:val="auto"/>
          <w:sz w:val="22"/>
          <w:szCs w:val="22"/>
        </w:rPr>
        <w:t>Rizikos kūdikams</w:t>
      </w:r>
      <w:r w:rsidRPr="00D166EA">
        <w:rPr>
          <w:color w:val="auto"/>
          <w:sz w:val="22"/>
          <w:szCs w:val="22"/>
        </w:rPr>
        <w:t xml:space="preserve"> paneigti negalima. </w:t>
      </w:r>
      <w:r w:rsidR="005024D4" w:rsidRPr="00D166EA">
        <w:rPr>
          <w:color w:val="auto"/>
          <w:sz w:val="22"/>
          <w:szCs w:val="22"/>
        </w:rPr>
        <w:t>Gydymo</w:t>
      </w:r>
      <w:r w:rsidRPr="00D166EA">
        <w:rPr>
          <w:color w:val="auto"/>
          <w:sz w:val="22"/>
          <w:szCs w:val="22"/>
        </w:rPr>
        <w:t xml:space="preserve"> </w:t>
      </w:r>
      <w:r w:rsidR="00BA6359" w:rsidRPr="00D166EA">
        <w:rPr>
          <w:color w:val="auto"/>
          <w:sz w:val="22"/>
          <w:szCs w:val="22"/>
        </w:rPr>
        <w:t>Entecavir Sandoz</w:t>
      </w:r>
      <w:r w:rsidR="005024D4" w:rsidRPr="00D166EA">
        <w:rPr>
          <w:color w:val="auto"/>
          <w:sz w:val="22"/>
          <w:szCs w:val="22"/>
        </w:rPr>
        <w:t xml:space="preserve"> metu</w:t>
      </w:r>
      <w:r w:rsidRPr="00D166EA">
        <w:rPr>
          <w:color w:val="auto"/>
          <w:sz w:val="22"/>
          <w:szCs w:val="22"/>
        </w:rPr>
        <w:t xml:space="preserve"> žindy</w:t>
      </w:r>
      <w:r w:rsidR="005024D4" w:rsidRPr="00D166EA">
        <w:rPr>
          <w:color w:val="auto"/>
          <w:sz w:val="22"/>
          <w:szCs w:val="22"/>
        </w:rPr>
        <w:t>mas turi būti nutrauktas</w:t>
      </w:r>
      <w:r w:rsidRPr="00D166EA">
        <w:rPr>
          <w:color w:val="auto"/>
          <w:sz w:val="22"/>
          <w:szCs w:val="22"/>
        </w:rPr>
        <w:t xml:space="preserve">. </w:t>
      </w:r>
    </w:p>
    <w:p w14:paraId="5F52D54B" w14:textId="77777777" w:rsidR="005024D4" w:rsidRPr="00D166EA" w:rsidRDefault="005024D4" w:rsidP="00490777">
      <w:pPr>
        <w:pStyle w:val="Default"/>
        <w:rPr>
          <w:i/>
          <w:iCs/>
          <w:color w:val="auto"/>
          <w:sz w:val="22"/>
          <w:szCs w:val="22"/>
        </w:rPr>
      </w:pPr>
    </w:p>
    <w:p w14:paraId="07CD7697" w14:textId="77777777" w:rsidR="00061FB3" w:rsidRDefault="00490777" w:rsidP="00490777">
      <w:pPr>
        <w:pStyle w:val="Default"/>
        <w:rPr>
          <w:i/>
          <w:iCs/>
          <w:color w:val="auto"/>
          <w:sz w:val="22"/>
          <w:szCs w:val="22"/>
        </w:rPr>
      </w:pPr>
      <w:r w:rsidRPr="00591D31">
        <w:rPr>
          <w:iCs/>
          <w:color w:val="auto"/>
          <w:sz w:val="22"/>
          <w:szCs w:val="22"/>
          <w:u w:val="single"/>
        </w:rPr>
        <w:t>Vaisingumas</w:t>
      </w:r>
      <w:r w:rsidRPr="00D166EA">
        <w:rPr>
          <w:i/>
          <w:iCs/>
          <w:color w:val="auto"/>
          <w:sz w:val="22"/>
          <w:szCs w:val="22"/>
        </w:rPr>
        <w:t xml:space="preserve"> </w:t>
      </w:r>
    </w:p>
    <w:p w14:paraId="704B383F" w14:textId="77777777" w:rsidR="00490777" w:rsidRPr="00D166EA" w:rsidRDefault="00490777" w:rsidP="00490777">
      <w:pPr>
        <w:pStyle w:val="Default"/>
        <w:rPr>
          <w:color w:val="auto"/>
          <w:sz w:val="22"/>
          <w:szCs w:val="22"/>
        </w:rPr>
      </w:pPr>
      <w:r w:rsidRPr="00D166EA">
        <w:rPr>
          <w:color w:val="auto"/>
          <w:sz w:val="22"/>
          <w:szCs w:val="22"/>
        </w:rPr>
        <w:t xml:space="preserve">Toksikologiniai entekaviro poveikio gyvūnams tyrimai vaisingumo </w:t>
      </w:r>
      <w:r w:rsidR="005024D4" w:rsidRPr="00D166EA">
        <w:rPr>
          <w:color w:val="auto"/>
          <w:sz w:val="22"/>
          <w:szCs w:val="22"/>
        </w:rPr>
        <w:t>pakenkimo požymių</w:t>
      </w:r>
      <w:r w:rsidRPr="00D166EA">
        <w:rPr>
          <w:color w:val="auto"/>
          <w:sz w:val="22"/>
          <w:szCs w:val="22"/>
        </w:rPr>
        <w:t xml:space="preserve"> neparodė (žr. 5.3 skyrių). </w:t>
      </w:r>
    </w:p>
    <w:p w14:paraId="10B9CE56" w14:textId="77777777" w:rsidR="005024D4" w:rsidRPr="00D166EA" w:rsidRDefault="005024D4" w:rsidP="00490777">
      <w:pPr>
        <w:pStyle w:val="Default"/>
        <w:rPr>
          <w:color w:val="auto"/>
          <w:sz w:val="22"/>
          <w:szCs w:val="22"/>
        </w:rPr>
      </w:pPr>
    </w:p>
    <w:p w14:paraId="432D800D" w14:textId="77777777" w:rsidR="00490777" w:rsidRPr="00D166EA" w:rsidRDefault="00490777" w:rsidP="00490777">
      <w:pPr>
        <w:pStyle w:val="Default"/>
        <w:rPr>
          <w:color w:val="auto"/>
          <w:sz w:val="22"/>
          <w:szCs w:val="22"/>
        </w:rPr>
      </w:pPr>
      <w:r w:rsidRPr="00D166EA">
        <w:rPr>
          <w:b/>
          <w:bCs/>
          <w:color w:val="auto"/>
          <w:sz w:val="22"/>
          <w:szCs w:val="22"/>
        </w:rPr>
        <w:t>4.7</w:t>
      </w:r>
      <w:r w:rsidR="005024D4" w:rsidRPr="00D166EA">
        <w:rPr>
          <w:b/>
          <w:bCs/>
          <w:color w:val="auto"/>
          <w:sz w:val="22"/>
          <w:szCs w:val="22"/>
        </w:rPr>
        <w:tab/>
      </w:r>
      <w:r w:rsidRPr="00D166EA">
        <w:rPr>
          <w:b/>
          <w:bCs/>
          <w:color w:val="auto"/>
          <w:sz w:val="22"/>
          <w:szCs w:val="22"/>
        </w:rPr>
        <w:t xml:space="preserve">Poveikis gebėjimui vairuoti ir valdyti mechanizmus </w:t>
      </w:r>
    </w:p>
    <w:p w14:paraId="43963F26" w14:textId="77777777" w:rsidR="005024D4" w:rsidRPr="00D166EA" w:rsidRDefault="005024D4" w:rsidP="00490777">
      <w:pPr>
        <w:pStyle w:val="Default"/>
        <w:rPr>
          <w:color w:val="auto"/>
          <w:sz w:val="22"/>
          <w:szCs w:val="22"/>
        </w:rPr>
      </w:pPr>
    </w:p>
    <w:p w14:paraId="76017921" w14:textId="77777777" w:rsidR="00490777" w:rsidRPr="00D166EA" w:rsidRDefault="00490777" w:rsidP="00490777">
      <w:pPr>
        <w:pStyle w:val="Default"/>
        <w:rPr>
          <w:color w:val="auto"/>
          <w:sz w:val="22"/>
          <w:szCs w:val="22"/>
        </w:rPr>
      </w:pPr>
      <w:r w:rsidRPr="00D166EA">
        <w:rPr>
          <w:color w:val="auto"/>
          <w:sz w:val="22"/>
          <w:szCs w:val="22"/>
        </w:rPr>
        <w:t xml:space="preserve">Poveikio gebėjimui vairuoti ir valdyti mechanizmus tyrimų neatlikta. </w:t>
      </w:r>
      <w:r w:rsidR="005024D4" w:rsidRPr="00D166EA">
        <w:rPr>
          <w:color w:val="auto"/>
          <w:sz w:val="22"/>
          <w:szCs w:val="22"/>
        </w:rPr>
        <w:t>G</w:t>
      </w:r>
      <w:r w:rsidRPr="00D166EA">
        <w:rPr>
          <w:color w:val="auto"/>
          <w:sz w:val="22"/>
          <w:szCs w:val="22"/>
        </w:rPr>
        <w:t xml:space="preserve">alvos svaigimas, nuovargis ir mieguistumas </w:t>
      </w:r>
      <w:r w:rsidR="005024D4" w:rsidRPr="00D166EA">
        <w:rPr>
          <w:color w:val="auto"/>
          <w:sz w:val="22"/>
          <w:szCs w:val="22"/>
        </w:rPr>
        <w:t>yra įprastas nepageidaujamas poveikis, kuris gali pabloginti</w:t>
      </w:r>
      <w:r w:rsidRPr="00D166EA">
        <w:rPr>
          <w:color w:val="auto"/>
          <w:sz w:val="22"/>
          <w:szCs w:val="22"/>
        </w:rPr>
        <w:t xml:space="preserve"> gebėjim</w:t>
      </w:r>
      <w:r w:rsidR="005024D4" w:rsidRPr="00D166EA">
        <w:rPr>
          <w:color w:val="auto"/>
          <w:sz w:val="22"/>
          <w:szCs w:val="22"/>
        </w:rPr>
        <w:t>ą</w:t>
      </w:r>
      <w:r w:rsidRPr="00D166EA">
        <w:rPr>
          <w:color w:val="auto"/>
          <w:sz w:val="22"/>
          <w:szCs w:val="22"/>
        </w:rPr>
        <w:t xml:space="preserve"> vairuoti ir valdyti mechanizmus. </w:t>
      </w:r>
    </w:p>
    <w:p w14:paraId="3190EF82" w14:textId="77777777" w:rsidR="005024D4" w:rsidRPr="00D166EA" w:rsidRDefault="005024D4" w:rsidP="00490777">
      <w:pPr>
        <w:pStyle w:val="Default"/>
        <w:rPr>
          <w:color w:val="auto"/>
          <w:sz w:val="22"/>
          <w:szCs w:val="22"/>
        </w:rPr>
      </w:pPr>
    </w:p>
    <w:p w14:paraId="20412645" w14:textId="77777777" w:rsidR="00490777" w:rsidRPr="00D166EA" w:rsidRDefault="00490777" w:rsidP="00490777">
      <w:pPr>
        <w:pStyle w:val="Default"/>
        <w:rPr>
          <w:color w:val="auto"/>
          <w:sz w:val="22"/>
          <w:szCs w:val="22"/>
        </w:rPr>
      </w:pPr>
      <w:r w:rsidRPr="00D166EA">
        <w:rPr>
          <w:b/>
          <w:bCs/>
          <w:color w:val="auto"/>
          <w:sz w:val="22"/>
          <w:szCs w:val="22"/>
        </w:rPr>
        <w:t>4.8</w:t>
      </w:r>
      <w:r w:rsidR="00B47045" w:rsidRPr="00D166EA">
        <w:rPr>
          <w:b/>
          <w:bCs/>
          <w:color w:val="auto"/>
          <w:sz w:val="22"/>
          <w:szCs w:val="22"/>
        </w:rPr>
        <w:tab/>
      </w:r>
      <w:r w:rsidRPr="00D166EA">
        <w:rPr>
          <w:b/>
          <w:bCs/>
          <w:color w:val="auto"/>
          <w:sz w:val="22"/>
          <w:szCs w:val="22"/>
        </w:rPr>
        <w:t xml:space="preserve">Nepageidaujamas poveikis </w:t>
      </w:r>
    </w:p>
    <w:p w14:paraId="7E65E8F3" w14:textId="77777777" w:rsidR="00B47045" w:rsidRPr="00D166EA" w:rsidRDefault="00B47045" w:rsidP="00490777">
      <w:pPr>
        <w:pStyle w:val="Default"/>
        <w:rPr>
          <w:i/>
          <w:iCs/>
          <w:color w:val="auto"/>
          <w:sz w:val="22"/>
          <w:szCs w:val="22"/>
        </w:rPr>
      </w:pPr>
    </w:p>
    <w:p w14:paraId="26A6A1D9" w14:textId="77777777" w:rsidR="00490777" w:rsidRPr="00165665" w:rsidRDefault="00490777" w:rsidP="00490777">
      <w:pPr>
        <w:pStyle w:val="Default"/>
        <w:rPr>
          <w:color w:val="auto"/>
          <w:sz w:val="22"/>
          <w:szCs w:val="22"/>
        </w:rPr>
      </w:pPr>
      <w:r w:rsidRPr="00591D31">
        <w:rPr>
          <w:iCs/>
          <w:color w:val="auto"/>
          <w:sz w:val="22"/>
          <w:szCs w:val="22"/>
        </w:rPr>
        <w:t>a.</w:t>
      </w:r>
      <w:r w:rsidR="005712BF" w:rsidRPr="00591D31">
        <w:rPr>
          <w:iCs/>
          <w:color w:val="auto"/>
          <w:sz w:val="22"/>
          <w:szCs w:val="22"/>
        </w:rPr>
        <w:t xml:space="preserve"> </w:t>
      </w:r>
      <w:r w:rsidRPr="00591D31">
        <w:rPr>
          <w:iCs/>
          <w:color w:val="auto"/>
          <w:sz w:val="22"/>
          <w:szCs w:val="22"/>
          <w:u w:val="single"/>
        </w:rPr>
        <w:t>Saugumo duomenų santrauka</w:t>
      </w:r>
      <w:r w:rsidRPr="00591D31">
        <w:rPr>
          <w:iCs/>
          <w:color w:val="auto"/>
          <w:sz w:val="22"/>
          <w:szCs w:val="22"/>
        </w:rPr>
        <w:t xml:space="preserve"> </w:t>
      </w:r>
    </w:p>
    <w:p w14:paraId="619BC724" w14:textId="77777777" w:rsidR="005712BF" w:rsidRPr="00D166EA" w:rsidRDefault="005712BF" w:rsidP="00490777">
      <w:pPr>
        <w:pStyle w:val="Default"/>
        <w:rPr>
          <w:color w:val="auto"/>
          <w:sz w:val="22"/>
          <w:szCs w:val="22"/>
        </w:rPr>
      </w:pPr>
    </w:p>
    <w:p w14:paraId="30338A98" w14:textId="77777777" w:rsidR="00490777" w:rsidRPr="00D166EA" w:rsidRDefault="00490777" w:rsidP="00490777">
      <w:pPr>
        <w:pStyle w:val="Default"/>
        <w:rPr>
          <w:color w:val="auto"/>
          <w:sz w:val="22"/>
          <w:szCs w:val="22"/>
        </w:rPr>
      </w:pPr>
      <w:r w:rsidRPr="00D166EA">
        <w:rPr>
          <w:color w:val="auto"/>
          <w:sz w:val="22"/>
          <w:szCs w:val="22"/>
        </w:rPr>
        <w:t>Klinikinių tyrimų, kuriuose dalyvavo kompensuotomis kepenų ligomis sergantys pacientai, metu dažniausios bet kokio sunkumo nepageidaujamos reakcijos, bent galim</w:t>
      </w:r>
      <w:r w:rsidR="00BC1AED" w:rsidRPr="00D166EA">
        <w:rPr>
          <w:color w:val="auto"/>
          <w:sz w:val="22"/>
          <w:szCs w:val="22"/>
        </w:rPr>
        <w:t>ai susijusios</w:t>
      </w:r>
      <w:r w:rsidRPr="00D166EA">
        <w:rPr>
          <w:color w:val="auto"/>
          <w:sz w:val="22"/>
          <w:szCs w:val="22"/>
        </w:rPr>
        <w:t xml:space="preserve"> su entekaviro vartojimu, buvo galvos skausmas (9</w:t>
      </w:r>
      <w:r w:rsidR="00A916D0">
        <w:rPr>
          <w:color w:val="auto"/>
          <w:sz w:val="22"/>
          <w:szCs w:val="22"/>
        </w:rPr>
        <w:t> </w:t>
      </w:r>
      <w:r w:rsidRPr="00D166EA">
        <w:rPr>
          <w:color w:val="auto"/>
          <w:sz w:val="22"/>
          <w:szCs w:val="22"/>
        </w:rPr>
        <w:t>%), nuovargis (6</w:t>
      </w:r>
      <w:r w:rsidR="00A916D0">
        <w:rPr>
          <w:color w:val="auto"/>
          <w:sz w:val="22"/>
          <w:szCs w:val="22"/>
        </w:rPr>
        <w:t> </w:t>
      </w:r>
      <w:r w:rsidRPr="00D166EA">
        <w:rPr>
          <w:color w:val="auto"/>
          <w:sz w:val="22"/>
          <w:szCs w:val="22"/>
        </w:rPr>
        <w:t>%), galvos svaig</w:t>
      </w:r>
      <w:r w:rsidR="00A023FD">
        <w:rPr>
          <w:color w:val="auto"/>
          <w:sz w:val="22"/>
          <w:szCs w:val="22"/>
        </w:rPr>
        <w:t>ulys</w:t>
      </w:r>
      <w:r w:rsidRPr="00D166EA">
        <w:rPr>
          <w:color w:val="auto"/>
          <w:sz w:val="22"/>
          <w:szCs w:val="22"/>
        </w:rPr>
        <w:t xml:space="preserve"> (4</w:t>
      </w:r>
      <w:r w:rsidR="00A916D0">
        <w:rPr>
          <w:color w:val="auto"/>
          <w:sz w:val="22"/>
          <w:szCs w:val="22"/>
        </w:rPr>
        <w:t> </w:t>
      </w:r>
      <w:r w:rsidRPr="00D166EA">
        <w:rPr>
          <w:color w:val="auto"/>
          <w:sz w:val="22"/>
          <w:szCs w:val="22"/>
        </w:rPr>
        <w:t>%) ir pykinimas (3</w:t>
      </w:r>
      <w:r w:rsidR="00A916D0">
        <w:rPr>
          <w:color w:val="auto"/>
          <w:sz w:val="22"/>
          <w:szCs w:val="22"/>
        </w:rPr>
        <w:t> </w:t>
      </w:r>
      <w:r w:rsidRPr="00D166EA">
        <w:rPr>
          <w:color w:val="auto"/>
          <w:sz w:val="22"/>
          <w:szCs w:val="22"/>
        </w:rPr>
        <w:t>%). Taip pat gauta pranešimų apie hepatito paūmėjimą vartojant ar baigus vartoti entekavir</w:t>
      </w:r>
      <w:r w:rsidR="00BC1AED" w:rsidRPr="00D166EA">
        <w:rPr>
          <w:color w:val="auto"/>
          <w:sz w:val="22"/>
          <w:szCs w:val="22"/>
        </w:rPr>
        <w:t>o</w:t>
      </w:r>
      <w:r w:rsidRPr="00D166EA">
        <w:rPr>
          <w:color w:val="auto"/>
          <w:sz w:val="22"/>
          <w:szCs w:val="22"/>
        </w:rPr>
        <w:t xml:space="preserve"> (žr. 4.4 skyrių ir </w:t>
      </w:r>
      <w:r w:rsidRPr="00D166EA">
        <w:rPr>
          <w:i/>
          <w:iCs/>
          <w:color w:val="auto"/>
          <w:sz w:val="22"/>
          <w:szCs w:val="22"/>
        </w:rPr>
        <w:t>c. At</w:t>
      </w:r>
      <w:r w:rsidR="00BC1AED" w:rsidRPr="00D166EA">
        <w:rPr>
          <w:i/>
          <w:iCs/>
          <w:color w:val="auto"/>
          <w:sz w:val="22"/>
          <w:szCs w:val="22"/>
        </w:rPr>
        <w:t>rinktų</w:t>
      </w:r>
      <w:r w:rsidRPr="00D166EA">
        <w:rPr>
          <w:i/>
          <w:iCs/>
          <w:color w:val="auto"/>
          <w:sz w:val="22"/>
          <w:szCs w:val="22"/>
        </w:rPr>
        <w:t xml:space="preserve"> nepageidaujamų reakcijų apibūdinimas</w:t>
      </w:r>
      <w:r w:rsidRPr="00D166EA">
        <w:rPr>
          <w:color w:val="auto"/>
          <w:sz w:val="22"/>
          <w:szCs w:val="22"/>
        </w:rPr>
        <w:t xml:space="preserve">). </w:t>
      </w:r>
    </w:p>
    <w:p w14:paraId="4458ACE1" w14:textId="77777777" w:rsidR="00BC1AED" w:rsidRPr="00D166EA" w:rsidRDefault="00BC1AED" w:rsidP="00490777">
      <w:pPr>
        <w:pStyle w:val="Default"/>
        <w:rPr>
          <w:i/>
          <w:iCs/>
          <w:color w:val="auto"/>
          <w:sz w:val="22"/>
          <w:szCs w:val="22"/>
        </w:rPr>
      </w:pPr>
    </w:p>
    <w:p w14:paraId="18ED0E67" w14:textId="77777777" w:rsidR="00490777" w:rsidRPr="00D166EA" w:rsidRDefault="00490777" w:rsidP="00490777">
      <w:pPr>
        <w:pStyle w:val="Default"/>
        <w:rPr>
          <w:color w:val="auto"/>
          <w:sz w:val="22"/>
          <w:szCs w:val="22"/>
        </w:rPr>
      </w:pPr>
      <w:r w:rsidRPr="00591D31">
        <w:rPr>
          <w:iCs/>
          <w:color w:val="auto"/>
          <w:sz w:val="22"/>
          <w:szCs w:val="22"/>
        </w:rPr>
        <w:t>b.</w:t>
      </w:r>
      <w:r w:rsidR="005712BF" w:rsidRPr="00D166EA">
        <w:rPr>
          <w:i/>
          <w:iCs/>
          <w:color w:val="auto"/>
          <w:sz w:val="22"/>
          <w:szCs w:val="22"/>
        </w:rPr>
        <w:t xml:space="preserve"> </w:t>
      </w:r>
      <w:r w:rsidRPr="00591D31">
        <w:rPr>
          <w:iCs/>
          <w:color w:val="auto"/>
          <w:sz w:val="22"/>
          <w:szCs w:val="22"/>
          <w:u w:val="single"/>
        </w:rPr>
        <w:t xml:space="preserve">Nepageidaujamų reakcijų </w:t>
      </w:r>
      <w:r w:rsidR="00A023FD" w:rsidRPr="00591D31">
        <w:rPr>
          <w:iCs/>
          <w:color w:val="auto"/>
          <w:sz w:val="22"/>
          <w:szCs w:val="22"/>
          <w:u w:val="single"/>
        </w:rPr>
        <w:t>santrauka</w:t>
      </w:r>
      <w:r w:rsidRPr="00591D31">
        <w:rPr>
          <w:iCs/>
          <w:color w:val="auto"/>
          <w:sz w:val="22"/>
          <w:szCs w:val="22"/>
          <w:u w:val="single"/>
        </w:rPr>
        <w:t xml:space="preserve"> lentelėje</w:t>
      </w:r>
      <w:r w:rsidRPr="00D166EA">
        <w:rPr>
          <w:i/>
          <w:iCs/>
          <w:color w:val="auto"/>
          <w:sz w:val="22"/>
          <w:szCs w:val="22"/>
        </w:rPr>
        <w:t xml:space="preserve"> </w:t>
      </w:r>
    </w:p>
    <w:p w14:paraId="594E5703" w14:textId="77777777" w:rsidR="005712BF" w:rsidRPr="00D166EA" w:rsidRDefault="005712BF" w:rsidP="00490777">
      <w:pPr>
        <w:pStyle w:val="Default"/>
        <w:rPr>
          <w:color w:val="auto"/>
          <w:sz w:val="22"/>
          <w:szCs w:val="22"/>
        </w:rPr>
      </w:pPr>
    </w:p>
    <w:p w14:paraId="2D6D06E0" w14:textId="77777777" w:rsidR="00490777" w:rsidRPr="00D166EA" w:rsidRDefault="00490777" w:rsidP="00490777">
      <w:pPr>
        <w:pStyle w:val="Default"/>
        <w:rPr>
          <w:color w:val="auto"/>
          <w:sz w:val="22"/>
          <w:szCs w:val="22"/>
        </w:rPr>
      </w:pPr>
      <w:r w:rsidRPr="00D166EA">
        <w:rPr>
          <w:color w:val="auto"/>
          <w:sz w:val="22"/>
          <w:szCs w:val="22"/>
        </w:rPr>
        <w:t xml:space="preserve">Nepageidaujamų reakcijų vertinimas pagrįstas </w:t>
      </w:r>
      <w:r w:rsidR="00BC1AED" w:rsidRPr="00D166EA">
        <w:rPr>
          <w:color w:val="auto"/>
          <w:sz w:val="22"/>
          <w:szCs w:val="22"/>
        </w:rPr>
        <w:t>po vaistinio preparato patekimo į rinką sukaupta patirtimi</w:t>
      </w:r>
      <w:r w:rsidRPr="00D166EA">
        <w:rPr>
          <w:color w:val="auto"/>
          <w:sz w:val="22"/>
          <w:szCs w:val="22"/>
        </w:rPr>
        <w:t xml:space="preserve"> ir 4 klinikinių tyrimų, kurių metu 1720 lėtine hepatito B infekcija sirgusių pacientų (jų kepenų funkcija buvo kompensuota) iki 107 savaičių taikytas dvigubai </w:t>
      </w:r>
      <w:r w:rsidR="00BC1AED" w:rsidRPr="00D166EA">
        <w:rPr>
          <w:color w:val="auto"/>
          <w:sz w:val="22"/>
          <w:szCs w:val="22"/>
        </w:rPr>
        <w:t>koduotas</w:t>
      </w:r>
      <w:r w:rsidRPr="00D166EA">
        <w:rPr>
          <w:color w:val="auto"/>
          <w:sz w:val="22"/>
          <w:szCs w:val="22"/>
        </w:rPr>
        <w:t xml:space="preserve"> gydymas entekaviru (n</w:t>
      </w:r>
      <w:r w:rsidR="00A916D0">
        <w:rPr>
          <w:color w:val="auto"/>
          <w:sz w:val="22"/>
          <w:szCs w:val="22"/>
        </w:rPr>
        <w:t> </w:t>
      </w:r>
      <w:r w:rsidRPr="00D166EA">
        <w:rPr>
          <w:color w:val="auto"/>
          <w:sz w:val="22"/>
          <w:szCs w:val="22"/>
        </w:rPr>
        <w:t>=</w:t>
      </w:r>
      <w:r w:rsidR="00A916D0">
        <w:rPr>
          <w:color w:val="auto"/>
          <w:sz w:val="22"/>
          <w:szCs w:val="22"/>
        </w:rPr>
        <w:t> </w:t>
      </w:r>
      <w:r w:rsidRPr="00D166EA">
        <w:rPr>
          <w:color w:val="auto"/>
          <w:sz w:val="22"/>
          <w:szCs w:val="22"/>
        </w:rPr>
        <w:t>862) arba lamivudinu (n</w:t>
      </w:r>
      <w:r w:rsidR="00A916D0">
        <w:rPr>
          <w:color w:val="auto"/>
          <w:sz w:val="22"/>
          <w:szCs w:val="22"/>
        </w:rPr>
        <w:t> </w:t>
      </w:r>
      <w:r w:rsidRPr="00D166EA">
        <w:rPr>
          <w:color w:val="auto"/>
          <w:sz w:val="22"/>
          <w:szCs w:val="22"/>
        </w:rPr>
        <w:t>=</w:t>
      </w:r>
      <w:r w:rsidR="00A916D0">
        <w:rPr>
          <w:color w:val="auto"/>
          <w:sz w:val="22"/>
          <w:szCs w:val="22"/>
        </w:rPr>
        <w:t> </w:t>
      </w:r>
      <w:r w:rsidRPr="00D166EA">
        <w:rPr>
          <w:color w:val="auto"/>
          <w:sz w:val="22"/>
          <w:szCs w:val="22"/>
        </w:rPr>
        <w:t>858)</w:t>
      </w:r>
      <w:r w:rsidR="00BC1AED" w:rsidRPr="00D166EA">
        <w:rPr>
          <w:color w:val="auto"/>
          <w:sz w:val="22"/>
          <w:szCs w:val="22"/>
        </w:rPr>
        <w:t>, duomenimis</w:t>
      </w:r>
      <w:r w:rsidRPr="00D166EA">
        <w:rPr>
          <w:color w:val="auto"/>
          <w:sz w:val="22"/>
          <w:szCs w:val="22"/>
        </w:rPr>
        <w:t xml:space="preserve"> (žr. 5.1 skyrių). Šių tyrimų duomenimis, 1</w:t>
      </w:r>
      <w:r w:rsidR="00A916D0">
        <w:rPr>
          <w:color w:val="auto"/>
          <w:sz w:val="22"/>
          <w:szCs w:val="22"/>
        </w:rPr>
        <w:t> </w:t>
      </w:r>
      <w:r w:rsidRPr="00D166EA">
        <w:rPr>
          <w:color w:val="auto"/>
          <w:sz w:val="22"/>
          <w:szCs w:val="22"/>
        </w:rPr>
        <w:t>kartą per parą vartojamos entekaviro 0,5</w:t>
      </w:r>
      <w:r w:rsidR="00A916D0">
        <w:rPr>
          <w:color w:val="auto"/>
          <w:sz w:val="22"/>
          <w:szCs w:val="22"/>
        </w:rPr>
        <w:t> </w:t>
      </w:r>
      <w:r w:rsidRPr="00D166EA">
        <w:rPr>
          <w:color w:val="auto"/>
          <w:sz w:val="22"/>
          <w:szCs w:val="22"/>
        </w:rPr>
        <w:t>mg dozės (laikotarp</w:t>
      </w:r>
      <w:r w:rsidR="00BC1AED" w:rsidRPr="00D166EA">
        <w:rPr>
          <w:color w:val="auto"/>
          <w:sz w:val="22"/>
          <w:szCs w:val="22"/>
        </w:rPr>
        <w:t>iu</w:t>
      </w:r>
      <w:r w:rsidRPr="00D166EA">
        <w:rPr>
          <w:color w:val="auto"/>
          <w:sz w:val="22"/>
          <w:szCs w:val="22"/>
        </w:rPr>
        <w:t>, kurio mediana 53</w:t>
      </w:r>
      <w:r w:rsidR="00A916D0">
        <w:rPr>
          <w:color w:val="auto"/>
          <w:sz w:val="22"/>
          <w:szCs w:val="22"/>
        </w:rPr>
        <w:t> </w:t>
      </w:r>
      <w:r w:rsidRPr="00D166EA">
        <w:rPr>
          <w:color w:val="auto"/>
          <w:sz w:val="22"/>
          <w:szCs w:val="22"/>
        </w:rPr>
        <w:t>savaitės, ją vartojo 679 HBeAg teigiami ir neigiami pacientai, anksčiau negydyti nukleozidais), 1</w:t>
      </w:r>
      <w:r w:rsidR="00A916D0">
        <w:rPr>
          <w:color w:val="auto"/>
          <w:sz w:val="22"/>
          <w:szCs w:val="22"/>
        </w:rPr>
        <w:t> </w:t>
      </w:r>
      <w:r w:rsidRPr="00D166EA">
        <w:rPr>
          <w:color w:val="auto"/>
          <w:sz w:val="22"/>
          <w:szCs w:val="22"/>
        </w:rPr>
        <w:t>kartą per parą vartojamos entekaviro 1 mg dozės (laikotarp</w:t>
      </w:r>
      <w:r w:rsidR="00BC1AED" w:rsidRPr="00D166EA">
        <w:rPr>
          <w:color w:val="auto"/>
          <w:sz w:val="22"/>
          <w:szCs w:val="22"/>
        </w:rPr>
        <w:t>is</w:t>
      </w:r>
      <w:r w:rsidRPr="00D166EA">
        <w:rPr>
          <w:color w:val="auto"/>
          <w:sz w:val="22"/>
          <w:szCs w:val="22"/>
        </w:rPr>
        <w:t>, kurio mediana 69</w:t>
      </w:r>
      <w:r w:rsidR="00A916D0">
        <w:rPr>
          <w:color w:val="auto"/>
          <w:sz w:val="22"/>
          <w:szCs w:val="22"/>
        </w:rPr>
        <w:t> </w:t>
      </w:r>
      <w:r w:rsidRPr="00D166EA">
        <w:rPr>
          <w:color w:val="auto"/>
          <w:sz w:val="22"/>
          <w:szCs w:val="22"/>
        </w:rPr>
        <w:t xml:space="preserve">savaitės, ją vartojo 183 HBeAg lamivudinui atsparūs pacientai) ir lamivudino saugumo </w:t>
      </w:r>
      <w:r w:rsidR="00BC1AED" w:rsidRPr="00D166EA">
        <w:rPr>
          <w:color w:val="auto"/>
          <w:sz w:val="22"/>
          <w:szCs w:val="22"/>
        </w:rPr>
        <w:t>apibūdinimas</w:t>
      </w:r>
      <w:r w:rsidRPr="00D166EA">
        <w:rPr>
          <w:color w:val="auto"/>
          <w:sz w:val="22"/>
          <w:szCs w:val="22"/>
        </w:rPr>
        <w:t xml:space="preserve"> (taip pat ir laboratorinių tyrimų pokyčių pasireiškimo požiūriu) yra panašus. </w:t>
      </w:r>
    </w:p>
    <w:p w14:paraId="4AAD91B9" w14:textId="77777777" w:rsidR="00560711" w:rsidRPr="00D166EA" w:rsidRDefault="00560711" w:rsidP="00490777">
      <w:pPr>
        <w:pStyle w:val="Default"/>
        <w:rPr>
          <w:color w:val="auto"/>
          <w:sz w:val="22"/>
          <w:szCs w:val="22"/>
        </w:rPr>
      </w:pPr>
    </w:p>
    <w:p w14:paraId="7FBC3195" w14:textId="77777777" w:rsidR="00490777" w:rsidRPr="00D166EA" w:rsidRDefault="00BC1AED" w:rsidP="00490777">
      <w:pPr>
        <w:pStyle w:val="Default"/>
        <w:rPr>
          <w:color w:val="auto"/>
          <w:sz w:val="22"/>
          <w:szCs w:val="22"/>
        </w:rPr>
      </w:pPr>
      <w:r w:rsidRPr="00D166EA">
        <w:rPr>
          <w:color w:val="auto"/>
          <w:sz w:val="22"/>
          <w:szCs w:val="22"/>
        </w:rPr>
        <w:t>Toliau yra išvardytos pagal organų sistemų klases n</w:t>
      </w:r>
      <w:r w:rsidR="00490777" w:rsidRPr="00D166EA">
        <w:rPr>
          <w:color w:val="auto"/>
          <w:sz w:val="22"/>
          <w:szCs w:val="22"/>
        </w:rPr>
        <w:t>epageidaujamos reakcijos, laikytos bent galim</w:t>
      </w:r>
      <w:r w:rsidRPr="00D166EA">
        <w:rPr>
          <w:color w:val="auto"/>
          <w:sz w:val="22"/>
          <w:szCs w:val="22"/>
        </w:rPr>
        <w:t>ai susijusio</w:t>
      </w:r>
      <w:r w:rsidR="00061FB3">
        <w:rPr>
          <w:color w:val="auto"/>
          <w:sz w:val="22"/>
          <w:szCs w:val="22"/>
        </w:rPr>
        <w:t>mis</w:t>
      </w:r>
      <w:r w:rsidR="00490777" w:rsidRPr="00D166EA">
        <w:rPr>
          <w:color w:val="auto"/>
          <w:sz w:val="22"/>
          <w:szCs w:val="22"/>
        </w:rPr>
        <w:t xml:space="preserve"> su entekaviro vartojimu. </w:t>
      </w:r>
      <w:r w:rsidR="00560711" w:rsidRPr="00D166EA">
        <w:rPr>
          <w:sz w:val="22"/>
          <w:szCs w:val="22"/>
          <w:lang w:val="lt-LT"/>
        </w:rPr>
        <w:t xml:space="preserve">Nepageidaujamo poveikio dažnis apibūdinamas taip: labai dažnas (≥ 1/10), dažnas (nuo ≥ 1/100 iki &lt; 1/10), nedažnas (nuo ≥ 1/1000 iki &lt; 1/100), retas (nuo ≥ 1/10000 iki &lt; 1/1000). </w:t>
      </w:r>
      <w:r w:rsidR="00560711" w:rsidRPr="00D166EA">
        <w:rPr>
          <w:color w:val="auto"/>
          <w:sz w:val="22"/>
          <w:szCs w:val="22"/>
        </w:rPr>
        <w:t>Kiekvienoje dažnio grupėje nepageidaujamas poveikis pateikiamas mažėjančio sunkumo tvarka.</w:t>
      </w:r>
    </w:p>
    <w:p w14:paraId="71C716FD" w14:textId="77777777" w:rsidR="00560711" w:rsidRPr="00D166EA" w:rsidRDefault="00560711" w:rsidP="00490777">
      <w:pPr>
        <w:pStyle w:val="Default"/>
        <w:rPr>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219"/>
        <w:gridCol w:w="4219"/>
      </w:tblGrid>
      <w:tr w:rsidR="00490777" w:rsidRPr="00D166EA" w14:paraId="3D50581E" w14:textId="77777777" w:rsidTr="002746CC">
        <w:trPr>
          <w:trHeight w:val="146"/>
        </w:trPr>
        <w:tc>
          <w:tcPr>
            <w:tcW w:w="4219" w:type="dxa"/>
          </w:tcPr>
          <w:p w14:paraId="7DC9DD78" w14:textId="77777777" w:rsidR="00490777" w:rsidRPr="00D166EA" w:rsidRDefault="00490777">
            <w:pPr>
              <w:pStyle w:val="Default"/>
              <w:rPr>
                <w:sz w:val="22"/>
                <w:szCs w:val="22"/>
              </w:rPr>
            </w:pPr>
            <w:r w:rsidRPr="00D166EA">
              <w:rPr>
                <w:i/>
                <w:iCs/>
                <w:sz w:val="22"/>
                <w:szCs w:val="22"/>
              </w:rPr>
              <w:t xml:space="preserve">Imuninės sistemos sutrikimai: </w:t>
            </w:r>
          </w:p>
        </w:tc>
        <w:tc>
          <w:tcPr>
            <w:tcW w:w="4219" w:type="dxa"/>
          </w:tcPr>
          <w:p w14:paraId="444244A5" w14:textId="77777777" w:rsidR="00490777" w:rsidRPr="00D166EA" w:rsidRDefault="00490777" w:rsidP="00560711">
            <w:pPr>
              <w:pStyle w:val="Default"/>
              <w:rPr>
                <w:sz w:val="22"/>
                <w:szCs w:val="22"/>
              </w:rPr>
            </w:pPr>
            <w:r w:rsidRPr="00D166EA">
              <w:rPr>
                <w:sz w:val="22"/>
                <w:szCs w:val="22"/>
              </w:rPr>
              <w:t>ret</w:t>
            </w:r>
            <w:r w:rsidR="00560711" w:rsidRPr="00D166EA">
              <w:rPr>
                <w:sz w:val="22"/>
                <w:szCs w:val="22"/>
              </w:rPr>
              <w:t>as</w:t>
            </w:r>
            <w:r w:rsidRPr="00D166EA">
              <w:rPr>
                <w:sz w:val="22"/>
                <w:szCs w:val="22"/>
              </w:rPr>
              <w:t xml:space="preserve">: anafilaktoidinė reakcija </w:t>
            </w:r>
          </w:p>
        </w:tc>
      </w:tr>
      <w:tr w:rsidR="00490777" w:rsidRPr="00D166EA" w14:paraId="4E6A42C4" w14:textId="77777777" w:rsidTr="002746CC">
        <w:trPr>
          <w:trHeight w:val="146"/>
        </w:trPr>
        <w:tc>
          <w:tcPr>
            <w:tcW w:w="4219" w:type="dxa"/>
          </w:tcPr>
          <w:p w14:paraId="4E513922" w14:textId="77777777" w:rsidR="00560711" w:rsidRPr="00D166EA" w:rsidRDefault="00560711">
            <w:pPr>
              <w:pStyle w:val="Default"/>
              <w:rPr>
                <w:i/>
                <w:iCs/>
                <w:sz w:val="22"/>
                <w:szCs w:val="22"/>
              </w:rPr>
            </w:pPr>
          </w:p>
          <w:p w14:paraId="1D09BD12" w14:textId="77777777" w:rsidR="00490777" w:rsidRPr="00D166EA" w:rsidRDefault="00490777">
            <w:pPr>
              <w:pStyle w:val="Default"/>
              <w:rPr>
                <w:sz w:val="22"/>
                <w:szCs w:val="22"/>
              </w:rPr>
            </w:pPr>
            <w:r w:rsidRPr="00D166EA">
              <w:rPr>
                <w:i/>
                <w:iCs/>
                <w:sz w:val="22"/>
                <w:szCs w:val="22"/>
              </w:rPr>
              <w:t xml:space="preserve">Psichikos sutrikimai: </w:t>
            </w:r>
          </w:p>
        </w:tc>
        <w:tc>
          <w:tcPr>
            <w:tcW w:w="4219" w:type="dxa"/>
          </w:tcPr>
          <w:p w14:paraId="19A72EB6" w14:textId="77777777" w:rsidR="00560711" w:rsidRPr="00D166EA" w:rsidRDefault="00560711">
            <w:pPr>
              <w:pStyle w:val="Default"/>
              <w:rPr>
                <w:sz w:val="22"/>
                <w:szCs w:val="22"/>
              </w:rPr>
            </w:pPr>
          </w:p>
          <w:p w14:paraId="3DB7C76C" w14:textId="77777777" w:rsidR="00490777" w:rsidRPr="00D166EA" w:rsidRDefault="00490777" w:rsidP="00560711">
            <w:pPr>
              <w:pStyle w:val="Default"/>
              <w:rPr>
                <w:sz w:val="22"/>
                <w:szCs w:val="22"/>
              </w:rPr>
            </w:pPr>
            <w:r w:rsidRPr="00D166EA">
              <w:rPr>
                <w:sz w:val="22"/>
                <w:szCs w:val="22"/>
              </w:rPr>
              <w:t>dažn</w:t>
            </w:r>
            <w:r w:rsidR="00560711" w:rsidRPr="00D166EA">
              <w:rPr>
                <w:sz w:val="22"/>
                <w:szCs w:val="22"/>
              </w:rPr>
              <w:t>as</w:t>
            </w:r>
            <w:r w:rsidRPr="00D166EA">
              <w:rPr>
                <w:sz w:val="22"/>
                <w:szCs w:val="22"/>
              </w:rPr>
              <w:t xml:space="preserve">: nemiga </w:t>
            </w:r>
          </w:p>
        </w:tc>
      </w:tr>
      <w:tr w:rsidR="00490777" w:rsidRPr="00D166EA" w14:paraId="2F303F14" w14:textId="77777777" w:rsidTr="002746CC">
        <w:trPr>
          <w:trHeight w:val="274"/>
        </w:trPr>
        <w:tc>
          <w:tcPr>
            <w:tcW w:w="4219" w:type="dxa"/>
          </w:tcPr>
          <w:p w14:paraId="5D902C72" w14:textId="77777777" w:rsidR="00560711" w:rsidRPr="00D166EA" w:rsidRDefault="00560711">
            <w:pPr>
              <w:pStyle w:val="Default"/>
              <w:rPr>
                <w:i/>
                <w:iCs/>
                <w:sz w:val="22"/>
                <w:szCs w:val="22"/>
              </w:rPr>
            </w:pPr>
          </w:p>
          <w:p w14:paraId="7F060A0C" w14:textId="77777777" w:rsidR="00490777" w:rsidRPr="00D166EA" w:rsidRDefault="00490777">
            <w:pPr>
              <w:pStyle w:val="Default"/>
              <w:rPr>
                <w:sz w:val="22"/>
                <w:szCs w:val="22"/>
              </w:rPr>
            </w:pPr>
            <w:r w:rsidRPr="00D166EA">
              <w:rPr>
                <w:i/>
                <w:iCs/>
                <w:sz w:val="22"/>
                <w:szCs w:val="22"/>
              </w:rPr>
              <w:t xml:space="preserve">Nervų sistemos sutrikimai: </w:t>
            </w:r>
          </w:p>
        </w:tc>
        <w:tc>
          <w:tcPr>
            <w:tcW w:w="4219" w:type="dxa"/>
          </w:tcPr>
          <w:p w14:paraId="25BC5922" w14:textId="77777777" w:rsidR="00560711" w:rsidRPr="00D166EA" w:rsidRDefault="00560711">
            <w:pPr>
              <w:pStyle w:val="Default"/>
              <w:rPr>
                <w:sz w:val="22"/>
                <w:szCs w:val="22"/>
              </w:rPr>
            </w:pPr>
          </w:p>
          <w:p w14:paraId="45B4410C" w14:textId="77777777" w:rsidR="00490777" w:rsidRPr="00D166EA" w:rsidRDefault="00490777" w:rsidP="0044298C">
            <w:pPr>
              <w:pStyle w:val="Default"/>
              <w:rPr>
                <w:sz w:val="22"/>
                <w:szCs w:val="22"/>
              </w:rPr>
            </w:pPr>
            <w:r w:rsidRPr="00D166EA">
              <w:rPr>
                <w:sz w:val="22"/>
                <w:szCs w:val="22"/>
              </w:rPr>
              <w:t>dažn</w:t>
            </w:r>
            <w:r w:rsidR="00560711" w:rsidRPr="00D166EA">
              <w:rPr>
                <w:sz w:val="22"/>
                <w:szCs w:val="22"/>
              </w:rPr>
              <w:t>as</w:t>
            </w:r>
            <w:r w:rsidRPr="00D166EA">
              <w:rPr>
                <w:sz w:val="22"/>
                <w:szCs w:val="22"/>
              </w:rPr>
              <w:t>: galvos skausmas, svaig</w:t>
            </w:r>
            <w:r w:rsidR="00A023FD">
              <w:rPr>
                <w:sz w:val="22"/>
                <w:szCs w:val="22"/>
              </w:rPr>
              <w:t>ulys</w:t>
            </w:r>
            <w:r w:rsidRPr="00D166EA">
              <w:rPr>
                <w:sz w:val="22"/>
                <w:szCs w:val="22"/>
              </w:rPr>
              <w:t xml:space="preserve">, mieguistumas </w:t>
            </w:r>
          </w:p>
        </w:tc>
      </w:tr>
      <w:tr w:rsidR="00490777" w:rsidRPr="00D166EA" w14:paraId="08422873" w14:textId="77777777" w:rsidTr="002746CC">
        <w:trPr>
          <w:trHeight w:val="272"/>
        </w:trPr>
        <w:tc>
          <w:tcPr>
            <w:tcW w:w="4219" w:type="dxa"/>
          </w:tcPr>
          <w:p w14:paraId="68F0B44F" w14:textId="77777777" w:rsidR="00490777" w:rsidRPr="00D166EA" w:rsidRDefault="00490777">
            <w:pPr>
              <w:pStyle w:val="Default"/>
              <w:rPr>
                <w:sz w:val="22"/>
                <w:szCs w:val="22"/>
              </w:rPr>
            </w:pPr>
            <w:r w:rsidRPr="00D166EA">
              <w:rPr>
                <w:i/>
                <w:iCs/>
                <w:sz w:val="22"/>
                <w:szCs w:val="22"/>
              </w:rPr>
              <w:t xml:space="preserve">Virškinimo trakto sutrikimai: </w:t>
            </w:r>
          </w:p>
        </w:tc>
        <w:tc>
          <w:tcPr>
            <w:tcW w:w="4219" w:type="dxa"/>
          </w:tcPr>
          <w:p w14:paraId="754236ED" w14:textId="77777777" w:rsidR="00490777" w:rsidRPr="00D166EA" w:rsidRDefault="00490777" w:rsidP="00560711">
            <w:pPr>
              <w:pStyle w:val="Default"/>
              <w:rPr>
                <w:sz w:val="22"/>
                <w:szCs w:val="22"/>
              </w:rPr>
            </w:pPr>
            <w:r w:rsidRPr="00D166EA">
              <w:rPr>
                <w:sz w:val="22"/>
                <w:szCs w:val="22"/>
              </w:rPr>
              <w:t>dažn</w:t>
            </w:r>
            <w:r w:rsidR="00560711" w:rsidRPr="00D166EA">
              <w:rPr>
                <w:sz w:val="22"/>
                <w:szCs w:val="22"/>
              </w:rPr>
              <w:t>as</w:t>
            </w:r>
            <w:r w:rsidRPr="00D166EA">
              <w:rPr>
                <w:sz w:val="22"/>
                <w:szCs w:val="22"/>
              </w:rPr>
              <w:t xml:space="preserve">: vėmimas, viduriavimas, pykinimas, </w:t>
            </w:r>
            <w:r w:rsidR="00560711" w:rsidRPr="00D166EA">
              <w:rPr>
                <w:sz w:val="22"/>
                <w:szCs w:val="22"/>
              </w:rPr>
              <w:t>virškinimo sutrikimas</w:t>
            </w:r>
            <w:r w:rsidRPr="00D166EA">
              <w:rPr>
                <w:sz w:val="22"/>
                <w:szCs w:val="22"/>
              </w:rPr>
              <w:t xml:space="preserve"> </w:t>
            </w:r>
          </w:p>
        </w:tc>
      </w:tr>
      <w:tr w:rsidR="00490777" w:rsidRPr="00D166EA" w14:paraId="087329A0" w14:textId="77777777" w:rsidTr="002746CC">
        <w:trPr>
          <w:trHeight w:val="146"/>
        </w:trPr>
        <w:tc>
          <w:tcPr>
            <w:tcW w:w="4219" w:type="dxa"/>
          </w:tcPr>
          <w:p w14:paraId="6D166B1D" w14:textId="77777777" w:rsidR="00490777" w:rsidRPr="00D166EA" w:rsidRDefault="00490777">
            <w:pPr>
              <w:pStyle w:val="Default"/>
              <w:rPr>
                <w:sz w:val="22"/>
                <w:szCs w:val="22"/>
              </w:rPr>
            </w:pPr>
            <w:r w:rsidRPr="00D166EA">
              <w:rPr>
                <w:i/>
                <w:iCs/>
                <w:sz w:val="22"/>
                <w:szCs w:val="22"/>
              </w:rPr>
              <w:t xml:space="preserve">Kepenų ir tulžies sistemos sutrikimai: </w:t>
            </w:r>
          </w:p>
        </w:tc>
        <w:tc>
          <w:tcPr>
            <w:tcW w:w="4219" w:type="dxa"/>
          </w:tcPr>
          <w:p w14:paraId="10181F3D" w14:textId="77777777" w:rsidR="00490777" w:rsidRPr="00D166EA" w:rsidRDefault="00490777" w:rsidP="005712BF">
            <w:pPr>
              <w:pStyle w:val="Default"/>
              <w:rPr>
                <w:sz w:val="22"/>
                <w:szCs w:val="22"/>
              </w:rPr>
            </w:pPr>
            <w:r w:rsidRPr="00D166EA">
              <w:rPr>
                <w:sz w:val="22"/>
                <w:szCs w:val="22"/>
              </w:rPr>
              <w:t>dažn</w:t>
            </w:r>
            <w:r w:rsidR="005712BF" w:rsidRPr="00D166EA">
              <w:rPr>
                <w:sz w:val="22"/>
                <w:szCs w:val="22"/>
              </w:rPr>
              <w:t>as</w:t>
            </w:r>
            <w:r w:rsidRPr="00D166EA">
              <w:rPr>
                <w:sz w:val="22"/>
                <w:szCs w:val="22"/>
              </w:rPr>
              <w:t xml:space="preserve">: transaminazių </w:t>
            </w:r>
            <w:r w:rsidR="005712BF" w:rsidRPr="00D166EA">
              <w:rPr>
                <w:sz w:val="22"/>
                <w:szCs w:val="22"/>
              </w:rPr>
              <w:t>aktyvumo</w:t>
            </w:r>
            <w:r w:rsidRPr="00D166EA">
              <w:rPr>
                <w:sz w:val="22"/>
                <w:szCs w:val="22"/>
              </w:rPr>
              <w:t xml:space="preserve"> padidėjimas </w:t>
            </w:r>
          </w:p>
        </w:tc>
      </w:tr>
      <w:tr w:rsidR="00490777" w:rsidRPr="00D166EA" w14:paraId="45299732" w14:textId="77777777" w:rsidTr="002746CC">
        <w:trPr>
          <w:trHeight w:val="146"/>
        </w:trPr>
        <w:tc>
          <w:tcPr>
            <w:tcW w:w="4219" w:type="dxa"/>
          </w:tcPr>
          <w:p w14:paraId="45109706" w14:textId="77777777" w:rsidR="005712BF" w:rsidRPr="00D166EA" w:rsidRDefault="005712BF">
            <w:pPr>
              <w:pStyle w:val="Default"/>
              <w:rPr>
                <w:i/>
                <w:iCs/>
                <w:sz w:val="22"/>
                <w:szCs w:val="22"/>
              </w:rPr>
            </w:pPr>
          </w:p>
          <w:p w14:paraId="287E87FD" w14:textId="77777777" w:rsidR="00490777" w:rsidRPr="00D166EA" w:rsidRDefault="00490777">
            <w:pPr>
              <w:pStyle w:val="Default"/>
              <w:rPr>
                <w:sz w:val="22"/>
                <w:szCs w:val="22"/>
              </w:rPr>
            </w:pPr>
            <w:r w:rsidRPr="00D166EA">
              <w:rPr>
                <w:i/>
                <w:iCs/>
                <w:sz w:val="22"/>
                <w:szCs w:val="22"/>
              </w:rPr>
              <w:t xml:space="preserve">Odos ir poodinio audinio sutrikimai: </w:t>
            </w:r>
          </w:p>
        </w:tc>
        <w:tc>
          <w:tcPr>
            <w:tcW w:w="4219" w:type="dxa"/>
          </w:tcPr>
          <w:p w14:paraId="1933C157" w14:textId="77777777" w:rsidR="005712BF" w:rsidRPr="00D166EA" w:rsidRDefault="005712BF" w:rsidP="005712BF">
            <w:pPr>
              <w:pStyle w:val="Default"/>
              <w:rPr>
                <w:sz w:val="22"/>
                <w:szCs w:val="22"/>
              </w:rPr>
            </w:pPr>
          </w:p>
          <w:p w14:paraId="718CE492" w14:textId="77777777" w:rsidR="00490777" w:rsidRPr="00D166EA" w:rsidRDefault="001E4833" w:rsidP="005712BF">
            <w:pPr>
              <w:pStyle w:val="Default"/>
              <w:rPr>
                <w:sz w:val="22"/>
                <w:szCs w:val="22"/>
              </w:rPr>
            </w:pPr>
            <w:r>
              <w:rPr>
                <w:sz w:val="22"/>
                <w:szCs w:val="22"/>
              </w:rPr>
              <w:t>ne</w:t>
            </w:r>
            <w:r w:rsidR="00490777" w:rsidRPr="00D166EA">
              <w:rPr>
                <w:sz w:val="22"/>
                <w:szCs w:val="22"/>
              </w:rPr>
              <w:t>dažn</w:t>
            </w:r>
            <w:r w:rsidR="005712BF" w:rsidRPr="00D166EA">
              <w:rPr>
                <w:sz w:val="22"/>
                <w:szCs w:val="22"/>
              </w:rPr>
              <w:t>as</w:t>
            </w:r>
            <w:r w:rsidR="00490777" w:rsidRPr="00D166EA">
              <w:rPr>
                <w:sz w:val="22"/>
                <w:szCs w:val="22"/>
              </w:rPr>
              <w:t xml:space="preserve">: išbėrimas, </w:t>
            </w:r>
            <w:r w:rsidR="005712BF" w:rsidRPr="00D166EA">
              <w:rPr>
                <w:sz w:val="22"/>
                <w:szCs w:val="22"/>
              </w:rPr>
              <w:t>plaukų slinkimas</w:t>
            </w:r>
            <w:r w:rsidR="00490777" w:rsidRPr="00D166EA">
              <w:rPr>
                <w:sz w:val="22"/>
                <w:szCs w:val="22"/>
              </w:rPr>
              <w:t xml:space="preserve"> </w:t>
            </w:r>
          </w:p>
        </w:tc>
      </w:tr>
      <w:tr w:rsidR="00490777" w:rsidRPr="00D166EA" w14:paraId="26A9A32D" w14:textId="77777777" w:rsidTr="002746CC">
        <w:trPr>
          <w:trHeight w:val="146"/>
        </w:trPr>
        <w:tc>
          <w:tcPr>
            <w:tcW w:w="4219" w:type="dxa"/>
          </w:tcPr>
          <w:p w14:paraId="679A3134" w14:textId="77777777" w:rsidR="005712BF" w:rsidRPr="00D166EA" w:rsidRDefault="005712BF" w:rsidP="005712BF">
            <w:pPr>
              <w:pStyle w:val="Default"/>
              <w:rPr>
                <w:i/>
                <w:iCs/>
                <w:sz w:val="22"/>
                <w:szCs w:val="22"/>
              </w:rPr>
            </w:pPr>
          </w:p>
          <w:p w14:paraId="215E8224" w14:textId="77777777" w:rsidR="00490777" w:rsidRPr="00D166EA" w:rsidRDefault="00490777" w:rsidP="005712BF">
            <w:pPr>
              <w:pStyle w:val="Default"/>
              <w:rPr>
                <w:sz w:val="22"/>
                <w:szCs w:val="22"/>
              </w:rPr>
            </w:pPr>
            <w:r w:rsidRPr="00D166EA">
              <w:rPr>
                <w:i/>
                <w:iCs/>
                <w:sz w:val="22"/>
                <w:szCs w:val="22"/>
              </w:rPr>
              <w:t>Bendr</w:t>
            </w:r>
            <w:r w:rsidR="005712BF" w:rsidRPr="00D166EA">
              <w:rPr>
                <w:i/>
                <w:iCs/>
                <w:sz w:val="22"/>
                <w:szCs w:val="22"/>
              </w:rPr>
              <w:t>ieji</w:t>
            </w:r>
            <w:r w:rsidRPr="00D166EA">
              <w:rPr>
                <w:i/>
                <w:iCs/>
                <w:sz w:val="22"/>
                <w:szCs w:val="22"/>
              </w:rPr>
              <w:t xml:space="preserve"> sutrikimai ir vartojimo vietos pažeidimai: </w:t>
            </w:r>
          </w:p>
        </w:tc>
        <w:tc>
          <w:tcPr>
            <w:tcW w:w="4219" w:type="dxa"/>
          </w:tcPr>
          <w:p w14:paraId="41B36849" w14:textId="77777777" w:rsidR="005712BF" w:rsidRPr="00D166EA" w:rsidRDefault="005712BF">
            <w:pPr>
              <w:pStyle w:val="Default"/>
              <w:rPr>
                <w:sz w:val="22"/>
                <w:szCs w:val="22"/>
              </w:rPr>
            </w:pPr>
          </w:p>
          <w:p w14:paraId="1AB47DC2" w14:textId="77777777" w:rsidR="005712BF" w:rsidRPr="00D166EA" w:rsidRDefault="005712BF">
            <w:pPr>
              <w:pStyle w:val="Default"/>
              <w:rPr>
                <w:sz w:val="22"/>
                <w:szCs w:val="22"/>
              </w:rPr>
            </w:pPr>
          </w:p>
          <w:p w14:paraId="194928A9" w14:textId="77777777" w:rsidR="00490777" w:rsidRPr="00D166EA" w:rsidRDefault="00490777" w:rsidP="005712BF">
            <w:pPr>
              <w:pStyle w:val="Default"/>
              <w:rPr>
                <w:sz w:val="22"/>
                <w:szCs w:val="22"/>
              </w:rPr>
            </w:pPr>
            <w:r w:rsidRPr="00D166EA">
              <w:rPr>
                <w:sz w:val="22"/>
                <w:szCs w:val="22"/>
              </w:rPr>
              <w:t>dažn</w:t>
            </w:r>
            <w:r w:rsidR="005712BF" w:rsidRPr="00D166EA">
              <w:rPr>
                <w:sz w:val="22"/>
                <w:szCs w:val="22"/>
              </w:rPr>
              <w:t>as</w:t>
            </w:r>
            <w:r w:rsidRPr="00D166EA">
              <w:rPr>
                <w:sz w:val="22"/>
                <w:szCs w:val="22"/>
              </w:rPr>
              <w:t xml:space="preserve">: nuovargis </w:t>
            </w:r>
          </w:p>
        </w:tc>
      </w:tr>
    </w:tbl>
    <w:p w14:paraId="54E5CFA3" w14:textId="77777777" w:rsidR="00490777" w:rsidRPr="00D166EA" w:rsidRDefault="00490777" w:rsidP="008374A5">
      <w:pPr>
        <w:rPr>
          <w:szCs w:val="22"/>
        </w:rPr>
      </w:pPr>
    </w:p>
    <w:p w14:paraId="0F5B7556" w14:textId="77777777" w:rsidR="005712BF" w:rsidRPr="00D166EA" w:rsidRDefault="005712BF" w:rsidP="005712BF">
      <w:pPr>
        <w:pStyle w:val="Default"/>
        <w:rPr>
          <w:sz w:val="22"/>
          <w:szCs w:val="22"/>
        </w:rPr>
      </w:pPr>
      <w:r w:rsidRPr="00D166EA">
        <w:rPr>
          <w:sz w:val="22"/>
          <w:szCs w:val="22"/>
        </w:rPr>
        <w:t xml:space="preserve">Gauta pranešimų apie pieno rūgšties acidozės atvejus, kurie dažnai būdavo susiję su kepenų funkcijos dekompensacija, kitomis sunkiomis ligomis ar kitų vaistinių preparatų vartojimu (žr. 4.4 skyrių). </w:t>
      </w:r>
    </w:p>
    <w:p w14:paraId="42B124E8" w14:textId="77777777" w:rsidR="005712BF" w:rsidRPr="00D166EA" w:rsidRDefault="005712BF" w:rsidP="005712BF">
      <w:pPr>
        <w:pStyle w:val="Default"/>
        <w:rPr>
          <w:sz w:val="22"/>
          <w:szCs w:val="22"/>
        </w:rPr>
      </w:pPr>
      <w:r w:rsidRPr="00D166EA">
        <w:rPr>
          <w:sz w:val="22"/>
          <w:szCs w:val="22"/>
        </w:rPr>
        <w:t>Ilgesnės kaip 48</w:t>
      </w:r>
      <w:r w:rsidR="00A916D0">
        <w:rPr>
          <w:sz w:val="22"/>
          <w:szCs w:val="22"/>
        </w:rPr>
        <w:t> </w:t>
      </w:r>
      <w:r w:rsidRPr="00D166EA">
        <w:rPr>
          <w:sz w:val="22"/>
          <w:szCs w:val="22"/>
        </w:rPr>
        <w:t>savaičių trukmės gydymas: tęsiant gydymą entekaviru laikotarpiu, kurio trukmės mediana 96</w:t>
      </w:r>
      <w:r w:rsidR="00A916D0">
        <w:rPr>
          <w:sz w:val="22"/>
          <w:szCs w:val="22"/>
        </w:rPr>
        <w:t> </w:t>
      </w:r>
      <w:r w:rsidRPr="00D166EA">
        <w:rPr>
          <w:sz w:val="22"/>
          <w:szCs w:val="22"/>
        </w:rPr>
        <w:t xml:space="preserve">savaitės, naujų saugumo signalų negauta. </w:t>
      </w:r>
    </w:p>
    <w:p w14:paraId="20E1A8C2" w14:textId="77777777" w:rsidR="005712BF" w:rsidRPr="00D166EA" w:rsidRDefault="005712BF" w:rsidP="005712BF">
      <w:pPr>
        <w:pStyle w:val="Default"/>
        <w:rPr>
          <w:i/>
          <w:iCs/>
          <w:sz w:val="22"/>
          <w:szCs w:val="22"/>
        </w:rPr>
      </w:pPr>
    </w:p>
    <w:p w14:paraId="0C13D11A" w14:textId="77777777" w:rsidR="005712BF" w:rsidRPr="00D166EA" w:rsidRDefault="005712BF" w:rsidP="005712BF">
      <w:pPr>
        <w:pStyle w:val="Default"/>
        <w:rPr>
          <w:sz w:val="22"/>
          <w:szCs w:val="22"/>
        </w:rPr>
      </w:pPr>
      <w:r w:rsidRPr="00591D31">
        <w:rPr>
          <w:iCs/>
          <w:sz w:val="22"/>
          <w:szCs w:val="22"/>
        </w:rPr>
        <w:t>c.</w:t>
      </w:r>
      <w:r w:rsidRPr="00D166EA">
        <w:rPr>
          <w:i/>
          <w:iCs/>
          <w:sz w:val="22"/>
          <w:szCs w:val="22"/>
        </w:rPr>
        <w:t xml:space="preserve"> </w:t>
      </w:r>
      <w:r w:rsidRPr="00591D31">
        <w:rPr>
          <w:iCs/>
          <w:sz w:val="22"/>
          <w:szCs w:val="22"/>
          <w:u w:val="single"/>
        </w:rPr>
        <w:t>Atrinktų nepageidaujamų reakcijų apibūdinimas</w:t>
      </w:r>
      <w:r w:rsidRPr="00D166EA">
        <w:rPr>
          <w:i/>
          <w:iCs/>
          <w:sz w:val="22"/>
          <w:szCs w:val="22"/>
        </w:rPr>
        <w:t xml:space="preserve"> </w:t>
      </w:r>
    </w:p>
    <w:p w14:paraId="6F4995E1" w14:textId="77777777" w:rsidR="005712BF" w:rsidRPr="00D166EA" w:rsidRDefault="005712BF" w:rsidP="005712BF">
      <w:pPr>
        <w:pStyle w:val="Default"/>
        <w:rPr>
          <w:sz w:val="22"/>
          <w:szCs w:val="22"/>
        </w:rPr>
      </w:pPr>
    </w:p>
    <w:p w14:paraId="7507C4DB" w14:textId="77777777" w:rsidR="00165665" w:rsidRDefault="005712BF" w:rsidP="005712BF">
      <w:pPr>
        <w:pStyle w:val="Default"/>
        <w:rPr>
          <w:sz w:val="22"/>
          <w:szCs w:val="22"/>
        </w:rPr>
      </w:pPr>
      <w:r w:rsidRPr="00591D31">
        <w:rPr>
          <w:i/>
          <w:sz w:val="22"/>
          <w:szCs w:val="22"/>
        </w:rPr>
        <w:t>Laboratorinių tyrimų nenormalumai</w:t>
      </w:r>
      <w:r w:rsidR="000F1F39" w:rsidRPr="00D166EA">
        <w:rPr>
          <w:sz w:val="22"/>
          <w:szCs w:val="22"/>
        </w:rPr>
        <w:t xml:space="preserve"> </w:t>
      </w:r>
    </w:p>
    <w:p w14:paraId="461809F5" w14:textId="77777777" w:rsidR="005712BF" w:rsidRPr="00D166EA" w:rsidRDefault="000F1F39" w:rsidP="005712BF">
      <w:pPr>
        <w:pStyle w:val="Default"/>
        <w:rPr>
          <w:sz w:val="22"/>
          <w:szCs w:val="22"/>
        </w:rPr>
      </w:pPr>
      <w:r w:rsidRPr="00D166EA">
        <w:rPr>
          <w:sz w:val="22"/>
          <w:szCs w:val="22"/>
        </w:rPr>
        <w:t>K</w:t>
      </w:r>
      <w:r w:rsidR="005712BF" w:rsidRPr="00D166EA">
        <w:rPr>
          <w:sz w:val="22"/>
          <w:szCs w:val="22"/>
        </w:rPr>
        <w:t>linikinių tyrimų, kuriuose dalyvavo anksčiau nukleozidų nevartoję pacientai, metu 5</w:t>
      </w:r>
      <w:r w:rsidR="00A916D0">
        <w:rPr>
          <w:sz w:val="22"/>
          <w:szCs w:val="22"/>
        </w:rPr>
        <w:t> </w:t>
      </w:r>
      <w:r w:rsidR="005712BF" w:rsidRPr="00D166EA">
        <w:rPr>
          <w:sz w:val="22"/>
          <w:szCs w:val="22"/>
        </w:rPr>
        <w:t>% pacientų nustatytas ALT aktyvumo padidėjimas,daugiau kaip 3</w:t>
      </w:r>
      <w:r w:rsidR="00A916D0">
        <w:rPr>
          <w:sz w:val="22"/>
          <w:szCs w:val="22"/>
        </w:rPr>
        <w:t> </w:t>
      </w:r>
      <w:r w:rsidR="005712BF" w:rsidRPr="00D166EA">
        <w:rPr>
          <w:sz w:val="22"/>
          <w:szCs w:val="22"/>
        </w:rPr>
        <w:t>kartus viršijantis buvusį iki gydymo aktyvumą. Mažiau kaip 1</w:t>
      </w:r>
      <w:r w:rsidR="00A916D0">
        <w:rPr>
          <w:sz w:val="22"/>
          <w:szCs w:val="22"/>
        </w:rPr>
        <w:t> </w:t>
      </w:r>
      <w:r w:rsidR="005712BF" w:rsidRPr="00D166EA">
        <w:rPr>
          <w:sz w:val="22"/>
          <w:szCs w:val="22"/>
        </w:rPr>
        <w:t>% pacientų nustatytas ALT aktyvumo padidėjimas, daugiau kaip 2</w:t>
      </w:r>
      <w:r w:rsidR="00A916D0">
        <w:rPr>
          <w:sz w:val="22"/>
          <w:szCs w:val="22"/>
        </w:rPr>
        <w:t> </w:t>
      </w:r>
      <w:r w:rsidR="005712BF" w:rsidRPr="00D166EA">
        <w:rPr>
          <w:sz w:val="22"/>
          <w:szCs w:val="22"/>
        </w:rPr>
        <w:t>kartus viršijantis buvusį iki gydymo aktyvumą ir kartu su daugiau kaip 2</w:t>
      </w:r>
      <w:r w:rsidR="00A916D0">
        <w:rPr>
          <w:sz w:val="22"/>
          <w:szCs w:val="22"/>
        </w:rPr>
        <w:t> </w:t>
      </w:r>
      <w:r w:rsidR="005712BF" w:rsidRPr="00D166EA">
        <w:rPr>
          <w:sz w:val="22"/>
          <w:szCs w:val="22"/>
        </w:rPr>
        <w:t>kartus viršijančia viršutinę normos ribą (VNR) ir buvusią iki gydymo bilirubino koncentracija. Mažiau kaip 1</w:t>
      </w:r>
      <w:r w:rsidR="001E0AE2">
        <w:rPr>
          <w:sz w:val="22"/>
          <w:szCs w:val="22"/>
        </w:rPr>
        <w:t> </w:t>
      </w:r>
      <w:r w:rsidR="005712BF" w:rsidRPr="00D166EA">
        <w:rPr>
          <w:sz w:val="22"/>
          <w:szCs w:val="22"/>
        </w:rPr>
        <w:t>% pacientų nustatyta mažesnė kaip 2,5</w:t>
      </w:r>
      <w:r w:rsidR="001E0AE2">
        <w:rPr>
          <w:sz w:val="22"/>
          <w:szCs w:val="22"/>
        </w:rPr>
        <w:t> </w:t>
      </w:r>
      <w:r w:rsidR="005712BF" w:rsidRPr="00D166EA">
        <w:rPr>
          <w:sz w:val="22"/>
          <w:szCs w:val="22"/>
        </w:rPr>
        <w:t>g/dl albumino koncentracija, 2</w:t>
      </w:r>
      <w:r w:rsidR="001E0AE2">
        <w:rPr>
          <w:sz w:val="22"/>
          <w:szCs w:val="22"/>
        </w:rPr>
        <w:t> </w:t>
      </w:r>
      <w:r w:rsidR="005712BF" w:rsidRPr="00D166EA">
        <w:rPr>
          <w:sz w:val="22"/>
          <w:szCs w:val="22"/>
        </w:rPr>
        <w:t>% – daugiau kaip 3</w:t>
      </w:r>
      <w:r w:rsidR="001E0AE2">
        <w:rPr>
          <w:sz w:val="22"/>
          <w:szCs w:val="22"/>
        </w:rPr>
        <w:t> </w:t>
      </w:r>
      <w:r w:rsidR="005712BF" w:rsidRPr="00D166EA">
        <w:rPr>
          <w:sz w:val="22"/>
          <w:szCs w:val="22"/>
        </w:rPr>
        <w:t>kartus viršijant</w:t>
      </w:r>
      <w:r w:rsidRPr="00D166EA">
        <w:rPr>
          <w:sz w:val="22"/>
          <w:szCs w:val="22"/>
        </w:rPr>
        <w:t>is</w:t>
      </w:r>
      <w:r w:rsidR="005712BF" w:rsidRPr="00D166EA">
        <w:rPr>
          <w:sz w:val="22"/>
          <w:szCs w:val="22"/>
        </w:rPr>
        <w:t xml:space="preserve"> buvus</w:t>
      </w:r>
      <w:r w:rsidRPr="00D166EA">
        <w:rPr>
          <w:sz w:val="22"/>
          <w:szCs w:val="22"/>
        </w:rPr>
        <w:t>į</w:t>
      </w:r>
      <w:r w:rsidR="005712BF" w:rsidRPr="00D166EA">
        <w:rPr>
          <w:sz w:val="22"/>
          <w:szCs w:val="22"/>
        </w:rPr>
        <w:t xml:space="preserve"> iki gydymo amilazės </w:t>
      </w:r>
      <w:r w:rsidRPr="00D166EA">
        <w:rPr>
          <w:sz w:val="22"/>
          <w:szCs w:val="22"/>
        </w:rPr>
        <w:t>aktyvumas</w:t>
      </w:r>
      <w:r w:rsidR="005712BF" w:rsidRPr="00D166EA">
        <w:rPr>
          <w:sz w:val="22"/>
          <w:szCs w:val="22"/>
        </w:rPr>
        <w:t>, 11</w:t>
      </w:r>
      <w:r w:rsidR="001E0AE2">
        <w:rPr>
          <w:sz w:val="22"/>
          <w:szCs w:val="22"/>
        </w:rPr>
        <w:t> </w:t>
      </w:r>
      <w:r w:rsidR="005712BF" w:rsidRPr="00D166EA">
        <w:rPr>
          <w:sz w:val="22"/>
          <w:szCs w:val="22"/>
        </w:rPr>
        <w:t>% – daugiau kaip 3</w:t>
      </w:r>
      <w:r w:rsidR="001E0AE2">
        <w:rPr>
          <w:sz w:val="22"/>
          <w:szCs w:val="22"/>
        </w:rPr>
        <w:t> </w:t>
      </w:r>
      <w:r w:rsidR="005712BF" w:rsidRPr="00D166EA">
        <w:rPr>
          <w:sz w:val="22"/>
          <w:szCs w:val="22"/>
        </w:rPr>
        <w:t>kartus viršijant</w:t>
      </w:r>
      <w:r w:rsidRPr="00D166EA">
        <w:rPr>
          <w:sz w:val="22"/>
          <w:szCs w:val="22"/>
        </w:rPr>
        <w:t>is</w:t>
      </w:r>
      <w:r w:rsidR="005712BF" w:rsidRPr="00D166EA">
        <w:rPr>
          <w:sz w:val="22"/>
          <w:szCs w:val="22"/>
        </w:rPr>
        <w:t xml:space="preserve"> buvus</w:t>
      </w:r>
      <w:r w:rsidRPr="00D166EA">
        <w:rPr>
          <w:sz w:val="22"/>
          <w:szCs w:val="22"/>
        </w:rPr>
        <w:t>į</w:t>
      </w:r>
      <w:r w:rsidR="005712BF" w:rsidRPr="00D166EA">
        <w:rPr>
          <w:sz w:val="22"/>
          <w:szCs w:val="22"/>
        </w:rPr>
        <w:t xml:space="preserve"> iki gydymo lipazės </w:t>
      </w:r>
      <w:r w:rsidRPr="00D166EA">
        <w:rPr>
          <w:sz w:val="22"/>
          <w:szCs w:val="22"/>
        </w:rPr>
        <w:t>aktyvumas</w:t>
      </w:r>
      <w:r w:rsidR="005712BF" w:rsidRPr="00D166EA">
        <w:rPr>
          <w:sz w:val="22"/>
          <w:szCs w:val="22"/>
        </w:rPr>
        <w:t>, mažiau kaip 1</w:t>
      </w:r>
      <w:r w:rsidR="001E0AE2">
        <w:rPr>
          <w:sz w:val="22"/>
          <w:szCs w:val="22"/>
        </w:rPr>
        <w:t> </w:t>
      </w:r>
      <w:r w:rsidR="005712BF" w:rsidRPr="00D166EA">
        <w:rPr>
          <w:sz w:val="22"/>
          <w:szCs w:val="22"/>
        </w:rPr>
        <w:t xml:space="preserve">% pacientų </w:t>
      </w:r>
      <w:r w:rsidRPr="00D166EA">
        <w:rPr>
          <w:sz w:val="22"/>
          <w:szCs w:val="22"/>
        </w:rPr>
        <w:t>nustatyta</w:t>
      </w:r>
      <w:r w:rsidR="005712BF" w:rsidRPr="00D166EA">
        <w:rPr>
          <w:sz w:val="22"/>
          <w:szCs w:val="22"/>
        </w:rPr>
        <w:t xml:space="preserve"> mažiau kaip 50000/mm</w:t>
      </w:r>
      <w:r w:rsidR="005712BF" w:rsidRPr="00D166EA">
        <w:rPr>
          <w:sz w:val="22"/>
          <w:szCs w:val="22"/>
          <w:vertAlign w:val="superscript"/>
        </w:rPr>
        <w:t>3</w:t>
      </w:r>
      <w:r w:rsidR="005712BF" w:rsidRPr="00D166EA">
        <w:rPr>
          <w:sz w:val="22"/>
          <w:szCs w:val="22"/>
        </w:rPr>
        <w:t xml:space="preserve"> trombocitų. </w:t>
      </w:r>
    </w:p>
    <w:p w14:paraId="2342D459" w14:textId="77777777" w:rsidR="000F1F39" w:rsidRPr="00D166EA" w:rsidRDefault="000F1F39" w:rsidP="005712BF">
      <w:pPr>
        <w:pStyle w:val="Default"/>
        <w:rPr>
          <w:sz w:val="22"/>
          <w:szCs w:val="22"/>
        </w:rPr>
      </w:pPr>
    </w:p>
    <w:p w14:paraId="55D913BA" w14:textId="77777777" w:rsidR="005712BF" w:rsidRPr="00D166EA" w:rsidRDefault="005712BF" w:rsidP="005712BF">
      <w:pPr>
        <w:pStyle w:val="Default"/>
        <w:rPr>
          <w:sz w:val="22"/>
          <w:szCs w:val="22"/>
        </w:rPr>
      </w:pPr>
      <w:r w:rsidRPr="00D166EA">
        <w:rPr>
          <w:sz w:val="22"/>
          <w:szCs w:val="22"/>
        </w:rPr>
        <w:lastRenderedPageBreak/>
        <w:t>Klinikinių tyrimų, kuriuose dalyvavo lamivudin</w:t>
      </w:r>
      <w:r w:rsidR="000F1F39" w:rsidRPr="00D166EA">
        <w:rPr>
          <w:sz w:val="22"/>
          <w:szCs w:val="22"/>
        </w:rPr>
        <w:t>o poveikiui nejautrūs</w:t>
      </w:r>
      <w:r w:rsidRPr="00D166EA">
        <w:rPr>
          <w:sz w:val="22"/>
          <w:szCs w:val="22"/>
        </w:rPr>
        <w:t xml:space="preserve"> pacientai, metu 4</w:t>
      </w:r>
      <w:r w:rsidR="001E0AE2">
        <w:rPr>
          <w:sz w:val="22"/>
          <w:szCs w:val="22"/>
        </w:rPr>
        <w:t> </w:t>
      </w:r>
      <w:r w:rsidRPr="00D166EA">
        <w:rPr>
          <w:sz w:val="22"/>
          <w:szCs w:val="22"/>
        </w:rPr>
        <w:t xml:space="preserve">% pacientų </w:t>
      </w:r>
      <w:r w:rsidR="000F1F39" w:rsidRPr="00D166EA">
        <w:rPr>
          <w:sz w:val="22"/>
          <w:szCs w:val="22"/>
        </w:rPr>
        <w:t>nustatytas</w:t>
      </w:r>
      <w:r w:rsidRPr="00D166EA">
        <w:rPr>
          <w:sz w:val="22"/>
          <w:szCs w:val="22"/>
        </w:rPr>
        <w:t xml:space="preserve"> daugiau kaip 3</w:t>
      </w:r>
      <w:r w:rsidR="001E0AE2">
        <w:rPr>
          <w:sz w:val="22"/>
          <w:szCs w:val="22"/>
        </w:rPr>
        <w:t> </w:t>
      </w:r>
      <w:r w:rsidRPr="00D166EA">
        <w:rPr>
          <w:sz w:val="22"/>
          <w:szCs w:val="22"/>
        </w:rPr>
        <w:t>kartus viršijant</w:t>
      </w:r>
      <w:r w:rsidR="000F1F39" w:rsidRPr="00D166EA">
        <w:rPr>
          <w:sz w:val="22"/>
          <w:szCs w:val="22"/>
        </w:rPr>
        <w:t>is</w:t>
      </w:r>
      <w:r w:rsidRPr="00D166EA">
        <w:rPr>
          <w:sz w:val="22"/>
          <w:szCs w:val="22"/>
        </w:rPr>
        <w:t xml:space="preserve"> buvus</w:t>
      </w:r>
      <w:r w:rsidR="000F1F39" w:rsidRPr="00D166EA">
        <w:rPr>
          <w:sz w:val="22"/>
          <w:szCs w:val="22"/>
        </w:rPr>
        <w:t>į</w:t>
      </w:r>
      <w:r w:rsidRPr="00D166EA">
        <w:rPr>
          <w:sz w:val="22"/>
          <w:szCs w:val="22"/>
        </w:rPr>
        <w:t xml:space="preserve"> iki gydymo ALT </w:t>
      </w:r>
      <w:r w:rsidR="000F1F39" w:rsidRPr="00D166EA">
        <w:rPr>
          <w:sz w:val="22"/>
          <w:szCs w:val="22"/>
        </w:rPr>
        <w:t>aktyvumas</w:t>
      </w:r>
      <w:r w:rsidRPr="00D166EA">
        <w:rPr>
          <w:sz w:val="22"/>
          <w:szCs w:val="22"/>
        </w:rPr>
        <w:t>. Mažiau kaip 1</w:t>
      </w:r>
      <w:r w:rsidR="001E0AE2">
        <w:rPr>
          <w:sz w:val="22"/>
          <w:szCs w:val="22"/>
        </w:rPr>
        <w:t> </w:t>
      </w:r>
      <w:r w:rsidRPr="00D166EA">
        <w:rPr>
          <w:sz w:val="22"/>
          <w:szCs w:val="22"/>
        </w:rPr>
        <w:t xml:space="preserve">% pacientų </w:t>
      </w:r>
      <w:r w:rsidR="000F1F39" w:rsidRPr="00D166EA">
        <w:rPr>
          <w:sz w:val="22"/>
          <w:szCs w:val="22"/>
        </w:rPr>
        <w:t>nustatytas</w:t>
      </w:r>
      <w:r w:rsidRPr="00D166EA">
        <w:rPr>
          <w:sz w:val="22"/>
          <w:szCs w:val="22"/>
        </w:rPr>
        <w:t xml:space="preserve"> daugiau kaip 2</w:t>
      </w:r>
      <w:r w:rsidR="001E0AE2">
        <w:rPr>
          <w:sz w:val="22"/>
          <w:szCs w:val="22"/>
        </w:rPr>
        <w:t> </w:t>
      </w:r>
      <w:r w:rsidRPr="00D166EA">
        <w:rPr>
          <w:sz w:val="22"/>
          <w:szCs w:val="22"/>
        </w:rPr>
        <w:t>kartus viršijanti</w:t>
      </w:r>
      <w:r w:rsidR="000F1F39" w:rsidRPr="00D166EA">
        <w:rPr>
          <w:sz w:val="22"/>
          <w:szCs w:val="22"/>
        </w:rPr>
        <w:t>s</w:t>
      </w:r>
      <w:r w:rsidRPr="00D166EA">
        <w:rPr>
          <w:sz w:val="22"/>
          <w:szCs w:val="22"/>
        </w:rPr>
        <w:t xml:space="preserve"> buvus</w:t>
      </w:r>
      <w:r w:rsidR="000F1F39" w:rsidRPr="00D166EA">
        <w:rPr>
          <w:sz w:val="22"/>
          <w:szCs w:val="22"/>
        </w:rPr>
        <w:t>į</w:t>
      </w:r>
      <w:r w:rsidRPr="00D166EA">
        <w:rPr>
          <w:sz w:val="22"/>
          <w:szCs w:val="22"/>
        </w:rPr>
        <w:t xml:space="preserve"> iki gydymo ALT </w:t>
      </w:r>
      <w:r w:rsidR="000F1F39" w:rsidRPr="00D166EA">
        <w:rPr>
          <w:sz w:val="22"/>
          <w:szCs w:val="22"/>
        </w:rPr>
        <w:t>aktyvumas</w:t>
      </w:r>
      <w:r w:rsidRPr="00D166EA">
        <w:rPr>
          <w:sz w:val="22"/>
          <w:szCs w:val="22"/>
        </w:rPr>
        <w:t xml:space="preserve"> kartu </w:t>
      </w:r>
      <w:r w:rsidR="000F1F39" w:rsidRPr="00D166EA">
        <w:rPr>
          <w:sz w:val="22"/>
          <w:szCs w:val="22"/>
        </w:rPr>
        <w:t>su</w:t>
      </w:r>
      <w:r w:rsidRPr="00D166EA">
        <w:rPr>
          <w:sz w:val="22"/>
          <w:szCs w:val="22"/>
        </w:rPr>
        <w:t xml:space="preserve"> daugiau kaip 2</w:t>
      </w:r>
      <w:r w:rsidR="001E0AE2">
        <w:rPr>
          <w:sz w:val="22"/>
          <w:szCs w:val="22"/>
        </w:rPr>
        <w:t> </w:t>
      </w:r>
      <w:r w:rsidRPr="00D166EA">
        <w:rPr>
          <w:sz w:val="22"/>
          <w:szCs w:val="22"/>
        </w:rPr>
        <w:t>kartus viršijan</w:t>
      </w:r>
      <w:r w:rsidR="000F1F39" w:rsidRPr="00D166EA">
        <w:rPr>
          <w:sz w:val="22"/>
          <w:szCs w:val="22"/>
        </w:rPr>
        <w:t>čia</w:t>
      </w:r>
      <w:r w:rsidRPr="00D166EA">
        <w:rPr>
          <w:sz w:val="22"/>
          <w:szCs w:val="22"/>
        </w:rPr>
        <w:t xml:space="preserve"> VNR ir buvusią iki gydymo bilirubino koncentracija. 2</w:t>
      </w:r>
      <w:r w:rsidR="001E0AE2">
        <w:rPr>
          <w:sz w:val="22"/>
          <w:szCs w:val="22"/>
        </w:rPr>
        <w:t> </w:t>
      </w:r>
      <w:r w:rsidRPr="00D166EA">
        <w:rPr>
          <w:sz w:val="22"/>
          <w:szCs w:val="22"/>
        </w:rPr>
        <w:t xml:space="preserve">% pacientų </w:t>
      </w:r>
      <w:r w:rsidR="000F1F39" w:rsidRPr="00D166EA">
        <w:rPr>
          <w:sz w:val="22"/>
          <w:szCs w:val="22"/>
        </w:rPr>
        <w:t>nustatytas</w:t>
      </w:r>
      <w:r w:rsidRPr="00D166EA">
        <w:rPr>
          <w:sz w:val="22"/>
          <w:szCs w:val="22"/>
        </w:rPr>
        <w:t xml:space="preserve"> daugiau kaip 3</w:t>
      </w:r>
      <w:r w:rsidR="001E0AE2">
        <w:rPr>
          <w:sz w:val="22"/>
          <w:szCs w:val="22"/>
        </w:rPr>
        <w:t> </w:t>
      </w:r>
      <w:r w:rsidRPr="00D166EA">
        <w:rPr>
          <w:sz w:val="22"/>
          <w:szCs w:val="22"/>
        </w:rPr>
        <w:t>kartus viršijanti</w:t>
      </w:r>
      <w:r w:rsidR="000F1F39" w:rsidRPr="00D166EA">
        <w:rPr>
          <w:sz w:val="22"/>
          <w:szCs w:val="22"/>
        </w:rPr>
        <w:t>s</w:t>
      </w:r>
      <w:r w:rsidRPr="00D166EA">
        <w:rPr>
          <w:sz w:val="22"/>
          <w:szCs w:val="22"/>
        </w:rPr>
        <w:t xml:space="preserve"> buvus</w:t>
      </w:r>
      <w:r w:rsidR="000F1F39" w:rsidRPr="00D166EA">
        <w:rPr>
          <w:sz w:val="22"/>
          <w:szCs w:val="22"/>
        </w:rPr>
        <w:t>į</w:t>
      </w:r>
      <w:r w:rsidRPr="00D166EA">
        <w:rPr>
          <w:sz w:val="22"/>
          <w:szCs w:val="22"/>
        </w:rPr>
        <w:t xml:space="preserve"> iki gydymo amilazės </w:t>
      </w:r>
      <w:r w:rsidR="000F1F39" w:rsidRPr="00D166EA">
        <w:rPr>
          <w:sz w:val="22"/>
          <w:szCs w:val="22"/>
        </w:rPr>
        <w:t>aktyvumas</w:t>
      </w:r>
      <w:r w:rsidRPr="00D166EA">
        <w:rPr>
          <w:sz w:val="22"/>
          <w:szCs w:val="22"/>
        </w:rPr>
        <w:t>, 18</w:t>
      </w:r>
      <w:r w:rsidR="001E0AE2">
        <w:rPr>
          <w:sz w:val="22"/>
          <w:szCs w:val="22"/>
        </w:rPr>
        <w:t> </w:t>
      </w:r>
      <w:r w:rsidRPr="00D166EA">
        <w:rPr>
          <w:sz w:val="22"/>
          <w:szCs w:val="22"/>
        </w:rPr>
        <w:t>% – daugiau kaip 3</w:t>
      </w:r>
      <w:r w:rsidR="001E0AE2">
        <w:rPr>
          <w:sz w:val="22"/>
          <w:szCs w:val="22"/>
        </w:rPr>
        <w:t> </w:t>
      </w:r>
      <w:r w:rsidRPr="00D166EA">
        <w:rPr>
          <w:sz w:val="22"/>
          <w:szCs w:val="22"/>
        </w:rPr>
        <w:t>kartus viršijant</w:t>
      </w:r>
      <w:r w:rsidR="000F1F39" w:rsidRPr="00D166EA">
        <w:rPr>
          <w:sz w:val="22"/>
          <w:szCs w:val="22"/>
        </w:rPr>
        <w:t>is</w:t>
      </w:r>
      <w:r w:rsidRPr="00D166EA">
        <w:rPr>
          <w:sz w:val="22"/>
          <w:szCs w:val="22"/>
        </w:rPr>
        <w:t xml:space="preserve"> buvus</w:t>
      </w:r>
      <w:r w:rsidR="000F1F39" w:rsidRPr="00D166EA">
        <w:rPr>
          <w:sz w:val="22"/>
          <w:szCs w:val="22"/>
        </w:rPr>
        <w:t>į</w:t>
      </w:r>
      <w:r w:rsidRPr="00D166EA">
        <w:rPr>
          <w:sz w:val="22"/>
          <w:szCs w:val="22"/>
        </w:rPr>
        <w:t xml:space="preserve"> iki gydymo lipazės </w:t>
      </w:r>
      <w:r w:rsidR="000F1F39" w:rsidRPr="00D166EA">
        <w:rPr>
          <w:sz w:val="22"/>
          <w:szCs w:val="22"/>
        </w:rPr>
        <w:t>aktyvumas</w:t>
      </w:r>
      <w:r w:rsidRPr="00D166EA">
        <w:rPr>
          <w:sz w:val="22"/>
          <w:szCs w:val="22"/>
        </w:rPr>
        <w:t>, mažiau kaip 1</w:t>
      </w:r>
      <w:r w:rsidR="001E0AE2">
        <w:rPr>
          <w:sz w:val="22"/>
          <w:szCs w:val="22"/>
        </w:rPr>
        <w:t> </w:t>
      </w:r>
      <w:r w:rsidRPr="00D166EA">
        <w:rPr>
          <w:sz w:val="22"/>
          <w:szCs w:val="22"/>
        </w:rPr>
        <w:t xml:space="preserve">% pacientų </w:t>
      </w:r>
      <w:r w:rsidR="000F1F39" w:rsidRPr="00D166EA">
        <w:rPr>
          <w:sz w:val="22"/>
          <w:szCs w:val="22"/>
        </w:rPr>
        <w:t>nustatyta</w:t>
      </w:r>
      <w:r w:rsidRPr="00D166EA">
        <w:rPr>
          <w:sz w:val="22"/>
          <w:szCs w:val="22"/>
        </w:rPr>
        <w:t xml:space="preserve"> mažiau kaip 50000/mm</w:t>
      </w:r>
      <w:r w:rsidRPr="00D166EA">
        <w:rPr>
          <w:sz w:val="22"/>
          <w:szCs w:val="22"/>
          <w:vertAlign w:val="superscript"/>
        </w:rPr>
        <w:t>3</w:t>
      </w:r>
      <w:r w:rsidRPr="00D166EA">
        <w:rPr>
          <w:sz w:val="22"/>
          <w:szCs w:val="22"/>
        </w:rPr>
        <w:t xml:space="preserve"> trombocitų. </w:t>
      </w:r>
    </w:p>
    <w:p w14:paraId="03D6A5A9" w14:textId="77777777" w:rsidR="000F1F39" w:rsidRPr="00D166EA" w:rsidRDefault="000F1F39" w:rsidP="005712BF">
      <w:pPr>
        <w:pStyle w:val="Default"/>
        <w:rPr>
          <w:sz w:val="22"/>
          <w:szCs w:val="22"/>
        </w:rPr>
      </w:pPr>
    </w:p>
    <w:p w14:paraId="5C9DE4C3" w14:textId="77777777" w:rsidR="00165665" w:rsidRDefault="005712BF" w:rsidP="005712BF">
      <w:pPr>
        <w:pStyle w:val="Default"/>
        <w:rPr>
          <w:sz w:val="22"/>
          <w:szCs w:val="22"/>
        </w:rPr>
      </w:pPr>
      <w:r w:rsidRPr="00591D31">
        <w:rPr>
          <w:i/>
          <w:sz w:val="22"/>
          <w:szCs w:val="22"/>
        </w:rPr>
        <w:t>Paūmėjimai gydymo metu</w:t>
      </w:r>
      <w:r w:rsidRPr="00D166EA">
        <w:rPr>
          <w:sz w:val="22"/>
          <w:szCs w:val="22"/>
        </w:rPr>
        <w:t xml:space="preserve"> </w:t>
      </w:r>
    </w:p>
    <w:p w14:paraId="305DF8AA" w14:textId="77777777" w:rsidR="005712BF" w:rsidRPr="00D166EA" w:rsidRDefault="005712BF" w:rsidP="005712BF">
      <w:pPr>
        <w:pStyle w:val="Default"/>
        <w:rPr>
          <w:sz w:val="22"/>
          <w:szCs w:val="22"/>
        </w:rPr>
      </w:pPr>
      <w:r w:rsidRPr="00D166EA">
        <w:rPr>
          <w:sz w:val="22"/>
          <w:szCs w:val="22"/>
        </w:rPr>
        <w:t xml:space="preserve">Atliekant tyrimus su nukleozidų nevartojusiais pacientais, ALT </w:t>
      </w:r>
      <w:r w:rsidR="000F1F39" w:rsidRPr="00D166EA">
        <w:rPr>
          <w:sz w:val="22"/>
          <w:szCs w:val="22"/>
        </w:rPr>
        <w:t>aktyvumas</w:t>
      </w:r>
      <w:r w:rsidRPr="00D166EA">
        <w:rPr>
          <w:sz w:val="22"/>
          <w:szCs w:val="22"/>
        </w:rPr>
        <w:t>, daugiau kaip 10</w:t>
      </w:r>
      <w:r w:rsidR="001E0AE2">
        <w:rPr>
          <w:sz w:val="22"/>
          <w:szCs w:val="22"/>
        </w:rPr>
        <w:t> </w:t>
      </w:r>
      <w:r w:rsidRPr="00D166EA">
        <w:rPr>
          <w:sz w:val="22"/>
          <w:szCs w:val="22"/>
        </w:rPr>
        <w:t>kartų viršijanti</w:t>
      </w:r>
      <w:r w:rsidR="000F1F39" w:rsidRPr="00D166EA">
        <w:rPr>
          <w:sz w:val="22"/>
          <w:szCs w:val="22"/>
        </w:rPr>
        <w:t>s</w:t>
      </w:r>
      <w:r w:rsidRPr="00D166EA">
        <w:rPr>
          <w:sz w:val="22"/>
          <w:szCs w:val="22"/>
        </w:rPr>
        <w:t xml:space="preserve"> VNR ir daugiau kaip 2</w:t>
      </w:r>
      <w:r w:rsidR="001E0AE2">
        <w:rPr>
          <w:sz w:val="22"/>
          <w:szCs w:val="22"/>
        </w:rPr>
        <w:t> </w:t>
      </w:r>
      <w:r w:rsidRPr="00D166EA">
        <w:rPr>
          <w:sz w:val="22"/>
          <w:szCs w:val="22"/>
        </w:rPr>
        <w:t>kartus viršijanti</w:t>
      </w:r>
      <w:r w:rsidR="000F1F39" w:rsidRPr="00D166EA">
        <w:rPr>
          <w:sz w:val="22"/>
          <w:szCs w:val="22"/>
        </w:rPr>
        <w:t>s</w:t>
      </w:r>
      <w:r w:rsidRPr="00D166EA">
        <w:rPr>
          <w:sz w:val="22"/>
          <w:szCs w:val="22"/>
        </w:rPr>
        <w:t xml:space="preserve"> buvus</w:t>
      </w:r>
      <w:r w:rsidR="000F1F39" w:rsidRPr="00D166EA">
        <w:rPr>
          <w:sz w:val="22"/>
          <w:szCs w:val="22"/>
        </w:rPr>
        <w:t>į</w:t>
      </w:r>
      <w:r w:rsidRPr="00D166EA">
        <w:rPr>
          <w:sz w:val="22"/>
          <w:szCs w:val="22"/>
        </w:rPr>
        <w:t xml:space="preserve"> iki gydymo, </w:t>
      </w:r>
      <w:r w:rsidR="000F1F39" w:rsidRPr="00D166EA">
        <w:rPr>
          <w:sz w:val="22"/>
          <w:szCs w:val="22"/>
        </w:rPr>
        <w:t>nustatytas</w:t>
      </w:r>
      <w:r w:rsidRPr="00D166EA">
        <w:rPr>
          <w:sz w:val="22"/>
          <w:szCs w:val="22"/>
        </w:rPr>
        <w:t xml:space="preserve"> 2</w:t>
      </w:r>
      <w:r w:rsidR="001E0AE2">
        <w:rPr>
          <w:sz w:val="22"/>
          <w:szCs w:val="22"/>
        </w:rPr>
        <w:t> </w:t>
      </w:r>
      <w:r w:rsidRPr="00D166EA">
        <w:rPr>
          <w:sz w:val="22"/>
          <w:szCs w:val="22"/>
        </w:rPr>
        <w:t>% entekavir</w:t>
      </w:r>
      <w:r w:rsidR="000F1F39" w:rsidRPr="00D166EA">
        <w:rPr>
          <w:sz w:val="22"/>
          <w:szCs w:val="22"/>
        </w:rPr>
        <w:t>o</w:t>
      </w:r>
      <w:r w:rsidRPr="00D166EA">
        <w:rPr>
          <w:sz w:val="22"/>
          <w:szCs w:val="22"/>
        </w:rPr>
        <w:t xml:space="preserve"> ir 4</w:t>
      </w:r>
      <w:r w:rsidR="001E0AE2">
        <w:rPr>
          <w:sz w:val="22"/>
          <w:szCs w:val="22"/>
        </w:rPr>
        <w:t> </w:t>
      </w:r>
      <w:r w:rsidRPr="00D166EA">
        <w:rPr>
          <w:sz w:val="22"/>
          <w:szCs w:val="22"/>
        </w:rPr>
        <w:t>% lamivudin</w:t>
      </w:r>
      <w:r w:rsidR="000F1F39" w:rsidRPr="00D166EA">
        <w:rPr>
          <w:sz w:val="22"/>
          <w:szCs w:val="22"/>
        </w:rPr>
        <w:t>o</w:t>
      </w:r>
      <w:r w:rsidRPr="00D166EA">
        <w:rPr>
          <w:sz w:val="22"/>
          <w:szCs w:val="22"/>
        </w:rPr>
        <w:t xml:space="preserve"> vartojančių pacientų, o atliekant tyrimus su lamivudin</w:t>
      </w:r>
      <w:r w:rsidR="000F1F39" w:rsidRPr="00D166EA">
        <w:rPr>
          <w:sz w:val="22"/>
          <w:szCs w:val="22"/>
        </w:rPr>
        <w:t>o poveikiui nejautriais</w:t>
      </w:r>
      <w:r w:rsidRPr="00D166EA">
        <w:rPr>
          <w:sz w:val="22"/>
          <w:szCs w:val="22"/>
        </w:rPr>
        <w:t xml:space="preserve"> pacientais, – atitinkamai 2</w:t>
      </w:r>
      <w:r w:rsidR="001E0AE2">
        <w:rPr>
          <w:sz w:val="22"/>
          <w:szCs w:val="22"/>
        </w:rPr>
        <w:t> </w:t>
      </w:r>
      <w:r w:rsidRPr="00D166EA">
        <w:rPr>
          <w:sz w:val="22"/>
          <w:szCs w:val="22"/>
        </w:rPr>
        <w:t>% ir 11</w:t>
      </w:r>
      <w:r w:rsidR="001E0AE2">
        <w:rPr>
          <w:sz w:val="22"/>
          <w:szCs w:val="22"/>
        </w:rPr>
        <w:t> </w:t>
      </w:r>
      <w:r w:rsidRPr="00D166EA">
        <w:rPr>
          <w:sz w:val="22"/>
          <w:szCs w:val="22"/>
        </w:rPr>
        <w:t xml:space="preserve">%. ALT </w:t>
      </w:r>
      <w:r w:rsidR="000F1F39" w:rsidRPr="00D166EA">
        <w:rPr>
          <w:sz w:val="22"/>
          <w:szCs w:val="22"/>
        </w:rPr>
        <w:t>aktyvumo</w:t>
      </w:r>
      <w:r w:rsidRPr="00D166EA">
        <w:rPr>
          <w:sz w:val="22"/>
          <w:szCs w:val="22"/>
        </w:rPr>
        <w:t xml:space="preserve"> padidėjimo pradėjus vartoti entekavirą pasireiškimo pradžios mediana buvo 4-5</w:t>
      </w:r>
      <w:r w:rsidR="001E0AE2">
        <w:rPr>
          <w:sz w:val="22"/>
          <w:szCs w:val="22"/>
        </w:rPr>
        <w:t> </w:t>
      </w:r>
      <w:r w:rsidRPr="00D166EA">
        <w:rPr>
          <w:sz w:val="22"/>
          <w:szCs w:val="22"/>
        </w:rPr>
        <w:t>savaitės. Tęsiant gydymą šis padidėjimas dažniausiai praeidavo. Daugum</w:t>
      </w:r>
      <w:r w:rsidR="008910A7" w:rsidRPr="00D166EA">
        <w:rPr>
          <w:sz w:val="22"/>
          <w:szCs w:val="22"/>
        </w:rPr>
        <w:t>a padidėjimo atvejų buvo susiję su</w:t>
      </w:r>
      <w:r w:rsidR="008B5A07">
        <w:rPr>
          <w:sz w:val="22"/>
          <w:szCs w:val="22"/>
        </w:rPr>
        <w:t xml:space="preserve"> </w:t>
      </w:r>
      <w:r w:rsidR="008910A7" w:rsidRPr="00D166EA">
        <w:rPr>
          <w:sz w:val="22"/>
          <w:szCs w:val="22"/>
        </w:rPr>
        <w:t>virusų kiekio sumažėjimu ≥</w:t>
      </w:r>
      <w:r w:rsidR="001E0AE2">
        <w:rPr>
          <w:sz w:val="22"/>
          <w:szCs w:val="22"/>
        </w:rPr>
        <w:t> </w:t>
      </w:r>
      <w:r w:rsidR="008910A7" w:rsidRPr="00D166EA">
        <w:rPr>
          <w:sz w:val="22"/>
          <w:szCs w:val="22"/>
        </w:rPr>
        <w:t>2</w:t>
      </w:r>
      <w:r w:rsidR="001E0AE2">
        <w:rPr>
          <w:sz w:val="22"/>
          <w:szCs w:val="22"/>
        </w:rPr>
        <w:t> </w:t>
      </w:r>
      <w:r w:rsidR="008910A7" w:rsidRPr="00D166EA">
        <w:rPr>
          <w:sz w:val="22"/>
          <w:szCs w:val="22"/>
        </w:rPr>
        <w:t>log</w:t>
      </w:r>
      <w:r w:rsidR="008910A7" w:rsidRPr="00D166EA">
        <w:rPr>
          <w:sz w:val="22"/>
          <w:szCs w:val="22"/>
          <w:vertAlign w:val="subscript"/>
        </w:rPr>
        <w:t>10</w:t>
      </w:r>
      <w:r w:rsidR="008910A7" w:rsidRPr="00D166EA">
        <w:rPr>
          <w:sz w:val="22"/>
          <w:szCs w:val="22"/>
        </w:rPr>
        <w:t>/ml, kuris atsirasdavo prieš</w:t>
      </w:r>
      <w:r w:rsidRPr="00D166EA">
        <w:rPr>
          <w:sz w:val="22"/>
          <w:szCs w:val="22"/>
        </w:rPr>
        <w:t xml:space="preserve"> ALT </w:t>
      </w:r>
      <w:r w:rsidR="000F1F39" w:rsidRPr="00D166EA">
        <w:rPr>
          <w:sz w:val="22"/>
          <w:szCs w:val="22"/>
        </w:rPr>
        <w:t>aktyvum</w:t>
      </w:r>
      <w:r w:rsidR="008910A7" w:rsidRPr="00D166EA">
        <w:rPr>
          <w:sz w:val="22"/>
          <w:szCs w:val="22"/>
        </w:rPr>
        <w:t>o padidėjimą arba kartu su juo</w:t>
      </w:r>
      <w:r w:rsidRPr="00D166EA">
        <w:rPr>
          <w:sz w:val="22"/>
          <w:szCs w:val="22"/>
        </w:rPr>
        <w:t>. Gydymo metu rekomenduojama periodiškai ti</w:t>
      </w:r>
      <w:r w:rsidR="000F1F39" w:rsidRPr="00D166EA">
        <w:rPr>
          <w:sz w:val="22"/>
          <w:szCs w:val="22"/>
        </w:rPr>
        <w:t>krinti</w:t>
      </w:r>
      <w:r w:rsidR="00965F99">
        <w:rPr>
          <w:sz w:val="22"/>
          <w:szCs w:val="22"/>
        </w:rPr>
        <w:t xml:space="preserve"> </w:t>
      </w:r>
      <w:r w:rsidR="000F1F39" w:rsidRPr="00D166EA">
        <w:rPr>
          <w:sz w:val="22"/>
          <w:szCs w:val="22"/>
        </w:rPr>
        <w:t>kepenų funkciją</w:t>
      </w:r>
      <w:r w:rsidR="008B5A07">
        <w:rPr>
          <w:sz w:val="22"/>
          <w:szCs w:val="22"/>
        </w:rPr>
        <w:t>.</w:t>
      </w:r>
    </w:p>
    <w:p w14:paraId="201953D9" w14:textId="77777777" w:rsidR="008910A7" w:rsidRPr="00D166EA" w:rsidRDefault="008910A7" w:rsidP="005712BF">
      <w:pPr>
        <w:rPr>
          <w:szCs w:val="22"/>
        </w:rPr>
      </w:pPr>
    </w:p>
    <w:p w14:paraId="06B26741" w14:textId="77777777" w:rsidR="00965F99" w:rsidRDefault="005712BF" w:rsidP="000306DE">
      <w:pPr>
        <w:pStyle w:val="Default"/>
        <w:rPr>
          <w:sz w:val="22"/>
          <w:szCs w:val="22"/>
        </w:rPr>
      </w:pPr>
      <w:r w:rsidRPr="00591D31">
        <w:rPr>
          <w:i/>
          <w:sz w:val="22"/>
          <w:szCs w:val="22"/>
        </w:rPr>
        <w:t>Paūmėjimai baigus gydymą</w:t>
      </w:r>
      <w:r w:rsidRPr="00D166EA">
        <w:rPr>
          <w:sz w:val="22"/>
          <w:szCs w:val="22"/>
        </w:rPr>
        <w:t xml:space="preserve"> </w:t>
      </w:r>
    </w:p>
    <w:p w14:paraId="052FDDAB" w14:textId="77777777" w:rsidR="000306DE" w:rsidRPr="00D166EA" w:rsidRDefault="000306DE" w:rsidP="000306DE">
      <w:pPr>
        <w:pStyle w:val="Default"/>
        <w:rPr>
          <w:sz w:val="22"/>
          <w:szCs w:val="22"/>
        </w:rPr>
      </w:pPr>
      <w:r w:rsidRPr="00D166EA">
        <w:rPr>
          <w:sz w:val="22"/>
          <w:szCs w:val="22"/>
        </w:rPr>
        <w:t>Gauta pranešimų apie sunkius</w:t>
      </w:r>
      <w:r w:rsidR="005712BF" w:rsidRPr="00D166EA">
        <w:rPr>
          <w:sz w:val="22"/>
          <w:szCs w:val="22"/>
        </w:rPr>
        <w:t xml:space="preserve"> hepatito paūmėjim</w:t>
      </w:r>
      <w:r w:rsidRPr="00D166EA">
        <w:rPr>
          <w:sz w:val="22"/>
          <w:szCs w:val="22"/>
        </w:rPr>
        <w:t>us</w:t>
      </w:r>
      <w:r w:rsidR="005712BF" w:rsidRPr="00D166EA">
        <w:rPr>
          <w:sz w:val="22"/>
          <w:szCs w:val="22"/>
        </w:rPr>
        <w:t xml:space="preserve"> baigus </w:t>
      </w:r>
      <w:r w:rsidRPr="00D166EA">
        <w:rPr>
          <w:sz w:val="22"/>
          <w:szCs w:val="22"/>
        </w:rPr>
        <w:t xml:space="preserve">gydymą, įskaitant gydymą entekaviru, </w:t>
      </w:r>
      <w:r w:rsidR="005712BF" w:rsidRPr="00D166EA">
        <w:rPr>
          <w:sz w:val="22"/>
          <w:szCs w:val="22"/>
        </w:rPr>
        <w:t xml:space="preserve">nuo hepatito B viruso (žr. 4.4 skyrių). </w:t>
      </w:r>
      <w:r w:rsidRPr="00D166EA">
        <w:rPr>
          <w:sz w:val="22"/>
          <w:szCs w:val="22"/>
        </w:rPr>
        <w:t>T</w:t>
      </w:r>
      <w:r w:rsidR="005712BF" w:rsidRPr="00D166EA">
        <w:rPr>
          <w:sz w:val="22"/>
          <w:szCs w:val="22"/>
        </w:rPr>
        <w:t>yrim</w:t>
      </w:r>
      <w:r w:rsidRPr="00D166EA">
        <w:rPr>
          <w:sz w:val="22"/>
          <w:szCs w:val="22"/>
        </w:rPr>
        <w:t>ų</w:t>
      </w:r>
      <w:r w:rsidR="005712BF" w:rsidRPr="00D166EA">
        <w:rPr>
          <w:sz w:val="22"/>
          <w:szCs w:val="22"/>
        </w:rPr>
        <w:t xml:space="preserve"> su nukleozidų nevartojusiais pacientais</w:t>
      </w:r>
      <w:r w:rsidRPr="00D166EA">
        <w:rPr>
          <w:sz w:val="22"/>
          <w:szCs w:val="22"/>
        </w:rPr>
        <w:t xml:space="preserve"> duomenimis,</w:t>
      </w:r>
      <w:r w:rsidR="005712BF" w:rsidRPr="00D166EA">
        <w:rPr>
          <w:sz w:val="22"/>
          <w:szCs w:val="22"/>
        </w:rPr>
        <w:t xml:space="preserve"> 6</w:t>
      </w:r>
      <w:r w:rsidR="001E0AE2">
        <w:rPr>
          <w:sz w:val="22"/>
          <w:szCs w:val="22"/>
        </w:rPr>
        <w:t> </w:t>
      </w:r>
      <w:r w:rsidR="005712BF" w:rsidRPr="00D166EA">
        <w:rPr>
          <w:sz w:val="22"/>
          <w:szCs w:val="22"/>
        </w:rPr>
        <w:t>% entekavir</w:t>
      </w:r>
      <w:r w:rsidRPr="00D166EA">
        <w:rPr>
          <w:sz w:val="22"/>
          <w:szCs w:val="22"/>
        </w:rPr>
        <w:t>o</w:t>
      </w:r>
      <w:r w:rsidR="005712BF" w:rsidRPr="00D166EA">
        <w:rPr>
          <w:sz w:val="22"/>
          <w:szCs w:val="22"/>
        </w:rPr>
        <w:t xml:space="preserve"> vartojusių ir 10</w:t>
      </w:r>
      <w:r w:rsidR="001E0AE2">
        <w:rPr>
          <w:sz w:val="22"/>
          <w:szCs w:val="22"/>
        </w:rPr>
        <w:t> </w:t>
      </w:r>
      <w:r w:rsidR="005712BF" w:rsidRPr="00D166EA">
        <w:rPr>
          <w:sz w:val="22"/>
          <w:szCs w:val="22"/>
        </w:rPr>
        <w:t>% lamivudin</w:t>
      </w:r>
      <w:r w:rsidRPr="00D166EA">
        <w:rPr>
          <w:sz w:val="22"/>
          <w:szCs w:val="22"/>
        </w:rPr>
        <w:t>o</w:t>
      </w:r>
      <w:r w:rsidR="005712BF" w:rsidRPr="00D166EA">
        <w:rPr>
          <w:sz w:val="22"/>
          <w:szCs w:val="22"/>
        </w:rPr>
        <w:t xml:space="preserve"> vartojusių pacientų stebėjimo po gydymo metu </w:t>
      </w:r>
      <w:r w:rsidRPr="00D166EA">
        <w:rPr>
          <w:sz w:val="22"/>
          <w:szCs w:val="22"/>
        </w:rPr>
        <w:t xml:space="preserve">nustatytas </w:t>
      </w:r>
      <w:r w:rsidR="005712BF" w:rsidRPr="00D166EA">
        <w:rPr>
          <w:sz w:val="22"/>
          <w:szCs w:val="22"/>
        </w:rPr>
        <w:t xml:space="preserve">ALT </w:t>
      </w:r>
      <w:r w:rsidRPr="00D166EA">
        <w:rPr>
          <w:sz w:val="22"/>
          <w:szCs w:val="22"/>
        </w:rPr>
        <w:t>aktyvumas</w:t>
      </w:r>
      <w:r w:rsidR="005712BF" w:rsidRPr="00D166EA">
        <w:rPr>
          <w:sz w:val="22"/>
          <w:szCs w:val="22"/>
        </w:rPr>
        <w:t>, daugiau kaip 10</w:t>
      </w:r>
      <w:r w:rsidR="001E0AE2">
        <w:rPr>
          <w:sz w:val="22"/>
          <w:szCs w:val="22"/>
        </w:rPr>
        <w:t> </w:t>
      </w:r>
      <w:r w:rsidR="005712BF" w:rsidRPr="00D166EA">
        <w:rPr>
          <w:sz w:val="22"/>
          <w:szCs w:val="22"/>
        </w:rPr>
        <w:t>kartų viršijanti</w:t>
      </w:r>
      <w:r w:rsidRPr="00D166EA">
        <w:rPr>
          <w:sz w:val="22"/>
          <w:szCs w:val="22"/>
        </w:rPr>
        <w:t>s</w:t>
      </w:r>
      <w:r w:rsidR="005712BF" w:rsidRPr="00D166EA">
        <w:rPr>
          <w:sz w:val="22"/>
          <w:szCs w:val="22"/>
        </w:rPr>
        <w:t xml:space="preserve"> VNR ir daugiau kaip 2</w:t>
      </w:r>
      <w:r w:rsidR="001E0AE2">
        <w:rPr>
          <w:sz w:val="22"/>
          <w:szCs w:val="22"/>
        </w:rPr>
        <w:t> </w:t>
      </w:r>
      <w:r w:rsidR="005712BF" w:rsidRPr="00D166EA">
        <w:rPr>
          <w:sz w:val="22"/>
          <w:szCs w:val="22"/>
        </w:rPr>
        <w:t>kartus viršijanti</w:t>
      </w:r>
      <w:r w:rsidRPr="00D166EA">
        <w:rPr>
          <w:sz w:val="22"/>
          <w:szCs w:val="22"/>
        </w:rPr>
        <w:t>s</w:t>
      </w:r>
      <w:r w:rsidR="005712BF" w:rsidRPr="00D166EA">
        <w:rPr>
          <w:sz w:val="22"/>
          <w:szCs w:val="22"/>
        </w:rPr>
        <w:t xml:space="preserve"> referentinę (t.y. minimalią buvusią iki gydymo arba </w:t>
      </w:r>
      <w:r w:rsidRPr="00D166EA">
        <w:rPr>
          <w:sz w:val="22"/>
          <w:szCs w:val="22"/>
        </w:rPr>
        <w:t>paskutin</w:t>
      </w:r>
      <w:r w:rsidR="00D3711A">
        <w:rPr>
          <w:sz w:val="22"/>
          <w:szCs w:val="22"/>
        </w:rPr>
        <w:t>ę</w:t>
      </w:r>
      <w:r w:rsidR="00965F99">
        <w:rPr>
          <w:sz w:val="22"/>
          <w:szCs w:val="22"/>
        </w:rPr>
        <w:t xml:space="preserve"> </w:t>
      </w:r>
      <w:r w:rsidRPr="00D166EA">
        <w:rPr>
          <w:sz w:val="22"/>
          <w:szCs w:val="22"/>
        </w:rPr>
        <w:t>nustatytą dozavimo pabaigoje</w:t>
      </w:r>
      <w:r w:rsidR="005712BF" w:rsidRPr="00D166EA">
        <w:rPr>
          <w:sz w:val="22"/>
          <w:szCs w:val="22"/>
        </w:rPr>
        <w:t xml:space="preserve">). Entekaviru gydytiems anksčiau nukleozidų nevartojusiems pacientams laikotarpio, po kurio padidėdavo ALT </w:t>
      </w:r>
      <w:r w:rsidRPr="00D166EA">
        <w:rPr>
          <w:sz w:val="22"/>
          <w:szCs w:val="22"/>
        </w:rPr>
        <w:t>aktyvumas baigus gydymą, mediana buvo 23-24</w:t>
      </w:r>
      <w:r w:rsidR="001E0AE2">
        <w:rPr>
          <w:sz w:val="22"/>
          <w:szCs w:val="22"/>
        </w:rPr>
        <w:t> </w:t>
      </w:r>
      <w:r w:rsidRPr="00D166EA">
        <w:rPr>
          <w:sz w:val="22"/>
          <w:szCs w:val="22"/>
        </w:rPr>
        <w:t>savaitės. 86</w:t>
      </w:r>
      <w:r w:rsidR="001E0AE2">
        <w:rPr>
          <w:sz w:val="22"/>
          <w:szCs w:val="22"/>
        </w:rPr>
        <w:t> </w:t>
      </w:r>
      <w:r w:rsidRPr="00D166EA">
        <w:rPr>
          <w:sz w:val="22"/>
          <w:szCs w:val="22"/>
        </w:rPr>
        <w:t>% (24/28) ALT aktyvumo padidėjimų nustatyta HBeAg neigiamiems pacientams. Atliekant tyrimus su lamivudino poveikiui nejautriais pacientais, kurių po gydymo toliau stebėta nedaug, ALT aktyvumo padidėjimo atvejų nenustatyta (jų nustatyta 11</w:t>
      </w:r>
      <w:r w:rsidR="001E0AE2">
        <w:rPr>
          <w:sz w:val="22"/>
          <w:szCs w:val="22"/>
        </w:rPr>
        <w:t> </w:t>
      </w:r>
      <w:r w:rsidRPr="00D166EA">
        <w:rPr>
          <w:sz w:val="22"/>
          <w:szCs w:val="22"/>
        </w:rPr>
        <w:t xml:space="preserve">% entekaviro baigusių vartoti pacientų). </w:t>
      </w:r>
    </w:p>
    <w:p w14:paraId="18578D50" w14:textId="77777777" w:rsidR="000306DE" w:rsidRPr="00D166EA" w:rsidRDefault="000306DE" w:rsidP="000306DE">
      <w:pPr>
        <w:pStyle w:val="Default"/>
        <w:rPr>
          <w:sz w:val="22"/>
          <w:szCs w:val="22"/>
        </w:rPr>
      </w:pPr>
    </w:p>
    <w:p w14:paraId="71D505A2" w14:textId="77777777" w:rsidR="000306DE" w:rsidRPr="00D166EA" w:rsidRDefault="000306DE" w:rsidP="000306DE">
      <w:pPr>
        <w:pStyle w:val="Default"/>
        <w:rPr>
          <w:sz w:val="22"/>
          <w:szCs w:val="22"/>
        </w:rPr>
      </w:pPr>
      <w:r w:rsidRPr="00D166EA">
        <w:rPr>
          <w:sz w:val="22"/>
          <w:szCs w:val="22"/>
        </w:rPr>
        <w:t>Klinikinių tyrimų metu entekaviro vartojimas būdavo nutraukiamas pasireiškus numatytam pageidaujamam atsakui. Gydymą baigus, kol tokio atsako nepasireiškė, ALT aktyvumo po gydymo padidėjimo dažnumas gali būti didesn</w:t>
      </w:r>
      <w:r w:rsidR="008B5A07">
        <w:rPr>
          <w:sz w:val="22"/>
          <w:szCs w:val="22"/>
        </w:rPr>
        <w:t>i</w:t>
      </w:r>
      <w:r w:rsidRPr="00D166EA">
        <w:rPr>
          <w:sz w:val="22"/>
          <w:szCs w:val="22"/>
        </w:rPr>
        <w:t>s</w:t>
      </w:r>
      <w:r w:rsidRPr="00D166EA">
        <w:rPr>
          <w:i/>
          <w:iCs/>
          <w:sz w:val="22"/>
          <w:szCs w:val="22"/>
        </w:rPr>
        <w:t xml:space="preserve">. </w:t>
      </w:r>
    </w:p>
    <w:p w14:paraId="1446144F" w14:textId="77777777" w:rsidR="000306DE" w:rsidRPr="00D166EA" w:rsidRDefault="000306DE" w:rsidP="000306DE">
      <w:pPr>
        <w:pStyle w:val="Default"/>
        <w:rPr>
          <w:i/>
          <w:iCs/>
          <w:sz w:val="22"/>
          <w:szCs w:val="22"/>
        </w:rPr>
      </w:pPr>
    </w:p>
    <w:p w14:paraId="5F85E94C" w14:textId="77777777" w:rsidR="000306DE" w:rsidRPr="00591D31" w:rsidRDefault="000306DE" w:rsidP="000306DE">
      <w:pPr>
        <w:pStyle w:val="Default"/>
        <w:rPr>
          <w:sz w:val="22"/>
          <w:szCs w:val="22"/>
          <w:u w:val="single"/>
        </w:rPr>
      </w:pPr>
      <w:r w:rsidRPr="00591D31">
        <w:rPr>
          <w:iCs/>
          <w:sz w:val="22"/>
          <w:szCs w:val="22"/>
        </w:rPr>
        <w:t>d.</w:t>
      </w:r>
      <w:r w:rsidRPr="00D166EA">
        <w:rPr>
          <w:i/>
          <w:iCs/>
          <w:sz w:val="22"/>
          <w:szCs w:val="22"/>
        </w:rPr>
        <w:t xml:space="preserve"> </w:t>
      </w:r>
      <w:r w:rsidRPr="00591D31">
        <w:rPr>
          <w:iCs/>
          <w:sz w:val="22"/>
          <w:szCs w:val="22"/>
          <w:u w:val="single"/>
        </w:rPr>
        <w:t xml:space="preserve">Vaikų populiacija </w:t>
      </w:r>
    </w:p>
    <w:p w14:paraId="2F53F734" w14:textId="77777777" w:rsidR="000306DE" w:rsidRPr="00D166EA" w:rsidRDefault="000306DE" w:rsidP="000306DE">
      <w:pPr>
        <w:pStyle w:val="Default"/>
        <w:rPr>
          <w:sz w:val="22"/>
          <w:szCs w:val="22"/>
        </w:rPr>
      </w:pPr>
    </w:p>
    <w:p w14:paraId="433F63A0" w14:textId="77777777" w:rsidR="00FE2806" w:rsidRDefault="000306DE" w:rsidP="000306DE">
      <w:pPr>
        <w:pStyle w:val="Default"/>
        <w:rPr>
          <w:sz w:val="22"/>
          <w:szCs w:val="22"/>
        </w:rPr>
      </w:pPr>
      <w:r w:rsidRPr="00D166EA">
        <w:rPr>
          <w:sz w:val="22"/>
          <w:szCs w:val="22"/>
        </w:rPr>
        <w:t>Entekaviro saugumas vaikams nuo 2 iki &lt;</w:t>
      </w:r>
      <w:r w:rsidR="001E0AE2">
        <w:rPr>
          <w:sz w:val="22"/>
          <w:szCs w:val="22"/>
        </w:rPr>
        <w:t> </w:t>
      </w:r>
      <w:r w:rsidRPr="00D166EA">
        <w:rPr>
          <w:sz w:val="22"/>
          <w:szCs w:val="22"/>
        </w:rPr>
        <w:t>18 metų</w:t>
      </w:r>
      <w:r w:rsidR="008B5A07">
        <w:rPr>
          <w:sz w:val="22"/>
          <w:szCs w:val="22"/>
        </w:rPr>
        <w:t xml:space="preserve"> </w:t>
      </w:r>
      <w:r w:rsidRPr="00D166EA">
        <w:rPr>
          <w:sz w:val="22"/>
          <w:szCs w:val="22"/>
        </w:rPr>
        <w:t xml:space="preserve">amžiaus pagrįstas dviem  lėtinės HBV infekcijos gydymo klinikiniais tyrimais (vienu II fazės farmakokinetikos tyrimu Nr. 028 ir </w:t>
      </w:r>
      <w:r w:rsidR="005C58A3" w:rsidRPr="00D166EA">
        <w:rPr>
          <w:sz w:val="22"/>
          <w:szCs w:val="22"/>
        </w:rPr>
        <w:t>vienu III</w:t>
      </w:r>
      <w:r w:rsidRPr="00D166EA">
        <w:rPr>
          <w:sz w:val="22"/>
          <w:szCs w:val="22"/>
        </w:rPr>
        <w:t xml:space="preserve"> fazės tyrimu Nr. 189). Jų metu gauti 195 HBeAg teigiamų </w:t>
      </w:r>
      <w:r w:rsidR="005C58A3" w:rsidRPr="00D166EA">
        <w:rPr>
          <w:sz w:val="22"/>
          <w:szCs w:val="22"/>
        </w:rPr>
        <w:t>asmenų</w:t>
      </w:r>
      <w:r w:rsidRPr="00D166EA">
        <w:rPr>
          <w:sz w:val="22"/>
          <w:szCs w:val="22"/>
        </w:rPr>
        <w:t>, anksčiau nevartojusių nukleozidų, gydymo entekaviru, kurio trukmės mediana 99</w:t>
      </w:r>
      <w:r w:rsidR="001E0AE2">
        <w:rPr>
          <w:sz w:val="22"/>
          <w:szCs w:val="22"/>
        </w:rPr>
        <w:t> </w:t>
      </w:r>
      <w:r w:rsidRPr="00D166EA">
        <w:rPr>
          <w:sz w:val="22"/>
          <w:szCs w:val="22"/>
        </w:rPr>
        <w:t xml:space="preserve">savaitės, duomenys. </w:t>
      </w:r>
      <w:r w:rsidR="00C17E6B">
        <w:rPr>
          <w:sz w:val="22"/>
          <w:szCs w:val="22"/>
        </w:rPr>
        <w:t>Vaikų populiacijos</w:t>
      </w:r>
      <w:r w:rsidR="005C58A3" w:rsidRPr="00D166EA">
        <w:rPr>
          <w:sz w:val="22"/>
          <w:szCs w:val="22"/>
        </w:rPr>
        <w:t xml:space="preserve"> pacientams pastebėtos</w:t>
      </w:r>
      <w:r w:rsidRPr="00D166EA">
        <w:rPr>
          <w:sz w:val="22"/>
          <w:szCs w:val="22"/>
        </w:rPr>
        <w:t xml:space="preserve"> entekaviro nepageidaujamos reakcijos atitinka </w:t>
      </w:r>
      <w:r w:rsidR="005C58A3" w:rsidRPr="00D166EA">
        <w:rPr>
          <w:sz w:val="22"/>
          <w:szCs w:val="22"/>
        </w:rPr>
        <w:t>nepageidaujamas reakcijas, pastebėtas suaugusiesiems entakaviro</w:t>
      </w:r>
      <w:r w:rsidRPr="00D166EA">
        <w:rPr>
          <w:sz w:val="22"/>
          <w:szCs w:val="22"/>
        </w:rPr>
        <w:t xml:space="preserve"> klinikinių tyrimų metu (žr. saugumo duomenų santrauką ir 5.1 skyrių)</w:t>
      </w:r>
      <w:r w:rsidR="00ED6A2F">
        <w:rPr>
          <w:sz w:val="22"/>
          <w:szCs w:val="22"/>
        </w:rPr>
        <w:t>, išskyrus toliau nurodytą išimt</w:t>
      </w:r>
      <w:r w:rsidR="00756D37">
        <w:rPr>
          <w:sz w:val="22"/>
          <w:szCs w:val="22"/>
        </w:rPr>
        <w:t>į</w:t>
      </w:r>
      <w:r w:rsidR="00FE2806">
        <w:rPr>
          <w:sz w:val="22"/>
          <w:szCs w:val="22"/>
        </w:rPr>
        <w:t xml:space="preserve"> pediatrinės populiacijos pacientams:</w:t>
      </w:r>
    </w:p>
    <w:p w14:paraId="71DDD3E1" w14:textId="77777777" w:rsidR="000306DE" w:rsidRPr="00FE2806" w:rsidRDefault="00E73D66" w:rsidP="00591D31">
      <w:pPr>
        <w:pStyle w:val="Default"/>
        <w:numPr>
          <w:ilvl w:val="0"/>
          <w:numId w:val="35"/>
        </w:numPr>
        <w:rPr>
          <w:sz w:val="22"/>
          <w:szCs w:val="22"/>
        </w:rPr>
      </w:pPr>
      <w:r w:rsidRPr="00591D31">
        <w:rPr>
          <w:sz w:val="22"/>
          <w:szCs w:val="22"/>
        </w:rPr>
        <w:t>labai dažnos nepageidaujamos reakcijos - neutropenija.</w:t>
      </w:r>
      <w:r w:rsidR="000306DE" w:rsidRPr="00FE2806">
        <w:rPr>
          <w:sz w:val="22"/>
          <w:szCs w:val="22"/>
        </w:rPr>
        <w:t xml:space="preserve"> </w:t>
      </w:r>
    </w:p>
    <w:p w14:paraId="66164803" w14:textId="77777777" w:rsidR="005C58A3" w:rsidRPr="00D166EA" w:rsidRDefault="005C58A3" w:rsidP="000306DE">
      <w:pPr>
        <w:pStyle w:val="Default"/>
        <w:rPr>
          <w:i/>
          <w:iCs/>
          <w:sz w:val="22"/>
          <w:szCs w:val="22"/>
        </w:rPr>
      </w:pPr>
    </w:p>
    <w:p w14:paraId="7FD57CDE" w14:textId="77777777" w:rsidR="000306DE" w:rsidRPr="00591D31" w:rsidRDefault="000306DE" w:rsidP="000306DE">
      <w:pPr>
        <w:pStyle w:val="Default"/>
        <w:rPr>
          <w:sz w:val="22"/>
          <w:szCs w:val="22"/>
          <w:u w:val="single"/>
        </w:rPr>
      </w:pPr>
      <w:r w:rsidRPr="00591D31">
        <w:rPr>
          <w:iCs/>
          <w:sz w:val="22"/>
          <w:szCs w:val="22"/>
          <w:u w:val="single"/>
        </w:rPr>
        <w:t xml:space="preserve">e. Kitos ypatingos populiacijos </w:t>
      </w:r>
    </w:p>
    <w:p w14:paraId="3C24526D" w14:textId="77777777" w:rsidR="005C58A3" w:rsidRPr="00D166EA" w:rsidRDefault="005C58A3" w:rsidP="000306DE">
      <w:pPr>
        <w:pStyle w:val="Default"/>
        <w:rPr>
          <w:sz w:val="22"/>
          <w:szCs w:val="22"/>
        </w:rPr>
      </w:pPr>
    </w:p>
    <w:p w14:paraId="587AEA26" w14:textId="77777777" w:rsidR="00965F99" w:rsidRPr="00591D31" w:rsidRDefault="000306DE" w:rsidP="000306DE">
      <w:pPr>
        <w:pStyle w:val="Default"/>
        <w:rPr>
          <w:i/>
          <w:sz w:val="22"/>
          <w:szCs w:val="22"/>
        </w:rPr>
      </w:pPr>
      <w:r w:rsidRPr="00591D31">
        <w:rPr>
          <w:i/>
          <w:sz w:val="22"/>
          <w:szCs w:val="22"/>
        </w:rPr>
        <w:t xml:space="preserve">Pacientų, sergančių nekompensuota kepenų liga, gydymo patirtis. </w:t>
      </w:r>
    </w:p>
    <w:p w14:paraId="7E75A9BD" w14:textId="77777777" w:rsidR="000306DE" w:rsidRPr="00D166EA" w:rsidRDefault="000306DE" w:rsidP="000306DE">
      <w:pPr>
        <w:pStyle w:val="Default"/>
        <w:rPr>
          <w:sz w:val="22"/>
          <w:szCs w:val="22"/>
        </w:rPr>
      </w:pPr>
      <w:r w:rsidRPr="00D166EA">
        <w:rPr>
          <w:sz w:val="22"/>
          <w:szCs w:val="22"/>
        </w:rPr>
        <w:t>Entekaviro saugumas, kai kepenų liga nekompensuota, tirtas atliekant atsitiktinės atrankos atvirą palyginamąjį tyrimą 048, kurio metu pacientai vartojo 1</w:t>
      </w:r>
      <w:r w:rsidR="001E0AE2">
        <w:rPr>
          <w:sz w:val="22"/>
          <w:szCs w:val="22"/>
        </w:rPr>
        <w:t> </w:t>
      </w:r>
      <w:r w:rsidRPr="00D166EA">
        <w:rPr>
          <w:sz w:val="22"/>
          <w:szCs w:val="22"/>
        </w:rPr>
        <w:t>mg entekaviro (n</w:t>
      </w:r>
      <w:r w:rsidR="001E0AE2">
        <w:rPr>
          <w:sz w:val="22"/>
          <w:szCs w:val="22"/>
        </w:rPr>
        <w:t> </w:t>
      </w:r>
      <w:r w:rsidRPr="00D166EA">
        <w:rPr>
          <w:sz w:val="22"/>
          <w:szCs w:val="22"/>
        </w:rPr>
        <w:t>=</w:t>
      </w:r>
      <w:r w:rsidR="001E0AE2">
        <w:rPr>
          <w:sz w:val="22"/>
          <w:szCs w:val="22"/>
        </w:rPr>
        <w:t> </w:t>
      </w:r>
      <w:r w:rsidRPr="00D166EA">
        <w:rPr>
          <w:sz w:val="22"/>
          <w:szCs w:val="22"/>
        </w:rPr>
        <w:t>102) arba 10</w:t>
      </w:r>
      <w:r w:rsidR="001E0AE2">
        <w:rPr>
          <w:sz w:val="22"/>
          <w:szCs w:val="22"/>
        </w:rPr>
        <w:t> </w:t>
      </w:r>
      <w:r w:rsidRPr="00D166EA">
        <w:rPr>
          <w:sz w:val="22"/>
          <w:szCs w:val="22"/>
        </w:rPr>
        <w:t>mg adefoviro dipivoksilio (n</w:t>
      </w:r>
      <w:r w:rsidR="001E0AE2">
        <w:rPr>
          <w:sz w:val="22"/>
          <w:szCs w:val="22"/>
        </w:rPr>
        <w:t> </w:t>
      </w:r>
      <w:r w:rsidRPr="00D166EA">
        <w:rPr>
          <w:sz w:val="22"/>
          <w:szCs w:val="22"/>
        </w:rPr>
        <w:t>=</w:t>
      </w:r>
      <w:r w:rsidR="001E0AE2">
        <w:rPr>
          <w:sz w:val="22"/>
          <w:szCs w:val="22"/>
        </w:rPr>
        <w:t> </w:t>
      </w:r>
      <w:r w:rsidRPr="00D166EA">
        <w:rPr>
          <w:sz w:val="22"/>
          <w:szCs w:val="22"/>
        </w:rPr>
        <w:t>89) per parą. Per 48</w:t>
      </w:r>
      <w:r w:rsidR="001E0AE2">
        <w:rPr>
          <w:sz w:val="22"/>
          <w:szCs w:val="22"/>
        </w:rPr>
        <w:t> </w:t>
      </w:r>
      <w:r w:rsidRPr="00D166EA">
        <w:rPr>
          <w:sz w:val="22"/>
          <w:szCs w:val="22"/>
        </w:rPr>
        <w:t>savaites entekavirą vartojusiems pacientams pastebėta viena nauja nepageidaujama reakcija, nenurodyta nepageidaujamų reakcijų sąraše b dalyje (sumažėjusi bikarbonato koncentracija kraujyje, 2</w:t>
      </w:r>
      <w:r w:rsidR="001E0AE2">
        <w:rPr>
          <w:sz w:val="22"/>
          <w:szCs w:val="22"/>
        </w:rPr>
        <w:t> </w:t>
      </w:r>
      <w:r w:rsidRPr="00D166EA">
        <w:rPr>
          <w:sz w:val="22"/>
          <w:szCs w:val="22"/>
        </w:rPr>
        <w:t xml:space="preserve">%). </w:t>
      </w:r>
      <w:r w:rsidR="005C58A3" w:rsidRPr="00D166EA">
        <w:rPr>
          <w:sz w:val="22"/>
          <w:szCs w:val="22"/>
        </w:rPr>
        <w:t>Suvestinis</w:t>
      </w:r>
      <w:r w:rsidR="0044298C">
        <w:rPr>
          <w:sz w:val="22"/>
          <w:szCs w:val="22"/>
        </w:rPr>
        <w:t xml:space="preserve"> (kumuliacinis)</w:t>
      </w:r>
      <w:r w:rsidRPr="00D166EA">
        <w:rPr>
          <w:sz w:val="22"/>
          <w:szCs w:val="22"/>
        </w:rPr>
        <w:t xml:space="preserve"> mirštamumas tyrim</w:t>
      </w:r>
      <w:r w:rsidR="005C58A3" w:rsidRPr="00D166EA">
        <w:rPr>
          <w:sz w:val="22"/>
          <w:szCs w:val="22"/>
        </w:rPr>
        <w:t>ų</w:t>
      </w:r>
      <w:r w:rsidRPr="00D166EA">
        <w:rPr>
          <w:sz w:val="22"/>
          <w:szCs w:val="22"/>
        </w:rPr>
        <w:t xml:space="preserve"> metu buvo 23</w:t>
      </w:r>
      <w:r w:rsidR="001E0AE2">
        <w:rPr>
          <w:sz w:val="22"/>
          <w:szCs w:val="22"/>
        </w:rPr>
        <w:t> </w:t>
      </w:r>
      <w:r w:rsidRPr="00D166EA">
        <w:rPr>
          <w:sz w:val="22"/>
          <w:szCs w:val="22"/>
        </w:rPr>
        <w:t xml:space="preserve">% (23/102), o dauguma mirties priežasčių buvo susijusios su kepenimis, kaip ir reikėtų tikėtis šioje populiacijoje. </w:t>
      </w:r>
      <w:r w:rsidR="005C58A3" w:rsidRPr="00D166EA">
        <w:rPr>
          <w:sz w:val="22"/>
          <w:szCs w:val="22"/>
        </w:rPr>
        <w:t>Suvestinis</w:t>
      </w:r>
      <w:r w:rsidRPr="00D166EA">
        <w:rPr>
          <w:sz w:val="22"/>
          <w:szCs w:val="22"/>
        </w:rPr>
        <w:t xml:space="preserve"> hepatoceliulinės karcinomos (</w:t>
      </w:r>
      <w:r w:rsidRPr="00D166EA">
        <w:rPr>
          <w:i/>
          <w:iCs/>
          <w:sz w:val="22"/>
          <w:szCs w:val="22"/>
        </w:rPr>
        <w:t>hepatocellular carcinoma</w:t>
      </w:r>
      <w:r w:rsidRPr="00D166EA">
        <w:rPr>
          <w:sz w:val="22"/>
          <w:szCs w:val="22"/>
        </w:rPr>
        <w:t>, HCC) pasireiškimo dažnis tyrim</w:t>
      </w:r>
      <w:r w:rsidR="005C58A3" w:rsidRPr="00D166EA">
        <w:rPr>
          <w:sz w:val="22"/>
          <w:szCs w:val="22"/>
        </w:rPr>
        <w:t>ų</w:t>
      </w:r>
      <w:r w:rsidRPr="00D166EA">
        <w:rPr>
          <w:sz w:val="22"/>
          <w:szCs w:val="22"/>
        </w:rPr>
        <w:t xml:space="preserve"> metu buvo 12</w:t>
      </w:r>
      <w:r w:rsidR="001E0AE2">
        <w:rPr>
          <w:sz w:val="22"/>
          <w:szCs w:val="22"/>
        </w:rPr>
        <w:t> </w:t>
      </w:r>
      <w:r w:rsidRPr="00D166EA">
        <w:rPr>
          <w:sz w:val="22"/>
          <w:szCs w:val="22"/>
        </w:rPr>
        <w:t xml:space="preserve">% (12/102). Dauguma sunkių nepageidaujamų reiškinių buvo susiję su kepenimis, jų </w:t>
      </w:r>
      <w:r w:rsidR="005C58A3" w:rsidRPr="00D166EA">
        <w:rPr>
          <w:sz w:val="22"/>
          <w:szCs w:val="22"/>
        </w:rPr>
        <w:t>suvestinis</w:t>
      </w:r>
      <w:r w:rsidRPr="00D166EA">
        <w:rPr>
          <w:sz w:val="22"/>
          <w:szCs w:val="22"/>
        </w:rPr>
        <w:t xml:space="preserve"> dažnis tyrim</w:t>
      </w:r>
      <w:r w:rsidR="005C58A3" w:rsidRPr="00D166EA">
        <w:rPr>
          <w:sz w:val="22"/>
          <w:szCs w:val="22"/>
        </w:rPr>
        <w:t>ų</w:t>
      </w:r>
      <w:r w:rsidRPr="00D166EA">
        <w:rPr>
          <w:sz w:val="22"/>
          <w:szCs w:val="22"/>
        </w:rPr>
        <w:t xml:space="preserve"> metu buvo 69</w:t>
      </w:r>
      <w:r w:rsidR="001E0AE2">
        <w:rPr>
          <w:sz w:val="22"/>
          <w:szCs w:val="22"/>
        </w:rPr>
        <w:t> </w:t>
      </w:r>
      <w:r w:rsidRPr="00D166EA">
        <w:rPr>
          <w:sz w:val="22"/>
          <w:szCs w:val="22"/>
        </w:rPr>
        <w:t xml:space="preserve">%. Pacientams, kurių </w:t>
      </w:r>
      <w:r w:rsidR="005C58A3" w:rsidRPr="00D166EA">
        <w:rPr>
          <w:spacing w:val="1"/>
          <w:sz w:val="22"/>
          <w:szCs w:val="22"/>
        </w:rPr>
        <w:t>C</w:t>
      </w:r>
      <w:r w:rsidR="005C58A3" w:rsidRPr="00D166EA">
        <w:rPr>
          <w:sz w:val="22"/>
          <w:szCs w:val="22"/>
        </w:rPr>
        <w:t>hil</w:t>
      </w:r>
      <w:r w:rsidR="005C58A3" w:rsidRPr="00D166EA">
        <w:rPr>
          <w:spacing w:val="-1"/>
          <w:sz w:val="22"/>
          <w:szCs w:val="22"/>
        </w:rPr>
        <w:t>d</w:t>
      </w:r>
      <w:r w:rsidR="005C58A3" w:rsidRPr="00D166EA">
        <w:rPr>
          <w:sz w:val="22"/>
          <w:szCs w:val="22"/>
        </w:rPr>
        <w:t>-</w:t>
      </w:r>
      <w:r w:rsidR="005C58A3" w:rsidRPr="00D166EA">
        <w:rPr>
          <w:spacing w:val="1"/>
          <w:sz w:val="22"/>
          <w:szCs w:val="22"/>
        </w:rPr>
        <w:t>T</w:t>
      </w:r>
      <w:r w:rsidR="005C58A3" w:rsidRPr="00D166EA">
        <w:rPr>
          <w:spacing w:val="-1"/>
          <w:sz w:val="22"/>
          <w:szCs w:val="22"/>
        </w:rPr>
        <w:t>u</w:t>
      </w:r>
      <w:r w:rsidR="005C58A3" w:rsidRPr="00D166EA">
        <w:rPr>
          <w:spacing w:val="1"/>
          <w:sz w:val="22"/>
          <w:szCs w:val="22"/>
        </w:rPr>
        <w:t>r</w:t>
      </w:r>
      <w:r w:rsidR="005C58A3" w:rsidRPr="00D166EA">
        <w:rPr>
          <w:sz w:val="22"/>
          <w:szCs w:val="22"/>
        </w:rPr>
        <w:t>cotte-</w:t>
      </w:r>
      <w:r w:rsidR="005C58A3" w:rsidRPr="00D166EA">
        <w:rPr>
          <w:spacing w:val="2"/>
          <w:sz w:val="22"/>
          <w:szCs w:val="22"/>
        </w:rPr>
        <w:t>P</w:t>
      </w:r>
      <w:r w:rsidR="005C58A3" w:rsidRPr="00D166EA">
        <w:rPr>
          <w:sz w:val="22"/>
          <w:szCs w:val="22"/>
        </w:rPr>
        <w:t xml:space="preserve">ugh </w:t>
      </w:r>
      <w:r w:rsidR="005C58A3" w:rsidRPr="00D166EA">
        <w:rPr>
          <w:spacing w:val="3"/>
          <w:sz w:val="22"/>
          <w:szCs w:val="22"/>
        </w:rPr>
        <w:t>(</w:t>
      </w:r>
      <w:r w:rsidRPr="00D166EA">
        <w:rPr>
          <w:sz w:val="22"/>
          <w:szCs w:val="22"/>
        </w:rPr>
        <w:t>CTP</w:t>
      </w:r>
      <w:r w:rsidR="005C58A3" w:rsidRPr="00D166EA">
        <w:rPr>
          <w:sz w:val="22"/>
          <w:szCs w:val="22"/>
        </w:rPr>
        <w:t>)</w:t>
      </w:r>
      <w:r w:rsidRPr="00D166EA">
        <w:rPr>
          <w:sz w:val="22"/>
          <w:szCs w:val="22"/>
        </w:rPr>
        <w:t xml:space="preserve"> </w:t>
      </w:r>
      <w:r w:rsidRPr="00D166EA">
        <w:rPr>
          <w:sz w:val="22"/>
          <w:szCs w:val="22"/>
        </w:rPr>
        <w:lastRenderedPageBreak/>
        <w:t xml:space="preserve">rodiklis iki įtraukimo į tyrimą buvo didelis, sunkių nepageidaujamų reiškinių rizika buvo didesnė (žr. 4.4 skyrių). </w:t>
      </w:r>
    </w:p>
    <w:p w14:paraId="02FDB41F" w14:textId="77777777" w:rsidR="005C58A3" w:rsidRPr="00D166EA" w:rsidRDefault="005C58A3" w:rsidP="000306DE">
      <w:pPr>
        <w:pStyle w:val="Default"/>
        <w:rPr>
          <w:sz w:val="22"/>
          <w:szCs w:val="22"/>
        </w:rPr>
      </w:pPr>
    </w:p>
    <w:p w14:paraId="59F3B17F" w14:textId="77777777" w:rsidR="00965F99" w:rsidRDefault="000306DE" w:rsidP="000306DE">
      <w:pPr>
        <w:pStyle w:val="Default"/>
        <w:rPr>
          <w:sz w:val="22"/>
          <w:szCs w:val="22"/>
        </w:rPr>
      </w:pPr>
      <w:r w:rsidRPr="00591D31">
        <w:rPr>
          <w:i/>
          <w:sz w:val="22"/>
          <w:szCs w:val="22"/>
        </w:rPr>
        <w:t xml:space="preserve">Laboratorinių tyrimų </w:t>
      </w:r>
      <w:r w:rsidR="005C58A3" w:rsidRPr="00591D31">
        <w:rPr>
          <w:i/>
          <w:sz w:val="22"/>
          <w:szCs w:val="22"/>
        </w:rPr>
        <w:t>nenormalumai</w:t>
      </w:r>
    </w:p>
    <w:p w14:paraId="74ED43BB" w14:textId="77777777" w:rsidR="000306DE" w:rsidRPr="00D166EA" w:rsidRDefault="000306DE" w:rsidP="000306DE">
      <w:pPr>
        <w:pStyle w:val="Default"/>
        <w:rPr>
          <w:sz w:val="22"/>
          <w:szCs w:val="22"/>
        </w:rPr>
      </w:pPr>
      <w:r w:rsidRPr="00D166EA">
        <w:rPr>
          <w:sz w:val="22"/>
          <w:szCs w:val="22"/>
        </w:rPr>
        <w:t>Per 48</w:t>
      </w:r>
      <w:r w:rsidR="001E0AE2">
        <w:rPr>
          <w:sz w:val="22"/>
          <w:szCs w:val="22"/>
        </w:rPr>
        <w:t> </w:t>
      </w:r>
      <w:r w:rsidRPr="00D166EA">
        <w:rPr>
          <w:sz w:val="22"/>
          <w:szCs w:val="22"/>
        </w:rPr>
        <w:t>savaites nė vienam iš entekavir</w:t>
      </w:r>
      <w:r w:rsidR="005C58A3" w:rsidRPr="00D166EA">
        <w:rPr>
          <w:sz w:val="22"/>
          <w:szCs w:val="22"/>
        </w:rPr>
        <w:t>o</w:t>
      </w:r>
      <w:r w:rsidRPr="00D166EA">
        <w:rPr>
          <w:sz w:val="22"/>
          <w:szCs w:val="22"/>
        </w:rPr>
        <w:t xml:space="preserve"> vartojusių pacientų, kurių kepenų liga buvo nekompensuota, nenustatytas ALT aktyvumo padidėjimas, &gt;</w:t>
      </w:r>
      <w:r w:rsidR="001E0AE2">
        <w:rPr>
          <w:sz w:val="22"/>
          <w:szCs w:val="22"/>
        </w:rPr>
        <w:t> </w:t>
      </w:r>
      <w:r w:rsidRPr="00D166EA">
        <w:rPr>
          <w:sz w:val="22"/>
          <w:szCs w:val="22"/>
        </w:rPr>
        <w:t>10</w:t>
      </w:r>
      <w:r w:rsidR="001E0AE2">
        <w:rPr>
          <w:sz w:val="22"/>
          <w:szCs w:val="22"/>
        </w:rPr>
        <w:t> </w:t>
      </w:r>
      <w:r w:rsidRPr="00D166EA">
        <w:rPr>
          <w:sz w:val="22"/>
          <w:szCs w:val="22"/>
        </w:rPr>
        <w:t>kartų didesnis negu VNR ir kartu &gt;</w:t>
      </w:r>
      <w:r w:rsidR="001E0AE2">
        <w:rPr>
          <w:sz w:val="22"/>
          <w:szCs w:val="22"/>
        </w:rPr>
        <w:t> </w:t>
      </w:r>
      <w:r w:rsidRPr="00D166EA">
        <w:rPr>
          <w:sz w:val="22"/>
          <w:szCs w:val="22"/>
        </w:rPr>
        <w:t>2</w:t>
      </w:r>
      <w:r w:rsidR="001E0AE2">
        <w:rPr>
          <w:sz w:val="22"/>
          <w:szCs w:val="22"/>
        </w:rPr>
        <w:t> </w:t>
      </w:r>
      <w:r w:rsidRPr="00D166EA">
        <w:rPr>
          <w:sz w:val="22"/>
          <w:szCs w:val="22"/>
        </w:rPr>
        <w:t>kartus didesnis negu iki tyrimo; 1</w:t>
      </w:r>
      <w:r w:rsidR="001E0AE2">
        <w:rPr>
          <w:sz w:val="22"/>
          <w:szCs w:val="22"/>
        </w:rPr>
        <w:t> </w:t>
      </w:r>
      <w:r w:rsidRPr="00D166EA">
        <w:rPr>
          <w:sz w:val="22"/>
          <w:szCs w:val="22"/>
        </w:rPr>
        <w:t>% pacientų nustatytas ALT aktyvumo padidėjimas, &gt;</w:t>
      </w:r>
      <w:r w:rsidR="001E0AE2">
        <w:rPr>
          <w:sz w:val="22"/>
          <w:szCs w:val="22"/>
        </w:rPr>
        <w:t> </w:t>
      </w:r>
      <w:r w:rsidRPr="00D166EA">
        <w:rPr>
          <w:sz w:val="22"/>
          <w:szCs w:val="22"/>
        </w:rPr>
        <w:t>2</w:t>
      </w:r>
      <w:r w:rsidR="001E0AE2">
        <w:rPr>
          <w:sz w:val="22"/>
          <w:szCs w:val="22"/>
        </w:rPr>
        <w:t> </w:t>
      </w:r>
      <w:r w:rsidRPr="00D166EA">
        <w:rPr>
          <w:sz w:val="22"/>
          <w:szCs w:val="22"/>
        </w:rPr>
        <w:t>kartus didesnis negu iki tyrimo bei kartu bendro bilirubino koncentracija, &gt;</w:t>
      </w:r>
      <w:r w:rsidR="001E0AE2">
        <w:rPr>
          <w:sz w:val="22"/>
          <w:szCs w:val="22"/>
        </w:rPr>
        <w:t> </w:t>
      </w:r>
      <w:r w:rsidRPr="00D166EA">
        <w:rPr>
          <w:sz w:val="22"/>
          <w:szCs w:val="22"/>
        </w:rPr>
        <w:t>2</w:t>
      </w:r>
      <w:r w:rsidR="001E0AE2">
        <w:rPr>
          <w:sz w:val="22"/>
          <w:szCs w:val="22"/>
        </w:rPr>
        <w:t> </w:t>
      </w:r>
      <w:r w:rsidRPr="00D166EA">
        <w:rPr>
          <w:sz w:val="22"/>
          <w:szCs w:val="22"/>
        </w:rPr>
        <w:t>kartus didesnė negu VNR ir &gt;</w:t>
      </w:r>
      <w:r w:rsidR="001E0AE2">
        <w:rPr>
          <w:sz w:val="22"/>
          <w:szCs w:val="22"/>
        </w:rPr>
        <w:t> </w:t>
      </w:r>
      <w:r w:rsidRPr="00D166EA">
        <w:rPr>
          <w:sz w:val="22"/>
          <w:szCs w:val="22"/>
        </w:rPr>
        <w:t>2</w:t>
      </w:r>
      <w:r w:rsidR="001E0AE2">
        <w:rPr>
          <w:sz w:val="22"/>
          <w:szCs w:val="22"/>
        </w:rPr>
        <w:t> </w:t>
      </w:r>
      <w:r w:rsidRPr="00D166EA">
        <w:rPr>
          <w:sz w:val="22"/>
          <w:szCs w:val="22"/>
        </w:rPr>
        <w:t>kartus didesnė negu iki tyrimo. &lt;</w:t>
      </w:r>
      <w:r w:rsidR="001E0AE2">
        <w:rPr>
          <w:sz w:val="22"/>
          <w:szCs w:val="22"/>
        </w:rPr>
        <w:t> </w:t>
      </w:r>
      <w:r w:rsidRPr="00D166EA">
        <w:rPr>
          <w:sz w:val="22"/>
          <w:szCs w:val="22"/>
        </w:rPr>
        <w:t>2,5</w:t>
      </w:r>
      <w:r w:rsidR="001E0AE2">
        <w:rPr>
          <w:sz w:val="22"/>
          <w:szCs w:val="22"/>
        </w:rPr>
        <w:t> </w:t>
      </w:r>
      <w:r w:rsidRPr="00D166EA">
        <w:rPr>
          <w:sz w:val="22"/>
          <w:szCs w:val="22"/>
        </w:rPr>
        <w:t>g/dl albumino koncentracija nustatyta 30</w:t>
      </w:r>
      <w:r w:rsidR="001E0AE2">
        <w:rPr>
          <w:sz w:val="22"/>
          <w:szCs w:val="22"/>
        </w:rPr>
        <w:t> </w:t>
      </w:r>
      <w:r w:rsidRPr="00D166EA">
        <w:rPr>
          <w:sz w:val="22"/>
          <w:szCs w:val="22"/>
        </w:rPr>
        <w:t>% pacientų, &gt;</w:t>
      </w:r>
      <w:r w:rsidR="001E0AE2">
        <w:rPr>
          <w:sz w:val="22"/>
          <w:szCs w:val="22"/>
        </w:rPr>
        <w:t> </w:t>
      </w:r>
      <w:r w:rsidRPr="00D166EA">
        <w:rPr>
          <w:sz w:val="22"/>
          <w:szCs w:val="22"/>
        </w:rPr>
        <w:t>3</w:t>
      </w:r>
      <w:r w:rsidR="001E0AE2">
        <w:rPr>
          <w:sz w:val="22"/>
          <w:szCs w:val="22"/>
        </w:rPr>
        <w:t> </w:t>
      </w:r>
      <w:r w:rsidRPr="00D166EA">
        <w:rPr>
          <w:sz w:val="22"/>
          <w:szCs w:val="22"/>
        </w:rPr>
        <w:t>kartus didesnis negu iki tyrimo lipazės aktyvumas – 10</w:t>
      </w:r>
      <w:r w:rsidR="001E0AE2">
        <w:rPr>
          <w:sz w:val="22"/>
          <w:szCs w:val="22"/>
        </w:rPr>
        <w:t> </w:t>
      </w:r>
      <w:r w:rsidRPr="00D166EA">
        <w:rPr>
          <w:sz w:val="22"/>
          <w:szCs w:val="22"/>
        </w:rPr>
        <w:t>% pacientų, &lt;</w:t>
      </w:r>
      <w:r w:rsidR="001E0AE2">
        <w:rPr>
          <w:sz w:val="22"/>
          <w:szCs w:val="22"/>
        </w:rPr>
        <w:t> </w:t>
      </w:r>
      <w:r w:rsidRPr="00D166EA">
        <w:rPr>
          <w:sz w:val="22"/>
          <w:szCs w:val="22"/>
        </w:rPr>
        <w:t>50000/mm</w:t>
      </w:r>
      <w:r w:rsidRPr="00D166EA">
        <w:rPr>
          <w:sz w:val="22"/>
          <w:szCs w:val="22"/>
          <w:vertAlign w:val="superscript"/>
        </w:rPr>
        <w:t xml:space="preserve">3 </w:t>
      </w:r>
      <w:r w:rsidRPr="00D166EA">
        <w:rPr>
          <w:sz w:val="22"/>
          <w:szCs w:val="22"/>
        </w:rPr>
        <w:t>trombocitų kiekis – 20</w:t>
      </w:r>
      <w:r w:rsidR="001E0AE2">
        <w:rPr>
          <w:sz w:val="22"/>
          <w:szCs w:val="22"/>
        </w:rPr>
        <w:t> </w:t>
      </w:r>
      <w:r w:rsidRPr="00D166EA">
        <w:rPr>
          <w:sz w:val="22"/>
          <w:szCs w:val="22"/>
        </w:rPr>
        <w:t xml:space="preserve">% pacientų. </w:t>
      </w:r>
    </w:p>
    <w:p w14:paraId="4D4C51AC" w14:textId="77777777" w:rsidR="005C58A3" w:rsidRPr="00D166EA" w:rsidRDefault="005C58A3" w:rsidP="000306DE">
      <w:pPr>
        <w:pStyle w:val="Default"/>
        <w:rPr>
          <w:sz w:val="22"/>
          <w:szCs w:val="22"/>
        </w:rPr>
      </w:pPr>
    </w:p>
    <w:p w14:paraId="03E60D54" w14:textId="77777777" w:rsidR="00E819E7" w:rsidRDefault="000306DE" w:rsidP="000306DE">
      <w:pPr>
        <w:pStyle w:val="Default"/>
        <w:rPr>
          <w:sz w:val="22"/>
          <w:szCs w:val="22"/>
        </w:rPr>
      </w:pPr>
      <w:r w:rsidRPr="00591D31">
        <w:rPr>
          <w:i/>
          <w:sz w:val="22"/>
          <w:szCs w:val="22"/>
        </w:rPr>
        <w:t>Patirtis pacientams, kartu infekuotiems ŽIV</w:t>
      </w:r>
      <w:r w:rsidRPr="00D166EA">
        <w:rPr>
          <w:sz w:val="22"/>
          <w:szCs w:val="22"/>
        </w:rPr>
        <w:t xml:space="preserve"> </w:t>
      </w:r>
    </w:p>
    <w:p w14:paraId="2B99FAD3" w14:textId="77777777" w:rsidR="000306DE" w:rsidRPr="00D166EA" w:rsidRDefault="000306DE" w:rsidP="000306DE">
      <w:pPr>
        <w:pStyle w:val="Default"/>
        <w:rPr>
          <w:sz w:val="22"/>
          <w:szCs w:val="22"/>
        </w:rPr>
      </w:pPr>
      <w:r w:rsidRPr="00D166EA">
        <w:rPr>
          <w:sz w:val="22"/>
          <w:szCs w:val="22"/>
        </w:rPr>
        <w:t xml:space="preserve">Entekaviro saugumo </w:t>
      </w:r>
      <w:r w:rsidR="00024C83" w:rsidRPr="00D166EA">
        <w:rPr>
          <w:sz w:val="22"/>
          <w:szCs w:val="22"/>
        </w:rPr>
        <w:t>apibūdinimas</w:t>
      </w:r>
      <w:r w:rsidRPr="00D166EA">
        <w:rPr>
          <w:sz w:val="22"/>
          <w:szCs w:val="22"/>
        </w:rPr>
        <w:t xml:space="preserve"> nedideliam skaičiui kartu ŽIV ir HBV infekuotų pacientų, gydomų HAART (didelio aktyvumo antivirusinio gydymo) schema, kurios sudėtyje yra lamivudin</w:t>
      </w:r>
      <w:r w:rsidR="00024C83" w:rsidRPr="00D166EA">
        <w:rPr>
          <w:sz w:val="22"/>
          <w:szCs w:val="22"/>
        </w:rPr>
        <w:t>o</w:t>
      </w:r>
      <w:r w:rsidRPr="00D166EA">
        <w:rPr>
          <w:sz w:val="22"/>
          <w:szCs w:val="22"/>
        </w:rPr>
        <w:t xml:space="preserve">, buvo panašus kaip infekuotiems tik HBV (žr. 4.4 skyrių). </w:t>
      </w:r>
    </w:p>
    <w:p w14:paraId="4D384A0B" w14:textId="77777777" w:rsidR="00024C83" w:rsidRPr="00D166EA" w:rsidRDefault="00024C83" w:rsidP="000306DE">
      <w:pPr>
        <w:pStyle w:val="Default"/>
        <w:rPr>
          <w:sz w:val="22"/>
          <w:szCs w:val="22"/>
        </w:rPr>
      </w:pPr>
    </w:p>
    <w:p w14:paraId="037D563A" w14:textId="77777777" w:rsidR="00E819E7" w:rsidRDefault="000306DE" w:rsidP="000306DE">
      <w:pPr>
        <w:pStyle w:val="Default"/>
        <w:rPr>
          <w:sz w:val="22"/>
          <w:szCs w:val="22"/>
        </w:rPr>
      </w:pPr>
      <w:r w:rsidRPr="00591D31">
        <w:rPr>
          <w:i/>
          <w:sz w:val="22"/>
          <w:szCs w:val="22"/>
        </w:rPr>
        <w:t>Lytis ir amžius</w:t>
      </w:r>
      <w:r w:rsidRPr="00D166EA">
        <w:rPr>
          <w:sz w:val="22"/>
          <w:szCs w:val="22"/>
        </w:rPr>
        <w:t xml:space="preserve"> </w:t>
      </w:r>
    </w:p>
    <w:p w14:paraId="7A619475" w14:textId="77777777" w:rsidR="000306DE" w:rsidRPr="00D166EA" w:rsidRDefault="000306DE" w:rsidP="000306DE">
      <w:pPr>
        <w:pStyle w:val="Default"/>
        <w:rPr>
          <w:sz w:val="22"/>
          <w:szCs w:val="22"/>
        </w:rPr>
      </w:pPr>
      <w:r w:rsidRPr="00D166EA">
        <w:rPr>
          <w:sz w:val="22"/>
          <w:szCs w:val="22"/>
        </w:rPr>
        <w:t>Su lytimi (maždaug 25</w:t>
      </w:r>
      <w:r w:rsidR="001E0AE2">
        <w:rPr>
          <w:sz w:val="22"/>
          <w:szCs w:val="22"/>
        </w:rPr>
        <w:t> </w:t>
      </w:r>
      <w:r w:rsidRPr="00D166EA">
        <w:rPr>
          <w:sz w:val="22"/>
          <w:szCs w:val="22"/>
        </w:rPr>
        <w:t>% klinikinių tyrimų dalyvių buvo moterys) ir amžiumi (maždaug 5</w:t>
      </w:r>
      <w:r w:rsidR="001E0AE2">
        <w:rPr>
          <w:sz w:val="22"/>
          <w:szCs w:val="22"/>
        </w:rPr>
        <w:t> </w:t>
      </w:r>
      <w:r w:rsidRPr="00D166EA">
        <w:rPr>
          <w:sz w:val="22"/>
          <w:szCs w:val="22"/>
        </w:rPr>
        <w:t>% klinikinių tyrimų dalyvių buvo vyresni kaip 65</w:t>
      </w:r>
      <w:r w:rsidR="001E0AE2">
        <w:rPr>
          <w:sz w:val="22"/>
          <w:szCs w:val="22"/>
        </w:rPr>
        <w:t> </w:t>
      </w:r>
      <w:r w:rsidRPr="00D166EA">
        <w:rPr>
          <w:sz w:val="22"/>
          <w:szCs w:val="22"/>
        </w:rPr>
        <w:t>metų</w:t>
      </w:r>
      <w:r w:rsidR="00024C83" w:rsidRPr="00D166EA">
        <w:rPr>
          <w:sz w:val="22"/>
          <w:szCs w:val="22"/>
        </w:rPr>
        <w:t xml:space="preserve"> amžiaus</w:t>
      </w:r>
      <w:r w:rsidRPr="00D166EA">
        <w:rPr>
          <w:sz w:val="22"/>
          <w:szCs w:val="22"/>
        </w:rPr>
        <w:t xml:space="preserve">) susijusių entekaviro saugumo skirtumų nenustatyta. </w:t>
      </w:r>
    </w:p>
    <w:p w14:paraId="0C893ED9" w14:textId="77777777" w:rsidR="0061061F" w:rsidRPr="00D166EA" w:rsidRDefault="0061061F" w:rsidP="0061061F">
      <w:pPr>
        <w:autoSpaceDE w:val="0"/>
        <w:autoSpaceDN w:val="0"/>
        <w:adjustRightInd w:val="0"/>
        <w:rPr>
          <w:szCs w:val="22"/>
          <w:u w:val="single"/>
        </w:rPr>
      </w:pPr>
    </w:p>
    <w:p w14:paraId="083CC581" w14:textId="77777777" w:rsidR="0061061F" w:rsidRPr="00D166EA" w:rsidRDefault="0061061F" w:rsidP="0061061F">
      <w:pPr>
        <w:autoSpaceDE w:val="0"/>
        <w:autoSpaceDN w:val="0"/>
        <w:adjustRightInd w:val="0"/>
        <w:rPr>
          <w:szCs w:val="22"/>
          <w:u w:val="single"/>
        </w:rPr>
      </w:pPr>
      <w:r w:rsidRPr="00D166EA">
        <w:rPr>
          <w:szCs w:val="22"/>
          <w:u w:val="single"/>
        </w:rPr>
        <w:t>Pranešimas apie įtariamas nepageidaujamas reakcijas</w:t>
      </w:r>
    </w:p>
    <w:p w14:paraId="55299252" w14:textId="1DE9547D" w:rsidR="00FA0E8B" w:rsidRPr="000B642B" w:rsidRDefault="00FA0E8B" w:rsidP="00FA0E8B">
      <w:pPr>
        <w:tabs>
          <w:tab w:val="left" w:pos="567"/>
        </w:tabs>
        <w:autoSpaceDE w:val="0"/>
        <w:autoSpaceDN w:val="0"/>
        <w:adjustRightInd w:val="0"/>
        <w:spacing w:line="260" w:lineRule="exact"/>
        <w:rPr>
          <w:noProof/>
          <w:snapToGrid w:val="0"/>
          <w:szCs w:val="22"/>
        </w:rPr>
      </w:pPr>
      <w:r w:rsidRPr="0073293C">
        <w:rPr>
          <w:noProof/>
          <w:snapToGrid w:val="0"/>
        </w:rPr>
        <w:t>Svarbu pranešti apie įtariamas nepageidaujamas reakcijas, pastebėtas po vaistinio preparato registracijos, nes tai leidžia nuolat stebėti vaistinio preparato naudos ir rizikos santykį.</w:t>
      </w:r>
      <w:r w:rsidRPr="0073293C">
        <w:rPr>
          <w:snapToGrid w:val="0"/>
        </w:rPr>
        <w:t xml:space="preserve"> </w:t>
      </w:r>
      <w:r w:rsidRPr="0073293C">
        <w:rPr>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73293C">
          <w:rPr>
            <w:noProof/>
            <w:snapToGrid w:val="0"/>
            <w:color w:val="0000FF"/>
            <w:u w:val="single"/>
          </w:rPr>
          <w:t>https://vapris.vvkt.lt/vvkt-web/public/nrvSpecialist</w:t>
        </w:r>
      </w:hyperlink>
      <w:r w:rsidRPr="0073293C">
        <w:rPr>
          <w:noProof/>
          <w:snapToGrid w:val="0"/>
        </w:rPr>
        <w:t xml:space="preserve"> arba užpildę Sveikatos priežiūros ar farmacijos specialisto pranešimo apie įtariamą nepageidaujamą reakciją (ĮNR) formą, kuri skelbiama </w:t>
      </w:r>
      <w:r>
        <w:rPr>
          <w:noProof/>
          <w:snapToGrid w:val="0"/>
        </w:rPr>
        <w:t xml:space="preserve"> </w:t>
      </w:r>
      <w:hyperlink r:id="rId9" w:history="1">
        <w:r w:rsidRPr="000756B1">
          <w:rPr>
            <w:rStyle w:val="Hipersaitas"/>
            <w:noProof/>
            <w:snapToGrid w:val="0"/>
          </w:rPr>
          <w:t>https://www.vvkt.lt/index.php?1399030386</w:t>
        </w:r>
      </w:hyperlink>
      <w:r w:rsidRPr="0073293C">
        <w:rPr>
          <w:noProof/>
          <w:snapToGrid w:val="0"/>
        </w:rPr>
        <w:t>, ir atsiųsti elektroniniu paštu (adresu NepageidaujamaR@vvkt.lt).</w:t>
      </w:r>
    </w:p>
    <w:p w14:paraId="1E71A1F5" w14:textId="335D77D8" w:rsidR="0061061F" w:rsidRPr="00D166EA" w:rsidRDefault="0061061F" w:rsidP="0061061F">
      <w:pPr>
        <w:autoSpaceDE w:val="0"/>
        <w:autoSpaceDN w:val="0"/>
        <w:adjustRightInd w:val="0"/>
        <w:rPr>
          <w:szCs w:val="22"/>
        </w:rPr>
      </w:pPr>
    </w:p>
    <w:p w14:paraId="085F0169" w14:textId="77777777" w:rsidR="0061061F" w:rsidRPr="00D166EA" w:rsidRDefault="0061061F" w:rsidP="009C0B03">
      <w:pPr>
        <w:rPr>
          <w:b/>
          <w:szCs w:val="22"/>
        </w:rPr>
      </w:pPr>
    </w:p>
    <w:p w14:paraId="3FC5BE9C" w14:textId="77777777" w:rsidR="0061061F" w:rsidRPr="00D166EA" w:rsidRDefault="0061061F" w:rsidP="009C0B03">
      <w:pPr>
        <w:rPr>
          <w:b/>
          <w:szCs w:val="22"/>
        </w:rPr>
      </w:pPr>
      <w:r w:rsidRPr="00D166EA">
        <w:rPr>
          <w:b/>
          <w:szCs w:val="22"/>
        </w:rPr>
        <w:t>4.9</w:t>
      </w:r>
      <w:r w:rsidRPr="00D166EA">
        <w:rPr>
          <w:b/>
          <w:szCs w:val="22"/>
        </w:rPr>
        <w:tab/>
        <w:t>Perdozavimas</w:t>
      </w:r>
    </w:p>
    <w:p w14:paraId="202E399F" w14:textId="77777777" w:rsidR="0061061F" w:rsidRPr="00D166EA" w:rsidRDefault="0061061F" w:rsidP="009C0B03">
      <w:pPr>
        <w:rPr>
          <w:b/>
          <w:szCs w:val="22"/>
        </w:rPr>
      </w:pPr>
    </w:p>
    <w:p w14:paraId="28653F29" w14:textId="77777777" w:rsidR="00024C83" w:rsidRPr="00D166EA" w:rsidRDefault="00024C83" w:rsidP="00024C83">
      <w:pPr>
        <w:pStyle w:val="Default"/>
        <w:rPr>
          <w:sz w:val="22"/>
          <w:szCs w:val="22"/>
        </w:rPr>
      </w:pPr>
      <w:r w:rsidRPr="00D166EA">
        <w:rPr>
          <w:sz w:val="22"/>
          <w:szCs w:val="22"/>
        </w:rPr>
        <w:t>Pranešimų apie entekaviro perdozavimą pacientams gauta nedaug. Sveikiems asmenims, iki 14</w:t>
      </w:r>
      <w:r w:rsidR="001E0AE2">
        <w:rPr>
          <w:sz w:val="22"/>
          <w:szCs w:val="22"/>
        </w:rPr>
        <w:t> </w:t>
      </w:r>
      <w:r w:rsidRPr="00D166EA">
        <w:rPr>
          <w:sz w:val="22"/>
          <w:szCs w:val="22"/>
        </w:rPr>
        <w:t>parų vartojusiems iki 20</w:t>
      </w:r>
      <w:r w:rsidR="001E0AE2">
        <w:rPr>
          <w:sz w:val="22"/>
          <w:szCs w:val="22"/>
        </w:rPr>
        <w:t> </w:t>
      </w:r>
      <w:r w:rsidRPr="00D166EA">
        <w:rPr>
          <w:sz w:val="22"/>
          <w:szCs w:val="22"/>
        </w:rPr>
        <w:t>mg per parą ir vienkartines dozes iki 40</w:t>
      </w:r>
      <w:r w:rsidR="001E0AE2">
        <w:rPr>
          <w:sz w:val="22"/>
          <w:szCs w:val="22"/>
        </w:rPr>
        <w:t> </w:t>
      </w:r>
      <w:r w:rsidRPr="00D166EA">
        <w:rPr>
          <w:sz w:val="22"/>
          <w:szCs w:val="22"/>
        </w:rPr>
        <w:t>mg, netikėtų nepageidaujamų reakcijų nepasireiškė. Perdozavus reikia stebėti, ar nėra toksinio poveikio požymių ir prireikus taikyti įprastą palaikomąjį gydymą.</w:t>
      </w:r>
    </w:p>
    <w:p w14:paraId="4F34DCCA" w14:textId="77777777" w:rsidR="00024C83" w:rsidRDefault="00024C83" w:rsidP="00024C83">
      <w:pPr>
        <w:pStyle w:val="Default"/>
        <w:rPr>
          <w:sz w:val="22"/>
          <w:szCs w:val="22"/>
        </w:rPr>
      </w:pPr>
    </w:p>
    <w:p w14:paraId="3A070381" w14:textId="77777777" w:rsidR="005940A6" w:rsidRPr="00D166EA" w:rsidRDefault="005940A6" w:rsidP="00024C83">
      <w:pPr>
        <w:pStyle w:val="Default"/>
        <w:rPr>
          <w:sz w:val="22"/>
          <w:szCs w:val="22"/>
        </w:rPr>
      </w:pPr>
    </w:p>
    <w:p w14:paraId="3A1E48B3" w14:textId="77777777" w:rsidR="00024C83" w:rsidRPr="00D166EA" w:rsidRDefault="00024C83" w:rsidP="00024C83">
      <w:pPr>
        <w:pStyle w:val="Default"/>
        <w:rPr>
          <w:sz w:val="22"/>
          <w:szCs w:val="22"/>
        </w:rPr>
      </w:pPr>
      <w:r w:rsidRPr="00D166EA">
        <w:rPr>
          <w:b/>
          <w:bCs/>
          <w:sz w:val="22"/>
          <w:szCs w:val="22"/>
        </w:rPr>
        <w:t>5.</w:t>
      </w:r>
      <w:r w:rsidRPr="00D166EA">
        <w:rPr>
          <w:b/>
          <w:bCs/>
          <w:sz w:val="22"/>
          <w:szCs w:val="22"/>
        </w:rPr>
        <w:tab/>
        <w:t xml:space="preserve">FARMAKOLOGINĖS SAVYBĖS </w:t>
      </w:r>
    </w:p>
    <w:p w14:paraId="36D7D6E4" w14:textId="77777777" w:rsidR="00DD7D9F" w:rsidRPr="00D166EA" w:rsidRDefault="00DD7D9F" w:rsidP="00024C83">
      <w:pPr>
        <w:pStyle w:val="Default"/>
        <w:rPr>
          <w:b/>
          <w:bCs/>
          <w:sz w:val="22"/>
          <w:szCs w:val="22"/>
        </w:rPr>
      </w:pPr>
    </w:p>
    <w:p w14:paraId="115BB6D5" w14:textId="77777777" w:rsidR="00024C83" w:rsidRPr="00D166EA" w:rsidRDefault="00024C83" w:rsidP="00024C83">
      <w:pPr>
        <w:pStyle w:val="Default"/>
        <w:rPr>
          <w:sz w:val="22"/>
          <w:szCs w:val="22"/>
        </w:rPr>
      </w:pPr>
      <w:r w:rsidRPr="00D166EA">
        <w:rPr>
          <w:b/>
          <w:bCs/>
          <w:sz w:val="22"/>
          <w:szCs w:val="22"/>
        </w:rPr>
        <w:t>5.1</w:t>
      </w:r>
      <w:r w:rsidR="00DD7D9F" w:rsidRPr="00D166EA">
        <w:rPr>
          <w:b/>
          <w:bCs/>
          <w:sz w:val="22"/>
          <w:szCs w:val="22"/>
        </w:rPr>
        <w:tab/>
      </w:r>
      <w:r w:rsidRPr="00D166EA">
        <w:rPr>
          <w:b/>
          <w:bCs/>
          <w:sz w:val="22"/>
          <w:szCs w:val="22"/>
        </w:rPr>
        <w:t xml:space="preserve">Farmakodinaminės savybės </w:t>
      </w:r>
    </w:p>
    <w:p w14:paraId="0681C03B" w14:textId="77777777" w:rsidR="00024C83" w:rsidRPr="00D166EA" w:rsidRDefault="00024C83" w:rsidP="00024C83">
      <w:pPr>
        <w:pStyle w:val="Default"/>
        <w:rPr>
          <w:sz w:val="22"/>
          <w:szCs w:val="22"/>
        </w:rPr>
      </w:pPr>
    </w:p>
    <w:p w14:paraId="3AB84969" w14:textId="77777777" w:rsidR="00024C83" w:rsidRPr="00D166EA" w:rsidRDefault="00024C83" w:rsidP="00B606B7">
      <w:pPr>
        <w:pStyle w:val="Default"/>
        <w:rPr>
          <w:rFonts w:eastAsia="MS Mincho"/>
          <w:szCs w:val="22"/>
        </w:rPr>
      </w:pPr>
      <w:r w:rsidRPr="00D166EA">
        <w:rPr>
          <w:sz w:val="22"/>
          <w:szCs w:val="22"/>
        </w:rPr>
        <w:t>Farmakoterapinė grupė – sisteminio vartojimo antivirusiniai vaistiniai preparatai, nukleozidų ir nukleotidų atvirkštinės transkriptazės inhibitoriai</w:t>
      </w:r>
      <w:r w:rsidR="000B7C5C">
        <w:rPr>
          <w:sz w:val="22"/>
          <w:szCs w:val="22"/>
        </w:rPr>
        <w:t xml:space="preserve">, </w:t>
      </w:r>
      <w:r w:rsidRPr="00D166EA">
        <w:rPr>
          <w:szCs w:val="22"/>
        </w:rPr>
        <w:t xml:space="preserve">ATC kodas – J05AF10. </w:t>
      </w:r>
    </w:p>
    <w:p w14:paraId="4AE520E7" w14:textId="77777777" w:rsidR="00024C83" w:rsidRPr="00D166EA" w:rsidRDefault="00024C83" w:rsidP="00024C83">
      <w:pPr>
        <w:widowControl w:val="0"/>
        <w:autoSpaceDE w:val="0"/>
        <w:autoSpaceDN w:val="0"/>
        <w:adjustRightInd w:val="0"/>
        <w:rPr>
          <w:rFonts w:eastAsia="MS Mincho"/>
          <w:szCs w:val="22"/>
        </w:rPr>
      </w:pPr>
    </w:p>
    <w:p w14:paraId="532C1D00" w14:textId="77777777" w:rsidR="000042F5" w:rsidRDefault="00DD7D9F" w:rsidP="00DD7D9F">
      <w:pPr>
        <w:pStyle w:val="Default"/>
        <w:rPr>
          <w:b/>
          <w:bCs/>
          <w:sz w:val="22"/>
          <w:szCs w:val="22"/>
        </w:rPr>
      </w:pPr>
      <w:r w:rsidRPr="00591D31">
        <w:rPr>
          <w:bCs/>
          <w:sz w:val="22"/>
          <w:szCs w:val="22"/>
          <w:u w:val="single"/>
        </w:rPr>
        <w:t>Veikimo mechanizmas</w:t>
      </w:r>
    </w:p>
    <w:p w14:paraId="5E617618" w14:textId="77777777" w:rsidR="00DD7D9F" w:rsidRDefault="00DD7D9F" w:rsidP="00DD7D9F">
      <w:pPr>
        <w:pStyle w:val="Default"/>
        <w:rPr>
          <w:sz w:val="22"/>
          <w:szCs w:val="22"/>
        </w:rPr>
      </w:pPr>
      <w:r w:rsidRPr="00D166EA">
        <w:rPr>
          <w:sz w:val="22"/>
          <w:szCs w:val="22"/>
        </w:rPr>
        <w:t>Entekaviras yra guanozino nukleozido analogas, veikiantis prieš HBV polimerazę. Jis efektyviai fosforilinamas į aktyvaus trifosfato (TF) formą, kurio viduląstelinis pusinės eliminacijos laikas yra 15</w:t>
      </w:r>
      <w:r w:rsidR="001E0AE2">
        <w:rPr>
          <w:sz w:val="22"/>
          <w:szCs w:val="22"/>
        </w:rPr>
        <w:t> </w:t>
      </w:r>
      <w:r w:rsidRPr="00D166EA">
        <w:rPr>
          <w:sz w:val="22"/>
          <w:szCs w:val="22"/>
        </w:rPr>
        <w:t>val. Konkuruojant su natūraliu substratu (dezoksiguanozino TF), entekaviro TF slopina tris virusinės polimerazės funkcijas: 1) HBV polimerazės aktyvinimą; 2) neigiamos DNR grandinės atvirkštinę transkripciją nuo pregenominės informacinės RNR; 3) teigiamos HBV DNR grandinės sintezę. Entekaviro TF Ki HBV DNR polimerazei yra 0,0012</w:t>
      </w:r>
      <w:r w:rsidR="001E0AE2">
        <w:rPr>
          <w:sz w:val="22"/>
          <w:szCs w:val="22"/>
        </w:rPr>
        <w:t> </w:t>
      </w:r>
      <w:r w:rsidRPr="00D166EA">
        <w:rPr>
          <w:sz w:val="22"/>
          <w:szCs w:val="22"/>
        </w:rPr>
        <w:t>μM. Ląstelines DNR α, β ir δ polimerazes entekaviro TF slopina silpnai (K</w:t>
      </w:r>
      <w:r w:rsidRPr="00D166EA">
        <w:rPr>
          <w:position w:val="-3"/>
          <w:sz w:val="22"/>
          <w:szCs w:val="22"/>
        </w:rPr>
        <w:t xml:space="preserve">i </w:t>
      </w:r>
      <w:r w:rsidRPr="00D166EA">
        <w:rPr>
          <w:sz w:val="22"/>
          <w:szCs w:val="22"/>
        </w:rPr>
        <w:t>– nuo 18 iki 40</w:t>
      </w:r>
      <w:r w:rsidR="001E0AE2">
        <w:rPr>
          <w:sz w:val="22"/>
          <w:szCs w:val="22"/>
        </w:rPr>
        <w:t> </w:t>
      </w:r>
      <w:r w:rsidRPr="00D166EA">
        <w:rPr>
          <w:sz w:val="22"/>
          <w:szCs w:val="22"/>
        </w:rPr>
        <w:t xml:space="preserve">μM). Be to, didelė entekaviro </w:t>
      </w:r>
      <w:r w:rsidRPr="00D166EA">
        <w:rPr>
          <w:sz w:val="22"/>
          <w:szCs w:val="22"/>
        </w:rPr>
        <w:lastRenderedPageBreak/>
        <w:t>ekspozicija nesukėlė svarbaus nepageidaujamo poveikio γ polimerazei ar mitochondrijų DNR sintezei HepG2 ląstelėse (K</w:t>
      </w:r>
      <w:r w:rsidRPr="00D166EA">
        <w:rPr>
          <w:position w:val="-3"/>
          <w:sz w:val="22"/>
          <w:szCs w:val="22"/>
        </w:rPr>
        <w:t>i</w:t>
      </w:r>
      <w:r w:rsidRPr="00D166EA">
        <w:rPr>
          <w:sz w:val="22"/>
          <w:szCs w:val="22"/>
        </w:rPr>
        <w:t xml:space="preserve"> &gt; 160</w:t>
      </w:r>
      <w:r w:rsidR="001E0AE2">
        <w:rPr>
          <w:sz w:val="22"/>
          <w:szCs w:val="22"/>
        </w:rPr>
        <w:t> </w:t>
      </w:r>
      <w:r w:rsidRPr="00D166EA">
        <w:rPr>
          <w:sz w:val="22"/>
          <w:szCs w:val="22"/>
        </w:rPr>
        <w:t xml:space="preserve">μM). </w:t>
      </w:r>
    </w:p>
    <w:p w14:paraId="5BFC628A" w14:textId="77777777" w:rsidR="000B7C5C" w:rsidRPr="00D166EA" w:rsidRDefault="000B7C5C" w:rsidP="00DD7D9F">
      <w:pPr>
        <w:pStyle w:val="Default"/>
        <w:rPr>
          <w:sz w:val="22"/>
          <w:szCs w:val="22"/>
        </w:rPr>
      </w:pPr>
    </w:p>
    <w:p w14:paraId="7C5D3094" w14:textId="77777777" w:rsidR="00807239" w:rsidRPr="00D166EA" w:rsidRDefault="00807239" w:rsidP="00807239">
      <w:pPr>
        <w:pStyle w:val="Default"/>
        <w:rPr>
          <w:sz w:val="22"/>
          <w:szCs w:val="22"/>
        </w:rPr>
      </w:pPr>
      <w:r w:rsidRPr="00D166EA">
        <w:rPr>
          <w:b/>
          <w:bCs/>
          <w:sz w:val="22"/>
          <w:szCs w:val="22"/>
        </w:rPr>
        <w:t xml:space="preserve">Antivirusinis aktyvumas. </w:t>
      </w:r>
      <w:r w:rsidRPr="00D166EA">
        <w:rPr>
          <w:sz w:val="22"/>
          <w:szCs w:val="22"/>
        </w:rPr>
        <w:t>Entekaviras, esant jo koncentracijai 0,004</w:t>
      </w:r>
      <w:r w:rsidR="001E0AE2">
        <w:rPr>
          <w:sz w:val="22"/>
          <w:szCs w:val="22"/>
        </w:rPr>
        <w:t> </w:t>
      </w:r>
      <w:r w:rsidRPr="00D166EA">
        <w:rPr>
          <w:sz w:val="22"/>
          <w:szCs w:val="22"/>
        </w:rPr>
        <w:t>μM, slopina HBV DNR sintezę (50</w:t>
      </w:r>
      <w:r w:rsidR="001E0AE2">
        <w:rPr>
          <w:sz w:val="22"/>
          <w:szCs w:val="22"/>
        </w:rPr>
        <w:t> </w:t>
      </w:r>
      <w:r w:rsidRPr="00D166EA">
        <w:rPr>
          <w:sz w:val="22"/>
          <w:szCs w:val="22"/>
        </w:rPr>
        <w:t>% sumažėjimas, EC50) žmogaus HepG2 ląstelėse, transfektuotose natūralaus tipo HBV. Entekaviro EC50 prieš LVDr HBV (rtL180M ir rtM204V) mediana buvo 0,026</w:t>
      </w:r>
      <w:r w:rsidR="001E0AE2">
        <w:rPr>
          <w:sz w:val="22"/>
          <w:szCs w:val="22"/>
        </w:rPr>
        <w:t> </w:t>
      </w:r>
      <w:r w:rsidRPr="00D166EA">
        <w:rPr>
          <w:sz w:val="22"/>
          <w:szCs w:val="22"/>
        </w:rPr>
        <w:t>μM (diapazonas – 0,010 - 0,059</w:t>
      </w:r>
      <w:r w:rsidR="001E0AE2">
        <w:rPr>
          <w:sz w:val="22"/>
          <w:szCs w:val="22"/>
        </w:rPr>
        <w:t> </w:t>
      </w:r>
      <w:r w:rsidRPr="00D166EA">
        <w:rPr>
          <w:sz w:val="22"/>
          <w:szCs w:val="22"/>
        </w:rPr>
        <w:t>μM). Rekombinaciniai virusai, kuriuose yra atsparumą adefovirui koduojančių pakeitimų rtN236T arba rtA181V, išliko visiškai jautrūs entekavirui. Išanalizavus entekaviro slopinantį aktyvumą prieš daugelį laboratorijoje ir klinikoje išskirtų ŽIV-1 izoliatų (naudojant įvairias ląsteles, įvairiomis mėginio atlikimo sąlygomis), gautos EC50 buvo nuo 0,026 iki &gt;</w:t>
      </w:r>
      <w:r w:rsidR="001E0AE2">
        <w:rPr>
          <w:sz w:val="22"/>
          <w:szCs w:val="22"/>
        </w:rPr>
        <w:t> </w:t>
      </w:r>
      <w:r w:rsidRPr="00D166EA">
        <w:rPr>
          <w:sz w:val="22"/>
          <w:szCs w:val="22"/>
        </w:rPr>
        <w:t>10</w:t>
      </w:r>
      <w:r w:rsidR="001E0AE2">
        <w:rPr>
          <w:sz w:val="22"/>
          <w:szCs w:val="22"/>
        </w:rPr>
        <w:t> </w:t>
      </w:r>
      <w:r w:rsidRPr="00D166EA">
        <w:rPr>
          <w:sz w:val="22"/>
          <w:szCs w:val="22"/>
        </w:rPr>
        <w:t>μmol. Mažesnės EC50 nustatytos mėginyje naudojant mažesnius virusų kiekius</w:t>
      </w:r>
      <w:r w:rsidR="000B7C5C">
        <w:rPr>
          <w:sz w:val="22"/>
          <w:szCs w:val="22"/>
        </w:rPr>
        <w:t>.</w:t>
      </w:r>
      <w:r w:rsidRPr="00D166EA">
        <w:rPr>
          <w:sz w:val="22"/>
          <w:szCs w:val="22"/>
        </w:rPr>
        <w:t xml:space="preserve"> Ląstelių kultūroje pastebėta M184I pakeitimo selekcija esant mikromolinėms entekaviro koncentracijoms (tai patvirtina didelių entekaviro koncentracijų sukeliamą atsparių viruso variantų susidarymo trukdymą). Nustatyta, kad ŽIV variantai, įgiję M184V pakeitimą, netenka jautrumo entekavirui (žr. 4.4 skyrių). </w:t>
      </w:r>
    </w:p>
    <w:p w14:paraId="1E1DA5EA" w14:textId="77777777" w:rsidR="00807239" w:rsidRPr="00D166EA" w:rsidRDefault="00807239" w:rsidP="00807239">
      <w:pPr>
        <w:pStyle w:val="Default"/>
        <w:rPr>
          <w:sz w:val="22"/>
          <w:szCs w:val="22"/>
        </w:rPr>
      </w:pPr>
    </w:p>
    <w:p w14:paraId="7272B721" w14:textId="77777777" w:rsidR="00807239" w:rsidRPr="00D166EA" w:rsidRDefault="00807239" w:rsidP="00807239">
      <w:pPr>
        <w:pStyle w:val="Default"/>
        <w:rPr>
          <w:sz w:val="22"/>
          <w:szCs w:val="22"/>
        </w:rPr>
      </w:pPr>
      <w:r w:rsidRPr="00D166EA">
        <w:rPr>
          <w:sz w:val="22"/>
          <w:szCs w:val="22"/>
        </w:rPr>
        <w:t xml:space="preserve">Tiriant vaistinių preparatų nuo HBV derinių poveikį auginamose ląstelėse, abakaviras, didanozinas, lamivudinas, stavudinas, tenofoviras ar zidovudinas, kurių koncentracijos įvairavo plačiame diapazone, entekaviro anti-HBV aktyvumo nemažino. Tiriant vaistinių preparatų nuo ŽIV derinių poveikį auginamose ląstelėse, entekaviro mikromolinės koncentracijos šių šešių NATI (nukleozidų atvirkštinės transkriptazės inhibitorių) ir emtricitabino ŽIV slopinančio aktyvumo taip pat nemažino. </w:t>
      </w:r>
    </w:p>
    <w:p w14:paraId="35E864E0" w14:textId="77777777" w:rsidR="00807239" w:rsidRPr="00D166EA" w:rsidRDefault="00807239" w:rsidP="00807239">
      <w:pPr>
        <w:widowControl w:val="0"/>
        <w:autoSpaceDE w:val="0"/>
        <w:autoSpaceDN w:val="0"/>
        <w:adjustRightInd w:val="0"/>
        <w:rPr>
          <w:b/>
          <w:bCs/>
          <w:szCs w:val="22"/>
          <w:lang w:val="sl-SI"/>
        </w:rPr>
      </w:pPr>
    </w:p>
    <w:p w14:paraId="2F72B0D4" w14:textId="77777777" w:rsidR="00807239" w:rsidRPr="00D166EA" w:rsidRDefault="00807239" w:rsidP="0038525F">
      <w:pPr>
        <w:widowControl w:val="0"/>
        <w:autoSpaceDE w:val="0"/>
        <w:autoSpaceDN w:val="0"/>
        <w:adjustRightInd w:val="0"/>
        <w:rPr>
          <w:rFonts w:eastAsia="MS Mincho"/>
          <w:szCs w:val="22"/>
        </w:rPr>
      </w:pPr>
      <w:r w:rsidRPr="00D166EA">
        <w:rPr>
          <w:b/>
          <w:bCs/>
          <w:szCs w:val="22"/>
        </w:rPr>
        <w:t xml:space="preserve">Atsparumas ląstelių kultūroje. </w:t>
      </w:r>
      <w:r w:rsidRPr="00D166EA">
        <w:rPr>
          <w:szCs w:val="22"/>
        </w:rPr>
        <w:t>LVDr virusų, kurių atvirkštinės transkriptazės grandinėje yra rtM204V ir rtL180M pakeitimų, jautrumas entekavirui yra 8</w:t>
      </w:r>
      <w:r w:rsidR="001E0AE2">
        <w:rPr>
          <w:szCs w:val="22"/>
        </w:rPr>
        <w:t> </w:t>
      </w:r>
      <w:r w:rsidRPr="00D166EA">
        <w:rPr>
          <w:szCs w:val="22"/>
        </w:rPr>
        <w:t xml:space="preserve">kartus mažesnis negu natūralaus tipo HBV. Įterpus papildomų ETVr aminorūgščių pakeitimų rtT184, rtS202 arba rtM250, virusų jautrumas entekavirui auginamose ląstelėse dar labiau sumažėja. Klinikiniuose mėginiuose rasti pakeitimai (rtT184A, C, F, G, I, L, M arba S; rtS202 C, G arba I ir [arba] rtM250I, L arba V) lėmė dar (16 - 741 kartą, palyginus su natūralaus tipo virusu) mažesnį jautrumą entekavirui. </w:t>
      </w:r>
      <w:r w:rsidR="0038525F" w:rsidRPr="0038525F">
        <w:rPr>
          <w:szCs w:val="22"/>
        </w:rPr>
        <w:t>Lavimudinui</w:t>
      </w:r>
      <w:r w:rsidR="0038525F">
        <w:rPr>
          <w:szCs w:val="22"/>
        </w:rPr>
        <w:t xml:space="preserve"> </w:t>
      </w:r>
      <w:r w:rsidR="0038525F" w:rsidRPr="0038525F">
        <w:rPr>
          <w:szCs w:val="22"/>
        </w:rPr>
        <w:t>atsparios padermės</w:t>
      </w:r>
      <w:r w:rsidR="00A821F7">
        <w:rPr>
          <w:szCs w:val="22"/>
        </w:rPr>
        <w:t>,</w:t>
      </w:r>
      <w:r w:rsidR="0038525F" w:rsidRPr="0038525F">
        <w:rPr>
          <w:szCs w:val="22"/>
        </w:rPr>
        <w:t xml:space="preserve"> turinčios rtL180M plius rtM204V</w:t>
      </w:r>
      <w:r w:rsidR="00A821F7">
        <w:rPr>
          <w:szCs w:val="22"/>
        </w:rPr>
        <w:t>, derinyje</w:t>
      </w:r>
      <w:r w:rsidR="0038525F" w:rsidRPr="0038525F">
        <w:rPr>
          <w:szCs w:val="22"/>
        </w:rPr>
        <w:t xml:space="preserve"> su amino rūgšties rtA181C pakaitalu</w:t>
      </w:r>
      <w:r w:rsidR="0038525F">
        <w:rPr>
          <w:szCs w:val="22"/>
        </w:rPr>
        <w:t xml:space="preserve"> </w:t>
      </w:r>
      <w:r w:rsidR="0038525F" w:rsidRPr="0038525F">
        <w:rPr>
          <w:szCs w:val="22"/>
        </w:rPr>
        <w:t xml:space="preserve">sumažina entekaviro fenotipinį jautrumą nuo 16 iki 122 kartų. </w:t>
      </w:r>
      <w:r w:rsidRPr="00D166EA">
        <w:rPr>
          <w:szCs w:val="22"/>
        </w:rPr>
        <w:t>Būdami vieni, rtT184, rtS202 ir rtM250 liekanų ETVr pakeitimai virusų jautrumą entekavirui įtakoja nedaug; daugiau kaip viename tūkstantyje iš pacientų paimtų mėginių, nesant LVDr pakeitimų, jų nerasta. Atsparumą lemia sumažėjęs inhibitoriaus jungimasis prie pakitusios HBV atvirkštinės transkriptazės; atsparių HBV gebėjimas replikuotis auginamose ląstelėse būna mažesnis.</w:t>
      </w:r>
    </w:p>
    <w:p w14:paraId="5DF68B7B" w14:textId="77777777" w:rsidR="00807239" w:rsidRPr="00D166EA" w:rsidRDefault="00807239" w:rsidP="00807239">
      <w:pPr>
        <w:widowControl w:val="0"/>
        <w:autoSpaceDE w:val="0"/>
        <w:autoSpaceDN w:val="0"/>
        <w:adjustRightInd w:val="0"/>
        <w:rPr>
          <w:rFonts w:eastAsia="MS Mincho"/>
          <w:szCs w:val="22"/>
        </w:rPr>
      </w:pPr>
    </w:p>
    <w:p w14:paraId="5651DF0D" w14:textId="77777777" w:rsidR="00807239" w:rsidRPr="00D166EA" w:rsidRDefault="00807239" w:rsidP="00807239">
      <w:pPr>
        <w:pStyle w:val="Default"/>
        <w:rPr>
          <w:sz w:val="22"/>
          <w:szCs w:val="22"/>
        </w:rPr>
      </w:pPr>
      <w:r w:rsidRPr="00D166EA">
        <w:rPr>
          <w:b/>
          <w:bCs/>
          <w:sz w:val="22"/>
          <w:szCs w:val="22"/>
        </w:rPr>
        <w:t xml:space="preserve">Klinikinė patirtis. </w:t>
      </w:r>
      <w:r w:rsidRPr="00D166EA">
        <w:rPr>
          <w:sz w:val="22"/>
          <w:szCs w:val="22"/>
        </w:rPr>
        <w:t>Palankų poveikį rodo histologinis, virusologinis, biocheminis ir serologinis atsakas, nustatytas po 48</w:t>
      </w:r>
      <w:r w:rsidR="001E0AE2">
        <w:rPr>
          <w:sz w:val="22"/>
          <w:szCs w:val="22"/>
        </w:rPr>
        <w:t> </w:t>
      </w:r>
      <w:r w:rsidRPr="00D166EA">
        <w:rPr>
          <w:sz w:val="22"/>
          <w:szCs w:val="22"/>
        </w:rPr>
        <w:t>gydymo savaičių aktyvios kontrolės klinikiniuose tyrimuose, kuriuose dalyvavo 1633 suaugusieji, sirgę lėtine hepatito B infekcija</w:t>
      </w:r>
      <w:r w:rsidR="00F65FDE">
        <w:rPr>
          <w:sz w:val="22"/>
          <w:szCs w:val="22"/>
        </w:rPr>
        <w:t>,</w:t>
      </w:r>
      <w:r w:rsidRPr="00D166EA">
        <w:rPr>
          <w:sz w:val="22"/>
          <w:szCs w:val="22"/>
        </w:rPr>
        <w:t xml:space="preserve"> esant virusų replikaciją rodančių duomenų (jų kepenų funkcija buvo kompensuota). Be to, entekaviro saugumas ir veiksmingumas buvo įvertintas atliekant aktyvios kontrolės klinikinį tyrimą, kuriame dalyvavo 191 HBV infekuotas pacientas, sirgęs nekompensuota kepenų liga, ir klinikinį tyrimą, kuriame dalyvavo 68</w:t>
      </w:r>
      <w:r w:rsidR="001E0AE2">
        <w:rPr>
          <w:sz w:val="22"/>
          <w:szCs w:val="22"/>
        </w:rPr>
        <w:t> </w:t>
      </w:r>
      <w:r w:rsidRPr="00D166EA">
        <w:rPr>
          <w:sz w:val="22"/>
          <w:szCs w:val="22"/>
        </w:rPr>
        <w:t xml:space="preserve">pacientai, kartu infekuoti HBV ir ŽIV. </w:t>
      </w:r>
    </w:p>
    <w:p w14:paraId="1DE6C8BF" w14:textId="77777777" w:rsidR="00807239" w:rsidRPr="00D166EA" w:rsidRDefault="00807239" w:rsidP="00807239">
      <w:pPr>
        <w:pStyle w:val="Default"/>
        <w:rPr>
          <w:sz w:val="22"/>
          <w:szCs w:val="22"/>
        </w:rPr>
      </w:pPr>
    </w:p>
    <w:p w14:paraId="39B004C1" w14:textId="77777777" w:rsidR="00807239" w:rsidRPr="00D166EA" w:rsidRDefault="00807239" w:rsidP="00807239">
      <w:pPr>
        <w:pStyle w:val="Default"/>
        <w:rPr>
          <w:sz w:val="22"/>
          <w:szCs w:val="22"/>
        </w:rPr>
      </w:pPr>
      <w:r w:rsidRPr="00D166EA">
        <w:rPr>
          <w:sz w:val="22"/>
          <w:szCs w:val="22"/>
        </w:rPr>
        <w:t>Tyrimų, kuriuose dalyvavo kompensuota kepenų liga sirgę pacientai, metu histologiniu pagerėjimu laikytas Knodell nekrozės ir uždegimo rodiklio pagerėjimas 2 ar daugiau balų, palyginus su buvusiu iki gydymo, nepablogėjant Knodell fibrozės rodikliui. Pacientams, kuriems iki gydymo nustatytas Knodell fibrozės rodiklis buvo 4 (cirozė), atsakas pagal visus veiksmingumo kriterijus buvo panašus į atsaką bendrai pacientų grupei (visų pacientų kepenų funkcija buvo kompensuota). Iki gydymo nustatyti dideli Knodell nekrozės ir uždegimo rodikliai (&gt;</w:t>
      </w:r>
      <w:r w:rsidR="001E0AE2">
        <w:rPr>
          <w:sz w:val="22"/>
          <w:szCs w:val="22"/>
        </w:rPr>
        <w:t> </w:t>
      </w:r>
      <w:r w:rsidRPr="00D166EA">
        <w:rPr>
          <w:sz w:val="22"/>
          <w:szCs w:val="22"/>
        </w:rPr>
        <w:t>10) buvo susiję su ryškesniu histologiniu pagerėjimu iki tol nukleozidų nevartojusiems pacientams. Iki gydymo 2</w:t>
      </w:r>
      <w:r w:rsidR="001E0AE2">
        <w:rPr>
          <w:sz w:val="22"/>
          <w:szCs w:val="22"/>
        </w:rPr>
        <w:t> </w:t>
      </w:r>
      <w:r w:rsidRPr="00D166EA">
        <w:rPr>
          <w:sz w:val="22"/>
          <w:szCs w:val="22"/>
        </w:rPr>
        <w:t>kartus ar daugiau viršijęs</w:t>
      </w:r>
      <w:r w:rsidR="001E0AE2">
        <w:rPr>
          <w:sz w:val="22"/>
          <w:szCs w:val="22"/>
        </w:rPr>
        <w:t xml:space="preserve"> </w:t>
      </w:r>
      <w:r w:rsidRPr="00D166EA">
        <w:rPr>
          <w:sz w:val="22"/>
          <w:szCs w:val="22"/>
        </w:rPr>
        <w:t>VNR ALT aktyvumas ir iki gydymo buvusi ≤</w:t>
      </w:r>
      <w:r w:rsidR="001E0AE2">
        <w:rPr>
          <w:sz w:val="22"/>
          <w:szCs w:val="22"/>
        </w:rPr>
        <w:t> </w:t>
      </w:r>
      <w:r w:rsidRPr="00D166EA">
        <w:rPr>
          <w:sz w:val="22"/>
          <w:szCs w:val="22"/>
        </w:rPr>
        <w:t>9</w:t>
      </w:r>
      <w:r w:rsidR="001E0AE2">
        <w:rPr>
          <w:sz w:val="22"/>
          <w:szCs w:val="22"/>
        </w:rPr>
        <w:t> </w:t>
      </w:r>
      <w:r w:rsidRPr="00D166EA">
        <w:rPr>
          <w:sz w:val="22"/>
          <w:szCs w:val="22"/>
        </w:rPr>
        <w:t>log</w:t>
      </w:r>
      <w:r w:rsidRPr="00D166EA">
        <w:rPr>
          <w:sz w:val="22"/>
          <w:szCs w:val="22"/>
          <w:vertAlign w:val="subscript"/>
        </w:rPr>
        <w:t>10</w:t>
      </w:r>
      <w:r w:rsidR="001E0AE2">
        <w:rPr>
          <w:sz w:val="22"/>
          <w:szCs w:val="22"/>
        </w:rPr>
        <w:t> </w:t>
      </w:r>
      <w:r w:rsidRPr="00D166EA">
        <w:rPr>
          <w:sz w:val="22"/>
          <w:szCs w:val="22"/>
        </w:rPr>
        <w:t>kopijų/ml HBV DNR koncentracija susijusios su dažnesniu virusologiniu atsaku (48</w:t>
      </w:r>
      <w:r w:rsidR="001E0AE2">
        <w:rPr>
          <w:sz w:val="22"/>
          <w:szCs w:val="22"/>
        </w:rPr>
        <w:t> </w:t>
      </w:r>
      <w:r w:rsidRPr="00D166EA">
        <w:rPr>
          <w:sz w:val="22"/>
          <w:szCs w:val="22"/>
        </w:rPr>
        <w:t>savaitę HBV DNR koncentracija &lt;</w:t>
      </w:r>
      <w:r w:rsidR="001E0AE2">
        <w:rPr>
          <w:sz w:val="22"/>
          <w:szCs w:val="22"/>
        </w:rPr>
        <w:t> </w:t>
      </w:r>
      <w:r w:rsidRPr="00D166EA">
        <w:rPr>
          <w:sz w:val="22"/>
          <w:szCs w:val="22"/>
        </w:rPr>
        <w:t>400</w:t>
      </w:r>
      <w:r w:rsidR="001E0AE2">
        <w:rPr>
          <w:sz w:val="22"/>
          <w:szCs w:val="22"/>
        </w:rPr>
        <w:t> </w:t>
      </w:r>
      <w:r w:rsidRPr="00D166EA">
        <w:rPr>
          <w:sz w:val="22"/>
          <w:szCs w:val="22"/>
        </w:rPr>
        <w:t xml:space="preserve">kopijų/ml) anksčiau nukleozidų nevartojusiems HBeAg teigiamiems pacientams. Histologinis ir virusologinis atsakas į gydymą nustatytas daugumai pacientų, nepriklausomai nuo rodiklių iki gydymo. </w:t>
      </w:r>
    </w:p>
    <w:p w14:paraId="30B330E3" w14:textId="77777777" w:rsidR="00807239" w:rsidRPr="00D166EA" w:rsidRDefault="00807239" w:rsidP="00807239">
      <w:pPr>
        <w:pStyle w:val="Default"/>
        <w:rPr>
          <w:i/>
          <w:iCs/>
          <w:sz w:val="22"/>
          <w:szCs w:val="22"/>
        </w:rPr>
      </w:pPr>
    </w:p>
    <w:p w14:paraId="656746F5" w14:textId="77777777" w:rsidR="00807239" w:rsidRPr="00591D31" w:rsidRDefault="00807239" w:rsidP="00807239">
      <w:pPr>
        <w:pStyle w:val="Default"/>
        <w:rPr>
          <w:sz w:val="22"/>
          <w:szCs w:val="22"/>
        </w:rPr>
      </w:pPr>
      <w:r w:rsidRPr="00591D31">
        <w:rPr>
          <w:i/>
          <w:iCs/>
          <w:sz w:val="22"/>
          <w:szCs w:val="22"/>
        </w:rPr>
        <w:t xml:space="preserve">Patirtis nukleozidų nevartojusiems pacientams, kurių kepenų funkcija kompensuota </w:t>
      </w:r>
    </w:p>
    <w:p w14:paraId="461A24AF" w14:textId="77777777" w:rsidR="00807239" w:rsidRPr="00D166EA" w:rsidRDefault="00807239" w:rsidP="00807239">
      <w:pPr>
        <w:widowControl w:val="0"/>
        <w:autoSpaceDE w:val="0"/>
        <w:autoSpaceDN w:val="0"/>
        <w:adjustRightInd w:val="0"/>
        <w:rPr>
          <w:rFonts w:eastAsia="MS Mincho"/>
          <w:szCs w:val="22"/>
        </w:rPr>
      </w:pPr>
      <w:r w:rsidRPr="00D166EA">
        <w:rPr>
          <w:szCs w:val="22"/>
        </w:rPr>
        <w:t>Po 48</w:t>
      </w:r>
      <w:r w:rsidR="001E0AE2">
        <w:rPr>
          <w:szCs w:val="22"/>
        </w:rPr>
        <w:t> </w:t>
      </w:r>
      <w:r w:rsidRPr="00D166EA">
        <w:rPr>
          <w:szCs w:val="22"/>
        </w:rPr>
        <w:t xml:space="preserve">savaičių gauti atsitiktinės atrankos, dvigubai koduotų entekaviro (ETV) ir lamivudino (LVD) palyginamųjų tyrimų duomenys HBeAg teigiamiems (022) ir HBeAg neigiamiems (027) pacientams </w:t>
      </w:r>
      <w:r w:rsidRPr="00D166EA">
        <w:rPr>
          <w:szCs w:val="22"/>
        </w:rPr>
        <w:lastRenderedPageBreak/>
        <w:t>pateikiami lentelėje</w:t>
      </w:r>
      <w:r w:rsidRPr="00D166EA">
        <w:rPr>
          <w:rFonts w:eastAsia="MS Mincho"/>
          <w:szCs w:val="22"/>
        </w:rPr>
        <w:t>.</w:t>
      </w:r>
    </w:p>
    <w:p w14:paraId="73FE14D4" w14:textId="77777777" w:rsidR="00807239" w:rsidRPr="00D166EA" w:rsidRDefault="00807239" w:rsidP="00807239">
      <w:pPr>
        <w:rPr>
          <w:szCs w:val="22"/>
        </w:rPr>
      </w:pPr>
    </w:p>
    <w:tbl>
      <w:tblPr>
        <w:tblW w:w="0" w:type="auto"/>
        <w:tblInd w:w="122" w:type="dxa"/>
        <w:tblLayout w:type="fixed"/>
        <w:tblCellMar>
          <w:left w:w="0" w:type="dxa"/>
          <w:right w:w="0" w:type="dxa"/>
        </w:tblCellMar>
        <w:tblLook w:val="01E0" w:firstRow="1" w:lastRow="1" w:firstColumn="1" w:lastColumn="1" w:noHBand="0" w:noVBand="0"/>
      </w:tblPr>
      <w:tblGrid>
        <w:gridCol w:w="3518"/>
        <w:gridCol w:w="1136"/>
        <w:gridCol w:w="1242"/>
        <w:gridCol w:w="1137"/>
        <w:gridCol w:w="1245"/>
      </w:tblGrid>
      <w:tr w:rsidR="00807239" w:rsidRPr="00D166EA" w14:paraId="17AD3261" w14:textId="77777777" w:rsidTr="002746CC">
        <w:trPr>
          <w:trHeight w:hRule="exact" w:val="252"/>
        </w:trPr>
        <w:tc>
          <w:tcPr>
            <w:tcW w:w="3518" w:type="dxa"/>
            <w:tcBorders>
              <w:top w:val="single" w:sz="4" w:space="0" w:color="000000"/>
              <w:left w:val="single" w:sz="4" w:space="0" w:color="000000"/>
              <w:right w:val="single" w:sz="4" w:space="0" w:color="000000"/>
            </w:tcBorders>
          </w:tcPr>
          <w:p w14:paraId="7571FF40" w14:textId="77777777" w:rsidR="00807239" w:rsidRPr="00D166EA" w:rsidRDefault="00807239" w:rsidP="00C949E4">
            <w:pPr>
              <w:rPr>
                <w:szCs w:val="22"/>
              </w:rPr>
            </w:pPr>
          </w:p>
        </w:tc>
        <w:tc>
          <w:tcPr>
            <w:tcW w:w="4760" w:type="dxa"/>
            <w:gridSpan w:val="4"/>
            <w:tcBorders>
              <w:top w:val="single" w:sz="4" w:space="0" w:color="000000"/>
              <w:left w:val="single" w:sz="4" w:space="0" w:color="000000"/>
              <w:bottom w:val="single" w:sz="8" w:space="0" w:color="000000"/>
              <w:right w:val="single" w:sz="4" w:space="0" w:color="000000"/>
            </w:tcBorders>
          </w:tcPr>
          <w:p w14:paraId="315A2C5E" w14:textId="77777777" w:rsidR="00807239" w:rsidRPr="00D166EA" w:rsidRDefault="00807239" w:rsidP="00C949E4">
            <w:pPr>
              <w:pStyle w:val="Default"/>
              <w:jc w:val="center"/>
              <w:rPr>
                <w:sz w:val="22"/>
                <w:szCs w:val="22"/>
              </w:rPr>
            </w:pPr>
            <w:r w:rsidRPr="00D166EA">
              <w:rPr>
                <w:sz w:val="22"/>
                <w:szCs w:val="22"/>
              </w:rPr>
              <w:t xml:space="preserve">Nukleozidai </w:t>
            </w:r>
          </w:p>
          <w:p w14:paraId="6B64DE33" w14:textId="77777777" w:rsidR="00807239" w:rsidRPr="00D166EA" w:rsidRDefault="00807239" w:rsidP="00C949E4">
            <w:pPr>
              <w:spacing w:before="5"/>
              <w:ind w:left="1601" w:right="1581"/>
              <w:jc w:val="center"/>
              <w:rPr>
                <w:szCs w:val="22"/>
              </w:rPr>
            </w:pPr>
            <w:r w:rsidRPr="00D166EA">
              <w:rPr>
                <w:spacing w:val="28"/>
                <w:szCs w:val="22"/>
              </w:rPr>
              <w:t xml:space="preserve"> </w:t>
            </w:r>
            <w:r w:rsidRPr="00D166EA">
              <w:rPr>
                <w:spacing w:val="1"/>
                <w:w w:val="103"/>
                <w:szCs w:val="22"/>
              </w:rPr>
              <w:t>Na</w:t>
            </w:r>
            <w:r w:rsidRPr="00D166EA">
              <w:rPr>
                <w:w w:val="103"/>
                <w:szCs w:val="22"/>
              </w:rPr>
              <w:t>ive</w:t>
            </w:r>
          </w:p>
        </w:tc>
      </w:tr>
      <w:tr w:rsidR="00807239" w:rsidRPr="00D166EA" w14:paraId="6F12D81E" w14:textId="77777777" w:rsidTr="002746CC">
        <w:trPr>
          <w:trHeight w:hRule="exact" w:val="496"/>
        </w:trPr>
        <w:tc>
          <w:tcPr>
            <w:tcW w:w="3518" w:type="dxa"/>
            <w:vMerge w:val="restart"/>
            <w:tcBorders>
              <w:left w:val="single" w:sz="4" w:space="0" w:color="000000"/>
              <w:right w:val="single" w:sz="4" w:space="0" w:color="000000"/>
            </w:tcBorders>
          </w:tcPr>
          <w:p w14:paraId="6A7283C9" w14:textId="77777777" w:rsidR="00807239" w:rsidRPr="00D166EA" w:rsidRDefault="00807239" w:rsidP="00C949E4">
            <w:pPr>
              <w:rPr>
                <w:szCs w:val="22"/>
              </w:rPr>
            </w:pPr>
          </w:p>
        </w:tc>
        <w:tc>
          <w:tcPr>
            <w:tcW w:w="2378" w:type="dxa"/>
            <w:gridSpan w:val="2"/>
            <w:tcBorders>
              <w:top w:val="single" w:sz="8" w:space="0" w:color="000000"/>
              <w:left w:val="single" w:sz="4" w:space="0" w:color="000000"/>
              <w:bottom w:val="single" w:sz="8" w:space="0" w:color="000000"/>
              <w:right w:val="single" w:sz="4" w:space="0" w:color="000000"/>
            </w:tcBorders>
          </w:tcPr>
          <w:p w14:paraId="463699F9" w14:textId="77777777" w:rsidR="00807239" w:rsidRPr="00D166EA" w:rsidRDefault="00807239" w:rsidP="00C949E4">
            <w:pPr>
              <w:pStyle w:val="Default"/>
              <w:jc w:val="center"/>
              <w:rPr>
                <w:sz w:val="22"/>
                <w:szCs w:val="22"/>
              </w:rPr>
            </w:pPr>
            <w:r w:rsidRPr="00D166EA">
              <w:rPr>
                <w:sz w:val="22"/>
                <w:szCs w:val="22"/>
              </w:rPr>
              <w:t xml:space="preserve">HBeAg teigiami </w:t>
            </w:r>
          </w:p>
          <w:p w14:paraId="37BDCB23" w14:textId="77777777" w:rsidR="00807239" w:rsidRPr="00D166EA" w:rsidRDefault="00807239" w:rsidP="00C949E4">
            <w:pPr>
              <w:spacing w:before="9"/>
              <w:ind w:left="673" w:right="656"/>
              <w:jc w:val="center"/>
              <w:rPr>
                <w:szCs w:val="22"/>
              </w:rPr>
            </w:pPr>
          </w:p>
        </w:tc>
        <w:tc>
          <w:tcPr>
            <w:tcW w:w="2382" w:type="dxa"/>
            <w:gridSpan w:val="2"/>
            <w:tcBorders>
              <w:top w:val="single" w:sz="8" w:space="0" w:color="000000"/>
              <w:left w:val="single" w:sz="4" w:space="0" w:color="000000"/>
              <w:bottom w:val="single" w:sz="8" w:space="0" w:color="000000"/>
              <w:right w:val="single" w:sz="4" w:space="0" w:color="000000"/>
            </w:tcBorders>
          </w:tcPr>
          <w:p w14:paraId="0726C3DA" w14:textId="77777777" w:rsidR="00807239" w:rsidRPr="00D166EA" w:rsidRDefault="00807239" w:rsidP="00C949E4">
            <w:pPr>
              <w:pStyle w:val="Default"/>
              <w:jc w:val="center"/>
              <w:rPr>
                <w:sz w:val="22"/>
                <w:szCs w:val="22"/>
              </w:rPr>
            </w:pPr>
            <w:r w:rsidRPr="00D166EA">
              <w:rPr>
                <w:sz w:val="22"/>
                <w:szCs w:val="22"/>
              </w:rPr>
              <w:t xml:space="preserve">HBeAg neigiami </w:t>
            </w:r>
          </w:p>
          <w:p w14:paraId="75343644" w14:textId="77777777" w:rsidR="00807239" w:rsidRPr="00D166EA" w:rsidRDefault="00807239" w:rsidP="00C949E4">
            <w:pPr>
              <w:spacing w:before="9"/>
              <w:ind w:left="675" w:right="657"/>
              <w:jc w:val="center"/>
              <w:rPr>
                <w:szCs w:val="22"/>
              </w:rPr>
            </w:pPr>
          </w:p>
        </w:tc>
      </w:tr>
      <w:tr w:rsidR="002036C0" w:rsidRPr="00D166EA" w14:paraId="2D40A280" w14:textId="77777777" w:rsidTr="00C949E4">
        <w:trPr>
          <w:trHeight w:hRule="exact" w:val="1314"/>
        </w:trPr>
        <w:tc>
          <w:tcPr>
            <w:tcW w:w="3518" w:type="dxa"/>
            <w:vMerge/>
            <w:tcBorders>
              <w:left w:val="single" w:sz="4" w:space="0" w:color="000000"/>
              <w:bottom w:val="single" w:sz="11" w:space="0" w:color="000000"/>
              <w:right w:val="single" w:sz="4" w:space="0" w:color="000000"/>
            </w:tcBorders>
          </w:tcPr>
          <w:p w14:paraId="40F9FC32" w14:textId="77777777" w:rsidR="00807239" w:rsidRPr="00D166EA" w:rsidRDefault="00807239" w:rsidP="00C949E4">
            <w:pPr>
              <w:rPr>
                <w:szCs w:val="22"/>
              </w:rPr>
            </w:pPr>
          </w:p>
        </w:tc>
        <w:tc>
          <w:tcPr>
            <w:tcW w:w="1136" w:type="dxa"/>
            <w:tcBorders>
              <w:top w:val="single" w:sz="8" w:space="0" w:color="000000"/>
              <w:left w:val="single" w:sz="4" w:space="0" w:color="000000"/>
              <w:bottom w:val="single" w:sz="11" w:space="0" w:color="000000"/>
              <w:right w:val="single" w:sz="2" w:space="0" w:color="000000"/>
            </w:tcBorders>
          </w:tcPr>
          <w:p w14:paraId="514CE966" w14:textId="77777777" w:rsidR="00807239" w:rsidRPr="00D166EA" w:rsidRDefault="00807239" w:rsidP="00C949E4">
            <w:pPr>
              <w:spacing w:before="3"/>
              <w:ind w:left="326" w:right="308"/>
              <w:jc w:val="center"/>
              <w:rPr>
                <w:szCs w:val="22"/>
              </w:rPr>
            </w:pPr>
            <w:r w:rsidRPr="00D166EA">
              <w:rPr>
                <w:w w:val="103"/>
                <w:szCs w:val="22"/>
              </w:rPr>
              <w:t>ETV</w:t>
            </w:r>
          </w:p>
          <w:p w14:paraId="0EA2C2BA" w14:textId="77777777" w:rsidR="00807239" w:rsidRPr="00D166EA" w:rsidRDefault="00807239" w:rsidP="000D6F09">
            <w:pPr>
              <w:spacing w:before="9" w:line="247" w:lineRule="auto"/>
              <w:ind w:left="116" w:right="102" w:firstLine="3"/>
              <w:jc w:val="center"/>
              <w:rPr>
                <w:szCs w:val="22"/>
              </w:rPr>
            </w:pPr>
            <w:r w:rsidRPr="00D166EA">
              <w:rPr>
                <w:szCs w:val="22"/>
              </w:rPr>
              <w:t>0</w:t>
            </w:r>
            <w:r w:rsidR="000D6F09">
              <w:rPr>
                <w:szCs w:val="22"/>
              </w:rPr>
              <w:t>,</w:t>
            </w:r>
            <w:r w:rsidRPr="00D166EA">
              <w:rPr>
                <w:szCs w:val="22"/>
              </w:rPr>
              <w:t>5</w:t>
            </w:r>
            <w:r w:rsidR="000D6F09">
              <w:rPr>
                <w:szCs w:val="22"/>
              </w:rPr>
              <w:t> </w:t>
            </w:r>
            <w:r w:rsidRPr="00D166EA">
              <w:rPr>
                <w:spacing w:val="-2"/>
                <w:w w:val="103"/>
                <w:szCs w:val="22"/>
              </w:rPr>
              <w:t>m</w:t>
            </w:r>
            <w:r w:rsidRPr="00D166EA">
              <w:rPr>
                <w:w w:val="103"/>
                <w:szCs w:val="22"/>
              </w:rPr>
              <w:t xml:space="preserve">g </w:t>
            </w:r>
            <w:r w:rsidRPr="00D166EA">
              <w:rPr>
                <w:szCs w:val="22"/>
              </w:rPr>
              <w:t>vieną kartą per parą</w:t>
            </w:r>
          </w:p>
        </w:tc>
        <w:tc>
          <w:tcPr>
            <w:tcW w:w="1242" w:type="dxa"/>
            <w:tcBorders>
              <w:top w:val="single" w:sz="8" w:space="0" w:color="000000"/>
              <w:left w:val="single" w:sz="2" w:space="0" w:color="000000"/>
              <w:bottom w:val="single" w:sz="11" w:space="0" w:color="000000"/>
              <w:right w:val="single" w:sz="4" w:space="0" w:color="000000"/>
            </w:tcBorders>
          </w:tcPr>
          <w:p w14:paraId="151516CA" w14:textId="77777777" w:rsidR="00807239" w:rsidRPr="00D166EA" w:rsidRDefault="00807239" w:rsidP="00B606B7">
            <w:pPr>
              <w:spacing w:before="3"/>
              <w:ind w:left="89" w:right="163"/>
              <w:jc w:val="center"/>
              <w:rPr>
                <w:szCs w:val="22"/>
              </w:rPr>
            </w:pPr>
            <w:r w:rsidRPr="00D166EA">
              <w:rPr>
                <w:w w:val="103"/>
                <w:szCs w:val="22"/>
              </w:rPr>
              <w:t>LVD</w:t>
            </w:r>
          </w:p>
          <w:p w14:paraId="65180638" w14:textId="77777777" w:rsidR="00807239" w:rsidRPr="00D166EA" w:rsidRDefault="00807239" w:rsidP="00B606B7">
            <w:pPr>
              <w:spacing w:before="9" w:line="247" w:lineRule="auto"/>
              <w:ind w:left="89" w:right="163" w:firstLine="2"/>
              <w:jc w:val="center"/>
              <w:rPr>
                <w:szCs w:val="22"/>
              </w:rPr>
            </w:pPr>
            <w:r w:rsidRPr="00D166EA">
              <w:rPr>
                <w:szCs w:val="22"/>
              </w:rPr>
              <w:t>100</w:t>
            </w:r>
            <w:r w:rsidR="000D6F09">
              <w:rPr>
                <w:szCs w:val="22"/>
              </w:rPr>
              <w:t> </w:t>
            </w:r>
            <w:r w:rsidRPr="00D166EA">
              <w:rPr>
                <w:w w:val="103"/>
                <w:szCs w:val="22"/>
              </w:rPr>
              <w:t xml:space="preserve">mg </w:t>
            </w:r>
            <w:r w:rsidRPr="00D166EA">
              <w:rPr>
                <w:szCs w:val="22"/>
              </w:rPr>
              <w:t>vieną kartą per parą</w:t>
            </w:r>
          </w:p>
        </w:tc>
        <w:tc>
          <w:tcPr>
            <w:tcW w:w="1137" w:type="dxa"/>
            <w:tcBorders>
              <w:top w:val="single" w:sz="8" w:space="0" w:color="000000"/>
              <w:left w:val="single" w:sz="4" w:space="0" w:color="000000"/>
              <w:bottom w:val="single" w:sz="11" w:space="0" w:color="000000"/>
              <w:right w:val="single" w:sz="2" w:space="0" w:color="000000"/>
            </w:tcBorders>
          </w:tcPr>
          <w:p w14:paraId="65B36D14" w14:textId="77777777" w:rsidR="00807239" w:rsidRPr="00D166EA" w:rsidRDefault="00807239" w:rsidP="00C949E4">
            <w:pPr>
              <w:spacing w:before="3"/>
              <w:ind w:left="325" w:right="310"/>
              <w:jc w:val="center"/>
              <w:rPr>
                <w:szCs w:val="22"/>
              </w:rPr>
            </w:pPr>
            <w:r w:rsidRPr="00D166EA">
              <w:rPr>
                <w:w w:val="103"/>
                <w:szCs w:val="22"/>
              </w:rPr>
              <w:t>E</w:t>
            </w:r>
            <w:r w:rsidRPr="00D166EA">
              <w:rPr>
                <w:spacing w:val="1"/>
                <w:w w:val="103"/>
                <w:szCs w:val="22"/>
              </w:rPr>
              <w:t>T</w:t>
            </w:r>
            <w:r w:rsidRPr="00D166EA">
              <w:rPr>
                <w:w w:val="103"/>
                <w:szCs w:val="22"/>
              </w:rPr>
              <w:t>V</w:t>
            </w:r>
          </w:p>
          <w:p w14:paraId="2F6C9732" w14:textId="77777777" w:rsidR="00807239" w:rsidRPr="00D166EA" w:rsidRDefault="00807239" w:rsidP="000D6F09">
            <w:pPr>
              <w:spacing w:before="9" w:line="247" w:lineRule="auto"/>
              <w:ind w:left="116" w:right="104" w:firstLine="2"/>
              <w:jc w:val="center"/>
              <w:rPr>
                <w:szCs w:val="22"/>
              </w:rPr>
            </w:pPr>
            <w:r w:rsidRPr="00D166EA">
              <w:rPr>
                <w:szCs w:val="22"/>
              </w:rPr>
              <w:t>0</w:t>
            </w:r>
            <w:r w:rsidR="000D6F09">
              <w:rPr>
                <w:szCs w:val="22"/>
              </w:rPr>
              <w:t>,</w:t>
            </w:r>
            <w:r w:rsidRPr="00D166EA">
              <w:rPr>
                <w:szCs w:val="22"/>
              </w:rPr>
              <w:t>5</w:t>
            </w:r>
            <w:r w:rsidR="000D6F09">
              <w:rPr>
                <w:szCs w:val="22"/>
              </w:rPr>
              <w:t> </w:t>
            </w:r>
            <w:r w:rsidRPr="00D166EA">
              <w:rPr>
                <w:w w:val="103"/>
                <w:szCs w:val="22"/>
              </w:rPr>
              <w:t xml:space="preserve">mg </w:t>
            </w:r>
            <w:r w:rsidRPr="00D166EA">
              <w:rPr>
                <w:szCs w:val="22"/>
              </w:rPr>
              <w:t>vieną kartą per parą</w:t>
            </w:r>
          </w:p>
        </w:tc>
        <w:tc>
          <w:tcPr>
            <w:tcW w:w="1245" w:type="dxa"/>
            <w:tcBorders>
              <w:top w:val="single" w:sz="8" w:space="0" w:color="000000"/>
              <w:left w:val="single" w:sz="2" w:space="0" w:color="000000"/>
              <w:bottom w:val="single" w:sz="11" w:space="0" w:color="000000"/>
              <w:right w:val="single" w:sz="4" w:space="0" w:color="000000"/>
            </w:tcBorders>
          </w:tcPr>
          <w:p w14:paraId="73F12776" w14:textId="77777777" w:rsidR="00807239" w:rsidRPr="00D166EA" w:rsidRDefault="00807239" w:rsidP="00B606B7">
            <w:pPr>
              <w:spacing w:before="3"/>
              <w:ind w:left="140" w:right="25"/>
              <w:jc w:val="center"/>
              <w:rPr>
                <w:szCs w:val="22"/>
              </w:rPr>
            </w:pPr>
            <w:r w:rsidRPr="00D166EA">
              <w:rPr>
                <w:w w:val="103"/>
                <w:szCs w:val="22"/>
              </w:rPr>
              <w:t>LVD</w:t>
            </w:r>
          </w:p>
          <w:p w14:paraId="0583D2F5" w14:textId="77777777" w:rsidR="00807239" w:rsidRPr="00D166EA" w:rsidRDefault="00807239" w:rsidP="00B606B7">
            <w:pPr>
              <w:spacing w:before="9" w:line="247" w:lineRule="auto"/>
              <w:ind w:left="140" w:right="25" w:firstLine="1"/>
              <w:jc w:val="center"/>
              <w:rPr>
                <w:szCs w:val="22"/>
              </w:rPr>
            </w:pPr>
            <w:r w:rsidRPr="00D166EA">
              <w:rPr>
                <w:spacing w:val="-1"/>
                <w:szCs w:val="22"/>
              </w:rPr>
              <w:t>1</w:t>
            </w:r>
            <w:r w:rsidRPr="00D166EA">
              <w:rPr>
                <w:spacing w:val="1"/>
                <w:szCs w:val="22"/>
              </w:rPr>
              <w:t>0</w:t>
            </w:r>
            <w:r w:rsidRPr="00D166EA">
              <w:rPr>
                <w:szCs w:val="22"/>
              </w:rPr>
              <w:t>0</w:t>
            </w:r>
            <w:r w:rsidR="000D6F09">
              <w:rPr>
                <w:szCs w:val="22"/>
              </w:rPr>
              <w:t> </w:t>
            </w:r>
            <w:r w:rsidRPr="00D166EA">
              <w:rPr>
                <w:spacing w:val="-1"/>
                <w:w w:val="103"/>
                <w:szCs w:val="22"/>
              </w:rPr>
              <w:t xml:space="preserve">mg </w:t>
            </w:r>
            <w:r w:rsidRPr="00D166EA">
              <w:rPr>
                <w:szCs w:val="22"/>
              </w:rPr>
              <w:t>vieną kartą per parą</w:t>
            </w:r>
          </w:p>
        </w:tc>
      </w:tr>
      <w:tr w:rsidR="00807239" w:rsidRPr="00D166EA" w14:paraId="0E3B7331" w14:textId="77777777" w:rsidTr="002746CC">
        <w:trPr>
          <w:trHeight w:hRule="exact" w:val="454"/>
        </w:trPr>
        <w:tc>
          <w:tcPr>
            <w:tcW w:w="3518" w:type="dxa"/>
            <w:tcBorders>
              <w:top w:val="single" w:sz="11" w:space="0" w:color="000000"/>
              <w:left w:val="single" w:sz="4" w:space="0" w:color="000000"/>
              <w:bottom w:val="single" w:sz="11" w:space="0" w:color="000000"/>
              <w:right w:val="single" w:sz="4" w:space="0" w:color="000000"/>
            </w:tcBorders>
          </w:tcPr>
          <w:p w14:paraId="23A6C365" w14:textId="77777777" w:rsidR="00807239" w:rsidRPr="00D166EA" w:rsidRDefault="00807239" w:rsidP="00C949E4">
            <w:pPr>
              <w:spacing w:before="120"/>
              <w:ind w:left="96" w:right="-20"/>
              <w:rPr>
                <w:szCs w:val="22"/>
              </w:rPr>
            </w:pPr>
            <w:r w:rsidRPr="00D166EA">
              <w:rPr>
                <w:w w:val="103"/>
                <w:szCs w:val="22"/>
              </w:rPr>
              <w:t>n</w:t>
            </w:r>
          </w:p>
        </w:tc>
        <w:tc>
          <w:tcPr>
            <w:tcW w:w="1136" w:type="dxa"/>
            <w:tcBorders>
              <w:top w:val="single" w:sz="11" w:space="0" w:color="000000"/>
              <w:left w:val="single" w:sz="4" w:space="0" w:color="000000"/>
              <w:bottom w:val="single" w:sz="11" w:space="0" w:color="000000"/>
              <w:right w:val="single" w:sz="2" w:space="0" w:color="000000"/>
            </w:tcBorders>
          </w:tcPr>
          <w:p w14:paraId="4FA2CAB0" w14:textId="77777777" w:rsidR="00807239" w:rsidRPr="00D166EA" w:rsidRDefault="00807239" w:rsidP="00C949E4">
            <w:pPr>
              <w:spacing w:before="120" w:line="234" w:lineRule="exact"/>
              <w:ind w:left="340" w:right="324"/>
              <w:jc w:val="center"/>
              <w:rPr>
                <w:szCs w:val="22"/>
              </w:rPr>
            </w:pPr>
            <w:r w:rsidRPr="00D166EA">
              <w:rPr>
                <w:spacing w:val="-1"/>
                <w:w w:val="103"/>
                <w:szCs w:val="22"/>
              </w:rPr>
              <w:t>3</w:t>
            </w:r>
            <w:r w:rsidRPr="00D166EA">
              <w:rPr>
                <w:spacing w:val="1"/>
                <w:w w:val="103"/>
                <w:szCs w:val="22"/>
              </w:rPr>
              <w:t>1</w:t>
            </w:r>
            <w:r w:rsidRPr="00D166EA">
              <w:rPr>
                <w:spacing w:val="-1"/>
                <w:w w:val="103"/>
                <w:szCs w:val="22"/>
              </w:rPr>
              <w:t>4</w:t>
            </w:r>
            <w:r w:rsidRPr="00B606B7">
              <w:rPr>
                <w:szCs w:val="22"/>
                <w:vertAlign w:val="superscript"/>
              </w:rPr>
              <w:t>a</w:t>
            </w:r>
          </w:p>
        </w:tc>
        <w:tc>
          <w:tcPr>
            <w:tcW w:w="1242" w:type="dxa"/>
            <w:tcBorders>
              <w:top w:val="single" w:sz="11" w:space="0" w:color="000000"/>
              <w:left w:val="single" w:sz="2" w:space="0" w:color="000000"/>
              <w:bottom w:val="single" w:sz="11" w:space="0" w:color="000000"/>
              <w:right w:val="single" w:sz="4" w:space="0" w:color="000000"/>
            </w:tcBorders>
          </w:tcPr>
          <w:p w14:paraId="3346A957" w14:textId="77777777" w:rsidR="00807239" w:rsidRPr="00D166EA" w:rsidRDefault="00807239" w:rsidP="00B606B7">
            <w:pPr>
              <w:spacing w:before="120" w:line="234" w:lineRule="exact"/>
              <w:ind w:left="89" w:right="163"/>
              <w:jc w:val="center"/>
              <w:rPr>
                <w:szCs w:val="22"/>
              </w:rPr>
            </w:pPr>
            <w:r w:rsidRPr="00D166EA">
              <w:rPr>
                <w:w w:val="103"/>
                <w:szCs w:val="22"/>
              </w:rPr>
              <w:t>3</w:t>
            </w:r>
            <w:r w:rsidRPr="00D166EA">
              <w:rPr>
                <w:spacing w:val="1"/>
                <w:w w:val="103"/>
                <w:szCs w:val="22"/>
              </w:rPr>
              <w:t>1</w:t>
            </w:r>
            <w:r w:rsidRPr="00D166EA">
              <w:rPr>
                <w:spacing w:val="-1"/>
                <w:w w:val="103"/>
                <w:szCs w:val="22"/>
              </w:rPr>
              <w:t>4</w:t>
            </w:r>
            <w:r w:rsidRPr="00B606B7">
              <w:rPr>
                <w:szCs w:val="22"/>
                <w:vertAlign w:val="superscript"/>
              </w:rPr>
              <w:t>a</w:t>
            </w:r>
          </w:p>
        </w:tc>
        <w:tc>
          <w:tcPr>
            <w:tcW w:w="1137" w:type="dxa"/>
            <w:tcBorders>
              <w:top w:val="single" w:sz="11" w:space="0" w:color="000000"/>
              <w:left w:val="single" w:sz="4" w:space="0" w:color="000000"/>
              <w:bottom w:val="single" w:sz="11" w:space="0" w:color="000000"/>
              <w:right w:val="single" w:sz="2" w:space="0" w:color="000000"/>
            </w:tcBorders>
          </w:tcPr>
          <w:p w14:paraId="38DB3B8F" w14:textId="77777777" w:rsidR="00807239" w:rsidRPr="00D166EA" w:rsidRDefault="00807239" w:rsidP="00C949E4">
            <w:pPr>
              <w:spacing w:before="120" w:line="234" w:lineRule="exact"/>
              <w:ind w:left="339" w:right="325"/>
              <w:jc w:val="center"/>
              <w:rPr>
                <w:szCs w:val="22"/>
              </w:rPr>
            </w:pPr>
            <w:r w:rsidRPr="00D166EA">
              <w:rPr>
                <w:w w:val="103"/>
                <w:szCs w:val="22"/>
              </w:rPr>
              <w:t>296</w:t>
            </w:r>
            <w:r w:rsidRPr="00B606B7">
              <w:rPr>
                <w:szCs w:val="22"/>
                <w:vertAlign w:val="superscript"/>
              </w:rPr>
              <w:t>a</w:t>
            </w:r>
          </w:p>
        </w:tc>
        <w:tc>
          <w:tcPr>
            <w:tcW w:w="1245" w:type="dxa"/>
            <w:tcBorders>
              <w:top w:val="single" w:sz="11" w:space="0" w:color="000000"/>
              <w:left w:val="single" w:sz="2" w:space="0" w:color="000000"/>
              <w:bottom w:val="single" w:sz="11" w:space="0" w:color="000000"/>
              <w:right w:val="single" w:sz="4" w:space="0" w:color="000000"/>
            </w:tcBorders>
          </w:tcPr>
          <w:p w14:paraId="4D88A554" w14:textId="77777777" w:rsidR="00807239" w:rsidRPr="00D166EA" w:rsidRDefault="00807239" w:rsidP="00B606B7">
            <w:pPr>
              <w:spacing w:before="120" w:line="234" w:lineRule="exact"/>
              <w:ind w:left="140" w:right="25"/>
              <w:jc w:val="center"/>
              <w:rPr>
                <w:szCs w:val="22"/>
              </w:rPr>
            </w:pPr>
            <w:r w:rsidRPr="00D166EA">
              <w:rPr>
                <w:spacing w:val="-1"/>
                <w:w w:val="103"/>
                <w:szCs w:val="22"/>
              </w:rPr>
              <w:t>2</w:t>
            </w:r>
            <w:r w:rsidRPr="00D166EA">
              <w:rPr>
                <w:spacing w:val="1"/>
                <w:w w:val="103"/>
                <w:szCs w:val="22"/>
              </w:rPr>
              <w:t>8</w:t>
            </w:r>
            <w:r w:rsidRPr="00D166EA">
              <w:rPr>
                <w:spacing w:val="-1"/>
                <w:w w:val="103"/>
                <w:szCs w:val="22"/>
              </w:rPr>
              <w:t>7</w:t>
            </w:r>
            <w:r w:rsidRPr="00B606B7">
              <w:rPr>
                <w:szCs w:val="22"/>
                <w:vertAlign w:val="superscript"/>
              </w:rPr>
              <w:t>a</w:t>
            </w:r>
          </w:p>
        </w:tc>
      </w:tr>
      <w:tr w:rsidR="002036C0" w:rsidRPr="00D166EA" w14:paraId="544B1EE4" w14:textId="77777777" w:rsidTr="00C949E4">
        <w:trPr>
          <w:trHeight w:hRule="exact" w:val="567"/>
        </w:trPr>
        <w:tc>
          <w:tcPr>
            <w:tcW w:w="3518" w:type="dxa"/>
            <w:tcBorders>
              <w:top w:val="single" w:sz="11" w:space="0" w:color="000000"/>
              <w:left w:val="single" w:sz="4" w:space="0" w:color="000000"/>
              <w:bottom w:val="single" w:sz="8" w:space="0" w:color="000000"/>
              <w:right w:val="single" w:sz="4" w:space="0" w:color="000000"/>
            </w:tcBorders>
          </w:tcPr>
          <w:p w14:paraId="19BED2F4" w14:textId="77777777" w:rsidR="00807239" w:rsidRPr="00D166EA" w:rsidRDefault="00807239" w:rsidP="00C949E4">
            <w:pPr>
              <w:spacing w:before="120" w:line="234" w:lineRule="exact"/>
              <w:ind w:left="96" w:right="-20"/>
              <w:rPr>
                <w:szCs w:val="22"/>
              </w:rPr>
            </w:pPr>
            <w:r w:rsidRPr="00D166EA">
              <w:rPr>
                <w:szCs w:val="22"/>
              </w:rPr>
              <w:t>Histologinis pagerėjimas</w:t>
            </w:r>
            <w:r w:rsidRPr="00B606B7">
              <w:rPr>
                <w:szCs w:val="22"/>
                <w:vertAlign w:val="superscript"/>
              </w:rPr>
              <w:t>b</w:t>
            </w:r>
          </w:p>
        </w:tc>
        <w:tc>
          <w:tcPr>
            <w:tcW w:w="1136" w:type="dxa"/>
            <w:tcBorders>
              <w:top w:val="single" w:sz="11" w:space="0" w:color="000000"/>
              <w:left w:val="single" w:sz="4" w:space="0" w:color="000000"/>
              <w:bottom w:val="single" w:sz="8" w:space="0" w:color="000000"/>
              <w:right w:val="single" w:sz="2" w:space="0" w:color="000000"/>
            </w:tcBorders>
          </w:tcPr>
          <w:p w14:paraId="48AF9E4D" w14:textId="77777777" w:rsidR="00807239" w:rsidRPr="00D166EA" w:rsidRDefault="00807239" w:rsidP="00C949E4">
            <w:pPr>
              <w:spacing w:before="120"/>
              <w:ind w:left="321" w:right="-20"/>
              <w:rPr>
                <w:szCs w:val="22"/>
              </w:rPr>
            </w:pPr>
            <w:r w:rsidRPr="00D166EA">
              <w:rPr>
                <w:spacing w:val="-1"/>
                <w:w w:val="103"/>
                <w:szCs w:val="22"/>
              </w:rPr>
              <w:t>7</w:t>
            </w:r>
            <w:r w:rsidRPr="00D166EA">
              <w:rPr>
                <w:spacing w:val="1"/>
                <w:w w:val="103"/>
                <w:szCs w:val="22"/>
              </w:rPr>
              <w:t>2</w:t>
            </w:r>
            <w:r w:rsidR="000D6F09">
              <w:rPr>
                <w:spacing w:val="1"/>
                <w:w w:val="103"/>
                <w:szCs w:val="22"/>
              </w:rPr>
              <w:t> </w:t>
            </w:r>
            <w:r w:rsidRPr="00D166EA">
              <w:rPr>
                <w:w w:val="103"/>
                <w:szCs w:val="22"/>
              </w:rPr>
              <w:t>%*</w:t>
            </w:r>
          </w:p>
        </w:tc>
        <w:tc>
          <w:tcPr>
            <w:tcW w:w="1242" w:type="dxa"/>
            <w:tcBorders>
              <w:top w:val="single" w:sz="11" w:space="0" w:color="000000"/>
              <w:left w:val="single" w:sz="2" w:space="0" w:color="000000"/>
              <w:bottom w:val="single" w:sz="8" w:space="0" w:color="000000"/>
              <w:right w:val="single" w:sz="4" w:space="0" w:color="000000"/>
            </w:tcBorders>
          </w:tcPr>
          <w:p w14:paraId="1458CAA4" w14:textId="77777777" w:rsidR="00807239" w:rsidRPr="00D166EA" w:rsidRDefault="00807239" w:rsidP="00B606B7">
            <w:pPr>
              <w:spacing w:before="120"/>
              <w:ind w:left="89" w:right="163"/>
              <w:jc w:val="center"/>
              <w:rPr>
                <w:szCs w:val="22"/>
              </w:rPr>
            </w:pPr>
            <w:r w:rsidRPr="00D166EA">
              <w:rPr>
                <w:spacing w:val="-1"/>
                <w:w w:val="103"/>
                <w:szCs w:val="22"/>
              </w:rPr>
              <w:t>6</w:t>
            </w:r>
            <w:r w:rsidRPr="00D166EA">
              <w:rPr>
                <w:spacing w:val="1"/>
                <w:w w:val="103"/>
                <w:szCs w:val="22"/>
              </w:rPr>
              <w:t>2</w:t>
            </w:r>
            <w:r w:rsidR="000D6F09">
              <w:rPr>
                <w:spacing w:val="1"/>
                <w:w w:val="103"/>
                <w:szCs w:val="22"/>
              </w:rPr>
              <w:t> </w:t>
            </w:r>
            <w:r w:rsidRPr="00D166EA">
              <w:rPr>
                <w:w w:val="103"/>
                <w:szCs w:val="22"/>
              </w:rPr>
              <w:t>%</w:t>
            </w:r>
          </w:p>
        </w:tc>
        <w:tc>
          <w:tcPr>
            <w:tcW w:w="1137" w:type="dxa"/>
            <w:tcBorders>
              <w:top w:val="single" w:sz="11" w:space="0" w:color="000000"/>
              <w:left w:val="single" w:sz="4" w:space="0" w:color="000000"/>
              <w:bottom w:val="single" w:sz="8" w:space="0" w:color="000000"/>
              <w:right w:val="single" w:sz="2" w:space="0" w:color="000000"/>
            </w:tcBorders>
          </w:tcPr>
          <w:p w14:paraId="2D62A0D0" w14:textId="77777777" w:rsidR="00807239" w:rsidRPr="00D166EA" w:rsidRDefault="00807239" w:rsidP="00C949E4">
            <w:pPr>
              <w:spacing w:before="120"/>
              <w:ind w:left="319" w:right="-20"/>
              <w:rPr>
                <w:szCs w:val="22"/>
              </w:rPr>
            </w:pPr>
            <w:r w:rsidRPr="00D166EA">
              <w:rPr>
                <w:w w:val="103"/>
                <w:szCs w:val="22"/>
              </w:rPr>
              <w:t>70</w:t>
            </w:r>
            <w:r w:rsidR="000D6F09">
              <w:rPr>
                <w:w w:val="103"/>
                <w:szCs w:val="22"/>
              </w:rPr>
              <w:t> </w:t>
            </w:r>
            <w:r w:rsidRPr="00D166EA">
              <w:rPr>
                <w:w w:val="103"/>
                <w:szCs w:val="22"/>
              </w:rPr>
              <w:t>%*</w:t>
            </w:r>
          </w:p>
        </w:tc>
        <w:tc>
          <w:tcPr>
            <w:tcW w:w="1245" w:type="dxa"/>
            <w:tcBorders>
              <w:top w:val="single" w:sz="11" w:space="0" w:color="000000"/>
              <w:left w:val="single" w:sz="2" w:space="0" w:color="000000"/>
              <w:bottom w:val="single" w:sz="8" w:space="0" w:color="000000"/>
              <w:right w:val="single" w:sz="4" w:space="0" w:color="000000"/>
            </w:tcBorders>
          </w:tcPr>
          <w:p w14:paraId="3BC01DFC" w14:textId="77777777" w:rsidR="00807239" w:rsidRPr="00D166EA" w:rsidRDefault="00807239" w:rsidP="00B606B7">
            <w:pPr>
              <w:spacing w:before="120"/>
              <w:ind w:left="140" w:right="25"/>
              <w:jc w:val="center"/>
              <w:rPr>
                <w:szCs w:val="22"/>
              </w:rPr>
            </w:pPr>
            <w:r w:rsidRPr="00D166EA">
              <w:rPr>
                <w:w w:val="103"/>
                <w:szCs w:val="22"/>
              </w:rPr>
              <w:t>61</w:t>
            </w:r>
            <w:r w:rsidR="000D6F09">
              <w:rPr>
                <w:w w:val="103"/>
                <w:szCs w:val="22"/>
              </w:rPr>
              <w:t> </w:t>
            </w:r>
            <w:r w:rsidRPr="00D166EA">
              <w:rPr>
                <w:w w:val="103"/>
                <w:szCs w:val="22"/>
              </w:rPr>
              <w:t>%</w:t>
            </w:r>
          </w:p>
        </w:tc>
      </w:tr>
      <w:tr w:rsidR="00807239" w:rsidRPr="00D166EA" w14:paraId="37AE2878" w14:textId="77777777" w:rsidTr="002746CC">
        <w:trPr>
          <w:trHeight w:hRule="exact" w:val="567"/>
        </w:trPr>
        <w:tc>
          <w:tcPr>
            <w:tcW w:w="3518" w:type="dxa"/>
            <w:tcBorders>
              <w:top w:val="single" w:sz="8" w:space="0" w:color="000000"/>
              <w:left w:val="single" w:sz="4" w:space="0" w:color="000000"/>
              <w:bottom w:val="single" w:sz="8" w:space="0" w:color="000000"/>
              <w:right w:val="single" w:sz="4" w:space="0" w:color="000000"/>
            </w:tcBorders>
          </w:tcPr>
          <w:p w14:paraId="60ED0291" w14:textId="77777777" w:rsidR="00807239" w:rsidRPr="00D166EA" w:rsidRDefault="00807239" w:rsidP="00C949E4">
            <w:pPr>
              <w:spacing w:before="120"/>
              <w:ind w:left="96" w:right="-20"/>
              <w:rPr>
                <w:szCs w:val="22"/>
              </w:rPr>
            </w:pPr>
            <w:r w:rsidRPr="00D166EA">
              <w:rPr>
                <w:szCs w:val="22"/>
              </w:rPr>
              <w:t>Ishak</w:t>
            </w:r>
            <w:r w:rsidRPr="00D166EA">
              <w:rPr>
                <w:spacing w:val="15"/>
                <w:szCs w:val="22"/>
              </w:rPr>
              <w:t xml:space="preserve"> </w:t>
            </w:r>
            <w:r w:rsidRPr="00D166EA">
              <w:rPr>
                <w:szCs w:val="22"/>
              </w:rPr>
              <w:t>f</w:t>
            </w:r>
            <w:r w:rsidRPr="00D166EA">
              <w:rPr>
                <w:spacing w:val="1"/>
                <w:szCs w:val="22"/>
              </w:rPr>
              <w:t>i</w:t>
            </w:r>
            <w:r w:rsidRPr="00D166EA">
              <w:rPr>
                <w:szCs w:val="22"/>
              </w:rPr>
              <w:t>br</w:t>
            </w:r>
            <w:r w:rsidRPr="00D166EA">
              <w:rPr>
                <w:spacing w:val="1"/>
                <w:szCs w:val="22"/>
              </w:rPr>
              <w:t>ozės rodiklio pagerėjimas</w:t>
            </w:r>
          </w:p>
        </w:tc>
        <w:tc>
          <w:tcPr>
            <w:tcW w:w="1136" w:type="dxa"/>
            <w:tcBorders>
              <w:top w:val="single" w:sz="8" w:space="0" w:color="000000"/>
              <w:left w:val="single" w:sz="4" w:space="0" w:color="000000"/>
              <w:bottom w:val="single" w:sz="8" w:space="0" w:color="000000"/>
              <w:right w:val="single" w:sz="2" w:space="0" w:color="000000"/>
            </w:tcBorders>
          </w:tcPr>
          <w:p w14:paraId="7F886A89" w14:textId="77777777" w:rsidR="00807239" w:rsidRPr="00D166EA" w:rsidRDefault="00807239" w:rsidP="00C949E4">
            <w:pPr>
              <w:spacing w:before="120"/>
              <w:ind w:left="373" w:right="-20"/>
              <w:rPr>
                <w:szCs w:val="22"/>
              </w:rPr>
            </w:pPr>
            <w:r w:rsidRPr="00D166EA">
              <w:rPr>
                <w:w w:val="103"/>
                <w:szCs w:val="22"/>
              </w:rPr>
              <w:t>39</w:t>
            </w:r>
            <w:r w:rsidR="000D6F09">
              <w:rPr>
                <w:w w:val="103"/>
                <w:szCs w:val="22"/>
              </w:rPr>
              <w:t> </w:t>
            </w:r>
            <w:r w:rsidRPr="00D166EA">
              <w:rPr>
                <w:w w:val="103"/>
                <w:szCs w:val="22"/>
              </w:rPr>
              <w:t>%</w:t>
            </w:r>
          </w:p>
        </w:tc>
        <w:tc>
          <w:tcPr>
            <w:tcW w:w="1242" w:type="dxa"/>
            <w:tcBorders>
              <w:top w:val="single" w:sz="8" w:space="0" w:color="000000"/>
              <w:left w:val="single" w:sz="2" w:space="0" w:color="000000"/>
              <w:bottom w:val="single" w:sz="8" w:space="0" w:color="000000"/>
              <w:right w:val="single" w:sz="4" w:space="0" w:color="000000"/>
            </w:tcBorders>
          </w:tcPr>
          <w:p w14:paraId="2F6BFF42" w14:textId="77777777" w:rsidR="00807239" w:rsidRPr="00D166EA" w:rsidRDefault="00807239" w:rsidP="00B606B7">
            <w:pPr>
              <w:spacing w:before="120"/>
              <w:ind w:left="89" w:right="163"/>
              <w:jc w:val="center"/>
              <w:rPr>
                <w:szCs w:val="22"/>
              </w:rPr>
            </w:pPr>
            <w:r w:rsidRPr="00D166EA">
              <w:rPr>
                <w:spacing w:val="-1"/>
                <w:w w:val="103"/>
                <w:szCs w:val="22"/>
              </w:rPr>
              <w:t>3</w:t>
            </w:r>
            <w:r w:rsidRPr="00D166EA">
              <w:rPr>
                <w:spacing w:val="1"/>
                <w:w w:val="103"/>
                <w:szCs w:val="22"/>
              </w:rPr>
              <w:t>5</w:t>
            </w:r>
            <w:r w:rsidR="000D6F09">
              <w:rPr>
                <w:spacing w:val="1"/>
                <w:w w:val="103"/>
                <w:szCs w:val="22"/>
              </w:rPr>
              <w:t> </w:t>
            </w:r>
            <w:r w:rsidRPr="00D166EA">
              <w:rPr>
                <w:w w:val="103"/>
                <w:szCs w:val="22"/>
              </w:rPr>
              <w:t>%</w:t>
            </w:r>
          </w:p>
        </w:tc>
        <w:tc>
          <w:tcPr>
            <w:tcW w:w="1137" w:type="dxa"/>
            <w:tcBorders>
              <w:top w:val="single" w:sz="8" w:space="0" w:color="000000"/>
              <w:left w:val="single" w:sz="4" w:space="0" w:color="000000"/>
              <w:bottom w:val="single" w:sz="8" w:space="0" w:color="000000"/>
              <w:right w:val="single" w:sz="2" w:space="0" w:color="000000"/>
            </w:tcBorders>
          </w:tcPr>
          <w:p w14:paraId="5D2C599F" w14:textId="77777777" w:rsidR="00807239" w:rsidRPr="00D166EA" w:rsidRDefault="00807239" w:rsidP="00C949E4">
            <w:pPr>
              <w:spacing w:before="120"/>
              <w:ind w:left="371" w:right="-20"/>
              <w:rPr>
                <w:szCs w:val="22"/>
              </w:rPr>
            </w:pPr>
            <w:r w:rsidRPr="00D166EA">
              <w:rPr>
                <w:w w:val="103"/>
                <w:szCs w:val="22"/>
              </w:rPr>
              <w:t>3</w:t>
            </w:r>
            <w:r w:rsidRPr="00D166EA">
              <w:rPr>
                <w:spacing w:val="1"/>
                <w:w w:val="103"/>
                <w:szCs w:val="22"/>
              </w:rPr>
              <w:t>6</w:t>
            </w:r>
            <w:r w:rsidR="000D6F09">
              <w:rPr>
                <w:spacing w:val="1"/>
                <w:w w:val="103"/>
                <w:szCs w:val="22"/>
              </w:rPr>
              <w:t> </w:t>
            </w:r>
            <w:r w:rsidRPr="00D166EA">
              <w:rPr>
                <w:w w:val="103"/>
                <w:szCs w:val="22"/>
              </w:rPr>
              <w:t>%</w:t>
            </w:r>
          </w:p>
        </w:tc>
        <w:tc>
          <w:tcPr>
            <w:tcW w:w="1245" w:type="dxa"/>
            <w:tcBorders>
              <w:top w:val="single" w:sz="8" w:space="0" w:color="000000"/>
              <w:left w:val="single" w:sz="2" w:space="0" w:color="000000"/>
              <w:bottom w:val="single" w:sz="8" w:space="0" w:color="000000"/>
              <w:right w:val="single" w:sz="4" w:space="0" w:color="000000"/>
            </w:tcBorders>
          </w:tcPr>
          <w:p w14:paraId="09771004" w14:textId="77777777" w:rsidR="00807239" w:rsidRPr="00D166EA" w:rsidRDefault="00807239" w:rsidP="00B606B7">
            <w:pPr>
              <w:spacing w:before="120"/>
              <w:ind w:left="140" w:right="25"/>
              <w:jc w:val="center"/>
              <w:rPr>
                <w:szCs w:val="22"/>
              </w:rPr>
            </w:pPr>
            <w:r w:rsidRPr="00D166EA">
              <w:rPr>
                <w:w w:val="103"/>
                <w:szCs w:val="22"/>
              </w:rPr>
              <w:t>38</w:t>
            </w:r>
            <w:r w:rsidR="000D6F09">
              <w:rPr>
                <w:w w:val="103"/>
                <w:szCs w:val="22"/>
              </w:rPr>
              <w:t> </w:t>
            </w:r>
            <w:r w:rsidRPr="00D166EA">
              <w:rPr>
                <w:w w:val="103"/>
                <w:szCs w:val="22"/>
              </w:rPr>
              <w:t>%</w:t>
            </w:r>
          </w:p>
        </w:tc>
      </w:tr>
      <w:tr w:rsidR="002036C0" w:rsidRPr="00D166EA" w14:paraId="4D79B325" w14:textId="77777777" w:rsidTr="00C949E4">
        <w:trPr>
          <w:trHeight w:hRule="exact" w:val="567"/>
        </w:trPr>
        <w:tc>
          <w:tcPr>
            <w:tcW w:w="3518" w:type="dxa"/>
            <w:tcBorders>
              <w:top w:val="single" w:sz="8" w:space="0" w:color="000000"/>
              <w:left w:val="single" w:sz="4" w:space="0" w:color="000000"/>
              <w:bottom w:val="single" w:sz="12" w:space="0" w:color="000000"/>
              <w:right w:val="single" w:sz="4" w:space="0" w:color="000000"/>
            </w:tcBorders>
          </w:tcPr>
          <w:p w14:paraId="2F535438" w14:textId="77777777" w:rsidR="00807239" w:rsidRPr="00D166EA" w:rsidRDefault="00807239" w:rsidP="00C949E4">
            <w:pPr>
              <w:spacing w:before="120"/>
              <w:ind w:left="96" w:right="-20"/>
              <w:rPr>
                <w:szCs w:val="22"/>
              </w:rPr>
            </w:pPr>
            <w:r w:rsidRPr="00D166EA">
              <w:rPr>
                <w:szCs w:val="22"/>
              </w:rPr>
              <w:t>Ishak</w:t>
            </w:r>
            <w:r w:rsidRPr="00D166EA">
              <w:rPr>
                <w:spacing w:val="15"/>
                <w:szCs w:val="22"/>
              </w:rPr>
              <w:t xml:space="preserve"> </w:t>
            </w:r>
            <w:r w:rsidRPr="00D166EA">
              <w:rPr>
                <w:szCs w:val="22"/>
              </w:rPr>
              <w:t>f</w:t>
            </w:r>
            <w:r w:rsidRPr="00D166EA">
              <w:rPr>
                <w:spacing w:val="1"/>
                <w:szCs w:val="22"/>
              </w:rPr>
              <w:t>i</w:t>
            </w:r>
            <w:r w:rsidRPr="00D166EA">
              <w:rPr>
                <w:szCs w:val="22"/>
              </w:rPr>
              <w:t>br</w:t>
            </w:r>
            <w:r w:rsidRPr="00D166EA">
              <w:rPr>
                <w:spacing w:val="1"/>
                <w:szCs w:val="22"/>
              </w:rPr>
              <w:t>ozės rodiklio pablogėjimas</w:t>
            </w:r>
          </w:p>
        </w:tc>
        <w:tc>
          <w:tcPr>
            <w:tcW w:w="1136" w:type="dxa"/>
            <w:tcBorders>
              <w:top w:val="single" w:sz="8" w:space="0" w:color="000000"/>
              <w:left w:val="single" w:sz="4" w:space="0" w:color="000000"/>
              <w:bottom w:val="single" w:sz="12" w:space="0" w:color="000000"/>
              <w:right w:val="single" w:sz="2" w:space="0" w:color="000000"/>
            </w:tcBorders>
          </w:tcPr>
          <w:p w14:paraId="2AD2ACE8" w14:textId="77777777" w:rsidR="00807239" w:rsidRPr="00D166EA" w:rsidRDefault="00807239" w:rsidP="00C949E4">
            <w:pPr>
              <w:spacing w:before="120"/>
              <w:ind w:left="389" w:right="372"/>
              <w:jc w:val="center"/>
              <w:rPr>
                <w:szCs w:val="22"/>
              </w:rPr>
            </w:pPr>
            <w:r w:rsidRPr="00D166EA">
              <w:rPr>
                <w:w w:val="103"/>
                <w:szCs w:val="22"/>
              </w:rPr>
              <w:t>8</w:t>
            </w:r>
            <w:r w:rsidR="000D6F09">
              <w:rPr>
                <w:w w:val="103"/>
                <w:szCs w:val="22"/>
              </w:rPr>
              <w:t> </w:t>
            </w:r>
            <w:r w:rsidRPr="00D166EA">
              <w:rPr>
                <w:w w:val="103"/>
                <w:szCs w:val="22"/>
              </w:rPr>
              <w:t>%</w:t>
            </w:r>
          </w:p>
        </w:tc>
        <w:tc>
          <w:tcPr>
            <w:tcW w:w="1242" w:type="dxa"/>
            <w:tcBorders>
              <w:top w:val="single" w:sz="8" w:space="0" w:color="000000"/>
              <w:left w:val="single" w:sz="2" w:space="0" w:color="000000"/>
              <w:bottom w:val="single" w:sz="12" w:space="0" w:color="000000"/>
              <w:right w:val="single" w:sz="4" w:space="0" w:color="000000"/>
            </w:tcBorders>
          </w:tcPr>
          <w:p w14:paraId="6F3FFB79" w14:textId="77777777" w:rsidR="00807239" w:rsidRPr="00D166EA" w:rsidRDefault="00807239" w:rsidP="00B606B7">
            <w:pPr>
              <w:spacing w:before="120"/>
              <w:ind w:left="89" w:right="163"/>
              <w:jc w:val="center"/>
              <w:rPr>
                <w:szCs w:val="22"/>
              </w:rPr>
            </w:pPr>
            <w:r w:rsidRPr="00D166EA">
              <w:rPr>
                <w:spacing w:val="-1"/>
                <w:w w:val="103"/>
                <w:szCs w:val="22"/>
              </w:rPr>
              <w:t>1</w:t>
            </w:r>
            <w:r w:rsidRPr="00D166EA">
              <w:rPr>
                <w:spacing w:val="1"/>
                <w:w w:val="103"/>
                <w:szCs w:val="22"/>
              </w:rPr>
              <w:t>0</w:t>
            </w:r>
            <w:r w:rsidR="000D6F09">
              <w:rPr>
                <w:spacing w:val="1"/>
                <w:w w:val="103"/>
                <w:szCs w:val="22"/>
              </w:rPr>
              <w:t> </w:t>
            </w:r>
            <w:r w:rsidRPr="00D166EA">
              <w:rPr>
                <w:w w:val="103"/>
                <w:szCs w:val="22"/>
              </w:rPr>
              <w:t>%</w:t>
            </w:r>
          </w:p>
        </w:tc>
        <w:tc>
          <w:tcPr>
            <w:tcW w:w="1137" w:type="dxa"/>
            <w:tcBorders>
              <w:top w:val="single" w:sz="8" w:space="0" w:color="000000"/>
              <w:left w:val="single" w:sz="4" w:space="0" w:color="000000"/>
              <w:bottom w:val="single" w:sz="12" w:space="0" w:color="000000"/>
              <w:right w:val="single" w:sz="2" w:space="0" w:color="000000"/>
            </w:tcBorders>
          </w:tcPr>
          <w:p w14:paraId="049F3DD5" w14:textId="77777777" w:rsidR="00807239" w:rsidRPr="00D166EA" w:rsidRDefault="00807239" w:rsidP="00C949E4">
            <w:pPr>
              <w:spacing w:before="120"/>
              <w:ind w:left="370" w:right="-20"/>
              <w:rPr>
                <w:szCs w:val="22"/>
              </w:rPr>
            </w:pPr>
            <w:r w:rsidRPr="00D166EA">
              <w:rPr>
                <w:w w:val="103"/>
                <w:szCs w:val="22"/>
              </w:rPr>
              <w:t>1</w:t>
            </w:r>
            <w:r w:rsidRPr="00D166EA">
              <w:rPr>
                <w:spacing w:val="1"/>
                <w:w w:val="103"/>
                <w:szCs w:val="22"/>
              </w:rPr>
              <w:t>2</w:t>
            </w:r>
            <w:r w:rsidR="000D6F09">
              <w:rPr>
                <w:spacing w:val="1"/>
                <w:w w:val="103"/>
                <w:szCs w:val="22"/>
              </w:rPr>
              <w:t> </w:t>
            </w:r>
            <w:r w:rsidRPr="00D166EA">
              <w:rPr>
                <w:w w:val="103"/>
                <w:szCs w:val="22"/>
              </w:rPr>
              <w:t>%</w:t>
            </w:r>
          </w:p>
        </w:tc>
        <w:tc>
          <w:tcPr>
            <w:tcW w:w="1245" w:type="dxa"/>
            <w:tcBorders>
              <w:top w:val="single" w:sz="8" w:space="0" w:color="000000"/>
              <w:left w:val="single" w:sz="2" w:space="0" w:color="000000"/>
              <w:bottom w:val="single" w:sz="12" w:space="0" w:color="000000"/>
              <w:right w:val="single" w:sz="4" w:space="0" w:color="000000"/>
            </w:tcBorders>
          </w:tcPr>
          <w:p w14:paraId="6C13C501" w14:textId="77777777" w:rsidR="00807239" w:rsidRPr="00D166EA" w:rsidRDefault="00807239" w:rsidP="00B606B7">
            <w:pPr>
              <w:spacing w:before="120"/>
              <w:ind w:left="140" w:right="25"/>
              <w:jc w:val="center"/>
              <w:rPr>
                <w:szCs w:val="22"/>
              </w:rPr>
            </w:pPr>
            <w:r w:rsidRPr="00D166EA">
              <w:rPr>
                <w:w w:val="103"/>
                <w:szCs w:val="22"/>
              </w:rPr>
              <w:t>15</w:t>
            </w:r>
            <w:r w:rsidR="000D6F09">
              <w:rPr>
                <w:w w:val="103"/>
                <w:szCs w:val="22"/>
              </w:rPr>
              <w:t> </w:t>
            </w:r>
            <w:r w:rsidRPr="00D166EA">
              <w:rPr>
                <w:w w:val="103"/>
                <w:szCs w:val="22"/>
              </w:rPr>
              <w:t>%</w:t>
            </w:r>
          </w:p>
        </w:tc>
      </w:tr>
      <w:tr w:rsidR="00807239" w:rsidRPr="00D166EA" w14:paraId="2E687C4B" w14:textId="77777777" w:rsidTr="002746CC">
        <w:trPr>
          <w:trHeight w:hRule="exact" w:val="567"/>
        </w:trPr>
        <w:tc>
          <w:tcPr>
            <w:tcW w:w="3518" w:type="dxa"/>
            <w:tcBorders>
              <w:top w:val="single" w:sz="12" w:space="0" w:color="000000"/>
              <w:left w:val="single" w:sz="4" w:space="0" w:color="000000"/>
              <w:bottom w:val="single" w:sz="12" w:space="0" w:color="000000"/>
              <w:right w:val="single" w:sz="4" w:space="0" w:color="000000"/>
            </w:tcBorders>
          </w:tcPr>
          <w:p w14:paraId="50DA6EFA" w14:textId="77777777" w:rsidR="00807239" w:rsidRPr="00D166EA" w:rsidRDefault="00807239" w:rsidP="00C949E4">
            <w:pPr>
              <w:spacing w:before="120"/>
              <w:ind w:left="96" w:right="-20"/>
              <w:rPr>
                <w:szCs w:val="22"/>
              </w:rPr>
            </w:pPr>
            <w:r w:rsidRPr="00D166EA">
              <w:rPr>
                <w:w w:val="103"/>
                <w:szCs w:val="22"/>
              </w:rPr>
              <w:t>n</w:t>
            </w:r>
          </w:p>
        </w:tc>
        <w:tc>
          <w:tcPr>
            <w:tcW w:w="1136" w:type="dxa"/>
            <w:tcBorders>
              <w:top w:val="single" w:sz="12" w:space="0" w:color="000000"/>
              <w:left w:val="single" w:sz="4" w:space="0" w:color="000000"/>
              <w:bottom w:val="single" w:sz="12" w:space="0" w:color="000000"/>
              <w:right w:val="single" w:sz="2" w:space="0" w:color="000000"/>
            </w:tcBorders>
          </w:tcPr>
          <w:p w14:paraId="66E0532C" w14:textId="77777777" w:rsidR="00807239" w:rsidRPr="00D166EA" w:rsidRDefault="00807239" w:rsidP="00C949E4">
            <w:pPr>
              <w:spacing w:before="120"/>
              <w:ind w:left="371" w:right="355"/>
              <w:jc w:val="center"/>
              <w:rPr>
                <w:szCs w:val="22"/>
              </w:rPr>
            </w:pPr>
            <w:r w:rsidRPr="00D166EA">
              <w:rPr>
                <w:w w:val="103"/>
                <w:szCs w:val="22"/>
              </w:rPr>
              <w:t>354</w:t>
            </w:r>
          </w:p>
        </w:tc>
        <w:tc>
          <w:tcPr>
            <w:tcW w:w="1242" w:type="dxa"/>
            <w:tcBorders>
              <w:top w:val="single" w:sz="12" w:space="0" w:color="000000"/>
              <w:left w:val="single" w:sz="2" w:space="0" w:color="000000"/>
              <w:bottom w:val="single" w:sz="12" w:space="0" w:color="000000"/>
              <w:right w:val="single" w:sz="4" w:space="0" w:color="000000"/>
            </w:tcBorders>
          </w:tcPr>
          <w:p w14:paraId="46E39D78" w14:textId="77777777" w:rsidR="00807239" w:rsidRPr="00D166EA" w:rsidRDefault="00807239" w:rsidP="00B606B7">
            <w:pPr>
              <w:spacing w:before="120"/>
              <w:ind w:left="89" w:right="163"/>
              <w:jc w:val="center"/>
              <w:rPr>
                <w:szCs w:val="22"/>
              </w:rPr>
            </w:pPr>
            <w:r w:rsidRPr="00D166EA">
              <w:rPr>
                <w:spacing w:val="-1"/>
                <w:w w:val="103"/>
                <w:szCs w:val="22"/>
              </w:rPr>
              <w:t>3</w:t>
            </w:r>
            <w:r w:rsidRPr="00D166EA">
              <w:rPr>
                <w:spacing w:val="1"/>
                <w:w w:val="103"/>
                <w:szCs w:val="22"/>
              </w:rPr>
              <w:t>5</w:t>
            </w:r>
            <w:r w:rsidRPr="00D166EA">
              <w:rPr>
                <w:w w:val="103"/>
                <w:szCs w:val="22"/>
              </w:rPr>
              <w:t>5</w:t>
            </w:r>
          </w:p>
        </w:tc>
        <w:tc>
          <w:tcPr>
            <w:tcW w:w="1137" w:type="dxa"/>
            <w:tcBorders>
              <w:top w:val="single" w:sz="12" w:space="0" w:color="000000"/>
              <w:left w:val="single" w:sz="4" w:space="0" w:color="000000"/>
              <w:bottom w:val="single" w:sz="12" w:space="0" w:color="000000"/>
              <w:right w:val="single" w:sz="2" w:space="0" w:color="000000"/>
            </w:tcBorders>
          </w:tcPr>
          <w:p w14:paraId="251CE04F" w14:textId="77777777" w:rsidR="00807239" w:rsidRPr="00D166EA" w:rsidRDefault="00807239" w:rsidP="00C949E4">
            <w:pPr>
              <w:spacing w:before="120"/>
              <w:ind w:left="372" w:right="356"/>
              <w:jc w:val="center"/>
              <w:rPr>
                <w:szCs w:val="22"/>
              </w:rPr>
            </w:pPr>
            <w:r w:rsidRPr="00D166EA">
              <w:rPr>
                <w:spacing w:val="-1"/>
                <w:w w:val="103"/>
                <w:szCs w:val="22"/>
              </w:rPr>
              <w:t>3</w:t>
            </w:r>
            <w:r w:rsidRPr="00D166EA">
              <w:rPr>
                <w:spacing w:val="1"/>
                <w:w w:val="103"/>
                <w:szCs w:val="22"/>
              </w:rPr>
              <w:t>2</w:t>
            </w:r>
            <w:r w:rsidRPr="00D166EA">
              <w:rPr>
                <w:w w:val="103"/>
                <w:szCs w:val="22"/>
              </w:rPr>
              <w:t>5</w:t>
            </w:r>
          </w:p>
        </w:tc>
        <w:tc>
          <w:tcPr>
            <w:tcW w:w="1245" w:type="dxa"/>
            <w:tcBorders>
              <w:top w:val="single" w:sz="12" w:space="0" w:color="000000"/>
              <w:left w:val="single" w:sz="2" w:space="0" w:color="000000"/>
              <w:bottom w:val="single" w:sz="12" w:space="0" w:color="000000"/>
              <w:right w:val="single" w:sz="4" w:space="0" w:color="000000"/>
            </w:tcBorders>
          </w:tcPr>
          <w:p w14:paraId="5FD5F6C3" w14:textId="77777777" w:rsidR="00807239" w:rsidRPr="00D166EA" w:rsidRDefault="00807239" w:rsidP="00B606B7">
            <w:pPr>
              <w:spacing w:before="120"/>
              <w:ind w:left="140" w:right="25"/>
              <w:jc w:val="center"/>
              <w:rPr>
                <w:szCs w:val="22"/>
              </w:rPr>
            </w:pPr>
            <w:r w:rsidRPr="00D166EA">
              <w:rPr>
                <w:w w:val="103"/>
                <w:szCs w:val="22"/>
              </w:rPr>
              <w:t>313</w:t>
            </w:r>
          </w:p>
        </w:tc>
      </w:tr>
      <w:tr w:rsidR="002036C0" w:rsidRPr="00D166EA" w14:paraId="4789C12E" w14:textId="77777777" w:rsidTr="00C949E4">
        <w:trPr>
          <w:trHeight w:hRule="exact" w:val="624"/>
        </w:trPr>
        <w:tc>
          <w:tcPr>
            <w:tcW w:w="3518" w:type="dxa"/>
            <w:tcBorders>
              <w:top w:val="single" w:sz="12" w:space="0" w:color="000000"/>
              <w:left w:val="single" w:sz="4" w:space="0" w:color="000000"/>
              <w:bottom w:val="single" w:sz="8" w:space="0" w:color="000000"/>
              <w:right w:val="single" w:sz="4" w:space="0" w:color="000000"/>
            </w:tcBorders>
          </w:tcPr>
          <w:p w14:paraId="797520D6" w14:textId="77777777" w:rsidR="00807239" w:rsidRPr="00D166EA" w:rsidRDefault="00807239" w:rsidP="00C949E4">
            <w:pPr>
              <w:spacing w:before="120" w:line="236" w:lineRule="exact"/>
              <w:ind w:left="96" w:right="-20"/>
              <w:rPr>
                <w:szCs w:val="22"/>
              </w:rPr>
            </w:pPr>
            <w:r w:rsidRPr="00D166EA">
              <w:rPr>
                <w:szCs w:val="22"/>
              </w:rPr>
              <w:t>Virusų kiekio sumažėjimas (log</w:t>
            </w:r>
            <w:r w:rsidRPr="00D166EA">
              <w:rPr>
                <w:szCs w:val="22"/>
                <w:vertAlign w:val="subscript"/>
              </w:rPr>
              <w:t>10</w:t>
            </w:r>
            <w:r w:rsidRPr="00D166EA">
              <w:rPr>
                <w:szCs w:val="22"/>
              </w:rPr>
              <w:t xml:space="preserve"> kopijų/ml</w:t>
            </w:r>
            <w:r w:rsidRPr="00D166EA">
              <w:rPr>
                <w:spacing w:val="-1"/>
                <w:w w:val="103"/>
                <w:szCs w:val="22"/>
              </w:rPr>
              <w:t>)</w:t>
            </w:r>
            <w:r w:rsidRPr="00B606B7">
              <w:rPr>
                <w:szCs w:val="22"/>
                <w:vertAlign w:val="superscript"/>
              </w:rPr>
              <w:t>c</w:t>
            </w:r>
          </w:p>
        </w:tc>
        <w:tc>
          <w:tcPr>
            <w:tcW w:w="1136" w:type="dxa"/>
            <w:tcBorders>
              <w:top w:val="single" w:sz="12" w:space="0" w:color="000000"/>
              <w:left w:val="single" w:sz="4" w:space="0" w:color="000000"/>
              <w:bottom w:val="single" w:sz="8" w:space="0" w:color="000000"/>
              <w:right w:val="single" w:sz="2" w:space="0" w:color="000000"/>
            </w:tcBorders>
          </w:tcPr>
          <w:p w14:paraId="1D79988C" w14:textId="77777777" w:rsidR="00807239" w:rsidRPr="00D166EA" w:rsidRDefault="00807239" w:rsidP="000D6F09">
            <w:pPr>
              <w:spacing w:before="120"/>
              <w:ind w:left="294" w:right="-20"/>
              <w:rPr>
                <w:szCs w:val="22"/>
              </w:rPr>
            </w:pPr>
            <w:r w:rsidRPr="00D166EA">
              <w:rPr>
                <w:w w:val="103"/>
                <w:szCs w:val="22"/>
              </w:rPr>
              <w:t>-6</w:t>
            </w:r>
            <w:r w:rsidR="000D6F09">
              <w:rPr>
                <w:w w:val="103"/>
                <w:szCs w:val="22"/>
              </w:rPr>
              <w:t>,</w:t>
            </w:r>
            <w:r w:rsidRPr="00D166EA">
              <w:rPr>
                <w:spacing w:val="1"/>
                <w:w w:val="103"/>
                <w:szCs w:val="22"/>
              </w:rPr>
              <w:t>8</w:t>
            </w:r>
            <w:r w:rsidRPr="00D166EA">
              <w:rPr>
                <w:w w:val="103"/>
                <w:szCs w:val="22"/>
              </w:rPr>
              <w:t>6*</w:t>
            </w:r>
          </w:p>
        </w:tc>
        <w:tc>
          <w:tcPr>
            <w:tcW w:w="1242" w:type="dxa"/>
            <w:tcBorders>
              <w:top w:val="single" w:sz="12" w:space="0" w:color="000000"/>
              <w:left w:val="single" w:sz="2" w:space="0" w:color="000000"/>
              <w:bottom w:val="single" w:sz="8" w:space="0" w:color="000000"/>
              <w:right w:val="single" w:sz="4" w:space="0" w:color="000000"/>
            </w:tcBorders>
          </w:tcPr>
          <w:p w14:paraId="5CDDEE6D" w14:textId="77777777" w:rsidR="00807239" w:rsidRPr="00D166EA" w:rsidRDefault="00807239" w:rsidP="00B606B7">
            <w:pPr>
              <w:spacing w:before="120"/>
              <w:ind w:left="89" w:right="163"/>
              <w:jc w:val="center"/>
              <w:rPr>
                <w:szCs w:val="22"/>
              </w:rPr>
            </w:pPr>
            <w:r w:rsidRPr="00D166EA">
              <w:rPr>
                <w:w w:val="103"/>
                <w:szCs w:val="22"/>
              </w:rPr>
              <w:t>-5</w:t>
            </w:r>
            <w:r w:rsidR="000D6F09">
              <w:rPr>
                <w:w w:val="103"/>
                <w:szCs w:val="22"/>
              </w:rPr>
              <w:t>,</w:t>
            </w:r>
            <w:r w:rsidRPr="00D166EA">
              <w:rPr>
                <w:spacing w:val="1"/>
                <w:w w:val="103"/>
                <w:szCs w:val="22"/>
              </w:rPr>
              <w:t>3</w:t>
            </w:r>
            <w:r w:rsidRPr="00D166EA">
              <w:rPr>
                <w:w w:val="103"/>
                <w:szCs w:val="22"/>
              </w:rPr>
              <w:t>9</w:t>
            </w:r>
          </w:p>
        </w:tc>
        <w:tc>
          <w:tcPr>
            <w:tcW w:w="1137" w:type="dxa"/>
            <w:tcBorders>
              <w:top w:val="single" w:sz="12" w:space="0" w:color="000000"/>
              <w:left w:val="single" w:sz="4" w:space="0" w:color="000000"/>
              <w:bottom w:val="single" w:sz="8" w:space="0" w:color="000000"/>
              <w:right w:val="single" w:sz="2" w:space="0" w:color="000000"/>
            </w:tcBorders>
          </w:tcPr>
          <w:p w14:paraId="4910B4F2" w14:textId="77777777" w:rsidR="00807239" w:rsidRPr="00D166EA" w:rsidRDefault="00807239" w:rsidP="000D6F09">
            <w:pPr>
              <w:spacing w:before="120"/>
              <w:ind w:left="293" w:right="-20"/>
              <w:rPr>
                <w:szCs w:val="22"/>
              </w:rPr>
            </w:pPr>
            <w:r w:rsidRPr="00D166EA">
              <w:rPr>
                <w:spacing w:val="1"/>
                <w:w w:val="103"/>
                <w:szCs w:val="22"/>
              </w:rPr>
              <w:t>-</w:t>
            </w:r>
            <w:r w:rsidRPr="00D166EA">
              <w:rPr>
                <w:spacing w:val="-1"/>
                <w:w w:val="103"/>
                <w:szCs w:val="22"/>
              </w:rPr>
              <w:t>5</w:t>
            </w:r>
            <w:r w:rsidR="000D6F09">
              <w:rPr>
                <w:spacing w:val="-1"/>
                <w:w w:val="103"/>
                <w:szCs w:val="22"/>
              </w:rPr>
              <w:t>,</w:t>
            </w:r>
            <w:r w:rsidRPr="00D166EA">
              <w:rPr>
                <w:w w:val="103"/>
                <w:szCs w:val="22"/>
              </w:rPr>
              <w:t>0</w:t>
            </w:r>
            <w:r w:rsidRPr="00D166EA">
              <w:rPr>
                <w:spacing w:val="1"/>
                <w:w w:val="103"/>
                <w:szCs w:val="22"/>
              </w:rPr>
              <w:t>4</w:t>
            </w:r>
            <w:r w:rsidRPr="00D166EA">
              <w:rPr>
                <w:w w:val="103"/>
                <w:szCs w:val="22"/>
              </w:rPr>
              <w:t>*</w:t>
            </w:r>
          </w:p>
        </w:tc>
        <w:tc>
          <w:tcPr>
            <w:tcW w:w="1245" w:type="dxa"/>
            <w:tcBorders>
              <w:top w:val="single" w:sz="12" w:space="0" w:color="000000"/>
              <w:left w:val="single" w:sz="2" w:space="0" w:color="000000"/>
              <w:bottom w:val="single" w:sz="8" w:space="0" w:color="000000"/>
              <w:right w:val="single" w:sz="4" w:space="0" w:color="000000"/>
            </w:tcBorders>
          </w:tcPr>
          <w:p w14:paraId="20FA9097" w14:textId="77777777" w:rsidR="00807239" w:rsidRPr="00D166EA" w:rsidRDefault="00807239" w:rsidP="00B606B7">
            <w:pPr>
              <w:spacing w:before="120"/>
              <w:ind w:left="140" w:right="25"/>
              <w:jc w:val="center"/>
              <w:rPr>
                <w:szCs w:val="22"/>
              </w:rPr>
            </w:pPr>
            <w:r w:rsidRPr="00D166EA">
              <w:rPr>
                <w:spacing w:val="1"/>
                <w:w w:val="103"/>
                <w:szCs w:val="22"/>
              </w:rPr>
              <w:t>-</w:t>
            </w:r>
            <w:r w:rsidRPr="00D166EA">
              <w:rPr>
                <w:spacing w:val="-1"/>
                <w:w w:val="103"/>
                <w:szCs w:val="22"/>
              </w:rPr>
              <w:t>4</w:t>
            </w:r>
            <w:r w:rsidR="000D6F09">
              <w:rPr>
                <w:spacing w:val="-1"/>
                <w:w w:val="103"/>
                <w:szCs w:val="22"/>
              </w:rPr>
              <w:t>,</w:t>
            </w:r>
            <w:r w:rsidRPr="00D166EA">
              <w:rPr>
                <w:w w:val="103"/>
                <w:szCs w:val="22"/>
              </w:rPr>
              <w:t>53</w:t>
            </w:r>
          </w:p>
        </w:tc>
      </w:tr>
      <w:tr w:rsidR="00807239" w:rsidRPr="00D166EA" w14:paraId="34272003" w14:textId="77777777" w:rsidTr="002746CC">
        <w:trPr>
          <w:trHeight w:hRule="exact" w:val="851"/>
        </w:trPr>
        <w:tc>
          <w:tcPr>
            <w:tcW w:w="3518" w:type="dxa"/>
            <w:tcBorders>
              <w:top w:val="single" w:sz="8" w:space="0" w:color="000000"/>
              <w:left w:val="single" w:sz="4" w:space="0" w:color="000000"/>
              <w:bottom w:val="single" w:sz="8" w:space="0" w:color="000000"/>
              <w:right w:val="single" w:sz="4" w:space="0" w:color="000000"/>
            </w:tcBorders>
          </w:tcPr>
          <w:p w14:paraId="0AC4D0C4" w14:textId="77777777" w:rsidR="00807239" w:rsidRPr="00D166EA" w:rsidRDefault="00807239" w:rsidP="00D0215B">
            <w:pPr>
              <w:spacing w:before="120" w:line="241" w:lineRule="exact"/>
              <w:ind w:left="96" w:right="-20"/>
              <w:rPr>
                <w:szCs w:val="22"/>
              </w:rPr>
            </w:pPr>
            <w:r w:rsidRPr="00D166EA">
              <w:rPr>
                <w:szCs w:val="22"/>
              </w:rPr>
              <w:t>HBV DNR nenustatoma (&lt;</w:t>
            </w:r>
            <w:r w:rsidR="009D3C12">
              <w:rPr>
                <w:szCs w:val="22"/>
              </w:rPr>
              <w:t> </w:t>
            </w:r>
            <w:r w:rsidRPr="00D166EA">
              <w:rPr>
                <w:szCs w:val="22"/>
              </w:rPr>
              <w:t>300</w:t>
            </w:r>
            <w:r w:rsidR="00D0215B">
              <w:rPr>
                <w:szCs w:val="22"/>
              </w:rPr>
              <w:t> </w:t>
            </w:r>
            <w:r w:rsidRPr="00D166EA">
              <w:rPr>
                <w:szCs w:val="22"/>
              </w:rPr>
              <w:t>kopijų/ml PGR metodu</w:t>
            </w:r>
            <w:r w:rsidRPr="00D166EA">
              <w:rPr>
                <w:spacing w:val="1"/>
                <w:w w:val="103"/>
                <w:szCs w:val="22"/>
              </w:rPr>
              <w:t>)</w:t>
            </w:r>
            <w:r w:rsidRPr="00B606B7">
              <w:rPr>
                <w:szCs w:val="22"/>
                <w:vertAlign w:val="superscript"/>
              </w:rPr>
              <w:t>c</w:t>
            </w:r>
          </w:p>
        </w:tc>
        <w:tc>
          <w:tcPr>
            <w:tcW w:w="1136" w:type="dxa"/>
            <w:tcBorders>
              <w:top w:val="single" w:sz="8" w:space="0" w:color="000000"/>
              <w:left w:val="single" w:sz="4" w:space="0" w:color="000000"/>
              <w:bottom w:val="single" w:sz="8" w:space="0" w:color="000000"/>
              <w:right w:val="single" w:sz="2" w:space="0" w:color="000000"/>
            </w:tcBorders>
          </w:tcPr>
          <w:p w14:paraId="3B899485" w14:textId="77777777" w:rsidR="00807239" w:rsidRPr="00D166EA" w:rsidRDefault="00807239" w:rsidP="00C949E4">
            <w:pPr>
              <w:spacing w:before="120"/>
              <w:ind w:left="321" w:right="-20"/>
              <w:rPr>
                <w:szCs w:val="22"/>
              </w:rPr>
            </w:pPr>
            <w:r w:rsidRPr="00D166EA">
              <w:rPr>
                <w:spacing w:val="-1"/>
                <w:w w:val="103"/>
                <w:szCs w:val="22"/>
              </w:rPr>
              <w:t>6</w:t>
            </w:r>
            <w:r w:rsidRPr="00D166EA">
              <w:rPr>
                <w:spacing w:val="1"/>
                <w:w w:val="103"/>
                <w:szCs w:val="22"/>
              </w:rPr>
              <w:t>7</w:t>
            </w:r>
            <w:r w:rsidR="000D6F09">
              <w:rPr>
                <w:spacing w:val="1"/>
                <w:w w:val="103"/>
                <w:szCs w:val="22"/>
              </w:rPr>
              <w:t> </w:t>
            </w:r>
            <w:r w:rsidRPr="00D166EA">
              <w:rPr>
                <w:w w:val="103"/>
                <w:szCs w:val="22"/>
              </w:rPr>
              <w:t>%*</w:t>
            </w:r>
          </w:p>
        </w:tc>
        <w:tc>
          <w:tcPr>
            <w:tcW w:w="1242" w:type="dxa"/>
            <w:tcBorders>
              <w:top w:val="single" w:sz="8" w:space="0" w:color="000000"/>
              <w:left w:val="single" w:sz="2" w:space="0" w:color="000000"/>
              <w:bottom w:val="single" w:sz="8" w:space="0" w:color="000000"/>
              <w:right w:val="single" w:sz="4" w:space="0" w:color="000000"/>
            </w:tcBorders>
          </w:tcPr>
          <w:p w14:paraId="28137754" w14:textId="77777777" w:rsidR="00807239" w:rsidRPr="00D166EA" w:rsidRDefault="00807239" w:rsidP="00B606B7">
            <w:pPr>
              <w:spacing w:before="120"/>
              <w:ind w:left="89" w:right="163"/>
              <w:jc w:val="center"/>
              <w:rPr>
                <w:szCs w:val="22"/>
              </w:rPr>
            </w:pPr>
            <w:r w:rsidRPr="00D166EA">
              <w:rPr>
                <w:spacing w:val="-1"/>
                <w:w w:val="103"/>
                <w:szCs w:val="22"/>
              </w:rPr>
              <w:t>3</w:t>
            </w:r>
            <w:r w:rsidRPr="00D166EA">
              <w:rPr>
                <w:spacing w:val="1"/>
                <w:w w:val="103"/>
                <w:szCs w:val="22"/>
              </w:rPr>
              <w:t>6</w:t>
            </w:r>
            <w:r w:rsidR="000D6F09">
              <w:rPr>
                <w:spacing w:val="1"/>
                <w:w w:val="103"/>
                <w:szCs w:val="22"/>
              </w:rPr>
              <w:t> </w:t>
            </w:r>
            <w:r w:rsidRPr="00D166EA">
              <w:rPr>
                <w:w w:val="103"/>
                <w:szCs w:val="22"/>
              </w:rPr>
              <w:t>%</w:t>
            </w:r>
          </w:p>
        </w:tc>
        <w:tc>
          <w:tcPr>
            <w:tcW w:w="1137" w:type="dxa"/>
            <w:tcBorders>
              <w:top w:val="single" w:sz="8" w:space="0" w:color="000000"/>
              <w:left w:val="single" w:sz="4" w:space="0" w:color="000000"/>
              <w:bottom w:val="single" w:sz="8" w:space="0" w:color="000000"/>
              <w:right w:val="single" w:sz="2" w:space="0" w:color="000000"/>
            </w:tcBorders>
          </w:tcPr>
          <w:p w14:paraId="0DD59029" w14:textId="77777777" w:rsidR="00807239" w:rsidRPr="00D166EA" w:rsidRDefault="00807239" w:rsidP="00C949E4">
            <w:pPr>
              <w:spacing w:before="120"/>
              <w:ind w:left="319" w:right="-20"/>
              <w:rPr>
                <w:szCs w:val="22"/>
              </w:rPr>
            </w:pPr>
            <w:r w:rsidRPr="00D166EA">
              <w:rPr>
                <w:w w:val="103"/>
                <w:szCs w:val="22"/>
              </w:rPr>
              <w:t>90</w:t>
            </w:r>
            <w:r w:rsidR="000D6F09">
              <w:rPr>
                <w:w w:val="103"/>
                <w:szCs w:val="22"/>
              </w:rPr>
              <w:t> </w:t>
            </w:r>
            <w:r w:rsidRPr="00D166EA">
              <w:rPr>
                <w:w w:val="103"/>
                <w:szCs w:val="22"/>
              </w:rPr>
              <w:t>%*</w:t>
            </w:r>
          </w:p>
        </w:tc>
        <w:tc>
          <w:tcPr>
            <w:tcW w:w="1245" w:type="dxa"/>
            <w:tcBorders>
              <w:top w:val="single" w:sz="8" w:space="0" w:color="000000"/>
              <w:left w:val="single" w:sz="2" w:space="0" w:color="000000"/>
              <w:bottom w:val="single" w:sz="8" w:space="0" w:color="000000"/>
              <w:right w:val="single" w:sz="4" w:space="0" w:color="000000"/>
            </w:tcBorders>
          </w:tcPr>
          <w:p w14:paraId="550822AD" w14:textId="77777777" w:rsidR="00807239" w:rsidRPr="00D166EA" w:rsidRDefault="00807239" w:rsidP="00B606B7">
            <w:pPr>
              <w:spacing w:before="120"/>
              <w:ind w:left="140" w:right="25"/>
              <w:jc w:val="center"/>
              <w:rPr>
                <w:szCs w:val="22"/>
              </w:rPr>
            </w:pPr>
            <w:r w:rsidRPr="00D166EA">
              <w:rPr>
                <w:w w:val="103"/>
                <w:szCs w:val="22"/>
              </w:rPr>
              <w:t>72</w:t>
            </w:r>
            <w:r w:rsidR="000D6F09">
              <w:rPr>
                <w:w w:val="103"/>
                <w:szCs w:val="22"/>
              </w:rPr>
              <w:t> </w:t>
            </w:r>
            <w:r w:rsidRPr="00D166EA">
              <w:rPr>
                <w:w w:val="103"/>
                <w:szCs w:val="22"/>
              </w:rPr>
              <w:t>%</w:t>
            </w:r>
          </w:p>
        </w:tc>
      </w:tr>
      <w:tr w:rsidR="00807239" w:rsidRPr="00D166EA" w14:paraId="75EF37C8" w14:textId="77777777" w:rsidTr="002746CC">
        <w:trPr>
          <w:trHeight w:hRule="exact" w:val="567"/>
        </w:trPr>
        <w:tc>
          <w:tcPr>
            <w:tcW w:w="3518" w:type="dxa"/>
            <w:tcBorders>
              <w:top w:val="single" w:sz="8" w:space="0" w:color="000000"/>
              <w:left w:val="single" w:sz="4" w:space="0" w:color="000000"/>
              <w:bottom w:val="single" w:sz="8" w:space="0" w:color="000000"/>
              <w:right w:val="single" w:sz="4" w:space="0" w:color="000000"/>
            </w:tcBorders>
          </w:tcPr>
          <w:p w14:paraId="5C03F2C6" w14:textId="77777777" w:rsidR="00807239" w:rsidRPr="00D166EA" w:rsidRDefault="00807239" w:rsidP="009D3C12">
            <w:pPr>
              <w:spacing w:before="120"/>
              <w:ind w:left="96" w:right="-20"/>
              <w:rPr>
                <w:szCs w:val="22"/>
              </w:rPr>
            </w:pPr>
            <w:r w:rsidRPr="00D166EA">
              <w:rPr>
                <w:szCs w:val="22"/>
              </w:rPr>
              <w:t>ALT</w:t>
            </w:r>
            <w:r w:rsidRPr="00D166EA">
              <w:rPr>
                <w:spacing w:val="15"/>
                <w:szCs w:val="22"/>
              </w:rPr>
              <w:t xml:space="preserve"> </w:t>
            </w:r>
            <w:r w:rsidRPr="00D166EA">
              <w:rPr>
                <w:spacing w:val="1"/>
                <w:szCs w:val="22"/>
              </w:rPr>
              <w:t>sunormalėjimas</w:t>
            </w:r>
            <w:r w:rsidRPr="00D166EA">
              <w:rPr>
                <w:spacing w:val="35"/>
                <w:szCs w:val="22"/>
              </w:rPr>
              <w:t xml:space="preserve"> </w:t>
            </w:r>
            <w:r w:rsidRPr="00D166EA">
              <w:rPr>
                <w:szCs w:val="22"/>
              </w:rPr>
              <w:t>(≤</w:t>
            </w:r>
            <w:r w:rsidR="009D3C12">
              <w:rPr>
                <w:szCs w:val="22"/>
              </w:rPr>
              <w:t> </w:t>
            </w:r>
            <w:r w:rsidRPr="00D166EA">
              <w:rPr>
                <w:szCs w:val="22"/>
              </w:rPr>
              <w:t>1</w:t>
            </w:r>
            <w:r w:rsidR="009D3C12">
              <w:rPr>
                <w:szCs w:val="22"/>
              </w:rPr>
              <w:t> </w:t>
            </w:r>
            <w:r w:rsidRPr="00D166EA">
              <w:rPr>
                <w:spacing w:val="5"/>
                <w:szCs w:val="22"/>
              </w:rPr>
              <w:t>VNR</w:t>
            </w:r>
            <w:r w:rsidRPr="00D166EA">
              <w:rPr>
                <w:w w:val="103"/>
                <w:szCs w:val="22"/>
              </w:rPr>
              <w:t>)</w:t>
            </w:r>
          </w:p>
        </w:tc>
        <w:tc>
          <w:tcPr>
            <w:tcW w:w="1136" w:type="dxa"/>
            <w:tcBorders>
              <w:top w:val="single" w:sz="8" w:space="0" w:color="000000"/>
              <w:left w:val="single" w:sz="4" w:space="0" w:color="000000"/>
              <w:bottom w:val="single" w:sz="8" w:space="0" w:color="000000"/>
              <w:right w:val="single" w:sz="2" w:space="0" w:color="000000"/>
            </w:tcBorders>
          </w:tcPr>
          <w:p w14:paraId="1E856E0C" w14:textId="77777777" w:rsidR="00807239" w:rsidRPr="00D166EA" w:rsidRDefault="00807239" w:rsidP="006559C4">
            <w:pPr>
              <w:spacing w:before="120"/>
              <w:ind w:left="322" w:right="-20"/>
              <w:rPr>
                <w:szCs w:val="22"/>
              </w:rPr>
            </w:pPr>
            <w:r w:rsidRPr="00D166EA">
              <w:rPr>
                <w:spacing w:val="-1"/>
                <w:w w:val="103"/>
                <w:szCs w:val="22"/>
              </w:rPr>
              <w:t>6</w:t>
            </w:r>
            <w:r w:rsidRPr="00D166EA">
              <w:rPr>
                <w:spacing w:val="1"/>
                <w:w w:val="103"/>
                <w:szCs w:val="22"/>
              </w:rPr>
              <w:t>8</w:t>
            </w:r>
            <w:r w:rsidRPr="00D166EA">
              <w:rPr>
                <w:w w:val="103"/>
                <w:szCs w:val="22"/>
              </w:rPr>
              <w:t>%*</w:t>
            </w:r>
          </w:p>
        </w:tc>
        <w:tc>
          <w:tcPr>
            <w:tcW w:w="1242" w:type="dxa"/>
            <w:tcBorders>
              <w:top w:val="single" w:sz="8" w:space="0" w:color="000000"/>
              <w:left w:val="single" w:sz="2" w:space="0" w:color="000000"/>
              <w:bottom w:val="single" w:sz="8" w:space="0" w:color="000000"/>
              <w:right w:val="single" w:sz="4" w:space="0" w:color="000000"/>
            </w:tcBorders>
          </w:tcPr>
          <w:p w14:paraId="7FDB8D36" w14:textId="77777777" w:rsidR="00807239" w:rsidRPr="00D166EA" w:rsidRDefault="00807239" w:rsidP="00B606B7">
            <w:pPr>
              <w:spacing w:before="120"/>
              <w:ind w:left="89" w:right="163"/>
              <w:jc w:val="center"/>
              <w:rPr>
                <w:szCs w:val="22"/>
              </w:rPr>
            </w:pPr>
            <w:r w:rsidRPr="00D166EA">
              <w:rPr>
                <w:spacing w:val="-1"/>
                <w:w w:val="103"/>
                <w:szCs w:val="22"/>
              </w:rPr>
              <w:t>6</w:t>
            </w:r>
            <w:r w:rsidRPr="00D166EA">
              <w:rPr>
                <w:spacing w:val="1"/>
                <w:w w:val="103"/>
                <w:szCs w:val="22"/>
              </w:rPr>
              <w:t>0</w:t>
            </w:r>
            <w:r w:rsidR="000D6F09">
              <w:rPr>
                <w:spacing w:val="1"/>
                <w:w w:val="103"/>
                <w:szCs w:val="22"/>
              </w:rPr>
              <w:t> </w:t>
            </w:r>
            <w:r w:rsidRPr="00D166EA">
              <w:rPr>
                <w:w w:val="103"/>
                <w:szCs w:val="22"/>
              </w:rPr>
              <w:t>%</w:t>
            </w:r>
          </w:p>
        </w:tc>
        <w:tc>
          <w:tcPr>
            <w:tcW w:w="1137" w:type="dxa"/>
            <w:tcBorders>
              <w:top w:val="single" w:sz="8" w:space="0" w:color="000000"/>
              <w:left w:val="single" w:sz="4" w:space="0" w:color="000000"/>
              <w:bottom w:val="single" w:sz="8" w:space="0" w:color="000000"/>
              <w:right w:val="single" w:sz="2" w:space="0" w:color="000000"/>
            </w:tcBorders>
          </w:tcPr>
          <w:p w14:paraId="24C53C11" w14:textId="77777777" w:rsidR="00807239" w:rsidRPr="00D166EA" w:rsidRDefault="00807239" w:rsidP="00C949E4">
            <w:pPr>
              <w:spacing w:before="120"/>
              <w:ind w:left="320" w:right="-20"/>
              <w:rPr>
                <w:szCs w:val="22"/>
              </w:rPr>
            </w:pPr>
            <w:r w:rsidRPr="00D166EA">
              <w:rPr>
                <w:w w:val="103"/>
                <w:szCs w:val="22"/>
              </w:rPr>
              <w:t>78</w:t>
            </w:r>
            <w:r w:rsidR="000D6F09">
              <w:rPr>
                <w:w w:val="103"/>
                <w:szCs w:val="22"/>
              </w:rPr>
              <w:t> </w:t>
            </w:r>
            <w:r w:rsidRPr="00D166EA">
              <w:rPr>
                <w:w w:val="103"/>
                <w:szCs w:val="22"/>
              </w:rPr>
              <w:t>%*</w:t>
            </w:r>
          </w:p>
        </w:tc>
        <w:tc>
          <w:tcPr>
            <w:tcW w:w="1245" w:type="dxa"/>
            <w:tcBorders>
              <w:top w:val="single" w:sz="8" w:space="0" w:color="000000"/>
              <w:left w:val="single" w:sz="2" w:space="0" w:color="000000"/>
              <w:bottom w:val="single" w:sz="8" w:space="0" w:color="000000"/>
              <w:right w:val="single" w:sz="4" w:space="0" w:color="000000"/>
            </w:tcBorders>
          </w:tcPr>
          <w:p w14:paraId="3D9E1DEF" w14:textId="77777777" w:rsidR="00807239" w:rsidRPr="00D166EA" w:rsidRDefault="00807239" w:rsidP="00B606B7">
            <w:pPr>
              <w:spacing w:before="120"/>
              <w:ind w:left="140" w:right="25"/>
              <w:jc w:val="center"/>
              <w:rPr>
                <w:szCs w:val="22"/>
              </w:rPr>
            </w:pPr>
            <w:r w:rsidRPr="00D166EA">
              <w:rPr>
                <w:w w:val="103"/>
                <w:szCs w:val="22"/>
              </w:rPr>
              <w:t>71</w:t>
            </w:r>
            <w:r w:rsidR="000D6F09">
              <w:rPr>
                <w:w w:val="103"/>
                <w:szCs w:val="22"/>
              </w:rPr>
              <w:t> </w:t>
            </w:r>
            <w:r w:rsidRPr="00D166EA">
              <w:rPr>
                <w:w w:val="103"/>
                <w:szCs w:val="22"/>
              </w:rPr>
              <w:t>%</w:t>
            </w:r>
          </w:p>
        </w:tc>
      </w:tr>
      <w:tr w:rsidR="00807239" w:rsidRPr="00D166EA" w14:paraId="54DDA3EA" w14:textId="77777777" w:rsidTr="002746CC">
        <w:trPr>
          <w:trHeight w:hRule="exact" w:val="227"/>
        </w:trPr>
        <w:tc>
          <w:tcPr>
            <w:tcW w:w="3518" w:type="dxa"/>
            <w:tcBorders>
              <w:top w:val="single" w:sz="8" w:space="0" w:color="000000"/>
              <w:left w:val="single" w:sz="4" w:space="0" w:color="000000"/>
              <w:bottom w:val="single" w:sz="8" w:space="0" w:color="000000"/>
              <w:right w:val="single" w:sz="4" w:space="0" w:color="000000"/>
            </w:tcBorders>
          </w:tcPr>
          <w:p w14:paraId="753BEB50" w14:textId="77777777" w:rsidR="00807239" w:rsidRPr="00D166EA" w:rsidRDefault="00807239" w:rsidP="00C949E4">
            <w:pPr>
              <w:spacing w:before="120"/>
              <w:ind w:left="96" w:right="-20"/>
              <w:rPr>
                <w:szCs w:val="22"/>
              </w:rPr>
            </w:pPr>
          </w:p>
        </w:tc>
        <w:tc>
          <w:tcPr>
            <w:tcW w:w="1136" w:type="dxa"/>
            <w:tcBorders>
              <w:top w:val="single" w:sz="8" w:space="0" w:color="000000"/>
              <w:left w:val="single" w:sz="4" w:space="0" w:color="000000"/>
              <w:bottom w:val="single" w:sz="8" w:space="0" w:color="000000"/>
              <w:right w:val="single" w:sz="2" w:space="0" w:color="000000"/>
            </w:tcBorders>
          </w:tcPr>
          <w:p w14:paraId="16BF5F6A" w14:textId="77777777" w:rsidR="00807239" w:rsidRPr="00D166EA" w:rsidRDefault="00807239" w:rsidP="00C949E4">
            <w:pPr>
              <w:spacing w:before="120"/>
              <w:ind w:left="322" w:right="-20"/>
              <w:rPr>
                <w:spacing w:val="-1"/>
                <w:w w:val="103"/>
                <w:szCs w:val="22"/>
              </w:rPr>
            </w:pPr>
          </w:p>
        </w:tc>
        <w:tc>
          <w:tcPr>
            <w:tcW w:w="1242" w:type="dxa"/>
            <w:tcBorders>
              <w:top w:val="single" w:sz="8" w:space="0" w:color="000000"/>
              <w:left w:val="single" w:sz="2" w:space="0" w:color="000000"/>
              <w:bottom w:val="single" w:sz="8" w:space="0" w:color="000000"/>
              <w:right w:val="single" w:sz="4" w:space="0" w:color="000000"/>
            </w:tcBorders>
          </w:tcPr>
          <w:p w14:paraId="46BC2905" w14:textId="77777777" w:rsidR="00807239" w:rsidRPr="00D166EA" w:rsidRDefault="00807239" w:rsidP="00B606B7">
            <w:pPr>
              <w:spacing w:before="120"/>
              <w:ind w:left="89" w:right="163"/>
              <w:jc w:val="center"/>
              <w:rPr>
                <w:spacing w:val="-1"/>
                <w:w w:val="103"/>
                <w:szCs w:val="22"/>
              </w:rPr>
            </w:pPr>
          </w:p>
        </w:tc>
        <w:tc>
          <w:tcPr>
            <w:tcW w:w="1137" w:type="dxa"/>
            <w:tcBorders>
              <w:top w:val="single" w:sz="8" w:space="0" w:color="000000"/>
              <w:left w:val="single" w:sz="4" w:space="0" w:color="000000"/>
              <w:bottom w:val="single" w:sz="8" w:space="0" w:color="000000"/>
              <w:right w:val="single" w:sz="2" w:space="0" w:color="000000"/>
            </w:tcBorders>
          </w:tcPr>
          <w:p w14:paraId="3B7E718B" w14:textId="77777777" w:rsidR="00807239" w:rsidRPr="00D166EA" w:rsidRDefault="00807239" w:rsidP="00C949E4">
            <w:pPr>
              <w:spacing w:before="120"/>
              <w:ind w:left="320" w:right="-20"/>
              <w:rPr>
                <w:w w:val="103"/>
                <w:szCs w:val="22"/>
              </w:rPr>
            </w:pPr>
          </w:p>
        </w:tc>
        <w:tc>
          <w:tcPr>
            <w:tcW w:w="1245" w:type="dxa"/>
            <w:tcBorders>
              <w:top w:val="single" w:sz="8" w:space="0" w:color="000000"/>
              <w:left w:val="single" w:sz="2" w:space="0" w:color="000000"/>
              <w:bottom w:val="single" w:sz="8" w:space="0" w:color="000000"/>
              <w:right w:val="single" w:sz="4" w:space="0" w:color="000000"/>
            </w:tcBorders>
          </w:tcPr>
          <w:p w14:paraId="7CD6BB55" w14:textId="77777777" w:rsidR="00807239" w:rsidRPr="00D166EA" w:rsidRDefault="00807239" w:rsidP="00B606B7">
            <w:pPr>
              <w:spacing w:before="120"/>
              <w:ind w:left="140" w:right="25"/>
              <w:jc w:val="center"/>
              <w:rPr>
                <w:w w:val="103"/>
                <w:szCs w:val="22"/>
              </w:rPr>
            </w:pPr>
          </w:p>
        </w:tc>
      </w:tr>
      <w:tr w:rsidR="00807239" w:rsidRPr="00D166EA" w14:paraId="4B72E509" w14:textId="77777777" w:rsidTr="002746CC">
        <w:trPr>
          <w:trHeight w:hRule="exact" w:val="567"/>
        </w:trPr>
        <w:tc>
          <w:tcPr>
            <w:tcW w:w="3518" w:type="dxa"/>
            <w:tcBorders>
              <w:top w:val="single" w:sz="8" w:space="0" w:color="000000"/>
              <w:left w:val="single" w:sz="4" w:space="0" w:color="000000"/>
              <w:bottom w:val="single" w:sz="4" w:space="0" w:color="000000"/>
              <w:right w:val="single" w:sz="4" w:space="0" w:color="000000"/>
            </w:tcBorders>
          </w:tcPr>
          <w:p w14:paraId="55E6218C" w14:textId="77777777" w:rsidR="00807239" w:rsidRPr="00D166EA" w:rsidRDefault="00807239" w:rsidP="00C949E4">
            <w:pPr>
              <w:spacing w:before="120"/>
              <w:ind w:left="96" w:right="-20"/>
              <w:rPr>
                <w:szCs w:val="22"/>
              </w:rPr>
            </w:pPr>
            <w:r w:rsidRPr="00D166EA">
              <w:rPr>
                <w:szCs w:val="22"/>
              </w:rPr>
              <w:t>HBeAg</w:t>
            </w:r>
            <w:r w:rsidRPr="00D166EA">
              <w:rPr>
                <w:spacing w:val="20"/>
                <w:szCs w:val="22"/>
              </w:rPr>
              <w:t xml:space="preserve"> </w:t>
            </w:r>
            <w:r w:rsidRPr="00D166EA">
              <w:rPr>
                <w:w w:val="103"/>
                <w:szCs w:val="22"/>
              </w:rPr>
              <w:t>serologinė konversija</w:t>
            </w:r>
          </w:p>
        </w:tc>
        <w:tc>
          <w:tcPr>
            <w:tcW w:w="1136" w:type="dxa"/>
            <w:tcBorders>
              <w:top w:val="single" w:sz="8" w:space="0" w:color="000000"/>
              <w:left w:val="single" w:sz="4" w:space="0" w:color="000000"/>
              <w:bottom w:val="single" w:sz="4" w:space="0" w:color="000000"/>
              <w:right w:val="single" w:sz="2" w:space="0" w:color="000000"/>
            </w:tcBorders>
          </w:tcPr>
          <w:p w14:paraId="78A1D405" w14:textId="77777777" w:rsidR="00807239" w:rsidRPr="00D166EA" w:rsidRDefault="00807239" w:rsidP="00C949E4">
            <w:pPr>
              <w:spacing w:before="120"/>
              <w:ind w:left="373" w:right="-20"/>
              <w:rPr>
                <w:szCs w:val="22"/>
              </w:rPr>
            </w:pPr>
            <w:r w:rsidRPr="00D166EA">
              <w:rPr>
                <w:w w:val="103"/>
                <w:szCs w:val="22"/>
              </w:rPr>
              <w:t>21</w:t>
            </w:r>
            <w:r w:rsidR="000D6F09">
              <w:rPr>
                <w:w w:val="103"/>
                <w:szCs w:val="22"/>
              </w:rPr>
              <w:t> </w:t>
            </w:r>
            <w:r w:rsidRPr="00D166EA">
              <w:rPr>
                <w:w w:val="103"/>
                <w:szCs w:val="22"/>
              </w:rPr>
              <w:t>%</w:t>
            </w:r>
          </w:p>
        </w:tc>
        <w:tc>
          <w:tcPr>
            <w:tcW w:w="1242" w:type="dxa"/>
            <w:tcBorders>
              <w:top w:val="single" w:sz="8" w:space="0" w:color="000000"/>
              <w:left w:val="single" w:sz="2" w:space="0" w:color="000000"/>
              <w:bottom w:val="single" w:sz="4" w:space="0" w:color="000000"/>
              <w:right w:val="single" w:sz="4" w:space="0" w:color="000000"/>
            </w:tcBorders>
          </w:tcPr>
          <w:p w14:paraId="734FADB0" w14:textId="77777777" w:rsidR="00807239" w:rsidRPr="00D166EA" w:rsidRDefault="00807239" w:rsidP="00B606B7">
            <w:pPr>
              <w:spacing w:before="120"/>
              <w:ind w:left="89" w:right="163"/>
              <w:jc w:val="center"/>
              <w:rPr>
                <w:szCs w:val="22"/>
              </w:rPr>
            </w:pPr>
            <w:r w:rsidRPr="00D166EA">
              <w:rPr>
                <w:spacing w:val="-1"/>
                <w:w w:val="103"/>
                <w:szCs w:val="22"/>
              </w:rPr>
              <w:t>1</w:t>
            </w:r>
            <w:r w:rsidRPr="00D166EA">
              <w:rPr>
                <w:spacing w:val="1"/>
                <w:w w:val="103"/>
                <w:szCs w:val="22"/>
              </w:rPr>
              <w:t>8</w:t>
            </w:r>
            <w:r w:rsidR="000D6F09">
              <w:rPr>
                <w:spacing w:val="1"/>
                <w:w w:val="103"/>
                <w:szCs w:val="22"/>
              </w:rPr>
              <w:t> </w:t>
            </w:r>
            <w:r w:rsidRPr="00D166EA">
              <w:rPr>
                <w:w w:val="103"/>
                <w:szCs w:val="22"/>
              </w:rPr>
              <w:t>%</w:t>
            </w:r>
          </w:p>
        </w:tc>
        <w:tc>
          <w:tcPr>
            <w:tcW w:w="1137" w:type="dxa"/>
            <w:tcBorders>
              <w:top w:val="single" w:sz="8" w:space="0" w:color="000000"/>
              <w:left w:val="single" w:sz="4" w:space="0" w:color="000000"/>
              <w:bottom w:val="single" w:sz="4" w:space="0" w:color="000000"/>
              <w:right w:val="single" w:sz="2" w:space="0" w:color="000000"/>
            </w:tcBorders>
          </w:tcPr>
          <w:p w14:paraId="52C72C1A" w14:textId="77777777" w:rsidR="00807239" w:rsidRPr="00D166EA" w:rsidRDefault="00807239" w:rsidP="00C949E4">
            <w:pPr>
              <w:spacing w:before="120"/>
              <w:rPr>
                <w:szCs w:val="22"/>
              </w:rPr>
            </w:pPr>
          </w:p>
        </w:tc>
        <w:tc>
          <w:tcPr>
            <w:tcW w:w="1245" w:type="dxa"/>
            <w:tcBorders>
              <w:top w:val="single" w:sz="8" w:space="0" w:color="000000"/>
              <w:left w:val="single" w:sz="2" w:space="0" w:color="000000"/>
              <w:bottom w:val="single" w:sz="4" w:space="0" w:color="000000"/>
              <w:right w:val="single" w:sz="4" w:space="0" w:color="000000"/>
            </w:tcBorders>
          </w:tcPr>
          <w:p w14:paraId="3DF3C254" w14:textId="77777777" w:rsidR="00807239" w:rsidRPr="00D166EA" w:rsidRDefault="00807239" w:rsidP="00B606B7">
            <w:pPr>
              <w:spacing w:before="120"/>
              <w:ind w:left="140" w:right="25"/>
              <w:jc w:val="center"/>
              <w:rPr>
                <w:szCs w:val="22"/>
              </w:rPr>
            </w:pPr>
          </w:p>
        </w:tc>
      </w:tr>
    </w:tbl>
    <w:p w14:paraId="11C95FEA" w14:textId="77777777" w:rsidR="00807239" w:rsidRPr="00D166EA" w:rsidRDefault="00807239" w:rsidP="00807239">
      <w:pPr>
        <w:pStyle w:val="Default"/>
        <w:rPr>
          <w:sz w:val="22"/>
          <w:szCs w:val="22"/>
        </w:rPr>
      </w:pPr>
      <w:r w:rsidRPr="00D166EA">
        <w:rPr>
          <w:sz w:val="22"/>
          <w:szCs w:val="22"/>
        </w:rPr>
        <w:t>*p &lt;</w:t>
      </w:r>
      <w:r w:rsidR="000D6F09">
        <w:rPr>
          <w:sz w:val="22"/>
          <w:szCs w:val="22"/>
        </w:rPr>
        <w:t> </w:t>
      </w:r>
      <w:r w:rsidRPr="00D166EA">
        <w:rPr>
          <w:sz w:val="22"/>
          <w:szCs w:val="22"/>
        </w:rPr>
        <w:t xml:space="preserve">0,05 (palyginus su lamivudinu). </w:t>
      </w:r>
    </w:p>
    <w:p w14:paraId="75715F15" w14:textId="77777777" w:rsidR="00807239" w:rsidRPr="00D166EA" w:rsidRDefault="00807239" w:rsidP="00807239">
      <w:pPr>
        <w:pStyle w:val="Default"/>
        <w:ind w:left="113" w:hanging="113"/>
        <w:rPr>
          <w:sz w:val="22"/>
          <w:szCs w:val="22"/>
        </w:rPr>
      </w:pPr>
      <w:r w:rsidRPr="00D166EA">
        <w:rPr>
          <w:position w:val="6"/>
          <w:sz w:val="22"/>
          <w:szCs w:val="22"/>
        </w:rPr>
        <w:t>a</w:t>
      </w:r>
      <w:r w:rsidRPr="00D166EA">
        <w:rPr>
          <w:sz w:val="22"/>
          <w:szCs w:val="22"/>
        </w:rPr>
        <w:t>pacientai, kurių histologinius duomenis iki gydymo buvo galima įvertinti (Knodell nekrozės ir uždegimo rodiklis ≥</w:t>
      </w:r>
      <w:r w:rsidR="000D6F09">
        <w:rPr>
          <w:sz w:val="22"/>
          <w:szCs w:val="22"/>
        </w:rPr>
        <w:t> </w:t>
      </w:r>
      <w:r w:rsidRPr="00D166EA">
        <w:rPr>
          <w:sz w:val="22"/>
          <w:szCs w:val="22"/>
        </w:rPr>
        <w:t xml:space="preserve">2). </w:t>
      </w:r>
    </w:p>
    <w:p w14:paraId="1959A8FC" w14:textId="77777777" w:rsidR="00807239" w:rsidRPr="00D166EA" w:rsidRDefault="00807239" w:rsidP="00807239">
      <w:pPr>
        <w:pStyle w:val="Default"/>
        <w:rPr>
          <w:sz w:val="22"/>
          <w:szCs w:val="22"/>
        </w:rPr>
      </w:pPr>
      <w:r w:rsidRPr="00D166EA">
        <w:rPr>
          <w:position w:val="6"/>
          <w:sz w:val="22"/>
          <w:szCs w:val="22"/>
        </w:rPr>
        <w:t>b</w:t>
      </w:r>
      <w:r w:rsidRPr="00D166EA">
        <w:rPr>
          <w:sz w:val="22"/>
          <w:szCs w:val="22"/>
        </w:rPr>
        <w:t xml:space="preserve">pagrindinis veiksmingumo rodiklis. </w:t>
      </w:r>
    </w:p>
    <w:p w14:paraId="1FB484DF" w14:textId="77777777" w:rsidR="00807239" w:rsidRPr="00D166EA" w:rsidRDefault="00807239" w:rsidP="00807239">
      <w:pPr>
        <w:ind w:left="113" w:hanging="113"/>
        <w:rPr>
          <w:szCs w:val="22"/>
        </w:rPr>
      </w:pPr>
      <w:r w:rsidRPr="00D166EA">
        <w:rPr>
          <w:position w:val="6"/>
          <w:szCs w:val="22"/>
        </w:rPr>
        <w:t>c</w:t>
      </w:r>
      <w:r w:rsidRPr="00D166EA">
        <w:rPr>
          <w:szCs w:val="22"/>
        </w:rPr>
        <w:t>Roche Cobas Amplicor PGR (polimerazės grandininės reakcijos) tyrimas (LLOQ [minimalus apskaičiuojamas kiekis] – 300</w:t>
      </w:r>
      <w:r w:rsidR="000D6F09">
        <w:rPr>
          <w:szCs w:val="22"/>
        </w:rPr>
        <w:t> </w:t>
      </w:r>
      <w:r w:rsidRPr="00D166EA">
        <w:rPr>
          <w:szCs w:val="22"/>
        </w:rPr>
        <w:t xml:space="preserve">kopijų/ml). </w:t>
      </w:r>
    </w:p>
    <w:p w14:paraId="6B5A10C3" w14:textId="77777777" w:rsidR="00807239" w:rsidRPr="00D166EA" w:rsidRDefault="00807239" w:rsidP="00807239">
      <w:pPr>
        <w:rPr>
          <w:szCs w:val="22"/>
        </w:rPr>
      </w:pPr>
    </w:p>
    <w:p w14:paraId="7941FA0E" w14:textId="77777777" w:rsidR="00807239" w:rsidRPr="00591D31" w:rsidRDefault="00807239" w:rsidP="00807239">
      <w:pPr>
        <w:pStyle w:val="Default"/>
        <w:rPr>
          <w:sz w:val="22"/>
          <w:szCs w:val="22"/>
        </w:rPr>
      </w:pPr>
      <w:r w:rsidRPr="00591D31">
        <w:rPr>
          <w:i/>
          <w:iCs/>
          <w:sz w:val="22"/>
          <w:szCs w:val="22"/>
        </w:rPr>
        <w:t xml:space="preserve">Patirtis  lamivudino poveikiui nejautriems pacientams, kurių kepenų liga kompensuota </w:t>
      </w:r>
    </w:p>
    <w:p w14:paraId="7322D69B" w14:textId="77777777" w:rsidR="00807239" w:rsidRPr="00D166EA" w:rsidRDefault="00807239" w:rsidP="00807239">
      <w:pPr>
        <w:rPr>
          <w:szCs w:val="22"/>
        </w:rPr>
      </w:pPr>
      <w:r w:rsidRPr="00D166EA">
        <w:rPr>
          <w:szCs w:val="22"/>
        </w:rPr>
        <w:t>Atliktas atsitiktinės atrankos, dvigubai koduotas tyrimas kuriame dalyvavo HBeAg teigiami lamivudino poveikiui nejautrūs pacientai (026). 85</w:t>
      </w:r>
      <w:r w:rsidR="000D6F09">
        <w:rPr>
          <w:szCs w:val="22"/>
        </w:rPr>
        <w:t> </w:t>
      </w:r>
      <w:r w:rsidRPr="00D166EA">
        <w:rPr>
          <w:szCs w:val="22"/>
        </w:rPr>
        <w:t>% pacientų iki gydymo buvo aptikta LVDr mutacijų. Pacientams, įtraukimo į tyrimą dieną vartojusiems lamivudino, šis vaistinis preparatas buvo pakeistas į 1</w:t>
      </w:r>
      <w:r w:rsidR="000D6F09">
        <w:rPr>
          <w:szCs w:val="22"/>
        </w:rPr>
        <w:t> </w:t>
      </w:r>
      <w:r w:rsidRPr="00D166EA">
        <w:rPr>
          <w:szCs w:val="22"/>
        </w:rPr>
        <w:t>mg entekaviro 1</w:t>
      </w:r>
      <w:r w:rsidR="000D6F09">
        <w:rPr>
          <w:szCs w:val="22"/>
        </w:rPr>
        <w:t> </w:t>
      </w:r>
      <w:r w:rsidRPr="00D166EA">
        <w:rPr>
          <w:szCs w:val="22"/>
        </w:rPr>
        <w:t>kartą per parą (be laikotarpio pirmajam vaistiniam preparatui pasišalinti ar abiems vaistiniams preparatams vartoti kartu, n</w:t>
      </w:r>
      <w:r w:rsidR="000D6F09">
        <w:rPr>
          <w:szCs w:val="22"/>
        </w:rPr>
        <w:t> </w:t>
      </w:r>
      <w:r w:rsidRPr="00D166EA">
        <w:rPr>
          <w:szCs w:val="22"/>
        </w:rPr>
        <w:t>=</w:t>
      </w:r>
      <w:r w:rsidR="000D6F09">
        <w:rPr>
          <w:szCs w:val="22"/>
        </w:rPr>
        <w:t> </w:t>
      </w:r>
      <w:r w:rsidRPr="00D166EA">
        <w:rPr>
          <w:szCs w:val="22"/>
        </w:rPr>
        <w:t>141) arba palikta toliau vartoti 100</w:t>
      </w:r>
      <w:r w:rsidR="000D6F09">
        <w:rPr>
          <w:szCs w:val="22"/>
        </w:rPr>
        <w:t> </w:t>
      </w:r>
      <w:r w:rsidRPr="00D166EA">
        <w:rPr>
          <w:szCs w:val="22"/>
        </w:rPr>
        <w:t>mg lamivudino 1</w:t>
      </w:r>
      <w:r w:rsidR="000D6F09">
        <w:rPr>
          <w:szCs w:val="22"/>
        </w:rPr>
        <w:t> </w:t>
      </w:r>
      <w:r w:rsidRPr="00D166EA">
        <w:rPr>
          <w:szCs w:val="22"/>
        </w:rPr>
        <w:t>kartą per parą (n</w:t>
      </w:r>
      <w:r w:rsidR="000D6F09">
        <w:rPr>
          <w:szCs w:val="22"/>
        </w:rPr>
        <w:t> </w:t>
      </w:r>
      <w:r w:rsidRPr="00D166EA">
        <w:rPr>
          <w:szCs w:val="22"/>
        </w:rPr>
        <w:t>=</w:t>
      </w:r>
      <w:r w:rsidR="000D6F09">
        <w:rPr>
          <w:szCs w:val="22"/>
        </w:rPr>
        <w:t> </w:t>
      </w:r>
      <w:r w:rsidRPr="00D166EA">
        <w:rPr>
          <w:szCs w:val="22"/>
        </w:rPr>
        <w:t>145). Po 48</w:t>
      </w:r>
      <w:r w:rsidR="000D6F09">
        <w:rPr>
          <w:szCs w:val="22"/>
        </w:rPr>
        <w:t> </w:t>
      </w:r>
      <w:r w:rsidRPr="00D166EA">
        <w:rPr>
          <w:szCs w:val="22"/>
        </w:rPr>
        <w:t>savaičių gauti duomenys pateikiami lentelėje.</w:t>
      </w:r>
    </w:p>
    <w:p w14:paraId="1A8FEB53" w14:textId="77777777" w:rsidR="00807239" w:rsidRPr="00D166EA" w:rsidRDefault="00807239" w:rsidP="00807239">
      <w:pPr>
        <w:rPr>
          <w:szCs w:val="22"/>
        </w:rPr>
      </w:pPr>
    </w:p>
    <w:tbl>
      <w:tblPr>
        <w:tblW w:w="0" w:type="auto"/>
        <w:tblInd w:w="122" w:type="dxa"/>
        <w:tblLayout w:type="fixed"/>
        <w:tblCellMar>
          <w:left w:w="0" w:type="dxa"/>
          <w:right w:w="0" w:type="dxa"/>
        </w:tblCellMar>
        <w:tblLook w:val="01E0" w:firstRow="1" w:lastRow="1" w:firstColumn="1" w:lastColumn="1" w:noHBand="0" w:noVBand="0"/>
      </w:tblPr>
      <w:tblGrid>
        <w:gridCol w:w="3726"/>
        <w:gridCol w:w="2173"/>
        <w:gridCol w:w="2380"/>
      </w:tblGrid>
      <w:tr w:rsidR="00807239" w:rsidRPr="00D166EA" w14:paraId="76EBB45C" w14:textId="77777777" w:rsidTr="002746CC">
        <w:trPr>
          <w:trHeight w:hRule="exact" w:val="284"/>
        </w:trPr>
        <w:tc>
          <w:tcPr>
            <w:tcW w:w="3726" w:type="dxa"/>
            <w:vMerge w:val="restart"/>
            <w:tcBorders>
              <w:top w:val="single" w:sz="4" w:space="0" w:color="000000"/>
              <w:left w:val="single" w:sz="4" w:space="0" w:color="000000"/>
              <w:right w:val="single" w:sz="4" w:space="0" w:color="000000"/>
            </w:tcBorders>
          </w:tcPr>
          <w:p w14:paraId="1E43A21A" w14:textId="77777777" w:rsidR="00807239" w:rsidRPr="00D166EA" w:rsidRDefault="00807239" w:rsidP="00C949E4">
            <w:pPr>
              <w:rPr>
                <w:szCs w:val="22"/>
              </w:rPr>
            </w:pPr>
          </w:p>
        </w:tc>
        <w:tc>
          <w:tcPr>
            <w:tcW w:w="4553" w:type="dxa"/>
            <w:gridSpan w:val="2"/>
            <w:tcBorders>
              <w:top w:val="single" w:sz="4" w:space="0" w:color="000000"/>
              <w:left w:val="single" w:sz="4" w:space="0" w:color="000000"/>
              <w:bottom w:val="single" w:sz="8" w:space="0" w:color="000000"/>
              <w:right w:val="single" w:sz="4" w:space="0" w:color="000000"/>
            </w:tcBorders>
          </w:tcPr>
          <w:p w14:paraId="23AE75D8" w14:textId="77777777" w:rsidR="00807239" w:rsidRPr="00D166EA" w:rsidRDefault="00807239" w:rsidP="00C949E4">
            <w:pPr>
              <w:spacing w:before="4"/>
              <w:ind w:left="117" w:right="-20"/>
              <w:jc w:val="center"/>
              <w:rPr>
                <w:szCs w:val="22"/>
              </w:rPr>
            </w:pPr>
            <w:r w:rsidRPr="00D166EA">
              <w:rPr>
                <w:w w:val="103"/>
                <w:szCs w:val="22"/>
              </w:rPr>
              <w:t>L</w:t>
            </w:r>
            <w:r w:rsidRPr="00D166EA">
              <w:rPr>
                <w:spacing w:val="2"/>
                <w:w w:val="103"/>
                <w:szCs w:val="22"/>
              </w:rPr>
              <w:t>a</w:t>
            </w:r>
            <w:r w:rsidRPr="00D166EA">
              <w:rPr>
                <w:spacing w:val="-2"/>
                <w:w w:val="103"/>
                <w:szCs w:val="22"/>
              </w:rPr>
              <w:t>m</w:t>
            </w:r>
            <w:r w:rsidRPr="00D166EA">
              <w:rPr>
                <w:spacing w:val="1"/>
                <w:w w:val="103"/>
                <w:szCs w:val="22"/>
              </w:rPr>
              <w:t>i</w:t>
            </w:r>
            <w:r w:rsidRPr="00D166EA">
              <w:rPr>
                <w:w w:val="103"/>
                <w:szCs w:val="22"/>
              </w:rPr>
              <w:t>vudino poveikiui nejautrūs pacientai</w:t>
            </w:r>
          </w:p>
        </w:tc>
      </w:tr>
      <w:tr w:rsidR="00807239" w:rsidRPr="00D166EA" w14:paraId="67FDE4C2" w14:textId="77777777" w:rsidTr="002746CC">
        <w:trPr>
          <w:trHeight w:hRule="exact" w:val="257"/>
        </w:trPr>
        <w:tc>
          <w:tcPr>
            <w:tcW w:w="3726" w:type="dxa"/>
            <w:vMerge/>
            <w:tcBorders>
              <w:left w:val="single" w:sz="4" w:space="0" w:color="000000"/>
              <w:right w:val="single" w:sz="4" w:space="0" w:color="000000"/>
            </w:tcBorders>
          </w:tcPr>
          <w:p w14:paraId="4B7325E8" w14:textId="77777777" w:rsidR="00807239" w:rsidRPr="00D166EA" w:rsidRDefault="00807239" w:rsidP="00C949E4">
            <w:pPr>
              <w:rPr>
                <w:szCs w:val="22"/>
              </w:rPr>
            </w:pPr>
          </w:p>
        </w:tc>
        <w:tc>
          <w:tcPr>
            <w:tcW w:w="4553" w:type="dxa"/>
            <w:gridSpan w:val="2"/>
            <w:tcBorders>
              <w:top w:val="single" w:sz="8" w:space="0" w:color="000000"/>
              <w:left w:val="single" w:sz="4" w:space="0" w:color="000000"/>
              <w:bottom w:val="nil"/>
              <w:right w:val="single" w:sz="4" w:space="0" w:color="000000"/>
            </w:tcBorders>
          </w:tcPr>
          <w:p w14:paraId="1B82121F" w14:textId="77777777" w:rsidR="00807239" w:rsidRPr="00D166EA" w:rsidRDefault="00807239" w:rsidP="00C949E4">
            <w:pPr>
              <w:spacing w:before="4"/>
              <w:ind w:left="1101" w:right="-20"/>
              <w:rPr>
                <w:szCs w:val="22"/>
              </w:rPr>
            </w:pPr>
            <w:r w:rsidRPr="00D166EA">
              <w:rPr>
                <w:szCs w:val="22"/>
              </w:rPr>
              <w:t>HBeAg</w:t>
            </w:r>
            <w:r w:rsidRPr="00D166EA">
              <w:rPr>
                <w:spacing w:val="21"/>
                <w:szCs w:val="22"/>
              </w:rPr>
              <w:t xml:space="preserve"> </w:t>
            </w:r>
            <w:r w:rsidRPr="00D166EA">
              <w:rPr>
                <w:szCs w:val="22"/>
              </w:rPr>
              <w:t>teigiami (tyrimas</w:t>
            </w:r>
            <w:r w:rsidRPr="00D166EA">
              <w:rPr>
                <w:spacing w:val="20"/>
                <w:szCs w:val="22"/>
              </w:rPr>
              <w:t xml:space="preserve"> </w:t>
            </w:r>
            <w:r w:rsidRPr="00D166EA">
              <w:rPr>
                <w:w w:val="103"/>
                <w:szCs w:val="22"/>
              </w:rPr>
              <w:t>0</w:t>
            </w:r>
            <w:r w:rsidRPr="00D166EA">
              <w:rPr>
                <w:spacing w:val="-1"/>
                <w:w w:val="103"/>
                <w:szCs w:val="22"/>
              </w:rPr>
              <w:t>2</w:t>
            </w:r>
            <w:r w:rsidRPr="00D166EA">
              <w:rPr>
                <w:w w:val="103"/>
                <w:szCs w:val="22"/>
              </w:rPr>
              <w:t>6)</w:t>
            </w:r>
          </w:p>
        </w:tc>
      </w:tr>
      <w:tr w:rsidR="00807239" w:rsidRPr="00D166EA" w14:paraId="4DEB2CF6" w14:textId="77777777" w:rsidTr="002746CC">
        <w:trPr>
          <w:trHeight w:hRule="exact" w:val="635"/>
        </w:trPr>
        <w:tc>
          <w:tcPr>
            <w:tcW w:w="3726" w:type="dxa"/>
            <w:vMerge/>
            <w:tcBorders>
              <w:left w:val="single" w:sz="4" w:space="0" w:color="000000"/>
              <w:bottom w:val="single" w:sz="12" w:space="0" w:color="000000"/>
              <w:right w:val="single" w:sz="4" w:space="0" w:color="000000"/>
            </w:tcBorders>
          </w:tcPr>
          <w:p w14:paraId="123DDAD8" w14:textId="77777777" w:rsidR="00807239" w:rsidRPr="00D166EA" w:rsidRDefault="00807239" w:rsidP="00C949E4">
            <w:pPr>
              <w:rPr>
                <w:szCs w:val="22"/>
              </w:rPr>
            </w:pPr>
          </w:p>
        </w:tc>
        <w:tc>
          <w:tcPr>
            <w:tcW w:w="2173" w:type="dxa"/>
            <w:tcBorders>
              <w:top w:val="single" w:sz="8" w:space="0" w:color="000000"/>
              <w:left w:val="single" w:sz="4" w:space="0" w:color="000000"/>
              <w:bottom w:val="single" w:sz="12" w:space="0" w:color="000000"/>
              <w:right w:val="single" w:sz="8" w:space="0" w:color="000000"/>
            </w:tcBorders>
          </w:tcPr>
          <w:p w14:paraId="6A014750" w14:textId="77777777" w:rsidR="00807239" w:rsidRPr="00D166EA" w:rsidRDefault="00807239" w:rsidP="000D6F09">
            <w:pPr>
              <w:spacing w:before="4"/>
              <w:ind w:left="113" w:right="-20"/>
              <w:rPr>
                <w:szCs w:val="22"/>
              </w:rPr>
            </w:pPr>
            <w:r w:rsidRPr="00D166EA">
              <w:rPr>
                <w:szCs w:val="22"/>
              </w:rPr>
              <w:t>ETV</w:t>
            </w:r>
            <w:r w:rsidRPr="00D166EA">
              <w:rPr>
                <w:spacing w:val="13"/>
                <w:szCs w:val="22"/>
              </w:rPr>
              <w:t xml:space="preserve"> </w:t>
            </w:r>
            <w:r w:rsidRPr="00D166EA">
              <w:rPr>
                <w:szCs w:val="22"/>
              </w:rPr>
              <w:t>1</w:t>
            </w:r>
            <w:r w:rsidR="000D6F09">
              <w:rPr>
                <w:szCs w:val="22"/>
              </w:rPr>
              <w:t>,</w:t>
            </w:r>
            <w:r w:rsidRPr="00D166EA">
              <w:rPr>
                <w:szCs w:val="22"/>
              </w:rPr>
              <w:t>0</w:t>
            </w:r>
            <w:r w:rsidR="000D6F09">
              <w:rPr>
                <w:szCs w:val="22"/>
              </w:rPr>
              <w:t> </w:t>
            </w:r>
            <w:r w:rsidRPr="00D166EA">
              <w:rPr>
                <w:spacing w:val="-2"/>
                <w:szCs w:val="22"/>
              </w:rPr>
              <w:t>m</w:t>
            </w:r>
            <w:r w:rsidRPr="00D166EA">
              <w:rPr>
                <w:szCs w:val="22"/>
              </w:rPr>
              <w:t>g</w:t>
            </w:r>
            <w:r w:rsidRPr="00D166EA">
              <w:rPr>
                <w:spacing w:val="11"/>
                <w:szCs w:val="22"/>
              </w:rPr>
              <w:t xml:space="preserve"> </w:t>
            </w:r>
            <w:r w:rsidRPr="00D166EA">
              <w:rPr>
                <w:szCs w:val="22"/>
              </w:rPr>
              <w:t>vieną kartą per parą</w:t>
            </w:r>
          </w:p>
        </w:tc>
        <w:tc>
          <w:tcPr>
            <w:tcW w:w="2380" w:type="dxa"/>
            <w:tcBorders>
              <w:top w:val="single" w:sz="4" w:space="0" w:color="000000"/>
              <w:left w:val="single" w:sz="8" w:space="0" w:color="000000"/>
              <w:bottom w:val="single" w:sz="12" w:space="0" w:color="000000"/>
              <w:right w:val="single" w:sz="4" w:space="0" w:color="000000"/>
            </w:tcBorders>
          </w:tcPr>
          <w:p w14:paraId="4E19C6C4" w14:textId="77777777" w:rsidR="00807239" w:rsidRPr="00D166EA" w:rsidRDefault="00807239" w:rsidP="000D6F09">
            <w:pPr>
              <w:spacing w:before="9"/>
              <w:ind w:left="171" w:right="-20"/>
              <w:rPr>
                <w:szCs w:val="22"/>
              </w:rPr>
            </w:pPr>
            <w:r w:rsidRPr="00D166EA">
              <w:rPr>
                <w:spacing w:val="1"/>
                <w:szCs w:val="22"/>
              </w:rPr>
              <w:t>L</w:t>
            </w:r>
            <w:r w:rsidRPr="00D166EA">
              <w:rPr>
                <w:szCs w:val="22"/>
              </w:rPr>
              <w:t>VD</w:t>
            </w:r>
            <w:r w:rsidRPr="00D166EA">
              <w:rPr>
                <w:spacing w:val="13"/>
                <w:szCs w:val="22"/>
              </w:rPr>
              <w:t xml:space="preserve"> </w:t>
            </w:r>
            <w:r w:rsidRPr="00D166EA">
              <w:rPr>
                <w:spacing w:val="1"/>
                <w:szCs w:val="22"/>
              </w:rPr>
              <w:t>1</w:t>
            </w:r>
            <w:r w:rsidRPr="00D166EA">
              <w:rPr>
                <w:szCs w:val="22"/>
              </w:rPr>
              <w:t>00</w:t>
            </w:r>
            <w:r w:rsidR="000D6F09">
              <w:rPr>
                <w:szCs w:val="22"/>
              </w:rPr>
              <w:t> </w:t>
            </w:r>
            <w:r w:rsidRPr="00D166EA">
              <w:rPr>
                <w:szCs w:val="22"/>
              </w:rPr>
              <w:t>mg</w:t>
            </w:r>
            <w:r w:rsidRPr="00D166EA">
              <w:rPr>
                <w:spacing w:val="12"/>
                <w:szCs w:val="22"/>
              </w:rPr>
              <w:t xml:space="preserve"> </w:t>
            </w:r>
            <w:r w:rsidRPr="00D166EA">
              <w:rPr>
                <w:spacing w:val="-1"/>
                <w:szCs w:val="22"/>
              </w:rPr>
              <w:t>vieną kartą per parą</w:t>
            </w:r>
          </w:p>
        </w:tc>
      </w:tr>
      <w:tr w:rsidR="00807239" w:rsidRPr="00D166EA" w14:paraId="548711E7" w14:textId="77777777" w:rsidTr="002746CC">
        <w:trPr>
          <w:trHeight w:hRule="exact" w:val="567"/>
        </w:trPr>
        <w:tc>
          <w:tcPr>
            <w:tcW w:w="3726" w:type="dxa"/>
            <w:tcBorders>
              <w:top w:val="single" w:sz="12" w:space="0" w:color="000000"/>
              <w:left w:val="single" w:sz="4" w:space="0" w:color="000000"/>
              <w:bottom w:val="single" w:sz="12" w:space="0" w:color="000000"/>
              <w:right w:val="single" w:sz="4" w:space="0" w:color="000000"/>
            </w:tcBorders>
          </w:tcPr>
          <w:p w14:paraId="5228B873" w14:textId="77777777" w:rsidR="00807239" w:rsidRPr="00D166EA" w:rsidRDefault="00807239" w:rsidP="00C949E4">
            <w:pPr>
              <w:spacing w:before="120"/>
              <w:ind w:left="96" w:right="-20"/>
              <w:rPr>
                <w:szCs w:val="22"/>
              </w:rPr>
            </w:pPr>
            <w:r w:rsidRPr="00D166EA">
              <w:rPr>
                <w:w w:val="103"/>
                <w:szCs w:val="22"/>
              </w:rPr>
              <w:t>n</w:t>
            </w:r>
          </w:p>
        </w:tc>
        <w:tc>
          <w:tcPr>
            <w:tcW w:w="2173" w:type="dxa"/>
            <w:tcBorders>
              <w:top w:val="single" w:sz="12" w:space="0" w:color="000000"/>
              <w:left w:val="single" w:sz="4" w:space="0" w:color="000000"/>
              <w:bottom w:val="single" w:sz="12" w:space="0" w:color="000000"/>
              <w:right w:val="single" w:sz="8" w:space="0" w:color="000000"/>
            </w:tcBorders>
          </w:tcPr>
          <w:p w14:paraId="7F3900DF" w14:textId="77777777" w:rsidR="00807239" w:rsidRPr="00D166EA" w:rsidRDefault="00807239" w:rsidP="00C949E4">
            <w:pPr>
              <w:spacing w:before="120" w:line="234" w:lineRule="exact"/>
              <w:ind w:left="859" w:right="835"/>
              <w:jc w:val="center"/>
              <w:rPr>
                <w:szCs w:val="22"/>
              </w:rPr>
            </w:pPr>
            <w:r w:rsidRPr="00D166EA">
              <w:rPr>
                <w:spacing w:val="-1"/>
                <w:w w:val="103"/>
                <w:szCs w:val="22"/>
              </w:rPr>
              <w:t>1</w:t>
            </w:r>
            <w:r w:rsidRPr="00D166EA">
              <w:rPr>
                <w:spacing w:val="1"/>
                <w:w w:val="103"/>
                <w:szCs w:val="22"/>
              </w:rPr>
              <w:t>2</w:t>
            </w:r>
            <w:r w:rsidRPr="00D166EA">
              <w:rPr>
                <w:spacing w:val="-1"/>
                <w:w w:val="103"/>
                <w:szCs w:val="22"/>
              </w:rPr>
              <w:t>4</w:t>
            </w:r>
            <w:r w:rsidRPr="00B606B7">
              <w:rPr>
                <w:spacing w:val="1"/>
                <w:w w:val="103"/>
                <w:szCs w:val="22"/>
                <w:vertAlign w:val="superscript"/>
              </w:rPr>
              <w:t>a</w:t>
            </w:r>
          </w:p>
        </w:tc>
        <w:tc>
          <w:tcPr>
            <w:tcW w:w="2380" w:type="dxa"/>
            <w:tcBorders>
              <w:top w:val="single" w:sz="12" w:space="0" w:color="000000"/>
              <w:left w:val="single" w:sz="8" w:space="0" w:color="000000"/>
              <w:bottom w:val="single" w:sz="12" w:space="0" w:color="000000"/>
              <w:right w:val="single" w:sz="4" w:space="0" w:color="000000"/>
            </w:tcBorders>
          </w:tcPr>
          <w:p w14:paraId="48E356D5" w14:textId="77777777" w:rsidR="00807239" w:rsidRPr="00D166EA" w:rsidRDefault="00807239" w:rsidP="00C949E4">
            <w:pPr>
              <w:spacing w:before="120" w:line="234" w:lineRule="exact"/>
              <w:ind w:left="956" w:right="943"/>
              <w:jc w:val="center"/>
              <w:rPr>
                <w:szCs w:val="22"/>
              </w:rPr>
            </w:pPr>
            <w:r w:rsidRPr="00D166EA">
              <w:rPr>
                <w:w w:val="103"/>
                <w:szCs w:val="22"/>
              </w:rPr>
              <w:t>1</w:t>
            </w:r>
            <w:r w:rsidRPr="00D166EA">
              <w:rPr>
                <w:spacing w:val="1"/>
                <w:w w:val="103"/>
                <w:szCs w:val="22"/>
              </w:rPr>
              <w:t>1</w:t>
            </w:r>
            <w:r w:rsidRPr="00D166EA">
              <w:rPr>
                <w:spacing w:val="-1"/>
                <w:w w:val="103"/>
                <w:szCs w:val="22"/>
              </w:rPr>
              <w:t>6</w:t>
            </w:r>
            <w:r w:rsidRPr="00B606B7">
              <w:rPr>
                <w:spacing w:val="1"/>
                <w:w w:val="103"/>
                <w:szCs w:val="22"/>
                <w:vertAlign w:val="superscript"/>
              </w:rPr>
              <w:t>a</w:t>
            </w:r>
          </w:p>
        </w:tc>
      </w:tr>
      <w:tr w:rsidR="00807239" w:rsidRPr="00D166EA" w14:paraId="4AFE5BBD" w14:textId="77777777" w:rsidTr="002746CC">
        <w:trPr>
          <w:trHeight w:hRule="exact" w:val="567"/>
        </w:trPr>
        <w:tc>
          <w:tcPr>
            <w:tcW w:w="3726" w:type="dxa"/>
            <w:tcBorders>
              <w:top w:val="single" w:sz="12" w:space="0" w:color="000000"/>
              <w:left w:val="single" w:sz="4" w:space="0" w:color="000000"/>
              <w:bottom w:val="single" w:sz="8" w:space="0" w:color="000000"/>
              <w:right w:val="single" w:sz="4" w:space="0" w:color="000000"/>
            </w:tcBorders>
          </w:tcPr>
          <w:p w14:paraId="5CC6B3AB" w14:textId="77777777" w:rsidR="00807239" w:rsidRPr="00D166EA" w:rsidRDefault="00807239" w:rsidP="001570EE">
            <w:pPr>
              <w:spacing w:before="120" w:line="234" w:lineRule="exact"/>
              <w:ind w:left="96" w:right="-20"/>
              <w:rPr>
                <w:szCs w:val="22"/>
              </w:rPr>
            </w:pPr>
            <w:r w:rsidRPr="00D166EA">
              <w:rPr>
                <w:szCs w:val="22"/>
              </w:rPr>
              <w:t>Hist</w:t>
            </w:r>
            <w:r w:rsidRPr="00D166EA">
              <w:rPr>
                <w:spacing w:val="-1"/>
                <w:szCs w:val="22"/>
              </w:rPr>
              <w:t>o</w:t>
            </w:r>
            <w:r w:rsidRPr="00D166EA">
              <w:rPr>
                <w:spacing w:val="1"/>
                <w:szCs w:val="22"/>
              </w:rPr>
              <w:t>lo</w:t>
            </w:r>
            <w:r w:rsidRPr="00D166EA">
              <w:rPr>
                <w:szCs w:val="22"/>
              </w:rPr>
              <w:t>gi</w:t>
            </w:r>
            <w:r w:rsidR="001570EE">
              <w:rPr>
                <w:szCs w:val="22"/>
              </w:rPr>
              <w:t>nis</w:t>
            </w:r>
            <w:r w:rsidRPr="00D166EA">
              <w:rPr>
                <w:spacing w:val="31"/>
                <w:szCs w:val="22"/>
              </w:rPr>
              <w:t xml:space="preserve"> </w:t>
            </w:r>
            <w:r w:rsidRPr="00D166EA">
              <w:rPr>
                <w:spacing w:val="1"/>
                <w:w w:val="103"/>
                <w:szCs w:val="22"/>
              </w:rPr>
              <w:t>pagerėjimas</w:t>
            </w:r>
            <w:r w:rsidRPr="00B606B7">
              <w:rPr>
                <w:spacing w:val="1"/>
                <w:w w:val="103"/>
                <w:szCs w:val="22"/>
                <w:vertAlign w:val="superscript"/>
              </w:rPr>
              <w:t>b</w:t>
            </w:r>
          </w:p>
        </w:tc>
        <w:tc>
          <w:tcPr>
            <w:tcW w:w="2173" w:type="dxa"/>
            <w:tcBorders>
              <w:top w:val="single" w:sz="12" w:space="0" w:color="000000"/>
              <w:left w:val="single" w:sz="4" w:space="0" w:color="000000"/>
              <w:bottom w:val="single" w:sz="8" w:space="0" w:color="000000"/>
              <w:right w:val="single" w:sz="8" w:space="0" w:color="000000"/>
            </w:tcBorders>
          </w:tcPr>
          <w:p w14:paraId="4DE77E69" w14:textId="77777777" w:rsidR="00807239" w:rsidRPr="00D166EA" w:rsidRDefault="00807239" w:rsidP="00C949E4">
            <w:pPr>
              <w:spacing w:before="120"/>
              <w:ind w:left="804" w:right="780"/>
              <w:jc w:val="center"/>
              <w:rPr>
                <w:szCs w:val="22"/>
              </w:rPr>
            </w:pPr>
            <w:r w:rsidRPr="00D166EA">
              <w:rPr>
                <w:spacing w:val="-1"/>
                <w:w w:val="103"/>
                <w:szCs w:val="22"/>
              </w:rPr>
              <w:t>5</w:t>
            </w:r>
            <w:r w:rsidRPr="00D166EA">
              <w:rPr>
                <w:spacing w:val="1"/>
                <w:w w:val="103"/>
                <w:szCs w:val="22"/>
              </w:rPr>
              <w:t>5</w:t>
            </w:r>
            <w:r w:rsidR="000D6F09">
              <w:rPr>
                <w:spacing w:val="1"/>
                <w:w w:val="103"/>
                <w:szCs w:val="22"/>
              </w:rPr>
              <w:t> </w:t>
            </w:r>
            <w:r w:rsidRPr="00D166EA">
              <w:rPr>
                <w:spacing w:val="1"/>
                <w:w w:val="103"/>
                <w:szCs w:val="22"/>
              </w:rPr>
              <w:t>%</w:t>
            </w:r>
            <w:r w:rsidRPr="00D166EA">
              <w:rPr>
                <w:w w:val="103"/>
                <w:szCs w:val="22"/>
              </w:rPr>
              <w:t>*</w:t>
            </w:r>
          </w:p>
        </w:tc>
        <w:tc>
          <w:tcPr>
            <w:tcW w:w="2380" w:type="dxa"/>
            <w:tcBorders>
              <w:top w:val="single" w:sz="12" w:space="0" w:color="000000"/>
              <w:left w:val="single" w:sz="8" w:space="0" w:color="000000"/>
              <w:bottom w:val="single" w:sz="8" w:space="0" w:color="000000"/>
              <w:right w:val="single" w:sz="4" w:space="0" w:color="000000"/>
            </w:tcBorders>
          </w:tcPr>
          <w:p w14:paraId="44E97370" w14:textId="77777777" w:rsidR="00807239" w:rsidRPr="00D166EA" w:rsidRDefault="00807239" w:rsidP="00C949E4">
            <w:pPr>
              <w:spacing w:before="120"/>
              <w:ind w:left="952" w:right="936"/>
              <w:jc w:val="center"/>
              <w:rPr>
                <w:szCs w:val="22"/>
              </w:rPr>
            </w:pPr>
            <w:r w:rsidRPr="00D166EA">
              <w:rPr>
                <w:spacing w:val="-1"/>
                <w:w w:val="103"/>
                <w:szCs w:val="22"/>
              </w:rPr>
              <w:t>2</w:t>
            </w:r>
            <w:r w:rsidRPr="00D166EA">
              <w:rPr>
                <w:spacing w:val="1"/>
                <w:w w:val="103"/>
                <w:szCs w:val="22"/>
              </w:rPr>
              <w:t>8</w:t>
            </w:r>
            <w:r w:rsidR="000D6F09">
              <w:rPr>
                <w:spacing w:val="1"/>
                <w:w w:val="103"/>
                <w:szCs w:val="22"/>
              </w:rPr>
              <w:t> </w:t>
            </w:r>
            <w:r w:rsidRPr="00D166EA">
              <w:rPr>
                <w:w w:val="103"/>
                <w:szCs w:val="22"/>
              </w:rPr>
              <w:t>%</w:t>
            </w:r>
          </w:p>
        </w:tc>
      </w:tr>
      <w:tr w:rsidR="00807239" w:rsidRPr="00D166EA" w14:paraId="0F42FB05" w14:textId="77777777" w:rsidTr="002746CC">
        <w:trPr>
          <w:trHeight w:hRule="exact" w:val="567"/>
        </w:trPr>
        <w:tc>
          <w:tcPr>
            <w:tcW w:w="3726" w:type="dxa"/>
            <w:tcBorders>
              <w:top w:val="single" w:sz="8" w:space="0" w:color="000000"/>
              <w:left w:val="single" w:sz="4" w:space="0" w:color="000000"/>
              <w:bottom w:val="single" w:sz="8" w:space="0" w:color="000000"/>
              <w:right w:val="single" w:sz="4" w:space="0" w:color="000000"/>
            </w:tcBorders>
          </w:tcPr>
          <w:p w14:paraId="1B124983" w14:textId="77777777" w:rsidR="00807239" w:rsidRPr="00D166EA" w:rsidRDefault="00807239" w:rsidP="00C949E4">
            <w:pPr>
              <w:spacing w:before="120"/>
              <w:ind w:left="96" w:right="-20"/>
              <w:rPr>
                <w:szCs w:val="22"/>
              </w:rPr>
            </w:pPr>
            <w:r w:rsidRPr="00D166EA">
              <w:rPr>
                <w:szCs w:val="22"/>
              </w:rPr>
              <w:lastRenderedPageBreak/>
              <w:t>Is</w:t>
            </w:r>
            <w:r w:rsidRPr="00D166EA">
              <w:rPr>
                <w:spacing w:val="1"/>
                <w:szCs w:val="22"/>
              </w:rPr>
              <w:t>ha</w:t>
            </w:r>
            <w:r w:rsidRPr="00D166EA">
              <w:rPr>
                <w:szCs w:val="22"/>
              </w:rPr>
              <w:t>k</w:t>
            </w:r>
            <w:r w:rsidRPr="00D166EA">
              <w:rPr>
                <w:spacing w:val="15"/>
                <w:szCs w:val="22"/>
              </w:rPr>
              <w:t xml:space="preserve"> </w:t>
            </w:r>
            <w:r w:rsidRPr="00D166EA">
              <w:rPr>
                <w:szCs w:val="22"/>
              </w:rPr>
              <w:t>f</w:t>
            </w:r>
            <w:r w:rsidRPr="00D166EA">
              <w:rPr>
                <w:spacing w:val="1"/>
                <w:szCs w:val="22"/>
              </w:rPr>
              <w:t>ib</w:t>
            </w:r>
            <w:r w:rsidRPr="00D166EA">
              <w:rPr>
                <w:szCs w:val="22"/>
              </w:rPr>
              <w:t>r</w:t>
            </w:r>
            <w:r w:rsidRPr="00D166EA">
              <w:rPr>
                <w:spacing w:val="1"/>
                <w:szCs w:val="22"/>
              </w:rPr>
              <w:t>ozės rodiklio pagerėjimas</w:t>
            </w:r>
          </w:p>
        </w:tc>
        <w:tc>
          <w:tcPr>
            <w:tcW w:w="2173" w:type="dxa"/>
            <w:tcBorders>
              <w:top w:val="single" w:sz="8" w:space="0" w:color="000000"/>
              <w:left w:val="single" w:sz="4" w:space="0" w:color="000000"/>
              <w:bottom w:val="single" w:sz="8" w:space="0" w:color="000000"/>
              <w:right w:val="single" w:sz="8" w:space="0" w:color="000000"/>
            </w:tcBorders>
          </w:tcPr>
          <w:p w14:paraId="279AF6FD" w14:textId="77777777" w:rsidR="00807239" w:rsidRPr="00D166EA" w:rsidRDefault="00807239" w:rsidP="00C949E4">
            <w:pPr>
              <w:spacing w:before="120"/>
              <w:ind w:left="804" w:right="779"/>
              <w:jc w:val="center"/>
              <w:rPr>
                <w:szCs w:val="22"/>
              </w:rPr>
            </w:pPr>
            <w:r w:rsidRPr="00D166EA">
              <w:rPr>
                <w:spacing w:val="-1"/>
                <w:w w:val="103"/>
                <w:szCs w:val="22"/>
              </w:rPr>
              <w:t>3</w:t>
            </w:r>
            <w:r w:rsidRPr="00D166EA">
              <w:rPr>
                <w:spacing w:val="1"/>
                <w:w w:val="103"/>
                <w:szCs w:val="22"/>
              </w:rPr>
              <w:t>4</w:t>
            </w:r>
            <w:r w:rsidR="000D6F09">
              <w:rPr>
                <w:spacing w:val="1"/>
                <w:w w:val="103"/>
                <w:szCs w:val="22"/>
              </w:rPr>
              <w:t> </w:t>
            </w:r>
            <w:r w:rsidRPr="00D166EA">
              <w:rPr>
                <w:spacing w:val="1"/>
                <w:w w:val="103"/>
                <w:szCs w:val="22"/>
              </w:rPr>
              <w:t>%*</w:t>
            </w:r>
          </w:p>
        </w:tc>
        <w:tc>
          <w:tcPr>
            <w:tcW w:w="2380" w:type="dxa"/>
            <w:tcBorders>
              <w:top w:val="single" w:sz="8" w:space="0" w:color="000000"/>
              <w:left w:val="single" w:sz="8" w:space="0" w:color="000000"/>
              <w:bottom w:val="single" w:sz="8" w:space="0" w:color="000000"/>
              <w:right w:val="single" w:sz="4" w:space="0" w:color="000000"/>
            </w:tcBorders>
          </w:tcPr>
          <w:p w14:paraId="7F021DED" w14:textId="77777777" w:rsidR="00807239" w:rsidRPr="00D166EA" w:rsidRDefault="00807239" w:rsidP="00591D31">
            <w:pPr>
              <w:tabs>
                <w:tab w:val="left" w:pos="1639"/>
              </w:tabs>
              <w:spacing w:before="120"/>
              <w:ind w:left="956" w:right="883"/>
              <w:rPr>
                <w:szCs w:val="22"/>
              </w:rPr>
            </w:pPr>
            <w:r w:rsidRPr="00D166EA">
              <w:rPr>
                <w:spacing w:val="-1"/>
                <w:w w:val="103"/>
                <w:szCs w:val="22"/>
              </w:rPr>
              <w:t>1</w:t>
            </w:r>
            <w:r w:rsidRPr="00D166EA">
              <w:rPr>
                <w:spacing w:val="1"/>
                <w:w w:val="103"/>
                <w:szCs w:val="22"/>
              </w:rPr>
              <w:t>6</w:t>
            </w:r>
            <w:r w:rsidR="005E5ABD">
              <w:rPr>
                <w:spacing w:val="1"/>
                <w:w w:val="103"/>
                <w:szCs w:val="22"/>
              </w:rPr>
              <w:t xml:space="preserve"> </w:t>
            </w:r>
            <w:r w:rsidRPr="00D166EA">
              <w:rPr>
                <w:w w:val="103"/>
                <w:szCs w:val="22"/>
              </w:rPr>
              <w:t>%</w:t>
            </w:r>
          </w:p>
        </w:tc>
      </w:tr>
      <w:tr w:rsidR="00807239" w:rsidRPr="00D166EA" w14:paraId="4A8B2FBB" w14:textId="77777777" w:rsidTr="002746CC">
        <w:trPr>
          <w:trHeight w:hRule="exact" w:val="567"/>
        </w:trPr>
        <w:tc>
          <w:tcPr>
            <w:tcW w:w="3726" w:type="dxa"/>
            <w:tcBorders>
              <w:top w:val="single" w:sz="8" w:space="0" w:color="000000"/>
              <w:left w:val="single" w:sz="4" w:space="0" w:color="000000"/>
              <w:bottom w:val="single" w:sz="12" w:space="0" w:color="000000"/>
              <w:right w:val="single" w:sz="4" w:space="0" w:color="000000"/>
            </w:tcBorders>
          </w:tcPr>
          <w:p w14:paraId="17A4B447" w14:textId="77777777" w:rsidR="00807239" w:rsidRPr="00D166EA" w:rsidRDefault="00807239" w:rsidP="001570EE">
            <w:pPr>
              <w:spacing w:before="120"/>
              <w:ind w:left="96" w:right="-20"/>
              <w:rPr>
                <w:szCs w:val="22"/>
              </w:rPr>
            </w:pPr>
            <w:r w:rsidRPr="00D166EA">
              <w:rPr>
                <w:szCs w:val="22"/>
              </w:rPr>
              <w:t>Ishak</w:t>
            </w:r>
            <w:r w:rsidRPr="00D166EA">
              <w:rPr>
                <w:spacing w:val="15"/>
                <w:szCs w:val="22"/>
              </w:rPr>
              <w:t xml:space="preserve"> </w:t>
            </w:r>
            <w:r w:rsidRPr="00D166EA">
              <w:rPr>
                <w:szCs w:val="22"/>
              </w:rPr>
              <w:t>f</w:t>
            </w:r>
            <w:r w:rsidRPr="00D166EA">
              <w:rPr>
                <w:spacing w:val="1"/>
                <w:szCs w:val="22"/>
              </w:rPr>
              <w:t>i</w:t>
            </w:r>
            <w:r w:rsidRPr="00D166EA">
              <w:rPr>
                <w:szCs w:val="22"/>
              </w:rPr>
              <w:t>br</w:t>
            </w:r>
            <w:r w:rsidRPr="00D166EA">
              <w:rPr>
                <w:spacing w:val="1"/>
                <w:szCs w:val="22"/>
              </w:rPr>
              <w:t>ozės rodiklio pablogėjimas</w:t>
            </w:r>
          </w:p>
        </w:tc>
        <w:tc>
          <w:tcPr>
            <w:tcW w:w="2173" w:type="dxa"/>
            <w:tcBorders>
              <w:top w:val="single" w:sz="8" w:space="0" w:color="000000"/>
              <w:left w:val="single" w:sz="4" w:space="0" w:color="000000"/>
              <w:bottom w:val="single" w:sz="12" w:space="0" w:color="000000"/>
              <w:right w:val="single" w:sz="8" w:space="0" w:color="000000"/>
            </w:tcBorders>
          </w:tcPr>
          <w:p w14:paraId="24A4C9E2" w14:textId="77777777" w:rsidR="00807239" w:rsidRPr="00D166EA" w:rsidRDefault="00807239" w:rsidP="00C949E4">
            <w:pPr>
              <w:spacing w:before="120"/>
              <w:ind w:left="856" w:right="830"/>
              <w:jc w:val="center"/>
              <w:rPr>
                <w:szCs w:val="22"/>
              </w:rPr>
            </w:pPr>
            <w:r w:rsidRPr="00D166EA">
              <w:rPr>
                <w:w w:val="103"/>
                <w:szCs w:val="22"/>
              </w:rPr>
              <w:t>11</w:t>
            </w:r>
            <w:r w:rsidR="000D6F09">
              <w:rPr>
                <w:w w:val="103"/>
                <w:szCs w:val="22"/>
              </w:rPr>
              <w:t> </w:t>
            </w:r>
            <w:r w:rsidRPr="00D166EA">
              <w:rPr>
                <w:w w:val="103"/>
                <w:szCs w:val="22"/>
              </w:rPr>
              <w:t>%</w:t>
            </w:r>
          </w:p>
        </w:tc>
        <w:tc>
          <w:tcPr>
            <w:tcW w:w="2380" w:type="dxa"/>
            <w:tcBorders>
              <w:top w:val="single" w:sz="8" w:space="0" w:color="000000"/>
              <w:left w:val="single" w:sz="8" w:space="0" w:color="000000"/>
              <w:bottom w:val="single" w:sz="12" w:space="0" w:color="000000"/>
              <w:right w:val="single" w:sz="4" w:space="0" w:color="000000"/>
            </w:tcBorders>
          </w:tcPr>
          <w:p w14:paraId="60E19E85" w14:textId="77777777" w:rsidR="00807239" w:rsidRPr="00D166EA" w:rsidRDefault="00807239" w:rsidP="00591D31">
            <w:pPr>
              <w:spacing w:before="120"/>
              <w:ind w:left="956" w:right="883"/>
              <w:rPr>
                <w:szCs w:val="22"/>
              </w:rPr>
            </w:pPr>
            <w:r w:rsidRPr="00D166EA">
              <w:rPr>
                <w:spacing w:val="-1"/>
                <w:w w:val="103"/>
                <w:szCs w:val="22"/>
              </w:rPr>
              <w:t>2</w:t>
            </w:r>
            <w:r w:rsidRPr="00D166EA">
              <w:rPr>
                <w:spacing w:val="1"/>
                <w:w w:val="103"/>
                <w:szCs w:val="22"/>
              </w:rPr>
              <w:t>6</w:t>
            </w:r>
            <w:r w:rsidR="000D6F09">
              <w:rPr>
                <w:spacing w:val="1"/>
                <w:w w:val="103"/>
                <w:szCs w:val="22"/>
              </w:rPr>
              <w:t> </w:t>
            </w:r>
            <w:r w:rsidRPr="00D166EA">
              <w:rPr>
                <w:w w:val="103"/>
                <w:szCs w:val="22"/>
              </w:rPr>
              <w:t>%</w:t>
            </w:r>
          </w:p>
        </w:tc>
      </w:tr>
      <w:tr w:rsidR="00807239" w:rsidRPr="00D166EA" w14:paraId="1FB8C01B" w14:textId="77777777" w:rsidTr="002746CC">
        <w:trPr>
          <w:trHeight w:hRule="exact" w:val="567"/>
        </w:trPr>
        <w:tc>
          <w:tcPr>
            <w:tcW w:w="3726" w:type="dxa"/>
            <w:tcBorders>
              <w:top w:val="single" w:sz="12" w:space="0" w:color="000000"/>
              <w:left w:val="single" w:sz="4" w:space="0" w:color="000000"/>
              <w:bottom w:val="single" w:sz="12" w:space="0" w:color="000000"/>
              <w:right w:val="single" w:sz="4" w:space="0" w:color="000000"/>
            </w:tcBorders>
          </w:tcPr>
          <w:p w14:paraId="58B2E37C" w14:textId="77777777" w:rsidR="00807239" w:rsidRPr="00D166EA" w:rsidRDefault="00807239" w:rsidP="00C949E4">
            <w:pPr>
              <w:spacing w:before="120"/>
              <w:ind w:left="96" w:right="-20"/>
              <w:rPr>
                <w:szCs w:val="22"/>
              </w:rPr>
            </w:pPr>
            <w:r w:rsidRPr="00D166EA">
              <w:rPr>
                <w:w w:val="103"/>
                <w:szCs w:val="22"/>
              </w:rPr>
              <w:t>n</w:t>
            </w:r>
          </w:p>
        </w:tc>
        <w:tc>
          <w:tcPr>
            <w:tcW w:w="2173" w:type="dxa"/>
            <w:tcBorders>
              <w:top w:val="single" w:sz="12" w:space="0" w:color="000000"/>
              <w:left w:val="single" w:sz="4" w:space="0" w:color="000000"/>
              <w:bottom w:val="single" w:sz="12" w:space="0" w:color="000000"/>
              <w:right w:val="single" w:sz="8" w:space="0" w:color="000000"/>
            </w:tcBorders>
          </w:tcPr>
          <w:p w14:paraId="61CE01FB" w14:textId="77777777" w:rsidR="00807239" w:rsidRPr="00D166EA" w:rsidRDefault="00807239" w:rsidP="00C949E4">
            <w:pPr>
              <w:spacing w:before="120"/>
              <w:ind w:left="890" w:right="866"/>
              <w:jc w:val="center"/>
              <w:rPr>
                <w:szCs w:val="22"/>
              </w:rPr>
            </w:pPr>
            <w:r w:rsidRPr="00D166EA">
              <w:rPr>
                <w:w w:val="103"/>
                <w:szCs w:val="22"/>
              </w:rPr>
              <w:t>141</w:t>
            </w:r>
          </w:p>
        </w:tc>
        <w:tc>
          <w:tcPr>
            <w:tcW w:w="2380" w:type="dxa"/>
            <w:tcBorders>
              <w:top w:val="single" w:sz="12" w:space="0" w:color="000000"/>
              <w:left w:val="single" w:sz="8" w:space="0" w:color="000000"/>
              <w:bottom w:val="single" w:sz="12" w:space="0" w:color="000000"/>
              <w:right w:val="single" w:sz="4" w:space="0" w:color="000000"/>
            </w:tcBorders>
          </w:tcPr>
          <w:p w14:paraId="372EF6A4" w14:textId="77777777" w:rsidR="00807239" w:rsidRPr="00D166EA" w:rsidRDefault="00807239" w:rsidP="00C949E4">
            <w:pPr>
              <w:spacing w:before="120"/>
              <w:ind w:left="988" w:right="974"/>
              <w:jc w:val="center"/>
              <w:rPr>
                <w:szCs w:val="22"/>
              </w:rPr>
            </w:pPr>
            <w:r w:rsidRPr="00D166EA">
              <w:rPr>
                <w:spacing w:val="-1"/>
                <w:w w:val="103"/>
                <w:szCs w:val="22"/>
              </w:rPr>
              <w:t>1</w:t>
            </w:r>
            <w:r w:rsidRPr="00D166EA">
              <w:rPr>
                <w:spacing w:val="1"/>
                <w:w w:val="103"/>
                <w:szCs w:val="22"/>
              </w:rPr>
              <w:t>4</w:t>
            </w:r>
            <w:r w:rsidRPr="00D166EA">
              <w:rPr>
                <w:w w:val="103"/>
                <w:szCs w:val="22"/>
              </w:rPr>
              <w:t>5</w:t>
            </w:r>
          </w:p>
        </w:tc>
      </w:tr>
      <w:tr w:rsidR="00807239" w:rsidRPr="00D166EA" w14:paraId="220B6569" w14:textId="77777777" w:rsidTr="002746CC">
        <w:trPr>
          <w:trHeight w:hRule="exact" w:val="794"/>
        </w:trPr>
        <w:tc>
          <w:tcPr>
            <w:tcW w:w="3726" w:type="dxa"/>
            <w:tcBorders>
              <w:top w:val="single" w:sz="12" w:space="0" w:color="000000"/>
              <w:left w:val="single" w:sz="4" w:space="0" w:color="000000"/>
              <w:bottom w:val="single" w:sz="8" w:space="0" w:color="000000"/>
              <w:right w:val="single" w:sz="4" w:space="0" w:color="000000"/>
            </w:tcBorders>
          </w:tcPr>
          <w:p w14:paraId="0DAE8D13" w14:textId="77777777" w:rsidR="00807239" w:rsidRPr="00D166EA" w:rsidRDefault="00807239" w:rsidP="000D6F09">
            <w:pPr>
              <w:spacing w:before="120" w:line="260" w:lineRule="exact"/>
              <w:ind w:left="96" w:right="-23"/>
              <w:rPr>
                <w:szCs w:val="22"/>
              </w:rPr>
            </w:pPr>
            <w:r w:rsidRPr="00D166EA">
              <w:rPr>
                <w:szCs w:val="22"/>
              </w:rPr>
              <w:t>Virusų kiekio sumažėjimas (</w:t>
            </w:r>
            <w:r w:rsidRPr="00B606B7">
              <w:rPr>
                <w:szCs w:val="22"/>
              </w:rPr>
              <w:t>l</w:t>
            </w:r>
            <w:r w:rsidRPr="000D6F09">
              <w:rPr>
                <w:szCs w:val="22"/>
              </w:rPr>
              <w:t>og</w:t>
            </w:r>
            <w:r w:rsidRPr="00B606B7">
              <w:rPr>
                <w:szCs w:val="22"/>
                <w:vertAlign w:val="subscript"/>
              </w:rPr>
              <w:t>10</w:t>
            </w:r>
            <w:r w:rsidR="000D6F09">
              <w:rPr>
                <w:spacing w:val="31"/>
                <w:position w:val="-3"/>
                <w:szCs w:val="22"/>
              </w:rPr>
              <w:t> </w:t>
            </w:r>
            <w:r w:rsidRPr="00D166EA">
              <w:rPr>
                <w:w w:val="103"/>
                <w:szCs w:val="22"/>
              </w:rPr>
              <w:t>kopijų</w:t>
            </w:r>
            <w:r w:rsidRPr="00D166EA">
              <w:rPr>
                <w:spacing w:val="3"/>
                <w:w w:val="103"/>
                <w:szCs w:val="22"/>
              </w:rPr>
              <w:t>/</w:t>
            </w:r>
            <w:r w:rsidRPr="00D166EA">
              <w:rPr>
                <w:spacing w:val="-1"/>
                <w:w w:val="103"/>
                <w:szCs w:val="22"/>
              </w:rPr>
              <w:t>m</w:t>
            </w:r>
            <w:r w:rsidRPr="00D166EA">
              <w:rPr>
                <w:w w:val="103"/>
                <w:szCs w:val="22"/>
              </w:rPr>
              <w:t>l</w:t>
            </w:r>
            <w:r w:rsidRPr="00D166EA">
              <w:rPr>
                <w:spacing w:val="-1"/>
                <w:w w:val="103"/>
                <w:szCs w:val="22"/>
              </w:rPr>
              <w:t>)</w:t>
            </w:r>
            <w:r w:rsidRPr="00B606B7">
              <w:rPr>
                <w:szCs w:val="22"/>
                <w:vertAlign w:val="superscript"/>
              </w:rPr>
              <w:t>c</w:t>
            </w:r>
          </w:p>
        </w:tc>
        <w:tc>
          <w:tcPr>
            <w:tcW w:w="2173" w:type="dxa"/>
            <w:tcBorders>
              <w:top w:val="single" w:sz="12" w:space="0" w:color="000000"/>
              <w:left w:val="single" w:sz="4" w:space="0" w:color="000000"/>
              <w:bottom w:val="single" w:sz="8" w:space="0" w:color="000000"/>
              <w:right w:val="single" w:sz="8" w:space="0" w:color="000000"/>
            </w:tcBorders>
          </w:tcPr>
          <w:p w14:paraId="7C66CD64" w14:textId="77777777" w:rsidR="00807239" w:rsidRPr="00D166EA" w:rsidRDefault="00807239" w:rsidP="00B606B7">
            <w:pPr>
              <w:tabs>
                <w:tab w:val="left" w:pos="2173"/>
              </w:tabs>
              <w:spacing w:before="120"/>
              <w:ind w:left="27"/>
              <w:jc w:val="center"/>
              <w:rPr>
                <w:szCs w:val="22"/>
              </w:rPr>
            </w:pPr>
            <w:r w:rsidRPr="00D166EA">
              <w:rPr>
                <w:w w:val="103"/>
                <w:szCs w:val="22"/>
              </w:rPr>
              <w:t>-5</w:t>
            </w:r>
            <w:r w:rsidR="000D6F09">
              <w:rPr>
                <w:w w:val="103"/>
                <w:szCs w:val="22"/>
              </w:rPr>
              <w:t>,</w:t>
            </w:r>
            <w:r w:rsidRPr="00D166EA">
              <w:rPr>
                <w:spacing w:val="1"/>
                <w:w w:val="103"/>
                <w:szCs w:val="22"/>
              </w:rPr>
              <w:t>1</w:t>
            </w:r>
            <w:r w:rsidRPr="00D166EA">
              <w:rPr>
                <w:w w:val="103"/>
                <w:szCs w:val="22"/>
              </w:rPr>
              <w:t>1*</w:t>
            </w:r>
          </w:p>
        </w:tc>
        <w:tc>
          <w:tcPr>
            <w:tcW w:w="2380" w:type="dxa"/>
            <w:tcBorders>
              <w:top w:val="single" w:sz="12" w:space="0" w:color="000000"/>
              <w:left w:val="single" w:sz="8" w:space="0" w:color="000000"/>
              <w:bottom w:val="single" w:sz="8" w:space="0" w:color="000000"/>
              <w:right w:val="single" w:sz="4" w:space="0" w:color="000000"/>
            </w:tcBorders>
          </w:tcPr>
          <w:p w14:paraId="0EE27E13" w14:textId="77777777" w:rsidR="00807239" w:rsidRPr="00D166EA" w:rsidRDefault="00807239" w:rsidP="000D6F09">
            <w:pPr>
              <w:spacing w:before="120"/>
              <w:ind w:left="925" w:right="909"/>
              <w:jc w:val="center"/>
              <w:rPr>
                <w:szCs w:val="22"/>
              </w:rPr>
            </w:pPr>
            <w:r w:rsidRPr="00D166EA">
              <w:rPr>
                <w:w w:val="103"/>
                <w:szCs w:val="22"/>
              </w:rPr>
              <w:t>-0</w:t>
            </w:r>
            <w:r w:rsidR="000D6F09">
              <w:rPr>
                <w:w w:val="103"/>
                <w:szCs w:val="22"/>
              </w:rPr>
              <w:t>,</w:t>
            </w:r>
            <w:r w:rsidRPr="00D166EA">
              <w:rPr>
                <w:spacing w:val="1"/>
                <w:w w:val="103"/>
                <w:szCs w:val="22"/>
              </w:rPr>
              <w:t>4</w:t>
            </w:r>
            <w:r w:rsidRPr="00D166EA">
              <w:rPr>
                <w:w w:val="103"/>
                <w:szCs w:val="22"/>
              </w:rPr>
              <w:t>8</w:t>
            </w:r>
          </w:p>
        </w:tc>
      </w:tr>
      <w:tr w:rsidR="00807239" w:rsidRPr="00D166EA" w14:paraId="21ED469E" w14:textId="77777777" w:rsidTr="002746CC">
        <w:trPr>
          <w:trHeight w:hRule="exact" w:val="680"/>
        </w:trPr>
        <w:tc>
          <w:tcPr>
            <w:tcW w:w="3726" w:type="dxa"/>
            <w:tcBorders>
              <w:top w:val="single" w:sz="8" w:space="0" w:color="000000"/>
              <w:left w:val="single" w:sz="4" w:space="0" w:color="000000"/>
              <w:bottom w:val="single" w:sz="8" w:space="0" w:color="000000"/>
              <w:right w:val="single" w:sz="4" w:space="0" w:color="000000"/>
            </w:tcBorders>
          </w:tcPr>
          <w:p w14:paraId="2A3E4410" w14:textId="77777777" w:rsidR="00807239" w:rsidRPr="00D166EA" w:rsidRDefault="00807239" w:rsidP="000D6F09">
            <w:pPr>
              <w:spacing w:before="120" w:line="260" w:lineRule="exact"/>
              <w:ind w:left="96" w:right="68"/>
              <w:rPr>
                <w:szCs w:val="22"/>
              </w:rPr>
            </w:pPr>
            <w:r w:rsidRPr="00D166EA">
              <w:rPr>
                <w:szCs w:val="22"/>
              </w:rPr>
              <w:t>HBV DNR nenustatoma (&lt;</w:t>
            </w:r>
            <w:r w:rsidR="000D6F09">
              <w:rPr>
                <w:szCs w:val="22"/>
              </w:rPr>
              <w:t> </w:t>
            </w:r>
            <w:r w:rsidRPr="00D166EA">
              <w:rPr>
                <w:szCs w:val="22"/>
              </w:rPr>
              <w:t>300</w:t>
            </w:r>
            <w:r w:rsidR="000D6F09">
              <w:rPr>
                <w:szCs w:val="22"/>
              </w:rPr>
              <w:t> </w:t>
            </w:r>
            <w:r w:rsidRPr="00D166EA">
              <w:rPr>
                <w:szCs w:val="22"/>
              </w:rPr>
              <w:t>kopijų/ml PGR metodu</w:t>
            </w:r>
            <w:r w:rsidRPr="00D166EA">
              <w:rPr>
                <w:w w:val="103"/>
                <w:szCs w:val="22"/>
              </w:rPr>
              <w:t>)</w:t>
            </w:r>
            <w:r w:rsidRPr="00B606B7">
              <w:rPr>
                <w:szCs w:val="22"/>
                <w:vertAlign w:val="superscript"/>
              </w:rPr>
              <w:t>c</w:t>
            </w:r>
          </w:p>
        </w:tc>
        <w:tc>
          <w:tcPr>
            <w:tcW w:w="2173" w:type="dxa"/>
            <w:tcBorders>
              <w:top w:val="single" w:sz="8" w:space="0" w:color="000000"/>
              <w:left w:val="single" w:sz="4" w:space="0" w:color="000000"/>
              <w:bottom w:val="single" w:sz="8" w:space="0" w:color="000000"/>
              <w:right w:val="single" w:sz="8" w:space="0" w:color="000000"/>
            </w:tcBorders>
          </w:tcPr>
          <w:p w14:paraId="31C5E843" w14:textId="77777777" w:rsidR="00807239" w:rsidRPr="00D166EA" w:rsidRDefault="00807239" w:rsidP="00C949E4">
            <w:pPr>
              <w:spacing w:before="120"/>
              <w:ind w:left="804" w:right="780"/>
              <w:jc w:val="center"/>
              <w:rPr>
                <w:szCs w:val="22"/>
              </w:rPr>
            </w:pPr>
            <w:r w:rsidRPr="00D166EA">
              <w:rPr>
                <w:spacing w:val="-1"/>
                <w:w w:val="103"/>
                <w:szCs w:val="22"/>
              </w:rPr>
              <w:t>1</w:t>
            </w:r>
            <w:r w:rsidRPr="00D166EA">
              <w:rPr>
                <w:spacing w:val="1"/>
                <w:w w:val="103"/>
                <w:szCs w:val="22"/>
              </w:rPr>
              <w:t>9</w:t>
            </w:r>
            <w:r w:rsidR="000D6F09">
              <w:rPr>
                <w:spacing w:val="1"/>
                <w:w w:val="103"/>
                <w:szCs w:val="22"/>
              </w:rPr>
              <w:t> </w:t>
            </w:r>
            <w:r w:rsidRPr="00D166EA">
              <w:rPr>
                <w:spacing w:val="1"/>
                <w:w w:val="103"/>
                <w:szCs w:val="22"/>
              </w:rPr>
              <w:t>%</w:t>
            </w:r>
            <w:r w:rsidRPr="00D166EA">
              <w:rPr>
                <w:w w:val="103"/>
                <w:szCs w:val="22"/>
              </w:rPr>
              <w:t>*</w:t>
            </w:r>
          </w:p>
        </w:tc>
        <w:tc>
          <w:tcPr>
            <w:tcW w:w="2380" w:type="dxa"/>
            <w:tcBorders>
              <w:top w:val="single" w:sz="8" w:space="0" w:color="000000"/>
              <w:left w:val="single" w:sz="8" w:space="0" w:color="000000"/>
              <w:bottom w:val="single" w:sz="8" w:space="0" w:color="000000"/>
              <w:right w:val="single" w:sz="4" w:space="0" w:color="000000"/>
            </w:tcBorders>
          </w:tcPr>
          <w:p w14:paraId="106C3300" w14:textId="77777777" w:rsidR="00807239" w:rsidRPr="00D166EA" w:rsidRDefault="00807239" w:rsidP="00C949E4">
            <w:pPr>
              <w:spacing w:before="120"/>
              <w:ind w:left="1006" w:right="993"/>
              <w:jc w:val="center"/>
              <w:rPr>
                <w:szCs w:val="22"/>
              </w:rPr>
            </w:pPr>
            <w:r w:rsidRPr="00D166EA">
              <w:rPr>
                <w:spacing w:val="-1"/>
                <w:w w:val="103"/>
                <w:szCs w:val="22"/>
              </w:rPr>
              <w:t>1</w:t>
            </w:r>
            <w:r w:rsidR="000D6F09">
              <w:rPr>
                <w:spacing w:val="-1"/>
                <w:w w:val="103"/>
                <w:szCs w:val="22"/>
              </w:rPr>
              <w:t> </w:t>
            </w:r>
            <w:r w:rsidRPr="00D166EA">
              <w:rPr>
                <w:spacing w:val="-1"/>
                <w:w w:val="103"/>
                <w:szCs w:val="22"/>
              </w:rPr>
              <w:t>%</w:t>
            </w:r>
          </w:p>
        </w:tc>
      </w:tr>
      <w:tr w:rsidR="00807239" w:rsidRPr="00D166EA" w14:paraId="73906C13" w14:textId="77777777" w:rsidTr="002746CC">
        <w:trPr>
          <w:trHeight w:hRule="exact" w:val="567"/>
        </w:trPr>
        <w:tc>
          <w:tcPr>
            <w:tcW w:w="3726" w:type="dxa"/>
            <w:tcBorders>
              <w:top w:val="single" w:sz="8" w:space="0" w:color="000000"/>
              <w:left w:val="single" w:sz="4" w:space="0" w:color="000000"/>
              <w:bottom w:val="single" w:sz="8" w:space="0" w:color="000000"/>
              <w:right w:val="single" w:sz="4" w:space="0" w:color="000000"/>
            </w:tcBorders>
          </w:tcPr>
          <w:p w14:paraId="26BAD70B" w14:textId="77777777" w:rsidR="00807239" w:rsidRPr="00D166EA" w:rsidRDefault="00807239" w:rsidP="000D6F09">
            <w:pPr>
              <w:spacing w:before="120"/>
              <w:ind w:left="96" w:right="-20"/>
              <w:rPr>
                <w:szCs w:val="22"/>
              </w:rPr>
            </w:pPr>
            <w:r w:rsidRPr="00D166EA">
              <w:rPr>
                <w:szCs w:val="22"/>
              </w:rPr>
              <w:t>ALT</w:t>
            </w:r>
            <w:r w:rsidRPr="00D166EA">
              <w:rPr>
                <w:spacing w:val="15"/>
                <w:szCs w:val="22"/>
              </w:rPr>
              <w:t xml:space="preserve"> </w:t>
            </w:r>
            <w:r w:rsidRPr="00D166EA">
              <w:rPr>
                <w:spacing w:val="1"/>
                <w:szCs w:val="22"/>
              </w:rPr>
              <w:t>sunormalėjimas</w:t>
            </w:r>
            <w:r w:rsidRPr="00D166EA">
              <w:rPr>
                <w:spacing w:val="35"/>
                <w:szCs w:val="22"/>
              </w:rPr>
              <w:t xml:space="preserve"> </w:t>
            </w:r>
            <w:r w:rsidRPr="00D166EA">
              <w:rPr>
                <w:szCs w:val="22"/>
              </w:rPr>
              <w:t>(≤</w:t>
            </w:r>
            <w:r w:rsidR="000D6F09">
              <w:rPr>
                <w:szCs w:val="22"/>
              </w:rPr>
              <w:t> </w:t>
            </w:r>
            <w:r w:rsidRPr="00D166EA">
              <w:rPr>
                <w:szCs w:val="22"/>
              </w:rPr>
              <w:t>1</w:t>
            </w:r>
            <w:r w:rsidRPr="00D166EA">
              <w:rPr>
                <w:spacing w:val="4"/>
                <w:szCs w:val="22"/>
              </w:rPr>
              <w:t xml:space="preserve"> VNR</w:t>
            </w:r>
            <w:r w:rsidRPr="00D166EA">
              <w:rPr>
                <w:spacing w:val="-1"/>
                <w:w w:val="103"/>
                <w:szCs w:val="22"/>
              </w:rPr>
              <w:t>)</w:t>
            </w:r>
          </w:p>
        </w:tc>
        <w:tc>
          <w:tcPr>
            <w:tcW w:w="2173" w:type="dxa"/>
            <w:tcBorders>
              <w:top w:val="single" w:sz="8" w:space="0" w:color="000000"/>
              <w:left w:val="single" w:sz="4" w:space="0" w:color="000000"/>
              <w:bottom w:val="single" w:sz="8" w:space="0" w:color="000000"/>
              <w:right w:val="single" w:sz="8" w:space="0" w:color="000000"/>
            </w:tcBorders>
          </w:tcPr>
          <w:p w14:paraId="68D88AF3" w14:textId="77777777" w:rsidR="00807239" w:rsidRPr="00D166EA" w:rsidRDefault="00807239" w:rsidP="00C949E4">
            <w:pPr>
              <w:spacing w:before="120"/>
              <w:ind w:left="802" w:right="780"/>
              <w:jc w:val="center"/>
              <w:rPr>
                <w:szCs w:val="22"/>
              </w:rPr>
            </w:pPr>
            <w:r w:rsidRPr="00D166EA">
              <w:rPr>
                <w:spacing w:val="-1"/>
                <w:w w:val="103"/>
                <w:szCs w:val="22"/>
              </w:rPr>
              <w:t>6</w:t>
            </w:r>
            <w:r w:rsidRPr="00D166EA">
              <w:rPr>
                <w:spacing w:val="1"/>
                <w:w w:val="103"/>
                <w:szCs w:val="22"/>
              </w:rPr>
              <w:t>1</w:t>
            </w:r>
            <w:r w:rsidR="000D6F09">
              <w:rPr>
                <w:spacing w:val="1"/>
                <w:w w:val="103"/>
                <w:szCs w:val="22"/>
              </w:rPr>
              <w:t> </w:t>
            </w:r>
            <w:r w:rsidRPr="00D166EA">
              <w:rPr>
                <w:spacing w:val="1"/>
                <w:w w:val="103"/>
                <w:szCs w:val="22"/>
              </w:rPr>
              <w:t>%</w:t>
            </w:r>
            <w:r w:rsidRPr="00D166EA">
              <w:rPr>
                <w:w w:val="103"/>
                <w:szCs w:val="22"/>
              </w:rPr>
              <w:t>*</w:t>
            </w:r>
          </w:p>
        </w:tc>
        <w:tc>
          <w:tcPr>
            <w:tcW w:w="2380" w:type="dxa"/>
            <w:tcBorders>
              <w:top w:val="single" w:sz="8" w:space="0" w:color="000000"/>
              <w:left w:val="single" w:sz="8" w:space="0" w:color="000000"/>
              <w:bottom w:val="single" w:sz="8" w:space="0" w:color="000000"/>
              <w:right w:val="single" w:sz="4" w:space="0" w:color="000000"/>
            </w:tcBorders>
          </w:tcPr>
          <w:p w14:paraId="565770D4" w14:textId="77777777" w:rsidR="00807239" w:rsidRPr="00D166EA" w:rsidRDefault="00807239" w:rsidP="00591D31">
            <w:pPr>
              <w:spacing w:before="120"/>
              <w:ind w:left="954" w:right="741"/>
              <w:jc w:val="center"/>
              <w:rPr>
                <w:szCs w:val="22"/>
              </w:rPr>
            </w:pPr>
            <w:r w:rsidRPr="00D166EA">
              <w:rPr>
                <w:spacing w:val="-1"/>
                <w:w w:val="103"/>
                <w:szCs w:val="22"/>
              </w:rPr>
              <w:t>1</w:t>
            </w:r>
            <w:r w:rsidRPr="00D166EA">
              <w:rPr>
                <w:spacing w:val="1"/>
                <w:w w:val="103"/>
                <w:szCs w:val="22"/>
              </w:rPr>
              <w:t>5</w:t>
            </w:r>
            <w:r w:rsidR="000D6F09">
              <w:rPr>
                <w:spacing w:val="1"/>
                <w:w w:val="103"/>
                <w:szCs w:val="22"/>
              </w:rPr>
              <w:t> </w:t>
            </w:r>
            <w:r w:rsidRPr="00D166EA">
              <w:rPr>
                <w:w w:val="103"/>
                <w:szCs w:val="22"/>
              </w:rPr>
              <w:t>%</w:t>
            </w:r>
          </w:p>
        </w:tc>
      </w:tr>
      <w:tr w:rsidR="00807239" w:rsidRPr="00D166EA" w14:paraId="72C6E665" w14:textId="77777777" w:rsidTr="002746CC">
        <w:trPr>
          <w:trHeight w:hRule="exact" w:val="170"/>
        </w:trPr>
        <w:tc>
          <w:tcPr>
            <w:tcW w:w="3726" w:type="dxa"/>
            <w:tcBorders>
              <w:top w:val="single" w:sz="8" w:space="0" w:color="000000"/>
              <w:left w:val="single" w:sz="4" w:space="0" w:color="000000"/>
              <w:bottom w:val="single" w:sz="8" w:space="0" w:color="000000"/>
              <w:right w:val="single" w:sz="4" w:space="0" w:color="000000"/>
            </w:tcBorders>
          </w:tcPr>
          <w:p w14:paraId="068F06CC" w14:textId="77777777" w:rsidR="00807239" w:rsidRPr="00D166EA" w:rsidRDefault="00807239" w:rsidP="00C949E4">
            <w:pPr>
              <w:spacing w:before="120"/>
              <w:rPr>
                <w:szCs w:val="22"/>
              </w:rPr>
            </w:pPr>
          </w:p>
        </w:tc>
        <w:tc>
          <w:tcPr>
            <w:tcW w:w="2173" w:type="dxa"/>
            <w:tcBorders>
              <w:top w:val="single" w:sz="8" w:space="0" w:color="000000"/>
              <w:left w:val="single" w:sz="4" w:space="0" w:color="000000"/>
              <w:bottom w:val="single" w:sz="8" w:space="0" w:color="000000"/>
              <w:right w:val="single" w:sz="8" w:space="0" w:color="000000"/>
            </w:tcBorders>
          </w:tcPr>
          <w:p w14:paraId="3804772F" w14:textId="77777777" w:rsidR="00807239" w:rsidRPr="00D166EA" w:rsidRDefault="00807239" w:rsidP="00C949E4">
            <w:pPr>
              <w:spacing w:before="120"/>
              <w:rPr>
                <w:szCs w:val="22"/>
              </w:rPr>
            </w:pPr>
          </w:p>
        </w:tc>
        <w:tc>
          <w:tcPr>
            <w:tcW w:w="2380" w:type="dxa"/>
            <w:tcBorders>
              <w:top w:val="single" w:sz="8" w:space="0" w:color="000000"/>
              <w:left w:val="single" w:sz="8" w:space="0" w:color="000000"/>
              <w:bottom w:val="single" w:sz="8" w:space="0" w:color="000000"/>
              <w:right w:val="single" w:sz="4" w:space="0" w:color="000000"/>
            </w:tcBorders>
          </w:tcPr>
          <w:p w14:paraId="1E5D0CF5" w14:textId="77777777" w:rsidR="00807239" w:rsidRPr="00D166EA" w:rsidRDefault="00807239" w:rsidP="00C949E4">
            <w:pPr>
              <w:spacing w:before="120"/>
              <w:rPr>
                <w:szCs w:val="22"/>
              </w:rPr>
            </w:pPr>
          </w:p>
        </w:tc>
      </w:tr>
      <w:tr w:rsidR="00807239" w:rsidRPr="00D166EA" w14:paraId="6AFE394E" w14:textId="77777777" w:rsidTr="002746CC">
        <w:trPr>
          <w:trHeight w:hRule="exact" w:val="567"/>
        </w:trPr>
        <w:tc>
          <w:tcPr>
            <w:tcW w:w="3726" w:type="dxa"/>
            <w:tcBorders>
              <w:top w:val="single" w:sz="8" w:space="0" w:color="000000"/>
              <w:left w:val="single" w:sz="4" w:space="0" w:color="000000"/>
              <w:bottom w:val="single" w:sz="4" w:space="0" w:color="000000"/>
              <w:right w:val="single" w:sz="4" w:space="0" w:color="000000"/>
            </w:tcBorders>
          </w:tcPr>
          <w:p w14:paraId="5381B743" w14:textId="77777777" w:rsidR="00807239" w:rsidRPr="00D166EA" w:rsidRDefault="00807239" w:rsidP="001570EE">
            <w:pPr>
              <w:spacing w:before="120"/>
              <w:ind w:left="96" w:right="-20"/>
              <w:rPr>
                <w:szCs w:val="22"/>
              </w:rPr>
            </w:pPr>
            <w:r w:rsidRPr="00D166EA">
              <w:rPr>
                <w:szCs w:val="22"/>
              </w:rPr>
              <w:t>HBeAg</w:t>
            </w:r>
            <w:r w:rsidRPr="00D166EA">
              <w:rPr>
                <w:spacing w:val="20"/>
                <w:szCs w:val="22"/>
              </w:rPr>
              <w:t xml:space="preserve"> </w:t>
            </w:r>
            <w:r w:rsidRPr="00D166EA">
              <w:rPr>
                <w:w w:val="103"/>
                <w:szCs w:val="22"/>
              </w:rPr>
              <w:t>serologinė konversija</w:t>
            </w:r>
          </w:p>
        </w:tc>
        <w:tc>
          <w:tcPr>
            <w:tcW w:w="2173" w:type="dxa"/>
            <w:tcBorders>
              <w:top w:val="single" w:sz="8" w:space="0" w:color="000000"/>
              <w:left w:val="single" w:sz="4" w:space="0" w:color="000000"/>
              <w:bottom w:val="single" w:sz="4" w:space="0" w:color="000000"/>
              <w:right w:val="single" w:sz="8" w:space="0" w:color="000000"/>
            </w:tcBorders>
          </w:tcPr>
          <w:p w14:paraId="326067DF" w14:textId="77777777" w:rsidR="00807239" w:rsidRPr="00D166EA" w:rsidRDefault="00807239" w:rsidP="00C949E4">
            <w:pPr>
              <w:spacing w:before="120"/>
              <w:ind w:left="907" w:right="883"/>
              <w:jc w:val="center"/>
              <w:rPr>
                <w:szCs w:val="22"/>
              </w:rPr>
            </w:pPr>
            <w:r w:rsidRPr="00D166EA">
              <w:rPr>
                <w:w w:val="103"/>
                <w:szCs w:val="22"/>
              </w:rPr>
              <w:t>8</w:t>
            </w:r>
            <w:r w:rsidR="000D6F09">
              <w:rPr>
                <w:w w:val="103"/>
                <w:szCs w:val="22"/>
              </w:rPr>
              <w:t> </w:t>
            </w:r>
            <w:r w:rsidRPr="00D166EA">
              <w:rPr>
                <w:w w:val="103"/>
                <w:szCs w:val="22"/>
              </w:rPr>
              <w:t>%</w:t>
            </w:r>
          </w:p>
        </w:tc>
        <w:tc>
          <w:tcPr>
            <w:tcW w:w="2380" w:type="dxa"/>
            <w:tcBorders>
              <w:top w:val="single" w:sz="8" w:space="0" w:color="000000"/>
              <w:left w:val="single" w:sz="8" w:space="0" w:color="000000"/>
              <w:bottom w:val="single" w:sz="4" w:space="0" w:color="000000"/>
              <w:right w:val="single" w:sz="4" w:space="0" w:color="000000"/>
            </w:tcBorders>
          </w:tcPr>
          <w:p w14:paraId="377DAA62" w14:textId="77777777" w:rsidR="00807239" w:rsidRPr="00D166EA" w:rsidRDefault="00807239" w:rsidP="00C949E4">
            <w:pPr>
              <w:spacing w:before="120"/>
              <w:ind w:left="1006" w:right="992"/>
              <w:jc w:val="center"/>
              <w:rPr>
                <w:szCs w:val="22"/>
              </w:rPr>
            </w:pPr>
            <w:r w:rsidRPr="00D166EA">
              <w:rPr>
                <w:spacing w:val="-1"/>
                <w:w w:val="103"/>
                <w:szCs w:val="22"/>
              </w:rPr>
              <w:t>3</w:t>
            </w:r>
            <w:r w:rsidR="000D6F09">
              <w:rPr>
                <w:spacing w:val="-1"/>
                <w:w w:val="103"/>
                <w:szCs w:val="22"/>
              </w:rPr>
              <w:t> </w:t>
            </w:r>
            <w:r w:rsidRPr="00D166EA">
              <w:rPr>
                <w:w w:val="103"/>
                <w:szCs w:val="22"/>
              </w:rPr>
              <w:t>%</w:t>
            </w:r>
          </w:p>
        </w:tc>
      </w:tr>
    </w:tbl>
    <w:p w14:paraId="35E95F05" w14:textId="77777777" w:rsidR="00807239" w:rsidRPr="00D166EA" w:rsidRDefault="00807239" w:rsidP="00807239">
      <w:pPr>
        <w:pStyle w:val="Default"/>
        <w:rPr>
          <w:sz w:val="22"/>
          <w:szCs w:val="22"/>
        </w:rPr>
      </w:pPr>
      <w:r w:rsidRPr="00D166EA">
        <w:rPr>
          <w:sz w:val="22"/>
          <w:szCs w:val="22"/>
        </w:rPr>
        <w:t>*p &lt;</w:t>
      </w:r>
      <w:r w:rsidR="000D6F09">
        <w:rPr>
          <w:sz w:val="22"/>
          <w:szCs w:val="22"/>
        </w:rPr>
        <w:t> </w:t>
      </w:r>
      <w:r w:rsidRPr="00D166EA">
        <w:rPr>
          <w:sz w:val="22"/>
          <w:szCs w:val="22"/>
        </w:rPr>
        <w:t xml:space="preserve">0,05 (palyginus su lamivudinu). </w:t>
      </w:r>
    </w:p>
    <w:p w14:paraId="54EF1C0E" w14:textId="77777777" w:rsidR="00807239" w:rsidRPr="00D166EA" w:rsidRDefault="00807239" w:rsidP="00807239">
      <w:pPr>
        <w:pStyle w:val="Default"/>
        <w:ind w:left="113" w:hanging="113"/>
        <w:rPr>
          <w:sz w:val="22"/>
          <w:szCs w:val="22"/>
        </w:rPr>
      </w:pPr>
      <w:r w:rsidRPr="00D166EA">
        <w:rPr>
          <w:position w:val="6"/>
          <w:sz w:val="22"/>
          <w:szCs w:val="22"/>
        </w:rPr>
        <w:t>a</w:t>
      </w:r>
      <w:r w:rsidRPr="00D166EA">
        <w:rPr>
          <w:sz w:val="22"/>
          <w:szCs w:val="22"/>
        </w:rPr>
        <w:t>pacientai, kurių histologinius duomenis iki gydymo buvo galima įvertinti (Knodell nekrozės ir uždegimo rodiklis ≥</w:t>
      </w:r>
      <w:r w:rsidR="000D6F09">
        <w:rPr>
          <w:sz w:val="22"/>
          <w:szCs w:val="22"/>
        </w:rPr>
        <w:t> </w:t>
      </w:r>
      <w:r w:rsidRPr="00D166EA">
        <w:rPr>
          <w:sz w:val="22"/>
          <w:szCs w:val="22"/>
        </w:rPr>
        <w:t xml:space="preserve">2). </w:t>
      </w:r>
    </w:p>
    <w:p w14:paraId="74142BBC" w14:textId="77777777" w:rsidR="00807239" w:rsidRPr="00D166EA" w:rsidRDefault="00807239" w:rsidP="00807239">
      <w:pPr>
        <w:pStyle w:val="Default"/>
        <w:rPr>
          <w:sz w:val="22"/>
          <w:szCs w:val="22"/>
        </w:rPr>
      </w:pPr>
      <w:r w:rsidRPr="00D166EA">
        <w:rPr>
          <w:position w:val="6"/>
          <w:sz w:val="22"/>
          <w:szCs w:val="22"/>
        </w:rPr>
        <w:t>b</w:t>
      </w:r>
      <w:r w:rsidRPr="00D166EA">
        <w:rPr>
          <w:sz w:val="22"/>
          <w:szCs w:val="22"/>
        </w:rPr>
        <w:t xml:space="preserve">pagrindinis veiksmingumo rodiklis. </w:t>
      </w:r>
    </w:p>
    <w:p w14:paraId="44DEC5A8" w14:textId="77777777" w:rsidR="00807239" w:rsidRPr="00D166EA" w:rsidRDefault="00807239" w:rsidP="00807239">
      <w:pPr>
        <w:ind w:left="113" w:hanging="113"/>
        <w:rPr>
          <w:szCs w:val="22"/>
        </w:rPr>
      </w:pPr>
      <w:r w:rsidRPr="00D166EA">
        <w:rPr>
          <w:position w:val="6"/>
          <w:szCs w:val="22"/>
        </w:rPr>
        <w:t>c</w:t>
      </w:r>
      <w:r w:rsidRPr="00D166EA">
        <w:rPr>
          <w:szCs w:val="22"/>
        </w:rPr>
        <w:t>Roche Cobas Amplicor PGR (polimerazės grandininės reakcijos) tyrimas (LLOQ [minimalus apskaičiuojamas kiekis] – 300</w:t>
      </w:r>
      <w:r w:rsidR="000D6F09">
        <w:rPr>
          <w:szCs w:val="22"/>
        </w:rPr>
        <w:t> </w:t>
      </w:r>
      <w:r w:rsidRPr="00D166EA">
        <w:rPr>
          <w:szCs w:val="22"/>
        </w:rPr>
        <w:t xml:space="preserve">kopijų/ml). </w:t>
      </w:r>
    </w:p>
    <w:p w14:paraId="31518956" w14:textId="77777777" w:rsidR="00807239" w:rsidRPr="00D166EA" w:rsidRDefault="00807239" w:rsidP="00807239">
      <w:pPr>
        <w:rPr>
          <w:szCs w:val="22"/>
        </w:rPr>
      </w:pPr>
    </w:p>
    <w:p w14:paraId="200E70C6" w14:textId="77777777" w:rsidR="00807239" w:rsidRPr="00591D31" w:rsidRDefault="00807239" w:rsidP="00807239">
      <w:pPr>
        <w:pStyle w:val="Default"/>
        <w:rPr>
          <w:sz w:val="22"/>
          <w:szCs w:val="22"/>
        </w:rPr>
      </w:pPr>
      <w:r w:rsidRPr="00591D31">
        <w:rPr>
          <w:i/>
          <w:iCs/>
          <w:sz w:val="22"/>
          <w:szCs w:val="22"/>
        </w:rPr>
        <w:t>Duomenys praėjus daugiau kaip 48</w:t>
      </w:r>
      <w:r w:rsidR="000D6F09" w:rsidRPr="00591D31">
        <w:rPr>
          <w:i/>
          <w:iCs/>
          <w:sz w:val="22"/>
          <w:szCs w:val="22"/>
        </w:rPr>
        <w:t> </w:t>
      </w:r>
      <w:r w:rsidRPr="00591D31">
        <w:rPr>
          <w:i/>
          <w:iCs/>
          <w:sz w:val="22"/>
          <w:szCs w:val="22"/>
        </w:rPr>
        <w:t xml:space="preserve">gydymo savaitėms </w:t>
      </w:r>
    </w:p>
    <w:p w14:paraId="65092F2C" w14:textId="77777777" w:rsidR="00807239" w:rsidRPr="00D166EA" w:rsidRDefault="00807239" w:rsidP="00807239">
      <w:pPr>
        <w:pStyle w:val="Default"/>
        <w:rPr>
          <w:sz w:val="22"/>
          <w:szCs w:val="22"/>
        </w:rPr>
      </w:pPr>
      <w:r w:rsidRPr="00D166EA">
        <w:rPr>
          <w:sz w:val="22"/>
          <w:szCs w:val="22"/>
        </w:rPr>
        <w:t>Gydymas būdavo nutraukiamas po 48</w:t>
      </w:r>
      <w:r w:rsidR="000D6F09">
        <w:rPr>
          <w:sz w:val="22"/>
          <w:szCs w:val="22"/>
        </w:rPr>
        <w:t> </w:t>
      </w:r>
      <w:r w:rsidRPr="00D166EA">
        <w:rPr>
          <w:sz w:val="22"/>
          <w:szCs w:val="22"/>
        </w:rPr>
        <w:t>savaičių arba per antruosius gydymo metus, nustačius atitikimą numatytiems atsako kriterijams. Šie kriterijai buvo HBV virusologinė supresija (HBV DNR &lt;</w:t>
      </w:r>
      <w:r w:rsidR="000D6F09">
        <w:rPr>
          <w:sz w:val="22"/>
          <w:szCs w:val="22"/>
        </w:rPr>
        <w:t> </w:t>
      </w:r>
      <w:r w:rsidRPr="00D166EA">
        <w:rPr>
          <w:sz w:val="22"/>
          <w:szCs w:val="22"/>
        </w:rPr>
        <w:t>0,7</w:t>
      </w:r>
      <w:r w:rsidR="000D6F09">
        <w:rPr>
          <w:sz w:val="22"/>
          <w:szCs w:val="22"/>
        </w:rPr>
        <w:t> </w:t>
      </w:r>
      <w:r w:rsidRPr="00D166EA">
        <w:rPr>
          <w:sz w:val="22"/>
          <w:szCs w:val="22"/>
        </w:rPr>
        <w:t>MEq/ml bDNR metodu) ir HBeAg išnykimas (HBeAg teigiamiems pacientams), arba mažesnis kaip 1,25 VNR ALT aktyvumas (HBeAg neigiamiems pacientams). Pacientai, kuriems pasireiškė atsakas, po gydymo buvo stebimi dar 24</w:t>
      </w:r>
      <w:r w:rsidR="000D6F09">
        <w:rPr>
          <w:sz w:val="22"/>
          <w:szCs w:val="22"/>
        </w:rPr>
        <w:t> </w:t>
      </w:r>
      <w:r w:rsidRPr="00D166EA">
        <w:rPr>
          <w:sz w:val="22"/>
          <w:szCs w:val="22"/>
        </w:rPr>
        <w:t xml:space="preserve">savaites. Atitikusiems virusologinius, bet ne serologinius ar biocheminius atsako kriterijus, tęstas koduotas gydymas. Tiems, kuriems virusologinis atsakas nepasireiškė, gydymas būdavo pakeičiamas. </w:t>
      </w:r>
    </w:p>
    <w:p w14:paraId="2C63A39F" w14:textId="77777777" w:rsidR="00807239" w:rsidRPr="00D166EA" w:rsidRDefault="00807239" w:rsidP="00807239">
      <w:pPr>
        <w:pStyle w:val="Default"/>
        <w:rPr>
          <w:i/>
          <w:iCs/>
          <w:sz w:val="22"/>
          <w:szCs w:val="22"/>
        </w:rPr>
      </w:pPr>
    </w:p>
    <w:p w14:paraId="0588CF2D" w14:textId="77777777" w:rsidR="00807239" w:rsidRPr="00D166EA" w:rsidRDefault="00807239" w:rsidP="00807239">
      <w:pPr>
        <w:pStyle w:val="Default"/>
        <w:rPr>
          <w:sz w:val="22"/>
          <w:szCs w:val="22"/>
        </w:rPr>
      </w:pPr>
      <w:r w:rsidRPr="00D166EA">
        <w:rPr>
          <w:i/>
          <w:iCs/>
          <w:sz w:val="22"/>
          <w:szCs w:val="22"/>
        </w:rPr>
        <w:t xml:space="preserve">Nukleozidų nevartoję pacientai </w:t>
      </w:r>
    </w:p>
    <w:p w14:paraId="6C809E9A" w14:textId="77777777" w:rsidR="00807239" w:rsidRPr="00D166EA" w:rsidRDefault="00807239" w:rsidP="00807239">
      <w:pPr>
        <w:pStyle w:val="Default"/>
        <w:rPr>
          <w:sz w:val="22"/>
          <w:szCs w:val="22"/>
        </w:rPr>
      </w:pPr>
      <w:r w:rsidRPr="00D166EA">
        <w:rPr>
          <w:sz w:val="22"/>
          <w:szCs w:val="22"/>
        </w:rPr>
        <w:t>HBeAg teigiami pacientai (tyrimas 022): iki 96</w:t>
      </w:r>
      <w:r w:rsidR="000D6F09">
        <w:rPr>
          <w:sz w:val="22"/>
          <w:szCs w:val="22"/>
        </w:rPr>
        <w:t> </w:t>
      </w:r>
      <w:r w:rsidRPr="00D166EA">
        <w:rPr>
          <w:sz w:val="22"/>
          <w:szCs w:val="22"/>
        </w:rPr>
        <w:t>savaičių vartojus entekaviro (n</w:t>
      </w:r>
      <w:r w:rsidR="000D6F09">
        <w:rPr>
          <w:sz w:val="22"/>
          <w:szCs w:val="22"/>
        </w:rPr>
        <w:t> </w:t>
      </w:r>
      <w:r w:rsidRPr="00D166EA">
        <w:rPr>
          <w:sz w:val="22"/>
          <w:szCs w:val="22"/>
        </w:rPr>
        <w:t>=</w:t>
      </w:r>
      <w:r w:rsidR="000D6F09">
        <w:rPr>
          <w:sz w:val="22"/>
          <w:szCs w:val="22"/>
        </w:rPr>
        <w:t> </w:t>
      </w:r>
      <w:r w:rsidRPr="00D166EA">
        <w:rPr>
          <w:sz w:val="22"/>
          <w:szCs w:val="22"/>
        </w:rPr>
        <w:t>354), kumuliacinis atsako dažnis pagal HBV DNR &lt;</w:t>
      </w:r>
      <w:r w:rsidR="000D6F09">
        <w:rPr>
          <w:sz w:val="22"/>
          <w:szCs w:val="22"/>
        </w:rPr>
        <w:t> </w:t>
      </w:r>
      <w:r w:rsidRPr="00D166EA">
        <w:rPr>
          <w:sz w:val="22"/>
          <w:szCs w:val="22"/>
        </w:rPr>
        <w:t>300</w:t>
      </w:r>
      <w:r w:rsidR="000D6F09">
        <w:rPr>
          <w:sz w:val="22"/>
          <w:szCs w:val="22"/>
        </w:rPr>
        <w:t> </w:t>
      </w:r>
      <w:r w:rsidRPr="00D166EA">
        <w:rPr>
          <w:sz w:val="22"/>
          <w:szCs w:val="22"/>
        </w:rPr>
        <w:t>kopijų/ml PGR metodu buvo 80</w:t>
      </w:r>
      <w:r w:rsidR="000D6F09">
        <w:rPr>
          <w:sz w:val="22"/>
          <w:szCs w:val="22"/>
        </w:rPr>
        <w:t> </w:t>
      </w:r>
      <w:r w:rsidRPr="00D166EA">
        <w:rPr>
          <w:sz w:val="22"/>
          <w:szCs w:val="22"/>
        </w:rPr>
        <w:t>%, pagal ALT sunormalėjimą – 87</w:t>
      </w:r>
      <w:r w:rsidR="000D6F09">
        <w:rPr>
          <w:sz w:val="22"/>
          <w:szCs w:val="22"/>
        </w:rPr>
        <w:t> </w:t>
      </w:r>
      <w:r w:rsidRPr="00D166EA">
        <w:rPr>
          <w:sz w:val="22"/>
          <w:szCs w:val="22"/>
        </w:rPr>
        <w:t>%, pagal HBeAg serologinę konversiją – 31</w:t>
      </w:r>
      <w:r w:rsidR="000D6F09">
        <w:rPr>
          <w:sz w:val="22"/>
          <w:szCs w:val="22"/>
        </w:rPr>
        <w:t> </w:t>
      </w:r>
      <w:r w:rsidRPr="00D166EA">
        <w:rPr>
          <w:sz w:val="22"/>
          <w:szCs w:val="22"/>
        </w:rPr>
        <w:t>%, pagal HBsAg serologinę konversiją – 2</w:t>
      </w:r>
      <w:r w:rsidR="000D6F09">
        <w:rPr>
          <w:sz w:val="22"/>
          <w:szCs w:val="22"/>
        </w:rPr>
        <w:t> </w:t>
      </w:r>
      <w:r w:rsidRPr="00D166EA">
        <w:rPr>
          <w:sz w:val="22"/>
          <w:szCs w:val="22"/>
        </w:rPr>
        <w:t>%, pagal HBsAg išnykimą – 5</w:t>
      </w:r>
      <w:r w:rsidR="000D6F09">
        <w:rPr>
          <w:sz w:val="22"/>
          <w:szCs w:val="22"/>
        </w:rPr>
        <w:t> </w:t>
      </w:r>
      <w:r w:rsidRPr="00D166EA">
        <w:rPr>
          <w:sz w:val="22"/>
          <w:szCs w:val="22"/>
        </w:rPr>
        <w:t>%. Lamivudinui (n</w:t>
      </w:r>
      <w:r w:rsidR="000D6F09">
        <w:rPr>
          <w:sz w:val="22"/>
          <w:szCs w:val="22"/>
        </w:rPr>
        <w:t> </w:t>
      </w:r>
      <w:r w:rsidRPr="00D166EA">
        <w:rPr>
          <w:sz w:val="22"/>
          <w:szCs w:val="22"/>
        </w:rPr>
        <w:t>=</w:t>
      </w:r>
      <w:r w:rsidR="000D6F09">
        <w:rPr>
          <w:sz w:val="22"/>
          <w:szCs w:val="22"/>
        </w:rPr>
        <w:t> </w:t>
      </w:r>
      <w:r w:rsidRPr="00D166EA">
        <w:rPr>
          <w:sz w:val="22"/>
          <w:szCs w:val="22"/>
        </w:rPr>
        <w:t>355) kumuliacinis atsako dažnis pagal HBV DNR &lt;</w:t>
      </w:r>
      <w:r w:rsidR="000D6F09">
        <w:rPr>
          <w:sz w:val="22"/>
          <w:szCs w:val="22"/>
        </w:rPr>
        <w:t> </w:t>
      </w:r>
      <w:r w:rsidRPr="00D166EA">
        <w:rPr>
          <w:sz w:val="22"/>
          <w:szCs w:val="22"/>
        </w:rPr>
        <w:t>300</w:t>
      </w:r>
      <w:r w:rsidR="000D6F09">
        <w:rPr>
          <w:sz w:val="22"/>
          <w:szCs w:val="22"/>
        </w:rPr>
        <w:t> </w:t>
      </w:r>
      <w:r w:rsidRPr="00D166EA">
        <w:rPr>
          <w:sz w:val="22"/>
          <w:szCs w:val="22"/>
        </w:rPr>
        <w:t>kopijų/ml PGR metodu buvo 39</w:t>
      </w:r>
      <w:r w:rsidR="000D6F09">
        <w:rPr>
          <w:sz w:val="22"/>
          <w:szCs w:val="22"/>
        </w:rPr>
        <w:t> </w:t>
      </w:r>
      <w:r w:rsidRPr="00D166EA">
        <w:rPr>
          <w:sz w:val="22"/>
          <w:szCs w:val="22"/>
        </w:rPr>
        <w:t>%, pagal ALT sunormalėjimą – 79</w:t>
      </w:r>
      <w:r w:rsidR="000D6F09">
        <w:rPr>
          <w:sz w:val="22"/>
          <w:szCs w:val="22"/>
        </w:rPr>
        <w:t> </w:t>
      </w:r>
      <w:r w:rsidRPr="00D166EA">
        <w:rPr>
          <w:sz w:val="22"/>
          <w:szCs w:val="22"/>
        </w:rPr>
        <w:t>%, pagal HBeAg serologinę konversiją – 26</w:t>
      </w:r>
      <w:r w:rsidR="000D6F09">
        <w:rPr>
          <w:sz w:val="22"/>
          <w:szCs w:val="22"/>
        </w:rPr>
        <w:t> </w:t>
      </w:r>
      <w:r w:rsidRPr="00D166EA">
        <w:rPr>
          <w:sz w:val="22"/>
          <w:szCs w:val="22"/>
        </w:rPr>
        <w:t>%, pagal HBsAg serologinę konversiją - 2</w:t>
      </w:r>
      <w:r w:rsidR="000D6F09">
        <w:rPr>
          <w:sz w:val="22"/>
          <w:szCs w:val="22"/>
        </w:rPr>
        <w:t> </w:t>
      </w:r>
      <w:r w:rsidRPr="00D166EA">
        <w:rPr>
          <w:sz w:val="22"/>
          <w:szCs w:val="22"/>
        </w:rPr>
        <w:t>%, pagal HBsAg išnykimą – 3</w:t>
      </w:r>
      <w:r w:rsidR="000D6F09">
        <w:rPr>
          <w:sz w:val="22"/>
          <w:szCs w:val="22"/>
        </w:rPr>
        <w:t> </w:t>
      </w:r>
      <w:r w:rsidRPr="00D166EA">
        <w:rPr>
          <w:sz w:val="22"/>
          <w:szCs w:val="22"/>
        </w:rPr>
        <w:t xml:space="preserve">%. </w:t>
      </w:r>
    </w:p>
    <w:p w14:paraId="1D516F10" w14:textId="77777777" w:rsidR="00807239" w:rsidRPr="00D166EA" w:rsidRDefault="00807239" w:rsidP="00807239">
      <w:pPr>
        <w:pStyle w:val="Default"/>
        <w:rPr>
          <w:sz w:val="22"/>
          <w:szCs w:val="22"/>
        </w:rPr>
      </w:pPr>
      <w:r w:rsidRPr="00D166EA">
        <w:rPr>
          <w:sz w:val="22"/>
          <w:szCs w:val="22"/>
        </w:rPr>
        <w:t>Skaičiuojant pacientus, gydytus ilgiau kaip 52</w:t>
      </w:r>
      <w:r w:rsidR="000D6F09">
        <w:rPr>
          <w:sz w:val="22"/>
          <w:szCs w:val="22"/>
        </w:rPr>
        <w:t> </w:t>
      </w:r>
      <w:r w:rsidRPr="00D166EA">
        <w:rPr>
          <w:sz w:val="22"/>
          <w:szCs w:val="22"/>
        </w:rPr>
        <w:t>savaites (gydymo trukmės mediana – 96</w:t>
      </w:r>
      <w:r w:rsidR="000D6F09">
        <w:rPr>
          <w:sz w:val="22"/>
          <w:szCs w:val="22"/>
        </w:rPr>
        <w:t> </w:t>
      </w:r>
      <w:r w:rsidRPr="00D166EA">
        <w:rPr>
          <w:sz w:val="22"/>
          <w:szCs w:val="22"/>
        </w:rPr>
        <w:t>savaitės), vartojimo laikotarpio pabaigoje 81</w:t>
      </w:r>
      <w:r w:rsidR="000D6F09">
        <w:rPr>
          <w:sz w:val="22"/>
          <w:szCs w:val="22"/>
        </w:rPr>
        <w:t> </w:t>
      </w:r>
      <w:r w:rsidRPr="00D166EA">
        <w:rPr>
          <w:sz w:val="22"/>
          <w:szCs w:val="22"/>
        </w:rPr>
        <w:t>% iš 243 entekaviro ir 39</w:t>
      </w:r>
      <w:r w:rsidR="000D6F09">
        <w:rPr>
          <w:sz w:val="22"/>
          <w:szCs w:val="22"/>
        </w:rPr>
        <w:t> </w:t>
      </w:r>
      <w:r w:rsidRPr="00D166EA">
        <w:rPr>
          <w:sz w:val="22"/>
          <w:szCs w:val="22"/>
        </w:rPr>
        <w:t>% iš 164 lamivudino vartojusių pacientų PGR metodu nustatyta HBV DNR &lt;</w:t>
      </w:r>
      <w:r w:rsidR="000D6F09">
        <w:rPr>
          <w:sz w:val="22"/>
          <w:szCs w:val="22"/>
        </w:rPr>
        <w:t> </w:t>
      </w:r>
      <w:r w:rsidRPr="00D166EA">
        <w:rPr>
          <w:sz w:val="22"/>
          <w:szCs w:val="22"/>
        </w:rPr>
        <w:t>300</w:t>
      </w:r>
      <w:r w:rsidR="000D6F09">
        <w:rPr>
          <w:sz w:val="22"/>
          <w:szCs w:val="22"/>
        </w:rPr>
        <w:t> </w:t>
      </w:r>
      <w:r w:rsidRPr="00D166EA">
        <w:rPr>
          <w:sz w:val="22"/>
          <w:szCs w:val="22"/>
        </w:rPr>
        <w:t>kopijų/ml, o sunormalėjęs (≤</w:t>
      </w:r>
      <w:r w:rsidR="000D6F09">
        <w:rPr>
          <w:sz w:val="22"/>
          <w:szCs w:val="22"/>
        </w:rPr>
        <w:t> </w:t>
      </w:r>
      <w:r w:rsidRPr="00D166EA">
        <w:rPr>
          <w:sz w:val="22"/>
          <w:szCs w:val="22"/>
        </w:rPr>
        <w:t xml:space="preserve">1 VNR) ALT aktyvumas </w:t>
      </w:r>
      <w:r w:rsidR="000D6F09">
        <w:rPr>
          <w:sz w:val="22"/>
          <w:szCs w:val="22"/>
        </w:rPr>
        <w:t>–</w:t>
      </w:r>
      <w:r w:rsidRPr="00D166EA">
        <w:rPr>
          <w:sz w:val="22"/>
          <w:szCs w:val="22"/>
        </w:rPr>
        <w:t xml:space="preserve"> 79</w:t>
      </w:r>
      <w:r w:rsidR="000D6F09">
        <w:rPr>
          <w:sz w:val="22"/>
          <w:szCs w:val="22"/>
        </w:rPr>
        <w:t> </w:t>
      </w:r>
      <w:r w:rsidRPr="00D166EA">
        <w:rPr>
          <w:sz w:val="22"/>
          <w:szCs w:val="22"/>
        </w:rPr>
        <w:t>% entekaviro ir 68</w:t>
      </w:r>
      <w:r w:rsidR="000D6F09">
        <w:rPr>
          <w:sz w:val="22"/>
          <w:szCs w:val="22"/>
        </w:rPr>
        <w:t> </w:t>
      </w:r>
      <w:r w:rsidRPr="00D166EA">
        <w:rPr>
          <w:sz w:val="22"/>
          <w:szCs w:val="22"/>
        </w:rPr>
        <w:t xml:space="preserve">% lamivudino vartojusių pacientų. </w:t>
      </w:r>
    </w:p>
    <w:p w14:paraId="581E68B1" w14:textId="77777777" w:rsidR="00807239" w:rsidRPr="00D166EA" w:rsidRDefault="00807239" w:rsidP="00807239">
      <w:pPr>
        <w:pStyle w:val="Default"/>
        <w:rPr>
          <w:sz w:val="22"/>
          <w:szCs w:val="22"/>
        </w:rPr>
      </w:pPr>
    </w:p>
    <w:p w14:paraId="21A32AC4" w14:textId="77777777" w:rsidR="00807239" w:rsidRPr="00D166EA" w:rsidRDefault="00807239" w:rsidP="00807239">
      <w:pPr>
        <w:pStyle w:val="Default"/>
        <w:rPr>
          <w:sz w:val="22"/>
          <w:szCs w:val="22"/>
        </w:rPr>
      </w:pPr>
      <w:r w:rsidRPr="00D166EA">
        <w:rPr>
          <w:sz w:val="22"/>
          <w:szCs w:val="22"/>
        </w:rPr>
        <w:t>HBeAg neigiami pacientai (tyrimas 027): iki 96</w:t>
      </w:r>
      <w:r w:rsidR="000D6F09">
        <w:rPr>
          <w:sz w:val="22"/>
          <w:szCs w:val="22"/>
        </w:rPr>
        <w:t> </w:t>
      </w:r>
      <w:r w:rsidRPr="00D166EA">
        <w:rPr>
          <w:sz w:val="22"/>
          <w:szCs w:val="22"/>
        </w:rPr>
        <w:t>savaičių vartojus entekaviro (n</w:t>
      </w:r>
      <w:r w:rsidR="000D6F09">
        <w:rPr>
          <w:sz w:val="22"/>
          <w:szCs w:val="22"/>
        </w:rPr>
        <w:t> </w:t>
      </w:r>
      <w:r w:rsidRPr="00D166EA">
        <w:rPr>
          <w:sz w:val="22"/>
          <w:szCs w:val="22"/>
        </w:rPr>
        <w:t>=</w:t>
      </w:r>
      <w:r w:rsidR="000D6F09">
        <w:rPr>
          <w:sz w:val="22"/>
          <w:szCs w:val="22"/>
        </w:rPr>
        <w:t> </w:t>
      </w:r>
      <w:r w:rsidRPr="00D166EA">
        <w:rPr>
          <w:sz w:val="22"/>
          <w:szCs w:val="22"/>
        </w:rPr>
        <w:t>325), kumuliacinis atsako dažnis pagal HBV DNR &lt;</w:t>
      </w:r>
      <w:r w:rsidR="000D6F09">
        <w:rPr>
          <w:sz w:val="22"/>
          <w:szCs w:val="22"/>
        </w:rPr>
        <w:t> </w:t>
      </w:r>
      <w:r w:rsidRPr="00D166EA">
        <w:rPr>
          <w:sz w:val="22"/>
          <w:szCs w:val="22"/>
        </w:rPr>
        <w:t>300</w:t>
      </w:r>
      <w:r w:rsidR="000D6F09">
        <w:rPr>
          <w:sz w:val="22"/>
          <w:szCs w:val="22"/>
        </w:rPr>
        <w:t> </w:t>
      </w:r>
      <w:r w:rsidRPr="00D166EA">
        <w:rPr>
          <w:sz w:val="22"/>
          <w:szCs w:val="22"/>
        </w:rPr>
        <w:t>kopijų/ml PGR metodu buvo 94</w:t>
      </w:r>
      <w:r w:rsidR="000D6F09">
        <w:rPr>
          <w:sz w:val="22"/>
          <w:szCs w:val="22"/>
        </w:rPr>
        <w:t> </w:t>
      </w:r>
      <w:r w:rsidRPr="00D166EA">
        <w:rPr>
          <w:sz w:val="22"/>
          <w:szCs w:val="22"/>
        </w:rPr>
        <w:t>%, pagal ALT sunormalėjimą – 89</w:t>
      </w:r>
      <w:r w:rsidR="000D6F09">
        <w:rPr>
          <w:sz w:val="22"/>
          <w:szCs w:val="22"/>
        </w:rPr>
        <w:t> </w:t>
      </w:r>
      <w:r w:rsidRPr="00D166EA">
        <w:rPr>
          <w:sz w:val="22"/>
          <w:szCs w:val="22"/>
        </w:rPr>
        <w:t>%. Lamivudinu gydytiems pacientams (n</w:t>
      </w:r>
      <w:r w:rsidR="000D6F09">
        <w:rPr>
          <w:sz w:val="22"/>
          <w:szCs w:val="22"/>
        </w:rPr>
        <w:t> </w:t>
      </w:r>
      <w:r w:rsidRPr="00D166EA">
        <w:rPr>
          <w:sz w:val="22"/>
          <w:szCs w:val="22"/>
        </w:rPr>
        <w:t>=</w:t>
      </w:r>
      <w:r w:rsidR="000D6F09">
        <w:rPr>
          <w:sz w:val="22"/>
          <w:szCs w:val="22"/>
        </w:rPr>
        <w:t> </w:t>
      </w:r>
      <w:r w:rsidRPr="00D166EA">
        <w:rPr>
          <w:sz w:val="22"/>
          <w:szCs w:val="22"/>
        </w:rPr>
        <w:t>313) kumuliacinis atsako dažnis pagal HBV DNR &lt;</w:t>
      </w:r>
      <w:r w:rsidR="000D6F09">
        <w:rPr>
          <w:sz w:val="22"/>
          <w:szCs w:val="22"/>
        </w:rPr>
        <w:t> </w:t>
      </w:r>
      <w:r w:rsidRPr="00D166EA">
        <w:rPr>
          <w:sz w:val="22"/>
          <w:szCs w:val="22"/>
        </w:rPr>
        <w:t>300</w:t>
      </w:r>
      <w:r w:rsidR="000D6F09">
        <w:rPr>
          <w:sz w:val="22"/>
          <w:szCs w:val="22"/>
        </w:rPr>
        <w:t> </w:t>
      </w:r>
      <w:r w:rsidRPr="00D166EA">
        <w:rPr>
          <w:sz w:val="22"/>
          <w:szCs w:val="22"/>
        </w:rPr>
        <w:t>kopijų/ml PGR metodu buvo 77</w:t>
      </w:r>
      <w:r w:rsidR="000D6F09">
        <w:rPr>
          <w:sz w:val="22"/>
          <w:szCs w:val="22"/>
        </w:rPr>
        <w:t> </w:t>
      </w:r>
      <w:r w:rsidRPr="00D166EA">
        <w:rPr>
          <w:sz w:val="22"/>
          <w:szCs w:val="22"/>
        </w:rPr>
        <w:t>%, pagal ALT sunormalėjimą – 84</w:t>
      </w:r>
      <w:r w:rsidR="000D6F09">
        <w:rPr>
          <w:sz w:val="22"/>
          <w:szCs w:val="22"/>
        </w:rPr>
        <w:t> </w:t>
      </w:r>
      <w:r w:rsidRPr="00D166EA">
        <w:rPr>
          <w:sz w:val="22"/>
          <w:szCs w:val="22"/>
        </w:rPr>
        <w:t xml:space="preserve">%. </w:t>
      </w:r>
    </w:p>
    <w:p w14:paraId="0BAC5A3A" w14:textId="77777777" w:rsidR="00807239" w:rsidRPr="00D166EA" w:rsidRDefault="00807239" w:rsidP="00807239">
      <w:pPr>
        <w:pStyle w:val="Default"/>
        <w:rPr>
          <w:sz w:val="22"/>
          <w:szCs w:val="22"/>
        </w:rPr>
      </w:pPr>
      <w:r w:rsidRPr="00D166EA">
        <w:rPr>
          <w:sz w:val="22"/>
          <w:szCs w:val="22"/>
        </w:rPr>
        <w:t>Skaičiuojant 26 entekaviro vartojusius ir</w:t>
      </w:r>
      <w:r w:rsidR="00D0215B">
        <w:rPr>
          <w:sz w:val="22"/>
          <w:szCs w:val="22"/>
        </w:rPr>
        <w:t xml:space="preserve"> </w:t>
      </w:r>
      <w:r w:rsidRPr="00D166EA">
        <w:rPr>
          <w:sz w:val="22"/>
          <w:szCs w:val="22"/>
        </w:rPr>
        <w:t>28 lamivudino vartojusius pacientus, gydytus ilgiau kaip 52</w:t>
      </w:r>
      <w:r w:rsidR="00D73E05">
        <w:rPr>
          <w:sz w:val="22"/>
          <w:szCs w:val="22"/>
        </w:rPr>
        <w:t> </w:t>
      </w:r>
      <w:r w:rsidRPr="00D166EA">
        <w:rPr>
          <w:sz w:val="22"/>
          <w:szCs w:val="22"/>
        </w:rPr>
        <w:t>savaites (gydymo trukmės mediana – 96</w:t>
      </w:r>
      <w:r w:rsidR="00D73E05">
        <w:rPr>
          <w:sz w:val="22"/>
          <w:szCs w:val="22"/>
        </w:rPr>
        <w:t> </w:t>
      </w:r>
      <w:r w:rsidRPr="00D166EA">
        <w:rPr>
          <w:sz w:val="22"/>
          <w:szCs w:val="22"/>
        </w:rPr>
        <w:t>savaitės), vartojimo laikotarpio pabaigoje 96</w:t>
      </w:r>
      <w:r w:rsidR="00D73E05">
        <w:rPr>
          <w:sz w:val="22"/>
          <w:szCs w:val="22"/>
        </w:rPr>
        <w:t> </w:t>
      </w:r>
      <w:r w:rsidRPr="00D166EA">
        <w:rPr>
          <w:sz w:val="22"/>
          <w:szCs w:val="22"/>
        </w:rPr>
        <w:t>% entekaviro vartojusių ir 64</w:t>
      </w:r>
      <w:r w:rsidR="00D73E05">
        <w:rPr>
          <w:sz w:val="22"/>
          <w:szCs w:val="22"/>
        </w:rPr>
        <w:t> </w:t>
      </w:r>
      <w:r w:rsidRPr="00D166EA">
        <w:rPr>
          <w:sz w:val="22"/>
          <w:szCs w:val="22"/>
        </w:rPr>
        <w:t>% lamivudino vartojusių pacientų PGR metodu nustatyta HBV DNR &lt;</w:t>
      </w:r>
      <w:r w:rsidR="00D73E05">
        <w:rPr>
          <w:sz w:val="22"/>
          <w:szCs w:val="22"/>
        </w:rPr>
        <w:t> </w:t>
      </w:r>
      <w:r w:rsidRPr="00D166EA">
        <w:rPr>
          <w:sz w:val="22"/>
          <w:szCs w:val="22"/>
        </w:rPr>
        <w:t>300</w:t>
      </w:r>
      <w:r w:rsidR="00D73E05">
        <w:rPr>
          <w:sz w:val="22"/>
          <w:szCs w:val="22"/>
        </w:rPr>
        <w:t> </w:t>
      </w:r>
      <w:r w:rsidRPr="00D166EA">
        <w:rPr>
          <w:sz w:val="22"/>
          <w:szCs w:val="22"/>
        </w:rPr>
        <w:t>kopijų/ml. Sunormalėjęs (≤ VNR) ALT aktyvumas gydymo pabaigoje nustatytas 27</w:t>
      </w:r>
      <w:r w:rsidR="00D73E05">
        <w:rPr>
          <w:sz w:val="22"/>
          <w:szCs w:val="22"/>
        </w:rPr>
        <w:t> </w:t>
      </w:r>
      <w:r w:rsidRPr="00D166EA">
        <w:rPr>
          <w:sz w:val="22"/>
          <w:szCs w:val="22"/>
        </w:rPr>
        <w:t>% entekaviro ir 21</w:t>
      </w:r>
      <w:r w:rsidR="00D73E05">
        <w:rPr>
          <w:sz w:val="22"/>
          <w:szCs w:val="22"/>
        </w:rPr>
        <w:t> </w:t>
      </w:r>
      <w:r w:rsidRPr="00D166EA">
        <w:rPr>
          <w:sz w:val="22"/>
          <w:szCs w:val="22"/>
        </w:rPr>
        <w:t xml:space="preserve">% lamivudino vartojusių pacientų. </w:t>
      </w:r>
    </w:p>
    <w:p w14:paraId="6E0E1F4F" w14:textId="77777777" w:rsidR="00807239" w:rsidRPr="00D166EA" w:rsidRDefault="00807239" w:rsidP="00807239">
      <w:pPr>
        <w:pStyle w:val="Default"/>
        <w:rPr>
          <w:sz w:val="22"/>
          <w:szCs w:val="22"/>
        </w:rPr>
      </w:pPr>
      <w:r w:rsidRPr="00D166EA">
        <w:rPr>
          <w:sz w:val="22"/>
          <w:szCs w:val="22"/>
        </w:rPr>
        <w:lastRenderedPageBreak/>
        <w:t>Tyrimo protokolo nustatytus kriterijus atitikęs atsakas 24</w:t>
      </w:r>
      <w:r w:rsidR="00D73E05">
        <w:rPr>
          <w:sz w:val="22"/>
          <w:szCs w:val="22"/>
        </w:rPr>
        <w:t> </w:t>
      </w:r>
      <w:r w:rsidRPr="00D166EA">
        <w:rPr>
          <w:sz w:val="22"/>
          <w:szCs w:val="22"/>
        </w:rPr>
        <w:t>savaičių stebėjimo laikotarpį po gydymo išliko: tyrimo 022 metu – 75</w:t>
      </w:r>
      <w:r w:rsidR="00D73E05">
        <w:rPr>
          <w:sz w:val="22"/>
          <w:szCs w:val="22"/>
        </w:rPr>
        <w:t> </w:t>
      </w:r>
      <w:r w:rsidRPr="00D166EA">
        <w:rPr>
          <w:sz w:val="22"/>
          <w:szCs w:val="22"/>
        </w:rPr>
        <w:t>% (83/111) pacientų, kuriems atsaką sukėlė entekaviras, ir 73</w:t>
      </w:r>
      <w:r w:rsidR="00D73E05">
        <w:rPr>
          <w:sz w:val="22"/>
          <w:szCs w:val="22"/>
        </w:rPr>
        <w:t> </w:t>
      </w:r>
      <w:r w:rsidRPr="00D166EA">
        <w:rPr>
          <w:sz w:val="22"/>
          <w:szCs w:val="22"/>
        </w:rPr>
        <w:t>% (68/93) pacientų, kuriems jį sukėlė lamivudinas; tyrimo 027 metu – 46</w:t>
      </w:r>
      <w:r w:rsidR="00D73E05">
        <w:rPr>
          <w:sz w:val="22"/>
          <w:szCs w:val="22"/>
        </w:rPr>
        <w:t> </w:t>
      </w:r>
      <w:r w:rsidRPr="00D166EA">
        <w:rPr>
          <w:sz w:val="22"/>
          <w:szCs w:val="22"/>
        </w:rPr>
        <w:t>% (131/286) pacientų, kuriems atsaką sukėlė entekaviras, ir 31</w:t>
      </w:r>
      <w:r w:rsidR="00D73E05">
        <w:rPr>
          <w:sz w:val="22"/>
          <w:szCs w:val="22"/>
        </w:rPr>
        <w:t> </w:t>
      </w:r>
      <w:r w:rsidRPr="00D166EA">
        <w:rPr>
          <w:sz w:val="22"/>
          <w:szCs w:val="22"/>
        </w:rPr>
        <w:t>% (79/253) pacientų, kuriems jį sukėlė lamivudinas. Per 48</w:t>
      </w:r>
      <w:r w:rsidR="00D73E05">
        <w:rPr>
          <w:sz w:val="22"/>
          <w:szCs w:val="22"/>
        </w:rPr>
        <w:t> </w:t>
      </w:r>
      <w:r w:rsidRPr="00D166EA">
        <w:rPr>
          <w:sz w:val="22"/>
          <w:szCs w:val="22"/>
        </w:rPr>
        <w:t xml:space="preserve">stebėjimo savaites po gydymo dideliam HBeAg neigiamų pacientų skaičiui atsakas išnyko. </w:t>
      </w:r>
    </w:p>
    <w:p w14:paraId="2ED41B67" w14:textId="77777777" w:rsidR="00807239" w:rsidRPr="00D166EA" w:rsidRDefault="00807239" w:rsidP="00807239">
      <w:pPr>
        <w:pStyle w:val="Default"/>
        <w:rPr>
          <w:sz w:val="22"/>
          <w:szCs w:val="22"/>
        </w:rPr>
      </w:pPr>
    </w:p>
    <w:p w14:paraId="1A2C0215" w14:textId="77777777" w:rsidR="00807239" w:rsidRPr="00D166EA" w:rsidRDefault="00807239" w:rsidP="00807239">
      <w:pPr>
        <w:pStyle w:val="Default"/>
        <w:rPr>
          <w:sz w:val="22"/>
          <w:szCs w:val="22"/>
        </w:rPr>
      </w:pPr>
      <w:r w:rsidRPr="00D166EA">
        <w:rPr>
          <w:sz w:val="22"/>
          <w:szCs w:val="22"/>
        </w:rPr>
        <w:t>Kepenų biopsijos duomenys: buvo vertinamas ilgalaikis poveikis 57</w:t>
      </w:r>
      <w:r w:rsidR="00D73E05">
        <w:rPr>
          <w:sz w:val="22"/>
          <w:szCs w:val="22"/>
        </w:rPr>
        <w:t> </w:t>
      </w:r>
      <w:r w:rsidRPr="00D166EA">
        <w:rPr>
          <w:sz w:val="22"/>
          <w:szCs w:val="22"/>
        </w:rPr>
        <w:t>pacientų, dalyvavusių pagrindžiamuosiuose nukleozidų nevartojusių pacientų tyrimuose 022 (HBeAg teigiami) ir 027 (HBeAg neigiami) bei vėliau įtrauktų į ilgalaikį tęstinį tyrimą, kepenų histologiniams rodikliams. Entekaviro paros dozė pagrindžiamųjų tyrimų metu buvo 0,5</w:t>
      </w:r>
      <w:r w:rsidR="00D73E05">
        <w:rPr>
          <w:sz w:val="22"/>
          <w:szCs w:val="22"/>
        </w:rPr>
        <w:t> </w:t>
      </w:r>
      <w:r w:rsidRPr="00D166EA">
        <w:rPr>
          <w:sz w:val="22"/>
          <w:szCs w:val="22"/>
        </w:rPr>
        <w:t>mg (vidutinė ekspozicijos trukmė – 85</w:t>
      </w:r>
      <w:r w:rsidR="00D73E05">
        <w:rPr>
          <w:sz w:val="22"/>
          <w:szCs w:val="22"/>
        </w:rPr>
        <w:t> </w:t>
      </w:r>
      <w:r w:rsidRPr="00D166EA">
        <w:rPr>
          <w:sz w:val="22"/>
          <w:szCs w:val="22"/>
        </w:rPr>
        <w:t>savaitės), o tęstinio tyrimo metu – 1</w:t>
      </w:r>
      <w:r w:rsidR="00D73E05">
        <w:rPr>
          <w:sz w:val="22"/>
          <w:szCs w:val="22"/>
        </w:rPr>
        <w:t> </w:t>
      </w:r>
      <w:r w:rsidRPr="00D166EA">
        <w:rPr>
          <w:sz w:val="22"/>
          <w:szCs w:val="22"/>
        </w:rPr>
        <w:t>mg (vidutinė ekspozicijos trukmė – 177</w:t>
      </w:r>
      <w:r w:rsidR="00D73E05">
        <w:rPr>
          <w:sz w:val="22"/>
          <w:szCs w:val="22"/>
        </w:rPr>
        <w:t> </w:t>
      </w:r>
      <w:r w:rsidRPr="00D166EA">
        <w:rPr>
          <w:sz w:val="22"/>
          <w:szCs w:val="22"/>
        </w:rPr>
        <w:t>savaitės), 51</w:t>
      </w:r>
      <w:r w:rsidR="00D73E05">
        <w:rPr>
          <w:sz w:val="22"/>
          <w:szCs w:val="22"/>
        </w:rPr>
        <w:t> </w:t>
      </w:r>
      <w:r w:rsidRPr="00D166EA">
        <w:rPr>
          <w:sz w:val="22"/>
          <w:szCs w:val="22"/>
        </w:rPr>
        <w:t>pacientas tęstinio tyrimo metu iš pradžių taip pat vartojo lamivudino (vartojimo trukmės mediana – 29</w:t>
      </w:r>
      <w:r w:rsidR="00D73E05">
        <w:rPr>
          <w:sz w:val="22"/>
          <w:szCs w:val="22"/>
        </w:rPr>
        <w:t> </w:t>
      </w:r>
      <w:r w:rsidRPr="00D166EA">
        <w:rPr>
          <w:sz w:val="22"/>
          <w:szCs w:val="22"/>
        </w:rPr>
        <w:t>savaitės). 55/57 (96</w:t>
      </w:r>
      <w:r w:rsidR="00D73E05">
        <w:rPr>
          <w:sz w:val="22"/>
          <w:szCs w:val="22"/>
        </w:rPr>
        <w:t> </w:t>
      </w:r>
      <w:r w:rsidRPr="00D166EA">
        <w:rPr>
          <w:sz w:val="22"/>
          <w:szCs w:val="22"/>
        </w:rPr>
        <w:t>%) šių pacientų stebėtas histologinis pagerėjimas pagal aukščiau nurodytus rodiklius (žr. aukščiau), 50/57 (88</w:t>
      </w:r>
      <w:r w:rsidR="00D73E05">
        <w:rPr>
          <w:sz w:val="22"/>
          <w:szCs w:val="22"/>
        </w:rPr>
        <w:t> </w:t>
      </w:r>
      <w:r w:rsidRPr="00D166EA">
        <w:rPr>
          <w:sz w:val="22"/>
          <w:szCs w:val="22"/>
        </w:rPr>
        <w:t>%) ≥</w:t>
      </w:r>
      <w:r w:rsidR="00D73E05">
        <w:rPr>
          <w:sz w:val="22"/>
          <w:szCs w:val="22"/>
        </w:rPr>
        <w:t> </w:t>
      </w:r>
      <w:r w:rsidRPr="00D166EA">
        <w:rPr>
          <w:sz w:val="22"/>
          <w:szCs w:val="22"/>
        </w:rPr>
        <w:t>1 punktu sumažėjo Ishak fibrozės rodiklis. 25/43 (58</w:t>
      </w:r>
      <w:r w:rsidR="00D73E05">
        <w:rPr>
          <w:sz w:val="22"/>
          <w:szCs w:val="22"/>
        </w:rPr>
        <w:t> </w:t>
      </w:r>
      <w:r w:rsidRPr="00D166EA">
        <w:rPr>
          <w:sz w:val="22"/>
          <w:szCs w:val="22"/>
        </w:rPr>
        <w:t>%) pacientų Ishak fibrozės rodiklis, iki gydymo buvęs ≥</w:t>
      </w:r>
      <w:r w:rsidR="00D73E05">
        <w:rPr>
          <w:sz w:val="22"/>
          <w:szCs w:val="22"/>
        </w:rPr>
        <w:t> </w:t>
      </w:r>
      <w:r w:rsidRPr="00D166EA">
        <w:rPr>
          <w:sz w:val="22"/>
          <w:szCs w:val="22"/>
        </w:rPr>
        <w:t>2, sumažėjo ≥</w:t>
      </w:r>
      <w:r w:rsidR="00D73E05">
        <w:rPr>
          <w:sz w:val="22"/>
          <w:szCs w:val="22"/>
        </w:rPr>
        <w:t> </w:t>
      </w:r>
      <w:r w:rsidRPr="00D166EA">
        <w:rPr>
          <w:sz w:val="22"/>
          <w:szCs w:val="22"/>
        </w:rPr>
        <w:t>2 punktais. Visų (10/10) pacientų, kuriems iki gydymo nustatyta progresavusi fibrozė arba cirozė (Ishak fibrozės rodiklis – 4, 5 arba 6), rodiklis sumažėjo ≥</w:t>
      </w:r>
      <w:r w:rsidR="00D73E05">
        <w:rPr>
          <w:sz w:val="22"/>
          <w:szCs w:val="22"/>
        </w:rPr>
        <w:t> </w:t>
      </w:r>
      <w:r w:rsidRPr="00D166EA">
        <w:rPr>
          <w:sz w:val="22"/>
          <w:szCs w:val="22"/>
        </w:rPr>
        <w:t>1 punktu (sumažėjimo, palyginus su buvusiu iki gydymo, mediana buvo 1,5 punkto). Atliekant biopsiją po ilgalaikio gydymo, visų pacientų HBV DNR kiekis buvo &lt;</w:t>
      </w:r>
      <w:r w:rsidR="00D73E05">
        <w:rPr>
          <w:sz w:val="22"/>
          <w:szCs w:val="22"/>
        </w:rPr>
        <w:t> </w:t>
      </w:r>
      <w:r w:rsidRPr="00D166EA">
        <w:rPr>
          <w:sz w:val="22"/>
          <w:szCs w:val="22"/>
        </w:rPr>
        <w:t>300</w:t>
      </w:r>
      <w:r w:rsidR="00D73E05">
        <w:rPr>
          <w:sz w:val="22"/>
          <w:szCs w:val="22"/>
        </w:rPr>
        <w:t> </w:t>
      </w:r>
      <w:r w:rsidRPr="00D166EA">
        <w:rPr>
          <w:sz w:val="22"/>
          <w:szCs w:val="22"/>
        </w:rPr>
        <w:t>kopijų/ml, 49/57 (86</w:t>
      </w:r>
      <w:r w:rsidR="00D73E05">
        <w:rPr>
          <w:sz w:val="22"/>
          <w:szCs w:val="22"/>
        </w:rPr>
        <w:t> </w:t>
      </w:r>
      <w:r w:rsidRPr="00D166EA">
        <w:rPr>
          <w:sz w:val="22"/>
          <w:szCs w:val="22"/>
        </w:rPr>
        <w:t xml:space="preserve">%) ALT aktyvumas serume atitiko </w:t>
      </w:r>
      <w:r w:rsidR="00E42FFF">
        <w:rPr>
          <w:sz w:val="22"/>
          <w:szCs w:val="22"/>
        </w:rPr>
        <w:t>VNR</w:t>
      </w:r>
      <w:r w:rsidRPr="00D166EA">
        <w:rPr>
          <w:sz w:val="22"/>
          <w:szCs w:val="22"/>
        </w:rPr>
        <w:t xml:space="preserve"> arba buvo mažesnis. Visi 57</w:t>
      </w:r>
      <w:r w:rsidR="00D73E05">
        <w:rPr>
          <w:sz w:val="22"/>
          <w:szCs w:val="22"/>
        </w:rPr>
        <w:t> </w:t>
      </w:r>
      <w:r w:rsidRPr="00D166EA">
        <w:rPr>
          <w:sz w:val="22"/>
          <w:szCs w:val="22"/>
        </w:rPr>
        <w:t xml:space="preserve">pacientai išliko HBsAg teigiami. </w:t>
      </w:r>
    </w:p>
    <w:p w14:paraId="255893EE" w14:textId="77777777" w:rsidR="00807239" w:rsidRPr="00D166EA" w:rsidRDefault="00807239" w:rsidP="00807239">
      <w:pPr>
        <w:pStyle w:val="Default"/>
        <w:rPr>
          <w:i/>
          <w:iCs/>
          <w:sz w:val="22"/>
          <w:szCs w:val="22"/>
        </w:rPr>
      </w:pPr>
    </w:p>
    <w:p w14:paraId="522FE30F" w14:textId="77777777" w:rsidR="00807239" w:rsidRPr="00D166EA" w:rsidRDefault="00807239" w:rsidP="00807239">
      <w:pPr>
        <w:pStyle w:val="Default"/>
        <w:rPr>
          <w:sz w:val="22"/>
          <w:szCs w:val="22"/>
        </w:rPr>
      </w:pPr>
      <w:r w:rsidRPr="00D166EA">
        <w:rPr>
          <w:i/>
          <w:iCs/>
          <w:sz w:val="22"/>
          <w:szCs w:val="22"/>
        </w:rPr>
        <w:t xml:space="preserve">Lamivudino poveikiui nejautrūs pacientai </w:t>
      </w:r>
    </w:p>
    <w:p w14:paraId="122688E0" w14:textId="77777777" w:rsidR="00807239" w:rsidRPr="00D166EA" w:rsidRDefault="00807239" w:rsidP="00807239">
      <w:pPr>
        <w:rPr>
          <w:szCs w:val="22"/>
        </w:rPr>
      </w:pPr>
      <w:r w:rsidRPr="00D166EA">
        <w:rPr>
          <w:szCs w:val="22"/>
        </w:rPr>
        <w:t>HBeAg teigiami pacientai (tyrimas 026): iki 96</w:t>
      </w:r>
      <w:r w:rsidR="00D73E05">
        <w:rPr>
          <w:szCs w:val="22"/>
        </w:rPr>
        <w:t> </w:t>
      </w:r>
      <w:r w:rsidRPr="00D166EA">
        <w:rPr>
          <w:szCs w:val="22"/>
        </w:rPr>
        <w:t>savaičių vartojus entekaviro (n</w:t>
      </w:r>
      <w:r w:rsidR="00D73E05">
        <w:rPr>
          <w:szCs w:val="22"/>
        </w:rPr>
        <w:t> </w:t>
      </w:r>
      <w:r w:rsidRPr="00D166EA">
        <w:rPr>
          <w:szCs w:val="22"/>
        </w:rPr>
        <w:t>=</w:t>
      </w:r>
      <w:r w:rsidR="00D73E05">
        <w:rPr>
          <w:szCs w:val="22"/>
        </w:rPr>
        <w:t> </w:t>
      </w:r>
      <w:r w:rsidRPr="00D166EA">
        <w:rPr>
          <w:szCs w:val="22"/>
        </w:rPr>
        <w:t>141), kumuliacinis atsako dažnis pagal HBV DNR &lt;</w:t>
      </w:r>
      <w:r w:rsidR="00D73E05">
        <w:rPr>
          <w:szCs w:val="22"/>
        </w:rPr>
        <w:t> </w:t>
      </w:r>
      <w:r w:rsidRPr="00D166EA">
        <w:rPr>
          <w:szCs w:val="22"/>
        </w:rPr>
        <w:t>300</w:t>
      </w:r>
      <w:r w:rsidR="00D73E05">
        <w:rPr>
          <w:szCs w:val="22"/>
        </w:rPr>
        <w:t> </w:t>
      </w:r>
      <w:r w:rsidRPr="00D166EA">
        <w:rPr>
          <w:szCs w:val="22"/>
        </w:rPr>
        <w:t>kopijų/ml PGR metodu buvo 30</w:t>
      </w:r>
      <w:r w:rsidR="00D73E05">
        <w:rPr>
          <w:szCs w:val="22"/>
        </w:rPr>
        <w:t> </w:t>
      </w:r>
      <w:r w:rsidRPr="00D166EA">
        <w:rPr>
          <w:szCs w:val="22"/>
        </w:rPr>
        <w:t>%, pagal ALT sunormalėjimą – 85</w:t>
      </w:r>
      <w:r w:rsidR="00D73E05">
        <w:rPr>
          <w:szCs w:val="22"/>
        </w:rPr>
        <w:t> </w:t>
      </w:r>
      <w:r w:rsidRPr="00D166EA">
        <w:rPr>
          <w:szCs w:val="22"/>
        </w:rPr>
        <w:t>%, pagal HBeAg serologinę konversiją – 17</w:t>
      </w:r>
      <w:r w:rsidR="00D73E05">
        <w:rPr>
          <w:szCs w:val="22"/>
        </w:rPr>
        <w:t> </w:t>
      </w:r>
      <w:r w:rsidRPr="00D166EA">
        <w:rPr>
          <w:szCs w:val="22"/>
        </w:rPr>
        <w:t>%.</w:t>
      </w:r>
    </w:p>
    <w:p w14:paraId="6B5DA55B" w14:textId="77777777" w:rsidR="00807239" w:rsidRPr="00D166EA" w:rsidRDefault="00807239" w:rsidP="00807239">
      <w:pPr>
        <w:pStyle w:val="Default"/>
        <w:rPr>
          <w:sz w:val="22"/>
          <w:szCs w:val="22"/>
        </w:rPr>
      </w:pPr>
      <w:r w:rsidRPr="00D166EA">
        <w:rPr>
          <w:sz w:val="22"/>
          <w:szCs w:val="22"/>
        </w:rPr>
        <w:t>Skaičiuojant 77</w:t>
      </w:r>
      <w:r w:rsidR="00D73E05">
        <w:rPr>
          <w:sz w:val="22"/>
          <w:szCs w:val="22"/>
        </w:rPr>
        <w:t> </w:t>
      </w:r>
      <w:r w:rsidRPr="00D166EA">
        <w:rPr>
          <w:sz w:val="22"/>
          <w:szCs w:val="22"/>
        </w:rPr>
        <w:t>pacientus, vartojusius entekaviro ilgiau kaip 52</w:t>
      </w:r>
      <w:r w:rsidR="00D73E05">
        <w:rPr>
          <w:sz w:val="22"/>
          <w:szCs w:val="22"/>
        </w:rPr>
        <w:t> </w:t>
      </w:r>
      <w:r w:rsidRPr="00D166EA">
        <w:rPr>
          <w:sz w:val="22"/>
          <w:szCs w:val="22"/>
        </w:rPr>
        <w:t>savaites (gydymo trukmės mediana – 96</w:t>
      </w:r>
      <w:r w:rsidR="00D73E05">
        <w:rPr>
          <w:sz w:val="22"/>
          <w:szCs w:val="22"/>
        </w:rPr>
        <w:t> </w:t>
      </w:r>
      <w:r w:rsidRPr="00D166EA">
        <w:rPr>
          <w:sz w:val="22"/>
          <w:szCs w:val="22"/>
        </w:rPr>
        <w:t>savaitės), vartojimo laikotarpio pabaigoje 40</w:t>
      </w:r>
      <w:r w:rsidR="00D73E05">
        <w:rPr>
          <w:sz w:val="22"/>
          <w:szCs w:val="22"/>
        </w:rPr>
        <w:t> </w:t>
      </w:r>
      <w:r w:rsidRPr="00D166EA">
        <w:rPr>
          <w:sz w:val="22"/>
          <w:szCs w:val="22"/>
        </w:rPr>
        <w:t>% pacientų PGR metodu nustatyta &lt;</w:t>
      </w:r>
      <w:r w:rsidR="00D73E05">
        <w:rPr>
          <w:sz w:val="22"/>
          <w:szCs w:val="22"/>
        </w:rPr>
        <w:t> </w:t>
      </w:r>
      <w:r w:rsidRPr="00D166EA">
        <w:rPr>
          <w:sz w:val="22"/>
          <w:szCs w:val="22"/>
        </w:rPr>
        <w:t>300</w:t>
      </w:r>
      <w:r w:rsidR="00D73E05">
        <w:rPr>
          <w:sz w:val="22"/>
          <w:szCs w:val="22"/>
        </w:rPr>
        <w:t> </w:t>
      </w:r>
      <w:r w:rsidRPr="00D166EA">
        <w:rPr>
          <w:sz w:val="22"/>
          <w:szCs w:val="22"/>
        </w:rPr>
        <w:t>kopijų/ml HBV DNR koncentracija, 81</w:t>
      </w:r>
      <w:r w:rsidR="00D73E05">
        <w:rPr>
          <w:sz w:val="22"/>
          <w:szCs w:val="22"/>
        </w:rPr>
        <w:t> </w:t>
      </w:r>
      <w:r w:rsidRPr="00D166EA">
        <w:rPr>
          <w:sz w:val="22"/>
          <w:szCs w:val="22"/>
        </w:rPr>
        <w:t>% – sunormalėjęs (≤</w:t>
      </w:r>
      <w:r w:rsidR="00D73E05">
        <w:rPr>
          <w:sz w:val="22"/>
          <w:szCs w:val="22"/>
        </w:rPr>
        <w:t> </w:t>
      </w:r>
      <w:r w:rsidRPr="00D166EA">
        <w:rPr>
          <w:sz w:val="22"/>
          <w:szCs w:val="22"/>
        </w:rPr>
        <w:t xml:space="preserve">1 VNR) ALT aktyvumas. </w:t>
      </w:r>
    </w:p>
    <w:p w14:paraId="029D85CE" w14:textId="77777777" w:rsidR="00807239" w:rsidRPr="00D166EA" w:rsidRDefault="00807239" w:rsidP="00807239">
      <w:pPr>
        <w:pStyle w:val="Default"/>
        <w:rPr>
          <w:i/>
          <w:iCs/>
          <w:sz w:val="22"/>
          <w:szCs w:val="22"/>
        </w:rPr>
      </w:pPr>
    </w:p>
    <w:p w14:paraId="7022D91E" w14:textId="77777777" w:rsidR="00807239" w:rsidRPr="00D166EA" w:rsidRDefault="00807239" w:rsidP="00807239">
      <w:pPr>
        <w:pStyle w:val="Default"/>
        <w:rPr>
          <w:sz w:val="22"/>
          <w:szCs w:val="22"/>
        </w:rPr>
      </w:pPr>
      <w:r w:rsidRPr="00D166EA">
        <w:rPr>
          <w:i/>
          <w:iCs/>
          <w:sz w:val="22"/>
          <w:szCs w:val="22"/>
        </w:rPr>
        <w:t xml:space="preserve">Amžius ir lytis </w:t>
      </w:r>
    </w:p>
    <w:p w14:paraId="03F05754" w14:textId="77777777" w:rsidR="00807239" w:rsidRPr="00D166EA" w:rsidRDefault="00807239" w:rsidP="00807239">
      <w:pPr>
        <w:pStyle w:val="Default"/>
        <w:rPr>
          <w:sz w:val="22"/>
          <w:szCs w:val="22"/>
        </w:rPr>
      </w:pPr>
      <w:r w:rsidRPr="00D166EA">
        <w:rPr>
          <w:sz w:val="22"/>
          <w:szCs w:val="22"/>
        </w:rPr>
        <w:t>Su lytimi (maždaug 25</w:t>
      </w:r>
      <w:r w:rsidR="00D73E05">
        <w:rPr>
          <w:sz w:val="22"/>
          <w:szCs w:val="22"/>
        </w:rPr>
        <w:t> </w:t>
      </w:r>
      <w:r w:rsidRPr="00D166EA">
        <w:rPr>
          <w:sz w:val="22"/>
          <w:szCs w:val="22"/>
        </w:rPr>
        <w:t>% klinikinių tyrimų dalyvių buvo moterys) ir amžiumi (maždaug 5</w:t>
      </w:r>
      <w:r w:rsidR="00D73E05">
        <w:rPr>
          <w:sz w:val="22"/>
          <w:szCs w:val="22"/>
        </w:rPr>
        <w:t> </w:t>
      </w:r>
      <w:r w:rsidRPr="00D166EA">
        <w:rPr>
          <w:sz w:val="22"/>
          <w:szCs w:val="22"/>
        </w:rPr>
        <w:t>% klinikinių tyrimų dalyvių buvo vyresni kaip 65</w:t>
      </w:r>
      <w:r w:rsidR="00D73E05">
        <w:rPr>
          <w:sz w:val="22"/>
          <w:szCs w:val="22"/>
        </w:rPr>
        <w:t> </w:t>
      </w:r>
      <w:r w:rsidRPr="00D166EA">
        <w:rPr>
          <w:sz w:val="22"/>
          <w:szCs w:val="22"/>
        </w:rPr>
        <w:t xml:space="preserve">metų) susijusių entekaviro veiksmingumo skirtumų nenustatyta. </w:t>
      </w:r>
    </w:p>
    <w:p w14:paraId="3652ECA3" w14:textId="77777777" w:rsidR="00601ABA" w:rsidRDefault="00601ABA" w:rsidP="00807239">
      <w:pPr>
        <w:pStyle w:val="Default"/>
      </w:pPr>
    </w:p>
    <w:p w14:paraId="264CE8C2" w14:textId="77777777" w:rsidR="00601ABA" w:rsidRPr="00591D31" w:rsidRDefault="005259F1" w:rsidP="00807239">
      <w:pPr>
        <w:pStyle w:val="Default"/>
        <w:rPr>
          <w:i/>
          <w:iCs/>
          <w:sz w:val="22"/>
          <w:szCs w:val="22"/>
        </w:rPr>
      </w:pPr>
      <w:r w:rsidRPr="00591D31">
        <w:rPr>
          <w:i/>
          <w:iCs/>
          <w:sz w:val="22"/>
          <w:szCs w:val="22"/>
        </w:rPr>
        <w:t>Ilgalaikio stebėjimo tyrimas</w:t>
      </w:r>
    </w:p>
    <w:p w14:paraId="6F8A0F26" w14:textId="77777777" w:rsidR="00807239" w:rsidRPr="00591D31" w:rsidRDefault="005259F1" w:rsidP="00807239">
      <w:pPr>
        <w:pStyle w:val="Default"/>
        <w:rPr>
          <w:sz w:val="22"/>
          <w:szCs w:val="22"/>
        </w:rPr>
      </w:pPr>
      <w:r w:rsidRPr="00591D31">
        <w:rPr>
          <w:sz w:val="22"/>
          <w:szCs w:val="22"/>
        </w:rPr>
        <w:t xml:space="preserve">Tyrimas 080 buvo </w:t>
      </w:r>
      <w:r w:rsidR="004A40CA">
        <w:rPr>
          <w:sz w:val="22"/>
          <w:szCs w:val="22"/>
        </w:rPr>
        <w:t>atsitiktinių imčių</w:t>
      </w:r>
      <w:r w:rsidRPr="00591D31">
        <w:rPr>
          <w:sz w:val="22"/>
          <w:szCs w:val="22"/>
        </w:rPr>
        <w:t xml:space="preserve"> atviras 4 fazės stebėjimo tyrimas, skirtas palyginti lėtinės HBV infekcijos ilgalaikio (iki 10 metų trukmės) gydymo entekaviru (</w:t>
      </w:r>
      <w:r w:rsidR="001219CA">
        <w:rPr>
          <w:sz w:val="22"/>
          <w:szCs w:val="22"/>
        </w:rPr>
        <w:t xml:space="preserve">ETV, </w:t>
      </w:r>
      <w:r w:rsidRPr="00591D31">
        <w:rPr>
          <w:sz w:val="22"/>
          <w:szCs w:val="22"/>
        </w:rPr>
        <w:t xml:space="preserve">n = 6216) ir jos ilgalaikio standartinio gydymo kitais nukleozidais (rūgštimis) </w:t>
      </w:r>
      <w:r w:rsidR="00934722">
        <w:rPr>
          <w:sz w:val="22"/>
          <w:szCs w:val="22"/>
        </w:rPr>
        <w:t xml:space="preserve">(ne </w:t>
      </w:r>
      <w:r w:rsidR="001219CA">
        <w:rPr>
          <w:sz w:val="22"/>
          <w:szCs w:val="22"/>
        </w:rPr>
        <w:t>ETV</w:t>
      </w:r>
      <w:r w:rsidR="00951935">
        <w:rPr>
          <w:sz w:val="22"/>
          <w:szCs w:val="22"/>
        </w:rPr>
        <w:t xml:space="preserve">, </w:t>
      </w:r>
      <w:r w:rsidRPr="00591D31">
        <w:rPr>
          <w:sz w:val="22"/>
          <w:szCs w:val="22"/>
        </w:rPr>
        <w:t>n = 6162) riziką. Pagrindinės klinikinės baigtys, vertintos šio tyrimo metu, buvo visi piktybiniai navikai (sudėtinė baigtis, kurią sudarė HCC ir kiti piktybiniai navikai), su kepenimis susijęs HBV infekcijos progresavimas, kiti negu HCC piktybiniai navikai, HCC ir mirtys, įskaitant susijusias su kepenų paž</w:t>
      </w:r>
      <w:r w:rsidR="00295199">
        <w:rPr>
          <w:sz w:val="22"/>
          <w:szCs w:val="22"/>
        </w:rPr>
        <w:t>aida</w:t>
      </w:r>
      <w:r w:rsidRPr="00591D31">
        <w:rPr>
          <w:sz w:val="22"/>
          <w:szCs w:val="22"/>
        </w:rPr>
        <w:t xml:space="preserve">. Šio tyrimo metu </w:t>
      </w:r>
      <w:r w:rsidR="00951935">
        <w:rPr>
          <w:sz w:val="22"/>
          <w:szCs w:val="22"/>
        </w:rPr>
        <w:t>ETV</w:t>
      </w:r>
      <w:r w:rsidRPr="00591D31">
        <w:rPr>
          <w:sz w:val="22"/>
          <w:szCs w:val="22"/>
        </w:rPr>
        <w:t xml:space="preserve"> vartojusiems pacientams nenustatyta didesnės piktybinių navikų rizikos negu vartojusiems </w:t>
      </w:r>
      <w:r w:rsidR="00951935">
        <w:rPr>
          <w:sz w:val="22"/>
          <w:szCs w:val="22"/>
        </w:rPr>
        <w:t>ne ETV</w:t>
      </w:r>
      <w:r w:rsidRPr="00591D31">
        <w:rPr>
          <w:sz w:val="22"/>
          <w:szCs w:val="22"/>
        </w:rPr>
        <w:t xml:space="preserve"> – tą parodė sudėtinė visų piktybinių navikų vertinamoji baigtis (331 atvejis </w:t>
      </w:r>
      <w:r w:rsidR="00951935">
        <w:rPr>
          <w:sz w:val="22"/>
          <w:szCs w:val="22"/>
        </w:rPr>
        <w:t>ETV</w:t>
      </w:r>
      <w:r w:rsidRPr="00591D31">
        <w:rPr>
          <w:sz w:val="22"/>
          <w:szCs w:val="22"/>
        </w:rPr>
        <w:t xml:space="preserve"> vartojusių ir 337 – </w:t>
      </w:r>
      <w:r w:rsidR="00951935">
        <w:rPr>
          <w:sz w:val="22"/>
          <w:szCs w:val="22"/>
        </w:rPr>
        <w:t>ne ETV</w:t>
      </w:r>
      <w:r w:rsidRPr="00591D31">
        <w:rPr>
          <w:sz w:val="22"/>
          <w:szCs w:val="22"/>
        </w:rPr>
        <w:t xml:space="preserve"> vartojusių pacientų grupėje, RS = 0,93 [0,8-1,1]) ir atskira kitų negu HCC piktybinių navikų vertinamoji baigtis (95 atvejai </w:t>
      </w:r>
      <w:r w:rsidR="00951935">
        <w:rPr>
          <w:sz w:val="22"/>
          <w:szCs w:val="22"/>
        </w:rPr>
        <w:t>ETV</w:t>
      </w:r>
      <w:r w:rsidRPr="00591D31">
        <w:rPr>
          <w:sz w:val="22"/>
          <w:szCs w:val="22"/>
        </w:rPr>
        <w:t xml:space="preserve"> ir 81 – </w:t>
      </w:r>
      <w:r w:rsidR="00951935">
        <w:rPr>
          <w:sz w:val="22"/>
          <w:szCs w:val="22"/>
        </w:rPr>
        <w:t>ne ETV</w:t>
      </w:r>
      <w:r w:rsidRPr="00591D31">
        <w:rPr>
          <w:sz w:val="22"/>
          <w:szCs w:val="22"/>
        </w:rPr>
        <w:t xml:space="preserve"> grupėje, RS = 1,1 [0,82-1,5]). </w:t>
      </w:r>
      <w:r w:rsidR="00951935">
        <w:rPr>
          <w:sz w:val="22"/>
          <w:szCs w:val="22"/>
        </w:rPr>
        <w:t>Dokumentuoti</w:t>
      </w:r>
      <w:r w:rsidRPr="00591D31">
        <w:rPr>
          <w:sz w:val="22"/>
          <w:szCs w:val="22"/>
        </w:rPr>
        <w:t xml:space="preserve"> su kepenimis susijusio HBV infekcijos progresavimo ir HCC atvejų skaičiai </w:t>
      </w:r>
      <w:r w:rsidR="00951935">
        <w:rPr>
          <w:sz w:val="22"/>
          <w:szCs w:val="22"/>
        </w:rPr>
        <w:t>ETV</w:t>
      </w:r>
      <w:r w:rsidRPr="00591D31">
        <w:rPr>
          <w:sz w:val="22"/>
          <w:szCs w:val="22"/>
        </w:rPr>
        <w:t xml:space="preserve"> vartojusių ir </w:t>
      </w:r>
      <w:r w:rsidR="00DE19AD">
        <w:rPr>
          <w:sz w:val="22"/>
          <w:szCs w:val="22"/>
        </w:rPr>
        <w:t>ne ETV</w:t>
      </w:r>
      <w:r w:rsidRPr="00591D31">
        <w:rPr>
          <w:sz w:val="22"/>
          <w:szCs w:val="22"/>
        </w:rPr>
        <w:t xml:space="preserve"> vartojusių pacientų grupėse buvo panašūs. Dažniausiai užfiksuotas piktybinis navikas abejose (</w:t>
      </w:r>
      <w:r w:rsidR="00123835">
        <w:rPr>
          <w:sz w:val="22"/>
          <w:szCs w:val="22"/>
        </w:rPr>
        <w:t xml:space="preserve">ETV </w:t>
      </w:r>
      <w:r w:rsidRPr="00591D31">
        <w:rPr>
          <w:sz w:val="22"/>
          <w:szCs w:val="22"/>
        </w:rPr>
        <w:t xml:space="preserve">vartojusių ir </w:t>
      </w:r>
      <w:r w:rsidR="00D40A6C">
        <w:rPr>
          <w:sz w:val="22"/>
          <w:szCs w:val="22"/>
        </w:rPr>
        <w:t>ne</w:t>
      </w:r>
      <w:r w:rsidR="00123835">
        <w:rPr>
          <w:sz w:val="22"/>
          <w:szCs w:val="22"/>
        </w:rPr>
        <w:t xml:space="preserve"> </w:t>
      </w:r>
      <w:r w:rsidR="00D40A6C">
        <w:rPr>
          <w:sz w:val="22"/>
          <w:szCs w:val="22"/>
        </w:rPr>
        <w:t>ETV</w:t>
      </w:r>
      <w:r w:rsidRPr="00591D31">
        <w:rPr>
          <w:sz w:val="22"/>
          <w:szCs w:val="22"/>
        </w:rPr>
        <w:t xml:space="preserve"> vartojusių pacientų) grupėse buvo HCC, o antroje vietoje buvo virškinimo trakto piktybiniai navikai.</w:t>
      </w:r>
    </w:p>
    <w:p w14:paraId="1E74193F" w14:textId="77777777" w:rsidR="00DD7F7D" w:rsidRDefault="00DD7F7D" w:rsidP="00807239">
      <w:pPr>
        <w:pStyle w:val="Default"/>
        <w:rPr>
          <w:i/>
          <w:iCs/>
          <w:sz w:val="22"/>
          <w:szCs w:val="22"/>
        </w:rPr>
      </w:pPr>
    </w:p>
    <w:p w14:paraId="66F943DA" w14:textId="77777777" w:rsidR="00807239" w:rsidRPr="00D166EA" w:rsidRDefault="00807239" w:rsidP="00807239">
      <w:pPr>
        <w:pStyle w:val="Default"/>
        <w:rPr>
          <w:sz w:val="22"/>
          <w:szCs w:val="22"/>
        </w:rPr>
      </w:pPr>
      <w:r w:rsidRPr="00D166EA">
        <w:rPr>
          <w:i/>
          <w:iCs/>
          <w:sz w:val="22"/>
          <w:szCs w:val="22"/>
        </w:rPr>
        <w:t xml:space="preserve">Ypatingos populiacijos </w:t>
      </w:r>
    </w:p>
    <w:p w14:paraId="03ACE45B" w14:textId="77777777" w:rsidR="00807239" w:rsidRPr="00D166EA" w:rsidRDefault="00807239" w:rsidP="00807239">
      <w:pPr>
        <w:rPr>
          <w:szCs w:val="22"/>
        </w:rPr>
      </w:pPr>
      <w:r w:rsidRPr="00D166EA">
        <w:rPr>
          <w:i/>
          <w:iCs/>
          <w:szCs w:val="22"/>
        </w:rPr>
        <w:t xml:space="preserve">Pacientai, kurių kepenų funkcija nekompensuota. </w:t>
      </w:r>
      <w:r w:rsidRPr="00D166EA">
        <w:rPr>
          <w:szCs w:val="22"/>
        </w:rPr>
        <w:t>048 tyrimo metu 191</w:t>
      </w:r>
      <w:r w:rsidR="00D73E05">
        <w:rPr>
          <w:szCs w:val="22"/>
        </w:rPr>
        <w:t> </w:t>
      </w:r>
      <w:r w:rsidRPr="00D166EA">
        <w:rPr>
          <w:szCs w:val="22"/>
        </w:rPr>
        <w:t>pacientas, sirgęs HBeAg teigiama arba neigiama lėtine HBV infekcija, kurio kepenų funkcija nekompensuota (CTP rodiklis ≥</w:t>
      </w:r>
      <w:r w:rsidR="00D73E05">
        <w:rPr>
          <w:szCs w:val="22"/>
        </w:rPr>
        <w:t> </w:t>
      </w:r>
      <w:r w:rsidRPr="00D166EA">
        <w:rPr>
          <w:szCs w:val="22"/>
        </w:rPr>
        <w:t>7), vartojo 1</w:t>
      </w:r>
      <w:r w:rsidR="00D73E05">
        <w:rPr>
          <w:szCs w:val="22"/>
        </w:rPr>
        <w:t> </w:t>
      </w:r>
      <w:r w:rsidRPr="00D166EA">
        <w:rPr>
          <w:szCs w:val="22"/>
        </w:rPr>
        <w:t>mg entekaviro arba 10</w:t>
      </w:r>
      <w:r w:rsidR="00D73E05">
        <w:rPr>
          <w:szCs w:val="22"/>
        </w:rPr>
        <w:t> </w:t>
      </w:r>
      <w:r w:rsidRPr="00D166EA">
        <w:rPr>
          <w:szCs w:val="22"/>
        </w:rPr>
        <w:t>mg adefoviro dipivoksilio 1</w:t>
      </w:r>
      <w:r w:rsidR="00D73E05">
        <w:rPr>
          <w:szCs w:val="22"/>
        </w:rPr>
        <w:t> </w:t>
      </w:r>
      <w:r w:rsidRPr="00D166EA">
        <w:rPr>
          <w:szCs w:val="22"/>
        </w:rPr>
        <w:t>kartą per parą. Nuo HBV injekcijos šie pacientai anksčiau buvo negydyti arba gydyti (tačiau nevartojo entekaviro, adefoviro dipivoksilio ir tenofoviro dizoproksilo fumarato). Iki tyrimo vidutinis CTP rodiklis buvo 8,59, 26</w:t>
      </w:r>
      <w:r w:rsidR="00D73E05">
        <w:rPr>
          <w:szCs w:val="22"/>
        </w:rPr>
        <w:t> </w:t>
      </w:r>
      <w:r w:rsidRPr="00D166EA">
        <w:rPr>
          <w:szCs w:val="22"/>
        </w:rPr>
        <w:t>% pacientų buvo C klasės pagal CTP. Iki tyrimo vidutinis MELD (</w:t>
      </w:r>
      <w:r w:rsidRPr="00D166EA">
        <w:rPr>
          <w:i/>
          <w:iCs/>
          <w:szCs w:val="22"/>
        </w:rPr>
        <w:t>Model for End Stage Liver Disease</w:t>
      </w:r>
      <w:r w:rsidRPr="00D166EA">
        <w:rPr>
          <w:szCs w:val="22"/>
        </w:rPr>
        <w:t xml:space="preserve">) rodiklis buvo </w:t>
      </w:r>
      <w:r w:rsidRPr="00D166EA">
        <w:rPr>
          <w:szCs w:val="22"/>
        </w:rPr>
        <w:lastRenderedPageBreak/>
        <w:t>16,23. Vidutinė HBV DNR koncentracija PCR metodu buvo 7,83</w:t>
      </w:r>
      <w:r w:rsidR="00D73E05">
        <w:rPr>
          <w:szCs w:val="22"/>
        </w:rPr>
        <w:t> </w:t>
      </w:r>
      <w:r w:rsidRPr="00D166EA">
        <w:rPr>
          <w:szCs w:val="22"/>
        </w:rPr>
        <w:t>log</w:t>
      </w:r>
      <w:r w:rsidRPr="00B606B7">
        <w:rPr>
          <w:szCs w:val="22"/>
          <w:vertAlign w:val="subscript"/>
        </w:rPr>
        <w:t>10</w:t>
      </w:r>
      <w:r w:rsidR="00D73E05">
        <w:rPr>
          <w:szCs w:val="22"/>
        </w:rPr>
        <w:t> </w:t>
      </w:r>
      <w:r w:rsidRPr="00D166EA">
        <w:rPr>
          <w:szCs w:val="22"/>
        </w:rPr>
        <w:t>kopijų/ml, vidutinis ALT aktyvumas serume – 100</w:t>
      </w:r>
      <w:r w:rsidR="00D73E05">
        <w:rPr>
          <w:szCs w:val="22"/>
        </w:rPr>
        <w:t> </w:t>
      </w:r>
      <w:r w:rsidRPr="00D166EA">
        <w:rPr>
          <w:szCs w:val="22"/>
        </w:rPr>
        <w:t>vienetų/l; 54</w:t>
      </w:r>
      <w:r w:rsidR="00D73E05">
        <w:rPr>
          <w:szCs w:val="22"/>
        </w:rPr>
        <w:t> </w:t>
      </w:r>
      <w:r w:rsidRPr="00D166EA">
        <w:rPr>
          <w:szCs w:val="22"/>
        </w:rPr>
        <w:t>% pacientų buvo HBeAg teigiami, 35</w:t>
      </w:r>
      <w:r w:rsidR="00D73E05">
        <w:rPr>
          <w:szCs w:val="22"/>
        </w:rPr>
        <w:t> </w:t>
      </w:r>
      <w:r w:rsidRPr="00D166EA">
        <w:rPr>
          <w:szCs w:val="22"/>
        </w:rPr>
        <w:t xml:space="preserve">% pacientų iki tyrimo buvo nustatyta LVDr mutacijų. Entekaviro poveikis buvo palankesnis, negu adefoviro dipivoksilio, pagal pagrindinį veiksmingumo rodiklį – vidutinį HBV DNR koncentracijos PCR </w:t>
      </w:r>
      <w:r w:rsidRPr="005E5ABD">
        <w:rPr>
          <w:szCs w:val="22"/>
        </w:rPr>
        <w:t>metodu</w:t>
      </w:r>
      <w:r w:rsidRPr="00D166EA">
        <w:rPr>
          <w:szCs w:val="22"/>
        </w:rPr>
        <w:t xml:space="preserve"> pokytį po 24</w:t>
      </w:r>
      <w:r w:rsidR="00D73E05">
        <w:rPr>
          <w:szCs w:val="22"/>
        </w:rPr>
        <w:t> </w:t>
      </w:r>
      <w:r w:rsidRPr="00D166EA">
        <w:rPr>
          <w:szCs w:val="22"/>
        </w:rPr>
        <w:t>savaičių. Atrinktų tyrimo vertinamųjų baigčių po 24 ir 48</w:t>
      </w:r>
      <w:r w:rsidR="00D73E05">
        <w:rPr>
          <w:szCs w:val="22"/>
        </w:rPr>
        <w:t> </w:t>
      </w:r>
      <w:r w:rsidRPr="00D166EA">
        <w:rPr>
          <w:szCs w:val="22"/>
        </w:rPr>
        <w:t>savaičių duomenys pateikiami lentelėje.</w:t>
      </w:r>
    </w:p>
    <w:p w14:paraId="1AC12897" w14:textId="77777777" w:rsidR="00807239" w:rsidRPr="00D166EA" w:rsidRDefault="00807239" w:rsidP="00807239">
      <w:pPr>
        <w:rPr>
          <w:szCs w:val="22"/>
        </w:rPr>
      </w:pPr>
    </w:p>
    <w:tbl>
      <w:tblPr>
        <w:tblW w:w="9288" w:type="dxa"/>
        <w:tblInd w:w="-100" w:type="dxa"/>
        <w:tblLayout w:type="fixed"/>
        <w:tblCellMar>
          <w:left w:w="0" w:type="dxa"/>
          <w:right w:w="0" w:type="dxa"/>
        </w:tblCellMar>
        <w:tblLook w:val="01E0" w:firstRow="1" w:lastRow="1" w:firstColumn="1" w:lastColumn="1" w:noHBand="0" w:noVBand="0"/>
      </w:tblPr>
      <w:tblGrid>
        <w:gridCol w:w="3580"/>
        <w:gridCol w:w="218"/>
        <w:gridCol w:w="1071"/>
        <w:gridCol w:w="205"/>
        <w:gridCol w:w="1250"/>
        <w:gridCol w:w="84"/>
        <w:gridCol w:w="1192"/>
        <w:gridCol w:w="215"/>
        <w:gridCol w:w="1473"/>
      </w:tblGrid>
      <w:tr w:rsidR="00807239" w:rsidRPr="00D166EA" w14:paraId="717227D2" w14:textId="77777777" w:rsidTr="002746CC">
        <w:trPr>
          <w:trHeight w:hRule="exact" w:val="308"/>
        </w:trPr>
        <w:tc>
          <w:tcPr>
            <w:tcW w:w="3798" w:type="dxa"/>
            <w:gridSpan w:val="2"/>
            <w:tcBorders>
              <w:top w:val="single" w:sz="6" w:space="0" w:color="000000"/>
              <w:left w:val="single" w:sz="6" w:space="0" w:color="000000"/>
              <w:bottom w:val="single" w:sz="6" w:space="0" w:color="000000"/>
              <w:right w:val="single" w:sz="6" w:space="0" w:color="000000"/>
            </w:tcBorders>
          </w:tcPr>
          <w:p w14:paraId="7F3EDECD" w14:textId="77777777" w:rsidR="00807239" w:rsidRPr="00D166EA" w:rsidRDefault="00807239" w:rsidP="00C949E4">
            <w:pPr>
              <w:rPr>
                <w:szCs w:val="22"/>
              </w:rPr>
            </w:pPr>
          </w:p>
        </w:tc>
        <w:tc>
          <w:tcPr>
            <w:tcW w:w="2526" w:type="dxa"/>
            <w:gridSpan w:val="3"/>
            <w:tcBorders>
              <w:top w:val="single" w:sz="6" w:space="0" w:color="000000"/>
              <w:left w:val="single" w:sz="6" w:space="0" w:color="000000"/>
              <w:bottom w:val="single" w:sz="6" w:space="0" w:color="000000"/>
              <w:right w:val="single" w:sz="6" w:space="0" w:color="000000"/>
            </w:tcBorders>
          </w:tcPr>
          <w:p w14:paraId="29F65649" w14:textId="77777777" w:rsidR="00807239" w:rsidRPr="00D166EA" w:rsidRDefault="00807239" w:rsidP="00D73E05">
            <w:pPr>
              <w:tabs>
                <w:tab w:val="left" w:pos="2469"/>
              </w:tabs>
              <w:spacing w:before="33"/>
              <w:ind w:right="-18"/>
              <w:jc w:val="center"/>
              <w:rPr>
                <w:szCs w:val="22"/>
              </w:rPr>
            </w:pPr>
            <w:r w:rsidRPr="00D166EA">
              <w:rPr>
                <w:szCs w:val="22"/>
              </w:rPr>
              <w:t>Po</w:t>
            </w:r>
            <w:r w:rsidRPr="00D166EA">
              <w:rPr>
                <w:spacing w:val="16"/>
                <w:szCs w:val="22"/>
              </w:rPr>
              <w:t xml:space="preserve"> </w:t>
            </w:r>
            <w:r w:rsidRPr="00D166EA">
              <w:rPr>
                <w:w w:val="103"/>
                <w:szCs w:val="22"/>
              </w:rPr>
              <w:t>24</w:t>
            </w:r>
            <w:r w:rsidR="00D73E05">
              <w:rPr>
                <w:w w:val="103"/>
                <w:szCs w:val="22"/>
              </w:rPr>
              <w:t> </w:t>
            </w:r>
            <w:r w:rsidRPr="00D166EA">
              <w:rPr>
                <w:w w:val="103"/>
                <w:szCs w:val="22"/>
              </w:rPr>
              <w:t>savaičių</w:t>
            </w:r>
          </w:p>
        </w:tc>
        <w:tc>
          <w:tcPr>
            <w:tcW w:w="2964" w:type="dxa"/>
            <w:gridSpan w:val="4"/>
            <w:tcBorders>
              <w:top w:val="single" w:sz="6" w:space="0" w:color="000000"/>
              <w:left w:val="single" w:sz="6" w:space="0" w:color="000000"/>
              <w:bottom w:val="single" w:sz="6" w:space="0" w:color="000000"/>
              <w:right w:val="single" w:sz="6" w:space="0" w:color="000000"/>
            </w:tcBorders>
          </w:tcPr>
          <w:p w14:paraId="6A58F314" w14:textId="77777777" w:rsidR="00807239" w:rsidRPr="00D166EA" w:rsidRDefault="00807239" w:rsidP="00D73E05">
            <w:pPr>
              <w:spacing w:before="33"/>
              <w:ind w:left="18" w:right="55"/>
              <w:jc w:val="center"/>
              <w:rPr>
                <w:szCs w:val="22"/>
              </w:rPr>
            </w:pPr>
            <w:r w:rsidRPr="00D166EA">
              <w:rPr>
                <w:szCs w:val="22"/>
              </w:rPr>
              <w:t>Po</w:t>
            </w:r>
            <w:r w:rsidRPr="00D166EA">
              <w:rPr>
                <w:spacing w:val="16"/>
                <w:szCs w:val="22"/>
              </w:rPr>
              <w:t xml:space="preserve"> </w:t>
            </w:r>
            <w:r w:rsidRPr="00D166EA">
              <w:rPr>
                <w:spacing w:val="1"/>
                <w:w w:val="103"/>
                <w:szCs w:val="22"/>
              </w:rPr>
              <w:t>4</w:t>
            </w:r>
            <w:r w:rsidRPr="00D166EA">
              <w:rPr>
                <w:w w:val="103"/>
                <w:szCs w:val="22"/>
              </w:rPr>
              <w:t>8</w:t>
            </w:r>
            <w:r w:rsidR="00D73E05">
              <w:rPr>
                <w:w w:val="103"/>
                <w:szCs w:val="22"/>
              </w:rPr>
              <w:t> </w:t>
            </w:r>
            <w:r w:rsidRPr="00D166EA">
              <w:rPr>
                <w:w w:val="103"/>
                <w:szCs w:val="22"/>
              </w:rPr>
              <w:t>savaičių</w:t>
            </w:r>
          </w:p>
        </w:tc>
      </w:tr>
      <w:tr w:rsidR="00807239" w:rsidRPr="00D166EA" w14:paraId="48BFF2BC" w14:textId="77777777" w:rsidTr="002746CC">
        <w:trPr>
          <w:trHeight w:hRule="exact" w:val="1400"/>
        </w:trPr>
        <w:tc>
          <w:tcPr>
            <w:tcW w:w="3798" w:type="dxa"/>
            <w:gridSpan w:val="2"/>
            <w:tcBorders>
              <w:top w:val="single" w:sz="6" w:space="0" w:color="000000"/>
              <w:left w:val="single" w:sz="6" w:space="0" w:color="000000"/>
              <w:bottom w:val="single" w:sz="4" w:space="0" w:color="000000"/>
              <w:right w:val="single" w:sz="6" w:space="0" w:color="000000"/>
            </w:tcBorders>
          </w:tcPr>
          <w:p w14:paraId="436E9029" w14:textId="77777777" w:rsidR="00807239" w:rsidRPr="00D166EA" w:rsidRDefault="00807239" w:rsidP="00C949E4">
            <w:pPr>
              <w:rPr>
                <w:szCs w:val="22"/>
              </w:rPr>
            </w:pPr>
          </w:p>
        </w:tc>
        <w:tc>
          <w:tcPr>
            <w:tcW w:w="1071" w:type="dxa"/>
            <w:tcBorders>
              <w:top w:val="single" w:sz="6" w:space="0" w:color="000000"/>
              <w:left w:val="single" w:sz="6" w:space="0" w:color="000000"/>
              <w:bottom w:val="single" w:sz="4" w:space="0" w:color="000000"/>
              <w:right w:val="single" w:sz="6" w:space="0" w:color="000000"/>
            </w:tcBorders>
          </w:tcPr>
          <w:p w14:paraId="039D4BE4" w14:textId="77777777" w:rsidR="00807239" w:rsidRPr="00D166EA" w:rsidRDefault="00807239" w:rsidP="00C949E4">
            <w:pPr>
              <w:jc w:val="center"/>
              <w:rPr>
                <w:szCs w:val="22"/>
              </w:rPr>
            </w:pPr>
            <w:r w:rsidRPr="00D166EA">
              <w:rPr>
                <w:w w:val="103"/>
                <w:szCs w:val="22"/>
              </w:rPr>
              <w:t>E</w:t>
            </w:r>
            <w:r w:rsidRPr="00D166EA">
              <w:rPr>
                <w:spacing w:val="1"/>
                <w:w w:val="103"/>
                <w:szCs w:val="22"/>
              </w:rPr>
              <w:t>T</w:t>
            </w:r>
            <w:r w:rsidRPr="00D166EA">
              <w:rPr>
                <w:w w:val="103"/>
                <w:szCs w:val="22"/>
              </w:rPr>
              <w:t>V</w:t>
            </w:r>
          </w:p>
          <w:p w14:paraId="447518E2" w14:textId="77777777" w:rsidR="00807239" w:rsidRPr="00D166EA" w:rsidRDefault="00807239" w:rsidP="00D73E05">
            <w:pPr>
              <w:spacing w:before="9" w:line="246" w:lineRule="auto"/>
              <w:ind w:left="170" w:right="154" w:hanging="1"/>
              <w:jc w:val="center"/>
              <w:rPr>
                <w:szCs w:val="22"/>
              </w:rPr>
            </w:pPr>
            <w:r w:rsidRPr="00D166EA">
              <w:rPr>
                <w:szCs w:val="22"/>
              </w:rPr>
              <w:t>1</w:t>
            </w:r>
            <w:r w:rsidR="00D73E05">
              <w:rPr>
                <w:szCs w:val="22"/>
              </w:rPr>
              <w:t> </w:t>
            </w:r>
            <w:r w:rsidRPr="00D166EA">
              <w:rPr>
                <w:spacing w:val="-1"/>
                <w:szCs w:val="22"/>
              </w:rPr>
              <w:t>mg</w:t>
            </w:r>
            <w:r w:rsidRPr="00D166EA">
              <w:rPr>
                <w:spacing w:val="8"/>
                <w:szCs w:val="22"/>
              </w:rPr>
              <w:t xml:space="preserve"> </w:t>
            </w:r>
            <w:r w:rsidRPr="00D166EA">
              <w:rPr>
                <w:spacing w:val="-1"/>
                <w:szCs w:val="22"/>
              </w:rPr>
              <w:t>vieną kartą per parą</w:t>
            </w:r>
          </w:p>
        </w:tc>
        <w:tc>
          <w:tcPr>
            <w:tcW w:w="1455" w:type="dxa"/>
            <w:gridSpan w:val="2"/>
            <w:tcBorders>
              <w:top w:val="single" w:sz="6" w:space="0" w:color="000000"/>
              <w:left w:val="single" w:sz="6" w:space="0" w:color="000000"/>
              <w:bottom w:val="single" w:sz="4" w:space="0" w:color="000000"/>
              <w:right w:val="single" w:sz="6" w:space="0" w:color="000000"/>
            </w:tcBorders>
          </w:tcPr>
          <w:p w14:paraId="5B4872A3" w14:textId="77777777" w:rsidR="00807239" w:rsidRPr="00D166EA" w:rsidRDefault="00807239" w:rsidP="00D73E05">
            <w:pPr>
              <w:spacing w:before="9" w:line="247" w:lineRule="auto"/>
              <w:ind w:left="158" w:right="140" w:firstLine="2"/>
              <w:jc w:val="center"/>
              <w:rPr>
                <w:szCs w:val="22"/>
              </w:rPr>
            </w:pPr>
            <w:r w:rsidRPr="00D166EA">
              <w:rPr>
                <w:w w:val="103"/>
                <w:szCs w:val="22"/>
              </w:rPr>
              <w:t>A</w:t>
            </w:r>
            <w:r w:rsidRPr="00D166EA">
              <w:rPr>
                <w:spacing w:val="-1"/>
                <w:w w:val="103"/>
                <w:szCs w:val="22"/>
              </w:rPr>
              <w:t>d</w:t>
            </w:r>
            <w:r w:rsidRPr="00D166EA">
              <w:rPr>
                <w:w w:val="103"/>
                <w:szCs w:val="22"/>
              </w:rPr>
              <w:t>e</w:t>
            </w:r>
            <w:r w:rsidRPr="00D166EA">
              <w:rPr>
                <w:spacing w:val="2"/>
                <w:w w:val="103"/>
                <w:szCs w:val="22"/>
              </w:rPr>
              <w:t>f</w:t>
            </w:r>
            <w:r w:rsidRPr="00D166EA">
              <w:rPr>
                <w:w w:val="103"/>
                <w:szCs w:val="22"/>
              </w:rPr>
              <w:t>oviro di</w:t>
            </w:r>
            <w:r w:rsidRPr="00D166EA">
              <w:rPr>
                <w:spacing w:val="-1"/>
                <w:w w:val="103"/>
                <w:szCs w:val="22"/>
              </w:rPr>
              <w:t>p</w:t>
            </w:r>
            <w:r w:rsidRPr="00D166EA">
              <w:rPr>
                <w:spacing w:val="1"/>
                <w:w w:val="103"/>
                <w:szCs w:val="22"/>
              </w:rPr>
              <w:t>i</w:t>
            </w:r>
            <w:r w:rsidRPr="00D166EA">
              <w:rPr>
                <w:w w:val="103"/>
                <w:szCs w:val="22"/>
              </w:rPr>
              <w:t>voksilis</w:t>
            </w:r>
            <w:r w:rsidRPr="00D166EA">
              <w:rPr>
                <w:szCs w:val="22"/>
              </w:rPr>
              <w:t>10</w:t>
            </w:r>
            <w:r w:rsidR="00D73E05">
              <w:rPr>
                <w:szCs w:val="22"/>
              </w:rPr>
              <w:t> </w:t>
            </w:r>
            <w:r w:rsidRPr="00D166EA">
              <w:rPr>
                <w:spacing w:val="-2"/>
                <w:w w:val="103"/>
                <w:szCs w:val="22"/>
              </w:rPr>
              <w:t>m</w:t>
            </w:r>
            <w:r w:rsidRPr="00D166EA">
              <w:rPr>
                <w:w w:val="103"/>
                <w:szCs w:val="22"/>
              </w:rPr>
              <w:t xml:space="preserve">g </w:t>
            </w:r>
            <w:r w:rsidRPr="00D166EA">
              <w:rPr>
                <w:szCs w:val="22"/>
              </w:rPr>
              <w:t>vieną kartą per parą</w:t>
            </w:r>
          </w:p>
        </w:tc>
        <w:tc>
          <w:tcPr>
            <w:tcW w:w="1276" w:type="dxa"/>
            <w:gridSpan w:val="2"/>
            <w:tcBorders>
              <w:top w:val="single" w:sz="6" w:space="0" w:color="000000"/>
              <w:left w:val="single" w:sz="6" w:space="0" w:color="000000"/>
              <w:bottom w:val="single" w:sz="4" w:space="0" w:color="000000"/>
              <w:right w:val="single" w:sz="6" w:space="0" w:color="000000"/>
            </w:tcBorders>
          </w:tcPr>
          <w:p w14:paraId="0562BD92" w14:textId="77777777" w:rsidR="00807239" w:rsidRPr="00D166EA" w:rsidRDefault="00807239" w:rsidP="00C949E4">
            <w:pPr>
              <w:jc w:val="center"/>
              <w:rPr>
                <w:szCs w:val="22"/>
              </w:rPr>
            </w:pPr>
            <w:r w:rsidRPr="00D166EA">
              <w:rPr>
                <w:w w:val="103"/>
                <w:szCs w:val="22"/>
              </w:rPr>
              <w:t>E</w:t>
            </w:r>
            <w:r w:rsidRPr="00D166EA">
              <w:rPr>
                <w:spacing w:val="1"/>
                <w:w w:val="103"/>
                <w:szCs w:val="22"/>
              </w:rPr>
              <w:t>T</w:t>
            </w:r>
            <w:r w:rsidRPr="00D166EA">
              <w:rPr>
                <w:w w:val="103"/>
                <w:szCs w:val="22"/>
              </w:rPr>
              <w:t>V</w:t>
            </w:r>
          </w:p>
          <w:p w14:paraId="380F4229" w14:textId="77777777" w:rsidR="00807239" w:rsidRPr="00D166EA" w:rsidRDefault="00807239" w:rsidP="00D73E05">
            <w:pPr>
              <w:spacing w:before="9" w:line="246" w:lineRule="auto"/>
              <w:ind w:left="170" w:right="154" w:hanging="1"/>
              <w:jc w:val="center"/>
              <w:rPr>
                <w:szCs w:val="22"/>
              </w:rPr>
            </w:pPr>
            <w:r w:rsidRPr="00D166EA">
              <w:rPr>
                <w:szCs w:val="22"/>
              </w:rPr>
              <w:t>1</w:t>
            </w:r>
            <w:r w:rsidR="00D73E05">
              <w:rPr>
                <w:szCs w:val="22"/>
              </w:rPr>
              <w:t> </w:t>
            </w:r>
            <w:r w:rsidRPr="00D166EA">
              <w:rPr>
                <w:spacing w:val="-1"/>
                <w:szCs w:val="22"/>
              </w:rPr>
              <w:t>mg</w:t>
            </w:r>
            <w:r w:rsidRPr="00D166EA">
              <w:rPr>
                <w:spacing w:val="8"/>
                <w:szCs w:val="22"/>
              </w:rPr>
              <w:t xml:space="preserve"> </w:t>
            </w:r>
            <w:r w:rsidRPr="00D166EA">
              <w:rPr>
                <w:spacing w:val="-1"/>
                <w:szCs w:val="22"/>
              </w:rPr>
              <w:t>vieną kartą per parą</w:t>
            </w:r>
          </w:p>
        </w:tc>
        <w:tc>
          <w:tcPr>
            <w:tcW w:w="1688" w:type="dxa"/>
            <w:gridSpan w:val="2"/>
            <w:tcBorders>
              <w:top w:val="single" w:sz="6" w:space="0" w:color="000000"/>
              <w:left w:val="single" w:sz="6" w:space="0" w:color="000000"/>
              <w:bottom w:val="single" w:sz="4" w:space="0" w:color="000000"/>
              <w:right w:val="single" w:sz="6" w:space="0" w:color="000000"/>
            </w:tcBorders>
          </w:tcPr>
          <w:p w14:paraId="3C69FA9B" w14:textId="77777777" w:rsidR="00807239" w:rsidRPr="00D166EA" w:rsidRDefault="00807239" w:rsidP="00D73E05">
            <w:pPr>
              <w:spacing w:before="9" w:line="247" w:lineRule="auto"/>
              <w:ind w:left="158" w:right="140" w:firstLine="2"/>
              <w:jc w:val="center"/>
              <w:rPr>
                <w:szCs w:val="22"/>
              </w:rPr>
            </w:pPr>
            <w:r w:rsidRPr="00D166EA">
              <w:rPr>
                <w:w w:val="103"/>
                <w:szCs w:val="22"/>
              </w:rPr>
              <w:t>A</w:t>
            </w:r>
            <w:r w:rsidRPr="00D166EA">
              <w:rPr>
                <w:spacing w:val="-1"/>
                <w:w w:val="103"/>
                <w:szCs w:val="22"/>
              </w:rPr>
              <w:t>d</w:t>
            </w:r>
            <w:r w:rsidRPr="00D166EA">
              <w:rPr>
                <w:w w:val="103"/>
                <w:szCs w:val="22"/>
              </w:rPr>
              <w:t>e</w:t>
            </w:r>
            <w:r w:rsidRPr="00D166EA">
              <w:rPr>
                <w:spacing w:val="2"/>
                <w:w w:val="103"/>
                <w:szCs w:val="22"/>
              </w:rPr>
              <w:t>f</w:t>
            </w:r>
            <w:r w:rsidRPr="00D166EA">
              <w:rPr>
                <w:w w:val="103"/>
                <w:szCs w:val="22"/>
              </w:rPr>
              <w:t>oviro di</w:t>
            </w:r>
            <w:r w:rsidRPr="00D166EA">
              <w:rPr>
                <w:spacing w:val="-1"/>
                <w:w w:val="103"/>
                <w:szCs w:val="22"/>
              </w:rPr>
              <w:t>p</w:t>
            </w:r>
            <w:r w:rsidRPr="00D166EA">
              <w:rPr>
                <w:spacing w:val="1"/>
                <w:w w:val="103"/>
                <w:szCs w:val="22"/>
              </w:rPr>
              <w:t>i</w:t>
            </w:r>
            <w:r w:rsidRPr="00D166EA">
              <w:rPr>
                <w:w w:val="103"/>
                <w:szCs w:val="22"/>
              </w:rPr>
              <w:t>voksilis</w:t>
            </w:r>
            <w:r w:rsidR="00114676">
              <w:rPr>
                <w:w w:val="103"/>
                <w:szCs w:val="22"/>
              </w:rPr>
              <w:t xml:space="preserve"> </w:t>
            </w:r>
            <w:r w:rsidRPr="00D166EA">
              <w:rPr>
                <w:szCs w:val="22"/>
              </w:rPr>
              <w:t>10</w:t>
            </w:r>
            <w:r w:rsidR="00D73E05">
              <w:rPr>
                <w:szCs w:val="22"/>
              </w:rPr>
              <w:t> </w:t>
            </w:r>
            <w:r w:rsidRPr="00D166EA">
              <w:rPr>
                <w:spacing w:val="-2"/>
                <w:w w:val="103"/>
                <w:szCs w:val="22"/>
              </w:rPr>
              <w:t>m</w:t>
            </w:r>
            <w:r w:rsidRPr="00D166EA">
              <w:rPr>
                <w:w w:val="103"/>
                <w:szCs w:val="22"/>
              </w:rPr>
              <w:t xml:space="preserve">g </w:t>
            </w:r>
            <w:r w:rsidRPr="00D166EA">
              <w:rPr>
                <w:szCs w:val="22"/>
              </w:rPr>
              <w:t>vieną kartą per parą</w:t>
            </w:r>
          </w:p>
        </w:tc>
      </w:tr>
      <w:tr w:rsidR="00807239" w:rsidRPr="00D166EA" w14:paraId="50EB7C0E" w14:textId="77777777" w:rsidTr="002746CC">
        <w:trPr>
          <w:trHeight w:hRule="exact" w:val="397"/>
        </w:trPr>
        <w:tc>
          <w:tcPr>
            <w:tcW w:w="3798" w:type="dxa"/>
            <w:gridSpan w:val="2"/>
            <w:tcBorders>
              <w:top w:val="single" w:sz="4" w:space="0" w:color="000000"/>
              <w:left w:val="single" w:sz="6" w:space="0" w:color="000000"/>
              <w:bottom w:val="single" w:sz="4" w:space="0" w:color="000000"/>
              <w:right w:val="single" w:sz="6" w:space="0" w:color="000000"/>
            </w:tcBorders>
          </w:tcPr>
          <w:p w14:paraId="06CFFBC1" w14:textId="77777777" w:rsidR="00807239" w:rsidRPr="00D166EA" w:rsidRDefault="00807239" w:rsidP="00C949E4">
            <w:pPr>
              <w:spacing w:before="32"/>
              <w:ind w:left="21" w:right="-20"/>
              <w:rPr>
                <w:szCs w:val="22"/>
              </w:rPr>
            </w:pPr>
            <w:r w:rsidRPr="00D166EA">
              <w:rPr>
                <w:w w:val="103"/>
                <w:szCs w:val="22"/>
              </w:rPr>
              <w:t>n</w:t>
            </w:r>
          </w:p>
        </w:tc>
        <w:tc>
          <w:tcPr>
            <w:tcW w:w="1071" w:type="dxa"/>
            <w:tcBorders>
              <w:top w:val="single" w:sz="4" w:space="0" w:color="000000"/>
              <w:left w:val="single" w:sz="6" w:space="0" w:color="000000"/>
              <w:bottom w:val="single" w:sz="4" w:space="0" w:color="000000"/>
              <w:right w:val="single" w:sz="6" w:space="0" w:color="000000"/>
            </w:tcBorders>
          </w:tcPr>
          <w:p w14:paraId="73F9CC57" w14:textId="77777777" w:rsidR="00807239" w:rsidRPr="00D166EA" w:rsidRDefault="00807239" w:rsidP="00C949E4">
            <w:pPr>
              <w:spacing w:before="32"/>
              <w:jc w:val="center"/>
              <w:rPr>
                <w:szCs w:val="22"/>
              </w:rPr>
            </w:pPr>
            <w:r w:rsidRPr="00D166EA">
              <w:rPr>
                <w:spacing w:val="-1"/>
                <w:w w:val="103"/>
                <w:szCs w:val="22"/>
              </w:rPr>
              <w:t>1</w:t>
            </w:r>
            <w:r w:rsidRPr="00D166EA">
              <w:rPr>
                <w:spacing w:val="1"/>
                <w:w w:val="103"/>
                <w:szCs w:val="22"/>
              </w:rPr>
              <w:t>0</w:t>
            </w:r>
            <w:r w:rsidRPr="00D166EA">
              <w:rPr>
                <w:w w:val="103"/>
                <w:szCs w:val="22"/>
              </w:rPr>
              <w:t>0</w:t>
            </w:r>
          </w:p>
        </w:tc>
        <w:tc>
          <w:tcPr>
            <w:tcW w:w="1455" w:type="dxa"/>
            <w:gridSpan w:val="2"/>
            <w:tcBorders>
              <w:top w:val="single" w:sz="4" w:space="0" w:color="000000"/>
              <w:left w:val="single" w:sz="6" w:space="0" w:color="000000"/>
              <w:bottom w:val="single" w:sz="4" w:space="0" w:color="000000"/>
              <w:right w:val="single" w:sz="6" w:space="0" w:color="000000"/>
            </w:tcBorders>
          </w:tcPr>
          <w:p w14:paraId="51210C68" w14:textId="77777777" w:rsidR="00807239" w:rsidRPr="00D166EA" w:rsidRDefault="00807239" w:rsidP="00C949E4">
            <w:pPr>
              <w:spacing w:before="32"/>
              <w:ind w:left="464" w:right="445"/>
              <w:jc w:val="center"/>
              <w:rPr>
                <w:szCs w:val="22"/>
              </w:rPr>
            </w:pPr>
            <w:r w:rsidRPr="00D166EA">
              <w:rPr>
                <w:w w:val="103"/>
                <w:szCs w:val="22"/>
              </w:rPr>
              <w:t>91</w:t>
            </w:r>
          </w:p>
        </w:tc>
        <w:tc>
          <w:tcPr>
            <w:tcW w:w="1276" w:type="dxa"/>
            <w:gridSpan w:val="2"/>
            <w:tcBorders>
              <w:top w:val="single" w:sz="4" w:space="0" w:color="000000"/>
              <w:left w:val="single" w:sz="6" w:space="0" w:color="000000"/>
              <w:bottom w:val="single" w:sz="4" w:space="0" w:color="000000"/>
              <w:right w:val="single" w:sz="6" w:space="0" w:color="000000"/>
            </w:tcBorders>
          </w:tcPr>
          <w:p w14:paraId="7BE5D3B6" w14:textId="77777777" w:rsidR="00807239" w:rsidRPr="00D166EA" w:rsidRDefault="00807239" w:rsidP="00C949E4">
            <w:pPr>
              <w:spacing w:before="32"/>
              <w:ind w:left="425" w:right="407"/>
              <w:jc w:val="center"/>
              <w:rPr>
                <w:szCs w:val="22"/>
              </w:rPr>
            </w:pPr>
            <w:r w:rsidRPr="00D166EA">
              <w:rPr>
                <w:w w:val="103"/>
                <w:szCs w:val="22"/>
              </w:rPr>
              <w:t>100</w:t>
            </w:r>
          </w:p>
        </w:tc>
        <w:tc>
          <w:tcPr>
            <w:tcW w:w="1688" w:type="dxa"/>
            <w:gridSpan w:val="2"/>
            <w:tcBorders>
              <w:top w:val="single" w:sz="4" w:space="0" w:color="000000"/>
              <w:left w:val="single" w:sz="6" w:space="0" w:color="000000"/>
              <w:bottom w:val="single" w:sz="4" w:space="0" w:color="000000"/>
              <w:right w:val="single" w:sz="6" w:space="0" w:color="000000"/>
            </w:tcBorders>
          </w:tcPr>
          <w:p w14:paraId="3AF7D678" w14:textId="77777777" w:rsidR="00807239" w:rsidRPr="00D166EA" w:rsidRDefault="00807239" w:rsidP="00C949E4">
            <w:pPr>
              <w:spacing w:before="32"/>
              <w:ind w:left="435" w:right="418"/>
              <w:jc w:val="center"/>
              <w:rPr>
                <w:szCs w:val="22"/>
              </w:rPr>
            </w:pPr>
            <w:r w:rsidRPr="00D166EA">
              <w:rPr>
                <w:w w:val="103"/>
                <w:szCs w:val="22"/>
              </w:rPr>
              <w:t>91</w:t>
            </w:r>
          </w:p>
        </w:tc>
      </w:tr>
      <w:tr w:rsidR="00807239" w:rsidRPr="00D166EA" w14:paraId="0FA43424" w14:textId="77777777" w:rsidTr="002746CC">
        <w:trPr>
          <w:trHeight w:hRule="exact" w:val="397"/>
        </w:trPr>
        <w:tc>
          <w:tcPr>
            <w:tcW w:w="9288" w:type="dxa"/>
            <w:gridSpan w:val="9"/>
            <w:tcBorders>
              <w:top w:val="single" w:sz="4" w:space="0" w:color="000000"/>
              <w:left w:val="single" w:sz="6" w:space="0" w:color="000000"/>
              <w:bottom w:val="single" w:sz="4" w:space="0" w:color="000000"/>
              <w:right w:val="single" w:sz="6" w:space="0" w:color="000000"/>
            </w:tcBorders>
          </w:tcPr>
          <w:p w14:paraId="75030358" w14:textId="77777777" w:rsidR="00807239" w:rsidRPr="00D166EA" w:rsidRDefault="00807239" w:rsidP="00C949E4">
            <w:pPr>
              <w:spacing w:before="120" w:after="120" w:line="240" w:lineRule="exact"/>
              <w:ind w:left="21" w:right="-20"/>
              <w:rPr>
                <w:w w:val="103"/>
                <w:szCs w:val="22"/>
              </w:rPr>
            </w:pPr>
            <w:r w:rsidRPr="00D166EA">
              <w:rPr>
                <w:position w:val="-1"/>
                <w:szCs w:val="22"/>
              </w:rPr>
              <w:t>HBV DNA</w:t>
            </w:r>
            <w:r w:rsidRPr="00B606B7">
              <w:rPr>
                <w:position w:val="-1"/>
                <w:szCs w:val="22"/>
                <w:vertAlign w:val="superscript"/>
              </w:rPr>
              <w:t>a</w:t>
            </w:r>
          </w:p>
        </w:tc>
      </w:tr>
      <w:tr w:rsidR="00807239" w:rsidRPr="00D166EA" w14:paraId="4EA3C11B" w14:textId="77777777" w:rsidTr="002746CC">
        <w:trPr>
          <w:trHeight w:hRule="exact" w:val="397"/>
        </w:trPr>
        <w:tc>
          <w:tcPr>
            <w:tcW w:w="3798" w:type="dxa"/>
            <w:gridSpan w:val="2"/>
            <w:tcBorders>
              <w:top w:val="single" w:sz="6" w:space="0" w:color="000000"/>
              <w:left w:val="single" w:sz="6" w:space="0" w:color="000000"/>
              <w:bottom w:val="single" w:sz="6" w:space="0" w:color="000000"/>
              <w:right w:val="single" w:sz="6" w:space="0" w:color="000000"/>
            </w:tcBorders>
          </w:tcPr>
          <w:p w14:paraId="29711595" w14:textId="77777777" w:rsidR="00807239" w:rsidRPr="00D166EA" w:rsidRDefault="00807239" w:rsidP="00D73E05">
            <w:pPr>
              <w:spacing w:before="120" w:after="120" w:line="200" w:lineRule="exact"/>
              <w:ind w:left="23" w:right="-23"/>
              <w:rPr>
                <w:position w:val="-1"/>
                <w:szCs w:val="22"/>
              </w:rPr>
            </w:pPr>
            <w:r w:rsidRPr="00D166EA">
              <w:rPr>
                <w:position w:val="-1"/>
                <w:szCs w:val="22"/>
              </w:rPr>
              <w:t>Nerasta (&lt;</w:t>
            </w:r>
            <w:r w:rsidR="00D73E05">
              <w:rPr>
                <w:position w:val="-1"/>
                <w:szCs w:val="22"/>
              </w:rPr>
              <w:t> </w:t>
            </w:r>
            <w:r w:rsidRPr="00D166EA">
              <w:rPr>
                <w:position w:val="-1"/>
                <w:szCs w:val="22"/>
              </w:rPr>
              <w:t>300</w:t>
            </w:r>
            <w:r w:rsidR="00D73E05">
              <w:rPr>
                <w:position w:val="-1"/>
                <w:szCs w:val="22"/>
              </w:rPr>
              <w:t> </w:t>
            </w:r>
            <w:r w:rsidRPr="00D166EA">
              <w:rPr>
                <w:position w:val="-1"/>
                <w:szCs w:val="22"/>
              </w:rPr>
              <w:t>kopijų/ml)</w:t>
            </w:r>
            <w:r w:rsidRPr="00B606B7">
              <w:rPr>
                <w:position w:val="-1"/>
                <w:szCs w:val="22"/>
                <w:vertAlign w:val="superscript"/>
              </w:rPr>
              <w:t>b</w:t>
            </w:r>
          </w:p>
        </w:tc>
        <w:tc>
          <w:tcPr>
            <w:tcW w:w="1276" w:type="dxa"/>
            <w:gridSpan w:val="2"/>
            <w:tcBorders>
              <w:top w:val="single" w:sz="6" w:space="0" w:color="000000"/>
              <w:left w:val="single" w:sz="6" w:space="0" w:color="000000"/>
              <w:bottom w:val="single" w:sz="6" w:space="0" w:color="000000"/>
              <w:right w:val="single" w:sz="6" w:space="0" w:color="000000"/>
            </w:tcBorders>
          </w:tcPr>
          <w:p w14:paraId="7255BA0F" w14:textId="77777777" w:rsidR="00807239" w:rsidRPr="00D166EA" w:rsidRDefault="00807239" w:rsidP="00C949E4">
            <w:pPr>
              <w:spacing w:before="120" w:after="120" w:line="200" w:lineRule="exact"/>
              <w:ind w:left="23" w:right="-23"/>
              <w:jc w:val="center"/>
              <w:rPr>
                <w:szCs w:val="22"/>
              </w:rPr>
            </w:pPr>
            <w:r w:rsidRPr="00D166EA">
              <w:rPr>
                <w:w w:val="103"/>
                <w:szCs w:val="22"/>
              </w:rPr>
              <w:t>49</w:t>
            </w:r>
            <w:r w:rsidR="00D73E05">
              <w:rPr>
                <w:w w:val="103"/>
                <w:szCs w:val="22"/>
              </w:rPr>
              <w:t> </w:t>
            </w:r>
            <w:r w:rsidRPr="00D166EA">
              <w:rPr>
                <w:spacing w:val="1"/>
                <w:w w:val="103"/>
                <w:szCs w:val="22"/>
              </w:rPr>
              <w:t>%</w:t>
            </w:r>
            <w:r w:rsidRPr="00D166EA">
              <w:rPr>
                <w:w w:val="103"/>
                <w:szCs w:val="22"/>
              </w:rPr>
              <w:t>*</w:t>
            </w:r>
          </w:p>
        </w:tc>
        <w:tc>
          <w:tcPr>
            <w:tcW w:w="1250" w:type="dxa"/>
            <w:tcBorders>
              <w:top w:val="single" w:sz="6" w:space="0" w:color="000000"/>
              <w:left w:val="single" w:sz="6" w:space="0" w:color="000000"/>
              <w:bottom w:val="single" w:sz="6" w:space="0" w:color="000000"/>
              <w:right w:val="single" w:sz="6" w:space="0" w:color="000000"/>
            </w:tcBorders>
          </w:tcPr>
          <w:p w14:paraId="5DCFD5D9" w14:textId="77777777" w:rsidR="00807239" w:rsidRPr="00D166EA" w:rsidRDefault="00807239" w:rsidP="00C949E4">
            <w:pPr>
              <w:spacing w:before="120" w:after="120" w:line="200" w:lineRule="exact"/>
              <w:ind w:left="23" w:right="-23"/>
              <w:jc w:val="center"/>
              <w:rPr>
                <w:szCs w:val="22"/>
              </w:rPr>
            </w:pPr>
            <w:r w:rsidRPr="00D166EA">
              <w:rPr>
                <w:spacing w:val="-1"/>
                <w:w w:val="103"/>
                <w:szCs w:val="22"/>
              </w:rPr>
              <w:t>1</w:t>
            </w:r>
            <w:r w:rsidRPr="00D166EA">
              <w:rPr>
                <w:spacing w:val="1"/>
                <w:w w:val="103"/>
                <w:szCs w:val="22"/>
              </w:rPr>
              <w:t>6</w:t>
            </w:r>
            <w:r w:rsidR="00D73E05">
              <w:rPr>
                <w:spacing w:val="1"/>
                <w:w w:val="103"/>
                <w:szCs w:val="22"/>
              </w:rPr>
              <w:t> </w:t>
            </w:r>
            <w:r w:rsidRPr="00D166EA">
              <w:rPr>
                <w:w w:val="103"/>
                <w:szCs w:val="22"/>
              </w:rPr>
              <w:t>%</w:t>
            </w:r>
          </w:p>
        </w:tc>
        <w:tc>
          <w:tcPr>
            <w:tcW w:w="1276" w:type="dxa"/>
            <w:gridSpan w:val="2"/>
            <w:tcBorders>
              <w:top w:val="single" w:sz="6" w:space="0" w:color="000000"/>
              <w:left w:val="single" w:sz="6" w:space="0" w:color="000000"/>
              <w:bottom w:val="single" w:sz="6" w:space="0" w:color="000000"/>
              <w:right w:val="single" w:sz="6" w:space="0" w:color="000000"/>
            </w:tcBorders>
          </w:tcPr>
          <w:p w14:paraId="094BBE2D" w14:textId="77777777" w:rsidR="00807239" w:rsidRPr="00D166EA" w:rsidRDefault="00807239" w:rsidP="00C949E4">
            <w:pPr>
              <w:spacing w:before="120" w:after="120" w:line="200" w:lineRule="exact"/>
              <w:ind w:left="23" w:right="-23"/>
              <w:jc w:val="center"/>
              <w:rPr>
                <w:szCs w:val="22"/>
              </w:rPr>
            </w:pPr>
            <w:r w:rsidRPr="00D166EA">
              <w:rPr>
                <w:spacing w:val="-1"/>
                <w:w w:val="103"/>
                <w:szCs w:val="22"/>
              </w:rPr>
              <w:t>5</w:t>
            </w:r>
            <w:r w:rsidRPr="00D166EA">
              <w:rPr>
                <w:spacing w:val="1"/>
                <w:w w:val="103"/>
                <w:szCs w:val="22"/>
              </w:rPr>
              <w:t>7</w:t>
            </w:r>
            <w:r w:rsidR="00D73E05">
              <w:rPr>
                <w:spacing w:val="1"/>
                <w:w w:val="103"/>
                <w:szCs w:val="22"/>
              </w:rPr>
              <w:t> </w:t>
            </w:r>
            <w:r w:rsidRPr="00D166EA">
              <w:rPr>
                <w:spacing w:val="1"/>
                <w:w w:val="103"/>
                <w:szCs w:val="22"/>
              </w:rPr>
              <w:t>%</w:t>
            </w:r>
            <w:r w:rsidRPr="00D166EA">
              <w:rPr>
                <w:w w:val="103"/>
                <w:szCs w:val="22"/>
              </w:rPr>
              <w:t>*</w:t>
            </w:r>
          </w:p>
        </w:tc>
        <w:tc>
          <w:tcPr>
            <w:tcW w:w="1688" w:type="dxa"/>
            <w:gridSpan w:val="2"/>
            <w:tcBorders>
              <w:top w:val="single" w:sz="6" w:space="0" w:color="000000"/>
              <w:left w:val="single" w:sz="6" w:space="0" w:color="000000"/>
              <w:bottom w:val="single" w:sz="6" w:space="0" w:color="000000"/>
              <w:right w:val="single" w:sz="6" w:space="0" w:color="000000"/>
            </w:tcBorders>
          </w:tcPr>
          <w:p w14:paraId="39CB7DBE" w14:textId="77777777" w:rsidR="00807239" w:rsidRPr="00D166EA" w:rsidRDefault="00807239" w:rsidP="00C949E4">
            <w:pPr>
              <w:spacing w:before="120" w:after="120" w:line="200" w:lineRule="exact"/>
              <w:ind w:left="23" w:right="-23"/>
              <w:jc w:val="center"/>
              <w:rPr>
                <w:szCs w:val="22"/>
              </w:rPr>
            </w:pPr>
            <w:r w:rsidRPr="00D166EA">
              <w:rPr>
                <w:spacing w:val="-1"/>
                <w:w w:val="103"/>
                <w:szCs w:val="22"/>
              </w:rPr>
              <w:t>2</w:t>
            </w:r>
            <w:r w:rsidRPr="00D166EA">
              <w:rPr>
                <w:spacing w:val="1"/>
                <w:w w:val="103"/>
                <w:szCs w:val="22"/>
              </w:rPr>
              <w:t>0</w:t>
            </w:r>
            <w:r w:rsidR="00D73E05">
              <w:rPr>
                <w:spacing w:val="1"/>
                <w:w w:val="103"/>
                <w:szCs w:val="22"/>
              </w:rPr>
              <w:t> </w:t>
            </w:r>
            <w:r w:rsidRPr="00D166EA">
              <w:rPr>
                <w:w w:val="103"/>
                <w:szCs w:val="22"/>
              </w:rPr>
              <w:t>%</w:t>
            </w:r>
          </w:p>
        </w:tc>
      </w:tr>
      <w:tr w:rsidR="00807239" w:rsidRPr="00D166EA" w14:paraId="127022D6" w14:textId="77777777" w:rsidTr="002746CC">
        <w:trPr>
          <w:trHeight w:hRule="exact" w:val="737"/>
        </w:trPr>
        <w:tc>
          <w:tcPr>
            <w:tcW w:w="3798" w:type="dxa"/>
            <w:gridSpan w:val="2"/>
            <w:tcBorders>
              <w:top w:val="single" w:sz="6" w:space="0" w:color="000000"/>
              <w:left w:val="single" w:sz="6" w:space="0" w:color="000000"/>
              <w:bottom w:val="single" w:sz="6" w:space="0" w:color="000000"/>
              <w:right w:val="single" w:sz="6" w:space="0" w:color="000000"/>
            </w:tcBorders>
          </w:tcPr>
          <w:p w14:paraId="7B3415E7" w14:textId="77777777" w:rsidR="00807239" w:rsidRPr="00D166EA" w:rsidRDefault="00807239" w:rsidP="00C949E4">
            <w:pPr>
              <w:spacing w:before="120" w:after="120" w:line="200" w:lineRule="exact"/>
              <w:ind w:left="23" w:right="-23"/>
              <w:rPr>
                <w:szCs w:val="22"/>
              </w:rPr>
            </w:pPr>
            <w:r w:rsidRPr="00D166EA">
              <w:rPr>
                <w:szCs w:val="22"/>
              </w:rPr>
              <w:t>Vidutinis pokytis palyginus su buvusiu iki tyrimo (log</w:t>
            </w:r>
            <w:r w:rsidRPr="00B606B7">
              <w:rPr>
                <w:szCs w:val="22"/>
                <w:vertAlign w:val="subscript"/>
              </w:rPr>
              <w:t>10</w:t>
            </w:r>
            <w:r w:rsidRPr="00D166EA">
              <w:rPr>
                <w:szCs w:val="22"/>
              </w:rPr>
              <w:t xml:space="preserve"> kopijų/ml)</w:t>
            </w:r>
            <w:r w:rsidRPr="00D166EA">
              <w:rPr>
                <w:position w:val="-1"/>
                <w:szCs w:val="22"/>
                <w:vertAlign w:val="superscript"/>
              </w:rPr>
              <w:t>c</w:t>
            </w:r>
          </w:p>
        </w:tc>
        <w:tc>
          <w:tcPr>
            <w:tcW w:w="1276" w:type="dxa"/>
            <w:gridSpan w:val="2"/>
            <w:tcBorders>
              <w:top w:val="single" w:sz="6" w:space="0" w:color="000000"/>
              <w:left w:val="single" w:sz="6" w:space="0" w:color="000000"/>
              <w:bottom w:val="single" w:sz="6" w:space="0" w:color="000000"/>
              <w:right w:val="single" w:sz="6" w:space="0" w:color="000000"/>
            </w:tcBorders>
          </w:tcPr>
          <w:p w14:paraId="18392ABE" w14:textId="77777777" w:rsidR="00807239" w:rsidRPr="00D166EA" w:rsidRDefault="00807239" w:rsidP="00C949E4">
            <w:pPr>
              <w:spacing w:before="120" w:after="120" w:line="200" w:lineRule="exact"/>
              <w:ind w:left="23" w:right="-23"/>
              <w:jc w:val="center"/>
              <w:rPr>
                <w:szCs w:val="22"/>
              </w:rPr>
            </w:pPr>
          </w:p>
          <w:p w14:paraId="64297D2F" w14:textId="77777777" w:rsidR="00807239" w:rsidRPr="00D166EA" w:rsidRDefault="00807239" w:rsidP="00D73E05">
            <w:pPr>
              <w:spacing w:before="120" w:after="120" w:line="200" w:lineRule="exact"/>
              <w:ind w:left="23" w:right="-23"/>
              <w:jc w:val="center"/>
              <w:rPr>
                <w:szCs w:val="22"/>
              </w:rPr>
            </w:pPr>
            <w:r w:rsidRPr="00D166EA">
              <w:rPr>
                <w:w w:val="103"/>
                <w:szCs w:val="22"/>
              </w:rPr>
              <w:t>-4</w:t>
            </w:r>
            <w:r w:rsidR="00D73E05">
              <w:rPr>
                <w:w w:val="103"/>
                <w:szCs w:val="22"/>
              </w:rPr>
              <w:t>,</w:t>
            </w:r>
            <w:r w:rsidRPr="00D166EA">
              <w:rPr>
                <w:w w:val="103"/>
                <w:szCs w:val="22"/>
              </w:rPr>
              <w:t>4</w:t>
            </w:r>
            <w:r w:rsidRPr="00D166EA">
              <w:rPr>
                <w:spacing w:val="1"/>
                <w:w w:val="103"/>
                <w:szCs w:val="22"/>
              </w:rPr>
              <w:t>8*</w:t>
            </w:r>
          </w:p>
        </w:tc>
        <w:tc>
          <w:tcPr>
            <w:tcW w:w="1250" w:type="dxa"/>
            <w:tcBorders>
              <w:top w:val="single" w:sz="6" w:space="0" w:color="000000"/>
              <w:left w:val="single" w:sz="6" w:space="0" w:color="000000"/>
              <w:bottom w:val="single" w:sz="6" w:space="0" w:color="000000"/>
              <w:right w:val="single" w:sz="6" w:space="0" w:color="000000"/>
            </w:tcBorders>
          </w:tcPr>
          <w:p w14:paraId="26B45CD3" w14:textId="77777777" w:rsidR="00807239" w:rsidRPr="00D166EA" w:rsidRDefault="00807239" w:rsidP="00C949E4">
            <w:pPr>
              <w:spacing w:before="120" w:after="120" w:line="200" w:lineRule="exact"/>
              <w:ind w:left="23" w:right="-23"/>
              <w:jc w:val="center"/>
              <w:rPr>
                <w:szCs w:val="22"/>
              </w:rPr>
            </w:pPr>
          </w:p>
          <w:p w14:paraId="7059E1F1" w14:textId="77777777" w:rsidR="00807239" w:rsidRPr="00D166EA" w:rsidRDefault="00807239" w:rsidP="00D73E05">
            <w:pPr>
              <w:spacing w:before="120" w:after="120" w:line="200" w:lineRule="exact"/>
              <w:ind w:left="23" w:right="-23"/>
              <w:jc w:val="center"/>
              <w:rPr>
                <w:szCs w:val="22"/>
              </w:rPr>
            </w:pPr>
            <w:r w:rsidRPr="00D166EA">
              <w:rPr>
                <w:w w:val="103"/>
                <w:szCs w:val="22"/>
              </w:rPr>
              <w:t>-3</w:t>
            </w:r>
            <w:r w:rsidR="00D73E05">
              <w:rPr>
                <w:w w:val="103"/>
                <w:szCs w:val="22"/>
              </w:rPr>
              <w:t>,</w:t>
            </w:r>
            <w:r w:rsidRPr="00D166EA">
              <w:rPr>
                <w:spacing w:val="1"/>
                <w:w w:val="103"/>
                <w:szCs w:val="22"/>
              </w:rPr>
              <w:t>4</w:t>
            </w:r>
            <w:r w:rsidRPr="00D166EA">
              <w:rPr>
                <w:w w:val="103"/>
                <w:szCs w:val="22"/>
              </w:rPr>
              <w:t>0</w:t>
            </w:r>
          </w:p>
        </w:tc>
        <w:tc>
          <w:tcPr>
            <w:tcW w:w="1276" w:type="dxa"/>
            <w:gridSpan w:val="2"/>
            <w:tcBorders>
              <w:top w:val="single" w:sz="6" w:space="0" w:color="000000"/>
              <w:left w:val="single" w:sz="6" w:space="0" w:color="000000"/>
              <w:bottom w:val="single" w:sz="6" w:space="0" w:color="000000"/>
              <w:right w:val="single" w:sz="6" w:space="0" w:color="000000"/>
            </w:tcBorders>
          </w:tcPr>
          <w:p w14:paraId="433DCBD8" w14:textId="77777777" w:rsidR="00807239" w:rsidRPr="00D166EA" w:rsidRDefault="00807239" w:rsidP="00C949E4">
            <w:pPr>
              <w:spacing w:before="120" w:after="120" w:line="200" w:lineRule="exact"/>
              <w:ind w:left="23" w:right="-23"/>
              <w:jc w:val="center"/>
              <w:rPr>
                <w:szCs w:val="22"/>
              </w:rPr>
            </w:pPr>
          </w:p>
          <w:p w14:paraId="34C1E986" w14:textId="77777777" w:rsidR="00807239" w:rsidRPr="00D166EA" w:rsidRDefault="00807239" w:rsidP="00D73E05">
            <w:pPr>
              <w:spacing w:before="120" w:after="120" w:line="200" w:lineRule="exact"/>
              <w:ind w:left="23" w:right="-23"/>
              <w:jc w:val="center"/>
              <w:rPr>
                <w:szCs w:val="22"/>
              </w:rPr>
            </w:pPr>
            <w:r w:rsidRPr="00D166EA">
              <w:rPr>
                <w:spacing w:val="1"/>
                <w:w w:val="103"/>
                <w:szCs w:val="22"/>
              </w:rPr>
              <w:t>-</w:t>
            </w:r>
            <w:r w:rsidRPr="00D166EA">
              <w:rPr>
                <w:spacing w:val="-1"/>
                <w:w w:val="103"/>
                <w:szCs w:val="22"/>
              </w:rPr>
              <w:t>4</w:t>
            </w:r>
            <w:r w:rsidR="00D73E05">
              <w:rPr>
                <w:spacing w:val="-1"/>
                <w:w w:val="103"/>
                <w:szCs w:val="22"/>
              </w:rPr>
              <w:t>,</w:t>
            </w:r>
            <w:r w:rsidRPr="00D166EA">
              <w:rPr>
                <w:w w:val="103"/>
                <w:szCs w:val="22"/>
              </w:rPr>
              <w:t>66</w:t>
            </w:r>
          </w:p>
        </w:tc>
        <w:tc>
          <w:tcPr>
            <w:tcW w:w="1688" w:type="dxa"/>
            <w:gridSpan w:val="2"/>
            <w:tcBorders>
              <w:top w:val="single" w:sz="6" w:space="0" w:color="000000"/>
              <w:left w:val="single" w:sz="6" w:space="0" w:color="000000"/>
              <w:bottom w:val="single" w:sz="6" w:space="0" w:color="000000"/>
              <w:right w:val="single" w:sz="6" w:space="0" w:color="000000"/>
            </w:tcBorders>
          </w:tcPr>
          <w:p w14:paraId="0E287B2C" w14:textId="77777777" w:rsidR="00807239" w:rsidRPr="00D166EA" w:rsidRDefault="00807239" w:rsidP="00C949E4">
            <w:pPr>
              <w:spacing w:before="120" w:after="120" w:line="200" w:lineRule="exact"/>
              <w:ind w:left="23" w:right="-23"/>
              <w:jc w:val="center"/>
              <w:rPr>
                <w:szCs w:val="22"/>
              </w:rPr>
            </w:pPr>
          </w:p>
          <w:p w14:paraId="4209F105" w14:textId="77777777" w:rsidR="00807239" w:rsidRPr="00D166EA" w:rsidRDefault="00807239" w:rsidP="00D73E05">
            <w:pPr>
              <w:spacing w:before="120" w:after="120" w:line="200" w:lineRule="exact"/>
              <w:ind w:left="23" w:right="-23"/>
              <w:jc w:val="center"/>
              <w:rPr>
                <w:szCs w:val="22"/>
              </w:rPr>
            </w:pPr>
            <w:r w:rsidRPr="00D166EA">
              <w:rPr>
                <w:spacing w:val="1"/>
                <w:w w:val="103"/>
                <w:szCs w:val="22"/>
              </w:rPr>
              <w:t>-</w:t>
            </w:r>
            <w:r w:rsidRPr="00D166EA">
              <w:rPr>
                <w:spacing w:val="-1"/>
                <w:w w:val="103"/>
                <w:szCs w:val="22"/>
              </w:rPr>
              <w:t>3</w:t>
            </w:r>
            <w:r w:rsidR="00D73E05">
              <w:rPr>
                <w:spacing w:val="-1"/>
                <w:w w:val="103"/>
                <w:szCs w:val="22"/>
              </w:rPr>
              <w:t>,</w:t>
            </w:r>
            <w:r w:rsidRPr="00D166EA">
              <w:rPr>
                <w:spacing w:val="1"/>
                <w:w w:val="103"/>
                <w:szCs w:val="22"/>
              </w:rPr>
              <w:t>90</w:t>
            </w:r>
          </w:p>
        </w:tc>
      </w:tr>
      <w:tr w:rsidR="00807239" w:rsidRPr="00D166EA" w14:paraId="0EEDA72F" w14:textId="77777777" w:rsidTr="002746CC">
        <w:trPr>
          <w:trHeight w:hRule="exact" w:val="397"/>
        </w:trPr>
        <w:tc>
          <w:tcPr>
            <w:tcW w:w="3798" w:type="dxa"/>
            <w:gridSpan w:val="2"/>
            <w:tcBorders>
              <w:top w:val="single" w:sz="6" w:space="0" w:color="000000"/>
              <w:left w:val="single" w:sz="6" w:space="0" w:color="000000"/>
              <w:bottom w:val="single" w:sz="6" w:space="0" w:color="000000"/>
              <w:right w:val="single" w:sz="6" w:space="0" w:color="000000"/>
            </w:tcBorders>
          </w:tcPr>
          <w:p w14:paraId="72F5334C" w14:textId="77777777" w:rsidR="00807239" w:rsidRPr="00D166EA" w:rsidRDefault="00807239" w:rsidP="00C949E4">
            <w:pPr>
              <w:spacing w:before="120" w:after="120" w:line="200" w:lineRule="exact"/>
              <w:ind w:left="23" w:right="-23"/>
              <w:rPr>
                <w:szCs w:val="22"/>
              </w:rPr>
            </w:pPr>
            <w:r w:rsidRPr="00D166EA">
              <w:rPr>
                <w:szCs w:val="22"/>
              </w:rPr>
              <w:t xml:space="preserve">Stabilus arba pagerėjęs CTP rodiklis </w:t>
            </w:r>
            <w:r w:rsidRPr="00D166EA">
              <w:rPr>
                <w:position w:val="-1"/>
                <w:szCs w:val="22"/>
                <w:vertAlign w:val="superscript"/>
              </w:rPr>
              <w:t>b, d</w:t>
            </w:r>
          </w:p>
        </w:tc>
        <w:tc>
          <w:tcPr>
            <w:tcW w:w="1276" w:type="dxa"/>
            <w:gridSpan w:val="2"/>
            <w:tcBorders>
              <w:top w:val="single" w:sz="6" w:space="0" w:color="000000"/>
              <w:left w:val="single" w:sz="6" w:space="0" w:color="000000"/>
              <w:bottom w:val="single" w:sz="6" w:space="0" w:color="000000"/>
              <w:right w:val="single" w:sz="6" w:space="0" w:color="000000"/>
            </w:tcBorders>
          </w:tcPr>
          <w:p w14:paraId="43BDD65B" w14:textId="77777777" w:rsidR="00807239" w:rsidRPr="00D166EA" w:rsidRDefault="00807239" w:rsidP="00C949E4">
            <w:pPr>
              <w:spacing w:before="120" w:after="120" w:line="200" w:lineRule="exact"/>
              <w:ind w:left="23" w:right="-23"/>
              <w:jc w:val="center"/>
              <w:rPr>
                <w:szCs w:val="22"/>
              </w:rPr>
            </w:pPr>
            <w:r w:rsidRPr="00D166EA">
              <w:rPr>
                <w:spacing w:val="1"/>
                <w:w w:val="103"/>
                <w:szCs w:val="22"/>
              </w:rPr>
              <w:t>66</w:t>
            </w:r>
            <w:r w:rsidR="00D73E05">
              <w:rPr>
                <w:spacing w:val="1"/>
                <w:w w:val="103"/>
                <w:szCs w:val="22"/>
              </w:rPr>
              <w:t> </w:t>
            </w:r>
            <w:r w:rsidRPr="00D166EA">
              <w:rPr>
                <w:spacing w:val="1"/>
                <w:w w:val="103"/>
                <w:szCs w:val="22"/>
              </w:rPr>
              <w:t>%</w:t>
            </w:r>
          </w:p>
        </w:tc>
        <w:tc>
          <w:tcPr>
            <w:tcW w:w="1250" w:type="dxa"/>
            <w:tcBorders>
              <w:top w:val="single" w:sz="6" w:space="0" w:color="000000"/>
              <w:left w:val="single" w:sz="6" w:space="0" w:color="000000"/>
              <w:bottom w:val="single" w:sz="6" w:space="0" w:color="000000"/>
              <w:right w:val="single" w:sz="6" w:space="0" w:color="000000"/>
            </w:tcBorders>
          </w:tcPr>
          <w:p w14:paraId="64D542B0" w14:textId="77777777" w:rsidR="00807239" w:rsidRPr="00D166EA" w:rsidRDefault="00807239" w:rsidP="00C949E4">
            <w:pPr>
              <w:spacing w:before="120" w:after="120" w:line="200" w:lineRule="exact"/>
              <w:ind w:left="23" w:right="-23"/>
              <w:jc w:val="center"/>
              <w:rPr>
                <w:szCs w:val="22"/>
              </w:rPr>
            </w:pPr>
            <w:r w:rsidRPr="00D166EA">
              <w:rPr>
                <w:spacing w:val="-1"/>
                <w:w w:val="103"/>
                <w:szCs w:val="22"/>
              </w:rPr>
              <w:t>7</w:t>
            </w:r>
            <w:r w:rsidRPr="00D166EA">
              <w:rPr>
                <w:spacing w:val="1"/>
                <w:w w:val="103"/>
                <w:szCs w:val="22"/>
              </w:rPr>
              <w:t>1</w:t>
            </w:r>
            <w:r w:rsidR="00D73E05">
              <w:rPr>
                <w:spacing w:val="1"/>
                <w:w w:val="103"/>
                <w:szCs w:val="22"/>
              </w:rPr>
              <w:t> </w:t>
            </w:r>
            <w:r w:rsidRPr="00D166EA">
              <w:rPr>
                <w:w w:val="103"/>
                <w:szCs w:val="22"/>
              </w:rPr>
              <w:t>%</w:t>
            </w:r>
          </w:p>
        </w:tc>
        <w:tc>
          <w:tcPr>
            <w:tcW w:w="1276" w:type="dxa"/>
            <w:gridSpan w:val="2"/>
            <w:tcBorders>
              <w:top w:val="single" w:sz="6" w:space="0" w:color="000000"/>
              <w:left w:val="single" w:sz="6" w:space="0" w:color="000000"/>
              <w:bottom w:val="single" w:sz="6" w:space="0" w:color="000000"/>
              <w:right w:val="single" w:sz="6" w:space="0" w:color="000000"/>
            </w:tcBorders>
          </w:tcPr>
          <w:p w14:paraId="646C4DC6" w14:textId="77777777" w:rsidR="00807239" w:rsidRPr="00D166EA" w:rsidRDefault="00807239" w:rsidP="00C949E4">
            <w:pPr>
              <w:spacing w:before="120" w:after="120" w:line="200" w:lineRule="exact"/>
              <w:ind w:left="23" w:right="-23"/>
              <w:jc w:val="center"/>
              <w:rPr>
                <w:szCs w:val="22"/>
              </w:rPr>
            </w:pPr>
            <w:r w:rsidRPr="00D166EA">
              <w:rPr>
                <w:spacing w:val="1"/>
                <w:w w:val="103"/>
                <w:szCs w:val="22"/>
              </w:rPr>
              <w:t>61</w:t>
            </w:r>
            <w:r w:rsidR="00D73E05">
              <w:rPr>
                <w:spacing w:val="1"/>
                <w:w w:val="103"/>
                <w:szCs w:val="22"/>
              </w:rPr>
              <w:t> </w:t>
            </w:r>
            <w:r w:rsidRPr="00D166EA">
              <w:rPr>
                <w:spacing w:val="1"/>
                <w:w w:val="103"/>
                <w:szCs w:val="22"/>
              </w:rPr>
              <w:t>%</w:t>
            </w:r>
          </w:p>
        </w:tc>
        <w:tc>
          <w:tcPr>
            <w:tcW w:w="1688" w:type="dxa"/>
            <w:gridSpan w:val="2"/>
            <w:tcBorders>
              <w:top w:val="single" w:sz="6" w:space="0" w:color="000000"/>
              <w:left w:val="single" w:sz="6" w:space="0" w:color="000000"/>
              <w:bottom w:val="single" w:sz="6" w:space="0" w:color="000000"/>
              <w:right w:val="single" w:sz="6" w:space="0" w:color="000000"/>
            </w:tcBorders>
          </w:tcPr>
          <w:p w14:paraId="29F09E17" w14:textId="77777777" w:rsidR="00807239" w:rsidRPr="00D166EA" w:rsidRDefault="00807239" w:rsidP="00C949E4">
            <w:pPr>
              <w:spacing w:before="120" w:after="120" w:line="200" w:lineRule="exact"/>
              <w:ind w:left="23" w:right="-23"/>
              <w:jc w:val="center"/>
              <w:rPr>
                <w:szCs w:val="22"/>
              </w:rPr>
            </w:pPr>
            <w:r w:rsidRPr="00D166EA">
              <w:rPr>
                <w:spacing w:val="-1"/>
                <w:w w:val="103"/>
                <w:szCs w:val="22"/>
              </w:rPr>
              <w:t>6</w:t>
            </w:r>
            <w:r w:rsidRPr="00D166EA">
              <w:rPr>
                <w:spacing w:val="1"/>
                <w:w w:val="103"/>
                <w:szCs w:val="22"/>
              </w:rPr>
              <w:t>7</w:t>
            </w:r>
            <w:r w:rsidR="00D73E05">
              <w:rPr>
                <w:spacing w:val="1"/>
                <w:w w:val="103"/>
                <w:szCs w:val="22"/>
              </w:rPr>
              <w:t> </w:t>
            </w:r>
            <w:r w:rsidRPr="00D166EA">
              <w:rPr>
                <w:w w:val="103"/>
                <w:szCs w:val="22"/>
              </w:rPr>
              <w:t>%</w:t>
            </w:r>
          </w:p>
        </w:tc>
      </w:tr>
      <w:tr w:rsidR="00807239" w:rsidRPr="00D166EA" w14:paraId="54131AD7" w14:textId="77777777" w:rsidTr="002746CC">
        <w:trPr>
          <w:trHeight w:hRule="exact" w:val="794"/>
        </w:trPr>
        <w:tc>
          <w:tcPr>
            <w:tcW w:w="3798" w:type="dxa"/>
            <w:gridSpan w:val="2"/>
            <w:tcBorders>
              <w:top w:val="single" w:sz="6" w:space="0" w:color="000000"/>
              <w:left w:val="single" w:sz="6" w:space="0" w:color="000000"/>
              <w:bottom w:val="single" w:sz="6" w:space="0" w:color="000000"/>
              <w:right w:val="single" w:sz="6" w:space="0" w:color="000000"/>
            </w:tcBorders>
          </w:tcPr>
          <w:p w14:paraId="4E336CD9" w14:textId="77777777" w:rsidR="00807239" w:rsidRPr="00D166EA" w:rsidRDefault="00807239" w:rsidP="00C949E4">
            <w:pPr>
              <w:pStyle w:val="Default"/>
              <w:rPr>
                <w:sz w:val="22"/>
                <w:szCs w:val="22"/>
              </w:rPr>
            </w:pPr>
            <w:r w:rsidRPr="00D166EA">
              <w:rPr>
                <w:sz w:val="22"/>
                <w:szCs w:val="22"/>
              </w:rPr>
              <w:t xml:space="preserve">MELD rodiklis </w:t>
            </w:r>
          </w:p>
          <w:p w14:paraId="25E39235" w14:textId="77777777" w:rsidR="00807239" w:rsidRPr="00D166EA" w:rsidRDefault="00807239" w:rsidP="00C949E4">
            <w:pPr>
              <w:spacing w:before="120" w:after="120" w:line="200" w:lineRule="exact"/>
              <w:ind w:left="23" w:right="-23"/>
              <w:rPr>
                <w:szCs w:val="22"/>
              </w:rPr>
            </w:pPr>
            <w:r w:rsidRPr="00D166EA">
              <w:rPr>
                <w:szCs w:val="22"/>
              </w:rPr>
              <w:t xml:space="preserve">Vidutinis pokytis palyginus su buvusiu iki tyrimo </w:t>
            </w:r>
            <w:r w:rsidRPr="00D166EA">
              <w:rPr>
                <w:position w:val="-1"/>
                <w:szCs w:val="22"/>
                <w:vertAlign w:val="superscript"/>
              </w:rPr>
              <w:t>c, e</w:t>
            </w:r>
          </w:p>
        </w:tc>
        <w:tc>
          <w:tcPr>
            <w:tcW w:w="1276" w:type="dxa"/>
            <w:gridSpan w:val="2"/>
            <w:tcBorders>
              <w:top w:val="single" w:sz="6" w:space="0" w:color="000000"/>
              <w:left w:val="single" w:sz="6" w:space="0" w:color="000000"/>
              <w:bottom w:val="single" w:sz="6" w:space="0" w:color="000000"/>
              <w:right w:val="single" w:sz="6" w:space="0" w:color="000000"/>
            </w:tcBorders>
          </w:tcPr>
          <w:p w14:paraId="266CB8C6" w14:textId="77777777" w:rsidR="00807239" w:rsidRPr="00D166EA" w:rsidRDefault="00807239" w:rsidP="00C949E4">
            <w:pPr>
              <w:spacing w:before="120" w:after="120" w:line="200" w:lineRule="exact"/>
              <w:ind w:left="23" w:right="-23"/>
              <w:rPr>
                <w:szCs w:val="22"/>
              </w:rPr>
            </w:pPr>
          </w:p>
          <w:p w14:paraId="33F93C47" w14:textId="77777777" w:rsidR="00807239" w:rsidRPr="00D166EA" w:rsidRDefault="00807239" w:rsidP="00D73E05">
            <w:pPr>
              <w:spacing w:before="120" w:after="120" w:line="200" w:lineRule="exact"/>
              <w:ind w:left="23" w:right="-23"/>
              <w:jc w:val="center"/>
              <w:rPr>
                <w:szCs w:val="22"/>
              </w:rPr>
            </w:pPr>
            <w:r w:rsidRPr="00D166EA">
              <w:rPr>
                <w:w w:val="103"/>
                <w:szCs w:val="22"/>
              </w:rPr>
              <w:t>-2</w:t>
            </w:r>
            <w:r w:rsidR="00D73E05">
              <w:rPr>
                <w:w w:val="103"/>
                <w:szCs w:val="22"/>
              </w:rPr>
              <w:t>,</w:t>
            </w:r>
            <w:r w:rsidRPr="00D166EA">
              <w:rPr>
                <w:w w:val="103"/>
                <w:szCs w:val="22"/>
              </w:rPr>
              <w:t>0</w:t>
            </w:r>
          </w:p>
        </w:tc>
        <w:tc>
          <w:tcPr>
            <w:tcW w:w="1250" w:type="dxa"/>
            <w:tcBorders>
              <w:top w:val="single" w:sz="6" w:space="0" w:color="000000"/>
              <w:left w:val="single" w:sz="6" w:space="0" w:color="000000"/>
              <w:bottom w:val="single" w:sz="6" w:space="0" w:color="000000"/>
              <w:right w:val="single" w:sz="6" w:space="0" w:color="000000"/>
            </w:tcBorders>
          </w:tcPr>
          <w:p w14:paraId="7B8A3A0B" w14:textId="77777777" w:rsidR="00807239" w:rsidRPr="00D166EA" w:rsidRDefault="00807239" w:rsidP="00C949E4">
            <w:pPr>
              <w:spacing w:before="120" w:after="120" w:line="200" w:lineRule="exact"/>
              <w:ind w:left="23" w:right="-23"/>
              <w:rPr>
                <w:szCs w:val="22"/>
              </w:rPr>
            </w:pPr>
          </w:p>
          <w:p w14:paraId="00E1B86D" w14:textId="77777777" w:rsidR="00807239" w:rsidRPr="00D166EA" w:rsidRDefault="00807239" w:rsidP="00D73E05">
            <w:pPr>
              <w:spacing w:before="120" w:after="120" w:line="200" w:lineRule="exact"/>
              <w:ind w:left="23" w:right="-23"/>
              <w:jc w:val="center"/>
              <w:rPr>
                <w:szCs w:val="22"/>
              </w:rPr>
            </w:pPr>
            <w:r w:rsidRPr="00D166EA">
              <w:rPr>
                <w:spacing w:val="1"/>
                <w:w w:val="103"/>
                <w:szCs w:val="22"/>
              </w:rPr>
              <w:t>-</w:t>
            </w:r>
            <w:r w:rsidRPr="00D166EA">
              <w:rPr>
                <w:spacing w:val="-1"/>
                <w:w w:val="103"/>
                <w:szCs w:val="22"/>
              </w:rPr>
              <w:t>0</w:t>
            </w:r>
            <w:r w:rsidR="00D73E05">
              <w:rPr>
                <w:spacing w:val="-1"/>
                <w:w w:val="103"/>
                <w:szCs w:val="22"/>
              </w:rPr>
              <w:t>,</w:t>
            </w:r>
            <w:r w:rsidRPr="00D166EA">
              <w:rPr>
                <w:spacing w:val="1"/>
                <w:w w:val="103"/>
                <w:szCs w:val="22"/>
              </w:rPr>
              <w:t>9</w:t>
            </w:r>
          </w:p>
        </w:tc>
        <w:tc>
          <w:tcPr>
            <w:tcW w:w="1276" w:type="dxa"/>
            <w:gridSpan w:val="2"/>
            <w:tcBorders>
              <w:top w:val="single" w:sz="6" w:space="0" w:color="000000"/>
              <w:left w:val="single" w:sz="6" w:space="0" w:color="000000"/>
              <w:bottom w:val="single" w:sz="6" w:space="0" w:color="000000"/>
              <w:right w:val="single" w:sz="6" w:space="0" w:color="000000"/>
            </w:tcBorders>
          </w:tcPr>
          <w:p w14:paraId="6E6CEDF5" w14:textId="77777777" w:rsidR="00807239" w:rsidRPr="00D166EA" w:rsidRDefault="00807239" w:rsidP="00C949E4">
            <w:pPr>
              <w:spacing w:before="120" w:after="120" w:line="200" w:lineRule="exact"/>
              <w:ind w:left="23" w:right="-23"/>
              <w:rPr>
                <w:szCs w:val="22"/>
              </w:rPr>
            </w:pPr>
          </w:p>
          <w:p w14:paraId="63F1D154" w14:textId="77777777" w:rsidR="00807239" w:rsidRPr="00D166EA" w:rsidRDefault="00807239" w:rsidP="00D73E05">
            <w:pPr>
              <w:spacing w:before="120" w:after="120" w:line="200" w:lineRule="exact"/>
              <w:ind w:left="23" w:right="-23"/>
              <w:jc w:val="center"/>
              <w:rPr>
                <w:szCs w:val="22"/>
              </w:rPr>
            </w:pPr>
            <w:r w:rsidRPr="00D166EA">
              <w:rPr>
                <w:w w:val="103"/>
                <w:szCs w:val="22"/>
              </w:rPr>
              <w:t>-2</w:t>
            </w:r>
            <w:r w:rsidR="00D73E05">
              <w:rPr>
                <w:w w:val="103"/>
                <w:szCs w:val="22"/>
              </w:rPr>
              <w:t>,</w:t>
            </w:r>
            <w:r w:rsidRPr="00D166EA">
              <w:rPr>
                <w:w w:val="103"/>
                <w:szCs w:val="22"/>
              </w:rPr>
              <w:t>6</w:t>
            </w:r>
          </w:p>
        </w:tc>
        <w:tc>
          <w:tcPr>
            <w:tcW w:w="1688" w:type="dxa"/>
            <w:gridSpan w:val="2"/>
            <w:tcBorders>
              <w:top w:val="single" w:sz="6" w:space="0" w:color="000000"/>
              <w:left w:val="single" w:sz="6" w:space="0" w:color="000000"/>
              <w:bottom w:val="single" w:sz="6" w:space="0" w:color="000000"/>
              <w:right w:val="single" w:sz="6" w:space="0" w:color="000000"/>
            </w:tcBorders>
          </w:tcPr>
          <w:p w14:paraId="4EF87C86" w14:textId="77777777" w:rsidR="00807239" w:rsidRPr="00D166EA" w:rsidRDefault="00807239" w:rsidP="00C949E4">
            <w:pPr>
              <w:spacing w:before="120" w:after="120" w:line="200" w:lineRule="exact"/>
              <w:ind w:left="23" w:right="-23"/>
              <w:rPr>
                <w:szCs w:val="22"/>
              </w:rPr>
            </w:pPr>
          </w:p>
          <w:p w14:paraId="2DCE07EF" w14:textId="77777777" w:rsidR="00807239" w:rsidRPr="00D166EA" w:rsidRDefault="00807239" w:rsidP="00D73E05">
            <w:pPr>
              <w:spacing w:before="120" w:after="120" w:line="200" w:lineRule="exact"/>
              <w:ind w:left="23" w:right="-23"/>
              <w:jc w:val="center"/>
              <w:rPr>
                <w:szCs w:val="22"/>
              </w:rPr>
            </w:pPr>
            <w:r w:rsidRPr="00D166EA">
              <w:rPr>
                <w:spacing w:val="1"/>
                <w:w w:val="103"/>
                <w:szCs w:val="22"/>
              </w:rPr>
              <w:t>-</w:t>
            </w:r>
            <w:r w:rsidRPr="00D166EA">
              <w:rPr>
                <w:spacing w:val="-1"/>
                <w:w w:val="103"/>
                <w:szCs w:val="22"/>
              </w:rPr>
              <w:t>1</w:t>
            </w:r>
            <w:r w:rsidR="00D73E05">
              <w:rPr>
                <w:spacing w:val="1"/>
                <w:w w:val="103"/>
                <w:szCs w:val="22"/>
              </w:rPr>
              <w:t>,</w:t>
            </w:r>
            <w:r w:rsidRPr="00D166EA">
              <w:rPr>
                <w:spacing w:val="1"/>
                <w:w w:val="103"/>
                <w:szCs w:val="22"/>
              </w:rPr>
              <w:t>7</w:t>
            </w:r>
          </w:p>
        </w:tc>
      </w:tr>
      <w:tr w:rsidR="00807239" w:rsidRPr="00D166EA" w14:paraId="3AE6FEC1" w14:textId="77777777" w:rsidTr="002746CC">
        <w:trPr>
          <w:trHeight w:hRule="exact" w:val="340"/>
        </w:trPr>
        <w:tc>
          <w:tcPr>
            <w:tcW w:w="3798" w:type="dxa"/>
            <w:gridSpan w:val="2"/>
            <w:tcBorders>
              <w:top w:val="single" w:sz="6" w:space="0" w:color="000000"/>
              <w:left w:val="single" w:sz="6" w:space="0" w:color="000000"/>
              <w:bottom w:val="single" w:sz="6" w:space="0" w:color="000000"/>
              <w:right w:val="single" w:sz="6" w:space="0" w:color="000000"/>
            </w:tcBorders>
          </w:tcPr>
          <w:p w14:paraId="7BF97ABA" w14:textId="77777777" w:rsidR="00807239" w:rsidRPr="00D166EA" w:rsidRDefault="00807239" w:rsidP="00C949E4">
            <w:pPr>
              <w:spacing w:before="120" w:after="120" w:line="200" w:lineRule="exact"/>
              <w:ind w:left="23" w:right="-23"/>
              <w:rPr>
                <w:szCs w:val="22"/>
              </w:rPr>
            </w:pPr>
            <w:r w:rsidRPr="00D166EA">
              <w:rPr>
                <w:position w:val="-2"/>
                <w:szCs w:val="22"/>
              </w:rPr>
              <w:t>HBsAg</w:t>
            </w:r>
            <w:r w:rsidRPr="00D166EA">
              <w:rPr>
                <w:spacing w:val="20"/>
                <w:position w:val="-2"/>
                <w:szCs w:val="22"/>
              </w:rPr>
              <w:t xml:space="preserve"> </w:t>
            </w:r>
            <w:r w:rsidRPr="00D166EA">
              <w:rPr>
                <w:w w:val="103"/>
                <w:position w:val="-2"/>
                <w:szCs w:val="22"/>
              </w:rPr>
              <w:t>išnykimas</w:t>
            </w:r>
            <w:r w:rsidRPr="00B606B7">
              <w:rPr>
                <w:w w:val="103"/>
                <w:position w:val="-2"/>
                <w:szCs w:val="22"/>
                <w:vertAlign w:val="superscript"/>
              </w:rPr>
              <w:t>b</w:t>
            </w:r>
          </w:p>
        </w:tc>
        <w:tc>
          <w:tcPr>
            <w:tcW w:w="1276" w:type="dxa"/>
            <w:gridSpan w:val="2"/>
            <w:tcBorders>
              <w:top w:val="single" w:sz="6" w:space="0" w:color="000000"/>
              <w:left w:val="single" w:sz="6" w:space="0" w:color="000000"/>
              <w:bottom w:val="single" w:sz="6" w:space="0" w:color="000000"/>
              <w:right w:val="single" w:sz="6" w:space="0" w:color="000000"/>
            </w:tcBorders>
          </w:tcPr>
          <w:p w14:paraId="2CE61C7F" w14:textId="77777777" w:rsidR="00807239" w:rsidRPr="00D166EA" w:rsidRDefault="00807239" w:rsidP="00C949E4">
            <w:pPr>
              <w:spacing w:before="120" w:after="120" w:line="200" w:lineRule="exact"/>
              <w:ind w:left="23" w:right="-23"/>
              <w:jc w:val="center"/>
              <w:rPr>
                <w:szCs w:val="22"/>
              </w:rPr>
            </w:pPr>
            <w:r w:rsidRPr="00D166EA">
              <w:rPr>
                <w:spacing w:val="-1"/>
                <w:w w:val="103"/>
                <w:szCs w:val="22"/>
              </w:rPr>
              <w:t>1</w:t>
            </w:r>
            <w:r w:rsidR="00D73E05">
              <w:rPr>
                <w:spacing w:val="-1"/>
                <w:w w:val="103"/>
                <w:szCs w:val="22"/>
              </w:rPr>
              <w:t> </w:t>
            </w:r>
            <w:r w:rsidRPr="00D166EA">
              <w:rPr>
                <w:w w:val="103"/>
                <w:szCs w:val="22"/>
              </w:rPr>
              <w:t>%</w:t>
            </w:r>
          </w:p>
        </w:tc>
        <w:tc>
          <w:tcPr>
            <w:tcW w:w="1250" w:type="dxa"/>
            <w:tcBorders>
              <w:top w:val="single" w:sz="6" w:space="0" w:color="000000"/>
              <w:left w:val="single" w:sz="6" w:space="0" w:color="000000"/>
              <w:bottom w:val="single" w:sz="6" w:space="0" w:color="000000"/>
              <w:right w:val="single" w:sz="6" w:space="0" w:color="000000"/>
            </w:tcBorders>
          </w:tcPr>
          <w:p w14:paraId="12DFEF68" w14:textId="77777777" w:rsidR="00807239" w:rsidRPr="00D166EA" w:rsidRDefault="00807239" w:rsidP="00C949E4">
            <w:pPr>
              <w:spacing w:before="120" w:after="120" w:line="200" w:lineRule="exact"/>
              <w:ind w:left="23" w:right="-23"/>
              <w:jc w:val="center"/>
              <w:rPr>
                <w:szCs w:val="22"/>
              </w:rPr>
            </w:pPr>
            <w:r w:rsidRPr="00D166EA">
              <w:rPr>
                <w:w w:val="103"/>
                <w:szCs w:val="22"/>
              </w:rPr>
              <w:t>0</w:t>
            </w:r>
          </w:p>
        </w:tc>
        <w:tc>
          <w:tcPr>
            <w:tcW w:w="1276" w:type="dxa"/>
            <w:gridSpan w:val="2"/>
            <w:tcBorders>
              <w:top w:val="single" w:sz="6" w:space="0" w:color="000000"/>
              <w:left w:val="single" w:sz="6" w:space="0" w:color="000000"/>
              <w:bottom w:val="single" w:sz="6" w:space="0" w:color="000000"/>
              <w:right w:val="single" w:sz="6" w:space="0" w:color="000000"/>
            </w:tcBorders>
          </w:tcPr>
          <w:p w14:paraId="33F03642" w14:textId="77777777" w:rsidR="00807239" w:rsidRPr="00D166EA" w:rsidRDefault="00807239" w:rsidP="00C949E4">
            <w:pPr>
              <w:spacing w:before="120" w:after="120" w:line="200" w:lineRule="exact"/>
              <w:ind w:left="23" w:right="-23"/>
              <w:jc w:val="center"/>
              <w:rPr>
                <w:szCs w:val="22"/>
              </w:rPr>
            </w:pPr>
            <w:r w:rsidRPr="00D166EA">
              <w:rPr>
                <w:w w:val="103"/>
                <w:szCs w:val="22"/>
              </w:rPr>
              <w:t>5</w:t>
            </w:r>
            <w:r w:rsidR="00D73E05">
              <w:rPr>
                <w:w w:val="103"/>
                <w:szCs w:val="22"/>
              </w:rPr>
              <w:t> </w:t>
            </w:r>
            <w:r w:rsidRPr="00D166EA">
              <w:rPr>
                <w:w w:val="103"/>
                <w:szCs w:val="22"/>
              </w:rPr>
              <w:t>%</w:t>
            </w:r>
          </w:p>
        </w:tc>
        <w:tc>
          <w:tcPr>
            <w:tcW w:w="1688" w:type="dxa"/>
            <w:gridSpan w:val="2"/>
            <w:tcBorders>
              <w:top w:val="single" w:sz="6" w:space="0" w:color="000000"/>
              <w:left w:val="single" w:sz="6" w:space="0" w:color="000000"/>
              <w:bottom w:val="single" w:sz="6" w:space="0" w:color="000000"/>
              <w:right w:val="single" w:sz="6" w:space="0" w:color="000000"/>
            </w:tcBorders>
          </w:tcPr>
          <w:p w14:paraId="215E54C6" w14:textId="77777777" w:rsidR="00807239" w:rsidRPr="00D166EA" w:rsidRDefault="00807239" w:rsidP="00C949E4">
            <w:pPr>
              <w:spacing w:before="120" w:after="120" w:line="200" w:lineRule="exact"/>
              <w:ind w:left="23" w:right="-23"/>
              <w:jc w:val="center"/>
              <w:rPr>
                <w:szCs w:val="22"/>
              </w:rPr>
            </w:pPr>
            <w:r w:rsidRPr="00D166EA">
              <w:rPr>
                <w:w w:val="103"/>
                <w:szCs w:val="22"/>
              </w:rPr>
              <w:t>0</w:t>
            </w:r>
          </w:p>
        </w:tc>
      </w:tr>
      <w:tr w:rsidR="00807239" w:rsidRPr="00D166EA" w14:paraId="77FDDB9E" w14:textId="77777777" w:rsidTr="002746CC">
        <w:trPr>
          <w:trHeight w:hRule="exact" w:val="397"/>
        </w:trPr>
        <w:tc>
          <w:tcPr>
            <w:tcW w:w="9288" w:type="dxa"/>
            <w:gridSpan w:val="9"/>
            <w:tcBorders>
              <w:top w:val="single" w:sz="6" w:space="0" w:color="000000"/>
              <w:left w:val="single" w:sz="6" w:space="0" w:color="000000"/>
              <w:bottom w:val="single" w:sz="6" w:space="0" w:color="000000"/>
              <w:right w:val="single" w:sz="6" w:space="0" w:color="000000"/>
            </w:tcBorders>
          </w:tcPr>
          <w:p w14:paraId="4AC80F40" w14:textId="77777777" w:rsidR="00807239" w:rsidRPr="00D166EA" w:rsidRDefault="00807239" w:rsidP="00C949E4">
            <w:pPr>
              <w:spacing w:before="120" w:after="120" w:line="200" w:lineRule="exact"/>
              <w:ind w:left="23" w:right="-23"/>
              <w:rPr>
                <w:szCs w:val="22"/>
              </w:rPr>
            </w:pPr>
            <w:r w:rsidRPr="00D166EA">
              <w:rPr>
                <w:position w:val="-2"/>
                <w:szCs w:val="22"/>
              </w:rPr>
              <w:t>Sunormalėjimas</w:t>
            </w:r>
            <w:r w:rsidRPr="00D166EA">
              <w:rPr>
                <w:spacing w:val="1"/>
                <w:w w:val="103"/>
                <w:position w:val="-2"/>
                <w:szCs w:val="22"/>
              </w:rPr>
              <w:t>:</w:t>
            </w:r>
            <w:r w:rsidRPr="00B606B7">
              <w:rPr>
                <w:position w:val="-2"/>
                <w:szCs w:val="22"/>
                <w:vertAlign w:val="superscript"/>
              </w:rPr>
              <w:t>f</w:t>
            </w:r>
          </w:p>
        </w:tc>
      </w:tr>
      <w:tr w:rsidR="00807239" w:rsidRPr="00D166EA" w14:paraId="335C048F" w14:textId="77777777" w:rsidTr="002746CC">
        <w:trPr>
          <w:trHeight w:hRule="exact" w:val="340"/>
        </w:trPr>
        <w:tc>
          <w:tcPr>
            <w:tcW w:w="3580" w:type="dxa"/>
            <w:tcBorders>
              <w:top w:val="single" w:sz="6" w:space="0" w:color="000000"/>
              <w:left w:val="single" w:sz="6" w:space="0" w:color="000000"/>
              <w:bottom w:val="single" w:sz="6" w:space="0" w:color="000000"/>
              <w:right w:val="single" w:sz="6" w:space="0" w:color="000000"/>
            </w:tcBorders>
          </w:tcPr>
          <w:p w14:paraId="60DF46A4" w14:textId="77777777" w:rsidR="00807239" w:rsidRPr="00D166EA" w:rsidRDefault="00807239" w:rsidP="00C949E4">
            <w:pPr>
              <w:spacing w:line="240" w:lineRule="exact"/>
              <w:ind w:left="555" w:right="-23"/>
              <w:rPr>
                <w:szCs w:val="22"/>
              </w:rPr>
            </w:pPr>
            <w:r w:rsidRPr="00D166EA">
              <w:rPr>
                <w:position w:val="-2"/>
                <w:szCs w:val="22"/>
              </w:rPr>
              <w:t>A</w:t>
            </w:r>
            <w:r w:rsidRPr="00D166EA">
              <w:rPr>
                <w:spacing w:val="1"/>
                <w:position w:val="-2"/>
                <w:szCs w:val="22"/>
              </w:rPr>
              <w:t>L</w:t>
            </w:r>
            <w:r w:rsidRPr="00D166EA">
              <w:rPr>
                <w:position w:val="-2"/>
                <w:szCs w:val="22"/>
              </w:rPr>
              <w:t>T</w:t>
            </w:r>
            <w:r w:rsidRPr="00D166EA">
              <w:rPr>
                <w:spacing w:val="13"/>
                <w:position w:val="-2"/>
                <w:szCs w:val="22"/>
              </w:rPr>
              <w:t xml:space="preserve"> </w:t>
            </w:r>
            <w:r w:rsidRPr="00D166EA">
              <w:rPr>
                <w:spacing w:val="1"/>
                <w:position w:val="-2"/>
                <w:szCs w:val="22"/>
              </w:rPr>
              <w:t>(</w:t>
            </w:r>
            <w:r w:rsidR="001B1725">
              <w:rPr>
                <w:spacing w:val="1"/>
                <w:position w:val="-2"/>
                <w:szCs w:val="22"/>
              </w:rPr>
              <w:t>≤</w:t>
            </w:r>
            <w:r w:rsidR="00D73E05">
              <w:rPr>
                <w:spacing w:val="1"/>
                <w:position w:val="-2"/>
                <w:szCs w:val="22"/>
              </w:rPr>
              <w:t> </w:t>
            </w:r>
            <w:r w:rsidRPr="00D166EA">
              <w:rPr>
                <w:position w:val="-2"/>
                <w:szCs w:val="22"/>
              </w:rPr>
              <w:t>1</w:t>
            </w:r>
            <w:r w:rsidRPr="00D166EA">
              <w:rPr>
                <w:spacing w:val="10"/>
                <w:position w:val="-2"/>
                <w:szCs w:val="22"/>
              </w:rPr>
              <w:t xml:space="preserve"> </w:t>
            </w:r>
            <w:r w:rsidRPr="00D166EA">
              <w:rPr>
                <w:position w:val="-2"/>
                <w:szCs w:val="22"/>
              </w:rPr>
              <w:t>x</w:t>
            </w:r>
            <w:r w:rsidRPr="00D166EA">
              <w:rPr>
                <w:spacing w:val="5"/>
                <w:position w:val="-2"/>
                <w:szCs w:val="22"/>
              </w:rPr>
              <w:t xml:space="preserve"> </w:t>
            </w:r>
            <w:r w:rsidRPr="00D166EA">
              <w:rPr>
                <w:spacing w:val="1"/>
                <w:w w:val="103"/>
                <w:position w:val="-2"/>
                <w:szCs w:val="22"/>
              </w:rPr>
              <w:t>VNR</w:t>
            </w:r>
            <w:r w:rsidRPr="00D166EA">
              <w:rPr>
                <w:w w:val="103"/>
                <w:position w:val="-2"/>
                <w:szCs w:val="22"/>
              </w:rPr>
              <w:t>)</w:t>
            </w:r>
            <w:r w:rsidRPr="00B606B7">
              <w:rPr>
                <w:spacing w:val="1"/>
                <w:position w:val="-2"/>
                <w:szCs w:val="22"/>
                <w:vertAlign w:val="superscript"/>
              </w:rPr>
              <w:t>b</w:t>
            </w:r>
          </w:p>
        </w:tc>
        <w:tc>
          <w:tcPr>
            <w:tcW w:w="1494" w:type="dxa"/>
            <w:gridSpan w:val="3"/>
            <w:tcBorders>
              <w:top w:val="single" w:sz="6" w:space="0" w:color="000000"/>
              <w:left w:val="single" w:sz="6" w:space="0" w:color="000000"/>
              <w:bottom w:val="single" w:sz="6" w:space="0" w:color="000000"/>
              <w:right w:val="single" w:sz="6" w:space="0" w:color="000000"/>
            </w:tcBorders>
          </w:tcPr>
          <w:p w14:paraId="70A5E05C" w14:textId="77777777" w:rsidR="00807239" w:rsidRPr="00D166EA" w:rsidRDefault="00807239" w:rsidP="00C949E4">
            <w:pPr>
              <w:spacing w:line="240" w:lineRule="exact"/>
              <w:ind w:left="43" w:right="-23"/>
              <w:rPr>
                <w:szCs w:val="22"/>
              </w:rPr>
            </w:pPr>
            <w:r w:rsidRPr="00D166EA">
              <w:rPr>
                <w:szCs w:val="22"/>
              </w:rPr>
              <w:t>46</w:t>
            </w:r>
            <w:r w:rsidRPr="00D166EA">
              <w:rPr>
                <w:spacing w:val="1"/>
                <w:szCs w:val="22"/>
              </w:rPr>
              <w:t>/</w:t>
            </w:r>
            <w:r w:rsidRPr="00D166EA">
              <w:rPr>
                <w:szCs w:val="22"/>
              </w:rPr>
              <w:t>78</w:t>
            </w:r>
            <w:r w:rsidRPr="00D166EA">
              <w:rPr>
                <w:spacing w:val="15"/>
                <w:szCs w:val="22"/>
              </w:rPr>
              <w:t xml:space="preserve"> </w:t>
            </w:r>
            <w:r w:rsidRPr="00D166EA">
              <w:rPr>
                <w:w w:val="103"/>
                <w:szCs w:val="22"/>
              </w:rPr>
              <w:t>*</w:t>
            </w:r>
          </w:p>
        </w:tc>
        <w:tc>
          <w:tcPr>
            <w:tcW w:w="1334" w:type="dxa"/>
            <w:gridSpan w:val="2"/>
            <w:tcBorders>
              <w:top w:val="single" w:sz="6" w:space="0" w:color="000000"/>
              <w:left w:val="single" w:sz="6" w:space="0" w:color="000000"/>
              <w:bottom w:val="single" w:sz="6" w:space="0" w:color="000000"/>
              <w:right w:val="single" w:sz="6" w:space="0" w:color="000000"/>
            </w:tcBorders>
          </w:tcPr>
          <w:p w14:paraId="269D2102" w14:textId="77777777" w:rsidR="00807239" w:rsidRPr="00D166EA" w:rsidRDefault="00807239" w:rsidP="00C949E4">
            <w:pPr>
              <w:spacing w:line="240" w:lineRule="exact"/>
              <w:ind w:left="83" w:right="-23"/>
              <w:rPr>
                <w:szCs w:val="22"/>
              </w:rPr>
            </w:pPr>
            <w:r w:rsidRPr="00D166EA">
              <w:rPr>
                <w:szCs w:val="22"/>
              </w:rPr>
              <w:t>2</w:t>
            </w:r>
            <w:r w:rsidRPr="00D166EA">
              <w:rPr>
                <w:spacing w:val="-1"/>
                <w:szCs w:val="22"/>
              </w:rPr>
              <w:t>8</w:t>
            </w:r>
            <w:r w:rsidRPr="00D166EA">
              <w:rPr>
                <w:spacing w:val="1"/>
                <w:szCs w:val="22"/>
              </w:rPr>
              <w:t>/7</w:t>
            </w:r>
            <w:r w:rsidRPr="00D166EA">
              <w:rPr>
                <w:szCs w:val="22"/>
              </w:rPr>
              <w:t>1</w:t>
            </w:r>
            <w:r w:rsidRPr="00D166EA">
              <w:rPr>
                <w:spacing w:val="16"/>
                <w:szCs w:val="22"/>
              </w:rPr>
              <w:t xml:space="preserve"> </w:t>
            </w:r>
          </w:p>
        </w:tc>
        <w:tc>
          <w:tcPr>
            <w:tcW w:w="1407" w:type="dxa"/>
            <w:gridSpan w:val="2"/>
            <w:tcBorders>
              <w:top w:val="single" w:sz="6" w:space="0" w:color="000000"/>
              <w:left w:val="single" w:sz="6" w:space="0" w:color="000000"/>
              <w:bottom w:val="single" w:sz="6" w:space="0" w:color="000000"/>
              <w:right w:val="single" w:sz="6" w:space="0" w:color="000000"/>
            </w:tcBorders>
          </w:tcPr>
          <w:p w14:paraId="75081FAB" w14:textId="77777777" w:rsidR="00807239" w:rsidRPr="00D166EA" w:rsidRDefault="00807239" w:rsidP="00C949E4">
            <w:pPr>
              <w:spacing w:line="240" w:lineRule="exact"/>
              <w:ind w:left="45" w:right="-23"/>
              <w:rPr>
                <w:szCs w:val="22"/>
              </w:rPr>
            </w:pPr>
            <w:r w:rsidRPr="00D166EA">
              <w:rPr>
                <w:szCs w:val="22"/>
              </w:rPr>
              <w:t>4</w:t>
            </w:r>
            <w:r w:rsidRPr="00D166EA">
              <w:rPr>
                <w:spacing w:val="-1"/>
                <w:szCs w:val="22"/>
              </w:rPr>
              <w:t>9</w:t>
            </w:r>
            <w:r w:rsidRPr="00D166EA">
              <w:rPr>
                <w:spacing w:val="1"/>
                <w:szCs w:val="22"/>
              </w:rPr>
              <w:t>/7</w:t>
            </w:r>
            <w:r w:rsidRPr="00D166EA">
              <w:rPr>
                <w:szCs w:val="22"/>
              </w:rPr>
              <w:t>8</w:t>
            </w:r>
            <w:r w:rsidRPr="00D166EA">
              <w:rPr>
                <w:spacing w:val="16"/>
                <w:szCs w:val="22"/>
              </w:rPr>
              <w:t xml:space="preserve"> </w:t>
            </w:r>
            <w:r w:rsidRPr="00D166EA">
              <w:rPr>
                <w:w w:val="103"/>
                <w:szCs w:val="22"/>
              </w:rPr>
              <w:t>*</w:t>
            </w:r>
          </w:p>
        </w:tc>
        <w:tc>
          <w:tcPr>
            <w:tcW w:w="1473" w:type="dxa"/>
            <w:tcBorders>
              <w:top w:val="single" w:sz="6" w:space="0" w:color="000000"/>
              <w:left w:val="single" w:sz="6" w:space="0" w:color="000000"/>
              <w:bottom w:val="single" w:sz="6" w:space="0" w:color="000000"/>
              <w:right w:val="single" w:sz="6" w:space="0" w:color="000000"/>
            </w:tcBorders>
          </w:tcPr>
          <w:p w14:paraId="53B3CA12" w14:textId="77777777" w:rsidR="00807239" w:rsidRPr="00D166EA" w:rsidRDefault="00807239" w:rsidP="00C949E4">
            <w:pPr>
              <w:spacing w:line="240" w:lineRule="exact"/>
              <w:ind w:left="54" w:right="-23"/>
              <w:rPr>
                <w:szCs w:val="22"/>
              </w:rPr>
            </w:pPr>
            <w:r w:rsidRPr="00D166EA">
              <w:rPr>
                <w:szCs w:val="22"/>
              </w:rPr>
              <w:t>3</w:t>
            </w:r>
            <w:r w:rsidRPr="00D166EA">
              <w:rPr>
                <w:spacing w:val="-1"/>
                <w:szCs w:val="22"/>
              </w:rPr>
              <w:t>3</w:t>
            </w:r>
            <w:r w:rsidRPr="00D166EA">
              <w:rPr>
                <w:spacing w:val="1"/>
                <w:szCs w:val="22"/>
              </w:rPr>
              <w:t>/7</w:t>
            </w:r>
            <w:r w:rsidRPr="00D166EA">
              <w:rPr>
                <w:szCs w:val="22"/>
              </w:rPr>
              <w:t>1</w:t>
            </w:r>
          </w:p>
        </w:tc>
      </w:tr>
      <w:tr w:rsidR="00807239" w:rsidRPr="00D166EA" w14:paraId="592B9DA4" w14:textId="77777777" w:rsidTr="002746CC">
        <w:trPr>
          <w:trHeight w:hRule="exact" w:val="340"/>
        </w:trPr>
        <w:tc>
          <w:tcPr>
            <w:tcW w:w="3580" w:type="dxa"/>
            <w:tcBorders>
              <w:top w:val="single" w:sz="6" w:space="0" w:color="000000"/>
              <w:left w:val="single" w:sz="6" w:space="0" w:color="000000"/>
              <w:bottom w:val="single" w:sz="6" w:space="0" w:color="000000"/>
              <w:right w:val="single" w:sz="6" w:space="0" w:color="000000"/>
            </w:tcBorders>
          </w:tcPr>
          <w:p w14:paraId="6C27AAA1" w14:textId="77777777" w:rsidR="00807239" w:rsidRPr="00D166EA" w:rsidRDefault="00807239" w:rsidP="00C949E4">
            <w:pPr>
              <w:spacing w:line="240" w:lineRule="exact"/>
              <w:ind w:left="555" w:right="-23"/>
              <w:rPr>
                <w:szCs w:val="22"/>
              </w:rPr>
            </w:pPr>
            <w:r w:rsidRPr="00D166EA">
              <w:rPr>
                <w:position w:val="-2"/>
                <w:szCs w:val="22"/>
              </w:rPr>
              <w:t>al</w:t>
            </w:r>
            <w:r w:rsidRPr="00D166EA">
              <w:rPr>
                <w:spacing w:val="1"/>
                <w:position w:val="-2"/>
                <w:szCs w:val="22"/>
              </w:rPr>
              <w:t>b</w:t>
            </w:r>
            <w:r w:rsidRPr="00D166EA">
              <w:rPr>
                <w:position w:val="-2"/>
                <w:szCs w:val="22"/>
              </w:rPr>
              <w:t>um</w:t>
            </w:r>
            <w:r w:rsidRPr="00D166EA">
              <w:rPr>
                <w:spacing w:val="1"/>
                <w:position w:val="-2"/>
                <w:szCs w:val="22"/>
              </w:rPr>
              <w:t>i</w:t>
            </w:r>
            <w:r w:rsidRPr="00D166EA">
              <w:rPr>
                <w:position w:val="-2"/>
                <w:szCs w:val="22"/>
              </w:rPr>
              <w:t>no</w:t>
            </w:r>
            <w:r w:rsidRPr="00D166EA">
              <w:rPr>
                <w:spacing w:val="22"/>
                <w:position w:val="-2"/>
                <w:szCs w:val="22"/>
              </w:rPr>
              <w:t xml:space="preserve"> </w:t>
            </w:r>
            <w:r w:rsidRPr="00D166EA">
              <w:rPr>
                <w:position w:val="-2"/>
                <w:szCs w:val="22"/>
              </w:rPr>
              <w:t>(</w:t>
            </w:r>
            <w:r w:rsidR="001B1725">
              <w:rPr>
                <w:spacing w:val="1"/>
                <w:position w:val="-2"/>
                <w:szCs w:val="22"/>
              </w:rPr>
              <w:t>≥</w:t>
            </w:r>
            <w:r w:rsidRPr="00D166EA">
              <w:rPr>
                <w:position w:val="-2"/>
                <w:szCs w:val="22"/>
              </w:rPr>
              <w:t>1</w:t>
            </w:r>
            <w:r w:rsidRPr="00D166EA">
              <w:rPr>
                <w:spacing w:val="11"/>
                <w:position w:val="-2"/>
                <w:szCs w:val="22"/>
              </w:rPr>
              <w:t xml:space="preserve"> </w:t>
            </w:r>
            <w:r w:rsidRPr="00D166EA">
              <w:rPr>
                <w:position w:val="-2"/>
                <w:szCs w:val="22"/>
              </w:rPr>
              <w:t>x</w:t>
            </w:r>
            <w:r w:rsidRPr="00D166EA">
              <w:rPr>
                <w:spacing w:val="7"/>
                <w:position w:val="-2"/>
                <w:szCs w:val="22"/>
              </w:rPr>
              <w:t xml:space="preserve"> </w:t>
            </w:r>
            <w:r w:rsidRPr="00D166EA">
              <w:rPr>
                <w:w w:val="103"/>
                <w:position w:val="-2"/>
                <w:szCs w:val="22"/>
              </w:rPr>
              <w:t>ANR)</w:t>
            </w:r>
            <w:r w:rsidRPr="00B606B7">
              <w:rPr>
                <w:position w:val="-2"/>
                <w:szCs w:val="22"/>
                <w:vertAlign w:val="superscript"/>
              </w:rPr>
              <w:t>b</w:t>
            </w:r>
          </w:p>
        </w:tc>
        <w:tc>
          <w:tcPr>
            <w:tcW w:w="1494" w:type="dxa"/>
            <w:gridSpan w:val="3"/>
            <w:tcBorders>
              <w:top w:val="single" w:sz="6" w:space="0" w:color="000000"/>
              <w:left w:val="single" w:sz="6" w:space="0" w:color="000000"/>
              <w:bottom w:val="single" w:sz="6" w:space="0" w:color="000000"/>
              <w:right w:val="single" w:sz="6" w:space="0" w:color="000000"/>
            </w:tcBorders>
          </w:tcPr>
          <w:p w14:paraId="48C9C3AC" w14:textId="77777777" w:rsidR="00807239" w:rsidRPr="00D166EA" w:rsidRDefault="00807239" w:rsidP="00C949E4">
            <w:pPr>
              <w:spacing w:line="240" w:lineRule="exact"/>
              <w:ind w:left="95" w:right="-23"/>
              <w:rPr>
                <w:szCs w:val="22"/>
              </w:rPr>
            </w:pPr>
            <w:r w:rsidRPr="00D166EA">
              <w:rPr>
                <w:spacing w:val="-1"/>
                <w:szCs w:val="22"/>
              </w:rPr>
              <w:t>2</w:t>
            </w:r>
            <w:r w:rsidRPr="00D166EA">
              <w:rPr>
                <w:szCs w:val="22"/>
              </w:rPr>
              <w:t>0</w:t>
            </w:r>
            <w:r w:rsidRPr="00D166EA">
              <w:rPr>
                <w:spacing w:val="1"/>
                <w:szCs w:val="22"/>
              </w:rPr>
              <w:t>/</w:t>
            </w:r>
            <w:r w:rsidRPr="00D166EA">
              <w:rPr>
                <w:szCs w:val="22"/>
              </w:rPr>
              <w:t>82</w:t>
            </w:r>
            <w:r w:rsidRPr="00D166EA">
              <w:rPr>
                <w:spacing w:val="15"/>
                <w:szCs w:val="22"/>
              </w:rPr>
              <w:t xml:space="preserve"> </w:t>
            </w:r>
            <w:r w:rsidRPr="00D166EA">
              <w:rPr>
                <w:w w:val="103"/>
                <w:szCs w:val="22"/>
              </w:rPr>
              <w:t>(2</w:t>
            </w:r>
            <w:r w:rsidRPr="00D166EA">
              <w:rPr>
                <w:spacing w:val="1"/>
                <w:w w:val="103"/>
                <w:szCs w:val="22"/>
              </w:rPr>
              <w:t>4</w:t>
            </w:r>
            <w:r w:rsidR="00C90F09">
              <w:rPr>
                <w:spacing w:val="1"/>
                <w:w w:val="103"/>
                <w:szCs w:val="22"/>
              </w:rPr>
              <w:t> </w:t>
            </w:r>
            <w:r w:rsidRPr="00D166EA">
              <w:rPr>
                <w:w w:val="103"/>
                <w:szCs w:val="22"/>
              </w:rPr>
              <w:t>%)</w:t>
            </w:r>
          </w:p>
        </w:tc>
        <w:tc>
          <w:tcPr>
            <w:tcW w:w="1334" w:type="dxa"/>
            <w:gridSpan w:val="2"/>
            <w:tcBorders>
              <w:top w:val="single" w:sz="6" w:space="0" w:color="000000"/>
              <w:left w:val="single" w:sz="6" w:space="0" w:color="000000"/>
              <w:bottom w:val="single" w:sz="6" w:space="0" w:color="000000"/>
              <w:right w:val="single" w:sz="6" w:space="0" w:color="000000"/>
            </w:tcBorders>
          </w:tcPr>
          <w:p w14:paraId="7F646796" w14:textId="77777777" w:rsidR="00807239" w:rsidRPr="00D166EA" w:rsidRDefault="00807239" w:rsidP="00C949E4">
            <w:pPr>
              <w:spacing w:line="240" w:lineRule="exact"/>
              <w:ind w:left="82" w:right="-23"/>
              <w:rPr>
                <w:szCs w:val="22"/>
              </w:rPr>
            </w:pPr>
            <w:r w:rsidRPr="00D166EA">
              <w:rPr>
                <w:szCs w:val="22"/>
              </w:rPr>
              <w:t>1</w:t>
            </w:r>
            <w:r w:rsidRPr="00D166EA">
              <w:rPr>
                <w:spacing w:val="-1"/>
                <w:szCs w:val="22"/>
              </w:rPr>
              <w:t>4</w:t>
            </w:r>
            <w:r w:rsidRPr="00D166EA">
              <w:rPr>
                <w:spacing w:val="1"/>
                <w:szCs w:val="22"/>
              </w:rPr>
              <w:t>/6</w:t>
            </w:r>
            <w:r w:rsidRPr="00D166EA">
              <w:rPr>
                <w:szCs w:val="22"/>
              </w:rPr>
              <w:t>9</w:t>
            </w:r>
            <w:r w:rsidRPr="00D166EA">
              <w:rPr>
                <w:spacing w:val="16"/>
                <w:szCs w:val="22"/>
              </w:rPr>
              <w:t xml:space="preserve"> </w:t>
            </w:r>
            <w:r w:rsidRPr="00D166EA">
              <w:rPr>
                <w:w w:val="103"/>
                <w:szCs w:val="22"/>
              </w:rPr>
              <w:t>(</w:t>
            </w:r>
            <w:r w:rsidRPr="00D166EA">
              <w:rPr>
                <w:spacing w:val="1"/>
                <w:w w:val="103"/>
                <w:szCs w:val="22"/>
              </w:rPr>
              <w:t>2</w:t>
            </w:r>
            <w:r w:rsidRPr="00D166EA">
              <w:rPr>
                <w:w w:val="103"/>
                <w:szCs w:val="22"/>
              </w:rPr>
              <w:t>0</w:t>
            </w:r>
            <w:r w:rsidR="00C90F09">
              <w:rPr>
                <w:w w:val="103"/>
                <w:szCs w:val="22"/>
              </w:rPr>
              <w:t> </w:t>
            </w:r>
            <w:r w:rsidRPr="00D166EA">
              <w:rPr>
                <w:w w:val="103"/>
                <w:szCs w:val="22"/>
              </w:rPr>
              <w:t>%)</w:t>
            </w:r>
          </w:p>
        </w:tc>
        <w:tc>
          <w:tcPr>
            <w:tcW w:w="1407" w:type="dxa"/>
            <w:gridSpan w:val="2"/>
            <w:tcBorders>
              <w:top w:val="single" w:sz="6" w:space="0" w:color="000000"/>
              <w:left w:val="single" w:sz="6" w:space="0" w:color="000000"/>
              <w:bottom w:val="single" w:sz="6" w:space="0" w:color="000000"/>
              <w:right w:val="single" w:sz="6" w:space="0" w:color="000000"/>
            </w:tcBorders>
          </w:tcPr>
          <w:p w14:paraId="49E6D7FB" w14:textId="77777777" w:rsidR="00807239" w:rsidRPr="00D166EA" w:rsidRDefault="00807239" w:rsidP="00C949E4">
            <w:pPr>
              <w:spacing w:line="240" w:lineRule="exact"/>
              <w:ind w:left="94" w:right="-23"/>
              <w:rPr>
                <w:szCs w:val="22"/>
              </w:rPr>
            </w:pPr>
            <w:r w:rsidRPr="00D166EA">
              <w:rPr>
                <w:szCs w:val="22"/>
              </w:rPr>
              <w:t>32/</w:t>
            </w:r>
            <w:r w:rsidRPr="00D166EA">
              <w:rPr>
                <w:spacing w:val="1"/>
                <w:szCs w:val="22"/>
              </w:rPr>
              <w:t>8</w:t>
            </w:r>
            <w:r w:rsidRPr="00D166EA">
              <w:rPr>
                <w:szCs w:val="22"/>
              </w:rPr>
              <w:t>2</w:t>
            </w:r>
            <w:r w:rsidRPr="00D166EA">
              <w:rPr>
                <w:spacing w:val="15"/>
                <w:szCs w:val="22"/>
              </w:rPr>
              <w:t xml:space="preserve"> </w:t>
            </w:r>
            <w:r w:rsidRPr="00D166EA">
              <w:rPr>
                <w:w w:val="103"/>
                <w:szCs w:val="22"/>
              </w:rPr>
              <w:t>(</w:t>
            </w:r>
            <w:r w:rsidRPr="00D166EA">
              <w:rPr>
                <w:spacing w:val="1"/>
                <w:w w:val="103"/>
                <w:szCs w:val="22"/>
              </w:rPr>
              <w:t>3</w:t>
            </w:r>
            <w:r w:rsidRPr="00D166EA">
              <w:rPr>
                <w:w w:val="103"/>
                <w:szCs w:val="22"/>
              </w:rPr>
              <w:t>9</w:t>
            </w:r>
            <w:r w:rsidR="00C90F09">
              <w:rPr>
                <w:w w:val="103"/>
                <w:szCs w:val="22"/>
              </w:rPr>
              <w:t> </w:t>
            </w:r>
            <w:r w:rsidRPr="00D166EA">
              <w:rPr>
                <w:w w:val="103"/>
                <w:szCs w:val="22"/>
              </w:rPr>
              <w:t>%)</w:t>
            </w:r>
          </w:p>
        </w:tc>
        <w:tc>
          <w:tcPr>
            <w:tcW w:w="1473" w:type="dxa"/>
            <w:tcBorders>
              <w:top w:val="single" w:sz="6" w:space="0" w:color="000000"/>
              <w:left w:val="single" w:sz="6" w:space="0" w:color="000000"/>
              <w:bottom w:val="single" w:sz="6" w:space="0" w:color="000000"/>
              <w:right w:val="single" w:sz="6" w:space="0" w:color="000000"/>
            </w:tcBorders>
          </w:tcPr>
          <w:p w14:paraId="37F8A701" w14:textId="77777777" w:rsidR="00807239" w:rsidRPr="00D166EA" w:rsidRDefault="00807239" w:rsidP="00C949E4">
            <w:pPr>
              <w:spacing w:line="240" w:lineRule="exact"/>
              <w:ind w:left="54" w:right="-23"/>
              <w:rPr>
                <w:szCs w:val="22"/>
              </w:rPr>
            </w:pPr>
            <w:r w:rsidRPr="00D166EA">
              <w:rPr>
                <w:szCs w:val="22"/>
              </w:rPr>
              <w:t>2</w:t>
            </w:r>
            <w:r w:rsidRPr="00D166EA">
              <w:rPr>
                <w:spacing w:val="-1"/>
                <w:szCs w:val="22"/>
              </w:rPr>
              <w:t>0</w:t>
            </w:r>
            <w:r w:rsidRPr="00D166EA">
              <w:rPr>
                <w:spacing w:val="1"/>
                <w:szCs w:val="22"/>
              </w:rPr>
              <w:t>/6</w:t>
            </w:r>
            <w:r w:rsidRPr="00D166EA">
              <w:rPr>
                <w:szCs w:val="22"/>
              </w:rPr>
              <w:t>9</w:t>
            </w:r>
            <w:r w:rsidRPr="00D166EA">
              <w:rPr>
                <w:spacing w:val="16"/>
                <w:szCs w:val="22"/>
              </w:rPr>
              <w:t xml:space="preserve"> </w:t>
            </w:r>
            <w:r w:rsidRPr="00D166EA">
              <w:rPr>
                <w:w w:val="103"/>
                <w:szCs w:val="22"/>
              </w:rPr>
              <w:t>(</w:t>
            </w:r>
            <w:r w:rsidRPr="00D166EA">
              <w:rPr>
                <w:spacing w:val="1"/>
                <w:w w:val="103"/>
                <w:szCs w:val="22"/>
              </w:rPr>
              <w:t>2</w:t>
            </w:r>
            <w:r w:rsidRPr="00D166EA">
              <w:rPr>
                <w:w w:val="103"/>
                <w:szCs w:val="22"/>
              </w:rPr>
              <w:t>9</w:t>
            </w:r>
            <w:r w:rsidR="00C90F09">
              <w:rPr>
                <w:w w:val="103"/>
                <w:szCs w:val="22"/>
              </w:rPr>
              <w:t> </w:t>
            </w:r>
            <w:r w:rsidRPr="00D166EA">
              <w:rPr>
                <w:w w:val="103"/>
                <w:szCs w:val="22"/>
              </w:rPr>
              <w:t>%)</w:t>
            </w:r>
          </w:p>
        </w:tc>
      </w:tr>
      <w:tr w:rsidR="00807239" w:rsidRPr="00D166EA" w14:paraId="3889245E" w14:textId="77777777" w:rsidTr="002746CC">
        <w:trPr>
          <w:trHeight w:hRule="exact" w:val="340"/>
        </w:trPr>
        <w:tc>
          <w:tcPr>
            <w:tcW w:w="3580" w:type="dxa"/>
            <w:tcBorders>
              <w:top w:val="single" w:sz="6" w:space="0" w:color="000000"/>
              <w:left w:val="single" w:sz="6" w:space="0" w:color="000000"/>
              <w:bottom w:val="single" w:sz="6" w:space="0" w:color="000000"/>
              <w:right w:val="single" w:sz="6" w:space="0" w:color="000000"/>
            </w:tcBorders>
          </w:tcPr>
          <w:p w14:paraId="794B72F8" w14:textId="77777777" w:rsidR="00807239" w:rsidRPr="00D166EA" w:rsidRDefault="00807239" w:rsidP="00C949E4">
            <w:pPr>
              <w:spacing w:line="240" w:lineRule="exact"/>
              <w:ind w:left="555" w:right="-23"/>
              <w:rPr>
                <w:szCs w:val="22"/>
              </w:rPr>
            </w:pPr>
            <w:r w:rsidRPr="00D166EA">
              <w:rPr>
                <w:position w:val="-2"/>
                <w:szCs w:val="22"/>
              </w:rPr>
              <w:t>bilirubino</w:t>
            </w:r>
            <w:r w:rsidRPr="00D166EA">
              <w:rPr>
                <w:spacing w:val="24"/>
                <w:position w:val="-2"/>
                <w:szCs w:val="22"/>
              </w:rPr>
              <w:t xml:space="preserve"> </w:t>
            </w:r>
            <w:r w:rsidRPr="00D166EA">
              <w:rPr>
                <w:spacing w:val="2"/>
                <w:position w:val="-2"/>
                <w:szCs w:val="22"/>
              </w:rPr>
              <w:t>(</w:t>
            </w:r>
            <w:r w:rsidR="00784367">
              <w:rPr>
                <w:spacing w:val="-1"/>
                <w:position w:val="-2"/>
                <w:szCs w:val="22"/>
              </w:rPr>
              <w:t>≤</w:t>
            </w:r>
            <w:r w:rsidR="00D73E05">
              <w:rPr>
                <w:spacing w:val="-1"/>
                <w:position w:val="-2"/>
                <w:szCs w:val="22"/>
              </w:rPr>
              <w:t> </w:t>
            </w:r>
            <w:r w:rsidRPr="00D166EA">
              <w:rPr>
                <w:position w:val="-2"/>
                <w:szCs w:val="22"/>
              </w:rPr>
              <w:t>1</w:t>
            </w:r>
            <w:r w:rsidRPr="00D166EA">
              <w:rPr>
                <w:spacing w:val="11"/>
                <w:position w:val="-2"/>
                <w:szCs w:val="22"/>
              </w:rPr>
              <w:t xml:space="preserve"> </w:t>
            </w:r>
            <w:r w:rsidRPr="00D166EA">
              <w:rPr>
                <w:position w:val="-2"/>
                <w:szCs w:val="22"/>
              </w:rPr>
              <w:t>x</w:t>
            </w:r>
            <w:r w:rsidRPr="00D166EA">
              <w:rPr>
                <w:spacing w:val="5"/>
                <w:position w:val="-2"/>
                <w:szCs w:val="22"/>
              </w:rPr>
              <w:t xml:space="preserve"> </w:t>
            </w:r>
            <w:r w:rsidRPr="00D166EA">
              <w:rPr>
                <w:spacing w:val="-1"/>
                <w:w w:val="103"/>
                <w:position w:val="-2"/>
                <w:szCs w:val="22"/>
              </w:rPr>
              <w:t>VNR</w:t>
            </w:r>
            <w:r w:rsidRPr="00D166EA">
              <w:rPr>
                <w:w w:val="103"/>
                <w:position w:val="-2"/>
                <w:szCs w:val="22"/>
              </w:rPr>
              <w:t>)</w:t>
            </w:r>
            <w:r w:rsidRPr="00B606B7">
              <w:rPr>
                <w:position w:val="-2"/>
                <w:szCs w:val="22"/>
                <w:vertAlign w:val="superscript"/>
              </w:rPr>
              <w:t>b</w:t>
            </w:r>
          </w:p>
        </w:tc>
        <w:tc>
          <w:tcPr>
            <w:tcW w:w="1494" w:type="dxa"/>
            <w:gridSpan w:val="3"/>
            <w:tcBorders>
              <w:top w:val="single" w:sz="6" w:space="0" w:color="000000"/>
              <w:left w:val="single" w:sz="6" w:space="0" w:color="000000"/>
              <w:bottom w:val="single" w:sz="6" w:space="0" w:color="000000"/>
              <w:right w:val="single" w:sz="6" w:space="0" w:color="000000"/>
            </w:tcBorders>
          </w:tcPr>
          <w:p w14:paraId="5E867E7E" w14:textId="77777777" w:rsidR="00807239" w:rsidRPr="00D166EA" w:rsidRDefault="00807239" w:rsidP="00C949E4">
            <w:pPr>
              <w:spacing w:line="240" w:lineRule="exact"/>
              <w:ind w:left="95" w:right="-23"/>
              <w:rPr>
                <w:szCs w:val="22"/>
              </w:rPr>
            </w:pPr>
            <w:r w:rsidRPr="00D166EA">
              <w:rPr>
                <w:spacing w:val="-1"/>
                <w:szCs w:val="22"/>
              </w:rPr>
              <w:t>1</w:t>
            </w:r>
            <w:r w:rsidRPr="00D166EA">
              <w:rPr>
                <w:szCs w:val="22"/>
              </w:rPr>
              <w:t>2</w:t>
            </w:r>
            <w:r w:rsidRPr="00D166EA">
              <w:rPr>
                <w:spacing w:val="1"/>
                <w:szCs w:val="22"/>
              </w:rPr>
              <w:t>/</w:t>
            </w:r>
            <w:r w:rsidRPr="00D166EA">
              <w:rPr>
                <w:szCs w:val="22"/>
              </w:rPr>
              <w:t>75</w:t>
            </w:r>
            <w:r w:rsidRPr="00D166EA">
              <w:rPr>
                <w:spacing w:val="15"/>
                <w:szCs w:val="22"/>
              </w:rPr>
              <w:t xml:space="preserve"> </w:t>
            </w:r>
            <w:r w:rsidRPr="00D166EA">
              <w:rPr>
                <w:w w:val="103"/>
                <w:szCs w:val="22"/>
              </w:rPr>
              <w:t>(1</w:t>
            </w:r>
            <w:r w:rsidRPr="00D166EA">
              <w:rPr>
                <w:spacing w:val="1"/>
                <w:w w:val="103"/>
                <w:szCs w:val="22"/>
              </w:rPr>
              <w:t>6</w:t>
            </w:r>
            <w:r w:rsidR="00C90F09">
              <w:rPr>
                <w:spacing w:val="1"/>
                <w:w w:val="103"/>
                <w:szCs w:val="22"/>
              </w:rPr>
              <w:t> </w:t>
            </w:r>
            <w:r w:rsidRPr="00D166EA">
              <w:rPr>
                <w:w w:val="103"/>
                <w:szCs w:val="22"/>
              </w:rPr>
              <w:t>%)</w:t>
            </w:r>
          </w:p>
        </w:tc>
        <w:tc>
          <w:tcPr>
            <w:tcW w:w="1334" w:type="dxa"/>
            <w:gridSpan w:val="2"/>
            <w:tcBorders>
              <w:top w:val="single" w:sz="6" w:space="0" w:color="000000"/>
              <w:left w:val="single" w:sz="6" w:space="0" w:color="000000"/>
              <w:bottom w:val="single" w:sz="6" w:space="0" w:color="000000"/>
              <w:right w:val="single" w:sz="6" w:space="0" w:color="000000"/>
            </w:tcBorders>
          </w:tcPr>
          <w:p w14:paraId="68AF7EEA" w14:textId="77777777" w:rsidR="00807239" w:rsidRPr="00D166EA" w:rsidRDefault="00807239" w:rsidP="00C949E4">
            <w:pPr>
              <w:spacing w:line="240" w:lineRule="exact"/>
              <w:ind w:left="82" w:right="-23"/>
              <w:rPr>
                <w:szCs w:val="22"/>
              </w:rPr>
            </w:pPr>
            <w:r w:rsidRPr="00D166EA">
              <w:rPr>
                <w:szCs w:val="22"/>
              </w:rPr>
              <w:t>1</w:t>
            </w:r>
            <w:r w:rsidRPr="00D166EA">
              <w:rPr>
                <w:spacing w:val="-1"/>
                <w:szCs w:val="22"/>
              </w:rPr>
              <w:t>0</w:t>
            </w:r>
            <w:r w:rsidRPr="00D166EA">
              <w:rPr>
                <w:spacing w:val="1"/>
                <w:szCs w:val="22"/>
              </w:rPr>
              <w:t>/6</w:t>
            </w:r>
            <w:r w:rsidRPr="00D166EA">
              <w:rPr>
                <w:szCs w:val="22"/>
              </w:rPr>
              <w:t>5</w:t>
            </w:r>
            <w:r w:rsidRPr="00D166EA">
              <w:rPr>
                <w:spacing w:val="16"/>
                <w:szCs w:val="22"/>
              </w:rPr>
              <w:t xml:space="preserve"> </w:t>
            </w:r>
            <w:r w:rsidRPr="00D166EA">
              <w:rPr>
                <w:w w:val="103"/>
                <w:szCs w:val="22"/>
              </w:rPr>
              <w:t>(</w:t>
            </w:r>
            <w:r w:rsidRPr="00D166EA">
              <w:rPr>
                <w:spacing w:val="1"/>
                <w:w w:val="103"/>
                <w:szCs w:val="22"/>
              </w:rPr>
              <w:t>1</w:t>
            </w:r>
            <w:r w:rsidRPr="00D166EA">
              <w:rPr>
                <w:w w:val="103"/>
                <w:szCs w:val="22"/>
              </w:rPr>
              <w:t>5</w:t>
            </w:r>
            <w:r w:rsidR="00C90F09">
              <w:rPr>
                <w:w w:val="103"/>
                <w:szCs w:val="22"/>
              </w:rPr>
              <w:t> </w:t>
            </w:r>
            <w:r w:rsidRPr="00D166EA">
              <w:rPr>
                <w:w w:val="103"/>
                <w:szCs w:val="22"/>
              </w:rPr>
              <w:t>%)</w:t>
            </w:r>
          </w:p>
        </w:tc>
        <w:tc>
          <w:tcPr>
            <w:tcW w:w="1407" w:type="dxa"/>
            <w:gridSpan w:val="2"/>
            <w:tcBorders>
              <w:top w:val="single" w:sz="6" w:space="0" w:color="000000"/>
              <w:left w:val="single" w:sz="6" w:space="0" w:color="000000"/>
              <w:bottom w:val="single" w:sz="6" w:space="0" w:color="000000"/>
              <w:right w:val="single" w:sz="6" w:space="0" w:color="000000"/>
            </w:tcBorders>
          </w:tcPr>
          <w:p w14:paraId="2FA4BA5D" w14:textId="77777777" w:rsidR="00807239" w:rsidRPr="00D166EA" w:rsidRDefault="00807239" w:rsidP="00C949E4">
            <w:pPr>
              <w:spacing w:line="240" w:lineRule="exact"/>
              <w:ind w:left="94" w:right="-23"/>
              <w:rPr>
                <w:szCs w:val="22"/>
              </w:rPr>
            </w:pPr>
            <w:r w:rsidRPr="00D166EA">
              <w:rPr>
                <w:szCs w:val="22"/>
              </w:rPr>
              <w:t>15/</w:t>
            </w:r>
            <w:r w:rsidRPr="00D166EA">
              <w:rPr>
                <w:spacing w:val="1"/>
                <w:szCs w:val="22"/>
              </w:rPr>
              <w:t>7</w:t>
            </w:r>
            <w:r w:rsidRPr="00D166EA">
              <w:rPr>
                <w:szCs w:val="22"/>
              </w:rPr>
              <w:t>5</w:t>
            </w:r>
            <w:r w:rsidRPr="00D166EA">
              <w:rPr>
                <w:spacing w:val="15"/>
                <w:szCs w:val="22"/>
              </w:rPr>
              <w:t xml:space="preserve"> </w:t>
            </w:r>
            <w:r w:rsidRPr="00D166EA">
              <w:rPr>
                <w:w w:val="103"/>
                <w:szCs w:val="22"/>
              </w:rPr>
              <w:t>(</w:t>
            </w:r>
            <w:r w:rsidRPr="00D166EA">
              <w:rPr>
                <w:spacing w:val="1"/>
                <w:w w:val="103"/>
                <w:szCs w:val="22"/>
              </w:rPr>
              <w:t>2</w:t>
            </w:r>
            <w:r w:rsidRPr="00D166EA">
              <w:rPr>
                <w:w w:val="103"/>
                <w:szCs w:val="22"/>
              </w:rPr>
              <w:t>0</w:t>
            </w:r>
            <w:r w:rsidR="00C90F09">
              <w:rPr>
                <w:w w:val="103"/>
                <w:szCs w:val="22"/>
              </w:rPr>
              <w:t> </w:t>
            </w:r>
            <w:r w:rsidRPr="00D166EA">
              <w:rPr>
                <w:w w:val="103"/>
                <w:szCs w:val="22"/>
              </w:rPr>
              <w:t>%)</w:t>
            </w:r>
          </w:p>
        </w:tc>
        <w:tc>
          <w:tcPr>
            <w:tcW w:w="1473" w:type="dxa"/>
            <w:tcBorders>
              <w:top w:val="single" w:sz="6" w:space="0" w:color="000000"/>
              <w:left w:val="single" w:sz="6" w:space="0" w:color="000000"/>
              <w:bottom w:val="single" w:sz="6" w:space="0" w:color="000000"/>
              <w:right w:val="single" w:sz="6" w:space="0" w:color="000000"/>
            </w:tcBorders>
          </w:tcPr>
          <w:p w14:paraId="5D8E5614" w14:textId="77777777" w:rsidR="00807239" w:rsidRPr="00D166EA" w:rsidRDefault="00807239" w:rsidP="00C949E4">
            <w:pPr>
              <w:spacing w:line="240" w:lineRule="exact"/>
              <w:ind w:left="54" w:right="-23"/>
              <w:rPr>
                <w:szCs w:val="22"/>
              </w:rPr>
            </w:pPr>
            <w:r w:rsidRPr="00D166EA">
              <w:rPr>
                <w:szCs w:val="22"/>
              </w:rPr>
              <w:t>1</w:t>
            </w:r>
            <w:r w:rsidRPr="00D166EA">
              <w:rPr>
                <w:spacing w:val="-1"/>
                <w:szCs w:val="22"/>
              </w:rPr>
              <w:t>8</w:t>
            </w:r>
            <w:r w:rsidRPr="00D166EA">
              <w:rPr>
                <w:spacing w:val="1"/>
                <w:szCs w:val="22"/>
              </w:rPr>
              <w:t>/6</w:t>
            </w:r>
            <w:r w:rsidRPr="00D166EA">
              <w:rPr>
                <w:szCs w:val="22"/>
              </w:rPr>
              <w:t>5</w:t>
            </w:r>
            <w:r w:rsidRPr="00D166EA">
              <w:rPr>
                <w:spacing w:val="16"/>
                <w:szCs w:val="22"/>
              </w:rPr>
              <w:t xml:space="preserve"> </w:t>
            </w:r>
            <w:r w:rsidRPr="00D166EA">
              <w:rPr>
                <w:w w:val="103"/>
                <w:szCs w:val="22"/>
              </w:rPr>
              <w:t>(</w:t>
            </w:r>
            <w:r w:rsidRPr="00D166EA">
              <w:rPr>
                <w:spacing w:val="1"/>
                <w:w w:val="103"/>
                <w:szCs w:val="22"/>
              </w:rPr>
              <w:t>2</w:t>
            </w:r>
            <w:r w:rsidRPr="00D166EA">
              <w:rPr>
                <w:w w:val="103"/>
                <w:szCs w:val="22"/>
              </w:rPr>
              <w:t>8</w:t>
            </w:r>
            <w:r w:rsidR="00C90F09">
              <w:rPr>
                <w:w w:val="103"/>
                <w:szCs w:val="22"/>
              </w:rPr>
              <w:t> </w:t>
            </w:r>
            <w:r w:rsidRPr="00D166EA">
              <w:rPr>
                <w:w w:val="103"/>
                <w:szCs w:val="22"/>
              </w:rPr>
              <w:t>%)</w:t>
            </w:r>
          </w:p>
        </w:tc>
      </w:tr>
      <w:tr w:rsidR="00807239" w:rsidRPr="00D166EA" w14:paraId="5571EA1E" w14:textId="77777777" w:rsidTr="002746CC">
        <w:trPr>
          <w:trHeight w:hRule="exact" w:val="573"/>
        </w:trPr>
        <w:tc>
          <w:tcPr>
            <w:tcW w:w="3580" w:type="dxa"/>
            <w:tcBorders>
              <w:top w:val="single" w:sz="6" w:space="0" w:color="000000"/>
              <w:left w:val="single" w:sz="6" w:space="0" w:color="000000"/>
              <w:bottom w:val="single" w:sz="6" w:space="0" w:color="000000"/>
              <w:right w:val="single" w:sz="6" w:space="0" w:color="000000"/>
            </w:tcBorders>
          </w:tcPr>
          <w:p w14:paraId="00450198" w14:textId="77777777" w:rsidR="00807239" w:rsidRPr="00D166EA" w:rsidRDefault="00807239" w:rsidP="00D73E05">
            <w:pPr>
              <w:spacing w:line="240" w:lineRule="exact"/>
              <w:ind w:left="555" w:right="-23"/>
              <w:rPr>
                <w:szCs w:val="22"/>
              </w:rPr>
            </w:pPr>
            <w:r w:rsidRPr="00D166EA">
              <w:rPr>
                <w:position w:val="-2"/>
                <w:szCs w:val="22"/>
              </w:rPr>
              <w:t>Protrombino laiko</w:t>
            </w:r>
            <w:r w:rsidRPr="00D166EA">
              <w:rPr>
                <w:spacing w:val="14"/>
                <w:position w:val="-2"/>
                <w:szCs w:val="22"/>
              </w:rPr>
              <w:t xml:space="preserve"> </w:t>
            </w:r>
            <w:r w:rsidRPr="00D166EA">
              <w:rPr>
                <w:position w:val="-2"/>
                <w:szCs w:val="22"/>
              </w:rPr>
              <w:t>(</w:t>
            </w:r>
            <w:r w:rsidR="00784367">
              <w:rPr>
                <w:spacing w:val="1"/>
                <w:position w:val="-2"/>
                <w:szCs w:val="22"/>
              </w:rPr>
              <w:t>≤</w:t>
            </w:r>
            <w:r w:rsidR="00D73E05">
              <w:rPr>
                <w:spacing w:val="1"/>
                <w:position w:val="-2"/>
                <w:szCs w:val="22"/>
              </w:rPr>
              <w:t> </w:t>
            </w:r>
            <w:r w:rsidRPr="00D166EA">
              <w:rPr>
                <w:position w:val="-2"/>
                <w:szCs w:val="22"/>
              </w:rPr>
              <w:t>1</w:t>
            </w:r>
            <w:r w:rsidRPr="00D166EA">
              <w:rPr>
                <w:spacing w:val="9"/>
                <w:position w:val="-2"/>
                <w:szCs w:val="22"/>
              </w:rPr>
              <w:t xml:space="preserve"> </w:t>
            </w:r>
            <w:r w:rsidR="00D73E05">
              <w:rPr>
                <w:spacing w:val="9"/>
                <w:position w:val="-2"/>
                <w:szCs w:val="22"/>
              </w:rPr>
              <w:t>x</w:t>
            </w:r>
            <w:r w:rsidRPr="00D166EA">
              <w:rPr>
                <w:spacing w:val="5"/>
                <w:position w:val="-2"/>
                <w:szCs w:val="22"/>
              </w:rPr>
              <w:t xml:space="preserve"> </w:t>
            </w:r>
            <w:r w:rsidRPr="00D166EA">
              <w:rPr>
                <w:spacing w:val="2"/>
                <w:w w:val="103"/>
                <w:position w:val="-2"/>
                <w:szCs w:val="22"/>
              </w:rPr>
              <w:t>U</w:t>
            </w:r>
            <w:r w:rsidRPr="00D166EA">
              <w:rPr>
                <w:w w:val="103"/>
                <w:position w:val="-2"/>
                <w:szCs w:val="22"/>
              </w:rPr>
              <w:t>LN</w:t>
            </w:r>
            <w:r w:rsidRPr="00D166EA">
              <w:rPr>
                <w:spacing w:val="1"/>
                <w:w w:val="103"/>
                <w:position w:val="-2"/>
                <w:szCs w:val="22"/>
              </w:rPr>
              <w:t>)</w:t>
            </w:r>
            <w:r w:rsidRPr="00B606B7">
              <w:rPr>
                <w:position w:val="-2"/>
                <w:szCs w:val="22"/>
                <w:vertAlign w:val="superscript"/>
              </w:rPr>
              <w:t>b</w:t>
            </w:r>
          </w:p>
        </w:tc>
        <w:tc>
          <w:tcPr>
            <w:tcW w:w="1494" w:type="dxa"/>
            <w:gridSpan w:val="3"/>
            <w:tcBorders>
              <w:top w:val="single" w:sz="6" w:space="0" w:color="000000"/>
              <w:left w:val="single" w:sz="6" w:space="0" w:color="000000"/>
              <w:bottom w:val="single" w:sz="6" w:space="0" w:color="000000"/>
              <w:right w:val="single" w:sz="6" w:space="0" w:color="000000"/>
            </w:tcBorders>
          </w:tcPr>
          <w:p w14:paraId="725AD6B8" w14:textId="77777777" w:rsidR="00807239" w:rsidRPr="00D166EA" w:rsidRDefault="00807239" w:rsidP="00C949E4">
            <w:pPr>
              <w:spacing w:line="240" w:lineRule="exact"/>
              <w:ind w:left="198" w:right="-23"/>
              <w:rPr>
                <w:szCs w:val="22"/>
              </w:rPr>
            </w:pPr>
            <w:r w:rsidRPr="00D166EA">
              <w:rPr>
                <w:szCs w:val="22"/>
              </w:rPr>
              <w:t>9/95</w:t>
            </w:r>
            <w:r w:rsidRPr="00D166EA">
              <w:rPr>
                <w:spacing w:val="13"/>
                <w:szCs w:val="22"/>
              </w:rPr>
              <w:t xml:space="preserve"> </w:t>
            </w:r>
            <w:r w:rsidRPr="00D166EA">
              <w:rPr>
                <w:w w:val="103"/>
                <w:szCs w:val="22"/>
              </w:rPr>
              <w:t>(9</w:t>
            </w:r>
            <w:r w:rsidR="00C90F09">
              <w:rPr>
                <w:w w:val="103"/>
                <w:szCs w:val="22"/>
              </w:rPr>
              <w:t> </w:t>
            </w:r>
            <w:r w:rsidRPr="00D166EA">
              <w:rPr>
                <w:w w:val="103"/>
                <w:szCs w:val="22"/>
              </w:rPr>
              <w:t>%)</w:t>
            </w:r>
          </w:p>
        </w:tc>
        <w:tc>
          <w:tcPr>
            <w:tcW w:w="1334" w:type="dxa"/>
            <w:gridSpan w:val="2"/>
            <w:tcBorders>
              <w:top w:val="single" w:sz="6" w:space="0" w:color="000000"/>
              <w:left w:val="single" w:sz="6" w:space="0" w:color="000000"/>
              <w:bottom w:val="single" w:sz="6" w:space="0" w:color="000000"/>
              <w:right w:val="single" w:sz="6" w:space="0" w:color="000000"/>
            </w:tcBorders>
          </w:tcPr>
          <w:p w14:paraId="21EC3B05" w14:textId="77777777" w:rsidR="00807239" w:rsidRPr="00D166EA" w:rsidRDefault="00807239" w:rsidP="00C949E4">
            <w:pPr>
              <w:spacing w:line="240" w:lineRule="exact"/>
              <w:ind w:left="187" w:right="-23"/>
              <w:rPr>
                <w:szCs w:val="22"/>
              </w:rPr>
            </w:pPr>
            <w:r w:rsidRPr="00D166EA">
              <w:rPr>
                <w:spacing w:val="-1"/>
                <w:szCs w:val="22"/>
              </w:rPr>
              <w:t>6</w:t>
            </w:r>
            <w:r w:rsidRPr="00D166EA">
              <w:rPr>
                <w:szCs w:val="22"/>
              </w:rPr>
              <w:t>/</w:t>
            </w:r>
            <w:r w:rsidRPr="00D166EA">
              <w:rPr>
                <w:spacing w:val="1"/>
                <w:szCs w:val="22"/>
              </w:rPr>
              <w:t>8</w:t>
            </w:r>
            <w:r w:rsidRPr="00D166EA">
              <w:rPr>
                <w:szCs w:val="22"/>
              </w:rPr>
              <w:t>2</w:t>
            </w:r>
            <w:r w:rsidRPr="00D166EA">
              <w:rPr>
                <w:spacing w:val="13"/>
                <w:szCs w:val="22"/>
              </w:rPr>
              <w:t xml:space="preserve"> </w:t>
            </w:r>
            <w:r w:rsidRPr="00D166EA">
              <w:rPr>
                <w:w w:val="103"/>
                <w:szCs w:val="22"/>
              </w:rPr>
              <w:t>(</w:t>
            </w:r>
            <w:r w:rsidRPr="00D166EA">
              <w:rPr>
                <w:spacing w:val="1"/>
                <w:w w:val="103"/>
                <w:szCs w:val="22"/>
              </w:rPr>
              <w:t>7</w:t>
            </w:r>
            <w:r w:rsidR="00C90F09">
              <w:rPr>
                <w:spacing w:val="1"/>
                <w:w w:val="103"/>
                <w:szCs w:val="22"/>
              </w:rPr>
              <w:t> </w:t>
            </w:r>
            <w:r w:rsidRPr="00D166EA">
              <w:rPr>
                <w:w w:val="103"/>
                <w:szCs w:val="22"/>
              </w:rPr>
              <w:t>%)</w:t>
            </w:r>
          </w:p>
        </w:tc>
        <w:tc>
          <w:tcPr>
            <w:tcW w:w="1407" w:type="dxa"/>
            <w:gridSpan w:val="2"/>
            <w:tcBorders>
              <w:top w:val="single" w:sz="6" w:space="0" w:color="000000"/>
              <w:left w:val="single" w:sz="6" w:space="0" w:color="000000"/>
              <w:bottom w:val="single" w:sz="6" w:space="0" w:color="000000"/>
              <w:right w:val="single" w:sz="6" w:space="0" w:color="000000"/>
            </w:tcBorders>
          </w:tcPr>
          <w:p w14:paraId="7EA0FF83" w14:textId="77777777" w:rsidR="00807239" w:rsidRPr="00D166EA" w:rsidRDefault="00807239" w:rsidP="00C949E4">
            <w:pPr>
              <w:spacing w:line="240" w:lineRule="exact"/>
              <w:ind w:left="199" w:right="-23"/>
              <w:rPr>
                <w:szCs w:val="22"/>
              </w:rPr>
            </w:pPr>
            <w:r w:rsidRPr="00D166EA">
              <w:rPr>
                <w:szCs w:val="22"/>
              </w:rPr>
              <w:t>8/95</w:t>
            </w:r>
            <w:r w:rsidRPr="00D166EA">
              <w:rPr>
                <w:spacing w:val="13"/>
                <w:szCs w:val="22"/>
              </w:rPr>
              <w:t xml:space="preserve"> </w:t>
            </w:r>
            <w:r w:rsidRPr="00D166EA">
              <w:rPr>
                <w:w w:val="103"/>
                <w:szCs w:val="22"/>
              </w:rPr>
              <w:t>(</w:t>
            </w:r>
            <w:r w:rsidRPr="00D166EA">
              <w:rPr>
                <w:spacing w:val="1"/>
                <w:w w:val="103"/>
                <w:szCs w:val="22"/>
              </w:rPr>
              <w:t>8</w:t>
            </w:r>
            <w:r w:rsidR="00C90F09">
              <w:rPr>
                <w:spacing w:val="1"/>
                <w:w w:val="103"/>
                <w:szCs w:val="22"/>
              </w:rPr>
              <w:t> </w:t>
            </w:r>
            <w:r w:rsidRPr="00D166EA">
              <w:rPr>
                <w:w w:val="103"/>
                <w:szCs w:val="22"/>
              </w:rPr>
              <w:t>%)</w:t>
            </w:r>
          </w:p>
        </w:tc>
        <w:tc>
          <w:tcPr>
            <w:tcW w:w="1473" w:type="dxa"/>
            <w:tcBorders>
              <w:top w:val="single" w:sz="6" w:space="0" w:color="000000"/>
              <w:left w:val="single" w:sz="6" w:space="0" w:color="000000"/>
              <w:bottom w:val="single" w:sz="6" w:space="0" w:color="000000"/>
              <w:right w:val="single" w:sz="6" w:space="0" w:color="000000"/>
            </w:tcBorders>
          </w:tcPr>
          <w:p w14:paraId="0177367C" w14:textId="77777777" w:rsidR="00807239" w:rsidRPr="00D166EA" w:rsidRDefault="00807239" w:rsidP="00C949E4">
            <w:pPr>
              <w:spacing w:line="240" w:lineRule="exact"/>
              <w:ind w:left="158" w:right="-23"/>
              <w:rPr>
                <w:szCs w:val="22"/>
              </w:rPr>
            </w:pPr>
            <w:r w:rsidRPr="00D166EA">
              <w:rPr>
                <w:spacing w:val="-1"/>
                <w:szCs w:val="22"/>
              </w:rPr>
              <w:t>7</w:t>
            </w:r>
            <w:r w:rsidRPr="00D166EA">
              <w:rPr>
                <w:szCs w:val="22"/>
              </w:rPr>
              <w:t>/</w:t>
            </w:r>
            <w:r w:rsidRPr="00D166EA">
              <w:rPr>
                <w:spacing w:val="1"/>
                <w:szCs w:val="22"/>
              </w:rPr>
              <w:t>8</w:t>
            </w:r>
            <w:r w:rsidRPr="00D166EA">
              <w:rPr>
                <w:szCs w:val="22"/>
              </w:rPr>
              <w:t>2</w:t>
            </w:r>
            <w:r w:rsidRPr="00D166EA">
              <w:rPr>
                <w:spacing w:val="13"/>
                <w:szCs w:val="22"/>
              </w:rPr>
              <w:t xml:space="preserve"> </w:t>
            </w:r>
            <w:r w:rsidRPr="00D166EA">
              <w:rPr>
                <w:w w:val="103"/>
                <w:szCs w:val="22"/>
              </w:rPr>
              <w:t>(</w:t>
            </w:r>
            <w:r w:rsidRPr="00D166EA">
              <w:rPr>
                <w:spacing w:val="1"/>
                <w:w w:val="103"/>
                <w:szCs w:val="22"/>
              </w:rPr>
              <w:t>9</w:t>
            </w:r>
            <w:r w:rsidR="00C90F09">
              <w:rPr>
                <w:spacing w:val="1"/>
                <w:w w:val="103"/>
                <w:szCs w:val="22"/>
              </w:rPr>
              <w:t> </w:t>
            </w:r>
            <w:r w:rsidRPr="00D166EA">
              <w:rPr>
                <w:w w:val="103"/>
                <w:szCs w:val="22"/>
              </w:rPr>
              <w:t>%)</w:t>
            </w:r>
          </w:p>
        </w:tc>
      </w:tr>
    </w:tbl>
    <w:p w14:paraId="0E2F6E26" w14:textId="77777777" w:rsidR="00807239" w:rsidRPr="00D166EA" w:rsidRDefault="00807239" w:rsidP="00807239">
      <w:pPr>
        <w:pStyle w:val="Default"/>
        <w:ind w:left="57" w:hanging="57"/>
        <w:rPr>
          <w:sz w:val="22"/>
          <w:szCs w:val="22"/>
        </w:rPr>
      </w:pPr>
      <w:r w:rsidRPr="00D166EA">
        <w:rPr>
          <w:sz w:val="22"/>
          <w:szCs w:val="22"/>
          <w:vertAlign w:val="superscript"/>
        </w:rPr>
        <w:t xml:space="preserve">a </w:t>
      </w:r>
      <w:r w:rsidRPr="00D166EA">
        <w:rPr>
          <w:sz w:val="22"/>
          <w:szCs w:val="22"/>
        </w:rPr>
        <w:t>Tyrimas Roche COBAS Amplicor PCR metodu (LLOQ = 300</w:t>
      </w:r>
      <w:r w:rsidR="00C90F09">
        <w:rPr>
          <w:sz w:val="22"/>
          <w:szCs w:val="22"/>
        </w:rPr>
        <w:t> </w:t>
      </w:r>
      <w:r w:rsidRPr="00D166EA">
        <w:rPr>
          <w:sz w:val="22"/>
          <w:szCs w:val="22"/>
        </w:rPr>
        <w:t xml:space="preserve">kopijų/ml). </w:t>
      </w:r>
    </w:p>
    <w:p w14:paraId="4CA1604D" w14:textId="77777777" w:rsidR="00807239" w:rsidRPr="00D166EA" w:rsidRDefault="00807239" w:rsidP="00807239">
      <w:pPr>
        <w:pStyle w:val="Default"/>
        <w:ind w:left="57" w:hanging="57"/>
        <w:rPr>
          <w:sz w:val="22"/>
          <w:szCs w:val="22"/>
        </w:rPr>
      </w:pPr>
      <w:r w:rsidRPr="00D166EA">
        <w:rPr>
          <w:sz w:val="22"/>
          <w:szCs w:val="22"/>
          <w:vertAlign w:val="superscript"/>
        </w:rPr>
        <w:t xml:space="preserve">b </w:t>
      </w:r>
      <w:r w:rsidRPr="00D166EA">
        <w:rPr>
          <w:sz w:val="22"/>
          <w:szCs w:val="22"/>
        </w:rPr>
        <w:t>NC=F (nebaigę tyrimo = gydymas nesėkmingas) – nesėkmingam gydymui priskirti atvejai, kai vartojimas nutrauktas iki analizės savaitės dėl mirties, neveiksmingumo, nepageidaujamo reiškinio, vartojimo nurodymų nesilaikymo / nutrūkusio stebėjimo (pvz., HBV DNR ≥</w:t>
      </w:r>
      <w:r w:rsidR="00C90F09">
        <w:rPr>
          <w:sz w:val="22"/>
          <w:szCs w:val="22"/>
        </w:rPr>
        <w:t> </w:t>
      </w:r>
      <w:r w:rsidRPr="00D166EA">
        <w:rPr>
          <w:sz w:val="22"/>
          <w:szCs w:val="22"/>
        </w:rPr>
        <w:t>300</w:t>
      </w:r>
      <w:r w:rsidR="00C90F09">
        <w:rPr>
          <w:sz w:val="22"/>
          <w:szCs w:val="22"/>
        </w:rPr>
        <w:t> </w:t>
      </w:r>
      <w:r w:rsidRPr="00D166EA">
        <w:rPr>
          <w:sz w:val="22"/>
          <w:szCs w:val="22"/>
        </w:rPr>
        <w:t xml:space="preserve">kopijų/ml). </w:t>
      </w:r>
    </w:p>
    <w:p w14:paraId="65F84229" w14:textId="77777777" w:rsidR="00807239" w:rsidRPr="00D166EA" w:rsidRDefault="00807239" w:rsidP="00807239">
      <w:pPr>
        <w:pStyle w:val="Default"/>
        <w:ind w:left="57" w:hanging="57"/>
        <w:rPr>
          <w:sz w:val="22"/>
          <w:szCs w:val="22"/>
        </w:rPr>
      </w:pPr>
      <w:r w:rsidRPr="00D166EA">
        <w:rPr>
          <w:sz w:val="22"/>
          <w:szCs w:val="22"/>
          <w:vertAlign w:val="superscript"/>
        </w:rPr>
        <w:t>c</w:t>
      </w:r>
      <w:r w:rsidRPr="00D166EA">
        <w:rPr>
          <w:sz w:val="22"/>
          <w:szCs w:val="22"/>
        </w:rPr>
        <w:t xml:space="preserve"> NC=M (nebaigę tyrimo = nėra duomenų). </w:t>
      </w:r>
    </w:p>
    <w:p w14:paraId="000F1715" w14:textId="77777777" w:rsidR="00807239" w:rsidRPr="00D166EA" w:rsidRDefault="00807239" w:rsidP="00807239">
      <w:pPr>
        <w:pStyle w:val="Default"/>
        <w:ind w:left="57" w:hanging="57"/>
        <w:rPr>
          <w:sz w:val="22"/>
          <w:szCs w:val="22"/>
        </w:rPr>
      </w:pPr>
      <w:r w:rsidRPr="00D166EA">
        <w:rPr>
          <w:sz w:val="22"/>
          <w:szCs w:val="22"/>
          <w:vertAlign w:val="superscript"/>
        </w:rPr>
        <w:t>d</w:t>
      </w:r>
      <w:r w:rsidRPr="00D166EA">
        <w:rPr>
          <w:sz w:val="22"/>
          <w:szCs w:val="22"/>
        </w:rPr>
        <w:t xml:space="preserve"> Sumažėjęs arba nepakitęs CTP rodiklis palyginus su buvusiu iki tyrimo. </w:t>
      </w:r>
    </w:p>
    <w:p w14:paraId="5DF54197" w14:textId="77777777" w:rsidR="00807239" w:rsidRPr="00D166EA" w:rsidRDefault="00807239" w:rsidP="00807239">
      <w:pPr>
        <w:pStyle w:val="Default"/>
        <w:ind w:left="57" w:hanging="57"/>
        <w:rPr>
          <w:sz w:val="22"/>
          <w:szCs w:val="22"/>
        </w:rPr>
      </w:pPr>
      <w:r w:rsidRPr="00D166EA">
        <w:rPr>
          <w:sz w:val="22"/>
          <w:szCs w:val="22"/>
          <w:vertAlign w:val="superscript"/>
        </w:rPr>
        <w:t xml:space="preserve">e </w:t>
      </w:r>
      <w:r w:rsidRPr="00D166EA">
        <w:rPr>
          <w:sz w:val="22"/>
          <w:szCs w:val="22"/>
        </w:rPr>
        <w:t xml:space="preserve">ETV grupės pacientų MELD rodiklis iki tyrimo buvo 17,1, adefoviro dipivoksilio – 15,3. </w:t>
      </w:r>
    </w:p>
    <w:p w14:paraId="24E22A35" w14:textId="77777777" w:rsidR="00807239" w:rsidRPr="00D166EA" w:rsidRDefault="00807239" w:rsidP="00807239">
      <w:pPr>
        <w:pStyle w:val="Default"/>
        <w:ind w:left="57" w:hanging="57"/>
        <w:rPr>
          <w:sz w:val="22"/>
          <w:szCs w:val="22"/>
        </w:rPr>
      </w:pPr>
      <w:r w:rsidRPr="00D166EA">
        <w:rPr>
          <w:sz w:val="22"/>
          <w:szCs w:val="22"/>
          <w:vertAlign w:val="superscript"/>
        </w:rPr>
        <w:t xml:space="preserve">f </w:t>
      </w:r>
      <w:r w:rsidRPr="00D166EA">
        <w:rPr>
          <w:sz w:val="22"/>
          <w:szCs w:val="22"/>
        </w:rPr>
        <w:t xml:space="preserve">Vardiklis yra pacientai, kuriems iki tyrimo nustatyti pakitę rodikliai. </w:t>
      </w:r>
    </w:p>
    <w:p w14:paraId="1379E708" w14:textId="77777777" w:rsidR="00807239" w:rsidRPr="00D166EA" w:rsidRDefault="00807239" w:rsidP="00807239">
      <w:pPr>
        <w:pStyle w:val="Default"/>
        <w:ind w:left="57" w:hanging="57"/>
        <w:rPr>
          <w:sz w:val="22"/>
          <w:szCs w:val="22"/>
        </w:rPr>
      </w:pPr>
      <w:r w:rsidRPr="00D166EA">
        <w:rPr>
          <w:sz w:val="22"/>
          <w:szCs w:val="22"/>
        </w:rPr>
        <w:t>* p &lt;</w:t>
      </w:r>
      <w:r w:rsidR="00C90F09">
        <w:rPr>
          <w:sz w:val="22"/>
          <w:szCs w:val="22"/>
        </w:rPr>
        <w:t> </w:t>
      </w:r>
      <w:r w:rsidRPr="00D166EA">
        <w:rPr>
          <w:sz w:val="22"/>
          <w:szCs w:val="22"/>
        </w:rPr>
        <w:t xml:space="preserve">0,05 </w:t>
      </w:r>
    </w:p>
    <w:p w14:paraId="46A0E517" w14:textId="77777777" w:rsidR="00807239" w:rsidRPr="00D166EA" w:rsidRDefault="00807239" w:rsidP="00807239">
      <w:pPr>
        <w:pStyle w:val="Default"/>
        <w:ind w:left="57" w:hanging="57"/>
        <w:rPr>
          <w:sz w:val="22"/>
          <w:szCs w:val="22"/>
        </w:rPr>
      </w:pPr>
      <w:r w:rsidRPr="00D166EA">
        <w:rPr>
          <w:sz w:val="22"/>
          <w:szCs w:val="22"/>
        </w:rPr>
        <w:t xml:space="preserve">VNR – viršutinė normos riba, ANR – apatinė normos riba. </w:t>
      </w:r>
    </w:p>
    <w:p w14:paraId="25816C43" w14:textId="77777777" w:rsidR="00807239" w:rsidRPr="00D166EA" w:rsidRDefault="00807239" w:rsidP="00807239">
      <w:pPr>
        <w:rPr>
          <w:szCs w:val="22"/>
        </w:rPr>
      </w:pPr>
    </w:p>
    <w:p w14:paraId="71231610" w14:textId="77777777" w:rsidR="00807239" w:rsidRPr="00D166EA" w:rsidRDefault="00807239" w:rsidP="00807239">
      <w:pPr>
        <w:pStyle w:val="Default"/>
        <w:rPr>
          <w:sz w:val="22"/>
          <w:szCs w:val="22"/>
        </w:rPr>
      </w:pPr>
      <w:r w:rsidRPr="00D166EA">
        <w:rPr>
          <w:sz w:val="22"/>
          <w:szCs w:val="22"/>
        </w:rPr>
        <w:t>Laikas iki hepatoceliulinės karcinomos pasireiškimo ar mirties (to įvykio, kuris įvyko pirmas) ab</w:t>
      </w:r>
      <w:r w:rsidR="00114676">
        <w:rPr>
          <w:sz w:val="22"/>
          <w:szCs w:val="22"/>
        </w:rPr>
        <w:t>i</w:t>
      </w:r>
      <w:r w:rsidRPr="00D166EA">
        <w:rPr>
          <w:sz w:val="22"/>
          <w:szCs w:val="22"/>
        </w:rPr>
        <w:t>ejų gydymo grupių pacientams buvo panašus; pacientų, vartojusių entekaviro, kumuliacinis mirštamumas tyrimo metu buvo 23</w:t>
      </w:r>
      <w:r w:rsidR="00C90F09">
        <w:rPr>
          <w:sz w:val="22"/>
          <w:szCs w:val="22"/>
        </w:rPr>
        <w:t> </w:t>
      </w:r>
      <w:r w:rsidRPr="00D166EA">
        <w:rPr>
          <w:sz w:val="22"/>
          <w:szCs w:val="22"/>
        </w:rPr>
        <w:t>% (23/102), vartojusių adefoviro dipivoksilio – 33</w:t>
      </w:r>
      <w:r w:rsidR="00C90F09">
        <w:rPr>
          <w:sz w:val="22"/>
          <w:szCs w:val="22"/>
        </w:rPr>
        <w:t> </w:t>
      </w:r>
      <w:r w:rsidRPr="00D166EA">
        <w:rPr>
          <w:sz w:val="22"/>
          <w:szCs w:val="22"/>
        </w:rPr>
        <w:t>% (29/89); kumuliacinis hepatoceliulinės karcinomos pasireiškimo dažnis tyrimo metu – atitinkamai 12</w:t>
      </w:r>
      <w:r w:rsidR="00C90F09">
        <w:rPr>
          <w:sz w:val="22"/>
          <w:szCs w:val="22"/>
        </w:rPr>
        <w:t> </w:t>
      </w:r>
      <w:r w:rsidRPr="00D166EA">
        <w:rPr>
          <w:sz w:val="22"/>
          <w:szCs w:val="22"/>
        </w:rPr>
        <w:t>% (12/102) ir 20</w:t>
      </w:r>
      <w:r w:rsidR="00C90F09">
        <w:rPr>
          <w:sz w:val="22"/>
          <w:szCs w:val="22"/>
        </w:rPr>
        <w:t> </w:t>
      </w:r>
      <w:r w:rsidRPr="00D166EA">
        <w:rPr>
          <w:sz w:val="22"/>
          <w:szCs w:val="22"/>
        </w:rPr>
        <w:t xml:space="preserve">% (18/89). </w:t>
      </w:r>
    </w:p>
    <w:p w14:paraId="6A1247D7" w14:textId="77777777" w:rsidR="00807239" w:rsidRPr="00D166EA" w:rsidRDefault="00807239" w:rsidP="00807239">
      <w:pPr>
        <w:pStyle w:val="Default"/>
        <w:rPr>
          <w:sz w:val="22"/>
          <w:szCs w:val="22"/>
        </w:rPr>
      </w:pPr>
      <w:r w:rsidRPr="00D166EA">
        <w:rPr>
          <w:sz w:val="22"/>
          <w:szCs w:val="22"/>
        </w:rPr>
        <w:t>Po 24</w:t>
      </w:r>
      <w:r w:rsidR="00C90F09">
        <w:rPr>
          <w:sz w:val="22"/>
          <w:szCs w:val="22"/>
        </w:rPr>
        <w:t> </w:t>
      </w:r>
      <w:r w:rsidRPr="00D166EA">
        <w:rPr>
          <w:sz w:val="22"/>
          <w:szCs w:val="22"/>
        </w:rPr>
        <w:t>savaičių HBV DNR koncentracija &lt;</w:t>
      </w:r>
      <w:r w:rsidR="00C90F09">
        <w:rPr>
          <w:sz w:val="22"/>
          <w:szCs w:val="22"/>
        </w:rPr>
        <w:t> </w:t>
      </w:r>
      <w:r w:rsidRPr="00D166EA">
        <w:rPr>
          <w:sz w:val="22"/>
          <w:szCs w:val="22"/>
        </w:rPr>
        <w:t>300</w:t>
      </w:r>
      <w:r w:rsidR="00C90F09">
        <w:rPr>
          <w:sz w:val="22"/>
          <w:szCs w:val="22"/>
        </w:rPr>
        <w:t> </w:t>
      </w:r>
      <w:r w:rsidRPr="00D166EA">
        <w:rPr>
          <w:sz w:val="22"/>
          <w:szCs w:val="22"/>
        </w:rPr>
        <w:t>kopijų/ml nustatyta 44</w:t>
      </w:r>
      <w:r w:rsidR="00C90F09">
        <w:rPr>
          <w:sz w:val="22"/>
          <w:szCs w:val="22"/>
        </w:rPr>
        <w:t> </w:t>
      </w:r>
      <w:r w:rsidRPr="00D166EA">
        <w:rPr>
          <w:sz w:val="22"/>
          <w:szCs w:val="22"/>
        </w:rPr>
        <w:t>% entekaviro grupės ir 20</w:t>
      </w:r>
      <w:r w:rsidR="00C90F09">
        <w:rPr>
          <w:sz w:val="22"/>
          <w:szCs w:val="22"/>
        </w:rPr>
        <w:t> </w:t>
      </w:r>
      <w:r w:rsidRPr="00D166EA">
        <w:rPr>
          <w:sz w:val="22"/>
          <w:szCs w:val="22"/>
        </w:rPr>
        <w:t>% adefoviro grupės pacientų, kuriems iki tyrimo nustatyta LVDr mutacijų, po 48</w:t>
      </w:r>
      <w:r w:rsidR="00C90F09">
        <w:rPr>
          <w:sz w:val="22"/>
          <w:szCs w:val="22"/>
        </w:rPr>
        <w:t> </w:t>
      </w:r>
      <w:r w:rsidRPr="00D166EA">
        <w:rPr>
          <w:sz w:val="22"/>
          <w:szCs w:val="22"/>
        </w:rPr>
        <w:t>savaičių – atitinkamai 50</w:t>
      </w:r>
      <w:r w:rsidR="00C90F09">
        <w:rPr>
          <w:sz w:val="22"/>
          <w:szCs w:val="22"/>
        </w:rPr>
        <w:t> </w:t>
      </w:r>
      <w:r w:rsidRPr="00D166EA">
        <w:rPr>
          <w:sz w:val="22"/>
          <w:szCs w:val="22"/>
        </w:rPr>
        <w:t>% ir 17</w:t>
      </w:r>
      <w:r w:rsidR="00C90F09">
        <w:rPr>
          <w:sz w:val="22"/>
          <w:szCs w:val="22"/>
        </w:rPr>
        <w:t> </w:t>
      </w:r>
      <w:r w:rsidRPr="00D166EA">
        <w:rPr>
          <w:sz w:val="22"/>
          <w:szCs w:val="22"/>
        </w:rPr>
        <w:t xml:space="preserve">%. </w:t>
      </w:r>
    </w:p>
    <w:p w14:paraId="5A5AEFD3" w14:textId="77777777" w:rsidR="00807239" w:rsidRPr="00D166EA" w:rsidRDefault="00807239" w:rsidP="00807239">
      <w:pPr>
        <w:pStyle w:val="Default"/>
        <w:rPr>
          <w:i/>
          <w:iCs/>
          <w:sz w:val="22"/>
          <w:szCs w:val="22"/>
        </w:rPr>
      </w:pPr>
    </w:p>
    <w:p w14:paraId="6DAF60FE" w14:textId="77777777" w:rsidR="003052A3" w:rsidRPr="00D166EA" w:rsidRDefault="00807239" w:rsidP="00807239">
      <w:pPr>
        <w:pStyle w:val="Default"/>
        <w:rPr>
          <w:sz w:val="22"/>
          <w:szCs w:val="22"/>
        </w:rPr>
      </w:pPr>
      <w:r w:rsidRPr="00D166EA">
        <w:rPr>
          <w:i/>
          <w:iCs/>
          <w:sz w:val="22"/>
          <w:szCs w:val="22"/>
        </w:rPr>
        <w:t xml:space="preserve">Kartu ŽIV ir HBV infekuoti pacientai, gydomi HAART schema. </w:t>
      </w:r>
      <w:r w:rsidRPr="00D166EA">
        <w:rPr>
          <w:sz w:val="22"/>
          <w:szCs w:val="22"/>
        </w:rPr>
        <w:t xml:space="preserve">Tyrime 038 dalyvavo 67 HBeAg teigiami ir vienas HBeAg neigiamas pacientas, kartu infekuoti ŽIV. Pacientams buvo nustatyta stabili </w:t>
      </w:r>
      <w:r w:rsidRPr="00D166EA">
        <w:rPr>
          <w:sz w:val="22"/>
          <w:szCs w:val="22"/>
        </w:rPr>
        <w:lastRenderedPageBreak/>
        <w:t>kontroliuojama ŽIV infekcija (ŽIV RNR &lt;</w:t>
      </w:r>
      <w:r w:rsidR="00C90F09">
        <w:rPr>
          <w:sz w:val="22"/>
          <w:szCs w:val="22"/>
        </w:rPr>
        <w:t> </w:t>
      </w:r>
      <w:r w:rsidRPr="00D166EA">
        <w:rPr>
          <w:sz w:val="22"/>
          <w:szCs w:val="22"/>
        </w:rPr>
        <w:t>400</w:t>
      </w:r>
      <w:r w:rsidR="00C90F09">
        <w:rPr>
          <w:sz w:val="22"/>
          <w:szCs w:val="22"/>
        </w:rPr>
        <w:t> </w:t>
      </w:r>
      <w:r w:rsidRPr="00D166EA">
        <w:rPr>
          <w:sz w:val="22"/>
          <w:szCs w:val="22"/>
        </w:rPr>
        <w:t>kopijų/ml) ir atsinaujinusi HBV viremija taikant HAART gydymo schemą, kurios sudėtyje yra lamivudino. HAART schemose nebuvo emtricitabino ar tenofoviro disoproksilo fumarato. Iki pradedant vartoti entekaviro, lamivudino vartojimo trukmės mediana buvo 4,8</w:t>
      </w:r>
      <w:r w:rsidR="00C90F09">
        <w:rPr>
          <w:sz w:val="22"/>
          <w:szCs w:val="22"/>
        </w:rPr>
        <w:t> </w:t>
      </w:r>
      <w:r w:rsidRPr="00D166EA">
        <w:rPr>
          <w:sz w:val="22"/>
          <w:szCs w:val="22"/>
        </w:rPr>
        <w:t>metų, o CD4 skaičiaus mediana – 494</w:t>
      </w:r>
      <w:r w:rsidR="00C90F09">
        <w:rPr>
          <w:sz w:val="22"/>
          <w:szCs w:val="22"/>
        </w:rPr>
        <w:t> </w:t>
      </w:r>
      <w:r w:rsidRPr="00D166EA">
        <w:rPr>
          <w:sz w:val="22"/>
          <w:szCs w:val="22"/>
        </w:rPr>
        <w:t>ląstelių/mm</w:t>
      </w:r>
      <w:r w:rsidRPr="00D166EA">
        <w:rPr>
          <w:sz w:val="22"/>
          <w:szCs w:val="22"/>
          <w:vertAlign w:val="superscript"/>
        </w:rPr>
        <w:t>3</w:t>
      </w:r>
      <w:r w:rsidRPr="00D166EA">
        <w:rPr>
          <w:sz w:val="22"/>
          <w:szCs w:val="22"/>
        </w:rPr>
        <w:t>, tik 5 asmenų CD4 ląstelių skaičius buvo &lt;</w:t>
      </w:r>
      <w:r w:rsidR="00C90F09">
        <w:rPr>
          <w:sz w:val="22"/>
          <w:szCs w:val="22"/>
        </w:rPr>
        <w:t> </w:t>
      </w:r>
      <w:r w:rsidRPr="00D166EA">
        <w:rPr>
          <w:sz w:val="22"/>
          <w:szCs w:val="22"/>
        </w:rPr>
        <w:t>200</w:t>
      </w:r>
      <w:r w:rsidR="003052A3" w:rsidRPr="003052A3">
        <w:rPr>
          <w:sz w:val="22"/>
          <w:szCs w:val="22"/>
        </w:rPr>
        <w:t xml:space="preserve"> </w:t>
      </w:r>
      <w:r w:rsidR="003052A3" w:rsidRPr="00D166EA">
        <w:rPr>
          <w:sz w:val="22"/>
          <w:szCs w:val="22"/>
        </w:rPr>
        <w:t xml:space="preserve">ląstelių </w:t>
      </w:r>
      <w:r w:rsidRPr="00D166EA">
        <w:rPr>
          <w:sz w:val="22"/>
          <w:szCs w:val="22"/>
        </w:rPr>
        <w:t>/mm</w:t>
      </w:r>
      <w:r w:rsidRPr="00D166EA">
        <w:rPr>
          <w:sz w:val="22"/>
          <w:szCs w:val="22"/>
          <w:vertAlign w:val="superscript"/>
        </w:rPr>
        <w:t>3</w:t>
      </w:r>
      <w:r w:rsidRPr="00D166EA">
        <w:rPr>
          <w:sz w:val="22"/>
          <w:szCs w:val="22"/>
        </w:rPr>
        <w:t>. Pradėjus tyrimą, pacientai vartojo toliau vaistinių preparatų derinį, kurio sudėtyje buvo lamivudino, ir pradėjo kartu (atsitiktinės atrankos būdu) vartoti 1 mg entekaviro 1 kartą per parą (n</w:t>
      </w:r>
      <w:r w:rsidR="00C90F09">
        <w:rPr>
          <w:sz w:val="22"/>
          <w:szCs w:val="22"/>
        </w:rPr>
        <w:t> </w:t>
      </w:r>
      <w:r w:rsidRPr="00D166EA">
        <w:rPr>
          <w:sz w:val="22"/>
          <w:szCs w:val="22"/>
        </w:rPr>
        <w:t>=</w:t>
      </w:r>
      <w:r w:rsidR="00C90F09">
        <w:rPr>
          <w:sz w:val="22"/>
          <w:szCs w:val="22"/>
        </w:rPr>
        <w:t> </w:t>
      </w:r>
      <w:r w:rsidRPr="00D166EA">
        <w:rPr>
          <w:sz w:val="22"/>
          <w:szCs w:val="22"/>
        </w:rPr>
        <w:t>51) arba placebo (n</w:t>
      </w:r>
      <w:r w:rsidR="00C90F09">
        <w:rPr>
          <w:sz w:val="22"/>
          <w:szCs w:val="22"/>
        </w:rPr>
        <w:t> </w:t>
      </w:r>
      <w:r w:rsidRPr="00D166EA">
        <w:rPr>
          <w:sz w:val="22"/>
          <w:szCs w:val="22"/>
        </w:rPr>
        <w:t>=</w:t>
      </w:r>
      <w:r w:rsidR="00C90F09">
        <w:rPr>
          <w:sz w:val="22"/>
          <w:szCs w:val="22"/>
        </w:rPr>
        <w:t> </w:t>
      </w:r>
      <w:r w:rsidRPr="00D166EA">
        <w:rPr>
          <w:sz w:val="22"/>
          <w:szCs w:val="22"/>
        </w:rPr>
        <w:t>17). Ši tyrimo fazė truko 24</w:t>
      </w:r>
      <w:r w:rsidR="00C90F09">
        <w:rPr>
          <w:sz w:val="22"/>
          <w:szCs w:val="22"/>
        </w:rPr>
        <w:t> </w:t>
      </w:r>
      <w:r w:rsidRPr="00D166EA">
        <w:rPr>
          <w:sz w:val="22"/>
          <w:szCs w:val="22"/>
        </w:rPr>
        <w:t>savaites. Vėliau visi pacientai dar 24</w:t>
      </w:r>
      <w:r w:rsidR="00C90F09">
        <w:rPr>
          <w:sz w:val="22"/>
          <w:szCs w:val="22"/>
        </w:rPr>
        <w:t> </w:t>
      </w:r>
      <w:r w:rsidRPr="00D166EA">
        <w:rPr>
          <w:sz w:val="22"/>
          <w:szCs w:val="22"/>
        </w:rPr>
        <w:t>savaites vartojo entekaviro. Po 24</w:t>
      </w:r>
      <w:r w:rsidR="00C90F09">
        <w:rPr>
          <w:sz w:val="22"/>
          <w:szCs w:val="22"/>
        </w:rPr>
        <w:t> </w:t>
      </w:r>
      <w:r w:rsidRPr="00D166EA">
        <w:rPr>
          <w:sz w:val="22"/>
          <w:szCs w:val="22"/>
        </w:rPr>
        <w:t>savaičių HBV kiekio sumažėjimas entekaviro grupėje buvo reikšmingai didesnis (-3,65 palyginus su padidėjimu 0,11</w:t>
      </w:r>
      <w:r w:rsidR="00C90F09">
        <w:rPr>
          <w:sz w:val="22"/>
          <w:szCs w:val="22"/>
        </w:rPr>
        <w:t> </w:t>
      </w:r>
      <w:r w:rsidRPr="00D166EA">
        <w:rPr>
          <w:sz w:val="22"/>
          <w:szCs w:val="22"/>
        </w:rPr>
        <w:t>log</w:t>
      </w:r>
      <w:r w:rsidRPr="00D166EA">
        <w:rPr>
          <w:sz w:val="22"/>
          <w:szCs w:val="22"/>
          <w:vertAlign w:val="subscript"/>
        </w:rPr>
        <w:t>10</w:t>
      </w:r>
      <w:r w:rsidR="00C90F09">
        <w:rPr>
          <w:sz w:val="22"/>
          <w:szCs w:val="22"/>
        </w:rPr>
        <w:t> </w:t>
      </w:r>
      <w:r w:rsidRPr="00D166EA">
        <w:rPr>
          <w:sz w:val="22"/>
          <w:szCs w:val="22"/>
        </w:rPr>
        <w:t>kopijų/ml). Pacientams, nuo pradžių vartojusiems entekaviro, HBV DNR sumažėjimas po 48</w:t>
      </w:r>
      <w:r w:rsidR="00C90F09">
        <w:rPr>
          <w:sz w:val="22"/>
          <w:szCs w:val="22"/>
        </w:rPr>
        <w:t> </w:t>
      </w:r>
      <w:r w:rsidRPr="00D166EA">
        <w:rPr>
          <w:sz w:val="22"/>
          <w:szCs w:val="22"/>
        </w:rPr>
        <w:t>savaičių buvo -4,20</w:t>
      </w:r>
      <w:r w:rsidR="00C90F09">
        <w:rPr>
          <w:sz w:val="22"/>
          <w:szCs w:val="22"/>
        </w:rPr>
        <w:t> </w:t>
      </w:r>
      <w:r w:rsidRPr="00D166EA">
        <w:rPr>
          <w:sz w:val="22"/>
          <w:szCs w:val="22"/>
        </w:rPr>
        <w:t>log</w:t>
      </w:r>
      <w:r w:rsidRPr="00D166EA">
        <w:rPr>
          <w:sz w:val="22"/>
          <w:szCs w:val="22"/>
          <w:vertAlign w:val="subscript"/>
        </w:rPr>
        <w:t>10</w:t>
      </w:r>
      <w:r w:rsidR="00C90F09">
        <w:rPr>
          <w:sz w:val="22"/>
          <w:szCs w:val="22"/>
        </w:rPr>
        <w:t> </w:t>
      </w:r>
      <w:r w:rsidRPr="00D166EA">
        <w:rPr>
          <w:sz w:val="22"/>
          <w:szCs w:val="22"/>
        </w:rPr>
        <w:t>kopijų/ml, o ALT aktyvumas sunormalėjo 37</w:t>
      </w:r>
      <w:r w:rsidR="00C90F09">
        <w:rPr>
          <w:sz w:val="22"/>
          <w:szCs w:val="22"/>
        </w:rPr>
        <w:t> </w:t>
      </w:r>
      <w:r w:rsidRPr="00D166EA">
        <w:rPr>
          <w:sz w:val="22"/>
          <w:szCs w:val="22"/>
        </w:rPr>
        <w:t>% iš tų, kuriems iki tyrimo buvo padidėjęs. HBeAg serologinė</w:t>
      </w:r>
      <w:r w:rsidR="001D4869">
        <w:rPr>
          <w:sz w:val="22"/>
          <w:szCs w:val="22"/>
        </w:rPr>
        <w:t>s</w:t>
      </w:r>
      <w:r w:rsidRPr="00D166EA">
        <w:rPr>
          <w:sz w:val="22"/>
          <w:szCs w:val="22"/>
        </w:rPr>
        <w:t xml:space="preserve"> konversijos nepasiekė nė vienas</w:t>
      </w:r>
      <w:r w:rsidR="001D4869">
        <w:rPr>
          <w:sz w:val="22"/>
          <w:szCs w:val="22"/>
        </w:rPr>
        <w:t xml:space="preserve"> </w:t>
      </w:r>
      <w:r w:rsidRPr="00D166EA">
        <w:rPr>
          <w:sz w:val="22"/>
          <w:szCs w:val="22"/>
        </w:rPr>
        <w:t xml:space="preserve">pacientas. </w:t>
      </w:r>
    </w:p>
    <w:p w14:paraId="7C28ED53" w14:textId="77777777" w:rsidR="00807239" w:rsidRPr="00D166EA" w:rsidRDefault="00807239" w:rsidP="00807239">
      <w:pPr>
        <w:pStyle w:val="Default"/>
        <w:rPr>
          <w:i/>
          <w:iCs/>
          <w:sz w:val="22"/>
          <w:szCs w:val="22"/>
        </w:rPr>
      </w:pPr>
    </w:p>
    <w:p w14:paraId="49258F80" w14:textId="77777777" w:rsidR="00807239" w:rsidRPr="00D166EA" w:rsidRDefault="00807239" w:rsidP="00807239">
      <w:pPr>
        <w:pStyle w:val="Default"/>
        <w:rPr>
          <w:sz w:val="22"/>
          <w:szCs w:val="22"/>
        </w:rPr>
      </w:pPr>
      <w:r w:rsidRPr="00D166EA">
        <w:rPr>
          <w:i/>
          <w:iCs/>
          <w:sz w:val="22"/>
          <w:szCs w:val="22"/>
        </w:rPr>
        <w:t>Kartu ŽIV ir HBV infekuoti pacientai, negydomi HAART schema</w:t>
      </w:r>
      <w:r w:rsidRPr="00D166EA">
        <w:rPr>
          <w:sz w:val="22"/>
          <w:szCs w:val="22"/>
        </w:rPr>
        <w:t xml:space="preserve">. Entekaviro poveikis kartu ŽIV ir HBV infekuotiems pacientams, kurie tuo pačiu metu nevartoja veiksmingų vaistinių preparatų nuo ŽIV, netirtas. Pacientams, kartu infekuotiems ŽIV ir HBV bei gydomiems vien entekaviru (be HAART), pastebėtas ŽIV RNR koncentracijos sumažėjimas, o kai kuriais atvejais – ŽIV varianto M184V selekcija, turinti reikšmės parenkant HAART schemą, kurią gali reikėti skirti pacientui ateityje. Dėl atsparumo ŽIV pasireiškimo rizikos tokiomis aplinkybėmis entekaviro turi būti nevartojama (žr. 4.4 skyrių). </w:t>
      </w:r>
    </w:p>
    <w:p w14:paraId="40FEEF33" w14:textId="77777777" w:rsidR="00807239" w:rsidRPr="00D166EA" w:rsidRDefault="00807239" w:rsidP="00807239">
      <w:pPr>
        <w:pStyle w:val="Default"/>
        <w:rPr>
          <w:i/>
          <w:iCs/>
          <w:sz w:val="22"/>
          <w:szCs w:val="22"/>
        </w:rPr>
      </w:pPr>
    </w:p>
    <w:p w14:paraId="0F2B5F3B" w14:textId="77777777" w:rsidR="00807239" w:rsidRPr="00D166EA" w:rsidRDefault="00807239" w:rsidP="00807239">
      <w:pPr>
        <w:pStyle w:val="Default"/>
        <w:rPr>
          <w:sz w:val="22"/>
          <w:szCs w:val="22"/>
        </w:rPr>
      </w:pPr>
      <w:r w:rsidRPr="00D166EA">
        <w:rPr>
          <w:i/>
          <w:iCs/>
          <w:sz w:val="22"/>
          <w:szCs w:val="22"/>
        </w:rPr>
        <w:t xml:space="preserve">Pacientai, kuriems persodintos kepenys. </w:t>
      </w:r>
      <w:r w:rsidRPr="00D166EA">
        <w:rPr>
          <w:sz w:val="22"/>
          <w:szCs w:val="22"/>
        </w:rPr>
        <w:t>1</w:t>
      </w:r>
      <w:r w:rsidR="00C90F09">
        <w:rPr>
          <w:sz w:val="22"/>
          <w:szCs w:val="22"/>
        </w:rPr>
        <w:t> </w:t>
      </w:r>
      <w:r w:rsidRPr="00D166EA">
        <w:rPr>
          <w:sz w:val="22"/>
          <w:szCs w:val="22"/>
        </w:rPr>
        <w:t>mg entekaviro 1</w:t>
      </w:r>
      <w:r w:rsidR="00C90F09">
        <w:rPr>
          <w:sz w:val="22"/>
          <w:szCs w:val="22"/>
        </w:rPr>
        <w:t> </w:t>
      </w:r>
      <w:r w:rsidRPr="00D166EA">
        <w:rPr>
          <w:sz w:val="22"/>
          <w:szCs w:val="22"/>
        </w:rPr>
        <w:t>kartą per parą saugumas ir veiksmingumas buvo įvertinti vienos grupės tyrimo metu. Šiame tyrime dalyvavo 65</w:t>
      </w:r>
      <w:r w:rsidR="00C90F09">
        <w:rPr>
          <w:sz w:val="22"/>
          <w:szCs w:val="22"/>
        </w:rPr>
        <w:t> </w:t>
      </w:r>
      <w:r w:rsidRPr="00D166EA">
        <w:rPr>
          <w:sz w:val="22"/>
          <w:szCs w:val="22"/>
        </w:rPr>
        <w:t>pacientai, kuriems dėl lėtinės HBV infekcijos komplikacijų buvo persodintos kepenys (HBV DNR koncentracija persodinimo metu buvo &lt;</w:t>
      </w:r>
      <w:r w:rsidR="00C90F09">
        <w:rPr>
          <w:sz w:val="22"/>
          <w:szCs w:val="22"/>
        </w:rPr>
        <w:t> </w:t>
      </w:r>
      <w:r w:rsidRPr="00D166EA">
        <w:rPr>
          <w:sz w:val="22"/>
          <w:szCs w:val="22"/>
        </w:rPr>
        <w:t>172</w:t>
      </w:r>
      <w:r w:rsidR="00C90F09">
        <w:rPr>
          <w:sz w:val="22"/>
          <w:szCs w:val="22"/>
        </w:rPr>
        <w:t> </w:t>
      </w:r>
      <w:r w:rsidRPr="00D166EA">
        <w:rPr>
          <w:sz w:val="22"/>
          <w:szCs w:val="22"/>
        </w:rPr>
        <w:t>TV/ml, t.y. maždaug 1000</w:t>
      </w:r>
      <w:r w:rsidR="00C90F09">
        <w:rPr>
          <w:sz w:val="22"/>
          <w:szCs w:val="22"/>
        </w:rPr>
        <w:t> </w:t>
      </w:r>
      <w:r w:rsidRPr="00D166EA">
        <w:rPr>
          <w:sz w:val="22"/>
          <w:szCs w:val="22"/>
        </w:rPr>
        <w:t>kopijų /ml). 82</w:t>
      </w:r>
      <w:r w:rsidR="00C90F09">
        <w:rPr>
          <w:sz w:val="22"/>
          <w:szCs w:val="22"/>
        </w:rPr>
        <w:t> </w:t>
      </w:r>
      <w:r w:rsidRPr="00D166EA">
        <w:rPr>
          <w:sz w:val="22"/>
          <w:szCs w:val="22"/>
        </w:rPr>
        <w:t>% tirtos populiacijos sudarė vyrai, 39</w:t>
      </w:r>
      <w:r w:rsidR="00C90F09">
        <w:rPr>
          <w:sz w:val="22"/>
          <w:szCs w:val="22"/>
        </w:rPr>
        <w:t> </w:t>
      </w:r>
      <w:r w:rsidRPr="00D166EA">
        <w:rPr>
          <w:sz w:val="22"/>
          <w:szCs w:val="22"/>
        </w:rPr>
        <w:t>% – baltaodžiai ir 37</w:t>
      </w:r>
      <w:r w:rsidR="00C90F09">
        <w:rPr>
          <w:sz w:val="22"/>
          <w:szCs w:val="22"/>
        </w:rPr>
        <w:t> </w:t>
      </w:r>
      <w:r w:rsidRPr="00D166EA">
        <w:rPr>
          <w:sz w:val="22"/>
          <w:szCs w:val="22"/>
        </w:rPr>
        <w:t>% - azijiečiai, vidutinis amžius buvo 49</w:t>
      </w:r>
      <w:r w:rsidR="00C90F09">
        <w:rPr>
          <w:sz w:val="22"/>
          <w:szCs w:val="22"/>
        </w:rPr>
        <w:t> </w:t>
      </w:r>
      <w:r w:rsidRPr="00D166EA">
        <w:rPr>
          <w:sz w:val="22"/>
          <w:szCs w:val="22"/>
        </w:rPr>
        <w:t>metai. 89</w:t>
      </w:r>
      <w:r w:rsidR="00C90F09">
        <w:rPr>
          <w:sz w:val="22"/>
          <w:szCs w:val="22"/>
        </w:rPr>
        <w:t> </w:t>
      </w:r>
      <w:r w:rsidRPr="00D166EA">
        <w:rPr>
          <w:sz w:val="22"/>
          <w:szCs w:val="22"/>
        </w:rPr>
        <w:t>% pacientų liga persodinimo metu buvo HBeAg neigiama. Iš 61</w:t>
      </w:r>
      <w:r w:rsidR="00C90F09">
        <w:rPr>
          <w:sz w:val="22"/>
          <w:szCs w:val="22"/>
        </w:rPr>
        <w:t> </w:t>
      </w:r>
      <w:r w:rsidRPr="00D166EA">
        <w:rPr>
          <w:sz w:val="22"/>
          <w:szCs w:val="22"/>
        </w:rPr>
        <w:t>paciento, kuriam buvo galima įvertinti veiksmingumą (jie entakaviru buvo gydomi bent 1</w:t>
      </w:r>
      <w:r w:rsidR="00C90F09">
        <w:rPr>
          <w:sz w:val="22"/>
          <w:szCs w:val="22"/>
        </w:rPr>
        <w:t> </w:t>
      </w:r>
      <w:r w:rsidRPr="00D166EA">
        <w:rPr>
          <w:sz w:val="22"/>
          <w:szCs w:val="22"/>
        </w:rPr>
        <w:t>mėn.), 60 taip pat vartojo hepatito B imunoglobulino (HBIg) kaip vieno iš vaistinių preparatų, vartojamo derinyje su kitais vaistiniais preparatais, profilaktikai po persodinimo. 49 iš šių 60</w:t>
      </w:r>
      <w:r w:rsidR="00C90F09">
        <w:rPr>
          <w:sz w:val="22"/>
          <w:szCs w:val="22"/>
        </w:rPr>
        <w:t> </w:t>
      </w:r>
      <w:r w:rsidRPr="00D166EA">
        <w:rPr>
          <w:sz w:val="22"/>
          <w:szCs w:val="22"/>
        </w:rPr>
        <w:t>pacientų HBIg vartojo ilgiau kaip 6</w:t>
      </w:r>
      <w:r w:rsidR="00C90F09">
        <w:rPr>
          <w:sz w:val="22"/>
          <w:szCs w:val="22"/>
        </w:rPr>
        <w:t> </w:t>
      </w:r>
      <w:r w:rsidRPr="00D166EA">
        <w:rPr>
          <w:sz w:val="22"/>
          <w:szCs w:val="22"/>
        </w:rPr>
        <w:t>mėn. Praėjus 72</w:t>
      </w:r>
      <w:r w:rsidR="00C90F09">
        <w:rPr>
          <w:sz w:val="22"/>
          <w:szCs w:val="22"/>
        </w:rPr>
        <w:t> </w:t>
      </w:r>
      <w:r w:rsidRPr="00D166EA">
        <w:rPr>
          <w:sz w:val="22"/>
          <w:szCs w:val="22"/>
        </w:rPr>
        <w:t>savaitėms po persodinimo, nė vienu iš 55 stebėtų atvejų nenustatyta HBV virusologinio atkryčio, apibrėžto kaip HBV DNR koncentracija ≥</w:t>
      </w:r>
      <w:r w:rsidR="00C90F09">
        <w:rPr>
          <w:sz w:val="22"/>
          <w:szCs w:val="22"/>
        </w:rPr>
        <w:t> </w:t>
      </w:r>
      <w:r w:rsidRPr="00D166EA">
        <w:rPr>
          <w:sz w:val="22"/>
          <w:szCs w:val="22"/>
        </w:rPr>
        <w:t>50</w:t>
      </w:r>
      <w:r w:rsidR="00C90F09">
        <w:rPr>
          <w:sz w:val="22"/>
          <w:szCs w:val="22"/>
        </w:rPr>
        <w:t> </w:t>
      </w:r>
      <w:r w:rsidRPr="00D166EA">
        <w:rPr>
          <w:sz w:val="22"/>
          <w:szCs w:val="22"/>
        </w:rPr>
        <w:t>TV/ml (maždaug 300</w:t>
      </w:r>
      <w:r w:rsidR="00C90F09">
        <w:rPr>
          <w:sz w:val="22"/>
          <w:szCs w:val="22"/>
        </w:rPr>
        <w:t> </w:t>
      </w:r>
      <w:r w:rsidRPr="00D166EA">
        <w:rPr>
          <w:sz w:val="22"/>
          <w:szCs w:val="22"/>
        </w:rPr>
        <w:t>kopijų/ml); kontrolinių tyrimų metu 6 likusiems pacientams virusologinio atkryčio taip pat nenustatyta. Visiems 61</w:t>
      </w:r>
      <w:r w:rsidR="00C90F09">
        <w:rPr>
          <w:sz w:val="22"/>
          <w:szCs w:val="22"/>
        </w:rPr>
        <w:t> </w:t>
      </w:r>
      <w:r w:rsidRPr="00D166EA">
        <w:rPr>
          <w:sz w:val="22"/>
          <w:szCs w:val="22"/>
        </w:rPr>
        <w:t>pacientui po persodinimo išnyko HBsAg, bet 2 iš jų vėliau tapo HBsAg teigiami, nors HBV DNR ir toliau nebuvo aptinkama (jos koncentracija buvo &lt;</w:t>
      </w:r>
      <w:r w:rsidR="00C90F09">
        <w:rPr>
          <w:sz w:val="22"/>
          <w:szCs w:val="22"/>
        </w:rPr>
        <w:t> </w:t>
      </w:r>
      <w:r w:rsidRPr="00D166EA">
        <w:rPr>
          <w:sz w:val="22"/>
          <w:szCs w:val="22"/>
        </w:rPr>
        <w:t>6</w:t>
      </w:r>
      <w:r w:rsidR="00C90F09">
        <w:rPr>
          <w:sz w:val="22"/>
          <w:szCs w:val="22"/>
        </w:rPr>
        <w:t> </w:t>
      </w:r>
      <w:r w:rsidRPr="00D166EA">
        <w:rPr>
          <w:sz w:val="22"/>
          <w:szCs w:val="22"/>
        </w:rPr>
        <w:t xml:space="preserve">TV/ml). Nepageidaujamų reiškinių dažnis ir pobūdis šio tyrimo metu atitiko tikėtiną pacientams po kepenų persodinimo ir žinomą entekaviro saugumo apibūdinimą. </w:t>
      </w:r>
    </w:p>
    <w:p w14:paraId="0DF11CE6" w14:textId="77777777" w:rsidR="00807239" w:rsidRPr="00D166EA" w:rsidRDefault="00807239" w:rsidP="00807239">
      <w:pPr>
        <w:rPr>
          <w:i/>
          <w:iCs/>
          <w:szCs w:val="22"/>
          <w:lang w:val="sl-SI"/>
        </w:rPr>
      </w:pPr>
    </w:p>
    <w:p w14:paraId="75EE5B73" w14:textId="77777777" w:rsidR="000042F5" w:rsidRDefault="00807239" w:rsidP="00807239">
      <w:pPr>
        <w:rPr>
          <w:szCs w:val="22"/>
        </w:rPr>
      </w:pPr>
      <w:r w:rsidRPr="00591D31">
        <w:rPr>
          <w:iCs/>
          <w:szCs w:val="22"/>
          <w:u w:val="single"/>
        </w:rPr>
        <w:t>Vaikų populiacija</w:t>
      </w:r>
      <w:r w:rsidRPr="00D166EA">
        <w:rPr>
          <w:szCs w:val="22"/>
        </w:rPr>
        <w:t xml:space="preserve"> </w:t>
      </w:r>
    </w:p>
    <w:p w14:paraId="543737F2" w14:textId="77777777" w:rsidR="00807239" w:rsidRPr="00D166EA" w:rsidRDefault="00807239" w:rsidP="00807239">
      <w:pPr>
        <w:rPr>
          <w:szCs w:val="22"/>
        </w:rPr>
      </w:pPr>
      <w:r w:rsidRPr="00D166EA">
        <w:rPr>
          <w:szCs w:val="22"/>
        </w:rPr>
        <w:t>Tyrimo Nr. 189 metu vertinamas entekaviro veiksmingumas ir saugumas 180</w:t>
      </w:r>
      <w:r w:rsidR="00C90F09">
        <w:rPr>
          <w:szCs w:val="22"/>
        </w:rPr>
        <w:t> </w:t>
      </w:r>
      <w:r w:rsidRPr="00D166EA">
        <w:rPr>
          <w:szCs w:val="22"/>
        </w:rPr>
        <w:t>vaikų ir paauglių nuo 2 iki &lt;</w:t>
      </w:r>
      <w:r w:rsidR="00C90F09">
        <w:rPr>
          <w:szCs w:val="22"/>
        </w:rPr>
        <w:t> </w:t>
      </w:r>
      <w:r w:rsidRPr="00D166EA">
        <w:rPr>
          <w:szCs w:val="22"/>
        </w:rPr>
        <w:t>18 metų, kurie anksčiau nevartojo nukleozidų, serga HBeAg teigiama lėtine hepatito B infekcija</w:t>
      </w:r>
      <w:r w:rsidR="00D90A75">
        <w:rPr>
          <w:szCs w:val="22"/>
        </w:rPr>
        <w:t>,</w:t>
      </w:r>
      <w:r w:rsidRPr="00D166EA">
        <w:rPr>
          <w:szCs w:val="22"/>
        </w:rPr>
        <w:t xml:space="preserve"> ir kurių kompensuota kepenų funkcija</w:t>
      </w:r>
      <w:r w:rsidR="00D90A75">
        <w:rPr>
          <w:szCs w:val="22"/>
        </w:rPr>
        <w:t>,</w:t>
      </w:r>
      <w:r w:rsidRPr="00D166EA">
        <w:rPr>
          <w:szCs w:val="22"/>
        </w:rPr>
        <w:t xml:space="preserve"> ir padidėjęs ALT aktyvumas. Pacientai buvo atsitiktinės atrankos būdu paskirstyti santykiu 2:1 koduotam gydymui 0,015</w:t>
      </w:r>
      <w:r w:rsidR="00C90F09">
        <w:rPr>
          <w:szCs w:val="22"/>
        </w:rPr>
        <w:t> </w:t>
      </w:r>
      <w:r w:rsidRPr="00D166EA">
        <w:rPr>
          <w:szCs w:val="22"/>
        </w:rPr>
        <w:t>mg/kg (iki 0,5</w:t>
      </w:r>
      <w:r w:rsidR="00C90F09">
        <w:rPr>
          <w:szCs w:val="22"/>
        </w:rPr>
        <w:t> </w:t>
      </w:r>
      <w:r w:rsidRPr="00D166EA">
        <w:rPr>
          <w:szCs w:val="22"/>
        </w:rPr>
        <w:t>mg) entekaviro per parą (N</w:t>
      </w:r>
      <w:r w:rsidR="00C90F09">
        <w:rPr>
          <w:szCs w:val="22"/>
        </w:rPr>
        <w:t> </w:t>
      </w:r>
      <w:r w:rsidRPr="00D166EA">
        <w:rPr>
          <w:szCs w:val="22"/>
        </w:rPr>
        <w:t>=</w:t>
      </w:r>
      <w:r w:rsidR="00C90F09">
        <w:rPr>
          <w:szCs w:val="22"/>
        </w:rPr>
        <w:t> </w:t>
      </w:r>
      <w:r w:rsidRPr="00D166EA">
        <w:rPr>
          <w:szCs w:val="22"/>
        </w:rPr>
        <w:t>120) arba placebu (N</w:t>
      </w:r>
      <w:r w:rsidR="00C90F09">
        <w:rPr>
          <w:szCs w:val="22"/>
        </w:rPr>
        <w:t> </w:t>
      </w:r>
      <w:r w:rsidRPr="00D166EA">
        <w:rPr>
          <w:szCs w:val="22"/>
        </w:rPr>
        <w:t>=</w:t>
      </w:r>
      <w:r w:rsidR="00C90F09">
        <w:rPr>
          <w:szCs w:val="22"/>
        </w:rPr>
        <w:t> </w:t>
      </w:r>
      <w:r w:rsidRPr="00D166EA">
        <w:rPr>
          <w:szCs w:val="22"/>
        </w:rPr>
        <w:t>60). Atsitiktinė atranka  buvo stratifikuota pagal amžiaus grupes (nuo 2 iki 6</w:t>
      </w:r>
      <w:r w:rsidR="00C90F09">
        <w:rPr>
          <w:szCs w:val="22"/>
        </w:rPr>
        <w:t> </w:t>
      </w:r>
      <w:r w:rsidRPr="00D166EA">
        <w:rPr>
          <w:szCs w:val="22"/>
        </w:rPr>
        <w:t>metų, nuo &gt;</w:t>
      </w:r>
      <w:r w:rsidR="00C90F09">
        <w:rPr>
          <w:szCs w:val="22"/>
        </w:rPr>
        <w:t> </w:t>
      </w:r>
      <w:r w:rsidRPr="00D166EA">
        <w:rPr>
          <w:szCs w:val="22"/>
        </w:rPr>
        <w:t>6 iki 12</w:t>
      </w:r>
      <w:r w:rsidR="00C90F09">
        <w:rPr>
          <w:szCs w:val="22"/>
        </w:rPr>
        <w:t> </w:t>
      </w:r>
      <w:r w:rsidRPr="00D166EA">
        <w:rPr>
          <w:szCs w:val="22"/>
        </w:rPr>
        <w:t>metų ir nuo &gt;</w:t>
      </w:r>
      <w:r w:rsidR="00C90F09">
        <w:rPr>
          <w:szCs w:val="22"/>
        </w:rPr>
        <w:t> </w:t>
      </w:r>
      <w:r w:rsidRPr="00D166EA">
        <w:rPr>
          <w:szCs w:val="22"/>
        </w:rPr>
        <w:t>12 iki &lt;</w:t>
      </w:r>
      <w:r w:rsidR="00C90F09">
        <w:rPr>
          <w:szCs w:val="22"/>
        </w:rPr>
        <w:t> </w:t>
      </w:r>
      <w:r w:rsidRPr="00D166EA">
        <w:rPr>
          <w:szCs w:val="22"/>
        </w:rPr>
        <w:t>18</w:t>
      </w:r>
      <w:r w:rsidR="00C90F09">
        <w:rPr>
          <w:szCs w:val="22"/>
        </w:rPr>
        <w:t> </w:t>
      </w:r>
      <w:r w:rsidRPr="00D166EA">
        <w:rPr>
          <w:szCs w:val="22"/>
        </w:rPr>
        <w:t>metų</w:t>
      </w:r>
      <w:r w:rsidR="000F5A00">
        <w:rPr>
          <w:szCs w:val="22"/>
        </w:rPr>
        <w:t>)</w:t>
      </w:r>
      <w:r w:rsidRPr="00D166EA">
        <w:rPr>
          <w:szCs w:val="22"/>
        </w:rPr>
        <w:t>. Pradiniai demografiniai duomenys ir HBV infekcijos savybės ab</w:t>
      </w:r>
      <w:r w:rsidR="00E21573">
        <w:rPr>
          <w:szCs w:val="22"/>
        </w:rPr>
        <w:t>i</w:t>
      </w:r>
      <w:r w:rsidRPr="00D166EA">
        <w:rPr>
          <w:szCs w:val="22"/>
        </w:rPr>
        <w:t>ejų gydymo grupių ir visų amžiaus kohortų pacientams buvo panašūs. Įtraukiant į tyrimą, tiriamosios populiacijos vidutinė HBV DNR koncentracija buvo 8,1</w:t>
      </w:r>
      <w:r w:rsidR="00C90F09">
        <w:rPr>
          <w:szCs w:val="22"/>
        </w:rPr>
        <w:t> </w:t>
      </w:r>
      <w:r w:rsidRPr="00D166EA">
        <w:rPr>
          <w:szCs w:val="22"/>
        </w:rPr>
        <w:t>log</w:t>
      </w:r>
      <w:r w:rsidRPr="00D166EA">
        <w:rPr>
          <w:szCs w:val="22"/>
          <w:vertAlign w:val="subscript"/>
        </w:rPr>
        <w:t>10</w:t>
      </w:r>
      <w:r w:rsidR="00C90F09">
        <w:rPr>
          <w:szCs w:val="22"/>
        </w:rPr>
        <w:t> </w:t>
      </w:r>
      <w:r w:rsidRPr="00D166EA">
        <w:rPr>
          <w:szCs w:val="22"/>
        </w:rPr>
        <w:t>TV/ml, vidutinis ALT aktyvumas – 103</w:t>
      </w:r>
      <w:r w:rsidR="00C90F09">
        <w:rPr>
          <w:szCs w:val="22"/>
        </w:rPr>
        <w:t> </w:t>
      </w:r>
      <w:r w:rsidRPr="00D166EA">
        <w:rPr>
          <w:szCs w:val="22"/>
        </w:rPr>
        <w:t>V/l. Pagrindinių vertinamųjų baigčių duomenys po 48 ir 96</w:t>
      </w:r>
      <w:r w:rsidR="00C90F09">
        <w:rPr>
          <w:szCs w:val="22"/>
        </w:rPr>
        <w:t> </w:t>
      </w:r>
      <w:r w:rsidRPr="00D166EA">
        <w:rPr>
          <w:szCs w:val="22"/>
        </w:rPr>
        <w:t>savaičių pateikiami lentelėje žemiau.</w:t>
      </w:r>
    </w:p>
    <w:p w14:paraId="656A31C7" w14:textId="77777777" w:rsidR="00807239" w:rsidRPr="00D166EA" w:rsidRDefault="00807239" w:rsidP="00807239">
      <w:pPr>
        <w:rPr>
          <w:szCs w:val="22"/>
        </w:rPr>
      </w:pPr>
    </w:p>
    <w:tbl>
      <w:tblPr>
        <w:tblW w:w="7606" w:type="dxa"/>
        <w:tblCellMar>
          <w:top w:w="22" w:type="dxa"/>
          <w:bottom w:w="7" w:type="dxa"/>
          <w:right w:w="85" w:type="dxa"/>
        </w:tblCellMar>
        <w:tblLook w:val="04A0" w:firstRow="1" w:lastRow="0" w:firstColumn="1" w:lastColumn="0" w:noHBand="0" w:noVBand="1"/>
      </w:tblPr>
      <w:tblGrid>
        <w:gridCol w:w="3048"/>
        <w:gridCol w:w="1616"/>
        <w:gridCol w:w="1624"/>
        <w:gridCol w:w="1318"/>
      </w:tblGrid>
      <w:tr w:rsidR="002036C0" w:rsidRPr="00D166EA" w14:paraId="745BE681" w14:textId="77777777" w:rsidTr="00C949E4">
        <w:trPr>
          <w:trHeight w:val="264"/>
        </w:trPr>
        <w:tc>
          <w:tcPr>
            <w:tcW w:w="3048" w:type="dxa"/>
            <w:tcBorders>
              <w:top w:val="single" w:sz="8" w:space="0" w:color="000000"/>
              <w:left w:val="single" w:sz="8" w:space="0" w:color="000000"/>
              <w:bottom w:val="single" w:sz="8" w:space="0" w:color="000000"/>
              <w:right w:val="single" w:sz="8" w:space="0" w:color="000000"/>
            </w:tcBorders>
            <w:shd w:val="clear" w:color="auto" w:fill="auto"/>
          </w:tcPr>
          <w:p w14:paraId="36048A97" w14:textId="77777777" w:rsidR="00807239" w:rsidRPr="00D166EA" w:rsidRDefault="00807239" w:rsidP="00C949E4">
            <w:pPr>
              <w:spacing w:line="259" w:lineRule="auto"/>
              <w:rPr>
                <w:szCs w:val="22"/>
              </w:rPr>
            </w:pPr>
          </w:p>
        </w:tc>
        <w:tc>
          <w:tcPr>
            <w:tcW w:w="1616" w:type="dxa"/>
            <w:tcBorders>
              <w:top w:val="single" w:sz="8" w:space="0" w:color="000000"/>
              <w:left w:val="single" w:sz="8" w:space="0" w:color="000000"/>
              <w:bottom w:val="single" w:sz="8" w:space="0" w:color="000000"/>
              <w:right w:val="nil"/>
            </w:tcBorders>
            <w:shd w:val="clear" w:color="auto" w:fill="auto"/>
          </w:tcPr>
          <w:p w14:paraId="6745A0E3" w14:textId="77777777" w:rsidR="00807239" w:rsidRPr="00D166EA" w:rsidRDefault="00807239" w:rsidP="00C949E4">
            <w:pPr>
              <w:spacing w:line="259" w:lineRule="auto"/>
              <w:jc w:val="center"/>
              <w:rPr>
                <w:szCs w:val="22"/>
              </w:rPr>
            </w:pPr>
            <w:r w:rsidRPr="00D166EA">
              <w:rPr>
                <w:b/>
                <w:szCs w:val="22"/>
              </w:rPr>
              <w:t>Entekaviras</w:t>
            </w:r>
          </w:p>
        </w:tc>
        <w:tc>
          <w:tcPr>
            <w:tcW w:w="1624" w:type="dxa"/>
            <w:tcBorders>
              <w:top w:val="single" w:sz="8" w:space="0" w:color="000000"/>
              <w:left w:val="nil"/>
              <w:bottom w:val="single" w:sz="8" w:space="0" w:color="000000"/>
              <w:right w:val="single" w:sz="8" w:space="0" w:color="000000"/>
            </w:tcBorders>
            <w:shd w:val="clear" w:color="auto" w:fill="auto"/>
          </w:tcPr>
          <w:p w14:paraId="753A2317" w14:textId="77777777" w:rsidR="00807239" w:rsidRPr="00D166EA" w:rsidRDefault="00807239" w:rsidP="00C949E4">
            <w:pPr>
              <w:spacing w:after="160" w:line="259" w:lineRule="auto"/>
              <w:rPr>
                <w:szCs w:val="22"/>
              </w:rPr>
            </w:pPr>
          </w:p>
        </w:tc>
        <w:tc>
          <w:tcPr>
            <w:tcW w:w="1318" w:type="dxa"/>
            <w:tcBorders>
              <w:top w:val="single" w:sz="8" w:space="0" w:color="000000"/>
              <w:left w:val="single" w:sz="8" w:space="0" w:color="000000"/>
              <w:bottom w:val="single" w:sz="8" w:space="0" w:color="000000"/>
              <w:right w:val="single" w:sz="8" w:space="0" w:color="000000"/>
            </w:tcBorders>
            <w:shd w:val="clear" w:color="auto" w:fill="auto"/>
          </w:tcPr>
          <w:p w14:paraId="52612882" w14:textId="77777777" w:rsidR="00807239" w:rsidRPr="00D166EA" w:rsidRDefault="00807239" w:rsidP="00C949E4">
            <w:pPr>
              <w:spacing w:line="259" w:lineRule="auto"/>
              <w:rPr>
                <w:szCs w:val="22"/>
              </w:rPr>
            </w:pPr>
            <w:r w:rsidRPr="00D166EA">
              <w:rPr>
                <w:b/>
                <w:szCs w:val="22"/>
              </w:rPr>
              <w:t>Placebas*</w:t>
            </w:r>
            <w:r w:rsidRPr="00D166EA">
              <w:rPr>
                <w:rFonts w:eastAsia="Calibri"/>
                <w:b/>
                <w:szCs w:val="22"/>
              </w:rPr>
              <w:t xml:space="preserve"> </w:t>
            </w:r>
          </w:p>
        </w:tc>
      </w:tr>
      <w:tr w:rsidR="00807239" w:rsidRPr="00D166EA" w14:paraId="41A307F5" w14:textId="77777777" w:rsidTr="002746CC">
        <w:trPr>
          <w:trHeight w:val="264"/>
        </w:trPr>
        <w:tc>
          <w:tcPr>
            <w:tcW w:w="3048" w:type="dxa"/>
            <w:tcBorders>
              <w:top w:val="single" w:sz="8" w:space="0" w:color="000000"/>
              <w:left w:val="single" w:sz="8" w:space="0" w:color="000000"/>
              <w:bottom w:val="single" w:sz="8" w:space="0" w:color="000000"/>
              <w:right w:val="single" w:sz="8" w:space="0" w:color="000000"/>
            </w:tcBorders>
            <w:shd w:val="clear" w:color="auto" w:fill="auto"/>
          </w:tcPr>
          <w:p w14:paraId="04A6D68E" w14:textId="77777777" w:rsidR="00807239" w:rsidRPr="00D166EA" w:rsidRDefault="00807239" w:rsidP="00C949E4">
            <w:pPr>
              <w:spacing w:line="259" w:lineRule="auto"/>
              <w:rPr>
                <w:szCs w:val="22"/>
              </w:rPr>
            </w:pPr>
            <w:r w:rsidRPr="00D166EA">
              <w:rPr>
                <w:rFonts w:eastAsia="Calibri"/>
                <w:szCs w:val="22"/>
              </w:rPr>
              <w:t xml:space="preserve"> </w:t>
            </w:r>
          </w:p>
        </w:tc>
        <w:tc>
          <w:tcPr>
            <w:tcW w:w="1616" w:type="dxa"/>
            <w:tcBorders>
              <w:top w:val="single" w:sz="8" w:space="0" w:color="000000"/>
              <w:left w:val="single" w:sz="8" w:space="0" w:color="000000"/>
              <w:bottom w:val="single" w:sz="8" w:space="0" w:color="000000"/>
              <w:right w:val="single" w:sz="8" w:space="0" w:color="000000"/>
            </w:tcBorders>
            <w:shd w:val="clear" w:color="auto" w:fill="auto"/>
          </w:tcPr>
          <w:p w14:paraId="0F81CA73" w14:textId="77777777" w:rsidR="00807239" w:rsidRPr="00D166EA" w:rsidRDefault="00807239" w:rsidP="00C90F09">
            <w:pPr>
              <w:spacing w:line="259" w:lineRule="auto"/>
              <w:ind w:right="22"/>
              <w:jc w:val="center"/>
              <w:rPr>
                <w:szCs w:val="22"/>
              </w:rPr>
            </w:pPr>
            <w:r w:rsidRPr="00D166EA">
              <w:rPr>
                <w:szCs w:val="22"/>
              </w:rPr>
              <w:t>48</w:t>
            </w:r>
            <w:r w:rsidR="00C90F09">
              <w:rPr>
                <w:szCs w:val="22"/>
              </w:rPr>
              <w:t> </w:t>
            </w:r>
            <w:r w:rsidRPr="00D166EA">
              <w:rPr>
                <w:szCs w:val="22"/>
              </w:rPr>
              <w:t>savaitė</w:t>
            </w:r>
            <w:r w:rsidRPr="00D166EA">
              <w:rPr>
                <w:rFonts w:eastAsia="Calibri"/>
                <w:szCs w:val="22"/>
              </w:rPr>
              <w:t xml:space="preserve"> </w:t>
            </w:r>
          </w:p>
        </w:tc>
        <w:tc>
          <w:tcPr>
            <w:tcW w:w="1624" w:type="dxa"/>
            <w:tcBorders>
              <w:top w:val="single" w:sz="8" w:space="0" w:color="000000"/>
              <w:left w:val="single" w:sz="8" w:space="0" w:color="000000"/>
              <w:bottom w:val="single" w:sz="8" w:space="0" w:color="000000"/>
              <w:right w:val="single" w:sz="8" w:space="0" w:color="000000"/>
            </w:tcBorders>
            <w:shd w:val="clear" w:color="auto" w:fill="auto"/>
          </w:tcPr>
          <w:p w14:paraId="01404E7C" w14:textId="77777777" w:rsidR="00807239" w:rsidRPr="00D166EA" w:rsidRDefault="00807239" w:rsidP="00C90F09">
            <w:pPr>
              <w:spacing w:line="259" w:lineRule="auto"/>
              <w:ind w:right="20"/>
              <w:jc w:val="center"/>
              <w:rPr>
                <w:szCs w:val="22"/>
              </w:rPr>
            </w:pPr>
            <w:r w:rsidRPr="00D166EA">
              <w:rPr>
                <w:szCs w:val="22"/>
              </w:rPr>
              <w:t>96</w:t>
            </w:r>
            <w:r w:rsidR="00C90F09">
              <w:rPr>
                <w:szCs w:val="22"/>
              </w:rPr>
              <w:t> </w:t>
            </w:r>
            <w:r w:rsidRPr="00D166EA">
              <w:rPr>
                <w:rFonts w:eastAsia="Calibri"/>
                <w:szCs w:val="22"/>
              </w:rPr>
              <w:t>savaitė</w:t>
            </w:r>
          </w:p>
        </w:tc>
        <w:tc>
          <w:tcPr>
            <w:tcW w:w="1318" w:type="dxa"/>
            <w:tcBorders>
              <w:top w:val="single" w:sz="8" w:space="0" w:color="000000"/>
              <w:left w:val="single" w:sz="8" w:space="0" w:color="000000"/>
              <w:bottom w:val="single" w:sz="8" w:space="0" w:color="000000"/>
              <w:right w:val="single" w:sz="8" w:space="0" w:color="000000"/>
            </w:tcBorders>
            <w:shd w:val="clear" w:color="auto" w:fill="auto"/>
          </w:tcPr>
          <w:p w14:paraId="1B0FA113" w14:textId="77777777" w:rsidR="00807239" w:rsidRPr="00D166EA" w:rsidRDefault="00807239" w:rsidP="00C90F09">
            <w:pPr>
              <w:spacing w:line="259" w:lineRule="auto"/>
              <w:rPr>
                <w:szCs w:val="22"/>
              </w:rPr>
            </w:pPr>
            <w:r w:rsidRPr="00D166EA">
              <w:rPr>
                <w:szCs w:val="22"/>
              </w:rPr>
              <w:t>48</w:t>
            </w:r>
            <w:r w:rsidR="00C90F09">
              <w:rPr>
                <w:szCs w:val="22"/>
              </w:rPr>
              <w:t> </w:t>
            </w:r>
            <w:r w:rsidRPr="00D166EA">
              <w:rPr>
                <w:rFonts w:eastAsia="Calibri"/>
                <w:szCs w:val="22"/>
              </w:rPr>
              <w:t>savaitė</w:t>
            </w:r>
          </w:p>
        </w:tc>
      </w:tr>
      <w:tr w:rsidR="00807239" w:rsidRPr="00D166EA" w14:paraId="38A013B2" w14:textId="77777777" w:rsidTr="002746CC">
        <w:trPr>
          <w:trHeight w:val="250"/>
        </w:trPr>
        <w:tc>
          <w:tcPr>
            <w:tcW w:w="3048" w:type="dxa"/>
            <w:tcBorders>
              <w:top w:val="single" w:sz="8" w:space="0" w:color="000000"/>
              <w:left w:val="single" w:sz="8" w:space="0" w:color="000000"/>
              <w:bottom w:val="single" w:sz="8" w:space="0" w:color="000000"/>
              <w:right w:val="single" w:sz="8" w:space="0" w:color="000000"/>
            </w:tcBorders>
            <w:shd w:val="clear" w:color="auto" w:fill="auto"/>
          </w:tcPr>
          <w:p w14:paraId="26750DDF" w14:textId="77777777" w:rsidR="00807239" w:rsidRPr="00D166EA" w:rsidRDefault="00807239" w:rsidP="00C949E4">
            <w:pPr>
              <w:spacing w:line="259" w:lineRule="auto"/>
              <w:rPr>
                <w:szCs w:val="22"/>
              </w:rPr>
            </w:pPr>
            <w:r w:rsidRPr="00D166EA">
              <w:rPr>
                <w:b/>
                <w:szCs w:val="22"/>
              </w:rPr>
              <w:t>n</w:t>
            </w:r>
            <w:r w:rsidRPr="00D166EA">
              <w:rPr>
                <w:rFonts w:eastAsia="Calibri"/>
                <w:b/>
                <w:szCs w:val="22"/>
              </w:rPr>
              <w:t xml:space="preserve"> </w:t>
            </w:r>
          </w:p>
        </w:tc>
        <w:tc>
          <w:tcPr>
            <w:tcW w:w="1616" w:type="dxa"/>
            <w:tcBorders>
              <w:top w:val="single" w:sz="8" w:space="0" w:color="000000"/>
              <w:left w:val="single" w:sz="8" w:space="0" w:color="000000"/>
              <w:bottom w:val="single" w:sz="8" w:space="0" w:color="000000"/>
              <w:right w:val="single" w:sz="8" w:space="0" w:color="000000"/>
            </w:tcBorders>
            <w:shd w:val="clear" w:color="auto" w:fill="auto"/>
          </w:tcPr>
          <w:p w14:paraId="73A1E74B" w14:textId="77777777" w:rsidR="00807239" w:rsidRPr="00D166EA" w:rsidRDefault="00807239" w:rsidP="00C949E4">
            <w:pPr>
              <w:spacing w:line="259" w:lineRule="auto"/>
              <w:ind w:right="25"/>
              <w:jc w:val="center"/>
              <w:rPr>
                <w:szCs w:val="22"/>
              </w:rPr>
            </w:pPr>
            <w:r w:rsidRPr="00D166EA">
              <w:rPr>
                <w:szCs w:val="22"/>
              </w:rPr>
              <w:t>120</w:t>
            </w:r>
            <w:r w:rsidRPr="00D166EA">
              <w:rPr>
                <w:rFonts w:eastAsia="Calibri"/>
                <w:szCs w:val="22"/>
              </w:rPr>
              <w:t xml:space="preserve"> </w:t>
            </w:r>
          </w:p>
        </w:tc>
        <w:tc>
          <w:tcPr>
            <w:tcW w:w="1624" w:type="dxa"/>
            <w:tcBorders>
              <w:top w:val="single" w:sz="8" w:space="0" w:color="000000"/>
              <w:left w:val="single" w:sz="8" w:space="0" w:color="000000"/>
              <w:bottom w:val="single" w:sz="8" w:space="0" w:color="000000"/>
              <w:right w:val="single" w:sz="8" w:space="0" w:color="000000"/>
            </w:tcBorders>
            <w:shd w:val="clear" w:color="auto" w:fill="auto"/>
          </w:tcPr>
          <w:p w14:paraId="25332CCC" w14:textId="77777777" w:rsidR="00807239" w:rsidRPr="00D166EA" w:rsidRDefault="00807239" w:rsidP="00C949E4">
            <w:pPr>
              <w:spacing w:line="259" w:lineRule="auto"/>
              <w:ind w:right="22"/>
              <w:jc w:val="center"/>
              <w:rPr>
                <w:szCs w:val="22"/>
              </w:rPr>
            </w:pPr>
            <w:r w:rsidRPr="00D166EA">
              <w:rPr>
                <w:szCs w:val="22"/>
              </w:rPr>
              <w:t>120</w:t>
            </w:r>
            <w:r w:rsidRPr="00D166EA">
              <w:rPr>
                <w:rFonts w:eastAsia="Calibri"/>
                <w:szCs w:val="22"/>
              </w:rPr>
              <w:t xml:space="preserve"> </w:t>
            </w:r>
          </w:p>
        </w:tc>
        <w:tc>
          <w:tcPr>
            <w:tcW w:w="1318" w:type="dxa"/>
            <w:tcBorders>
              <w:top w:val="single" w:sz="8" w:space="0" w:color="000000"/>
              <w:left w:val="single" w:sz="8" w:space="0" w:color="000000"/>
              <w:bottom w:val="single" w:sz="8" w:space="0" w:color="000000"/>
              <w:right w:val="single" w:sz="8" w:space="0" w:color="000000"/>
            </w:tcBorders>
            <w:shd w:val="clear" w:color="auto" w:fill="auto"/>
          </w:tcPr>
          <w:p w14:paraId="374A4E06" w14:textId="77777777" w:rsidR="00807239" w:rsidRPr="00D166EA" w:rsidRDefault="00807239" w:rsidP="00C949E4">
            <w:pPr>
              <w:spacing w:line="259" w:lineRule="auto"/>
              <w:rPr>
                <w:szCs w:val="22"/>
              </w:rPr>
            </w:pPr>
            <w:r w:rsidRPr="00D166EA">
              <w:rPr>
                <w:szCs w:val="22"/>
              </w:rPr>
              <w:t>60</w:t>
            </w:r>
            <w:r w:rsidRPr="00D166EA">
              <w:rPr>
                <w:rFonts w:eastAsia="Calibri"/>
                <w:szCs w:val="22"/>
              </w:rPr>
              <w:t xml:space="preserve"> </w:t>
            </w:r>
          </w:p>
        </w:tc>
      </w:tr>
      <w:tr w:rsidR="00807239" w:rsidRPr="00D166EA" w14:paraId="510D5A18" w14:textId="77777777" w:rsidTr="002746CC">
        <w:trPr>
          <w:trHeight w:val="480"/>
        </w:trPr>
        <w:tc>
          <w:tcPr>
            <w:tcW w:w="3048" w:type="dxa"/>
            <w:tcBorders>
              <w:top w:val="single" w:sz="8" w:space="0" w:color="000000"/>
              <w:left w:val="single" w:sz="8" w:space="0" w:color="000000"/>
              <w:bottom w:val="single" w:sz="8" w:space="0" w:color="000000"/>
              <w:right w:val="single" w:sz="8" w:space="0" w:color="000000"/>
            </w:tcBorders>
            <w:shd w:val="clear" w:color="auto" w:fill="auto"/>
          </w:tcPr>
          <w:p w14:paraId="7020737F" w14:textId="77777777" w:rsidR="00807239" w:rsidRPr="00D166EA" w:rsidRDefault="00807239" w:rsidP="00C949E4">
            <w:pPr>
              <w:spacing w:line="259" w:lineRule="auto"/>
              <w:rPr>
                <w:szCs w:val="22"/>
              </w:rPr>
            </w:pPr>
            <w:r w:rsidRPr="00D166EA">
              <w:rPr>
                <w:szCs w:val="22"/>
              </w:rPr>
              <w:t>HBV DNA &lt;</w:t>
            </w:r>
            <w:r w:rsidR="00C90F09">
              <w:rPr>
                <w:szCs w:val="22"/>
              </w:rPr>
              <w:t> </w:t>
            </w:r>
            <w:r w:rsidRPr="00D166EA">
              <w:rPr>
                <w:szCs w:val="22"/>
              </w:rPr>
              <w:t>50</w:t>
            </w:r>
            <w:r w:rsidR="00C90F09">
              <w:rPr>
                <w:szCs w:val="22"/>
              </w:rPr>
              <w:t> </w:t>
            </w:r>
            <w:r w:rsidRPr="00D166EA">
              <w:rPr>
                <w:szCs w:val="22"/>
              </w:rPr>
              <w:t xml:space="preserve">TV/ml ir </w:t>
            </w:r>
          </w:p>
          <w:p w14:paraId="27FBB531" w14:textId="77777777" w:rsidR="00807239" w:rsidRPr="00D166EA" w:rsidRDefault="00807239" w:rsidP="00C949E4">
            <w:pPr>
              <w:spacing w:line="259" w:lineRule="auto"/>
              <w:rPr>
                <w:szCs w:val="22"/>
              </w:rPr>
            </w:pPr>
            <w:r w:rsidRPr="00D166EA">
              <w:rPr>
                <w:szCs w:val="22"/>
              </w:rPr>
              <w:t>HBeAg serokonversija</w:t>
            </w:r>
            <w:r w:rsidRPr="00D166EA">
              <w:rPr>
                <w:szCs w:val="22"/>
                <w:vertAlign w:val="superscript"/>
              </w:rPr>
              <w:t>a</w:t>
            </w:r>
            <w:r w:rsidRPr="00D166EA">
              <w:rPr>
                <w:szCs w:val="22"/>
              </w:rPr>
              <w:t xml:space="preserve"> </w:t>
            </w:r>
          </w:p>
        </w:tc>
        <w:tc>
          <w:tcPr>
            <w:tcW w:w="1616" w:type="dxa"/>
            <w:tcBorders>
              <w:top w:val="single" w:sz="8" w:space="0" w:color="000000"/>
              <w:left w:val="single" w:sz="8" w:space="0" w:color="000000"/>
              <w:bottom w:val="single" w:sz="8" w:space="0" w:color="000000"/>
              <w:right w:val="single" w:sz="8" w:space="0" w:color="000000"/>
            </w:tcBorders>
            <w:shd w:val="clear" w:color="auto" w:fill="auto"/>
          </w:tcPr>
          <w:p w14:paraId="7E62DB8F" w14:textId="77777777" w:rsidR="00807239" w:rsidRPr="00D166EA" w:rsidRDefault="00807239" w:rsidP="00C90F09">
            <w:pPr>
              <w:spacing w:line="259" w:lineRule="auto"/>
              <w:ind w:right="23"/>
              <w:jc w:val="center"/>
              <w:rPr>
                <w:szCs w:val="22"/>
              </w:rPr>
            </w:pPr>
            <w:r w:rsidRPr="00D166EA">
              <w:rPr>
                <w:szCs w:val="22"/>
              </w:rPr>
              <w:t>24</w:t>
            </w:r>
            <w:r w:rsidR="00C90F09">
              <w:rPr>
                <w:szCs w:val="22"/>
              </w:rPr>
              <w:t>,</w:t>
            </w:r>
            <w:r w:rsidRPr="00D166EA">
              <w:rPr>
                <w:szCs w:val="22"/>
              </w:rPr>
              <w:t>2</w:t>
            </w:r>
            <w:r w:rsidR="00C90F09">
              <w:rPr>
                <w:szCs w:val="22"/>
              </w:rPr>
              <w:t> </w:t>
            </w:r>
            <w:r w:rsidRPr="00D166EA">
              <w:rPr>
                <w:szCs w:val="22"/>
              </w:rPr>
              <w:t>%</w:t>
            </w:r>
            <w:r w:rsidRPr="00D166EA">
              <w:rPr>
                <w:rFonts w:eastAsia="Calibri"/>
                <w:szCs w:val="22"/>
              </w:rPr>
              <w:t xml:space="preserve"> </w:t>
            </w:r>
          </w:p>
        </w:tc>
        <w:tc>
          <w:tcPr>
            <w:tcW w:w="1624" w:type="dxa"/>
            <w:tcBorders>
              <w:top w:val="single" w:sz="8" w:space="0" w:color="000000"/>
              <w:left w:val="single" w:sz="8" w:space="0" w:color="000000"/>
              <w:bottom w:val="single" w:sz="8" w:space="0" w:color="000000"/>
              <w:right w:val="single" w:sz="8" w:space="0" w:color="000000"/>
            </w:tcBorders>
            <w:shd w:val="clear" w:color="auto" w:fill="auto"/>
          </w:tcPr>
          <w:p w14:paraId="318DF715" w14:textId="77777777" w:rsidR="00807239" w:rsidRPr="00D166EA" w:rsidRDefault="00807239" w:rsidP="00C90F09">
            <w:pPr>
              <w:spacing w:line="259" w:lineRule="auto"/>
              <w:ind w:right="21"/>
              <w:jc w:val="center"/>
              <w:rPr>
                <w:szCs w:val="22"/>
              </w:rPr>
            </w:pPr>
            <w:r w:rsidRPr="00D166EA">
              <w:rPr>
                <w:szCs w:val="22"/>
              </w:rPr>
              <w:t>35</w:t>
            </w:r>
            <w:r w:rsidR="00C90F09">
              <w:rPr>
                <w:szCs w:val="22"/>
              </w:rPr>
              <w:t>,</w:t>
            </w:r>
            <w:r w:rsidRPr="00D166EA">
              <w:rPr>
                <w:szCs w:val="22"/>
              </w:rPr>
              <w:t>8</w:t>
            </w:r>
            <w:r w:rsidR="00C90F09">
              <w:rPr>
                <w:szCs w:val="22"/>
              </w:rPr>
              <w:t> </w:t>
            </w:r>
            <w:r w:rsidRPr="00D166EA">
              <w:rPr>
                <w:szCs w:val="22"/>
              </w:rPr>
              <w:t>%</w:t>
            </w:r>
            <w:r w:rsidRPr="00D166EA">
              <w:rPr>
                <w:rFonts w:eastAsia="Calibri"/>
                <w:szCs w:val="22"/>
              </w:rPr>
              <w:t xml:space="preserve"> </w:t>
            </w:r>
          </w:p>
        </w:tc>
        <w:tc>
          <w:tcPr>
            <w:tcW w:w="1318" w:type="dxa"/>
            <w:tcBorders>
              <w:top w:val="single" w:sz="8" w:space="0" w:color="000000"/>
              <w:left w:val="single" w:sz="8" w:space="0" w:color="000000"/>
              <w:bottom w:val="single" w:sz="8" w:space="0" w:color="000000"/>
              <w:right w:val="single" w:sz="8" w:space="0" w:color="000000"/>
            </w:tcBorders>
            <w:shd w:val="clear" w:color="auto" w:fill="auto"/>
          </w:tcPr>
          <w:p w14:paraId="2E4CBD77" w14:textId="77777777" w:rsidR="00807239" w:rsidRPr="00D166EA" w:rsidRDefault="00807239" w:rsidP="00C90F09">
            <w:pPr>
              <w:spacing w:line="259" w:lineRule="auto"/>
              <w:rPr>
                <w:szCs w:val="22"/>
              </w:rPr>
            </w:pPr>
            <w:r w:rsidRPr="00D166EA">
              <w:rPr>
                <w:szCs w:val="22"/>
              </w:rPr>
              <w:t>3</w:t>
            </w:r>
            <w:r w:rsidR="00C90F09">
              <w:rPr>
                <w:szCs w:val="22"/>
              </w:rPr>
              <w:t>,</w:t>
            </w:r>
            <w:r w:rsidRPr="00D166EA">
              <w:rPr>
                <w:szCs w:val="22"/>
              </w:rPr>
              <w:t>3</w:t>
            </w:r>
            <w:r w:rsidR="00C90F09">
              <w:rPr>
                <w:szCs w:val="22"/>
              </w:rPr>
              <w:t> </w:t>
            </w:r>
            <w:r w:rsidRPr="00D166EA">
              <w:rPr>
                <w:szCs w:val="22"/>
              </w:rPr>
              <w:t>%</w:t>
            </w:r>
            <w:r w:rsidRPr="00D166EA">
              <w:rPr>
                <w:rFonts w:eastAsia="Calibri"/>
                <w:szCs w:val="22"/>
              </w:rPr>
              <w:t xml:space="preserve"> </w:t>
            </w:r>
          </w:p>
        </w:tc>
      </w:tr>
      <w:tr w:rsidR="00807239" w:rsidRPr="00D166EA" w14:paraId="4468C425" w14:textId="77777777" w:rsidTr="002746CC">
        <w:trPr>
          <w:trHeight w:val="252"/>
        </w:trPr>
        <w:tc>
          <w:tcPr>
            <w:tcW w:w="3048" w:type="dxa"/>
            <w:tcBorders>
              <w:top w:val="single" w:sz="8" w:space="0" w:color="000000"/>
              <w:left w:val="single" w:sz="8" w:space="0" w:color="000000"/>
              <w:bottom w:val="single" w:sz="8" w:space="0" w:color="000000"/>
              <w:right w:val="single" w:sz="8" w:space="0" w:color="000000"/>
            </w:tcBorders>
            <w:shd w:val="clear" w:color="auto" w:fill="auto"/>
          </w:tcPr>
          <w:p w14:paraId="084618B9" w14:textId="77777777" w:rsidR="00807239" w:rsidRPr="00D166EA" w:rsidRDefault="00807239" w:rsidP="00C90F09">
            <w:pPr>
              <w:spacing w:line="259" w:lineRule="auto"/>
              <w:rPr>
                <w:szCs w:val="22"/>
              </w:rPr>
            </w:pPr>
            <w:r w:rsidRPr="00D166EA">
              <w:rPr>
                <w:szCs w:val="22"/>
              </w:rPr>
              <w:t>HBV DNA &lt;</w:t>
            </w:r>
            <w:r w:rsidR="00C90F09">
              <w:rPr>
                <w:szCs w:val="22"/>
              </w:rPr>
              <w:t> </w:t>
            </w:r>
            <w:r w:rsidRPr="00D166EA">
              <w:rPr>
                <w:szCs w:val="22"/>
              </w:rPr>
              <w:t>50</w:t>
            </w:r>
            <w:r w:rsidR="00C90F09">
              <w:rPr>
                <w:szCs w:val="22"/>
              </w:rPr>
              <w:t> </w:t>
            </w:r>
            <w:r w:rsidRPr="00D166EA">
              <w:rPr>
                <w:szCs w:val="22"/>
              </w:rPr>
              <w:t>TV/ml</w:t>
            </w:r>
            <w:r w:rsidRPr="00D166EA">
              <w:rPr>
                <w:szCs w:val="22"/>
                <w:vertAlign w:val="superscript"/>
              </w:rPr>
              <w:t>a</w:t>
            </w:r>
            <w:r w:rsidRPr="00D166EA">
              <w:rPr>
                <w:rFonts w:eastAsia="Calibri"/>
                <w:szCs w:val="22"/>
              </w:rPr>
              <w:t xml:space="preserve"> </w:t>
            </w:r>
          </w:p>
        </w:tc>
        <w:tc>
          <w:tcPr>
            <w:tcW w:w="1616" w:type="dxa"/>
            <w:tcBorders>
              <w:top w:val="single" w:sz="8" w:space="0" w:color="000000"/>
              <w:left w:val="single" w:sz="8" w:space="0" w:color="000000"/>
              <w:bottom w:val="single" w:sz="8" w:space="0" w:color="000000"/>
              <w:right w:val="single" w:sz="8" w:space="0" w:color="000000"/>
            </w:tcBorders>
            <w:shd w:val="clear" w:color="auto" w:fill="auto"/>
          </w:tcPr>
          <w:p w14:paraId="042F280F" w14:textId="77777777" w:rsidR="00807239" w:rsidRPr="00D166EA" w:rsidRDefault="00807239" w:rsidP="00C90F09">
            <w:pPr>
              <w:spacing w:line="259" w:lineRule="auto"/>
              <w:ind w:right="23"/>
              <w:jc w:val="center"/>
              <w:rPr>
                <w:szCs w:val="22"/>
              </w:rPr>
            </w:pPr>
            <w:r w:rsidRPr="00D166EA">
              <w:rPr>
                <w:szCs w:val="22"/>
              </w:rPr>
              <w:t>49</w:t>
            </w:r>
            <w:r w:rsidR="00C90F09">
              <w:rPr>
                <w:szCs w:val="22"/>
              </w:rPr>
              <w:t>,</w:t>
            </w:r>
            <w:r w:rsidRPr="00D166EA">
              <w:rPr>
                <w:szCs w:val="22"/>
              </w:rPr>
              <w:t>2</w:t>
            </w:r>
            <w:r w:rsidR="00C90F09">
              <w:rPr>
                <w:szCs w:val="22"/>
              </w:rPr>
              <w:t> </w:t>
            </w:r>
            <w:r w:rsidRPr="00D166EA">
              <w:rPr>
                <w:szCs w:val="22"/>
              </w:rPr>
              <w:t>%</w:t>
            </w:r>
            <w:r w:rsidRPr="00D166EA">
              <w:rPr>
                <w:rFonts w:eastAsia="Calibri"/>
                <w:szCs w:val="22"/>
              </w:rPr>
              <w:t xml:space="preserve"> </w:t>
            </w:r>
          </w:p>
        </w:tc>
        <w:tc>
          <w:tcPr>
            <w:tcW w:w="1624" w:type="dxa"/>
            <w:tcBorders>
              <w:top w:val="single" w:sz="8" w:space="0" w:color="000000"/>
              <w:left w:val="single" w:sz="8" w:space="0" w:color="000000"/>
              <w:bottom w:val="single" w:sz="8" w:space="0" w:color="000000"/>
              <w:right w:val="single" w:sz="8" w:space="0" w:color="000000"/>
            </w:tcBorders>
            <w:shd w:val="clear" w:color="auto" w:fill="auto"/>
          </w:tcPr>
          <w:p w14:paraId="2020796E" w14:textId="77777777" w:rsidR="00807239" w:rsidRPr="00D166EA" w:rsidRDefault="00807239" w:rsidP="00C90F09">
            <w:pPr>
              <w:spacing w:line="259" w:lineRule="auto"/>
              <w:ind w:right="21"/>
              <w:jc w:val="center"/>
              <w:rPr>
                <w:szCs w:val="22"/>
              </w:rPr>
            </w:pPr>
            <w:r w:rsidRPr="00D166EA">
              <w:rPr>
                <w:szCs w:val="22"/>
              </w:rPr>
              <w:t>64</w:t>
            </w:r>
            <w:r w:rsidR="00C90F09">
              <w:rPr>
                <w:szCs w:val="22"/>
              </w:rPr>
              <w:t>,</w:t>
            </w:r>
            <w:r w:rsidRPr="00D166EA">
              <w:rPr>
                <w:szCs w:val="22"/>
              </w:rPr>
              <w:t>2</w:t>
            </w:r>
            <w:r w:rsidR="00C90F09">
              <w:rPr>
                <w:szCs w:val="22"/>
              </w:rPr>
              <w:t> </w:t>
            </w:r>
            <w:r w:rsidRPr="00D166EA">
              <w:rPr>
                <w:szCs w:val="22"/>
              </w:rPr>
              <w:t>%</w:t>
            </w:r>
            <w:r w:rsidRPr="00D166EA">
              <w:rPr>
                <w:rFonts w:eastAsia="Calibri"/>
                <w:szCs w:val="22"/>
              </w:rPr>
              <w:t xml:space="preserve"> </w:t>
            </w:r>
          </w:p>
        </w:tc>
        <w:tc>
          <w:tcPr>
            <w:tcW w:w="1318" w:type="dxa"/>
            <w:tcBorders>
              <w:top w:val="single" w:sz="8" w:space="0" w:color="000000"/>
              <w:left w:val="single" w:sz="8" w:space="0" w:color="000000"/>
              <w:bottom w:val="single" w:sz="8" w:space="0" w:color="000000"/>
              <w:right w:val="single" w:sz="8" w:space="0" w:color="000000"/>
            </w:tcBorders>
            <w:shd w:val="clear" w:color="auto" w:fill="auto"/>
          </w:tcPr>
          <w:p w14:paraId="18DF2A5C" w14:textId="77777777" w:rsidR="00807239" w:rsidRPr="00D166EA" w:rsidRDefault="00807239" w:rsidP="00C90F09">
            <w:pPr>
              <w:spacing w:line="259" w:lineRule="auto"/>
              <w:rPr>
                <w:szCs w:val="22"/>
              </w:rPr>
            </w:pPr>
            <w:r w:rsidRPr="00D166EA">
              <w:rPr>
                <w:szCs w:val="22"/>
              </w:rPr>
              <w:t>3</w:t>
            </w:r>
            <w:r w:rsidR="00C90F09">
              <w:rPr>
                <w:szCs w:val="22"/>
              </w:rPr>
              <w:t>,</w:t>
            </w:r>
            <w:r w:rsidRPr="00D166EA">
              <w:rPr>
                <w:szCs w:val="22"/>
              </w:rPr>
              <w:t>3</w:t>
            </w:r>
            <w:r w:rsidR="00C90F09">
              <w:rPr>
                <w:szCs w:val="22"/>
              </w:rPr>
              <w:t> </w:t>
            </w:r>
            <w:r w:rsidRPr="00D166EA">
              <w:rPr>
                <w:szCs w:val="22"/>
              </w:rPr>
              <w:t>%</w:t>
            </w:r>
            <w:r w:rsidRPr="00D166EA">
              <w:rPr>
                <w:rFonts w:eastAsia="Calibri"/>
                <w:szCs w:val="22"/>
              </w:rPr>
              <w:t xml:space="preserve"> </w:t>
            </w:r>
          </w:p>
        </w:tc>
      </w:tr>
      <w:tr w:rsidR="00807239" w:rsidRPr="00D166EA" w14:paraId="14453B8E" w14:textId="77777777" w:rsidTr="002746CC">
        <w:trPr>
          <w:trHeight w:val="250"/>
        </w:trPr>
        <w:tc>
          <w:tcPr>
            <w:tcW w:w="3048" w:type="dxa"/>
            <w:tcBorders>
              <w:top w:val="single" w:sz="8" w:space="0" w:color="000000"/>
              <w:left w:val="single" w:sz="8" w:space="0" w:color="000000"/>
              <w:bottom w:val="single" w:sz="8" w:space="0" w:color="000000"/>
              <w:right w:val="single" w:sz="8" w:space="0" w:color="000000"/>
            </w:tcBorders>
            <w:shd w:val="clear" w:color="auto" w:fill="auto"/>
          </w:tcPr>
          <w:p w14:paraId="0239862E" w14:textId="77777777" w:rsidR="00807239" w:rsidRPr="00D166EA" w:rsidRDefault="00807239" w:rsidP="00C949E4">
            <w:pPr>
              <w:spacing w:line="259" w:lineRule="auto"/>
              <w:rPr>
                <w:szCs w:val="22"/>
              </w:rPr>
            </w:pPr>
            <w:r w:rsidRPr="00D166EA">
              <w:rPr>
                <w:szCs w:val="22"/>
              </w:rPr>
              <w:lastRenderedPageBreak/>
              <w:t>HBeAg serokonversija</w:t>
            </w:r>
            <w:r w:rsidRPr="00D166EA">
              <w:rPr>
                <w:szCs w:val="22"/>
                <w:vertAlign w:val="superscript"/>
              </w:rPr>
              <w:t>a</w:t>
            </w:r>
            <w:r w:rsidRPr="00D166EA">
              <w:rPr>
                <w:rFonts w:eastAsia="Calibri"/>
                <w:szCs w:val="22"/>
              </w:rPr>
              <w:t xml:space="preserve"> </w:t>
            </w:r>
          </w:p>
        </w:tc>
        <w:tc>
          <w:tcPr>
            <w:tcW w:w="1616" w:type="dxa"/>
            <w:tcBorders>
              <w:top w:val="single" w:sz="8" w:space="0" w:color="000000"/>
              <w:left w:val="single" w:sz="8" w:space="0" w:color="000000"/>
              <w:bottom w:val="single" w:sz="8" w:space="0" w:color="000000"/>
              <w:right w:val="single" w:sz="8" w:space="0" w:color="000000"/>
            </w:tcBorders>
            <w:shd w:val="clear" w:color="auto" w:fill="auto"/>
          </w:tcPr>
          <w:p w14:paraId="73DD31CE" w14:textId="77777777" w:rsidR="00807239" w:rsidRPr="00D166EA" w:rsidRDefault="00807239" w:rsidP="00C90F09">
            <w:pPr>
              <w:spacing w:line="259" w:lineRule="auto"/>
              <w:ind w:right="23"/>
              <w:jc w:val="center"/>
              <w:rPr>
                <w:szCs w:val="22"/>
              </w:rPr>
            </w:pPr>
            <w:r w:rsidRPr="00D166EA">
              <w:rPr>
                <w:szCs w:val="22"/>
              </w:rPr>
              <w:t>24</w:t>
            </w:r>
            <w:r w:rsidR="00C90F09">
              <w:rPr>
                <w:szCs w:val="22"/>
              </w:rPr>
              <w:t>,</w:t>
            </w:r>
            <w:r w:rsidRPr="00D166EA">
              <w:rPr>
                <w:szCs w:val="22"/>
              </w:rPr>
              <w:t>2</w:t>
            </w:r>
            <w:r w:rsidR="00C90F09">
              <w:rPr>
                <w:szCs w:val="22"/>
              </w:rPr>
              <w:t> </w:t>
            </w:r>
            <w:r w:rsidRPr="00D166EA">
              <w:rPr>
                <w:szCs w:val="22"/>
              </w:rPr>
              <w:t>%</w:t>
            </w:r>
            <w:r w:rsidRPr="00D166EA">
              <w:rPr>
                <w:rFonts w:eastAsia="Calibri"/>
                <w:szCs w:val="22"/>
              </w:rPr>
              <w:t xml:space="preserve"> </w:t>
            </w:r>
          </w:p>
        </w:tc>
        <w:tc>
          <w:tcPr>
            <w:tcW w:w="1624" w:type="dxa"/>
            <w:tcBorders>
              <w:top w:val="single" w:sz="8" w:space="0" w:color="000000"/>
              <w:left w:val="single" w:sz="8" w:space="0" w:color="000000"/>
              <w:bottom w:val="single" w:sz="8" w:space="0" w:color="000000"/>
              <w:right w:val="single" w:sz="8" w:space="0" w:color="000000"/>
            </w:tcBorders>
            <w:shd w:val="clear" w:color="auto" w:fill="auto"/>
          </w:tcPr>
          <w:p w14:paraId="07CC944B" w14:textId="77777777" w:rsidR="00807239" w:rsidRPr="00D166EA" w:rsidRDefault="00807239" w:rsidP="00C90F09">
            <w:pPr>
              <w:spacing w:line="259" w:lineRule="auto"/>
              <w:ind w:right="21"/>
              <w:jc w:val="center"/>
              <w:rPr>
                <w:szCs w:val="22"/>
              </w:rPr>
            </w:pPr>
            <w:r w:rsidRPr="00D166EA">
              <w:rPr>
                <w:szCs w:val="22"/>
              </w:rPr>
              <w:t>36</w:t>
            </w:r>
            <w:r w:rsidR="00C90F09">
              <w:rPr>
                <w:szCs w:val="22"/>
              </w:rPr>
              <w:t>,</w:t>
            </w:r>
            <w:r w:rsidRPr="00D166EA">
              <w:rPr>
                <w:szCs w:val="22"/>
              </w:rPr>
              <w:t>7</w:t>
            </w:r>
            <w:r w:rsidR="00C90F09">
              <w:rPr>
                <w:szCs w:val="22"/>
              </w:rPr>
              <w:t> </w:t>
            </w:r>
            <w:r w:rsidRPr="00D166EA">
              <w:rPr>
                <w:szCs w:val="22"/>
              </w:rPr>
              <w:t>%</w:t>
            </w:r>
            <w:r w:rsidRPr="00D166EA">
              <w:rPr>
                <w:rFonts w:eastAsia="Calibri"/>
                <w:szCs w:val="22"/>
              </w:rPr>
              <w:t xml:space="preserve"> </w:t>
            </w:r>
          </w:p>
        </w:tc>
        <w:tc>
          <w:tcPr>
            <w:tcW w:w="1318" w:type="dxa"/>
            <w:tcBorders>
              <w:top w:val="single" w:sz="8" w:space="0" w:color="000000"/>
              <w:left w:val="single" w:sz="8" w:space="0" w:color="000000"/>
              <w:bottom w:val="single" w:sz="8" w:space="0" w:color="000000"/>
              <w:right w:val="single" w:sz="8" w:space="0" w:color="000000"/>
            </w:tcBorders>
            <w:shd w:val="clear" w:color="auto" w:fill="auto"/>
          </w:tcPr>
          <w:p w14:paraId="4E61AD61" w14:textId="77777777" w:rsidR="00807239" w:rsidRPr="00D166EA" w:rsidRDefault="00807239" w:rsidP="00C90F09">
            <w:pPr>
              <w:spacing w:line="259" w:lineRule="auto"/>
              <w:rPr>
                <w:szCs w:val="22"/>
              </w:rPr>
            </w:pPr>
            <w:r w:rsidRPr="00D166EA">
              <w:rPr>
                <w:szCs w:val="22"/>
              </w:rPr>
              <w:t>10</w:t>
            </w:r>
            <w:r w:rsidR="00C90F09">
              <w:rPr>
                <w:szCs w:val="22"/>
              </w:rPr>
              <w:t>,</w:t>
            </w:r>
            <w:r w:rsidRPr="00D166EA">
              <w:rPr>
                <w:szCs w:val="22"/>
              </w:rPr>
              <w:t>0</w:t>
            </w:r>
            <w:r w:rsidR="00C90F09">
              <w:rPr>
                <w:szCs w:val="22"/>
              </w:rPr>
              <w:t> </w:t>
            </w:r>
            <w:r w:rsidRPr="00D166EA">
              <w:rPr>
                <w:szCs w:val="22"/>
              </w:rPr>
              <w:t>%</w:t>
            </w:r>
            <w:r w:rsidRPr="00D166EA">
              <w:rPr>
                <w:rFonts w:eastAsia="Calibri"/>
                <w:szCs w:val="22"/>
              </w:rPr>
              <w:t xml:space="preserve"> </w:t>
            </w:r>
          </w:p>
        </w:tc>
      </w:tr>
      <w:tr w:rsidR="00807239" w:rsidRPr="00D166EA" w14:paraId="685F6F2C" w14:textId="77777777" w:rsidTr="002746CC">
        <w:trPr>
          <w:trHeight w:val="262"/>
        </w:trPr>
        <w:tc>
          <w:tcPr>
            <w:tcW w:w="3048" w:type="dxa"/>
            <w:tcBorders>
              <w:top w:val="single" w:sz="8" w:space="0" w:color="000000"/>
              <w:left w:val="single" w:sz="8" w:space="0" w:color="000000"/>
              <w:bottom w:val="single" w:sz="17" w:space="0" w:color="000000"/>
              <w:right w:val="single" w:sz="8" w:space="0" w:color="000000"/>
            </w:tcBorders>
            <w:shd w:val="clear" w:color="auto" w:fill="auto"/>
          </w:tcPr>
          <w:p w14:paraId="3F0A7DD8" w14:textId="77777777" w:rsidR="00807239" w:rsidRPr="00D166EA" w:rsidRDefault="00807239" w:rsidP="00C949E4">
            <w:pPr>
              <w:spacing w:line="259" w:lineRule="auto"/>
              <w:rPr>
                <w:szCs w:val="22"/>
              </w:rPr>
            </w:pPr>
            <w:r w:rsidRPr="00D166EA">
              <w:rPr>
                <w:szCs w:val="22"/>
              </w:rPr>
              <w:t>ALT sunormalėjimas</w:t>
            </w:r>
            <w:r w:rsidRPr="00D166EA">
              <w:rPr>
                <w:szCs w:val="22"/>
                <w:vertAlign w:val="superscript"/>
              </w:rPr>
              <w:t>a</w:t>
            </w:r>
            <w:r w:rsidRPr="00D166EA">
              <w:rPr>
                <w:rFonts w:eastAsia="Calibri"/>
                <w:szCs w:val="22"/>
              </w:rPr>
              <w:t xml:space="preserve"> </w:t>
            </w:r>
          </w:p>
        </w:tc>
        <w:tc>
          <w:tcPr>
            <w:tcW w:w="1616" w:type="dxa"/>
            <w:tcBorders>
              <w:top w:val="single" w:sz="8" w:space="0" w:color="000000"/>
              <w:left w:val="single" w:sz="8" w:space="0" w:color="000000"/>
              <w:bottom w:val="single" w:sz="17" w:space="0" w:color="000000"/>
              <w:right w:val="single" w:sz="8" w:space="0" w:color="000000"/>
            </w:tcBorders>
            <w:shd w:val="clear" w:color="auto" w:fill="auto"/>
          </w:tcPr>
          <w:p w14:paraId="108A9758" w14:textId="77777777" w:rsidR="00807239" w:rsidRPr="00D166EA" w:rsidRDefault="00807239" w:rsidP="00C90F09">
            <w:pPr>
              <w:spacing w:line="259" w:lineRule="auto"/>
              <w:ind w:right="23"/>
              <w:jc w:val="center"/>
              <w:rPr>
                <w:szCs w:val="22"/>
              </w:rPr>
            </w:pPr>
            <w:r w:rsidRPr="00D166EA">
              <w:rPr>
                <w:szCs w:val="22"/>
              </w:rPr>
              <w:t>67</w:t>
            </w:r>
            <w:r w:rsidR="00C90F09">
              <w:rPr>
                <w:szCs w:val="22"/>
              </w:rPr>
              <w:t>,</w:t>
            </w:r>
            <w:r w:rsidRPr="00D166EA">
              <w:rPr>
                <w:szCs w:val="22"/>
              </w:rPr>
              <w:t>5</w:t>
            </w:r>
            <w:r w:rsidR="00C90F09">
              <w:rPr>
                <w:szCs w:val="22"/>
              </w:rPr>
              <w:t> </w:t>
            </w:r>
            <w:r w:rsidRPr="00D166EA">
              <w:rPr>
                <w:szCs w:val="22"/>
              </w:rPr>
              <w:t>%</w:t>
            </w:r>
            <w:r w:rsidRPr="00D166EA">
              <w:rPr>
                <w:rFonts w:eastAsia="Calibri"/>
                <w:szCs w:val="22"/>
              </w:rPr>
              <w:t xml:space="preserve"> </w:t>
            </w:r>
          </w:p>
        </w:tc>
        <w:tc>
          <w:tcPr>
            <w:tcW w:w="1624" w:type="dxa"/>
            <w:tcBorders>
              <w:top w:val="single" w:sz="8" w:space="0" w:color="000000"/>
              <w:left w:val="single" w:sz="8" w:space="0" w:color="000000"/>
              <w:bottom w:val="single" w:sz="17" w:space="0" w:color="000000"/>
              <w:right w:val="single" w:sz="8" w:space="0" w:color="000000"/>
            </w:tcBorders>
            <w:shd w:val="clear" w:color="auto" w:fill="auto"/>
          </w:tcPr>
          <w:p w14:paraId="2FDCD693" w14:textId="77777777" w:rsidR="00807239" w:rsidRPr="00D166EA" w:rsidRDefault="00807239" w:rsidP="00C90F09">
            <w:pPr>
              <w:spacing w:line="259" w:lineRule="auto"/>
              <w:ind w:right="21"/>
              <w:jc w:val="center"/>
              <w:rPr>
                <w:szCs w:val="22"/>
              </w:rPr>
            </w:pPr>
            <w:r w:rsidRPr="00D166EA">
              <w:rPr>
                <w:szCs w:val="22"/>
              </w:rPr>
              <w:t>81</w:t>
            </w:r>
            <w:r w:rsidR="00C90F09">
              <w:rPr>
                <w:szCs w:val="22"/>
              </w:rPr>
              <w:t>,</w:t>
            </w:r>
            <w:r w:rsidRPr="00D166EA">
              <w:rPr>
                <w:szCs w:val="22"/>
              </w:rPr>
              <w:t>7</w:t>
            </w:r>
            <w:r w:rsidR="00C90F09">
              <w:rPr>
                <w:szCs w:val="22"/>
              </w:rPr>
              <w:t> </w:t>
            </w:r>
            <w:r w:rsidRPr="00D166EA">
              <w:rPr>
                <w:szCs w:val="22"/>
              </w:rPr>
              <w:t>%</w:t>
            </w:r>
            <w:r w:rsidRPr="00D166EA">
              <w:rPr>
                <w:rFonts w:eastAsia="Calibri"/>
                <w:szCs w:val="22"/>
              </w:rPr>
              <w:t xml:space="preserve"> </w:t>
            </w:r>
          </w:p>
        </w:tc>
        <w:tc>
          <w:tcPr>
            <w:tcW w:w="1318" w:type="dxa"/>
            <w:tcBorders>
              <w:top w:val="single" w:sz="8" w:space="0" w:color="000000"/>
              <w:left w:val="single" w:sz="8" w:space="0" w:color="000000"/>
              <w:bottom w:val="single" w:sz="17" w:space="0" w:color="000000"/>
              <w:right w:val="single" w:sz="8" w:space="0" w:color="000000"/>
            </w:tcBorders>
            <w:shd w:val="clear" w:color="auto" w:fill="auto"/>
          </w:tcPr>
          <w:p w14:paraId="46208371" w14:textId="77777777" w:rsidR="00807239" w:rsidRPr="00D166EA" w:rsidRDefault="00807239" w:rsidP="00C90F09">
            <w:pPr>
              <w:spacing w:line="259" w:lineRule="auto"/>
              <w:rPr>
                <w:szCs w:val="22"/>
              </w:rPr>
            </w:pPr>
            <w:r w:rsidRPr="00D166EA">
              <w:rPr>
                <w:szCs w:val="22"/>
              </w:rPr>
              <w:t>23</w:t>
            </w:r>
            <w:r w:rsidR="00C90F09">
              <w:rPr>
                <w:szCs w:val="22"/>
              </w:rPr>
              <w:t>,</w:t>
            </w:r>
            <w:r w:rsidRPr="00D166EA">
              <w:rPr>
                <w:szCs w:val="22"/>
              </w:rPr>
              <w:t>3</w:t>
            </w:r>
            <w:r w:rsidR="00C90F09">
              <w:rPr>
                <w:szCs w:val="22"/>
              </w:rPr>
              <w:t> </w:t>
            </w:r>
            <w:r w:rsidRPr="00D166EA">
              <w:rPr>
                <w:szCs w:val="22"/>
              </w:rPr>
              <w:t>%</w:t>
            </w:r>
            <w:r w:rsidRPr="00D166EA">
              <w:rPr>
                <w:rFonts w:eastAsia="Calibri"/>
                <w:szCs w:val="22"/>
              </w:rPr>
              <w:t xml:space="preserve"> </w:t>
            </w:r>
          </w:p>
        </w:tc>
      </w:tr>
      <w:tr w:rsidR="00807239" w:rsidRPr="00D166EA" w14:paraId="20FF8D31" w14:textId="77777777" w:rsidTr="002746CC">
        <w:trPr>
          <w:trHeight w:val="991"/>
        </w:trPr>
        <w:tc>
          <w:tcPr>
            <w:tcW w:w="3048" w:type="dxa"/>
            <w:tcBorders>
              <w:top w:val="single" w:sz="17" w:space="0" w:color="000000"/>
              <w:left w:val="single" w:sz="8" w:space="0" w:color="000000"/>
              <w:bottom w:val="nil"/>
              <w:right w:val="single" w:sz="8" w:space="0" w:color="000000"/>
            </w:tcBorders>
            <w:shd w:val="clear" w:color="auto" w:fill="auto"/>
            <w:vAlign w:val="bottom"/>
          </w:tcPr>
          <w:p w14:paraId="3038E51E" w14:textId="77777777" w:rsidR="00807239" w:rsidRPr="00D166EA" w:rsidRDefault="00807239" w:rsidP="00C949E4">
            <w:pPr>
              <w:spacing w:after="151" w:line="259" w:lineRule="auto"/>
              <w:rPr>
                <w:szCs w:val="22"/>
              </w:rPr>
            </w:pPr>
            <w:r w:rsidRPr="00D166EA">
              <w:rPr>
                <w:szCs w:val="22"/>
              </w:rPr>
              <w:t>HBV DNA &lt;</w:t>
            </w:r>
            <w:r w:rsidR="00C90F09">
              <w:rPr>
                <w:szCs w:val="22"/>
              </w:rPr>
              <w:t> </w:t>
            </w:r>
            <w:r w:rsidRPr="00D166EA">
              <w:rPr>
                <w:szCs w:val="22"/>
              </w:rPr>
              <w:t>50</w:t>
            </w:r>
            <w:r w:rsidR="00C90F09">
              <w:rPr>
                <w:szCs w:val="22"/>
              </w:rPr>
              <w:t> </w:t>
            </w:r>
            <w:r w:rsidRPr="00D166EA">
              <w:rPr>
                <w:szCs w:val="22"/>
              </w:rPr>
              <w:t>TV/mL</w:t>
            </w:r>
            <w:r w:rsidRPr="00D166EA">
              <w:rPr>
                <w:szCs w:val="22"/>
                <w:vertAlign w:val="superscript"/>
              </w:rPr>
              <w:t>a</w:t>
            </w:r>
            <w:r w:rsidRPr="00D166EA">
              <w:rPr>
                <w:szCs w:val="22"/>
              </w:rPr>
              <w:t xml:space="preserve"> </w:t>
            </w:r>
          </w:p>
          <w:p w14:paraId="11BA8C96" w14:textId="77777777" w:rsidR="00807239" w:rsidRPr="00D166EA" w:rsidRDefault="00807239" w:rsidP="00C949E4">
            <w:pPr>
              <w:spacing w:line="259" w:lineRule="auto"/>
              <w:ind w:left="240"/>
              <w:rPr>
                <w:szCs w:val="22"/>
              </w:rPr>
            </w:pPr>
            <w:r w:rsidRPr="00D166EA">
              <w:rPr>
                <w:szCs w:val="22"/>
              </w:rPr>
              <w:t xml:space="preserve">Iš pradžių </w:t>
            </w:r>
          </w:p>
          <w:p w14:paraId="3CB0246B" w14:textId="77777777" w:rsidR="00807239" w:rsidRPr="00D166EA" w:rsidRDefault="00807239" w:rsidP="00C90F09">
            <w:pPr>
              <w:spacing w:line="259" w:lineRule="auto"/>
              <w:ind w:left="240"/>
              <w:rPr>
                <w:szCs w:val="22"/>
              </w:rPr>
            </w:pPr>
            <w:r w:rsidRPr="00D166EA">
              <w:rPr>
                <w:szCs w:val="22"/>
              </w:rPr>
              <w:t>HBV DNA &lt;</w:t>
            </w:r>
            <w:r w:rsidR="00C90F09">
              <w:rPr>
                <w:szCs w:val="22"/>
              </w:rPr>
              <w:t> </w:t>
            </w:r>
            <w:r w:rsidRPr="00D166EA">
              <w:rPr>
                <w:szCs w:val="22"/>
              </w:rPr>
              <w:t>8</w:t>
            </w:r>
            <w:r w:rsidR="00C90F09">
              <w:rPr>
                <w:szCs w:val="22"/>
              </w:rPr>
              <w:t> </w:t>
            </w:r>
            <w:r w:rsidRPr="00D166EA">
              <w:rPr>
                <w:szCs w:val="22"/>
              </w:rPr>
              <w:t>log</w:t>
            </w:r>
            <w:r w:rsidRPr="00D166EA">
              <w:rPr>
                <w:szCs w:val="22"/>
                <w:vertAlign w:val="subscript"/>
              </w:rPr>
              <w:t>10</w:t>
            </w:r>
            <w:r w:rsidR="00C90F09">
              <w:rPr>
                <w:szCs w:val="22"/>
              </w:rPr>
              <w:t> TV</w:t>
            </w:r>
            <w:r w:rsidRPr="00D166EA">
              <w:rPr>
                <w:szCs w:val="22"/>
              </w:rPr>
              <w:t>/ml</w:t>
            </w:r>
            <w:r w:rsidRPr="00D166EA">
              <w:rPr>
                <w:rFonts w:eastAsia="Calibri"/>
                <w:szCs w:val="22"/>
              </w:rPr>
              <w:t xml:space="preserve"> </w:t>
            </w:r>
          </w:p>
        </w:tc>
        <w:tc>
          <w:tcPr>
            <w:tcW w:w="1616" w:type="dxa"/>
            <w:tcBorders>
              <w:top w:val="single" w:sz="17" w:space="0" w:color="000000"/>
              <w:left w:val="single" w:sz="8" w:space="0" w:color="000000"/>
              <w:bottom w:val="nil"/>
              <w:right w:val="single" w:sz="8" w:space="0" w:color="000000"/>
            </w:tcBorders>
            <w:shd w:val="clear" w:color="auto" w:fill="auto"/>
          </w:tcPr>
          <w:p w14:paraId="4C71F31D" w14:textId="77777777" w:rsidR="00807239" w:rsidRPr="00D166EA" w:rsidRDefault="00807239" w:rsidP="00C949E4">
            <w:pPr>
              <w:spacing w:line="259" w:lineRule="auto"/>
              <w:ind w:left="22"/>
              <w:jc w:val="center"/>
              <w:rPr>
                <w:szCs w:val="22"/>
              </w:rPr>
            </w:pPr>
            <w:r w:rsidRPr="00D166EA">
              <w:rPr>
                <w:rFonts w:eastAsia="Calibri"/>
                <w:szCs w:val="22"/>
              </w:rPr>
              <w:t xml:space="preserve"> </w:t>
            </w:r>
          </w:p>
          <w:p w14:paraId="4A887BFF" w14:textId="77777777" w:rsidR="00807239" w:rsidRPr="00D166EA" w:rsidRDefault="00807239" w:rsidP="00C949E4">
            <w:pPr>
              <w:spacing w:line="259" w:lineRule="auto"/>
              <w:ind w:left="22"/>
              <w:jc w:val="center"/>
              <w:rPr>
                <w:rFonts w:eastAsia="Calibri"/>
                <w:szCs w:val="22"/>
              </w:rPr>
            </w:pPr>
          </w:p>
          <w:p w14:paraId="7109C505" w14:textId="77777777" w:rsidR="00807239" w:rsidRPr="00D166EA" w:rsidRDefault="00807239" w:rsidP="00C949E4">
            <w:pPr>
              <w:spacing w:line="259" w:lineRule="auto"/>
              <w:ind w:left="22"/>
              <w:jc w:val="center"/>
              <w:rPr>
                <w:szCs w:val="22"/>
              </w:rPr>
            </w:pPr>
            <w:r w:rsidRPr="00D166EA">
              <w:rPr>
                <w:rFonts w:eastAsia="Calibri"/>
                <w:szCs w:val="22"/>
              </w:rPr>
              <w:t xml:space="preserve"> </w:t>
            </w:r>
          </w:p>
          <w:p w14:paraId="1ED8336D" w14:textId="77777777" w:rsidR="00807239" w:rsidRPr="00D166EA" w:rsidRDefault="00807239" w:rsidP="00CC4FF7">
            <w:pPr>
              <w:spacing w:line="259" w:lineRule="auto"/>
              <w:ind w:right="24"/>
              <w:jc w:val="center"/>
              <w:rPr>
                <w:szCs w:val="22"/>
              </w:rPr>
            </w:pPr>
            <w:r w:rsidRPr="00D166EA">
              <w:rPr>
                <w:szCs w:val="22"/>
              </w:rPr>
              <w:t>82</w:t>
            </w:r>
            <w:r w:rsidR="00CC4FF7">
              <w:rPr>
                <w:szCs w:val="22"/>
              </w:rPr>
              <w:t>,</w:t>
            </w:r>
            <w:r w:rsidRPr="00D166EA">
              <w:rPr>
                <w:szCs w:val="22"/>
              </w:rPr>
              <w:t>6</w:t>
            </w:r>
            <w:r w:rsidR="00CC4FF7">
              <w:rPr>
                <w:szCs w:val="22"/>
              </w:rPr>
              <w:t> </w:t>
            </w:r>
            <w:r w:rsidRPr="00D166EA">
              <w:rPr>
                <w:szCs w:val="22"/>
              </w:rPr>
              <w:t>% (38/46)</w:t>
            </w:r>
            <w:r w:rsidRPr="00D166EA">
              <w:rPr>
                <w:rFonts w:eastAsia="Calibri"/>
                <w:szCs w:val="22"/>
              </w:rPr>
              <w:t xml:space="preserve"> </w:t>
            </w:r>
          </w:p>
        </w:tc>
        <w:tc>
          <w:tcPr>
            <w:tcW w:w="1624" w:type="dxa"/>
            <w:tcBorders>
              <w:top w:val="single" w:sz="17" w:space="0" w:color="000000"/>
              <w:left w:val="single" w:sz="8" w:space="0" w:color="000000"/>
              <w:bottom w:val="nil"/>
              <w:right w:val="single" w:sz="8" w:space="0" w:color="000000"/>
            </w:tcBorders>
            <w:shd w:val="clear" w:color="auto" w:fill="auto"/>
          </w:tcPr>
          <w:p w14:paraId="67399192" w14:textId="77777777" w:rsidR="00807239" w:rsidRPr="00D166EA" w:rsidRDefault="00807239" w:rsidP="00C949E4">
            <w:pPr>
              <w:spacing w:after="226" w:line="259" w:lineRule="auto"/>
              <w:ind w:left="24"/>
              <w:jc w:val="center"/>
              <w:rPr>
                <w:szCs w:val="22"/>
              </w:rPr>
            </w:pPr>
            <w:r w:rsidRPr="00D166EA">
              <w:rPr>
                <w:rFonts w:eastAsia="Calibri"/>
                <w:szCs w:val="22"/>
              </w:rPr>
              <w:t xml:space="preserve"> </w:t>
            </w:r>
          </w:p>
          <w:p w14:paraId="269277FD" w14:textId="77777777" w:rsidR="00807239" w:rsidRPr="00D166EA" w:rsidRDefault="00807239" w:rsidP="00C949E4">
            <w:pPr>
              <w:spacing w:line="259" w:lineRule="auto"/>
              <w:ind w:left="62"/>
              <w:rPr>
                <w:szCs w:val="22"/>
              </w:rPr>
            </w:pPr>
          </w:p>
          <w:p w14:paraId="5C11F89B" w14:textId="77777777" w:rsidR="00807239" w:rsidRPr="00D166EA" w:rsidRDefault="00807239" w:rsidP="00CC4FF7">
            <w:pPr>
              <w:spacing w:line="259" w:lineRule="auto"/>
              <w:ind w:left="62"/>
              <w:rPr>
                <w:szCs w:val="22"/>
              </w:rPr>
            </w:pPr>
            <w:r w:rsidRPr="00D166EA">
              <w:rPr>
                <w:szCs w:val="22"/>
              </w:rPr>
              <w:t>82</w:t>
            </w:r>
            <w:r w:rsidR="00CC4FF7">
              <w:rPr>
                <w:szCs w:val="22"/>
              </w:rPr>
              <w:t>,</w:t>
            </w:r>
            <w:r w:rsidRPr="00D166EA">
              <w:rPr>
                <w:szCs w:val="22"/>
              </w:rPr>
              <w:t>6</w:t>
            </w:r>
            <w:r w:rsidR="00CC4FF7">
              <w:rPr>
                <w:szCs w:val="22"/>
              </w:rPr>
              <w:t> </w:t>
            </w:r>
            <w:r w:rsidRPr="00D166EA">
              <w:rPr>
                <w:szCs w:val="22"/>
              </w:rPr>
              <w:t>% (38/46)</w:t>
            </w:r>
            <w:r w:rsidRPr="00D166EA">
              <w:rPr>
                <w:rFonts w:eastAsia="Calibri"/>
                <w:szCs w:val="22"/>
              </w:rPr>
              <w:t xml:space="preserve"> </w:t>
            </w:r>
          </w:p>
        </w:tc>
        <w:tc>
          <w:tcPr>
            <w:tcW w:w="1318" w:type="dxa"/>
            <w:tcBorders>
              <w:top w:val="single" w:sz="17" w:space="0" w:color="000000"/>
              <w:left w:val="single" w:sz="8" w:space="0" w:color="000000"/>
              <w:bottom w:val="nil"/>
              <w:right w:val="single" w:sz="8" w:space="0" w:color="000000"/>
            </w:tcBorders>
            <w:shd w:val="clear" w:color="auto" w:fill="auto"/>
          </w:tcPr>
          <w:p w14:paraId="387B2807" w14:textId="77777777" w:rsidR="00807239" w:rsidRPr="00D166EA" w:rsidRDefault="00807239" w:rsidP="00C949E4">
            <w:pPr>
              <w:spacing w:after="226" w:line="259" w:lineRule="auto"/>
              <w:rPr>
                <w:szCs w:val="22"/>
              </w:rPr>
            </w:pPr>
            <w:r w:rsidRPr="00D166EA">
              <w:rPr>
                <w:rFonts w:eastAsia="Calibri"/>
                <w:szCs w:val="22"/>
              </w:rPr>
              <w:t xml:space="preserve"> </w:t>
            </w:r>
          </w:p>
          <w:p w14:paraId="67BB6696" w14:textId="77777777" w:rsidR="00807239" w:rsidRPr="00D166EA" w:rsidRDefault="00807239" w:rsidP="00C949E4">
            <w:pPr>
              <w:spacing w:line="259" w:lineRule="auto"/>
              <w:rPr>
                <w:szCs w:val="22"/>
              </w:rPr>
            </w:pPr>
          </w:p>
          <w:p w14:paraId="1B5B84BA" w14:textId="77777777" w:rsidR="00807239" w:rsidRPr="00D166EA" w:rsidRDefault="00807239" w:rsidP="00CC4FF7">
            <w:pPr>
              <w:spacing w:line="259" w:lineRule="auto"/>
              <w:rPr>
                <w:szCs w:val="22"/>
              </w:rPr>
            </w:pPr>
            <w:r w:rsidRPr="00D166EA">
              <w:rPr>
                <w:szCs w:val="22"/>
              </w:rPr>
              <w:t>6</w:t>
            </w:r>
            <w:r w:rsidR="00CC4FF7">
              <w:rPr>
                <w:szCs w:val="22"/>
              </w:rPr>
              <w:t>,</w:t>
            </w:r>
            <w:r w:rsidRPr="00D166EA">
              <w:rPr>
                <w:szCs w:val="22"/>
              </w:rPr>
              <w:t>5</w:t>
            </w:r>
            <w:r w:rsidR="00CC4FF7">
              <w:rPr>
                <w:szCs w:val="22"/>
              </w:rPr>
              <w:t> </w:t>
            </w:r>
            <w:r w:rsidRPr="00D166EA">
              <w:rPr>
                <w:szCs w:val="22"/>
              </w:rPr>
              <w:t>% (2/31)</w:t>
            </w:r>
            <w:r w:rsidRPr="00D166EA">
              <w:rPr>
                <w:rFonts w:eastAsia="Calibri"/>
                <w:szCs w:val="22"/>
              </w:rPr>
              <w:t xml:space="preserve"> </w:t>
            </w:r>
          </w:p>
        </w:tc>
      </w:tr>
      <w:tr w:rsidR="00807239" w:rsidRPr="00D166EA" w14:paraId="41FDE485" w14:textId="77777777" w:rsidTr="002746CC">
        <w:trPr>
          <w:trHeight w:val="494"/>
        </w:trPr>
        <w:tc>
          <w:tcPr>
            <w:tcW w:w="3048" w:type="dxa"/>
            <w:tcBorders>
              <w:top w:val="nil"/>
              <w:left w:val="single" w:sz="8" w:space="0" w:color="000000"/>
              <w:bottom w:val="single" w:sz="8" w:space="0" w:color="000000"/>
              <w:right w:val="single" w:sz="8" w:space="0" w:color="000000"/>
            </w:tcBorders>
            <w:shd w:val="clear" w:color="auto" w:fill="auto"/>
          </w:tcPr>
          <w:p w14:paraId="06D85E6E" w14:textId="77777777" w:rsidR="00807239" w:rsidRPr="00D166EA" w:rsidRDefault="00807239" w:rsidP="00C949E4">
            <w:pPr>
              <w:spacing w:line="259" w:lineRule="auto"/>
              <w:ind w:left="240"/>
              <w:rPr>
                <w:szCs w:val="22"/>
              </w:rPr>
            </w:pPr>
            <w:r w:rsidRPr="00D166EA">
              <w:rPr>
                <w:szCs w:val="22"/>
              </w:rPr>
              <w:t>Iš pradžių</w:t>
            </w:r>
          </w:p>
          <w:p w14:paraId="35AB5C55" w14:textId="77777777" w:rsidR="00807239" w:rsidRPr="00D166EA" w:rsidRDefault="00807239" w:rsidP="00C90F09">
            <w:pPr>
              <w:spacing w:line="259" w:lineRule="auto"/>
              <w:ind w:left="240"/>
              <w:rPr>
                <w:szCs w:val="22"/>
              </w:rPr>
            </w:pPr>
            <w:r w:rsidRPr="00D166EA">
              <w:rPr>
                <w:szCs w:val="22"/>
              </w:rPr>
              <w:t xml:space="preserve"> HBV DNA ≥</w:t>
            </w:r>
            <w:r w:rsidR="00C90F09">
              <w:rPr>
                <w:szCs w:val="22"/>
              </w:rPr>
              <w:t> </w:t>
            </w:r>
            <w:r w:rsidRPr="00D166EA">
              <w:rPr>
                <w:szCs w:val="22"/>
              </w:rPr>
              <w:t>8</w:t>
            </w:r>
            <w:r w:rsidR="00C90F09">
              <w:rPr>
                <w:szCs w:val="22"/>
              </w:rPr>
              <w:t> </w:t>
            </w:r>
            <w:r w:rsidRPr="00D166EA">
              <w:rPr>
                <w:szCs w:val="22"/>
              </w:rPr>
              <w:t>log</w:t>
            </w:r>
            <w:r w:rsidRPr="00D166EA">
              <w:rPr>
                <w:szCs w:val="22"/>
                <w:vertAlign w:val="subscript"/>
              </w:rPr>
              <w:t>10</w:t>
            </w:r>
            <w:r w:rsidR="00C90F09">
              <w:rPr>
                <w:szCs w:val="22"/>
              </w:rPr>
              <w:t> TV</w:t>
            </w:r>
            <w:r w:rsidRPr="00D166EA">
              <w:rPr>
                <w:szCs w:val="22"/>
              </w:rPr>
              <w:t xml:space="preserve">/ml </w:t>
            </w:r>
          </w:p>
        </w:tc>
        <w:tc>
          <w:tcPr>
            <w:tcW w:w="1616" w:type="dxa"/>
            <w:tcBorders>
              <w:top w:val="nil"/>
              <w:left w:val="single" w:sz="8" w:space="0" w:color="000000"/>
              <w:bottom w:val="single" w:sz="8" w:space="0" w:color="000000"/>
              <w:right w:val="single" w:sz="8" w:space="0" w:color="000000"/>
            </w:tcBorders>
            <w:shd w:val="clear" w:color="auto" w:fill="auto"/>
          </w:tcPr>
          <w:p w14:paraId="0A01EF77" w14:textId="77777777" w:rsidR="00807239" w:rsidRPr="00D166EA" w:rsidRDefault="00807239" w:rsidP="00C949E4">
            <w:pPr>
              <w:spacing w:line="259" w:lineRule="auto"/>
              <w:jc w:val="center"/>
              <w:rPr>
                <w:szCs w:val="22"/>
              </w:rPr>
            </w:pPr>
          </w:p>
          <w:p w14:paraId="074C5FC2" w14:textId="77777777" w:rsidR="00807239" w:rsidRPr="00D166EA" w:rsidRDefault="00807239" w:rsidP="00CC4FF7">
            <w:pPr>
              <w:spacing w:line="259" w:lineRule="auto"/>
              <w:jc w:val="center"/>
              <w:rPr>
                <w:szCs w:val="22"/>
              </w:rPr>
            </w:pPr>
            <w:r w:rsidRPr="00D166EA">
              <w:rPr>
                <w:szCs w:val="22"/>
              </w:rPr>
              <w:t>28</w:t>
            </w:r>
            <w:r w:rsidR="00CC4FF7">
              <w:rPr>
                <w:szCs w:val="22"/>
              </w:rPr>
              <w:t>,</w:t>
            </w:r>
            <w:r w:rsidRPr="00D166EA">
              <w:rPr>
                <w:szCs w:val="22"/>
              </w:rPr>
              <w:t>4</w:t>
            </w:r>
            <w:r w:rsidR="00CC4FF7">
              <w:rPr>
                <w:szCs w:val="22"/>
              </w:rPr>
              <w:t> </w:t>
            </w:r>
            <w:r w:rsidRPr="00D166EA">
              <w:rPr>
                <w:szCs w:val="22"/>
              </w:rPr>
              <w:t>% (21/74)</w:t>
            </w:r>
          </w:p>
        </w:tc>
        <w:tc>
          <w:tcPr>
            <w:tcW w:w="1624" w:type="dxa"/>
            <w:tcBorders>
              <w:top w:val="nil"/>
              <w:left w:val="single" w:sz="8" w:space="0" w:color="000000"/>
              <w:bottom w:val="single" w:sz="8" w:space="0" w:color="000000"/>
              <w:right w:val="single" w:sz="8" w:space="0" w:color="000000"/>
            </w:tcBorders>
            <w:shd w:val="clear" w:color="auto" w:fill="auto"/>
          </w:tcPr>
          <w:p w14:paraId="18023972" w14:textId="77777777" w:rsidR="00807239" w:rsidRPr="00D166EA" w:rsidRDefault="00807239" w:rsidP="00C949E4">
            <w:pPr>
              <w:spacing w:line="259" w:lineRule="auto"/>
              <w:ind w:left="2"/>
              <w:jc w:val="center"/>
              <w:rPr>
                <w:szCs w:val="22"/>
              </w:rPr>
            </w:pPr>
          </w:p>
          <w:p w14:paraId="28628516" w14:textId="77777777" w:rsidR="00807239" w:rsidRPr="00D166EA" w:rsidRDefault="00807239" w:rsidP="00CC4FF7">
            <w:pPr>
              <w:spacing w:line="259" w:lineRule="auto"/>
              <w:ind w:left="2"/>
              <w:jc w:val="center"/>
              <w:rPr>
                <w:szCs w:val="22"/>
              </w:rPr>
            </w:pPr>
            <w:r w:rsidRPr="00D166EA">
              <w:rPr>
                <w:szCs w:val="22"/>
              </w:rPr>
              <w:t>52</w:t>
            </w:r>
            <w:r w:rsidR="00CC4FF7">
              <w:rPr>
                <w:szCs w:val="22"/>
              </w:rPr>
              <w:t>,</w:t>
            </w:r>
            <w:r w:rsidRPr="00D166EA">
              <w:rPr>
                <w:szCs w:val="22"/>
              </w:rPr>
              <w:t>7</w:t>
            </w:r>
            <w:r w:rsidR="00CC4FF7">
              <w:rPr>
                <w:szCs w:val="22"/>
              </w:rPr>
              <w:t> </w:t>
            </w:r>
            <w:r w:rsidRPr="00D166EA">
              <w:rPr>
                <w:szCs w:val="22"/>
              </w:rPr>
              <w:t>% (39/74)</w:t>
            </w:r>
          </w:p>
        </w:tc>
        <w:tc>
          <w:tcPr>
            <w:tcW w:w="1318" w:type="dxa"/>
            <w:tcBorders>
              <w:top w:val="nil"/>
              <w:left w:val="single" w:sz="8" w:space="0" w:color="000000"/>
              <w:bottom w:val="single" w:sz="8" w:space="0" w:color="000000"/>
              <w:right w:val="single" w:sz="8" w:space="0" w:color="000000"/>
            </w:tcBorders>
            <w:shd w:val="clear" w:color="auto" w:fill="auto"/>
          </w:tcPr>
          <w:p w14:paraId="66985915" w14:textId="77777777" w:rsidR="00807239" w:rsidRPr="00D166EA" w:rsidRDefault="00807239" w:rsidP="00C949E4">
            <w:pPr>
              <w:spacing w:line="259" w:lineRule="auto"/>
              <w:rPr>
                <w:szCs w:val="22"/>
              </w:rPr>
            </w:pPr>
          </w:p>
          <w:p w14:paraId="7D9E6E64" w14:textId="77777777" w:rsidR="00807239" w:rsidRPr="00D166EA" w:rsidRDefault="00807239" w:rsidP="00C949E4">
            <w:pPr>
              <w:spacing w:line="259" w:lineRule="auto"/>
              <w:rPr>
                <w:szCs w:val="22"/>
              </w:rPr>
            </w:pPr>
            <w:r w:rsidRPr="00D166EA">
              <w:rPr>
                <w:szCs w:val="22"/>
              </w:rPr>
              <w:t>0</w:t>
            </w:r>
            <w:r w:rsidR="00CC4FF7">
              <w:rPr>
                <w:szCs w:val="22"/>
              </w:rPr>
              <w:t> </w:t>
            </w:r>
            <w:r w:rsidRPr="00D166EA">
              <w:rPr>
                <w:szCs w:val="22"/>
              </w:rPr>
              <w:t>% (0/29)</w:t>
            </w:r>
            <w:r w:rsidRPr="00D166EA">
              <w:rPr>
                <w:rFonts w:eastAsia="Calibri"/>
                <w:szCs w:val="22"/>
              </w:rPr>
              <w:t xml:space="preserve"> </w:t>
            </w:r>
          </w:p>
        </w:tc>
      </w:tr>
    </w:tbl>
    <w:p w14:paraId="44349543" w14:textId="77777777" w:rsidR="00807239" w:rsidRPr="00D166EA" w:rsidRDefault="00807239" w:rsidP="00807239">
      <w:pPr>
        <w:pStyle w:val="Default"/>
        <w:rPr>
          <w:sz w:val="22"/>
          <w:szCs w:val="22"/>
        </w:rPr>
      </w:pPr>
      <w:r w:rsidRPr="00D166EA">
        <w:rPr>
          <w:sz w:val="22"/>
          <w:szCs w:val="22"/>
          <w:vertAlign w:val="superscript"/>
        </w:rPr>
        <w:t>a</w:t>
      </w:r>
      <w:r w:rsidR="00E21573" w:rsidRPr="00E21573">
        <w:rPr>
          <w:sz w:val="22"/>
          <w:szCs w:val="22"/>
        </w:rPr>
        <w:t xml:space="preserve"> </w:t>
      </w:r>
      <w:r w:rsidR="00E21573" w:rsidRPr="00D166EA">
        <w:rPr>
          <w:sz w:val="22"/>
          <w:szCs w:val="22"/>
        </w:rPr>
        <w:t>NC=F</w:t>
      </w:r>
      <w:r w:rsidR="00E21573">
        <w:rPr>
          <w:sz w:val="22"/>
          <w:szCs w:val="22"/>
        </w:rPr>
        <w:t>(</w:t>
      </w:r>
      <w:r w:rsidRPr="00D166EA">
        <w:rPr>
          <w:sz w:val="22"/>
          <w:szCs w:val="22"/>
          <w:vertAlign w:val="superscript"/>
        </w:rPr>
        <w:t xml:space="preserve"> </w:t>
      </w:r>
      <w:r w:rsidRPr="00D166EA">
        <w:rPr>
          <w:sz w:val="22"/>
          <w:szCs w:val="22"/>
        </w:rPr>
        <w:t>Nebaig</w:t>
      </w:r>
      <w:r w:rsidR="00E21573">
        <w:rPr>
          <w:sz w:val="22"/>
          <w:szCs w:val="22"/>
          <w:lang w:val="lt-LT"/>
        </w:rPr>
        <w:t>ę</w:t>
      </w:r>
      <w:r w:rsidR="00E21573">
        <w:rPr>
          <w:sz w:val="22"/>
          <w:szCs w:val="22"/>
        </w:rPr>
        <w:t>s tyrimo</w:t>
      </w:r>
      <w:r w:rsidRPr="00D166EA">
        <w:rPr>
          <w:sz w:val="22"/>
          <w:szCs w:val="22"/>
        </w:rPr>
        <w:t xml:space="preserve"> = neveiksmingas</w:t>
      </w:r>
      <w:r w:rsidR="00E21573">
        <w:rPr>
          <w:sz w:val="22"/>
          <w:szCs w:val="22"/>
        </w:rPr>
        <w:t>)</w:t>
      </w:r>
      <w:r w:rsidRPr="00D166EA">
        <w:rPr>
          <w:sz w:val="22"/>
          <w:szCs w:val="22"/>
        </w:rPr>
        <w:t xml:space="preserve"> </w:t>
      </w:r>
    </w:p>
    <w:p w14:paraId="304F081A" w14:textId="77777777" w:rsidR="00807239" w:rsidRPr="00D166EA" w:rsidRDefault="00807239" w:rsidP="00807239">
      <w:pPr>
        <w:ind w:left="180" w:hanging="180"/>
        <w:rPr>
          <w:szCs w:val="22"/>
        </w:rPr>
      </w:pPr>
      <w:r w:rsidRPr="00D166EA">
        <w:rPr>
          <w:szCs w:val="22"/>
        </w:rPr>
        <w:t>* Pacientai, kurie buvo randomizuoti į placebo grupę ir kuriems per 48</w:t>
      </w:r>
      <w:r w:rsidR="00CC4FF7">
        <w:rPr>
          <w:szCs w:val="22"/>
        </w:rPr>
        <w:t> </w:t>
      </w:r>
      <w:r w:rsidRPr="00D166EA">
        <w:rPr>
          <w:szCs w:val="22"/>
        </w:rPr>
        <w:t>savaites neįvyko HBe sero konversija, antrus tyrimo metus vartojo nekoduotą entekavirą, todėl randomizuoti lyginimo duomenys turimi tik po 48</w:t>
      </w:r>
      <w:r w:rsidR="00CC4FF7">
        <w:rPr>
          <w:szCs w:val="22"/>
        </w:rPr>
        <w:t> </w:t>
      </w:r>
      <w:r w:rsidRPr="00D166EA">
        <w:rPr>
          <w:szCs w:val="22"/>
        </w:rPr>
        <w:t>savaičių.</w:t>
      </w:r>
    </w:p>
    <w:p w14:paraId="62F6A256" w14:textId="77777777" w:rsidR="00807239" w:rsidRPr="00D166EA" w:rsidRDefault="00807239" w:rsidP="00807239">
      <w:pPr>
        <w:rPr>
          <w:szCs w:val="22"/>
        </w:rPr>
      </w:pPr>
    </w:p>
    <w:p w14:paraId="2ABEB5BA" w14:textId="77777777" w:rsidR="00807239" w:rsidRPr="00D166EA" w:rsidRDefault="00807239" w:rsidP="00807239">
      <w:pPr>
        <w:pStyle w:val="Default"/>
        <w:rPr>
          <w:sz w:val="22"/>
          <w:szCs w:val="22"/>
        </w:rPr>
      </w:pPr>
      <w:r w:rsidRPr="00D166EA">
        <w:rPr>
          <w:sz w:val="22"/>
          <w:szCs w:val="22"/>
        </w:rPr>
        <w:t>Virusų atsparumo vaikų organizme įvertinimas yra pagrįstas anksčiau nukleozidų analogų nevartojusių vaikų, sirgusių HBeAg teigiama lėtine HBV infekcija, duomenimis, gautais dviejų tyrimų (028 ir 189) metu. Šių dviejų tyrimų metu gauti atsparumo duomenys 183</w:t>
      </w:r>
      <w:r w:rsidR="00CC4FF7">
        <w:rPr>
          <w:sz w:val="22"/>
          <w:szCs w:val="22"/>
        </w:rPr>
        <w:t> </w:t>
      </w:r>
      <w:r w:rsidRPr="00D166EA">
        <w:rPr>
          <w:sz w:val="22"/>
          <w:szCs w:val="22"/>
        </w:rPr>
        <w:t>pacientams, gydytiems ir stebėtiems pirmuosius metus, ir 180</w:t>
      </w:r>
      <w:r w:rsidR="00CC4FF7">
        <w:rPr>
          <w:sz w:val="22"/>
          <w:szCs w:val="22"/>
        </w:rPr>
        <w:t> </w:t>
      </w:r>
      <w:r w:rsidRPr="00D166EA">
        <w:rPr>
          <w:sz w:val="22"/>
          <w:szCs w:val="22"/>
        </w:rPr>
        <w:t>pacientų, gydytų ir stebėtų antruosius metus. Genotipo vertinimas atliktas visiems pacientams, kurių mėginiai buvo paimti, ir kuriems per 96</w:t>
      </w:r>
      <w:r w:rsidR="00CC4FF7">
        <w:rPr>
          <w:sz w:val="22"/>
          <w:szCs w:val="22"/>
        </w:rPr>
        <w:t> </w:t>
      </w:r>
      <w:r w:rsidRPr="00D166EA">
        <w:rPr>
          <w:sz w:val="22"/>
          <w:szCs w:val="22"/>
        </w:rPr>
        <w:t>savaites pasireiškė virusologinis protrūkis arba HBV DNR po 48 arba 96</w:t>
      </w:r>
      <w:r w:rsidR="00CC4FF7">
        <w:rPr>
          <w:sz w:val="22"/>
          <w:szCs w:val="22"/>
        </w:rPr>
        <w:t> </w:t>
      </w:r>
      <w:r w:rsidRPr="00D166EA">
        <w:rPr>
          <w:sz w:val="22"/>
          <w:szCs w:val="22"/>
        </w:rPr>
        <w:t>savaičių buvo ≥</w:t>
      </w:r>
      <w:r w:rsidR="00CC4FF7">
        <w:rPr>
          <w:sz w:val="22"/>
          <w:szCs w:val="22"/>
        </w:rPr>
        <w:t> </w:t>
      </w:r>
      <w:r w:rsidRPr="00D166EA">
        <w:rPr>
          <w:sz w:val="22"/>
          <w:szCs w:val="22"/>
        </w:rPr>
        <w:t>50</w:t>
      </w:r>
      <w:r w:rsidR="00CC4FF7">
        <w:rPr>
          <w:sz w:val="22"/>
          <w:szCs w:val="22"/>
        </w:rPr>
        <w:t> </w:t>
      </w:r>
      <w:r w:rsidRPr="00D166EA">
        <w:rPr>
          <w:sz w:val="22"/>
          <w:szCs w:val="22"/>
        </w:rPr>
        <w:t>TV/ml. Antraisiais metais genotipinis atsparumas ETV nustatytas 2</w:t>
      </w:r>
      <w:r w:rsidR="00CC4FF7">
        <w:rPr>
          <w:sz w:val="22"/>
          <w:szCs w:val="22"/>
        </w:rPr>
        <w:t> </w:t>
      </w:r>
      <w:r w:rsidRPr="00D166EA">
        <w:rPr>
          <w:sz w:val="22"/>
          <w:szCs w:val="22"/>
        </w:rPr>
        <w:t>pacientams (kumuliacinė atsparumo susiformavimo antraisiais metais tikimybė – 1,1</w:t>
      </w:r>
      <w:r w:rsidR="00CC4FF7">
        <w:rPr>
          <w:sz w:val="22"/>
          <w:szCs w:val="22"/>
        </w:rPr>
        <w:t> </w:t>
      </w:r>
      <w:r w:rsidRPr="00D166EA">
        <w:rPr>
          <w:sz w:val="22"/>
          <w:szCs w:val="22"/>
        </w:rPr>
        <w:t xml:space="preserve">%). </w:t>
      </w:r>
    </w:p>
    <w:p w14:paraId="714E7D67" w14:textId="77777777" w:rsidR="00807239" w:rsidRPr="00D166EA" w:rsidRDefault="00807239" w:rsidP="00807239">
      <w:pPr>
        <w:pStyle w:val="Default"/>
        <w:rPr>
          <w:b/>
          <w:bCs/>
          <w:sz w:val="22"/>
          <w:szCs w:val="22"/>
        </w:rPr>
      </w:pPr>
    </w:p>
    <w:p w14:paraId="6B2DDAA4" w14:textId="77777777" w:rsidR="00807239" w:rsidRPr="00D166EA" w:rsidRDefault="00807239" w:rsidP="00807239">
      <w:pPr>
        <w:pStyle w:val="Default"/>
        <w:rPr>
          <w:sz w:val="22"/>
          <w:szCs w:val="22"/>
        </w:rPr>
      </w:pPr>
      <w:r w:rsidRPr="00D166EA">
        <w:rPr>
          <w:b/>
          <w:bCs/>
          <w:sz w:val="22"/>
          <w:szCs w:val="22"/>
        </w:rPr>
        <w:t xml:space="preserve">Klinikinis atsparumas suaugusiesiems. </w:t>
      </w:r>
      <w:r w:rsidRPr="00D166EA">
        <w:rPr>
          <w:sz w:val="22"/>
          <w:szCs w:val="22"/>
        </w:rPr>
        <w:t>Klinikinių tyrimų metu nukleozidų anksčiau nevartoję pacientai iš pradžių vartojo 0,5</w:t>
      </w:r>
      <w:r w:rsidR="00CC4FF7">
        <w:rPr>
          <w:sz w:val="22"/>
          <w:szCs w:val="22"/>
        </w:rPr>
        <w:t> </w:t>
      </w:r>
      <w:r w:rsidRPr="00D166EA">
        <w:rPr>
          <w:sz w:val="22"/>
          <w:szCs w:val="22"/>
        </w:rPr>
        <w:t>mg, o lamivudinui atsparūs – 1</w:t>
      </w:r>
      <w:r w:rsidR="00CC4FF7">
        <w:rPr>
          <w:sz w:val="22"/>
          <w:szCs w:val="22"/>
        </w:rPr>
        <w:t> </w:t>
      </w:r>
      <w:r w:rsidRPr="00D166EA">
        <w:rPr>
          <w:sz w:val="22"/>
          <w:szCs w:val="22"/>
        </w:rPr>
        <w:t>mg entekaviro. 24</w:t>
      </w:r>
      <w:r w:rsidR="00CC4FF7">
        <w:rPr>
          <w:sz w:val="22"/>
          <w:szCs w:val="22"/>
        </w:rPr>
        <w:t> </w:t>
      </w:r>
      <w:r w:rsidRPr="00D166EA">
        <w:rPr>
          <w:sz w:val="22"/>
          <w:szCs w:val="22"/>
        </w:rPr>
        <w:t>gydymo savaitę arba vėliau PCR (polimerazės grandinės reakcijos) metodu tirta HBV DNR koncentracija virusų atsparumui nustatyti. 240</w:t>
      </w:r>
      <w:r w:rsidR="00CC4FF7">
        <w:rPr>
          <w:sz w:val="22"/>
          <w:szCs w:val="22"/>
        </w:rPr>
        <w:t> </w:t>
      </w:r>
      <w:r w:rsidRPr="00D166EA">
        <w:rPr>
          <w:sz w:val="22"/>
          <w:szCs w:val="22"/>
        </w:rPr>
        <w:t>savaičių tyrus anksčiau nukleozidų nevartojusius pacientus, rtT184, rtS202</w:t>
      </w:r>
      <w:r w:rsidR="00D64E64">
        <w:rPr>
          <w:sz w:val="22"/>
          <w:szCs w:val="22"/>
        </w:rPr>
        <w:t xml:space="preserve"> </w:t>
      </w:r>
      <w:r w:rsidRPr="00D166EA">
        <w:rPr>
          <w:sz w:val="22"/>
          <w:szCs w:val="22"/>
        </w:rPr>
        <w:t>arba</w:t>
      </w:r>
      <w:r w:rsidR="00D64E64">
        <w:rPr>
          <w:sz w:val="22"/>
          <w:szCs w:val="22"/>
        </w:rPr>
        <w:t xml:space="preserve"> </w:t>
      </w:r>
      <w:r w:rsidRPr="00D166EA">
        <w:rPr>
          <w:sz w:val="22"/>
          <w:szCs w:val="22"/>
        </w:rPr>
        <w:t>rtM250 ETVr pakeitimus rodančių genotipinių duomenų aptikta 3 entekaviro vartojusiems pacientams, iš kurių dviem pasireiškė virusologinis protrūkis (žr. lentelę). Šių pakeitimų pastebėta tik esant LVDr pakeitimų (rtM204V, rtL180M).</w:t>
      </w:r>
    </w:p>
    <w:p w14:paraId="5929BA17" w14:textId="77777777" w:rsidR="00807239" w:rsidRPr="00D166EA" w:rsidRDefault="00807239" w:rsidP="00807239">
      <w:pPr>
        <w:rPr>
          <w:szCs w:val="22"/>
        </w:rPr>
      </w:pPr>
    </w:p>
    <w:tbl>
      <w:tblPr>
        <w:tblW w:w="9071" w:type="dxa"/>
        <w:tblInd w:w="117" w:type="dxa"/>
        <w:tblLayout w:type="fixed"/>
        <w:tblCellMar>
          <w:left w:w="0" w:type="dxa"/>
          <w:right w:w="0" w:type="dxa"/>
        </w:tblCellMar>
        <w:tblLook w:val="01E0" w:firstRow="1" w:lastRow="1" w:firstColumn="1" w:lastColumn="1" w:noHBand="0" w:noVBand="0"/>
      </w:tblPr>
      <w:tblGrid>
        <w:gridCol w:w="3491"/>
        <w:gridCol w:w="1080"/>
        <w:gridCol w:w="1080"/>
        <w:gridCol w:w="900"/>
        <w:gridCol w:w="1260"/>
        <w:gridCol w:w="1260"/>
      </w:tblGrid>
      <w:tr w:rsidR="00807239" w:rsidRPr="00D166EA" w14:paraId="061FE2C5" w14:textId="77777777" w:rsidTr="002746CC">
        <w:trPr>
          <w:trHeight w:hRule="exact" w:val="561"/>
        </w:trPr>
        <w:tc>
          <w:tcPr>
            <w:tcW w:w="9071" w:type="dxa"/>
            <w:gridSpan w:val="6"/>
            <w:tcBorders>
              <w:top w:val="single" w:sz="6" w:space="0" w:color="000000"/>
              <w:left w:val="single" w:sz="6" w:space="0" w:color="000000"/>
              <w:bottom w:val="single" w:sz="7" w:space="0" w:color="000000"/>
              <w:right w:val="single" w:sz="6" w:space="0" w:color="000000"/>
            </w:tcBorders>
          </w:tcPr>
          <w:p w14:paraId="30D4EF94" w14:textId="77777777" w:rsidR="00807239" w:rsidRPr="00D166EA" w:rsidRDefault="00807239" w:rsidP="00807239">
            <w:pPr>
              <w:pStyle w:val="Default"/>
              <w:rPr>
                <w:sz w:val="22"/>
                <w:szCs w:val="22"/>
              </w:rPr>
            </w:pPr>
            <w:r w:rsidRPr="00D166EA">
              <w:rPr>
                <w:sz w:val="22"/>
                <w:szCs w:val="22"/>
              </w:rPr>
              <w:t>Genotipinis atsparumas entekavirui, pasireiškęs per 5</w:t>
            </w:r>
            <w:r w:rsidR="00CC4FF7">
              <w:rPr>
                <w:sz w:val="22"/>
                <w:szCs w:val="22"/>
              </w:rPr>
              <w:t> </w:t>
            </w:r>
            <w:r w:rsidRPr="00D166EA">
              <w:rPr>
                <w:sz w:val="22"/>
                <w:szCs w:val="22"/>
              </w:rPr>
              <w:t xml:space="preserve">metus tyrimų nukleozidų nevartojusiems pacientams </w:t>
            </w:r>
          </w:p>
          <w:p w14:paraId="73F7D7D4" w14:textId="77777777" w:rsidR="00807239" w:rsidRPr="00D166EA" w:rsidRDefault="00807239" w:rsidP="00C949E4">
            <w:pPr>
              <w:spacing w:before="15"/>
              <w:ind w:left="85" w:right="-20"/>
              <w:rPr>
                <w:szCs w:val="22"/>
                <w:lang w:val="sl-SI"/>
              </w:rPr>
            </w:pPr>
          </w:p>
        </w:tc>
      </w:tr>
      <w:tr w:rsidR="00807239" w:rsidRPr="00D166EA" w14:paraId="37E8918A" w14:textId="77777777" w:rsidTr="002746CC">
        <w:trPr>
          <w:trHeight w:hRule="exact" w:val="567"/>
        </w:trPr>
        <w:tc>
          <w:tcPr>
            <w:tcW w:w="3491" w:type="dxa"/>
            <w:tcBorders>
              <w:top w:val="single" w:sz="7" w:space="0" w:color="000000"/>
              <w:left w:val="single" w:sz="6" w:space="0" w:color="000000"/>
              <w:bottom w:val="single" w:sz="6" w:space="0" w:color="000000"/>
              <w:right w:val="single" w:sz="6" w:space="0" w:color="000000"/>
            </w:tcBorders>
          </w:tcPr>
          <w:p w14:paraId="104B51B2" w14:textId="77777777" w:rsidR="00807239" w:rsidRPr="00D166EA" w:rsidRDefault="00807239" w:rsidP="00807239">
            <w:pPr>
              <w:rPr>
                <w:szCs w:val="22"/>
              </w:rPr>
            </w:pPr>
          </w:p>
        </w:tc>
        <w:tc>
          <w:tcPr>
            <w:tcW w:w="1080" w:type="dxa"/>
            <w:tcBorders>
              <w:top w:val="single" w:sz="7" w:space="0" w:color="000000"/>
              <w:left w:val="single" w:sz="6" w:space="0" w:color="000000"/>
              <w:bottom w:val="single" w:sz="6" w:space="0" w:color="000000"/>
              <w:right w:val="single" w:sz="6" w:space="0" w:color="000000"/>
            </w:tcBorders>
          </w:tcPr>
          <w:p w14:paraId="3489E0FF" w14:textId="77777777" w:rsidR="00807239" w:rsidRPr="00D166EA" w:rsidRDefault="00807239" w:rsidP="00807239">
            <w:pPr>
              <w:ind w:left="232" w:right="-23"/>
              <w:rPr>
                <w:szCs w:val="22"/>
              </w:rPr>
            </w:pPr>
            <w:r w:rsidRPr="00D166EA">
              <w:rPr>
                <w:szCs w:val="22"/>
              </w:rPr>
              <w:t>Pirmieji metai</w:t>
            </w:r>
          </w:p>
        </w:tc>
        <w:tc>
          <w:tcPr>
            <w:tcW w:w="1080" w:type="dxa"/>
            <w:tcBorders>
              <w:top w:val="single" w:sz="7" w:space="0" w:color="000000"/>
              <w:left w:val="single" w:sz="6" w:space="0" w:color="000000"/>
              <w:bottom w:val="single" w:sz="6" w:space="0" w:color="000000"/>
              <w:right w:val="single" w:sz="6" w:space="0" w:color="000000"/>
            </w:tcBorders>
          </w:tcPr>
          <w:p w14:paraId="28896D7B" w14:textId="77777777" w:rsidR="00807239" w:rsidRPr="00D166EA" w:rsidRDefault="00807239" w:rsidP="00807239">
            <w:pPr>
              <w:ind w:left="231" w:right="-20"/>
              <w:rPr>
                <w:szCs w:val="22"/>
              </w:rPr>
            </w:pPr>
            <w:r w:rsidRPr="00D166EA">
              <w:rPr>
                <w:szCs w:val="22"/>
              </w:rPr>
              <w:t>Antrieji metai</w:t>
            </w:r>
          </w:p>
        </w:tc>
        <w:tc>
          <w:tcPr>
            <w:tcW w:w="900" w:type="dxa"/>
            <w:tcBorders>
              <w:top w:val="single" w:sz="7" w:space="0" w:color="000000"/>
              <w:left w:val="single" w:sz="6" w:space="0" w:color="000000"/>
              <w:bottom w:val="single" w:sz="6" w:space="0" w:color="000000"/>
              <w:right w:val="single" w:sz="6" w:space="0" w:color="000000"/>
            </w:tcBorders>
          </w:tcPr>
          <w:p w14:paraId="3B39CF2A" w14:textId="77777777" w:rsidR="00807239" w:rsidRPr="00D166EA" w:rsidRDefault="00807239" w:rsidP="00807239">
            <w:pPr>
              <w:ind w:left="232" w:right="-20"/>
              <w:rPr>
                <w:spacing w:val="1"/>
                <w:szCs w:val="22"/>
              </w:rPr>
            </w:pPr>
            <w:r w:rsidRPr="00D166EA">
              <w:rPr>
                <w:spacing w:val="1"/>
                <w:szCs w:val="22"/>
              </w:rPr>
              <w:t>Tretieji metai</w:t>
            </w:r>
            <w:r w:rsidRPr="00D166EA">
              <w:rPr>
                <w:spacing w:val="1"/>
                <w:szCs w:val="22"/>
                <w:vertAlign w:val="superscript"/>
              </w:rPr>
              <w:t>a</w:t>
            </w:r>
          </w:p>
        </w:tc>
        <w:tc>
          <w:tcPr>
            <w:tcW w:w="1260" w:type="dxa"/>
            <w:tcBorders>
              <w:top w:val="single" w:sz="7" w:space="0" w:color="000000"/>
              <w:left w:val="single" w:sz="6" w:space="0" w:color="000000"/>
              <w:bottom w:val="single" w:sz="6" w:space="0" w:color="000000"/>
              <w:right w:val="single" w:sz="6" w:space="0" w:color="000000"/>
            </w:tcBorders>
          </w:tcPr>
          <w:p w14:paraId="33CD630A" w14:textId="77777777" w:rsidR="00807239" w:rsidRPr="00D166EA" w:rsidRDefault="00807239" w:rsidP="00807239">
            <w:pPr>
              <w:ind w:left="232" w:right="-20"/>
              <w:rPr>
                <w:spacing w:val="1"/>
                <w:szCs w:val="22"/>
                <w:vertAlign w:val="superscript"/>
              </w:rPr>
            </w:pPr>
            <w:r w:rsidRPr="00D166EA">
              <w:rPr>
                <w:spacing w:val="1"/>
                <w:szCs w:val="22"/>
              </w:rPr>
              <w:t>Ketvirtieji metai</w:t>
            </w:r>
            <w:r w:rsidRPr="00D166EA">
              <w:rPr>
                <w:spacing w:val="1"/>
                <w:szCs w:val="22"/>
                <w:vertAlign w:val="superscript"/>
              </w:rPr>
              <w:t>a</w:t>
            </w:r>
          </w:p>
        </w:tc>
        <w:tc>
          <w:tcPr>
            <w:tcW w:w="1260" w:type="dxa"/>
            <w:tcBorders>
              <w:top w:val="single" w:sz="7" w:space="0" w:color="000000"/>
              <w:left w:val="single" w:sz="6" w:space="0" w:color="000000"/>
              <w:bottom w:val="single" w:sz="6" w:space="0" w:color="000000"/>
              <w:right w:val="single" w:sz="6" w:space="0" w:color="000000"/>
            </w:tcBorders>
          </w:tcPr>
          <w:p w14:paraId="695D35DF" w14:textId="77777777" w:rsidR="00807239" w:rsidRPr="00D166EA" w:rsidRDefault="00807239" w:rsidP="00807239">
            <w:pPr>
              <w:ind w:left="232" w:right="-20"/>
              <w:rPr>
                <w:spacing w:val="1"/>
                <w:szCs w:val="22"/>
              </w:rPr>
            </w:pPr>
            <w:r w:rsidRPr="00D166EA">
              <w:rPr>
                <w:spacing w:val="1"/>
                <w:szCs w:val="22"/>
              </w:rPr>
              <w:t>Penktieji metai</w:t>
            </w:r>
            <w:r w:rsidRPr="00D166EA">
              <w:rPr>
                <w:spacing w:val="1"/>
                <w:szCs w:val="22"/>
                <w:vertAlign w:val="superscript"/>
              </w:rPr>
              <w:t>a</w:t>
            </w:r>
          </w:p>
        </w:tc>
      </w:tr>
      <w:tr w:rsidR="00807239" w:rsidRPr="00D166EA" w14:paraId="4C828588" w14:textId="77777777" w:rsidTr="002746CC">
        <w:trPr>
          <w:trHeight w:hRule="exact" w:val="702"/>
        </w:trPr>
        <w:tc>
          <w:tcPr>
            <w:tcW w:w="3491" w:type="dxa"/>
            <w:tcBorders>
              <w:top w:val="single" w:sz="6" w:space="0" w:color="000000"/>
              <w:left w:val="single" w:sz="6" w:space="0" w:color="000000"/>
              <w:bottom w:val="single" w:sz="6" w:space="0" w:color="000000"/>
              <w:right w:val="single" w:sz="6" w:space="0" w:color="000000"/>
            </w:tcBorders>
          </w:tcPr>
          <w:p w14:paraId="702439B1" w14:textId="77777777" w:rsidR="00807239" w:rsidRPr="00D166EA" w:rsidRDefault="00807239" w:rsidP="00C949E4">
            <w:pPr>
              <w:spacing w:line="297" w:lineRule="exact"/>
              <w:ind w:left="303" w:right="-20"/>
              <w:jc w:val="both"/>
              <w:rPr>
                <w:szCs w:val="22"/>
              </w:rPr>
            </w:pPr>
            <w:r w:rsidRPr="00D166EA">
              <w:rPr>
                <w:szCs w:val="22"/>
              </w:rPr>
              <w:t>Gydyti ir tikrinti dėl galimo atsparumo pacientai</w:t>
            </w:r>
            <w:r w:rsidRPr="00D166EA">
              <w:rPr>
                <w:szCs w:val="22"/>
                <w:vertAlign w:val="superscript"/>
              </w:rPr>
              <w:t>b</w:t>
            </w:r>
            <w:r w:rsidRPr="00D166EA">
              <w:rPr>
                <w:szCs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38C61DFB" w14:textId="77777777" w:rsidR="00807239" w:rsidRPr="00D166EA" w:rsidRDefault="00807239" w:rsidP="00C949E4">
            <w:pPr>
              <w:spacing w:before="17"/>
              <w:ind w:left="320" w:right="300"/>
              <w:jc w:val="center"/>
              <w:rPr>
                <w:szCs w:val="22"/>
              </w:rPr>
            </w:pPr>
            <w:r w:rsidRPr="00D166EA">
              <w:rPr>
                <w:spacing w:val="-1"/>
                <w:w w:val="103"/>
                <w:szCs w:val="22"/>
              </w:rPr>
              <w:t>6</w:t>
            </w:r>
            <w:r w:rsidRPr="00D166EA">
              <w:rPr>
                <w:spacing w:val="1"/>
                <w:w w:val="103"/>
                <w:szCs w:val="22"/>
              </w:rPr>
              <w:t>6</w:t>
            </w:r>
            <w:r w:rsidRPr="00D166EA">
              <w:rPr>
                <w:w w:val="103"/>
                <w:szCs w:val="22"/>
              </w:rPr>
              <w:t>3</w:t>
            </w:r>
          </w:p>
        </w:tc>
        <w:tc>
          <w:tcPr>
            <w:tcW w:w="1080" w:type="dxa"/>
            <w:tcBorders>
              <w:top w:val="single" w:sz="6" w:space="0" w:color="000000"/>
              <w:left w:val="single" w:sz="6" w:space="0" w:color="000000"/>
              <w:bottom w:val="single" w:sz="6" w:space="0" w:color="000000"/>
              <w:right w:val="single" w:sz="6" w:space="0" w:color="000000"/>
            </w:tcBorders>
          </w:tcPr>
          <w:p w14:paraId="23790891" w14:textId="77777777" w:rsidR="00807239" w:rsidRPr="00D166EA" w:rsidRDefault="00807239" w:rsidP="00C949E4">
            <w:pPr>
              <w:spacing w:before="17"/>
              <w:ind w:left="317" w:right="300"/>
              <w:jc w:val="center"/>
              <w:rPr>
                <w:szCs w:val="22"/>
              </w:rPr>
            </w:pPr>
            <w:r w:rsidRPr="00D166EA">
              <w:rPr>
                <w:w w:val="103"/>
                <w:szCs w:val="22"/>
              </w:rPr>
              <w:t>2</w:t>
            </w:r>
            <w:r w:rsidRPr="00D166EA">
              <w:rPr>
                <w:spacing w:val="1"/>
                <w:w w:val="103"/>
                <w:szCs w:val="22"/>
              </w:rPr>
              <w:t>7</w:t>
            </w:r>
            <w:r w:rsidRPr="00D166EA">
              <w:rPr>
                <w:w w:val="103"/>
                <w:szCs w:val="22"/>
              </w:rPr>
              <w:t>8</w:t>
            </w:r>
          </w:p>
        </w:tc>
        <w:tc>
          <w:tcPr>
            <w:tcW w:w="900" w:type="dxa"/>
            <w:tcBorders>
              <w:top w:val="single" w:sz="6" w:space="0" w:color="000000"/>
              <w:left w:val="single" w:sz="6" w:space="0" w:color="000000"/>
              <w:bottom w:val="single" w:sz="6" w:space="0" w:color="000000"/>
              <w:right w:val="single" w:sz="6" w:space="0" w:color="000000"/>
            </w:tcBorders>
          </w:tcPr>
          <w:p w14:paraId="754A691B" w14:textId="77777777" w:rsidR="00807239" w:rsidRPr="00D166EA" w:rsidRDefault="00807239" w:rsidP="0010033A">
            <w:pPr>
              <w:spacing w:before="17"/>
              <w:jc w:val="center"/>
              <w:rPr>
                <w:szCs w:val="22"/>
              </w:rPr>
            </w:pPr>
            <w:r w:rsidRPr="00D166EA">
              <w:rPr>
                <w:w w:val="103"/>
                <w:szCs w:val="22"/>
              </w:rPr>
              <w:t>149</w:t>
            </w:r>
          </w:p>
        </w:tc>
        <w:tc>
          <w:tcPr>
            <w:tcW w:w="1260" w:type="dxa"/>
            <w:tcBorders>
              <w:top w:val="single" w:sz="6" w:space="0" w:color="000000"/>
              <w:left w:val="single" w:sz="6" w:space="0" w:color="000000"/>
              <w:bottom w:val="single" w:sz="6" w:space="0" w:color="000000"/>
              <w:right w:val="single" w:sz="6" w:space="0" w:color="000000"/>
            </w:tcBorders>
          </w:tcPr>
          <w:p w14:paraId="42AF271F" w14:textId="77777777" w:rsidR="00807239" w:rsidRPr="00D166EA" w:rsidRDefault="00807239" w:rsidP="00C949E4">
            <w:pPr>
              <w:spacing w:before="17"/>
              <w:ind w:left="303" w:right="-20"/>
              <w:rPr>
                <w:szCs w:val="22"/>
              </w:rPr>
            </w:pPr>
            <w:r w:rsidRPr="00D166EA">
              <w:rPr>
                <w:spacing w:val="-1"/>
                <w:w w:val="103"/>
                <w:szCs w:val="22"/>
              </w:rPr>
              <w:t>1</w:t>
            </w:r>
            <w:r w:rsidRPr="00D166EA">
              <w:rPr>
                <w:spacing w:val="1"/>
                <w:w w:val="103"/>
                <w:szCs w:val="22"/>
              </w:rPr>
              <w:t>2</w:t>
            </w:r>
            <w:r w:rsidRPr="00D166EA">
              <w:rPr>
                <w:w w:val="103"/>
                <w:szCs w:val="22"/>
              </w:rPr>
              <w:t>1</w:t>
            </w:r>
          </w:p>
        </w:tc>
        <w:tc>
          <w:tcPr>
            <w:tcW w:w="1260" w:type="dxa"/>
            <w:tcBorders>
              <w:top w:val="single" w:sz="6" w:space="0" w:color="000000"/>
              <w:left w:val="single" w:sz="6" w:space="0" w:color="000000"/>
              <w:bottom w:val="single" w:sz="6" w:space="0" w:color="000000"/>
              <w:right w:val="single" w:sz="6" w:space="0" w:color="000000"/>
            </w:tcBorders>
          </w:tcPr>
          <w:p w14:paraId="547CA2E8" w14:textId="77777777" w:rsidR="00807239" w:rsidRPr="00D166EA" w:rsidRDefault="00807239" w:rsidP="00C949E4">
            <w:pPr>
              <w:spacing w:before="17"/>
              <w:ind w:left="303" w:right="-20"/>
              <w:rPr>
                <w:szCs w:val="22"/>
              </w:rPr>
            </w:pPr>
            <w:r w:rsidRPr="00D166EA">
              <w:rPr>
                <w:spacing w:val="-1"/>
                <w:w w:val="103"/>
                <w:szCs w:val="22"/>
              </w:rPr>
              <w:t>1</w:t>
            </w:r>
            <w:r w:rsidRPr="00D166EA">
              <w:rPr>
                <w:spacing w:val="1"/>
                <w:w w:val="103"/>
                <w:szCs w:val="22"/>
              </w:rPr>
              <w:t>0</w:t>
            </w:r>
            <w:r w:rsidRPr="00D166EA">
              <w:rPr>
                <w:w w:val="103"/>
                <w:szCs w:val="22"/>
              </w:rPr>
              <w:t>8</w:t>
            </w:r>
          </w:p>
        </w:tc>
      </w:tr>
      <w:tr w:rsidR="00807239" w:rsidRPr="00D166EA" w14:paraId="2E2E25BC" w14:textId="77777777" w:rsidTr="002746CC">
        <w:trPr>
          <w:trHeight w:hRule="exact" w:val="510"/>
        </w:trPr>
        <w:tc>
          <w:tcPr>
            <w:tcW w:w="3491" w:type="dxa"/>
            <w:tcBorders>
              <w:top w:val="single" w:sz="6" w:space="0" w:color="000000"/>
              <w:left w:val="single" w:sz="6" w:space="0" w:color="000000"/>
              <w:bottom w:val="single" w:sz="7" w:space="0" w:color="000000"/>
              <w:right w:val="single" w:sz="6" w:space="0" w:color="000000"/>
            </w:tcBorders>
          </w:tcPr>
          <w:p w14:paraId="464997C9" w14:textId="77777777" w:rsidR="00807239" w:rsidRPr="00D166EA" w:rsidRDefault="00807239" w:rsidP="00807239">
            <w:pPr>
              <w:pStyle w:val="Default"/>
              <w:ind w:left="71"/>
              <w:rPr>
                <w:sz w:val="22"/>
                <w:szCs w:val="22"/>
              </w:rPr>
            </w:pPr>
            <w:r w:rsidRPr="00D166EA">
              <w:rPr>
                <w:b/>
                <w:bCs/>
                <w:sz w:val="22"/>
                <w:szCs w:val="22"/>
              </w:rPr>
              <w:t xml:space="preserve">Pacientai, kuriems konkrečiais metais pasireiškė: </w:t>
            </w:r>
          </w:p>
          <w:p w14:paraId="1050CAA5" w14:textId="77777777" w:rsidR="00807239" w:rsidRPr="00D166EA" w:rsidRDefault="00807239" w:rsidP="00C949E4">
            <w:pPr>
              <w:spacing w:before="17"/>
              <w:ind w:left="85" w:right="-20"/>
              <w:rPr>
                <w:szCs w:val="22"/>
              </w:rPr>
            </w:pPr>
            <w:r w:rsidRPr="00D166EA">
              <w:rPr>
                <w:b/>
                <w:bCs/>
                <w:w w:val="103"/>
                <w:szCs w:val="22"/>
              </w:rPr>
              <w:t>:</w:t>
            </w:r>
          </w:p>
        </w:tc>
        <w:tc>
          <w:tcPr>
            <w:tcW w:w="1080" w:type="dxa"/>
            <w:tcBorders>
              <w:top w:val="single" w:sz="6" w:space="0" w:color="000000"/>
              <w:left w:val="single" w:sz="6" w:space="0" w:color="000000"/>
              <w:bottom w:val="single" w:sz="7" w:space="0" w:color="000000"/>
              <w:right w:val="single" w:sz="6" w:space="0" w:color="000000"/>
            </w:tcBorders>
          </w:tcPr>
          <w:p w14:paraId="067AE081" w14:textId="77777777" w:rsidR="00807239" w:rsidRPr="00D166EA" w:rsidRDefault="00807239" w:rsidP="00C949E4">
            <w:pPr>
              <w:rPr>
                <w:szCs w:val="22"/>
              </w:rPr>
            </w:pPr>
          </w:p>
        </w:tc>
        <w:tc>
          <w:tcPr>
            <w:tcW w:w="1080" w:type="dxa"/>
            <w:tcBorders>
              <w:top w:val="single" w:sz="6" w:space="0" w:color="000000"/>
              <w:left w:val="single" w:sz="6" w:space="0" w:color="000000"/>
              <w:bottom w:val="single" w:sz="7" w:space="0" w:color="000000"/>
              <w:right w:val="single" w:sz="6" w:space="0" w:color="000000"/>
            </w:tcBorders>
          </w:tcPr>
          <w:p w14:paraId="3303700F" w14:textId="77777777" w:rsidR="00807239" w:rsidRPr="00D166EA" w:rsidRDefault="00807239" w:rsidP="00C949E4">
            <w:pPr>
              <w:rPr>
                <w:szCs w:val="22"/>
              </w:rPr>
            </w:pPr>
          </w:p>
        </w:tc>
        <w:tc>
          <w:tcPr>
            <w:tcW w:w="900" w:type="dxa"/>
            <w:tcBorders>
              <w:top w:val="single" w:sz="6" w:space="0" w:color="000000"/>
              <w:left w:val="single" w:sz="6" w:space="0" w:color="000000"/>
              <w:bottom w:val="single" w:sz="7" w:space="0" w:color="000000"/>
              <w:right w:val="single" w:sz="6" w:space="0" w:color="000000"/>
            </w:tcBorders>
          </w:tcPr>
          <w:p w14:paraId="25EEB5F5" w14:textId="77777777" w:rsidR="00807239" w:rsidRPr="00D166EA" w:rsidRDefault="00807239" w:rsidP="00C949E4">
            <w:pPr>
              <w:rPr>
                <w:szCs w:val="22"/>
              </w:rPr>
            </w:pPr>
          </w:p>
        </w:tc>
        <w:tc>
          <w:tcPr>
            <w:tcW w:w="1260" w:type="dxa"/>
            <w:tcBorders>
              <w:top w:val="single" w:sz="6" w:space="0" w:color="000000"/>
              <w:left w:val="single" w:sz="6" w:space="0" w:color="000000"/>
              <w:bottom w:val="single" w:sz="7" w:space="0" w:color="000000"/>
              <w:right w:val="single" w:sz="6" w:space="0" w:color="000000"/>
            </w:tcBorders>
          </w:tcPr>
          <w:p w14:paraId="51C74EEC" w14:textId="77777777" w:rsidR="00807239" w:rsidRPr="00D166EA" w:rsidRDefault="00807239" w:rsidP="00C949E4">
            <w:pPr>
              <w:rPr>
                <w:szCs w:val="22"/>
              </w:rPr>
            </w:pPr>
          </w:p>
        </w:tc>
        <w:tc>
          <w:tcPr>
            <w:tcW w:w="1260" w:type="dxa"/>
            <w:tcBorders>
              <w:top w:val="single" w:sz="6" w:space="0" w:color="000000"/>
              <w:left w:val="single" w:sz="6" w:space="0" w:color="000000"/>
              <w:bottom w:val="single" w:sz="7" w:space="0" w:color="000000"/>
              <w:right w:val="single" w:sz="6" w:space="0" w:color="000000"/>
            </w:tcBorders>
          </w:tcPr>
          <w:p w14:paraId="662B822F" w14:textId="77777777" w:rsidR="00807239" w:rsidRPr="00D166EA" w:rsidRDefault="00807239" w:rsidP="00C949E4">
            <w:pPr>
              <w:rPr>
                <w:szCs w:val="22"/>
              </w:rPr>
            </w:pPr>
          </w:p>
        </w:tc>
      </w:tr>
      <w:tr w:rsidR="00807239" w:rsidRPr="00D166EA" w14:paraId="0027748D" w14:textId="77777777" w:rsidTr="002746CC">
        <w:trPr>
          <w:trHeight w:hRule="exact" w:val="394"/>
        </w:trPr>
        <w:tc>
          <w:tcPr>
            <w:tcW w:w="3491" w:type="dxa"/>
            <w:tcBorders>
              <w:top w:val="single" w:sz="7" w:space="0" w:color="000000"/>
              <w:left w:val="single" w:sz="6" w:space="0" w:color="000000"/>
              <w:bottom w:val="single" w:sz="6" w:space="0" w:color="000000"/>
              <w:right w:val="single" w:sz="6" w:space="0" w:color="000000"/>
            </w:tcBorders>
          </w:tcPr>
          <w:p w14:paraId="3B6A5CE9" w14:textId="77777777" w:rsidR="00807239" w:rsidRPr="00D166EA" w:rsidRDefault="00807239" w:rsidP="00C949E4">
            <w:pPr>
              <w:spacing w:line="297" w:lineRule="exact"/>
              <w:ind w:left="303" w:right="-20"/>
              <w:rPr>
                <w:szCs w:val="22"/>
              </w:rPr>
            </w:pPr>
            <w:r w:rsidRPr="00D166EA">
              <w:rPr>
                <w:position w:val="-2"/>
                <w:szCs w:val="22"/>
              </w:rPr>
              <w:t>-</w:t>
            </w:r>
            <w:r w:rsidRPr="00D166EA">
              <w:rPr>
                <w:spacing w:val="4"/>
                <w:position w:val="-2"/>
                <w:szCs w:val="22"/>
              </w:rPr>
              <w:t xml:space="preserve"> </w:t>
            </w:r>
            <w:r w:rsidR="00C95940" w:rsidRPr="00D166EA">
              <w:rPr>
                <w:szCs w:val="22"/>
              </w:rPr>
              <w:t>genotipinis ETVr</w:t>
            </w:r>
            <w:r w:rsidRPr="00B606B7">
              <w:rPr>
                <w:szCs w:val="22"/>
                <w:vertAlign w:val="superscript"/>
              </w:rPr>
              <w:t>c</w:t>
            </w:r>
          </w:p>
        </w:tc>
        <w:tc>
          <w:tcPr>
            <w:tcW w:w="1080" w:type="dxa"/>
            <w:tcBorders>
              <w:top w:val="single" w:sz="7" w:space="0" w:color="000000"/>
              <w:left w:val="single" w:sz="6" w:space="0" w:color="000000"/>
              <w:bottom w:val="single" w:sz="6" w:space="0" w:color="000000"/>
              <w:right w:val="single" w:sz="6" w:space="0" w:color="000000"/>
            </w:tcBorders>
          </w:tcPr>
          <w:p w14:paraId="7A7B38A6" w14:textId="77777777" w:rsidR="00807239" w:rsidRPr="00D166EA" w:rsidRDefault="00807239" w:rsidP="00C949E4">
            <w:pPr>
              <w:spacing w:before="17"/>
              <w:ind w:left="423" w:right="403"/>
              <w:jc w:val="center"/>
              <w:rPr>
                <w:szCs w:val="22"/>
              </w:rPr>
            </w:pPr>
            <w:r w:rsidRPr="00D166EA">
              <w:rPr>
                <w:w w:val="103"/>
                <w:szCs w:val="22"/>
              </w:rPr>
              <w:t>1</w:t>
            </w:r>
          </w:p>
        </w:tc>
        <w:tc>
          <w:tcPr>
            <w:tcW w:w="1080" w:type="dxa"/>
            <w:tcBorders>
              <w:top w:val="single" w:sz="7" w:space="0" w:color="000000"/>
              <w:left w:val="single" w:sz="6" w:space="0" w:color="000000"/>
              <w:bottom w:val="single" w:sz="6" w:space="0" w:color="000000"/>
              <w:right w:val="single" w:sz="6" w:space="0" w:color="000000"/>
            </w:tcBorders>
          </w:tcPr>
          <w:p w14:paraId="6439289F" w14:textId="77777777" w:rsidR="00807239" w:rsidRPr="00D166EA" w:rsidRDefault="00807239" w:rsidP="00C949E4">
            <w:pPr>
              <w:spacing w:before="17"/>
              <w:ind w:left="422" w:right="403"/>
              <w:jc w:val="center"/>
              <w:rPr>
                <w:szCs w:val="22"/>
              </w:rPr>
            </w:pPr>
            <w:r w:rsidRPr="00D166EA">
              <w:rPr>
                <w:w w:val="103"/>
                <w:szCs w:val="22"/>
              </w:rPr>
              <w:t>1</w:t>
            </w:r>
          </w:p>
        </w:tc>
        <w:tc>
          <w:tcPr>
            <w:tcW w:w="900" w:type="dxa"/>
            <w:tcBorders>
              <w:top w:val="single" w:sz="7" w:space="0" w:color="000000"/>
              <w:left w:val="single" w:sz="6" w:space="0" w:color="000000"/>
              <w:bottom w:val="single" w:sz="6" w:space="0" w:color="000000"/>
              <w:right w:val="single" w:sz="6" w:space="0" w:color="000000"/>
            </w:tcBorders>
          </w:tcPr>
          <w:p w14:paraId="7FD84063" w14:textId="77777777" w:rsidR="00807239" w:rsidRPr="00D166EA" w:rsidRDefault="00807239" w:rsidP="00C949E4">
            <w:pPr>
              <w:spacing w:before="17"/>
              <w:ind w:left="422" w:right="402"/>
              <w:jc w:val="center"/>
              <w:rPr>
                <w:szCs w:val="22"/>
              </w:rPr>
            </w:pPr>
            <w:r w:rsidRPr="00D166EA">
              <w:rPr>
                <w:w w:val="103"/>
                <w:szCs w:val="22"/>
              </w:rPr>
              <w:t>1</w:t>
            </w:r>
          </w:p>
        </w:tc>
        <w:tc>
          <w:tcPr>
            <w:tcW w:w="1260" w:type="dxa"/>
            <w:tcBorders>
              <w:top w:val="single" w:sz="7" w:space="0" w:color="000000"/>
              <w:left w:val="single" w:sz="6" w:space="0" w:color="000000"/>
              <w:bottom w:val="single" w:sz="6" w:space="0" w:color="000000"/>
              <w:right w:val="single" w:sz="6" w:space="0" w:color="000000"/>
            </w:tcBorders>
          </w:tcPr>
          <w:p w14:paraId="262B13FF" w14:textId="77777777" w:rsidR="00807239" w:rsidRPr="00D166EA" w:rsidRDefault="00807239" w:rsidP="00C949E4">
            <w:pPr>
              <w:spacing w:before="17"/>
              <w:ind w:left="370" w:right="350"/>
              <w:jc w:val="center"/>
              <w:rPr>
                <w:szCs w:val="22"/>
              </w:rPr>
            </w:pPr>
            <w:r w:rsidRPr="00D166EA">
              <w:rPr>
                <w:w w:val="103"/>
                <w:szCs w:val="22"/>
              </w:rPr>
              <w:t>0</w:t>
            </w:r>
          </w:p>
        </w:tc>
        <w:tc>
          <w:tcPr>
            <w:tcW w:w="1260" w:type="dxa"/>
            <w:tcBorders>
              <w:top w:val="single" w:sz="7" w:space="0" w:color="000000"/>
              <w:left w:val="single" w:sz="6" w:space="0" w:color="000000"/>
              <w:bottom w:val="single" w:sz="6" w:space="0" w:color="000000"/>
              <w:right w:val="single" w:sz="6" w:space="0" w:color="000000"/>
            </w:tcBorders>
          </w:tcPr>
          <w:p w14:paraId="5DAAE531" w14:textId="77777777" w:rsidR="00807239" w:rsidRPr="00D166EA" w:rsidRDefault="00807239" w:rsidP="00C949E4">
            <w:pPr>
              <w:spacing w:before="17"/>
              <w:ind w:left="363" w:right="344"/>
              <w:jc w:val="center"/>
              <w:rPr>
                <w:szCs w:val="22"/>
              </w:rPr>
            </w:pPr>
            <w:r w:rsidRPr="00D166EA">
              <w:rPr>
                <w:w w:val="103"/>
                <w:szCs w:val="22"/>
              </w:rPr>
              <w:t>0</w:t>
            </w:r>
          </w:p>
        </w:tc>
      </w:tr>
      <w:tr w:rsidR="00807239" w:rsidRPr="00D166EA" w14:paraId="6F131308" w14:textId="77777777" w:rsidTr="002746CC">
        <w:trPr>
          <w:trHeight w:hRule="exact" w:val="790"/>
        </w:trPr>
        <w:tc>
          <w:tcPr>
            <w:tcW w:w="3491" w:type="dxa"/>
            <w:tcBorders>
              <w:top w:val="single" w:sz="6" w:space="0" w:color="000000"/>
              <w:left w:val="single" w:sz="6" w:space="0" w:color="000000"/>
              <w:bottom w:val="single" w:sz="7" w:space="0" w:color="000000"/>
              <w:right w:val="single" w:sz="6" w:space="0" w:color="000000"/>
            </w:tcBorders>
          </w:tcPr>
          <w:p w14:paraId="04AF0058" w14:textId="77777777" w:rsidR="00807239" w:rsidRPr="00D166EA" w:rsidRDefault="00807239" w:rsidP="00C95940">
            <w:pPr>
              <w:spacing w:line="297" w:lineRule="exact"/>
              <w:ind w:left="431" w:right="-20" w:hanging="128"/>
              <w:rPr>
                <w:szCs w:val="22"/>
              </w:rPr>
            </w:pPr>
            <w:r w:rsidRPr="00D166EA">
              <w:rPr>
                <w:position w:val="1"/>
                <w:szCs w:val="22"/>
              </w:rPr>
              <w:t>-</w:t>
            </w:r>
            <w:r w:rsidRPr="00D166EA">
              <w:rPr>
                <w:spacing w:val="5"/>
                <w:position w:val="1"/>
                <w:szCs w:val="22"/>
              </w:rPr>
              <w:t xml:space="preserve"> </w:t>
            </w:r>
            <w:r w:rsidR="00C95940" w:rsidRPr="00D166EA">
              <w:rPr>
                <w:szCs w:val="22"/>
              </w:rPr>
              <w:t>genotipinis ETVr</w:t>
            </w:r>
            <w:r w:rsidR="00C95940" w:rsidRPr="00B606B7">
              <w:rPr>
                <w:szCs w:val="22"/>
                <w:vertAlign w:val="superscript"/>
              </w:rPr>
              <w:t>c</w:t>
            </w:r>
            <w:r w:rsidR="00C95940" w:rsidRPr="00D166EA">
              <w:rPr>
                <w:szCs w:val="22"/>
              </w:rPr>
              <w:t xml:space="preserve"> su virusologiniu protrūkiu</w:t>
            </w:r>
          </w:p>
        </w:tc>
        <w:tc>
          <w:tcPr>
            <w:tcW w:w="1080" w:type="dxa"/>
            <w:tcBorders>
              <w:top w:val="single" w:sz="6" w:space="0" w:color="000000"/>
              <w:left w:val="single" w:sz="6" w:space="0" w:color="000000"/>
              <w:bottom w:val="single" w:sz="7" w:space="0" w:color="000000"/>
              <w:right w:val="single" w:sz="6" w:space="0" w:color="000000"/>
            </w:tcBorders>
          </w:tcPr>
          <w:p w14:paraId="48ACEF82" w14:textId="77777777" w:rsidR="00807239" w:rsidRPr="00D166EA" w:rsidRDefault="00807239" w:rsidP="00C949E4">
            <w:pPr>
              <w:spacing w:before="15"/>
              <w:ind w:left="423" w:right="403"/>
              <w:jc w:val="center"/>
              <w:rPr>
                <w:szCs w:val="22"/>
              </w:rPr>
            </w:pPr>
            <w:r w:rsidRPr="00D166EA">
              <w:rPr>
                <w:w w:val="103"/>
                <w:szCs w:val="22"/>
              </w:rPr>
              <w:t>1</w:t>
            </w:r>
          </w:p>
        </w:tc>
        <w:tc>
          <w:tcPr>
            <w:tcW w:w="1080" w:type="dxa"/>
            <w:tcBorders>
              <w:top w:val="single" w:sz="6" w:space="0" w:color="000000"/>
              <w:left w:val="single" w:sz="6" w:space="0" w:color="000000"/>
              <w:bottom w:val="single" w:sz="7" w:space="0" w:color="000000"/>
              <w:right w:val="single" w:sz="6" w:space="0" w:color="000000"/>
            </w:tcBorders>
          </w:tcPr>
          <w:p w14:paraId="2D6D37A3" w14:textId="77777777" w:rsidR="00807239" w:rsidRPr="00D166EA" w:rsidRDefault="00807239" w:rsidP="00C949E4">
            <w:pPr>
              <w:spacing w:before="15"/>
              <w:ind w:left="422" w:right="403"/>
              <w:jc w:val="center"/>
              <w:rPr>
                <w:szCs w:val="22"/>
              </w:rPr>
            </w:pPr>
            <w:r w:rsidRPr="00D166EA">
              <w:rPr>
                <w:w w:val="103"/>
                <w:szCs w:val="22"/>
              </w:rPr>
              <w:t>0</w:t>
            </w:r>
          </w:p>
        </w:tc>
        <w:tc>
          <w:tcPr>
            <w:tcW w:w="900" w:type="dxa"/>
            <w:tcBorders>
              <w:top w:val="single" w:sz="6" w:space="0" w:color="000000"/>
              <w:left w:val="single" w:sz="6" w:space="0" w:color="000000"/>
              <w:bottom w:val="single" w:sz="7" w:space="0" w:color="000000"/>
              <w:right w:val="single" w:sz="6" w:space="0" w:color="000000"/>
            </w:tcBorders>
          </w:tcPr>
          <w:p w14:paraId="51FC4101" w14:textId="77777777" w:rsidR="00807239" w:rsidRPr="00D166EA" w:rsidRDefault="00807239" w:rsidP="00C949E4">
            <w:pPr>
              <w:spacing w:before="15"/>
              <w:ind w:left="422" w:right="402"/>
              <w:jc w:val="center"/>
              <w:rPr>
                <w:szCs w:val="22"/>
              </w:rPr>
            </w:pPr>
            <w:r w:rsidRPr="00D166EA">
              <w:rPr>
                <w:w w:val="103"/>
                <w:szCs w:val="22"/>
              </w:rPr>
              <w:t>1</w:t>
            </w:r>
          </w:p>
        </w:tc>
        <w:tc>
          <w:tcPr>
            <w:tcW w:w="1260" w:type="dxa"/>
            <w:tcBorders>
              <w:top w:val="single" w:sz="6" w:space="0" w:color="000000"/>
              <w:left w:val="single" w:sz="6" w:space="0" w:color="000000"/>
              <w:bottom w:val="single" w:sz="7" w:space="0" w:color="000000"/>
              <w:right w:val="single" w:sz="6" w:space="0" w:color="000000"/>
            </w:tcBorders>
          </w:tcPr>
          <w:p w14:paraId="5556A691" w14:textId="77777777" w:rsidR="00807239" w:rsidRPr="00D166EA" w:rsidRDefault="00807239" w:rsidP="00C949E4">
            <w:pPr>
              <w:spacing w:before="15"/>
              <w:ind w:left="370" w:right="350"/>
              <w:jc w:val="center"/>
              <w:rPr>
                <w:szCs w:val="22"/>
              </w:rPr>
            </w:pPr>
            <w:r w:rsidRPr="00D166EA">
              <w:rPr>
                <w:w w:val="103"/>
                <w:szCs w:val="22"/>
              </w:rPr>
              <w:t>0</w:t>
            </w:r>
          </w:p>
        </w:tc>
        <w:tc>
          <w:tcPr>
            <w:tcW w:w="1260" w:type="dxa"/>
            <w:tcBorders>
              <w:top w:val="single" w:sz="6" w:space="0" w:color="000000"/>
              <w:left w:val="single" w:sz="6" w:space="0" w:color="000000"/>
              <w:bottom w:val="single" w:sz="7" w:space="0" w:color="000000"/>
              <w:right w:val="single" w:sz="6" w:space="0" w:color="000000"/>
            </w:tcBorders>
          </w:tcPr>
          <w:p w14:paraId="7840F565" w14:textId="77777777" w:rsidR="00807239" w:rsidRPr="00D166EA" w:rsidRDefault="00807239" w:rsidP="00C949E4">
            <w:pPr>
              <w:spacing w:before="15"/>
              <w:ind w:left="367" w:right="348"/>
              <w:jc w:val="center"/>
              <w:rPr>
                <w:szCs w:val="22"/>
              </w:rPr>
            </w:pPr>
            <w:r w:rsidRPr="00D166EA">
              <w:rPr>
                <w:w w:val="103"/>
                <w:szCs w:val="22"/>
              </w:rPr>
              <w:t>0</w:t>
            </w:r>
          </w:p>
        </w:tc>
      </w:tr>
      <w:tr w:rsidR="00807239" w:rsidRPr="00D166EA" w14:paraId="024F8E25" w14:textId="77777777" w:rsidTr="002746CC">
        <w:trPr>
          <w:trHeight w:hRule="exact" w:val="393"/>
        </w:trPr>
        <w:tc>
          <w:tcPr>
            <w:tcW w:w="3491" w:type="dxa"/>
            <w:tcBorders>
              <w:top w:val="single" w:sz="7" w:space="0" w:color="000000"/>
              <w:left w:val="single" w:sz="6" w:space="0" w:color="000000"/>
              <w:bottom w:val="single" w:sz="6" w:space="0" w:color="000000"/>
              <w:right w:val="single" w:sz="6" w:space="0" w:color="000000"/>
            </w:tcBorders>
          </w:tcPr>
          <w:p w14:paraId="49CE171C" w14:textId="77777777" w:rsidR="00807239" w:rsidRPr="00D166EA" w:rsidRDefault="00C95940" w:rsidP="00C949E4">
            <w:pPr>
              <w:spacing w:before="15"/>
              <w:ind w:left="95" w:right="-20"/>
              <w:rPr>
                <w:szCs w:val="22"/>
              </w:rPr>
            </w:pPr>
            <w:r w:rsidRPr="00D166EA">
              <w:rPr>
                <w:b/>
                <w:bCs/>
                <w:szCs w:val="22"/>
              </w:rPr>
              <w:t>Kumuliacinė tikimybė</w:t>
            </w:r>
            <w:r w:rsidR="00807239" w:rsidRPr="00D166EA">
              <w:rPr>
                <w:b/>
                <w:bCs/>
                <w:w w:val="103"/>
                <w:szCs w:val="22"/>
              </w:rPr>
              <w:t>:</w:t>
            </w:r>
          </w:p>
        </w:tc>
        <w:tc>
          <w:tcPr>
            <w:tcW w:w="1080" w:type="dxa"/>
            <w:tcBorders>
              <w:top w:val="single" w:sz="7" w:space="0" w:color="000000"/>
              <w:left w:val="single" w:sz="6" w:space="0" w:color="000000"/>
              <w:bottom w:val="single" w:sz="6" w:space="0" w:color="000000"/>
              <w:right w:val="single" w:sz="6" w:space="0" w:color="000000"/>
            </w:tcBorders>
          </w:tcPr>
          <w:p w14:paraId="02597B19" w14:textId="77777777" w:rsidR="00807239" w:rsidRPr="00D166EA" w:rsidRDefault="00807239" w:rsidP="00C949E4">
            <w:pPr>
              <w:rPr>
                <w:szCs w:val="22"/>
              </w:rPr>
            </w:pPr>
          </w:p>
        </w:tc>
        <w:tc>
          <w:tcPr>
            <w:tcW w:w="1080" w:type="dxa"/>
            <w:tcBorders>
              <w:top w:val="single" w:sz="7" w:space="0" w:color="000000"/>
              <w:left w:val="single" w:sz="6" w:space="0" w:color="000000"/>
              <w:bottom w:val="single" w:sz="6" w:space="0" w:color="000000"/>
              <w:right w:val="single" w:sz="6" w:space="0" w:color="000000"/>
            </w:tcBorders>
          </w:tcPr>
          <w:p w14:paraId="3DD40D1A" w14:textId="77777777" w:rsidR="00807239" w:rsidRPr="00D166EA" w:rsidRDefault="00807239" w:rsidP="00C949E4">
            <w:pPr>
              <w:rPr>
                <w:szCs w:val="22"/>
              </w:rPr>
            </w:pPr>
          </w:p>
        </w:tc>
        <w:tc>
          <w:tcPr>
            <w:tcW w:w="900" w:type="dxa"/>
            <w:tcBorders>
              <w:top w:val="single" w:sz="7" w:space="0" w:color="000000"/>
              <w:left w:val="single" w:sz="6" w:space="0" w:color="000000"/>
              <w:bottom w:val="single" w:sz="6" w:space="0" w:color="000000"/>
              <w:right w:val="single" w:sz="6" w:space="0" w:color="000000"/>
            </w:tcBorders>
          </w:tcPr>
          <w:p w14:paraId="0B077FEF" w14:textId="77777777" w:rsidR="00807239" w:rsidRPr="00D166EA" w:rsidRDefault="00807239" w:rsidP="00C949E4">
            <w:pPr>
              <w:rPr>
                <w:szCs w:val="22"/>
              </w:rPr>
            </w:pPr>
          </w:p>
        </w:tc>
        <w:tc>
          <w:tcPr>
            <w:tcW w:w="1260" w:type="dxa"/>
            <w:tcBorders>
              <w:top w:val="single" w:sz="7" w:space="0" w:color="000000"/>
              <w:left w:val="single" w:sz="6" w:space="0" w:color="000000"/>
              <w:bottom w:val="single" w:sz="6" w:space="0" w:color="000000"/>
              <w:right w:val="single" w:sz="6" w:space="0" w:color="000000"/>
            </w:tcBorders>
          </w:tcPr>
          <w:p w14:paraId="39C3A401" w14:textId="77777777" w:rsidR="00807239" w:rsidRPr="00D166EA" w:rsidRDefault="00807239" w:rsidP="00C949E4">
            <w:pPr>
              <w:rPr>
                <w:szCs w:val="22"/>
              </w:rPr>
            </w:pPr>
          </w:p>
        </w:tc>
        <w:tc>
          <w:tcPr>
            <w:tcW w:w="1260" w:type="dxa"/>
            <w:tcBorders>
              <w:top w:val="single" w:sz="7" w:space="0" w:color="000000"/>
              <w:left w:val="single" w:sz="6" w:space="0" w:color="000000"/>
              <w:bottom w:val="single" w:sz="6" w:space="0" w:color="000000"/>
              <w:right w:val="single" w:sz="6" w:space="0" w:color="000000"/>
            </w:tcBorders>
          </w:tcPr>
          <w:p w14:paraId="21778C56" w14:textId="77777777" w:rsidR="00807239" w:rsidRPr="00D166EA" w:rsidRDefault="00807239" w:rsidP="00C949E4">
            <w:pPr>
              <w:rPr>
                <w:szCs w:val="22"/>
              </w:rPr>
            </w:pPr>
          </w:p>
        </w:tc>
      </w:tr>
      <w:tr w:rsidR="00807239" w:rsidRPr="00D166EA" w14:paraId="2626DEA4" w14:textId="77777777" w:rsidTr="002746CC">
        <w:trPr>
          <w:trHeight w:hRule="exact" w:val="392"/>
        </w:trPr>
        <w:tc>
          <w:tcPr>
            <w:tcW w:w="3491" w:type="dxa"/>
            <w:tcBorders>
              <w:top w:val="single" w:sz="6" w:space="0" w:color="000000"/>
              <w:left w:val="single" w:sz="6" w:space="0" w:color="000000"/>
              <w:bottom w:val="single" w:sz="6" w:space="0" w:color="000000"/>
              <w:right w:val="single" w:sz="6" w:space="0" w:color="000000"/>
            </w:tcBorders>
          </w:tcPr>
          <w:p w14:paraId="410CDF2F" w14:textId="77777777" w:rsidR="00807239" w:rsidRPr="00D166EA" w:rsidRDefault="00807239" w:rsidP="00C95940">
            <w:pPr>
              <w:spacing w:line="240" w:lineRule="exact"/>
              <w:ind w:left="284"/>
              <w:rPr>
                <w:szCs w:val="22"/>
              </w:rPr>
            </w:pPr>
            <w:r w:rsidRPr="00D166EA">
              <w:rPr>
                <w:position w:val="-2"/>
                <w:szCs w:val="22"/>
              </w:rPr>
              <w:t>-</w:t>
            </w:r>
            <w:r w:rsidRPr="00D166EA">
              <w:rPr>
                <w:spacing w:val="5"/>
                <w:position w:val="-2"/>
                <w:szCs w:val="22"/>
              </w:rPr>
              <w:t xml:space="preserve"> </w:t>
            </w:r>
            <w:r w:rsidR="00C95940" w:rsidRPr="00D166EA">
              <w:rPr>
                <w:spacing w:val="5"/>
                <w:position w:val="-2"/>
                <w:szCs w:val="22"/>
              </w:rPr>
              <w:t>genotipinio</w:t>
            </w:r>
            <w:r w:rsidRPr="00D166EA">
              <w:rPr>
                <w:spacing w:val="26"/>
                <w:position w:val="-2"/>
                <w:szCs w:val="22"/>
              </w:rPr>
              <w:t xml:space="preserve"> </w:t>
            </w:r>
            <w:r w:rsidRPr="00D166EA">
              <w:rPr>
                <w:spacing w:val="1"/>
                <w:w w:val="103"/>
                <w:position w:val="-2"/>
                <w:szCs w:val="22"/>
              </w:rPr>
              <w:t>E</w:t>
            </w:r>
            <w:r w:rsidRPr="00D166EA">
              <w:rPr>
                <w:w w:val="103"/>
                <w:position w:val="-2"/>
                <w:szCs w:val="22"/>
              </w:rPr>
              <w:t>TV</w:t>
            </w:r>
            <w:r w:rsidRPr="00B606B7">
              <w:rPr>
                <w:spacing w:val="5"/>
                <w:position w:val="-2"/>
                <w:szCs w:val="22"/>
              </w:rPr>
              <w:t>r</w:t>
            </w:r>
            <w:r w:rsidR="00C95940" w:rsidRPr="00B606B7">
              <w:rPr>
                <w:spacing w:val="5"/>
                <w:position w:val="-2"/>
                <w:szCs w:val="22"/>
                <w:vertAlign w:val="superscript"/>
              </w:rPr>
              <w:t>c</w:t>
            </w:r>
            <w:r w:rsidR="00C95940" w:rsidRPr="00D166EA">
              <w:rPr>
                <w:spacing w:val="1"/>
                <w:w w:val="103"/>
                <w:position w:val="-2"/>
                <w:szCs w:val="22"/>
              </w:rPr>
              <w:t xml:space="preserve"> pasireiškimo</w:t>
            </w:r>
          </w:p>
        </w:tc>
        <w:tc>
          <w:tcPr>
            <w:tcW w:w="1080" w:type="dxa"/>
            <w:tcBorders>
              <w:top w:val="single" w:sz="6" w:space="0" w:color="000000"/>
              <w:left w:val="single" w:sz="6" w:space="0" w:color="000000"/>
              <w:bottom w:val="single" w:sz="6" w:space="0" w:color="000000"/>
              <w:right w:val="single" w:sz="6" w:space="0" w:color="000000"/>
            </w:tcBorders>
          </w:tcPr>
          <w:p w14:paraId="25DADB54" w14:textId="77777777" w:rsidR="00807239" w:rsidRPr="00D166EA" w:rsidRDefault="00807239" w:rsidP="00CC4FF7">
            <w:pPr>
              <w:spacing w:before="15"/>
              <w:ind w:left="295" w:right="-20"/>
              <w:rPr>
                <w:szCs w:val="22"/>
              </w:rPr>
            </w:pPr>
            <w:r w:rsidRPr="00D166EA">
              <w:rPr>
                <w:spacing w:val="-1"/>
                <w:w w:val="103"/>
                <w:szCs w:val="22"/>
              </w:rPr>
              <w:t>0</w:t>
            </w:r>
            <w:r w:rsidR="00CC4FF7">
              <w:rPr>
                <w:spacing w:val="-1"/>
                <w:w w:val="103"/>
                <w:szCs w:val="22"/>
              </w:rPr>
              <w:t>,</w:t>
            </w:r>
            <w:r w:rsidRPr="00D166EA">
              <w:rPr>
                <w:w w:val="103"/>
                <w:szCs w:val="22"/>
              </w:rPr>
              <w:t>2</w:t>
            </w:r>
            <w:r w:rsidR="00CC4FF7">
              <w:rPr>
                <w:w w:val="103"/>
                <w:szCs w:val="22"/>
              </w:rPr>
              <w:t> </w:t>
            </w:r>
            <w:r w:rsidRPr="00D166EA">
              <w:rPr>
                <w:w w:val="103"/>
                <w:szCs w:val="22"/>
              </w:rPr>
              <w:t>%</w:t>
            </w:r>
          </w:p>
        </w:tc>
        <w:tc>
          <w:tcPr>
            <w:tcW w:w="1080" w:type="dxa"/>
            <w:tcBorders>
              <w:top w:val="single" w:sz="6" w:space="0" w:color="000000"/>
              <w:left w:val="single" w:sz="6" w:space="0" w:color="000000"/>
              <w:bottom w:val="single" w:sz="6" w:space="0" w:color="000000"/>
              <w:right w:val="single" w:sz="6" w:space="0" w:color="000000"/>
            </w:tcBorders>
          </w:tcPr>
          <w:p w14:paraId="581CFA69" w14:textId="77777777" w:rsidR="00807239" w:rsidRPr="00D166EA" w:rsidRDefault="00807239" w:rsidP="00CC4FF7">
            <w:pPr>
              <w:spacing w:before="15"/>
              <w:ind w:left="294" w:right="-20"/>
              <w:rPr>
                <w:szCs w:val="22"/>
              </w:rPr>
            </w:pPr>
            <w:r w:rsidRPr="00D166EA">
              <w:rPr>
                <w:spacing w:val="-1"/>
                <w:w w:val="103"/>
                <w:szCs w:val="22"/>
              </w:rPr>
              <w:t>0</w:t>
            </w:r>
            <w:r w:rsidR="00CC4FF7">
              <w:rPr>
                <w:spacing w:val="-1"/>
                <w:w w:val="103"/>
                <w:szCs w:val="22"/>
              </w:rPr>
              <w:t>,</w:t>
            </w:r>
            <w:r w:rsidRPr="00D166EA">
              <w:rPr>
                <w:spacing w:val="1"/>
                <w:w w:val="103"/>
                <w:szCs w:val="22"/>
              </w:rPr>
              <w:t>5</w:t>
            </w:r>
            <w:r w:rsidR="00CC4FF7">
              <w:rPr>
                <w:spacing w:val="1"/>
                <w:w w:val="103"/>
                <w:szCs w:val="22"/>
              </w:rPr>
              <w:t> </w:t>
            </w:r>
            <w:r w:rsidRPr="00D166EA">
              <w:rPr>
                <w:w w:val="103"/>
                <w:szCs w:val="22"/>
              </w:rPr>
              <w:t>%</w:t>
            </w:r>
          </w:p>
        </w:tc>
        <w:tc>
          <w:tcPr>
            <w:tcW w:w="900" w:type="dxa"/>
            <w:tcBorders>
              <w:top w:val="single" w:sz="6" w:space="0" w:color="000000"/>
              <w:left w:val="single" w:sz="6" w:space="0" w:color="000000"/>
              <w:bottom w:val="single" w:sz="6" w:space="0" w:color="000000"/>
              <w:right w:val="single" w:sz="6" w:space="0" w:color="000000"/>
            </w:tcBorders>
          </w:tcPr>
          <w:p w14:paraId="6ABF6043" w14:textId="77777777" w:rsidR="00807239" w:rsidRPr="00D166EA" w:rsidRDefault="00807239" w:rsidP="00CC4FF7">
            <w:pPr>
              <w:spacing w:before="15"/>
              <w:ind w:left="293" w:right="-20"/>
              <w:rPr>
                <w:szCs w:val="22"/>
              </w:rPr>
            </w:pPr>
            <w:r w:rsidRPr="00D166EA">
              <w:rPr>
                <w:w w:val="103"/>
                <w:szCs w:val="22"/>
              </w:rPr>
              <w:t>1</w:t>
            </w:r>
            <w:r w:rsidR="00CC4FF7">
              <w:rPr>
                <w:w w:val="103"/>
                <w:szCs w:val="22"/>
              </w:rPr>
              <w:t>,</w:t>
            </w:r>
            <w:r w:rsidRPr="00D166EA">
              <w:rPr>
                <w:spacing w:val="1"/>
                <w:w w:val="103"/>
                <w:szCs w:val="22"/>
              </w:rPr>
              <w:t>2</w:t>
            </w:r>
            <w:r w:rsidR="00CC4FF7">
              <w:rPr>
                <w:spacing w:val="1"/>
                <w:w w:val="103"/>
                <w:szCs w:val="22"/>
              </w:rPr>
              <w:t> </w:t>
            </w:r>
            <w:r w:rsidRPr="00D166EA">
              <w:rPr>
                <w:w w:val="103"/>
                <w:szCs w:val="22"/>
              </w:rPr>
              <w:t>%</w:t>
            </w:r>
          </w:p>
        </w:tc>
        <w:tc>
          <w:tcPr>
            <w:tcW w:w="1260" w:type="dxa"/>
            <w:tcBorders>
              <w:top w:val="single" w:sz="6" w:space="0" w:color="000000"/>
              <w:left w:val="single" w:sz="6" w:space="0" w:color="000000"/>
              <w:bottom w:val="single" w:sz="6" w:space="0" w:color="000000"/>
              <w:right w:val="single" w:sz="6" w:space="0" w:color="000000"/>
            </w:tcBorders>
          </w:tcPr>
          <w:p w14:paraId="4ADCED8A" w14:textId="77777777" w:rsidR="00807239" w:rsidRPr="00D166EA" w:rsidRDefault="00807239" w:rsidP="00CC4FF7">
            <w:pPr>
              <w:spacing w:before="15"/>
              <w:ind w:left="243" w:right="-20"/>
              <w:rPr>
                <w:szCs w:val="22"/>
              </w:rPr>
            </w:pPr>
            <w:r w:rsidRPr="00D166EA">
              <w:rPr>
                <w:spacing w:val="-1"/>
                <w:w w:val="103"/>
                <w:szCs w:val="22"/>
              </w:rPr>
              <w:t>1</w:t>
            </w:r>
            <w:r w:rsidR="00CC4FF7">
              <w:rPr>
                <w:spacing w:val="-1"/>
                <w:w w:val="103"/>
                <w:szCs w:val="22"/>
              </w:rPr>
              <w:t>,</w:t>
            </w:r>
            <w:r w:rsidRPr="00D166EA">
              <w:rPr>
                <w:w w:val="103"/>
                <w:szCs w:val="22"/>
              </w:rPr>
              <w:t>2</w:t>
            </w:r>
            <w:r w:rsidR="00CC4FF7">
              <w:rPr>
                <w:w w:val="103"/>
                <w:szCs w:val="22"/>
              </w:rPr>
              <w:t> </w:t>
            </w:r>
            <w:r w:rsidRPr="00D166EA">
              <w:rPr>
                <w:w w:val="103"/>
                <w:szCs w:val="22"/>
              </w:rPr>
              <w:t>%</w:t>
            </w:r>
          </w:p>
        </w:tc>
        <w:tc>
          <w:tcPr>
            <w:tcW w:w="1260" w:type="dxa"/>
            <w:tcBorders>
              <w:top w:val="single" w:sz="6" w:space="0" w:color="000000"/>
              <w:left w:val="single" w:sz="6" w:space="0" w:color="000000"/>
              <w:bottom w:val="single" w:sz="6" w:space="0" w:color="000000"/>
              <w:right w:val="single" w:sz="6" w:space="0" w:color="000000"/>
            </w:tcBorders>
          </w:tcPr>
          <w:p w14:paraId="1891A2FF" w14:textId="77777777" w:rsidR="00807239" w:rsidRPr="00D166EA" w:rsidRDefault="00807239" w:rsidP="00CC4FF7">
            <w:pPr>
              <w:spacing w:before="15"/>
              <w:ind w:left="242" w:right="-20"/>
              <w:rPr>
                <w:szCs w:val="22"/>
              </w:rPr>
            </w:pPr>
            <w:r w:rsidRPr="00D166EA">
              <w:rPr>
                <w:w w:val="103"/>
                <w:szCs w:val="22"/>
              </w:rPr>
              <w:t>1</w:t>
            </w:r>
            <w:r w:rsidR="00CC4FF7">
              <w:rPr>
                <w:w w:val="103"/>
                <w:szCs w:val="22"/>
              </w:rPr>
              <w:t>,</w:t>
            </w:r>
            <w:r w:rsidRPr="00D166EA">
              <w:rPr>
                <w:w w:val="103"/>
                <w:szCs w:val="22"/>
              </w:rPr>
              <w:t>2</w:t>
            </w:r>
            <w:r w:rsidR="00CC4FF7">
              <w:rPr>
                <w:w w:val="103"/>
                <w:szCs w:val="22"/>
              </w:rPr>
              <w:t> </w:t>
            </w:r>
            <w:r w:rsidRPr="00D166EA">
              <w:rPr>
                <w:w w:val="103"/>
                <w:szCs w:val="22"/>
              </w:rPr>
              <w:t>%</w:t>
            </w:r>
          </w:p>
        </w:tc>
      </w:tr>
      <w:tr w:rsidR="00807239" w:rsidRPr="00D166EA" w14:paraId="5F16BF74" w14:textId="77777777" w:rsidTr="002746CC">
        <w:trPr>
          <w:trHeight w:hRule="exact" w:val="620"/>
        </w:trPr>
        <w:tc>
          <w:tcPr>
            <w:tcW w:w="3491" w:type="dxa"/>
            <w:tcBorders>
              <w:top w:val="single" w:sz="6" w:space="0" w:color="000000"/>
              <w:left w:val="single" w:sz="6" w:space="0" w:color="000000"/>
              <w:bottom w:val="single" w:sz="6" w:space="0" w:color="000000"/>
              <w:right w:val="single" w:sz="6" w:space="0" w:color="000000"/>
            </w:tcBorders>
          </w:tcPr>
          <w:p w14:paraId="3C37F06D" w14:textId="77777777" w:rsidR="00807239" w:rsidRPr="00D166EA" w:rsidRDefault="00C95940" w:rsidP="00C95940">
            <w:pPr>
              <w:spacing w:line="240" w:lineRule="exact"/>
              <w:ind w:left="414" w:hanging="130"/>
              <w:rPr>
                <w:szCs w:val="22"/>
              </w:rPr>
            </w:pPr>
            <w:r w:rsidRPr="00D166EA">
              <w:rPr>
                <w:position w:val="-2"/>
                <w:szCs w:val="22"/>
              </w:rPr>
              <w:t>-</w:t>
            </w:r>
            <w:r w:rsidRPr="00D166EA">
              <w:rPr>
                <w:spacing w:val="5"/>
                <w:position w:val="-2"/>
                <w:szCs w:val="22"/>
              </w:rPr>
              <w:t xml:space="preserve"> genotipinio</w:t>
            </w:r>
            <w:r w:rsidRPr="00D166EA">
              <w:rPr>
                <w:spacing w:val="26"/>
                <w:position w:val="-2"/>
                <w:szCs w:val="22"/>
              </w:rPr>
              <w:t xml:space="preserve"> </w:t>
            </w:r>
            <w:r w:rsidRPr="00D166EA">
              <w:rPr>
                <w:spacing w:val="1"/>
                <w:w w:val="103"/>
                <w:position w:val="-2"/>
                <w:szCs w:val="22"/>
              </w:rPr>
              <w:t>E</w:t>
            </w:r>
            <w:r w:rsidRPr="00D166EA">
              <w:rPr>
                <w:w w:val="103"/>
                <w:position w:val="-2"/>
                <w:szCs w:val="22"/>
              </w:rPr>
              <w:t>TV</w:t>
            </w:r>
            <w:r w:rsidRPr="00D166EA">
              <w:rPr>
                <w:spacing w:val="1"/>
                <w:w w:val="103"/>
                <w:position w:val="-2"/>
                <w:szCs w:val="22"/>
              </w:rPr>
              <w:t>r</w:t>
            </w:r>
            <w:r w:rsidRPr="00B606B7">
              <w:rPr>
                <w:spacing w:val="5"/>
                <w:position w:val="-2"/>
                <w:szCs w:val="22"/>
                <w:vertAlign w:val="superscript"/>
              </w:rPr>
              <w:t>c</w:t>
            </w:r>
            <w:r w:rsidRPr="00D166EA">
              <w:rPr>
                <w:spacing w:val="1"/>
                <w:w w:val="103"/>
                <w:position w:val="-2"/>
                <w:szCs w:val="22"/>
              </w:rPr>
              <w:t xml:space="preserve"> pasireiškimo</w:t>
            </w:r>
            <w:r w:rsidRPr="00D166EA">
              <w:rPr>
                <w:position w:val="-2"/>
                <w:szCs w:val="22"/>
              </w:rPr>
              <w:t xml:space="preserve"> su virusologiniu protrūkiu</w:t>
            </w:r>
            <w:r w:rsidR="00807239" w:rsidRPr="00D166EA">
              <w:rPr>
                <w:position w:val="-2"/>
                <w:szCs w:val="22"/>
                <w:vertAlign w:val="superscript"/>
              </w:rPr>
              <w:t>d</w:t>
            </w:r>
          </w:p>
        </w:tc>
        <w:tc>
          <w:tcPr>
            <w:tcW w:w="1080" w:type="dxa"/>
            <w:tcBorders>
              <w:top w:val="single" w:sz="6" w:space="0" w:color="000000"/>
              <w:left w:val="single" w:sz="6" w:space="0" w:color="000000"/>
              <w:bottom w:val="single" w:sz="6" w:space="0" w:color="000000"/>
              <w:right w:val="single" w:sz="6" w:space="0" w:color="000000"/>
            </w:tcBorders>
          </w:tcPr>
          <w:p w14:paraId="490F5DF0" w14:textId="77777777" w:rsidR="00807239" w:rsidRPr="00D166EA" w:rsidRDefault="00807239" w:rsidP="00CC4FF7">
            <w:pPr>
              <w:spacing w:before="17"/>
              <w:ind w:left="295" w:right="-20"/>
              <w:rPr>
                <w:szCs w:val="22"/>
              </w:rPr>
            </w:pPr>
            <w:r w:rsidRPr="00D166EA">
              <w:rPr>
                <w:spacing w:val="-1"/>
                <w:w w:val="103"/>
                <w:szCs w:val="22"/>
              </w:rPr>
              <w:t>0</w:t>
            </w:r>
            <w:r w:rsidR="00CC4FF7">
              <w:rPr>
                <w:spacing w:val="-1"/>
                <w:w w:val="103"/>
                <w:szCs w:val="22"/>
              </w:rPr>
              <w:t>,</w:t>
            </w:r>
            <w:r w:rsidRPr="00D166EA">
              <w:rPr>
                <w:w w:val="103"/>
                <w:szCs w:val="22"/>
              </w:rPr>
              <w:t>2</w:t>
            </w:r>
            <w:r w:rsidR="00CC4FF7">
              <w:rPr>
                <w:w w:val="103"/>
                <w:szCs w:val="22"/>
              </w:rPr>
              <w:t> </w:t>
            </w:r>
            <w:r w:rsidRPr="00D166EA">
              <w:rPr>
                <w:w w:val="103"/>
                <w:szCs w:val="22"/>
              </w:rPr>
              <w:t>%</w:t>
            </w:r>
          </w:p>
        </w:tc>
        <w:tc>
          <w:tcPr>
            <w:tcW w:w="1080" w:type="dxa"/>
            <w:tcBorders>
              <w:top w:val="single" w:sz="6" w:space="0" w:color="000000"/>
              <w:left w:val="single" w:sz="6" w:space="0" w:color="000000"/>
              <w:bottom w:val="single" w:sz="6" w:space="0" w:color="000000"/>
              <w:right w:val="single" w:sz="6" w:space="0" w:color="000000"/>
            </w:tcBorders>
          </w:tcPr>
          <w:p w14:paraId="6D939FF2" w14:textId="77777777" w:rsidR="00807239" w:rsidRPr="00D166EA" w:rsidRDefault="00807239" w:rsidP="00CC4FF7">
            <w:pPr>
              <w:spacing w:before="17"/>
              <w:ind w:left="294" w:right="-20"/>
              <w:rPr>
                <w:szCs w:val="22"/>
              </w:rPr>
            </w:pPr>
            <w:r w:rsidRPr="00D166EA">
              <w:rPr>
                <w:spacing w:val="-1"/>
                <w:w w:val="103"/>
                <w:szCs w:val="22"/>
              </w:rPr>
              <w:t>0</w:t>
            </w:r>
            <w:r w:rsidR="00CC4FF7">
              <w:rPr>
                <w:spacing w:val="-1"/>
                <w:w w:val="103"/>
                <w:szCs w:val="22"/>
              </w:rPr>
              <w:t>,</w:t>
            </w:r>
            <w:r w:rsidRPr="00D166EA">
              <w:rPr>
                <w:spacing w:val="1"/>
                <w:w w:val="103"/>
                <w:szCs w:val="22"/>
              </w:rPr>
              <w:t>2</w:t>
            </w:r>
            <w:r w:rsidR="00CC4FF7">
              <w:rPr>
                <w:spacing w:val="1"/>
                <w:w w:val="103"/>
                <w:szCs w:val="22"/>
              </w:rPr>
              <w:t> </w:t>
            </w:r>
            <w:r w:rsidRPr="00D166EA">
              <w:rPr>
                <w:w w:val="103"/>
                <w:szCs w:val="22"/>
              </w:rPr>
              <w:t>%</w:t>
            </w:r>
          </w:p>
        </w:tc>
        <w:tc>
          <w:tcPr>
            <w:tcW w:w="900" w:type="dxa"/>
            <w:tcBorders>
              <w:top w:val="single" w:sz="6" w:space="0" w:color="000000"/>
              <w:left w:val="single" w:sz="6" w:space="0" w:color="000000"/>
              <w:bottom w:val="single" w:sz="6" w:space="0" w:color="000000"/>
              <w:right w:val="single" w:sz="6" w:space="0" w:color="000000"/>
            </w:tcBorders>
          </w:tcPr>
          <w:p w14:paraId="536BE5FF" w14:textId="77777777" w:rsidR="00807239" w:rsidRPr="00D166EA" w:rsidRDefault="00807239" w:rsidP="00CC4FF7">
            <w:pPr>
              <w:spacing w:before="17"/>
              <w:ind w:left="293" w:right="-20"/>
              <w:rPr>
                <w:szCs w:val="22"/>
              </w:rPr>
            </w:pPr>
            <w:r w:rsidRPr="00D166EA">
              <w:rPr>
                <w:w w:val="103"/>
                <w:szCs w:val="22"/>
              </w:rPr>
              <w:t>0</w:t>
            </w:r>
            <w:r w:rsidR="00CC4FF7">
              <w:rPr>
                <w:w w:val="103"/>
                <w:szCs w:val="22"/>
              </w:rPr>
              <w:t>,</w:t>
            </w:r>
            <w:r w:rsidRPr="00D166EA">
              <w:rPr>
                <w:spacing w:val="1"/>
                <w:w w:val="103"/>
                <w:szCs w:val="22"/>
              </w:rPr>
              <w:t>8</w:t>
            </w:r>
            <w:r w:rsidR="00CC4FF7">
              <w:rPr>
                <w:spacing w:val="1"/>
                <w:w w:val="103"/>
                <w:szCs w:val="22"/>
              </w:rPr>
              <w:t> </w:t>
            </w:r>
            <w:r w:rsidRPr="00D166EA">
              <w:rPr>
                <w:w w:val="103"/>
                <w:szCs w:val="22"/>
              </w:rPr>
              <w:t>%</w:t>
            </w:r>
          </w:p>
        </w:tc>
        <w:tc>
          <w:tcPr>
            <w:tcW w:w="1260" w:type="dxa"/>
            <w:tcBorders>
              <w:top w:val="single" w:sz="6" w:space="0" w:color="000000"/>
              <w:left w:val="single" w:sz="6" w:space="0" w:color="000000"/>
              <w:bottom w:val="single" w:sz="6" w:space="0" w:color="000000"/>
              <w:right w:val="single" w:sz="6" w:space="0" w:color="000000"/>
            </w:tcBorders>
          </w:tcPr>
          <w:p w14:paraId="6D6354CE" w14:textId="77777777" w:rsidR="00807239" w:rsidRPr="00D166EA" w:rsidRDefault="00807239" w:rsidP="00CC4FF7">
            <w:pPr>
              <w:spacing w:before="17"/>
              <w:ind w:left="243" w:right="-20"/>
              <w:rPr>
                <w:szCs w:val="22"/>
              </w:rPr>
            </w:pPr>
            <w:r w:rsidRPr="00D166EA">
              <w:rPr>
                <w:spacing w:val="-1"/>
                <w:w w:val="103"/>
                <w:szCs w:val="22"/>
              </w:rPr>
              <w:t>0</w:t>
            </w:r>
            <w:r w:rsidR="00CC4FF7">
              <w:rPr>
                <w:spacing w:val="-1"/>
                <w:w w:val="103"/>
                <w:szCs w:val="22"/>
              </w:rPr>
              <w:t>,</w:t>
            </w:r>
            <w:r w:rsidRPr="00D166EA">
              <w:rPr>
                <w:w w:val="103"/>
                <w:szCs w:val="22"/>
              </w:rPr>
              <w:t>8</w:t>
            </w:r>
            <w:r w:rsidR="00CC4FF7">
              <w:rPr>
                <w:w w:val="103"/>
                <w:szCs w:val="22"/>
              </w:rPr>
              <w:t> </w:t>
            </w:r>
            <w:r w:rsidRPr="00D166EA">
              <w:rPr>
                <w:w w:val="103"/>
                <w:szCs w:val="22"/>
              </w:rPr>
              <w:t>%</w:t>
            </w:r>
          </w:p>
        </w:tc>
        <w:tc>
          <w:tcPr>
            <w:tcW w:w="1260" w:type="dxa"/>
            <w:tcBorders>
              <w:top w:val="single" w:sz="6" w:space="0" w:color="000000"/>
              <w:left w:val="single" w:sz="6" w:space="0" w:color="000000"/>
              <w:bottom w:val="single" w:sz="6" w:space="0" w:color="000000"/>
              <w:right w:val="single" w:sz="6" w:space="0" w:color="000000"/>
            </w:tcBorders>
          </w:tcPr>
          <w:p w14:paraId="16B955A1" w14:textId="77777777" w:rsidR="00807239" w:rsidRPr="00D166EA" w:rsidRDefault="00807239" w:rsidP="00CC4FF7">
            <w:pPr>
              <w:spacing w:before="17"/>
              <w:ind w:left="242" w:right="-20"/>
              <w:rPr>
                <w:szCs w:val="22"/>
              </w:rPr>
            </w:pPr>
            <w:r w:rsidRPr="00D166EA">
              <w:rPr>
                <w:w w:val="103"/>
                <w:szCs w:val="22"/>
              </w:rPr>
              <w:t>0</w:t>
            </w:r>
            <w:r w:rsidR="00CC4FF7">
              <w:rPr>
                <w:w w:val="103"/>
                <w:szCs w:val="22"/>
              </w:rPr>
              <w:t>,</w:t>
            </w:r>
            <w:r w:rsidRPr="00D166EA">
              <w:rPr>
                <w:w w:val="103"/>
                <w:szCs w:val="22"/>
              </w:rPr>
              <w:t>8</w:t>
            </w:r>
            <w:r w:rsidR="00CC4FF7">
              <w:rPr>
                <w:w w:val="103"/>
                <w:szCs w:val="22"/>
              </w:rPr>
              <w:t> </w:t>
            </w:r>
            <w:r w:rsidRPr="00D166EA">
              <w:rPr>
                <w:w w:val="103"/>
                <w:szCs w:val="22"/>
              </w:rPr>
              <w:t>%</w:t>
            </w:r>
          </w:p>
        </w:tc>
      </w:tr>
    </w:tbl>
    <w:p w14:paraId="06BBA74D" w14:textId="77777777" w:rsidR="00C95940" w:rsidRPr="00D166EA" w:rsidRDefault="00C95940" w:rsidP="00C95940">
      <w:pPr>
        <w:pStyle w:val="Default"/>
        <w:ind w:left="113" w:hanging="113"/>
        <w:rPr>
          <w:sz w:val="22"/>
          <w:szCs w:val="22"/>
        </w:rPr>
      </w:pPr>
      <w:r w:rsidRPr="00D166EA">
        <w:rPr>
          <w:sz w:val="22"/>
          <w:szCs w:val="22"/>
          <w:vertAlign w:val="superscript"/>
        </w:rPr>
        <w:t xml:space="preserve">a </w:t>
      </w:r>
      <w:r w:rsidRPr="00D166EA">
        <w:rPr>
          <w:sz w:val="22"/>
          <w:szCs w:val="22"/>
        </w:rPr>
        <w:t>Duomenys gauti stebint 1</w:t>
      </w:r>
      <w:r w:rsidR="00CC4FF7">
        <w:rPr>
          <w:sz w:val="22"/>
          <w:szCs w:val="22"/>
        </w:rPr>
        <w:t> </w:t>
      </w:r>
      <w:r w:rsidRPr="00D166EA">
        <w:rPr>
          <w:sz w:val="22"/>
          <w:szCs w:val="22"/>
        </w:rPr>
        <w:t>mg entekaviro dozę vartojusius pacientus: trečiaisiais metais 147 iš 149 pacientų, ketvirtaisiais ir penktaisiais metais – visus pacientus bei taip pat entekaviro ir lamivudino derinį vartojusius pacientus (paskui taikytas ilgalaikis gydymas entekaviru): trečiaisiais metais – 130 iš 149 pacientų (vartojimo trukmės mediana – 20</w:t>
      </w:r>
      <w:r w:rsidR="00CC4FF7">
        <w:rPr>
          <w:sz w:val="22"/>
          <w:szCs w:val="22"/>
        </w:rPr>
        <w:t> </w:t>
      </w:r>
      <w:r w:rsidRPr="00D166EA">
        <w:rPr>
          <w:sz w:val="22"/>
          <w:szCs w:val="22"/>
        </w:rPr>
        <w:t>savaičių), ketvirtaisiais metais – 1</w:t>
      </w:r>
      <w:r w:rsidR="00CC4FF7">
        <w:rPr>
          <w:sz w:val="22"/>
          <w:szCs w:val="22"/>
        </w:rPr>
        <w:t> </w:t>
      </w:r>
      <w:r w:rsidRPr="00D166EA">
        <w:rPr>
          <w:sz w:val="22"/>
          <w:szCs w:val="22"/>
        </w:rPr>
        <w:t xml:space="preserve">pacientą iš 121 (vieną savaitę) </w:t>
      </w:r>
      <w:r w:rsidR="00D64E64">
        <w:rPr>
          <w:sz w:val="22"/>
          <w:szCs w:val="22"/>
        </w:rPr>
        <w:t>vėlesnio</w:t>
      </w:r>
      <w:r w:rsidRPr="00D166EA">
        <w:rPr>
          <w:sz w:val="22"/>
          <w:szCs w:val="22"/>
        </w:rPr>
        <w:t xml:space="preserve"> įtraukimo </w:t>
      </w:r>
      <w:r w:rsidR="00D64E64">
        <w:rPr>
          <w:sz w:val="22"/>
          <w:szCs w:val="22"/>
        </w:rPr>
        <w:t xml:space="preserve">į </w:t>
      </w:r>
      <w:r w:rsidRPr="00D166EA">
        <w:rPr>
          <w:sz w:val="22"/>
          <w:szCs w:val="22"/>
        </w:rPr>
        <w:t>tyrim</w:t>
      </w:r>
      <w:r w:rsidR="00D64E64">
        <w:rPr>
          <w:sz w:val="22"/>
          <w:szCs w:val="22"/>
        </w:rPr>
        <w:t>ą</w:t>
      </w:r>
      <w:r w:rsidRPr="00D166EA">
        <w:rPr>
          <w:sz w:val="22"/>
          <w:szCs w:val="22"/>
        </w:rPr>
        <w:t xml:space="preserve"> metu. </w:t>
      </w:r>
    </w:p>
    <w:p w14:paraId="680DE680" w14:textId="77777777" w:rsidR="00C95940" w:rsidRPr="00D166EA" w:rsidRDefault="00C95940" w:rsidP="00C95940">
      <w:pPr>
        <w:pStyle w:val="Default"/>
        <w:ind w:left="113" w:hanging="113"/>
        <w:rPr>
          <w:sz w:val="22"/>
          <w:szCs w:val="22"/>
        </w:rPr>
      </w:pPr>
      <w:r w:rsidRPr="00D166EA">
        <w:rPr>
          <w:sz w:val="22"/>
          <w:szCs w:val="22"/>
          <w:vertAlign w:val="superscript"/>
        </w:rPr>
        <w:lastRenderedPageBreak/>
        <w:t xml:space="preserve">b </w:t>
      </w:r>
      <w:r w:rsidRPr="00D166EA">
        <w:rPr>
          <w:sz w:val="22"/>
          <w:szCs w:val="22"/>
        </w:rPr>
        <w:t>Skaičiuoti pacientai, kuriems gydymo metu bent kartą PCR metodu tirta HBV DNR koncentracija: pirmaisiais metais – nuo 24 iki 58</w:t>
      </w:r>
      <w:r w:rsidR="00CC4FF7">
        <w:rPr>
          <w:sz w:val="22"/>
          <w:szCs w:val="22"/>
        </w:rPr>
        <w:t> </w:t>
      </w:r>
      <w:r w:rsidRPr="00D166EA">
        <w:rPr>
          <w:sz w:val="22"/>
          <w:szCs w:val="22"/>
        </w:rPr>
        <w:t>savaitės imtinai, antraisiais – nuo 59 iki 102</w:t>
      </w:r>
      <w:r w:rsidR="00CC4FF7">
        <w:rPr>
          <w:sz w:val="22"/>
          <w:szCs w:val="22"/>
        </w:rPr>
        <w:t> </w:t>
      </w:r>
      <w:r w:rsidRPr="00D166EA">
        <w:rPr>
          <w:sz w:val="22"/>
          <w:szCs w:val="22"/>
        </w:rPr>
        <w:t>savaitės imtinai, trečiaisiais – nuo 103 iki 156</w:t>
      </w:r>
      <w:r w:rsidR="00CC4FF7">
        <w:rPr>
          <w:sz w:val="22"/>
          <w:szCs w:val="22"/>
        </w:rPr>
        <w:t> </w:t>
      </w:r>
      <w:r w:rsidRPr="00D166EA">
        <w:rPr>
          <w:sz w:val="22"/>
          <w:szCs w:val="22"/>
        </w:rPr>
        <w:t>savaitės imtinai, ketvirtaisiais – nuo 157 iki 204</w:t>
      </w:r>
      <w:r w:rsidR="00CC4FF7">
        <w:rPr>
          <w:sz w:val="22"/>
          <w:szCs w:val="22"/>
        </w:rPr>
        <w:t> </w:t>
      </w:r>
      <w:r w:rsidRPr="00D166EA">
        <w:rPr>
          <w:sz w:val="22"/>
          <w:szCs w:val="22"/>
        </w:rPr>
        <w:t>savaitės imtinai, penktaisiais – nuo 205 iki 252</w:t>
      </w:r>
      <w:r w:rsidR="00CC4FF7">
        <w:rPr>
          <w:sz w:val="22"/>
          <w:szCs w:val="22"/>
        </w:rPr>
        <w:t> </w:t>
      </w:r>
      <w:r w:rsidRPr="00D166EA">
        <w:rPr>
          <w:sz w:val="22"/>
          <w:szCs w:val="22"/>
        </w:rPr>
        <w:t xml:space="preserve">savaitės imtinai. </w:t>
      </w:r>
    </w:p>
    <w:p w14:paraId="785098CF" w14:textId="77777777" w:rsidR="00C95940" w:rsidRPr="00D166EA" w:rsidRDefault="00C95940" w:rsidP="00C95940">
      <w:pPr>
        <w:pStyle w:val="Default"/>
        <w:ind w:left="113" w:hanging="113"/>
        <w:rPr>
          <w:sz w:val="22"/>
          <w:szCs w:val="22"/>
        </w:rPr>
      </w:pPr>
      <w:r w:rsidRPr="00D166EA">
        <w:rPr>
          <w:sz w:val="22"/>
          <w:szCs w:val="22"/>
          <w:vertAlign w:val="superscript"/>
        </w:rPr>
        <w:t>c</w:t>
      </w:r>
      <w:r w:rsidRPr="00D166EA">
        <w:rPr>
          <w:sz w:val="22"/>
          <w:szCs w:val="22"/>
        </w:rPr>
        <w:t xml:space="preserve"> Pacientams taip pat nustatyta LVDr pakeitimų. </w:t>
      </w:r>
    </w:p>
    <w:p w14:paraId="47033502" w14:textId="77777777" w:rsidR="00807239" w:rsidRPr="00D166EA" w:rsidRDefault="00C95940" w:rsidP="00C95940">
      <w:pPr>
        <w:ind w:left="113" w:hanging="113"/>
        <w:rPr>
          <w:szCs w:val="22"/>
        </w:rPr>
      </w:pPr>
      <w:r w:rsidRPr="00D166EA">
        <w:rPr>
          <w:szCs w:val="22"/>
          <w:vertAlign w:val="superscript"/>
        </w:rPr>
        <w:t>d</w:t>
      </w:r>
      <w:r w:rsidRPr="00D166EA">
        <w:rPr>
          <w:szCs w:val="22"/>
        </w:rPr>
        <w:t xml:space="preserve"> PCR metodu nustatytas HBV DNR koncentracijos padidėjimas ≥</w:t>
      </w:r>
      <w:r w:rsidR="00CC4FF7">
        <w:rPr>
          <w:szCs w:val="22"/>
        </w:rPr>
        <w:t> </w:t>
      </w:r>
      <w:r w:rsidRPr="00D166EA">
        <w:rPr>
          <w:szCs w:val="22"/>
        </w:rPr>
        <w:t>1</w:t>
      </w:r>
      <w:r w:rsidR="00CC4FF7">
        <w:rPr>
          <w:szCs w:val="22"/>
        </w:rPr>
        <w:t> </w:t>
      </w:r>
      <w:r w:rsidRPr="00D166EA">
        <w:rPr>
          <w:szCs w:val="22"/>
        </w:rPr>
        <w:t>log</w:t>
      </w:r>
      <w:r w:rsidRPr="00D166EA">
        <w:rPr>
          <w:szCs w:val="22"/>
          <w:vertAlign w:val="subscript"/>
        </w:rPr>
        <w:t>10</w:t>
      </w:r>
      <w:r w:rsidRPr="00D166EA">
        <w:rPr>
          <w:szCs w:val="22"/>
        </w:rPr>
        <w:t xml:space="preserve"> (palyginus su buvusia minimalia), patvirtintas </w:t>
      </w:r>
      <w:r w:rsidR="00D64E64">
        <w:rPr>
          <w:szCs w:val="22"/>
        </w:rPr>
        <w:t>vėlesniais</w:t>
      </w:r>
      <w:r w:rsidRPr="00D166EA">
        <w:rPr>
          <w:szCs w:val="22"/>
        </w:rPr>
        <w:t xml:space="preserve"> tyrimais arba stebėjimo laikotarpio pabaigoje. </w:t>
      </w:r>
    </w:p>
    <w:p w14:paraId="611578A6" w14:textId="77777777" w:rsidR="00807239" w:rsidRPr="00D166EA" w:rsidRDefault="00807239" w:rsidP="00807239">
      <w:pPr>
        <w:rPr>
          <w:szCs w:val="22"/>
        </w:rPr>
      </w:pPr>
    </w:p>
    <w:p w14:paraId="0FC259DD" w14:textId="77777777" w:rsidR="00024C83" w:rsidRPr="00D166EA" w:rsidRDefault="00C95940" w:rsidP="00024C83">
      <w:pPr>
        <w:widowControl w:val="0"/>
        <w:autoSpaceDE w:val="0"/>
        <w:autoSpaceDN w:val="0"/>
        <w:adjustRightInd w:val="0"/>
        <w:rPr>
          <w:rFonts w:eastAsia="MS Mincho"/>
          <w:szCs w:val="22"/>
        </w:rPr>
      </w:pPr>
      <w:r w:rsidRPr="00D166EA">
        <w:rPr>
          <w:szCs w:val="22"/>
        </w:rPr>
        <w:t xml:space="preserve">ETVr pakeitimų (kartu su rtM204V/I ± rtL180M LVDr pakeitimais) iki gydymo </w:t>
      </w:r>
      <w:r w:rsidR="00A25A7A" w:rsidRPr="00D166EA">
        <w:rPr>
          <w:szCs w:val="22"/>
        </w:rPr>
        <w:t>nustatyta</w:t>
      </w:r>
      <w:r w:rsidRPr="00D166EA">
        <w:rPr>
          <w:szCs w:val="22"/>
        </w:rPr>
        <w:t xml:space="preserve"> 10/187 (5</w:t>
      </w:r>
      <w:r w:rsidR="00CC4FF7">
        <w:rPr>
          <w:szCs w:val="22"/>
        </w:rPr>
        <w:t> </w:t>
      </w:r>
      <w:r w:rsidRPr="00D166EA">
        <w:rPr>
          <w:szCs w:val="22"/>
        </w:rPr>
        <w:t>%) lamivudin</w:t>
      </w:r>
      <w:r w:rsidR="00A25A7A" w:rsidRPr="00D166EA">
        <w:rPr>
          <w:szCs w:val="22"/>
        </w:rPr>
        <w:t>o poveikiui nejautrių</w:t>
      </w:r>
      <w:r w:rsidRPr="00D166EA">
        <w:rPr>
          <w:szCs w:val="22"/>
        </w:rPr>
        <w:t xml:space="preserve"> pacientų, vartojusių entekavir</w:t>
      </w:r>
      <w:r w:rsidR="00A25A7A" w:rsidRPr="00D166EA">
        <w:rPr>
          <w:szCs w:val="22"/>
        </w:rPr>
        <w:t>o</w:t>
      </w:r>
      <w:r w:rsidRPr="00D166EA">
        <w:rPr>
          <w:szCs w:val="22"/>
        </w:rPr>
        <w:t xml:space="preserve"> ir tirtų dėl galimo atsparumo, mėginiuose. Tai rodo, kad </w:t>
      </w:r>
      <w:r w:rsidR="00A25A7A" w:rsidRPr="00D166EA">
        <w:rPr>
          <w:szCs w:val="22"/>
        </w:rPr>
        <w:t xml:space="preserve">prieš gydymo lamivudinu pradžią galima atrinkti šiuos </w:t>
      </w:r>
      <w:r w:rsidRPr="00D166EA">
        <w:rPr>
          <w:szCs w:val="22"/>
        </w:rPr>
        <w:t>atsparumą entekavirui lemian</w:t>
      </w:r>
      <w:r w:rsidR="00A25A7A" w:rsidRPr="00D166EA">
        <w:rPr>
          <w:szCs w:val="22"/>
        </w:rPr>
        <w:t>čius pakeitimus ir kad jie mažu dažniu</w:t>
      </w:r>
      <w:r w:rsidRPr="00D166EA">
        <w:rPr>
          <w:szCs w:val="22"/>
        </w:rPr>
        <w:t xml:space="preserve"> </w:t>
      </w:r>
      <w:r w:rsidR="00A25A7A" w:rsidRPr="00D166EA">
        <w:rPr>
          <w:szCs w:val="22"/>
        </w:rPr>
        <w:t>gali</w:t>
      </w:r>
      <w:r w:rsidRPr="00D166EA">
        <w:rPr>
          <w:szCs w:val="22"/>
        </w:rPr>
        <w:t xml:space="preserve"> egzistuoti </w:t>
      </w:r>
      <w:r w:rsidR="00A25A7A" w:rsidRPr="00D166EA">
        <w:rPr>
          <w:szCs w:val="22"/>
        </w:rPr>
        <w:t>prieš gydymą entakaviru</w:t>
      </w:r>
      <w:r w:rsidRPr="00D166EA">
        <w:rPr>
          <w:szCs w:val="22"/>
        </w:rPr>
        <w:t xml:space="preserve">. Per 240 savaičių 3 iš 10 minėtų pacientų pasireiškė virusologinis </w:t>
      </w:r>
      <w:r w:rsidR="00A25A7A" w:rsidRPr="00D166EA">
        <w:rPr>
          <w:szCs w:val="22"/>
        </w:rPr>
        <w:t>protrūkis</w:t>
      </w:r>
      <w:r w:rsidRPr="00D166EA">
        <w:rPr>
          <w:szCs w:val="22"/>
        </w:rPr>
        <w:t xml:space="preserve"> (HBV DNR koncentracijos padidėjimas ≥</w:t>
      </w:r>
      <w:r w:rsidR="00CC4FF7">
        <w:rPr>
          <w:szCs w:val="22"/>
        </w:rPr>
        <w:t> </w:t>
      </w:r>
      <w:r w:rsidRPr="00D166EA">
        <w:rPr>
          <w:szCs w:val="22"/>
        </w:rPr>
        <w:t>1</w:t>
      </w:r>
      <w:r w:rsidR="00CC4FF7">
        <w:rPr>
          <w:szCs w:val="22"/>
        </w:rPr>
        <w:t> </w:t>
      </w:r>
      <w:r w:rsidRPr="00D166EA">
        <w:rPr>
          <w:szCs w:val="22"/>
        </w:rPr>
        <w:t>log</w:t>
      </w:r>
      <w:r w:rsidRPr="00D166EA">
        <w:rPr>
          <w:szCs w:val="22"/>
          <w:vertAlign w:val="subscript"/>
        </w:rPr>
        <w:t>10</w:t>
      </w:r>
      <w:r w:rsidRPr="00D166EA">
        <w:rPr>
          <w:szCs w:val="22"/>
        </w:rPr>
        <w:t xml:space="preserve"> palyginus su buvusia minimalia). Per 240</w:t>
      </w:r>
      <w:r w:rsidR="00CC4FF7">
        <w:rPr>
          <w:szCs w:val="22"/>
        </w:rPr>
        <w:t> </w:t>
      </w:r>
      <w:r w:rsidRPr="00D166EA">
        <w:rPr>
          <w:szCs w:val="22"/>
        </w:rPr>
        <w:t>savaičių pasireiškusio atsparumo entekavirui</w:t>
      </w:r>
      <w:r w:rsidR="000042F5">
        <w:rPr>
          <w:szCs w:val="22"/>
        </w:rPr>
        <w:t>,</w:t>
      </w:r>
      <w:r w:rsidRPr="00D166EA">
        <w:rPr>
          <w:szCs w:val="22"/>
        </w:rPr>
        <w:t xml:space="preserve"> </w:t>
      </w:r>
      <w:r w:rsidR="00A25A7A" w:rsidRPr="00D166EA">
        <w:rPr>
          <w:szCs w:val="22"/>
        </w:rPr>
        <w:t xml:space="preserve">nejautrumo </w:t>
      </w:r>
      <w:r w:rsidRPr="00D166EA">
        <w:rPr>
          <w:szCs w:val="22"/>
        </w:rPr>
        <w:t>lamivudin</w:t>
      </w:r>
      <w:r w:rsidR="00A25A7A" w:rsidRPr="00D166EA">
        <w:rPr>
          <w:szCs w:val="22"/>
        </w:rPr>
        <w:t>o poveikiui tyrimų</w:t>
      </w:r>
      <w:r w:rsidRPr="00D166EA">
        <w:rPr>
          <w:szCs w:val="22"/>
        </w:rPr>
        <w:t xml:space="preserve"> metu duomenys apibendrin</w:t>
      </w:r>
      <w:r w:rsidR="00A25A7A" w:rsidRPr="00D166EA">
        <w:rPr>
          <w:szCs w:val="22"/>
        </w:rPr>
        <w:t>ti</w:t>
      </w:r>
      <w:r w:rsidRPr="00D166EA">
        <w:rPr>
          <w:szCs w:val="22"/>
        </w:rPr>
        <w:t xml:space="preserve"> lentelėje:</w:t>
      </w:r>
    </w:p>
    <w:p w14:paraId="2DFE39CB" w14:textId="77777777" w:rsidR="00C95940" w:rsidRPr="00D166EA" w:rsidRDefault="00C95940" w:rsidP="00024C83">
      <w:pPr>
        <w:widowControl w:val="0"/>
        <w:autoSpaceDE w:val="0"/>
        <w:autoSpaceDN w:val="0"/>
        <w:adjustRightInd w:val="0"/>
        <w:rPr>
          <w:rFonts w:eastAsia="MS Mincho"/>
          <w:szCs w:val="22"/>
        </w:rPr>
      </w:pPr>
    </w:p>
    <w:tbl>
      <w:tblPr>
        <w:tblW w:w="9071" w:type="dxa"/>
        <w:tblInd w:w="117" w:type="dxa"/>
        <w:tblLayout w:type="fixed"/>
        <w:tblCellMar>
          <w:left w:w="0" w:type="dxa"/>
          <w:right w:w="0" w:type="dxa"/>
        </w:tblCellMar>
        <w:tblLook w:val="01E0" w:firstRow="1" w:lastRow="1" w:firstColumn="1" w:lastColumn="1" w:noHBand="0" w:noVBand="0"/>
      </w:tblPr>
      <w:tblGrid>
        <w:gridCol w:w="3491"/>
        <w:gridCol w:w="1080"/>
        <w:gridCol w:w="1080"/>
        <w:gridCol w:w="900"/>
        <w:gridCol w:w="1260"/>
        <w:gridCol w:w="1260"/>
      </w:tblGrid>
      <w:tr w:rsidR="0010033A" w:rsidRPr="00D166EA" w14:paraId="26DCE8EA" w14:textId="77777777" w:rsidTr="002746CC">
        <w:trPr>
          <w:trHeight w:hRule="exact" w:val="561"/>
        </w:trPr>
        <w:tc>
          <w:tcPr>
            <w:tcW w:w="9071" w:type="dxa"/>
            <w:gridSpan w:val="6"/>
            <w:tcBorders>
              <w:top w:val="single" w:sz="6" w:space="0" w:color="000000"/>
              <w:left w:val="single" w:sz="6" w:space="0" w:color="000000"/>
              <w:bottom w:val="single" w:sz="7" w:space="0" w:color="000000"/>
              <w:right w:val="single" w:sz="6" w:space="0" w:color="000000"/>
            </w:tcBorders>
          </w:tcPr>
          <w:p w14:paraId="0CFBF7AB" w14:textId="77777777" w:rsidR="0010033A" w:rsidRPr="00D166EA" w:rsidRDefault="0010033A" w:rsidP="00C949E4">
            <w:pPr>
              <w:pStyle w:val="Default"/>
              <w:rPr>
                <w:sz w:val="22"/>
                <w:szCs w:val="22"/>
              </w:rPr>
            </w:pPr>
            <w:r w:rsidRPr="00D166EA">
              <w:rPr>
                <w:sz w:val="22"/>
                <w:szCs w:val="22"/>
              </w:rPr>
              <w:t>Genotipinis atsparumas entekavirui, pasireiškęs per 5</w:t>
            </w:r>
            <w:r w:rsidR="00CC4FF7">
              <w:rPr>
                <w:sz w:val="22"/>
                <w:szCs w:val="22"/>
              </w:rPr>
              <w:t> </w:t>
            </w:r>
            <w:r w:rsidRPr="00D166EA">
              <w:rPr>
                <w:sz w:val="22"/>
                <w:szCs w:val="22"/>
              </w:rPr>
              <w:t xml:space="preserve">metus nejautrumo lamivudinui tyrimų metu nevartojusiems pacientams </w:t>
            </w:r>
          </w:p>
          <w:p w14:paraId="39590335" w14:textId="77777777" w:rsidR="0010033A" w:rsidRPr="00D166EA" w:rsidRDefault="0010033A" w:rsidP="00C949E4">
            <w:pPr>
              <w:spacing w:before="15"/>
              <w:ind w:left="85" w:right="-20"/>
              <w:rPr>
                <w:szCs w:val="22"/>
                <w:lang w:val="sl-SI"/>
              </w:rPr>
            </w:pPr>
          </w:p>
        </w:tc>
      </w:tr>
      <w:tr w:rsidR="0010033A" w:rsidRPr="00D166EA" w14:paraId="46669960" w14:textId="77777777" w:rsidTr="002746CC">
        <w:trPr>
          <w:trHeight w:hRule="exact" w:val="567"/>
        </w:trPr>
        <w:tc>
          <w:tcPr>
            <w:tcW w:w="3491" w:type="dxa"/>
            <w:tcBorders>
              <w:top w:val="single" w:sz="7" w:space="0" w:color="000000"/>
              <w:left w:val="single" w:sz="6" w:space="0" w:color="000000"/>
              <w:bottom w:val="single" w:sz="6" w:space="0" w:color="000000"/>
              <w:right w:val="single" w:sz="6" w:space="0" w:color="000000"/>
            </w:tcBorders>
          </w:tcPr>
          <w:p w14:paraId="03E018A0" w14:textId="77777777" w:rsidR="0010033A" w:rsidRPr="00D166EA" w:rsidRDefault="0010033A" w:rsidP="00C949E4">
            <w:pPr>
              <w:rPr>
                <w:szCs w:val="22"/>
              </w:rPr>
            </w:pPr>
          </w:p>
        </w:tc>
        <w:tc>
          <w:tcPr>
            <w:tcW w:w="1080" w:type="dxa"/>
            <w:tcBorders>
              <w:top w:val="single" w:sz="7" w:space="0" w:color="000000"/>
              <w:left w:val="single" w:sz="6" w:space="0" w:color="000000"/>
              <w:bottom w:val="single" w:sz="6" w:space="0" w:color="000000"/>
              <w:right w:val="single" w:sz="6" w:space="0" w:color="000000"/>
            </w:tcBorders>
          </w:tcPr>
          <w:p w14:paraId="471D6DC5" w14:textId="77777777" w:rsidR="0010033A" w:rsidRPr="00D166EA" w:rsidRDefault="0010033A" w:rsidP="00C949E4">
            <w:pPr>
              <w:ind w:left="232" w:right="-23"/>
              <w:rPr>
                <w:szCs w:val="22"/>
              </w:rPr>
            </w:pPr>
            <w:r w:rsidRPr="00D166EA">
              <w:rPr>
                <w:szCs w:val="22"/>
              </w:rPr>
              <w:t>Pirmieji metai</w:t>
            </w:r>
          </w:p>
        </w:tc>
        <w:tc>
          <w:tcPr>
            <w:tcW w:w="1080" w:type="dxa"/>
            <w:tcBorders>
              <w:top w:val="single" w:sz="7" w:space="0" w:color="000000"/>
              <w:left w:val="single" w:sz="6" w:space="0" w:color="000000"/>
              <w:bottom w:val="single" w:sz="6" w:space="0" w:color="000000"/>
              <w:right w:val="single" w:sz="6" w:space="0" w:color="000000"/>
            </w:tcBorders>
          </w:tcPr>
          <w:p w14:paraId="4F08E885" w14:textId="77777777" w:rsidR="0010033A" w:rsidRPr="00D166EA" w:rsidRDefault="0010033A" w:rsidP="00C949E4">
            <w:pPr>
              <w:ind w:left="231" w:right="-20"/>
              <w:rPr>
                <w:szCs w:val="22"/>
              </w:rPr>
            </w:pPr>
            <w:r w:rsidRPr="00D166EA">
              <w:rPr>
                <w:szCs w:val="22"/>
              </w:rPr>
              <w:t>Antrieji metai</w:t>
            </w:r>
          </w:p>
        </w:tc>
        <w:tc>
          <w:tcPr>
            <w:tcW w:w="900" w:type="dxa"/>
            <w:tcBorders>
              <w:top w:val="single" w:sz="7" w:space="0" w:color="000000"/>
              <w:left w:val="single" w:sz="6" w:space="0" w:color="000000"/>
              <w:bottom w:val="single" w:sz="6" w:space="0" w:color="000000"/>
              <w:right w:val="single" w:sz="6" w:space="0" w:color="000000"/>
            </w:tcBorders>
          </w:tcPr>
          <w:p w14:paraId="23CD1ADF" w14:textId="77777777" w:rsidR="0010033A" w:rsidRPr="00D166EA" w:rsidRDefault="0010033A" w:rsidP="00C949E4">
            <w:pPr>
              <w:ind w:left="232" w:right="-20"/>
              <w:rPr>
                <w:spacing w:val="1"/>
                <w:szCs w:val="22"/>
              </w:rPr>
            </w:pPr>
            <w:r w:rsidRPr="00D166EA">
              <w:rPr>
                <w:spacing w:val="1"/>
                <w:szCs w:val="22"/>
              </w:rPr>
              <w:t>Tretieji metai</w:t>
            </w:r>
            <w:r w:rsidRPr="00D166EA">
              <w:rPr>
                <w:spacing w:val="1"/>
                <w:szCs w:val="22"/>
                <w:vertAlign w:val="superscript"/>
              </w:rPr>
              <w:t>a</w:t>
            </w:r>
          </w:p>
        </w:tc>
        <w:tc>
          <w:tcPr>
            <w:tcW w:w="1260" w:type="dxa"/>
            <w:tcBorders>
              <w:top w:val="single" w:sz="7" w:space="0" w:color="000000"/>
              <w:left w:val="single" w:sz="6" w:space="0" w:color="000000"/>
              <w:bottom w:val="single" w:sz="6" w:space="0" w:color="000000"/>
              <w:right w:val="single" w:sz="6" w:space="0" w:color="000000"/>
            </w:tcBorders>
          </w:tcPr>
          <w:p w14:paraId="0E8CADB6" w14:textId="77777777" w:rsidR="0010033A" w:rsidRPr="00D166EA" w:rsidRDefault="0010033A" w:rsidP="00C949E4">
            <w:pPr>
              <w:ind w:left="232" w:right="-20"/>
              <w:rPr>
                <w:spacing w:val="1"/>
                <w:szCs w:val="22"/>
                <w:vertAlign w:val="superscript"/>
              </w:rPr>
            </w:pPr>
            <w:r w:rsidRPr="00D166EA">
              <w:rPr>
                <w:spacing w:val="1"/>
                <w:szCs w:val="22"/>
              </w:rPr>
              <w:t>Ketvirtieji metai</w:t>
            </w:r>
            <w:r w:rsidRPr="00D166EA">
              <w:rPr>
                <w:spacing w:val="1"/>
                <w:szCs w:val="22"/>
                <w:vertAlign w:val="superscript"/>
              </w:rPr>
              <w:t>a</w:t>
            </w:r>
          </w:p>
        </w:tc>
        <w:tc>
          <w:tcPr>
            <w:tcW w:w="1260" w:type="dxa"/>
            <w:tcBorders>
              <w:top w:val="single" w:sz="7" w:space="0" w:color="000000"/>
              <w:left w:val="single" w:sz="6" w:space="0" w:color="000000"/>
              <w:bottom w:val="single" w:sz="6" w:space="0" w:color="000000"/>
              <w:right w:val="single" w:sz="6" w:space="0" w:color="000000"/>
            </w:tcBorders>
          </w:tcPr>
          <w:p w14:paraId="45F0EAA5" w14:textId="77777777" w:rsidR="0010033A" w:rsidRPr="00D166EA" w:rsidRDefault="0010033A" w:rsidP="00C949E4">
            <w:pPr>
              <w:ind w:left="232" w:right="-20"/>
              <w:rPr>
                <w:spacing w:val="1"/>
                <w:szCs w:val="22"/>
              </w:rPr>
            </w:pPr>
            <w:r w:rsidRPr="00D166EA">
              <w:rPr>
                <w:spacing w:val="1"/>
                <w:szCs w:val="22"/>
              </w:rPr>
              <w:t>Penktieji metai</w:t>
            </w:r>
            <w:r w:rsidRPr="00D166EA">
              <w:rPr>
                <w:spacing w:val="1"/>
                <w:szCs w:val="22"/>
                <w:vertAlign w:val="superscript"/>
              </w:rPr>
              <w:t>a</w:t>
            </w:r>
          </w:p>
        </w:tc>
      </w:tr>
      <w:tr w:rsidR="0010033A" w:rsidRPr="00D166EA" w14:paraId="47895ADD" w14:textId="77777777" w:rsidTr="002746CC">
        <w:trPr>
          <w:trHeight w:hRule="exact" w:val="702"/>
        </w:trPr>
        <w:tc>
          <w:tcPr>
            <w:tcW w:w="3491" w:type="dxa"/>
            <w:tcBorders>
              <w:top w:val="single" w:sz="6" w:space="0" w:color="000000"/>
              <w:left w:val="single" w:sz="6" w:space="0" w:color="000000"/>
              <w:bottom w:val="single" w:sz="6" w:space="0" w:color="000000"/>
              <w:right w:val="single" w:sz="6" w:space="0" w:color="000000"/>
            </w:tcBorders>
          </w:tcPr>
          <w:p w14:paraId="6916E51E" w14:textId="77777777" w:rsidR="0010033A" w:rsidRPr="00D166EA" w:rsidRDefault="0010033A" w:rsidP="00C949E4">
            <w:pPr>
              <w:spacing w:line="297" w:lineRule="exact"/>
              <w:ind w:left="303" w:right="-20"/>
              <w:jc w:val="both"/>
              <w:rPr>
                <w:szCs w:val="22"/>
              </w:rPr>
            </w:pPr>
            <w:r w:rsidRPr="00D166EA">
              <w:rPr>
                <w:szCs w:val="22"/>
              </w:rPr>
              <w:t>Gydyti ir tikrinti dėl galimo atsparumo pacientai</w:t>
            </w:r>
            <w:r w:rsidRPr="00D166EA">
              <w:rPr>
                <w:szCs w:val="22"/>
                <w:vertAlign w:val="superscript"/>
              </w:rPr>
              <w:t>b</w:t>
            </w:r>
            <w:r w:rsidRPr="00D166EA">
              <w:rPr>
                <w:szCs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2E60A9A9" w14:textId="77777777" w:rsidR="0010033A" w:rsidRPr="00D166EA" w:rsidRDefault="0010033A" w:rsidP="000F5A00">
            <w:pPr>
              <w:spacing w:before="17"/>
              <w:ind w:left="320" w:right="300"/>
              <w:jc w:val="center"/>
              <w:rPr>
                <w:szCs w:val="22"/>
              </w:rPr>
            </w:pPr>
            <w:r w:rsidRPr="00D166EA">
              <w:rPr>
                <w:spacing w:val="-1"/>
                <w:w w:val="103"/>
                <w:szCs w:val="22"/>
              </w:rPr>
              <w:t>187</w:t>
            </w:r>
          </w:p>
        </w:tc>
        <w:tc>
          <w:tcPr>
            <w:tcW w:w="1080" w:type="dxa"/>
            <w:tcBorders>
              <w:top w:val="single" w:sz="6" w:space="0" w:color="000000"/>
              <w:left w:val="single" w:sz="6" w:space="0" w:color="000000"/>
              <w:bottom w:val="single" w:sz="6" w:space="0" w:color="000000"/>
              <w:right w:val="single" w:sz="6" w:space="0" w:color="000000"/>
            </w:tcBorders>
          </w:tcPr>
          <w:p w14:paraId="4D59723D" w14:textId="77777777" w:rsidR="0010033A" w:rsidRPr="00D166EA" w:rsidRDefault="0010033A" w:rsidP="00C949E4">
            <w:pPr>
              <w:spacing w:before="17"/>
              <w:ind w:left="317" w:right="300"/>
              <w:jc w:val="center"/>
              <w:rPr>
                <w:szCs w:val="22"/>
              </w:rPr>
            </w:pPr>
            <w:r w:rsidRPr="00D166EA">
              <w:rPr>
                <w:w w:val="103"/>
                <w:szCs w:val="22"/>
              </w:rPr>
              <w:t>146</w:t>
            </w:r>
          </w:p>
        </w:tc>
        <w:tc>
          <w:tcPr>
            <w:tcW w:w="900" w:type="dxa"/>
            <w:tcBorders>
              <w:top w:val="single" w:sz="6" w:space="0" w:color="000000"/>
              <w:left w:val="single" w:sz="6" w:space="0" w:color="000000"/>
              <w:bottom w:val="single" w:sz="6" w:space="0" w:color="000000"/>
              <w:right w:val="single" w:sz="6" w:space="0" w:color="000000"/>
            </w:tcBorders>
          </w:tcPr>
          <w:p w14:paraId="7B8070B0" w14:textId="77777777" w:rsidR="0010033A" w:rsidRPr="00D166EA" w:rsidRDefault="0010033A" w:rsidP="00C949E4">
            <w:pPr>
              <w:spacing w:before="17"/>
              <w:ind w:left="317" w:right="300"/>
              <w:jc w:val="center"/>
              <w:rPr>
                <w:szCs w:val="22"/>
              </w:rPr>
            </w:pPr>
            <w:r w:rsidRPr="00D166EA">
              <w:rPr>
                <w:w w:val="103"/>
                <w:szCs w:val="22"/>
              </w:rPr>
              <w:t>80</w:t>
            </w:r>
          </w:p>
        </w:tc>
        <w:tc>
          <w:tcPr>
            <w:tcW w:w="1260" w:type="dxa"/>
            <w:tcBorders>
              <w:top w:val="single" w:sz="6" w:space="0" w:color="000000"/>
              <w:left w:val="single" w:sz="6" w:space="0" w:color="000000"/>
              <w:bottom w:val="single" w:sz="6" w:space="0" w:color="000000"/>
              <w:right w:val="single" w:sz="6" w:space="0" w:color="000000"/>
            </w:tcBorders>
          </w:tcPr>
          <w:p w14:paraId="09700AAC" w14:textId="77777777" w:rsidR="0010033A" w:rsidRPr="00D166EA" w:rsidRDefault="0010033A" w:rsidP="00C949E4">
            <w:pPr>
              <w:spacing w:before="17"/>
              <w:ind w:left="303" w:right="-20"/>
              <w:rPr>
                <w:szCs w:val="22"/>
              </w:rPr>
            </w:pPr>
            <w:r w:rsidRPr="00D166EA">
              <w:rPr>
                <w:spacing w:val="-1"/>
                <w:w w:val="103"/>
                <w:szCs w:val="22"/>
              </w:rPr>
              <w:t>52</w:t>
            </w:r>
          </w:p>
        </w:tc>
        <w:tc>
          <w:tcPr>
            <w:tcW w:w="1260" w:type="dxa"/>
            <w:tcBorders>
              <w:top w:val="single" w:sz="6" w:space="0" w:color="000000"/>
              <w:left w:val="single" w:sz="6" w:space="0" w:color="000000"/>
              <w:bottom w:val="single" w:sz="6" w:space="0" w:color="000000"/>
              <w:right w:val="single" w:sz="6" w:space="0" w:color="000000"/>
            </w:tcBorders>
          </w:tcPr>
          <w:p w14:paraId="2A563058" w14:textId="77777777" w:rsidR="0010033A" w:rsidRPr="00D166EA" w:rsidRDefault="0010033A" w:rsidP="00C949E4">
            <w:pPr>
              <w:spacing w:before="17"/>
              <w:ind w:left="303" w:right="-20"/>
              <w:rPr>
                <w:szCs w:val="22"/>
              </w:rPr>
            </w:pPr>
            <w:r w:rsidRPr="00D166EA">
              <w:rPr>
                <w:spacing w:val="-1"/>
                <w:w w:val="103"/>
                <w:szCs w:val="22"/>
              </w:rPr>
              <w:t>33</w:t>
            </w:r>
          </w:p>
        </w:tc>
      </w:tr>
      <w:tr w:rsidR="0010033A" w:rsidRPr="00D166EA" w14:paraId="065F4D1C" w14:textId="77777777" w:rsidTr="002746CC">
        <w:trPr>
          <w:trHeight w:hRule="exact" w:val="510"/>
        </w:trPr>
        <w:tc>
          <w:tcPr>
            <w:tcW w:w="3491" w:type="dxa"/>
            <w:tcBorders>
              <w:top w:val="single" w:sz="6" w:space="0" w:color="000000"/>
              <w:left w:val="single" w:sz="6" w:space="0" w:color="000000"/>
              <w:bottom w:val="single" w:sz="7" w:space="0" w:color="000000"/>
              <w:right w:val="single" w:sz="6" w:space="0" w:color="000000"/>
            </w:tcBorders>
          </w:tcPr>
          <w:p w14:paraId="7B6FA148" w14:textId="77777777" w:rsidR="0010033A" w:rsidRPr="00D166EA" w:rsidRDefault="0010033A" w:rsidP="00C949E4">
            <w:pPr>
              <w:pStyle w:val="Default"/>
              <w:ind w:left="71"/>
              <w:rPr>
                <w:sz w:val="22"/>
                <w:szCs w:val="22"/>
              </w:rPr>
            </w:pPr>
            <w:r w:rsidRPr="00D166EA">
              <w:rPr>
                <w:b/>
                <w:bCs/>
                <w:sz w:val="22"/>
                <w:szCs w:val="22"/>
              </w:rPr>
              <w:t xml:space="preserve">Pacientai, kuriems konkrečiais metais pasireiškė: </w:t>
            </w:r>
          </w:p>
          <w:p w14:paraId="048B2E90" w14:textId="77777777" w:rsidR="0010033A" w:rsidRPr="00D166EA" w:rsidRDefault="0010033A" w:rsidP="00C949E4">
            <w:pPr>
              <w:spacing w:before="17"/>
              <w:ind w:left="85" w:right="-20"/>
              <w:rPr>
                <w:szCs w:val="22"/>
              </w:rPr>
            </w:pPr>
            <w:r w:rsidRPr="00D166EA">
              <w:rPr>
                <w:b/>
                <w:bCs/>
                <w:w w:val="103"/>
                <w:szCs w:val="22"/>
              </w:rPr>
              <w:t>:</w:t>
            </w:r>
          </w:p>
        </w:tc>
        <w:tc>
          <w:tcPr>
            <w:tcW w:w="1080" w:type="dxa"/>
            <w:tcBorders>
              <w:top w:val="single" w:sz="6" w:space="0" w:color="000000"/>
              <w:left w:val="single" w:sz="6" w:space="0" w:color="000000"/>
              <w:bottom w:val="single" w:sz="7" w:space="0" w:color="000000"/>
              <w:right w:val="single" w:sz="6" w:space="0" w:color="000000"/>
            </w:tcBorders>
          </w:tcPr>
          <w:p w14:paraId="6A85F0E6" w14:textId="77777777" w:rsidR="0010033A" w:rsidRPr="00D166EA" w:rsidRDefault="0010033A" w:rsidP="00C949E4">
            <w:pPr>
              <w:rPr>
                <w:szCs w:val="22"/>
              </w:rPr>
            </w:pPr>
          </w:p>
        </w:tc>
        <w:tc>
          <w:tcPr>
            <w:tcW w:w="1080" w:type="dxa"/>
            <w:tcBorders>
              <w:top w:val="single" w:sz="6" w:space="0" w:color="000000"/>
              <w:left w:val="single" w:sz="6" w:space="0" w:color="000000"/>
              <w:bottom w:val="single" w:sz="7" w:space="0" w:color="000000"/>
              <w:right w:val="single" w:sz="6" w:space="0" w:color="000000"/>
            </w:tcBorders>
          </w:tcPr>
          <w:p w14:paraId="2F77964D" w14:textId="77777777" w:rsidR="0010033A" w:rsidRPr="00D166EA" w:rsidRDefault="0010033A" w:rsidP="00C949E4">
            <w:pPr>
              <w:rPr>
                <w:szCs w:val="22"/>
              </w:rPr>
            </w:pPr>
          </w:p>
        </w:tc>
        <w:tc>
          <w:tcPr>
            <w:tcW w:w="900" w:type="dxa"/>
            <w:tcBorders>
              <w:top w:val="single" w:sz="6" w:space="0" w:color="000000"/>
              <w:left w:val="single" w:sz="6" w:space="0" w:color="000000"/>
              <w:bottom w:val="single" w:sz="7" w:space="0" w:color="000000"/>
              <w:right w:val="single" w:sz="6" w:space="0" w:color="000000"/>
            </w:tcBorders>
          </w:tcPr>
          <w:p w14:paraId="19CDCD49" w14:textId="77777777" w:rsidR="0010033A" w:rsidRPr="00D166EA" w:rsidRDefault="0010033A" w:rsidP="00C949E4">
            <w:pPr>
              <w:rPr>
                <w:szCs w:val="22"/>
              </w:rPr>
            </w:pPr>
          </w:p>
        </w:tc>
        <w:tc>
          <w:tcPr>
            <w:tcW w:w="1260" w:type="dxa"/>
            <w:tcBorders>
              <w:top w:val="single" w:sz="6" w:space="0" w:color="000000"/>
              <w:left w:val="single" w:sz="6" w:space="0" w:color="000000"/>
              <w:bottom w:val="single" w:sz="7" w:space="0" w:color="000000"/>
              <w:right w:val="single" w:sz="6" w:space="0" w:color="000000"/>
            </w:tcBorders>
          </w:tcPr>
          <w:p w14:paraId="07491DAC" w14:textId="77777777" w:rsidR="0010033A" w:rsidRPr="00D166EA" w:rsidRDefault="0010033A" w:rsidP="00C949E4">
            <w:pPr>
              <w:rPr>
                <w:szCs w:val="22"/>
              </w:rPr>
            </w:pPr>
          </w:p>
        </w:tc>
        <w:tc>
          <w:tcPr>
            <w:tcW w:w="1260" w:type="dxa"/>
            <w:tcBorders>
              <w:top w:val="single" w:sz="6" w:space="0" w:color="000000"/>
              <w:left w:val="single" w:sz="6" w:space="0" w:color="000000"/>
              <w:bottom w:val="single" w:sz="7" w:space="0" w:color="000000"/>
              <w:right w:val="single" w:sz="6" w:space="0" w:color="000000"/>
            </w:tcBorders>
          </w:tcPr>
          <w:p w14:paraId="1B041326" w14:textId="77777777" w:rsidR="0010033A" w:rsidRPr="00D166EA" w:rsidRDefault="0010033A" w:rsidP="00C949E4">
            <w:pPr>
              <w:rPr>
                <w:szCs w:val="22"/>
              </w:rPr>
            </w:pPr>
          </w:p>
        </w:tc>
      </w:tr>
      <w:tr w:rsidR="0010033A" w:rsidRPr="00D166EA" w14:paraId="2DF81578" w14:textId="77777777" w:rsidTr="002746CC">
        <w:trPr>
          <w:trHeight w:hRule="exact" w:val="394"/>
        </w:trPr>
        <w:tc>
          <w:tcPr>
            <w:tcW w:w="3491" w:type="dxa"/>
            <w:tcBorders>
              <w:top w:val="single" w:sz="7" w:space="0" w:color="000000"/>
              <w:left w:val="single" w:sz="6" w:space="0" w:color="000000"/>
              <w:bottom w:val="single" w:sz="6" w:space="0" w:color="000000"/>
              <w:right w:val="single" w:sz="6" w:space="0" w:color="000000"/>
            </w:tcBorders>
          </w:tcPr>
          <w:p w14:paraId="111DD669" w14:textId="77777777" w:rsidR="0010033A" w:rsidRPr="00D166EA" w:rsidRDefault="0010033A" w:rsidP="00C949E4">
            <w:pPr>
              <w:spacing w:line="297" w:lineRule="exact"/>
              <w:ind w:left="303" w:right="-20"/>
              <w:rPr>
                <w:szCs w:val="22"/>
              </w:rPr>
            </w:pPr>
            <w:r w:rsidRPr="00D166EA">
              <w:rPr>
                <w:position w:val="-2"/>
                <w:szCs w:val="22"/>
              </w:rPr>
              <w:t>-</w:t>
            </w:r>
            <w:r w:rsidRPr="00D166EA">
              <w:rPr>
                <w:spacing w:val="4"/>
                <w:position w:val="-2"/>
                <w:szCs w:val="22"/>
              </w:rPr>
              <w:t xml:space="preserve"> </w:t>
            </w:r>
            <w:r w:rsidRPr="00D166EA">
              <w:rPr>
                <w:szCs w:val="22"/>
              </w:rPr>
              <w:t>genotipinis ETVr</w:t>
            </w:r>
            <w:r w:rsidRPr="00B606B7">
              <w:rPr>
                <w:spacing w:val="5"/>
                <w:position w:val="-2"/>
                <w:szCs w:val="22"/>
                <w:vertAlign w:val="superscript"/>
              </w:rPr>
              <w:t>c</w:t>
            </w:r>
          </w:p>
        </w:tc>
        <w:tc>
          <w:tcPr>
            <w:tcW w:w="1080" w:type="dxa"/>
            <w:tcBorders>
              <w:top w:val="single" w:sz="7" w:space="0" w:color="000000"/>
              <w:left w:val="single" w:sz="6" w:space="0" w:color="000000"/>
              <w:bottom w:val="single" w:sz="6" w:space="0" w:color="000000"/>
              <w:right w:val="single" w:sz="6" w:space="0" w:color="000000"/>
            </w:tcBorders>
          </w:tcPr>
          <w:p w14:paraId="40B72634" w14:textId="77777777" w:rsidR="0010033A" w:rsidRPr="00D166EA" w:rsidRDefault="0010033A" w:rsidP="00C949E4">
            <w:pPr>
              <w:spacing w:before="17"/>
              <w:ind w:left="423" w:right="403"/>
              <w:jc w:val="center"/>
              <w:rPr>
                <w:szCs w:val="22"/>
              </w:rPr>
            </w:pPr>
            <w:r w:rsidRPr="00D166EA">
              <w:rPr>
                <w:w w:val="103"/>
                <w:szCs w:val="22"/>
              </w:rPr>
              <w:t>11</w:t>
            </w:r>
          </w:p>
        </w:tc>
        <w:tc>
          <w:tcPr>
            <w:tcW w:w="1080" w:type="dxa"/>
            <w:tcBorders>
              <w:top w:val="single" w:sz="7" w:space="0" w:color="000000"/>
              <w:left w:val="single" w:sz="6" w:space="0" w:color="000000"/>
              <w:bottom w:val="single" w:sz="6" w:space="0" w:color="000000"/>
              <w:right w:val="single" w:sz="6" w:space="0" w:color="000000"/>
            </w:tcBorders>
          </w:tcPr>
          <w:p w14:paraId="4D416B3D" w14:textId="77777777" w:rsidR="0010033A" w:rsidRPr="00D166EA" w:rsidRDefault="0010033A" w:rsidP="00C949E4">
            <w:pPr>
              <w:spacing w:before="17"/>
              <w:ind w:left="422" w:right="403"/>
              <w:jc w:val="center"/>
              <w:rPr>
                <w:szCs w:val="22"/>
              </w:rPr>
            </w:pPr>
            <w:r w:rsidRPr="00D166EA">
              <w:rPr>
                <w:w w:val="103"/>
                <w:szCs w:val="22"/>
              </w:rPr>
              <w:t>12</w:t>
            </w:r>
          </w:p>
        </w:tc>
        <w:tc>
          <w:tcPr>
            <w:tcW w:w="900" w:type="dxa"/>
            <w:tcBorders>
              <w:top w:val="single" w:sz="7" w:space="0" w:color="000000"/>
              <w:left w:val="single" w:sz="6" w:space="0" w:color="000000"/>
              <w:bottom w:val="single" w:sz="6" w:space="0" w:color="000000"/>
              <w:right w:val="single" w:sz="6" w:space="0" w:color="000000"/>
            </w:tcBorders>
          </w:tcPr>
          <w:p w14:paraId="61BBCE89" w14:textId="77777777" w:rsidR="0010033A" w:rsidRPr="00D166EA" w:rsidRDefault="0010033A" w:rsidP="0010033A">
            <w:pPr>
              <w:tabs>
                <w:tab w:val="left" w:pos="900"/>
              </w:tabs>
              <w:spacing w:before="17"/>
              <w:jc w:val="center"/>
              <w:rPr>
                <w:szCs w:val="22"/>
              </w:rPr>
            </w:pPr>
            <w:r w:rsidRPr="00D166EA">
              <w:rPr>
                <w:w w:val="103"/>
                <w:szCs w:val="22"/>
              </w:rPr>
              <w:t>16</w:t>
            </w:r>
          </w:p>
        </w:tc>
        <w:tc>
          <w:tcPr>
            <w:tcW w:w="1260" w:type="dxa"/>
            <w:tcBorders>
              <w:top w:val="single" w:sz="7" w:space="0" w:color="000000"/>
              <w:left w:val="single" w:sz="6" w:space="0" w:color="000000"/>
              <w:bottom w:val="single" w:sz="6" w:space="0" w:color="000000"/>
              <w:right w:val="single" w:sz="6" w:space="0" w:color="000000"/>
            </w:tcBorders>
          </w:tcPr>
          <w:p w14:paraId="7CEF53A1" w14:textId="77777777" w:rsidR="0010033A" w:rsidRPr="00D166EA" w:rsidRDefault="0010033A" w:rsidP="00C949E4">
            <w:pPr>
              <w:spacing w:before="17"/>
              <w:ind w:left="370" w:right="350"/>
              <w:jc w:val="center"/>
              <w:rPr>
                <w:szCs w:val="22"/>
              </w:rPr>
            </w:pPr>
            <w:r w:rsidRPr="00D166EA">
              <w:rPr>
                <w:w w:val="103"/>
                <w:szCs w:val="22"/>
              </w:rPr>
              <w:t>6</w:t>
            </w:r>
          </w:p>
        </w:tc>
        <w:tc>
          <w:tcPr>
            <w:tcW w:w="1260" w:type="dxa"/>
            <w:tcBorders>
              <w:top w:val="single" w:sz="7" w:space="0" w:color="000000"/>
              <w:left w:val="single" w:sz="6" w:space="0" w:color="000000"/>
              <w:bottom w:val="single" w:sz="6" w:space="0" w:color="000000"/>
              <w:right w:val="single" w:sz="6" w:space="0" w:color="000000"/>
            </w:tcBorders>
          </w:tcPr>
          <w:p w14:paraId="04683CFB" w14:textId="77777777" w:rsidR="0010033A" w:rsidRPr="00D166EA" w:rsidRDefault="0010033A" w:rsidP="00C949E4">
            <w:pPr>
              <w:spacing w:before="17"/>
              <w:ind w:left="363" w:right="344"/>
              <w:jc w:val="center"/>
              <w:rPr>
                <w:szCs w:val="22"/>
              </w:rPr>
            </w:pPr>
            <w:r w:rsidRPr="00D166EA">
              <w:rPr>
                <w:w w:val="103"/>
                <w:szCs w:val="22"/>
              </w:rPr>
              <w:t>2</w:t>
            </w:r>
          </w:p>
        </w:tc>
      </w:tr>
      <w:tr w:rsidR="0010033A" w:rsidRPr="00D166EA" w14:paraId="6FC1D5A6" w14:textId="77777777" w:rsidTr="002746CC">
        <w:trPr>
          <w:trHeight w:hRule="exact" w:val="790"/>
        </w:trPr>
        <w:tc>
          <w:tcPr>
            <w:tcW w:w="3491" w:type="dxa"/>
            <w:tcBorders>
              <w:top w:val="single" w:sz="6" w:space="0" w:color="000000"/>
              <w:left w:val="single" w:sz="6" w:space="0" w:color="000000"/>
              <w:bottom w:val="single" w:sz="7" w:space="0" w:color="000000"/>
              <w:right w:val="single" w:sz="6" w:space="0" w:color="000000"/>
            </w:tcBorders>
          </w:tcPr>
          <w:p w14:paraId="215C5D7C" w14:textId="77777777" w:rsidR="0010033A" w:rsidRPr="00D166EA" w:rsidRDefault="0010033A" w:rsidP="00C949E4">
            <w:pPr>
              <w:spacing w:line="297" w:lineRule="exact"/>
              <w:ind w:left="431" w:right="-20" w:hanging="128"/>
              <w:rPr>
                <w:szCs w:val="22"/>
              </w:rPr>
            </w:pPr>
            <w:r w:rsidRPr="00D166EA">
              <w:rPr>
                <w:position w:val="1"/>
                <w:szCs w:val="22"/>
              </w:rPr>
              <w:t>-</w:t>
            </w:r>
            <w:r w:rsidRPr="00D166EA">
              <w:rPr>
                <w:spacing w:val="5"/>
                <w:position w:val="1"/>
                <w:szCs w:val="22"/>
              </w:rPr>
              <w:t xml:space="preserve"> </w:t>
            </w:r>
            <w:r w:rsidRPr="00D166EA">
              <w:rPr>
                <w:szCs w:val="22"/>
              </w:rPr>
              <w:t>genotipinis ETVr</w:t>
            </w:r>
            <w:r w:rsidRPr="00B606B7">
              <w:rPr>
                <w:spacing w:val="5"/>
                <w:position w:val="-2"/>
                <w:szCs w:val="22"/>
                <w:vertAlign w:val="superscript"/>
              </w:rPr>
              <w:t>c</w:t>
            </w:r>
            <w:r w:rsidRPr="00D166EA">
              <w:rPr>
                <w:szCs w:val="22"/>
              </w:rPr>
              <w:t xml:space="preserve"> su virusologiniu protrūkiu</w:t>
            </w:r>
          </w:p>
        </w:tc>
        <w:tc>
          <w:tcPr>
            <w:tcW w:w="1080" w:type="dxa"/>
            <w:tcBorders>
              <w:top w:val="single" w:sz="6" w:space="0" w:color="000000"/>
              <w:left w:val="single" w:sz="6" w:space="0" w:color="000000"/>
              <w:bottom w:val="single" w:sz="7" w:space="0" w:color="000000"/>
              <w:right w:val="single" w:sz="6" w:space="0" w:color="000000"/>
            </w:tcBorders>
          </w:tcPr>
          <w:p w14:paraId="6F7B1D0F" w14:textId="77777777" w:rsidR="0010033A" w:rsidRPr="00D166EA" w:rsidRDefault="0010033A" w:rsidP="00C949E4">
            <w:pPr>
              <w:spacing w:before="15"/>
              <w:ind w:left="423" w:right="403"/>
              <w:jc w:val="center"/>
              <w:rPr>
                <w:szCs w:val="22"/>
              </w:rPr>
            </w:pPr>
            <w:r w:rsidRPr="00D166EA">
              <w:rPr>
                <w:w w:val="103"/>
                <w:szCs w:val="22"/>
              </w:rPr>
              <w:t>2</w:t>
            </w:r>
            <w:r w:rsidRPr="00D166EA">
              <w:rPr>
                <w:w w:val="103"/>
                <w:szCs w:val="22"/>
                <w:vertAlign w:val="superscript"/>
              </w:rPr>
              <w:t>e</w:t>
            </w:r>
          </w:p>
        </w:tc>
        <w:tc>
          <w:tcPr>
            <w:tcW w:w="1080" w:type="dxa"/>
            <w:tcBorders>
              <w:top w:val="single" w:sz="6" w:space="0" w:color="000000"/>
              <w:left w:val="single" w:sz="6" w:space="0" w:color="000000"/>
              <w:bottom w:val="single" w:sz="7" w:space="0" w:color="000000"/>
              <w:right w:val="single" w:sz="6" w:space="0" w:color="000000"/>
            </w:tcBorders>
          </w:tcPr>
          <w:p w14:paraId="6116BF6F" w14:textId="77777777" w:rsidR="0010033A" w:rsidRPr="00D166EA" w:rsidRDefault="0010033A" w:rsidP="0010033A">
            <w:pPr>
              <w:tabs>
                <w:tab w:val="left" w:pos="900"/>
              </w:tabs>
              <w:spacing w:before="15"/>
              <w:jc w:val="center"/>
              <w:rPr>
                <w:szCs w:val="22"/>
              </w:rPr>
            </w:pPr>
            <w:r w:rsidRPr="00D166EA">
              <w:rPr>
                <w:w w:val="103"/>
                <w:szCs w:val="22"/>
              </w:rPr>
              <w:t>14</w:t>
            </w:r>
            <w:r w:rsidRPr="00D166EA">
              <w:rPr>
                <w:w w:val="103"/>
                <w:szCs w:val="22"/>
                <w:vertAlign w:val="superscript"/>
              </w:rPr>
              <w:t>e</w:t>
            </w:r>
          </w:p>
        </w:tc>
        <w:tc>
          <w:tcPr>
            <w:tcW w:w="900" w:type="dxa"/>
            <w:tcBorders>
              <w:top w:val="single" w:sz="6" w:space="0" w:color="000000"/>
              <w:left w:val="single" w:sz="6" w:space="0" w:color="000000"/>
              <w:bottom w:val="single" w:sz="7" w:space="0" w:color="000000"/>
              <w:right w:val="single" w:sz="6" w:space="0" w:color="000000"/>
            </w:tcBorders>
          </w:tcPr>
          <w:p w14:paraId="40BAF03F" w14:textId="77777777" w:rsidR="0010033A" w:rsidRPr="00D166EA" w:rsidRDefault="0010033A" w:rsidP="0010033A">
            <w:pPr>
              <w:spacing w:before="15"/>
              <w:jc w:val="center"/>
              <w:rPr>
                <w:szCs w:val="22"/>
              </w:rPr>
            </w:pPr>
            <w:r w:rsidRPr="00D166EA">
              <w:rPr>
                <w:w w:val="103"/>
                <w:szCs w:val="22"/>
              </w:rPr>
              <w:t>13</w:t>
            </w:r>
            <w:r w:rsidRPr="00D166EA">
              <w:rPr>
                <w:w w:val="103"/>
                <w:szCs w:val="22"/>
                <w:vertAlign w:val="superscript"/>
              </w:rPr>
              <w:t>e</w:t>
            </w:r>
          </w:p>
        </w:tc>
        <w:tc>
          <w:tcPr>
            <w:tcW w:w="1260" w:type="dxa"/>
            <w:tcBorders>
              <w:top w:val="single" w:sz="6" w:space="0" w:color="000000"/>
              <w:left w:val="single" w:sz="6" w:space="0" w:color="000000"/>
              <w:bottom w:val="single" w:sz="7" w:space="0" w:color="000000"/>
              <w:right w:val="single" w:sz="6" w:space="0" w:color="000000"/>
            </w:tcBorders>
          </w:tcPr>
          <w:p w14:paraId="5E9F8271" w14:textId="77777777" w:rsidR="0010033A" w:rsidRPr="00D166EA" w:rsidRDefault="0010033A" w:rsidP="0010033A">
            <w:pPr>
              <w:spacing w:before="15"/>
              <w:jc w:val="center"/>
              <w:rPr>
                <w:szCs w:val="22"/>
              </w:rPr>
            </w:pPr>
            <w:r w:rsidRPr="00D166EA">
              <w:rPr>
                <w:w w:val="103"/>
                <w:szCs w:val="22"/>
              </w:rPr>
              <w:t>9</w:t>
            </w:r>
            <w:r w:rsidRPr="00D166EA">
              <w:rPr>
                <w:w w:val="103"/>
                <w:szCs w:val="22"/>
                <w:vertAlign w:val="superscript"/>
              </w:rPr>
              <w:t>e</w:t>
            </w:r>
          </w:p>
        </w:tc>
        <w:tc>
          <w:tcPr>
            <w:tcW w:w="1260" w:type="dxa"/>
            <w:tcBorders>
              <w:top w:val="single" w:sz="6" w:space="0" w:color="000000"/>
              <w:left w:val="single" w:sz="6" w:space="0" w:color="000000"/>
              <w:bottom w:val="single" w:sz="7" w:space="0" w:color="000000"/>
              <w:right w:val="single" w:sz="6" w:space="0" w:color="000000"/>
            </w:tcBorders>
          </w:tcPr>
          <w:p w14:paraId="285C15EC" w14:textId="77777777" w:rsidR="0010033A" w:rsidRPr="00D166EA" w:rsidRDefault="0010033A" w:rsidP="00C949E4">
            <w:pPr>
              <w:spacing w:before="15"/>
              <w:ind w:left="367" w:right="348"/>
              <w:jc w:val="center"/>
              <w:rPr>
                <w:szCs w:val="22"/>
              </w:rPr>
            </w:pPr>
            <w:r w:rsidRPr="00D166EA">
              <w:rPr>
                <w:w w:val="103"/>
                <w:szCs w:val="22"/>
              </w:rPr>
              <w:t>1</w:t>
            </w:r>
            <w:r w:rsidRPr="00D166EA">
              <w:rPr>
                <w:w w:val="103"/>
                <w:szCs w:val="22"/>
                <w:vertAlign w:val="superscript"/>
              </w:rPr>
              <w:t>e</w:t>
            </w:r>
          </w:p>
        </w:tc>
      </w:tr>
      <w:tr w:rsidR="0010033A" w:rsidRPr="00D166EA" w14:paraId="0AD2F09D" w14:textId="77777777" w:rsidTr="002746CC">
        <w:trPr>
          <w:trHeight w:hRule="exact" w:val="393"/>
        </w:trPr>
        <w:tc>
          <w:tcPr>
            <w:tcW w:w="3491" w:type="dxa"/>
            <w:tcBorders>
              <w:top w:val="single" w:sz="7" w:space="0" w:color="000000"/>
              <w:left w:val="single" w:sz="6" w:space="0" w:color="000000"/>
              <w:bottom w:val="single" w:sz="6" w:space="0" w:color="000000"/>
              <w:right w:val="single" w:sz="6" w:space="0" w:color="000000"/>
            </w:tcBorders>
          </w:tcPr>
          <w:p w14:paraId="7A2E361D" w14:textId="77777777" w:rsidR="0010033A" w:rsidRPr="00D166EA" w:rsidRDefault="0010033A" w:rsidP="00C949E4">
            <w:pPr>
              <w:spacing w:before="15"/>
              <w:ind w:left="95" w:right="-20"/>
              <w:rPr>
                <w:szCs w:val="22"/>
              </w:rPr>
            </w:pPr>
            <w:r w:rsidRPr="00D166EA">
              <w:rPr>
                <w:b/>
                <w:bCs/>
                <w:szCs w:val="22"/>
              </w:rPr>
              <w:t>Kumuliacinė tikimybė</w:t>
            </w:r>
            <w:r w:rsidRPr="00D166EA">
              <w:rPr>
                <w:b/>
                <w:bCs/>
                <w:w w:val="103"/>
                <w:szCs w:val="22"/>
              </w:rPr>
              <w:t>:</w:t>
            </w:r>
          </w:p>
        </w:tc>
        <w:tc>
          <w:tcPr>
            <w:tcW w:w="1080" w:type="dxa"/>
            <w:tcBorders>
              <w:top w:val="single" w:sz="7" w:space="0" w:color="000000"/>
              <w:left w:val="single" w:sz="6" w:space="0" w:color="000000"/>
              <w:bottom w:val="single" w:sz="6" w:space="0" w:color="000000"/>
              <w:right w:val="single" w:sz="6" w:space="0" w:color="000000"/>
            </w:tcBorders>
          </w:tcPr>
          <w:p w14:paraId="59DEFDA1" w14:textId="77777777" w:rsidR="0010033A" w:rsidRPr="00D166EA" w:rsidRDefault="0010033A" w:rsidP="00C949E4">
            <w:pPr>
              <w:rPr>
                <w:szCs w:val="22"/>
              </w:rPr>
            </w:pPr>
          </w:p>
        </w:tc>
        <w:tc>
          <w:tcPr>
            <w:tcW w:w="1080" w:type="dxa"/>
            <w:tcBorders>
              <w:top w:val="single" w:sz="7" w:space="0" w:color="000000"/>
              <w:left w:val="single" w:sz="6" w:space="0" w:color="000000"/>
              <w:bottom w:val="single" w:sz="6" w:space="0" w:color="000000"/>
              <w:right w:val="single" w:sz="6" w:space="0" w:color="000000"/>
            </w:tcBorders>
          </w:tcPr>
          <w:p w14:paraId="5AB4F682" w14:textId="77777777" w:rsidR="0010033A" w:rsidRPr="00D166EA" w:rsidRDefault="0010033A" w:rsidP="00C949E4">
            <w:pPr>
              <w:rPr>
                <w:szCs w:val="22"/>
              </w:rPr>
            </w:pPr>
          </w:p>
        </w:tc>
        <w:tc>
          <w:tcPr>
            <w:tcW w:w="900" w:type="dxa"/>
            <w:tcBorders>
              <w:top w:val="single" w:sz="7" w:space="0" w:color="000000"/>
              <w:left w:val="single" w:sz="6" w:space="0" w:color="000000"/>
              <w:bottom w:val="single" w:sz="6" w:space="0" w:color="000000"/>
              <w:right w:val="single" w:sz="6" w:space="0" w:color="000000"/>
            </w:tcBorders>
          </w:tcPr>
          <w:p w14:paraId="6B61BE14" w14:textId="77777777" w:rsidR="0010033A" w:rsidRPr="00D166EA" w:rsidRDefault="0010033A" w:rsidP="00C949E4">
            <w:pPr>
              <w:rPr>
                <w:szCs w:val="22"/>
              </w:rPr>
            </w:pPr>
          </w:p>
        </w:tc>
        <w:tc>
          <w:tcPr>
            <w:tcW w:w="1260" w:type="dxa"/>
            <w:tcBorders>
              <w:top w:val="single" w:sz="7" w:space="0" w:color="000000"/>
              <w:left w:val="single" w:sz="6" w:space="0" w:color="000000"/>
              <w:bottom w:val="single" w:sz="6" w:space="0" w:color="000000"/>
              <w:right w:val="single" w:sz="6" w:space="0" w:color="000000"/>
            </w:tcBorders>
          </w:tcPr>
          <w:p w14:paraId="1FC5F1D7" w14:textId="77777777" w:rsidR="0010033A" w:rsidRPr="00D166EA" w:rsidRDefault="0010033A" w:rsidP="00C949E4">
            <w:pPr>
              <w:rPr>
                <w:szCs w:val="22"/>
              </w:rPr>
            </w:pPr>
          </w:p>
        </w:tc>
        <w:tc>
          <w:tcPr>
            <w:tcW w:w="1260" w:type="dxa"/>
            <w:tcBorders>
              <w:top w:val="single" w:sz="7" w:space="0" w:color="000000"/>
              <w:left w:val="single" w:sz="6" w:space="0" w:color="000000"/>
              <w:bottom w:val="single" w:sz="6" w:space="0" w:color="000000"/>
              <w:right w:val="single" w:sz="6" w:space="0" w:color="000000"/>
            </w:tcBorders>
          </w:tcPr>
          <w:p w14:paraId="07DB803A" w14:textId="77777777" w:rsidR="0010033A" w:rsidRPr="00D166EA" w:rsidRDefault="0010033A" w:rsidP="00C949E4">
            <w:pPr>
              <w:rPr>
                <w:szCs w:val="22"/>
              </w:rPr>
            </w:pPr>
          </w:p>
        </w:tc>
      </w:tr>
      <w:tr w:rsidR="0010033A" w:rsidRPr="00D166EA" w14:paraId="38A2C162" w14:textId="77777777" w:rsidTr="002746CC">
        <w:trPr>
          <w:trHeight w:hRule="exact" w:val="392"/>
        </w:trPr>
        <w:tc>
          <w:tcPr>
            <w:tcW w:w="3491" w:type="dxa"/>
            <w:tcBorders>
              <w:top w:val="single" w:sz="6" w:space="0" w:color="000000"/>
              <w:left w:val="single" w:sz="6" w:space="0" w:color="000000"/>
              <w:bottom w:val="single" w:sz="6" w:space="0" w:color="000000"/>
              <w:right w:val="single" w:sz="6" w:space="0" w:color="000000"/>
            </w:tcBorders>
          </w:tcPr>
          <w:p w14:paraId="59656BB5" w14:textId="77777777" w:rsidR="0010033A" w:rsidRPr="00D166EA" w:rsidRDefault="0010033A" w:rsidP="00C949E4">
            <w:pPr>
              <w:spacing w:line="240" w:lineRule="exact"/>
              <w:ind w:left="284"/>
              <w:rPr>
                <w:szCs w:val="22"/>
              </w:rPr>
            </w:pPr>
            <w:r w:rsidRPr="00D166EA">
              <w:rPr>
                <w:position w:val="-2"/>
                <w:szCs w:val="22"/>
              </w:rPr>
              <w:t>-</w:t>
            </w:r>
            <w:r w:rsidRPr="00D166EA">
              <w:rPr>
                <w:spacing w:val="5"/>
                <w:position w:val="-2"/>
                <w:szCs w:val="22"/>
              </w:rPr>
              <w:t xml:space="preserve"> genotipinio</w:t>
            </w:r>
            <w:r w:rsidRPr="00D166EA">
              <w:rPr>
                <w:spacing w:val="26"/>
                <w:position w:val="-2"/>
                <w:szCs w:val="22"/>
              </w:rPr>
              <w:t xml:space="preserve"> </w:t>
            </w:r>
            <w:r w:rsidRPr="00D166EA">
              <w:rPr>
                <w:spacing w:val="1"/>
                <w:w w:val="103"/>
                <w:position w:val="-2"/>
                <w:szCs w:val="22"/>
              </w:rPr>
              <w:t>E</w:t>
            </w:r>
            <w:r w:rsidRPr="00D166EA">
              <w:rPr>
                <w:w w:val="103"/>
                <w:position w:val="-2"/>
                <w:szCs w:val="22"/>
              </w:rPr>
              <w:t>TV</w:t>
            </w:r>
            <w:r w:rsidRPr="00D166EA">
              <w:rPr>
                <w:spacing w:val="1"/>
                <w:w w:val="103"/>
                <w:position w:val="-2"/>
                <w:szCs w:val="22"/>
              </w:rPr>
              <w:t>r</w:t>
            </w:r>
            <w:r w:rsidRPr="00B606B7">
              <w:rPr>
                <w:spacing w:val="5"/>
                <w:position w:val="-2"/>
                <w:szCs w:val="22"/>
                <w:vertAlign w:val="superscript"/>
              </w:rPr>
              <w:t>c</w:t>
            </w:r>
            <w:r w:rsidRPr="00D166EA">
              <w:rPr>
                <w:spacing w:val="1"/>
                <w:w w:val="103"/>
                <w:position w:val="6"/>
                <w:szCs w:val="22"/>
              </w:rPr>
              <w:t xml:space="preserve"> </w:t>
            </w:r>
            <w:r w:rsidRPr="00D166EA">
              <w:rPr>
                <w:spacing w:val="1"/>
                <w:w w:val="103"/>
                <w:position w:val="-2"/>
                <w:szCs w:val="22"/>
              </w:rPr>
              <w:t>pasireiškimo</w:t>
            </w:r>
          </w:p>
        </w:tc>
        <w:tc>
          <w:tcPr>
            <w:tcW w:w="1080" w:type="dxa"/>
            <w:tcBorders>
              <w:top w:val="single" w:sz="6" w:space="0" w:color="000000"/>
              <w:left w:val="single" w:sz="6" w:space="0" w:color="000000"/>
              <w:bottom w:val="single" w:sz="6" w:space="0" w:color="000000"/>
              <w:right w:val="single" w:sz="6" w:space="0" w:color="000000"/>
            </w:tcBorders>
          </w:tcPr>
          <w:p w14:paraId="22E1F332" w14:textId="77777777" w:rsidR="0010033A" w:rsidRPr="00D166EA" w:rsidRDefault="0010033A" w:rsidP="00C949E4">
            <w:pPr>
              <w:spacing w:before="15"/>
              <w:ind w:left="295" w:right="-20"/>
              <w:rPr>
                <w:szCs w:val="22"/>
              </w:rPr>
            </w:pPr>
            <w:r w:rsidRPr="00D166EA">
              <w:rPr>
                <w:spacing w:val="-1"/>
                <w:w w:val="103"/>
                <w:szCs w:val="22"/>
              </w:rPr>
              <w:t>6,2</w:t>
            </w:r>
            <w:r w:rsidR="00CC4FF7">
              <w:rPr>
                <w:spacing w:val="-1"/>
                <w:w w:val="103"/>
                <w:szCs w:val="22"/>
              </w:rPr>
              <w:t> </w:t>
            </w:r>
            <w:r w:rsidRPr="00D166EA">
              <w:rPr>
                <w:w w:val="103"/>
                <w:szCs w:val="22"/>
              </w:rPr>
              <w:t>%</w:t>
            </w:r>
          </w:p>
        </w:tc>
        <w:tc>
          <w:tcPr>
            <w:tcW w:w="1080" w:type="dxa"/>
            <w:tcBorders>
              <w:top w:val="single" w:sz="6" w:space="0" w:color="000000"/>
              <w:left w:val="single" w:sz="6" w:space="0" w:color="000000"/>
              <w:bottom w:val="single" w:sz="6" w:space="0" w:color="000000"/>
              <w:right w:val="single" w:sz="6" w:space="0" w:color="000000"/>
            </w:tcBorders>
          </w:tcPr>
          <w:p w14:paraId="513B82FB" w14:textId="77777777" w:rsidR="0010033A" w:rsidRPr="00D166EA" w:rsidRDefault="0010033A" w:rsidP="00C949E4">
            <w:pPr>
              <w:spacing w:before="15"/>
              <w:ind w:left="294" w:right="-20"/>
              <w:rPr>
                <w:szCs w:val="22"/>
              </w:rPr>
            </w:pPr>
            <w:r w:rsidRPr="00D166EA">
              <w:rPr>
                <w:spacing w:val="-1"/>
                <w:w w:val="103"/>
                <w:szCs w:val="22"/>
              </w:rPr>
              <w:t>1</w:t>
            </w:r>
            <w:r w:rsidRPr="00D166EA">
              <w:rPr>
                <w:spacing w:val="1"/>
                <w:w w:val="103"/>
                <w:szCs w:val="22"/>
              </w:rPr>
              <w:t>5</w:t>
            </w:r>
            <w:r w:rsidR="00CC4FF7">
              <w:rPr>
                <w:spacing w:val="1"/>
                <w:w w:val="103"/>
                <w:szCs w:val="22"/>
              </w:rPr>
              <w:t> </w:t>
            </w:r>
            <w:r w:rsidRPr="00D166EA">
              <w:rPr>
                <w:w w:val="103"/>
                <w:szCs w:val="22"/>
              </w:rPr>
              <w:t>%</w:t>
            </w:r>
          </w:p>
        </w:tc>
        <w:tc>
          <w:tcPr>
            <w:tcW w:w="900" w:type="dxa"/>
            <w:tcBorders>
              <w:top w:val="single" w:sz="6" w:space="0" w:color="000000"/>
              <w:left w:val="single" w:sz="6" w:space="0" w:color="000000"/>
              <w:bottom w:val="single" w:sz="6" w:space="0" w:color="000000"/>
              <w:right w:val="single" w:sz="6" w:space="0" w:color="000000"/>
            </w:tcBorders>
          </w:tcPr>
          <w:p w14:paraId="731CAB66" w14:textId="77777777" w:rsidR="0010033A" w:rsidRPr="00D166EA" w:rsidRDefault="0010033A" w:rsidP="00B606B7">
            <w:pPr>
              <w:spacing w:before="15"/>
              <w:ind w:left="180" w:right="-20"/>
              <w:rPr>
                <w:szCs w:val="22"/>
              </w:rPr>
            </w:pPr>
            <w:r w:rsidRPr="00D166EA">
              <w:rPr>
                <w:w w:val="103"/>
                <w:szCs w:val="22"/>
              </w:rPr>
              <w:t>36,3</w:t>
            </w:r>
            <w:r w:rsidR="00CC4FF7">
              <w:rPr>
                <w:w w:val="103"/>
                <w:szCs w:val="22"/>
              </w:rPr>
              <w:t> </w:t>
            </w:r>
            <w:r w:rsidRPr="00D166EA">
              <w:rPr>
                <w:w w:val="103"/>
                <w:szCs w:val="22"/>
              </w:rPr>
              <w:t>%</w:t>
            </w:r>
          </w:p>
        </w:tc>
        <w:tc>
          <w:tcPr>
            <w:tcW w:w="1260" w:type="dxa"/>
            <w:tcBorders>
              <w:top w:val="single" w:sz="6" w:space="0" w:color="000000"/>
              <w:left w:val="single" w:sz="6" w:space="0" w:color="000000"/>
              <w:bottom w:val="single" w:sz="6" w:space="0" w:color="000000"/>
              <w:right w:val="single" w:sz="6" w:space="0" w:color="000000"/>
            </w:tcBorders>
          </w:tcPr>
          <w:p w14:paraId="2DE86E8D" w14:textId="77777777" w:rsidR="0010033A" w:rsidRPr="00D166EA" w:rsidRDefault="0010033A" w:rsidP="00C949E4">
            <w:pPr>
              <w:spacing w:before="15"/>
              <w:ind w:left="243" w:right="-20"/>
              <w:rPr>
                <w:szCs w:val="22"/>
              </w:rPr>
            </w:pPr>
            <w:r w:rsidRPr="00D166EA">
              <w:rPr>
                <w:spacing w:val="-1"/>
                <w:w w:val="103"/>
                <w:szCs w:val="22"/>
              </w:rPr>
              <w:t>46,6</w:t>
            </w:r>
            <w:r w:rsidR="00CC4FF7">
              <w:rPr>
                <w:spacing w:val="-1"/>
                <w:w w:val="103"/>
                <w:szCs w:val="22"/>
              </w:rPr>
              <w:t> </w:t>
            </w:r>
            <w:r w:rsidRPr="00D166EA">
              <w:rPr>
                <w:w w:val="103"/>
                <w:szCs w:val="22"/>
              </w:rPr>
              <w:t>%</w:t>
            </w:r>
          </w:p>
        </w:tc>
        <w:tc>
          <w:tcPr>
            <w:tcW w:w="1260" w:type="dxa"/>
            <w:tcBorders>
              <w:top w:val="single" w:sz="6" w:space="0" w:color="000000"/>
              <w:left w:val="single" w:sz="6" w:space="0" w:color="000000"/>
              <w:bottom w:val="single" w:sz="6" w:space="0" w:color="000000"/>
              <w:right w:val="single" w:sz="6" w:space="0" w:color="000000"/>
            </w:tcBorders>
          </w:tcPr>
          <w:p w14:paraId="48E5F2DC" w14:textId="77777777" w:rsidR="0010033A" w:rsidRPr="00D166EA" w:rsidRDefault="0010033A" w:rsidP="00C949E4">
            <w:pPr>
              <w:spacing w:before="15"/>
              <w:ind w:left="242" w:right="-20"/>
              <w:rPr>
                <w:szCs w:val="22"/>
              </w:rPr>
            </w:pPr>
            <w:r w:rsidRPr="00D166EA">
              <w:rPr>
                <w:w w:val="103"/>
                <w:szCs w:val="22"/>
              </w:rPr>
              <w:t>51,45</w:t>
            </w:r>
            <w:r w:rsidR="00CC4FF7">
              <w:rPr>
                <w:w w:val="103"/>
                <w:szCs w:val="22"/>
              </w:rPr>
              <w:t> </w:t>
            </w:r>
            <w:r w:rsidRPr="00D166EA">
              <w:rPr>
                <w:w w:val="103"/>
                <w:szCs w:val="22"/>
              </w:rPr>
              <w:t>%</w:t>
            </w:r>
          </w:p>
        </w:tc>
      </w:tr>
      <w:tr w:rsidR="0010033A" w:rsidRPr="00D166EA" w14:paraId="2DDF3E6B" w14:textId="77777777" w:rsidTr="002746CC">
        <w:trPr>
          <w:trHeight w:hRule="exact" w:val="620"/>
        </w:trPr>
        <w:tc>
          <w:tcPr>
            <w:tcW w:w="3491" w:type="dxa"/>
            <w:tcBorders>
              <w:top w:val="single" w:sz="6" w:space="0" w:color="000000"/>
              <w:left w:val="single" w:sz="6" w:space="0" w:color="000000"/>
              <w:bottom w:val="single" w:sz="6" w:space="0" w:color="000000"/>
              <w:right w:val="single" w:sz="6" w:space="0" w:color="000000"/>
            </w:tcBorders>
          </w:tcPr>
          <w:p w14:paraId="56E18FD0" w14:textId="77777777" w:rsidR="0010033A" w:rsidRPr="00D166EA" w:rsidRDefault="0010033A" w:rsidP="00C949E4">
            <w:pPr>
              <w:spacing w:line="240" w:lineRule="exact"/>
              <w:ind w:left="414" w:hanging="130"/>
              <w:rPr>
                <w:szCs w:val="22"/>
              </w:rPr>
            </w:pPr>
            <w:r w:rsidRPr="00D166EA">
              <w:rPr>
                <w:position w:val="-2"/>
                <w:szCs w:val="22"/>
              </w:rPr>
              <w:t>-</w:t>
            </w:r>
            <w:r w:rsidRPr="00D166EA">
              <w:rPr>
                <w:spacing w:val="5"/>
                <w:position w:val="-2"/>
                <w:szCs w:val="22"/>
              </w:rPr>
              <w:t xml:space="preserve"> genotipinio</w:t>
            </w:r>
            <w:r w:rsidRPr="00D166EA">
              <w:rPr>
                <w:spacing w:val="26"/>
                <w:position w:val="-2"/>
                <w:szCs w:val="22"/>
              </w:rPr>
              <w:t xml:space="preserve"> </w:t>
            </w:r>
            <w:r w:rsidRPr="00D166EA">
              <w:rPr>
                <w:spacing w:val="1"/>
                <w:w w:val="103"/>
                <w:position w:val="-2"/>
                <w:szCs w:val="22"/>
              </w:rPr>
              <w:t>E</w:t>
            </w:r>
            <w:r w:rsidRPr="00D166EA">
              <w:rPr>
                <w:w w:val="103"/>
                <w:position w:val="-2"/>
                <w:szCs w:val="22"/>
              </w:rPr>
              <w:t>TV</w:t>
            </w:r>
            <w:r w:rsidRPr="00D166EA">
              <w:rPr>
                <w:spacing w:val="1"/>
                <w:w w:val="103"/>
                <w:position w:val="-2"/>
                <w:szCs w:val="22"/>
              </w:rPr>
              <w:t>r</w:t>
            </w:r>
            <w:r w:rsidRPr="00B606B7">
              <w:rPr>
                <w:spacing w:val="5"/>
                <w:position w:val="-2"/>
                <w:szCs w:val="22"/>
                <w:vertAlign w:val="superscript"/>
              </w:rPr>
              <w:t>c</w:t>
            </w:r>
            <w:r w:rsidRPr="00D166EA">
              <w:rPr>
                <w:spacing w:val="1"/>
                <w:w w:val="103"/>
                <w:position w:val="-2"/>
                <w:szCs w:val="22"/>
              </w:rPr>
              <w:t xml:space="preserve"> pasireiškimo</w:t>
            </w:r>
            <w:r w:rsidRPr="00D166EA">
              <w:rPr>
                <w:position w:val="-2"/>
                <w:szCs w:val="22"/>
              </w:rPr>
              <w:t xml:space="preserve"> su virusologiniu protrūkiu</w:t>
            </w:r>
            <w:r w:rsidRPr="00D166EA">
              <w:rPr>
                <w:position w:val="-2"/>
                <w:szCs w:val="22"/>
                <w:vertAlign w:val="superscript"/>
              </w:rPr>
              <w:t>d</w:t>
            </w:r>
          </w:p>
        </w:tc>
        <w:tc>
          <w:tcPr>
            <w:tcW w:w="1080" w:type="dxa"/>
            <w:tcBorders>
              <w:top w:val="single" w:sz="6" w:space="0" w:color="000000"/>
              <w:left w:val="single" w:sz="6" w:space="0" w:color="000000"/>
              <w:bottom w:val="single" w:sz="6" w:space="0" w:color="000000"/>
              <w:right w:val="single" w:sz="6" w:space="0" w:color="000000"/>
            </w:tcBorders>
          </w:tcPr>
          <w:p w14:paraId="2656F5C8" w14:textId="77777777" w:rsidR="0010033A" w:rsidRPr="00D166EA" w:rsidRDefault="0010033A" w:rsidP="00C949E4">
            <w:pPr>
              <w:spacing w:before="17"/>
              <w:ind w:left="295" w:right="-20"/>
              <w:rPr>
                <w:szCs w:val="22"/>
              </w:rPr>
            </w:pPr>
            <w:r w:rsidRPr="00D166EA">
              <w:rPr>
                <w:spacing w:val="-1"/>
                <w:w w:val="103"/>
                <w:szCs w:val="22"/>
              </w:rPr>
              <w:t>1,1</w:t>
            </w:r>
            <w:r w:rsidR="00CC4FF7">
              <w:rPr>
                <w:spacing w:val="-1"/>
                <w:w w:val="103"/>
                <w:szCs w:val="22"/>
              </w:rPr>
              <w:t> </w:t>
            </w:r>
            <w:r w:rsidRPr="00D166EA">
              <w:rPr>
                <w:w w:val="103"/>
                <w:szCs w:val="22"/>
              </w:rPr>
              <w:t>%</w:t>
            </w:r>
          </w:p>
        </w:tc>
        <w:tc>
          <w:tcPr>
            <w:tcW w:w="1080" w:type="dxa"/>
            <w:tcBorders>
              <w:top w:val="single" w:sz="6" w:space="0" w:color="000000"/>
              <w:left w:val="single" w:sz="6" w:space="0" w:color="000000"/>
              <w:bottom w:val="single" w:sz="6" w:space="0" w:color="000000"/>
              <w:right w:val="single" w:sz="6" w:space="0" w:color="000000"/>
            </w:tcBorders>
          </w:tcPr>
          <w:p w14:paraId="711FBD9D" w14:textId="77777777" w:rsidR="0010033A" w:rsidRPr="00D166EA" w:rsidRDefault="0010033A" w:rsidP="00C949E4">
            <w:pPr>
              <w:spacing w:before="17"/>
              <w:ind w:left="294" w:right="-20"/>
              <w:rPr>
                <w:szCs w:val="22"/>
              </w:rPr>
            </w:pPr>
            <w:r w:rsidRPr="00D166EA">
              <w:rPr>
                <w:spacing w:val="-1"/>
                <w:w w:val="103"/>
                <w:szCs w:val="22"/>
              </w:rPr>
              <w:t>10,7</w:t>
            </w:r>
            <w:r w:rsidR="00CC4FF7">
              <w:rPr>
                <w:spacing w:val="-1"/>
                <w:w w:val="103"/>
                <w:szCs w:val="22"/>
              </w:rPr>
              <w:t> </w:t>
            </w:r>
            <w:r w:rsidRPr="00D166EA">
              <w:rPr>
                <w:w w:val="103"/>
                <w:szCs w:val="22"/>
              </w:rPr>
              <w:t>%</w:t>
            </w:r>
          </w:p>
        </w:tc>
        <w:tc>
          <w:tcPr>
            <w:tcW w:w="900" w:type="dxa"/>
            <w:tcBorders>
              <w:top w:val="single" w:sz="6" w:space="0" w:color="000000"/>
              <w:left w:val="single" w:sz="6" w:space="0" w:color="000000"/>
              <w:bottom w:val="single" w:sz="6" w:space="0" w:color="000000"/>
              <w:right w:val="single" w:sz="6" w:space="0" w:color="000000"/>
            </w:tcBorders>
          </w:tcPr>
          <w:p w14:paraId="69BA2692" w14:textId="77777777" w:rsidR="0010033A" w:rsidRPr="00D166EA" w:rsidRDefault="0010033A" w:rsidP="00B606B7">
            <w:pPr>
              <w:spacing w:before="17"/>
              <w:ind w:left="180" w:right="-20"/>
              <w:rPr>
                <w:szCs w:val="22"/>
              </w:rPr>
            </w:pPr>
            <w:r w:rsidRPr="00D166EA">
              <w:rPr>
                <w:w w:val="103"/>
                <w:szCs w:val="22"/>
              </w:rPr>
              <w:t>27</w:t>
            </w:r>
            <w:r w:rsidR="00CC4FF7">
              <w:rPr>
                <w:w w:val="103"/>
                <w:szCs w:val="22"/>
              </w:rPr>
              <w:t> </w:t>
            </w:r>
            <w:r w:rsidRPr="00D166EA">
              <w:rPr>
                <w:w w:val="103"/>
                <w:szCs w:val="22"/>
              </w:rPr>
              <w:t>%</w:t>
            </w:r>
          </w:p>
        </w:tc>
        <w:tc>
          <w:tcPr>
            <w:tcW w:w="1260" w:type="dxa"/>
            <w:tcBorders>
              <w:top w:val="single" w:sz="6" w:space="0" w:color="000000"/>
              <w:left w:val="single" w:sz="6" w:space="0" w:color="000000"/>
              <w:bottom w:val="single" w:sz="6" w:space="0" w:color="000000"/>
              <w:right w:val="single" w:sz="6" w:space="0" w:color="000000"/>
            </w:tcBorders>
          </w:tcPr>
          <w:p w14:paraId="256696AB" w14:textId="77777777" w:rsidR="0010033A" w:rsidRPr="00D166EA" w:rsidRDefault="0010033A" w:rsidP="00C949E4">
            <w:pPr>
              <w:spacing w:before="17"/>
              <w:ind w:left="243" w:right="-20"/>
              <w:rPr>
                <w:szCs w:val="22"/>
              </w:rPr>
            </w:pPr>
            <w:r w:rsidRPr="00D166EA">
              <w:rPr>
                <w:spacing w:val="-1"/>
                <w:w w:val="103"/>
                <w:szCs w:val="22"/>
              </w:rPr>
              <w:t>41,3</w:t>
            </w:r>
            <w:r w:rsidR="00CC4FF7">
              <w:rPr>
                <w:spacing w:val="-1"/>
                <w:w w:val="103"/>
                <w:szCs w:val="22"/>
              </w:rPr>
              <w:t> </w:t>
            </w:r>
            <w:r w:rsidRPr="00D166EA">
              <w:rPr>
                <w:w w:val="103"/>
                <w:szCs w:val="22"/>
              </w:rPr>
              <w:t>%</w:t>
            </w:r>
          </w:p>
        </w:tc>
        <w:tc>
          <w:tcPr>
            <w:tcW w:w="1260" w:type="dxa"/>
            <w:tcBorders>
              <w:top w:val="single" w:sz="6" w:space="0" w:color="000000"/>
              <w:left w:val="single" w:sz="6" w:space="0" w:color="000000"/>
              <w:bottom w:val="single" w:sz="6" w:space="0" w:color="000000"/>
              <w:right w:val="single" w:sz="6" w:space="0" w:color="000000"/>
            </w:tcBorders>
          </w:tcPr>
          <w:p w14:paraId="6BAED99D" w14:textId="77777777" w:rsidR="0010033A" w:rsidRPr="00D166EA" w:rsidRDefault="0010033A" w:rsidP="00C949E4">
            <w:pPr>
              <w:spacing w:before="17"/>
              <w:ind w:left="242" w:right="-20"/>
              <w:rPr>
                <w:szCs w:val="22"/>
              </w:rPr>
            </w:pPr>
            <w:r w:rsidRPr="00D166EA">
              <w:rPr>
                <w:w w:val="103"/>
                <w:szCs w:val="22"/>
              </w:rPr>
              <w:t>43,6</w:t>
            </w:r>
            <w:r w:rsidR="00CC4FF7">
              <w:rPr>
                <w:w w:val="103"/>
                <w:szCs w:val="22"/>
              </w:rPr>
              <w:t> </w:t>
            </w:r>
            <w:r w:rsidRPr="00D166EA">
              <w:rPr>
                <w:w w:val="103"/>
                <w:szCs w:val="22"/>
              </w:rPr>
              <w:t>%</w:t>
            </w:r>
          </w:p>
        </w:tc>
      </w:tr>
    </w:tbl>
    <w:p w14:paraId="686A5560" w14:textId="77777777" w:rsidR="0010033A" w:rsidRPr="00D166EA" w:rsidRDefault="0010033A" w:rsidP="0010033A">
      <w:pPr>
        <w:pStyle w:val="Default"/>
        <w:ind w:left="113" w:hanging="113"/>
        <w:rPr>
          <w:sz w:val="22"/>
          <w:szCs w:val="22"/>
        </w:rPr>
      </w:pPr>
      <w:r w:rsidRPr="00D166EA">
        <w:rPr>
          <w:sz w:val="22"/>
          <w:szCs w:val="22"/>
          <w:vertAlign w:val="superscript"/>
        </w:rPr>
        <w:t xml:space="preserve">a </w:t>
      </w:r>
      <w:r w:rsidRPr="00D166EA">
        <w:rPr>
          <w:sz w:val="22"/>
          <w:szCs w:val="22"/>
        </w:rPr>
        <w:t>Duomenys gauti stebint entekaviro ir lamivudino derinį vartojusius pacientus (paskui taikytas ilgalaikis gydymas entekaviru): trečiaisiais metais – 48 iš 80 pacientų (vartojimo trukmės mediana – 13</w:t>
      </w:r>
      <w:r w:rsidR="00CC4FF7">
        <w:rPr>
          <w:sz w:val="22"/>
          <w:szCs w:val="22"/>
        </w:rPr>
        <w:t> </w:t>
      </w:r>
      <w:r w:rsidRPr="00D166EA">
        <w:rPr>
          <w:sz w:val="22"/>
          <w:szCs w:val="22"/>
        </w:rPr>
        <w:t>savaičių), ketvirtaisiais metais – 10 iš 52 pacientų (vartojimo trukmės mediana – 38</w:t>
      </w:r>
      <w:r w:rsidR="00CC4FF7">
        <w:rPr>
          <w:sz w:val="22"/>
          <w:szCs w:val="22"/>
        </w:rPr>
        <w:t> </w:t>
      </w:r>
      <w:r w:rsidRPr="00D166EA">
        <w:rPr>
          <w:sz w:val="22"/>
          <w:szCs w:val="22"/>
        </w:rPr>
        <w:t>savaitės), penktaisiais metais – 1 iš 33 pacientų (vartojimo trukmė – 16</w:t>
      </w:r>
      <w:r w:rsidR="00CC4FF7">
        <w:rPr>
          <w:sz w:val="22"/>
          <w:szCs w:val="22"/>
        </w:rPr>
        <w:t> </w:t>
      </w:r>
      <w:r w:rsidRPr="00D166EA">
        <w:rPr>
          <w:sz w:val="22"/>
          <w:szCs w:val="22"/>
        </w:rPr>
        <w:t xml:space="preserve">savaičių) </w:t>
      </w:r>
      <w:r w:rsidR="00B96149">
        <w:rPr>
          <w:sz w:val="22"/>
          <w:szCs w:val="22"/>
        </w:rPr>
        <w:t>vėlesnio</w:t>
      </w:r>
      <w:r w:rsidR="000042F5">
        <w:rPr>
          <w:sz w:val="22"/>
          <w:szCs w:val="22"/>
        </w:rPr>
        <w:t xml:space="preserve"> </w:t>
      </w:r>
      <w:r w:rsidRPr="00D166EA">
        <w:rPr>
          <w:sz w:val="22"/>
          <w:szCs w:val="22"/>
        </w:rPr>
        <w:t xml:space="preserve">įtraukimo </w:t>
      </w:r>
      <w:r w:rsidR="00B96149">
        <w:rPr>
          <w:sz w:val="22"/>
          <w:szCs w:val="22"/>
        </w:rPr>
        <w:t xml:space="preserve">į </w:t>
      </w:r>
      <w:r w:rsidRPr="00D166EA">
        <w:rPr>
          <w:sz w:val="22"/>
          <w:szCs w:val="22"/>
        </w:rPr>
        <w:t>tyrim</w:t>
      </w:r>
      <w:r w:rsidR="00B96149">
        <w:rPr>
          <w:sz w:val="22"/>
          <w:szCs w:val="22"/>
        </w:rPr>
        <w:t>ą</w:t>
      </w:r>
      <w:r w:rsidRPr="00D166EA">
        <w:rPr>
          <w:sz w:val="22"/>
          <w:szCs w:val="22"/>
        </w:rPr>
        <w:t xml:space="preserve"> metu. </w:t>
      </w:r>
    </w:p>
    <w:p w14:paraId="525A4128" w14:textId="77777777" w:rsidR="0010033A" w:rsidRPr="00D166EA" w:rsidRDefault="0010033A" w:rsidP="0010033A">
      <w:pPr>
        <w:pStyle w:val="Default"/>
        <w:ind w:left="113" w:hanging="113"/>
        <w:rPr>
          <w:sz w:val="22"/>
          <w:szCs w:val="22"/>
        </w:rPr>
      </w:pPr>
      <w:r w:rsidRPr="00D166EA">
        <w:rPr>
          <w:sz w:val="22"/>
          <w:szCs w:val="22"/>
          <w:vertAlign w:val="superscript"/>
        </w:rPr>
        <w:t xml:space="preserve">b </w:t>
      </w:r>
      <w:r w:rsidRPr="00D166EA">
        <w:rPr>
          <w:sz w:val="22"/>
          <w:szCs w:val="22"/>
        </w:rPr>
        <w:t>Skaičiuoti pacientai, kuriems gydymo metu bent kartą PCR metodu tirta HBV DNR koncentracija: pirmaisiais metais – nuo 24 iki 58</w:t>
      </w:r>
      <w:r w:rsidR="00CC4FF7">
        <w:rPr>
          <w:sz w:val="22"/>
          <w:szCs w:val="22"/>
        </w:rPr>
        <w:t> </w:t>
      </w:r>
      <w:r w:rsidRPr="00D166EA">
        <w:rPr>
          <w:sz w:val="22"/>
          <w:szCs w:val="22"/>
        </w:rPr>
        <w:t>savaitės imtinai, antraisiais – nuo 59 iki 102</w:t>
      </w:r>
      <w:r w:rsidR="00CC4FF7">
        <w:rPr>
          <w:sz w:val="22"/>
          <w:szCs w:val="22"/>
        </w:rPr>
        <w:t> </w:t>
      </w:r>
      <w:r w:rsidRPr="00D166EA">
        <w:rPr>
          <w:sz w:val="22"/>
          <w:szCs w:val="22"/>
        </w:rPr>
        <w:t>savaitės imtinai, trečiaisiais – nuo 103 iki 156</w:t>
      </w:r>
      <w:r w:rsidR="00CC4FF7">
        <w:rPr>
          <w:sz w:val="22"/>
          <w:szCs w:val="22"/>
        </w:rPr>
        <w:t> </w:t>
      </w:r>
      <w:r w:rsidRPr="00D166EA">
        <w:rPr>
          <w:sz w:val="22"/>
          <w:szCs w:val="22"/>
        </w:rPr>
        <w:t>savaitės imtinai, ketvirtaisiais – nuo 157 iki 204</w:t>
      </w:r>
      <w:r w:rsidR="00CC4FF7">
        <w:rPr>
          <w:sz w:val="22"/>
          <w:szCs w:val="22"/>
        </w:rPr>
        <w:t> </w:t>
      </w:r>
      <w:r w:rsidRPr="00D166EA">
        <w:rPr>
          <w:sz w:val="22"/>
          <w:szCs w:val="22"/>
        </w:rPr>
        <w:t>savaitės imtinai, penktaisiais – nuo 205 iki 252</w:t>
      </w:r>
      <w:r w:rsidR="00CC4FF7">
        <w:rPr>
          <w:sz w:val="22"/>
          <w:szCs w:val="22"/>
        </w:rPr>
        <w:t> </w:t>
      </w:r>
      <w:r w:rsidRPr="00D166EA">
        <w:rPr>
          <w:sz w:val="22"/>
          <w:szCs w:val="22"/>
        </w:rPr>
        <w:t xml:space="preserve">savaitės imtinai. </w:t>
      </w:r>
    </w:p>
    <w:p w14:paraId="6B8269FB" w14:textId="77777777" w:rsidR="0010033A" w:rsidRPr="00D166EA" w:rsidRDefault="0010033A" w:rsidP="0010033A">
      <w:pPr>
        <w:pStyle w:val="Default"/>
        <w:ind w:left="113" w:hanging="113"/>
        <w:rPr>
          <w:sz w:val="22"/>
          <w:szCs w:val="22"/>
        </w:rPr>
      </w:pPr>
      <w:r w:rsidRPr="00D166EA">
        <w:rPr>
          <w:sz w:val="22"/>
          <w:szCs w:val="22"/>
          <w:vertAlign w:val="superscript"/>
        </w:rPr>
        <w:t>c</w:t>
      </w:r>
      <w:r w:rsidRPr="00D166EA">
        <w:rPr>
          <w:sz w:val="22"/>
          <w:szCs w:val="22"/>
        </w:rPr>
        <w:t xml:space="preserve"> Pacientams taip pat nustatyta LVDr pakeitimų. </w:t>
      </w:r>
    </w:p>
    <w:p w14:paraId="0528A2D8" w14:textId="77777777" w:rsidR="0010033A" w:rsidRPr="00D166EA" w:rsidRDefault="0010033A" w:rsidP="0010033A">
      <w:pPr>
        <w:ind w:left="113" w:hanging="113"/>
        <w:rPr>
          <w:szCs w:val="22"/>
        </w:rPr>
      </w:pPr>
      <w:r w:rsidRPr="00D166EA">
        <w:rPr>
          <w:szCs w:val="22"/>
          <w:vertAlign w:val="superscript"/>
        </w:rPr>
        <w:t>d</w:t>
      </w:r>
      <w:r w:rsidRPr="00D166EA">
        <w:rPr>
          <w:szCs w:val="22"/>
        </w:rPr>
        <w:t xml:space="preserve"> PCR metodu nustatytas HBV DNR koncentracijos padidėjimas ≥</w:t>
      </w:r>
      <w:r w:rsidR="00CC4FF7">
        <w:rPr>
          <w:szCs w:val="22"/>
        </w:rPr>
        <w:t> </w:t>
      </w:r>
      <w:r w:rsidRPr="00D166EA">
        <w:rPr>
          <w:szCs w:val="22"/>
        </w:rPr>
        <w:t>1</w:t>
      </w:r>
      <w:r w:rsidR="00CC4FF7">
        <w:rPr>
          <w:szCs w:val="22"/>
        </w:rPr>
        <w:t> </w:t>
      </w:r>
      <w:r w:rsidRPr="00D166EA">
        <w:rPr>
          <w:szCs w:val="22"/>
        </w:rPr>
        <w:t>log</w:t>
      </w:r>
      <w:r w:rsidRPr="00D166EA">
        <w:rPr>
          <w:szCs w:val="22"/>
          <w:vertAlign w:val="subscript"/>
        </w:rPr>
        <w:t>10</w:t>
      </w:r>
      <w:r w:rsidRPr="00D166EA">
        <w:rPr>
          <w:szCs w:val="22"/>
        </w:rPr>
        <w:t xml:space="preserve"> (palyginus su buvusia minimalia), patvirtintas </w:t>
      </w:r>
      <w:r w:rsidR="00B96149">
        <w:rPr>
          <w:szCs w:val="22"/>
        </w:rPr>
        <w:t>vėlesniais</w:t>
      </w:r>
      <w:r w:rsidRPr="00D166EA">
        <w:rPr>
          <w:szCs w:val="22"/>
        </w:rPr>
        <w:t xml:space="preserve"> tyrimais arba stebėjimo laikotarpio pabaigoje. </w:t>
      </w:r>
    </w:p>
    <w:p w14:paraId="02FBF83D" w14:textId="77777777" w:rsidR="00A1663C" w:rsidRPr="00D166EA" w:rsidRDefault="00A1663C" w:rsidP="00A1663C">
      <w:pPr>
        <w:pStyle w:val="Default"/>
        <w:rPr>
          <w:sz w:val="22"/>
          <w:szCs w:val="22"/>
        </w:rPr>
      </w:pPr>
      <w:r w:rsidRPr="00D166EA">
        <w:rPr>
          <w:sz w:val="22"/>
          <w:szCs w:val="22"/>
          <w:vertAlign w:val="superscript"/>
        </w:rPr>
        <w:t>e</w:t>
      </w:r>
      <w:r w:rsidRPr="00D166EA">
        <w:rPr>
          <w:sz w:val="22"/>
          <w:szCs w:val="22"/>
        </w:rPr>
        <w:t xml:space="preserve"> ETVr pasireiškė bet kuriais metais; virusologinis protrūkis tikslaus apibrėžimo metais</w:t>
      </w:r>
      <w:r w:rsidR="000042F5">
        <w:rPr>
          <w:sz w:val="22"/>
          <w:szCs w:val="22"/>
        </w:rPr>
        <w:t>.</w:t>
      </w:r>
      <w:r w:rsidRPr="00D166EA">
        <w:rPr>
          <w:sz w:val="22"/>
          <w:szCs w:val="22"/>
        </w:rPr>
        <w:t xml:space="preserve"> </w:t>
      </w:r>
    </w:p>
    <w:p w14:paraId="176EDF61" w14:textId="77777777" w:rsidR="00C95940" w:rsidRPr="00D166EA" w:rsidRDefault="00C95940" w:rsidP="00024C83">
      <w:pPr>
        <w:widowControl w:val="0"/>
        <w:autoSpaceDE w:val="0"/>
        <w:autoSpaceDN w:val="0"/>
        <w:adjustRightInd w:val="0"/>
        <w:rPr>
          <w:rFonts w:eastAsia="MS Mincho"/>
          <w:szCs w:val="22"/>
          <w:lang w:val="sl-SI"/>
        </w:rPr>
      </w:pPr>
    </w:p>
    <w:p w14:paraId="137C4DF5" w14:textId="77777777" w:rsidR="00A1663C" w:rsidRDefault="00A1663C" w:rsidP="00A1663C">
      <w:pPr>
        <w:pStyle w:val="Default"/>
        <w:rPr>
          <w:sz w:val="22"/>
          <w:szCs w:val="22"/>
        </w:rPr>
      </w:pPr>
      <w:r w:rsidRPr="00D166EA">
        <w:rPr>
          <w:sz w:val="22"/>
          <w:szCs w:val="22"/>
        </w:rPr>
        <w:t>64</w:t>
      </w:r>
      <w:r w:rsidR="00CC4FF7">
        <w:rPr>
          <w:sz w:val="22"/>
          <w:szCs w:val="22"/>
        </w:rPr>
        <w:t> </w:t>
      </w:r>
      <w:r w:rsidRPr="00D166EA">
        <w:rPr>
          <w:sz w:val="22"/>
          <w:szCs w:val="22"/>
        </w:rPr>
        <w:t>% (9/14) pacientų, kurie buvo nejautrūs lamivudino poveikiui ir HBV DNR buvo &lt;</w:t>
      </w:r>
      <w:r w:rsidR="00CC4FF7">
        <w:rPr>
          <w:sz w:val="22"/>
          <w:szCs w:val="22"/>
        </w:rPr>
        <w:t> </w:t>
      </w:r>
      <w:r w:rsidRPr="00D166EA">
        <w:rPr>
          <w:sz w:val="22"/>
          <w:szCs w:val="22"/>
        </w:rPr>
        <w:t>10</w:t>
      </w:r>
      <w:r w:rsidRPr="00D166EA">
        <w:rPr>
          <w:sz w:val="22"/>
          <w:szCs w:val="22"/>
          <w:vertAlign w:val="superscript"/>
        </w:rPr>
        <w:t>7</w:t>
      </w:r>
      <w:r w:rsidR="00CC4FF7">
        <w:rPr>
          <w:sz w:val="22"/>
          <w:szCs w:val="22"/>
        </w:rPr>
        <w:t> </w:t>
      </w:r>
      <w:r w:rsidRPr="00D166EA">
        <w:rPr>
          <w:sz w:val="22"/>
          <w:szCs w:val="22"/>
        </w:rPr>
        <w:t>log</w:t>
      </w:r>
      <w:r w:rsidRPr="00D166EA">
        <w:rPr>
          <w:sz w:val="22"/>
          <w:szCs w:val="22"/>
          <w:vertAlign w:val="subscript"/>
        </w:rPr>
        <w:t>10</w:t>
      </w:r>
      <w:r w:rsidR="00CC4FF7" w:rsidRPr="00B606B7">
        <w:rPr>
          <w:sz w:val="22"/>
          <w:szCs w:val="22"/>
        </w:rPr>
        <w:t> </w:t>
      </w:r>
      <w:r w:rsidRPr="00D166EA">
        <w:rPr>
          <w:sz w:val="22"/>
          <w:szCs w:val="22"/>
        </w:rPr>
        <w:t>kopijų/ml, 48</w:t>
      </w:r>
      <w:r w:rsidR="00CC4FF7">
        <w:rPr>
          <w:sz w:val="22"/>
          <w:szCs w:val="22"/>
        </w:rPr>
        <w:t> </w:t>
      </w:r>
      <w:r w:rsidRPr="00D166EA">
        <w:rPr>
          <w:sz w:val="22"/>
          <w:szCs w:val="22"/>
        </w:rPr>
        <w:t>savaitę HBV DNR sumažėjo iki &lt;</w:t>
      </w:r>
      <w:r w:rsidR="00CC4FF7">
        <w:rPr>
          <w:sz w:val="22"/>
          <w:szCs w:val="22"/>
        </w:rPr>
        <w:t> </w:t>
      </w:r>
      <w:r w:rsidRPr="00D166EA">
        <w:rPr>
          <w:sz w:val="22"/>
          <w:szCs w:val="22"/>
        </w:rPr>
        <w:t>300</w:t>
      </w:r>
      <w:r w:rsidR="00CC4FF7">
        <w:rPr>
          <w:sz w:val="22"/>
          <w:szCs w:val="22"/>
        </w:rPr>
        <w:t> </w:t>
      </w:r>
      <w:r w:rsidRPr="00D166EA">
        <w:rPr>
          <w:sz w:val="22"/>
          <w:szCs w:val="22"/>
        </w:rPr>
        <w:t>kopijų/ml. Šiems 14</w:t>
      </w:r>
      <w:r w:rsidR="00CC4FF7">
        <w:rPr>
          <w:sz w:val="22"/>
          <w:szCs w:val="22"/>
        </w:rPr>
        <w:t> </w:t>
      </w:r>
      <w:r w:rsidRPr="00D166EA">
        <w:rPr>
          <w:sz w:val="22"/>
          <w:szCs w:val="22"/>
        </w:rPr>
        <w:t>pacientų genotipinis atsparumas entekavirui pasireiškė rečiau (kumuliacinė tikimybė 5</w:t>
      </w:r>
      <w:r w:rsidR="00CC4FF7">
        <w:rPr>
          <w:sz w:val="22"/>
          <w:szCs w:val="22"/>
        </w:rPr>
        <w:t> </w:t>
      </w:r>
      <w:r w:rsidRPr="00D166EA">
        <w:rPr>
          <w:sz w:val="22"/>
          <w:szCs w:val="22"/>
        </w:rPr>
        <w:t>metų stebėjimo laikotarpiu – 18,8</w:t>
      </w:r>
      <w:r w:rsidR="00CC4FF7">
        <w:rPr>
          <w:sz w:val="22"/>
          <w:szCs w:val="22"/>
        </w:rPr>
        <w:t> </w:t>
      </w:r>
      <w:r w:rsidRPr="00D166EA">
        <w:rPr>
          <w:sz w:val="22"/>
          <w:szCs w:val="22"/>
        </w:rPr>
        <w:t>%), negu bendroje tyrimo populiacijoje (žr. lentelę). Pacientams, kurie buvo nejautrūs lamivudino poveikiui, o 24-ą savaitę PCR metodu nustatytas HBV DNR kiekis &lt;</w:t>
      </w:r>
      <w:r w:rsidR="00CC4FF7">
        <w:rPr>
          <w:sz w:val="22"/>
          <w:szCs w:val="22"/>
        </w:rPr>
        <w:t> </w:t>
      </w:r>
      <w:r w:rsidRPr="00D166EA">
        <w:rPr>
          <w:sz w:val="22"/>
          <w:szCs w:val="22"/>
        </w:rPr>
        <w:t>10</w:t>
      </w:r>
      <w:r w:rsidRPr="00D166EA">
        <w:rPr>
          <w:sz w:val="22"/>
          <w:szCs w:val="22"/>
          <w:vertAlign w:val="superscript"/>
        </w:rPr>
        <w:t>4</w:t>
      </w:r>
      <w:r w:rsidR="00CC4FF7">
        <w:rPr>
          <w:sz w:val="22"/>
          <w:szCs w:val="22"/>
        </w:rPr>
        <w:t> </w:t>
      </w:r>
      <w:r w:rsidRPr="00D166EA">
        <w:rPr>
          <w:sz w:val="22"/>
          <w:szCs w:val="22"/>
        </w:rPr>
        <w:t>log</w:t>
      </w:r>
      <w:r w:rsidRPr="00D166EA">
        <w:rPr>
          <w:sz w:val="22"/>
          <w:szCs w:val="22"/>
          <w:vertAlign w:val="subscript"/>
        </w:rPr>
        <w:t>10</w:t>
      </w:r>
      <w:r w:rsidR="00CC4FF7">
        <w:rPr>
          <w:sz w:val="22"/>
          <w:szCs w:val="22"/>
        </w:rPr>
        <w:t> </w:t>
      </w:r>
      <w:r w:rsidRPr="00D166EA">
        <w:rPr>
          <w:sz w:val="22"/>
          <w:szCs w:val="22"/>
        </w:rPr>
        <w:t>kopijų/ml, atsparumas nustatytas rečiau negu tiems, kuriems šis kiekis tiek nesumažėjo (5</w:t>
      </w:r>
      <w:r w:rsidR="00CC4FF7">
        <w:rPr>
          <w:sz w:val="22"/>
          <w:szCs w:val="22"/>
        </w:rPr>
        <w:t> </w:t>
      </w:r>
      <w:r w:rsidRPr="00D166EA">
        <w:rPr>
          <w:sz w:val="22"/>
          <w:szCs w:val="22"/>
        </w:rPr>
        <w:t>metų kumuliacinė tikimybė – 17,6</w:t>
      </w:r>
      <w:r w:rsidR="00CC4FF7">
        <w:rPr>
          <w:sz w:val="22"/>
          <w:szCs w:val="22"/>
        </w:rPr>
        <w:t> </w:t>
      </w:r>
      <w:r w:rsidRPr="00D166EA">
        <w:rPr>
          <w:sz w:val="22"/>
          <w:szCs w:val="22"/>
        </w:rPr>
        <w:t>% [n</w:t>
      </w:r>
      <w:r w:rsidR="00CC4FF7">
        <w:rPr>
          <w:sz w:val="22"/>
          <w:szCs w:val="22"/>
        </w:rPr>
        <w:t> </w:t>
      </w:r>
      <w:r w:rsidRPr="00D166EA">
        <w:rPr>
          <w:sz w:val="22"/>
          <w:szCs w:val="22"/>
        </w:rPr>
        <w:t>=</w:t>
      </w:r>
      <w:r w:rsidR="00CC4FF7">
        <w:rPr>
          <w:sz w:val="22"/>
          <w:szCs w:val="22"/>
        </w:rPr>
        <w:t> </w:t>
      </w:r>
      <w:r w:rsidRPr="00D166EA">
        <w:rPr>
          <w:sz w:val="22"/>
          <w:szCs w:val="22"/>
        </w:rPr>
        <w:t>50] plg. su 60,5</w:t>
      </w:r>
      <w:r w:rsidR="00CC4FF7">
        <w:rPr>
          <w:sz w:val="22"/>
          <w:szCs w:val="22"/>
        </w:rPr>
        <w:t> </w:t>
      </w:r>
      <w:r w:rsidRPr="00D166EA">
        <w:rPr>
          <w:sz w:val="22"/>
          <w:szCs w:val="22"/>
        </w:rPr>
        <w:t>% [n</w:t>
      </w:r>
      <w:r w:rsidR="00CC4FF7">
        <w:rPr>
          <w:sz w:val="22"/>
          <w:szCs w:val="22"/>
        </w:rPr>
        <w:t> </w:t>
      </w:r>
      <w:r w:rsidRPr="00D166EA">
        <w:rPr>
          <w:sz w:val="22"/>
          <w:szCs w:val="22"/>
        </w:rPr>
        <w:t>=</w:t>
      </w:r>
      <w:r w:rsidR="00CC4FF7">
        <w:rPr>
          <w:sz w:val="22"/>
          <w:szCs w:val="22"/>
        </w:rPr>
        <w:t> </w:t>
      </w:r>
      <w:r w:rsidRPr="00D166EA">
        <w:rPr>
          <w:sz w:val="22"/>
          <w:szCs w:val="22"/>
        </w:rPr>
        <w:t xml:space="preserve">135]). </w:t>
      </w:r>
    </w:p>
    <w:p w14:paraId="22C75F96" w14:textId="77777777" w:rsidR="00166BA6" w:rsidRDefault="00166BA6" w:rsidP="00A1663C">
      <w:pPr>
        <w:pStyle w:val="Default"/>
        <w:rPr>
          <w:sz w:val="22"/>
          <w:szCs w:val="22"/>
        </w:rPr>
      </w:pPr>
    </w:p>
    <w:p w14:paraId="55AABE14" w14:textId="77777777" w:rsidR="00166BA6" w:rsidRPr="00C81318" w:rsidRDefault="00C81318" w:rsidP="00A1663C">
      <w:pPr>
        <w:pStyle w:val="Default"/>
        <w:rPr>
          <w:sz w:val="22"/>
          <w:szCs w:val="22"/>
        </w:rPr>
      </w:pPr>
      <w:r w:rsidRPr="00591D31">
        <w:rPr>
          <w:i/>
          <w:iCs/>
          <w:sz w:val="22"/>
          <w:szCs w:val="22"/>
        </w:rPr>
        <w:t>2 ir 3 fazės klinikinių tyrimų integruota analizė.</w:t>
      </w:r>
      <w:r w:rsidRPr="00591D31">
        <w:rPr>
          <w:sz w:val="22"/>
          <w:szCs w:val="22"/>
        </w:rPr>
        <w:t xml:space="preserve"> Vaistinį preparatą užregistravus 2 ir 3 fazės 17 klinikinių tyrimų integruotos analizės duomenimis</w:t>
      </w:r>
      <w:r w:rsidR="00BD35CE">
        <w:rPr>
          <w:sz w:val="22"/>
          <w:szCs w:val="22"/>
        </w:rPr>
        <w:t>,</w:t>
      </w:r>
      <w:r w:rsidRPr="00591D31">
        <w:rPr>
          <w:sz w:val="22"/>
          <w:szCs w:val="22"/>
        </w:rPr>
        <w:t xml:space="preserve"> greitai atsiradęs su entekavir</w:t>
      </w:r>
      <w:r w:rsidR="00824CF4">
        <w:rPr>
          <w:sz w:val="22"/>
          <w:szCs w:val="22"/>
        </w:rPr>
        <w:t>o</w:t>
      </w:r>
      <w:r w:rsidRPr="00591D31">
        <w:rPr>
          <w:sz w:val="22"/>
          <w:szCs w:val="22"/>
        </w:rPr>
        <w:t xml:space="preserve"> atsparumu susijęs rtA181C pakeitimas buvo nustatytas 5 iš 1461 asmenų gydy</w:t>
      </w:r>
      <w:r w:rsidR="00824CF4">
        <w:rPr>
          <w:sz w:val="22"/>
          <w:szCs w:val="22"/>
        </w:rPr>
        <w:t>mo entekaviru metu</w:t>
      </w:r>
      <w:r w:rsidRPr="00591D31">
        <w:rPr>
          <w:sz w:val="22"/>
          <w:szCs w:val="22"/>
        </w:rPr>
        <w:t>. Šis pakeitimas buvo nustatytas tik esant su</w:t>
      </w:r>
      <w:r w:rsidR="005D50A7">
        <w:rPr>
          <w:sz w:val="22"/>
          <w:szCs w:val="22"/>
        </w:rPr>
        <w:t xml:space="preserve"> atsparumu</w:t>
      </w:r>
      <w:r w:rsidRPr="00591D31">
        <w:rPr>
          <w:sz w:val="22"/>
          <w:szCs w:val="22"/>
        </w:rPr>
        <w:t xml:space="preserve"> lamivudin</w:t>
      </w:r>
      <w:r w:rsidR="005D50A7">
        <w:rPr>
          <w:sz w:val="22"/>
          <w:szCs w:val="22"/>
        </w:rPr>
        <w:t>ui</w:t>
      </w:r>
      <w:r w:rsidRPr="00591D31">
        <w:rPr>
          <w:sz w:val="22"/>
          <w:szCs w:val="22"/>
        </w:rPr>
        <w:t xml:space="preserve"> susijusiems rtL180M plius rtM204V pakeitimams.</w:t>
      </w:r>
    </w:p>
    <w:p w14:paraId="124AF523" w14:textId="77777777" w:rsidR="00C949E4" w:rsidRPr="00D166EA" w:rsidRDefault="00C949E4" w:rsidP="00A1663C">
      <w:pPr>
        <w:pStyle w:val="Default"/>
        <w:rPr>
          <w:b/>
          <w:bCs/>
          <w:sz w:val="22"/>
          <w:szCs w:val="22"/>
        </w:rPr>
      </w:pPr>
    </w:p>
    <w:p w14:paraId="60AAFA75" w14:textId="77777777" w:rsidR="00A1663C" w:rsidRPr="00D166EA" w:rsidRDefault="00A1663C" w:rsidP="00A1663C">
      <w:pPr>
        <w:pStyle w:val="Default"/>
        <w:rPr>
          <w:sz w:val="22"/>
          <w:szCs w:val="22"/>
        </w:rPr>
      </w:pPr>
      <w:r w:rsidRPr="00D166EA">
        <w:rPr>
          <w:b/>
          <w:bCs/>
          <w:sz w:val="22"/>
          <w:szCs w:val="22"/>
        </w:rPr>
        <w:t>5.2</w:t>
      </w:r>
      <w:r w:rsidR="00C949E4" w:rsidRPr="00D166EA">
        <w:rPr>
          <w:b/>
          <w:bCs/>
          <w:sz w:val="22"/>
          <w:szCs w:val="22"/>
        </w:rPr>
        <w:tab/>
      </w:r>
      <w:r w:rsidRPr="00D166EA">
        <w:rPr>
          <w:b/>
          <w:bCs/>
          <w:sz w:val="22"/>
          <w:szCs w:val="22"/>
        </w:rPr>
        <w:t xml:space="preserve">Farmakokinetinės savybės </w:t>
      </w:r>
    </w:p>
    <w:p w14:paraId="1A5743EE" w14:textId="77777777" w:rsidR="00C949E4" w:rsidRPr="00D166EA" w:rsidRDefault="00C949E4" w:rsidP="00A1663C">
      <w:pPr>
        <w:pStyle w:val="Default"/>
        <w:rPr>
          <w:i/>
          <w:iCs/>
          <w:sz w:val="22"/>
          <w:szCs w:val="22"/>
        </w:rPr>
      </w:pPr>
    </w:p>
    <w:p w14:paraId="20D5CABE" w14:textId="77777777" w:rsidR="00BD35CE" w:rsidRPr="00591D31" w:rsidRDefault="00A1663C" w:rsidP="00A1663C">
      <w:pPr>
        <w:pStyle w:val="Default"/>
        <w:rPr>
          <w:iCs/>
          <w:sz w:val="22"/>
          <w:szCs w:val="22"/>
          <w:u w:val="single"/>
        </w:rPr>
      </w:pPr>
      <w:r w:rsidRPr="00591D31">
        <w:rPr>
          <w:iCs/>
          <w:sz w:val="22"/>
          <w:szCs w:val="22"/>
          <w:u w:val="single"/>
        </w:rPr>
        <w:t>Absorbcija</w:t>
      </w:r>
    </w:p>
    <w:p w14:paraId="44CFA73A" w14:textId="77777777" w:rsidR="00A1663C" w:rsidRPr="00D166EA" w:rsidRDefault="00A1663C" w:rsidP="00A1663C">
      <w:pPr>
        <w:pStyle w:val="Default"/>
        <w:rPr>
          <w:sz w:val="22"/>
          <w:szCs w:val="22"/>
        </w:rPr>
      </w:pPr>
      <w:r w:rsidRPr="00D166EA">
        <w:rPr>
          <w:i/>
          <w:iCs/>
          <w:sz w:val="22"/>
          <w:szCs w:val="22"/>
        </w:rPr>
        <w:t xml:space="preserve"> </w:t>
      </w:r>
      <w:r w:rsidRPr="00D166EA">
        <w:rPr>
          <w:sz w:val="22"/>
          <w:szCs w:val="22"/>
        </w:rPr>
        <w:t xml:space="preserve">Entekaviras greitai </w:t>
      </w:r>
      <w:r w:rsidR="00C949E4" w:rsidRPr="00D166EA">
        <w:rPr>
          <w:sz w:val="22"/>
          <w:szCs w:val="22"/>
        </w:rPr>
        <w:t>abs</w:t>
      </w:r>
      <w:r w:rsidRPr="00D166EA">
        <w:rPr>
          <w:sz w:val="22"/>
          <w:szCs w:val="22"/>
        </w:rPr>
        <w:t xml:space="preserve">orbuojamas, didžiausia koncentracija plazmoje </w:t>
      </w:r>
      <w:r w:rsidR="00C949E4" w:rsidRPr="00D166EA">
        <w:rPr>
          <w:sz w:val="22"/>
          <w:szCs w:val="22"/>
        </w:rPr>
        <w:t>atsiranda</w:t>
      </w:r>
      <w:r w:rsidRPr="00D166EA">
        <w:rPr>
          <w:sz w:val="22"/>
          <w:szCs w:val="22"/>
        </w:rPr>
        <w:t xml:space="preserve"> per </w:t>
      </w:r>
      <w:r w:rsidR="00660B8B" w:rsidRPr="00D166EA">
        <w:rPr>
          <w:sz w:val="22"/>
          <w:szCs w:val="22"/>
        </w:rPr>
        <w:br/>
      </w:r>
      <w:r w:rsidRPr="00D166EA">
        <w:rPr>
          <w:sz w:val="22"/>
          <w:szCs w:val="22"/>
        </w:rPr>
        <w:t>0,5-1,5</w:t>
      </w:r>
      <w:r w:rsidR="00CC4FF7">
        <w:rPr>
          <w:sz w:val="22"/>
          <w:szCs w:val="22"/>
        </w:rPr>
        <w:t> </w:t>
      </w:r>
      <w:r w:rsidRPr="00D166EA">
        <w:rPr>
          <w:sz w:val="22"/>
          <w:szCs w:val="22"/>
        </w:rPr>
        <w:t xml:space="preserve">val. Absoliutus biologinis </w:t>
      </w:r>
      <w:r w:rsidR="00660B8B" w:rsidRPr="00D166EA">
        <w:rPr>
          <w:sz w:val="22"/>
          <w:szCs w:val="22"/>
        </w:rPr>
        <w:t>prieinamumas</w:t>
      </w:r>
      <w:r w:rsidRPr="00D166EA">
        <w:rPr>
          <w:sz w:val="22"/>
          <w:szCs w:val="22"/>
        </w:rPr>
        <w:t xml:space="preserve"> nenustatytas. Remiantis nepakitusio vaist</w:t>
      </w:r>
      <w:r w:rsidR="00660B8B" w:rsidRPr="00D166EA">
        <w:rPr>
          <w:sz w:val="22"/>
          <w:szCs w:val="22"/>
        </w:rPr>
        <w:t>inio preparato šalinimo</w:t>
      </w:r>
      <w:r w:rsidRPr="00D166EA">
        <w:rPr>
          <w:sz w:val="22"/>
          <w:szCs w:val="22"/>
        </w:rPr>
        <w:t xml:space="preserve"> su šlapimu duomenimis, </w:t>
      </w:r>
      <w:r w:rsidR="00660B8B" w:rsidRPr="00D166EA">
        <w:rPr>
          <w:sz w:val="22"/>
          <w:szCs w:val="22"/>
        </w:rPr>
        <w:t xml:space="preserve">apytikris </w:t>
      </w:r>
      <w:r w:rsidRPr="00D166EA">
        <w:rPr>
          <w:sz w:val="22"/>
          <w:szCs w:val="22"/>
        </w:rPr>
        <w:t xml:space="preserve">jo biologinis </w:t>
      </w:r>
      <w:r w:rsidR="00660B8B" w:rsidRPr="00D166EA">
        <w:rPr>
          <w:sz w:val="22"/>
          <w:szCs w:val="22"/>
        </w:rPr>
        <w:t>prieinamumas</w:t>
      </w:r>
      <w:r w:rsidRPr="00D166EA">
        <w:rPr>
          <w:sz w:val="22"/>
          <w:szCs w:val="22"/>
        </w:rPr>
        <w:t xml:space="preserve"> turėtų būti bent 70</w:t>
      </w:r>
      <w:r w:rsidR="00CC4FF7">
        <w:rPr>
          <w:sz w:val="22"/>
          <w:szCs w:val="22"/>
        </w:rPr>
        <w:t> </w:t>
      </w:r>
      <w:r w:rsidRPr="00D166EA">
        <w:rPr>
          <w:sz w:val="22"/>
          <w:szCs w:val="22"/>
        </w:rPr>
        <w:t>%. Vartojant daugkartines 0,1-1</w:t>
      </w:r>
      <w:r w:rsidR="00CC4FF7">
        <w:rPr>
          <w:sz w:val="22"/>
          <w:szCs w:val="22"/>
        </w:rPr>
        <w:t> </w:t>
      </w:r>
      <w:r w:rsidRPr="00D166EA">
        <w:rPr>
          <w:sz w:val="22"/>
          <w:szCs w:val="22"/>
        </w:rPr>
        <w:t>mg dozes, nustatytas dozei proporcingas C</w:t>
      </w:r>
      <w:r w:rsidRPr="00D166EA">
        <w:rPr>
          <w:sz w:val="22"/>
          <w:szCs w:val="22"/>
          <w:vertAlign w:val="subscript"/>
        </w:rPr>
        <w:t>max</w:t>
      </w:r>
      <w:r w:rsidRPr="00D166EA">
        <w:rPr>
          <w:sz w:val="22"/>
          <w:szCs w:val="22"/>
        </w:rPr>
        <w:t xml:space="preserve"> ir AUC didėjimas. Vartojant š</w:t>
      </w:r>
      <w:r w:rsidR="00660B8B" w:rsidRPr="00D166EA">
        <w:rPr>
          <w:sz w:val="22"/>
          <w:szCs w:val="22"/>
        </w:rPr>
        <w:t>io vaistinio preparato</w:t>
      </w:r>
      <w:r w:rsidRPr="00D166EA">
        <w:rPr>
          <w:sz w:val="22"/>
          <w:szCs w:val="22"/>
        </w:rPr>
        <w:t xml:space="preserve"> 1</w:t>
      </w:r>
      <w:r w:rsidR="00CC4FF7">
        <w:rPr>
          <w:sz w:val="22"/>
          <w:szCs w:val="22"/>
        </w:rPr>
        <w:t> </w:t>
      </w:r>
      <w:r w:rsidRPr="00D166EA">
        <w:rPr>
          <w:sz w:val="22"/>
          <w:szCs w:val="22"/>
        </w:rPr>
        <w:t xml:space="preserve">kartą per parą, pusiausvyrinė </w:t>
      </w:r>
      <w:r w:rsidR="00660B8B" w:rsidRPr="00D166EA">
        <w:rPr>
          <w:sz w:val="22"/>
          <w:szCs w:val="22"/>
        </w:rPr>
        <w:t>apykaita nusistovi</w:t>
      </w:r>
      <w:r w:rsidRPr="00D166EA">
        <w:rPr>
          <w:sz w:val="22"/>
          <w:szCs w:val="22"/>
        </w:rPr>
        <w:t xml:space="preserve"> per 6-10</w:t>
      </w:r>
      <w:r w:rsidR="00CC4FF7">
        <w:rPr>
          <w:sz w:val="22"/>
          <w:szCs w:val="22"/>
        </w:rPr>
        <w:t> </w:t>
      </w:r>
      <w:r w:rsidR="00660B8B" w:rsidRPr="00D166EA">
        <w:rPr>
          <w:sz w:val="22"/>
          <w:szCs w:val="22"/>
        </w:rPr>
        <w:t>parų</w:t>
      </w:r>
      <w:r w:rsidRPr="00D166EA">
        <w:rPr>
          <w:sz w:val="22"/>
          <w:szCs w:val="22"/>
        </w:rPr>
        <w:t>, vaist</w:t>
      </w:r>
      <w:r w:rsidR="00996111" w:rsidRPr="00D166EA">
        <w:rPr>
          <w:sz w:val="22"/>
          <w:szCs w:val="22"/>
        </w:rPr>
        <w:t>inio preparato</w:t>
      </w:r>
      <w:r w:rsidRPr="00D166EA">
        <w:rPr>
          <w:sz w:val="22"/>
          <w:szCs w:val="22"/>
        </w:rPr>
        <w:t xml:space="preserve"> susikaupia maždaug dvigubai. Kai dozė 0,5</w:t>
      </w:r>
      <w:r w:rsidR="00CC4FF7">
        <w:rPr>
          <w:sz w:val="22"/>
          <w:szCs w:val="22"/>
        </w:rPr>
        <w:t> </w:t>
      </w:r>
      <w:r w:rsidRPr="00D166EA">
        <w:rPr>
          <w:sz w:val="22"/>
          <w:szCs w:val="22"/>
        </w:rPr>
        <w:t>mg, tai C</w:t>
      </w:r>
      <w:r w:rsidRPr="00D166EA">
        <w:rPr>
          <w:sz w:val="22"/>
          <w:szCs w:val="22"/>
          <w:vertAlign w:val="subscript"/>
        </w:rPr>
        <w:t>max</w:t>
      </w:r>
      <w:r w:rsidRPr="00D166EA">
        <w:rPr>
          <w:sz w:val="22"/>
          <w:szCs w:val="22"/>
        </w:rPr>
        <w:t xml:space="preserve"> ir C</w:t>
      </w:r>
      <w:r w:rsidRPr="00D166EA">
        <w:rPr>
          <w:sz w:val="22"/>
          <w:szCs w:val="22"/>
          <w:vertAlign w:val="subscript"/>
        </w:rPr>
        <w:t>min</w:t>
      </w:r>
      <w:r w:rsidRPr="00D166EA">
        <w:rPr>
          <w:sz w:val="22"/>
          <w:szCs w:val="22"/>
        </w:rPr>
        <w:t xml:space="preserve"> esant pusiausvyrinei </w:t>
      </w:r>
      <w:r w:rsidR="00996111" w:rsidRPr="00D166EA">
        <w:rPr>
          <w:sz w:val="22"/>
          <w:szCs w:val="22"/>
        </w:rPr>
        <w:t>apykaitai</w:t>
      </w:r>
      <w:r w:rsidRPr="00D166EA">
        <w:rPr>
          <w:sz w:val="22"/>
          <w:szCs w:val="22"/>
        </w:rPr>
        <w:t xml:space="preserve"> būna atitinkamai 4,2 ir 0,3</w:t>
      </w:r>
      <w:r w:rsidR="00CC4FF7">
        <w:rPr>
          <w:sz w:val="22"/>
          <w:szCs w:val="22"/>
        </w:rPr>
        <w:t> </w:t>
      </w:r>
      <w:r w:rsidRPr="00D166EA">
        <w:rPr>
          <w:sz w:val="22"/>
          <w:szCs w:val="22"/>
        </w:rPr>
        <w:t>ng/ml, o kai dozė 1</w:t>
      </w:r>
      <w:r w:rsidR="00CC4FF7">
        <w:rPr>
          <w:sz w:val="22"/>
          <w:szCs w:val="22"/>
        </w:rPr>
        <w:t> </w:t>
      </w:r>
      <w:r w:rsidRPr="00D166EA">
        <w:rPr>
          <w:sz w:val="22"/>
          <w:szCs w:val="22"/>
        </w:rPr>
        <w:t>mg – atitinkamai 8,2 ir 0,5</w:t>
      </w:r>
      <w:r w:rsidR="00CC4FF7">
        <w:rPr>
          <w:sz w:val="22"/>
          <w:szCs w:val="22"/>
        </w:rPr>
        <w:t> </w:t>
      </w:r>
      <w:r w:rsidRPr="00D166EA">
        <w:rPr>
          <w:sz w:val="22"/>
          <w:szCs w:val="22"/>
        </w:rPr>
        <w:t xml:space="preserve">ng/ml. Nustatyta, kad tabletės ir geriamasis tirpalas sveikiems asmenims yra bioekvivalentiški, todėl šias farmacines formas galima keisti vieną kita. </w:t>
      </w:r>
    </w:p>
    <w:p w14:paraId="6D4F2B7E" w14:textId="77777777" w:rsidR="00996111" w:rsidRPr="00D166EA" w:rsidRDefault="00996111" w:rsidP="00A1663C">
      <w:pPr>
        <w:pStyle w:val="Default"/>
        <w:rPr>
          <w:sz w:val="22"/>
          <w:szCs w:val="22"/>
        </w:rPr>
      </w:pPr>
    </w:p>
    <w:p w14:paraId="11446F4C" w14:textId="77777777" w:rsidR="00A1663C" w:rsidRPr="00D166EA" w:rsidRDefault="00A1663C" w:rsidP="00A1663C">
      <w:pPr>
        <w:pStyle w:val="Default"/>
        <w:rPr>
          <w:sz w:val="22"/>
          <w:szCs w:val="22"/>
        </w:rPr>
      </w:pPr>
      <w:r w:rsidRPr="00D166EA">
        <w:rPr>
          <w:sz w:val="22"/>
          <w:szCs w:val="22"/>
        </w:rPr>
        <w:t>Išgėrus 0,5</w:t>
      </w:r>
      <w:r w:rsidR="00CC4FF7">
        <w:rPr>
          <w:sz w:val="22"/>
          <w:szCs w:val="22"/>
        </w:rPr>
        <w:t> </w:t>
      </w:r>
      <w:r w:rsidRPr="00D166EA">
        <w:rPr>
          <w:sz w:val="22"/>
          <w:szCs w:val="22"/>
        </w:rPr>
        <w:t>mg entekaviro su standartiniu didelio riebumo (945</w:t>
      </w:r>
      <w:r w:rsidR="00CC4FF7">
        <w:rPr>
          <w:sz w:val="22"/>
          <w:szCs w:val="22"/>
        </w:rPr>
        <w:t> </w:t>
      </w:r>
      <w:r w:rsidRPr="00D166EA">
        <w:rPr>
          <w:sz w:val="22"/>
          <w:szCs w:val="22"/>
        </w:rPr>
        <w:t>kcal, 54,6</w:t>
      </w:r>
      <w:r w:rsidR="00CC4FF7">
        <w:rPr>
          <w:sz w:val="22"/>
          <w:szCs w:val="22"/>
        </w:rPr>
        <w:t> </w:t>
      </w:r>
      <w:r w:rsidRPr="00D166EA">
        <w:rPr>
          <w:sz w:val="22"/>
          <w:szCs w:val="22"/>
        </w:rPr>
        <w:t>g riebalų) ar lengvu maistu (379</w:t>
      </w:r>
      <w:r w:rsidR="00CC4FF7">
        <w:rPr>
          <w:sz w:val="22"/>
          <w:szCs w:val="22"/>
        </w:rPr>
        <w:t> </w:t>
      </w:r>
      <w:r w:rsidRPr="00D166EA">
        <w:rPr>
          <w:sz w:val="22"/>
          <w:szCs w:val="22"/>
        </w:rPr>
        <w:t>kcal, 8,2</w:t>
      </w:r>
      <w:r w:rsidR="00CC4FF7">
        <w:rPr>
          <w:sz w:val="22"/>
          <w:szCs w:val="22"/>
        </w:rPr>
        <w:t> </w:t>
      </w:r>
      <w:r w:rsidRPr="00D166EA">
        <w:rPr>
          <w:sz w:val="22"/>
          <w:szCs w:val="22"/>
        </w:rPr>
        <w:t>g riebalų), vaist</w:t>
      </w:r>
      <w:r w:rsidR="00996111" w:rsidRPr="00D166EA">
        <w:rPr>
          <w:sz w:val="22"/>
          <w:szCs w:val="22"/>
        </w:rPr>
        <w:t>inio preparato absorbcija</w:t>
      </w:r>
      <w:r w:rsidRPr="00D166EA">
        <w:rPr>
          <w:sz w:val="22"/>
          <w:szCs w:val="22"/>
        </w:rPr>
        <w:t xml:space="preserve"> buvo šiek tiek lėtesnė (1-1,5</w:t>
      </w:r>
      <w:r w:rsidR="00CC4FF7">
        <w:rPr>
          <w:sz w:val="22"/>
          <w:szCs w:val="22"/>
        </w:rPr>
        <w:t> </w:t>
      </w:r>
      <w:r w:rsidRPr="00D166EA">
        <w:rPr>
          <w:sz w:val="22"/>
          <w:szCs w:val="22"/>
        </w:rPr>
        <w:t>val. su maistu palyginus su 0,75</w:t>
      </w:r>
      <w:r w:rsidR="00CC4FF7">
        <w:rPr>
          <w:sz w:val="22"/>
          <w:szCs w:val="22"/>
        </w:rPr>
        <w:t> </w:t>
      </w:r>
      <w:r w:rsidRPr="00D166EA">
        <w:rPr>
          <w:sz w:val="22"/>
          <w:szCs w:val="22"/>
        </w:rPr>
        <w:t>val. nevalgius), C</w:t>
      </w:r>
      <w:r w:rsidRPr="00D166EA">
        <w:rPr>
          <w:sz w:val="22"/>
          <w:szCs w:val="22"/>
          <w:vertAlign w:val="subscript"/>
        </w:rPr>
        <w:t>max</w:t>
      </w:r>
      <w:r w:rsidRPr="00D166EA">
        <w:rPr>
          <w:sz w:val="22"/>
          <w:szCs w:val="22"/>
        </w:rPr>
        <w:t xml:space="preserve"> – 44-46</w:t>
      </w:r>
      <w:r w:rsidR="00CC4FF7">
        <w:rPr>
          <w:sz w:val="22"/>
          <w:szCs w:val="22"/>
        </w:rPr>
        <w:t> </w:t>
      </w:r>
      <w:r w:rsidRPr="00D166EA">
        <w:rPr>
          <w:sz w:val="22"/>
          <w:szCs w:val="22"/>
        </w:rPr>
        <w:t>% mažesnė, AUC – 18-20</w:t>
      </w:r>
      <w:r w:rsidR="00CC4FF7">
        <w:rPr>
          <w:sz w:val="22"/>
          <w:szCs w:val="22"/>
        </w:rPr>
        <w:t> </w:t>
      </w:r>
      <w:r w:rsidRPr="00D166EA">
        <w:rPr>
          <w:sz w:val="22"/>
          <w:szCs w:val="22"/>
        </w:rPr>
        <w:t>% mažesnis. Šis C</w:t>
      </w:r>
      <w:r w:rsidRPr="00D166EA">
        <w:rPr>
          <w:sz w:val="22"/>
          <w:szCs w:val="22"/>
          <w:vertAlign w:val="subscript"/>
        </w:rPr>
        <w:t>max</w:t>
      </w:r>
      <w:r w:rsidRPr="00D166EA">
        <w:rPr>
          <w:sz w:val="22"/>
          <w:szCs w:val="22"/>
        </w:rPr>
        <w:t xml:space="preserve"> ir AUC sumažėjimas nelaikomas kliniškai reikšmingu nukleozidų nevartojusiems pacientams, tačiau gali turėti įtakos veiksmingumui gydant lamivudin</w:t>
      </w:r>
      <w:r w:rsidR="00996111" w:rsidRPr="00D166EA">
        <w:rPr>
          <w:sz w:val="22"/>
          <w:szCs w:val="22"/>
        </w:rPr>
        <w:t>o poveikiui nejautrius</w:t>
      </w:r>
      <w:r w:rsidRPr="00D166EA">
        <w:rPr>
          <w:sz w:val="22"/>
          <w:szCs w:val="22"/>
        </w:rPr>
        <w:t xml:space="preserve"> pacientus (žr. 4.2 skyrių). </w:t>
      </w:r>
    </w:p>
    <w:p w14:paraId="096E6717" w14:textId="77777777" w:rsidR="00996111" w:rsidRPr="00D166EA" w:rsidRDefault="00996111" w:rsidP="00A1663C">
      <w:pPr>
        <w:widowControl w:val="0"/>
        <w:autoSpaceDE w:val="0"/>
        <w:autoSpaceDN w:val="0"/>
        <w:adjustRightInd w:val="0"/>
        <w:rPr>
          <w:i/>
          <w:iCs/>
          <w:szCs w:val="22"/>
          <w:lang w:val="sl-SI"/>
        </w:rPr>
      </w:pPr>
    </w:p>
    <w:p w14:paraId="6B75A4D6" w14:textId="77777777" w:rsidR="00BD35CE" w:rsidRDefault="00A1663C" w:rsidP="00A1663C">
      <w:pPr>
        <w:widowControl w:val="0"/>
        <w:autoSpaceDE w:val="0"/>
        <w:autoSpaceDN w:val="0"/>
        <w:adjustRightInd w:val="0"/>
        <w:rPr>
          <w:i/>
          <w:iCs/>
          <w:szCs w:val="22"/>
        </w:rPr>
      </w:pPr>
      <w:r w:rsidRPr="00591D31">
        <w:rPr>
          <w:iCs/>
          <w:szCs w:val="22"/>
          <w:u w:val="single"/>
        </w:rPr>
        <w:t>Pasiskirstymas</w:t>
      </w:r>
      <w:r w:rsidRPr="00D166EA">
        <w:rPr>
          <w:i/>
          <w:iCs/>
          <w:szCs w:val="22"/>
        </w:rPr>
        <w:t xml:space="preserve"> </w:t>
      </w:r>
    </w:p>
    <w:p w14:paraId="1B418A86" w14:textId="77777777" w:rsidR="00C95940" w:rsidRPr="00D166EA" w:rsidRDefault="00996111" w:rsidP="00A1663C">
      <w:pPr>
        <w:widowControl w:val="0"/>
        <w:autoSpaceDE w:val="0"/>
        <w:autoSpaceDN w:val="0"/>
        <w:adjustRightInd w:val="0"/>
        <w:rPr>
          <w:rFonts w:eastAsia="MS Mincho"/>
          <w:szCs w:val="22"/>
        </w:rPr>
      </w:pPr>
      <w:r w:rsidRPr="00D166EA">
        <w:rPr>
          <w:szCs w:val="22"/>
        </w:rPr>
        <w:t>Tariamasis</w:t>
      </w:r>
      <w:r w:rsidR="00A1663C" w:rsidRPr="00D166EA">
        <w:rPr>
          <w:szCs w:val="22"/>
        </w:rPr>
        <w:t xml:space="preserve"> entekaviro pasiskirstymo tūris yra didesnis negu bendras organizme esančio vandens tūris. </w:t>
      </w:r>
      <w:r w:rsidR="00A1663C" w:rsidRPr="00D166EA">
        <w:rPr>
          <w:i/>
          <w:iCs/>
          <w:szCs w:val="22"/>
        </w:rPr>
        <w:t xml:space="preserve">In vitro </w:t>
      </w:r>
      <w:r w:rsidR="00A1663C" w:rsidRPr="00D166EA">
        <w:rPr>
          <w:szCs w:val="22"/>
        </w:rPr>
        <w:t>maždaug 13</w:t>
      </w:r>
      <w:r w:rsidR="00CC4FF7">
        <w:rPr>
          <w:szCs w:val="22"/>
        </w:rPr>
        <w:t> </w:t>
      </w:r>
      <w:r w:rsidR="00A1663C" w:rsidRPr="00D166EA">
        <w:rPr>
          <w:szCs w:val="22"/>
        </w:rPr>
        <w:t>% entekaviro prisijungia prie žmogaus serumo baltymų.</w:t>
      </w:r>
    </w:p>
    <w:p w14:paraId="3C6BF5FF" w14:textId="77777777" w:rsidR="00996111" w:rsidRPr="00D166EA" w:rsidRDefault="00996111" w:rsidP="00996111">
      <w:pPr>
        <w:pStyle w:val="Default"/>
        <w:rPr>
          <w:i/>
          <w:iCs/>
          <w:sz w:val="22"/>
          <w:szCs w:val="22"/>
        </w:rPr>
      </w:pPr>
    </w:p>
    <w:p w14:paraId="14C8FDC6" w14:textId="77777777" w:rsidR="00996111" w:rsidRPr="00D166EA" w:rsidRDefault="00996111" w:rsidP="00996111">
      <w:pPr>
        <w:pStyle w:val="Default"/>
        <w:rPr>
          <w:sz w:val="22"/>
          <w:szCs w:val="22"/>
        </w:rPr>
      </w:pPr>
      <w:r w:rsidRPr="00591D31">
        <w:rPr>
          <w:iCs/>
          <w:sz w:val="22"/>
          <w:szCs w:val="22"/>
          <w:u w:val="single"/>
        </w:rPr>
        <w:t>Biotransformacija</w:t>
      </w:r>
      <w:r w:rsidRPr="00D166EA">
        <w:rPr>
          <w:i/>
          <w:iCs/>
          <w:sz w:val="22"/>
          <w:szCs w:val="22"/>
        </w:rPr>
        <w:t xml:space="preserve"> </w:t>
      </w:r>
      <w:r w:rsidRPr="00D166EA">
        <w:rPr>
          <w:sz w:val="22"/>
          <w:szCs w:val="22"/>
        </w:rPr>
        <w:t xml:space="preserve">Entekaviras nėra nei CYP450 fermentų sistemos substratas, nei jų induktorius ar inhibitorius. Pavartojus </w:t>
      </w:r>
      <w:r w:rsidRPr="00D166EA">
        <w:rPr>
          <w:sz w:val="22"/>
          <w:szCs w:val="22"/>
          <w:vertAlign w:val="superscript"/>
        </w:rPr>
        <w:t>14</w:t>
      </w:r>
      <w:r w:rsidRPr="00D166EA">
        <w:rPr>
          <w:sz w:val="22"/>
          <w:szCs w:val="22"/>
        </w:rPr>
        <w:t xml:space="preserve">C-entekaviro, oksiduotų ar acetilintų metabolitų neaptikta ir nustatytas nedidelis kiekis II fazės metu suformuotų metabolitų (gliukuronido ir sulfato konjugatų). </w:t>
      </w:r>
    </w:p>
    <w:p w14:paraId="7DBC4900" w14:textId="77777777" w:rsidR="00996111" w:rsidRPr="00D166EA" w:rsidRDefault="00996111" w:rsidP="00996111">
      <w:pPr>
        <w:pStyle w:val="Default"/>
        <w:rPr>
          <w:i/>
          <w:iCs/>
          <w:sz w:val="22"/>
          <w:szCs w:val="22"/>
        </w:rPr>
      </w:pPr>
    </w:p>
    <w:p w14:paraId="3B498E6B" w14:textId="77777777" w:rsidR="00BD35CE" w:rsidRDefault="00996111" w:rsidP="00996111">
      <w:pPr>
        <w:pStyle w:val="Default"/>
        <w:rPr>
          <w:i/>
          <w:iCs/>
          <w:sz w:val="22"/>
          <w:szCs w:val="22"/>
        </w:rPr>
      </w:pPr>
      <w:r w:rsidRPr="00591D31">
        <w:rPr>
          <w:iCs/>
          <w:sz w:val="22"/>
          <w:szCs w:val="22"/>
          <w:u w:val="single"/>
        </w:rPr>
        <w:t>Eliminacija</w:t>
      </w:r>
    </w:p>
    <w:p w14:paraId="0FE97DCF" w14:textId="77777777" w:rsidR="00996111" w:rsidRPr="00D166EA" w:rsidRDefault="00996111" w:rsidP="00996111">
      <w:pPr>
        <w:pStyle w:val="Default"/>
        <w:rPr>
          <w:sz w:val="22"/>
          <w:szCs w:val="22"/>
        </w:rPr>
      </w:pPr>
      <w:r w:rsidRPr="00D166EA">
        <w:rPr>
          <w:sz w:val="22"/>
          <w:szCs w:val="22"/>
        </w:rPr>
        <w:t>Daugiausia entekaviro pašalinama per inkstus. Esant pusiausvyrinei apykaitai, maždaug 75</w:t>
      </w:r>
      <w:r w:rsidR="00CC4FF7">
        <w:rPr>
          <w:sz w:val="22"/>
          <w:szCs w:val="22"/>
        </w:rPr>
        <w:t> </w:t>
      </w:r>
      <w:r w:rsidRPr="00D166EA">
        <w:rPr>
          <w:sz w:val="22"/>
          <w:szCs w:val="22"/>
        </w:rPr>
        <w:t>% suvartoto vaistinio preparato aptinkama šlapime nepakitusiu pavidalu. Inkstų klirensas nepriklauso nuo dozės ir būna 360-471</w:t>
      </w:r>
      <w:r w:rsidR="00CC4FF7">
        <w:rPr>
          <w:sz w:val="22"/>
          <w:szCs w:val="22"/>
        </w:rPr>
        <w:t> </w:t>
      </w:r>
      <w:r w:rsidRPr="00D166EA">
        <w:rPr>
          <w:sz w:val="22"/>
          <w:szCs w:val="22"/>
        </w:rPr>
        <w:t>ml/min. Tai leidžia manyti, kad entekaviras filtruojamas glomeruluose ir sekretuojamas kanalėliuose. Susidarius didžiausiai entekaviro koncentracijai plazmoje, vėliau ji mažėja dviejų eksponenčių tvarka (galutinis pusinis eliminacijos laikas – maždaug 128-149</w:t>
      </w:r>
      <w:r w:rsidR="00171B93">
        <w:rPr>
          <w:sz w:val="22"/>
          <w:szCs w:val="22"/>
        </w:rPr>
        <w:t> </w:t>
      </w:r>
      <w:r w:rsidRPr="00D166EA">
        <w:rPr>
          <w:sz w:val="22"/>
          <w:szCs w:val="22"/>
        </w:rPr>
        <w:t xml:space="preserve"> val.). Nustatytas 1 kartą per parą vartojamo vaistinio preparato akumuliacijos indeksas yra maždaug 2</w:t>
      </w:r>
      <w:r w:rsidR="00171B93">
        <w:rPr>
          <w:sz w:val="22"/>
          <w:szCs w:val="22"/>
        </w:rPr>
        <w:t> </w:t>
      </w:r>
      <w:r w:rsidRPr="00D166EA">
        <w:rPr>
          <w:sz w:val="22"/>
          <w:szCs w:val="22"/>
        </w:rPr>
        <w:t>kartai. Tai rodo, kad efektyvusis pusinis akumuliacijos laikas yra apie 24</w:t>
      </w:r>
      <w:r w:rsidR="00171B93">
        <w:rPr>
          <w:sz w:val="22"/>
          <w:szCs w:val="22"/>
        </w:rPr>
        <w:t> </w:t>
      </w:r>
      <w:r w:rsidRPr="00D166EA">
        <w:rPr>
          <w:sz w:val="22"/>
          <w:szCs w:val="22"/>
        </w:rPr>
        <w:t xml:space="preserve">val. </w:t>
      </w:r>
    </w:p>
    <w:p w14:paraId="0B8C2700" w14:textId="77777777" w:rsidR="00996111" w:rsidRPr="00D166EA" w:rsidRDefault="00996111" w:rsidP="00996111">
      <w:pPr>
        <w:pStyle w:val="Default"/>
        <w:rPr>
          <w:i/>
          <w:iCs/>
          <w:sz w:val="22"/>
          <w:szCs w:val="22"/>
        </w:rPr>
      </w:pPr>
    </w:p>
    <w:p w14:paraId="1AC0D257" w14:textId="77777777" w:rsidR="00996111" w:rsidRPr="00D166EA" w:rsidRDefault="00996111" w:rsidP="00996111">
      <w:pPr>
        <w:pStyle w:val="Default"/>
        <w:rPr>
          <w:sz w:val="22"/>
          <w:szCs w:val="22"/>
        </w:rPr>
      </w:pPr>
      <w:r w:rsidRPr="00591D31">
        <w:rPr>
          <w:iCs/>
          <w:sz w:val="22"/>
          <w:szCs w:val="22"/>
          <w:u w:val="single"/>
        </w:rPr>
        <w:t>Sutrikusi kepenų funkcija</w:t>
      </w:r>
      <w:r w:rsidRPr="00D166EA">
        <w:rPr>
          <w:i/>
          <w:iCs/>
          <w:sz w:val="22"/>
          <w:szCs w:val="22"/>
        </w:rPr>
        <w:t xml:space="preserve"> </w:t>
      </w:r>
      <w:r w:rsidRPr="00D166EA">
        <w:rPr>
          <w:sz w:val="22"/>
          <w:szCs w:val="22"/>
        </w:rPr>
        <w:t>Farmakokinetikos parametrai pacient</w:t>
      </w:r>
      <w:r w:rsidR="00BD1D39" w:rsidRPr="00D166EA">
        <w:rPr>
          <w:sz w:val="22"/>
          <w:szCs w:val="22"/>
        </w:rPr>
        <w:t>ams</w:t>
      </w:r>
      <w:r w:rsidRPr="00D166EA">
        <w:rPr>
          <w:sz w:val="22"/>
          <w:szCs w:val="22"/>
        </w:rPr>
        <w:t xml:space="preserve">, kuriems yra lengvas ar vidutinio sunkumo kepenų pakenkimas ir </w:t>
      </w:r>
      <w:r w:rsidR="00BD1D39" w:rsidRPr="00D166EA">
        <w:rPr>
          <w:sz w:val="22"/>
          <w:szCs w:val="22"/>
        </w:rPr>
        <w:t>pacientams, kurių</w:t>
      </w:r>
      <w:r w:rsidRPr="00D166EA">
        <w:rPr>
          <w:sz w:val="22"/>
          <w:szCs w:val="22"/>
        </w:rPr>
        <w:t xml:space="preserve"> kepenų funkcija</w:t>
      </w:r>
      <w:r w:rsidR="00BD1D39" w:rsidRPr="00D166EA">
        <w:rPr>
          <w:sz w:val="22"/>
          <w:szCs w:val="22"/>
        </w:rPr>
        <w:t xml:space="preserve"> normali</w:t>
      </w:r>
      <w:r w:rsidRPr="00D166EA">
        <w:rPr>
          <w:sz w:val="22"/>
          <w:szCs w:val="22"/>
        </w:rPr>
        <w:t xml:space="preserve">, būna panašūs. </w:t>
      </w:r>
    </w:p>
    <w:p w14:paraId="725214F1" w14:textId="77777777" w:rsidR="00BD1D39" w:rsidRPr="00D166EA" w:rsidRDefault="00BD1D39" w:rsidP="00996111">
      <w:pPr>
        <w:widowControl w:val="0"/>
        <w:autoSpaceDE w:val="0"/>
        <w:autoSpaceDN w:val="0"/>
        <w:adjustRightInd w:val="0"/>
        <w:rPr>
          <w:i/>
          <w:iCs/>
          <w:szCs w:val="22"/>
          <w:lang w:val="sl-SI"/>
        </w:rPr>
      </w:pPr>
    </w:p>
    <w:p w14:paraId="51FA4A60" w14:textId="77777777" w:rsidR="00C95940" w:rsidRPr="00D166EA" w:rsidRDefault="00BD1D39" w:rsidP="00996111">
      <w:pPr>
        <w:widowControl w:val="0"/>
        <w:autoSpaceDE w:val="0"/>
        <w:autoSpaceDN w:val="0"/>
        <w:adjustRightInd w:val="0"/>
        <w:rPr>
          <w:rFonts w:eastAsia="MS Mincho"/>
          <w:szCs w:val="22"/>
        </w:rPr>
      </w:pPr>
      <w:r w:rsidRPr="00591D31">
        <w:rPr>
          <w:iCs/>
          <w:szCs w:val="22"/>
          <w:u w:val="single"/>
          <w:lang w:val="sl-SI"/>
        </w:rPr>
        <w:t>Sutrikusi inkstų funkcija</w:t>
      </w:r>
      <w:r w:rsidR="00996111" w:rsidRPr="00D166EA">
        <w:rPr>
          <w:i/>
          <w:iCs/>
          <w:szCs w:val="22"/>
        </w:rPr>
        <w:t xml:space="preserve"> </w:t>
      </w:r>
      <w:r w:rsidR="00996111" w:rsidRPr="00D166EA">
        <w:rPr>
          <w:szCs w:val="22"/>
        </w:rPr>
        <w:t>Mažėjant kreatinino klirensui, mažėja ir entekaviro klirensas. Per 4</w:t>
      </w:r>
      <w:r w:rsidR="00171B93">
        <w:rPr>
          <w:szCs w:val="22"/>
        </w:rPr>
        <w:t> </w:t>
      </w:r>
      <w:r w:rsidR="00996111" w:rsidRPr="00D166EA">
        <w:rPr>
          <w:szCs w:val="22"/>
        </w:rPr>
        <w:t>val. trukmės hemodializę pašalinama maždaug 13</w:t>
      </w:r>
      <w:r w:rsidR="00171B93">
        <w:rPr>
          <w:szCs w:val="22"/>
        </w:rPr>
        <w:t> </w:t>
      </w:r>
      <w:r w:rsidR="00996111" w:rsidRPr="00D166EA">
        <w:rPr>
          <w:szCs w:val="22"/>
        </w:rPr>
        <w:t>% dozės, CAPD metu – 0,3</w:t>
      </w:r>
      <w:r w:rsidR="00171B93">
        <w:rPr>
          <w:szCs w:val="22"/>
        </w:rPr>
        <w:t> </w:t>
      </w:r>
      <w:r w:rsidR="00996111" w:rsidRPr="00D166EA">
        <w:rPr>
          <w:szCs w:val="22"/>
        </w:rPr>
        <w:t xml:space="preserve">%. Entekaviro farmakokinetikos </w:t>
      </w:r>
      <w:r w:rsidRPr="00D166EA">
        <w:rPr>
          <w:szCs w:val="22"/>
        </w:rPr>
        <w:t>paramet</w:t>
      </w:r>
      <w:r w:rsidR="001570EE">
        <w:rPr>
          <w:szCs w:val="22"/>
        </w:rPr>
        <w:t>r</w:t>
      </w:r>
      <w:r w:rsidRPr="00D166EA">
        <w:rPr>
          <w:szCs w:val="22"/>
        </w:rPr>
        <w:t xml:space="preserve">ai </w:t>
      </w:r>
      <w:r w:rsidR="00996111" w:rsidRPr="00D166EA">
        <w:rPr>
          <w:szCs w:val="22"/>
        </w:rPr>
        <w:t>pacient</w:t>
      </w:r>
      <w:r w:rsidRPr="00D166EA">
        <w:rPr>
          <w:szCs w:val="22"/>
        </w:rPr>
        <w:t>ams</w:t>
      </w:r>
      <w:r w:rsidR="00996111" w:rsidRPr="00D166EA">
        <w:rPr>
          <w:szCs w:val="22"/>
        </w:rPr>
        <w:t>, ne</w:t>
      </w:r>
      <w:r w:rsidRPr="00D166EA">
        <w:rPr>
          <w:szCs w:val="22"/>
        </w:rPr>
        <w:t>užsi</w:t>
      </w:r>
      <w:r w:rsidR="00996111" w:rsidRPr="00D166EA">
        <w:rPr>
          <w:szCs w:val="22"/>
        </w:rPr>
        <w:t>krėtusių lėtine hepatito B infekcija, parametrai išgėrus vieną 1</w:t>
      </w:r>
      <w:r w:rsidR="00171B93">
        <w:rPr>
          <w:szCs w:val="22"/>
        </w:rPr>
        <w:t> </w:t>
      </w:r>
      <w:r w:rsidR="00996111" w:rsidRPr="00D166EA">
        <w:rPr>
          <w:szCs w:val="22"/>
        </w:rPr>
        <w:t>mg dozę pateik</w:t>
      </w:r>
      <w:r w:rsidRPr="00D166EA">
        <w:rPr>
          <w:szCs w:val="22"/>
        </w:rPr>
        <w:t>ti</w:t>
      </w:r>
      <w:r w:rsidR="00996111" w:rsidRPr="00D166EA">
        <w:rPr>
          <w:szCs w:val="22"/>
        </w:rPr>
        <w:t xml:space="preserve"> </w:t>
      </w:r>
      <w:r w:rsidRPr="00D166EA">
        <w:rPr>
          <w:szCs w:val="22"/>
        </w:rPr>
        <w:t xml:space="preserve">toliau esančioje </w:t>
      </w:r>
      <w:r w:rsidR="00996111" w:rsidRPr="00D166EA">
        <w:rPr>
          <w:szCs w:val="22"/>
        </w:rPr>
        <w:t>lentelėje:</w:t>
      </w:r>
    </w:p>
    <w:p w14:paraId="0A042337" w14:textId="77777777" w:rsidR="00BD1D39" w:rsidRPr="00D166EA" w:rsidRDefault="00BD1D39" w:rsidP="00024C83">
      <w:pPr>
        <w:widowControl w:val="0"/>
        <w:autoSpaceDE w:val="0"/>
        <w:autoSpaceDN w:val="0"/>
        <w:adjustRightInd w:val="0"/>
        <w:rPr>
          <w:rFonts w:eastAsia="MS Mincho"/>
          <w:szCs w:val="22"/>
        </w:rPr>
      </w:pPr>
    </w:p>
    <w:p w14:paraId="5BC79C64" w14:textId="77777777" w:rsidR="00BD1D39" w:rsidRPr="00D166EA" w:rsidRDefault="00D93C05" w:rsidP="00BD1D39">
      <w:pPr>
        <w:widowControl w:val="0"/>
        <w:autoSpaceDE w:val="0"/>
        <w:autoSpaceDN w:val="0"/>
        <w:adjustRightInd w:val="0"/>
        <w:jc w:val="center"/>
        <w:rPr>
          <w:rFonts w:eastAsia="MS Mincho"/>
          <w:szCs w:val="22"/>
        </w:rPr>
      </w:pPr>
      <w:r w:rsidRPr="00D166EA">
        <w:rPr>
          <w:b/>
          <w:szCs w:val="22"/>
        </w:rPr>
        <w:t>Inkstų funkcija</w:t>
      </w:r>
      <w:r w:rsidRPr="00D166EA">
        <w:rPr>
          <w:b/>
          <w:bCs/>
          <w:position w:val="-1"/>
          <w:szCs w:val="22"/>
        </w:rPr>
        <w:t xml:space="preserve"> prieš gydymo pradžią (k</w:t>
      </w:r>
      <w:r w:rsidR="00BD1D39" w:rsidRPr="00D166EA">
        <w:rPr>
          <w:b/>
          <w:bCs/>
          <w:position w:val="-1"/>
          <w:szCs w:val="22"/>
        </w:rPr>
        <w:t xml:space="preserve">reatinino klirensas </w:t>
      </w:r>
      <w:r w:rsidRPr="00D166EA">
        <w:rPr>
          <w:b/>
          <w:bCs/>
          <w:position w:val="-1"/>
          <w:szCs w:val="22"/>
        </w:rPr>
        <w:t>[</w:t>
      </w:r>
      <w:r w:rsidR="00BD1D39" w:rsidRPr="00D166EA">
        <w:rPr>
          <w:b/>
          <w:bCs/>
          <w:position w:val="-1"/>
          <w:szCs w:val="22"/>
        </w:rPr>
        <w:t>ml/min</w:t>
      </w:r>
      <w:r w:rsidRPr="00D166EA">
        <w:rPr>
          <w:b/>
          <w:bCs/>
          <w:position w:val="-1"/>
          <w:szCs w:val="22"/>
        </w:rPr>
        <w:t>])</w:t>
      </w:r>
      <w:r w:rsidR="00BD1D39" w:rsidRPr="00D166EA">
        <w:rPr>
          <w:b/>
          <w:bCs/>
          <w:position w:val="-1"/>
          <w:szCs w:val="22"/>
        </w:rPr>
        <w:t xml:space="preserve"> </w:t>
      </w:r>
    </w:p>
    <w:tbl>
      <w:tblPr>
        <w:tblW w:w="9250" w:type="dxa"/>
        <w:tblInd w:w="110" w:type="dxa"/>
        <w:tblLayout w:type="fixed"/>
        <w:tblCellMar>
          <w:left w:w="0" w:type="dxa"/>
          <w:right w:w="0" w:type="dxa"/>
        </w:tblCellMar>
        <w:tblLook w:val="01E0" w:firstRow="1" w:lastRow="1" w:firstColumn="1" w:lastColumn="1" w:noHBand="0" w:noVBand="0"/>
      </w:tblPr>
      <w:tblGrid>
        <w:gridCol w:w="1510"/>
        <w:gridCol w:w="1080"/>
        <w:gridCol w:w="1260"/>
        <w:gridCol w:w="1440"/>
        <w:gridCol w:w="1260"/>
        <w:gridCol w:w="1440"/>
        <w:gridCol w:w="1260"/>
      </w:tblGrid>
      <w:tr w:rsidR="00C54AAD" w:rsidRPr="00D166EA" w14:paraId="4DA7B833" w14:textId="77777777" w:rsidTr="00C54AAD">
        <w:trPr>
          <w:trHeight w:val="873"/>
        </w:trPr>
        <w:tc>
          <w:tcPr>
            <w:tcW w:w="1510" w:type="dxa"/>
            <w:vMerge w:val="restart"/>
            <w:tcBorders>
              <w:top w:val="nil"/>
              <w:left w:val="nil"/>
              <w:right w:val="nil"/>
            </w:tcBorders>
          </w:tcPr>
          <w:p w14:paraId="13C79700" w14:textId="77777777" w:rsidR="00BD1D39" w:rsidRPr="00D166EA" w:rsidRDefault="00BD1D39" w:rsidP="00C54AAD">
            <w:pPr>
              <w:rPr>
                <w:b/>
                <w:szCs w:val="22"/>
              </w:rPr>
            </w:pPr>
          </w:p>
        </w:tc>
        <w:tc>
          <w:tcPr>
            <w:tcW w:w="1080" w:type="dxa"/>
            <w:tcBorders>
              <w:top w:val="nil"/>
              <w:left w:val="nil"/>
              <w:bottom w:val="nil"/>
              <w:right w:val="nil"/>
            </w:tcBorders>
          </w:tcPr>
          <w:p w14:paraId="6AF89957" w14:textId="77777777" w:rsidR="00BD1D39" w:rsidRPr="00D166EA" w:rsidRDefault="00BD1D39" w:rsidP="00C54AAD">
            <w:pPr>
              <w:spacing w:before="39"/>
              <w:jc w:val="center"/>
              <w:rPr>
                <w:szCs w:val="22"/>
              </w:rPr>
            </w:pPr>
            <w:r w:rsidRPr="00D166EA">
              <w:rPr>
                <w:b/>
                <w:bCs/>
                <w:w w:val="103"/>
                <w:szCs w:val="22"/>
              </w:rPr>
              <w:t>Normali</w:t>
            </w:r>
          </w:p>
          <w:p w14:paraId="5E1F7D3D" w14:textId="77777777" w:rsidR="00BD1D39" w:rsidRPr="00D166EA" w:rsidRDefault="00BD1D39" w:rsidP="00171B93">
            <w:pPr>
              <w:spacing w:before="7"/>
              <w:jc w:val="center"/>
              <w:rPr>
                <w:szCs w:val="22"/>
              </w:rPr>
            </w:pPr>
            <w:r w:rsidRPr="00D166EA">
              <w:rPr>
                <w:szCs w:val="22"/>
              </w:rPr>
              <w:t>&gt;</w:t>
            </w:r>
            <w:r w:rsidR="00171B93">
              <w:rPr>
                <w:szCs w:val="22"/>
              </w:rPr>
              <w:t> </w:t>
            </w:r>
            <w:r w:rsidRPr="00D166EA">
              <w:rPr>
                <w:w w:val="103"/>
                <w:szCs w:val="22"/>
              </w:rPr>
              <w:t>80</w:t>
            </w:r>
          </w:p>
        </w:tc>
        <w:tc>
          <w:tcPr>
            <w:tcW w:w="1260" w:type="dxa"/>
            <w:tcBorders>
              <w:top w:val="nil"/>
              <w:left w:val="nil"/>
              <w:bottom w:val="nil"/>
              <w:right w:val="nil"/>
            </w:tcBorders>
          </w:tcPr>
          <w:p w14:paraId="791476E1" w14:textId="77777777" w:rsidR="00BD1D39" w:rsidRPr="00D166EA" w:rsidRDefault="00BD1D39" w:rsidP="00C54AAD">
            <w:pPr>
              <w:spacing w:before="39"/>
              <w:jc w:val="center"/>
              <w:rPr>
                <w:szCs w:val="22"/>
              </w:rPr>
            </w:pPr>
            <w:r w:rsidRPr="00D166EA">
              <w:rPr>
                <w:b/>
                <w:bCs/>
                <w:w w:val="103"/>
                <w:szCs w:val="22"/>
              </w:rPr>
              <w:t>Lengvai sutrikusi</w:t>
            </w:r>
          </w:p>
          <w:p w14:paraId="2121A142" w14:textId="77777777" w:rsidR="00BD1D39" w:rsidRPr="00D166EA" w:rsidRDefault="00BD1D39" w:rsidP="00C54AAD">
            <w:pPr>
              <w:spacing w:before="7"/>
              <w:jc w:val="center"/>
              <w:rPr>
                <w:szCs w:val="22"/>
              </w:rPr>
            </w:pPr>
            <w:r w:rsidRPr="00D166EA">
              <w:rPr>
                <w:szCs w:val="22"/>
              </w:rPr>
              <w:t>&gt;</w:t>
            </w:r>
            <w:r w:rsidR="00171B93">
              <w:rPr>
                <w:szCs w:val="22"/>
              </w:rPr>
              <w:t> </w:t>
            </w:r>
            <w:r w:rsidRPr="00D166EA">
              <w:rPr>
                <w:spacing w:val="1"/>
                <w:w w:val="103"/>
                <w:szCs w:val="22"/>
              </w:rPr>
              <w:t>5</w:t>
            </w:r>
            <w:r w:rsidRPr="00D166EA">
              <w:rPr>
                <w:w w:val="103"/>
                <w:szCs w:val="22"/>
              </w:rPr>
              <w:t>0;</w:t>
            </w:r>
          </w:p>
          <w:p w14:paraId="22341CD9" w14:textId="77777777" w:rsidR="00BD1D39" w:rsidRPr="00D166EA" w:rsidRDefault="00BD1D39" w:rsidP="00171B93">
            <w:pPr>
              <w:spacing w:before="7"/>
              <w:jc w:val="center"/>
              <w:rPr>
                <w:szCs w:val="22"/>
              </w:rPr>
            </w:pPr>
            <w:r w:rsidRPr="00D166EA">
              <w:rPr>
                <w:szCs w:val="22"/>
              </w:rPr>
              <w:t>≤</w:t>
            </w:r>
            <w:r w:rsidR="00171B93">
              <w:rPr>
                <w:szCs w:val="22"/>
              </w:rPr>
              <w:t> </w:t>
            </w:r>
            <w:r w:rsidRPr="00D166EA">
              <w:rPr>
                <w:spacing w:val="1"/>
                <w:w w:val="103"/>
                <w:szCs w:val="22"/>
              </w:rPr>
              <w:t>80</w:t>
            </w:r>
          </w:p>
        </w:tc>
        <w:tc>
          <w:tcPr>
            <w:tcW w:w="1440" w:type="dxa"/>
            <w:tcBorders>
              <w:top w:val="nil"/>
              <w:left w:val="nil"/>
              <w:bottom w:val="nil"/>
              <w:right w:val="nil"/>
            </w:tcBorders>
          </w:tcPr>
          <w:p w14:paraId="44436954" w14:textId="77777777" w:rsidR="00BD1D39" w:rsidRPr="00D166EA" w:rsidRDefault="00BD1D39" w:rsidP="00C54AAD">
            <w:pPr>
              <w:spacing w:before="39"/>
              <w:jc w:val="center"/>
              <w:rPr>
                <w:szCs w:val="22"/>
              </w:rPr>
            </w:pPr>
            <w:r w:rsidRPr="00D166EA">
              <w:rPr>
                <w:b/>
                <w:bCs/>
                <w:w w:val="103"/>
                <w:szCs w:val="22"/>
              </w:rPr>
              <w:t>Vidutiniškai sutrikusi</w:t>
            </w:r>
          </w:p>
          <w:p w14:paraId="692C93B4" w14:textId="77777777" w:rsidR="00BD1D39" w:rsidRPr="00D166EA" w:rsidRDefault="00BD1D39" w:rsidP="00C54AAD">
            <w:pPr>
              <w:spacing w:before="7"/>
              <w:jc w:val="center"/>
              <w:rPr>
                <w:szCs w:val="22"/>
              </w:rPr>
            </w:pPr>
            <w:r w:rsidRPr="00D166EA">
              <w:rPr>
                <w:w w:val="103"/>
                <w:szCs w:val="22"/>
              </w:rPr>
              <w:t>30-50</w:t>
            </w:r>
          </w:p>
        </w:tc>
        <w:tc>
          <w:tcPr>
            <w:tcW w:w="1260" w:type="dxa"/>
            <w:tcBorders>
              <w:top w:val="nil"/>
              <w:left w:val="nil"/>
              <w:bottom w:val="nil"/>
              <w:right w:val="nil"/>
            </w:tcBorders>
          </w:tcPr>
          <w:p w14:paraId="6E2B5893" w14:textId="77777777" w:rsidR="00BD1D39" w:rsidRPr="00D166EA" w:rsidRDefault="00BD1D39" w:rsidP="00C54AAD">
            <w:pPr>
              <w:spacing w:before="39"/>
              <w:jc w:val="center"/>
              <w:rPr>
                <w:szCs w:val="22"/>
              </w:rPr>
            </w:pPr>
            <w:r w:rsidRPr="00D166EA">
              <w:rPr>
                <w:b/>
                <w:bCs/>
                <w:spacing w:val="1"/>
                <w:w w:val="103"/>
                <w:szCs w:val="22"/>
              </w:rPr>
              <w:t>Labai sutrikusi</w:t>
            </w:r>
          </w:p>
          <w:p w14:paraId="0FF1E6BB" w14:textId="77777777" w:rsidR="00BD1D39" w:rsidRPr="00D166EA" w:rsidRDefault="00BD1D39" w:rsidP="00171B93">
            <w:pPr>
              <w:spacing w:before="7"/>
              <w:jc w:val="center"/>
              <w:rPr>
                <w:szCs w:val="22"/>
              </w:rPr>
            </w:pPr>
            <w:r w:rsidRPr="00D166EA">
              <w:rPr>
                <w:w w:val="103"/>
                <w:szCs w:val="22"/>
              </w:rPr>
              <w:t>20</w:t>
            </w:r>
            <w:r w:rsidR="00C54AAD" w:rsidRPr="00D166EA">
              <w:rPr>
                <w:w w:val="103"/>
                <w:szCs w:val="22"/>
              </w:rPr>
              <w:t xml:space="preserve"> </w:t>
            </w:r>
            <w:r w:rsidRPr="00D166EA">
              <w:rPr>
                <w:w w:val="103"/>
                <w:szCs w:val="22"/>
              </w:rPr>
              <w:t>-</w:t>
            </w:r>
            <w:r w:rsidR="00C54AAD" w:rsidRPr="00D166EA">
              <w:rPr>
                <w:w w:val="103"/>
                <w:szCs w:val="22"/>
              </w:rPr>
              <w:t xml:space="preserve"> </w:t>
            </w:r>
            <w:r w:rsidRPr="00D166EA">
              <w:rPr>
                <w:szCs w:val="22"/>
              </w:rPr>
              <w:t>&lt;</w:t>
            </w:r>
            <w:r w:rsidR="00171B93">
              <w:rPr>
                <w:szCs w:val="22"/>
              </w:rPr>
              <w:t> </w:t>
            </w:r>
            <w:r w:rsidRPr="00D166EA">
              <w:rPr>
                <w:spacing w:val="1"/>
                <w:w w:val="103"/>
                <w:szCs w:val="22"/>
              </w:rPr>
              <w:t>3</w:t>
            </w:r>
            <w:r w:rsidRPr="00D166EA">
              <w:rPr>
                <w:w w:val="103"/>
                <w:szCs w:val="22"/>
              </w:rPr>
              <w:t>0</w:t>
            </w:r>
          </w:p>
        </w:tc>
        <w:tc>
          <w:tcPr>
            <w:tcW w:w="1440" w:type="dxa"/>
            <w:tcBorders>
              <w:top w:val="nil"/>
              <w:left w:val="nil"/>
              <w:bottom w:val="nil"/>
              <w:right w:val="nil"/>
            </w:tcBorders>
          </w:tcPr>
          <w:p w14:paraId="4E2D59FE" w14:textId="77777777" w:rsidR="00BD1D39" w:rsidRPr="00D166EA" w:rsidRDefault="00BD1D39" w:rsidP="00C54AAD">
            <w:pPr>
              <w:spacing w:before="39" w:line="248" w:lineRule="auto"/>
              <w:jc w:val="center"/>
              <w:rPr>
                <w:szCs w:val="22"/>
              </w:rPr>
            </w:pPr>
            <w:r w:rsidRPr="00D166EA">
              <w:rPr>
                <w:b/>
                <w:bCs/>
                <w:w w:val="103"/>
                <w:szCs w:val="22"/>
              </w:rPr>
              <w:t>Labai sutrikusi, gydoma hemodia</w:t>
            </w:r>
            <w:r w:rsidR="00C54AAD" w:rsidRPr="00D166EA">
              <w:rPr>
                <w:b/>
                <w:bCs/>
                <w:w w:val="103"/>
                <w:szCs w:val="22"/>
              </w:rPr>
              <w:t>-</w:t>
            </w:r>
            <w:r w:rsidRPr="00D166EA">
              <w:rPr>
                <w:b/>
                <w:bCs/>
                <w:w w:val="103"/>
                <w:szCs w:val="22"/>
              </w:rPr>
              <w:t>lizėmis</w:t>
            </w:r>
          </w:p>
        </w:tc>
        <w:tc>
          <w:tcPr>
            <w:tcW w:w="1260" w:type="dxa"/>
            <w:tcBorders>
              <w:top w:val="nil"/>
              <w:left w:val="nil"/>
              <w:bottom w:val="nil"/>
              <w:right w:val="nil"/>
            </w:tcBorders>
          </w:tcPr>
          <w:p w14:paraId="3CE238BE" w14:textId="77777777" w:rsidR="00BD1D39" w:rsidRPr="00D166EA" w:rsidRDefault="00BD1D39" w:rsidP="00C54AAD">
            <w:pPr>
              <w:spacing w:before="39" w:line="248" w:lineRule="auto"/>
              <w:ind w:firstLine="2"/>
              <w:jc w:val="center"/>
              <w:rPr>
                <w:szCs w:val="22"/>
              </w:rPr>
            </w:pPr>
            <w:r w:rsidRPr="00D166EA">
              <w:rPr>
                <w:b/>
                <w:bCs/>
                <w:w w:val="103"/>
                <w:szCs w:val="22"/>
              </w:rPr>
              <w:t>Labai sutrikusi, gydoma CAPD</w:t>
            </w:r>
            <w:r w:rsidRPr="00D166EA">
              <w:rPr>
                <w:b/>
                <w:bCs/>
                <w:spacing w:val="13"/>
                <w:szCs w:val="22"/>
              </w:rPr>
              <w:t xml:space="preserve"> </w:t>
            </w:r>
          </w:p>
        </w:tc>
      </w:tr>
      <w:tr w:rsidR="00C54AAD" w:rsidRPr="00D166EA" w14:paraId="083FB61C" w14:textId="77777777" w:rsidTr="00C54AAD">
        <w:trPr>
          <w:trHeight w:hRule="exact" w:val="356"/>
        </w:trPr>
        <w:tc>
          <w:tcPr>
            <w:tcW w:w="1510" w:type="dxa"/>
            <w:vMerge/>
            <w:tcBorders>
              <w:left w:val="nil"/>
              <w:bottom w:val="single" w:sz="4" w:space="0" w:color="000000"/>
              <w:right w:val="nil"/>
            </w:tcBorders>
          </w:tcPr>
          <w:p w14:paraId="36525AF0" w14:textId="77777777" w:rsidR="00BD1D39" w:rsidRPr="00D166EA" w:rsidRDefault="00BD1D39" w:rsidP="00C54AAD">
            <w:pPr>
              <w:rPr>
                <w:szCs w:val="22"/>
              </w:rPr>
            </w:pPr>
          </w:p>
        </w:tc>
        <w:tc>
          <w:tcPr>
            <w:tcW w:w="1080" w:type="dxa"/>
            <w:tcBorders>
              <w:top w:val="nil"/>
              <w:left w:val="nil"/>
              <w:bottom w:val="single" w:sz="4" w:space="0" w:color="000000"/>
              <w:right w:val="nil"/>
            </w:tcBorders>
          </w:tcPr>
          <w:p w14:paraId="10777DEF" w14:textId="77777777" w:rsidR="00BD1D39" w:rsidRPr="00D166EA" w:rsidRDefault="00BD1D39" w:rsidP="00C54AAD">
            <w:pPr>
              <w:spacing w:before="3" w:line="110" w:lineRule="exact"/>
              <w:rPr>
                <w:szCs w:val="22"/>
              </w:rPr>
            </w:pPr>
          </w:p>
          <w:p w14:paraId="5326FE02" w14:textId="77777777" w:rsidR="00BD1D39" w:rsidRPr="00D166EA" w:rsidRDefault="00BD1D39" w:rsidP="00171B93">
            <w:pPr>
              <w:ind w:left="422" w:right="-20"/>
              <w:rPr>
                <w:szCs w:val="22"/>
              </w:rPr>
            </w:pPr>
            <w:r w:rsidRPr="00D166EA">
              <w:rPr>
                <w:szCs w:val="22"/>
              </w:rPr>
              <w:t>(n</w:t>
            </w:r>
            <w:r w:rsidR="00171B93">
              <w:rPr>
                <w:szCs w:val="22"/>
              </w:rPr>
              <w:t> </w:t>
            </w:r>
            <w:r w:rsidRPr="00D166EA">
              <w:rPr>
                <w:szCs w:val="22"/>
              </w:rPr>
              <w:t>=</w:t>
            </w:r>
            <w:r w:rsidR="00171B93">
              <w:rPr>
                <w:szCs w:val="22"/>
              </w:rPr>
              <w:t> </w:t>
            </w:r>
            <w:r w:rsidRPr="00D166EA">
              <w:rPr>
                <w:spacing w:val="-1"/>
                <w:w w:val="103"/>
                <w:szCs w:val="22"/>
              </w:rPr>
              <w:t>6</w:t>
            </w:r>
            <w:r w:rsidRPr="00D166EA">
              <w:rPr>
                <w:w w:val="103"/>
                <w:szCs w:val="22"/>
              </w:rPr>
              <w:t>)</w:t>
            </w:r>
          </w:p>
        </w:tc>
        <w:tc>
          <w:tcPr>
            <w:tcW w:w="1260" w:type="dxa"/>
            <w:tcBorders>
              <w:top w:val="nil"/>
              <w:left w:val="nil"/>
              <w:bottom w:val="single" w:sz="4" w:space="0" w:color="000000"/>
              <w:right w:val="nil"/>
            </w:tcBorders>
          </w:tcPr>
          <w:p w14:paraId="19EB77CF" w14:textId="77777777" w:rsidR="00BD1D39" w:rsidRPr="00D166EA" w:rsidRDefault="00BD1D39" w:rsidP="00C54AAD">
            <w:pPr>
              <w:spacing w:before="3" w:line="110" w:lineRule="exact"/>
              <w:rPr>
                <w:szCs w:val="22"/>
              </w:rPr>
            </w:pPr>
          </w:p>
          <w:p w14:paraId="795FF4F2" w14:textId="77777777" w:rsidR="00BD1D39" w:rsidRPr="00D166EA" w:rsidRDefault="00BD1D39" w:rsidP="00171B93">
            <w:pPr>
              <w:ind w:left="161" w:right="-20"/>
              <w:rPr>
                <w:szCs w:val="22"/>
              </w:rPr>
            </w:pPr>
            <w:r w:rsidRPr="00D166EA">
              <w:rPr>
                <w:szCs w:val="22"/>
              </w:rPr>
              <w:t>(n</w:t>
            </w:r>
            <w:r w:rsidR="00171B93">
              <w:rPr>
                <w:szCs w:val="22"/>
              </w:rPr>
              <w:t> </w:t>
            </w:r>
            <w:r w:rsidRPr="00D166EA">
              <w:rPr>
                <w:szCs w:val="22"/>
              </w:rPr>
              <w:t>=</w:t>
            </w:r>
            <w:r w:rsidR="00171B93">
              <w:rPr>
                <w:szCs w:val="22"/>
              </w:rPr>
              <w:t> </w:t>
            </w:r>
            <w:r w:rsidRPr="00D166EA">
              <w:rPr>
                <w:w w:val="103"/>
                <w:szCs w:val="22"/>
              </w:rPr>
              <w:t>6)</w:t>
            </w:r>
          </w:p>
        </w:tc>
        <w:tc>
          <w:tcPr>
            <w:tcW w:w="1440" w:type="dxa"/>
            <w:tcBorders>
              <w:top w:val="nil"/>
              <w:left w:val="nil"/>
              <w:bottom w:val="single" w:sz="4" w:space="0" w:color="000000"/>
              <w:right w:val="nil"/>
            </w:tcBorders>
          </w:tcPr>
          <w:p w14:paraId="7144E351" w14:textId="77777777" w:rsidR="00BD1D39" w:rsidRPr="00D166EA" w:rsidRDefault="00BD1D39" w:rsidP="00C54AAD">
            <w:pPr>
              <w:spacing w:before="3" w:line="110" w:lineRule="exact"/>
              <w:rPr>
                <w:szCs w:val="22"/>
              </w:rPr>
            </w:pPr>
          </w:p>
          <w:p w14:paraId="7AD1A0EB" w14:textId="77777777" w:rsidR="00BD1D39" w:rsidRPr="00D166EA" w:rsidRDefault="00BD1D39" w:rsidP="00171B93">
            <w:pPr>
              <w:ind w:left="310" w:right="-20"/>
              <w:rPr>
                <w:szCs w:val="22"/>
              </w:rPr>
            </w:pPr>
            <w:r w:rsidRPr="00D166EA">
              <w:rPr>
                <w:szCs w:val="22"/>
              </w:rPr>
              <w:t>(n</w:t>
            </w:r>
            <w:r w:rsidR="00171B93">
              <w:rPr>
                <w:szCs w:val="22"/>
              </w:rPr>
              <w:t> </w:t>
            </w:r>
            <w:r w:rsidRPr="00D166EA">
              <w:rPr>
                <w:szCs w:val="22"/>
              </w:rPr>
              <w:t>=</w:t>
            </w:r>
            <w:r w:rsidR="00171B93">
              <w:rPr>
                <w:szCs w:val="22"/>
              </w:rPr>
              <w:t> </w:t>
            </w:r>
            <w:r w:rsidRPr="00D166EA">
              <w:rPr>
                <w:w w:val="103"/>
                <w:szCs w:val="22"/>
              </w:rPr>
              <w:t>6)</w:t>
            </w:r>
          </w:p>
        </w:tc>
        <w:tc>
          <w:tcPr>
            <w:tcW w:w="1260" w:type="dxa"/>
            <w:tcBorders>
              <w:top w:val="nil"/>
              <w:left w:val="nil"/>
              <w:bottom w:val="single" w:sz="4" w:space="0" w:color="000000"/>
              <w:right w:val="nil"/>
            </w:tcBorders>
          </w:tcPr>
          <w:p w14:paraId="5717595F" w14:textId="77777777" w:rsidR="00BD1D39" w:rsidRPr="00D166EA" w:rsidRDefault="00BD1D39" w:rsidP="00C54AAD">
            <w:pPr>
              <w:spacing w:before="3" w:line="110" w:lineRule="exact"/>
              <w:rPr>
                <w:szCs w:val="22"/>
              </w:rPr>
            </w:pPr>
          </w:p>
          <w:p w14:paraId="35CC710C" w14:textId="77777777" w:rsidR="00BD1D39" w:rsidRPr="00D166EA" w:rsidRDefault="00BD1D39" w:rsidP="00171B93">
            <w:pPr>
              <w:ind w:left="140" w:right="-20"/>
              <w:rPr>
                <w:szCs w:val="22"/>
              </w:rPr>
            </w:pPr>
            <w:r w:rsidRPr="00D166EA">
              <w:rPr>
                <w:szCs w:val="22"/>
              </w:rPr>
              <w:t>(n</w:t>
            </w:r>
            <w:r w:rsidR="00171B93">
              <w:rPr>
                <w:szCs w:val="22"/>
              </w:rPr>
              <w:t> </w:t>
            </w:r>
            <w:r w:rsidRPr="00D166EA">
              <w:rPr>
                <w:szCs w:val="22"/>
              </w:rPr>
              <w:t>=</w:t>
            </w:r>
            <w:r w:rsidR="00171B93">
              <w:rPr>
                <w:szCs w:val="22"/>
              </w:rPr>
              <w:t> </w:t>
            </w:r>
            <w:r w:rsidRPr="00D166EA">
              <w:rPr>
                <w:w w:val="103"/>
                <w:szCs w:val="22"/>
              </w:rPr>
              <w:t>6)</w:t>
            </w:r>
          </w:p>
        </w:tc>
        <w:tc>
          <w:tcPr>
            <w:tcW w:w="1440" w:type="dxa"/>
            <w:tcBorders>
              <w:top w:val="nil"/>
              <w:left w:val="nil"/>
              <w:bottom w:val="single" w:sz="4" w:space="0" w:color="000000"/>
              <w:right w:val="nil"/>
            </w:tcBorders>
          </w:tcPr>
          <w:p w14:paraId="7F19A389" w14:textId="77777777" w:rsidR="00BD1D39" w:rsidRPr="00D166EA" w:rsidRDefault="00BD1D39" w:rsidP="00C54AAD">
            <w:pPr>
              <w:spacing w:before="3" w:line="110" w:lineRule="exact"/>
              <w:rPr>
                <w:szCs w:val="22"/>
              </w:rPr>
            </w:pPr>
          </w:p>
          <w:p w14:paraId="15A3B83B" w14:textId="77777777" w:rsidR="00BD1D39" w:rsidRPr="00D166EA" w:rsidRDefault="00BD1D39" w:rsidP="00171B93">
            <w:pPr>
              <w:ind w:left="488" w:right="-20"/>
              <w:rPr>
                <w:szCs w:val="22"/>
              </w:rPr>
            </w:pPr>
            <w:r w:rsidRPr="00D166EA">
              <w:rPr>
                <w:szCs w:val="22"/>
              </w:rPr>
              <w:t>(n</w:t>
            </w:r>
            <w:r w:rsidR="00171B93">
              <w:rPr>
                <w:szCs w:val="22"/>
              </w:rPr>
              <w:t> </w:t>
            </w:r>
            <w:r w:rsidRPr="00D166EA">
              <w:rPr>
                <w:szCs w:val="22"/>
              </w:rPr>
              <w:t>=</w:t>
            </w:r>
            <w:r w:rsidR="00171B93">
              <w:rPr>
                <w:szCs w:val="22"/>
              </w:rPr>
              <w:t> </w:t>
            </w:r>
            <w:r w:rsidRPr="00D166EA">
              <w:rPr>
                <w:w w:val="103"/>
                <w:szCs w:val="22"/>
              </w:rPr>
              <w:t>6)</w:t>
            </w:r>
          </w:p>
        </w:tc>
        <w:tc>
          <w:tcPr>
            <w:tcW w:w="1260" w:type="dxa"/>
            <w:tcBorders>
              <w:top w:val="nil"/>
              <w:left w:val="nil"/>
              <w:bottom w:val="single" w:sz="4" w:space="0" w:color="000000"/>
              <w:right w:val="nil"/>
            </w:tcBorders>
          </w:tcPr>
          <w:p w14:paraId="44DF73D8" w14:textId="77777777" w:rsidR="00BD1D39" w:rsidRPr="00D166EA" w:rsidRDefault="00BD1D39" w:rsidP="00C54AAD">
            <w:pPr>
              <w:spacing w:before="3" w:line="110" w:lineRule="exact"/>
              <w:rPr>
                <w:szCs w:val="22"/>
              </w:rPr>
            </w:pPr>
          </w:p>
          <w:p w14:paraId="4B6BF917" w14:textId="77777777" w:rsidR="00BD1D39" w:rsidRPr="00D166EA" w:rsidRDefault="00BD1D39" w:rsidP="00171B93">
            <w:pPr>
              <w:ind w:left="349" w:right="-20"/>
              <w:rPr>
                <w:szCs w:val="22"/>
              </w:rPr>
            </w:pPr>
            <w:r w:rsidRPr="00D166EA">
              <w:rPr>
                <w:szCs w:val="22"/>
              </w:rPr>
              <w:t>(n</w:t>
            </w:r>
            <w:r w:rsidR="00171B93">
              <w:rPr>
                <w:szCs w:val="22"/>
              </w:rPr>
              <w:t> </w:t>
            </w:r>
            <w:r w:rsidRPr="00D166EA">
              <w:rPr>
                <w:szCs w:val="22"/>
              </w:rPr>
              <w:t>=</w:t>
            </w:r>
            <w:r w:rsidR="00171B93">
              <w:rPr>
                <w:szCs w:val="22"/>
              </w:rPr>
              <w:t> </w:t>
            </w:r>
            <w:r w:rsidRPr="00D166EA">
              <w:rPr>
                <w:spacing w:val="-1"/>
                <w:w w:val="103"/>
                <w:szCs w:val="22"/>
              </w:rPr>
              <w:t>4</w:t>
            </w:r>
            <w:r w:rsidRPr="00D166EA">
              <w:rPr>
                <w:w w:val="103"/>
                <w:szCs w:val="22"/>
              </w:rPr>
              <w:t>)</w:t>
            </w:r>
          </w:p>
        </w:tc>
      </w:tr>
      <w:tr w:rsidR="00C54AAD" w:rsidRPr="00D166EA" w14:paraId="0F24AABD" w14:textId="77777777" w:rsidTr="00C54AAD">
        <w:trPr>
          <w:trHeight w:val="20"/>
        </w:trPr>
        <w:tc>
          <w:tcPr>
            <w:tcW w:w="1510" w:type="dxa"/>
            <w:tcBorders>
              <w:top w:val="single" w:sz="4" w:space="0" w:color="000000"/>
              <w:left w:val="nil"/>
              <w:bottom w:val="nil"/>
              <w:right w:val="nil"/>
            </w:tcBorders>
          </w:tcPr>
          <w:p w14:paraId="0F39FFFB" w14:textId="77777777" w:rsidR="00BD1D39" w:rsidRPr="00D166EA" w:rsidRDefault="00BD1D39" w:rsidP="00C54AAD">
            <w:pPr>
              <w:spacing w:before="4"/>
              <w:ind w:left="102" w:right="-20"/>
              <w:rPr>
                <w:szCs w:val="22"/>
              </w:rPr>
            </w:pPr>
            <w:r w:rsidRPr="00D166EA">
              <w:rPr>
                <w:spacing w:val="1"/>
                <w:szCs w:val="22"/>
              </w:rPr>
              <w:t>C</w:t>
            </w:r>
            <w:r w:rsidRPr="00B606B7">
              <w:rPr>
                <w:spacing w:val="1"/>
                <w:szCs w:val="22"/>
                <w:vertAlign w:val="subscript"/>
              </w:rPr>
              <w:t>max</w:t>
            </w:r>
            <w:r w:rsidRPr="00D166EA">
              <w:rPr>
                <w:spacing w:val="24"/>
                <w:position w:val="-3"/>
                <w:szCs w:val="22"/>
              </w:rPr>
              <w:t xml:space="preserve"> </w:t>
            </w:r>
            <w:r w:rsidRPr="00D166EA">
              <w:rPr>
                <w:spacing w:val="2"/>
                <w:w w:val="103"/>
                <w:szCs w:val="22"/>
              </w:rPr>
              <w:t>(</w:t>
            </w:r>
            <w:r w:rsidRPr="00D166EA">
              <w:rPr>
                <w:spacing w:val="-1"/>
                <w:w w:val="103"/>
                <w:szCs w:val="22"/>
              </w:rPr>
              <w:t>n</w:t>
            </w:r>
            <w:r w:rsidRPr="00D166EA">
              <w:rPr>
                <w:w w:val="103"/>
                <w:szCs w:val="22"/>
              </w:rPr>
              <w:t>g</w:t>
            </w:r>
            <w:r w:rsidRPr="00D166EA">
              <w:rPr>
                <w:spacing w:val="3"/>
                <w:w w:val="103"/>
                <w:szCs w:val="22"/>
              </w:rPr>
              <w:t>/</w:t>
            </w:r>
            <w:r w:rsidRPr="00D166EA">
              <w:rPr>
                <w:spacing w:val="-2"/>
                <w:w w:val="103"/>
                <w:szCs w:val="22"/>
              </w:rPr>
              <w:t>m</w:t>
            </w:r>
            <w:r w:rsidRPr="00D166EA">
              <w:rPr>
                <w:w w:val="103"/>
                <w:szCs w:val="22"/>
              </w:rPr>
              <w:t>l)</w:t>
            </w:r>
          </w:p>
        </w:tc>
        <w:tc>
          <w:tcPr>
            <w:tcW w:w="1080" w:type="dxa"/>
            <w:tcBorders>
              <w:top w:val="single" w:sz="4" w:space="0" w:color="000000"/>
              <w:left w:val="nil"/>
              <w:bottom w:val="nil"/>
              <w:right w:val="nil"/>
            </w:tcBorders>
          </w:tcPr>
          <w:p w14:paraId="3F1DEF50" w14:textId="77777777" w:rsidR="00BD1D39" w:rsidRPr="00D166EA" w:rsidRDefault="00BD1D39" w:rsidP="00171B93">
            <w:pPr>
              <w:tabs>
                <w:tab w:val="left" w:pos="0"/>
              </w:tabs>
              <w:spacing w:before="4"/>
              <w:jc w:val="center"/>
              <w:rPr>
                <w:szCs w:val="22"/>
              </w:rPr>
            </w:pPr>
            <w:r w:rsidRPr="00D166EA">
              <w:rPr>
                <w:w w:val="103"/>
                <w:szCs w:val="22"/>
              </w:rPr>
              <w:t>8</w:t>
            </w:r>
            <w:r w:rsidR="00171B93">
              <w:rPr>
                <w:w w:val="103"/>
                <w:szCs w:val="22"/>
              </w:rPr>
              <w:t>,</w:t>
            </w:r>
            <w:r w:rsidRPr="00D166EA">
              <w:rPr>
                <w:w w:val="103"/>
                <w:szCs w:val="22"/>
              </w:rPr>
              <w:t>1</w:t>
            </w:r>
          </w:p>
        </w:tc>
        <w:tc>
          <w:tcPr>
            <w:tcW w:w="1260" w:type="dxa"/>
            <w:tcBorders>
              <w:top w:val="single" w:sz="4" w:space="0" w:color="000000"/>
              <w:left w:val="nil"/>
              <w:bottom w:val="nil"/>
              <w:right w:val="nil"/>
            </w:tcBorders>
          </w:tcPr>
          <w:p w14:paraId="7A72B390" w14:textId="77777777" w:rsidR="00BD1D39" w:rsidRPr="00D166EA" w:rsidRDefault="00BD1D39" w:rsidP="00171B93">
            <w:pPr>
              <w:spacing w:before="4"/>
              <w:ind w:left="262" w:right="-20"/>
              <w:rPr>
                <w:szCs w:val="22"/>
              </w:rPr>
            </w:pPr>
            <w:r w:rsidRPr="00D166EA">
              <w:rPr>
                <w:w w:val="103"/>
                <w:szCs w:val="22"/>
              </w:rPr>
              <w:t>10</w:t>
            </w:r>
            <w:r w:rsidR="00171B93">
              <w:rPr>
                <w:spacing w:val="1"/>
                <w:w w:val="103"/>
                <w:szCs w:val="22"/>
              </w:rPr>
              <w:t>,</w:t>
            </w:r>
            <w:r w:rsidRPr="00D166EA">
              <w:rPr>
                <w:w w:val="103"/>
                <w:szCs w:val="22"/>
              </w:rPr>
              <w:t>4</w:t>
            </w:r>
          </w:p>
        </w:tc>
        <w:tc>
          <w:tcPr>
            <w:tcW w:w="1440" w:type="dxa"/>
            <w:tcBorders>
              <w:top w:val="single" w:sz="4" w:space="0" w:color="000000"/>
              <w:left w:val="nil"/>
              <w:bottom w:val="nil"/>
              <w:right w:val="nil"/>
            </w:tcBorders>
          </w:tcPr>
          <w:p w14:paraId="1D5FA3E9" w14:textId="77777777" w:rsidR="00BD1D39" w:rsidRPr="00D166EA" w:rsidRDefault="00BD1D39" w:rsidP="00171B93">
            <w:pPr>
              <w:spacing w:before="4"/>
              <w:ind w:left="411" w:right="-20"/>
              <w:rPr>
                <w:szCs w:val="22"/>
              </w:rPr>
            </w:pPr>
            <w:r w:rsidRPr="00D166EA">
              <w:rPr>
                <w:w w:val="103"/>
                <w:szCs w:val="22"/>
              </w:rPr>
              <w:t>1</w:t>
            </w:r>
            <w:r w:rsidRPr="00D166EA">
              <w:rPr>
                <w:spacing w:val="-1"/>
                <w:w w:val="103"/>
                <w:szCs w:val="22"/>
              </w:rPr>
              <w:t>0</w:t>
            </w:r>
            <w:r w:rsidR="00171B93">
              <w:rPr>
                <w:spacing w:val="2"/>
                <w:w w:val="103"/>
                <w:szCs w:val="22"/>
              </w:rPr>
              <w:t>,</w:t>
            </w:r>
            <w:r w:rsidRPr="00D166EA">
              <w:rPr>
                <w:w w:val="103"/>
                <w:szCs w:val="22"/>
              </w:rPr>
              <w:t>5</w:t>
            </w:r>
          </w:p>
        </w:tc>
        <w:tc>
          <w:tcPr>
            <w:tcW w:w="1260" w:type="dxa"/>
            <w:tcBorders>
              <w:top w:val="single" w:sz="4" w:space="0" w:color="000000"/>
              <w:left w:val="nil"/>
              <w:bottom w:val="nil"/>
              <w:right w:val="nil"/>
            </w:tcBorders>
          </w:tcPr>
          <w:p w14:paraId="791FDA36" w14:textId="77777777" w:rsidR="00BD1D39" w:rsidRPr="00D166EA" w:rsidRDefault="00BD1D39" w:rsidP="00171B93">
            <w:pPr>
              <w:spacing w:before="4"/>
              <w:ind w:left="242" w:right="-20"/>
              <w:rPr>
                <w:szCs w:val="22"/>
              </w:rPr>
            </w:pPr>
            <w:r w:rsidRPr="00D166EA">
              <w:rPr>
                <w:spacing w:val="-1"/>
                <w:w w:val="103"/>
                <w:szCs w:val="22"/>
              </w:rPr>
              <w:t>1</w:t>
            </w:r>
            <w:r w:rsidRPr="00D166EA">
              <w:rPr>
                <w:w w:val="103"/>
                <w:szCs w:val="22"/>
              </w:rPr>
              <w:t>5</w:t>
            </w:r>
            <w:r w:rsidR="00171B93">
              <w:rPr>
                <w:spacing w:val="1"/>
                <w:w w:val="103"/>
                <w:szCs w:val="22"/>
              </w:rPr>
              <w:t>,</w:t>
            </w:r>
            <w:r w:rsidRPr="00D166EA">
              <w:rPr>
                <w:w w:val="103"/>
                <w:szCs w:val="22"/>
              </w:rPr>
              <w:t>3</w:t>
            </w:r>
          </w:p>
        </w:tc>
        <w:tc>
          <w:tcPr>
            <w:tcW w:w="1440" w:type="dxa"/>
            <w:tcBorders>
              <w:top w:val="single" w:sz="4" w:space="0" w:color="000000"/>
              <w:left w:val="nil"/>
              <w:bottom w:val="nil"/>
              <w:right w:val="nil"/>
            </w:tcBorders>
          </w:tcPr>
          <w:p w14:paraId="56034F23" w14:textId="77777777" w:rsidR="00BD1D39" w:rsidRPr="00D166EA" w:rsidRDefault="00BD1D39" w:rsidP="00171B93">
            <w:pPr>
              <w:spacing w:before="4"/>
              <w:ind w:left="553" w:right="529"/>
              <w:jc w:val="center"/>
              <w:rPr>
                <w:szCs w:val="22"/>
              </w:rPr>
            </w:pPr>
            <w:r w:rsidRPr="00D166EA">
              <w:rPr>
                <w:w w:val="103"/>
                <w:szCs w:val="22"/>
              </w:rPr>
              <w:t>15</w:t>
            </w:r>
            <w:r w:rsidR="00171B93">
              <w:rPr>
                <w:spacing w:val="1"/>
                <w:w w:val="103"/>
                <w:szCs w:val="22"/>
              </w:rPr>
              <w:t>,</w:t>
            </w:r>
            <w:r w:rsidRPr="00D166EA">
              <w:rPr>
                <w:w w:val="103"/>
                <w:szCs w:val="22"/>
              </w:rPr>
              <w:t>4</w:t>
            </w:r>
          </w:p>
        </w:tc>
        <w:tc>
          <w:tcPr>
            <w:tcW w:w="1260" w:type="dxa"/>
            <w:tcBorders>
              <w:top w:val="single" w:sz="4" w:space="0" w:color="000000"/>
              <w:left w:val="nil"/>
              <w:bottom w:val="nil"/>
              <w:right w:val="nil"/>
            </w:tcBorders>
          </w:tcPr>
          <w:p w14:paraId="57FFE5ED" w14:textId="77777777" w:rsidR="00BD1D39" w:rsidRPr="00D166EA" w:rsidRDefault="00BD1D39" w:rsidP="00171B93">
            <w:pPr>
              <w:spacing w:before="4"/>
              <w:ind w:left="413" w:right="384"/>
              <w:jc w:val="center"/>
              <w:rPr>
                <w:szCs w:val="22"/>
              </w:rPr>
            </w:pPr>
            <w:r w:rsidRPr="00D166EA">
              <w:rPr>
                <w:w w:val="103"/>
                <w:szCs w:val="22"/>
              </w:rPr>
              <w:t>1</w:t>
            </w:r>
            <w:r w:rsidRPr="00D166EA">
              <w:rPr>
                <w:spacing w:val="-1"/>
                <w:w w:val="103"/>
                <w:szCs w:val="22"/>
              </w:rPr>
              <w:t>6</w:t>
            </w:r>
            <w:r w:rsidR="00171B93">
              <w:rPr>
                <w:spacing w:val="2"/>
                <w:w w:val="103"/>
                <w:szCs w:val="22"/>
              </w:rPr>
              <w:t>,</w:t>
            </w:r>
            <w:r w:rsidRPr="00D166EA">
              <w:rPr>
                <w:w w:val="103"/>
                <w:szCs w:val="22"/>
              </w:rPr>
              <w:t>6</w:t>
            </w:r>
          </w:p>
        </w:tc>
      </w:tr>
      <w:tr w:rsidR="00C54AAD" w:rsidRPr="00D166EA" w14:paraId="5CB4305B" w14:textId="77777777" w:rsidTr="00C54AAD">
        <w:trPr>
          <w:trHeight w:val="20"/>
        </w:trPr>
        <w:tc>
          <w:tcPr>
            <w:tcW w:w="1510" w:type="dxa"/>
            <w:tcBorders>
              <w:top w:val="nil"/>
              <w:left w:val="nil"/>
              <w:bottom w:val="nil"/>
              <w:right w:val="nil"/>
            </w:tcBorders>
          </w:tcPr>
          <w:p w14:paraId="0CB6CEE2" w14:textId="77777777" w:rsidR="00BD1D39" w:rsidRPr="00D166EA" w:rsidRDefault="00BD1D39" w:rsidP="00C54AAD">
            <w:pPr>
              <w:spacing w:line="218" w:lineRule="exact"/>
              <w:jc w:val="center"/>
              <w:rPr>
                <w:szCs w:val="22"/>
              </w:rPr>
            </w:pPr>
            <w:r w:rsidRPr="00D166EA">
              <w:rPr>
                <w:spacing w:val="1"/>
                <w:w w:val="103"/>
                <w:szCs w:val="22"/>
              </w:rPr>
              <w:t>(</w:t>
            </w:r>
            <w:r w:rsidR="00C54AAD" w:rsidRPr="00D166EA">
              <w:rPr>
                <w:spacing w:val="-1"/>
                <w:w w:val="103"/>
                <w:szCs w:val="22"/>
              </w:rPr>
              <w:t>variacijos koeficientas</w:t>
            </w:r>
            <w:r w:rsidR="00BD35CE">
              <w:rPr>
                <w:spacing w:val="-1"/>
                <w:w w:val="103"/>
                <w:szCs w:val="22"/>
              </w:rPr>
              <w:t xml:space="preserve"> </w:t>
            </w:r>
            <w:r w:rsidRPr="00D166EA">
              <w:rPr>
                <w:spacing w:val="-1"/>
                <w:w w:val="103"/>
                <w:szCs w:val="22"/>
              </w:rPr>
              <w:t>%</w:t>
            </w:r>
            <w:r w:rsidRPr="00D166EA">
              <w:rPr>
                <w:w w:val="103"/>
                <w:szCs w:val="22"/>
              </w:rPr>
              <w:t>)</w:t>
            </w:r>
          </w:p>
        </w:tc>
        <w:tc>
          <w:tcPr>
            <w:tcW w:w="1080" w:type="dxa"/>
            <w:tcBorders>
              <w:top w:val="nil"/>
              <w:left w:val="nil"/>
              <w:bottom w:val="nil"/>
              <w:right w:val="nil"/>
            </w:tcBorders>
          </w:tcPr>
          <w:p w14:paraId="5C2B6CBF" w14:textId="77777777" w:rsidR="00BD1D39" w:rsidRPr="00D166EA" w:rsidRDefault="00BD1D39" w:rsidP="00171B93">
            <w:pPr>
              <w:spacing w:line="218" w:lineRule="exact"/>
              <w:jc w:val="center"/>
              <w:rPr>
                <w:szCs w:val="22"/>
              </w:rPr>
            </w:pPr>
            <w:r w:rsidRPr="00D166EA">
              <w:rPr>
                <w:spacing w:val="-1"/>
                <w:w w:val="103"/>
                <w:szCs w:val="22"/>
              </w:rPr>
              <w:t>(30</w:t>
            </w:r>
            <w:r w:rsidR="00171B93">
              <w:rPr>
                <w:spacing w:val="1"/>
                <w:w w:val="103"/>
                <w:szCs w:val="22"/>
              </w:rPr>
              <w:t>,</w:t>
            </w:r>
            <w:r w:rsidRPr="00D166EA">
              <w:rPr>
                <w:spacing w:val="-1"/>
                <w:w w:val="103"/>
                <w:szCs w:val="22"/>
              </w:rPr>
              <w:t>7)</w:t>
            </w:r>
          </w:p>
        </w:tc>
        <w:tc>
          <w:tcPr>
            <w:tcW w:w="1260" w:type="dxa"/>
            <w:tcBorders>
              <w:top w:val="nil"/>
              <w:left w:val="nil"/>
              <w:bottom w:val="nil"/>
              <w:right w:val="nil"/>
            </w:tcBorders>
          </w:tcPr>
          <w:p w14:paraId="08F7C185" w14:textId="77777777" w:rsidR="00BD1D39" w:rsidRPr="00D166EA" w:rsidRDefault="00BD1D39" w:rsidP="00171B93">
            <w:pPr>
              <w:spacing w:line="218" w:lineRule="exact"/>
              <w:jc w:val="center"/>
              <w:rPr>
                <w:szCs w:val="22"/>
              </w:rPr>
            </w:pPr>
            <w:r w:rsidRPr="00D166EA">
              <w:rPr>
                <w:w w:val="103"/>
                <w:szCs w:val="22"/>
              </w:rPr>
              <w:t>(37</w:t>
            </w:r>
            <w:r w:rsidR="00171B93">
              <w:rPr>
                <w:spacing w:val="1"/>
                <w:w w:val="103"/>
                <w:szCs w:val="22"/>
              </w:rPr>
              <w:t>,</w:t>
            </w:r>
            <w:r w:rsidRPr="00D166EA">
              <w:rPr>
                <w:spacing w:val="-1"/>
                <w:w w:val="103"/>
                <w:szCs w:val="22"/>
              </w:rPr>
              <w:t>2</w:t>
            </w:r>
            <w:r w:rsidRPr="00D166EA">
              <w:rPr>
                <w:w w:val="103"/>
                <w:szCs w:val="22"/>
              </w:rPr>
              <w:t>)</w:t>
            </w:r>
          </w:p>
        </w:tc>
        <w:tc>
          <w:tcPr>
            <w:tcW w:w="1440" w:type="dxa"/>
            <w:tcBorders>
              <w:top w:val="nil"/>
              <w:left w:val="nil"/>
              <w:bottom w:val="nil"/>
              <w:right w:val="nil"/>
            </w:tcBorders>
          </w:tcPr>
          <w:p w14:paraId="23C7AE89" w14:textId="77777777" w:rsidR="00BD1D39" w:rsidRPr="00D166EA" w:rsidRDefault="00BD1D39" w:rsidP="00171B93">
            <w:pPr>
              <w:spacing w:line="218" w:lineRule="exact"/>
              <w:jc w:val="center"/>
              <w:rPr>
                <w:szCs w:val="22"/>
              </w:rPr>
            </w:pPr>
            <w:r w:rsidRPr="00D166EA">
              <w:rPr>
                <w:spacing w:val="-1"/>
                <w:w w:val="103"/>
                <w:szCs w:val="22"/>
              </w:rPr>
              <w:t>(</w:t>
            </w:r>
            <w:r w:rsidRPr="00D166EA">
              <w:rPr>
                <w:w w:val="103"/>
                <w:szCs w:val="22"/>
              </w:rPr>
              <w:t>2</w:t>
            </w:r>
            <w:r w:rsidRPr="00D166EA">
              <w:rPr>
                <w:spacing w:val="-1"/>
                <w:w w:val="103"/>
                <w:szCs w:val="22"/>
              </w:rPr>
              <w:t>2</w:t>
            </w:r>
            <w:r w:rsidR="00171B93">
              <w:rPr>
                <w:spacing w:val="2"/>
                <w:w w:val="103"/>
                <w:szCs w:val="22"/>
              </w:rPr>
              <w:t>,</w:t>
            </w:r>
            <w:r w:rsidRPr="00D166EA">
              <w:rPr>
                <w:spacing w:val="-1"/>
                <w:w w:val="103"/>
                <w:szCs w:val="22"/>
              </w:rPr>
              <w:t>7)</w:t>
            </w:r>
          </w:p>
        </w:tc>
        <w:tc>
          <w:tcPr>
            <w:tcW w:w="1260" w:type="dxa"/>
            <w:tcBorders>
              <w:top w:val="nil"/>
              <w:left w:val="nil"/>
              <w:bottom w:val="nil"/>
              <w:right w:val="nil"/>
            </w:tcBorders>
          </w:tcPr>
          <w:p w14:paraId="3E7F7F7B" w14:textId="77777777" w:rsidR="00BD1D39" w:rsidRPr="00D166EA" w:rsidRDefault="00BD1D39" w:rsidP="00171B93">
            <w:pPr>
              <w:spacing w:line="218" w:lineRule="exact"/>
              <w:jc w:val="center"/>
              <w:rPr>
                <w:szCs w:val="22"/>
              </w:rPr>
            </w:pPr>
            <w:r w:rsidRPr="00D166EA">
              <w:rPr>
                <w:w w:val="103"/>
                <w:szCs w:val="22"/>
              </w:rPr>
              <w:t>(</w:t>
            </w:r>
            <w:r w:rsidRPr="00D166EA">
              <w:rPr>
                <w:spacing w:val="-1"/>
                <w:w w:val="103"/>
                <w:szCs w:val="22"/>
              </w:rPr>
              <w:t>3</w:t>
            </w:r>
            <w:r w:rsidRPr="00D166EA">
              <w:rPr>
                <w:w w:val="103"/>
                <w:szCs w:val="22"/>
              </w:rPr>
              <w:t>3</w:t>
            </w:r>
            <w:r w:rsidR="00171B93">
              <w:rPr>
                <w:spacing w:val="1"/>
                <w:w w:val="103"/>
                <w:szCs w:val="22"/>
              </w:rPr>
              <w:t>,</w:t>
            </w:r>
            <w:r w:rsidRPr="00D166EA">
              <w:rPr>
                <w:w w:val="103"/>
                <w:szCs w:val="22"/>
              </w:rPr>
              <w:t>8)</w:t>
            </w:r>
          </w:p>
        </w:tc>
        <w:tc>
          <w:tcPr>
            <w:tcW w:w="1440" w:type="dxa"/>
            <w:tcBorders>
              <w:top w:val="nil"/>
              <w:left w:val="nil"/>
              <w:bottom w:val="nil"/>
              <w:right w:val="nil"/>
            </w:tcBorders>
          </w:tcPr>
          <w:p w14:paraId="3C4A76FD" w14:textId="77777777" w:rsidR="00BD1D39" w:rsidRPr="00D166EA" w:rsidRDefault="00BD1D39" w:rsidP="00171B93">
            <w:pPr>
              <w:spacing w:line="218" w:lineRule="exact"/>
              <w:jc w:val="center"/>
              <w:rPr>
                <w:szCs w:val="22"/>
              </w:rPr>
            </w:pPr>
            <w:r w:rsidRPr="00D166EA">
              <w:rPr>
                <w:w w:val="103"/>
                <w:szCs w:val="22"/>
              </w:rPr>
              <w:t>(56</w:t>
            </w:r>
            <w:r w:rsidR="00171B93">
              <w:rPr>
                <w:spacing w:val="1"/>
                <w:w w:val="103"/>
                <w:szCs w:val="22"/>
              </w:rPr>
              <w:t>,</w:t>
            </w:r>
            <w:r w:rsidRPr="00D166EA">
              <w:rPr>
                <w:spacing w:val="-1"/>
                <w:w w:val="103"/>
                <w:szCs w:val="22"/>
              </w:rPr>
              <w:t>4</w:t>
            </w:r>
            <w:r w:rsidRPr="00D166EA">
              <w:rPr>
                <w:w w:val="103"/>
                <w:szCs w:val="22"/>
              </w:rPr>
              <w:t>)</w:t>
            </w:r>
          </w:p>
        </w:tc>
        <w:tc>
          <w:tcPr>
            <w:tcW w:w="1260" w:type="dxa"/>
            <w:tcBorders>
              <w:top w:val="nil"/>
              <w:left w:val="nil"/>
              <w:bottom w:val="nil"/>
              <w:right w:val="nil"/>
            </w:tcBorders>
          </w:tcPr>
          <w:p w14:paraId="0FC39191" w14:textId="77777777" w:rsidR="00BD1D39" w:rsidRPr="00D166EA" w:rsidRDefault="00BD1D39" w:rsidP="00171B93">
            <w:pPr>
              <w:spacing w:line="218" w:lineRule="exact"/>
              <w:jc w:val="center"/>
              <w:rPr>
                <w:szCs w:val="22"/>
              </w:rPr>
            </w:pPr>
            <w:r w:rsidRPr="00D166EA">
              <w:rPr>
                <w:spacing w:val="-1"/>
                <w:w w:val="103"/>
                <w:szCs w:val="22"/>
              </w:rPr>
              <w:t>(</w:t>
            </w:r>
            <w:r w:rsidRPr="00D166EA">
              <w:rPr>
                <w:w w:val="103"/>
                <w:szCs w:val="22"/>
              </w:rPr>
              <w:t>2</w:t>
            </w:r>
            <w:r w:rsidRPr="00D166EA">
              <w:rPr>
                <w:spacing w:val="-1"/>
                <w:w w:val="103"/>
                <w:szCs w:val="22"/>
              </w:rPr>
              <w:t>9</w:t>
            </w:r>
            <w:r w:rsidR="00171B93">
              <w:rPr>
                <w:spacing w:val="2"/>
                <w:w w:val="103"/>
                <w:szCs w:val="22"/>
              </w:rPr>
              <w:t>,</w:t>
            </w:r>
            <w:r w:rsidRPr="00D166EA">
              <w:rPr>
                <w:spacing w:val="-1"/>
                <w:w w:val="103"/>
                <w:szCs w:val="22"/>
              </w:rPr>
              <w:t>7)</w:t>
            </w:r>
          </w:p>
        </w:tc>
      </w:tr>
      <w:tr w:rsidR="00C54AAD" w:rsidRPr="00D166EA" w14:paraId="780D3193" w14:textId="77777777" w:rsidTr="00C54AAD">
        <w:trPr>
          <w:trHeight w:val="20"/>
        </w:trPr>
        <w:tc>
          <w:tcPr>
            <w:tcW w:w="1510" w:type="dxa"/>
            <w:tcBorders>
              <w:top w:val="nil"/>
              <w:left w:val="nil"/>
              <w:bottom w:val="nil"/>
              <w:right w:val="nil"/>
            </w:tcBorders>
          </w:tcPr>
          <w:p w14:paraId="07AFF43F" w14:textId="77777777" w:rsidR="00BD1D39" w:rsidRPr="00D166EA" w:rsidRDefault="00BD1D39" w:rsidP="00C54AAD">
            <w:pPr>
              <w:spacing w:before="2" w:line="160" w:lineRule="exact"/>
              <w:jc w:val="center"/>
              <w:rPr>
                <w:szCs w:val="22"/>
              </w:rPr>
            </w:pPr>
          </w:p>
          <w:p w14:paraId="0439B88E" w14:textId="77777777" w:rsidR="00BD1D39" w:rsidRPr="00D166EA" w:rsidRDefault="00BD1D39" w:rsidP="00C54AAD">
            <w:pPr>
              <w:jc w:val="center"/>
              <w:rPr>
                <w:szCs w:val="22"/>
              </w:rPr>
            </w:pPr>
            <w:r w:rsidRPr="00D166EA">
              <w:rPr>
                <w:w w:val="103"/>
                <w:position w:val="4"/>
                <w:szCs w:val="22"/>
              </w:rPr>
              <w:t>A</w:t>
            </w:r>
            <w:r w:rsidRPr="00D166EA">
              <w:rPr>
                <w:spacing w:val="1"/>
                <w:w w:val="103"/>
                <w:position w:val="4"/>
                <w:szCs w:val="22"/>
              </w:rPr>
              <w:t>U</w:t>
            </w:r>
            <w:r w:rsidRPr="00D166EA">
              <w:rPr>
                <w:spacing w:val="-1"/>
                <w:w w:val="103"/>
                <w:position w:val="4"/>
                <w:szCs w:val="22"/>
              </w:rPr>
              <w:t>C</w:t>
            </w:r>
            <w:r w:rsidRPr="00B606B7">
              <w:rPr>
                <w:spacing w:val="1"/>
                <w:szCs w:val="22"/>
                <w:vertAlign w:val="subscript"/>
              </w:rPr>
              <w:t>(0-T)</w:t>
            </w:r>
          </w:p>
        </w:tc>
        <w:tc>
          <w:tcPr>
            <w:tcW w:w="1080" w:type="dxa"/>
            <w:tcBorders>
              <w:top w:val="nil"/>
              <w:left w:val="nil"/>
              <w:bottom w:val="nil"/>
              <w:right w:val="nil"/>
            </w:tcBorders>
          </w:tcPr>
          <w:p w14:paraId="3569E4BF" w14:textId="77777777" w:rsidR="00BD1D39" w:rsidRPr="00D166EA" w:rsidRDefault="00BD1D39" w:rsidP="00C54AAD">
            <w:pPr>
              <w:spacing w:before="4" w:line="110" w:lineRule="exact"/>
              <w:jc w:val="center"/>
              <w:rPr>
                <w:szCs w:val="22"/>
              </w:rPr>
            </w:pPr>
          </w:p>
          <w:p w14:paraId="3A793FF7" w14:textId="77777777" w:rsidR="00BD1D39" w:rsidRPr="00D166EA" w:rsidRDefault="00BD1D39" w:rsidP="00171B93">
            <w:pPr>
              <w:jc w:val="center"/>
              <w:rPr>
                <w:szCs w:val="22"/>
              </w:rPr>
            </w:pPr>
            <w:r w:rsidRPr="00D166EA">
              <w:rPr>
                <w:w w:val="103"/>
                <w:szCs w:val="22"/>
              </w:rPr>
              <w:t>2</w:t>
            </w:r>
            <w:r w:rsidRPr="00D166EA">
              <w:rPr>
                <w:spacing w:val="-1"/>
                <w:w w:val="103"/>
                <w:szCs w:val="22"/>
              </w:rPr>
              <w:t>7</w:t>
            </w:r>
            <w:r w:rsidR="00171B93">
              <w:rPr>
                <w:spacing w:val="2"/>
                <w:w w:val="103"/>
                <w:szCs w:val="22"/>
              </w:rPr>
              <w:t>,</w:t>
            </w:r>
            <w:r w:rsidRPr="00D166EA">
              <w:rPr>
                <w:w w:val="103"/>
                <w:szCs w:val="22"/>
              </w:rPr>
              <w:t>9</w:t>
            </w:r>
          </w:p>
        </w:tc>
        <w:tc>
          <w:tcPr>
            <w:tcW w:w="1260" w:type="dxa"/>
            <w:tcBorders>
              <w:top w:val="nil"/>
              <w:left w:val="nil"/>
              <w:bottom w:val="nil"/>
              <w:right w:val="nil"/>
            </w:tcBorders>
          </w:tcPr>
          <w:p w14:paraId="5897B2A2" w14:textId="77777777" w:rsidR="00BD1D39" w:rsidRPr="00D166EA" w:rsidRDefault="00BD1D39" w:rsidP="00C54AAD">
            <w:pPr>
              <w:spacing w:before="4" w:line="110" w:lineRule="exact"/>
              <w:jc w:val="center"/>
              <w:rPr>
                <w:szCs w:val="22"/>
              </w:rPr>
            </w:pPr>
          </w:p>
          <w:p w14:paraId="4EACCAC4" w14:textId="77777777" w:rsidR="00BD1D39" w:rsidRPr="00D166EA" w:rsidRDefault="00BD1D39" w:rsidP="00171B93">
            <w:pPr>
              <w:jc w:val="center"/>
              <w:rPr>
                <w:szCs w:val="22"/>
              </w:rPr>
            </w:pPr>
            <w:r w:rsidRPr="00D166EA">
              <w:rPr>
                <w:w w:val="103"/>
                <w:szCs w:val="22"/>
              </w:rPr>
              <w:t>51</w:t>
            </w:r>
            <w:r w:rsidR="00171B93">
              <w:rPr>
                <w:spacing w:val="1"/>
                <w:w w:val="103"/>
                <w:szCs w:val="22"/>
              </w:rPr>
              <w:t>,</w:t>
            </w:r>
            <w:r w:rsidRPr="00D166EA">
              <w:rPr>
                <w:w w:val="103"/>
                <w:szCs w:val="22"/>
              </w:rPr>
              <w:t>5</w:t>
            </w:r>
          </w:p>
        </w:tc>
        <w:tc>
          <w:tcPr>
            <w:tcW w:w="1440" w:type="dxa"/>
            <w:tcBorders>
              <w:top w:val="nil"/>
              <w:left w:val="nil"/>
              <w:bottom w:val="nil"/>
              <w:right w:val="nil"/>
            </w:tcBorders>
          </w:tcPr>
          <w:p w14:paraId="55EB99D8" w14:textId="77777777" w:rsidR="00BD1D39" w:rsidRPr="00D166EA" w:rsidRDefault="00BD1D39" w:rsidP="00C54AAD">
            <w:pPr>
              <w:spacing w:before="4" w:line="110" w:lineRule="exact"/>
              <w:jc w:val="center"/>
              <w:rPr>
                <w:szCs w:val="22"/>
              </w:rPr>
            </w:pPr>
          </w:p>
          <w:p w14:paraId="4A79C8BD" w14:textId="77777777" w:rsidR="00BD1D39" w:rsidRPr="00D166EA" w:rsidRDefault="00BD1D39" w:rsidP="00171B93">
            <w:pPr>
              <w:jc w:val="center"/>
              <w:rPr>
                <w:szCs w:val="22"/>
              </w:rPr>
            </w:pPr>
            <w:r w:rsidRPr="00D166EA">
              <w:rPr>
                <w:w w:val="103"/>
                <w:szCs w:val="22"/>
              </w:rPr>
              <w:t>6</w:t>
            </w:r>
            <w:r w:rsidRPr="00D166EA">
              <w:rPr>
                <w:spacing w:val="-1"/>
                <w:w w:val="103"/>
                <w:szCs w:val="22"/>
              </w:rPr>
              <w:t>9</w:t>
            </w:r>
            <w:r w:rsidR="00171B93">
              <w:rPr>
                <w:spacing w:val="2"/>
                <w:w w:val="103"/>
                <w:szCs w:val="22"/>
              </w:rPr>
              <w:t>,</w:t>
            </w:r>
            <w:r w:rsidRPr="00D166EA">
              <w:rPr>
                <w:w w:val="103"/>
                <w:szCs w:val="22"/>
              </w:rPr>
              <w:t>5</w:t>
            </w:r>
          </w:p>
        </w:tc>
        <w:tc>
          <w:tcPr>
            <w:tcW w:w="1260" w:type="dxa"/>
            <w:tcBorders>
              <w:top w:val="nil"/>
              <w:left w:val="nil"/>
              <w:bottom w:val="nil"/>
              <w:right w:val="nil"/>
            </w:tcBorders>
          </w:tcPr>
          <w:p w14:paraId="3D16C943" w14:textId="77777777" w:rsidR="00BD1D39" w:rsidRPr="00D166EA" w:rsidRDefault="00BD1D39" w:rsidP="00C54AAD">
            <w:pPr>
              <w:spacing w:before="4" w:line="110" w:lineRule="exact"/>
              <w:jc w:val="center"/>
              <w:rPr>
                <w:szCs w:val="22"/>
              </w:rPr>
            </w:pPr>
          </w:p>
          <w:p w14:paraId="2E33D792" w14:textId="77777777" w:rsidR="00BD1D39" w:rsidRPr="00D166EA" w:rsidRDefault="00BD1D39" w:rsidP="00171B93">
            <w:pPr>
              <w:jc w:val="center"/>
              <w:rPr>
                <w:szCs w:val="22"/>
              </w:rPr>
            </w:pPr>
            <w:r w:rsidRPr="00D166EA">
              <w:rPr>
                <w:w w:val="103"/>
                <w:szCs w:val="22"/>
              </w:rPr>
              <w:t>1</w:t>
            </w:r>
            <w:r w:rsidRPr="00D166EA">
              <w:rPr>
                <w:spacing w:val="1"/>
                <w:w w:val="103"/>
                <w:szCs w:val="22"/>
              </w:rPr>
              <w:t>4</w:t>
            </w:r>
            <w:r w:rsidRPr="00D166EA">
              <w:rPr>
                <w:spacing w:val="-1"/>
                <w:w w:val="103"/>
                <w:szCs w:val="22"/>
              </w:rPr>
              <w:t>5</w:t>
            </w:r>
            <w:r w:rsidR="00171B93">
              <w:rPr>
                <w:w w:val="103"/>
                <w:szCs w:val="22"/>
              </w:rPr>
              <w:t>,</w:t>
            </w:r>
            <w:r w:rsidRPr="00D166EA">
              <w:rPr>
                <w:w w:val="103"/>
                <w:szCs w:val="22"/>
              </w:rPr>
              <w:t>7</w:t>
            </w:r>
          </w:p>
        </w:tc>
        <w:tc>
          <w:tcPr>
            <w:tcW w:w="1440" w:type="dxa"/>
            <w:tcBorders>
              <w:top w:val="nil"/>
              <w:left w:val="nil"/>
              <w:bottom w:val="nil"/>
              <w:right w:val="nil"/>
            </w:tcBorders>
          </w:tcPr>
          <w:p w14:paraId="15E1D9C7" w14:textId="77777777" w:rsidR="00BD1D39" w:rsidRPr="00D166EA" w:rsidRDefault="00BD1D39" w:rsidP="00C54AAD">
            <w:pPr>
              <w:spacing w:before="4" w:line="110" w:lineRule="exact"/>
              <w:jc w:val="center"/>
              <w:rPr>
                <w:szCs w:val="22"/>
              </w:rPr>
            </w:pPr>
          </w:p>
          <w:p w14:paraId="146C63B0" w14:textId="77777777" w:rsidR="00BD1D39" w:rsidRPr="00D166EA" w:rsidRDefault="00BD1D39" w:rsidP="00171B93">
            <w:pPr>
              <w:jc w:val="center"/>
              <w:rPr>
                <w:szCs w:val="22"/>
              </w:rPr>
            </w:pPr>
            <w:r w:rsidRPr="00D166EA">
              <w:rPr>
                <w:w w:val="103"/>
                <w:szCs w:val="22"/>
              </w:rPr>
              <w:t>233</w:t>
            </w:r>
            <w:r w:rsidR="00171B93">
              <w:rPr>
                <w:w w:val="103"/>
                <w:szCs w:val="22"/>
              </w:rPr>
              <w:t>,</w:t>
            </w:r>
            <w:r w:rsidRPr="00D166EA">
              <w:rPr>
                <w:w w:val="103"/>
                <w:szCs w:val="22"/>
              </w:rPr>
              <w:t>9</w:t>
            </w:r>
          </w:p>
        </w:tc>
        <w:tc>
          <w:tcPr>
            <w:tcW w:w="1260" w:type="dxa"/>
            <w:tcBorders>
              <w:top w:val="nil"/>
              <w:left w:val="nil"/>
              <w:bottom w:val="nil"/>
              <w:right w:val="nil"/>
            </w:tcBorders>
          </w:tcPr>
          <w:p w14:paraId="1D3919DA" w14:textId="77777777" w:rsidR="00BD1D39" w:rsidRPr="00D166EA" w:rsidRDefault="00BD1D39" w:rsidP="00C54AAD">
            <w:pPr>
              <w:spacing w:before="4" w:line="110" w:lineRule="exact"/>
              <w:jc w:val="center"/>
              <w:rPr>
                <w:szCs w:val="22"/>
              </w:rPr>
            </w:pPr>
          </w:p>
          <w:p w14:paraId="32A17B8A" w14:textId="77777777" w:rsidR="00BD1D39" w:rsidRPr="00D166EA" w:rsidRDefault="00BD1D39" w:rsidP="00171B93">
            <w:pPr>
              <w:jc w:val="center"/>
              <w:rPr>
                <w:szCs w:val="22"/>
              </w:rPr>
            </w:pPr>
            <w:r w:rsidRPr="00D166EA">
              <w:rPr>
                <w:spacing w:val="-1"/>
                <w:w w:val="103"/>
                <w:szCs w:val="22"/>
              </w:rPr>
              <w:t>2</w:t>
            </w:r>
            <w:r w:rsidRPr="00D166EA">
              <w:rPr>
                <w:spacing w:val="1"/>
                <w:w w:val="103"/>
                <w:szCs w:val="22"/>
              </w:rPr>
              <w:t>2</w:t>
            </w:r>
            <w:r w:rsidRPr="00D166EA">
              <w:rPr>
                <w:w w:val="103"/>
                <w:szCs w:val="22"/>
              </w:rPr>
              <w:t>1</w:t>
            </w:r>
            <w:r w:rsidR="00171B93">
              <w:rPr>
                <w:w w:val="103"/>
                <w:szCs w:val="22"/>
              </w:rPr>
              <w:t>,</w:t>
            </w:r>
            <w:r w:rsidRPr="00D166EA">
              <w:rPr>
                <w:w w:val="103"/>
                <w:szCs w:val="22"/>
              </w:rPr>
              <w:t>8</w:t>
            </w:r>
          </w:p>
        </w:tc>
      </w:tr>
      <w:tr w:rsidR="00C54AAD" w:rsidRPr="00D166EA" w14:paraId="70186110" w14:textId="77777777" w:rsidTr="00C54AAD">
        <w:trPr>
          <w:trHeight w:val="20"/>
        </w:trPr>
        <w:tc>
          <w:tcPr>
            <w:tcW w:w="1510" w:type="dxa"/>
            <w:tcBorders>
              <w:top w:val="nil"/>
              <w:left w:val="nil"/>
              <w:bottom w:val="nil"/>
              <w:right w:val="nil"/>
            </w:tcBorders>
          </w:tcPr>
          <w:p w14:paraId="2D33C971" w14:textId="77777777" w:rsidR="00BD1D39" w:rsidRPr="00D166EA" w:rsidRDefault="00BD1D39" w:rsidP="00C54AAD">
            <w:pPr>
              <w:spacing w:before="120" w:line="180" w:lineRule="exact"/>
              <w:jc w:val="center"/>
              <w:rPr>
                <w:szCs w:val="22"/>
              </w:rPr>
            </w:pPr>
            <w:r w:rsidRPr="00D166EA">
              <w:rPr>
                <w:position w:val="1"/>
                <w:szCs w:val="22"/>
              </w:rPr>
              <w:t>(</w:t>
            </w:r>
            <w:r w:rsidRPr="00D166EA">
              <w:rPr>
                <w:spacing w:val="-1"/>
                <w:position w:val="1"/>
                <w:szCs w:val="22"/>
              </w:rPr>
              <w:t>n</w:t>
            </w:r>
            <w:r w:rsidRPr="00D166EA">
              <w:rPr>
                <w:position w:val="1"/>
                <w:szCs w:val="22"/>
              </w:rPr>
              <w:t>g</w:t>
            </w:r>
            <w:r w:rsidR="00171B93">
              <w:rPr>
                <w:position w:val="1"/>
                <w:szCs w:val="22"/>
              </w:rPr>
              <w:t> </w:t>
            </w:r>
            <w:r w:rsidR="00C54AAD" w:rsidRPr="00D166EA">
              <w:rPr>
                <w:position w:val="1"/>
                <w:szCs w:val="22"/>
              </w:rPr>
              <w:t>val.</w:t>
            </w:r>
            <w:r w:rsidRPr="00D166EA">
              <w:rPr>
                <w:spacing w:val="1"/>
                <w:w w:val="103"/>
                <w:position w:val="1"/>
                <w:szCs w:val="22"/>
              </w:rPr>
              <w:t>/</w:t>
            </w:r>
            <w:r w:rsidRPr="00D166EA">
              <w:rPr>
                <w:spacing w:val="-1"/>
                <w:w w:val="103"/>
                <w:position w:val="1"/>
                <w:szCs w:val="22"/>
              </w:rPr>
              <w:t>m</w:t>
            </w:r>
            <w:r w:rsidRPr="00D166EA">
              <w:rPr>
                <w:w w:val="103"/>
                <w:position w:val="1"/>
                <w:szCs w:val="22"/>
              </w:rPr>
              <w:t>l)</w:t>
            </w:r>
          </w:p>
          <w:p w14:paraId="36C3C367" w14:textId="77777777" w:rsidR="00BD1D39" w:rsidRPr="00D166EA" w:rsidRDefault="00C54AAD" w:rsidP="00C54AAD">
            <w:pPr>
              <w:spacing w:before="9"/>
              <w:jc w:val="center"/>
              <w:rPr>
                <w:szCs w:val="22"/>
              </w:rPr>
            </w:pPr>
            <w:r w:rsidRPr="00D166EA">
              <w:rPr>
                <w:spacing w:val="1"/>
                <w:w w:val="103"/>
                <w:szCs w:val="22"/>
              </w:rPr>
              <w:t>(</w:t>
            </w:r>
            <w:r w:rsidRPr="00D166EA">
              <w:rPr>
                <w:spacing w:val="-1"/>
                <w:w w:val="103"/>
                <w:szCs w:val="22"/>
              </w:rPr>
              <w:t>variacijos koeficientas</w:t>
            </w:r>
            <w:r w:rsidR="00BD35CE">
              <w:rPr>
                <w:spacing w:val="-1"/>
                <w:w w:val="103"/>
                <w:szCs w:val="22"/>
              </w:rPr>
              <w:t xml:space="preserve"> </w:t>
            </w:r>
            <w:r w:rsidRPr="00D166EA">
              <w:rPr>
                <w:spacing w:val="-1"/>
                <w:w w:val="103"/>
                <w:szCs w:val="22"/>
              </w:rPr>
              <w:t>%</w:t>
            </w:r>
            <w:r w:rsidRPr="00D166EA">
              <w:rPr>
                <w:w w:val="103"/>
                <w:szCs w:val="22"/>
              </w:rPr>
              <w:t>)</w:t>
            </w:r>
          </w:p>
        </w:tc>
        <w:tc>
          <w:tcPr>
            <w:tcW w:w="1080" w:type="dxa"/>
            <w:tcBorders>
              <w:top w:val="nil"/>
              <w:left w:val="nil"/>
              <w:bottom w:val="nil"/>
              <w:right w:val="nil"/>
            </w:tcBorders>
          </w:tcPr>
          <w:p w14:paraId="0F2C079C" w14:textId="77777777" w:rsidR="00BD1D39" w:rsidRPr="00D166EA" w:rsidRDefault="00BD1D39" w:rsidP="00C54AAD">
            <w:pPr>
              <w:spacing w:before="4" w:line="110" w:lineRule="exact"/>
              <w:jc w:val="center"/>
              <w:rPr>
                <w:szCs w:val="22"/>
              </w:rPr>
            </w:pPr>
          </w:p>
          <w:p w14:paraId="272CA033" w14:textId="77777777" w:rsidR="00BD1D39" w:rsidRPr="00D166EA" w:rsidRDefault="00BD1D39" w:rsidP="00171B93">
            <w:pPr>
              <w:jc w:val="center"/>
              <w:rPr>
                <w:szCs w:val="22"/>
              </w:rPr>
            </w:pPr>
            <w:r w:rsidRPr="00D166EA">
              <w:rPr>
                <w:spacing w:val="-1"/>
                <w:w w:val="103"/>
                <w:szCs w:val="22"/>
              </w:rPr>
              <w:t>(25</w:t>
            </w:r>
            <w:r w:rsidR="00171B93">
              <w:rPr>
                <w:spacing w:val="1"/>
                <w:w w:val="103"/>
                <w:szCs w:val="22"/>
              </w:rPr>
              <w:t>,</w:t>
            </w:r>
            <w:r w:rsidRPr="00D166EA">
              <w:rPr>
                <w:spacing w:val="-1"/>
                <w:w w:val="103"/>
                <w:szCs w:val="22"/>
              </w:rPr>
              <w:t>6)</w:t>
            </w:r>
          </w:p>
        </w:tc>
        <w:tc>
          <w:tcPr>
            <w:tcW w:w="1260" w:type="dxa"/>
            <w:tcBorders>
              <w:top w:val="nil"/>
              <w:left w:val="nil"/>
              <w:bottom w:val="nil"/>
              <w:right w:val="nil"/>
            </w:tcBorders>
          </w:tcPr>
          <w:p w14:paraId="760A84AA" w14:textId="77777777" w:rsidR="00BD1D39" w:rsidRPr="00D166EA" w:rsidRDefault="00BD1D39" w:rsidP="00C54AAD">
            <w:pPr>
              <w:spacing w:before="4" w:line="110" w:lineRule="exact"/>
              <w:jc w:val="center"/>
              <w:rPr>
                <w:szCs w:val="22"/>
              </w:rPr>
            </w:pPr>
          </w:p>
          <w:p w14:paraId="0C905A2F" w14:textId="77777777" w:rsidR="00BD1D39" w:rsidRPr="00D166EA" w:rsidRDefault="00BD1D39" w:rsidP="00171B93">
            <w:pPr>
              <w:jc w:val="center"/>
              <w:rPr>
                <w:szCs w:val="22"/>
              </w:rPr>
            </w:pPr>
            <w:r w:rsidRPr="00D166EA">
              <w:rPr>
                <w:w w:val="103"/>
                <w:szCs w:val="22"/>
              </w:rPr>
              <w:t>(22</w:t>
            </w:r>
            <w:r w:rsidR="00171B93">
              <w:rPr>
                <w:spacing w:val="1"/>
                <w:w w:val="103"/>
                <w:szCs w:val="22"/>
              </w:rPr>
              <w:t>,</w:t>
            </w:r>
            <w:r w:rsidRPr="00D166EA">
              <w:rPr>
                <w:spacing w:val="-1"/>
                <w:w w:val="103"/>
                <w:szCs w:val="22"/>
              </w:rPr>
              <w:t>8</w:t>
            </w:r>
            <w:r w:rsidRPr="00D166EA">
              <w:rPr>
                <w:w w:val="103"/>
                <w:szCs w:val="22"/>
              </w:rPr>
              <w:t>)</w:t>
            </w:r>
          </w:p>
        </w:tc>
        <w:tc>
          <w:tcPr>
            <w:tcW w:w="1440" w:type="dxa"/>
            <w:tcBorders>
              <w:top w:val="nil"/>
              <w:left w:val="nil"/>
              <w:bottom w:val="nil"/>
              <w:right w:val="nil"/>
            </w:tcBorders>
          </w:tcPr>
          <w:p w14:paraId="18E06A42" w14:textId="77777777" w:rsidR="00BD1D39" w:rsidRPr="00D166EA" w:rsidRDefault="00BD1D39" w:rsidP="00C54AAD">
            <w:pPr>
              <w:spacing w:before="4" w:line="110" w:lineRule="exact"/>
              <w:jc w:val="center"/>
              <w:rPr>
                <w:szCs w:val="22"/>
              </w:rPr>
            </w:pPr>
          </w:p>
          <w:p w14:paraId="74592DC1" w14:textId="77777777" w:rsidR="00BD1D39" w:rsidRPr="00D166EA" w:rsidRDefault="00BD1D39" w:rsidP="00171B93">
            <w:pPr>
              <w:jc w:val="center"/>
              <w:rPr>
                <w:szCs w:val="22"/>
              </w:rPr>
            </w:pPr>
            <w:r w:rsidRPr="00D166EA">
              <w:rPr>
                <w:spacing w:val="-1"/>
                <w:w w:val="103"/>
                <w:szCs w:val="22"/>
              </w:rPr>
              <w:t>(</w:t>
            </w:r>
            <w:r w:rsidRPr="00D166EA">
              <w:rPr>
                <w:w w:val="103"/>
                <w:szCs w:val="22"/>
              </w:rPr>
              <w:t>2</w:t>
            </w:r>
            <w:r w:rsidRPr="00D166EA">
              <w:rPr>
                <w:spacing w:val="-1"/>
                <w:w w:val="103"/>
                <w:szCs w:val="22"/>
              </w:rPr>
              <w:t>2</w:t>
            </w:r>
            <w:r w:rsidR="00171B93">
              <w:rPr>
                <w:spacing w:val="2"/>
                <w:w w:val="103"/>
                <w:szCs w:val="22"/>
              </w:rPr>
              <w:t>,</w:t>
            </w:r>
            <w:r w:rsidRPr="00D166EA">
              <w:rPr>
                <w:spacing w:val="-1"/>
                <w:w w:val="103"/>
                <w:szCs w:val="22"/>
              </w:rPr>
              <w:t>7)</w:t>
            </w:r>
          </w:p>
        </w:tc>
        <w:tc>
          <w:tcPr>
            <w:tcW w:w="1260" w:type="dxa"/>
            <w:tcBorders>
              <w:top w:val="nil"/>
              <w:left w:val="nil"/>
              <w:bottom w:val="nil"/>
              <w:right w:val="nil"/>
            </w:tcBorders>
          </w:tcPr>
          <w:p w14:paraId="1C3D45C5" w14:textId="77777777" w:rsidR="00BD1D39" w:rsidRPr="00D166EA" w:rsidRDefault="00BD1D39" w:rsidP="00C54AAD">
            <w:pPr>
              <w:spacing w:before="4" w:line="110" w:lineRule="exact"/>
              <w:jc w:val="center"/>
              <w:rPr>
                <w:szCs w:val="22"/>
              </w:rPr>
            </w:pPr>
          </w:p>
          <w:p w14:paraId="75AA4565" w14:textId="77777777" w:rsidR="00BD1D39" w:rsidRPr="00D166EA" w:rsidRDefault="00BD1D39" w:rsidP="00171B93">
            <w:pPr>
              <w:jc w:val="center"/>
              <w:rPr>
                <w:szCs w:val="22"/>
              </w:rPr>
            </w:pPr>
            <w:r w:rsidRPr="00D166EA">
              <w:rPr>
                <w:w w:val="103"/>
                <w:szCs w:val="22"/>
              </w:rPr>
              <w:t>(</w:t>
            </w:r>
            <w:r w:rsidRPr="00D166EA">
              <w:rPr>
                <w:spacing w:val="-1"/>
                <w:w w:val="103"/>
                <w:szCs w:val="22"/>
              </w:rPr>
              <w:t>3</w:t>
            </w:r>
            <w:r w:rsidRPr="00D166EA">
              <w:rPr>
                <w:w w:val="103"/>
                <w:szCs w:val="22"/>
              </w:rPr>
              <w:t>1</w:t>
            </w:r>
            <w:r w:rsidR="00171B93">
              <w:rPr>
                <w:spacing w:val="1"/>
                <w:w w:val="103"/>
                <w:szCs w:val="22"/>
              </w:rPr>
              <w:t>,</w:t>
            </w:r>
            <w:r w:rsidRPr="00D166EA">
              <w:rPr>
                <w:w w:val="103"/>
                <w:szCs w:val="22"/>
              </w:rPr>
              <w:t>5)</w:t>
            </w:r>
          </w:p>
        </w:tc>
        <w:tc>
          <w:tcPr>
            <w:tcW w:w="1440" w:type="dxa"/>
            <w:tcBorders>
              <w:top w:val="nil"/>
              <w:left w:val="nil"/>
              <w:bottom w:val="nil"/>
              <w:right w:val="nil"/>
            </w:tcBorders>
          </w:tcPr>
          <w:p w14:paraId="203521B0" w14:textId="77777777" w:rsidR="00BD1D39" w:rsidRPr="00D166EA" w:rsidRDefault="00BD1D39" w:rsidP="00C54AAD">
            <w:pPr>
              <w:spacing w:before="4" w:line="110" w:lineRule="exact"/>
              <w:jc w:val="center"/>
              <w:rPr>
                <w:szCs w:val="22"/>
              </w:rPr>
            </w:pPr>
          </w:p>
          <w:p w14:paraId="315A294A" w14:textId="77777777" w:rsidR="00BD1D39" w:rsidRPr="00D166EA" w:rsidRDefault="00BD1D39" w:rsidP="00171B93">
            <w:pPr>
              <w:jc w:val="center"/>
              <w:rPr>
                <w:szCs w:val="22"/>
              </w:rPr>
            </w:pPr>
            <w:r w:rsidRPr="00D166EA">
              <w:rPr>
                <w:w w:val="103"/>
                <w:szCs w:val="22"/>
              </w:rPr>
              <w:t>(28</w:t>
            </w:r>
            <w:r w:rsidR="00171B93">
              <w:rPr>
                <w:spacing w:val="1"/>
                <w:w w:val="103"/>
                <w:szCs w:val="22"/>
              </w:rPr>
              <w:t>,</w:t>
            </w:r>
            <w:r w:rsidRPr="00D166EA">
              <w:rPr>
                <w:spacing w:val="-1"/>
                <w:w w:val="103"/>
                <w:szCs w:val="22"/>
              </w:rPr>
              <w:t>4</w:t>
            </w:r>
            <w:r w:rsidRPr="00D166EA">
              <w:rPr>
                <w:w w:val="103"/>
                <w:szCs w:val="22"/>
              </w:rPr>
              <w:t>)</w:t>
            </w:r>
          </w:p>
        </w:tc>
        <w:tc>
          <w:tcPr>
            <w:tcW w:w="1260" w:type="dxa"/>
            <w:tcBorders>
              <w:top w:val="nil"/>
              <w:left w:val="nil"/>
              <w:bottom w:val="nil"/>
              <w:right w:val="nil"/>
            </w:tcBorders>
          </w:tcPr>
          <w:p w14:paraId="6AEED93E" w14:textId="77777777" w:rsidR="00BD1D39" w:rsidRPr="00D166EA" w:rsidRDefault="00BD1D39" w:rsidP="00C54AAD">
            <w:pPr>
              <w:spacing w:before="4" w:line="110" w:lineRule="exact"/>
              <w:jc w:val="center"/>
              <w:rPr>
                <w:szCs w:val="22"/>
              </w:rPr>
            </w:pPr>
          </w:p>
          <w:p w14:paraId="681105CC" w14:textId="77777777" w:rsidR="00BD1D39" w:rsidRPr="00D166EA" w:rsidRDefault="00BD1D39" w:rsidP="00171B93">
            <w:pPr>
              <w:jc w:val="center"/>
              <w:rPr>
                <w:szCs w:val="22"/>
              </w:rPr>
            </w:pPr>
            <w:r w:rsidRPr="00D166EA">
              <w:rPr>
                <w:spacing w:val="-1"/>
                <w:w w:val="103"/>
                <w:szCs w:val="22"/>
              </w:rPr>
              <w:t>(</w:t>
            </w:r>
            <w:r w:rsidRPr="00D166EA">
              <w:rPr>
                <w:w w:val="103"/>
                <w:szCs w:val="22"/>
              </w:rPr>
              <w:t>1</w:t>
            </w:r>
            <w:r w:rsidRPr="00D166EA">
              <w:rPr>
                <w:spacing w:val="-1"/>
                <w:w w:val="103"/>
                <w:szCs w:val="22"/>
              </w:rPr>
              <w:t>1</w:t>
            </w:r>
            <w:r w:rsidR="00171B93">
              <w:rPr>
                <w:spacing w:val="2"/>
                <w:w w:val="103"/>
                <w:szCs w:val="22"/>
              </w:rPr>
              <w:t>,</w:t>
            </w:r>
            <w:r w:rsidRPr="00D166EA">
              <w:rPr>
                <w:spacing w:val="-1"/>
                <w:w w:val="103"/>
                <w:szCs w:val="22"/>
              </w:rPr>
              <w:t>6)</w:t>
            </w:r>
          </w:p>
        </w:tc>
      </w:tr>
      <w:tr w:rsidR="00C54AAD" w:rsidRPr="00D166EA" w14:paraId="596BA8F7" w14:textId="77777777" w:rsidTr="00C54AAD">
        <w:trPr>
          <w:trHeight w:val="20"/>
        </w:trPr>
        <w:tc>
          <w:tcPr>
            <w:tcW w:w="1510" w:type="dxa"/>
            <w:tcBorders>
              <w:top w:val="nil"/>
              <w:left w:val="nil"/>
              <w:bottom w:val="nil"/>
              <w:right w:val="nil"/>
            </w:tcBorders>
          </w:tcPr>
          <w:p w14:paraId="7250899D" w14:textId="77777777" w:rsidR="00BD1D39" w:rsidRPr="00D166EA" w:rsidRDefault="00BD1D39" w:rsidP="00C54AAD">
            <w:pPr>
              <w:spacing w:before="4" w:line="110" w:lineRule="exact"/>
              <w:jc w:val="center"/>
              <w:rPr>
                <w:szCs w:val="22"/>
              </w:rPr>
            </w:pPr>
          </w:p>
          <w:p w14:paraId="16BC2DF8" w14:textId="77777777" w:rsidR="00BD1D39" w:rsidRPr="00D166EA" w:rsidRDefault="00C54AAD" w:rsidP="00C54AAD">
            <w:pPr>
              <w:jc w:val="center"/>
              <w:rPr>
                <w:szCs w:val="22"/>
              </w:rPr>
            </w:pPr>
            <w:r w:rsidRPr="00D166EA">
              <w:rPr>
                <w:szCs w:val="22"/>
              </w:rPr>
              <w:t xml:space="preserve">Inkstų klirensas (ml/min) </w:t>
            </w:r>
          </w:p>
        </w:tc>
        <w:tc>
          <w:tcPr>
            <w:tcW w:w="1080" w:type="dxa"/>
            <w:tcBorders>
              <w:top w:val="nil"/>
              <w:left w:val="nil"/>
              <w:bottom w:val="nil"/>
              <w:right w:val="nil"/>
            </w:tcBorders>
          </w:tcPr>
          <w:p w14:paraId="4C3C4627" w14:textId="77777777" w:rsidR="00BD1D39" w:rsidRPr="00D166EA" w:rsidRDefault="00BD1D39" w:rsidP="00C54AAD">
            <w:pPr>
              <w:spacing w:before="4" w:line="110" w:lineRule="exact"/>
              <w:jc w:val="center"/>
              <w:rPr>
                <w:szCs w:val="22"/>
              </w:rPr>
            </w:pPr>
          </w:p>
          <w:p w14:paraId="3F5C35D0" w14:textId="77777777" w:rsidR="00BD1D39" w:rsidRPr="00D166EA" w:rsidRDefault="00BD1D39" w:rsidP="00171B93">
            <w:pPr>
              <w:jc w:val="center"/>
              <w:rPr>
                <w:szCs w:val="22"/>
              </w:rPr>
            </w:pPr>
            <w:r w:rsidRPr="00D166EA">
              <w:rPr>
                <w:spacing w:val="-1"/>
                <w:w w:val="103"/>
                <w:szCs w:val="22"/>
              </w:rPr>
              <w:t>3</w:t>
            </w:r>
            <w:r w:rsidRPr="00D166EA">
              <w:rPr>
                <w:spacing w:val="1"/>
                <w:w w:val="103"/>
                <w:szCs w:val="22"/>
              </w:rPr>
              <w:t>8</w:t>
            </w:r>
            <w:r w:rsidRPr="00D166EA">
              <w:rPr>
                <w:w w:val="103"/>
                <w:szCs w:val="22"/>
              </w:rPr>
              <w:t>3</w:t>
            </w:r>
            <w:r w:rsidR="00171B93">
              <w:rPr>
                <w:w w:val="103"/>
                <w:szCs w:val="22"/>
              </w:rPr>
              <w:t>,</w:t>
            </w:r>
            <w:r w:rsidRPr="00D166EA">
              <w:rPr>
                <w:w w:val="103"/>
                <w:szCs w:val="22"/>
              </w:rPr>
              <w:t>2</w:t>
            </w:r>
          </w:p>
        </w:tc>
        <w:tc>
          <w:tcPr>
            <w:tcW w:w="1260" w:type="dxa"/>
            <w:tcBorders>
              <w:top w:val="nil"/>
              <w:left w:val="nil"/>
              <w:bottom w:val="nil"/>
              <w:right w:val="nil"/>
            </w:tcBorders>
          </w:tcPr>
          <w:p w14:paraId="4F8938C4" w14:textId="77777777" w:rsidR="00BD1D39" w:rsidRPr="00D166EA" w:rsidRDefault="00BD1D39" w:rsidP="00C54AAD">
            <w:pPr>
              <w:spacing w:before="4" w:line="110" w:lineRule="exact"/>
              <w:jc w:val="center"/>
              <w:rPr>
                <w:szCs w:val="22"/>
              </w:rPr>
            </w:pPr>
          </w:p>
          <w:p w14:paraId="5E5386A0" w14:textId="77777777" w:rsidR="00BD1D39" w:rsidRPr="00D166EA" w:rsidRDefault="00BD1D39" w:rsidP="00171B93">
            <w:pPr>
              <w:jc w:val="center"/>
              <w:rPr>
                <w:szCs w:val="22"/>
              </w:rPr>
            </w:pPr>
            <w:r w:rsidRPr="00D166EA">
              <w:rPr>
                <w:w w:val="103"/>
                <w:szCs w:val="22"/>
              </w:rPr>
              <w:t>197</w:t>
            </w:r>
            <w:r w:rsidR="00171B93">
              <w:rPr>
                <w:w w:val="103"/>
                <w:szCs w:val="22"/>
              </w:rPr>
              <w:t>,</w:t>
            </w:r>
            <w:r w:rsidRPr="00D166EA">
              <w:rPr>
                <w:w w:val="103"/>
                <w:szCs w:val="22"/>
              </w:rPr>
              <w:t>9</w:t>
            </w:r>
          </w:p>
        </w:tc>
        <w:tc>
          <w:tcPr>
            <w:tcW w:w="1440" w:type="dxa"/>
            <w:tcBorders>
              <w:top w:val="nil"/>
              <w:left w:val="nil"/>
              <w:bottom w:val="nil"/>
              <w:right w:val="nil"/>
            </w:tcBorders>
          </w:tcPr>
          <w:p w14:paraId="456096A5" w14:textId="77777777" w:rsidR="00BD1D39" w:rsidRPr="00D166EA" w:rsidRDefault="00BD1D39" w:rsidP="00C54AAD">
            <w:pPr>
              <w:spacing w:before="4" w:line="110" w:lineRule="exact"/>
              <w:jc w:val="center"/>
              <w:rPr>
                <w:szCs w:val="22"/>
              </w:rPr>
            </w:pPr>
          </w:p>
          <w:p w14:paraId="25800EB6" w14:textId="77777777" w:rsidR="00BD1D39" w:rsidRPr="00D166EA" w:rsidRDefault="00BD1D39" w:rsidP="00171B93">
            <w:pPr>
              <w:jc w:val="center"/>
              <w:rPr>
                <w:szCs w:val="22"/>
              </w:rPr>
            </w:pPr>
            <w:r w:rsidRPr="00D166EA">
              <w:rPr>
                <w:spacing w:val="-1"/>
                <w:w w:val="103"/>
                <w:szCs w:val="22"/>
              </w:rPr>
              <w:t>1</w:t>
            </w:r>
            <w:r w:rsidRPr="00D166EA">
              <w:rPr>
                <w:spacing w:val="1"/>
                <w:w w:val="103"/>
                <w:szCs w:val="22"/>
              </w:rPr>
              <w:t>3</w:t>
            </w:r>
            <w:r w:rsidRPr="00D166EA">
              <w:rPr>
                <w:w w:val="103"/>
                <w:szCs w:val="22"/>
              </w:rPr>
              <w:t>5</w:t>
            </w:r>
            <w:r w:rsidR="00171B93">
              <w:rPr>
                <w:w w:val="103"/>
                <w:szCs w:val="22"/>
              </w:rPr>
              <w:t>,</w:t>
            </w:r>
            <w:r w:rsidRPr="00D166EA">
              <w:rPr>
                <w:w w:val="103"/>
                <w:szCs w:val="22"/>
              </w:rPr>
              <w:t>6</w:t>
            </w:r>
          </w:p>
        </w:tc>
        <w:tc>
          <w:tcPr>
            <w:tcW w:w="1260" w:type="dxa"/>
            <w:tcBorders>
              <w:top w:val="nil"/>
              <w:left w:val="nil"/>
              <w:bottom w:val="nil"/>
              <w:right w:val="nil"/>
            </w:tcBorders>
          </w:tcPr>
          <w:p w14:paraId="3CC11CA2" w14:textId="77777777" w:rsidR="00BD1D39" w:rsidRPr="00D166EA" w:rsidRDefault="00BD1D39" w:rsidP="00C54AAD">
            <w:pPr>
              <w:spacing w:before="4" w:line="110" w:lineRule="exact"/>
              <w:jc w:val="center"/>
              <w:rPr>
                <w:szCs w:val="22"/>
              </w:rPr>
            </w:pPr>
          </w:p>
          <w:p w14:paraId="57743563" w14:textId="77777777" w:rsidR="00BD1D39" w:rsidRPr="00D166EA" w:rsidRDefault="00BD1D39" w:rsidP="00171B93">
            <w:pPr>
              <w:jc w:val="center"/>
              <w:rPr>
                <w:szCs w:val="22"/>
              </w:rPr>
            </w:pPr>
            <w:r w:rsidRPr="00D166EA">
              <w:rPr>
                <w:spacing w:val="-1"/>
                <w:w w:val="103"/>
                <w:szCs w:val="22"/>
              </w:rPr>
              <w:t>4</w:t>
            </w:r>
            <w:r w:rsidRPr="00D166EA">
              <w:rPr>
                <w:w w:val="103"/>
                <w:szCs w:val="22"/>
              </w:rPr>
              <w:t>0</w:t>
            </w:r>
            <w:r w:rsidR="00171B93">
              <w:rPr>
                <w:spacing w:val="1"/>
                <w:w w:val="103"/>
                <w:szCs w:val="22"/>
              </w:rPr>
              <w:t>,</w:t>
            </w:r>
            <w:r w:rsidRPr="00D166EA">
              <w:rPr>
                <w:w w:val="103"/>
                <w:szCs w:val="22"/>
              </w:rPr>
              <w:t>3</w:t>
            </w:r>
          </w:p>
        </w:tc>
        <w:tc>
          <w:tcPr>
            <w:tcW w:w="1440" w:type="dxa"/>
            <w:tcBorders>
              <w:top w:val="nil"/>
              <w:left w:val="nil"/>
              <w:bottom w:val="nil"/>
              <w:right w:val="nil"/>
            </w:tcBorders>
          </w:tcPr>
          <w:p w14:paraId="2030FC32" w14:textId="77777777" w:rsidR="00BD1D39" w:rsidRPr="00D166EA" w:rsidRDefault="00BD1D39" w:rsidP="00C54AAD">
            <w:pPr>
              <w:spacing w:before="4" w:line="110" w:lineRule="exact"/>
              <w:jc w:val="center"/>
              <w:rPr>
                <w:szCs w:val="22"/>
              </w:rPr>
            </w:pPr>
          </w:p>
          <w:p w14:paraId="1247CCDA" w14:textId="77777777" w:rsidR="00BD1D39" w:rsidRPr="00D166EA" w:rsidRDefault="00BD1D39" w:rsidP="00C54AAD">
            <w:pPr>
              <w:jc w:val="center"/>
              <w:rPr>
                <w:szCs w:val="22"/>
              </w:rPr>
            </w:pPr>
            <w:r w:rsidRPr="00D166EA">
              <w:rPr>
                <w:w w:val="103"/>
                <w:szCs w:val="22"/>
              </w:rPr>
              <w:t>NA</w:t>
            </w:r>
          </w:p>
        </w:tc>
        <w:tc>
          <w:tcPr>
            <w:tcW w:w="1260" w:type="dxa"/>
            <w:tcBorders>
              <w:top w:val="nil"/>
              <w:left w:val="nil"/>
              <w:bottom w:val="nil"/>
              <w:right w:val="nil"/>
            </w:tcBorders>
          </w:tcPr>
          <w:p w14:paraId="678A93FF" w14:textId="77777777" w:rsidR="00BD1D39" w:rsidRPr="00D166EA" w:rsidRDefault="00BD1D39" w:rsidP="00C54AAD">
            <w:pPr>
              <w:spacing w:before="4" w:line="110" w:lineRule="exact"/>
              <w:jc w:val="center"/>
              <w:rPr>
                <w:szCs w:val="22"/>
              </w:rPr>
            </w:pPr>
          </w:p>
          <w:p w14:paraId="4A5C7E72" w14:textId="77777777" w:rsidR="00BD1D39" w:rsidRPr="00D166EA" w:rsidRDefault="00BD1D39" w:rsidP="00C54AAD">
            <w:pPr>
              <w:jc w:val="center"/>
              <w:rPr>
                <w:szCs w:val="22"/>
              </w:rPr>
            </w:pPr>
            <w:r w:rsidRPr="00D166EA">
              <w:rPr>
                <w:spacing w:val="1"/>
                <w:w w:val="103"/>
                <w:szCs w:val="22"/>
              </w:rPr>
              <w:t>N</w:t>
            </w:r>
            <w:r w:rsidRPr="00D166EA">
              <w:rPr>
                <w:w w:val="103"/>
                <w:szCs w:val="22"/>
              </w:rPr>
              <w:t>A</w:t>
            </w:r>
          </w:p>
        </w:tc>
      </w:tr>
      <w:tr w:rsidR="00C54AAD" w:rsidRPr="00D166EA" w14:paraId="52CC6375" w14:textId="77777777" w:rsidTr="00C54AAD">
        <w:trPr>
          <w:trHeight w:val="20"/>
        </w:trPr>
        <w:tc>
          <w:tcPr>
            <w:tcW w:w="1510" w:type="dxa"/>
            <w:tcBorders>
              <w:top w:val="nil"/>
              <w:left w:val="nil"/>
              <w:bottom w:val="nil"/>
              <w:right w:val="nil"/>
            </w:tcBorders>
          </w:tcPr>
          <w:p w14:paraId="123DE57F" w14:textId="77777777" w:rsidR="00BD1D39" w:rsidRPr="00D166EA" w:rsidRDefault="00C54AAD" w:rsidP="00C54AAD">
            <w:pPr>
              <w:spacing w:line="225" w:lineRule="exact"/>
              <w:jc w:val="center"/>
              <w:rPr>
                <w:szCs w:val="22"/>
              </w:rPr>
            </w:pPr>
            <w:r w:rsidRPr="00D166EA">
              <w:rPr>
                <w:szCs w:val="22"/>
              </w:rPr>
              <w:t>(vidutinis kvadratinis nuokrypis)</w:t>
            </w:r>
          </w:p>
        </w:tc>
        <w:tc>
          <w:tcPr>
            <w:tcW w:w="1080" w:type="dxa"/>
            <w:tcBorders>
              <w:top w:val="nil"/>
              <w:left w:val="nil"/>
              <w:bottom w:val="nil"/>
              <w:right w:val="nil"/>
            </w:tcBorders>
          </w:tcPr>
          <w:p w14:paraId="6B9A03D7" w14:textId="77777777" w:rsidR="00BD1D39" w:rsidRPr="00D166EA" w:rsidRDefault="00BD1D39" w:rsidP="001F2AA7">
            <w:pPr>
              <w:spacing w:line="225" w:lineRule="exact"/>
              <w:jc w:val="center"/>
              <w:rPr>
                <w:szCs w:val="22"/>
              </w:rPr>
            </w:pPr>
            <w:r w:rsidRPr="00D166EA">
              <w:rPr>
                <w:spacing w:val="1"/>
                <w:w w:val="103"/>
                <w:szCs w:val="22"/>
              </w:rPr>
              <w:t>(</w:t>
            </w:r>
            <w:r w:rsidRPr="00D166EA">
              <w:rPr>
                <w:spacing w:val="-1"/>
                <w:w w:val="103"/>
                <w:szCs w:val="22"/>
              </w:rPr>
              <w:t>1</w:t>
            </w:r>
            <w:r w:rsidRPr="00D166EA">
              <w:rPr>
                <w:spacing w:val="1"/>
                <w:w w:val="103"/>
                <w:szCs w:val="22"/>
              </w:rPr>
              <w:t>01</w:t>
            </w:r>
            <w:r w:rsidR="001F2AA7">
              <w:rPr>
                <w:spacing w:val="1"/>
                <w:w w:val="103"/>
                <w:szCs w:val="22"/>
              </w:rPr>
              <w:t>,</w:t>
            </w:r>
            <w:r w:rsidRPr="00D166EA">
              <w:rPr>
                <w:spacing w:val="-1"/>
                <w:w w:val="103"/>
                <w:szCs w:val="22"/>
              </w:rPr>
              <w:t>8</w:t>
            </w:r>
            <w:r w:rsidRPr="00D166EA">
              <w:rPr>
                <w:w w:val="103"/>
                <w:szCs w:val="22"/>
              </w:rPr>
              <w:t>)</w:t>
            </w:r>
          </w:p>
        </w:tc>
        <w:tc>
          <w:tcPr>
            <w:tcW w:w="1260" w:type="dxa"/>
            <w:tcBorders>
              <w:top w:val="nil"/>
              <w:left w:val="nil"/>
              <w:bottom w:val="nil"/>
              <w:right w:val="nil"/>
            </w:tcBorders>
          </w:tcPr>
          <w:p w14:paraId="0E922C9F" w14:textId="77777777" w:rsidR="00BD1D39" w:rsidRPr="00D166EA" w:rsidRDefault="00BD1D39" w:rsidP="001F2AA7">
            <w:pPr>
              <w:spacing w:line="225" w:lineRule="exact"/>
              <w:jc w:val="center"/>
              <w:rPr>
                <w:szCs w:val="22"/>
              </w:rPr>
            </w:pPr>
            <w:r w:rsidRPr="00D166EA">
              <w:rPr>
                <w:w w:val="103"/>
                <w:szCs w:val="22"/>
              </w:rPr>
              <w:t>(78</w:t>
            </w:r>
            <w:r w:rsidR="001F2AA7">
              <w:rPr>
                <w:w w:val="103"/>
                <w:szCs w:val="22"/>
              </w:rPr>
              <w:t>,</w:t>
            </w:r>
            <w:r w:rsidRPr="00D166EA">
              <w:rPr>
                <w:spacing w:val="-1"/>
                <w:w w:val="103"/>
                <w:szCs w:val="22"/>
              </w:rPr>
              <w:t>1</w:t>
            </w:r>
            <w:r w:rsidRPr="00D166EA">
              <w:rPr>
                <w:w w:val="103"/>
                <w:szCs w:val="22"/>
              </w:rPr>
              <w:t>)</w:t>
            </w:r>
          </w:p>
        </w:tc>
        <w:tc>
          <w:tcPr>
            <w:tcW w:w="1440" w:type="dxa"/>
            <w:tcBorders>
              <w:top w:val="nil"/>
              <w:left w:val="nil"/>
              <w:bottom w:val="nil"/>
              <w:right w:val="nil"/>
            </w:tcBorders>
          </w:tcPr>
          <w:p w14:paraId="18C67740" w14:textId="77777777" w:rsidR="00BD1D39" w:rsidRPr="00D166EA" w:rsidRDefault="00BD1D39" w:rsidP="001F2AA7">
            <w:pPr>
              <w:spacing w:line="225" w:lineRule="exact"/>
              <w:jc w:val="center"/>
              <w:rPr>
                <w:szCs w:val="22"/>
              </w:rPr>
            </w:pPr>
            <w:r w:rsidRPr="00D166EA">
              <w:rPr>
                <w:spacing w:val="-1"/>
                <w:w w:val="103"/>
                <w:szCs w:val="22"/>
              </w:rPr>
              <w:t>(</w:t>
            </w:r>
            <w:r w:rsidRPr="00D166EA">
              <w:rPr>
                <w:w w:val="103"/>
                <w:szCs w:val="22"/>
              </w:rPr>
              <w:t>3</w:t>
            </w:r>
            <w:r w:rsidRPr="00D166EA">
              <w:rPr>
                <w:spacing w:val="-1"/>
                <w:w w:val="103"/>
                <w:szCs w:val="22"/>
              </w:rPr>
              <w:t>1</w:t>
            </w:r>
            <w:r w:rsidR="001F2AA7">
              <w:rPr>
                <w:spacing w:val="-1"/>
                <w:w w:val="103"/>
                <w:szCs w:val="22"/>
              </w:rPr>
              <w:t>,</w:t>
            </w:r>
            <w:r w:rsidRPr="00D166EA">
              <w:rPr>
                <w:spacing w:val="-1"/>
                <w:w w:val="103"/>
                <w:szCs w:val="22"/>
              </w:rPr>
              <w:t>6)</w:t>
            </w:r>
          </w:p>
        </w:tc>
        <w:tc>
          <w:tcPr>
            <w:tcW w:w="1260" w:type="dxa"/>
            <w:tcBorders>
              <w:top w:val="nil"/>
              <w:left w:val="nil"/>
              <w:bottom w:val="nil"/>
              <w:right w:val="nil"/>
            </w:tcBorders>
          </w:tcPr>
          <w:p w14:paraId="10D9A187" w14:textId="77777777" w:rsidR="00BD1D39" w:rsidRPr="00D166EA" w:rsidRDefault="00BD1D39" w:rsidP="001F2AA7">
            <w:pPr>
              <w:spacing w:line="225" w:lineRule="exact"/>
              <w:jc w:val="center"/>
              <w:rPr>
                <w:szCs w:val="22"/>
              </w:rPr>
            </w:pPr>
            <w:r w:rsidRPr="00D166EA">
              <w:rPr>
                <w:w w:val="103"/>
                <w:szCs w:val="22"/>
              </w:rPr>
              <w:t>(</w:t>
            </w:r>
            <w:r w:rsidRPr="00D166EA">
              <w:rPr>
                <w:spacing w:val="-1"/>
                <w:w w:val="103"/>
                <w:szCs w:val="22"/>
              </w:rPr>
              <w:t>1</w:t>
            </w:r>
            <w:r w:rsidRPr="00D166EA">
              <w:rPr>
                <w:w w:val="103"/>
                <w:szCs w:val="22"/>
              </w:rPr>
              <w:t>0</w:t>
            </w:r>
            <w:r w:rsidR="001F2AA7">
              <w:rPr>
                <w:w w:val="103"/>
                <w:szCs w:val="22"/>
              </w:rPr>
              <w:t>,</w:t>
            </w:r>
            <w:r w:rsidRPr="00D166EA">
              <w:rPr>
                <w:w w:val="103"/>
                <w:szCs w:val="22"/>
              </w:rPr>
              <w:t>1)</w:t>
            </w:r>
          </w:p>
        </w:tc>
        <w:tc>
          <w:tcPr>
            <w:tcW w:w="1440" w:type="dxa"/>
            <w:tcBorders>
              <w:top w:val="nil"/>
              <w:left w:val="nil"/>
              <w:bottom w:val="nil"/>
              <w:right w:val="nil"/>
            </w:tcBorders>
          </w:tcPr>
          <w:p w14:paraId="08167244" w14:textId="77777777" w:rsidR="00BD1D39" w:rsidRPr="00D166EA" w:rsidRDefault="00BD1D39" w:rsidP="00C54AAD">
            <w:pPr>
              <w:jc w:val="center"/>
              <w:rPr>
                <w:szCs w:val="22"/>
              </w:rPr>
            </w:pPr>
          </w:p>
        </w:tc>
        <w:tc>
          <w:tcPr>
            <w:tcW w:w="1260" w:type="dxa"/>
            <w:tcBorders>
              <w:top w:val="nil"/>
              <w:left w:val="nil"/>
              <w:bottom w:val="nil"/>
              <w:right w:val="nil"/>
            </w:tcBorders>
          </w:tcPr>
          <w:p w14:paraId="602A5359" w14:textId="77777777" w:rsidR="00BD1D39" w:rsidRPr="00D166EA" w:rsidRDefault="00BD1D39" w:rsidP="00C54AAD">
            <w:pPr>
              <w:jc w:val="center"/>
              <w:rPr>
                <w:szCs w:val="22"/>
              </w:rPr>
            </w:pPr>
          </w:p>
        </w:tc>
      </w:tr>
      <w:tr w:rsidR="00C54AAD" w:rsidRPr="00D166EA" w14:paraId="2B9FC6D4" w14:textId="77777777" w:rsidTr="00C54AAD">
        <w:trPr>
          <w:trHeight w:val="20"/>
        </w:trPr>
        <w:tc>
          <w:tcPr>
            <w:tcW w:w="1510" w:type="dxa"/>
            <w:tcBorders>
              <w:top w:val="nil"/>
              <w:left w:val="nil"/>
              <w:bottom w:val="nil"/>
              <w:right w:val="nil"/>
            </w:tcBorders>
          </w:tcPr>
          <w:p w14:paraId="06106F73" w14:textId="77777777" w:rsidR="00BD1D39" w:rsidRPr="00D166EA" w:rsidRDefault="00BD1D39" w:rsidP="00C54AAD">
            <w:pPr>
              <w:spacing w:before="5" w:line="110" w:lineRule="exact"/>
              <w:jc w:val="center"/>
              <w:rPr>
                <w:szCs w:val="22"/>
              </w:rPr>
            </w:pPr>
          </w:p>
          <w:p w14:paraId="3F90507D" w14:textId="77777777" w:rsidR="00BD1D39" w:rsidRPr="00D166EA" w:rsidRDefault="00C54AAD" w:rsidP="00C54AAD">
            <w:pPr>
              <w:jc w:val="center"/>
              <w:rPr>
                <w:szCs w:val="22"/>
                <w:lang w:val="sl-SI"/>
              </w:rPr>
            </w:pPr>
            <w:r w:rsidRPr="00D166EA">
              <w:rPr>
                <w:szCs w:val="22"/>
              </w:rPr>
              <w:t>Bendras klirensas/F (ml/min)</w:t>
            </w:r>
          </w:p>
        </w:tc>
        <w:tc>
          <w:tcPr>
            <w:tcW w:w="1080" w:type="dxa"/>
            <w:tcBorders>
              <w:top w:val="nil"/>
              <w:left w:val="nil"/>
              <w:bottom w:val="nil"/>
              <w:right w:val="nil"/>
            </w:tcBorders>
          </w:tcPr>
          <w:p w14:paraId="1E6CB0B7" w14:textId="77777777" w:rsidR="00BD1D39" w:rsidRPr="00D166EA" w:rsidRDefault="00BD1D39" w:rsidP="00C54AAD">
            <w:pPr>
              <w:spacing w:before="5" w:line="110" w:lineRule="exact"/>
              <w:jc w:val="center"/>
              <w:rPr>
                <w:szCs w:val="22"/>
              </w:rPr>
            </w:pPr>
          </w:p>
          <w:p w14:paraId="4AC42622" w14:textId="77777777" w:rsidR="00BD1D39" w:rsidRPr="00D166EA" w:rsidRDefault="00BD1D39" w:rsidP="00171B93">
            <w:pPr>
              <w:jc w:val="center"/>
              <w:rPr>
                <w:szCs w:val="22"/>
              </w:rPr>
            </w:pPr>
            <w:r w:rsidRPr="00D166EA">
              <w:rPr>
                <w:spacing w:val="-1"/>
                <w:w w:val="103"/>
                <w:szCs w:val="22"/>
              </w:rPr>
              <w:t>5</w:t>
            </w:r>
            <w:r w:rsidRPr="00D166EA">
              <w:rPr>
                <w:spacing w:val="1"/>
                <w:w w:val="103"/>
                <w:szCs w:val="22"/>
              </w:rPr>
              <w:t>8</w:t>
            </w:r>
            <w:r w:rsidRPr="00D166EA">
              <w:rPr>
                <w:w w:val="103"/>
                <w:szCs w:val="22"/>
              </w:rPr>
              <w:t>8</w:t>
            </w:r>
            <w:r w:rsidR="00171B93">
              <w:rPr>
                <w:w w:val="103"/>
                <w:szCs w:val="22"/>
              </w:rPr>
              <w:t>,</w:t>
            </w:r>
            <w:r w:rsidRPr="00D166EA">
              <w:rPr>
                <w:w w:val="103"/>
                <w:szCs w:val="22"/>
              </w:rPr>
              <w:t>1</w:t>
            </w:r>
          </w:p>
        </w:tc>
        <w:tc>
          <w:tcPr>
            <w:tcW w:w="1260" w:type="dxa"/>
            <w:tcBorders>
              <w:top w:val="nil"/>
              <w:left w:val="nil"/>
              <w:bottom w:val="nil"/>
              <w:right w:val="nil"/>
            </w:tcBorders>
          </w:tcPr>
          <w:p w14:paraId="61F7D565" w14:textId="77777777" w:rsidR="00BD1D39" w:rsidRPr="00D166EA" w:rsidRDefault="00BD1D39" w:rsidP="00C54AAD">
            <w:pPr>
              <w:spacing w:before="5" w:line="110" w:lineRule="exact"/>
              <w:jc w:val="center"/>
              <w:rPr>
                <w:szCs w:val="22"/>
              </w:rPr>
            </w:pPr>
          </w:p>
          <w:p w14:paraId="7BC264DF" w14:textId="77777777" w:rsidR="00BD1D39" w:rsidRPr="00D166EA" w:rsidRDefault="00BD1D39" w:rsidP="00171B93">
            <w:pPr>
              <w:jc w:val="center"/>
              <w:rPr>
                <w:szCs w:val="22"/>
              </w:rPr>
            </w:pPr>
            <w:r w:rsidRPr="00D166EA">
              <w:rPr>
                <w:w w:val="103"/>
                <w:szCs w:val="22"/>
              </w:rPr>
              <w:t>309</w:t>
            </w:r>
            <w:r w:rsidR="00171B93">
              <w:rPr>
                <w:w w:val="103"/>
                <w:szCs w:val="22"/>
              </w:rPr>
              <w:t>,</w:t>
            </w:r>
            <w:r w:rsidRPr="00D166EA">
              <w:rPr>
                <w:w w:val="103"/>
                <w:szCs w:val="22"/>
              </w:rPr>
              <w:t>2</w:t>
            </w:r>
          </w:p>
        </w:tc>
        <w:tc>
          <w:tcPr>
            <w:tcW w:w="1440" w:type="dxa"/>
            <w:tcBorders>
              <w:top w:val="nil"/>
              <w:left w:val="nil"/>
              <w:bottom w:val="nil"/>
              <w:right w:val="nil"/>
            </w:tcBorders>
          </w:tcPr>
          <w:p w14:paraId="6BA4AF67" w14:textId="77777777" w:rsidR="00BD1D39" w:rsidRPr="00D166EA" w:rsidRDefault="00BD1D39" w:rsidP="00C54AAD">
            <w:pPr>
              <w:spacing w:before="5" w:line="110" w:lineRule="exact"/>
              <w:jc w:val="center"/>
              <w:rPr>
                <w:szCs w:val="22"/>
              </w:rPr>
            </w:pPr>
          </w:p>
          <w:p w14:paraId="27E9EDF1" w14:textId="77777777" w:rsidR="00BD1D39" w:rsidRPr="00D166EA" w:rsidRDefault="00BD1D39" w:rsidP="00171B93">
            <w:pPr>
              <w:jc w:val="center"/>
              <w:rPr>
                <w:szCs w:val="22"/>
              </w:rPr>
            </w:pPr>
            <w:r w:rsidRPr="00D166EA">
              <w:rPr>
                <w:spacing w:val="-1"/>
                <w:w w:val="103"/>
                <w:szCs w:val="22"/>
              </w:rPr>
              <w:t>2</w:t>
            </w:r>
            <w:r w:rsidRPr="00D166EA">
              <w:rPr>
                <w:spacing w:val="1"/>
                <w:w w:val="103"/>
                <w:szCs w:val="22"/>
              </w:rPr>
              <w:t>2</w:t>
            </w:r>
            <w:r w:rsidRPr="00D166EA">
              <w:rPr>
                <w:w w:val="103"/>
                <w:szCs w:val="22"/>
              </w:rPr>
              <w:t>6</w:t>
            </w:r>
            <w:r w:rsidR="00171B93">
              <w:rPr>
                <w:w w:val="103"/>
                <w:szCs w:val="22"/>
              </w:rPr>
              <w:t>,</w:t>
            </w:r>
            <w:r w:rsidRPr="00D166EA">
              <w:rPr>
                <w:w w:val="103"/>
                <w:szCs w:val="22"/>
              </w:rPr>
              <w:t>3</w:t>
            </w:r>
          </w:p>
        </w:tc>
        <w:tc>
          <w:tcPr>
            <w:tcW w:w="1260" w:type="dxa"/>
            <w:tcBorders>
              <w:top w:val="nil"/>
              <w:left w:val="nil"/>
              <w:bottom w:val="nil"/>
              <w:right w:val="nil"/>
            </w:tcBorders>
          </w:tcPr>
          <w:p w14:paraId="545A0334" w14:textId="77777777" w:rsidR="00BD1D39" w:rsidRPr="00D166EA" w:rsidRDefault="00BD1D39" w:rsidP="00C54AAD">
            <w:pPr>
              <w:spacing w:before="5" w:line="110" w:lineRule="exact"/>
              <w:jc w:val="center"/>
              <w:rPr>
                <w:szCs w:val="22"/>
              </w:rPr>
            </w:pPr>
          </w:p>
          <w:p w14:paraId="1C39B4C4" w14:textId="77777777" w:rsidR="00BD1D39" w:rsidRPr="00D166EA" w:rsidRDefault="00BD1D39" w:rsidP="00171B93">
            <w:pPr>
              <w:jc w:val="center"/>
              <w:rPr>
                <w:szCs w:val="22"/>
              </w:rPr>
            </w:pPr>
            <w:r w:rsidRPr="00D166EA">
              <w:rPr>
                <w:w w:val="103"/>
                <w:szCs w:val="22"/>
              </w:rPr>
              <w:t>1</w:t>
            </w:r>
            <w:r w:rsidRPr="00D166EA">
              <w:rPr>
                <w:spacing w:val="1"/>
                <w:w w:val="103"/>
                <w:szCs w:val="22"/>
              </w:rPr>
              <w:t>0</w:t>
            </w:r>
            <w:r w:rsidRPr="00D166EA">
              <w:rPr>
                <w:spacing w:val="-1"/>
                <w:w w:val="103"/>
                <w:szCs w:val="22"/>
              </w:rPr>
              <w:t>0</w:t>
            </w:r>
            <w:r w:rsidR="00171B93">
              <w:rPr>
                <w:w w:val="103"/>
                <w:szCs w:val="22"/>
              </w:rPr>
              <w:t>,</w:t>
            </w:r>
            <w:r w:rsidRPr="00D166EA">
              <w:rPr>
                <w:w w:val="103"/>
                <w:szCs w:val="22"/>
              </w:rPr>
              <w:t>6</w:t>
            </w:r>
          </w:p>
        </w:tc>
        <w:tc>
          <w:tcPr>
            <w:tcW w:w="1440" w:type="dxa"/>
            <w:tcBorders>
              <w:top w:val="nil"/>
              <w:left w:val="nil"/>
              <w:bottom w:val="nil"/>
              <w:right w:val="nil"/>
            </w:tcBorders>
          </w:tcPr>
          <w:p w14:paraId="6CD872A1" w14:textId="77777777" w:rsidR="00BD1D39" w:rsidRPr="00D166EA" w:rsidRDefault="00BD1D39" w:rsidP="00C54AAD">
            <w:pPr>
              <w:spacing w:before="5" w:line="110" w:lineRule="exact"/>
              <w:jc w:val="center"/>
              <w:rPr>
                <w:szCs w:val="22"/>
              </w:rPr>
            </w:pPr>
          </w:p>
          <w:p w14:paraId="46B289DE" w14:textId="77777777" w:rsidR="00BD1D39" w:rsidRPr="00D166EA" w:rsidRDefault="00BD1D39" w:rsidP="00171B93">
            <w:pPr>
              <w:jc w:val="center"/>
              <w:rPr>
                <w:szCs w:val="22"/>
              </w:rPr>
            </w:pPr>
            <w:r w:rsidRPr="00D166EA">
              <w:rPr>
                <w:w w:val="103"/>
                <w:szCs w:val="22"/>
              </w:rPr>
              <w:t>50</w:t>
            </w:r>
            <w:r w:rsidR="00171B93">
              <w:rPr>
                <w:spacing w:val="1"/>
                <w:w w:val="103"/>
                <w:szCs w:val="22"/>
              </w:rPr>
              <w:t>,</w:t>
            </w:r>
            <w:r w:rsidRPr="00D166EA">
              <w:rPr>
                <w:w w:val="103"/>
                <w:szCs w:val="22"/>
              </w:rPr>
              <w:t>6</w:t>
            </w:r>
          </w:p>
        </w:tc>
        <w:tc>
          <w:tcPr>
            <w:tcW w:w="1260" w:type="dxa"/>
            <w:tcBorders>
              <w:top w:val="nil"/>
              <w:left w:val="nil"/>
              <w:bottom w:val="nil"/>
              <w:right w:val="nil"/>
            </w:tcBorders>
          </w:tcPr>
          <w:p w14:paraId="4A5FDB65" w14:textId="77777777" w:rsidR="00BD1D39" w:rsidRPr="00D166EA" w:rsidRDefault="00BD1D39" w:rsidP="00C54AAD">
            <w:pPr>
              <w:spacing w:before="5" w:line="110" w:lineRule="exact"/>
              <w:jc w:val="center"/>
              <w:rPr>
                <w:szCs w:val="22"/>
              </w:rPr>
            </w:pPr>
          </w:p>
          <w:p w14:paraId="5A70920C" w14:textId="77777777" w:rsidR="00BD1D39" w:rsidRPr="00D166EA" w:rsidRDefault="00BD1D39" w:rsidP="00171B93">
            <w:pPr>
              <w:jc w:val="center"/>
              <w:rPr>
                <w:szCs w:val="22"/>
              </w:rPr>
            </w:pPr>
            <w:r w:rsidRPr="00D166EA">
              <w:rPr>
                <w:w w:val="103"/>
                <w:szCs w:val="22"/>
              </w:rPr>
              <w:t>3</w:t>
            </w:r>
            <w:r w:rsidRPr="00D166EA">
              <w:rPr>
                <w:spacing w:val="-1"/>
                <w:w w:val="103"/>
                <w:szCs w:val="22"/>
              </w:rPr>
              <w:t>5</w:t>
            </w:r>
            <w:r w:rsidR="00171B93">
              <w:rPr>
                <w:spacing w:val="2"/>
                <w:w w:val="103"/>
                <w:szCs w:val="22"/>
              </w:rPr>
              <w:t>,</w:t>
            </w:r>
            <w:r w:rsidRPr="00D166EA">
              <w:rPr>
                <w:w w:val="103"/>
                <w:szCs w:val="22"/>
              </w:rPr>
              <w:t>7</w:t>
            </w:r>
          </w:p>
        </w:tc>
      </w:tr>
      <w:tr w:rsidR="00C54AAD" w:rsidRPr="00D166EA" w14:paraId="49C203A5" w14:textId="77777777" w:rsidTr="00C54AAD">
        <w:trPr>
          <w:trHeight w:val="20"/>
        </w:trPr>
        <w:tc>
          <w:tcPr>
            <w:tcW w:w="1510" w:type="dxa"/>
            <w:tcBorders>
              <w:top w:val="nil"/>
              <w:left w:val="nil"/>
              <w:bottom w:val="single" w:sz="11" w:space="0" w:color="000000"/>
              <w:right w:val="nil"/>
            </w:tcBorders>
          </w:tcPr>
          <w:p w14:paraId="2B9B7F25" w14:textId="77777777" w:rsidR="00BD1D39" w:rsidRPr="00D166EA" w:rsidRDefault="00C54AAD" w:rsidP="00C54AAD">
            <w:pPr>
              <w:spacing w:line="224" w:lineRule="exact"/>
              <w:jc w:val="center"/>
              <w:rPr>
                <w:szCs w:val="22"/>
              </w:rPr>
            </w:pPr>
            <w:r w:rsidRPr="00D166EA">
              <w:rPr>
                <w:szCs w:val="22"/>
              </w:rPr>
              <w:t>(vidutinis kvadratinis nuokrypis)</w:t>
            </w:r>
          </w:p>
        </w:tc>
        <w:tc>
          <w:tcPr>
            <w:tcW w:w="1080" w:type="dxa"/>
            <w:tcBorders>
              <w:top w:val="nil"/>
              <w:left w:val="nil"/>
              <w:bottom w:val="single" w:sz="9" w:space="0" w:color="000000"/>
              <w:right w:val="nil"/>
            </w:tcBorders>
          </w:tcPr>
          <w:p w14:paraId="076976E7" w14:textId="77777777" w:rsidR="00BD1D39" w:rsidRPr="00D166EA" w:rsidRDefault="00BD1D39" w:rsidP="00171B93">
            <w:pPr>
              <w:spacing w:line="224" w:lineRule="exact"/>
              <w:jc w:val="center"/>
              <w:rPr>
                <w:szCs w:val="22"/>
              </w:rPr>
            </w:pPr>
            <w:r w:rsidRPr="00D166EA">
              <w:rPr>
                <w:spacing w:val="1"/>
                <w:w w:val="103"/>
                <w:szCs w:val="22"/>
              </w:rPr>
              <w:t>(</w:t>
            </w:r>
            <w:r w:rsidRPr="00D166EA">
              <w:rPr>
                <w:spacing w:val="-1"/>
                <w:w w:val="103"/>
                <w:szCs w:val="22"/>
              </w:rPr>
              <w:t>1</w:t>
            </w:r>
            <w:r w:rsidRPr="00D166EA">
              <w:rPr>
                <w:spacing w:val="1"/>
                <w:w w:val="103"/>
                <w:szCs w:val="22"/>
              </w:rPr>
              <w:t>53</w:t>
            </w:r>
            <w:r w:rsidR="00171B93">
              <w:rPr>
                <w:spacing w:val="1"/>
                <w:w w:val="103"/>
                <w:szCs w:val="22"/>
              </w:rPr>
              <w:t>,</w:t>
            </w:r>
            <w:r w:rsidRPr="00D166EA">
              <w:rPr>
                <w:spacing w:val="-1"/>
                <w:w w:val="103"/>
                <w:szCs w:val="22"/>
              </w:rPr>
              <w:t>7</w:t>
            </w:r>
            <w:r w:rsidRPr="00D166EA">
              <w:rPr>
                <w:w w:val="103"/>
                <w:szCs w:val="22"/>
              </w:rPr>
              <w:t>)</w:t>
            </w:r>
          </w:p>
        </w:tc>
        <w:tc>
          <w:tcPr>
            <w:tcW w:w="1260" w:type="dxa"/>
            <w:tcBorders>
              <w:top w:val="nil"/>
              <w:left w:val="nil"/>
              <w:bottom w:val="single" w:sz="9" w:space="0" w:color="000000"/>
              <w:right w:val="nil"/>
            </w:tcBorders>
          </w:tcPr>
          <w:p w14:paraId="740321D4" w14:textId="77777777" w:rsidR="00BD1D39" w:rsidRPr="00D166EA" w:rsidRDefault="00BD1D39" w:rsidP="00171B93">
            <w:pPr>
              <w:spacing w:line="224" w:lineRule="exact"/>
              <w:jc w:val="center"/>
              <w:rPr>
                <w:szCs w:val="22"/>
              </w:rPr>
            </w:pPr>
            <w:r w:rsidRPr="00D166EA">
              <w:rPr>
                <w:w w:val="103"/>
                <w:szCs w:val="22"/>
              </w:rPr>
              <w:t>(62</w:t>
            </w:r>
            <w:r w:rsidR="00171B93">
              <w:rPr>
                <w:spacing w:val="1"/>
                <w:w w:val="103"/>
                <w:szCs w:val="22"/>
              </w:rPr>
              <w:t>,</w:t>
            </w:r>
            <w:r w:rsidRPr="00D166EA">
              <w:rPr>
                <w:spacing w:val="-1"/>
                <w:w w:val="103"/>
                <w:szCs w:val="22"/>
              </w:rPr>
              <w:t>6</w:t>
            </w:r>
            <w:r w:rsidRPr="00D166EA">
              <w:rPr>
                <w:w w:val="103"/>
                <w:szCs w:val="22"/>
              </w:rPr>
              <w:t>)</w:t>
            </w:r>
          </w:p>
        </w:tc>
        <w:tc>
          <w:tcPr>
            <w:tcW w:w="1440" w:type="dxa"/>
            <w:tcBorders>
              <w:top w:val="nil"/>
              <w:left w:val="nil"/>
              <w:bottom w:val="single" w:sz="9" w:space="0" w:color="000000"/>
              <w:right w:val="nil"/>
            </w:tcBorders>
          </w:tcPr>
          <w:p w14:paraId="3735BEC6" w14:textId="77777777" w:rsidR="00BD1D39" w:rsidRPr="00D166EA" w:rsidRDefault="00BD1D39" w:rsidP="00171B93">
            <w:pPr>
              <w:spacing w:line="224" w:lineRule="exact"/>
              <w:jc w:val="center"/>
              <w:rPr>
                <w:szCs w:val="22"/>
              </w:rPr>
            </w:pPr>
            <w:r w:rsidRPr="00D166EA">
              <w:rPr>
                <w:spacing w:val="-1"/>
                <w:w w:val="103"/>
                <w:szCs w:val="22"/>
              </w:rPr>
              <w:t>(</w:t>
            </w:r>
            <w:r w:rsidRPr="00D166EA">
              <w:rPr>
                <w:w w:val="103"/>
                <w:szCs w:val="22"/>
              </w:rPr>
              <w:t>6</w:t>
            </w:r>
            <w:r w:rsidRPr="00D166EA">
              <w:rPr>
                <w:spacing w:val="-1"/>
                <w:w w:val="103"/>
                <w:szCs w:val="22"/>
              </w:rPr>
              <w:t>0</w:t>
            </w:r>
            <w:r w:rsidR="00171B93">
              <w:rPr>
                <w:spacing w:val="2"/>
                <w:w w:val="103"/>
                <w:szCs w:val="22"/>
              </w:rPr>
              <w:t>,</w:t>
            </w:r>
            <w:r w:rsidRPr="00D166EA">
              <w:rPr>
                <w:spacing w:val="-1"/>
                <w:w w:val="103"/>
                <w:szCs w:val="22"/>
              </w:rPr>
              <w:t>1)</w:t>
            </w:r>
          </w:p>
        </w:tc>
        <w:tc>
          <w:tcPr>
            <w:tcW w:w="1260" w:type="dxa"/>
            <w:tcBorders>
              <w:top w:val="nil"/>
              <w:left w:val="nil"/>
              <w:bottom w:val="single" w:sz="9" w:space="0" w:color="000000"/>
              <w:right w:val="nil"/>
            </w:tcBorders>
          </w:tcPr>
          <w:p w14:paraId="23E4760B" w14:textId="77777777" w:rsidR="00BD1D39" w:rsidRPr="00D166EA" w:rsidRDefault="00BD1D39" w:rsidP="00171B93">
            <w:pPr>
              <w:spacing w:line="224" w:lineRule="exact"/>
              <w:jc w:val="center"/>
              <w:rPr>
                <w:szCs w:val="22"/>
              </w:rPr>
            </w:pPr>
            <w:r w:rsidRPr="00D166EA">
              <w:rPr>
                <w:w w:val="103"/>
                <w:szCs w:val="22"/>
              </w:rPr>
              <w:t>(</w:t>
            </w:r>
            <w:r w:rsidRPr="00D166EA">
              <w:rPr>
                <w:spacing w:val="-1"/>
                <w:w w:val="103"/>
                <w:szCs w:val="22"/>
              </w:rPr>
              <w:t>2</w:t>
            </w:r>
            <w:r w:rsidRPr="00D166EA">
              <w:rPr>
                <w:w w:val="103"/>
                <w:szCs w:val="22"/>
              </w:rPr>
              <w:t>9</w:t>
            </w:r>
            <w:r w:rsidR="00171B93">
              <w:rPr>
                <w:spacing w:val="1"/>
                <w:w w:val="103"/>
                <w:szCs w:val="22"/>
              </w:rPr>
              <w:t>,</w:t>
            </w:r>
            <w:r w:rsidRPr="00D166EA">
              <w:rPr>
                <w:w w:val="103"/>
                <w:szCs w:val="22"/>
              </w:rPr>
              <w:t>1)</w:t>
            </w:r>
          </w:p>
        </w:tc>
        <w:tc>
          <w:tcPr>
            <w:tcW w:w="1440" w:type="dxa"/>
            <w:tcBorders>
              <w:top w:val="nil"/>
              <w:left w:val="nil"/>
              <w:bottom w:val="single" w:sz="9" w:space="0" w:color="000000"/>
              <w:right w:val="nil"/>
            </w:tcBorders>
          </w:tcPr>
          <w:p w14:paraId="0E913BBF" w14:textId="77777777" w:rsidR="00BD1D39" w:rsidRPr="00D166EA" w:rsidRDefault="00BD1D39" w:rsidP="00171B93">
            <w:pPr>
              <w:spacing w:line="224" w:lineRule="exact"/>
              <w:jc w:val="center"/>
              <w:rPr>
                <w:szCs w:val="22"/>
              </w:rPr>
            </w:pPr>
            <w:r w:rsidRPr="00D166EA">
              <w:rPr>
                <w:w w:val="103"/>
                <w:szCs w:val="22"/>
              </w:rPr>
              <w:t>(16</w:t>
            </w:r>
            <w:r w:rsidR="00171B93">
              <w:rPr>
                <w:spacing w:val="1"/>
                <w:w w:val="103"/>
                <w:szCs w:val="22"/>
              </w:rPr>
              <w:t>,</w:t>
            </w:r>
            <w:r w:rsidRPr="00D166EA">
              <w:rPr>
                <w:spacing w:val="-1"/>
                <w:w w:val="103"/>
                <w:szCs w:val="22"/>
              </w:rPr>
              <w:t>5</w:t>
            </w:r>
            <w:r w:rsidRPr="00D166EA">
              <w:rPr>
                <w:w w:val="103"/>
                <w:szCs w:val="22"/>
              </w:rPr>
              <w:t>)</w:t>
            </w:r>
          </w:p>
        </w:tc>
        <w:tc>
          <w:tcPr>
            <w:tcW w:w="1260" w:type="dxa"/>
            <w:tcBorders>
              <w:top w:val="nil"/>
              <w:left w:val="nil"/>
              <w:bottom w:val="single" w:sz="9" w:space="0" w:color="000000"/>
              <w:right w:val="nil"/>
            </w:tcBorders>
          </w:tcPr>
          <w:p w14:paraId="74ADC741" w14:textId="77777777" w:rsidR="00BD1D39" w:rsidRPr="00D166EA" w:rsidRDefault="00BD1D39" w:rsidP="00171B93">
            <w:pPr>
              <w:spacing w:line="224" w:lineRule="exact"/>
              <w:jc w:val="center"/>
              <w:rPr>
                <w:szCs w:val="22"/>
              </w:rPr>
            </w:pPr>
            <w:r w:rsidRPr="00D166EA">
              <w:rPr>
                <w:spacing w:val="-1"/>
                <w:w w:val="103"/>
                <w:szCs w:val="22"/>
              </w:rPr>
              <w:t>(</w:t>
            </w:r>
            <w:r w:rsidRPr="00D166EA">
              <w:rPr>
                <w:w w:val="103"/>
                <w:szCs w:val="22"/>
              </w:rPr>
              <w:t>1</w:t>
            </w:r>
            <w:r w:rsidRPr="00D166EA">
              <w:rPr>
                <w:spacing w:val="-1"/>
                <w:w w:val="103"/>
                <w:szCs w:val="22"/>
              </w:rPr>
              <w:t>9</w:t>
            </w:r>
            <w:r w:rsidR="00171B93">
              <w:rPr>
                <w:spacing w:val="2"/>
                <w:w w:val="103"/>
                <w:szCs w:val="22"/>
              </w:rPr>
              <w:t>,</w:t>
            </w:r>
            <w:r w:rsidRPr="00D166EA">
              <w:rPr>
                <w:spacing w:val="-1"/>
                <w:w w:val="103"/>
                <w:szCs w:val="22"/>
              </w:rPr>
              <w:t>6)</w:t>
            </w:r>
          </w:p>
        </w:tc>
      </w:tr>
    </w:tbl>
    <w:p w14:paraId="3312B4AC" w14:textId="77777777" w:rsidR="0061061F" w:rsidRPr="00D166EA" w:rsidRDefault="0061061F" w:rsidP="0061061F">
      <w:pPr>
        <w:rPr>
          <w:szCs w:val="22"/>
        </w:rPr>
      </w:pPr>
    </w:p>
    <w:p w14:paraId="6FA9FB41" w14:textId="77777777" w:rsidR="00D93C05" w:rsidRPr="00D166EA" w:rsidRDefault="00D93C05" w:rsidP="00D93C05">
      <w:pPr>
        <w:pStyle w:val="Default"/>
        <w:rPr>
          <w:sz w:val="22"/>
          <w:szCs w:val="22"/>
        </w:rPr>
      </w:pPr>
      <w:r w:rsidRPr="00D166EA">
        <w:rPr>
          <w:i/>
          <w:iCs/>
          <w:sz w:val="22"/>
          <w:szCs w:val="22"/>
        </w:rPr>
        <w:t xml:space="preserve">Po kepenų persodinimo: </w:t>
      </w:r>
      <w:r w:rsidRPr="00D166EA">
        <w:rPr>
          <w:iCs/>
          <w:sz w:val="22"/>
          <w:szCs w:val="22"/>
        </w:rPr>
        <w:t>e</w:t>
      </w:r>
      <w:r w:rsidRPr="00D166EA">
        <w:rPr>
          <w:sz w:val="22"/>
          <w:szCs w:val="22"/>
        </w:rPr>
        <w:t>ntekaviro ekspozicija HBV infekuotiems pacientams, po kepenų persodinimo vartojusiems palaikomąją ciklosporino A ar takrolimu</w:t>
      </w:r>
      <w:r w:rsidR="001F2AA7">
        <w:rPr>
          <w:sz w:val="22"/>
          <w:szCs w:val="22"/>
        </w:rPr>
        <w:t>z</w:t>
      </w:r>
      <w:r w:rsidRPr="00D166EA">
        <w:rPr>
          <w:sz w:val="22"/>
          <w:szCs w:val="22"/>
        </w:rPr>
        <w:t>o dozę (n</w:t>
      </w:r>
      <w:r w:rsidR="00171B93">
        <w:rPr>
          <w:sz w:val="22"/>
          <w:szCs w:val="22"/>
        </w:rPr>
        <w:t> </w:t>
      </w:r>
      <w:r w:rsidRPr="00D166EA">
        <w:rPr>
          <w:sz w:val="22"/>
          <w:szCs w:val="22"/>
        </w:rPr>
        <w:t>=</w:t>
      </w:r>
      <w:r w:rsidR="00171B93">
        <w:rPr>
          <w:sz w:val="22"/>
          <w:szCs w:val="22"/>
        </w:rPr>
        <w:t> </w:t>
      </w:r>
      <w:r w:rsidRPr="00D166EA">
        <w:rPr>
          <w:sz w:val="22"/>
          <w:szCs w:val="22"/>
        </w:rPr>
        <w:t>9), buvo maždaug 2</w:t>
      </w:r>
      <w:r w:rsidR="00171B93">
        <w:rPr>
          <w:sz w:val="22"/>
          <w:szCs w:val="22"/>
        </w:rPr>
        <w:t> </w:t>
      </w:r>
      <w:r w:rsidRPr="00D166EA">
        <w:rPr>
          <w:sz w:val="22"/>
          <w:szCs w:val="22"/>
        </w:rPr>
        <w:t xml:space="preserve">kartus didesnė negu sveikiems asmenims, kurių inkstų funkcija normali. Įtakos entekaviro ekspozicijos tokių pacientų organizme padidėjimui turėjo pakitusi inkstų funkcija (žr. 4.4 skyrių). </w:t>
      </w:r>
    </w:p>
    <w:p w14:paraId="6718E578" w14:textId="77777777" w:rsidR="00D93C05" w:rsidRPr="00B606B7" w:rsidRDefault="00D93C05" w:rsidP="00D93C05">
      <w:pPr>
        <w:pStyle w:val="Normal11pt"/>
        <w:rPr>
          <w:i/>
          <w:iCs/>
          <w:lang w:val="sl-SI"/>
        </w:rPr>
      </w:pPr>
    </w:p>
    <w:p w14:paraId="41282C59" w14:textId="77777777" w:rsidR="00D93C05" w:rsidRPr="00B606B7" w:rsidRDefault="00D93C05" w:rsidP="00D93C05">
      <w:pPr>
        <w:pStyle w:val="Normal11pt"/>
        <w:rPr>
          <w:lang w:val="sl-SI"/>
        </w:rPr>
      </w:pPr>
      <w:r w:rsidRPr="00B606B7">
        <w:rPr>
          <w:i/>
          <w:iCs/>
          <w:lang w:val="sl-SI"/>
        </w:rPr>
        <w:t xml:space="preserve">Lytis: </w:t>
      </w:r>
      <w:r w:rsidRPr="00B606B7">
        <w:rPr>
          <w:iCs/>
          <w:lang w:val="sl-SI"/>
        </w:rPr>
        <w:t>d</w:t>
      </w:r>
      <w:r w:rsidRPr="00B606B7">
        <w:rPr>
          <w:lang w:val="sl-SI"/>
        </w:rPr>
        <w:t>ėl inkstų klirenso ir kūno svorio skirtumų moterų AUC buvo 14</w:t>
      </w:r>
      <w:r w:rsidR="00171B93" w:rsidRPr="00B606B7">
        <w:rPr>
          <w:lang w:val="sl-SI"/>
        </w:rPr>
        <w:t> </w:t>
      </w:r>
      <w:r w:rsidRPr="00B606B7">
        <w:rPr>
          <w:lang w:val="sl-SI"/>
        </w:rPr>
        <w:t xml:space="preserve">% didesnis negu vyrų. Atsižvelgiant į inkstų klirenso ir kūno svorio skirtumus koreguota vaistinio preparato ekspozicija vyrams ir moterims nesiskiria. </w:t>
      </w:r>
    </w:p>
    <w:p w14:paraId="3D3A208F" w14:textId="77777777" w:rsidR="00D93C05" w:rsidRPr="00D166EA" w:rsidRDefault="00D93C05" w:rsidP="00D93C05">
      <w:pPr>
        <w:pStyle w:val="Default"/>
        <w:rPr>
          <w:i/>
          <w:iCs/>
          <w:color w:val="auto"/>
          <w:sz w:val="22"/>
          <w:szCs w:val="22"/>
        </w:rPr>
      </w:pPr>
    </w:p>
    <w:p w14:paraId="79FFD9B3" w14:textId="77777777" w:rsidR="00D93C05" w:rsidRPr="00D166EA" w:rsidRDefault="00D93C05" w:rsidP="00D93C05">
      <w:pPr>
        <w:pStyle w:val="Default"/>
        <w:rPr>
          <w:color w:val="auto"/>
          <w:sz w:val="22"/>
          <w:szCs w:val="22"/>
        </w:rPr>
      </w:pPr>
      <w:r w:rsidRPr="00D166EA">
        <w:rPr>
          <w:i/>
          <w:iCs/>
          <w:color w:val="auto"/>
          <w:sz w:val="22"/>
          <w:szCs w:val="22"/>
        </w:rPr>
        <w:t xml:space="preserve">Senyvas amžius: </w:t>
      </w:r>
      <w:r w:rsidRPr="00D166EA">
        <w:rPr>
          <w:iCs/>
          <w:color w:val="auto"/>
          <w:sz w:val="22"/>
          <w:szCs w:val="22"/>
        </w:rPr>
        <w:t>a</w:t>
      </w:r>
      <w:r w:rsidRPr="00D166EA">
        <w:rPr>
          <w:color w:val="auto"/>
          <w:sz w:val="22"/>
          <w:szCs w:val="22"/>
        </w:rPr>
        <w:t>mžiaus įtaka entekaviro farmakokinetikai įvertinta lyginant ją senyvų žmonių (65</w:t>
      </w:r>
      <w:r w:rsidR="00171B93">
        <w:rPr>
          <w:color w:val="auto"/>
          <w:sz w:val="22"/>
          <w:szCs w:val="22"/>
        </w:rPr>
        <w:t>–</w:t>
      </w:r>
      <w:r w:rsidRPr="00D166EA">
        <w:rPr>
          <w:color w:val="auto"/>
          <w:sz w:val="22"/>
          <w:szCs w:val="22"/>
        </w:rPr>
        <w:t>83</w:t>
      </w:r>
      <w:r w:rsidR="00171B93">
        <w:rPr>
          <w:color w:val="auto"/>
          <w:sz w:val="22"/>
          <w:szCs w:val="22"/>
        </w:rPr>
        <w:t> </w:t>
      </w:r>
      <w:r w:rsidRPr="00D166EA">
        <w:rPr>
          <w:color w:val="auto"/>
          <w:sz w:val="22"/>
          <w:szCs w:val="22"/>
        </w:rPr>
        <w:t>metų amžiaus, moterų amžiaus vidurkis – 69, vyrų – 74</w:t>
      </w:r>
      <w:r w:rsidR="00171B93">
        <w:rPr>
          <w:color w:val="auto"/>
          <w:sz w:val="22"/>
          <w:szCs w:val="22"/>
        </w:rPr>
        <w:t> </w:t>
      </w:r>
      <w:r w:rsidRPr="00D166EA">
        <w:rPr>
          <w:color w:val="auto"/>
          <w:sz w:val="22"/>
          <w:szCs w:val="22"/>
        </w:rPr>
        <w:t xml:space="preserve"> metai) ir jaunų žmonių (20-40</w:t>
      </w:r>
      <w:r w:rsidR="00171B93">
        <w:rPr>
          <w:color w:val="auto"/>
          <w:sz w:val="22"/>
          <w:szCs w:val="22"/>
        </w:rPr>
        <w:t> </w:t>
      </w:r>
      <w:r w:rsidRPr="00D166EA">
        <w:rPr>
          <w:color w:val="auto"/>
          <w:sz w:val="22"/>
          <w:szCs w:val="22"/>
        </w:rPr>
        <w:t>metų amžiaus, moterų amžiaus vidurkis – 29, vyrų – 25 metai) organizme. AUC senyviems pacientams buvo 29</w:t>
      </w:r>
      <w:r w:rsidR="00171B93">
        <w:rPr>
          <w:color w:val="auto"/>
          <w:sz w:val="22"/>
          <w:szCs w:val="22"/>
        </w:rPr>
        <w:t> </w:t>
      </w:r>
      <w:r w:rsidRPr="00D166EA">
        <w:rPr>
          <w:color w:val="auto"/>
          <w:sz w:val="22"/>
          <w:szCs w:val="22"/>
        </w:rPr>
        <w:t>% didesnis, negu jauniems (daugiausia dėl inkstų funkcijos ir kūno svorio skirtumų). Senyvų žmonių AUC, koreguotas atsižvelgiant į skirtingą inkstų klirensą ir kūno svorį, buvo 12,5</w:t>
      </w:r>
      <w:r w:rsidR="00171B93">
        <w:rPr>
          <w:color w:val="auto"/>
          <w:sz w:val="22"/>
          <w:szCs w:val="22"/>
        </w:rPr>
        <w:t> </w:t>
      </w:r>
      <w:r w:rsidRPr="00D166EA">
        <w:rPr>
          <w:color w:val="auto"/>
          <w:sz w:val="22"/>
          <w:szCs w:val="22"/>
        </w:rPr>
        <w:t>% didesnis negu jaunų. Populiacinė farmakokinetikos analizė, kuriai imti 16-75</w:t>
      </w:r>
      <w:r w:rsidR="00171B93">
        <w:rPr>
          <w:color w:val="auto"/>
          <w:sz w:val="22"/>
          <w:szCs w:val="22"/>
        </w:rPr>
        <w:t> </w:t>
      </w:r>
      <w:r w:rsidRPr="00D166EA">
        <w:rPr>
          <w:color w:val="auto"/>
          <w:sz w:val="22"/>
          <w:szCs w:val="22"/>
        </w:rPr>
        <w:t xml:space="preserve">metų amžiaus pacientų duomenys, reikšmingos amžiaus įtakos entekaviro farmakokinetikai neparodė. </w:t>
      </w:r>
    </w:p>
    <w:p w14:paraId="674F9A5E" w14:textId="77777777" w:rsidR="00D93C05" w:rsidRPr="00D166EA" w:rsidRDefault="00D93C05" w:rsidP="00D93C05">
      <w:pPr>
        <w:pStyle w:val="Default"/>
        <w:rPr>
          <w:i/>
          <w:iCs/>
          <w:color w:val="auto"/>
          <w:sz w:val="22"/>
          <w:szCs w:val="22"/>
        </w:rPr>
      </w:pPr>
    </w:p>
    <w:p w14:paraId="73E1E92D" w14:textId="77777777" w:rsidR="00D93C05" w:rsidRPr="00D166EA" w:rsidRDefault="00D93C05" w:rsidP="00D93C05">
      <w:pPr>
        <w:pStyle w:val="Default"/>
        <w:rPr>
          <w:color w:val="auto"/>
          <w:sz w:val="22"/>
          <w:szCs w:val="22"/>
        </w:rPr>
      </w:pPr>
      <w:r w:rsidRPr="00D166EA">
        <w:rPr>
          <w:i/>
          <w:iCs/>
          <w:color w:val="auto"/>
          <w:sz w:val="22"/>
          <w:szCs w:val="22"/>
        </w:rPr>
        <w:t xml:space="preserve">Rasė: </w:t>
      </w:r>
      <w:r w:rsidRPr="00D166EA">
        <w:rPr>
          <w:color w:val="auto"/>
          <w:sz w:val="22"/>
          <w:szCs w:val="22"/>
        </w:rPr>
        <w:t xml:space="preserve">populiacinės farmakokinetikos analizė reikšmingos rasės įtakos entekaviro farmakokinetikai neparodė, tačiau išvadas galima daryti tik dėl baltųjų ir azijiečių grupių, kadangi kitose grupėse tiriamųjų buvo per mažai. </w:t>
      </w:r>
    </w:p>
    <w:p w14:paraId="3CBB6C2B" w14:textId="77777777" w:rsidR="00D93C05" w:rsidRPr="00D166EA" w:rsidRDefault="00D93C05" w:rsidP="00D93C05">
      <w:pPr>
        <w:rPr>
          <w:i/>
          <w:iCs/>
          <w:szCs w:val="22"/>
        </w:rPr>
      </w:pPr>
    </w:p>
    <w:p w14:paraId="7D317B2B" w14:textId="77777777" w:rsidR="00D93C05" w:rsidRPr="00D166EA" w:rsidRDefault="00D93C05" w:rsidP="00D93C05">
      <w:pPr>
        <w:rPr>
          <w:szCs w:val="22"/>
        </w:rPr>
      </w:pPr>
      <w:r w:rsidRPr="00D166EA">
        <w:rPr>
          <w:i/>
          <w:iCs/>
          <w:szCs w:val="22"/>
        </w:rPr>
        <w:t xml:space="preserve">Vaikų populiacija: </w:t>
      </w:r>
      <w:r w:rsidRPr="00D166EA">
        <w:rPr>
          <w:szCs w:val="22"/>
        </w:rPr>
        <w:t xml:space="preserve">tyrimo 028 metu įvertinta entekaviro farmakokinetika esant pusiausvyrinei apykaitai 24 nukleozidų anksčiau nevartojusių HBeAg teigiamų </w:t>
      </w:r>
      <w:r w:rsidR="009E3FB6">
        <w:rPr>
          <w:szCs w:val="22"/>
        </w:rPr>
        <w:t>vaikų populiacijos</w:t>
      </w:r>
      <w:r w:rsidR="00226F75">
        <w:rPr>
          <w:szCs w:val="22"/>
        </w:rPr>
        <w:t xml:space="preserve"> </w:t>
      </w:r>
      <w:r w:rsidRPr="00D166EA">
        <w:rPr>
          <w:szCs w:val="22"/>
        </w:rPr>
        <w:t>pacientams nuo 2 iki &lt;</w:t>
      </w:r>
      <w:r w:rsidR="00171B93">
        <w:rPr>
          <w:szCs w:val="22"/>
        </w:rPr>
        <w:t> </w:t>
      </w:r>
      <w:r w:rsidRPr="00D166EA">
        <w:rPr>
          <w:szCs w:val="22"/>
        </w:rPr>
        <w:t>18</w:t>
      </w:r>
      <w:r w:rsidR="00171B93">
        <w:rPr>
          <w:szCs w:val="22"/>
        </w:rPr>
        <w:t> </w:t>
      </w:r>
      <w:r w:rsidRPr="00D166EA">
        <w:rPr>
          <w:szCs w:val="22"/>
        </w:rPr>
        <w:t>metų amžiaus, kurių kepenų funkcija kompensuota. Anksčiau nukleozidais negydytiems asmenims, vartojusiems 0,015</w:t>
      </w:r>
      <w:r w:rsidR="00171B93">
        <w:rPr>
          <w:szCs w:val="22"/>
        </w:rPr>
        <w:t> </w:t>
      </w:r>
      <w:r w:rsidRPr="00D166EA">
        <w:rPr>
          <w:szCs w:val="22"/>
        </w:rPr>
        <w:t>mg/kg (iki 0,5</w:t>
      </w:r>
      <w:r w:rsidR="00171B93">
        <w:rPr>
          <w:szCs w:val="22"/>
        </w:rPr>
        <w:t> </w:t>
      </w:r>
      <w:r w:rsidRPr="00D166EA">
        <w:rPr>
          <w:szCs w:val="22"/>
        </w:rPr>
        <w:t>mg) entekaviro 1</w:t>
      </w:r>
      <w:r w:rsidR="00171B93">
        <w:rPr>
          <w:szCs w:val="22"/>
        </w:rPr>
        <w:t> </w:t>
      </w:r>
      <w:r w:rsidRPr="00D166EA">
        <w:rPr>
          <w:szCs w:val="22"/>
        </w:rPr>
        <w:t>kartą per parą, jo ekspozicija buvo panaši kaip suaugusiesiems, vartojantiems 0,5</w:t>
      </w:r>
      <w:r w:rsidR="00171B93">
        <w:rPr>
          <w:szCs w:val="22"/>
        </w:rPr>
        <w:t> </w:t>
      </w:r>
      <w:r w:rsidRPr="00D166EA">
        <w:rPr>
          <w:szCs w:val="22"/>
        </w:rPr>
        <w:t>mg 1</w:t>
      </w:r>
      <w:r w:rsidR="00171B93">
        <w:rPr>
          <w:szCs w:val="22"/>
        </w:rPr>
        <w:t> </w:t>
      </w:r>
      <w:r w:rsidRPr="00D166EA">
        <w:rPr>
          <w:szCs w:val="22"/>
        </w:rPr>
        <w:t>kartą per parą. C</w:t>
      </w:r>
      <w:r w:rsidRPr="00D166EA">
        <w:rPr>
          <w:szCs w:val="22"/>
          <w:vertAlign w:val="subscript"/>
        </w:rPr>
        <w:t>max</w:t>
      </w:r>
      <w:r w:rsidRPr="00D166EA">
        <w:rPr>
          <w:szCs w:val="22"/>
        </w:rPr>
        <w:t>, AUC</w:t>
      </w:r>
      <w:r w:rsidRPr="00D166EA">
        <w:rPr>
          <w:szCs w:val="22"/>
          <w:vertAlign w:val="subscript"/>
        </w:rPr>
        <w:t>0-24</w:t>
      </w:r>
      <w:r w:rsidRPr="00D166EA">
        <w:rPr>
          <w:szCs w:val="22"/>
        </w:rPr>
        <w:t xml:space="preserve"> ir C</w:t>
      </w:r>
      <w:r w:rsidRPr="00D166EA">
        <w:rPr>
          <w:szCs w:val="22"/>
          <w:vertAlign w:val="subscript"/>
        </w:rPr>
        <w:t xml:space="preserve">min </w:t>
      </w:r>
      <w:r w:rsidRPr="00D166EA">
        <w:rPr>
          <w:szCs w:val="22"/>
        </w:rPr>
        <w:t>jiems buvo atitinkamai 6,31</w:t>
      </w:r>
      <w:r w:rsidR="00171B93">
        <w:rPr>
          <w:szCs w:val="22"/>
        </w:rPr>
        <w:t> </w:t>
      </w:r>
      <w:r w:rsidRPr="00D166EA">
        <w:rPr>
          <w:szCs w:val="22"/>
        </w:rPr>
        <w:t>ng/ml, 18,33</w:t>
      </w:r>
      <w:r w:rsidR="00171B93">
        <w:rPr>
          <w:szCs w:val="22"/>
        </w:rPr>
        <w:t> </w:t>
      </w:r>
      <w:r w:rsidRPr="00D166EA">
        <w:rPr>
          <w:szCs w:val="22"/>
        </w:rPr>
        <w:t>ng×val./ml ir 0,28</w:t>
      </w:r>
      <w:r w:rsidR="00171B93">
        <w:rPr>
          <w:szCs w:val="22"/>
        </w:rPr>
        <w:t> </w:t>
      </w:r>
      <w:r w:rsidRPr="00D166EA">
        <w:rPr>
          <w:szCs w:val="22"/>
        </w:rPr>
        <w:t xml:space="preserve">ng/ml. </w:t>
      </w:r>
    </w:p>
    <w:p w14:paraId="6E4F20BF" w14:textId="77777777" w:rsidR="00D93C05" w:rsidRPr="00D166EA" w:rsidRDefault="00D93C05" w:rsidP="0061061F">
      <w:pPr>
        <w:rPr>
          <w:szCs w:val="22"/>
        </w:rPr>
      </w:pPr>
    </w:p>
    <w:p w14:paraId="6CA8309A" w14:textId="77777777" w:rsidR="00680329" w:rsidRPr="00D166EA" w:rsidRDefault="00680329" w:rsidP="00680329">
      <w:pPr>
        <w:pStyle w:val="Default"/>
        <w:rPr>
          <w:sz w:val="22"/>
          <w:szCs w:val="22"/>
        </w:rPr>
      </w:pPr>
      <w:r w:rsidRPr="00D166EA">
        <w:rPr>
          <w:b/>
          <w:bCs/>
          <w:sz w:val="22"/>
          <w:szCs w:val="22"/>
        </w:rPr>
        <w:t>5.3</w:t>
      </w:r>
      <w:r w:rsidRPr="00D166EA">
        <w:rPr>
          <w:b/>
          <w:bCs/>
          <w:sz w:val="22"/>
          <w:szCs w:val="22"/>
        </w:rPr>
        <w:tab/>
        <w:t xml:space="preserve">Ikiklinikinių saugumo tyrimų duomenys </w:t>
      </w:r>
    </w:p>
    <w:p w14:paraId="0B5D6F79" w14:textId="77777777" w:rsidR="00680329" w:rsidRPr="00D166EA" w:rsidRDefault="00680329" w:rsidP="00680329">
      <w:pPr>
        <w:pStyle w:val="Default"/>
        <w:rPr>
          <w:sz w:val="22"/>
          <w:szCs w:val="22"/>
        </w:rPr>
      </w:pPr>
    </w:p>
    <w:p w14:paraId="1A8A1B3F" w14:textId="77777777" w:rsidR="00680329" w:rsidRPr="00D166EA" w:rsidRDefault="00680329" w:rsidP="00680329">
      <w:pPr>
        <w:pStyle w:val="Default"/>
        <w:rPr>
          <w:sz w:val="22"/>
          <w:szCs w:val="22"/>
        </w:rPr>
      </w:pPr>
      <w:r w:rsidRPr="00D166EA">
        <w:rPr>
          <w:sz w:val="22"/>
          <w:szCs w:val="22"/>
        </w:rPr>
        <w:t>Su šunimis atlikti kartotinių dozių toksiškumo tyrimai parodė laikiną perivaskulinį uždegimą centrinėje nervų sistemoje (poveikio nesukelianti dozė atitiko 19</w:t>
      </w:r>
      <w:r w:rsidR="00171B93">
        <w:rPr>
          <w:sz w:val="22"/>
          <w:szCs w:val="22"/>
        </w:rPr>
        <w:t> </w:t>
      </w:r>
      <w:r w:rsidRPr="00D166EA">
        <w:rPr>
          <w:sz w:val="22"/>
          <w:szCs w:val="22"/>
        </w:rPr>
        <w:t>kartų didesnę ekspoziciją negu žmonėms, vartojantiems 0,5</w:t>
      </w:r>
      <w:r w:rsidR="00171B93">
        <w:rPr>
          <w:sz w:val="22"/>
          <w:szCs w:val="22"/>
        </w:rPr>
        <w:t> </w:t>
      </w:r>
      <w:r w:rsidRPr="00D166EA">
        <w:rPr>
          <w:sz w:val="22"/>
          <w:szCs w:val="22"/>
        </w:rPr>
        <w:t>mg, ir 10</w:t>
      </w:r>
      <w:r w:rsidR="00171B93">
        <w:rPr>
          <w:sz w:val="22"/>
          <w:szCs w:val="22"/>
        </w:rPr>
        <w:t> </w:t>
      </w:r>
      <w:r w:rsidRPr="00D166EA">
        <w:rPr>
          <w:sz w:val="22"/>
          <w:szCs w:val="22"/>
        </w:rPr>
        <w:t>kartų didesnę negu vartojantiems 1</w:t>
      </w:r>
      <w:r w:rsidR="00171B93">
        <w:rPr>
          <w:sz w:val="22"/>
          <w:szCs w:val="22"/>
        </w:rPr>
        <w:t> </w:t>
      </w:r>
      <w:r w:rsidRPr="00D166EA">
        <w:rPr>
          <w:sz w:val="22"/>
          <w:szCs w:val="22"/>
        </w:rPr>
        <w:t xml:space="preserve">mg). Su kitų rūšių gyvūnais (įskaitant beždžiones, kurioms entekaviro duota kasdien vienerius metus, sukeliant 100 ar daugiau </w:t>
      </w:r>
      <w:r w:rsidRPr="00D166EA">
        <w:rPr>
          <w:sz w:val="22"/>
          <w:szCs w:val="22"/>
        </w:rPr>
        <w:lastRenderedPageBreak/>
        <w:t xml:space="preserve">kartų didesnę negu būna žmogui ekspoziciją) atliktų kartotinių dozių tyrimų duomenys tokio poveikio neparodė. </w:t>
      </w:r>
    </w:p>
    <w:p w14:paraId="3F4412C2" w14:textId="77777777" w:rsidR="00680329" w:rsidRPr="00D166EA" w:rsidRDefault="00680329" w:rsidP="00680329">
      <w:pPr>
        <w:pStyle w:val="Default"/>
        <w:rPr>
          <w:sz w:val="22"/>
          <w:szCs w:val="22"/>
        </w:rPr>
      </w:pPr>
    </w:p>
    <w:p w14:paraId="31907245" w14:textId="77777777" w:rsidR="00680329" w:rsidRPr="00D166EA" w:rsidRDefault="00680329" w:rsidP="00680329">
      <w:pPr>
        <w:pStyle w:val="Default"/>
        <w:rPr>
          <w:sz w:val="22"/>
          <w:szCs w:val="22"/>
        </w:rPr>
      </w:pPr>
      <w:r w:rsidRPr="00D166EA">
        <w:rPr>
          <w:sz w:val="22"/>
          <w:szCs w:val="22"/>
        </w:rPr>
        <w:t>Tiriant toksinį poveikį reprodukcijai, gyvūnams duota entekaviro iki 4</w:t>
      </w:r>
      <w:r w:rsidR="00171B93">
        <w:rPr>
          <w:sz w:val="22"/>
          <w:szCs w:val="22"/>
        </w:rPr>
        <w:t> </w:t>
      </w:r>
      <w:r w:rsidRPr="00D166EA">
        <w:rPr>
          <w:sz w:val="22"/>
          <w:szCs w:val="22"/>
        </w:rPr>
        <w:t>savaičių. Esant didelei ekspozicijai, žiurkių patinų ar patelių vaisingumo sutrikimus rodančių duomenų negauta. Tiriant kartotinių dozių toksiškumą graužikams ir šunims (esant ≥</w:t>
      </w:r>
      <w:r w:rsidR="00171B93">
        <w:rPr>
          <w:sz w:val="22"/>
          <w:szCs w:val="22"/>
        </w:rPr>
        <w:t> </w:t>
      </w:r>
      <w:r w:rsidRPr="00D166EA">
        <w:rPr>
          <w:sz w:val="22"/>
          <w:szCs w:val="22"/>
        </w:rPr>
        <w:t>26</w:t>
      </w:r>
      <w:r w:rsidR="00171B93">
        <w:rPr>
          <w:sz w:val="22"/>
          <w:szCs w:val="22"/>
        </w:rPr>
        <w:t> </w:t>
      </w:r>
      <w:r w:rsidRPr="00D166EA">
        <w:rPr>
          <w:sz w:val="22"/>
          <w:szCs w:val="22"/>
        </w:rPr>
        <w:t xml:space="preserve">kartus didesnei negu būna žmogui ekspozicijai), rasta sėklidžių pokyčių (sėklinių kanalėlių degeneracija). Vienerių metų trukmės tyrimas beždžionių sėklidžių pokyčių neparodė. </w:t>
      </w:r>
    </w:p>
    <w:p w14:paraId="0D7C9A16" w14:textId="77777777" w:rsidR="00680329" w:rsidRPr="00D166EA" w:rsidRDefault="00680329" w:rsidP="00680329">
      <w:pPr>
        <w:rPr>
          <w:szCs w:val="22"/>
        </w:rPr>
      </w:pPr>
    </w:p>
    <w:p w14:paraId="002FE961" w14:textId="77777777" w:rsidR="00D93C05" w:rsidRPr="00D166EA" w:rsidRDefault="00680329" w:rsidP="00680329">
      <w:pPr>
        <w:rPr>
          <w:szCs w:val="22"/>
        </w:rPr>
      </w:pPr>
      <w:r w:rsidRPr="00D166EA">
        <w:rPr>
          <w:szCs w:val="22"/>
        </w:rPr>
        <w:t>Duodant entekaviro vaikingoms žiurkių ir triušių patelėms, toksinio poveikio embrionui ir vaikingai patelei nesukeliančios ekspozicijos atitiko ≥</w:t>
      </w:r>
      <w:r w:rsidR="00171B93">
        <w:rPr>
          <w:szCs w:val="22"/>
        </w:rPr>
        <w:t> </w:t>
      </w:r>
      <w:r w:rsidRPr="00D166EA">
        <w:rPr>
          <w:szCs w:val="22"/>
        </w:rPr>
        <w:t>21</w:t>
      </w:r>
      <w:r w:rsidR="00171B93">
        <w:rPr>
          <w:szCs w:val="22"/>
        </w:rPr>
        <w:t> </w:t>
      </w:r>
      <w:r w:rsidRPr="00D166EA">
        <w:rPr>
          <w:szCs w:val="22"/>
        </w:rPr>
        <w:t xml:space="preserve">kartą didesnes ekspozicijas, negu būna žmogui. Tyrimų su žiurkėmis metu esant didelei ekspozicijai pastebėtas toksinis poveikis vaikingai patelei bei embrionui ar vaisiui (rezorbcija), mažesnis vaisių kūno svoris, uodegos ir slankstelių apsigimimų, uždelstas slankstelių, </w:t>
      </w:r>
      <w:r w:rsidR="002B351B">
        <w:rPr>
          <w:szCs w:val="22"/>
        </w:rPr>
        <w:t>krūtinkaulių</w:t>
      </w:r>
      <w:r w:rsidRPr="00D166EA">
        <w:rPr>
          <w:szCs w:val="22"/>
        </w:rPr>
        <w:t xml:space="preserve"> (pirminių krūtinkaulio segmentų) ir </w:t>
      </w:r>
      <w:r w:rsidR="002B351B">
        <w:rPr>
          <w:szCs w:val="22"/>
        </w:rPr>
        <w:t>pirštikaulių</w:t>
      </w:r>
      <w:r w:rsidRPr="00D166EA">
        <w:rPr>
          <w:szCs w:val="22"/>
        </w:rPr>
        <w:t xml:space="preserve"> kaulėjimas, rasta papildomų juosmens slankstelių ir šonkaulių. Tyrimų su triušiais metu esant didelei ekspozicijai pastebėtas toksinis poveikis embrionui ar vaisiui (rezorbcija), uždelstas poliežuvinio kaulo kaulėjimas, dažniau rastas 13-as šonkaulis. Su žiurkėmis atlikto perinatalinio ir postnatalinio tyrimo metu kenksmingo poveikio atsivestiems jaunikliams nenustatyta. Atskiro tyrimo metu entekaviro duodant žiurkėms 10</w:t>
      </w:r>
      <w:r w:rsidR="00171B93">
        <w:rPr>
          <w:szCs w:val="22"/>
        </w:rPr>
        <w:t> </w:t>
      </w:r>
      <w:r w:rsidRPr="00D166EA">
        <w:rPr>
          <w:szCs w:val="22"/>
        </w:rPr>
        <w:t>mg/kg dozėmis vaikingumo ir laktacijos laikotarpiais, nustatyta vaisiaus ekspozicija entekavirui, vaistinio preparato aptikta ir piene. Žiurkių jaunikliams davus entekaviro 4-80</w:t>
      </w:r>
      <w:r w:rsidR="00171B93">
        <w:rPr>
          <w:szCs w:val="22"/>
        </w:rPr>
        <w:t> </w:t>
      </w:r>
      <w:r w:rsidRPr="00D166EA">
        <w:rPr>
          <w:szCs w:val="22"/>
        </w:rPr>
        <w:t>dienomis po atsivedimo, vėliau (110-114</w:t>
      </w:r>
      <w:r w:rsidR="00171B93">
        <w:rPr>
          <w:szCs w:val="22"/>
        </w:rPr>
        <w:t> </w:t>
      </w:r>
      <w:r w:rsidRPr="00D166EA">
        <w:rPr>
          <w:szCs w:val="22"/>
        </w:rPr>
        <w:t>dienomis po atsivedimo) nustatyta saikingai susilpnėjusi akustinė išgąsčio reakcija, tačiau, kol joms buvo duodama šio vaistinio preparato, tokio pokyčio nepastebėta (AUC buvo ≥</w:t>
      </w:r>
      <w:r w:rsidR="00171B93">
        <w:rPr>
          <w:szCs w:val="22"/>
        </w:rPr>
        <w:t> </w:t>
      </w:r>
      <w:r w:rsidRPr="00D166EA">
        <w:rPr>
          <w:szCs w:val="22"/>
        </w:rPr>
        <w:t>92</w:t>
      </w:r>
      <w:r w:rsidR="00171B93">
        <w:rPr>
          <w:szCs w:val="22"/>
        </w:rPr>
        <w:t> </w:t>
      </w:r>
      <w:r w:rsidRPr="00D166EA">
        <w:rPr>
          <w:szCs w:val="22"/>
        </w:rPr>
        <w:t>kartus didesnė negu 0,5</w:t>
      </w:r>
      <w:r w:rsidR="00171B93">
        <w:rPr>
          <w:szCs w:val="22"/>
        </w:rPr>
        <w:t> </w:t>
      </w:r>
      <w:r w:rsidRPr="00D166EA">
        <w:rPr>
          <w:szCs w:val="22"/>
        </w:rPr>
        <w:t>mg dozę vartojantiems suaugusiesiems ir atitinkamą dozę vartojantiems vaikams). Atsižvelgiant į ekspozicijos ribas, manoma, kad šie duomenys neturėtų būti reikšmingi klinikai.</w:t>
      </w:r>
    </w:p>
    <w:p w14:paraId="4918E83C" w14:textId="77777777" w:rsidR="00D93C05" w:rsidRPr="00D166EA" w:rsidRDefault="00D93C05" w:rsidP="0061061F">
      <w:pPr>
        <w:rPr>
          <w:szCs w:val="22"/>
        </w:rPr>
      </w:pPr>
    </w:p>
    <w:p w14:paraId="5B920FE7" w14:textId="77777777" w:rsidR="00680329" w:rsidRPr="00D166EA" w:rsidRDefault="00680329" w:rsidP="00680329">
      <w:pPr>
        <w:pStyle w:val="Default"/>
        <w:rPr>
          <w:sz w:val="22"/>
          <w:szCs w:val="22"/>
        </w:rPr>
      </w:pPr>
      <w:r w:rsidRPr="00D166EA">
        <w:rPr>
          <w:sz w:val="22"/>
          <w:szCs w:val="22"/>
        </w:rPr>
        <w:t xml:space="preserve">Ames mikrobiologinis mutageninio poveikio tyrimas, žinduolių ląstelių genų mutacijų mėginys ir su Sirijos žiurkėno embrioninėmis ląstelėmis atliktas transformacijos tyrimas genotoksinio poveikio neparodė. Mikrobranduolių tyrimo ir DNR reparacijos tyrimo su žiurkėmis duomenys taip pat buvo neigiami. Entekaviras sukėlė klastogeninį poveikį auginamiems žmogaus limfocitams esant gerokai didesnėms negu būna klinikoje koncentracijoms. </w:t>
      </w:r>
    </w:p>
    <w:p w14:paraId="0D78EB6F" w14:textId="77777777" w:rsidR="00680329" w:rsidRPr="00D166EA" w:rsidRDefault="00680329" w:rsidP="00680329">
      <w:pPr>
        <w:pStyle w:val="Default"/>
        <w:rPr>
          <w:sz w:val="22"/>
          <w:szCs w:val="22"/>
        </w:rPr>
      </w:pPr>
    </w:p>
    <w:p w14:paraId="72ECC4FB" w14:textId="77777777" w:rsidR="00680329" w:rsidRPr="00D166EA" w:rsidRDefault="00680329" w:rsidP="00680329">
      <w:pPr>
        <w:rPr>
          <w:szCs w:val="22"/>
        </w:rPr>
      </w:pPr>
      <w:r w:rsidRPr="00D166EA">
        <w:rPr>
          <w:szCs w:val="22"/>
        </w:rPr>
        <w:t>2 metų trukmės kancerogeninio poveikio tyrimas, atliktas su pelių patinais, parodė plaučių navikų padažnėjimą esant atitinkamai 4 ar daugiau bei 2 ar daugiau kartų didesnei ekspozicijai negu būna žmonėms, vartojantiems atitinkamai 0,5</w:t>
      </w:r>
      <w:r w:rsidR="00171B93">
        <w:rPr>
          <w:szCs w:val="22"/>
        </w:rPr>
        <w:t> </w:t>
      </w:r>
      <w:r w:rsidRPr="00D166EA">
        <w:rPr>
          <w:szCs w:val="22"/>
        </w:rPr>
        <w:t>mg ir 1</w:t>
      </w:r>
      <w:r w:rsidR="00171B93">
        <w:rPr>
          <w:szCs w:val="22"/>
        </w:rPr>
        <w:t> </w:t>
      </w:r>
      <w:r w:rsidRPr="00D166EA">
        <w:rPr>
          <w:szCs w:val="22"/>
        </w:rPr>
        <w:t xml:space="preserve">mg. Prieš išaugant navikams, plaučiuose būdavo nustatoma pneumocitų proliferacija, kurios nerasta nei žiurkėms, nei šunims, nei beždžionėms. Tai rodo, kad pelėms pastebėto plaučių navikų augimo esminis mechanizmas buvo rūšiai specifinis. Kitų navikų (smegenų gliomų žiurkių patinams ir patelėms, kepenų karcinomų pelių patinams, gerybinių kraujagyslių navikų pelių patelėms bei kepenų adenomų ir karcinomų žiurkių patelėms) padažnėjimas nustatytas tik visą gyvenimą esant didelei ekspozicijai. Vis dėlto poveikio nesukeliančios koncentracijos tiksliai nustatyti nepavyko. Ar iš šių duomenų galima </w:t>
      </w:r>
      <w:r w:rsidR="00EE58BB" w:rsidRPr="00D166EA">
        <w:rPr>
          <w:szCs w:val="22"/>
        </w:rPr>
        <w:t>prognozuoti</w:t>
      </w:r>
      <w:r w:rsidRPr="00D166EA">
        <w:rPr>
          <w:szCs w:val="22"/>
        </w:rPr>
        <w:t xml:space="preserve"> poveikį žmogui, nežinoma.</w:t>
      </w:r>
      <w:r w:rsidR="00365DFA" w:rsidRPr="00365DFA">
        <w:t xml:space="preserve"> </w:t>
      </w:r>
      <w:r w:rsidR="00365DFA" w:rsidRPr="00365DFA">
        <w:rPr>
          <w:szCs w:val="22"/>
        </w:rPr>
        <w:t>Klinikiniai duomenys pateik</w:t>
      </w:r>
      <w:r w:rsidR="00365DFA">
        <w:rPr>
          <w:szCs w:val="22"/>
        </w:rPr>
        <w:t>ti</w:t>
      </w:r>
      <w:r w:rsidR="00365DFA" w:rsidRPr="00365DFA">
        <w:rPr>
          <w:szCs w:val="22"/>
        </w:rPr>
        <w:t xml:space="preserve"> 5.1 skyriuje.</w:t>
      </w:r>
    </w:p>
    <w:p w14:paraId="004DD237" w14:textId="77777777" w:rsidR="00680329" w:rsidRPr="00D166EA" w:rsidRDefault="00680329" w:rsidP="0061061F">
      <w:pPr>
        <w:rPr>
          <w:szCs w:val="22"/>
        </w:rPr>
      </w:pPr>
    </w:p>
    <w:p w14:paraId="4486335D" w14:textId="77777777" w:rsidR="0061061F" w:rsidRPr="00D166EA" w:rsidRDefault="0061061F" w:rsidP="0061061F">
      <w:pPr>
        <w:rPr>
          <w:szCs w:val="22"/>
        </w:rPr>
      </w:pPr>
    </w:p>
    <w:p w14:paraId="6B6D5724" w14:textId="77777777" w:rsidR="0061061F" w:rsidRPr="00D166EA" w:rsidRDefault="0061061F" w:rsidP="0061061F">
      <w:pPr>
        <w:pStyle w:val="Antrat3"/>
        <w:spacing w:before="0" w:after="0"/>
        <w:rPr>
          <w:rFonts w:ascii="Times New Roman" w:hAnsi="Times New Roman"/>
          <w:sz w:val="22"/>
          <w:szCs w:val="22"/>
        </w:rPr>
      </w:pPr>
      <w:r w:rsidRPr="00D166EA">
        <w:rPr>
          <w:rFonts w:ascii="Times New Roman" w:hAnsi="Times New Roman"/>
          <w:sz w:val="22"/>
          <w:szCs w:val="22"/>
        </w:rPr>
        <w:t>6.</w:t>
      </w:r>
      <w:r w:rsidRPr="00D166EA">
        <w:rPr>
          <w:rFonts w:ascii="Times New Roman" w:hAnsi="Times New Roman"/>
          <w:sz w:val="22"/>
          <w:szCs w:val="22"/>
        </w:rPr>
        <w:tab/>
        <w:t>FARMACINĖ INFORMACIJA</w:t>
      </w:r>
    </w:p>
    <w:p w14:paraId="5CB4FEEE" w14:textId="77777777" w:rsidR="0061061F" w:rsidRPr="00D166EA" w:rsidRDefault="0061061F" w:rsidP="0061061F">
      <w:pPr>
        <w:rPr>
          <w:szCs w:val="22"/>
        </w:rPr>
      </w:pPr>
    </w:p>
    <w:p w14:paraId="26A4DE3C" w14:textId="77777777" w:rsidR="0061061F" w:rsidRPr="00D166EA" w:rsidRDefault="0061061F" w:rsidP="00D13E1C">
      <w:pPr>
        <w:rPr>
          <w:b/>
          <w:szCs w:val="22"/>
        </w:rPr>
      </w:pPr>
      <w:r w:rsidRPr="00D166EA">
        <w:rPr>
          <w:b/>
          <w:szCs w:val="22"/>
        </w:rPr>
        <w:t>6.1</w:t>
      </w:r>
      <w:r w:rsidRPr="00D166EA">
        <w:rPr>
          <w:b/>
          <w:szCs w:val="22"/>
        </w:rPr>
        <w:tab/>
        <w:t>Pagalbinių medžiagų sąrašas</w:t>
      </w:r>
    </w:p>
    <w:p w14:paraId="1DEE5B3F" w14:textId="77777777" w:rsidR="0061061F" w:rsidRPr="00D166EA" w:rsidRDefault="0061061F" w:rsidP="0061061F">
      <w:pPr>
        <w:rPr>
          <w:szCs w:val="22"/>
        </w:rPr>
      </w:pPr>
    </w:p>
    <w:p w14:paraId="5C2F433F" w14:textId="77777777" w:rsidR="0061061F" w:rsidRPr="00D166EA" w:rsidRDefault="0061061F" w:rsidP="00D13E1C">
      <w:pPr>
        <w:pStyle w:val="Pagrindinistekstas"/>
        <w:spacing w:after="0"/>
        <w:rPr>
          <w:szCs w:val="22"/>
          <w:u w:val="single"/>
        </w:rPr>
      </w:pPr>
      <w:r w:rsidRPr="00D166EA">
        <w:rPr>
          <w:szCs w:val="22"/>
          <w:u w:val="single"/>
        </w:rPr>
        <w:t>Tabletės branduolys</w:t>
      </w:r>
    </w:p>
    <w:p w14:paraId="1C33AD0B" w14:textId="77777777" w:rsidR="0061061F" w:rsidRPr="00D166EA" w:rsidRDefault="0061061F" w:rsidP="00D13E1C">
      <w:pPr>
        <w:rPr>
          <w:rFonts w:eastAsia="MS Mincho"/>
          <w:szCs w:val="22"/>
        </w:rPr>
      </w:pPr>
      <w:r w:rsidRPr="00D166EA">
        <w:rPr>
          <w:rFonts w:eastAsia="MS Mincho"/>
          <w:szCs w:val="22"/>
        </w:rPr>
        <w:t>Laktozė monohidratas</w:t>
      </w:r>
    </w:p>
    <w:p w14:paraId="05823AB8" w14:textId="77777777" w:rsidR="0061061F" w:rsidRPr="00D166EA" w:rsidRDefault="0061061F" w:rsidP="0061061F">
      <w:pPr>
        <w:rPr>
          <w:rFonts w:eastAsia="MS Mincho"/>
          <w:szCs w:val="22"/>
        </w:rPr>
      </w:pPr>
      <w:r w:rsidRPr="00D166EA">
        <w:rPr>
          <w:rFonts w:eastAsia="MS Mincho"/>
          <w:szCs w:val="22"/>
        </w:rPr>
        <w:t xml:space="preserve">Mikrokristalinė celiuliozė </w:t>
      </w:r>
    </w:p>
    <w:p w14:paraId="70134F67" w14:textId="77777777" w:rsidR="0061061F" w:rsidRPr="00D166EA" w:rsidRDefault="0061061F" w:rsidP="0061061F">
      <w:pPr>
        <w:rPr>
          <w:rFonts w:eastAsia="MS Mincho"/>
          <w:szCs w:val="22"/>
        </w:rPr>
      </w:pPr>
      <w:r w:rsidRPr="00D166EA">
        <w:rPr>
          <w:rFonts w:eastAsia="MS Mincho"/>
          <w:szCs w:val="22"/>
        </w:rPr>
        <w:t>K</w:t>
      </w:r>
      <w:r w:rsidR="00EE58BB" w:rsidRPr="00D166EA">
        <w:rPr>
          <w:rFonts w:eastAsia="MS Mincho"/>
          <w:szCs w:val="22"/>
        </w:rPr>
        <w:t>rospovidonas (</w:t>
      </w:r>
      <w:r w:rsidRPr="00D166EA">
        <w:rPr>
          <w:rFonts w:eastAsia="MS Mincho"/>
          <w:szCs w:val="22"/>
        </w:rPr>
        <w:t xml:space="preserve">A </w:t>
      </w:r>
      <w:r w:rsidR="00EE58BB" w:rsidRPr="00D166EA">
        <w:rPr>
          <w:rFonts w:eastAsia="MS Mincho"/>
          <w:szCs w:val="22"/>
        </w:rPr>
        <w:t>tipo)</w:t>
      </w:r>
      <w:r w:rsidRPr="00D166EA">
        <w:rPr>
          <w:rFonts w:eastAsia="MS Mincho"/>
          <w:szCs w:val="22"/>
        </w:rPr>
        <w:t xml:space="preserve"> </w:t>
      </w:r>
    </w:p>
    <w:p w14:paraId="2FDA02DA" w14:textId="77777777" w:rsidR="00D13E1C" w:rsidRPr="00D166EA" w:rsidRDefault="00EE58BB" w:rsidP="0061061F">
      <w:pPr>
        <w:rPr>
          <w:rFonts w:eastAsia="MS Mincho"/>
          <w:szCs w:val="22"/>
        </w:rPr>
      </w:pPr>
      <w:r w:rsidRPr="00D166EA">
        <w:rPr>
          <w:rFonts w:eastAsia="MS Mincho"/>
          <w:szCs w:val="22"/>
        </w:rPr>
        <w:t>Magnio stearatas</w:t>
      </w:r>
    </w:p>
    <w:p w14:paraId="59AC3657" w14:textId="77777777" w:rsidR="0061061F" w:rsidRPr="00D166EA" w:rsidRDefault="0061061F" w:rsidP="00D13E1C">
      <w:pPr>
        <w:pStyle w:val="Pagrindinistekstas"/>
        <w:spacing w:after="0"/>
        <w:rPr>
          <w:iCs/>
          <w:szCs w:val="22"/>
        </w:rPr>
      </w:pPr>
    </w:p>
    <w:p w14:paraId="3EAD9CF2" w14:textId="77777777" w:rsidR="0061061F" w:rsidRPr="00D166EA" w:rsidRDefault="0061061F" w:rsidP="00D13E1C">
      <w:pPr>
        <w:pStyle w:val="Pagrindinistekstas"/>
        <w:spacing w:after="0"/>
        <w:rPr>
          <w:szCs w:val="22"/>
          <w:u w:val="single"/>
        </w:rPr>
      </w:pPr>
      <w:r w:rsidRPr="00D166EA">
        <w:rPr>
          <w:szCs w:val="22"/>
          <w:u w:val="single"/>
        </w:rPr>
        <w:t>Tabletės plėvelė</w:t>
      </w:r>
    </w:p>
    <w:p w14:paraId="256AB4A0" w14:textId="77777777" w:rsidR="00D13E1C" w:rsidRPr="00D166EA" w:rsidRDefault="00D13E1C" w:rsidP="00D13E1C">
      <w:pPr>
        <w:pStyle w:val="Pagrindinistekstas"/>
        <w:spacing w:after="0"/>
        <w:rPr>
          <w:color w:val="000000"/>
          <w:szCs w:val="22"/>
        </w:rPr>
      </w:pPr>
      <w:r w:rsidRPr="00D166EA">
        <w:rPr>
          <w:color w:val="000000"/>
          <w:szCs w:val="22"/>
        </w:rPr>
        <w:t xml:space="preserve">Hipromeliozė </w:t>
      </w:r>
      <w:r w:rsidR="00EE58BB" w:rsidRPr="00D166EA">
        <w:rPr>
          <w:color w:val="000000"/>
          <w:szCs w:val="22"/>
        </w:rPr>
        <w:t>2910</w:t>
      </w:r>
    </w:p>
    <w:p w14:paraId="09A02742" w14:textId="77777777" w:rsidR="0061061F" w:rsidRPr="00D166EA" w:rsidRDefault="0061061F" w:rsidP="00D13E1C">
      <w:pPr>
        <w:pStyle w:val="Pagrindinistekstas"/>
        <w:spacing w:after="0"/>
        <w:rPr>
          <w:szCs w:val="22"/>
          <w:u w:val="single"/>
        </w:rPr>
      </w:pPr>
      <w:r w:rsidRPr="00D166EA">
        <w:rPr>
          <w:color w:val="000000"/>
          <w:szCs w:val="22"/>
        </w:rPr>
        <w:t xml:space="preserve">Makrogolis </w:t>
      </w:r>
      <w:r w:rsidR="00EE58BB" w:rsidRPr="00D166EA">
        <w:rPr>
          <w:color w:val="000000"/>
          <w:szCs w:val="22"/>
        </w:rPr>
        <w:t>6000</w:t>
      </w:r>
    </w:p>
    <w:p w14:paraId="600ECD3E" w14:textId="77777777" w:rsidR="0061061F" w:rsidRPr="00D166EA" w:rsidRDefault="00EE58BB" w:rsidP="00D13E1C">
      <w:pPr>
        <w:rPr>
          <w:color w:val="000000"/>
          <w:szCs w:val="22"/>
        </w:rPr>
      </w:pPr>
      <w:r w:rsidRPr="00D166EA">
        <w:rPr>
          <w:color w:val="000000"/>
          <w:szCs w:val="22"/>
        </w:rPr>
        <w:lastRenderedPageBreak/>
        <w:t>Titano dioksidas (E171)</w:t>
      </w:r>
    </w:p>
    <w:p w14:paraId="32E49B31" w14:textId="77777777" w:rsidR="00EE58BB" w:rsidRPr="00D166EA" w:rsidRDefault="00EE58BB" w:rsidP="00D13E1C">
      <w:pPr>
        <w:rPr>
          <w:szCs w:val="22"/>
        </w:rPr>
      </w:pPr>
      <w:r w:rsidRPr="00D166EA">
        <w:rPr>
          <w:szCs w:val="22"/>
        </w:rPr>
        <w:t>Talkas</w:t>
      </w:r>
    </w:p>
    <w:p w14:paraId="07226E36" w14:textId="77777777" w:rsidR="00EE58BB" w:rsidRPr="00D166EA" w:rsidRDefault="00EE58BB" w:rsidP="00D13E1C">
      <w:pPr>
        <w:rPr>
          <w:szCs w:val="22"/>
        </w:rPr>
      </w:pPr>
    </w:p>
    <w:p w14:paraId="4EEAC510" w14:textId="77777777" w:rsidR="00EE58BB" w:rsidRPr="00D166EA" w:rsidRDefault="00EE58BB" w:rsidP="00D13E1C">
      <w:pPr>
        <w:rPr>
          <w:szCs w:val="22"/>
        </w:rPr>
      </w:pPr>
      <w:r w:rsidRPr="00D166EA">
        <w:rPr>
          <w:szCs w:val="22"/>
        </w:rPr>
        <w:t>En</w:t>
      </w:r>
      <w:r w:rsidR="00704E3F" w:rsidRPr="00D166EA">
        <w:rPr>
          <w:szCs w:val="22"/>
        </w:rPr>
        <w:t>t</w:t>
      </w:r>
      <w:r w:rsidRPr="00D166EA">
        <w:rPr>
          <w:szCs w:val="22"/>
        </w:rPr>
        <w:t>ecavir Sandoz 1</w:t>
      </w:r>
      <w:r w:rsidR="007B6515">
        <w:rPr>
          <w:szCs w:val="22"/>
        </w:rPr>
        <w:t> </w:t>
      </w:r>
      <w:r w:rsidRPr="00D166EA">
        <w:rPr>
          <w:szCs w:val="22"/>
        </w:rPr>
        <w:t>mg plėvele dengtų tablečių sudėtyje papildomai yra:</w:t>
      </w:r>
    </w:p>
    <w:p w14:paraId="1F96E08A" w14:textId="77777777" w:rsidR="00EE58BB" w:rsidRPr="00D166EA" w:rsidRDefault="00EE58BB" w:rsidP="00D13E1C">
      <w:pPr>
        <w:rPr>
          <w:szCs w:val="22"/>
        </w:rPr>
      </w:pPr>
      <w:r w:rsidRPr="00D166EA">
        <w:rPr>
          <w:szCs w:val="22"/>
        </w:rPr>
        <w:t>Raudonasis geležies oksidas (E17</w:t>
      </w:r>
      <w:r w:rsidR="00BF2076">
        <w:rPr>
          <w:szCs w:val="22"/>
        </w:rPr>
        <w:t>2</w:t>
      </w:r>
      <w:r w:rsidRPr="00D166EA">
        <w:rPr>
          <w:szCs w:val="22"/>
        </w:rPr>
        <w:t xml:space="preserve">) </w:t>
      </w:r>
    </w:p>
    <w:p w14:paraId="7A30CCEB" w14:textId="77777777" w:rsidR="00EE58BB" w:rsidRPr="00D166EA" w:rsidRDefault="00EE58BB" w:rsidP="00EE58BB">
      <w:pPr>
        <w:rPr>
          <w:szCs w:val="22"/>
        </w:rPr>
      </w:pPr>
      <w:r w:rsidRPr="00D166EA">
        <w:rPr>
          <w:szCs w:val="22"/>
        </w:rPr>
        <w:t>Geltonasis geležies oksidas (E17</w:t>
      </w:r>
      <w:r w:rsidR="00BF2076">
        <w:rPr>
          <w:szCs w:val="22"/>
        </w:rPr>
        <w:t>2</w:t>
      </w:r>
      <w:r w:rsidRPr="00D166EA">
        <w:rPr>
          <w:szCs w:val="22"/>
        </w:rPr>
        <w:t xml:space="preserve">) </w:t>
      </w:r>
    </w:p>
    <w:p w14:paraId="3D325BD1" w14:textId="77777777" w:rsidR="00EE58BB" w:rsidRPr="00D166EA" w:rsidRDefault="00EE58BB" w:rsidP="00D13E1C">
      <w:pPr>
        <w:rPr>
          <w:szCs w:val="22"/>
        </w:rPr>
      </w:pPr>
    </w:p>
    <w:p w14:paraId="4FF931EC" w14:textId="77777777" w:rsidR="0061061F" w:rsidRPr="00D166EA" w:rsidRDefault="0061061F" w:rsidP="00D13E1C">
      <w:pPr>
        <w:rPr>
          <w:b/>
          <w:szCs w:val="22"/>
        </w:rPr>
      </w:pPr>
      <w:r w:rsidRPr="00D166EA">
        <w:rPr>
          <w:b/>
          <w:szCs w:val="22"/>
        </w:rPr>
        <w:t>6.2</w:t>
      </w:r>
      <w:r w:rsidRPr="00D166EA">
        <w:rPr>
          <w:b/>
          <w:szCs w:val="22"/>
        </w:rPr>
        <w:tab/>
        <w:t>Nesuderinamumas</w:t>
      </w:r>
    </w:p>
    <w:p w14:paraId="25FD1223" w14:textId="77777777" w:rsidR="0061061F" w:rsidRPr="00D166EA" w:rsidRDefault="0061061F" w:rsidP="0061061F">
      <w:pPr>
        <w:rPr>
          <w:szCs w:val="22"/>
        </w:rPr>
      </w:pPr>
    </w:p>
    <w:p w14:paraId="78AD95AA" w14:textId="77777777" w:rsidR="0061061F" w:rsidRPr="00D166EA" w:rsidRDefault="0061061F" w:rsidP="0061061F">
      <w:pPr>
        <w:rPr>
          <w:szCs w:val="22"/>
        </w:rPr>
      </w:pPr>
      <w:r w:rsidRPr="00D166EA">
        <w:rPr>
          <w:szCs w:val="22"/>
        </w:rPr>
        <w:t>Duomenys nebūtini.</w:t>
      </w:r>
    </w:p>
    <w:p w14:paraId="36538981" w14:textId="77777777" w:rsidR="0061061F" w:rsidRPr="00D166EA" w:rsidRDefault="0061061F" w:rsidP="0061061F">
      <w:pPr>
        <w:rPr>
          <w:szCs w:val="22"/>
        </w:rPr>
      </w:pPr>
    </w:p>
    <w:p w14:paraId="3DCEDF53" w14:textId="77777777" w:rsidR="0061061F" w:rsidRPr="00D166EA" w:rsidRDefault="0061061F" w:rsidP="00D13E1C">
      <w:pPr>
        <w:rPr>
          <w:b/>
          <w:szCs w:val="22"/>
        </w:rPr>
      </w:pPr>
      <w:r w:rsidRPr="00D166EA">
        <w:rPr>
          <w:b/>
          <w:szCs w:val="22"/>
        </w:rPr>
        <w:t>6.3</w:t>
      </w:r>
      <w:r w:rsidRPr="00D166EA">
        <w:rPr>
          <w:b/>
          <w:szCs w:val="22"/>
        </w:rPr>
        <w:tab/>
        <w:t>Tinkamumo laikas</w:t>
      </w:r>
    </w:p>
    <w:p w14:paraId="445A353D" w14:textId="77777777" w:rsidR="0061061F" w:rsidRPr="00D166EA" w:rsidRDefault="0061061F" w:rsidP="00D13E1C">
      <w:pPr>
        <w:rPr>
          <w:szCs w:val="22"/>
        </w:rPr>
      </w:pPr>
    </w:p>
    <w:p w14:paraId="53B946F1" w14:textId="77777777" w:rsidR="00EE58BB" w:rsidRPr="00D166EA" w:rsidRDefault="00C65B65" w:rsidP="00D13E1C">
      <w:pPr>
        <w:rPr>
          <w:szCs w:val="22"/>
        </w:rPr>
      </w:pPr>
      <w:r>
        <w:rPr>
          <w:szCs w:val="22"/>
        </w:rPr>
        <w:t>L</w:t>
      </w:r>
      <w:r w:rsidR="00EE58BB" w:rsidRPr="00D166EA">
        <w:rPr>
          <w:szCs w:val="22"/>
        </w:rPr>
        <w:t>izdinė plokštelė</w:t>
      </w:r>
    </w:p>
    <w:p w14:paraId="05E366F8" w14:textId="77777777" w:rsidR="0061061F" w:rsidRPr="00D166EA" w:rsidRDefault="0061061F" w:rsidP="00D13E1C">
      <w:pPr>
        <w:rPr>
          <w:szCs w:val="22"/>
        </w:rPr>
      </w:pPr>
      <w:r w:rsidRPr="00D166EA">
        <w:rPr>
          <w:szCs w:val="22"/>
        </w:rPr>
        <w:t>3 metai.</w:t>
      </w:r>
    </w:p>
    <w:p w14:paraId="7FF1DC48" w14:textId="77777777" w:rsidR="0061061F" w:rsidRPr="00D166EA" w:rsidRDefault="0061061F" w:rsidP="00D13E1C">
      <w:pPr>
        <w:rPr>
          <w:szCs w:val="22"/>
        </w:rPr>
      </w:pPr>
    </w:p>
    <w:p w14:paraId="7C9CAC17" w14:textId="77777777" w:rsidR="00EE58BB" w:rsidRPr="00D166EA" w:rsidRDefault="00EE58BB" w:rsidP="00D13E1C">
      <w:pPr>
        <w:rPr>
          <w:szCs w:val="22"/>
        </w:rPr>
      </w:pPr>
      <w:r w:rsidRPr="00D166EA">
        <w:rPr>
          <w:szCs w:val="22"/>
        </w:rPr>
        <w:t>DTPE buteliukas</w:t>
      </w:r>
    </w:p>
    <w:p w14:paraId="2182EAF7" w14:textId="77777777" w:rsidR="00EE58BB" w:rsidRPr="00D166EA" w:rsidRDefault="00EE58BB" w:rsidP="00D13E1C">
      <w:pPr>
        <w:rPr>
          <w:szCs w:val="22"/>
        </w:rPr>
      </w:pPr>
      <w:r w:rsidRPr="00D166EA">
        <w:rPr>
          <w:szCs w:val="22"/>
        </w:rPr>
        <w:t>2 metai</w:t>
      </w:r>
    </w:p>
    <w:p w14:paraId="367CBBE8" w14:textId="77777777" w:rsidR="00EE58BB" w:rsidRPr="00D166EA" w:rsidRDefault="007B6515" w:rsidP="00D13E1C">
      <w:pPr>
        <w:rPr>
          <w:szCs w:val="22"/>
        </w:rPr>
      </w:pPr>
      <w:r>
        <w:rPr>
          <w:szCs w:val="22"/>
        </w:rPr>
        <w:t>Pirmą kartą atidarius</w:t>
      </w:r>
      <w:r w:rsidR="00EE58BB" w:rsidRPr="00D166EA">
        <w:rPr>
          <w:szCs w:val="22"/>
        </w:rPr>
        <w:t xml:space="preserve"> : 6</w:t>
      </w:r>
      <w:r w:rsidR="00171B93">
        <w:rPr>
          <w:szCs w:val="22"/>
        </w:rPr>
        <w:t> </w:t>
      </w:r>
      <w:r w:rsidR="00EE58BB" w:rsidRPr="00D166EA">
        <w:rPr>
          <w:szCs w:val="22"/>
        </w:rPr>
        <w:t>mėnesiai</w:t>
      </w:r>
      <w:r w:rsidR="00DA1FF2">
        <w:rPr>
          <w:szCs w:val="22"/>
        </w:rPr>
        <w:t>.</w:t>
      </w:r>
    </w:p>
    <w:p w14:paraId="6A417345" w14:textId="77777777" w:rsidR="00EE58BB" w:rsidRPr="00D166EA" w:rsidRDefault="00EE58BB" w:rsidP="00D13E1C">
      <w:pPr>
        <w:rPr>
          <w:szCs w:val="22"/>
        </w:rPr>
      </w:pPr>
    </w:p>
    <w:p w14:paraId="6BEFFC8C" w14:textId="77777777" w:rsidR="0061061F" w:rsidRPr="00D166EA" w:rsidRDefault="0061061F" w:rsidP="00D13E1C">
      <w:pPr>
        <w:rPr>
          <w:b/>
          <w:szCs w:val="22"/>
        </w:rPr>
      </w:pPr>
      <w:r w:rsidRPr="00D166EA">
        <w:rPr>
          <w:b/>
          <w:szCs w:val="22"/>
        </w:rPr>
        <w:t>6.4</w:t>
      </w:r>
      <w:r w:rsidRPr="00D166EA">
        <w:rPr>
          <w:b/>
          <w:szCs w:val="22"/>
        </w:rPr>
        <w:tab/>
        <w:t>Specialios laikymo sąlygos</w:t>
      </w:r>
    </w:p>
    <w:p w14:paraId="70B888EF" w14:textId="77777777" w:rsidR="0061061F" w:rsidRPr="00D166EA" w:rsidRDefault="0061061F" w:rsidP="00D13E1C">
      <w:pPr>
        <w:rPr>
          <w:szCs w:val="22"/>
        </w:rPr>
      </w:pPr>
    </w:p>
    <w:p w14:paraId="726A1F40" w14:textId="77777777" w:rsidR="0061061F" w:rsidRPr="00D166EA" w:rsidRDefault="0061061F" w:rsidP="00D13E1C">
      <w:pPr>
        <w:rPr>
          <w:szCs w:val="22"/>
        </w:rPr>
      </w:pPr>
      <w:r w:rsidRPr="00D166EA">
        <w:rPr>
          <w:szCs w:val="22"/>
        </w:rPr>
        <w:t>Šiam vaistiniam preparatui specialių laikymo sąlygų nereikia.</w:t>
      </w:r>
    </w:p>
    <w:p w14:paraId="6C3DBFC7" w14:textId="77777777" w:rsidR="0061061F" w:rsidRPr="00D166EA" w:rsidRDefault="0061061F" w:rsidP="00D13E1C">
      <w:pPr>
        <w:rPr>
          <w:szCs w:val="22"/>
        </w:rPr>
      </w:pPr>
    </w:p>
    <w:p w14:paraId="17F313EE" w14:textId="77777777" w:rsidR="0061061F" w:rsidRPr="00D166EA" w:rsidRDefault="0061061F" w:rsidP="00D13E1C">
      <w:pPr>
        <w:rPr>
          <w:b/>
          <w:szCs w:val="22"/>
        </w:rPr>
      </w:pPr>
      <w:r w:rsidRPr="00D166EA">
        <w:rPr>
          <w:b/>
          <w:szCs w:val="22"/>
        </w:rPr>
        <w:t>6.5</w:t>
      </w:r>
      <w:r w:rsidRPr="00D166EA">
        <w:rPr>
          <w:b/>
          <w:szCs w:val="22"/>
        </w:rPr>
        <w:tab/>
        <w:t xml:space="preserve">Talpyklės pobūdis ir jos turinys </w:t>
      </w:r>
    </w:p>
    <w:p w14:paraId="635054D2" w14:textId="77777777" w:rsidR="0061061F" w:rsidRPr="00D166EA" w:rsidRDefault="0061061F" w:rsidP="0061061F">
      <w:pPr>
        <w:rPr>
          <w:szCs w:val="22"/>
        </w:rPr>
      </w:pPr>
    </w:p>
    <w:p w14:paraId="1BD2E172" w14:textId="77777777" w:rsidR="00704E3F" w:rsidRPr="00D166EA" w:rsidRDefault="00E05617" w:rsidP="0061061F">
      <w:pPr>
        <w:numPr>
          <w:ilvl w:val="12"/>
          <w:numId w:val="0"/>
        </w:numPr>
        <w:rPr>
          <w:szCs w:val="22"/>
        </w:rPr>
      </w:pPr>
      <w:r>
        <w:rPr>
          <w:szCs w:val="22"/>
        </w:rPr>
        <w:t>Plėvele dengtos tabletės</w:t>
      </w:r>
      <w:r w:rsidR="00B10C0F">
        <w:rPr>
          <w:szCs w:val="22"/>
        </w:rPr>
        <w:t xml:space="preserve"> supakuotos</w:t>
      </w:r>
      <w:r w:rsidR="00704E3F" w:rsidRPr="00D166EA">
        <w:rPr>
          <w:szCs w:val="22"/>
        </w:rPr>
        <w:t xml:space="preserve"> </w:t>
      </w:r>
      <w:r w:rsidR="00F12858">
        <w:rPr>
          <w:szCs w:val="22"/>
        </w:rPr>
        <w:t xml:space="preserve"> į </w:t>
      </w:r>
      <w:r w:rsidR="00704E3F" w:rsidRPr="00D166EA">
        <w:rPr>
          <w:szCs w:val="22"/>
        </w:rPr>
        <w:t>O</w:t>
      </w:r>
      <w:r w:rsidR="0061061F" w:rsidRPr="00D166EA">
        <w:rPr>
          <w:szCs w:val="22"/>
        </w:rPr>
        <w:t>PA/aliuminio/PVC</w:t>
      </w:r>
      <w:r w:rsidR="00704E3F" w:rsidRPr="00D166EA">
        <w:rPr>
          <w:szCs w:val="22"/>
        </w:rPr>
        <w:t>-</w:t>
      </w:r>
      <w:r w:rsidR="00D13E1C" w:rsidRPr="00D166EA">
        <w:rPr>
          <w:szCs w:val="22"/>
        </w:rPr>
        <w:t>aliuminio</w:t>
      </w:r>
      <w:r w:rsidR="0061061F" w:rsidRPr="00D166EA">
        <w:rPr>
          <w:szCs w:val="22"/>
        </w:rPr>
        <w:t xml:space="preserve"> lizdin</w:t>
      </w:r>
      <w:r w:rsidR="00F12858">
        <w:rPr>
          <w:szCs w:val="22"/>
        </w:rPr>
        <w:t>es</w:t>
      </w:r>
      <w:r w:rsidR="004F5042">
        <w:rPr>
          <w:szCs w:val="22"/>
        </w:rPr>
        <w:t xml:space="preserve"> plokštel</w:t>
      </w:r>
      <w:r w:rsidR="00F12858">
        <w:rPr>
          <w:szCs w:val="22"/>
        </w:rPr>
        <w:t xml:space="preserve">es ir </w:t>
      </w:r>
      <w:r w:rsidR="004F5042">
        <w:rPr>
          <w:szCs w:val="22"/>
        </w:rPr>
        <w:t>įdėtos į kartono dėžutę</w:t>
      </w:r>
      <w:r w:rsidR="007B6515">
        <w:rPr>
          <w:szCs w:val="22"/>
        </w:rPr>
        <w:t>.</w:t>
      </w:r>
    </w:p>
    <w:p w14:paraId="041F8E23" w14:textId="77777777" w:rsidR="00290215" w:rsidRDefault="00290215" w:rsidP="0061061F">
      <w:pPr>
        <w:numPr>
          <w:ilvl w:val="12"/>
          <w:numId w:val="0"/>
        </w:numPr>
        <w:rPr>
          <w:szCs w:val="22"/>
        </w:rPr>
      </w:pPr>
    </w:p>
    <w:p w14:paraId="499C7F46" w14:textId="77777777" w:rsidR="00290215" w:rsidRDefault="00704E3F" w:rsidP="0061061F">
      <w:pPr>
        <w:numPr>
          <w:ilvl w:val="12"/>
          <w:numId w:val="0"/>
        </w:numPr>
        <w:rPr>
          <w:szCs w:val="22"/>
        </w:rPr>
      </w:pPr>
      <w:r w:rsidRPr="00D166EA">
        <w:rPr>
          <w:szCs w:val="22"/>
        </w:rPr>
        <w:t>Pakuotės dydžiai:</w:t>
      </w:r>
      <w:r w:rsidR="00D13E1C" w:rsidRPr="00D166EA">
        <w:rPr>
          <w:szCs w:val="22"/>
        </w:rPr>
        <w:t xml:space="preserve"> </w:t>
      </w:r>
    </w:p>
    <w:p w14:paraId="13CB80DE" w14:textId="58FFCAFF" w:rsidR="0061061F" w:rsidRPr="00D166EA" w:rsidRDefault="00290215" w:rsidP="0061061F">
      <w:pPr>
        <w:numPr>
          <w:ilvl w:val="12"/>
          <w:numId w:val="0"/>
        </w:numPr>
        <w:rPr>
          <w:szCs w:val="22"/>
        </w:rPr>
      </w:pPr>
      <w:r>
        <w:rPr>
          <w:szCs w:val="22"/>
        </w:rPr>
        <w:t>Lizdinė plokštelė:</w:t>
      </w:r>
      <w:r w:rsidR="003D42DB">
        <w:rPr>
          <w:szCs w:val="22"/>
        </w:rPr>
        <w:t xml:space="preserve"> </w:t>
      </w:r>
      <w:r w:rsidR="00DA1FF2" w:rsidRPr="00B606B7">
        <w:rPr>
          <w:szCs w:val="22"/>
        </w:rPr>
        <w:t>10</w:t>
      </w:r>
      <w:r w:rsidR="00D13E1C" w:rsidRPr="00D166EA">
        <w:rPr>
          <w:szCs w:val="22"/>
        </w:rPr>
        <w:t>, 30</w:t>
      </w:r>
      <w:r w:rsidR="00FA0E8B">
        <w:rPr>
          <w:szCs w:val="22"/>
        </w:rPr>
        <w:t>,</w:t>
      </w:r>
      <w:r w:rsidR="00D13E1C" w:rsidRPr="00D166EA">
        <w:rPr>
          <w:szCs w:val="22"/>
        </w:rPr>
        <w:t xml:space="preserve"> 90</w:t>
      </w:r>
      <w:r w:rsidR="0061061F" w:rsidRPr="00D166EA">
        <w:rPr>
          <w:szCs w:val="22"/>
        </w:rPr>
        <w:t xml:space="preserve"> </w:t>
      </w:r>
      <w:r w:rsidR="00704E3F" w:rsidRPr="00D166EA">
        <w:rPr>
          <w:szCs w:val="22"/>
        </w:rPr>
        <w:t>plėvele dengtų tablečių</w:t>
      </w:r>
      <w:r w:rsidR="0061061F" w:rsidRPr="00D166EA">
        <w:rPr>
          <w:szCs w:val="22"/>
        </w:rPr>
        <w:t>.</w:t>
      </w:r>
    </w:p>
    <w:p w14:paraId="011B6F5D" w14:textId="77777777" w:rsidR="00D13E1C" w:rsidRPr="00D166EA" w:rsidRDefault="00D13E1C" w:rsidP="0061061F">
      <w:pPr>
        <w:numPr>
          <w:ilvl w:val="12"/>
          <w:numId w:val="0"/>
        </w:numPr>
        <w:rPr>
          <w:szCs w:val="22"/>
        </w:rPr>
      </w:pPr>
    </w:p>
    <w:p w14:paraId="148BE46E" w14:textId="77777777" w:rsidR="00704E3F" w:rsidRPr="00D166EA" w:rsidRDefault="003D42DB" w:rsidP="0061061F">
      <w:pPr>
        <w:numPr>
          <w:ilvl w:val="12"/>
          <w:numId w:val="0"/>
        </w:numPr>
        <w:rPr>
          <w:szCs w:val="22"/>
        </w:rPr>
      </w:pPr>
      <w:r>
        <w:rPr>
          <w:szCs w:val="22"/>
        </w:rPr>
        <w:t>Buteliukas</w:t>
      </w:r>
      <w:r w:rsidR="00704E3F" w:rsidRPr="00D166EA">
        <w:rPr>
          <w:szCs w:val="22"/>
        </w:rPr>
        <w:t>: 30 plėvele dengtų tablečių.</w:t>
      </w:r>
    </w:p>
    <w:p w14:paraId="55C718CB" w14:textId="77777777" w:rsidR="00704E3F" w:rsidRPr="00D166EA" w:rsidRDefault="00704E3F" w:rsidP="0061061F">
      <w:pPr>
        <w:numPr>
          <w:ilvl w:val="12"/>
          <w:numId w:val="0"/>
        </w:numPr>
        <w:rPr>
          <w:szCs w:val="22"/>
        </w:rPr>
      </w:pPr>
    </w:p>
    <w:p w14:paraId="520EF801" w14:textId="77777777" w:rsidR="00D13E1C" w:rsidRPr="00D166EA" w:rsidRDefault="00D13E1C" w:rsidP="0061061F">
      <w:pPr>
        <w:numPr>
          <w:ilvl w:val="12"/>
          <w:numId w:val="0"/>
        </w:numPr>
        <w:rPr>
          <w:szCs w:val="22"/>
        </w:rPr>
      </w:pPr>
      <w:r w:rsidRPr="00D166EA">
        <w:rPr>
          <w:szCs w:val="22"/>
        </w:rPr>
        <w:t>Gali būti tiekiamos ne visų dydžių pakuotės.</w:t>
      </w:r>
    </w:p>
    <w:p w14:paraId="234D0ED7" w14:textId="77777777" w:rsidR="0061061F" w:rsidRPr="00D166EA" w:rsidRDefault="0061061F" w:rsidP="0061061F">
      <w:pPr>
        <w:rPr>
          <w:szCs w:val="22"/>
        </w:rPr>
      </w:pPr>
    </w:p>
    <w:p w14:paraId="5E3F04BA" w14:textId="77777777" w:rsidR="0061061F" w:rsidRPr="00D166EA" w:rsidRDefault="0061061F" w:rsidP="00D13E1C">
      <w:pPr>
        <w:rPr>
          <w:b/>
          <w:szCs w:val="22"/>
        </w:rPr>
      </w:pPr>
      <w:bookmarkStart w:id="1" w:name="OLE_LINK1"/>
      <w:r w:rsidRPr="00D166EA">
        <w:rPr>
          <w:b/>
          <w:szCs w:val="22"/>
        </w:rPr>
        <w:t>6.6</w:t>
      </w:r>
      <w:r w:rsidRPr="00D166EA">
        <w:rPr>
          <w:b/>
          <w:szCs w:val="22"/>
        </w:rPr>
        <w:tab/>
        <w:t xml:space="preserve">Specialūs reikalavimai atliekoms tvarkyti </w:t>
      </w:r>
    </w:p>
    <w:bookmarkEnd w:id="1"/>
    <w:p w14:paraId="32A53D5F" w14:textId="77777777" w:rsidR="0061061F" w:rsidRPr="00D166EA" w:rsidRDefault="0061061F" w:rsidP="0061061F">
      <w:pPr>
        <w:rPr>
          <w:szCs w:val="22"/>
        </w:rPr>
      </w:pPr>
    </w:p>
    <w:p w14:paraId="08302B46" w14:textId="77777777" w:rsidR="0061061F" w:rsidRPr="00D166EA" w:rsidRDefault="0061061F" w:rsidP="0061061F">
      <w:pPr>
        <w:widowControl w:val="0"/>
        <w:autoSpaceDE w:val="0"/>
        <w:autoSpaceDN w:val="0"/>
        <w:adjustRightInd w:val="0"/>
        <w:jc w:val="both"/>
        <w:rPr>
          <w:szCs w:val="22"/>
        </w:rPr>
      </w:pPr>
      <w:r w:rsidRPr="00D166EA">
        <w:rPr>
          <w:rFonts w:eastAsia="MS Mincho"/>
          <w:szCs w:val="22"/>
        </w:rPr>
        <w:t>Nesuvartotą vaistinį preparatą ar atliekas reikia tvarkyti laikantis vietinių reikalavimų.</w:t>
      </w:r>
    </w:p>
    <w:p w14:paraId="3AF8D407" w14:textId="77777777" w:rsidR="0061061F" w:rsidRPr="00D166EA" w:rsidRDefault="0061061F" w:rsidP="0061061F">
      <w:pPr>
        <w:rPr>
          <w:szCs w:val="22"/>
        </w:rPr>
      </w:pPr>
    </w:p>
    <w:p w14:paraId="76EAE1D6" w14:textId="77777777" w:rsidR="0061061F" w:rsidRPr="00D166EA" w:rsidRDefault="0061061F" w:rsidP="0061061F">
      <w:pPr>
        <w:rPr>
          <w:szCs w:val="22"/>
        </w:rPr>
      </w:pPr>
    </w:p>
    <w:p w14:paraId="2BE6D205" w14:textId="77777777" w:rsidR="0061061F" w:rsidRPr="00D166EA" w:rsidRDefault="0061061F" w:rsidP="00953801">
      <w:pPr>
        <w:rPr>
          <w:b/>
          <w:szCs w:val="22"/>
        </w:rPr>
      </w:pPr>
      <w:r w:rsidRPr="00D166EA">
        <w:rPr>
          <w:b/>
          <w:szCs w:val="22"/>
        </w:rPr>
        <w:t>7.</w:t>
      </w:r>
      <w:r w:rsidRPr="00D166EA">
        <w:rPr>
          <w:b/>
          <w:szCs w:val="22"/>
        </w:rPr>
        <w:tab/>
        <w:t>REGISTRUOTOJAS</w:t>
      </w:r>
    </w:p>
    <w:p w14:paraId="5113C648" w14:textId="77777777" w:rsidR="0061061F" w:rsidRPr="00D166EA" w:rsidRDefault="0061061F" w:rsidP="0061061F">
      <w:pPr>
        <w:rPr>
          <w:szCs w:val="22"/>
        </w:rPr>
      </w:pPr>
    </w:p>
    <w:p w14:paraId="7EAAA865" w14:textId="77777777" w:rsidR="00953801" w:rsidRPr="00D166EA" w:rsidRDefault="00953801" w:rsidP="00953801">
      <w:pPr>
        <w:rPr>
          <w:szCs w:val="22"/>
        </w:rPr>
      </w:pPr>
      <w:r w:rsidRPr="00D166EA">
        <w:rPr>
          <w:szCs w:val="22"/>
        </w:rPr>
        <w:t>Sandoz d.d.</w:t>
      </w:r>
    </w:p>
    <w:p w14:paraId="740B2EA3" w14:textId="77777777" w:rsidR="00953801" w:rsidRPr="00D166EA" w:rsidRDefault="00953801" w:rsidP="00953801">
      <w:pPr>
        <w:rPr>
          <w:szCs w:val="22"/>
        </w:rPr>
      </w:pPr>
      <w:r w:rsidRPr="00D166EA">
        <w:rPr>
          <w:szCs w:val="22"/>
        </w:rPr>
        <w:t>Verov</w:t>
      </w:r>
      <w:r w:rsidR="00171B93">
        <w:rPr>
          <w:szCs w:val="22"/>
        </w:rPr>
        <w:t>š</w:t>
      </w:r>
      <w:r w:rsidRPr="00D166EA">
        <w:rPr>
          <w:szCs w:val="22"/>
        </w:rPr>
        <w:t>kova 57</w:t>
      </w:r>
    </w:p>
    <w:p w14:paraId="6C091E78" w14:textId="77777777" w:rsidR="00953801" w:rsidRPr="00D166EA" w:rsidRDefault="00953801" w:rsidP="00953801">
      <w:pPr>
        <w:rPr>
          <w:szCs w:val="22"/>
        </w:rPr>
      </w:pPr>
      <w:r w:rsidRPr="00D166EA">
        <w:rPr>
          <w:szCs w:val="22"/>
        </w:rPr>
        <w:t>SI-1000 Ljubljana</w:t>
      </w:r>
    </w:p>
    <w:p w14:paraId="34E2DA28" w14:textId="77777777" w:rsidR="00953801" w:rsidRPr="00D166EA" w:rsidRDefault="00953801" w:rsidP="00953801">
      <w:pPr>
        <w:rPr>
          <w:szCs w:val="22"/>
        </w:rPr>
      </w:pPr>
      <w:r w:rsidRPr="00D166EA">
        <w:rPr>
          <w:szCs w:val="22"/>
        </w:rPr>
        <w:t>Slovėnija</w:t>
      </w:r>
    </w:p>
    <w:p w14:paraId="7DD7EE0B" w14:textId="77777777" w:rsidR="0061061F" w:rsidRPr="00D166EA" w:rsidRDefault="0061061F" w:rsidP="0061061F">
      <w:pPr>
        <w:rPr>
          <w:szCs w:val="22"/>
        </w:rPr>
      </w:pPr>
    </w:p>
    <w:p w14:paraId="5FD42111" w14:textId="77777777" w:rsidR="0061061F" w:rsidRPr="00D166EA" w:rsidRDefault="0061061F" w:rsidP="0061061F">
      <w:pPr>
        <w:rPr>
          <w:szCs w:val="22"/>
        </w:rPr>
      </w:pPr>
    </w:p>
    <w:p w14:paraId="680579CA" w14:textId="77777777" w:rsidR="0061061F" w:rsidRPr="00D166EA" w:rsidRDefault="0061061F" w:rsidP="00953801">
      <w:pPr>
        <w:rPr>
          <w:b/>
          <w:szCs w:val="22"/>
        </w:rPr>
      </w:pPr>
      <w:r w:rsidRPr="00D166EA">
        <w:rPr>
          <w:b/>
          <w:szCs w:val="22"/>
        </w:rPr>
        <w:t>8.</w:t>
      </w:r>
      <w:r w:rsidRPr="00D166EA">
        <w:rPr>
          <w:b/>
          <w:szCs w:val="22"/>
        </w:rPr>
        <w:tab/>
        <w:t xml:space="preserve">REGISTRACIJOS PAŽYMĖJIMO NUMERIS (-IAI) </w:t>
      </w:r>
    </w:p>
    <w:p w14:paraId="351E3AD0" w14:textId="77777777" w:rsidR="0061061F" w:rsidRDefault="0061061F" w:rsidP="0061061F">
      <w:pPr>
        <w:rPr>
          <w:szCs w:val="22"/>
        </w:rPr>
      </w:pPr>
    </w:p>
    <w:p w14:paraId="63C2FDC6" w14:textId="77777777" w:rsidR="007E3DA0" w:rsidRDefault="007E3DA0" w:rsidP="0061061F">
      <w:pPr>
        <w:rPr>
          <w:szCs w:val="22"/>
        </w:rPr>
        <w:sectPr w:rsidR="007E3DA0" w:rsidSect="00AA571D">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1296"/>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110"/>
      </w:tblGrid>
      <w:tr w:rsidR="00F951AE" w14:paraId="3324783B" w14:textId="77777777" w:rsidTr="002746CC">
        <w:tc>
          <w:tcPr>
            <w:tcW w:w="4503" w:type="dxa"/>
          </w:tcPr>
          <w:p w14:paraId="2CC9FC45" w14:textId="77777777" w:rsidR="00F951AE" w:rsidRPr="00F951AE" w:rsidRDefault="00F951AE" w:rsidP="00F951AE">
            <w:pPr>
              <w:rPr>
                <w:szCs w:val="22"/>
                <w:u w:val="single"/>
              </w:rPr>
            </w:pPr>
            <w:r w:rsidRPr="00F951AE">
              <w:rPr>
                <w:caps/>
                <w:szCs w:val="22"/>
                <w:u w:val="single"/>
              </w:rPr>
              <w:t>0,5 </w:t>
            </w:r>
            <w:r w:rsidRPr="00F951AE">
              <w:rPr>
                <w:szCs w:val="22"/>
                <w:u w:val="single"/>
              </w:rPr>
              <w:t>mg</w:t>
            </w:r>
          </w:p>
          <w:p w14:paraId="5BDF9E09" w14:textId="77777777" w:rsidR="00F951AE" w:rsidRPr="00F951AE" w:rsidRDefault="00F951AE" w:rsidP="00F951AE">
            <w:pPr>
              <w:rPr>
                <w:szCs w:val="22"/>
                <w:u w:val="single"/>
              </w:rPr>
            </w:pPr>
            <w:r w:rsidRPr="00F951AE">
              <w:rPr>
                <w:szCs w:val="22"/>
                <w:u w:val="single"/>
              </w:rPr>
              <w:t>Lizdinė plokštelė</w:t>
            </w:r>
          </w:p>
          <w:p w14:paraId="2CBE973D" w14:textId="77777777" w:rsidR="00F951AE" w:rsidRPr="00F951AE" w:rsidRDefault="00F951AE" w:rsidP="00F951AE">
            <w:pPr>
              <w:pStyle w:val="Default"/>
              <w:rPr>
                <w:sz w:val="22"/>
                <w:szCs w:val="22"/>
              </w:rPr>
            </w:pPr>
            <w:r w:rsidRPr="00F951AE">
              <w:rPr>
                <w:sz w:val="22"/>
                <w:szCs w:val="22"/>
              </w:rPr>
              <w:t xml:space="preserve">LT/1/17/4076/001 – N10 </w:t>
            </w:r>
          </w:p>
          <w:p w14:paraId="26BCBC14" w14:textId="77777777" w:rsidR="00F951AE" w:rsidRPr="00F951AE" w:rsidRDefault="00F951AE" w:rsidP="00F951AE">
            <w:pPr>
              <w:pStyle w:val="Default"/>
              <w:rPr>
                <w:sz w:val="22"/>
                <w:szCs w:val="22"/>
              </w:rPr>
            </w:pPr>
            <w:r w:rsidRPr="00F951AE">
              <w:rPr>
                <w:sz w:val="22"/>
                <w:szCs w:val="22"/>
              </w:rPr>
              <w:t xml:space="preserve">LT/1/17/4076/002 – N30 </w:t>
            </w:r>
          </w:p>
          <w:p w14:paraId="31881898" w14:textId="77777777" w:rsidR="00F951AE" w:rsidRPr="00F951AE" w:rsidRDefault="00F951AE" w:rsidP="00F951AE">
            <w:pPr>
              <w:pStyle w:val="Default"/>
              <w:rPr>
                <w:sz w:val="22"/>
                <w:szCs w:val="22"/>
              </w:rPr>
            </w:pPr>
            <w:r w:rsidRPr="00F951AE">
              <w:rPr>
                <w:sz w:val="22"/>
                <w:szCs w:val="22"/>
              </w:rPr>
              <w:t xml:space="preserve">LT/1/17/4076/003 – N90 </w:t>
            </w:r>
          </w:p>
          <w:p w14:paraId="69D82F4B" w14:textId="77777777" w:rsidR="00F951AE" w:rsidRDefault="00F951AE" w:rsidP="00F951AE">
            <w:pPr>
              <w:rPr>
                <w:color w:val="000000"/>
                <w:szCs w:val="22"/>
                <w:u w:val="single"/>
                <w:lang w:val="sl-SI" w:eastAsia="sl-SI"/>
              </w:rPr>
            </w:pPr>
          </w:p>
          <w:p w14:paraId="4D244414" w14:textId="77777777" w:rsidR="00F951AE" w:rsidRPr="00F951AE" w:rsidRDefault="00F951AE" w:rsidP="00F951AE">
            <w:pPr>
              <w:rPr>
                <w:caps/>
                <w:szCs w:val="22"/>
                <w:u w:val="single"/>
              </w:rPr>
            </w:pPr>
            <w:r w:rsidRPr="00F951AE">
              <w:rPr>
                <w:color w:val="000000"/>
                <w:szCs w:val="22"/>
                <w:u w:val="single"/>
                <w:lang w:val="sl-SI" w:eastAsia="sl-SI"/>
              </w:rPr>
              <w:lastRenderedPageBreak/>
              <w:t>Buteliukas:</w:t>
            </w:r>
            <w:r w:rsidRPr="00F951AE">
              <w:rPr>
                <w:caps/>
                <w:szCs w:val="22"/>
                <w:u w:val="single"/>
              </w:rPr>
              <w:t xml:space="preserve"> </w:t>
            </w:r>
          </w:p>
          <w:p w14:paraId="280AB0D3" w14:textId="4C4F24DA" w:rsidR="00F951AE" w:rsidRPr="00F951AE" w:rsidRDefault="00F951AE" w:rsidP="00F951AE">
            <w:pPr>
              <w:rPr>
                <w:caps/>
                <w:szCs w:val="22"/>
                <w:u w:val="single"/>
              </w:rPr>
            </w:pPr>
            <w:r w:rsidRPr="00F951AE">
              <w:rPr>
                <w:szCs w:val="22"/>
              </w:rPr>
              <w:t xml:space="preserve">LT/1/17/4076/004 – N30 </w:t>
            </w:r>
          </w:p>
        </w:tc>
        <w:tc>
          <w:tcPr>
            <w:tcW w:w="4110" w:type="dxa"/>
          </w:tcPr>
          <w:p w14:paraId="430D6C61" w14:textId="77777777" w:rsidR="00F951AE" w:rsidRPr="00F951AE" w:rsidRDefault="00F951AE" w:rsidP="00F951AE">
            <w:pPr>
              <w:rPr>
                <w:szCs w:val="22"/>
                <w:u w:val="single"/>
              </w:rPr>
            </w:pPr>
            <w:r w:rsidRPr="00F951AE">
              <w:rPr>
                <w:szCs w:val="22"/>
                <w:u w:val="single"/>
              </w:rPr>
              <w:lastRenderedPageBreak/>
              <w:t>1 mg</w:t>
            </w:r>
          </w:p>
          <w:p w14:paraId="75038CCB" w14:textId="77777777" w:rsidR="00F951AE" w:rsidRPr="00F951AE" w:rsidRDefault="00F951AE" w:rsidP="00F951AE">
            <w:pPr>
              <w:rPr>
                <w:szCs w:val="22"/>
                <w:u w:val="single"/>
              </w:rPr>
            </w:pPr>
            <w:r w:rsidRPr="00F951AE">
              <w:rPr>
                <w:szCs w:val="22"/>
                <w:u w:val="single"/>
              </w:rPr>
              <w:t>Lizdinė plokštelė</w:t>
            </w:r>
          </w:p>
          <w:p w14:paraId="243D337F" w14:textId="77777777" w:rsidR="00F951AE" w:rsidRPr="00F951AE" w:rsidRDefault="00F951AE" w:rsidP="00F951AE">
            <w:pPr>
              <w:pStyle w:val="Default"/>
              <w:rPr>
                <w:sz w:val="22"/>
                <w:szCs w:val="22"/>
              </w:rPr>
            </w:pPr>
            <w:r w:rsidRPr="00F951AE">
              <w:rPr>
                <w:sz w:val="22"/>
                <w:szCs w:val="22"/>
              </w:rPr>
              <w:t xml:space="preserve">LT/1/17/4076/005 – N10 </w:t>
            </w:r>
          </w:p>
          <w:p w14:paraId="5AED4A67" w14:textId="77777777" w:rsidR="00F951AE" w:rsidRPr="00F951AE" w:rsidRDefault="00F951AE" w:rsidP="00F951AE">
            <w:pPr>
              <w:pStyle w:val="Default"/>
              <w:rPr>
                <w:sz w:val="22"/>
                <w:szCs w:val="22"/>
              </w:rPr>
            </w:pPr>
            <w:r w:rsidRPr="00F951AE">
              <w:rPr>
                <w:sz w:val="22"/>
                <w:szCs w:val="22"/>
              </w:rPr>
              <w:t xml:space="preserve">LT/1/17/4076/006 – N30 </w:t>
            </w:r>
          </w:p>
          <w:p w14:paraId="5C4C4541" w14:textId="77777777" w:rsidR="00F951AE" w:rsidRPr="00F951AE" w:rsidRDefault="00F951AE" w:rsidP="00F951AE">
            <w:pPr>
              <w:pStyle w:val="Default"/>
              <w:rPr>
                <w:sz w:val="22"/>
                <w:szCs w:val="22"/>
              </w:rPr>
            </w:pPr>
            <w:r w:rsidRPr="00F951AE">
              <w:rPr>
                <w:sz w:val="22"/>
                <w:szCs w:val="22"/>
              </w:rPr>
              <w:t xml:space="preserve">LT/1/17/4076/007 – N90 </w:t>
            </w:r>
          </w:p>
          <w:p w14:paraId="259B3148" w14:textId="77777777" w:rsidR="00F951AE" w:rsidRDefault="00F951AE" w:rsidP="00F951AE">
            <w:pPr>
              <w:pStyle w:val="Default"/>
              <w:rPr>
                <w:sz w:val="22"/>
                <w:szCs w:val="22"/>
                <w:u w:val="single"/>
              </w:rPr>
            </w:pPr>
          </w:p>
          <w:p w14:paraId="7509C7C5" w14:textId="77777777" w:rsidR="00F951AE" w:rsidRPr="00F951AE" w:rsidRDefault="00F951AE" w:rsidP="00F951AE">
            <w:pPr>
              <w:pStyle w:val="Default"/>
              <w:rPr>
                <w:sz w:val="22"/>
                <w:szCs w:val="22"/>
              </w:rPr>
            </w:pPr>
            <w:r w:rsidRPr="00F951AE">
              <w:rPr>
                <w:sz w:val="22"/>
                <w:szCs w:val="22"/>
                <w:u w:val="single"/>
              </w:rPr>
              <w:lastRenderedPageBreak/>
              <w:t>Buteliukas</w:t>
            </w:r>
            <w:r w:rsidRPr="00F951AE">
              <w:rPr>
                <w:sz w:val="22"/>
                <w:szCs w:val="22"/>
              </w:rPr>
              <w:t xml:space="preserve">: </w:t>
            </w:r>
          </w:p>
          <w:p w14:paraId="3D2E4547" w14:textId="5EC87C23" w:rsidR="00F951AE" w:rsidRPr="00F951AE" w:rsidRDefault="00F951AE" w:rsidP="00F951AE">
            <w:pPr>
              <w:rPr>
                <w:caps/>
                <w:szCs w:val="22"/>
                <w:u w:val="single"/>
              </w:rPr>
            </w:pPr>
            <w:r w:rsidRPr="00F951AE">
              <w:rPr>
                <w:szCs w:val="22"/>
              </w:rPr>
              <w:t>LT/1/17/4076/008 – N30</w:t>
            </w:r>
          </w:p>
        </w:tc>
      </w:tr>
    </w:tbl>
    <w:p w14:paraId="3D5BF81F" w14:textId="77777777" w:rsidR="00F951AE" w:rsidRDefault="00F951AE" w:rsidP="0061061F">
      <w:pPr>
        <w:rPr>
          <w:caps/>
          <w:szCs w:val="22"/>
          <w:u w:val="single"/>
        </w:rPr>
        <w:sectPr w:rsidR="00F951AE" w:rsidSect="00F951AE">
          <w:type w:val="continuous"/>
          <w:pgSz w:w="11906" w:h="16838" w:code="9"/>
          <w:pgMar w:top="1134" w:right="1418" w:bottom="1134" w:left="1418" w:header="737" w:footer="737" w:gutter="0"/>
          <w:cols w:space="282"/>
          <w:docGrid w:linePitch="360"/>
        </w:sectPr>
      </w:pPr>
    </w:p>
    <w:p w14:paraId="4DD562AB" w14:textId="5D4BBB44" w:rsidR="00F951AE" w:rsidRDefault="00F951AE" w:rsidP="0061061F">
      <w:pPr>
        <w:rPr>
          <w:caps/>
          <w:szCs w:val="22"/>
          <w:u w:val="single"/>
        </w:rPr>
      </w:pPr>
    </w:p>
    <w:p w14:paraId="3D9E057D" w14:textId="77777777" w:rsidR="00F951AE" w:rsidRDefault="00F951AE" w:rsidP="00F951AE">
      <w:pPr>
        <w:rPr>
          <w:sz w:val="23"/>
          <w:szCs w:val="23"/>
        </w:rPr>
      </w:pPr>
    </w:p>
    <w:p w14:paraId="7FA8FCE3" w14:textId="78D35749" w:rsidR="007E3DA0" w:rsidRDefault="007E3DA0" w:rsidP="00F951AE">
      <w:pPr>
        <w:rPr>
          <w:szCs w:val="22"/>
        </w:rPr>
        <w:sectPr w:rsidR="007E3DA0" w:rsidSect="00F951AE">
          <w:type w:val="continuous"/>
          <w:pgSz w:w="11906" w:h="16838" w:code="9"/>
          <w:pgMar w:top="1134" w:right="1418" w:bottom="1134" w:left="1418" w:header="737" w:footer="737" w:gutter="0"/>
          <w:cols w:num="2" w:space="282"/>
          <w:docGrid w:linePitch="360"/>
        </w:sectPr>
      </w:pPr>
    </w:p>
    <w:p w14:paraId="10FA9DF8" w14:textId="77777777" w:rsidR="0061061F" w:rsidRPr="00D166EA" w:rsidRDefault="0061061F" w:rsidP="0061061F">
      <w:pPr>
        <w:rPr>
          <w:szCs w:val="22"/>
        </w:rPr>
      </w:pPr>
    </w:p>
    <w:p w14:paraId="798AFAF2" w14:textId="77777777" w:rsidR="0061061F" w:rsidRPr="00D166EA" w:rsidRDefault="0061061F" w:rsidP="00953801">
      <w:pPr>
        <w:rPr>
          <w:b/>
          <w:szCs w:val="22"/>
        </w:rPr>
      </w:pPr>
      <w:r w:rsidRPr="00D166EA">
        <w:rPr>
          <w:b/>
          <w:szCs w:val="22"/>
        </w:rPr>
        <w:t>9.</w:t>
      </w:r>
      <w:r w:rsidRPr="00D166EA">
        <w:rPr>
          <w:b/>
          <w:szCs w:val="22"/>
        </w:rPr>
        <w:tab/>
        <w:t>REGISTRAVIMO / PERREGISTRAVIMO DATA</w:t>
      </w:r>
    </w:p>
    <w:p w14:paraId="63CA1D88" w14:textId="77777777" w:rsidR="0061061F" w:rsidRPr="00D166EA" w:rsidRDefault="0061061F" w:rsidP="0061061F">
      <w:pPr>
        <w:rPr>
          <w:szCs w:val="22"/>
        </w:rPr>
      </w:pPr>
    </w:p>
    <w:p w14:paraId="5BDBE1EA" w14:textId="77777777" w:rsidR="005940A6" w:rsidRPr="005940A6" w:rsidRDefault="00953801" w:rsidP="005940A6">
      <w:pPr>
        <w:tabs>
          <w:tab w:val="left" w:pos="1296"/>
        </w:tabs>
        <w:rPr>
          <w:rFonts w:eastAsia="Times New Roman"/>
          <w:noProof/>
          <w:szCs w:val="22"/>
          <w:lang w:eastAsia="en-US"/>
        </w:rPr>
      </w:pPr>
      <w:r w:rsidRPr="00D166EA">
        <w:rPr>
          <w:szCs w:val="22"/>
          <w:lang w:eastAsia="sl-SI"/>
        </w:rPr>
        <w:t xml:space="preserve">Registravimo data </w:t>
      </w:r>
      <w:r w:rsidR="005940A6" w:rsidRPr="005940A6">
        <w:rPr>
          <w:rFonts w:eastAsia="Times New Roman"/>
          <w:noProof/>
          <w:szCs w:val="22"/>
          <w:lang w:eastAsia="en-US"/>
        </w:rPr>
        <w:t>2017 m. gegužės 10 d.</w:t>
      </w:r>
    </w:p>
    <w:p w14:paraId="6A6CA0BB" w14:textId="7B40CFFF" w:rsidR="00953801" w:rsidRDefault="000729A8" w:rsidP="0061061F">
      <w:pPr>
        <w:rPr>
          <w:noProof/>
          <w:snapToGrid w:val="0"/>
          <w:szCs w:val="24"/>
        </w:rPr>
      </w:pPr>
      <w:r w:rsidRPr="005D554B">
        <w:rPr>
          <w:noProof/>
          <w:snapToGrid w:val="0"/>
          <w:szCs w:val="22"/>
        </w:rPr>
        <w:t xml:space="preserve">Paskutinio </w:t>
      </w:r>
      <w:r w:rsidRPr="005D554B">
        <w:rPr>
          <w:noProof/>
          <w:snapToGrid w:val="0"/>
          <w:szCs w:val="24"/>
        </w:rPr>
        <w:t>perregistravimo data</w:t>
      </w:r>
      <w:r w:rsidR="00F951AE">
        <w:rPr>
          <w:noProof/>
          <w:snapToGrid w:val="0"/>
          <w:szCs w:val="24"/>
        </w:rPr>
        <w:t xml:space="preserve"> </w:t>
      </w:r>
    </w:p>
    <w:p w14:paraId="1D76C359" w14:textId="77777777" w:rsidR="00953801" w:rsidRDefault="00953801" w:rsidP="0061061F">
      <w:pPr>
        <w:rPr>
          <w:szCs w:val="22"/>
        </w:rPr>
      </w:pPr>
    </w:p>
    <w:p w14:paraId="7030F20A" w14:textId="77777777" w:rsidR="00FD5FA3" w:rsidRPr="00D166EA" w:rsidRDefault="00FD5FA3" w:rsidP="0061061F">
      <w:pPr>
        <w:rPr>
          <w:szCs w:val="22"/>
        </w:rPr>
      </w:pPr>
    </w:p>
    <w:p w14:paraId="20C25921" w14:textId="77777777" w:rsidR="0061061F" w:rsidRPr="00D166EA" w:rsidRDefault="0061061F" w:rsidP="00953801">
      <w:pPr>
        <w:rPr>
          <w:b/>
          <w:szCs w:val="22"/>
        </w:rPr>
      </w:pPr>
      <w:r w:rsidRPr="00D166EA">
        <w:rPr>
          <w:b/>
          <w:szCs w:val="22"/>
        </w:rPr>
        <w:t>10.</w:t>
      </w:r>
      <w:r w:rsidRPr="00D166EA">
        <w:rPr>
          <w:b/>
          <w:szCs w:val="22"/>
        </w:rPr>
        <w:tab/>
        <w:t>TEKSTO PERŽIŪROS DATA</w:t>
      </w:r>
    </w:p>
    <w:p w14:paraId="24B82358" w14:textId="77777777" w:rsidR="00F951AE" w:rsidRDefault="00F951AE" w:rsidP="0061061F">
      <w:pPr>
        <w:rPr>
          <w:noProof/>
          <w:snapToGrid w:val="0"/>
          <w:szCs w:val="24"/>
        </w:rPr>
      </w:pPr>
    </w:p>
    <w:p w14:paraId="5AE20541" w14:textId="00785DEE" w:rsidR="0061061F" w:rsidRPr="00D166EA" w:rsidRDefault="00F951AE" w:rsidP="0061061F">
      <w:pPr>
        <w:rPr>
          <w:szCs w:val="22"/>
        </w:rPr>
      </w:pPr>
      <w:r>
        <w:rPr>
          <w:noProof/>
          <w:snapToGrid w:val="0"/>
          <w:szCs w:val="24"/>
        </w:rPr>
        <w:t>2022 m. balandžio 22 d.</w:t>
      </w:r>
    </w:p>
    <w:p w14:paraId="40909F90" w14:textId="77777777" w:rsidR="0061061F" w:rsidRPr="00D166EA" w:rsidRDefault="0061061F" w:rsidP="0061061F">
      <w:pPr>
        <w:rPr>
          <w:szCs w:val="22"/>
        </w:rPr>
      </w:pPr>
    </w:p>
    <w:p w14:paraId="07463520" w14:textId="77777777" w:rsidR="0061061F" w:rsidRPr="00D166EA" w:rsidRDefault="0061061F" w:rsidP="0061061F">
      <w:pPr>
        <w:pStyle w:val="Paprastasistekstas"/>
        <w:tabs>
          <w:tab w:val="left" w:pos="5954"/>
          <w:tab w:val="left" w:pos="6237"/>
          <w:tab w:val="left" w:pos="6663"/>
          <w:tab w:val="left" w:pos="6946"/>
        </w:tabs>
        <w:rPr>
          <w:rFonts w:ascii="Times New Roman" w:hAnsi="Times New Roman"/>
          <w:sz w:val="22"/>
          <w:szCs w:val="22"/>
          <w:lang w:val="lt-LT"/>
        </w:rPr>
      </w:pPr>
      <w:r w:rsidRPr="00D166EA">
        <w:rPr>
          <w:rFonts w:ascii="Times New Roman" w:hAnsi="Times New Roman"/>
          <w:sz w:val="22"/>
          <w:szCs w:val="22"/>
          <w:lang w:val="lt-LT"/>
        </w:rPr>
        <w:t xml:space="preserve">Išsami informacija apie šį vaistinį preparatą pateikiama </w:t>
      </w:r>
      <w:r w:rsidR="009426C7" w:rsidRPr="00D166EA">
        <w:rPr>
          <w:rFonts w:ascii="Times New Roman" w:hAnsi="Times New Roman"/>
          <w:sz w:val="22"/>
          <w:szCs w:val="22"/>
          <w:lang w:val="lt-LT"/>
        </w:rPr>
        <w:t>Val</w:t>
      </w:r>
      <w:r w:rsidRPr="00D166EA">
        <w:rPr>
          <w:rFonts w:ascii="Times New Roman" w:hAnsi="Times New Roman"/>
          <w:sz w:val="22"/>
          <w:szCs w:val="22"/>
          <w:lang w:val="lt-LT"/>
        </w:rPr>
        <w:t>stybinės vaistų kontrolės tarnybos prie Lietuvos Respublikos sveikatos apsaugos ministerijos tinklalapyje</w:t>
      </w:r>
      <w:r w:rsidRPr="00D166EA">
        <w:rPr>
          <w:rFonts w:ascii="Times New Roman" w:hAnsi="Times New Roman"/>
          <w:i/>
          <w:iCs/>
          <w:sz w:val="22"/>
          <w:szCs w:val="22"/>
          <w:lang w:val="lt-LT"/>
        </w:rPr>
        <w:t xml:space="preserve"> </w:t>
      </w:r>
      <w:hyperlink r:id="rId16" w:history="1">
        <w:r w:rsidRPr="00D166EA">
          <w:rPr>
            <w:rStyle w:val="Hipersaitas"/>
            <w:rFonts w:ascii="Times New Roman" w:hAnsi="Times New Roman"/>
            <w:sz w:val="22"/>
            <w:szCs w:val="22"/>
            <w:lang w:val="lt-LT"/>
          </w:rPr>
          <w:t>http://www.vvkt.lt</w:t>
        </w:r>
      </w:hyperlink>
    </w:p>
    <w:p w14:paraId="2B70CFFD" w14:textId="77777777" w:rsidR="0061061F" w:rsidRPr="00D166EA" w:rsidRDefault="0061061F" w:rsidP="0061061F">
      <w:pPr>
        <w:pStyle w:val="Paprastasistekstas"/>
        <w:tabs>
          <w:tab w:val="left" w:pos="5954"/>
          <w:tab w:val="left" w:pos="6237"/>
          <w:tab w:val="left" w:pos="6663"/>
          <w:tab w:val="left" w:pos="6946"/>
        </w:tabs>
        <w:jc w:val="center"/>
        <w:rPr>
          <w:rFonts w:ascii="Times New Roman" w:hAnsi="Times New Roman"/>
          <w:sz w:val="22"/>
          <w:szCs w:val="22"/>
          <w:lang w:val="lt-LT"/>
        </w:rPr>
      </w:pPr>
    </w:p>
    <w:p w14:paraId="21E7DBB4" w14:textId="77777777" w:rsidR="0061061F" w:rsidRPr="00D166EA" w:rsidRDefault="0061061F" w:rsidP="0061061F">
      <w:pPr>
        <w:rPr>
          <w:szCs w:val="22"/>
        </w:rPr>
      </w:pPr>
      <w:r w:rsidRPr="00D166EA">
        <w:rPr>
          <w:szCs w:val="22"/>
        </w:rPr>
        <w:br w:type="page"/>
      </w:r>
    </w:p>
    <w:p w14:paraId="56E4441B" w14:textId="77777777" w:rsidR="0061061F" w:rsidRPr="00D166EA" w:rsidRDefault="0061061F" w:rsidP="0061061F">
      <w:pPr>
        <w:rPr>
          <w:szCs w:val="22"/>
        </w:rPr>
      </w:pPr>
    </w:p>
    <w:p w14:paraId="0E15B719" w14:textId="77777777" w:rsidR="0061061F" w:rsidRPr="00D166EA" w:rsidRDefault="0061061F" w:rsidP="0061061F">
      <w:pPr>
        <w:rPr>
          <w:szCs w:val="22"/>
        </w:rPr>
      </w:pPr>
    </w:p>
    <w:p w14:paraId="721DF426" w14:textId="77777777" w:rsidR="0061061F" w:rsidRPr="00D166EA" w:rsidRDefault="0061061F" w:rsidP="0061061F">
      <w:pPr>
        <w:rPr>
          <w:szCs w:val="22"/>
        </w:rPr>
      </w:pPr>
    </w:p>
    <w:p w14:paraId="022C4D3F" w14:textId="77777777" w:rsidR="0061061F" w:rsidRPr="00D166EA" w:rsidRDefault="0061061F" w:rsidP="0061061F">
      <w:pPr>
        <w:rPr>
          <w:szCs w:val="22"/>
        </w:rPr>
      </w:pPr>
    </w:p>
    <w:p w14:paraId="789C0BAD" w14:textId="77777777" w:rsidR="0061061F" w:rsidRPr="00D166EA" w:rsidRDefault="0061061F" w:rsidP="0061061F">
      <w:pPr>
        <w:rPr>
          <w:szCs w:val="22"/>
        </w:rPr>
      </w:pPr>
    </w:p>
    <w:p w14:paraId="1578E8FC" w14:textId="77777777" w:rsidR="0061061F" w:rsidRPr="00D166EA" w:rsidRDefault="0061061F" w:rsidP="0061061F">
      <w:pPr>
        <w:rPr>
          <w:szCs w:val="22"/>
        </w:rPr>
      </w:pPr>
    </w:p>
    <w:p w14:paraId="5A8EBCC6" w14:textId="77777777" w:rsidR="0061061F" w:rsidRPr="00D166EA" w:rsidRDefault="0061061F" w:rsidP="0061061F">
      <w:pPr>
        <w:rPr>
          <w:szCs w:val="22"/>
        </w:rPr>
      </w:pPr>
    </w:p>
    <w:p w14:paraId="30ECDEBC" w14:textId="77777777" w:rsidR="0061061F" w:rsidRPr="00D166EA" w:rsidRDefault="0061061F" w:rsidP="0061061F">
      <w:pPr>
        <w:rPr>
          <w:szCs w:val="22"/>
        </w:rPr>
      </w:pPr>
    </w:p>
    <w:p w14:paraId="0A298DDE" w14:textId="77777777" w:rsidR="0061061F" w:rsidRPr="00D166EA" w:rsidRDefault="0061061F" w:rsidP="0061061F">
      <w:pPr>
        <w:rPr>
          <w:szCs w:val="22"/>
        </w:rPr>
      </w:pPr>
    </w:p>
    <w:p w14:paraId="773440A2" w14:textId="77777777" w:rsidR="0061061F" w:rsidRPr="00D166EA" w:rsidRDefault="0061061F" w:rsidP="0061061F">
      <w:pPr>
        <w:rPr>
          <w:szCs w:val="22"/>
        </w:rPr>
      </w:pPr>
    </w:p>
    <w:p w14:paraId="2AA06F87" w14:textId="77777777" w:rsidR="0061061F" w:rsidRPr="00D166EA" w:rsidRDefault="0061061F" w:rsidP="0061061F">
      <w:pPr>
        <w:rPr>
          <w:szCs w:val="22"/>
        </w:rPr>
      </w:pPr>
    </w:p>
    <w:p w14:paraId="67E35E70" w14:textId="77777777" w:rsidR="0061061F" w:rsidRPr="00D166EA" w:rsidRDefault="0061061F" w:rsidP="0061061F">
      <w:pPr>
        <w:rPr>
          <w:szCs w:val="22"/>
        </w:rPr>
      </w:pPr>
    </w:p>
    <w:p w14:paraId="18AAEB12" w14:textId="77777777" w:rsidR="0061061F" w:rsidRPr="00D166EA" w:rsidRDefault="0061061F" w:rsidP="0061061F">
      <w:pPr>
        <w:rPr>
          <w:szCs w:val="22"/>
        </w:rPr>
      </w:pPr>
    </w:p>
    <w:p w14:paraId="7008D918" w14:textId="77777777" w:rsidR="0061061F" w:rsidRPr="00D166EA" w:rsidRDefault="0061061F" w:rsidP="0061061F">
      <w:pPr>
        <w:rPr>
          <w:szCs w:val="22"/>
        </w:rPr>
      </w:pPr>
    </w:p>
    <w:p w14:paraId="1E7D5978" w14:textId="77777777" w:rsidR="0061061F" w:rsidRPr="00D166EA" w:rsidRDefault="0061061F" w:rsidP="0061061F">
      <w:pPr>
        <w:rPr>
          <w:szCs w:val="22"/>
        </w:rPr>
      </w:pPr>
    </w:p>
    <w:p w14:paraId="49DE0BDD" w14:textId="77777777" w:rsidR="0061061F" w:rsidRPr="00D166EA" w:rsidRDefault="0061061F" w:rsidP="0061061F">
      <w:pPr>
        <w:rPr>
          <w:szCs w:val="22"/>
        </w:rPr>
      </w:pPr>
    </w:p>
    <w:p w14:paraId="6679EAC2" w14:textId="77777777" w:rsidR="0061061F" w:rsidRPr="00D166EA" w:rsidRDefault="0061061F" w:rsidP="0061061F">
      <w:pPr>
        <w:rPr>
          <w:szCs w:val="22"/>
        </w:rPr>
      </w:pPr>
    </w:p>
    <w:p w14:paraId="6E300DA2" w14:textId="77777777" w:rsidR="0061061F" w:rsidRPr="00D166EA" w:rsidRDefault="0061061F" w:rsidP="0061061F">
      <w:pPr>
        <w:rPr>
          <w:szCs w:val="22"/>
        </w:rPr>
      </w:pPr>
    </w:p>
    <w:p w14:paraId="4487F50A" w14:textId="77777777" w:rsidR="0061061F" w:rsidRPr="00D166EA" w:rsidRDefault="0061061F" w:rsidP="0061061F">
      <w:pPr>
        <w:rPr>
          <w:szCs w:val="22"/>
        </w:rPr>
      </w:pPr>
    </w:p>
    <w:p w14:paraId="2ED05DC5" w14:textId="77777777" w:rsidR="0061061F" w:rsidRPr="00D166EA" w:rsidRDefault="0061061F" w:rsidP="0061061F">
      <w:pPr>
        <w:rPr>
          <w:szCs w:val="22"/>
        </w:rPr>
      </w:pPr>
    </w:p>
    <w:p w14:paraId="0AAA1FF1" w14:textId="77777777" w:rsidR="0061061F" w:rsidRPr="00D166EA" w:rsidRDefault="0061061F" w:rsidP="0061061F">
      <w:pPr>
        <w:rPr>
          <w:szCs w:val="22"/>
        </w:rPr>
      </w:pPr>
    </w:p>
    <w:p w14:paraId="3B981E11" w14:textId="77777777" w:rsidR="0061061F" w:rsidRDefault="0061061F" w:rsidP="0061061F">
      <w:pPr>
        <w:rPr>
          <w:szCs w:val="22"/>
        </w:rPr>
      </w:pPr>
    </w:p>
    <w:p w14:paraId="55C650E2" w14:textId="77777777" w:rsidR="005940A6" w:rsidRPr="00D166EA" w:rsidRDefault="005940A6" w:rsidP="0061061F">
      <w:pPr>
        <w:rPr>
          <w:szCs w:val="22"/>
        </w:rPr>
      </w:pPr>
    </w:p>
    <w:p w14:paraId="3419DEB8" w14:textId="77777777" w:rsidR="0061061F" w:rsidRPr="00D166EA" w:rsidRDefault="0061061F" w:rsidP="0061061F">
      <w:pPr>
        <w:jc w:val="center"/>
        <w:rPr>
          <w:b/>
          <w:bCs/>
          <w:szCs w:val="22"/>
        </w:rPr>
      </w:pPr>
      <w:r w:rsidRPr="00D166EA">
        <w:rPr>
          <w:b/>
          <w:bCs/>
          <w:szCs w:val="22"/>
        </w:rPr>
        <w:t>II PRIEDAS</w:t>
      </w:r>
    </w:p>
    <w:p w14:paraId="5F8212E8" w14:textId="77777777" w:rsidR="0061061F" w:rsidRPr="00D166EA" w:rsidRDefault="0061061F" w:rsidP="0061061F">
      <w:pPr>
        <w:ind w:hanging="567"/>
        <w:jc w:val="center"/>
        <w:rPr>
          <w:szCs w:val="22"/>
        </w:rPr>
      </w:pPr>
    </w:p>
    <w:p w14:paraId="1C1C34DC" w14:textId="77777777" w:rsidR="0061061F" w:rsidRPr="00D166EA" w:rsidRDefault="0061061F" w:rsidP="0061061F">
      <w:pPr>
        <w:jc w:val="center"/>
        <w:rPr>
          <w:i/>
          <w:iCs/>
          <w:szCs w:val="22"/>
        </w:rPr>
      </w:pPr>
      <w:r w:rsidRPr="00D166EA">
        <w:rPr>
          <w:b/>
          <w:bCs/>
          <w:szCs w:val="22"/>
        </w:rPr>
        <w:t>REGISTRACIJOS SĄLYGOS</w:t>
      </w:r>
    </w:p>
    <w:p w14:paraId="0124A8F4" w14:textId="77777777" w:rsidR="0061061F" w:rsidRPr="00D166EA" w:rsidRDefault="0061061F" w:rsidP="0061061F">
      <w:pPr>
        <w:jc w:val="center"/>
        <w:rPr>
          <w:szCs w:val="22"/>
        </w:rPr>
      </w:pPr>
    </w:p>
    <w:p w14:paraId="767241A0" w14:textId="77777777" w:rsidR="0061061F" w:rsidRPr="00D166EA" w:rsidRDefault="0061061F" w:rsidP="0061061F">
      <w:pPr>
        <w:ind w:left="1134" w:firstLine="567"/>
        <w:rPr>
          <w:b/>
          <w:bCs/>
          <w:szCs w:val="22"/>
        </w:rPr>
      </w:pPr>
      <w:r w:rsidRPr="00D166EA">
        <w:rPr>
          <w:b/>
          <w:bCs/>
          <w:szCs w:val="22"/>
        </w:rPr>
        <w:t>A.</w:t>
      </w:r>
      <w:r w:rsidRPr="00D166EA">
        <w:rPr>
          <w:b/>
          <w:bCs/>
          <w:szCs w:val="22"/>
        </w:rPr>
        <w:tab/>
        <w:t>GAMINTOJAS (-AI), ATSAKINGAS (-I) UŽ SERIJŲ IŠLEIDIMĄ</w:t>
      </w:r>
    </w:p>
    <w:p w14:paraId="184C7EAE" w14:textId="77777777" w:rsidR="0061061F" w:rsidRPr="00D166EA" w:rsidRDefault="0061061F" w:rsidP="0061061F">
      <w:pPr>
        <w:tabs>
          <w:tab w:val="left" w:pos="1701"/>
        </w:tabs>
        <w:ind w:hanging="567"/>
        <w:rPr>
          <w:szCs w:val="22"/>
        </w:rPr>
      </w:pPr>
    </w:p>
    <w:p w14:paraId="49A49946" w14:textId="77777777" w:rsidR="0061061F" w:rsidRPr="00D166EA" w:rsidRDefault="0061061F" w:rsidP="0061061F">
      <w:pPr>
        <w:tabs>
          <w:tab w:val="left" w:pos="1418"/>
        </w:tabs>
        <w:ind w:left="1134" w:firstLine="567"/>
        <w:rPr>
          <w:b/>
          <w:bCs/>
          <w:szCs w:val="22"/>
        </w:rPr>
      </w:pPr>
      <w:r w:rsidRPr="00D166EA">
        <w:rPr>
          <w:b/>
          <w:bCs/>
          <w:szCs w:val="22"/>
        </w:rPr>
        <w:t>B.</w:t>
      </w:r>
      <w:r w:rsidRPr="00D166EA">
        <w:rPr>
          <w:b/>
          <w:bCs/>
          <w:szCs w:val="22"/>
        </w:rPr>
        <w:tab/>
        <w:t>TIEKIMO IR VARTOJIMO SĄLYGOS AR APRIBOJIMAI</w:t>
      </w:r>
    </w:p>
    <w:p w14:paraId="4A98F7E2" w14:textId="77777777" w:rsidR="0061061F" w:rsidRPr="00D166EA" w:rsidRDefault="0061061F" w:rsidP="0061061F">
      <w:pPr>
        <w:tabs>
          <w:tab w:val="left" w:pos="1701"/>
        </w:tabs>
        <w:ind w:hanging="567"/>
        <w:jc w:val="center"/>
        <w:rPr>
          <w:szCs w:val="22"/>
        </w:rPr>
      </w:pPr>
    </w:p>
    <w:p w14:paraId="696A70B1" w14:textId="77777777" w:rsidR="0061061F" w:rsidRPr="00D166EA" w:rsidRDefault="0061061F" w:rsidP="0061061F">
      <w:pPr>
        <w:ind w:left="567" w:hanging="567"/>
        <w:rPr>
          <w:b/>
          <w:bCs/>
          <w:szCs w:val="22"/>
        </w:rPr>
      </w:pPr>
      <w:r w:rsidRPr="00D166EA">
        <w:rPr>
          <w:szCs w:val="22"/>
        </w:rPr>
        <w:br w:type="page"/>
      </w:r>
      <w:r w:rsidRPr="00D166EA">
        <w:rPr>
          <w:b/>
          <w:bCs/>
          <w:szCs w:val="22"/>
        </w:rPr>
        <w:lastRenderedPageBreak/>
        <w:t>A.</w:t>
      </w:r>
      <w:r w:rsidRPr="00D166EA">
        <w:rPr>
          <w:b/>
          <w:bCs/>
          <w:szCs w:val="22"/>
        </w:rPr>
        <w:tab/>
        <w:t>GAMINTOJAS (-AI), ATSAKINGAS (-I) UŽ SERIJŲ IŠLEIDIMĄ</w:t>
      </w:r>
    </w:p>
    <w:p w14:paraId="33721D1A" w14:textId="77777777" w:rsidR="0061061F" w:rsidRPr="00D166EA" w:rsidRDefault="0061061F" w:rsidP="0061061F">
      <w:pPr>
        <w:rPr>
          <w:szCs w:val="22"/>
        </w:rPr>
      </w:pPr>
    </w:p>
    <w:p w14:paraId="3BD35061" w14:textId="77777777" w:rsidR="0061061F" w:rsidRPr="00D166EA" w:rsidRDefault="0061061F" w:rsidP="0061061F">
      <w:pPr>
        <w:jc w:val="both"/>
        <w:rPr>
          <w:szCs w:val="22"/>
        </w:rPr>
      </w:pPr>
      <w:r w:rsidRPr="00D166EA">
        <w:rPr>
          <w:szCs w:val="22"/>
          <w:u w:val="single"/>
        </w:rPr>
        <w:t xml:space="preserve">Gamintojo, atsakingo už serijų išleidimą, pavadinimas ir adresas </w:t>
      </w:r>
    </w:p>
    <w:p w14:paraId="34BF5C3A" w14:textId="77777777" w:rsidR="00801841" w:rsidRDefault="00801841" w:rsidP="00AA1D3D">
      <w:pPr>
        <w:rPr>
          <w:szCs w:val="22"/>
        </w:rPr>
      </w:pPr>
    </w:p>
    <w:p w14:paraId="2C41DF62" w14:textId="77777777" w:rsidR="00801841" w:rsidRDefault="00801841" w:rsidP="00AA1D3D">
      <w:pPr>
        <w:rPr>
          <w:szCs w:val="22"/>
        </w:rPr>
      </w:pPr>
      <w:r>
        <w:rPr>
          <w:szCs w:val="22"/>
        </w:rPr>
        <w:t>Lek Pharmaceuticals d.d.</w:t>
      </w:r>
    </w:p>
    <w:p w14:paraId="762382EC" w14:textId="77777777" w:rsidR="00801841" w:rsidRDefault="00801841" w:rsidP="00AA1D3D">
      <w:pPr>
        <w:rPr>
          <w:szCs w:val="22"/>
        </w:rPr>
      </w:pPr>
      <w:r w:rsidRPr="00801841">
        <w:rPr>
          <w:szCs w:val="22"/>
        </w:rPr>
        <w:t>Verovškova ulica 57</w:t>
      </w:r>
    </w:p>
    <w:p w14:paraId="4B628D26" w14:textId="77777777" w:rsidR="00801841" w:rsidRDefault="00801841" w:rsidP="00AA1D3D">
      <w:pPr>
        <w:rPr>
          <w:szCs w:val="22"/>
        </w:rPr>
      </w:pPr>
      <w:r w:rsidRPr="00801841">
        <w:rPr>
          <w:szCs w:val="22"/>
        </w:rPr>
        <w:t>1526 Ljubljana</w:t>
      </w:r>
    </w:p>
    <w:p w14:paraId="1ECDB68F" w14:textId="77777777" w:rsidR="00801841" w:rsidRDefault="00801841" w:rsidP="00AA1D3D">
      <w:pPr>
        <w:rPr>
          <w:szCs w:val="22"/>
        </w:rPr>
      </w:pPr>
      <w:r>
        <w:rPr>
          <w:szCs w:val="22"/>
        </w:rPr>
        <w:t>Slovėnija</w:t>
      </w:r>
    </w:p>
    <w:p w14:paraId="5C6E8EA2" w14:textId="77777777" w:rsidR="00E243D6" w:rsidRDefault="00E243D6" w:rsidP="00AA1D3D">
      <w:pPr>
        <w:rPr>
          <w:szCs w:val="22"/>
        </w:rPr>
      </w:pPr>
    </w:p>
    <w:p w14:paraId="1DB9D978" w14:textId="34328A25" w:rsidR="00E243D6" w:rsidRDefault="00E243D6" w:rsidP="00AA1D3D">
      <w:pPr>
        <w:rPr>
          <w:szCs w:val="22"/>
        </w:rPr>
      </w:pPr>
      <w:r>
        <w:rPr>
          <w:szCs w:val="22"/>
        </w:rPr>
        <w:t>arba</w:t>
      </w:r>
    </w:p>
    <w:p w14:paraId="6EB8A063" w14:textId="77777777" w:rsidR="00E243D6" w:rsidRDefault="00E243D6" w:rsidP="00AA1D3D">
      <w:pPr>
        <w:rPr>
          <w:szCs w:val="22"/>
        </w:rPr>
      </w:pPr>
    </w:p>
    <w:p w14:paraId="684E33C5" w14:textId="77777777" w:rsidR="00E243D6" w:rsidRDefault="00E243D6" w:rsidP="002036C0">
      <w:pPr>
        <w:rPr>
          <w:szCs w:val="22"/>
        </w:rPr>
      </w:pPr>
      <w:r w:rsidRPr="002036C0">
        <w:rPr>
          <w:szCs w:val="22"/>
        </w:rPr>
        <w:t xml:space="preserve">Lek Pharmaceuticals d.d. </w:t>
      </w:r>
    </w:p>
    <w:p w14:paraId="1B24F04C" w14:textId="33BF9AFD" w:rsidR="00E243D6" w:rsidRDefault="00E243D6" w:rsidP="002036C0">
      <w:pPr>
        <w:rPr>
          <w:szCs w:val="22"/>
        </w:rPr>
      </w:pPr>
      <w:r w:rsidRPr="002036C0">
        <w:rPr>
          <w:szCs w:val="22"/>
        </w:rPr>
        <w:t xml:space="preserve">Trimlini 2d 9220 Lendava </w:t>
      </w:r>
    </w:p>
    <w:p w14:paraId="25146768" w14:textId="6E2E3288" w:rsidR="00E243D6" w:rsidRPr="00E243D6" w:rsidRDefault="00E243D6" w:rsidP="00E243D6">
      <w:pPr>
        <w:rPr>
          <w:szCs w:val="22"/>
        </w:rPr>
      </w:pPr>
      <w:r w:rsidRPr="002036C0">
        <w:rPr>
          <w:szCs w:val="22"/>
        </w:rPr>
        <w:t>Slovėnija</w:t>
      </w:r>
    </w:p>
    <w:p w14:paraId="54E157ED" w14:textId="77777777" w:rsidR="003501FE" w:rsidRPr="00D166EA" w:rsidRDefault="003501FE" w:rsidP="0061061F">
      <w:pPr>
        <w:rPr>
          <w:szCs w:val="22"/>
        </w:rPr>
      </w:pPr>
    </w:p>
    <w:p w14:paraId="560F3AA1" w14:textId="77777777" w:rsidR="00B11902" w:rsidRPr="00B11902" w:rsidRDefault="00B11902" w:rsidP="00B11902">
      <w:pPr>
        <w:rPr>
          <w:szCs w:val="22"/>
        </w:rPr>
      </w:pPr>
      <w:r w:rsidRPr="00B11902">
        <w:rPr>
          <w:szCs w:val="22"/>
        </w:rPr>
        <w:t>Su pakuote pateikiamame lapelyje nurodomas gamintojo, atsakingo už konkrečios serijos išleidimą, pavadinimas ir adresas.</w:t>
      </w:r>
    </w:p>
    <w:p w14:paraId="63F6FFFA" w14:textId="4DAA0CF4" w:rsidR="003501FE" w:rsidRDefault="003501FE" w:rsidP="0061061F">
      <w:pPr>
        <w:rPr>
          <w:szCs w:val="22"/>
        </w:rPr>
      </w:pPr>
    </w:p>
    <w:p w14:paraId="0FBFC6C8" w14:textId="77777777" w:rsidR="00B11902" w:rsidRPr="00D166EA" w:rsidRDefault="00B11902" w:rsidP="0061061F">
      <w:pPr>
        <w:rPr>
          <w:szCs w:val="22"/>
        </w:rPr>
      </w:pPr>
    </w:p>
    <w:p w14:paraId="15C714B5" w14:textId="77777777" w:rsidR="0061061F" w:rsidRPr="00D166EA" w:rsidRDefault="0061061F" w:rsidP="0061061F">
      <w:pPr>
        <w:ind w:left="567" w:hanging="567"/>
        <w:rPr>
          <w:szCs w:val="22"/>
        </w:rPr>
      </w:pPr>
      <w:r w:rsidRPr="00D166EA">
        <w:rPr>
          <w:b/>
          <w:bCs/>
          <w:szCs w:val="22"/>
        </w:rPr>
        <w:t>B.</w:t>
      </w:r>
      <w:r w:rsidRPr="00D166EA">
        <w:rPr>
          <w:b/>
          <w:bCs/>
          <w:szCs w:val="22"/>
        </w:rPr>
        <w:tab/>
        <w:t>TIEKIMO IR VARTOJIMO SĄLYGOS AR APRIBOJIMAI</w:t>
      </w:r>
    </w:p>
    <w:p w14:paraId="11721309" w14:textId="77777777" w:rsidR="0061061F" w:rsidRPr="00D166EA" w:rsidRDefault="0061061F" w:rsidP="0061061F">
      <w:pPr>
        <w:rPr>
          <w:szCs w:val="22"/>
        </w:rPr>
      </w:pPr>
    </w:p>
    <w:p w14:paraId="60510B59" w14:textId="77777777" w:rsidR="0061061F" w:rsidRPr="00D166EA" w:rsidRDefault="0061061F" w:rsidP="0061061F">
      <w:pPr>
        <w:rPr>
          <w:szCs w:val="22"/>
        </w:rPr>
      </w:pPr>
      <w:r w:rsidRPr="00D166EA">
        <w:rPr>
          <w:szCs w:val="22"/>
        </w:rPr>
        <w:t>Receptinis vaistinis preparatas.</w:t>
      </w:r>
    </w:p>
    <w:p w14:paraId="202D2F53" w14:textId="77777777" w:rsidR="0061061F" w:rsidRPr="00D166EA" w:rsidRDefault="0061061F" w:rsidP="0061061F">
      <w:pPr>
        <w:pStyle w:val="Paprastasistekstas"/>
        <w:tabs>
          <w:tab w:val="left" w:pos="5954"/>
          <w:tab w:val="left" w:pos="6237"/>
          <w:tab w:val="left" w:pos="6663"/>
          <w:tab w:val="left" w:pos="6946"/>
        </w:tabs>
        <w:rPr>
          <w:rFonts w:ascii="Times New Roman" w:hAnsi="Times New Roman"/>
          <w:sz w:val="22"/>
          <w:szCs w:val="22"/>
          <w:lang w:val="lt-LT"/>
        </w:rPr>
      </w:pPr>
      <w:r w:rsidRPr="00D166EA">
        <w:rPr>
          <w:rFonts w:ascii="Times New Roman" w:hAnsi="Times New Roman"/>
          <w:sz w:val="22"/>
          <w:szCs w:val="22"/>
          <w:lang w:val="lt-LT"/>
        </w:rPr>
        <w:br w:type="page"/>
      </w:r>
    </w:p>
    <w:p w14:paraId="007D3C67" w14:textId="77777777" w:rsidR="0061061F" w:rsidRPr="00D166EA" w:rsidRDefault="0061061F" w:rsidP="0061061F">
      <w:pPr>
        <w:rPr>
          <w:szCs w:val="22"/>
        </w:rPr>
      </w:pPr>
    </w:p>
    <w:p w14:paraId="5F82E633" w14:textId="77777777" w:rsidR="0061061F" w:rsidRPr="00D166EA" w:rsidRDefault="0061061F" w:rsidP="0061061F">
      <w:pPr>
        <w:rPr>
          <w:szCs w:val="22"/>
        </w:rPr>
      </w:pPr>
    </w:p>
    <w:p w14:paraId="3BC627DE" w14:textId="77777777" w:rsidR="0061061F" w:rsidRPr="00D166EA" w:rsidRDefault="0061061F" w:rsidP="0061061F">
      <w:pPr>
        <w:rPr>
          <w:szCs w:val="22"/>
        </w:rPr>
      </w:pPr>
    </w:p>
    <w:p w14:paraId="3BF43FD3" w14:textId="77777777" w:rsidR="0061061F" w:rsidRPr="00D166EA" w:rsidRDefault="0061061F" w:rsidP="0061061F">
      <w:pPr>
        <w:rPr>
          <w:szCs w:val="22"/>
        </w:rPr>
      </w:pPr>
    </w:p>
    <w:p w14:paraId="244142C4" w14:textId="77777777" w:rsidR="0061061F" w:rsidRPr="00D166EA" w:rsidRDefault="0061061F" w:rsidP="0061061F">
      <w:pPr>
        <w:rPr>
          <w:szCs w:val="22"/>
        </w:rPr>
      </w:pPr>
    </w:p>
    <w:p w14:paraId="76AB2D1F" w14:textId="77777777" w:rsidR="0061061F" w:rsidRPr="00D166EA" w:rsidRDefault="0061061F" w:rsidP="0061061F">
      <w:pPr>
        <w:rPr>
          <w:szCs w:val="22"/>
        </w:rPr>
      </w:pPr>
    </w:p>
    <w:p w14:paraId="1FEEE8E3" w14:textId="77777777" w:rsidR="0061061F" w:rsidRPr="00D166EA" w:rsidRDefault="0061061F" w:rsidP="0061061F">
      <w:pPr>
        <w:rPr>
          <w:szCs w:val="22"/>
        </w:rPr>
      </w:pPr>
    </w:p>
    <w:p w14:paraId="2B69123A" w14:textId="77777777" w:rsidR="0061061F" w:rsidRPr="00D166EA" w:rsidRDefault="0061061F" w:rsidP="0061061F">
      <w:pPr>
        <w:rPr>
          <w:szCs w:val="22"/>
        </w:rPr>
      </w:pPr>
    </w:p>
    <w:p w14:paraId="78ECF2AA" w14:textId="77777777" w:rsidR="0061061F" w:rsidRPr="00D166EA" w:rsidRDefault="0061061F" w:rsidP="0061061F">
      <w:pPr>
        <w:rPr>
          <w:szCs w:val="22"/>
        </w:rPr>
      </w:pPr>
    </w:p>
    <w:p w14:paraId="35265B6B" w14:textId="77777777" w:rsidR="0061061F" w:rsidRPr="00D166EA" w:rsidRDefault="0061061F" w:rsidP="0061061F">
      <w:pPr>
        <w:rPr>
          <w:szCs w:val="22"/>
        </w:rPr>
      </w:pPr>
    </w:p>
    <w:p w14:paraId="1B8DF4DC" w14:textId="77777777" w:rsidR="0061061F" w:rsidRPr="00D166EA" w:rsidRDefault="0061061F" w:rsidP="0061061F">
      <w:pPr>
        <w:rPr>
          <w:szCs w:val="22"/>
        </w:rPr>
      </w:pPr>
    </w:p>
    <w:p w14:paraId="2FF75F5C" w14:textId="77777777" w:rsidR="0061061F" w:rsidRPr="00D166EA" w:rsidRDefault="0061061F" w:rsidP="0061061F">
      <w:pPr>
        <w:rPr>
          <w:szCs w:val="22"/>
        </w:rPr>
      </w:pPr>
    </w:p>
    <w:p w14:paraId="4012122E" w14:textId="77777777" w:rsidR="0061061F" w:rsidRPr="00D166EA" w:rsidRDefault="0061061F" w:rsidP="0061061F">
      <w:pPr>
        <w:rPr>
          <w:szCs w:val="22"/>
        </w:rPr>
      </w:pPr>
    </w:p>
    <w:p w14:paraId="10504CAD" w14:textId="77777777" w:rsidR="0061061F" w:rsidRPr="00D166EA" w:rsidRDefault="0061061F" w:rsidP="0061061F">
      <w:pPr>
        <w:rPr>
          <w:szCs w:val="22"/>
        </w:rPr>
      </w:pPr>
    </w:p>
    <w:p w14:paraId="739A33C7" w14:textId="77777777" w:rsidR="0061061F" w:rsidRPr="00D166EA" w:rsidRDefault="0061061F" w:rsidP="0061061F">
      <w:pPr>
        <w:rPr>
          <w:szCs w:val="22"/>
        </w:rPr>
      </w:pPr>
    </w:p>
    <w:p w14:paraId="7DC15C90" w14:textId="77777777" w:rsidR="0061061F" w:rsidRPr="00D166EA" w:rsidRDefault="0061061F" w:rsidP="0061061F">
      <w:pPr>
        <w:rPr>
          <w:szCs w:val="22"/>
        </w:rPr>
      </w:pPr>
    </w:p>
    <w:p w14:paraId="7E090981" w14:textId="77777777" w:rsidR="0061061F" w:rsidRPr="00D166EA" w:rsidRDefault="0061061F" w:rsidP="0061061F">
      <w:pPr>
        <w:outlineLvl w:val="0"/>
        <w:rPr>
          <w:b/>
          <w:bCs/>
          <w:szCs w:val="22"/>
        </w:rPr>
      </w:pPr>
    </w:p>
    <w:p w14:paraId="3BBE8A2E" w14:textId="77777777" w:rsidR="0061061F" w:rsidRPr="00D166EA" w:rsidRDefault="0061061F" w:rsidP="0061061F">
      <w:pPr>
        <w:outlineLvl w:val="0"/>
        <w:rPr>
          <w:b/>
          <w:bCs/>
          <w:szCs w:val="22"/>
        </w:rPr>
      </w:pPr>
    </w:p>
    <w:p w14:paraId="17C7EB58" w14:textId="77777777" w:rsidR="0061061F" w:rsidRPr="00D166EA" w:rsidRDefault="0061061F" w:rsidP="0061061F">
      <w:pPr>
        <w:outlineLvl w:val="0"/>
        <w:rPr>
          <w:b/>
          <w:bCs/>
          <w:szCs w:val="22"/>
        </w:rPr>
      </w:pPr>
    </w:p>
    <w:p w14:paraId="6B9C4045" w14:textId="77777777" w:rsidR="0061061F" w:rsidRPr="00D166EA" w:rsidRDefault="0061061F" w:rsidP="0061061F">
      <w:pPr>
        <w:outlineLvl w:val="0"/>
        <w:rPr>
          <w:b/>
          <w:bCs/>
          <w:szCs w:val="22"/>
        </w:rPr>
      </w:pPr>
    </w:p>
    <w:p w14:paraId="645A84D6" w14:textId="77777777" w:rsidR="0061061F" w:rsidRPr="00D166EA" w:rsidRDefault="0061061F" w:rsidP="0061061F">
      <w:pPr>
        <w:outlineLvl w:val="0"/>
        <w:rPr>
          <w:b/>
          <w:bCs/>
          <w:szCs w:val="22"/>
        </w:rPr>
      </w:pPr>
    </w:p>
    <w:p w14:paraId="7FA6E3A0" w14:textId="77777777" w:rsidR="0061061F" w:rsidRDefault="0061061F" w:rsidP="0061061F">
      <w:pPr>
        <w:outlineLvl w:val="0"/>
        <w:rPr>
          <w:b/>
          <w:bCs/>
          <w:szCs w:val="22"/>
        </w:rPr>
      </w:pPr>
    </w:p>
    <w:p w14:paraId="407761D1" w14:textId="77777777" w:rsidR="005940A6" w:rsidRPr="00D166EA" w:rsidRDefault="005940A6" w:rsidP="0061061F">
      <w:pPr>
        <w:outlineLvl w:val="0"/>
        <w:rPr>
          <w:b/>
          <w:bCs/>
          <w:szCs w:val="22"/>
        </w:rPr>
      </w:pPr>
    </w:p>
    <w:p w14:paraId="3EF06FF5" w14:textId="77777777" w:rsidR="0061061F" w:rsidRPr="00D166EA" w:rsidRDefault="0061061F" w:rsidP="0061061F">
      <w:pPr>
        <w:pStyle w:val="Antrat2"/>
      </w:pPr>
      <w:r w:rsidRPr="00D166EA">
        <w:t>III PRIEDAS</w:t>
      </w:r>
    </w:p>
    <w:p w14:paraId="2903EC76" w14:textId="77777777" w:rsidR="0061061F" w:rsidRPr="00D166EA" w:rsidRDefault="0061061F" w:rsidP="0061061F">
      <w:pPr>
        <w:rPr>
          <w:szCs w:val="22"/>
        </w:rPr>
      </w:pPr>
    </w:p>
    <w:p w14:paraId="16933845" w14:textId="77777777" w:rsidR="0061061F" w:rsidRPr="00D166EA" w:rsidRDefault="0061061F" w:rsidP="0061061F">
      <w:pPr>
        <w:pStyle w:val="Antrat2"/>
      </w:pPr>
      <w:r w:rsidRPr="00D166EA">
        <w:t>ŽENKLINIMAS IR PAKUOTĖS LAPELIS</w:t>
      </w:r>
    </w:p>
    <w:p w14:paraId="28E27AE5" w14:textId="77777777" w:rsidR="0061061F" w:rsidRPr="00D166EA" w:rsidRDefault="0061061F" w:rsidP="0061061F">
      <w:pPr>
        <w:rPr>
          <w:szCs w:val="22"/>
        </w:rPr>
      </w:pPr>
      <w:r w:rsidRPr="00D166EA">
        <w:rPr>
          <w:szCs w:val="22"/>
        </w:rPr>
        <w:br w:type="page"/>
      </w:r>
    </w:p>
    <w:p w14:paraId="13917624" w14:textId="77777777" w:rsidR="0061061F" w:rsidRPr="00D166EA" w:rsidRDefault="0061061F" w:rsidP="0061061F">
      <w:pPr>
        <w:rPr>
          <w:szCs w:val="22"/>
        </w:rPr>
      </w:pPr>
    </w:p>
    <w:p w14:paraId="4E6DF97A" w14:textId="77777777" w:rsidR="0061061F" w:rsidRPr="00D166EA" w:rsidRDefault="0061061F" w:rsidP="0061061F">
      <w:pPr>
        <w:rPr>
          <w:szCs w:val="22"/>
        </w:rPr>
      </w:pPr>
    </w:p>
    <w:p w14:paraId="6C089236" w14:textId="77777777" w:rsidR="0061061F" w:rsidRPr="00D166EA" w:rsidRDefault="0061061F" w:rsidP="0061061F">
      <w:pPr>
        <w:rPr>
          <w:szCs w:val="22"/>
        </w:rPr>
      </w:pPr>
    </w:p>
    <w:p w14:paraId="1FDE1A1B" w14:textId="77777777" w:rsidR="0061061F" w:rsidRPr="00D166EA" w:rsidRDefault="0061061F" w:rsidP="0061061F">
      <w:pPr>
        <w:rPr>
          <w:szCs w:val="22"/>
        </w:rPr>
      </w:pPr>
    </w:p>
    <w:p w14:paraId="269C3449" w14:textId="77777777" w:rsidR="0061061F" w:rsidRPr="00D166EA" w:rsidRDefault="0061061F" w:rsidP="0061061F">
      <w:pPr>
        <w:rPr>
          <w:szCs w:val="22"/>
        </w:rPr>
      </w:pPr>
    </w:p>
    <w:p w14:paraId="518E8A05" w14:textId="77777777" w:rsidR="0061061F" w:rsidRPr="00D166EA" w:rsidRDefault="0061061F" w:rsidP="0061061F">
      <w:pPr>
        <w:rPr>
          <w:szCs w:val="22"/>
        </w:rPr>
      </w:pPr>
    </w:p>
    <w:p w14:paraId="6451AFD1" w14:textId="77777777" w:rsidR="0061061F" w:rsidRPr="00D166EA" w:rsidRDefault="0061061F" w:rsidP="0061061F">
      <w:pPr>
        <w:rPr>
          <w:szCs w:val="22"/>
        </w:rPr>
      </w:pPr>
    </w:p>
    <w:p w14:paraId="2CD2C223" w14:textId="77777777" w:rsidR="0061061F" w:rsidRPr="00D166EA" w:rsidRDefault="0061061F" w:rsidP="0061061F">
      <w:pPr>
        <w:rPr>
          <w:szCs w:val="22"/>
        </w:rPr>
      </w:pPr>
    </w:p>
    <w:p w14:paraId="2C6E910F" w14:textId="77777777" w:rsidR="0061061F" w:rsidRPr="00D166EA" w:rsidRDefault="0061061F" w:rsidP="0061061F">
      <w:pPr>
        <w:rPr>
          <w:szCs w:val="22"/>
        </w:rPr>
      </w:pPr>
    </w:p>
    <w:p w14:paraId="28BFA5D9" w14:textId="77777777" w:rsidR="0061061F" w:rsidRPr="00D166EA" w:rsidRDefault="0061061F" w:rsidP="0061061F">
      <w:pPr>
        <w:rPr>
          <w:szCs w:val="22"/>
        </w:rPr>
      </w:pPr>
    </w:p>
    <w:p w14:paraId="5B4A2E8D" w14:textId="77777777" w:rsidR="0061061F" w:rsidRPr="00D166EA" w:rsidRDefault="0061061F" w:rsidP="0061061F">
      <w:pPr>
        <w:rPr>
          <w:szCs w:val="22"/>
        </w:rPr>
      </w:pPr>
    </w:p>
    <w:p w14:paraId="47E8C451" w14:textId="77777777" w:rsidR="0061061F" w:rsidRPr="00D166EA" w:rsidRDefault="0061061F" w:rsidP="0061061F">
      <w:pPr>
        <w:rPr>
          <w:szCs w:val="22"/>
        </w:rPr>
      </w:pPr>
    </w:p>
    <w:p w14:paraId="47C0433F" w14:textId="77777777" w:rsidR="0061061F" w:rsidRPr="00D166EA" w:rsidRDefault="0061061F" w:rsidP="0061061F">
      <w:pPr>
        <w:rPr>
          <w:szCs w:val="22"/>
        </w:rPr>
      </w:pPr>
    </w:p>
    <w:p w14:paraId="35E0B056" w14:textId="77777777" w:rsidR="0061061F" w:rsidRPr="00D166EA" w:rsidRDefault="0061061F" w:rsidP="0061061F">
      <w:pPr>
        <w:rPr>
          <w:szCs w:val="22"/>
        </w:rPr>
      </w:pPr>
    </w:p>
    <w:p w14:paraId="07D9B507" w14:textId="77777777" w:rsidR="0061061F" w:rsidRPr="00D166EA" w:rsidRDefault="0061061F" w:rsidP="0061061F">
      <w:pPr>
        <w:rPr>
          <w:szCs w:val="22"/>
        </w:rPr>
      </w:pPr>
    </w:p>
    <w:p w14:paraId="46028298" w14:textId="77777777" w:rsidR="0061061F" w:rsidRPr="00D166EA" w:rsidRDefault="0061061F" w:rsidP="0061061F">
      <w:pPr>
        <w:rPr>
          <w:szCs w:val="22"/>
        </w:rPr>
      </w:pPr>
    </w:p>
    <w:p w14:paraId="6958CBC5" w14:textId="77777777" w:rsidR="0061061F" w:rsidRPr="00D166EA" w:rsidRDefault="0061061F" w:rsidP="0061061F">
      <w:pPr>
        <w:rPr>
          <w:szCs w:val="22"/>
        </w:rPr>
      </w:pPr>
    </w:p>
    <w:p w14:paraId="0E8E3A82" w14:textId="77777777" w:rsidR="0061061F" w:rsidRPr="00D166EA" w:rsidRDefault="0061061F" w:rsidP="0061061F">
      <w:pPr>
        <w:rPr>
          <w:szCs w:val="22"/>
        </w:rPr>
      </w:pPr>
    </w:p>
    <w:p w14:paraId="01673CF6" w14:textId="77777777" w:rsidR="0061061F" w:rsidRPr="00D166EA" w:rsidRDefault="0061061F" w:rsidP="0061061F">
      <w:pPr>
        <w:rPr>
          <w:szCs w:val="22"/>
        </w:rPr>
      </w:pPr>
    </w:p>
    <w:p w14:paraId="709A5187" w14:textId="77777777" w:rsidR="0061061F" w:rsidRPr="00D166EA" w:rsidRDefault="0061061F" w:rsidP="0061061F">
      <w:pPr>
        <w:rPr>
          <w:szCs w:val="22"/>
        </w:rPr>
      </w:pPr>
    </w:p>
    <w:p w14:paraId="6B368FAB" w14:textId="77777777" w:rsidR="0061061F" w:rsidRPr="00D166EA" w:rsidRDefault="0061061F" w:rsidP="0061061F">
      <w:pPr>
        <w:rPr>
          <w:szCs w:val="22"/>
        </w:rPr>
      </w:pPr>
    </w:p>
    <w:p w14:paraId="27328098" w14:textId="77777777" w:rsidR="0061061F" w:rsidRDefault="0061061F" w:rsidP="0061061F">
      <w:pPr>
        <w:rPr>
          <w:szCs w:val="22"/>
        </w:rPr>
      </w:pPr>
    </w:p>
    <w:p w14:paraId="577C093B" w14:textId="77777777" w:rsidR="005940A6" w:rsidRPr="00D166EA" w:rsidRDefault="005940A6" w:rsidP="0061061F">
      <w:pPr>
        <w:rPr>
          <w:szCs w:val="22"/>
        </w:rPr>
      </w:pPr>
    </w:p>
    <w:p w14:paraId="4C7AF73F" w14:textId="77777777" w:rsidR="0061061F" w:rsidRPr="00D166EA" w:rsidRDefault="0061061F" w:rsidP="0061061F">
      <w:pPr>
        <w:pStyle w:val="Antrat2"/>
      </w:pPr>
      <w:r w:rsidRPr="00D166EA">
        <w:t>A. ŽENKLINIMAS</w:t>
      </w:r>
    </w:p>
    <w:p w14:paraId="246C0B6C" w14:textId="77777777" w:rsidR="0061061F" w:rsidRPr="00D166EA" w:rsidRDefault="0061061F" w:rsidP="0061061F">
      <w:pPr>
        <w:rPr>
          <w:szCs w:val="22"/>
        </w:rPr>
      </w:pPr>
      <w:r w:rsidRPr="00D166EA">
        <w:rPr>
          <w:szCs w:val="22"/>
        </w:rPr>
        <w:br w:type="page"/>
      </w:r>
    </w:p>
    <w:p w14:paraId="5FFEF869" w14:textId="77777777" w:rsidR="0061061F" w:rsidRPr="00D166EA" w:rsidRDefault="0061061F" w:rsidP="0061061F">
      <w:pPr>
        <w:pBdr>
          <w:top w:val="single" w:sz="4" w:space="1" w:color="auto"/>
          <w:left w:val="single" w:sz="4" w:space="4" w:color="auto"/>
          <w:bottom w:val="single" w:sz="4" w:space="1" w:color="auto"/>
          <w:right w:val="single" w:sz="4" w:space="4" w:color="auto"/>
        </w:pBdr>
        <w:rPr>
          <w:b/>
          <w:bCs/>
          <w:szCs w:val="22"/>
        </w:rPr>
      </w:pPr>
      <w:r w:rsidRPr="00D166EA">
        <w:rPr>
          <w:b/>
          <w:bCs/>
          <w:szCs w:val="22"/>
        </w:rPr>
        <w:lastRenderedPageBreak/>
        <w:t xml:space="preserve">INFORMACIJA ANT IŠORINĖS </w:t>
      </w:r>
      <w:r w:rsidR="00B223E0">
        <w:rPr>
          <w:b/>
          <w:bCs/>
          <w:szCs w:val="22"/>
        </w:rPr>
        <w:t xml:space="preserve">IR VIDINĖS </w:t>
      </w:r>
      <w:r w:rsidRPr="00D166EA">
        <w:rPr>
          <w:b/>
          <w:bCs/>
          <w:szCs w:val="22"/>
        </w:rPr>
        <w:t>PAKUOTĖS</w:t>
      </w:r>
    </w:p>
    <w:p w14:paraId="538CCD9A" w14:textId="77777777" w:rsidR="00AA1D3D" w:rsidRPr="00D166EA" w:rsidRDefault="00AA1D3D" w:rsidP="00051721">
      <w:pPr>
        <w:pBdr>
          <w:top w:val="single" w:sz="4" w:space="1" w:color="auto"/>
          <w:left w:val="single" w:sz="4" w:space="4" w:color="auto"/>
          <w:bottom w:val="single" w:sz="4" w:space="1" w:color="auto"/>
          <w:right w:val="single" w:sz="4" w:space="4" w:color="auto"/>
        </w:pBdr>
        <w:rPr>
          <w:b/>
          <w:bCs/>
          <w:szCs w:val="22"/>
        </w:rPr>
      </w:pPr>
    </w:p>
    <w:p w14:paraId="5BB877A4" w14:textId="77777777" w:rsidR="0061061F" w:rsidRDefault="004F0018" w:rsidP="00051721">
      <w:pPr>
        <w:pBdr>
          <w:top w:val="single" w:sz="4" w:space="1" w:color="auto"/>
          <w:left w:val="single" w:sz="4" w:space="4" w:color="auto"/>
          <w:bottom w:val="single" w:sz="4" w:space="1" w:color="auto"/>
          <w:right w:val="single" w:sz="4" w:space="4" w:color="auto"/>
        </w:pBdr>
        <w:rPr>
          <w:b/>
          <w:bCs/>
          <w:szCs w:val="22"/>
        </w:rPr>
      </w:pPr>
      <w:r>
        <w:rPr>
          <w:b/>
          <w:bCs/>
          <w:szCs w:val="22"/>
        </w:rPr>
        <w:t>OPA/AL</w:t>
      </w:r>
      <w:r w:rsidR="00A92D09">
        <w:rPr>
          <w:b/>
          <w:bCs/>
          <w:szCs w:val="22"/>
        </w:rPr>
        <w:t>U/PVC/AL</w:t>
      </w:r>
      <w:r w:rsidR="00C168E4">
        <w:rPr>
          <w:b/>
          <w:bCs/>
          <w:szCs w:val="22"/>
        </w:rPr>
        <w:t>U</w:t>
      </w:r>
      <w:r w:rsidR="004515B9">
        <w:rPr>
          <w:b/>
          <w:bCs/>
          <w:szCs w:val="22"/>
        </w:rPr>
        <w:t xml:space="preserve"> </w:t>
      </w:r>
      <w:r w:rsidR="00171B93" w:rsidRPr="00D166EA">
        <w:rPr>
          <w:b/>
          <w:bCs/>
          <w:szCs w:val="22"/>
        </w:rPr>
        <w:t xml:space="preserve">LIZDINIŲ PLOKŠTELIŲ </w:t>
      </w:r>
      <w:r w:rsidR="004515B9">
        <w:rPr>
          <w:b/>
          <w:bCs/>
          <w:szCs w:val="22"/>
        </w:rPr>
        <w:t>IR DTPE</w:t>
      </w:r>
      <w:r w:rsidR="00006CFA">
        <w:rPr>
          <w:b/>
          <w:bCs/>
          <w:szCs w:val="22"/>
        </w:rPr>
        <w:t xml:space="preserve"> BUTELIUKO</w:t>
      </w:r>
      <w:r w:rsidR="004515B9">
        <w:rPr>
          <w:b/>
          <w:bCs/>
          <w:szCs w:val="22"/>
        </w:rPr>
        <w:t xml:space="preserve"> </w:t>
      </w:r>
      <w:r w:rsidR="00171B93" w:rsidRPr="00D166EA">
        <w:rPr>
          <w:b/>
          <w:bCs/>
          <w:szCs w:val="22"/>
        </w:rPr>
        <w:t>KARTONO DĖŽUTĖ</w:t>
      </w:r>
    </w:p>
    <w:p w14:paraId="4ED2C198" w14:textId="77777777" w:rsidR="00006CFA" w:rsidRPr="00D166EA" w:rsidRDefault="00006CFA" w:rsidP="00051721">
      <w:pPr>
        <w:pBdr>
          <w:top w:val="single" w:sz="4" w:space="1" w:color="auto"/>
          <w:left w:val="single" w:sz="4" w:space="4" w:color="auto"/>
          <w:bottom w:val="single" w:sz="4" w:space="1" w:color="auto"/>
          <w:right w:val="single" w:sz="4" w:space="4" w:color="auto"/>
        </w:pBdr>
        <w:rPr>
          <w:szCs w:val="22"/>
        </w:rPr>
      </w:pPr>
      <w:r>
        <w:rPr>
          <w:b/>
          <w:bCs/>
          <w:szCs w:val="22"/>
        </w:rPr>
        <w:t>DTPE BUTELIUKO ETIKETĖ</w:t>
      </w:r>
    </w:p>
    <w:p w14:paraId="0659B718" w14:textId="77777777" w:rsidR="00051721" w:rsidRDefault="00051721" w:rsidP="0061061F">
      <w:pPr>
        <w:rPr>
          <w:szCs w:val="22"/>
        </w:rPr>
      </w:pPr>
    </w:p>
    <w:p w14:paraId="3AD1C326" w14:textId="77777777" w:rsidR="005940A6" w:rsidRPr="00D166EA" w:rsidRDefault="005940A6" w:rsidP="0061061F">
      <w:pPr>
        <w:rPr>
          <w:szCs w:val="22"/>
        </w:rPr>
      </w:pPr>
    </w:p>
    <w:p w14:paraId="1C3861D2" w14:textId="77777777" w:rsidR="0061061F" w:rsidRPr="00D166EA" w:rsidRDefault="0061061F" w:rsidP="0061061F">
      <w:pPr>
        <w:pBdr>
          <w:top w:val="single" w:sz="4" w:space="1" w:color="auto"/>
          <w:left w:val="single" w:sz="4" w:space="4" w:color="auto"/>
          <w:bottom w:val="single" w:sz="4" w:space="1" w:color="auto"/>
          <w:right w:val="single" w:sz="4" w:space="4" w:color="auto"/>
        </w:pBdr>
        <w:outlineLvl w:val="0"/>
        <w:rPr>
          <w:szCs w:val="22"/>
        </w:rPr>
      </w:pPr>
      <w:r w:rsidRPr="00D166EA">
        <w:rPr>
          <w:b/>
          <w:bCs/>
          <w:szCs w:val="22"/>
        </w:rPr>
        <w:t>1.</w:t>
      </w:r>
      <w:r w:rsidRPr="00D166EA">
        <w:rPr>
          <w:b/>
          <w:bCs/>
          <w:szCs w:val="22"/>
        </w:rPr>
        <w:tab/>
      </w:r>
      <w:r w:rsidRPr="00D166EA">
        <w:rPr>
          <w:b/>
          <w:bCs/>
          <w:caps/>
          <w:szCs w:val="22"/>
        </w:rPr>
        <w:t>VAISTINIO</w:t>
      </w:r>
      <w:r w:rsidRPr="00D166EA">
        <w:rPr>
          <w:b/>
          <w:bCs/>
          <w:szCs w:val="22"/>
        </w:rPr>
        <w:t xml:space="preserve"> PREPARATO PAVADINIMAS</w:t>
      </w:r>
    </w:p>
    <w:p w14:paraId="3A0D8709" w14:textId="77777777" w:rsidR="0061061F" w:rsidRPr="00D166EA" w:rsidRDefault="0061061F" w:rsidP="0061061F">
      <w:pPr>
        <w:rPr>
          <w:szCs w:val="22"/>
        </w:rPr>
      </w:pPr>
    </w:p>
    <w:p w14:paraId="340244A1" w14:textId="77777777" w:rsidR="0061061F" w:rsidRPr="00D166EA" w:rsidRDefault="009D4230" w:rsidP="0061061F">
      <w:pPr>
        <w:jc w:val="both"/>
        <w:rPr>
          <w:szCs w:val="22"/>
        </w:rPr>
      </w:pPr>
      <w:r w:rsidRPr="00591D31">
        <w:rPr>
          <w:szCs w:val="22"/>
        </w:rPr>
        <w:t>Entecavir</w:t>
      </w:r>
      <w:r w:rsidR="0061061F" w:rsidRPr="00591D31">
        <w:rPr>
          <w:szCs w:val="22"/>
        </w:rPr>
        <w:t xml:space="preserve"> Sandoz </w:t>
      </w:r>
      <w:r w:rsidR="008175E9" w:rsidRPr="00591D31">
        <w:rPr>
          <w:szCs w:val="22"/>
        </w:rPr>
        <w:t>0,</w:t>
      </w:r>
      <w:r w:rsidR="00051721" w:rsidRPr="00591D31">
        <w:rPr>
          <w:szCs w:val="22"/>
        </w:rPr>
        <w:t>5</w:t>
      </w:r>
      <w:r w:rsidR="0061061F" w:rsidRPr="00591D31">
        <w:rPr>
          <w:szCs w:val="22"/>
        </w:rPr>
        <w:t> mg plėvele dengtos tabletės</w:t>
      </w:r>
    </w:p>
    <w:p w14:paraId="560F9E97" w14:textId="77777777" w:rsidR="0061061F" w:rsidRPr="00D166EA" w:rsidRDefault="009D4230" w:rsidP="0061061F">
      <w:pPr>
        <w:jc w:val="both"/>
        <w:rPr>
          <w:szCs w:val="22"/>
        </w:rPr>
      </w:pPr>
      <w:r w:rsidRPr="00591D31">
        <w:rPr>
          <w:szCs w:val="22"/>
          <w:highlight w:val="lightGray"/>
        </w:rPr>
        <w:t>Entecavir</w:t>
      </w:r>
      <w:r w:rsidR="0061061F" w:rsidRPr="00591D31">
        <w:rPr>
          <w:szCs w:val="22"/>
          <w:highlight w:val="lightGray"/>
        </w:rPr>
        <w:t xml:space="preserve"> Sandoz 1 mg plėvele dengtos tabletės</w:t>
      </w:r>
    </w:p>
    <w:p w14:paraId="3043F959" w14:textId="77777777" w:rsidR="00AA1D3D" w:rsidRPr="00D166EA" w:rsidRDefault="00AA1D3D" w:rsidP="0061061F">
      <w:pPr>
        <w:jc w:val="both"/>
        <w:rPr>
          <w:szCs w:val="22"/>
        </w:rPr>
      </w:pPr>
    </w:p>
    <w:p w14:paraId="3AC193CA" w14:textId="77777777" w:rsidR="0061061F" w:rsidRPr="00D166EA" w:rsidRDefault="003416A2" w:rsidP="0061061F">
      <w:pPr>
        <w:jc w:val="both"/>
        <w:rPr>
          <w:szCs w:val="22"/>
        </w:rPr>
      </w:pPr>
      <w:r>
        <w:rPr>
          <w:szCs w:val="22"/>
        </w:rPr>
        <w:t>e</w:t>
      </w:r>
      <w:r w:rsidR="009D4230" w:rsidRPr="00D166EA">
        <w:rPr>
          <w:szCs w:val="22"/>
        </w:rPr>
        <w:t>nte</w:t>
      </w:r>
      <w:r w:rsidR="0065572F">
        <w:rPr>
          <w:szCs w:val="22"/>
        </w:rPr>
        <w:t>k</w:t>
      </w:r>
      <w:r w:rsidR="009D4230" w:rsidRPr="00D166EA">
        <w:rPr>
          <w:szCs w:val="22"/>
        </w:rPr>
        <w:t>avir</w:t>
      </w:r>
      <w:r w:rsidR="0065572F">
        <w:rPr>
          <w:szCs w:val="22"/>
        </w:rPr>
        <w:t>as</w:t>
      </w:r>
    </w:p>
    <w:p w14:paraId="2F4F78A9" w14:textId="77777777" w:rsidR="0061061F" w:rsidRPr="00D166EA" w:rsidRDefault="0061061F" w:rsidP="0061061F">
      <w:pPr>
        <w:rPr>
          <w:szCs w:val="22"/>
        </w:rPr>
      </w:pPr>
    </w:p>
    <w:p w14:paraId="16D4C1CA" w14:textId="77777777" w:rsidR="0061061F" w:rsidRPr="00D166EA" w:rsidRDefault="0061061F" w:rsidP="0061061F">
      <w:pPr>
        <w:rPr>
          <w:szCs w:val="22"/>
        </w:rPr>
      </w:pPr>
    </w:p>
    <w:p w14:paraId="7B1B266A" w14:textId="77777777" w:rsidR="0061061F" w:rsidRPr="00D166EA" w:rsidRDefault="0061061F" w:rsidP="0061061F">
      <w:pPr>
        <w:pBdr>
          <w:top w:val="single" w:sz="4" w:space="1" w:color="auto"/>
          <w:left w:val="single" w:sz="4" w:space="4" w:color="auto"/>
          <w:bottom w:val="single" w:sz="4" w:space="1" w:color="auto"/>
          <w:right w:val="single" w:sz="4" w:space="4" w:color="auto"/>
        </w:pBdr>
        <w:outlineLvl w:val="0"/>
        <w:rPr>
          <w:b/>
          <w:bCs/>
          <w:szCs w:val="22"/>
        </w:rPr>
      </w:pPr>
      <w:r w:rsidRPr="00D166EA">
        <w:rPr>
          <w:b/>
          <w:bCs/>
          <w:szCs w:val="22"/>
        </w:rPr>
        <w:t>2.</w:t>
      </w:r>
      <w:r w:rsidRPr="00D166EA">
        <w:rPr>
          <w:b/>
          <w:bCs/>
          <w:szCs w:val="22"/>
        </w:rPr>
        <w:tab/>
        <w:t>VEIKLIOJI (-IOS) MEDŽIAGA (-OS) IR JOS (-Ų) KIEKIS (-IAI)</w:t>
      </w:r>
    </w:p>
    <w:p w14:paraId="5B9DAE03" w14:textId="77777777" w:rsidR="0061061F" w:rsidRPr="00D166EA" w:rsidRDefault="0061061F" w:rsidP="0061061F">
      <w:pPr>
        <w:tabs>
          <w:tab w:val="left" w:pos="7620"/>
        </w:tabs>
        <w:rPr>
          <w:szCs w:val="22"/>
        </w:rPr>
      </w:pPr>
    </w:p>
    <w:p w14:paraId="4B298C85" w14:textId="77777777" w:rsidR="00AA1D3D" w:rsidRPr="00D166EA" w:rsidRDefault="00AA1D3D" w:rsidP="00AA1D3D">
      <w:pPr>
        <w:jc w:val="both"/>
        <w:rPr>
          <w:szCs w:val="22"/>
          <w:highlight w:val="lightGray"/>
          <w:u w:val="single"/>
        </w:rPr>
      </w:pPr>
      <w:r w:rsidRPr="00D166EA">
        <w:rPr>
          <w:szCs w:val="22"/>
          <w:highlight w:val="lightGray"/>
          <w:u w:val="single"/>
        </w:rPr>
        <w:t>Entecavir Sandoz 0,5</w:t>
      </w:r>
      <w:r w:rsidR="00171B93">
        <w:rPr>
          <w:szCs w:val="22"/>
          <w:highlight w:val="lightGray"/>
          <w:u w:val="single"/>
        </w:rPr>
        <w:t> </w:t>
      </w:r>
      <w:r w:rsidRPr="00D166EA">
        <w:rPr>
          <w:szCs w:val="22"/>
          <w:highlight w:val="lightGray"/>
          <w:u w:val="single"/>
        </w:rPr>
        <w:t>mg plėvele dengtos tabletės</w:t>
      </w:r>
    </w:p>
    <w:p w14:paraId="1400A595" w14:textId="77777777" w:rsidR="00AA1D3D" w:rsidRPr="00D166EA" w:rsidRDefault="00AA1D3D" w:rsidP="00AA1D3D">
      <w:pPr>
        <w:jc w:val="both"/>
        <w:rPr>
          <w:szCs w:val="22"/>
        </w:rPr>
      </w:pPr>
      <w:r w:rsidRPr="00591D31">
        <w:rPr>
          <w:szCs w:val="22"/>
        </w:rPr>
        <w:t xml:space="preserve">Kiekvienoje </w:t>
      </w:r>
      <w:r w:rsidR="004E27E2">
        <w:rPr>
          <w:szCs w:val="22"/>
        </w:rPr>
        <w:t xml:space="preserve">plėvele dengtoje </w:t>
      </w:r>
      <w:r w:rsidRPr="00591D31">
        <w:rPr>
          <w:szCs w:val="22"/>
        </w:rPr>
        <w:t>tabletėje yra 0,5 mg entekaviro (monohidrato pavidalu).</w:t>
      </w:r>
      <w:r w:rsidRPr="00D166EA">
        <w:rPr>
          <w:szCs w:val="22"/>
        </w:rPr>
        <w:t xml:space="preserve"> </w:t>
      </w:r>
    </w:p>
    <w:p w14:paraId="77DD01BE" w14:textId="77777777" w:rsidR="00AA1D3D" w:rsidRPr="00D166EA" w:rsidRDefault="00AA1D3D" w:rsidP="00AA1D3D">
      <w:pPr>
        <w:jc w:val="both"/>
        <w:rPr>
          <w:szCs w:val="22"/>
        </w:rPr>
      </w:pPr>
    </w:p>
    <w:p w14:paraId="7498D433" w14:textId="77777777" w:rsidR="00AA1D3D" w:rsidRPr="00D166EA" w:rsidRDefault="00AA1D3D" w:rsidP="00AA1D3D">
      <w:pPr>
        <w:jc w:val="both"/>
        <w:rPr>
          <w:szCs w:val="22"/>
          <w:u w:val="single"/>
        </w:rPr>
      </w:pPr>
      <w:r w:rsidRPr="00B606B7">
        <w:rPr>
          <w:szCs w:val="22"/>
          <w:highlight w:val="lightGray"/>
          <w:u w:val="single"/>
        </w:rPr>
        <w:t>Entecavir Sandoz 1 mg plėvele dengtos tabletės</w:t>
      </w:r>
    </w:p>
    <w:p w14:paraId="2611A43C" w14:textId="77777777" w:rsidR="00AA1D3D" w:rsidRPr="00D166EA" w:rsidRDefault="00AA1D3D" w:rsidP="00AA1D3D">
      <w:pPr>
        <w:jc w:val="both"/>
        <w:rPr>
          <w:szCs w:val="22"/>
        </w:rPr>
      </w:pPr>
      <w:r w:rsidRPr="00591D31">
        <w:rPr>
          <w:szCs w:val="22"/>
          <w:highlight w:val="lightGray"/>
        </w:rPr>
        <w:t xml:space="preserve">Kiekvienoje </w:t>
      </w:r>
      <w:r w:rsidR="00DE2C84" w:rsidRPr="00591D31">
        <w:rPr>
          <w:szCs w:val="22"/>
          <w:highlight w:val="lightGray"/>
        </w:rPr>
        <w:t xml:space="preserve">plėvele dengtoje </w:t>
      </w:r>
      <w:r w:rsidRPr="00591D31">
        <w:rPr>
          <w:szCs w:val="22"/>
          <w:highlight w:val="lightGray"/>
        </w:rPr>
        <w:t>tabletėje yra 1 mg entekaviro (monohidrato pavidalu).</w:t>
      </w:r>
      <w:r w:rsidRPr="00D166EA">
        <w:rPr>
          <w:szCs w:val="22"/>
        </w:rPr>
        <w:t xml:space="preserve"> </w:t>
      </w:r>
    </w:p>
    <w:p w14:paraId="0DD66771" w14:textId="77777777" w:rsidR="00AA1D3D" w:rsidRPr="00D166EA" w:rsidRDefault="00AA1D3D" w:rsidP="00AA1D3D">
      <w:pPr>
        <w:jc w:val="both"/>
        <w:rPr>
          <w:szCs w:val="22"/>
        </w:rPr>
      </w:pPr>
    </w:p>
    <w:p w14:paraId="754B2520" w14:textId="77777777" w:rsidR="0061061F" w:rsidRPr="00D166EA" w:rsidRDefault="0061061F" w:rsidP="0061061F">
      <w:pPr>
        <w:rPr>
          <w:szCs w:val="22"/>
        </w:rPr>
      </w:pPr>
    </w:p>
    <w:p w14:paraId="5EDC3CFA" w14:textId="77777777" w:rsidR="0061061F" w:rsidRPr="00D166EA" w:rsidRDefault="0061061F" w:rsidP="0061061F">
      <w:pPr>
        <w:pBdr>
          <w:top w:val="single" w:sz="4" w:space="1" w:color="auto"/>
          <w:left w:val="single" w:sz="4" w:space="4" w:color="auto"/>
          <w:bottom w:val="single" w:sz="4" w:space="1" w:color="auto"/>
          <w:right w:val="single" w:sz="4" w:space="4" w:color="auto"/>
        </w:pBdr>
        <w:outlineLvl w:val="0"/>
        <w:rPr>
          <w:szCs w:val="22"/>
        </w:rPr>
      </w:pPr>
      <w:r w:rsidRPr="00D166EA">
        <w:rPr>
          <w:b/>
          <w:bCs/>
          <w:szCs w:val="22"/>
        </w:rPr>
        <w:t>3.</w:t>
      </w:r>
      <w:r w:rsidRPr="00D166EA">
        <w:rPr>
          <w:b/>
          <w:bCs/>
          <w:szCs w:val="22"/>
        </w:rPr>
        <w:tab/>
        <w:t>PAGALBINIŲ MEDŽIAGŲ SĄRAŠAS</w:t>
      </w:r>
    </w:p>
    <w:p w14:paraId="421C2281" w14:textId="77777777" w:rsidR="0061061F" w:rsidRPr="00D166EA" w:rsidRDefault="0061061F" w:rsidP="0061061F">
      <w:pPr>
        <w:rPr>
          <w:szCs w:val="22"/>
        </w:rPr>
      </w:pPr>
    </w:p>
    <w:p w14:paraId="4C6486FB" w14:textId="77777777" w:rsidR="00AA1D3D" w:rsidRPr="00D166EA" w:rsidRDefault="0061061F" w:rsidP="0061061F">
      <w:pPr>
        <w:jc w:val="both"/>
        <w:rPr>
          <w:szCs w:val="22"/>
        </w:rPr>
      </w:pPr>
      <w:r w:rsidRPr="00D166EA">
        <w:rPr>
          <w:szCs w:val="22"/>
        </w:rPr>
        <w:t>Sudėtyje yra laktozės</w:t>
      </w:r>
      <w:r w:rsidR="00DA1FF2">
        <w:rPr>
          <w:szCs w:val="22"/>
        </w:rPr>
        <w:t>.</w:t>
      </w:r>
      <w:r w:rsidRPr="00D166EA">
        <w:rPr>
          <w:szCs w:val="22"/>
        </w:rPr>
        <w:t xml:space="preserve"> </w:t>
      </w:r>
    </w:p>
    <w:p w14:paraId="479B1609" w14:textId="77777777" w:rsidR="0061061F" w:rsidRPr="00D166EA" w:rsidRDefault="0061061F" w:rsidP="0061061F">
      <w:pPr>
        <w:jc w:val="both"/>
        <w:rPr>
          <w:szCs w:val="22"/>
        </w:rPr>
      </w:pPr>
      <w:r w:rsidRPr="000508D7">
        <w:rPr>
          <w:szCs w:val="22"/>
          <w:highlight w:val="lightGray"/>
        </w:rPr>
        <w:t>Daugiau informacijos pateikta pakuotės lapelyje.</w:t>
      </w:r>
    </w:p>
    <w:p w14:paraId="23A942B8" w14:textId="77777777" w:rsidR="0061061F" w:rsidRPr="00D166EA" w:rsidRDefault="0061061F" w:rsidP="0061061F">
      <w:pPr>
        <w:rPr>
          <w:szCs w:val="22"/>
        </w:rPr>
      </w:pPr>
    </w:p>
    <w:p w14:paraId="2F715274" w14:textId="77777777" w:rsidR="0061061F" w:rsidRPr="00D166EA" w:rsidRDefault="0061061F" w:rsidP="0061061F">
      <w:pPr>
        <w:rPr>
          <w:szCs w:val="22"/>
        </w:rPr>
      </w:pPr>
    </w:p>
    <w:p w14:paraId="2974FC2A" w14:textId="77777777" w:rsidR="0061061F" w:rsidRPr="00D166EA" w:rsidRDefault="0061061F" w:rsidP="0061061F">
      <w:pPr>
        <w:pBdr>
          <w:top w:val="single" w:sz="4" w:space="1" w:color="auto"/>
          <w:left w:val="single" w:sz="4" w:space="4" w:color="auto"/>
          <w:bottom w:val="single" w:sz="4" w:space="1" w:color="auto"/>
          <w:right w:val="single" w:sz="4" w:space="4" w:color="auto"/>
        </w:pBdr>
        <w:outlineLvl w:val="0"/>
        <w:rPr>
          <w:szCs w:val="22"/>
        </w:rPr>
      </w:pPr>
      <w:r w:rsidRPr="00D166EA">
        <w:rPr>
          <w:b/>
          <w:bCs/>
          <w:szCs w:val="22"/>
        </w:rPr>
        <w:t>4.</w:t>
      </w:r>
      <w:r w:rsidRPr="00D166EA">
        <w:rPr>
          <w:b/>
          <w:bCs/>
          <w:szCs w:val="22"/>
        </w:rPr>
        <w:tab/>
        <w:t>FARMACINĖ FORMA IR KIEKIS PAKUOTĖJE</w:t>
      </w:r>
    </w:p>
    <w:p w14:paraId="07FAB0CD" w14:textId="77777777" w:rsidR="0061061F" w:rsidRPr="00D166EA" w:rsidRDefault="0061061F" w:rsidP="0061061F">
      <w:pPr>
        <w:rPr>
          <w:szCs w:val="22"/>
        </w:rPr>
      </w:pPr>
    </w:p>
    <w:p w14:paraId="375D5E46" w14:textId="77777777" w:rsidR="00051721" w:rsidRPr="00591D31" w:rsidRDefault="00DB0527" w:rsidP="0061061F">
      <w:pPr>
        <w:rPr>
          <w:i/>
          <w:iCs/>
          <w:szCs w:val="22"/>
        </w:rPr>
      </w:pPr>
      <w:r w:rsidRPr="00175E58">
        <w:rPr>
          <w:i/>
          <w:highlight w:val="lightGray"/>
        </w:rPr>
        <w:t>Lizdinė plokštelė:</w:t>
      </w:r>
    </w:p>
    <w:p w14:paraId="13F666F1" w14:textId="77777777" w:rsidR="0061061F" w:rsidRPr="00D166EA" w:rsidRDefault="00AA1D3D" w:rsidP="0061061F">
      <w:pPr>
        <w:rPr>
          <w:szCs w:val="22"/>
        </w:rPr>
      </w:pPr>
      <w:r w:rsidRPr="00DB0527">
        <w:rPr>
          <w:szCs w:val="22"/>
        </w:rPr>
        <w:t>1</w:t>
      </w:r>
      <w:r w:rsidR="0061061F" w:rsidRPr="00DB0527">
        <w:rPr>
          <w:szCs w:val="22"/>
        </w:rPr>
        <w:t xml:space="preserve">0 </w:t>
      </w:r>
      <w:r w:rsidR="0061061F" w:rsidRPr="003416A2">
        <w:rPr>
          <w:szCs w:val="22"/>
          <w:highlight w:val="lightGray"/>
        </w:rPr>
        <w:t>plėvele dengtų</w:t>
      </w:r>
      <w:r w:rsidR="0061061F" w:rsidRPr="00D166EA">
        <w:rPr>
          <w:szCs w:val="22"/>
        </w:rPr>
        <w:t xml:space="preserve"> tablečių</w:t>
      </w:r>
    </w:p>
    <w:p w14:paraId="6ED7F846" w14:textId="77777777" w:rsidR="0061061F" w:rsidRPr="00D166EA" w:rsidRDefault="00051721" w:rsidP="0061061F">
      <w:pPr>
        <w:rPr>
          <w:szCs w:val="22"/>
          <w:highlight w:val="lightGray"/>
        </w:rPr>
      </w:pPr>
      <w:r w:rsidRPr="00D166EA">
        <w:rPr>
          <w:szCs w:val="22"/>
          <w:highlight w:val="lightGray"/>
        </w:rPr>
        <w:t>30 plėvele dengtų tablečių</w:t>
      </w:r>
    </w:p>
    <w:p w14:paraId="6E5C95A1" w14:textId="77777777" w:rsidR="008B118F" w:rsidRPr="00D166EA" w:rsidRDefault="008B118F" w:rsidP="0061061F">
      <w:pPr>
        <w:rPr>
          <w:szCs w:val="22"/>
        </w:rPr>
      </w:pPr>
      <w:r w:rsidRPr="00D166EA">
        <w:rPr>
          <w:szCs w:val="22"/>
          <w:highlight w:val="lightGray"/>
        </w:rPr>
        <w:t>90 plėvele dengtų tablečių</w:t>
      </w:r>
    </w:p>
    <w:p w14:paraId="70E53998" w14:textId="77777777" w:rsidR="008B118F" w:rsidRDefault="008B118F" w:rsidP="0061061F">
      <w:pPr>
        <w:rPr>
          <w:szCs w:val="22"/>
        </w:rPr>
      </w:pPr>
    </w:p>
    <w:p w14:paraId="24DF8304" w14:textId="77777777" w:rsidR="00DB0527" w:rsidRPr="00591D31" w:rsidRDefault="00DB0527" w:rsidP="0061061F">
      <w:pPr>
        <w:rPr>
          <w:i/>
          <w:iCs/>
          <w:szCs w:val="22"/>
          <w:highlight w:val="lightGray"/>
        </w:rPr>
      </w:pPr>
      <w:r w:rsidRPr="00591D31">
        <w:rPr>
          <w:i/>
          <w:iCs/>
          <w:szCs w:val="22"/>
          <w:highlight w:val="lightGray"/>
        </w:rPr>
        <w:t>DTPE buteliukas:</w:t>
      </w:r>
    </w:p>
    <w:p w14:paraId="2DB2019A" w14:textId="77777777" w:rsidR="0061061F" w:rsidRDefault="00DB0527" w:rsidP="0061061F">
      <w:pPr>
        <w:rPr>
          <w:szCs w:val="22"/>
        </w:rPr>
      </w:pPr>
      <w:r w:rsidRPr="00591D31">
        <w:rPr>
          <w:szCs w:val="22"/>
          <w:highlight w:val="lightGray"/>
        </w:rPr>
        <w:t>30 plėvele dengtų tablečių</w:t>
      </w:r>
    </w:p>
    <w:p w14:paraId="20F43FEC" w14:textId="77777777" w:rsidR="00DB0527" w:rsidRDefault="00DB0527" w:rsidP="0061061F">
      <w:pPr>
        <w:rPr>
          <w:szCs w:val="22"/>
        </w:rPr>
      </w:pPr>
    </w:p>
    <w:p w14:paraId="55450571" w14:textId="77777777" w:rsidR="00DB0527" w:rsidRPr="00D166EA" w:rsidRDefault="00DB0527" w:rsidP="0061061F">
      <w:pPr>
        <w:rPr>
          <w:szCs w:val="22"/>
        </w:rPr>
      </w:pPr>
    </w:p>
    <w:p w14:paraId="53EEAF8B" w14:textId="77777777" w:rsidR="0061061F" w:rsidRPr="00D166EA" w:rsidRDefault="0061061F" w:rsidP="008B118F">
      <w:pPr>
        <w:pBdr>
          <w:top w:val="single" w:sz="4" w:space="1" w:color="auto"/>
          <w:left w:val="single" w:sz="4" w:space="4" w:color="auto"/>
          <w:bottom w:val="single" w:sz="4" w:space="1" w:color="auto"/>
          <w:right w:val="single" w:sz="4" w:space="4" w:color="auto"/>
        </w:pBdr>
        <w:ind w:left="567" w:hanging="567"/>
        <w:outlineLvl w:val="0"/>
        <w:rPr>
          <w:szCs w:val="22"/>
        </w:rPr>
      </w:pPr>
      <w:r w:rsidRPr="00D166EA">
        <w:rPr>
          <w:b/>
          <w:bCs/>
          <w:szCs w:val="22"/>
        </w:rPr>
        <w:t>5.</w:t>
      </w:r>
      <w:r w:rsidRPr="00D166EA">
        <w:rPr>
          <w:b/>
          <w:bCs/>
          <w:szCs w:val="22"/>
        </w:rPr>
        <w:tab/>
        <w:t>VARTOJIMO METODAS IR BŪDAS (-AI)</w:t>
      </w:r>
    </w:p>
    <w:p w14:paraId="06D14C21" w14:textId="77777777" w:rsidR="0061061F" w:rsidRPr="00D166EA" w:rsidRDefault="0061061F" w:rsidP="0061061F">
      <w:pPr>
        <w:rPr>
          <w:szCs w:val="22"/>
        </w:rPr>
      </w:pPr>
    </w:p>
    <w:p w14:paraId="26623F4B" w14:textId="77777777" w:rsidR="0061061F" w:rsidRPr="00D166EA" w:rsidRDefault="0061061F" w:rsidP="0061061F">
      <w:pPr>
        <w:rPr>
          <w:szCs w:val="22"/>
        </w:rPr>
      </w:pPr>
      <w:r w:rsidRPr="00D166EA">
        <w:rPr>
          <w:szCs w:val="22"/>
        </w:rPr>
        <w:t>Vartoti per burną.</w:t>
      </w:r>
    </w:p>
    <w:p w14:paraId="2222E7A8" w14:textId="77777777" w:rsidR="0061061F" w:rsidRPr="00D166EA" w:rsidRDefault="0061061F" w:rsidP="0061061F">
      <w:pPr>
        <w:rPr>
          <w:szCs w:val="22"/>
        </w:rPr>
      </w:pPr>
      <w:r w:rsidRPr="00D166EA">
        <w:rPr>
          <w:szCs w:val="22"/>
        </w:rPr>
        <w:t>Prieš vartojimą perskaitykite pakuotės lapelį.</w:t>
      </w:r>
    </w:p>
    <w:p w14:paraId="301DCF7B" w14:textId="77777777" w:rsidR="0061061F" w:rsidRPr="00D166EA" w:rsidRDefault="0061061F" w:rsidP="0061061F">
      <w:pPr>
        <w:rPr>
          <w:szCs w:val="22"/>
        </w:rPr>
      </w:pPr>
    </w:p>
    <w:p w14:paraId="02AD650C" w14:textId="77777777" w:rsidR="0061061F" w:rsidRPr="00D166EA" w:rsidRDefault="0061061F" w:rsidP="0061061F">
      <w:pPr>
        <w:rPr>
          <w:szCs w:val="22"/>
        </w:rPr>
      </w:pPr>
    </w:p>
    <w:p w14:paraId="510A3C26" w14:textId="77777777" w:rsidR="0061061F" w:rsidRPr="00D166EA" w:rsidRDefault="0061061F" w:rsidP="008B118F">
      <w:pPr>
        <w:pBdr>
          <w:top w:val="single" w:sz="4" w:space="1" w:color="auto"/>
          <w:left w:val="single" w:sz="4" w:space="4" w:color="auto"/>
          <w:bottom w:val="single" w:sz="4" w:space="1" w:color="auto"/>
          <w:right w:val="single" w:sz="4" w:space="4" w:color="auto"/>
        </w:pBdr>
        <w:ind w:left="567" w:hanging="567"/>
        <w:outlineLvl w:val="0"/>
        <w:rPr>
          <w:szCs w:val="22"/>
        </w:rPr>
      </w:pPr>
      <w:r w:rsidRPr="00D166EA">
        <w:rPr>
          <w:b/>
          <w:bCs/>
          <w:szCs w:val="22"/>
        </w:rPr>
        <w:t>6.</w:t>
      </w:r>
      <w:r w:rsidRPr="00D166EA">
        <w:rPr>
          <w:b/>
          <w:bCs/>
          <w:szCs w:val="22"/>
        </w:rPr>
        <w:tab/>
        <w:t>SPECIALUS ĮSPĖJIMAS, KAD VAISTINĮ PREPARATĄ BŪTINA LAIKYTI VAIKAMS NEPASTEBIMOJE IR NEPASIEKIAMOJE VIETOJE</w:t>
      </w:r>
    </w:p>
    <w:p w14:paraId="10B25FE4" w14:textId="77777777" w:rsidR="0061061F" w:rsidRPr="00D166EA" w:rsidRDefault="0061061F" w:rsidP="0061061F">
      <w:pPr>
        <w:rPr>
          <w:szCs w:val="22"/>
        </w:rPr>
      </w:pPr>
    </w:p>
    <w:p w14:paraId="26156F64" w14:textId="77777777" w:rsidR="0061061F" w:rsidRPr="00D166EA" w:rsidRDefault="0061061F" w:rsidP="0061061F">
      <w:pPr>
        <w:rPr>
          <w:szCs w:val="22"/>
        </w:rPr>
      </w:pPr>
      <w:r w:rsidRPr="00D166EA">
        <w:rPr>
          <w:szCs w:val="22"/>
        </w:rPr>
        <w:t>Laikyti vaikams nepastebimoje ir nepasiekiamoje vietoje.</w:t>
      </w:r>
    </w:p>
    <w:p w14:paraId="1F5F26B2" w14:textId="77777777" w:rsidR="0061061F" w:rsidRPr="00D166EA" w:rsidRDefault="0061061F" w:rsidP="0061061F">
      <w:pPr>
        <w:rPr>
          <w:szCs w:val="22"/>
        </w:rPr>
      </w:pPr>
    </w:p>
    <w:p w14:paraId="205C4C90" w14:textId="77777777" w:rsidR="0061061F" w:rsidRPr="00D166EA" w:rsidRDefault="0061061F" w:rsidP="0061061F">
      <w:pPr>
        <w:rPr>
          <w:szCs w:val="22"/>
        </w:rPr>
      </w:pPr>
    </w:p>
    <w:p w14:paraId="0FF1F83F" w14:textId="77777777" w:rsidR="0061061F" w:rsidRPr="00D166EA" w:rsidRDefault="0061061F" w:rsidP="0061061F">
      <w:pPr>
        <w:pBdr>
          <w:top w:val="single" w:sz="4" w:space="1" w:color="auto"/>
          <w:left w:val="single" w:sz="4" w:space="4" w:color="auto"/>
          <w:bottom w:val="single" w:sz="4" w:space="1" w:color="auto"/>
          <w:right w:val="single" w:sz="4" w:space="4" w:color="auto"/>
        </w:pBdr>
        <w:outlineLvl w:val="0"/>
        <w:rPr>
          <w:szCs w:val="22"/>
        </w:rPr>
      </w:pPr>
      <w:r w:rsidRPr="00D166EA">
        <w:rPr>
          <w:b/>
          <w:bCs/>
          <w:szCs w:val="22"/>
        </w:rPr>
        <w:t>7.</w:t>
      </w:r>
      <w:r w:rsidRPr="00D166EA">
        <w:rPr>
          <w:b/>
          <w:bCs/>
          <w:szCs w:val="22"/>
        </w:rPr>
        <w:tab/>
        <w:t>KITAS (-I) SPECIALUS (-ŪS) ĮSPĖJIMAS (-AI) (JEI REIKIA)</w:t>
      </w:r>
    </w:p>
    <w:p w14:paraId="50CD4ABF" w14:textId="77777777" w:rsidR="0061061F" w:rsidRPr="00D166EA" w:rsidRDefault="0061061F" w:rsidP="0061061F">
      <w:pPr>
        <w:rPr>
          <w:szCs w:val="22"/>
        </w:rPr>
      </w:pPr>
    </w:p>
    <w:p w14:paraId="6EB974A0" w14:textId="77777777" w:rsidR="008B118F" w:rsidRPr="00D166EA" w:rsidRDefault="008B118F" w:rsidP="0061061F">
      <w:pPr>
        <w:rPr>
          <w:szCs w:val="22"/>
        </w:rPr>
      </w:pPr>
    </w:p>
    <w:p w14:paraId="5BBC05E6" w14:textId="77777777" w:rsidR="0061061F" w:rsidRPr="00D166EA" w:rsidRDefault="0061061F" w:rsidP="0061061F">
      <w:pPr>
        <w:pBdr>
          <w:top w:val="single" w:sz="4" w:space="1" w:color="auto"/>
          <w:left w:val="single" w:sz="4" w:space="4" w:color="auto"/>
          <w:bottom w:val="single" w:sz="4" w:space="1" w:color="auto"/>
          <w:right w:val="single" w:sz="4" w:space="4" w:color="auto"/>
        </w:pBdr>
        <w:outlineLvl w:val="0"/>
        <w:rPr>
          <w:szCs w:val="22"/>
        </w:rPr>
      </w:pPr>
      <w:r w:rsidRPr="00D166EA">
        <w:rPr>
          <w:b/>
          <w:bCs/>
          <w:szCs w:val="22"/>
        </w:rPr>
        <w:t>8.</w:t>
      </w:r>
      <w:r w:rsidRPr="00D166EA">
        <w:rPr>
          <w:b/>
          <w:bCs/>
          <w:szCs w:val="22"/>
        </w:rPr>
        <w:tab/>
        <w:t>TINKAMUMO LAIKAS</w:t>
      </w:r>
    </w:p>
    <w:p w14:paraId="573B386C" w14:textId="77777777" w:rsidR="0061061F" w:rsidRPr="00D166EA" w:rsidRDefault="0061061F" w:rsidP="0061061F">
      <w:pPr>
        <w:rPr>
          <w:szCs w:val="22"/>
        </w:rPr>
      </w:pPr>
    </w:p>
    <w:p w14:paraId="15F06858" w14:textId="77777777" w:rsidR="0061061F" w:rsidRPr="00D166EA" w:rsidRDefault="0061061F" w:rsidP="0061061F">
      <w:pPr>
        <w:rPr>
          <w:szCs w:val="22"/>
        </w:rPr>
      </w:pPr>
      <w:r w:rsidRPr="00D166EA">
        <w:rPr>
          <w:szCs w:val="22"/>
        </w:rPr>
        <w:t>Tinka iki {mm MMMM}</w:t>
      </w:r>
    </w:p>
    <w:p w14:paraId="42DFBB08" w14:textId="77777777" w:rsidR="002D240D" w:rsidRDefault="002D240D" w:rsidP="002D240D">
      <w:pPr>
        <w:rPr>
          <w:szCs w:val="22"/>
          <w:highlight w:val="lightGray"/>
        </w:rPr>
      </w:pPr>
    </w:p>
    <w:p w14:paraId="1C16EB30" w14:textId="77777777" w:rsidR="002D240D" w:rsidRPr="00D166EA" w:rsidRDefault="002D240D" w:rsidP="002D240D">
      <w:pPr>
        <w:rPr>
          <w:szCs w:val="22"/>
        </w:rPr>
      </w:pPr>
      <w:r w:rsidRPr="00591D31">
        <w:rPr>
          <w:szCs w:val="22"/>
          <w:highlight w:val="lightGray"/>
        </w:rPr>
        <w:t>Pirmą kartą atidarius: tinka vartoti 6 mėnesius.</w:t>
      </w:r>
      <w:r w:rsidRPr="00D166EA">
        <w:rPr>
          <w:szCs w:val="22"/>
        </w:rPr>
        <w:t xml:space="preserve"> </w:t>
      </w:r>
    </w:p>
    <w:p w14:paraId="36495CA4" w14:textId="77777777" w:rsidR="002D240D" w:rsidRPr="00D166EA" w:rsidRDefault="002D240D" w:rsidP="002D240D">
      <w:pPr>
        <w:rPr>
          <w:szCs w:val="22"/>
        </w:rPr>
      </w:pPr>
    </w:p>
    <w:p w14:paraId="3773CF01" w14:textId="77777777" w:rsidR="002D240D" w:rsidRPr="00D166EA" w:rsidRDefault="002D240D" w:rsidP="002D240D">
      <w:pPr>
        <w:rPr>
          <w:szCs w:val="22"/>
        </w:rPr>
      </w:pPr>
      <w:r w:rsidRPr="00D166EA">
        <w:rPr>
          <w:szCs w:val="22"/>
          <w:highlight w:val="lightGray"/>
        </w:rPr>
        <w:t>Atidarytas:</w:t>
      </w:r>
    </w:p>
    <w:p w14:paraId="70D92184" w14:textId="77777777" w:rsidR="002D240D" w:rsidRPr="00D166EA" w:rsidRDefault="002D240D" w:rsidP="0061061F">
      <w:pPr>
        <w:rPr>
          <w:szCs w:val="22"/>
        </w:rPr>
      </w:pPr>
    </w:p>
    <w:p w14:paraId="54E7C215" w14:textId="77777777" w:rsidR="0061061F" w:rsidRPr="00D166EA" w:rsidRDefault="0061061F" w:rsidP="0061061F">
      <w:pPr>
        <w:rPr>
          <w:szCs w:val="22"/>
        </w:rPr>
      </w:pPr>
    </w:p>
    <w:p w14:paraId="5A0D86A7" w14:textId="77777777" w:rsidR="0061061F" w:rsidRPr="00D166EA" w:rsidRDefault="0061061F" w:rsidP="0061061F">
      <w:pPr>
        <w:keepNext/>
        <w:pBdr>
          <w:top w:val="single" w:sz="4" w:space="1" w:color="auto"/>
          <w:left w:val="single" w:sz="4" w:space="4" w:color="auto"/>
          <w:bottom w:val="single" w:sz="4" w:space="1" w:color="auto"/>
          <w:right w:val="single" w:sz="4" w:space="4" w:color="auto"/>
        </w:pBdr>
        <w:outlineLvl w:val="0"/>
        <w:rPr>
          <w:szCs w:val="22"/>
        </w:rPr>
      </w:pPr>
      <w:r w:rsidRPr="00D166EA">
        <w:rPr>
          <w:b/>
          <w:bCs/>
          <w:szCs w:val="22"/>
        </w:rPr>
        <w:t>9.</w:t>
      </w:r>
      <w:r w:rsidRPr="00D166EA">
        <w:rPr>
          <w:b/>
          <w:bCs/>
          <w:szCs w:val="22"/>
        </w:rPr>
        <w:tab/>
        <w:t>SPECIALIOS LAIKYMO SĄLYGOS</w:t>
      </w:r>
    </w:p>
    <w:p w14:paraId="53F3AB81" w14:textId="77777777" w:rsidR="0061061F" w:rsidRPr="00D166EA" w:rsidRDefault="0061061F" w:rsidP="0061061F">
      <w:pPr>
        <w:rPr>
          <w:szCs w:val="22"/>
        </w:rPr>
      </w:pPr>
    </w:p>
    <w:p w14:paraId="460750D9" w14:textId="77777777" w:rsidR="0061061F" w:rsidRPr="00D166EA" w:rsidRDefault="0061061F" w:rsidP="0061061F">
      <w:pPr>
        <w:rPr>
          <w:szCs w:val="22"/>
        </w:rPr>
      </w:pPr>
    </w:p>
    <w:p w14:paraId="21B57EA2" w14:textId="77777777" w:rsidR="0061061F" w:rsidRPr="00D166EA" w:rsidRDefault="0061061F" w:rsidP="0061061F">
      <w:pPr>
        <w:pBdr>
          <w:top w:val="single" w:sz="4" w:space="1" w:color="auto"/>
          <w:left w:val="single" w:sz="4" w:space="4" w:color="auto"/>
          <w:bottom w:val="single" w:sz="4" w:space="1" w:color="auto"/>
          <w:right w:val="single" w:sz="4" w:space="4" w:color="auto"/>
        </w:pBdr>
        <w:ind w:left="709" w:hanging="709"/>
        <w:outlineLvl w:val="0"/>
        <w:rPr>
          <w:b/>
          <w:bCs/>
          <w:szCs w:val="22"/>
        </w:rPr>
      </w:pPr>
      <w:r w:rsidRPr="00D166EA">
        <w:rPr>
          <w:b/>
          <w:bCs/>
          <w:szCs w:val="22"/>
        </w:rPr>
        <w:t>10.</w:t>
      </w:r>
      <w:r w:rsidRPr="00D166EA">
        <w:rPr>
          <w:b/>
          <w:bCs/>
          <w:szCs w:val="22"/>
        </w:rPr>
        <w:tab/>
        <w:t>SPECIALIOS ATSARGUMO PRIEMONĖS DĖL NESUVARTOTO VAISTINIO PREPARATO AR JO ATLIEKŲ TVARKYMO (JEI REIKIA)</w:t>
      </w:r>
    </w:p>
    <w:p w14:paraId="4AC7D29C" w14:textId="77777777" w:rsidR="0061061F" w:rsidRPr="00D166EA" w:rsidRDefault="0061061F" w:rsidP="0061061F">
      <w:pPr>
        <w:rPr>
          <w:szCs w:val="22"/>
        </w:rPr>
      </w:pPr>
    </w:p>
    <w:p w14:paraId="6EE788A1" w14:textId="77777777" w:rsidR="0061061F" w:rsidRPr="00D166EA" w:rsidRDefault="0061061F" w:rsidP="0061061F">
      <w:pPr>
        <w:rPr>
          <w:szCs w:val="22"/>
        </w:rPr>
      </w:pPr>
    </w:p>
    <w:p w14:paraId="43718026" w14:textId="77777777" w:rsidR="0061061F" w:rsidRPr="00D166EA" w:rsidRDefault="0061061F" w:rsidP="0061061F">
      <w:pPr>
        <w:pBdr>
          <w:top w:val="single" w:sz="4" w:space="1" w:color="auto"/>
          <w:left w:val="single" w:sz="4" w:space="4" w:color="auto"/>
          <w:bottom w:val="single" w:sz="4" w:space="1" w:color="auto"/>
          <w:right w:val="single" w:sz="4" w:space="4" w:color="auto"/>
        </w:pBdr>
        <w:outlineLvl w:val="0"/>
        <w:rPr>
          <w:b/>
          <w:bCs/>
          <w:szCs w:val="22"/>
        </w:rPr>
      </w:pPr>
      <w:r w:rsidRPr="00D166EA">
        <w:rPr>
          <w:b/>
          <w:bCs/>
          <w:szCs w:val="22"/>
        </w:rPr>
        <w:t>11.</w:t>
      </w:r>
      <w:r w:rsidRPr="00D166EA">
        <w:rPr>
          <w:b/>
          <w:bCs/>
          <w:szCs w:val="22"/>
        </w:rPr>
        <w:tab/>
      </w:r>
      <w:r w:rsidRPr="00D166EA">
        <w:rPr>
          <w:b/>
          <w:caps/>
          <w:szCs w:val="22"/>
        </w:rPr>
        <w:t>REGISTRUOTOJO</w:t>
      </w:r>
      <w:r w:rsidRPr="00D166EA" w:rsidDel="007C3E8D">
        <w:rPr>
          <w:b/>
          <w:bCs/>
          <w:caps/>
          <w:szCs w:val="22"/>
        </w:rPr>
        <w:t xml:space="preserve"> </w:t>
      </w:r>
      <w:r w:rsidRPr="00D166EA">
        <w:rPr>
          <w:b/>
          <w:bCs/>
          <w:caps/>
          <w:szCs w:val="22"/>
        </w:rPr>
        <w:t>PAVADINIMAS IR ADRESAS</w:t>
      </w:r>
    </w:p>
    <w:p w14:paraId="744E0ECA" w14:textId="77777777" w:rsidR="0061061F" w:rsidRPr="00D166EA" w:rsidRDefault="0061061F" w:rsidP="0061061F">
      <w:pPr>
        <w:rPr>
          <w:szCs w:val="22"/>
        </w:rPr>
      </w:pPr>
    </w:p>
    <w:p w14:paraId="719A452E" w14:textId="77777777" w:rsidR="008B118F" w:rsidRPr="00D166EA" w:rsidRDefault="008B118F" w:rsidP="008B118F">
      <w:pPr>
        <w:rPr>
          <w:szCs w:val="22"/>
        </w:rPr>
      </w:pPr>
      <w:r w:rsidRPr="00D166EA">
        <w:rPr>
          <w:szCs w:val="22"/>
        </w:rPr>
        <w:t>Sandoz d.d.</w:t>
      </w:r>
    </w:p>
    <w:p w14:paraId="465CE1D5" w14:textId="77777777" w:rsidR="008B118F" w:rsidRPr="00D166EA" w:rsidRDefault="008B118F" w:rsidP="008B118F">
      <w:pPr>
        <w:rPr>
          <w:szCs w:val="22"/>
        </w:rPr>
      </w:pPr>
      <w:r w:rsidRPr="00D166EA">
        <w:rPr>
          <w:szCs w:val="22"/>
        </w:rPr>
        <w:t>Verov</w:t>
      </w:r>
      <w:r w:rsidR="00171B93">
        <w:rPr>
          <w:szCs w:val="22"/>
        </w:rPr>
        <w:t>š</w:t>
      </w:r>
      <w:r w:rsidRPr="00D166EA">
        <w:rPr>
          <w:szCs w:val="22"/>
        </w:rPr>
        <w:t>kova 57</w:t>
      </w:r>
    </w:p>
    <w:p w14:paraId="74508669" w14:textId="77777777" w:rsidR="008B118F" w:rsidRPr="00D166EA" w:rsidRDefault="008B118F" w:rsidP="008B118F">
      <w:pPr>
        <w:rPr>
          <w:szCs w:val="22"/>
        </w:rPr>
      </w:pPr>
      <w:r w:rsidRPr="00D166EA">
        <w:rPr>
          <w:szCs w:val="22"/>
        </w:rPr>
        <w:t>SI-1000 Ljubljana</w:t>
      </w:r>
    </w:p>
    <w:p w14:paraId="504168C6" w14:textId="77777777" w:rsidR="0061061F" w:rsidRPr="00D166EA" w:rsidRDefault="008B118F" w:rsidP="008B118F">
      <w:pPr>
        <w:rPr>
          <w:szCs w:val="22"/>
        </w:rPr>
      </w:pPr>
      <w:r w:rsidRPr="00D166EA">
        <w:rPr>
          <w:szCs w:val="22"/>
        </w:rPr>
        <w:t>Slovėnija</w:t>
      </w:r>
    </w:p>
    <w:p w14:paraId="785D4CDE" w14:textId="77777777" w:rsidR="008B118F" w:rsidRPr="00D166EA" w:rsidRDefault="008B118F" w:rsidP="008B118F">
      <w:pPr>
        <w:rPr>
          <w:szCs w:val="22"/>
        </w:rPr>
      </w:pPr>
    </w:p>
    <w:p w14:paraId="2E5AD1CB" w14:textId="77777777" w:rsidR="0061061F" w:rsidRPr="00D166EA" w:rsidRDefault="0061061F" w:rsidP="0061061F">
      <w:pPr>
        <w:rPr>
          <w:szCs w:val="22"/>
        </w:rPr>
      </w:pPr>
    </w:p>
    <w:p w14:paraId="6D2F1702" w14:textId="77777777" w:rsidR="0061061F" w:rsidRPr="00D166EA" w:rsidRDefault="0061061F" w:rsidP="0061061F">
      <w:pPr>
        <w:pBdr>
          <w:top w:val="single" w:sz="4" w:space="1" w:color="auto"/>
          <w:left w:val="single" w:sz="4" w:space="4" w:color="auto"/>
          <w:bottom w:val="single" w:sz="4" w:space="1" w:color="auto"/>
          <w:right w:val="single" w:sz="4" w:space="4" w:color="auto"/>
        </w:pBdr>
        <w:outlineLvl w:val="0"/>
        <w:rPr>
          <w:szCs w:val="22"/>
        </w:rPr>
      </w:pPr>
      <w:r w:rsidRPr="00D166EA">
        <w:rPr>
          <w:b/>
          <w:bCs/>
          <w:szCs w:val="22"/>
        </w:rPr>
        <w:t>12.</w:t>
      </w:r>
      <w:r w:rsidRPr="00D166EA">
        <w:rPr>
          <w:b/>
          <w:bCs/>
          <w:szCs w:val="22"/>
        </w:rPr>
        <w:tab/>
      </w:r>
      <w:r w:rsidRPr="00D166EA">
        <w:rPr>
          <w:b/>
          <w:szCs w:val="22"/>
        </w:rPr>
        <w:t>REGISTRACIJOS PAŽYMĖJIMO</w:t>
      </w:r>
      <w:r w:rsidRPr="00D166EA">
        <w:rPr>
          <w:b/>
          <w:bCs/>
          <w:szCs w:val="22"/>
        </w:rPr>
        <w:t xml:space="preserve"> NUMERIS (-IAI) </w:t>
      </w:r>
    </w:p>
    <w:p w14:paraId="4292A5C2" w14:textId="77777777" w:rsidR="0061061F" w:rsidRDefault="0061061F" w:rsidP="0061061F">
      <w:pPr>
        <w:rPr>
          <w:szCs w:val="22"/>
        </w:rPr>
      </w:pPr>
    </w:p>
    <w:p w14:paraId="050EDF19" w14:textId="77777777" w:rsidR="00F951AE" w:rsidRPr="00F951AE" w:rsidRDefault="00F951AE" w:rsidP="00F951AE">
      <w:pPr>
        <w:rPr>
          <w:szCs w:val="22"/>
          <w:u w:val="single"/>
          <w:shd w:val="clear" w:color="auto" w:fill="D9D9D9" w:themeFill="background1" w:themeFillShade="D9"/>
        </w:rPr>
      </w:pPr>
      <w:r w:rsidRPr="00F951AE">
        <w:rPr>
          <w:szCs w:val="22"/>
          <w:u w:val="single"/>
          <w:shd w:val="clear" w:color="auto" w:fill="D9D9D9" w:themeFill="background1" w:themeFillShade="D9"/>
        </w:rPr>
        <w:t>0,5 mg</w:t>
      </w:r>
    </w:p>
    <w:p w14:paraId="269179E8" w14:textId="77777777" w:rsidR="00F951AE" w:rsidRPr="00F951AE" w:rsidRDefault="00F951AE" w:rsidP="00F951AE">
      <w:pPr>
        <w:rPr>
          <w:szCs w:val="22"/>
          <w:u w:val="single"/>
          <w:shd w:val="clear" w:color="auto" w:fill="D9D9D9" w:themeFill="background1" w:themeFillShade="D9"/>
        </w:rPr>
      </w:pPr>
      <w:r w:rsidRPr="00F951AE">
        <w:rPr>
          <w:szCs w:val="22"/>
          <w:u w:val="single"/>
          <w:shd w:val="clear" w:color="auto" w:fill="D9D9D9" w:themeFill="background1" w:themeFillShade="D9"/>
        </w:rPr>
        <w:t>Lizdinė plokštelė</w:t>
      </w:r>
    </w:p>
    <w:p w14:paraId="35FE791F" w14:textId="77777777" w:rsidR="00F951AE" w:rsidRPr="00F951AE" w:rsidRDefault="00F951AE" w:rsidP="00F951AE">
      <w:pPr>
        <w:rPr>
          <w:szCs w:val="22"/>
          <w:shd w:val="clear" w:color="auto" w:fill="D9D9D9" w:themeFill="background1" w:themeFillShade="D9"/>
        </w:rPr>
      </w:pPr>
      <w:r w:rsidRPr="00F951AE">
        <w:rPr>
          <w:szCs w:val="22"/>
        </w:rPr>
        <w:t xml:space="preserve">LT/1/17/4076/001 </w:t>
      </w:r>
      <w:r w:rsidRPr="00F951AE">
        <w:rPr>
          <w:szCs w:val="22"/>
          <w:shd w:val="clear" w:color="auto" w:fill="D9D9D9" w:themeFill="background1" w:themeFillShade="D9"/>
        </w:rPr>
        <w:t xml:space="preserve">– N10 </w:t>
      </w:r>
    </w:p>
    <w:p w14:paraId="7E796ACE" w14:textId="77777777" w:rsidR="00F951AE" w:rsidRPr="00F951AE" w:rsidRDefault="00F951AE" w:rsidP="00F951AE">
      <w:pPr>
        <w:rPr>
          <w:szCs w:val="22"/>
          <w:shd w:val="clear" w:color="auto" w:fill="D9D9D9" w:themeFill="background1" w:themeFillShade="D9"/>
        </w:rPr>
      </w:pPr>
      <w:r w:rsidRPr="00F951AE">
        <w:rPr>
          <w:szCs w:val="22"/>
          <w:shd w:val="clear" w:color="auto" w:fill="D9D9D9" w:themeFill="background1" w:themeFillShade="D9"/>
        </w:rPr>
        <w:t xml:space="preserve">LT/1/17/4076/002 – N30 </w:t>
      </w:r>
    </w:p>
    <w:p w14:paraId="13036B28" w14:textId="77777777" w:rsidR="00F951AE" w:rsidRPr="00F951AE" w:rsidRDefault="00F951AE" w:rsidP="00F951AE">
      <w:pPr>
        <w:rPr>
          <w:szCs w:val="22"/>
          <w:shd w:val="clear" w:color="auto" w:fill="D9D9D9" w:themeFill="background1" w:themeFillShade="D9"/>
        </w:rPr>
      </w:pPr>
      <w:r w:rsidRPr="00F951AE">
        <w:rPr>
          <w:szCs w:val="22"/>
          <w:shd w:val="clear" w:color="auto" w:fill="D9D9D9" w:themeFill="background1" w:themeFillShade="D9"/>
        </w:rPr>
        <w:t xml:space="preserve">LT/1/17/4076/003 – N90 </w:t>
      </w:r>
    </w:p>
    <w:p w14:paraId="01BDB6B6" w14:textId="77777777" w:rsidR="00F951AE" w:rsidRPr="00F951AE" w:rsidRDefault="00F951AE" w:rsidP="00F951AE">
      <w:pPr>
        <w:rPr>
          <w:szCs w:val="22"/>
          <w:shd w:val="clear" w:color="auto" w:fill="D9D9D9" w:themeFill="background1" w:themeFillShade="D9"/>
        </w:rPr>
      </w:pPr>
      <w:r w:rsidRPr="00F951AE">
        <w:rPr>
          <w:szCs w:val="22"/>
          <w:u w:val="single"/>
          <w:shd w:val="clear" w:color="auto" w:fill="D9D9D9" w:themeFill="background1" w:themeFillShade="D9"/>
        </w:rPr>
        <w:t>Buteliukas</w:t>
      </w:r>
      <w:r w:rsidRPr="00F951AE">
        <w:rPr>
          <w:szCs w:val="22"/>
          <w:shd w:val="clear" w:color="auto" w:fill="D9D9D9" w:themeFill="background1" w:themeFillShade="D9"/>
        </w:rPr>
        <w:t xml:space="preserve">: </w:t>
      </w:r>
    </w:p>
    <w:p w14:paraId="1F2FBB0F" w14:textId="77777777" w:rsidR="00F951AE" w:rsidRPr="00F951AE" w:rsidRDefault="00F951AE" w:rsidP="00F951AE">
      <w:pPr>
        <w:rPr>
          <w:szCs w:val="22"/>
          <w:shd w:val="clear" w:color="auto" w:fill="D9D9D9" w:themeFill="background1" w:themeFillShade="D9"/>
        </w:rPr>
      </w:pPr>
      <w:r w:rsidRPr="00F951AE">
        <w:rPr>
          <w:szCs w:val="22"/>
          <w:shd w:val="clear" w:color="auto" w:fill="D9D9D9" w:themeFill="background1" w:themeFillShade="D9"/>
        </w:rPr>
        <w:t xml:space="preserve">LT/1/17/4076/004 – N30 </w:t>
      </w:r>
    </w:p>
    <w:p w14:paraId="6AB35D7C" w14:textId="77777777" w:rsidR="00F951AE" w:rsidRDefault="00F951AE" w:rsidP="00F951AE">
      <w:pPr>
        <w:rPr>
          <w:szCs w:val="22"/>
        </w:rPr>
      </w:pPr>
    </w:p>
    <w:p w14:paraId="66170FF3" w14:textId="7E1653E8" w:rsidR="00F951AE" w:rsidRPr="00F951AE" w:rsidRDefault="00F951AE" w:rsidP="00F951AE">
      <w:pPr>
        <w:rPr>
          <w:szCs w:val="22"/>
          <w:u w:val="single"/>
          <w:shd w:val="clear" w:color="auto" w:fill="D9D9D9" w:themeFill="background1" w:themeFillShade="D9"/>
        </w:rPr>
      </w:pPr>
      <w:r w:rsidRPr="00F951AE">
        <w:rPr>
          <w:szCs w:val="22"/>
          <w:u w:val="single"/>
          <w:shd w:val="clear" w:color="auto" w:fill="D9D9D9" w:themeFill="background1" w:themeFillShade="D9"/>
        </w:rPr>
        <w:t>1 mg</w:t>
      </w:r>
    </w:p>
    <w:p w14:paraId="1DCBC116" w14:textId="77777777" w:rsidR="00F951AE" w:rsidRPr="00F951AE" w:rsidRDefault="00F951AE" w:rsidP="00F951AE">
      <w:pPr>
        <w:rPr>
          <w:szCs w:val="22"/>
          <w:u w:val="single"/>
          <w:shd w:val="clear" w:color="auto" w:fill="D9D9D9" w:themeFill="background1" w:themeFillShade="D9"/>
        </w:rPr>
      </w:pPr>
      <w:r w:rsidRPr="00F951AE">
        <w:rPr>
          <w:szCs w:val="22"/>
          <w:u w:val="single"/>
          <w:shd w:val="clear" w:color="auto" w:fill="D9D9D9" w:themeFill="background1" w:themeFillShade="D9"/>
        </w:rPr>
        <w:t>Lizdinė plokštelė</w:t>
      </w:r>
    </w:p>
    <w:p w14:paraId="2CBB3160" w14:textId="77777777" w:rsidR="00F951AE" w:rsidRPr="00F951AE" w:rsidRDefault="00F951AE" w:rsidP="00F951AE">
      <w:pPr>
        <w:rPr>
          <w:szCs w:val="22"/>
          <w:shd w:val="clear" w:color="auto" w:fill="D9D9D9" w:themeFill="background1" w:themeFillShade="D9"/>
        </w:rPr>
      </w:pPr>
      <w:r w:rsidRPr="00F951AE">
        <w:rPr>
          <w:szCs w:val="22"/>
          <w:shd w:val="clear" w:color="auto" w:fill="D9D9D9" w:themeFill="background1" w:themeFillShade="D9"/>
        </w:rPr>
        <w:t>LT/1/17/4076/005</w:t>
      </w:r>
      <w:r w:rsidRPr="00F951AE">
        <w:rPr>
          <w:szCs w:val="22"/>
        </w:rPr>
        <w:t xml:space="preserve"> </w:t>
      </w:r>
      <w:r w:rsidRPr="00F951AE">
        <w:rPr>
          <w:szCs w:val="22"/>
          <w:shd w:val="clear" w:color="auto" w:fill="D9D9D9" w:themeFill="background1" w:themeFillShade="D9"/>
        </w:rPr>
        <w:t xml:space="preserve">– N10 </w:t>
      </w:r>
    </w:p>
    <w:p w14:paraId="2461F530" w14:textId="77777777" w:rsidR="00F951AE" w:rsidRPr="00F951AE" w:rsidRDefault="00F951AE" w:rsidP="00F951AE">
      <w:pPr>
        <w:rPr>
          <w:szCs w:val="22"/>
          <w:shd w:val="clear" w:color="auto" w:fill="D9D9D9" w:themeFill="background1" w:themeFillShade="D9"/>
        </w:rPr>
      </w:pPr>
      <w:r w:rsidRPr="00F951AE">
        <w:rPr>
          <w:szCs w:val="22"/>
          <w:shd w:val="clear" w:color="auto" w:fill="D9D9D9" w:themeFill="background1" w:themeFillShade="D9"/>
        </w:rPr>
        <w:t xml:space="preserve">LT/1/17/4076/006 – N30 </w:t>
      </w:r>
    </w:p>
    <w:p w14:paraId="5D07E696" w14:textId="77777777" w:rsidR="00F951AE" w:rsidRPr="00F951AE" w:rsidRDefault="00F951AE" w:rsidP="00F951AE">
      <w:pPr>
        <w:rPr>
          <w:szCs w:val="22"/>
          <w:shd w:val="clear" w:color="auto" w:fill="D9D9D9" w:themeFill="background1" w:themeFillShade="D9"/>
        </w:rPr>
      </w:pPr>
      <w:r w:rsidRPr="00F951AE">
        <w:rPr>
          <w:szCs w:val="22"/>
          <w:shd w:val="clear" w:color="auto" w:fill="D9D9D9" w:themeFill="background1" w:themeFillShade="D9"/>
        </w:rPr>
        <w:t xml:space="preserve">LT/1/17/4076/007 – N90 </w:t>
      </w:r>
    </w:p>
    <w:p w14:paraId="31D58C9E" w14:textId="77777777" w:rsidR="00F951AE" w:rsidRPr="00F951AE" w:rsidRDefault="00F951AE" w:rsidP="00F951AE">
      <w:pPr>
        <w:rPr>
          <w:szCs w:val="22"/>
          <w:shd w:val="clear" w:color="auto" w:fill="D9D9D9" w:themeFill="background1" w:themeFillShade="D9"/>
        </w:rPr>
      </w:pPr>
      <w:r w:rsidRPr="00F951AE">
        <w:rPr>
          <w:szCs w:val="22"/>
          <w:u w:val="single"/>
          <w:shd w:val="clear" w:color="auto" w:fill="D9D9D9" w:themeFill="background1" w:themeFillShade="D9"/>
        </w:rPr>
        <w:t>Buteliukas</w:t>
      </w:r>
      <w:r w:rsidRPr="00F951AE">
        <w:rPr>
          <w:szCs w:val="22"/>
          <w:shd w:val="clear" w:color="auto" w:fill="D9D9D9" w:themeFill="background1" w:themeFillShade="D9"/>
        </w:rPr>
        <w:t xml:space="preserve">: </w:t>
      </w:r>
    </w:p>
    <w:p w14:paraId="0E67993B" w14:textId="68805AFE" w:rsidR="005940A6" w:rsidRPr="00F951AE" w:rsidRDefault="00F951AE" w:rsidP="00F951AE">
      <w:pPr>
        <w:rPr>
          <w:szCs w:val="22"/>
          <w:shd w:val="clear" w:color="auto" w:fill="D9D9D9" w:themeFill="background1" w:themeFillShade="D9"/>
        </w:rPr>
      </w:pPr>
      <w:r w:rsidRPr="00F951AE">
        <w:rPr>
          <w:szCs w:val="22"/>
          <w:shd w:val="clear" w:color="auto" w:fill="D9D9D9" w:themeFill="background1" w:themeFillShade="D9"/>
        </w:rPr>
        <w:t>LT/1/17/4076/008 – N30</w:t>
      </w:r>
    </w:p>
    <w:p w14:paraId="399DE0C5" w14:textId="77777777" w:rsidR="00F951AE" w:rsidRPr="00D166EA" w:rsidRDefault="00F951AE" w:rsidP="00F951AE">
      <w:pPr>
        <w:rPr>
          <w:szCs w:val="22"/>
        </w:rPr>
      </w:pPr>
    </w:p>
    <w:p w14:paraId="376E1E90" w14:textId="77777777" w:rsidR="0061061F" w:rsidRPr="00D166EA" w:rsidRDefault="0061061F" w:rsidP="0061061F">
      <w:pPr>
        <w:rPr>
          <w:szCs w:val="22"/>
        </w:rPr>
      </w:pPr>
    </w:p>
    <w:p w14:paraId="169741A6" w14:textId="77777777" w:rsidR="0061061F" w:rsidRPr="00D166EA" w:rsidRDefault="0061061F" w:rsidP="0061061F">
      <w:pPr>
        <w:pBdr>
          <w:top w:val="single" w:sz="4" w:space="1" w:color="auto"/>
          <w:left w:val="single" w:sz="4" w:space="4" w:color="auto"/>
          <w:bottom w:val="single" w:sz="4" w:space="1" w:color="auto"/>
          <w:right w:val="single" w:sz="4" w:space="4" w:color="auto"/>
        </w:pBdr>
        <w:outlineLvl w:val="0"/>
        <w:rPr>
          <w:szCs w:val="22"/>
        </w:rPr>
      </w:pPr>
      <w:r w:rsidRPr="00D166EA">
        <w:rPr>
          <w:b/>
          <w:bCs/>
          <w:szCs w:val="22"/>
        </w:rPr>
        <w:t>13.</w:t>
      </w:r>
      <w:r w:rsidRPr="00D166EA">
        <w:rPr>
          <w:b/>
          <w:bCs/>
          <w:szCs w:val="22"/>
        </w:rPr>
        <w:tab/>
        <w:t xml:space="preserve">SERIJOS NUMERIS </w:t>
      </w:r>
    </w:p>
    <w:p w14:paraId="43BE2DC9" w14:textId="77777777" w:rsidR="0061061F" w:rsidRPr="00D166EA" w:rsidRDefault="0061061F" w:rsidP="0061061F">
      <w:pPr>
        <w:rPr>
          <w:szCs w:val="22"/>
        </w:rPr>
      </w:pPr>
    </w:p>
    <w:p w14:paraId="71EF3F80" w14:textId="77777777" w:rsidR="0061061F" w:rsidRPr="00D166EA" w:rsidRDefault="0061061F" w:rsidP="0061061F">
      <w:pPr>
        <w:rPr>
          <w:szCs w:val="22"/>
        </w:rPr>
      </w:pPr>
      <w:r w:rsidRPr="00D166EA">
        <w:rPr>
          <w:szCs w:val="22"/>
        </w:rPr>
        <w:t>Serija</w:t>
      </w:r>
    </w:p>
    <w:p w14:paraId="0263F648" w14:textId="77777777" w:rsidR="0061061F" w:rsidRPr="00D166EA" w:rsidRDefault="0061061F" w:rsidP="0061061F">
      <w:pPr>
        <w:rPr>
          <w:szCs w:val="22"/>
        </w:rPr>
      </w:pPr>
    </w:p>
    <w:p w14:paraId="4FEBE778" w14:textId="77777777" w:rsidR="0061061F" w:rsidRPr="00D166EA" w:rsidRDefault="0061061F" w:rsidP="0061061F">
      <w:pPr>
        <w:rPr>
          <w:szCs w:val="22"/>
        </w:rPr>
      </w:pPr>
    </w:p>
    <w:p w14:paraId="281BD318" w14:textId="77777777" w:rsidR="0061061F" w:rsidRPr="00D166EA" w:rsidRDefault="0061061F" w:rsidP="0061061F">
      <w:pPr>
        <w:pBdr>
          <w:top w:val="single" w:sz="4" w:space="1" w:color="auto"/>
          <w:left w:val="single" w:sz="4" w:space="4" w:color="auto"/>
          <w:bottom w:val="single" w:sz="4" w:space="1" w:color="auto"/>
          <w:right w:val="single" w:sz="4" w:space="4" w:color="auto"/>
        </w:pBdr>
        <w:outlineLvl w:val="0"/>
        <w:rPr>
          <w:szCs w:val="22"/>
        </w:rPr>
      </w:pPr>
      <w:r w:rsidRPr="00D166EA">
        <w:rPr>
          <w:b/>
          <w:bCs/>
          <w:szCs w:val="22"/>
        </w:rPr>
        <w:t>14.</w:t>
      </w:r>
      <w:r w:rsidRPr="00D166EA">
        <w:rPr>
          <w:b/>
          <w:bCs/>
          <w:szCs w:val="22"/>
        </w:rPr>
        <w:tab/>
        <w:t>PARDAVIMO (IŠDAVIMO) TVARKA</w:t>
      </w:r>
    </w:p>
    <w:p w14:paraId="4E7E0ACC" w14:textId="77777777" w:rsidR="0061061F" w:rsidRPr="00D166EA" w:rsidRDefault="0061061F" w:rsidP="0061061F">
      <w:pPr>
        <w:rPr>
          <w:szCs w:val="22"/>
        </w:rPr>
      </w:pPr>
    </w:p>
    <w:p w14:paraId="54710E19" w14:textId="77777777" w:rsidR="0061061F" w:rsidRPr="00D166EA" w:rsidRDefault="0061061F" w:rsidP="0061061F">
      <w:pPr>
        <w:rPr>
          <w:szCs w:val="22"/>
        </w:rPr>
      </w:pPr>
      <w:r w:rsidRPr="00D166EA">
        <w:rPr>
          <w:szCs w:val="22"/>
        </w:rPr>
        <w:t>Receptinis vaist</w:t>
      </w:r>
      <w:r w:rsidR="00171B93">
        <w:rPr>
          <w:szCs w:val="22"/>
        </w:rPr>
        <w:t>as.</w:t>
      </w:r>
    </w:p>
    <w:p w14:paraId="1036B4B2" w14:textId="77777777" w:rsidR="0061061F" w:rsidRPr="00D166EA" w:rsidRDefault="0061061F" w:rsidP="0061061F">
      <w:pPr>
        <w:rPr>
          <w:szCs w:val="22"/>
        </w:rPr>
      </w:pPr>
    </w:p>
    <w:p w14:paraId="1DBEBB73" w14:textId="77777777" w:rsidR="0061061F" w:rsidRPr="00D166EA" w:rsidRDefault="0061061F" w:rsidP="0061061F">
      <w:pPr>
        <w:rPr>
          <w:szCs w:val="22"/>
        </w:rPr>
      </w:pPr>
    </w:p>
    <w:p w14:paraId="3929F9C1" w14:textId="77777777" w:rsidR="0061061F" w:rsidRPr="00D166EA" w:rsidRDefault="0061061F" w:rsidP="0061061F">
      <w:pPr>
        <w:pBdr>
          <w:top w:val="single" w:sz="4" w:space="2" w:color="auto"/>
          <w:left w:val="single" w:sz="4" w:space="4" w:color="auto"/>
          <w:bottom w:val="single" w:sz="4" w:space="1" w:color="auto"/>
          <w:right w:val="single" w:sz="4" w:space="4" w:color="auto"/>
        </w:pBdr>
        <w:outlineLvl w:val="0"/>
        <w:rPr>
          <w:szCs w:val="22"/>
        </w:rPr>
      </w:pPr>
      <w:r w:rsidRPr="00D166EA">
        <w:rPr>
          <w:b/>
          <w:bCs/>
          <w:szCs w:val="22"/>
        </w:rPr>
        <w:t>15.</w:t>
      </w:r>
      <w:r w:rsidRPr="00D166EA">
        <w:rPr>
          <w:b/>
          <w:bCs/>
          <w:szCs w:val="22"/>
        </w:rPr>
        <w:tab/>
        <w:t>VARTOJIMO INSTRUKCIJA</w:t>
      </w:r>
    </w:p>
    <w:p w14:paraId="1A5F25D3" w14:textId="77777777" w:rsidR="0061061F" w:rsidRPr="00D166EA" w:rsidRDefault="0061061F" w:rsidP="0061061F">
      <w:pPr>
        <w:rPr>
          <w:szCs w:val="22"/>
        </w:rPr>
      </w:pPr>
    </w:p>
    <w:p w14:paraId="4F3AD8C8" w14:textId="77777777" w:rsidR="0061061F" w:rsidRPr="00D166EA" w:rsidRDefault="0061061F" w:rsidP="0061061F">
      <w:pPr>
        <w:rPr>
          <w:szCs w:val="22"/>
        </w:rPr>
      </w:pPr>
    </w:p>
    <w:p w14:paraId="1F9B554A" w14:textId="77777777" w:rsidR="0061061F" w:rsidRPr="00D166EA" w:rsidRDefault="0061061F" w:rsidP="0061061F">
      <w:pPr>
        <w:pBdr>
          <w:top w:val="single" w:sz="4" w:space="1" w:color="auto"/>
          <w:left w:val="single" w:sz="4" w:space="4" w:color="auto"/>
          <w:bottom w:val="single" w:sz="4" w:space="0" w:color="auto"/>
          <w:right w:val="single" w:sz="4" w:space="4" w:color="auto"/>
        </w:pBdr>
        <w:rPr>
          <w:szCs w:val="22"/>
        </w:rPr>
      </w:pPr>
      <w:r w:rsidRPr="00D166EA">
        <w:rPr>
          <w:b/>
          <w:bCs/>
          <w:szCs w:val="22"/>
        </w:rPr>
        <w:t>16.</w:t>
      </w:r>
      <w:r w:rsidRPr="00D166EA">
        <w:rPr>
          <w:b/>
          <w:bCs/>
          <w:szCs w:val="22"/>
        </w:rPr>
        <w:tab/>
        <w:t>INFORMACIJA BRAILIO RAŠTU</w:t>
      </w:r>
    </w:p>
    <w:p w14:paraId="2523A930" w14:textId="77777777" w:rsidR="0061061F" w:rsidRPr="00D166EA" w:rsidRDefault="0061061F" w:rsidP="0061061F">
      <w:pPr>
        <w:rPr>
          <w:szCs w:val="22"/>
        </w:rPr>
      </w:pPr>
    </w:p>
    <w:p w14:paraId="641E5DD8" w14:textId="77777777" w:rsidR="0061061F" w:rsidRPr="00D166EA" w:rsidRDefault="009D4230" w:rsidP="0061061F">
      <w:pPr>
        <w:widowControl w:val="0"/>
        <w:autoSpaceDE w:val="0"/>
        <w:autoSpaceDN w:val="0"/>
        <w:adjustRightInd w:val="0"/>
        <w:jc w:val="both"/>
        <w:rPr>
          <w:szCs w:val="22"/>
        </w:rPr>
      </w:pPr>
      <w:r w:rsidRPr="00591D31">
        <w:rPr>
          <w:szCs w:val="22"/>
        </w:rPr>
        <w:t>Entecavir</w:t>
      </w:r>
      <w:r w:rsidR="0061061F" w:rsidRPr="00591D31">
        <w:rPr>
          <w:szCs w:val="22"/>
        </w:rPr>
        <w:t xml:space="preserve"> Sandoz </w:t>
      </w:r>
      <w:r w:rsidR="00AA1D3D" w:rsidRPr="00591D31">
        <w:rPr>
          <w:szCs w:val="22"/>
        </w:rPr>
        <w:t>0,</w:t>
      </w:r>
      <w:r w:rsidR="008B118F" w:rsidRPr="00591D31">
        <w:rPr>
          <w:szCs w:val="22"/>
        </w:rPr>
        <w:t>5</w:t>
      </w:r>
      <w:r w:rsidR="0061061F" w:rsidRPr="00591D31">
        <w:rPr>
          <w:szCs w:val="22"/>
        </w:rPr>
        <w:t> mg</w:t>
      </w:r>
    </w:p>
    <w:p w14:paraId="7C030547" w14:textId="77777777" w:rsidR="0061061F" w:rsidRPr="00D166EA" w:rsidRDefault="009D4230" w:rsidP="0061061F">
      <w:pPr>
        <w:jc w:val="both"/>
        <w:rPr>
          <w:szCs w:val="22"/>
        </w:rPr>
      </w:pPr>
      <w:r w:rsidRPr="00591D31">
        <w:rPr>
          <w:szCs w:val="22"/>
          <w:highlight w:val="lightGray"/>
        </w:rPr>
        <w:t>Entecavir</w:t>
      </w:r>
      <w:r w:rsidR="0061061F" w:rsidRPr="00591D31">
        <w:rPr>
          <w:szCs w:val="22"/>
          <w:highlight w:val="lightGray"/>
        </w:rPr>
        <w:t xml:space="preserve"> Sandoz 1 mg</w:t>
      </w:r>
    </w:p>
    <w:p w14:paraId="1AEE5E85" w14:textId="77777777" w:rsidR="0061061F" w:rsidRPr="00D166EA" w:rsidRDefault="0061061F" w:rsidP="0061061F">
      <w:pPr>
        <w:rPr>
          <w:szCs w:val="22"/>
          <w:shd w:val="clear" w:color="auto" w:fill="CCCCCC"/>
        </w:rPr>
      </w:pPr>
    </w:p>
    <w:p w14:paraId="45ACD32E" w14:textId="77777777" w:rsidR="0061061F" w:rsidRPr="00D166EA" w:rsidRDefault="0061061F" w:rsidP="0061061F">
      <w:pPr>
        <w:rPr>
          <w:szCs w:val="22"/>
          <w:shd w:val="clear" w:color="auto" w:fill="CCCCCC"/>
        </w:rPr>
      </w:pPr>
    </w:p>
    <w:p w14:paraId="122E74C3" w14:textId="77777777" w:rsidR="0061061F" w:rsidRPr="00D166EA" w:rsidRDefault="0061061F" w:rsidP="0061061F">
      <w:pPr>
        <w:pStyle w:val="Sraopastraipa"/>
        <w:keepNext/>
        <w:numPr>
          <w:ilvl w:val="0"/>
          <w:numId w:val="20"/>
        </w:numPr>
        <w:pBdr>
          <w:top w:val="single" w:sz="4" w:space="1" w:color="auto"/>
          <w:left w:val="single" w:sz="4" w:space="4" w:color="auto"/>
          <w:bottom w:val="single" w:sz="4" w:space="1" w:color="auto"/>
          <w:right w:val="single" w:sz="4" w:space="4" w:color="auto"/>
        </w:pBdr>
        <w:tabs>
          <w:tab w:val="left" w:pos="567"/>
        </w:tabs>
        <w:ind w:left="0" w:firstLine="0"/>
        <w:outlineLvl w:val="0"/>
        <w:rPr>
          <w:i/>
          <w:sz w:val="22"/>
          <w:szCs w:val="22"/>
          <w:lang w:val="lt-LT"/>
        </w:rPr>
      </w:pPr>
      <w:r w:rsidRPr="00D166EA">
        <w:rPr>
          <w:b/>
          <w:sz w:val="22"/>
          <w:szCs w:val="22"/>
          <w:lang w:val="lt-LT"/>
        </w:rPr>
        <w:t>UNIKALUS IDENTIFIKATORIUS – 2D BRŪKŠNINIS KODAS</w:t>
      </w:r>
    </w:p>
    <w:p w14:paraId="1B4229A5" w14:textId="77777777" w:rsidR="0061061F" w:rsidRDefault="0061061F" w:rsidP="0061061F">
      <w:pPr>
        <w:rPr>
          <w:szCs w:val="22"/>
        </w:rPr>
      </w:pPr>
    </w:p>
    <w:p w14:paraId="54445962" w14:textId="77777777" w:rsidR="00B36C2F" w:rsidRPr="00591D31" w:rsidRDefault="00AB7EDE" w:rsidP="0061061F">
      <w:pPr>
        <w:rPr>
          <w:i/>
          <w:iCs/>
          <w:szCs w:val="22"/>
        </w:rPr>
      </w:pPr>
      <w:r w:rsidRPr="00591D31">
        <w:rPr>
          <w:i/>
          <w:iCs/>
          <w:szCs w:val="22"/>
          <w:highlight w:val="lightGray"/>
        </w:rPr>
        <w:t>Tik kartono dėžutei:</w:t>
      </w:r>
    </w:p>
    <w:p w14:paraId="5D25F884" w14:textId="77777777" w:rsidR="00AB7EDE" w:rsidRPr="00D166EA" w:rsidRDefault="00AB7EDE" w:rsidP="0061061F">
      <w:pPr>
        <w:rPr>
          <w:szCs w:val="22"/>
        </w:rPr>
      </w:pPr>
    </w:p>
    <w:p w14:paraId="14BBB9B8" w14:textId="77777777" w:rsidR="0061061F" w:rsidRPr="00D166EA" w:rsidRDefault="0061061F" w:rsidP="0061061F">
      <w:pPr>
        <w:rPr>
          <w:szCs w:val="22"/>
        </w:rPr>
      </w:pPr>
      <w:r w:rsidRPr="00D166EA">
        <w:rPr>
          <w:szCs w:val="22"/>
          <w:highlight w:val="lightGray"/>
        </w:rPr>
        <w:t>2D brūkšninis kodas su nurodytu unikaliu identifikatoriumi.</w:t>
      </w:r>
    </w:p>
    <w:p w14:paraId="00D0928D" w14:textId="77777777" w:rsidR="0061061F" w:rsidRPr="00D166EA" w:rsidRDefault="0061061F" w:rsidP="0061061F">
      <w:pPr>
        <w:rPr>
          <w:szCs w:val="22"/>
        </w:rPr>
      </w:pPr>
    </w:p>
    <w:p w14:paraId="5C92E25E" w14:textId="77777777" w:rsidR="0061061F" w:rsidRPr="00D166EA" w:rsidRDefault="0061061F" w:rsidP="0061061F">
      <w:pPr>
        <w:rPr>
          <w:szCs w:val="22"/>
        </w:rPr>
      </w:pPr>
    </w:p>
    <w:p w14:paraId="0A03245E" w14:textId="77777777" w:rsidR="0061061F" w:rsidRPr="00D166EA" w:rsidRDefault="0061061F" w:rsidP="0061061F">
      <w:pPr>
        <w:pStyle w:val="Sraopastraipa"/>
        <w:keepNext/>
        <w:numPr>
          <w:ilvl w:val="0"/>
          <w:numId w:val="20"/>
        </w:numPr>
        <w:pBdr>
          <w:top w:val="single" w:sz="4" w:space="1" w:color="auto"/>
          <w:left w:val="single" w:sz="4" w:space="4" w:color="auto"/>
          <w:bottom w:val="single" w:sz="4" w:space="1" w:color="auto"/>
          <w:right w:val="single" w:sz="4" w:space="4" w:color="auto"/>
        </w:pBdr>
        <w:tabs>
          <w:tab w:val="left" w:pos="567"/>
        </w:tabs>
        <w:ind w:hanging="927"/>
        <w:outlineLvl w:val="0"/>
        <w:rPr>
          <w:i/>
          <w:noProof/>
          <w:sz w:val="22"/>
          <w:szCs w:val="22"/>
          <w:lang w:val="lt-LT"/>
        </w:rPr>
      </w:pPr>
      <w:r w:rsidRPr="00D166EA">
        <w:rPr>
          <w:b/>
          <w:noProof/>
          <w:sz w:val="22"/>
          <w:szCs w:val="22"/>
          <w:lang w:val="lt-LT"/>
        </w:rPr>
        <w:t>UNIKALUS IDENTIFIKATORIUS – ŽMONĖMS SUPRANTAMI DUOMENYS</w:t>
      </w:r>
    </w:p>
    <w:p w14:paraId="3596DE86" w14:textId="77777777" w:rsidR="00492BC2" w:rsidRDefault="00492BC2" w:rsidP="0061061F">
      <w:pPr>
        <w:rPr>
          <w:noProof/>
          <w:szCs w:val="22"/>
        </w:rPr>
      </w:pPr>
    </w:p>
    <w:p w14:paraId="77E3933E" w14:textId="77777777" w:rsidR="00492BC2" w:rsidRPr="00847265" w:rsidRDefault="00492BC2" w:rsidP="00492BC2">
      <w:pPr>
        <w:rPr>
          <w:i/>
          <w:iCs/>
          <w:szCs w:val="22"/>
        </w:rPr>
      </w:pPr>
      <w:r w:rsidRPr="00847265">
        <w:rPr>
          <w:i/>
          <w:iCs/>
          <w:szCs w:val="22"/>
          <w:highlight w:val="lightGray"/>
        </w:rPr>
        <w:t>Tik kartono dėžutei:</w:t>
      </w:r>
    </w:p>
    <w:p w14:paraId="7094A62F" w14:textId="77777777" w:rsidR="00492BC2" w:rsidRPr="00D166EA" w:rsidRDefault="00492BC2" w:rsidP="0061061F">
      <w:pPr>
        <w:rPr>
          <w:noProof/>
          <w:szCs w:val="22"/>
        </w:rPr>
      </w:pPr>
    </w:p>
    <w:p w14:paraId="11B8523D" w14:textId="77777777" w:rsidR="0061061F" w:rsidRPr="00D166EA" w:rsidRDefault="0061061F" w:rsidP="0061061F">
      <w:pPr>
        <w:rPr>
          <w:szCs w:val="22"/>
        </w:rPr>
      </w:pPr>
      <w:r w:rsidRPr="00D166EA">
        <w:rPr>
          <w:szCs w:val="22"/>
        </w:rPr>
        <w:t>PC: {numeris}</w:t>
      </w:r>
    </w:p>
    <w:p w14:paraId="673796B2" w14:textId="77777777" w:rsidR="0061061F" w:rsidRPr="00D166EA" w:rsidRDefault="0061061F" w:rsidP="0061061F">
      <w:pPr>
        <w:rPr>
          <w:szCs w:val="22"/>
        </w:rPr>
      </w:pPr>
      <w:r w:rsidRPr="00D166EA">
        <w:rPr>
          <w:szCs w:val="22"/>
        </w:rPr>
        <w:t xml:space="preserve">SN: {numeris} </w:t>
      </w:r>
    </w:p>
    <w:p w14:paraId="5A9D0EC4" w14:textId="77777777" w:rsidR="0061061F" w:rsidRPr="00D166EA" w:rsidRDefault="0061061F" w:rsidP="0061061F">
      <w:pPr>
        <w:rPr>
          <w:b/>
          <w:szCs w:val="22"/>
          <w:u w:val="single"/>
        </w:rPr>
      </w:pPr>
      <w:r w:rsidRPr="00591D31">
        <w:rPr>
          <w:szCs w:val="22"/>
        </w:rPr>
        <w:t>NN: {numeris}</w:t>
      </w:r>
      <w:r w:rsidRPr="00D166EA">
        <w:rPr>
          <w:szCs w:val="22"/>
        </w:rPr>
        <w:t xml:space="preserve"> </w:t>
      </w:r>
    </w:p>
    <w:p w14:paraId="564C68D1" w14:textId="77777777" w:rsidR="0061061F" w:rsidRPr="00D166EA" w:rsidRDefault="0061061F" w:rsidP="0061061F">
      <w:pPr>
        <w:rPr>
          <w:szCs w:val="22"/>
        </w:rPr>
      </w:pPr>
      <w:r w:rsidRPr="00D166EA">
        <w:rPr>
          <w:szCs w:val="22"/>
        </w:rPr>
        <w:br w:type="page"/>
      </w:r>
    </w:p>
    <w:p w14:paraId="4C5DFE2E" w14:textId="77777777" w:rsidR="0061061F" w:rsidRPr="00D166EA" w:rsidRDefault="0061061F" w:rsidP="0061061F">
      <w:pPr>
        <w:pBdr>
          <w:top w:val="single" w:sz="4" w:space="1" w:color="auto"/>
          <w:left w:val="single" w:sz="4" w:space="4" w:color="auto"/>
          <w:bottom w:val="single" w:sz="4" w:space="1" w:color="auto"/>
          <w:right w:val="single" w:sz="4" w:space="4" w:color="auto"/>
        </w:pBdr>
        <w:tabs>
          <w:tab w:val="left" w:pos="0"/>
        </w:tabs>
        <w:rPr>
          <w:b/>
          <w:noProof/>
          <w:szCs w:val="22"/>
        </w:rPr>
      </w:pPr>
      <w:r w:rsidRPr="00D166EA">
        <w:rPr>
          <w:b/>
          <w:noProof/>
          <w:szCs w:val="22"/>
        </w:rPr>
        <w:lastRenderedPageBreak/>
        <w:t>MINIMALI INFORMACIJA ANT LIZDINIŲ PLOKŠTELIŲ ARBA DVISLUOKSNIŲ JUOSTELIŲ</w:t>
      </w:r>
    </w:p>
    <w:p w14:paraId="4CED05E6" w14:textId="77777777" w:rsidR="0061061F" w:rsidRPr="00D166EA" w:rsidRDefault="0061061F" w:rsidP="0061061F">
      <w:pPr>
        <w:pBdr>
          <w:top w:val="single" w:sz="4" w:space="1" w:color="auto"/>
          <w:left w:val="single" w:sz="4" w:space="4" w:color="auto"/>
          <w:bottom w:val="single" w:sz="4" w:space="1" w:color="auto"/>
          <w:right w:val="single" w:sz="4" w:space="4" w:color="auto"/>
        </w:pBdr>
        <w:ind w:left="567" w:hanging="567"/>
        <w:rPr>
          <w:b/>
          <w:noProof/>
          <w:szCs w:val="22"/>
        </w:rPr>
      </w:pPr>
    </w:p>
    <w:p w14:paraId="3C082491" w14:textId="77777777" w:rsidR="0061061F" w:rsidRPr="00D166EA" w:rsidRDefault="0090106E" w:rsidP="0061061F">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t>OPA/AL</w:t>
      </w:r>
      <w:r w:rsidR="00166001">
        <w:rPr>
          <w:b/>
          <w:noProof/>
          <w:szCs w:val="22"/>
        </w:rPr>
        <w:t xml:space="preserve">U/PVC/ALU </w:t>
      </w:r>
      <w:r w:rsidR="00171B93" w:rsidRPr="00D166EA">
        <w:rPr>
          <w:b/>
          <w:noProof/>
          <w:szCs w:val="22"/>
        </w:rPr>
        <w:t xml:space="preserve">LIZDINĖ PLOKŠTELĖ </w:t>
      </w:r>
    </w:p>
    <w:p w14:paraId="1F6FAA9D" w14:textId="77777777" w:rsidR="0061061F" w:rsidRPr="00D166EA" w:rsidRDefault="0061061F" w:rsidP="0061061F">
      <w:pPr>
        <w:rPr>
          <w:noProof/>
          <w:szCs w:val="22"/>
        </w:rPr>
      </w:pPr>
    </w:p>
    <w:p w14:paraId="19F11E02" w14:textId="77777777" w:rsidR="0061061F" w:rsidRPr="00D166EA" w:rsidRDefault="0061061F" w:rsidP="0061061F">
      <w:pPr>
        <w:rPr>
          <w:szCs w:val="22"/>
        </w:rPr>
      </w:pPr>
    </w:p>
    <w:p w14:paraId="5218E574" w14:textId="77777777" w:rsidR="0061061F" w:rsidRPr="00D166EA" w:rsidRDefault="0061061F" w:rsidP="0061061F">
      <w:pPr>
        <w:pBdr>
          <w:top w:val="single" w:sz="4" w:space="1" w:color="auto"/>
          <w:left w:val="single" w:sz="4" w:space="4" w:color="auto"/>
          <w:bottom w:val="single" w:sz="4" w:space="1" w:color="auto"/>
          <w:right w:val="single" w:sz="4" w:space="4" w:color="auto"/>
        </w:pBdr>
        <w:outlineLvl w:val="0"/>
        <w:rPr>
          <w:b/>
          <w:bCs/>
          <w:szCs w:val="22"/>
        </w:rPr>
      </w:pPr>
      <w:r w:rsidRPr="00D166EA">
        <w:rPr>
          <w:b/>
          <w:bCs/>
          <w:szCs w:val="22"/>
        </w:rPr>
        <w:t>1.</w:t>
      </w:r>
      <w:r w:rsidRPr="00D166EA">
        <w:rPr>
          <w:b/>
          <w:bCs/>
          <w:szCs w:val="22"/>
        </w:rPr>
        <w:tab/>
      </w:r>
      <w:r w:rsidRPr="00D166EA">
        <w:rPr>
          <w:b/>
          <w:bCs/>
          <w:caps/>
          <w:szCs w:val="22"/>
        </w:rPr>
        <w:t>VAISTINIO</w:t>
      </w:r>
      <w:r w:rsidRPr="00D166EA">
        <w:rPr>
          <w:b/>
          <w:bCs/>
          <w:szCs w:val="22"/>
        </w:rPr>
        <w:t xml:space="preserve"> PREPARATO PAVADINIMAS</w:t>
      </w:r>
    </w:p>
    <w:p w14:paraId="20276BDC" w14:textId="77777777" w:rsidR="0061061F" w:rsidRPr="00D166EA" w:rsidRDefault="0061061F" w:rsidP="0061061F">
      <w:pPr>
        <w:rPr>
          <w:szCs w:val="22"/>
        </w:rPr>
      </w:pPr>
    </w:p>
    <w:p w14:paraId="23618CCC" w14:textId="77777777" w:rsidR="0061061F" w:rsidRPr="00D166EA" w:rsidRDefault="009D4230" w:rsidP="0061061F">
      <w:pPr>
        <w:jc w:val="both"/>
        <w:rPr>
          <w:szCs w:val="22"/>
        </w:rPr>
      </w:pPr>
      <w:r w:rsidRPr="00591D31">
        <w:rPr>
          <w:szCs w:val="22"/>
        </w:rPr>
        <w:t>Entecavir</w:t>
      </w:r>
      <w:r w:rsidR="0061061F" w:rsidRPr="00591D31">
        <w:rPr>
          <w:szCs w:val="22"/>
        </w:rPr>
        <w:t xml:space="preserve"> Sandoz </w:t>
      </w:r>
      <w:r w:rsidR="00AA1D3D" w:rsidRPr="00591D31">
        <w:rPr>
          <w:szCs w:val="22"/>
        </w:rPr>
        <w:t>0,</w:t>
      </w:r>
      <w:r w:rsidR="008B118F" w:rsidRPr="00591D31">
        <w:rPr>
          <w:szCs w:val="22"/>
        </w:rPr>
        <w:t>5</w:t>
      </w:r>
      <w:r w:rsidR="0061061F" w:rsidRPr="00591D31">
        <w:rPr>
          <w:szCs w:val="22"/>
        </w:rPr>
        <w:t> mg plėvele dengtos tabletės</w:t>
      </w:r>
    </w:p>
    <w:p w14:paraId="70633896" w14:textId="77777777" w:rsidR="0061061F" w:rsidRPr="00D166EA" w:rsidRDefault="009D4230" w:rsidP="0061061F">
      <w:pPr>
        <w:jc w:val="both"/>
        <w:rPr>
          <w:szCs w:val="22"/>
        </w:rPr>
      </w:pPr>
      <w:r w:rsidRPr="00591D31">
        <w:rPr>
          <w:szCs w:val="22"/>
          <w:highlight w:val="lightGray"/>
        </w:rPr>
        <w:t>Entecavir</w:t>
      </w:r>
      <w:r w:rsidR="0061061F" w:rsidRPr="00591D31">
        <w:rPr>
          <w:szCs w:val="22"/>
          <w:highlight w:val="lightGray"/>
        </w:rPr>
        <w:t xml:space="preserve"> Sandoz 1 mg </w:t>
      </w:r>
      <w:r w:rsidR="0061061F" w:rsidRPr="0069059B">
        <w:rPr>
          <w:szCs w:val="22"/>
          <w:highlight w:val="lightGray"/>
        </w:rPr>
        <w:t>plėvele dengtos</w:t>
      </w:r>
      <w:r w:rsidR="0061061F" w:rsidRPr="00591D31">
        <w:rPr>
          <w:szCs w:val="22"/>
          <w:highlight w:val="lightGray"/>
        </w:rPr>
        <w:t xml:space="preserve"> tabletės</w:t>
      </w:r>
    </w:p>
    <w:p w14:paraId="297EC176" w14:textId="77777777" w:rsidR="00AA1D3D" w:rsidRPr="00D166EA" w:rsidRDefault="00AA1D3D" w:rsidP="0061061F">
      <w:pPr>
        <w:jc w:val="both"/>
        <w:rPr>
          <w:szCs w:val="22"/>
        </w:rPr>
      </w:pPr>
    </w:p>
    <w:p w14:paraId="7ED0A627" w14:textId="77777777" w:rsidR="0065572F" w:rsidRPr="00D166EA" w:rsidRDefault="003416A2" w:rsidP="0065572F">
      <w:pPr>
        <w:jc w:val="both"/>
        <w:rPr>
          <w:szCs w:val="22"/>
        </w:rPr>
      </w:pPr>
      <w:r>
        <w:rPr>
          <w:szCs w:val="22"/>
        </w:rPr>
        <w:t>e</w:t>
      </w:r>
      <w:r w:rsidR="0065572F" w:rsidRPr="00D166EA">
        <w:rPr>
          <w:szCs w:val="22"/>
        </w:rPr>
        <w:t>nte</w:t>
      </w:r>
      <w:r w:rsidR="0065572F">
        <w:rPr>
          <w:szCs w:val="22"/>
        </w:rPr>
        <w:t>k</w:t>
      </w:r>
      <w:r w:rsidR="0065572F" w:rsidRPr="00D166EA">
        <w:rPr>
          <w:szCs w:val="22"/>
        </w:rPr>
        <w:t>avir</w:t>
      </w:r>
      <w:r w:rsidR="0065572F">
        <w:rPr>
          <w:szCs w:val="22"/>
        </w:rPr>
        <w:t>as</w:t>
      </w:r>
    </w:p>
    <w:p w14:paraId="258321A7" w14:textId="77777777" w:rsidR="0061061F" w:rsidRPr="00D166EA" w:rsidRDefault="0061061F" w:rsidP="0061061F">
      <w:pPr>
        <w:jc w:val="both"/>
        <w:rPr>
          <w:szCs w:val="22"/>
        </w:rPr>
      </w:pPr>
    </w:p>
    <w:p w14:paraId="32AEC455" w14:textId="77777777" w:rsidR="0061061F" w:rsidRPr="00D166EA" w:rsidRDefault="0061061F" w:rsidP="0061061F">
      <w:pPr>
        <w:rPr>
          <w:szCs w:val="22"/>
        </w:rPr>
      </w:pPr>
    </w:p>
    <w:p w14:paraId="75AEC159" w14:textId="77777777" w:rsidR="0061061F" w:rsidRPr="00D166EA" w:rsidRDefault="0061061F" w:rsidP="0061061F">
      <w:pPr>
        <w:pBdr>
          <w:top w:val="single" w:sz="4" w:space="1" w:color="auto"/>
          <w:left w:val="single" w:sz="4" w:space="4" w:color="auto"/>
          <w:bottom w:val="single" w:sz="4" w:space="1" w:color="auto"/>
          <w:right w:val="single" w:sz="4" w:space="4" w:color="auto"/>
        </w:pBdr>
        <w:outlineLvl w:val="0"/>
        <w:rPr>
          <w:b/>
          <w:bCs/>
          <w:szCs w:val="22"/>
        </w:rPr>
      </w:pPr>
      <w:r w:rsidRPr="00D166EA">
        <w:rPr>
          <w:b/>
          <w:bCs/>
          <w:szCs w:val="22"/>
        </w:rPr>
        <w:t>2.</w:t>
      </w:r>
      <w:r w:rsidRPr="00D166EA">
        <w:rPr>
          <w:b/>
          <w:bCs/>
          <w:szCs w:val="22"/>
        </w:rPr>
        <w:tab/>
      </w:r>
      <w:r w:rsidRPr="00D166EA">
        <w:rPr>
          <w:b/>
          <w:caps/>
          <w:szCs w:val="22"/>
        </w:rPr>
        <w:t>REGISTRUOTOJO</w:t>
      </w:r>
      <w:r w:rsidRPr="00D166EA" w:rsidDel="002D2BFE">
        <w:rPr>
          <w:b/>
          <w:bCs/>
          <w:caps/>
          <w:szCs w:val="22"/>
        </w:rPr>
        <w:t xml:space="preserve"> </w:t>
      </w:r>
      <w:r w:rsidRPr="00D166EA">
        <w:rPr>
          <w:b/>
          <w:bCs/>
          <w:caps/>
          <w:szCs w:val="22"/>
        </w:rPr>
        <w:t>pavadinimas</w:t>
      </w:r>
    </w:p>
    <w:p w14:paraId="4C3C76AE" w14:textId="77777777" w:rsidR="0061061F" w:rsidRPr="00D166EA" w:rsidRDefault="0061061F" w:rsidP="007B6515">
      <w:pPr>
        <w:rPr>
          <w:szCs w:val="22"/>
        </w:rPr>
      </w:pPr>
    </w:p>
    <w:p w14:paraId="46A1DB16" w14:textId="77777777" w:rsidR="0061061F" w:rsidRPr="00D166EA" w:rsidRDefault="008B118F" w:rsidP="00AA571D">
      <w:pPr>
        <w:pStyle w:val="Pagrindinistekstas"/>
        <w:spacing w:after="0"/>
        <w:rPr>
          <w:iCs/>
          <w:szCs w:val="22"/>
        </w:rPr>
      </w:pPr>
      <w:r w:rsidRPr="00D166EA">
        <w:rPr>
          <w:iCs/>
          <w:szCs w:val="22"/>
        </w:rPr>
        <w:t xml:space="preserve">SANDOZ </w:t>
      </w:r>
    </w:p>
    <w:p w14:paraId="4A5EA7B8" w14:textId="77777777" w:rsidR="0061061F" w:rsidRPr="00D166EA" w:rsidRDefault="0061061F" w:rsidP="007B6515">
      <w:pPr>
        <w:rPr>
          <w:szCs w:val="22"/>
        </w:rPr>
      </w:pPr>
    </w:p>
    <w:p w14:paraId="2C5517AF" w14:textId="77777777" w:rsidR="0061061F" w:rsidRPr="00D166EA" w:rsidRDefault="0061061F" w:rsidP="0061061F">
      <w:pPr>
        <w:rPr>
          <w:szCs w:val="22"/>
        </w:rPr>
      </w:pPr>
    </w:p>
    <w:p w14:paraId="577A663F" w14:textId="77777777" w:rsidR="0061061F" w:rsidRPr="00D166EA" w:rsidRDefault="0061061F" w:rsidP="0061061F">
      <w:pPr>
        <w:pBdr>
          <w:top w:val="single" w:sz="4" w:space="1" w:color="auto"/>
          <w:left w:val="single" w:sz="4" w:space="4" w:color="auto"/>
          <w:bottom w:val="single" w:sz="4" w:space="2" w:color="auto"/>
          <w:right w:val="single" w:sz="4" w:space="4" w:color="auto"/>
        </w:pBdr>
        <w:outlineLvl w:val="0"/>
        <w:rPr>
          <w:b/>
          <w:bCs/>
          <w:szCs w:val="22"/>
        </w:rPr>
      </w:pPr>
      <w:r w:rsidRPr="00D166EA">
        <w:rPr>
          <w:b/>
          <w:bCs/>
          <w:szCs w:val="22"/>
        </w:rPr>
        <w:t>3.</w:t>
      </w:r>
      <w:r w:rsidRPr="00D166EA">
        <w:rPr>
          <w:b/>
          <w:bCs/>
          <w:szCs w:val="22"/>
        </w:rPr>
        <w:tab/>
        <w:t>TINKAMUMO LAIKAS</w:t>
      </w:r>
    </w:p>
    <w:p w14:paraId="0DB15848" w14:textId="77777777" w:rsidR="0061061F" w:rsidRPr="00D166EA" w:rsidRDefault="0061061F" w:rsidP="0061061F">
      <w:pPr>
        <w:rPr>
          <w:szCs w:val="22"/>
        </w:rPr>
      </w:pPr>
    </w:p>
    <w:p w14:paraId="67946A04" w14:textId="77777777" w:rsidR="0061061F" w:rsidRPr="00D166EA" w:rsidRDefault="0061061F" w:rsidP="0061061F">
      <w:pPr>
        <w:rPr>
          <w:szCs w:val="22"/>
        </w:rPr>
      </w:pPr>
      <w:r w:rsidRPr="00E068EB">
        <w:rPr>
          <w:szCs w:val="22"/>
          <w:highlight w:val="lightGray"/>
        </w:rPr>
        <w:t>EXP</w:t>
      </w:r>
      <w:r w:rsidRPr="00D166EA">
        <w:rPr>
          <w:szCs w:val="22"/>
        </w:rPr>
        <w:t xml:space="preserve"> {mm MMMM}</w:t>
      </w:r>
    </w:p>
    <w:p w14:paraId="43B40D92" w14:textId="77777777" w:rsidR="0061061F" w:rsidRPr="00D166EA" w:rsidRDefault="0061061F" w:rsidP="0061061F">
      <w:pPr>
        <w:rPr>
          <w:szCs w:val="22"/>
        </w:rPr>
      </w:pPr>
    </w:p>
    <w:p w14:paraId="6D796604" w14:textId="77777777" w:rsidR="0061061F" w:rsidRPr="00D166EA" w:rsidRDefault="0061061F" w:rsidP="0061061F">
      <w:pPr>
        <w:rPr>
          <w:szCs w:val="22"/>
        </w:rPr>
      </w:pPr>
    </w:p>
    <w:p w14:paraId="654B8855" w14:textId="77777777" w:rsidR="0061061F" w:rsidRPr="00D166EA" w:rsidRDefault="0061061F" w:rsidP="0061061F">
      <w:pPr>
        <w:suppressLineNumbers/>
        <w:pBdr>
          <w:top w:val="single" w:sz="4" w:space="1" w:color="auto"/>
          <w:left w:val="single" w:sz="4" w:space="4" w:color="auto"/>
          <w:bottom w:val="single" w:sz="4" w:space="1" w:color="auto"/>
          <w:right w:val="single" w:sz="4" w:space="4" w:color="auto"/>
        </w:pBdr>
        <w:outlineLvl w:val="0"/>
        <w:rPr>
          <w:b/>
          <w:bCs/>
          <w:szCs w:val="22"/>
        </w:rPr>
      </w:pPr>
      <w:r w:rsidRPr="00D166EA">
        <w:rPr>
          <w:b/>
          <w:bCs/>
          <w:szCs w:val="22"/>
        </w:rPr>
        <w:t>4.</w:t>
      </w:r>
      <w:r w:rsidRPr="00D166EA">
        <w:rPr>
          <w:b/>
          <w:bCs/>
          <w:szCs w:val="22"/>
        </w:rPr>
        <w:tab/>
        <w:t>SERIJOS NUMERIS</w:t>
      </w:r>
    </w:p>
    <w:p w14:paraId="1DBA1FD7" w14:textId="77777777" w:rsidR="0061061F" w:rsidRPr="00D166EA" w:rsidRDefault="0061061F" w:rsidP="0061061F">
      <w:pPr>
        <w:rPr>
          <w:szCs w:val="22"/>
        </w:rPr>
      </w:pPr>
    </w:p>
    <w:p w14:paraId="0864315B" w14:textId="77777777" w:rsidR="0061061F" w:rsidRPr="00D166EA" w:rsidRDefault="0061061F" w:rsidP="0061061F">
      <w:pPr>
        <w:rPr>
          <w:szCs w:val="22"/>
        </w:rPr>
      </w:pPr>
      <w:r w:rsidRPr="00E068EB">
        <w:rPr>
          <w:szCs w:val="22"/>
          <w:highlight w:val="lightGray"/>
        </w:rPr>
        <w:t>Lot</w:t>
      </w:r>
      <w:r w:rsidRPr="00D166EA">
        <w:rPr>
          <w:szCs w:val="22"/>
        </w:rPr>
        <w:t xml:space="preserve"> {numeris}</w:t>
      </w:r>
    </w:p>
    <w:p w14:paraId="06C63705" w14:textId="77777777" w:rsidR="0061061F" w:rsidRPr="00D166EA" w:rsidRDefault="0061061F" w:rsidP="0061061F">
      <w:pPr>
        <w:rPr>
          <w:szCs w:val="22"/>
        </w:rPr>
      </w:pPr>
    </w:p>
    <w:p w14:paraId="7D396ED0" w14:textId="77777777" w:rsidR="0061061F" w:rsidRPr="00D166EA" w:rsidRDefault="0061061F" w:rsidP="0061061F">
      <w:pPr>
        <w:rPr>
          <w:szCs w:val="22"/>
        </w:rPr>
      </w:pPr>
    </w:p>
    <w:p w14:paraId="1F5D2404" w14:textId="77777777" w:rsidR="0061061F" w:rsidRPr="00D166EA" w:rsidRDefault="0061061F" w:rsidP="0061061F">
      <w:pPr>
        <w:pBdr>
          <w:top w:val="single" w:sz="4" w:space="1" w:color="auto"/>
          <w:left w:val="single" w:sz="4" w:space="4" w:color="auto"/>
          <w:bottom w:val="single" w:sz="4" w:space="1" w:color="auto"/>
          <w:right w:val="single" w:sz="4" w:space="4" w:color="auto"/>
        </w:pBdr>
        <w:outlineLvl w:val="0"/>
        <w:rPr>
          <w:b/>
          <w:bCs/>
          <w:szCs w:val="22"/>
        </w:rPr>
      </w:pPr>
      <w:r w:rsidRPr="00D166EA">
        <w:rPr>
          <w:b/>
          <w:bCs/>
          <w:szCs w:val="22"/>
        </w:rPr>
        <w:t>5.</w:t>
      </w:r>
      <w:r w:rsidRPr="00D166EA">
        <w:rPr>
          <w:b/>
          <w:bCs/>
          <w:szCs w:val="22"/>
        </w:rPr>
        <w:tab/>
        <w:t>KITA</w:t>
      </w:r>
    </w:p>
    <w:p w14:paraId="533B6A12" w14:textId="77777777" w:rsidR="0061061F" w:rsidRPr="00D166EA" w:rsidRDefault="0061061F" w:rsidP="0061061F">
      <w:pPr>
        <w:rPr>
          <w:szCs w:val="22"/>
        </w:rPr>
      </w:pPr>
    </w:p>
    <w:p w14:paraId="29610C5B" w14:textId="77777777" w:rsidR="0061061F" w:rsidRPr="00D166EA" w:rsidRDefault="0061061F" w:rsidP="0061061F">
      <w:pPr>
        <w:rPr>
          <w:szCs w:val="22"/>
        </w:rPr>
      </w:pPr>
    </w:p>
    <w:p w14:paraId="0B23D468" w14:textId="77777777" w:rsidR="00AA1D3D" w:rsidRPr="00D166EA" w:rsidRDefault="0061061F" w:rsidP="00AA1D3D">
      <w:pPr>
        <w:rPr>
          <w:szCs w:val="22"/>
        </w:rPr>
      </w:pPr>
      <w:r w:rsidRPr="00D166EA">
        <w:rPr>
          <w:b/>
          <w:bCs/>
          <w:szCs w:val="22"/>
        </w:rPr>
        <w:br w:type="page"/>
      </w:r>
    </w:p>
    <w:p w14:paraId="789848FC" w14:textId="77777777" w:rsidR="0061061F" w:rsidRPr="00D166EA" w:rsidRDefault="0061061F" w:rsidP="0061061F">
      <w:pPr>
        <w:outlineLvl w:val="0"/>
        <w:rPr>
          <w:szCs w:val="22"/>
        </w:rPr>
      </w:pPr>
    </w:p>
    <w:p w14:paraId="0534D606" w14:textId="77777777" w:rsidR="0061061F" w:rsidRPr="00D166EA" w:rsidRDefault="0061061F" w:rsidP="0061061F">
      <w:pPr>
        <w:outlineLvl w:val="0"/>
        <w:rPr>
          <w:szCs w:val="22"/>
        </w:rPr>
      </w:pPr>
    </w:p>
    <w:p w14:paraId="57035C00" w14:textId="77777777" w:rsidR="0061061F" w:rsidRPr="00D166EA" w:rsidRDefault="0061061F" w:rsidP="0061061F">
      <w:pPr>
        <w:outlineLvl w:val="0"/>
        <w:rPr>
          <w:szCs w:val="22"/>
        </w:rPr>
      </w:pPr>
    </w:p>
    <w:p w14:paraId="36ED5234" w14:textId="77777777" w:rsidR="0061061F" w:rsidRPr="00D166EA" w:rsidRDefault="0061061F" w:rsidP="0061061F">
      <w:pPr>
        <w:outlineLvl w:val="0"/>
        <w:rPr>
          <w:szCs w:val="22"/>
        </w:rPr>
      </w:pPr>
    </w:p>
    <w:p w14:paraId="49776570" w14:textId="77777777" w:rsidR="0061061F" w:rsidRPr="00D166EA" w:rsidRDefault="0061061F" w:rsidP="0061061F">
      <w:pPr>
        <w:outlineLvl w:val="0"/>
        <w:rPr>
          <w:szCs w:val="22"/>
        </w:rPr>
      </w:pPr>
    </w:p>
    <w:p w14:paraId="047B5DA5" w14:textId="77777777" w:rsidR="0061061F" w:rsidRPr="00D166EA" w:rsidRDefault="0061061F" w:rsidP="0061061F">
      <w:pPr>
        <w:outlineLvl w:val="0"/>
        <w:rPr>
          <w:szCs w:val="22"/>
        </w:rPr>
      </w:pPr>
    </w:p>
    <w:p w14:paraId="0BC44242" w14:textId="77777777" w:rsidR="0061061F" w:rsidRPr="00D166EA" w:rsidRDefault="0061061F" w:rsidP="0061061F">
      <w:pPr>
        <w:outlineLvl w:val="0"/>
        <w:rPr>
          <w:szCs w:val="22"/>
        </w:rPr>
      </w:pPr>
    </w:p>
    <w:p w14:paraId="032EA41D" w14:textId="77777777" w:rsidR="0061061F" w:rsidRPr="00D166EA" w:rsidRDefault="0061061F" w:rsidP="0061061F">
      <w:pPr>
        <w:outlineLvl w:val="0"/>
        <w:rPr>
          <w:szCs w:val="22"/>
        </w:rPr>
      </w:pPr>
    </w:p>
    <w:p w14:paraId="2F5AA09D" w14:textId="77777777" w:rsidR="0061061F" w:rsidRPr="00D166EA" w:rsidRDefault="0061061F" w:rsidP="0061061F">
      <w:pPr>
        <w:outlineLvl w:val="0"/>
        <w:rPr>
          <w:szCs w:val="22"/>
        </w:rPr>
      </w:pPr>
    </w:p>
    <w:p w14:paraId="42D063BB" w14:textId="77777777" w:rsidR="0061061F" w:rsidRPr="00D166EA" w:rsidRDefault="0061061F" w:rsidP="0061061F">
      <w:pPr>
        <w:outlineLvl w:val="0"/>
        <w:rPr>
          <w:szCs w:val="22"/>
        </w:rPr>
      </w:pPr>
    </w:p>
    <w:p w14:paraId="4F8ECC5B" w14:textId="77777777" w:rsidR="0061061F" w:rsidRPr="00D166EA" w:rsidRDefault="0061061F" w:rsidP="0061061F">
      <w:pPr>
        <w:outlineLvl w:val="0"/>
        <w:rPr>
          <w:szCs w:val="22"/>
        </w:rPr>
      </w:pPr>
    </w:p>
    <w:p w14:paraId="3442AD94" w14:textId="77777777" w:rsidR="0061061F" w:rsidRPr="00D166EA" w:rsidRDefault="0061061F" w:rsidP="0061061F">
      <w:pPr>
        <w:outlineLvl w:val="0"/>
        <w:rPr>
          <w:szCs w:val="22"/>
        </w:rPr>
      </w:pPr>
    </w:p>
    <w:p w14:paraId="7D09DD87" w14:textId="77777777" w:rsidR="0061061F" w:rsidRPr="00D166EA" w:rsidRDefault="0061061F" w:rsidP="0061061F">
      <w:pPr>
        <w:outlineLvl w:val="0"/>
        <w:rPr>
          <w:szCs w:val="22"/>
        </w:rPr>
      </w:pPr>
    </w:p>
    <w:p w14:paraId="7E849148" w14:textId="77777777" w:rsidR="0061061F" w:rsidRPr="00D166EA" w:rsidRDefault="0061061F" w:rsidP="0061061F">
      <w:pPr>
        <w:outlineLvl w:val="0"/>
        <w:rPr>
          <w:szCs w:val="22"/>
        </w:rPr>
      </w:pPr>
    </w:p>
    <w:p w14:paraId="3EC66022" w14:textId="77777777" w:rsidR="0061061F" w:rsidRPr="00D166EA" w:rsidRDefault="0061061F" w:rsidP="0061061F">
      <w:pPr>
        <w:outlineLvl w:val="0"/>
        <w:rPr>
          <w:szCs w:val="22"/>
        </w:rPr>
      </w:pPr>
    </w:p>
    <w:p w14:paraId="5B62BE42" w14:textId="77777777" w:rsidR="0061061F" w:rsidRPr="00D166EA" w:rsidRDefault="0061061F" w:rsidP="0061061F">
      <w:pPr>
        <w:outlineLvl w:val="0"/>
        <w:rPr>
          <w:szCs w:val="22"/>
        </w:rPr>
      </w:pPr>
    </w:p>
    <w:p w14:paraId="7629D5DF" w14:textId="77777777" w:rsidR="0061061F" w:rsidRPr="00D166EA" w:rsidRDefault="0061061F" w:rsidP="0061061F">
      <w:pPr>
        <w:outlineLvl w:val="0"/>
        <w:rPr>
          <w:szCs w:val="22"/>
        </w:rPr>
      </w:pPr>
    </w:p>
    <w:p w14:paraId="3DFEBB6E" w14:textId="77777777" w:rsidR="0061061F" w:rsidRPr="00D166EA" w:rsidRDefault="0061061F" w:rsidP="0061061F">
      <w:pPr>
        <w:outlineLvl w:val="0"/>
        <w:rPr>
          <w:szCs w:val="22"/>
        </w:rPr>
      </w:pPr>
    </w:p>
    <w:p w14:paraId="706948B2" w14:textId="77777777" w:rsidR="0061061F" w:rsidRPr="00D166EA" w:rsidRDefault="0061061F" w:rsidP="0061061F">
      <w:pPr>
        <w:outlineLvl w:val="0"/>
        <w:rPr>
          <w:szCs w:val="22"/>
        </w:rPr>
      </w:pPr>
    </w:p>
    <w:p w14:paraId="1216B76C" w14:textId="77777777" w:rsidR="0061061F" w:rsidRPr="00D166EA" w:rsidRDefault="0061061F" w:rsidP="0061061F">
      <w:pPr>
        <w:outlineLvl w:val="0"/>
        <w:rPr>
          <w:szCs w:val="22"/>
        </w:rPr>
      </w:pPr>
    </w:p>
    <w:p w14:paraId="0C876D4C" w14:textId="77777777" w:rsidR="0061061F" w:rsidRPr="00D166EA" w:rsidRDefault="0061061F" w:rsidP="0061061F">
      <w:pPr>
        <w:outlineLvl w:val="0"/>
        <w:rPr>
          <w:szCs w:val="22"/>
        </w:rPr>
      </w:pPr>
    </w:p>
    <w:p w14:paraId="4278C5E4" w14:textId="77777777" w:rsidR="0061061F" w:rsidRDefault="0061061F" w:rsidP="0061061F">
      <w:pPr>
        <w:outlineLvl w:val="0"/>
        <w:rPr>
          <w:szCs w:val="22"/>
        </w:rPr>
      </w:pPr>
    </w:p>
    <w:p w14:paraId="2E4C8808" w14:textId="77777777" w:rsidR="005940A6" w:rsidRPr="00D166EA" w:rsidRDefault="005940A6" w:rsidP="0061061F">
      <w:pPr>
        <w:outlineLvl w:val="0"/>
        <w:rPr>
          <w:szCs w:val="22"/>
        </w:rPr>
      </w:pPr>
    </w:p>
    <w:p w14:paraId="490B6A54" w14:textId="77777777" w:rsidR="0061061F" w:rsidRPr="00D166EA" w:rsidRDefault="0061061F" w:rsidP="0061061F">
      <w:pPr>
        <w:jc w:val="center"/>
        <w:outlineLvl w:val="0"/>
        <w:rPr>
          <w:b/>
          <w:bCs/>
          <w:szCs w:val="22"/>
        </w:rPr>
      </w:pPr>
      <w:r w:rsidRPr="00D166EA">
        <w:rPr>
          <w:b/>
          <w:bCs/>
          <w:szCs w:val="22"/>
        </w:rPr>
        <w:t>B. PAKUOTĖS LAPELIS</w:t>
      </w:r>
    </w:p>
    <w:p w14:paraId="55FB0709" w14:textId="77777777" w:rsidR="0061061F" w:rsidRPr="00D166EA" w:rsidRDefault="0061061F" w:rsidP="0061061F">
      <w:pPr>
        <w:pStyle w:val="Antrat2"/>
      </w:pPr>
      <w:r w:rsidRPr="00D166EA">
        <w:br w:type="page"/>
      </w:r>
      <w:r w:rsidRPr="00D166EA">
        <w:lastRenderedPageBreak/>
        <w:t xml:space="preserve">Pakuotės lapelis: informacija </w:t>
      </w:r>
      <w:r w:rsidR="001356DC">
        <w:t>pacientui</w:t>
      </w:r>
    </w:p>
    <w:p w14:paraId="1A49BB0A" w14:textId="77777777" w:rsidR="0061061F" w:rsidRPr="00D166EA" w:rsidRDefault="0061061F" w:rsidP="0061061F">
      <w:pPr>
        <w:numPr>
          <w:ilvl w:val="12"/>
          <w:numId w:val="0"/>
        </w:numPr>
        <w:shd w:val="clear" w:color="auto" w:fill="FFFFFF"/>
        <w:jc w:val="center"/>
        <w:rPr>
          <w:szCs w:val="22"/>
        </w:rPr>
      </w:pPr>
    </w:p>
    <w:p w14:paraId="19992F26" w14:textId="77777777" w:rsidR="0061061F" w:rsidRPr="00D166EA" w:rsidRDefault="009D4230" w:rsidP="0061061F">
      <w:pPr>
        <w:jc w:val="center"/>
        <w:rPr>
          <w:b/>
          <w:szCs w:val="22"/>
        </w:rPr>
      </w:pPr>
      <w:r w:rsidRPr="00591D31">
        <w:rPr>
          <w:b/>
          <w:szCs w:val="22"/>
        </w:rPr>
        <w:t>Entecavir</w:t>
      </w:r>
      <w:r w:rsidR="0061061F" w:rsidRPr="00591D31">
        <w:rPr>
          <w:b/>
          <w:szCs w:val="22"/>
        </w:rPr>
        <w:t xml:space="preserve"> Sandoz</w:t>
      </w:r>
      <w:r w:rsidR="0061061F" w:rsidRPr="00591D31">
        <w:rPr>
          <w:b/>
          <w:caps/>
          <w:szCs w:val="22"/>
        </w:rPr>
        <w:t xml:space="preserve"> </w:t>
      </w:r>
      <w:r w:rsidR="00115B5C" w:rsidRPr="00591D31">
        <w:rPr>
          <w:b/>
          <w:caps/>
          <w:szCs w:val="22"/>
        </w:rPr>
        <w:t>0,</w:t>
      </w:r>
      <w:r w:rsidR="00A117E5" w:rsidRPr="00591D31">
        <w:rPr>
          <w:b/>
          <w:caps/>
          <w:szCs w:val="22"/>
        </w:rPr>
        <w:t>5</w:t>
      </w:r>
      <w:r w:rsidR="0061061F" w:rsidRPr="00591D31">
        <w:rPr>
          <w:b/>
          <w:caps/>
          <w:szCs w:val="22"/>
        </w:rPr>
        <w:t> </w:t>
      </w:r>
      <w:r w:rsidR="0061061F" w:rsidRPr="00591D31">
        <w:rPr>
          <w:b/>
          <w:szCs w:val="22"/>
        </w:rPr>
        <w:t>mg plėvele dengtos tabletės</w:t>
      </w:r>
    </w:p>
    <w:p w14:paraId="24B28758" w14:textId="77777777" w:rsidR="0061061F" w:rsidRPr="00D166EA" w:rsidRDefault="009D4230" w:rsidP="0061061F">
      <w:pPr>
        <w:jc w:val="center"/>
        <w:rPr>
          <w:b/>
          <w:szCs w:val="22"/>
        </w:rPr>
      </w:pPr>
      <w:r w:rsidRPr="00591D31">
        <w:rPr>
          <w:b/>
          <w:szCs w:val="22"/>
          <w:highlight w:val="lightGray"/>
        </w:rPr>
        <w:t>Entecavir</w:t>
      </w:r>
      <w:r w:rsidR="0061061F" w:rsidRPr="00591D31">
        <w:rPr>
          <w:b/>
          <w:szCs w:val="22"/>
          <w:highlight w:val="lightGray"/>
        </w:rPr>
        <w:t xml:space="preserve"> Sandoz</w:t>
      </w:r>
      <w:r w:rsidR="0061061F" w:rsidRPr="00591D31">
        <w:rPr>
          <w:b/>
          <w:caps/>
          <w:szCs w:val="22"/>
          <w:highlight w:val="lightGray"/>
        </w:rPr>
        <w:t xml:space="preserve"> 1 </w:t>
      </w:r>
      <w:r w:rsidR="0061061F" w:rsidRPr="00591D31">
        <w:rPr>
          <w:b/>
          <w:szCs w:val="22"/>
          <w:highlight w:val="lightGray"/>
        </w:rPr>
        <w:t>mg plėvele dengtos tabletės</w:t>
      </w:r>
    </w:p>
    <w:p w14:paraId="6FFEF9D5" w14:textId="77777777" w:rsidR="0061061F" w:rsidRPr="00D166EA" w:rsidRDefault="003416A2" w:rsidP="0061061F">
      <w:pPr>
        <w:pStyle w:val="BTeEMEASMCA"/>
        <w:rPr>
          <w:sz w:val="22"/>
          <w:szCs w:val="22"/>
        </w:rPr>
      </w:pPr>
      <w:r>
        <w:rPr>
          <w:sz w:val="22"/>
          <w:szCs w:val="22"/>
          <w:u w:val="none"/>
        </w:rPr>
        <w:t>e</w:t>
      </w:r>
      <w:r w:rsidR="009D4230" w:rsidRPr="00D166EA">
        <w:rPr>
          <w:sz w:val="22"/>
          <w:szCs w:val="22"/>
          <w:u w:val="none"/>
        </w:rPr>
        <w:t>nte</w:t>
      </w:r>
      <w:r w:rsidR="00115B5C" w:rsidRPr="00D166EA">
        <w:rPr>
          <w:sz w:val="22"/>
          <w:szCs w:val="22"/>
          <w:u w:val="none"/>
        </w:rPr>
        <w:t>k</w:t>
      </w:r>
      <w:r w:rsidR="009D4230" w:rsidRPr="00D166EA">
        <w:rPr>
          <w:sz w:val="22"/>
          <w:szCs w:val="22"/>
          <w:u w:val="none"/>
        </w:rPr>
        <w:t>avir</w:t>
      </w:r>
      <w:r w:rsidR="0061061F" w:rsidRPr="00D166EA">
        <w:rPr>
          <w:sz w:val="22"/>
          <w:szCs w:val="22"/>
          <w:u w:val="none"/>
        </w:rPr>
        <w:t>as</w:t>
      </w:r>
    </w:p>
    <w:p w14:paraId="23C3496E" w14:textId="77777777" w:rsidR="0061061F" w:rsidRPr="00D166EA" w:rsidRDefault="0061061F" w:rsidP="0061061F">
      <w:pPr>
        <w:rPr>
          <w:szCs w:val="22"/>
        </w:rPr>
      </w:pPr>
    </w:p>
    <w:p w14:paraId="15E4CDEA" w14:textId="77777777" w:rsidR="0061061F" w:rsidRPr="00D166EA" w:rsidRDefault="0061061F" w:rsidP="0061061F">
      <w:pPr>
        <w:suppressAutoHyphens/>
        <w:rPr>
          <w:szCs w:val="22"/>
        </w:rPr>
      </w:pPr>
      <w:r w:rsidRPr="00D166EA">
        <w:rPr>
          <w:b/>
          <w:bCs/>
          <w:szCs w:val="22"/>
        </w:rPr>
        <w:t>Atidžiai perskaitykite visą šį lapelį, prieš pradėdami vartoti vaistą, nes jame pateikiama Jums svarbi informacija.</w:t>
      </w:r>
    </w:p>
    <w:p w14:paraId="05BC5264" w14:textId="77777777" w:rsidR="0061061F" w:rsidRPr="00D166EA" w:rsidRDefault="0061061F" w:rsidP="00A117E5">
      <w:pPr>
        <w:numPr>
          <w:ilvl w:val="0"/>
          <w:numId w:val="6"/>
        </w:numPr>
        <w:ind w:left="567" w:hanging="567"/>
        <w:rPr>
          <w:szCs w:val="22"/>
        </w:rPr>
      </w:pPr>
      <w:r w:rsidRPr="00D166EA">
        <w:rPr>
          <w:szCs w:val="22"/>
        </w:rPr>
        <w:t xml:space="preserve">Neišmeskite šio lapelio, nes vėl gali prireikti jį perskaityti. </w:t>
      </w:r>
    </w:p>
    <w:p w14:paraId="24B18BA4" w14:textId="77777777" w:rsidR="0061061F" w:rsidRPr="00D166EA" w:rsidRDefault="0061061F" w:rsidP="00A117E5">
      <w:pPr>
        <w:numPr>
          <w:ilvl w:val="0"/>
          <w:numId w:val="6"/>
        </w:numPr>
        <w:ind w:left="567" w:hanging="567"/>
        <w:rPr>
          <w:szCs w:val="22"/>
        </w:rPr>
      </w:pPr>
      <w:r w:rsidRPr="00D166EA">
        <w:rPr>
          <w:szCs w:val="22"/>
        </w:rPr>
        <w:t>Jeigu kiltų daugiau klausimų, kreipkitės į gydytoją arba vaistininką.</w:t>
      </w:r>
    </w:p>
    <w:p w14:paraId="4A46C6BA" w14:textId="77777777" w:rsidR="0061061F" w:rsidRPr="00D166EA" w:rsidRDefault="0061061F" w:rsidP="00A117E5">
      <w:pPr>
        <w:ind w:left="567" w:hanging="567"/>
        <w:rPr>
          <w:szCs w:val="22"/>
        </w:rPr>
      </w:pPr>
      <w:r w:rsidRPr="00D166EA">
        <w:rPr>
          <w:szCs w:val="22"/>
        </w:rPr>
        <w:t>-</w:t>
      </w:r>
      <w:r w:rsidRPr="00D166EA">
        <w:rPr>
          <w:szCs w:val="22"/>
        </w:rPr>
        <w:tab/>
        <w:t>Šis vaistas skirtas tik Jums, todėl kitiems žmonėms jo duoti negalima. Vaistas gali jiems pakenkti (net tiems, kurių ligos požymiai yra tokie patys kaip Jūsų).</w:t>
      </w:r>
    </w:p>
    <w:p w14:paraId="1842B799" w14:textId="77777777" w:rsidR="0061061F" w:rsidRPr="00D166EA" w:rsidRDefault="0061061F" w:rsidP="00A117E5">
      <w:pPr>
        <w:numPr>
          <w:ilvl w:val="0"/>
          <w:numId w:val="6"/>
        </w:numPr>
        <w:tabs>
          <w:tab w:val="left" w:pos="567"/>
        </w:tabs>
        <w:ind w:left="567" w:hanging="567"/>
        <w:rPr>
          <w:szCs w:val="22"/>
        </w:rPr>
      </w:pPr>
      <w:r w:rsidRPr="00D166EA">
        <w:rPr>
          <w:szCs w:val="22"/>
        </w:rPr>
        <w:t>Jeigu pasireiškė šalutinis poveikis (net jeigu jis šiame lapelyje nenurodytas), kreipkitės į gydytoją arba vaistininką. Žr. 4 skyrių.</w:t>
      </w:r>
    </w:p>
    <w:p w14:paraId="528A1CE2" w14:textId="77777777" w:rsidR="0061061F" w:rsidRPr="00D166EA" w:rsidRDefault="0061061F" w:rsidP="0061061F">
      <w:pPr>
        <w:rPr>
          <w:szCs w:val="22"/>
        </w:rPr>
      </w:pPr>
    </w:p>
    <w:p w14:paraId="1782DBB4" w14:textId="77777777" w:rsidR="0061061F" w:rsidRPr="00D166EA" w:rsidRDefault="0061061F" w:rsidP="00A117E5">
      <w:pPr>
        <w:rPr>
          <w:b/>
          <w:szCs w:val="22"/>
        </w:rPr>
      </w:pPr>
      <w:r w:rsidRPr="00D166EA">
        <w:rPr>
          <w:b/>
          <w:szCs w:val="22"/>
        </w:rPr>
        <w:t>Apie ką rašoma šiame lapelyje?</w:t>
      </w:r>
    </w:p>
    <w:p w14:paraId="12333474" w14:textId="77777777" w:rsidR="0061061F" w:rsidRPr="00D166EA" w:rsidRDefault="0061061F" w:rsidP="0061061F">
      <w:pPr>
        <w:numPr>
          <w:ilvl w:val="12"/>
          <w:numId w:val="0"/>
        </w:numPr>
        <w:rPr>
          <w:szCs w:val="22"/>
        </w:rPr>
      </w:pPr>
    </w:p>
    <w:p w14:paraId="516FF21F" w14:textId="77777777" w:rsidR="0061061F" w:rsidRPr="00D166EA" w:rsidRDefault="0061061F" w:rsidP="00A117E5">
      <w:pPr>
        <w:numPr>
          <w:ilvl w:val="12"/>
          <w:numId w:val="0"/>
        </w:numPr>
        <w:tabs>
          <w:tab w:val="left" w:pos="900"/>
        </w:tabs>
        <w:ind w:left="567" w:hanging="567"/>
        <w:rPr>
          <w:szCs w:val="22"/>
        </w:rPr>
      </w:pPr>
      <w:r w:rsidRPr="00D166EA">
        <w:rPr>
          <w:szCs w:val="22"/>
        </w:rPr>
        <w:t>1.</w:t>
      </w:r>
      <w:r w:rsidRPr="00D166EA">
        <w:rPr>
          <w:szCs w:val="22"/>
        </w:rPr>
        <w:tab/>
        <w:t xml:space="preserve">Kas yra </w:t>
      </w:r>
      <w:r w:rsidR="009D4230" w:rsidRPr="00D166EA">
        <w:rPr>
          <w:szCs w:val="22"/>
        </w:rPr>
        <w:t>Entecavir</w:t>
      </w:r>
      <w:r w:rsidRPr="00D166EA">
        <w:rPr>
          <w:szCs w:val="22"/>
        </w:rPr>
        <w:t xml:space="preserve"> Sandoz ir kam jis vartojamas </w:t>
      </w:r>
    </w:p>
    <w:p w14:paraId="4EA88101" w14:textId="77777777" w:rsidR="0061061F" w:rsidRPr="00D166EA" w:rsidRDefault="0061061F" w:rsidP="00A117E5">
      <w:pPr>
        <w:numPr>
          <w:ilvl w:val="12"/>
          <w:numId w:val="0"/>
        </w:numPr>
        <w:tabs>
          <w:tab w:val="left" w:pos="900"/>
        </w:tabs>
        <w:ind w:left="567" w:hanging="567"/>
        <w:rPr>
          <w:szCs w:val="22"/>
        </w:rPr>
      </w:pPr>
      <w:r w:rsidRPr="00D166EA">
        <w:rPr>
          <w:szCs w:val="22"/>
        </w:rPr>
        <w:t>2.</w:t>
      </w:r>
      <w:r w:rsidRPr="00D166EA">
        <w:rPr>
          <w:szCs w:val="22"/>
        </w:rPr>
        <w:tab/>
        <w:t xml:space="preserve">Kas žinotina prieš vartojant </w:t>
      </w:r>
      <w:r w:rsidR="009D4230" w:rsidRPr="00D166EA">
        <w:rPr>
          <w:szCs w:val="22"/>
        </w:rPr>
        <w:t>Entecavir</w:t>
      </w:r>
      <w:r w:rsidRPr="00D166EA">
        <w:rPr>
          <w:szCs w:val="22"/>
        </w:rPr>
        <w:t xml:space="preserve"> Sandoz</w:t>
      </w:r>
    </w:p>
    <w:p w14:paraId="3169D2DD" w14:textId="77777777" w:rsidR="0061061F" w:rsidRPr="00D166EA" w:rsidRDefault="0061061F" w:rsidP="00A117E5">
      <w:pPr>
        <w:numPr>
          <w:ilvl w:val="12"/>
          <w:numId w:val="0"/>
        </w:numPr>
        <w:tabs>
          <w:tab w:val="left" w:pos="900"/>
        </w:tabs>
        <w:ind w:left="567" w:hanging="567"/>
        <w:rPr>
          <w:szCs w:val="22"/>
        </w:rPr>
      </w:pPr>
      <w:r w:rsidRPr="00D166EA">
        <w:rPr>
          <w:szCs w:val="22"/>
        </w:rPr>
        <w:t>3.</w:t>
      </w:r>
      <w:r w:rsidRPr="00D166EA">
        <w:rPr>
          <w:szCs w:val="22"/>
        </w:rPr>
        <w:tab/>
        <w:t xml:space="preserve">Kaip vartoti </w:t>
      </w:r>
      <w:r w:rsidR="009D4230" w:rsidRPr="00D166EA">
        <w:rPr>
          <w:szCs w:val="22"/>
        </w:rPr>
        <w:t>Entecavir</w:t>
      </w:r>
      <w:r w:rsidRPr="00D166EA">
        <w:rPr>
          <w:szCs w:val="22"/>
        </w:rPr>
        <w:t xml:space="preserve"> Sandoz</w:t>
      </w:r>
    </w:p>
    <w:p w14:paraId="43CB3769" w14:textId="77777777" w:rsidR="0061061F" w:rsidRPr="00D166EA" w:rsidRDefault="0061061F" w:rsidP="00A117E5">
      <w:pPr>
        <w:numPr>
          <w:ilvl w:val="12"/>
          <w:numId w:val="0"/>
        </w:numPr>
        <w:tabs>
          <w:tab w:val="left" w:pos="900"/>
          <w:tab w:val="left" w:pos="1620"/>
          <w:tab w:val="left" w:pos="1800"/>
          <w:tab w:val="left" w:pos="2592"/>
          <w:tab w:val="left" w:pos="5430"/>
        </w:tabs>
        <w:ind w:left="567" w:hanging="567"/>
        <w:rPr>
          <w:szCs w:val="22"/>
        </w:rPr>
      </w:pPr>
      <w:r w:rsidRPr="00D166EA">
        <w:rPr>
          <w:szCs w:val="22"/>
        </w:rPr>
        <w:t>4.</w:t>
      </w:r>
      <w:r w:rsidRPr="00D166EA">
        <w:rPr>
          <w:szCs w:val="22"/>
        </w:rPr>
        <w:tab/>
        <w:t xml:space="preserve">Galimas šalutinis poveikis </w:t>
      </w:r>
    </w:p>
    <w:p w14:paraId="661989CA" w14:textId="77777777" w:rsidR="0061061F" w:rsidRPr="00D166EA" w:rsidRDefault="0061061F" w:rsidP="00A117E5">
      <w:pPr>
        <w:numPr>
          <w:ilvl w:val="12"/>
          <w:numId w:val="0"/>
        </w:numPr>
        <w:tabs>
          <w:tab w:val="left" w:pos="900"/>
        </w:tabs>
        <w:ind w:left="567" w:hanging="567"/>
        <w:rPr>
          <w:szCs w:val="22"/>
        </w:rPr>
      </w:pPr>
      <w:r w:rsidRPr="00D166EA">
        <w:rPr>
          <w:szCs w:val="22"/>
        </w:rPr>
        <w:t>5.</w:t>
      </w:r>
      <w:r w:rsidRPr="00D166EA">
        <w:rPr>
          <w:szCs w:val="22"/>
        </w:rPr>
        <w:tab/>
        <w:t xml:space="preserve">Kaip laikyti </w:t>
      </w:r>
      <w:r w:rsidR="009D4230" w:rsidRPr="00D166EA">
        <w:rPr>
          <w:szCs w:val="22"/>
        </w:rPr>
        <w:t>Entecavir</w:t>
      </w:r>
      <w:r w:rsidRPr="00D166EA">
        <w:rPr>
          <w:szCs w:val="22"/>
        </w:rPr>
        <w:t xml:space="preserve"> Sandoz</w:t>
      </w:r>
    </w:p>
    <w:p w14:paraId="7CC7F1A1" w14:textId="77777777" w:rsidR="0061061F" w:rsidRPr="00D166EA" w:rsidRDefault="0061061F" w:rsidP="00A117E5">
      <w:pPr>
        <w:numPr>
          <w:ilvl w:val="12"/>
          <w:numId w:val="0"/>
        </w:numPr>
        <w:tabs>
          <w:tab w:val="left" w:pos="900"/>
        </w:tabs>
        <w:ind w:left="567" w:hanging="567"/>
        <w:rPr>
          <w:szCs w:val="22"/>
        </w:rPr>
      </w:pPr>
      <w:r w:rsidRPr="00D166EA">
        <w:rPr>
          <w:szCs w:val="22"/>
        </w:rPr>
        <w:t>6.</w:t>
      </w:r>
      <w:r w:rsidRPr="00D166EA">
        <w:rPr>
          <w:szCs w:val="22"/>
        </w:rPr>
        <w:tab/>
        <w:t>Pakuotės turinys ir kita informacija</w:t>
      </w:r>
    </w:p>
    <w:p w14:paraId="1D8DB93B" w14:textId="77777777" w:rsidR="0061061F" w:rsidRPr="00D166EA" w:rsidRDefault="0061061F" w:rsidP="0061061F">
      <w:pPr>
        <w:numPr>
          <w:ilvl w:val="12"/>
          <w:numId w:val="0"/>
        </w:numPr>
        <w:rPr>
          <w:szCs w:val="22"/>
        </w:rPr>
      </w:pPr>
    </w:p>
    <w:p w14:paraId="6107DD21" w14:textId="77777777" w:rsidR="0061061F" w:rsidRPr="00D166EA" w:rsidRDefault="0061061F" w:rsidP="0061061F">
      <w:pPr>
        <w:numPr>
          <w:ilvl w:val="12"/>
          <w:numId w:val="0"/>
        </w:numPr>
        <w:rPr>
          <w:szCs w:val="22"/>
        </w:rPr>
      </w:pPr>
    </w:p>
    <w:p w14:paraId="05BB2CE2" w14:textId="77777777" w:rsidR="0061061F" w:rsidRPr="00D166EA" w:rsidRDefault="0061061F" w:rsidP="00A117E5">
      <w:pPr>
        <w:ind w:left="567" w:hanging="567"/>
        <w:rPr>
          <w:b/>
          <w:szCs w:val="22"/>
        </w:rPr>
      </w:pPr>
      <w:r w:rsidRPr="00D166EA">
        <w:rPr>
          <w:b/>
          <w:szCs w:val="22"/>
        </w:rPr>
        <w:t>1.</w:t>
      </w:r>
      <w:r w:rsidRPr="00D166EA">
        <w:rPr>
          <w:b/>
          <w:szCs w:val="22"/>
        </w:rPr>
        <w:tab/>
        <w:t xml:space="preserve">Kas yra </w:t>
      </w:r>
      <w:r w:rsidR="009D4230" w:rsidRPr="00D166EA">
        <w:rPr>
          <w:b/>
          <w:szCs w:val="22"/>
        </w:rPr>
        <w:t>Entecavir</w:t>
      </w:r>
      <w:r w:rsidRPr="00D166EA">
        <w:rPr>
          <w:b/>
          <w:szCs w:val="22"/>
        </w:rPr>
        <w:t xml:space="preserve"> Sandoz ir kam jis vartojamas</w:t>
      </w:r>
    </w:p>
    <w:p w14:paraId="78B5912C" w14:textId="77777777" w:rsidR="0061061F" w:rsidRPr="00D166EA" w:rsidRDefault="0061061F" w:rsidP="0061061F">
      <w:pPr>
        <w:numPr>
          <w:ilvl w:val="12"/>
          <w:numId w:val="0"/>
        </w:numPr>
        <w:rPr>
          <w:szCs w:val="22"/>
        </w:rPr>
      </w:pPr>
    </w:p>
    <w:p w14:paraId="688F323A" w14:textId="77777777" w:rsidR="007313F2" w:rsidRPr="00D166EA" w:rsidRDefault="007313F2" w:rsidP="007313F2">
      <w:pPr>
        <w:numPr>
          <w:ilvl w:val="12"/>
          <w:numId w:val="0"/>
        </w:numPr>
        <w:rPr>
          <w:rFonts w:eastAsia="MS Mincho"/>
          <w:szCs w:val="22"/>
        </w:rPr>
      </w:pPr>
      <w:r w:rsidRPr="00D166EA">
        <w:rPr>
          <w:rFonts w:eastAsia="MS Mincho"/>
          <w:szCs w:val="22"/>
        </w:rPr>
        <w:t>Entecavir Sandoz tabletės yra vaistas nuo virusų, vartojamas gydyti suaugusi</w:t>
      </w:r>
      <w:r w:rsidR="008E0ED5">
        <w:rPr>
          <w:rFonts w:eastAsia="MS Mincho"/>
          <w:szCs w:val="22"/>
        </w:rPr>
        <w:t>uosiu</w:t>
      </w:r>
      <w:r w:rsidR="002D2880">
        <w:rPr>
          <w:rFonts w:eastAsia="MS Mincho"/>
          <w:szCs w:val="22"/>
        </w:rPr>
        <w:t>s</w:t>
      </w:r>
      <w:r w:rsidR="008E0ED5">
        <w:rPr>
          <w:rFonts w:eastAsia="MS Mincho"/>
          <w:szCs w:val="22"/>
        </w:rPr>
        <w:t xml:space="preserve"> nuo</w:t>
      </w:r>
      <w:r w:rsidRPr="00D166EA">
        <w:rPr>
          <w:rFonts w:eastAsia="MS Mincho"/>
          <w:szCs w:val="22"/>
        </w:rPr>
        <w:t xml:space="preserve"> hepatito B viruso (HBV) lėtinės (ilgalaikės) infekcijos. Entecavir Sandoz gali vartoti žmonės, kurių kepenys pažeistos, bet vis dar veikia gerai (kompensuota kepenų liga), ir žmonės, kurių kepenys pažeistos ir jos negali veikti tinkamai (nekompensuota kepenų liga).</w:t>
      </w:r>
    </w:p>
    <w:p w14:paraId="5886D4FA" w14:textId="77777777" w:rsidR="007313F2" w:rsidRPr="00D166EA" w:rsidRDefault="007313F2" w:rsidP="007313F2">
      <w:pPr>
        <w:numPr>
          <w:ilvl w:val="12"/>
          <w:numId w:val="0"/>
        </w:numPr>
        <w:rPr>
          <w:rFonts w:eastAsia="MS Mincho"/>
          <w:szCs w:val="22"/>
        </w:rPr>
      </w:pPr>
    </w:p>
    <w:p w14:paraId="47A568F7" w14:textId="77777777" w:rsidR="007313F2" w:rsidRPr="00D166EA" w:rsidRDefault="001B590D" w:rsidP="007313F2">
      <w:pPr>
        <w:numPr>
          <w:ilvl w:val="12"/>
          <w:numId w:val="0"/>
        </w:numPr>
        <w:rPr>
          <w:rFonts w:eastAsia="MS Mincho"/>
          <w:szCs w:val="22"/>
        </w:rPr>
      </w:pPr>
      <w:r w:rsidRPr="00D166EA">
        <w:rPr>
          <w:rFonts w:eastAsia="MS Mincho"/>
          <w:szCs w:val="22"/>
        </w:rPr>
        <w:t>Entecavir Sandoz</w:t>
      </w:r>
      <w:r w:rsidR="007313F2" w:rsidRPr="00D166EA">
        <w:rPr>
          <w:rFonts w:eastAsia="MS Mincho"/>
          <w:szCs w:val="22"/>
        </w:rPr>
        <w:t xml:space="preserve"> </w:t>
      </w:r>
      <w:r w:rsidRPr="00D166EA">
        <w:rPr>
          <w:rFonts w:eastAsia="MS Mincho"/>
          <w:szCs w:val="22"/>
        </w:rPr>
        <w:t>tabletės</w:t>
      </w:r>
      <w:r w:rsidR="007313F2" w:rsidRPr="00D166EA">
        <w:rPr>
          <w:rFonts w:eastAsia="MS Mincho"/>
          <w:szCs w:val="22"/>
        </w:rPr>
        <w:t xml:space="preserve"> taip pat vartojam</w:t>
      </w:r>
      <w:r w:rsidR="00B83726">
        <w:rPr>
          <w:rFonts w:eastAsia="MS Mincho"/>
          <w:szCs w:val="22"/>
        </w:rPr>
        <w:t>o</w:t>
      </w:r>
      <w:r w:rsidR="007313F2" w:rsidRPr="00D166EA">
        <w:rPr>
          <w:rFonts w:eastAsia="MS Mincho"/>
          <w:szCs w:val="22"/>
        </w:rPr>
        <w:t xml:space="preserve">s </w:t>
      </w:r>
      <w:r w:rsidRPr="00D166EA">
        <w:rPr>
          <w:rFonts w:eastAsia="MS Mincho"/>
          <w:szCs w:val="22"/>
        </w:rPr>
        <w:t xml:space="preserve">gydyti </w:t>
      </w:r>
      <w:r w:rsidR="007313F2" w:rsidRPr="00D166EA">
        <w:rPr>
          <w:rFonts w:eastAsia="MS Mincho"/>
          <w:szCs w:val="22"/>
        </w:rPr>
        <w:t>vaik</w:t>
      </w:r>
      <w:r w:rsidRPr="00D166EA">
        <w:rPr>
          <w:rFonts w:eastAsia="MS Mincho"/>
          <w:szCs w:val="22"/>
        </w:rPr>
        <w:t>us</w:t>
      </w:r>
      <w:r w:rsidR="007313F2" w:rsidRPr="00D166EA">
        <w:rPr>
          <w:rFonts w:eastAsia="MS Mincho"/>
          <w:szCs w:val="22"/>
        </w:rPr>
        <w:t xml:space="preserve"> ir paaugli</w:t>
      </w:r>
      <w:r w:rsidRPr="00D166EA">
        <w:rPr>
          <w:rFonts w:eastAsia="MS Mincho"/>
          <w:szCs w:val="22"/>
        </w:rPr>
        <w:t>us</w:t>
      </w:r>
      <w:r w:rsidR="007313F2" w:rsidRPr="00D166EA">
        <w:rPr>
          <w:rFonts w:eastAsia="MS Mincho"/>
          <w:szCs w:val="22"/>
        </w:rPr>
        <w:t xml:space="preserve"> nuo 2 iki &lt;</w:t>
      </w:r>
      <w:r w:rsidR="00942930">
        <w:rPr>
          <w:rFonts w:eastAsia="MS Mincho"/>
          <w:szCs w:val="22"/>
        </w:rPr>
        <w:t> </w:t>
      </w:r>
      <w:r w:rsidR="007313F2" w:rsidRPr="00D166EA">
        <w:rPr>
          <w:rFonts w:eastAsia="MS Mincho"/>
          <w:szCs w:val="22"/>
        </w:rPr>
        <w:t>18</w:t>
      </w:r>
      <w:r w:rsidR="00942930">
        <w:rPr>
          <w:rFonts w:eastAsia="MS Mincho"/>
          <w:szCs w:val="22"/>
        </w:rPr>
        <w:t> </w:t>
      </w:r>
      <w:r w:rsidR="007313F2" w:rsidRPr="00D166EA">
        <w:rPr>
          <w:rFonts w:eastAsia="MS Mincho"/>
          <w:szCs w:val="22"/>
        </w:rPr>
        <w:t>metų</w:t>
      </w:r>
      <w:r w:rsidRPr="00D166EA">
        <w:rPr>
          <w:rFonts w:eastAsia="MS Mincho"/>
          <w:szCs w:val="22"/>
        </w:rPr>
        <w:t xml:space="preserve"> amžiaus n</w:t>
      </w:r>
      <w:r w:rsidR="008E0ED5">
        <w:rPr>
          <w:rFonts w:eastAsia="MS Mincho"/>
          <w:szCs w:val="22"/>
        </w:rPr>
        <w:t>u</w:t>
      </w:r>
      <w:r w:rsidRPr="00D166EA">
        <w:rPr>
          <w:rFonts w:eastAsia="MS Mincho"/>
          <w:szCs w:val="22"/>
        </w:rPr>
        <w:t xml:space="preserve">o </w:t>
      </w:r>
      <w:r w:rsidR="007313F2" w:rsidRPr="00D166EA">
        <w:rPr>
          <w:rFonts w:eastAsia="MS Mincho"/>
          <w:szCs w:val="22"/>
        </w:rPr>
        <w:t>hepatito B viruso (HBV) lėtin</w:t>
      </w:r>
      <w:r w:rsidRPr="00D166EA">
        <w:rPr>
          <w:rFonts w:eastAsia="MS Mincho"/>
          <w:szCs w:val="22"/>
        </w:rPr>
        <w:t>ės</w:t>
      </w:r>
      <w:r w:rsidR="007313F2" w:rsidRPr="00D166EA">
        <w:rPr>
          <w:rFonts w:eastAsia="MS Mincho"/>
          <w:szCs w:val="22"/>
        </w:rPr>
        <w:t xml:space="preserve"> (ilgalaik</w:t>
      </w:r>
      <w:r w:rsidRPr="00D166EA">
        <w:rPr>
          <w:rFonts w:eastAsia="MS Mincho"/>
          <w:szCs w:val="22"/>
        </w:rPr>
        <w:t>ės</w:t>
      </w:r>
      <w:r w:rsidR="007313F2" w:rsidRPr="00D166EA">
        <w:rPr>
          <w:rFonts w:eastAsia="MS Mincho"/>
          <w:szCs w:val="22"/>
        </w:rPr>
        <w:t>) infekcij</w:t>
      </w:r>
      <w:r w:rsidRPr="00D166EA">
        <w:rPr>
          <w:rFonts w:eastAsia="MS Mincho"/>
          <w:szCs w:val="22"/>
        </w:rPr>
        <w:t>os</w:t>
      </w:r>
      <w:r w:rsidR="007313F2" w:rsidRPr="00D166EA">
        <w:rPr>
          <w:rFonts w:eastAsia="MS Mincho"/>
          <w:szCs w:val="22"/>
        </w:rPr>
        <w:t xml:space="preserve">. </w:t>
      </w:r>
      <w:r w:rsidRPr="00D166EA">
        <w:rPr>
          <w:szCs w:val="22"/>
        </w:rPr>
        <w:t>Entecavir Sandoz</w:t>
      </w:r>
      <w:r w:rsidRPr="00D166EA">
        <w:rPr>
          <w:b/>
          <w:szCs w:val="22"/>
        </w:rPr>
        <w:t xml:space="preserve"> </w:t>
      </w:r>
      <w:r w:rsidR="007313F2" w:rsidRPr="00D166EA">
        <w:rPr>
          <w:rFonts w:eastAsia="MS Mincho"/>
          <w:szCs w:val="22"/>
        </w:rPr>
        <w:t xml:space="preserve">galima vartoti tiems vaikams, kurių kepenys pažeistos, bet </w:t>
      </w:r>
      <w:r w:rsidRPr="00D166EA">
        <w:rPr>
          <w:rFonts w:eastAsia="MS Mincho"/>
          <w:szCs w:val="22"/>
        </w:rPr>
        <w:t>vis dar veikia gerai</w:t>
      </w:r>
      <w:r w:rsidR="007313F2" w:rsidRPr="00D166EA">
        <w:rPr>
          <w:rFonts w:eastAsia="MS Mincho"/>
          <w:szCs w:val="22"/>
        </w:rPr>
        <w:t xml:space="preserve"> (kompensuota kepenų liga).</w:t>
      </w:r>
    </w:p>
    <w:p w14:paraId="2FB8A605" w14:textId="77777777" w:rsidR="001B590D" w:rsidRPr="00D166EA" w:rsidRDefault="001B590D" w:rsidP="007313F2">
      <w:pPr>
        <w:numPr>
          <w:ilvl w:val="12"/>
          <w:numId w:val="0"/>
        </w:numPr>
        <w:rPr>
          <w:rFonts w:eastAsia="MS Mincho"/>
          <w:szCs w:val="22"/>
        </w:rPr>
      </w:pPr>
    </w:p>
    <w:p w14:paraId="59C5E2EF" w14:textId="77777777" w:rsidR="0061061F" w:rsidRPr="00D166EA" w:rsidRDefault="007313F2" w:rsidP="007313F2">
      <w:pPr>
        <w:numPr>
          <w:ilvl w:val="12"/>
          <w:numId w:val="0"/>
        </w:numPr>
        <w:rPr>
          <w:szCs w:val="22"/>
        </w:rPr>
      </w:pPr>
      <w:r w:rsidRPr="00D166EA">
        <w:rPr>
          <w:rFonts w:eastAsia="MS Mincho"/>
          <w:szCs w:val="22"/>
        </w:rPr>
        <w:t xml:space="preserve">Hepatito B viruso infekcija gali pažeisti kepenis. </w:t>
      </w:r>
      <w:r w:rsidR="001B590D" w:rsidRPr="00D166EA">
        <w:rPr>
          <w:rFonts w:eastAsia="MS Mincho"/>
          <w:szCs w:val="22"/>
        </w:rPr>
        <w:t>Entecavir Sandoz</w:t>
      </w:r>
      <w:r w:rsidRPr="00D166EA">
        <w:rPr>
          <w:rFonts w:eastAsia="MS Mincho"/>
          <w:szCs w:val="22"/>
        </w:rPr>
        <w:t xml:space="preserve"> mažina virusų kiekį </w:t>
      </w:r>
      <w:r w:rsidR="001B590D" w:rsidRPr="00D166EA">
        <w:rPr>
          <w:rFonts w:eastAsia="MS Mincho"/>
          <w:szCs w:val="22"/>
        </w:rPr>
        <w:t xml:space="preserve">Jūsų </w:t>
      </w:r>
      <w:r w:rsidRPr="00D166EA">
        <w:rPr>
          <w:rFonts w:eastAsia="MS Mincho"/>
          <w:szCs w:val="22"/>
        </w:rPr>
        <w:t>organizme ir gerina kepenų būklę.</w:t>
      </w:r>
    </w:p>
    <w:p w14:paraId="179FD1DA" w14:textId="77777777" w:rsidR="0061061F" w:rsidRPr="00D166EA" w:rsidRDefault="0061061F" w:rsidP="0061061F">
      <w:pPr>
        <w:numPr>
          <w:ilvl w:val="12"/>
          <w:numId w:val="0"/>
        </w:numPr>
        <w:rPr>
          <w:szCs w:val="22"/>
        </w:rPr>
      </w:pPr>
    </w:p>
    <w:p w14:paraId="694268AB" w14:textId="77777777" w:rsidR="001B590D" w:rsidRPr="00D166EA" w:rsidRDefault="001B590D" w:rsidP="0061061F">
      <w:pPr>
        <w:numPr>
          <w:ilvl w:val="12"/>
          <w:numId w:val="0"/>
        </w:numPr>
        <w:rPr>
          <w:szCs w:val="22"/>
        </w:rPr>
      </w:pPr>
    </w:p>
    <w:p w14:paraId="33B6451C" w14:textId="77777777" w:rsidR="0061061F" w:rsidRPr="00D166EA" w:rsidRDefault="0061061F" w:rsidP="004D2F55">
      <w:pPr>
        <w:rPr>
          <w:b/>
          <w:szCs w:val="22"/>
        </w:rPr>
      </w:pPr>
      <w:r w:rsidRPr="00D166EA">
        <w:rPr>
          <w:b/>
          <w:szCs w:val="22"/>
        </w:rPr>
        <w:t>2.</w:t>
      </w:r>
      <w:r w:rsidRPr="00D166EA">
        <w:rPr>
          <w:b/>
          <w:szCs w:val="22"/>
        </w:rPr>
        <w:tab/>
        <w:t xml:space="preserve">Kas žinotina prieš vartojant </w:t>
      </w:r>
      <w:r w:rsidR="009D4230" w:rsidRPr="00D166EA">
        <w:rPr>
          <w:b/>
          <w:szCs w:val="22"/>
        </w:rPr>
        <w:t>Entecavir</w:t>
      </w:r>
      <w:r w:rsidRPr="00D166EA">
        <w:rPr>
          <w:b/>
          <w:szCs w:val="22"/>
        </w:rPr>
        <w:t xml:space="preserve"> Sandoz </w:t>
      </w:r>
    </w:p>
    <w:p w14:paraId="7286069B" w14:textId="77777777" w:rsidR="0061061F" w:rsidRPr="00D166EA" w:rsidRDefault="0061061F" w:rsidP="0061061F">
      <w:pPr>
        <w:numPr>
          <w:ilvl w:val="12"/>
          <w:numId w:val="0"/>
        </w:numPr>
        <w:rPr>
          <w:szCs w:val="22"/>
        </w:rPr>
      </w:pPr>
    </w:p>
    <w:p w14:paraId="1AB8546F" w14:textId="70EB26E5" w:rsidR="0061061F" w:rsidRPr="00B606B7" w:rsidRDefault="009D4230" w:rsidP="004D2F55">
      <w:pPr>
        <w:rPr>
          <w:b/>
          <w:szCs w:val="22"/>
        </w:rPr>
      </w:pPr>
      <w:r w:rsidRPr="00B606B7">
        <w:rPr>
          <w:b/>
          <w:szCs w:val="22"/>
        </w:rPr>
        <w:t>Entecavir</w:t>
      </w:r>
      <w:r w:rsidR="0061061F" w:rsidRPr="00B606B7">
        <w:rPr>
          <w:b/>
          <w:szCs w:val="22"/>
        </w:rPr>
        <w:t xml:space="preserve"> Sandoz vartoti </w:t>
      </w:r>
      <w:r w:rsidR="00FA0E8B">
        <w:rPr>
          <w:b/>
          <w:szCs w:val="22"/>
        </w:rPr>
        <w:t>draudžiama</w:t>
      </w:r>
      <w:r w:rsidR="0061061F" w:rsidRPr="00B606B7">
        <w:rPr>
          <w:b/>
          <w:szCs w:val="22"/>
        </w:rPr>
        <w:t>:</w:t>
      </w:r>
    </w:p>
    <w:p w14:paraId="2C8BDDFF" w14:textId="77777777" w:rsidR="0061061F" w:rsidRPr="00D166EA" w:rsidRDefault="0061061F" w:rsidP="004D2F55">
      <w:pPr>
        <w:pStyle w:val="Sraopastraipa"/>
        <w:widowControl w:val="0"/>
        <w:numPr>
          <w:ilvl w:val="0"/>
          <w:numId w:val="28"/>
        </w:numPr>
        <w:tabs>
          <w:tab w:val="left" w:pos="567"/>
        </w:tabs>
        <w:autoSpaceDE w:val="0"/>
        <w:autoSpaceDN w:val="0"/>
        <w:adjustRightInd w:val="0"/>
        <w:ind w:left="567" w:hanging="567"/>
        <w:rPr>
          <w:rFonts w:eastAsia="MS Mincho"/>
          <w:sz w:val="22"/>
          <w:szCs w:val="22"/>
          <w:lang w:val="lt-LT"/>
        </w:rPr>
      </w:pPr>
      <w:r w:rsidRPr="00D166EA">
        <w:rPr>
          <w:rFonts w:eastAsia="MS Mincho"/>
          <w:sz w:val="22"/>
          <w:szCs w:val="22"/>
          <w:lang w:val="lt-LT"/>
        </w:rPr>
        <w:t xml:space="preserve">jeigu yra </w:t>
      </w:r>
      <w:r w:rsidRPr="00D166EA">
        <w:rPr>
          <w:rFonts w:eastAsia="MS Mincho"/>
          <w:b/>
          <w:sz w:val="22"/>
          <w:szCs w:val="22"/>
          <w:lang w:val="lt-LT"/>
        </w:rPr>
        <w:t>alergija</w:t>
      </w:r>
      <w:r w:rsidRPr="00D166EA">
        <w:rPr>
          <w:rFonts w:eastAsia="MS Mincho"/>
          <w:sz w:val="22"/>
          <w:szCs w:val="22"/>
          <w:lang w:val="lt-LT"/>
        </w:rPr>
        <w:t xml:space="preserve"> </w:t>
      </w:r>
      <w:r w:rsidR="00D166EA" w:rsidRPr="00D166EA">
        <w:rPr>
          <w:rFonts w:eastAsia="MS Mincho"/>
          <w:sz w:val="22"/>
          <w:szCs w:val="22"/>
          <w:lang w:val="lt-LT"/>
        </w:rPr>
        <w:t>e</w:t>
      </w:r>
      <w:r w:rsidR="009D4230" w:rsidRPr="00D166EA">
        <w:rPr>
          <w:rFonts w:eastAsia="MS Mincho"/>
          <w:sz w:val="22"/>
          <w:szCs w:val="22"/>
          <w:lang w:val="lt-LT"/>
        </w:rPr>
        <w:t>nte</w:t>
      </w:r>
      <w:r w:rsidR="00D166EA" w:rsidRPr="00D166EA">
        <w:rPr>
          <w:rFonts w:eastAsia="MS Mincho"/>
          <w:sz w:val="22"/>
          <w:szCs w:val="22"/>
          <w:lang w:val="lt-LT"/>
        </w:rPr>
        <w:t>k</w:t>
      </w:r>
      <w:r w:rsidR="009D4230" w:rsidRPr="00D166EA">
        <w:rPr>
          <w:rFonts w:eastAsia="MS Mincho"/>
          <w:sz w:val="22"/>
          <w:szCs w:val="22"/>
          <w:lang w:val="lt-LT"/>
        </w:rPr>
        <w:t>avir</w:t>
      </w:r>
      <w:r w:rsidRPr="00D166EA">
        <w:rPr>
          <w:rFonts w:eastAsia="MS Mincho"/>
          <w:sz w:val="22"/>
          <w:szCs w:val="22"/>
          <w:lang w:val="lt-LT"/>
        </w:rPr>
        <w:t>ui arba bet kuriai pagalbinei šio vaisto medžiagai (jos išvardytos</w:t>
      </w:r>
      <w:r w:rsidR="004D2F55" w:rsidRPr="00D166EA">
        <w:rPr>
          <w:rFonts w:eastAsia="MS Mincho"/>
          <w:sz w:val="22"/>
          <w:szCs w:val="22"/>
          <w:lang w:val="lt-LT"/>
        </w:rPr>
        <w:t xml:space="preserve"> </w:t>
      </w:r>
      <w:r w:rsidRPr="00D166EA">
        <w:rPr>
          <w:rFonts w:eastAsia="MS Mincho"/>
          <w:sz w:val="22"/>
          <w:szCs w:val="22"/>
          <w:lang w:val="lt-LT"/>
        </w:rPr>
        <w:t>6 skyriuje).</w:t>
      </w:r>
    </w:p>
    <w:p w14:paraId="0CD057E8" w14:textId="77777777" w:rsidR="0061061F" w:rsidRPr="00D166EA" w:rsidRDefault="0061061F" w:rsidP="0061061F">
      <w:pPr>
        <w:tabs>
          <w:tab w:val="left" w:pos="1296"/>
        </w:tabs>
        <w:ind w:firstLine="709"/>
        <w:rPr>
          <w:szCs w:val="22"/>
        </w:rPr>
      </w:pPr>
    </w:p>
    <w:p w14:paraId="2FC911B6" w14:textId="77777777" w:rsidR="0061061F" w:rsidRPr="00D166EA" w:rsidRDefault="0061061F" w:rsidP="004D2F55">
      <w:pPr>
        <w:rPr>
          <w:b/>
          <w:szCs w:val="22"/>
        </w:rPr>
      </w:pPr>
      <w:r w:rsidRPr="00D166EA">
        <w:rPr>
          <w:b/>
          <w:szCs w:val="22"/>
        </w:rPr>
        <w:t xml:space="preserve">Įspėjimai ir atsargumo priemonės </w:t>
      </w:r>
    </w:p>
    <w:p w14:paraId="4FB92FF5" w14:textId="77777777" w:rsidR="00D166EA" w:rsidRDefault="00D166EA" w:rsidP="00D166EA">
      <w:pPr>
        <w:pStyle w:val="Default"/>
        <w:rPr>
          <w:sz w:val="22"/>
          <w:szCs w:val="22"/>
        </w:rPr>
      </w:pPr>
      <w:r>
        <w:rPr>
          <w:sz w:val="22"/>
          <w:szCs w:val="22"/>
        </w:rPr>
        <w:t xml:space="preserve">Pasitarkite su gydytoju arba vaistininku, prieš pradėdami vartoti </w:t>
      </w:r>
      <w:r w:rsidRPr="00D166EA">
        <w:rPr>
          <w:sz w:val="22"/>
          <w:szCs w:val="22"/>
        </w:rPr>
        <w:t>Entecavir Sandoz</w:t>
      </w:r>
      <w:r>
        <w:rPr>
          <w:sz w:val="22"/>
          <w:szCs w:val="22"/>
        </w:rPr>
        <w:t xml:space="preserve">. </w:t>
      </w:r>
    </w:p>
    <w:p w14:paraId="0E71B6BA" w14:textId="77777777" w:rsidR="00D166EA" w:rsidRDefault="00D166EA" w:rsidP="00C17742">
      <w:pPr>
        <w:numPr>
          <w:ilvl w:val="0"/>
          <w:numId w:val="33"/>
        </w:numPr>
        <w:spacing w:before="120"/>
        <w:ind w:left="567" w:hanging="567"/>
      </w:pPr>
      <w:r>
        <w:rPr>
          <w:b/>
          <w:bCs/>
        </w:rPr>
        <w:t>Jeigu Jūs kada nors turėjote problemų dėl savo inkstų</w:t>
      </w:r>
      <w:r>
        <w:t xml:space="preserve">, </w:t>
      </w:r>
      <w:r w:rsidRPr="00D166EA">
        <w:rPr>
          <w:b/>
        </w:rPr>
        <w:t>apie tai pasakykite gydytojui. Tai svarbu dėl to, kad Entecavir Sandoz šalinamas iš organizmo per inkstus (dėl to gali tekti koreguoti šio vaisto dozę arba dozavimo schemą).</w:t>
      </w:r>
    </w:p>
    <w:p w14:paraId="3B7BC68D" w14:textId="77777777" w:rsidR="00D166EA" w:rsidRDefault="00D166EA" w:rsidP="00C17742">
      <w:pPr>
        <w:numPr>
          <w:ilvl w:val="0"/>
          <w:numId w:val="33"/>
        </w:numPr>
        <w:spacing w:before="120"/>
        <w:ind w:left="567" w:hanging="567"/>
      </w:pPr>
      <w:r w:rsidRPr="00D166EA">
        <w:rPr>
          <w:b/>
          <w:bCs/>
        </w:rPr>
        <w:t>Entecavir Sandoz</w:t>
      </w:r>
      <w:r>
        <w:rPr>
          <w:b/>
          <w:bCs/>
        </w:rPr>
        <w:t xml:space="preserve"> vartojimo negalima nutraukti nepasitarus su savo gydytoju</w:t>
      </w:r>
      <w:r>
        <w:t xml:space="preserve">, kadangi gali pablogėti Jūsų kepenų uždegimas. Baigus gydymą </w:t>
      </w:r>
      <w:r w:rsidRPr="00D166EA">
        <w:t>Entecavir Sandoz</w:t>
      </w:r>
      <w:r>
        <w:t xml:space="preserve">, Jūsų gydytojas dar kelis mėnesius toliau Jus stebės ir darys Jūsų kraujo tyrimus. </w:t>
      </w:r>
    </w:p>
    <w:p w14:paraId="167CE5EB" w14:textId="77777777" w:rsidR="00D166EA" w:rsidRDefault="00D166EA" w:rsidP="00C17742">
      <w:pPr>
        <w:numPr>
          <w:ilvl w:val="0"/>
          <w:numId w:val="33"/>
        </w:numPr>
        <w:spacing w:before="120"/>
        <w:ind w:left="567" w:hanging="567"/>
      </w:pPr>
      <w:r>
        <w:rPr>
          <w:b/>
          <w:bCs/>
        </w:rPr>
        <w:lastRenderedPageBreak/>
        <w:t>Aptarkite su savo gydytoj</w:t>
      </w:r>
      <w:r w:rsidR="00C17742">
        <w:rPr>
          <w:b/>
          <w:bCs/>
        </w:rPr>
        <w:t>u</w:t>
      </w:r>
      <w:r>
        <w:rPr>
          <w:b/>
          <w:bCs/>
        </w:rPr>
        <w:t xml:space="preserve">, ar normaliai </w:t>
      </w:r>
      <w:r w:rsidR="00C17742">
        <w:rPr>
          <w:b/>
          <w:bCs/>
        </w:rPr>
        <w:t>veikia</w:t>
      </w:r>
      <w:r>
        <w:rPr>
          <w:b/>
          <w:bCs/>
        </w:rPr>
        <w:t xml:space="preserve"> Jūsų kepenys</w:t>
      </w:r>
      <w:r>
        <w:t>, ir, jei</w:t>
      </w:r>
      <w:r w:rsidR="00C17742">
        <w:t>gu</w:t>
      </w:r>
      <w:r>
        <w:t xml:space="preserve"> ne, tai </w:t>
      </w:r>
      <w:r w:rsidR="00C17742">
        <w:t xml:space="preserve">koks galimas poveikis į Jūsų gydymą </w:t>
      </w:r>
      <w:r w:rsidR="00C17742" w:rsidRPr="00C17742">
        <w:t>Entecavir Sandoz</w:t>
      </w:r>
      <w:r>
        <w:t xml:space="preserve">. </w:t>
      </w:r>
    </w:p>
    <w:p w14:paraId="508D21EA" w14:textId="77777777" w:rsidR="00D166EA" w:rsidRDefault="00D166EA" w:rsidP="00C17742">
      <w:pPr>
        <w:numPr>
          <w:ilvl w:val="0"/>
          <w:numId w:val="33"/>
        </w:numPr>
        <w:spacing w:before="120"/>
        <w:ind w:left="567" w:hanging="567"/>
      </w:pPr>
      <w:r>
        <w:rPr>
          <w:b/>
          <w:bCs/>
        </w:rPr>
        <w:t xml:space="preserve">Jeigu taip pat esate infekuotas (infekuota) ŽIV </w:t>
      </w:r>
      <w:r>
        <w:t>(žmogaus imunodeficito virus</w:t>
      </w:r>
      <w:r w:rsidR="00C17742">
        <w:t>u</w:t>
      </w:r>
      <w:r>
        <w:t xml:space="preserve">), apie tai pasakykite </w:t>
      </w:r>
      <w:r w:rsidR="00C17742">
        <w:t xml:space="preserve">savo </w:t>
      </w:r>
      <w:r>
        <w:t xml:space="preserve">gydytojui. </w:t>
      </w:r>
      <w:r w:rsidR="00C17742" w:rsidRPr="00C17742">
        <w:t>Entecavir Sandoz</w:t>
      </w:r>
      <w:r>
        <w:t xml:space="preserve"> galima vartoti hepatito B infekcijai gydyti tik </w:t>
      </w:r>
      <w:r w:rsidR="001570EE">
        <w:t>j</w:t>
      </w:r>
      <w:r w:rsidR="00C17742">
        <w:t xml:space="preserve">eigu </w:t>
      </w:r>
      <w:r>
        <w:t>kartu vartojam</w:t>
      </w:r>
      <w:r w:rsidR="00C17742">
        <w:t>a</w:t>
      </w:r>
      <w:r>
        <w:t xml:space="preserve"> vaist</w:t>
      </w:r>
      <w:r w:rsidR="00C17742">
        <w:t>ų</w:t>
      </w:r>
      <w:r>
        <w:t xml:space="preserve"> nuo ŽIV (kitaip ateityje vaistų nuo ŽIV veiksmingumas gali būti mažesnis). </w:t>
      </w:r>
      <w:r w:rsidR="00C17742" w:rsidRPr="00D166EA">
        <w:rPr>
          <w:szCs w:val="22"/>
        </w:rPr>
        <w:t>Entecavir Sandoz</w:t>
      </w:r>
      <w:r>
        <w:t xml:space="preserve"> ŽIV infekcijos neveikia. </w:t>
      </w:r>
    </w:p>
    <w:p w14:paraId="515AFB07" w14:textId="77777777" w:rsidR="00D166EA" w:rsidRDefault="001570EE" w:rsidP="001570EE">
      <w:pPr>
        <w:numPr>
          <w:ilvl w:val="0"/>
          <w:numId w:val="33"/>
        </w:numPr>
        <w:spacing w:before="120"/>
        <w:ind w:left="567" w:hanging="567"/>
      </w:pPr>
      <w:r w:rsidRPr="001570EE">
        <w:rPr>
          <w:b/>
          <w:bCs/>
        </w:rPr>
        <w:t>Entecavir Sandoz</w:t>
      </w:r>
      <w:r w:rsidR="00D166EA">
        <w:rPr>
          <w:b/>
          <w:bCs/>
        </w:rPr>
        <w:t xml:space="preserve"> vartojimas neapsaugo nuo kitų žmonių </w:t>
      </w:r>
      <w:r w:rsidR="00C17742">
        <w:rPr>
          <w:b/>
          <w:bCs/>
        </w:rPr>
        <w:t>už</w:t>
      </w:r>
      <w:r w:rsidR="00D166EA">
        <w:rPr>
          <w:b/>
          <w:bCs/>
        </w:rPr>
        <w:t xml:space="preserve">krėtimo hepatito B virusu (HBV) </w:t>
      </w:r>
      <w:r w:rsidR="00D166EA">
        <w:t xml:space="preserve">lytiškai santykiaujant arba per organizmo skysčius (įskaitant </w:t>
      </w:r>
      <w:r w:rsidR="00C17742">
        <w:t>už</w:t>
      </w:r>
      <w:r w:rsidR="00D166EA">
        <w:t xml:space="preserve">krėstą kraują). Norint neapkrėsti kitų žmonių HBV, būtinos atsargumo priemonės. Žmonėms, kuriems yra pavojus apsikrėsti HBV, apsaugoti yra sukurta vakcina. </w:t>
      </w:r>
    </w:p>
    <w:p w14:paraId="2A5D2066" w14:textId="77777777" w:rsidR="00D166EA" w:rsidRDefault="001570EE" w:rsidP="001570EE">
      <w:pPr>
        <w:numPr>
          <w:ilvl w:val="0"/>
          <w:numId w:val="33"/>
        </w:numPr>
        <w:spacing w:before="120"/>
        <w:ind w:left="567" w:hanging="567"/>
      </w:pPr>
      <w:r w:rsidRPr="001570EE">
        <w:rPr>
          <w:b/>
          <w:bCs/>
        </w:rPr>
        <w:t>Entecavir Sandoz</w:t>
      </w:r>
      <w:r w:rsidR="00D166EA">
        <w:rPr>
          <w:b/>
          <w:bCs/>
        </w:rPr>
        <w:t xml:space="preserve"> priklauso grupei vaistų, galinčių sukelti </w:t>
      </w:r>
      <w:r w:rsidR="004C4367">
        <w:rPr>
          <w:b/>
          <w:bCs/>
        </w:rPr>
        <w:t>pieno rūgšties</w:t>
      </w:r>
      <w:r w:rsidR="00D166EA">
        <w:rPr>
          <w:b/>
          <w:bCs/>
        </w:rPr>
        <w:t xml:space="preserve"> acidozę </w:t>
      </w:r>
      <w:r w:rsidR="00D166EA">
        <w:t xml:space="preserve">(pieno rūgšties perteklių kraujyje) ir kepenų padidėjimą. Galimi </w:t>
      </w:r>
      <w:r w:rsidR="004C4367">
        <w:t>pieno rūgšties</w:t>
      </w:r>
      <w:r w:rsidR="00D166EA">
        <w:t xml:space="preserve"> acidozės simptomai yra pykinimas, vėmimas ir skrandžio skausmas. Šis retas, tačiau sunkus šalutinis poveikis </w:t>
      </w:r>
      <w:r w:rsidR="004C4367">
        <w:t>retkarčiais  yra mirtinas</w:t>
      </w:r>
      <w:r w:rsidR="00D166EA">
        <w:t xml:space="preserve">. </w:t>
      </w:r>
      <w:r w:rsidR="004C4367">
        <w:t>Pieno rūgšties</w:t>
      </w:r>
      <w:r w:rsidR="00D166EA">
        <w:t xml:space="preserve"> acidozė dažniau pasireiškia moterims, ypač turinčioms didelį antsvorį. Vartojant </w:t>
      </w:r>
      <w:r w:rsidR="004C4367" w:rsidRPr="004C4367">
        <w:rPr>
          <w:b/>
          <w:szCs w:val="22"/>
        </w:rPr>
        <w:t>Entecavir Sandoz</w:t>
      </w:r>
      <w:r w:rsidR="00D166EA">
        <w:t>, gydytojas reguliariai ti</w:t>
      </w:r>
      <w:r w:rsidR="004C4367">
        <w:t>krins</w:t>
      </w:r>
      <w:r w:rsidR="00D166EA">
        <w:t xml:space="preserve"> Jūsų būklę. </w:t>
      </w:r>
    </w:p>
    <w:p w14:paraId="51B0AF43" w14:textId="77777777" w:rsidR="00D166EA" w:rsidRDefault="00D166EA" w:rsidP="00594CC0">
      <w:pPr>
        <w:numPr>
          <w:ilvl w:val="0"/>
          <w:numId w:val="33"/>
        </w:numPr>
        <w:spacing w:before="120"/>
        <w:ind w:left="567" w:hanging="567"/>
      </w:pPr>
      <w:r>
        <w:rPr>
          <w:b/>
          <w:bCs/>
        </w:rPr>
        <w:t>Jeigu anksčiau vartojote vaistų nuo lėtinio hepatito B</w:t>
      </w:r>
      <w:r>
        <w:t xml:space="preserve">, pasakykite </w:t>
      </w:r>
      <w:r w:rsidR="004C4367">
        <w:t xml:space="preserve">savo </w:t>
      </w:r>
      <w:r>
        <w:t xml:space="preserve">gydytojui. </w:t>
      </w:r>
    </w:p>
    <w:p w14:paraId="02407EC0" w14:textId="77777777" w:rsidR="004C4367" w:rsidRDefault="004C4367" w:rsidP="00D166EA">
      <w:pPr>
        <w:rPr>
          <w:b/>
          <w:bCs/>
        </w:rPr>
      </w:pPr>
    </w:p>
    <w:p w14:paraId="7F4B4451" w14:textId="77777777" w:rsidR="00D166EA" w:rsidRDefault="00D166EA" w:rsidP="00D166EA">
      <w:r>
        <w:rPr>
          <w:b/>
          <w:bCs/>
        </w:rPr>
        <w:t xml:space="preserve">Vaikams ir paaugliams </w:t>
      </w:r>
    </w:p>
    <w:p w14:paraId="0588DCF4" w14:textId="77777777" w:rsidR="00D166EA" w:rsidRDefault="00594CC0" w:rsidP="00D166EA">
      <w:pPr>
        <w:rPr>
          <w:rFonts w:eastAsia="MS Mincho"/>
        </w:rPr>
      </w:pPr>
      <w:r w:rsidRPr="00D166EA">
        <w:rPr>
          <w:szCs w:val="22"/>
        </w:rPr>
        <w:t>Entecavir Sandoz</w:t>
      </w:r>
      <w:r w:rsidR="00D166EA">
        <w:t xml:space="preserve"> negalima vartoti vaikams, kurie yra jaunesni kaip 2</w:t>
      </w:r>
      <w:r w:rsidR="00942930">
        <w:t> </w:t>
      </w:r>
      <w:r w:rsidR="00D166EA">
        <w:t>metų amžiaus arba sveria mažiau kaip 10</w:t>
      </w:r>
      <w:r w:rsidR="00942930">
        <w:t> </w:t>
      </w:r>
      <w:r w:rsidR="00D166EA">
        <w:t>kg.</w:t>
      </w:r>
    </w:p>
    <w:p w14:paraId="6E913B0E" w14:textId="77777777" w:rsidR="0061061F" w:rsidRPr="00D166EA" w:rsidRDefault="0061061F" w:rsidP="0061061F">
      <w:pPr>
        <w:numPr>
          <w:ilvl w:val="12"/>
          <w:numId w:val="0"/>
        </w:numPr>
        <w:tabs>
          <w:tab w:val="left" w:pos="1296"/>
        </w:tabs>
        <w:rPr>
          <w:b/>
          <w:bCs/>
          <w:szCs w:val="22"/>
        </w:rPr>
      </w:pPr>
    </w:p>
    <w:p w14:paraId="54936DB0" w14:textId="77777777" w:rsidR="0061061F" w:rsidRPr="00D166EA" w:rsidRDefault="0061061F" w:rsidP="003B2651">
      <w:pPr>
        <w:rPr>
          <w:b/>
          <w:szCs w:val="22"/>
        </w:rPr>
      </w:pPr>
      <w:r w:rsidRPr="00D166EA">
        <w:rPr>
          <w:b/>
          <w:szCs w:val="22"/>
        </w:rPr>
        <w:t xml:space="preserve">Kiti vaistai ir </w:t>
      </w:r>
      <w:r w:rsidR="009D4230" w:rsidRPr="00D166EA">
        <w:rPr>
          <w:b/>
          <w:szCs w:val="22"/>
        </w:rPr>
        <w:t>Entecavir</w:t>
      </w:r>
      <w:r w:rsidRPr="00D166EA">
        <w:rPr>
          <w:b/>
          <w:szCs w:val="22"/>
        </w:rPr>
        <w:t xml:space="preserve"> Sandoz</w:t>
      </w:r>
    </w:p>
    <w:p w14:paraId="36E3DE77" w14:textId="77777777" w:rsidR="0061061F" w:rsidRPr="00D166EA" w:rsidRDefault="0061061F" w:rsidP="0061061F">
      <w:pPr>
        <w:widowControl w:val="0"/>
        <w:autoSpaceDE w:val="0"/>
        <w:autoSpaceDN w:val="0"/>
        <w:adjustRightInd w:val="0"/>
        <w:rPr>
          <w:rFonts w:eastAsia="MS Mincho"/>
          <w:szCs w:val="22"/>
        </w:rPr>
      </w:pPr>
      <w:r w:rsidRPr="00D166EA">
        <w:rPr>
          <w:rFonts w:eastAsia="MS Mincho"/>
          <w:szCs w:val="22"/>
        </w:rPr>
        <w:t>Jeigu vartojate ar neseniai vartojote kitų vaistų arba dėl to nesate tikri, apie tai pasakykite gydytojui arba vaistininkui.</w:t>
      </w:r>
    </w:p>
    <w:p w14:paraId="5EDA59CA" w14:textId="77777777" w:rsidR="0061061F" w:rsidRPr="00D166EA" w:rsidRDefault="0061061F" w:rsidP="0061061F">
      <w:pPr>
        <w:widowControl w:val="0"/>
        <w:autoSpaceDE w:val="0"/>
        <w:autoSpaceDN w:val="0"/>
        <w:adjustRightInd w:val="0"/>
        <w:rPr>
          <w:rFonts w:eastAsia="MS Mincho"/>
          <w:szCs w:val="22"/>
        </w:rPr>
      </w:pPr>
    </w:p>
    <w:p w14:paraId="79B37D0F" w14:textId="77777777" w:rsidR="0061061F" w:rsidRPr="00D166EA" w:rsidRDefault="009D4230" w:rsidP="003B2651">
      <w:pPr>
        <w:rPr>
          <w:b/>
          <w:szCs w:val="22"/>
        </w:rPr>
      </w:pPr>
      <w:r w:rsidRPr="00D166EA">
        <w:rPr>
          <w:b/>
          <w:szCs w:val="22"/>
        </w:rPr>
        <w:t>Entecavir</w:t>
      </w:r>
      <w:r w:rsidR="0061061F" w:rsidRPr="00D166EA">
        <w:rPr>
          <w:b/>
          <w:szCs w:val="22"/>
        </w:rPr>
        <w:t xml:space="preserve"> Sandoz vartojimas su maistu ir gėrimais</w:t>
      </w:r>
    </w:p>
    <w:p w14:paraId="75D1B11E" w14:textId="77777777" w:rsidR="00594CC0" w:rsidRPr="00594CC0" w:rsidRDefault="00594CC0" w:rsidP="00594CC0">
      <w:pPr>
        <w:numPr>
          <w:ilvl w:val="12"/>
          <w:numId w:val="0"/>
        </w:numPr>
        <w:tabs>
          <w:tab w:val="left" w:pos="1296"/>
        </w:tabs>
        <w:rPr>
          <w:rFonts w:eastAsia="MS Mincho"/>
          <w:szCs w:val="22"/>
        </w:rPr>
      </w:pPr>
      <w:r w:rsidRPr="00594CC0">
        <w:rPr>
          <w:rFonts w:eastAsia="MS Mincho"/>
          <w:szCs w:val="22"/>
        </w:rPr>
        <w:t>Daugum</w:t>
      </w:r>
      <w:r>
        <w:rPr>
          <w:rFonts w:eastAsia="MS Mincho"/>
          <w:szCs w:val="22"/>
        </w:rPr>
        <w:t>oje atvejų</w:t>
      </w:r>
      <w:r w:rsidRPr="00594CC0">
        <w:rPr>
          <w:rFonts w:eastAsia="MS Mincho"/>
          <w:szCs w:val="22"/>
        </w:rPr>
        <w:t xml:space="preserve"> </w:t>
      </w:r>
      <w:r w:rsidRPr="00594CC0">
        <w:rPr>
          <w:szCs w:val="22"/>
        </w:rPr>
        <w:t>Entecavir Sandoz</w:t>
      </w:r>
      <w:r w:rsidRPr="00594CC0">
        <w:rPr>
          <w:rFonts w:eastAsia="MS Mincho"/>
          <w:szCs w:val="22"/>
        </w:rPr>
        <w:t xml:space="preserve"> galima vartoti valgant arba kitu laiku. Vis dėlto jei</w:t>
      </w:r>
      <w:r>
        <w:rPr>
          <w:rFonts w:eastAsia="MS Mincho"/>
          <w:szCs w:val="22"/>
        </w:rPr>
        <w:t>gu</w:t>
      </w:r>
      <w:r w:rsidRPr="00594CC0">
        <w:rPr>
          <w:rFonts w:eastAsia="MS Mincho"/>
          <w:szCs w:val="22"/>
        </w:rPr>
        <w:t xml:space="preserve"> anksčiau vartojote vaist</w:t>
      </w:r>
      <w:r>
        <w:rPr>
          <w:rFonts w:eastAsia="MS Mincho"/>
          <w:szCs w:val="22"/>
        </w:rPr>
        <w:t>o</w:t>
      </w:r>
      <w:r w:rsidRPr="00594CC0">
        <w:rPr>
          <w:rFonts w:eastAsia="MS Mincho"/>
          <w:szCs w:val="22"/>
        </w:rPr>
        <w:t xml:space="preserve">, kurio veiklioji medžiaga yra lamivudinas, </w:t>
      </w:r>
      <w:r>
        <w:rPr>
          <w:rFonts w:eastAsia="MS Mincho"/>
          <w:szCs w:val="22"/>
        </w:rPr>
        <w:t xml:space="preserve">turite </w:t>
      </w:r>
      <w:r w:rsidRPr="00594CC0">
        <w:rPr>
          <w:rFonts w:eastAsia="MS Mincho"/>
          <w:szCs w:val="22"/>
        </w:rPr>
        <w:t>atsižvelkite į toliau pateik</w:t>
      </w:r>
      <w:r>
        <w:rPr>
          <w:rFonts w:eastAsia="MS Mincho"/>
          <w:szCs w:val="22"/>
        </w:rPr>
        <w:t>tus</w:t>
      </w:r>
      <w:r w:rsidRPr="00594CC0">
        <w:rPr>
          <w:rFonts w:eastAsia="MS Mincho"/>
          <w:szCs w:val="22"/>
        </w:rPr>
        <w:t xml:space="preserve"> nurodymus. Jeigu gydymas lamivudinu buvo neveiksmingas, todėl vietoje jo pradėjote vartoti Entecavir Sandoz, tai </w:t>
      </w:r>
      <w:r>
        <w:rPr>
          <w:rFonts w:eastAsia="MS Mincho"/>
          <w:szCs w:val="22"/>
        </w:rPr>
        <w:t>šio vaisto</w:t>
      </w:r>
      <w:r w:rsidRPr="00594CC0">
        <w:rPr>
          <w:rFonts w:eastAsia="MS Mincho"/>
          <w:szCs w:val="22"/>
        </w:rPr>
        <w:t xml:space="preserve"> gerkite 1</w:t>
      </w:r>
      <w:r w:rsidR="00942930">
        <w:rPr>
          <w:rFonts w:eastAsia="MS Mincho"/>
          <w:szCs w:val="22"/>
        </w:rPr>
        <w:t> </w:t>
      </w:r>
      <w:r w:rsidRPr="00594CC0">
        <w:rPr>
          <w:rFonts w:eastAsia="MS Mincho"/>
          <w:szCs w:val="22"/>
        </w:rPr>
        <w:t>kartą per parą, kai skrandis tuščias. Jeigu Jūsų kepenų liga yra labai progresavusi, gydytojas taip pat nurodys gerti Entecavir Sandoz, kai skrandis tuščias (t.y. praėjus ne mažiau 2</w:t>
      </w:r>
      <w:r w:rsidR="00942930">
        <w:rPr>
          <w:rFonts w:eastAsia="MS Mincho"/>
          <w:szCs w:val="22"/>
        </w:rPr>
        <w:t> </w:t>
      </w:r>
      <w:r w:rsidRPr="00594CC0">
        <w:rPr>
          <w:rFonts w:eastAsia="MS Mincho"/>
          <w:szCs w:val="22"/>
        </w:rPr>
        <w:t xml:space="preserve">val. po valgio ir likus </w:t>
      </w:r>
      <w:r>
        <w:rPr>
          <w:rFonts w:eastAsia="MS Mincho"/>
          <w:szCs w:val="22"/>
        </w:rPr>
        <w:t>bent</w:t>
      </w:r>
      <w:r w:rsidRPr="00594CC0">
        <w:rPr>
          <w:rFonts w:eastAsia="MS Mincho"/>
          <w:szCs w:val="22"/>
        </w:rPr>
        <w:t xml:space="preserve"> 2</w:t>
      </w:r>
      <w:r w:rsidR="00942930">
        <w:rPr>
          <w:rFonts w:eastAsia="MS Mincho"/>
          <w:szCs w:val="22"/>
        </w:rPr>
        <w:t> </w:t>
      </w:r>
      <w:r w:rsidRPr="00594CC0">
        <w:rPr>
          <w:rFonts w:eastAsia="MS Mincho"/>
          <w:szCs w:val="22"/>
        </w:rPr>
        <w:t>val</w:t>
      </w:r>
      <w:r>
        <w:rPr>
          <w:rFonts w:eastAsia="MS Mincho"/>
          <w:szCs w:val="22"/>
        </w:rPr>
        <w:t>andoms</w:t>
      </w:r>
      <w:r w:rsidRPr="00594CC0">
        <w:rPr>
          <w:rFonts w:eastAsia="MS Mincho"/>
          <w:szCs w:val="22"/>
        </w:rPr>
        <w:t xml:space="preserve"> iki kito valgio).</w:t>
      </w:r>
    </w:p>
    <w:p w14:paraId="0884B1BB" w14:textId="77777777" w:rsidR="00594CC0" w:rsidRPr="00594CC0" w:rsidRDefault="00594CC0" w:rsidP="00594CC0">
      <w:pPr>
        <w:numPr>
          <w:ilvl w:val="12"/>
          <w:numId w:val="0"/>
        </w:numPr>
        <w:tabs>
          <w:tab w:val="left" w:pos="1296"/>
        </w:tabs>
        <w:rPr>
          <w:rFonts w:eastAsia="MS Mincho"/>
          <w:color w:val="00B050"/>
          <w:szCs w:val="22"/>
        </w:rPr>
      </w:pPr>
      <w:r w:rsidRPr="005E5ABD">
        <w:rPr>
          <w:rFonts w:eastAsia="MS Mincho"/>
          <w:color w:val="00B050"/>
          <w:szCs w:val="22"/>
        </w:rPr>
        <w:t>[0,5</w:t>
      </w:r>
      <w:r w:rsidR="00942930" w:rsidRPr="005E5ABD">
        <w:rPr>
          <w:rFonts w:eastAsia="MS Mincho"/>
          <w:color w:val="00B050"/>
          <w:szCs w:val="22"/>
        </w:rPr>
        <w:t> </w:t>
      </w:r>
      <w:r w:rsidRPr="005E5ABD">
        <w:rPr>
          <w:rFonts w:eastAsia="MS Mincho"/>
          <w:color w:val="00B050"/>
          <w:szCs w:val="22"/>
        </w:rPr>
        <w:t>mg plėvele dengtos tabletės]</w:t>
      </w:r>
    </w:p>
    <w:p w14:paraId="65A300B6" w14:textId="77777777" w:rsidR="00594CC0" w:rsidRDefault="00594CC0" w:rsidP="00594CC0">
      <w:pPr>
        <w:numPr>
          <w:ilvl w:val="12"/>
          <w:numId w:val="0"/>
        </w:numPr>
        <w:tabs>
          <w:tab w:val="left" w:pos="1296"/>
        </w:tabs>
        <w:rPr>
          <w:rFonts w:eastAsia="MS Mincho"/>
          <w:szCs w:val="22"/>
        </w:rPr>
      </w:pPr>
      <w:r w:rsidRPr="00F61565">
        <w:rPr>
          <w:rFonts w:eastAsia="MS Mincho"/>
          <w:szCs w:val="22"/>
          <w:highlight w:val="lightGray"/>
        </w:rPr>
        <w:t>Vaikai ir paaugliai nuo 2 iki mažiau negu 18</w:t>
      </w:r>
      <w:r w:rsidR="00942930">
        <w:rPr>
          <w:rFonts w:eastAsia="MS Mincho"/>
          <w:szCs w:val="22"/>
          <w:highlight w:val="lightGray"/>
        </w:rPr>
        <w:t> </w:t>
      </w:r>
      <w:r w:rsidRPr="00F61565">
        <w:rPr>
          <w:rFonts w:eastAsia="MS Mincho"/>
          <w:szCs w:val="22"/>
          <w:highlight w:val="lightGray"/>
        </w:rPr>
        <w:t>metų amžiaus gali vartoti Entecavir Sandoz valgant arba kitu laiku.</w:t>
      </w:r>
    </w:p>
    <w:p w14:paraId="395F45A5" w14:textId="77777777" w:rsidR="00594CC0" w:rsidRDefault="00594CC0" w:rsidP="00594CC0">
      <w:pPr>
        <w:numPr>
          <w:ilvl w:val="12"/>
          <w:numId w:val="0"/>
        </w:numPr>
        <w:tabs>
          <w:tab w:val="left" w:pos="1296"/>
        </w:tabs>
        <w:rPr>
          <w:rFonts w:eastAsia="MS Mincho"/>
          <w:szCs w:val="22"/>
        </w:rPr>
      </w:pPr>
    </w:p>
    <w:p w14:paraId="16FFAAA1" w14:textId="77777777" w:rsidR="00594CC0" w:rsidRPr="00F61565" w:rsidRDefault="00594CC0" w:rsidP="00594CC0">
      <w:pPr>
        <w:numPr>
          <w:ilvl w:val="12"/>
          <w:numId w:val="0"/>
        </w:numPr>
        <w:tabs>
          <w:tab w:val="left" w:pos="1296"/>
        </w:tabs>
        <w:rPr>
          <w:rFonts w:eastAsia="MS Mincho"/>
          <w:b/>
          <w:szCs w:val="22"/>
        </w:rPr>
      </w:pPr>
      <w:r w:rsidRPr="00F61565">
        <w:rPr>
          <w:rFonts w:eastAsia="MS Mincho"/>
          <w:b/>
          <w:szCs w:val="22"/>
        </w:rPr>
        <w:t>Nėštumas, žindymo laikotarpis ir vaisingumas</w:t>
      </w:r>
    </w:p>
    <w:p w14:paraId="6941943D" w14:textId="77777777" w:rsidR="00594CC0" w:rsidRPr="00594CC0" w:rsidRDefault="00F61565" w:rsidP="00594CC0">
      <w:pPr>
        <w:numPr>
          <w:ilvl w:val="12"/>
          <w:numId w:val="0"/>
        </w:numPr>
        <w:tabs>
          <w:tab w:val="left" w:pos="1296"/>
        </w:tabs>
        <w:rPr>
          <w:rFonts w:eastAsia="MS Mincho"/>
          <w:szCs w:val="22"/>
        </w:rPr>
      </w:pPr>
      <w:r w:rsidRPr="00B34FA1">
        <w:rPr>
          <w:noProof/>
          <w:szCs w:val="24"/>
        </w:rPr>
        <w:t xml:space="preserve">Jeigu esate nėščia, </w:t>
      </w:r>
      <w:r w:rsidR="006942F6">
        <w:rPr>
          <w:noProof/>
          <w:szCs w:val="24"/>
        </w:rPr>
        <w:t xml:space="preserve">žindote kūdikį, </w:t>
      </w:r>
      <w:r w:rsidRPr="00B34FA1">
        <w:rPr>
          <w:noProof/>
          <w:szCs w:val="24"/>
        </w:rPr>
        <w:t>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sidRPr="00B34FA1">
        <w:rPr>
          <w:noProof/>
          <w:szCs w:val="24"/>
        </w:rPr>
        <w:t xml:space="preserve"> pasitarkite su gydytoju</w:t>
      </w:r>
      <w:r>
        <w:rPr>
          <w:noProof/>
          <w:szCs w:val="24"/>
        </w:rPr>
        <w:t xml:space="preserve"> </w:t>
      </w:r>
      <w:r w:rsidRPr="00B34FA1">
        <w:rPr>
          <w:noProof/>
          <w:szCs w:val="24"/>
        </w:rPr>
        <w:t>arba</w:t>
      </w:r>
      <w:r>
        <w:rPr>
          <w:noProof/>
          <w:szCs w:val="24"/>
        </w:rPr>
        <w:t xml:space="preserve"> </w:t>
      </w:r>
      <w:r w:rsidRPr="00B34FA1">
        <w:rPr>
          <w:noProof/>
          <w:szCs w:val="24"/>
        </w:rPr>
        <w:t>vaistininku</w:t>
      </w:r>
      <w:r w:rsidR="00594CC0" w:rsidRPr="00594CC0">
        <w:rPr>
          <w:rFonts w:eastAsia="MS Mincho"/>
          <w:szCs w:val="22"/>
        </w:rPr>
        <w:t xml:space="preserve">. </w:t>
      </w:r>
      <w:r>
        <w:rPr>
          <w:rFonts w:eastAsia="MS Mincho"/>
          <w:szCs w:val="22"/>
        </w:rPr>
        <w:t>Neįrodyta, kad entekaviro</w:t>
      </w:r>
      <w:r w:rsidRPr="00594CC0">
        <w:rPr>
          <w:rFonts w:eastAsia="MS Mincho"/>
          <w:szCs w:val="22"/>
        </w:rPr>
        <w:t xml:space="preserve"> </w:t>
      </w:r>
      <w:r w:rsidR="00594CC0" w:rsidRPr="00594CC0">
        <w:rPr>
          <w:rFonts w:eastAsia="MS Mincho"/>
          <w:szCs w:val="22"/>
        </w:rPr>
        <w:t xml:space="preserve">saugu vartoti nėštumo laikotarpiu. </w:t>
      </w:r>
      <w:r w:rsidRPr="00F61565">
        <w:rPr>
          <w:rFonts w:eastAsia="MS Mincho"/>
          <w:szCs w:val="22"/>
        </w:rPr>
        <w:t>Entecavir Sandoz</w:t>
      </w:r>
      <w:r w:rsidR="00594CC0" w:rsidRPr="00594CC0">
        <w:rPr>
          <w:rFonts w:eastAsia="MS Mincho"/>
          <w:szCs w:val="22"/>
        </w:rPr>
        <w:t xml:space="preserve"> nėštumo metu vartoti negalima, išskyrus atvejus, kai tai specialiai nurod</w:t>
      </w:r>
      <w:r>
        <w:rPr>
          <w:rFonts w:eastAsia="MS Mincho"/>
          <w:szCs w:val="22"/>
        </w:rPr>
        <w:t xml:space="preserve">yta Jūsų </w:t>
      </w:r>
      <w:r w:rsidR="00594CC0" w:rsidRPr="00594CC0">
        <w:rPr>
          <w:rFonts w:eastAsia="MS Mincho"/>
          <w:szCs w:val="22"/>
        </w:rPr>
        <w:t>gydytoj</w:t>
      </w:r>
      <w:r>
        <w:rPr>
          <w:rFonts w:eastAsia="MS Mincho"/>
          <w:szCs w:val="22"/>
        </w:rPr>
        <w:t>o</w:t>
      </w:r>
      <w:r w:rsidR="00594CC0" w:rsidRPr="00594CC0">
        <w:rPr>
          <w:rFonts w:eastAsia="MS Mincho"/>
          <w:szCs w:val="22"/>
        </w:rPr>
        <w:t xml:space="preserve">. Svarbu, kad gydymo </w:t>
      </w:r>
      <w:r w:rsidRPr="00F61565">
        <w:rPr>
          <w:rFonts w:eastAsia="MS Mincho"/>
          <w:szCs w:val="22"/>
        </w:rPr>
        <w:t>Entecavir Sandoz</w:t>
      </w:r>
      <w:r w:rsidR="00594CC0" w:rsidRPr="00594CC0">
        <w:rPr>
          <w:rFonts w:eastAsia="MS Mincho"/>
          <w:szCs w:val="22"/>
        </w:rPr>
        <w:t xml:space="preserve"> metu vaisingo amžiaus moterys naudotų veiksmingą kontracepcijos metodą nėštumui išvengti.</w:t>
      </w:r>
    </w:p>
    <w:p w14:paraId="13E0D961" w14:textId="77777777" w:rsidR="00F61565" w:rsidRDefault="00F61565" w:rsidP="00594CC0">
      <w:pPr>
        <w:numPr>
          <w:ilvl w:val="12"/>
          <w:numId w:val="0"/>
        </w:numPr>
        <w:tabs>
          <w:tab w:val="left" w:pos="1296"/>
        </w:tabs>
        <w:rPr>
          <w:rFonts w:eastAsia="MS Mincho"/>
          <w:szCs w:val="22"/>
        </w:rPr>
      </w:pPr>
    </w:p>
    <w:p w14:paraId="34002353" w14:textId="77777777" w:rsidR="00594CC0" w:rsidRPr="00594CC0" w:rsidRDefault="00F61565" w:rsidP="00594CC0">
      <w:pPr>
        <w:numPr>
          <w:ilvl w:val="12"/>
          <w:numId w:val="0"/>
        </w:numPr>
        <w:tabs>
          <w:tab w:val="left" w:pos="1296"/>
        </w:tabs>
        <w:rPr>
          <w:rFonts w:eastAsia="MS Mincho"/>
          <w:szCs w:val="22"/>
        </w:rPr>
      </w:pPr>
      <w:r>
        <w:rPr>
          <w:rFonts w:eastAsia="MS Mincho"/>
          <w:szCs w:val="22"/>
        </w:rPr>
        <w:t>Gydymo</w:t>
      </w:r>
      <w:r w:rsidR="00594CC0" w:rsidRPr="00594CC0">
        <w:rPr>
          <w:rFonts w:eastAsia="MS Mincho"/>
          <w:szCs w:val="22"/>
        </w:rPr>
        <w:t xml:space="preserve"> </w:t>
      </w:r>
      <w:r w:rsidRPr="00F61565">
        <w:rPr>
          <w:rFonts w:eastAsia="MS Mincho"/>
          <w:szCs w:val="22"/>
        </w:rPr>
        <w:t>Entecavir Sandoz</w:t>
      </w:r>
      <w:r>
        <w:rPr>
          <w:rFonts w:eastAsia="MS Mincho"/>
          <w:szCs w:val="22"/>
        </w:rPr>
        <w:t xml:space="preserve"> metu</w:t>
      </w:r>
      <w:r w:rsidR="00594CC0" w:rsidRPr="00594CC0">
        <w:rPr>
          <w:rFonts w:eastAsia="MS Mincho"/>
          <w:szCs w:val="22"/>
        </w:rPr>
        <w:t xml:space="preserve"> </w:t>
      </w:r>
      <w:r>
        <w:rPr>
          <w:rFonts w:eastAsia="MS Mincho"/>
          <w:szCs w:val="22"/>
        </w:rPr>
        <w:t>turite nežindyti.</w:t>
      </w:r>
      <w:r w:rsidR="00594CC0" w:rsidRPr="00594CC0">
        <w:rPr>
          <w:rFonts w:eastAsia="MS Mincho"/>
          <w:szCs w:val="22"/>
        </w:rPr>
        <w:t xml:space="preserve"> Jeigu </w:t>
      </w:r>
      <w:r>
        <w:rPr>
          <w:rFonts w:eastAsia="MS Mincho"/>
          <w:szCs w:val="22"/>
        </w:rPr>
        <w:t>esate žindyvė</w:t>
      </w:r>
      <w:r w:rsidR="00594CC0" w:rsidRPr="00594CC0">
        <w:rPr>
          <w:rFonts w:eastAsia="MS Mincho"/>
          <w:szCs w:val="22"/>
        </w:rPr>
        <w:t xml:space="preserve">, pasakykite </w:t>
      </w:r>
      <w:r>
        <w:rPr>
          <w:rFonts w:eastAsia="MS Mincho"/>
          <w:szCs w:val="22"/>
        </w:rPr>
        <w:t xml:space="preserve">savo </w:t>
      </w:r>
      <w:r w:rsidR="00594CC0" w:rsidRPr="00594CC0">
        <w:rPr>
          <w:rFonts w:eastAsia="MS Mincho"/>
          <w:szCs w:val="22"/>
        </w:rPr>
        <w:t>gydytojui. Ar entekaviro (</w:t>
      </w:r>
      <w:r w:rsidRPr="00F61565">
        <w:rPr>
          <w:rFonts w:eastAsia="MS Mincho"/>
          <w:szCs w:val="22"/>
        </w:rPr>
        <w:t>Entecavir Sandoz</w:t>
      </w:r>
      <w:r w:rsidR="00594CC0" w:rsidRPr="00594CC0">
        <w:rPr>
          <w:rFonts w:eastAsia="MS Mincho"/>
          <w:szCs w:val="22"/>
        </w:rPr>
        <w:t xml:space="preserve"> veikliosios medžiagos) išskiriama su </w:t>
      </w:r>
      <w:r>
        <w:rPr>
          <w:rFonts w:eastAsia="MS Mincho"/>
          <w:szCs w:val="22"/>
        </w:rPr>
        <w:t>moters</w:t>
      </w:r>
      <w:r w:rsidR="00594CC0" w:rsidRPr="00594CC0">
        <w:rPr>
          <w:rFonts w:eastAsia="MS Mincho"/>
          <w:szCs w:val="22"/>
        </w:rPr>
        <w:t xml:space="preserve"> pienu, nežinoma.</w:t>
      </w:r>
    </w:p>
    <w:p w14:paraId="0457ECC4" w14:textId="77777777" w:rsidR="00F61565" w:rsidRDefault="00F61565" w:rsidP="00594CC0">
      <w:pPr>
        <w:numPr>
          <w:ilvl w:val="12"/>
          <w:numId w:val="0"/>
        </w:numPr>
        <w:tabs>
          <w:tab w:val="left" w:pos="1296"/>
        </w:tabs>
        <w:rPr>
          <w:rFonts w:eastAsia="MS Mincho"/>
          <w:szCs w:val="22"/>
        </w:rPr>
      </w:pPr>
    </w:p>
    <w:p w14:paraId="3C22C4DD" w14:textId="77777777" w:rsidR="00594CC0" w:rsidRPr="00F61565" w:rsidRDefault="00594CC0" w:rsidP="00594CC0">
      <w:pPr>
        <w:numPr>
          <w:ilvl w:val="12"/>
          <w:numId w:val="0"/>
        </w:numPr>
        <w:tabs>
          <w:tab w:val="left" w:pos="1296"/>
        </w:tabs>
        <w:rPr>
          <w:rFonts w:eastAsia="MS Mincho"/>
          <w:b/>
          <w:szCs w:val="22"/>
        </w:rPr>
      </w:pPr>
      <w:r w:rsidRPr="00F61565">
        <w:rPr>
          <w:rFonts w:eastAsia="MS Mincho"/>
          <w:b/>
          <w:szCs w:val="22"/>
        </w:rPr>
        <w:t>Vairavimas ir mechanizmų valdymas</w:t>
      </w:r>
    </w:p>
    <w:p w14:paraId="1CE72BD4" w14:textId="77777777" w:rsidR="00594CC0" w:rsidRPr="00594CC0" w:rsidRDefault="0044298C" w:rsidP="00594CC0">
      <w:pPr>
        <w:numPr>
          <w:ilvl w:val="12"/>
          <w:numId w:val="0"/>
        </w:numPr>
        <w:tabs>
          <w:tab w:val="left" w:pos="1296"/>
        </w:tabs>
        <w:rPr>
          <w:rFonts w:eastAsia="MS Mincho"/>
          <w:szCs w:val="22"/>
        </w:rPr>
      </w:pPr>
      <w:r>
        <w:rPr>
          <w:rFonts w:eastAsia="MS Mincho"/>
          <w:szCs w:val="22"/>
        </w:rPr>
        <w:t>S</w:t>
      </w:r>
      <w:r w:rsidR="00594CC0" w:rsidRPr="00594CC0">
        <w:rPr>
          <w:rFonts w:eastAsia="MS Mincho"/>
          <w:szCs w:val="22"/>
        </w:rPr>
        <w:t>vaig</w:t>
      </w:r>
      <w:r w:rsidR="006942F6">
        <w:rPr>
          <w:rFonts w:eastAsia="MS Mincho"/>
          <w:szCs w:val="22"/>
        </w:rPr>
        <w:t>ulys</w:t>
      </w:r>
      <w:r w:rsidR="00594CC0" w:rsidRPr="00594CC0">
        <w:rPr>
          <w:rFonts w:eastAsia="MS Mincho"/>
          <w:szCs w:val="22"/>
        </w:rPr>
        <w:t xml:space="preserve">, nuovargis ir mieguistumas </w:t>
      </w:r>
      <w:r w:rsidR="00F61565">
        <w:rPr>
          <w:rFonts w:eastAsia="MS Mincho"/>
          <w:szCs w:val="22"/>
        </w:rPr>
        <w:t>(apsnūdimas) yra dažnas šalutinis poveikis, kuris gali pabloginti Jūsų</w:t>
      </w:r>
      <w:r w:rsidR="00594CC0" w:rsidRPr="00594CC0">
        <w:rPr>
          <w:rFonts w:eastAsia="MS Mincho"/>
          <w:szCs w:val="22"/>
        </w:rPr>
        <w:t xml:space="preserve"> gebėjim</w:t>
      </w:r>
      <w:r w:rsidR="00F61565">
        <w:rPr>
          <w:rFonts w:eastAsia="MS Mincho"/>
          <w:szCs w:val="22"/>
        </w:rPr>
        <w:t>ą</w:t>
      </w:r>
      <w:r w:rsidR="00594CC0" w:rsidRPr="00594CC0">
        <w:rPr>
          <w:rFonts w:eastAsia="MS Mincho"/>
          <w:szCs w:val="22"/>
        </w:rPr>
        <w:t xml:space="preserve"> vairuoti ir valdyti mechanizmus. Kilus </w:t>
      </w:r>
      <w:r w:rsidR="00F61565">
        <w:rPr>
          <w:rFonts w:eastAsia="MS Mincho"/>
          <w:szCs w:val="22"/>
        </w:rPr>
        <w:t xml:space="preserve">bet kokių </w:t>
      </w:r>
      <w:r w:rsidR="00594CC0" w:rsidRPr="00594CC0">
        <w:rPr>
          <w:rFonts w:eastAsia="MS Mincho"/>
          <w:szCs w:val="22"/>
        </w:rPr>
        <w:t xml:space="preserve">abejonių, pasikonsultuokite su </w:t>
      </w:r>
      <w:r w:rsidR="00F61565">
        <w:rPr>
          <w:rFonts w:eastAsia="MS Mincho"/>
          <w:szCs w:val="22"/>
        </w:rPr>
        <w:t xml:space="preserve">savo </w:t>
      </w:r>
      <w:r w:rsidR="00594CC0" w:rsidRPr="00594CC0">
        <w:rPr>
          <w:rFonts w:eastAsia="MS Mincho"/>
          <w:szCs w:val="22"/>
        </w:rPr>
        <w:t>gydytoju.</w:t>
      </w:r>
    </w:p>
    <w:p w14:paraId="6B8919D0" w14:textId="77777777" w:rsidR="00F61565" w:rsidRDefault="00F61565" w:rsidP="00594CC0">
      <w:pPr>
        <w:numPr>
          <w:ilvl w:val="12"/>
          <w:numId w:val="0"/>
        </w:numPr>
        <w:tabs>
          <w:tab w:val="left" w:pos="1296"/>
        </w:tabs>
        <w:rPr>
          <w:rFonts w:eastAsia="MS Mincho"/>
          <w:szCs w:val="22"/>
        </w:rPr>
      </w:pPr>
    </w:p>
    <w:p w14:paraId="05B02A71" w14:textId="77777777" w:rsidR="00594CC0" w:rsidRPr="00F61565" w:rsidRDefault="00F61565" w:rsidP="00594CC0">
      <w:pPr>
        <w:numPr>
          <w:ilvl w:val="12"/>
          <w:numId w:val="0"/>
        </w:numPr>
        <w:tabs>
          <w:tab w:val="left" w:pos="1296"/>
        </w:tabs>
        <w:rPr>
          <w:rFonts w:eastAsia="MS Mincho"/>
          <w:b/>
          <w:szCs w:val="22"/>
        </w:rPr>
      </w:pPr>
      <w:r w:rsidRPr="00F61565">
        <w:rPr>
          <w:rFonts w:eastAsia="MS Mincho"/>
          <w:b/>
          <w:szCs w:val="22"/>
        </w:rPr>
        <w:t>Entecavir Sandoz</w:t>
      </w:r>
      <w:r w:rsidR="00594CC0" w:rsidRPr="00F61565">
        <w:rPr>
          <w:rFonts w:eastAsia="MS Mincho"/>
          <w:b/>
          <w:szCs w:val="22"/>
        </w:rPr>
        <w:t xml:space="preserve"> sudėtyje yra laktozės</w:t>
      </w:r>
    </w:p>
    <w:p w14:paraId="5258D77D" w14:textId="77777777" w:rsidR="0061061F" w:rsidRPr="00D166EA" w:rsidRDefault="00594CC0" w:rsidP="00594CC0">
      <w:pPr>
        <w:numPr>
          <w:ilvl w:val="12"/>
          <w:numId w:val="0"/>
        </w:numPr>
        <w:tabs>
          <w:tab w:val="left" w:pos="1296"/>
        </w:tabs>
        <w:rPr>
          <w:szCs w:val="22"/>
        </w:rPr>
      </w:pPr>
      <w:r w:rsidRPr="001A4AD2">
        <w:rPr>
          <w:rFonts w:eastAsia="MS Mincho"/>
          <w:szCs w:val="22"/>
        </w:rPr>
        <w:t>Šio vaisto sudėtyje yra laktozės.</w:t>
      </w:r>
      <w:r w:rsidRPr="00594CC0">
        <w:rPr>
          <w:rFonts w:eastAsia="MS Mincho"/>
          <w:szCs w:val="22"/>
        </w:rPr>
        <w:t xml:space="preserve"> Jeigu gydytojas Jums yra sakęs, kad netoleruojate kokių nors angliavandenių, kreipkitės į jį prieš pradėdami vartoti šį vaistą.</w:t>
      </w:r>
    </w:p>
    <w:p w14:paraId="354FB738" w14:textId="77777777" w:rsidR="0058746D" w:rsidRDefault="0058746D" w:rsidP="003B2651">
      <w:pPr>
        <w:rPr>
          <w:b/>
          <w:szCs w:val="22"/>
        </w:rPr>
      </w:pPr>
    </w:p>
    <w:p w14:paraId="4E34ACE5" w14:textId="77777777" w:rsidR="0061061F" w:rsidRPr="00D166EA" w:rsidRDefault="0061061F" w:rsidP="0061061F">
      <w:pPr>
        <w:numPr>
          <w:ilvl w:val="12"/>
          <w:numId w:val="0"/>
        </w:numPr>
        <w:rPr>
          <w:szCs w:val="22"/>
        </w:rPr>
      </w:pPr>
    </w:p>
    <w:p w14:paraId="55D9A6F4" w14:textId="77777777" w:rsidR="0061061F" w:rsidRPr="00D166EA" w:rsidRDefault="0061061F" w:rsidP="0061061F">
      <w:pPr>
        <w:pStyle w:val="Antrat3"/>
        <w:spacing w:before="0" w:after="0"/>
        <w:rPr>
          <w:rFonts w:ascii="Times New Roman" w:hAnsi="Times New Roman"/>
          <w:sz w:val="22"/>
          <w:szCs w:val="22"/>
        </w:rPr>
      </w:pPr>
      <w:r w:rsidRPr="00D166EA">
        <w:rPr>
          <w:rFonts w:ascii="Times New Roman" w:hAnsi="Times New Roman"/>
          <w:sz w:val="22"/>
          <w:szCs w:val="22"/>
        </w:rPr>
        <w:t>3.</w:t>
      </w:r>
      <w:r w:rsidRPr="00D166EA">
        <w:rPr>
          <w:rFonts w:ascii="Times New Roman" w:hAnsi="Times New Roman"/>
          <w:sz w:val="22"/>
          <w:szCs w:val="22"/>
        </w:rPr>
        <w:tab/>
        <w:t xml:space="preserve">Kaip vartoti </w:t>
      </w:r>
      <w:r w:rsidR="009D4230" w:rsidRPr="00D166EA">
        <w:rPr>
          <w:rFonts w:ascii="Times New Roman" w:hAnsi="Times New Roman"/>
          <w:sz w:val="22"/>
          <w:szCs w:val="22"/>
        </w:rPr>
        <w:t>Entecavir</w:t>
      </w:r>
      <w:r w:rsidRPr="00D166EA">
        <w:rPr>
          <w:rFonts w:ascii="Times New Roman" w:hAnsi="Times New Roman"/>
          <w:sz w:val="22"/>
          <w:szCs w:val="22"/>
        </w:rPr>
        <w:t xml:space="preserve"> Sandoz</w:t>
      </w:r>
    </w:p>
    <w:p w14:paraId="19E6CFB6" w14:textId="77777777" w:rsidR="0061061F" w:rsidRPr="00D166EA" w:rsidRDefault="0061061F" w:rsidP="0061061F">
      <w:pPr>
        <w:numPr>
          <w:ilvl w:val="12"/>
          <w:numId w:val="0"/>
        </w:numPr>
        <w:rPr>
          <w:szCs w:val="22"/>
        </w:rPr>
      </w:pPr>
    </w:p>
    <w:p w14:paraId="46BB3044" w14:textId="77777777" w:rsidR="0058746D" w:rsidRDefault="0058746D" w:rsidP="0058746D">
      <w:pPr>
        <w:pStyle w:val="Default"/>
        <w:rPr>
          <w:sz w:val="22"/>
          <w:szCs w:val="22"/>
        </w:rPr>
      </w:pPr>
      <w:r>
        <w:rPr>
          <w:b/>
          <w:bCs/>
          <w:sz w:val="22"/>
          <w:szCs w:val="22"/>
        </w:rPr>
        <w:t xml:space="preserve">Ne visiems pacientams reikia vartoti vienodą </w:t>
      </w:r>
      <w:r w:rsidRPr="0058746D">
        <w:rPr>
          <w:b/>
          <w:bCs/>
          <w:sz w:val="22"/>
          <w:szCs w:val="22"/>
        </w:rPr>
        <w:t>Entecavir Sandoz</w:t>
      </w:r>
      <w:r>
        <w:rPr>
          <w:b/>
          <w:bCs/>
          <w:sz w:val="22"/>
          <w:szCs w:val="22"/>
        </w:rPr>
        <w:t xml:space="preserve"> dozę. </w:t>
      </w:r>
    </w:p>
    <w:p w14:paraId="16376E8E" w14:textId="77777777" w:rsidR="0058746D" w:rsidRPr="0058746D" w:rsidRDefault="0058746D" w:rsidP="0061061F">
      <w:pPr>
        <w:widowControl w:val="0"/>
        <w:autoSpaceDE w:val="0"/>
        <w:autoSpaceDN w:val="0"/>
        <w:adjustRightInd w:val="0"/>
        <w:rPr>
          <w:rFonts w:eastAsia="MS Mincho"/>
          <w:szCs w:val="22"/>
          <w:lang w:val="sl-SI"/>
        </w:rPr>
      </w:pPr>
    </w:p>
    <w:p w14:paraId="67990CDC" w14:textId="77777777" w:rsidR="0061061F" w:rsidRPr="00D166EA" w:rsidRDefault="0061061F" w:rsidP="0061061F">
      <w:pPr>
        <w:widowControl w:val="0"/>
        <w:autoSpaceDE w:val="0"/>
        <w:autoSpaceDN w:val="0"/>
        <w:adjustRightInd w:val="0"/>
        <w:rPr>
          <w:rFonts w:eastAsia="MS Mincho"/>
          <w:szCs w:val="22"/>
        </w:rPr>
      </w:pPr>
      <w:r w:rsidRPr="00D166EA">
        <w:rPr>
          <w:rFonts w:eastAsia="MS Mincho"/>
          <w:szCs w:val="22"/>
        </w:rPr>
        <w:t xml:space="preserve">Visada vartokite šį vaistą tiksliai kaip nurodė gydytojas. Jeigu abejojate, kreipkitės į </w:t>
      </w:r>
      <w:r w:rsidR="0058746D">
        <w:rPr>
          <w:rFonts w:eastAsia="MS Mincho"/>
          <w:szCs w:val="22"/>
        </w:rPr>
        <w:t xml:space="preserve">savo </w:t>
      </w:r>
      <w:r w:rsidRPr="00D166EA">
        <w:rPr>
          <w:rFonts w:eastAsia="MS Mincho"/>
          <w:szCs w:val="22"/>
        </w:rPr>
        <w:t>gydytoją arba vaistininką.</w:t>
      </w:r>
    </w:p>
    <w:p w14:paraId="758F3480" w14:textId="77777777" w:rsidR="0058746D" w:rsidRDefault="0058746D" w:rsidP="0058746D">
      <w:pPr>
        <w:pStyle w:val="Default"/>
        <w:rPr>
          <w:b/>
          <w:bCs/>
          <w:color w:val="auto"/>
          <w:sz w:val="22"/>
          <w:szCs w:val="22"/>
        </w:rPr>
      </w:pPr>
    </w:p>
    <w:p w14:paraId="11DE17E0" w14:textId="77777777" w:rsidR="0058746D" w:rsidRDefault="0058746D" w:rsidP="0058746D">
      <w:pPr>
        <w:pStyle w:val="Default"/>
        <w:rPr>
          <w:color w:val="auto"/>
          <w:sz w:val="22"/>
          <w:szCs w:val="22"/>
        </w:rPr>
      </w:pPr>
      <w:r>
        <w:rPr>
          <w:b/>
          <w:bCs/>
          <w:color w:val="auto"/>
          <w:sz w:val="22"/>
          <w:szCs w:val="22"/>
        </w:rPr>
        <w:t xml:space="preserve">Suaugusiesiems </w:t>
      </w:r>
      <w:r>
        <w:rPr>
          <w:color w:val="auto"/>
          <w:sz w:val="22"/>
          <w:szCs w:val="22"/>
        </w:rPr>
        <w:t>rekomenduojama dozė yra 0,5 mg arba 1 mg 1</w:t>
      </w:r>
      <w:r w:rsidR="00942930">
        <w:rPr>
          <w:color w:val="auto"/>
          <w:sz w:val="22"/>
          <w:szCs w:val="22"/>
        </w:rPr>
        <w:t> </w:t>
      </w:r>
      <w:r>
        <w:rPr>
          <w:color w:val="auto"/>
          <w:sz w:val="22"/>
          <w:szCs w:val="22"/>
        </w:rPr>
        <w:t>kartą per parą. Ją reikia gerti (suvartoti per burną)</w:t>
      </w:r>
      <w:r w:rsidR="00D01886">
        <w:rPr>
          <w:color w:val="auto"/>
          <w:sz w:val="22"/>
          <w:szCs w:val="22"/>
        </w:rPr>
        <w:t>.</w:t>
      </w:r>
    </w:p>
    <w:p w14:paraId="1046AC24" w14:textId="77777777" w:rsidR="0058746D" w:rsidRDefault="0058746D" w:rsidP="0058746D">
      <w:pPr>
        <w:pStyle w:val="Default"/>
        <w:rPr>
          <w:b/>
          <w:bCs/>
          <w:color w:val="auto"/>
          <w:sz w:val="22"/>
          <w:szCs w:val="22"/>
        </w:rPr>
      </w:pPr>
    </w:p>
    <w:p w14:paraId="0246AAA9" w14:textId="77777777" w:rsidR="0058746D" w:rsidRDefault="0058746D" w:rsidP="0058746D">
      <w:pPr>
        <w:pStyle w:val="Default"/>
        <w:rPr>
          <w:color w:val="auto"/>
          <w:sz w:val="22"/>
          <w:szCs w:val="22"/>
        </w:rPr>
      </w:pPr>
      <w:r>
        <w:rPr>
          <w:b/>
          <w:bCs/>
          <w:color w:val="auto"/>
          <w:sz w:val="22"/>
          <w:szCs w:val="22"/>
        </w:rPr>
        <w:t>Jūs</w:t>
      </w:r>
      <w:r w:rsidR="005A6A86">
        <w:rPr>
          <w:b/>
          <w:bCs/>
          <w:color w:val="auto"/>
          <w:sz w:val="22"/>
          <w:szCs w:val="22"/>
        </w:rPr>
        <w:t>ų</w:t>
      </w:r>
      <w:r>
        <w:rPr>
          <w:b/>
          <w:bCs/>
          <w:color w:val="auto"/>
          <w:sz w:val="22"/>
          <w:szCs w:val="22"/>
        </w:rPr>
        <w:t xml:space="preserve"> dozė priklauso nuo: </w:t>
      </w:r>
    </w:p>
    <w:p w14:paraId="6C0DD71B" w14:textId="77777777" w:rsidR="0058746D" w:rsidRDefault="0058746D" w:rsidP="0058746D">
      <w:pPr>
        <w:pStyle w:val="Default"/>
        <w:numPr>
          <w:ilvl w:val="0"/>
          <w:numId w:val="34"/>
        </w:numPr>
        <w:rPr>
          <w:color w:val="auto"/>
          <w:sz w:val="22"/>
          <w:szCs w:val="22"/>
        </w:rPr>
      </w:pPr>
      <w:r>
        <w:rPr>
          <w:color w:val="auto"/>
          <w:sz w:val="22"/>
          <w:szCs w:val="22"/>
        </w:rPr>
        <w:t xml:space="preserve"> to, ar anksčiau vartojote vaistų nuo HBV infekcijos ir, jei taip, tai kokių; </w:t>
      </w:r>
    </w:p>
    <w:p w14:paraId="6A020C1D" w14:textId="77777777" w:rsidR="0058746D" w:rsidRDefault="0058746D" w:rsidP="0058746D">
      <w:pPr>
        <w:pStyle w:val="Default"/>
        <w:numPr>
          <w:ilvl w:val="0"/>
          <w:numId w:val="34"/>
        </w:numPr>
        <w:rPr>
          <w:color w:val="auto"/>
          <w:sz w:val="22"/>
          <w:szCs w:val="22"/>
        </w:rPr>
      </w:pPr>
      <w:r>
        <w:rPr>
          <w:color w:val="auto"/>
          <w:sz w:val="22"/>
          <w:szCs w:val="22"/>
        </w:rPr>
        <w:t xml:space="preserve"> to, ar Jums yra problemų dėl savo inkstų. Jūsų gydytojas gali skirti mažesnę dozę arba nurodyti gerti šio vaisto rečiau kaip kartą per parą; </w:t>
      </w:r>
    </w:p>
    <w:p w14:paraId="6B979544" w14:textId="77777777" w:rsidR="0058746D" w:rsidRDefault="0058746D" w:rsidP="0058746D">
      <w:pPr>
        <w:pStyle w:val="Default"/>
        <w:numPr>
          <w:ilvl w:val="0"/>
          <w:numId w:val="34"/>
        </w:numPr>
        <w:rPr>
          <w:color w:val="auto"/>
          <w:sz w:val="22"/>
          <w:szCs w:val="22"/>
        </w:rPr>
      </w:pPr>
      <w:r>
        <w:rPr>
          <w:color w:val="auto"/>
          <w:sz w:val="22"/>
          <w:szCs w:val="22"/>
        </w:rPr>
        <w:t xml:space="preserve">Jūsų kepenų būklės. </w:t>
      </w:r>
    </w:p>
    <w:p w14:paraId="31463EA6" w14:textId="77777777" w:rsidR="0058746D" w:rsidRDefault="0058746D" w:rsidP="0058746D">
      <w:pPr>
        <w:pStyle w:val="Default"/>
        <w:rPr>
          <w:color w:val="auto"/>
          <w:sz w:val="22"/>
          <w:szCs w:val="22"/>
        </w:rPr>
      </w:pPr>
    </w:p>
    <w:p w14:paraId="6EDE4456" w14:textId="77777777" w:rsidR="0058746D" w:rsidRPr="00594CC0" w:rsidRDefault="0058746D" w:rsidP="0058746D">
      <w:pPr>
        <w:numPr>
          <w:ilvl w:val="12"/>
          <w:numId w:val="0"/>
        </w:numPr>
        <w:tabs>
          <w:tab w:val="left" w:pos="1296"/>
        </w:tabs>
        <w:rPr>
          <w:rFonts w:eastAsia="MS Mincho"/>
          <w:color w:val="00B050"/>
          <w:szCs w:val="22"/>
        </w:rPr>
      </w:pPr>
      <w:r w:rsidRPr="00594CC0">
        <w:rPr>
          <w:rFonts w:eastAsia="MS Mincho"/>
          <w:color w:val="00B050"/>
          <w:szCs w:val="22"/>
        </w:rPr>
        <w:t>[0,5</w:t>
      </w:r>
      <w:r w:rsidR="00942930">
        <w:rPr>
          <w:rFonts w:eastAsia="MS Mincho"/>
          <w:color w:val="00B050"/>
          <w:szCs w:val="22"/>
        </w:rPr>
        <w:t> </w:t>
      </w:r>
      <w:r w:rsidRPr="00594CC0">
        <w:rPr>
          <w:rFonts w:eastAsia="MS Mincho"/>
          <w:color w:val="00B050"/>
          <w:szCs w:val="22"/>
        </w:rPr>
        <w:t>mg plėvele dengtos tabletės]</w:t>
      </w:r>
    </w:p>
    <w:p w14:paraId="5FF095DF" w14:textId="77777777" w:rsidR="00DB67EB" w:rsidRDefault="0058746D" w:rsidP="0058746D">
      <w:pPr>
        <w:numPr>
          <w:ilvl w:val="12"/>
          <w:numId w:val="0"/>
        </w:numPr>
        <w:tabs>
          <w:tab w:val="left" w:pos="1296"/>
        </w:tabs>
        <w:rPr>
          <w:rFonts w:eastAsia="MS Mincho"/>
          <w:szCs w:val="22"/>
          <w:highlight w:val="lightGray"/>
        </w:rPr>
      </w:pPr>
      <w:r w:rsidRPr="00AA571D">
        <w:rPr>
          <w:rFonts w:eastAsia="MS Mincho"/>
          <w:b/>
          <w:szCs w:val="22"/>
          <w:highlight w:val="lightGray"/>
        </w:rPr>
        <w:t>Vaikams ir paaugliams</w:t>
      </w:r>
      <w:r w:rsidRPr="00F61565">
        <w:rPr>
          <w:rFonts w:eastAsia="MS Mincho"/>
          <w:szCs w:val="22"/>
          <w:highlight w:val="lightGray"/>
        </w:rPr>
        <w:t xml:space="preserve"> </w:t>
      </w:r>
      <w:r w:rsidR="006942F6">
        <w:rPr>
          <w:rFonts w:eastAsia="MS Mincho"/>
          <w:szCs w:val="22"/>
          <w:highlight w:val="lightGray"/>
        </w:rPr>
        <w:t>(</w:t>
      </w:r>
      <w:r w:rsidRPr="00F61565">
        <w:rPr>
          <w:rFonts w:eastAsia="MS Mincho"/>
          <w:szCs w:val="22"/>
          <w:highlight w:val="lightGray"/>
        </w:rPr>
        <w:t>nuo 2 iki mažiau negu 18</w:t>
      </w:r>
      <w:r w:rsidR="00942930">
        <w:rPr>
          <w:rFonts w:eastAsia="MS Mincho"/>
          <w:szCs w:val="22"/>
          <w:highlight w:val="lightGray"/>
        </w:rPr>
        <w:t> </w:t>
      </w:r>
      <w:r w:rsidRPr="00F61565">
        <w:rPr>
          <w:rFonts w:eastAsia="MS Mincho"/>
          <w:szCs w:val="22"/>
          <w:highlight w:val="lightGray"/>
        </w:rPr>
        <w:t>metų amžiaus</w:t>
      </w:r>
      <w:r w:rsidR="006942F6">
        <w:rPr>
          <w:rFonts w:eastAsia="MS Mincho"/>
          <w:szCs w:val="22"/>
          <w:highlight w:val="lightGray"/>
        </w:rPr>
        <w:t>),</w:t>
      </w:r>
      <w:r>
        <w:rPr>
          <w:rFonts w:eastAsia="MS Mincho"/>
          <w:szCs w:val="22"/>
          <w:highlight w:val="lightGray"/>
        </w:rPr>
        <w:t xml:space="preserve"> Jūsų vaiko gydytojas nuspręs, kokia </w:t>
      </w:r>
      <w:r w:rsidR="00DB67EB">
        <w:rPr>
          <w:rFonts w:eastAsia="MS Mincho"/>
          <w:szCs w:val="22"/>
          <w:highlight w:val="lightGray"/>
        </w:rPr>
        <w:t xml:space="preserve">tiksli </w:t>
      </w:r>
      <w:r>
        <w:rPr>
          <w:rFonts w:eastAsia="MS Mincho"/>
          <w:szCs w:val="22"/>
          <w:highlight w:val="lightGray"/>
        </w:rPr>
        <w:t>dozė</w:t>
      </w:r>
      <w:r w:rsidR="00DB67EB">
        <w:rPr>
          <w:rFonts w:eastAsia="MS Mincho"/>
          <w:szCs w:val="22"/>
          <w:highlight w:val="lightGray"/>
        </w:rPr>
        <w:t>,</w:t>
      </w:r>
      <w:r>
        <w:rPr>
          <w:rFonts w:eastAsia="MS Mincho"/>
          <w:szCs w:val="22"/>
          <w:highlight w:val="lightGray"/>
        </w:rPr>
        <w:t xml:space="preserve"> </w:t>
      </w:r>
      <w:r w:rsidR="00DB67EB">
        <w:rPr>
          <w:rFonts w:eastAsia="MS Mincho"/>
          <w:szCs w:val="22"/>
          <w:highlight w:val="lightGray"/>
        </w:rPr>
        <w:t>remiantis Jūsų vaiko svoriu</w:t>
      </w:r>
      <w:r w:rsidR="007B7A22">
        <w:rPr>
          <w:rFonts w:eastAsia="MS Mincho"/>
          <w:szCs w:val="22"/>
          <w:highlight w:val="lightGray"/>
        </w:rPr>
        <w:t>. Ne mažiau kaip 32,6</w:t>
      </w:r>
      <w:r w:rsidR="00942930">
        <w:rPr>
          <w:rFonts w:eastAsia="MS Mincho"/>
          <w:szCs w:val="22"/>
          <w:highlight w:val="lightGray"/>
        </w:rPr>
        <w:t> </w:t>
      </w:r>
      <w:r w:rsidR="007B7A22">
        <w:rPr>
          <w:rFonts w:eastAsia="MS Mincho"/>
          <w:szCs w:val="22"/>
          <w:highlight w:val="lightGray"/>
        </w:rPr>
        <w:t>kg sveriantys vaikai gali vartoti 0,5 mg tabletę ar ent</w:t>
      </w:r>
      <w:r w:rsidR="001570EE">
        <w:rPr>
          <w:rFonts w:eastAsia="MS Mincho"/>
          <w:szCs w:val="22"/>
          <w:highlight w:val="lightGray"/>
        </w:rPr>
        <w:t>e</w:t>
      </w:r>
      <w:r w:rsidR="007B7A22">
        <w:rPr>
          <w:rFonts w:eastAsia="MS Mincho"/>
          <w:szCs w:val="22"/>
          <w:highlight w:val="lightGray"/>
        </w:rPr>
        <w:t xml:space="preserve">kaviro geriamojo tirpalo, jeigu </w:t>
      </w:r>
      <w:r w:rsidR="00DB67EB">
        <w:rPr>
          <w:rFonts w:eastAsia="MS Mincho"/>
          <w:szCs w:val="22"/>
          <w:highlight w:val="lightGray"/>
        </w:rPr>
        <w:t>jis yra tiekiamas</w:t>
      </w:r>
      <w:r w:rsidR="007B7A22">
        <w:rPr>
          <w:rFonts w:eastAsia="MS Mincho"/>
          <w:szCs w:val="22"/>
          <w:highlight w:val="lightGray"/>
        </w:rPr>
        <w:t>. Pacientams, kurių svoris nuo 10 kg iki 32,5 kg</w:t>
      </w:r>
      <w:r w:rsidR="005A6A86">
        <w:rPr>
          <w:rFonts w:eastAsia="MS Mincho"/>
          <w:szCs w:val="22"/>
          <w:highlight w:val="lightGray"/>
        </w:rPr>
        <w:t>,</w:t>
      </w:r>
      <w:r w:rsidR="007B7A22">
        <w:rPr>
          <w:rFonts w:eastAsia="MS Mincho"/>
          <w:szCs w:val="22"/>
          <w:highlight w:val="lightGray"/>
        </w:rPr>
        <w:t xml:space="preserve"> rekomenduojamas ent</w:t>
      </w:r>
      <w:r w:rsidR="001570EE">
        <w:rPr>
          <w:rFonts w:eastAsia="MS Mincho"/>
          <w:szCs w:val="22"/>
          <w:highlight w:val="lightGray"/>
        </w:rPr>
        <w:t>e</w:t>
      </w:r>
      <w:r w:rsidR="007B7A22">
        <w:rPr>
          <w:rFonts w:eastAsia="MS Mincho"/>
          <w:szCs w:val="22"/>
          <w:highlight w:val="lightGray"/>
        </w:rPr>
        <w:t>kaviro geriamasis tirpalas</w:t>
      </w:r>
      <w:r w:rsidRPr="00F61565">
        <w:rPr>
          <w:rFonts w:eastAsia="MS Mincho"/>
          <w:szCs w:val="22"/>
          <w:highlight w:val="lightGray"/>
        </w:rPr>
        <w:t>.</w:t>
      </w:r>
      <w:r w:rsidR="007B7A22">
        <w:rPr>
          <w:rFonts w:eastAsia="MS Mincho"/>
          <w:szCs w:val="22"/>
          <w:highlight w:val="lightGray"/>
        </w:rPr>
        <w:t xml:space="preserve"> Visos dozės geriamos (vartojamos per burną) kartą per parą. Jaunesniems negu 2</w:t>
      </w:r>
      <w:r w:rsidR="00942930">
        <w:rPr>
          <w:rFonts w:eastAsia="MS Mincho"/>
          <w:szCs w:val="22"/>
          <w:highlight w:val="lightGray"/>
        </w:rPr>
        <w:t> </w:t>
      </w:r>
      <w:r w:rsidR="007B7A22">
        <w:rPr>
          <w:rFonts w:eastAsia="MS Mincho"/>
          <w:szCs w:val="22"/>
          <w:highlight w:val="lightGray"/>
        </w:rPr>
        <w:t>metų amžiaus arba sveriantiems mažiau negu 10</w:t>
      </w:r>
      <w:r w:rsidR="00942930">
        <w:rPr>
          <w:rFonts w:eastAsia="MS Mincho"/>
          <w:szCs w:val="22"/>
          <w:highlight w:val="lightGray"/>
        </w:rPr>
        <w:t> </w:t>
      </w:r>
      <w:r w:rsidR="007B7A22">
        <w:rPr>
          <w:rFonts w:eastAsia="MS Mincho"/>
          <w:szCs w:val="22"/>
          <w:highlight w:val="lightGray"/>
        </w:rPr>
        <w:t>kg ent</w:t>
      </w:r>
      <w:r w:rsidR="001570EE">
        <w:rPr>
          <w:rFonts w:eastAsia="MS Mincho"/>
          <w:szCs w:val="22"/>
          <w:highlight w:val="lightGray"/>
        </w:rPr>
        <w:t>e</w:t>
      </w:r>
      <w:r w:rsidR="007B7A22">
        <w:rPr>
          <w:rFonts w:eastAsia="MS Mincho"/>
          <w:szCs w:val="22"/>
          <w:highlight w:val="lightGray"/>
        </w:rPr>
        <w:t xml:space="preserve">kaviro dozavimo rekomendacijų nėra. </w:t>
      </w:r>
      <w:r w:rsidR="00DB67EB">
        <w:rPr>
          <w:rFonts w:eastAsia="MS Mincho"/>
          <w:szCs w:val="22"/>
          <w:highlight w:val="lightGray"/>
        </w:rPr>
        <w:t>Jūsų vaiko gydytojas</w:t>
      </w:r>
      <w:r w:rsidR="005A6A86">
        <w:rPr>
          <w:rFonts w:eastAsia="MS Mincho"/>
          <w:szCs w:val="22"/>
          <w:highlight w:val="lightGray"/>
        </w:rPr>
        <w:t>,</w:t>
      </w:r>
      <w:r w:rsidR="00DB67EB">
        <w:rPr>
          <w:rFonts w:eastAsia="MS Mincho"/>
          <w:szCs w:val="22"/>
          <w:highlight w:val="lightGray"/>
        </w:rPr>
        <w:t xml:space="preserve"> remiantis Jūsų vaiko svoriu</w:t>
      </w:r>
      <w:r w:rsidR="005A6A86">
        <w:rPr>
          <w:rFonts w:eastAsia="MS Mincho"/>
          <w:szCs w:val="22"/>
          <w:highlight w:val="lightGray"/>
        </w:rPr>
        <w:t>,</w:t>
      </w:r>
      <w:r w:rsidR="00DB67EB">
        <w:rPr>
          <w:rFonts w:eastAsia="MS Mincho"/>
          <w:szCs w:val="22"/>
          <w:highlight w:val="lightGray"/>
        </w:rPr>
        <w:t xml:space="preserve"> nuspręs, kokia tiksli dozė Jūsų vaikui.</w:t>
      </w:r>
    </w:p>
    <w:p w14:paraId="2BB264F4" w14:textId="77777777" w:rsidR="00DB67EB" w:rsidRDefault="00DB67EB" w:rsidP="0058746D">
      <w:pPr>
        <w:numPr>
          <w:ilvl w:val="12"/>
          <w:numId w:val="0"/>
        </w:numPr>
        <w:tabs>
          <w:tab w:val="left" w:pos="1296"/>
        </w:tabs>
        <w:rPr>
          <w:rFonts w:eastAsia="MS Mincho"/>
          <w:szCs w:val="22"/>
          <w:highlight w:val="lightGray"/>
        </w:rPr>
      </w:pPr>
    </w:p>
    <w:p w14:paraId="75D7AF6B" w14:textId="77777777" w:rsidR="00DB67EB" w:rsidRPr="00594CC0" w:rsidRDefault="00DB67EB" w:rsidP="00DB67EB">
      <w:pPr>
        <w:numPr>
          <w:ilvl w:val="12"/>
          <w:numId w:val="0"/>
        </w:numPr>
        <w:tabs>
          <w:tab w:val="left" w:pos="1296"/>
        </w:tabs>
        <w:rPr>
          <w:rFonts w:eastAsia="MS Mincho"/>
          <w:color w:val="00B050"/>
          <w:szCs w:val="22"/>
        </w:rPr>
      </w:pPr>
      <w:r w:rsidRPr="00594CC0">
        <w:rPr>
          <w:rFonts w:eastAsia="MS Mincho"/>
          <w:color w:val="00B050"/>
          <w:szCs w:val="22"/>
        </w:rPr>
        <w:t>[</w:t>
      </w:r>
      <w:r>
        <w:rPr>
          <w:rFonts w:eastAsia="MS Mincho"/>
          <w:color w:val="00B050"/>
          <w:szCs w:val="22"/>
        </w:rPr>
        <w:t>1 </w:t>
      </w:r>
      <w:r w:rsidRPr="00594CC0">
        <w:rPr>
          <w:rFonts w:eastAsia="MS Mincho"/>
          <w:color w:val="00B050"/>
          <w:szCs w:val="22"/>
        </w:rPr>
        <w:t>mg plėvele dengtos tabletės]</w:t>
      </w:r>
      <w:r>
        <w:rPr>
          <w:rFonts w:eastAsia="MS Mincho"/>
          <w:color w:val="00B050"/>
          <w:szCs w:val="22"/>
        </w:rPr>
        <w:t xml:space="preserve"> be funkcinės laužimo vagelės</w:t>
      </w:r>
      <w:r w:rsidR="00591D31" w:rsidRPr="00594CC0">
        <w:rPr>
          <w:rFonts w:eastAsia="MS Mincho"/>
          <w:color w:val="00B050"/>
          <w:szCs w:val="22"/>
        </w:rPr>
        <w:t>]</w:t>
      </w:r>
    </w:p>
    <w:p w14:paraId="6E718059" w14:textId="77777777" w:rsidR="00DB67EB" w:rsidRDefault="00DB67EB" w:rsidP="0058746D">
      <w:pPr>
        <w:numPr>
          <w:ilvl w:val="12"/>
          <w:numId w:val="0"/>
        </w:numPr>
        <w:tabs>
          <w:tab w:val="left" w:pos="1296"/>
        </w:tabs>
        <w:rPr>
          <w:rFonts w:eastAsia="MS Mincho"/>
          <w:szCs w:val="22"/>
          <w:highlight w:val="lightGray"/>
        </w:rPr>
      </w:pPr>
      <w:r w:rsidRPr="00DB67EB">
        <w:rPr>
          <w:rFonts w:eastAsia="MS Mincho"/>
          <w:b/>
          <w:szCs w:val="22"/>
        </w:rPr>
        <w:t>Vaikams ir paaugliams</w:t>
      </w:r>
      <w:r w:rsidRPr="00DB67EB">
        <w:rPr>
          <w:rFonts w:eastAsia="MS Mincho"/>
          <w:szCs w:val="22"/>
        </w:rPr>
        <w:t xml:space="preserve"> </w:t>
      </w:r>
      <w:r>
        <w:rPr>
          <w:rFonts w:eastAsia="MS Mincho"/>
          <w:szCs w:val="22"/>
        </w:rPr>
        <w:t>(</w:t>
      </w:r>
      <w:r w:rsidRPr="00DB67EB">
        <w:rPr>
          <w:rFonts w:eastAsia="MS Mincho"/>
          <w:szCs w:val="22"/>
        </w:rPr>
        <w:t>nuo 2 iki mažiau negu 18</w:t>
      </w:r>
      <w:r w:rsidR="00942930">
        <w:rPr>
          <w:rFonts w:eastAsia="MS Mincho"/>
          <w:szCs w:val="22"/>
        </w:rPr>
        <w:t> </w:t>
      </w:r>
      <w:r w:rsidRPr="00DB67EB">
        <w:rPr>
          <w:rFonts w:eastAsia="MS Mincho"/>
          <w:szCs w:val="22"/>
        </w:rPr>
        <w:t>metų amžiaus</w:t>
      </w:r>
      <w:r>
        <w:rPr>
          <w:rFonts w:eastAsia="MS Mincho"/>
          <w:szCs w:val="22"/>
        </w:rPr>
        <w:t xml:space="preserve">) yra tiekiamos </w:t>
      </w:r>
      <w:r w:rsidRPr="00D166EA">
        <w:rPr>
          <w:szCs w:val="22"/>
        </w:rPr>
        <w:t>Entecavir Sandoz</w:t>
      </w:r>
      <w:r>
        <w:rPr>
          <w:szCs w:val="22"/>
        </w:rPr>
        <w:t xml:space="preserve"> 0,5</w:t>
      </w:r>
      <w:r w:rsidR="00942930">
        <w:rPr>
          <w:szCs w:val="22"/>
        </w:rPr>
        <w:t> </w:t>
      </w:r>
      <w:r>
        <w:rPr>
          <w:szCs w:val="22"/>
        </w:rPr>
        <w:t xml:space="preserve">mg </w:t>
      </w:r>
      <w:r w:rsidR="001570EE">
        <w:rPr>
          <w:szCs w:val="22"/>
        </w:rPr>
        <w:t>t</w:t>
      </w:r>
      <w:r>
        <w:rPr>
          <w:szCs w:val="22"/>
        </w:rPr>
        <w:t>abletės arba gali būti tiekiamas entekaviro geriamasis tirpalas</w:t>
      </w:r>
      <w:r w:rsidR="00D01886">
        <w:rPr>
          <w:szCs w:val="22"/>
        </w:rPr>
        <w:t>.</w:t>
      </w:r>
    </w:p>
    <w:p w14:paraId="1355C681" w14:textId="77777777" w:rsidR="0058746D" w:rsidRDefault="00DB67EB" w:rsidP="0058746D">
      <w:pPr>
        <w:numPr>
          <w:ilvl w:val="12"/>
          <w:numId w:val="0"/>
        </w:numPr>
        <w:tabs>
          <w:tab w:val="left" w:pos="1296"/>
        </w:tabs>
        <w:rPr>
          <w:rFonts w:eastAsia="MS Mincho"/>
          <w:szCs w:val="22"/>
        </w:rPr>
      </w:pPr>
      <w:r w:rsidRPr="00DB67EB">
        <w:rPr>
          <w:rFonts w:eastAsia="MS Mincho"/>
          <w:szCs w:val="22"/>
        </w:rPr>
        <w:t>Jūsų vaiko gydytojas nuspręs, kokia tiksli dozė</w:t>
      </w:r>
      <w:r>
        <w:rPr>
          <w:rFonts w:eastAsia="MS Mincho"/>
          <w:szCs w:val="22"/>
        </w:rPr>
        <w:t>,</w:t>
      </w:r>
      <w:r w:rsidRPr="00DB67EB">
        <w:rPr>
          <w:rFonts w:eastAsia="MS Mincho"/>
          <w:szCs w:val="22"/>
        </w:rPr>
        <w:t xml:space="preserve"> remiantis Jūsų vaiko svoriu.</w:t>
      </w:r>
    </w:p>
    <w:p w14:paraId="5CACF331" w14:textId="77777777" w:rsidR="00DB67EB" w:rsidRDefault="00DB67EB" w:rsidP="0058746D">
      <w:pPr>
        <w:pStyle w:val="Default"/>
        <w:rPr>
          <w:b/>
          <w:bCs/>
          <w:color w:val="auto"/>
          <w:sz w:val="22"/>
          <w:szCs w:val="22"/>
        </w:rPr>
      </w:pPr>
    </w:p>
    <w:p w14:paraId="71FA7EB5" w14:textId="77777777" w:rsidR="0058746D" w:rsidRDefault="008A5B62" w:rsidP="0058746D">
      <w:pPr>
        <w:pStyle w:val="Default"/>
        <w:rPr>
          <w:color w:val="auto"/>
          <w:sz w:val="22"/>
          <w:szCs w:val="22"/>
        </w:rPr>
      </w:pPr>
      <w:r>
        <w:rPr>
          <w:color w:val="auto"/>
          <w:sz w:val="22"/>
          <w:szCs w:val="22"/>
        </w:rPr>
        <w:t>Jūsų gydy</w:t>
      </w:r>
      <w:r w:rsidR="006942F6">
        <w:rPr>
          <w:color w:val="auto"/>
          <w:sz w:val="22"/>
          <w:szCs w:val="22"/>
        </w:rPr>
        <w:t>t</w:t>
      </w:r>
      <w:r>
        <w:rPr>
          <w:color w:val="auto"/>
          <w:sz w:val="22"/>
          <w:szCs w:val="22"/>
        </w:rPr>
        <w:t>ojas informuos, kokia tiksli Jūsų dozė</w:t>
      </w:r>
      <w:r w:rsidR="0058746D">
        <w:rPr>
          <w:color w:val="auto"/>
          <w:sz w:val="22"/>
          <w:szCs w:val="22"/>
        </w:rPr>
        <w:t xml:space="preserve">. Visada vartokite </w:t>
      </w:r>
      <w:r>
        <w:rPr>
          <w:color w:val="auto"/>
          <w:sz w:val="22"/>
          <w:szCs w:val="22"/>
        </w:rPr>
        <w:t>savo gydytoj</w:t>
      </w:r>
      <w:r w:rsidR="005A6A86">
        <w:rPr>
          <w:color w:val="auto"/>
          <w:sz w:val="22"/>
          <w:szCs w:val="22"/>
        </w:rPr>
        <w:t>o</w:t>
      </w:r>
      <w:r w:rsidR="0058746D">
        <w:rPr>
          <w:color w:val="auto"/>
          <w:sz w:val="22"/>
          <w:szCs w:val="22"/>
        </w:rPr>
        <w:t xml:space="preserve"> rekomenduotą dozę, kad vaisto poveikis būtų geriausias ir sumažėtų virusų atsparumo </w:t>
      </w:r>
      <w:r>
        <w:rPr>
          <w:color w:val="auto"/>
          <w:sz w:val="22"/>
          <w:szCs w:val="22"/>
        </w:rPr>
        <w:t>gydymui</w:t>
      </w:r>
      <w:r w:rsidR="0058746D">
        <w:rPr>
          <w:color w:val="auto"/>
          <w:sz w:val="22"/>
          <w:szCs w:val="22"/>
        </w:rPr>
        <w:t xml:space="preserve"> pasireiškimo </w:t>
      </w:r>
      <w:r>
        <w:rPr>
          <w:color w:val="auto"/>
          <w:sz w:val="22"/>
          <w:szCs w:val="22"/>
        </w:rPr>
        <w:t>rizika</w:t>
      </w:r>
      <w:r w:rsidR="0058746D">
        <w:rPr>
          <w:color w:val="auto"/>
          <w:sz w:val="22"/>
          <w:szCs w:val="22"/>
        </w:rPr>
        <w:t xml:space="preserve">. </w:t>
      </w:r>
      <w:r w:rsidRPr="008A5B62">
        <w:rPr>
          <w:color w:val="auto"/>
          <w:sz w:val="22"/>
          <w:szCs w:val="22"/>
        </w:rPr>
        <w:t>Entecavir Sandoz</w:t>
      </w:r>
      <w:r w:rsidR="0058746D">
        <w:rPr>
          <w:color w:val="auto"/>
          <w:sz w:val="22"/>
          <w:szCs w:val="22"/>
        </w:rPr>
        <w:t xml:space="preserve"> vartokite tiek laiko, kiek nurodė </w:t>
      </w:r>
      <w:r>
        <w:rPr>
          <w:color w:val="auto"/>
          <w:sz w:val="22"/>
          <w:szCs w:val="22"/>
        </w:rPr>
        <w:t xml:space="preserve">Jūsų </w:t>
      </w:r>
      <w:r w:rsidR="0058746D">
        <w:rPr>
          <w:color w:val="auto"/>
          <w:sz w:val="22"/>
          <w:szCs w:val="22"/>
        </w:rPr>
        <w:t>gydytojas. J</w:t>
      </w:r>
      <w:r>
        <w:rPr>
          <w:color w:val="auto"/>
          <w:sz w:val="22"/>
          <w:szCs w:val="22"/>
        </w:rPr>
        <w:t>ūsų gydytojas</w:t>
      </w:r>
      <w:r w:rsidR="005A6A86">
        <w:rPr>
          <w:color w:val="auto"/>
          <w:sz w:val="22"/>
          <w:szCs w:val="22"/>
        </w:rPr>
        <w:t xml:space="preserve"> J</w:t>
      </w:r>
      <w:r>
        <w:rPr>
          <w:color w:val="auto"/>
          <w:sz w:val="22"/>
          <w:szCs w:val="22"/>
        </w:rPr>
        <w:t>ums paskys, jeigu ir kada Jūs turite nutraukti gydymą</w:t>
      </w:r>
      <w:r w:rsidR="0058746D">
        <w:rPr>
          <w:color w:val="auto"/>
          <w:sz w:val="22"/>
          <w:szCs w:val="22"/>
        </w:rPr>
        <w:t xml:space="preserve">. </w:t>
      </w:r>
    </w:p>
    <w:p w14:paraId="31DBD2C7" w14:textId="77777777" w:rsidR="008A5B62" w:rsidRDefault="008A5B62" w:rsidP="0058746D">
      <w:pPr>
        <w:pStyle w:val="Default"/>
        <w:rPr>
          <w:color w:val="auto"/>
          <w:sz w:val="22"/>
          <w:szCs w:val="22"/>
        </w:rPr>
      </w:pPr>
    </w:p>
    <w:p w14:paraId="5931DADB" w14:textId="77777777" w:rsidR="0058746D" w:rsidRDefault="0058746D" w:rsidP="0058746D">
      <w:pPr>
        <w:pStyle w:val="Default"/>
        <w:rPr>
          <w:color w:val="auto"/>
          <w:sz w:val="22"/>
          <w:szCs w:val="22"/>
        </w:rPr>
      </w:pPr>
      <w:r>
        <w:rPr>
          <w:color w:val="auto"/>
          <w:sz w:val="22"/>
          <w:szCs w:val="22"/>
        </w:rPr>
        <w:t xml:space="preserve">Kai kuriems pacientams reikia vartoti </w:t>
      </w:r>
      <w:r w:rsidR="008A5B62" w:rsidRPr="008A5B62">
        <w:rPr>
          <w:color w:val="auto"/>
          <w:sz w:val="22"/>
          <w:szCs w:val="22"/>
        </w:rPr>
        <w:t>Entecavir Sandoz</w:t>
      </w:r>
      <w:r>
        <w:rPr>
          <w:color w:val="auto"/>
          <w:sz w:val="22"/>
          <w:szCs w:val="22"/>
        </w:rPr>
        <w:t xml:space="preserve"> tada, kai skrandis tuščias (žr. </w:t>
      </w:r>
      <w:r>
        <w:rPr>
          <w:b/>
          <w:bCs/>
          <w:color w:val="auto"/>
          <w:sz w:val="22"/>
          <w:szCs w:val="22"/>
        </w:rPr>
        <w:t>2 skyri</w:t>
      </w:r>
      <w:r w:rsidR="008A5B62">
        <w:rPr>
          <w:b/>
          <w:bCs/>
          <w:color w:val="auto"/>
          <w:sz w:val="22"/>
          <w:szCs w:val="22"/>
        </w:rPr>
        <w:t>aus poskyrį</w:t>
      </w:r>
      <w:r>
        <w:rPr>
          <w:b/>
          <w:bCs/>
          <w:color w:val="auto"/>
          <w:sz w:val="22"/>
          <w:szCs w:val="22"/>
        </w:rPr>
        <w:t xml:space="preserve"> „</w:t>
      </w:r>
      <w:r w:rsidR="008A5B62" w:rsidRPr="008A5B62">
        <w:rPr>
          <w:b/>
          <w:sz w:val="22"/>
          <w:szCs w:val="22"/>
        </w:rPr>
        <w:t>Entecavir Sandoz</w:t>
      </w:r>
      <w:r>
        <w:rPr>
          <w:b/>
          <w:bCs/>
          <w:color w:val="auto"/>
          <w:sz w:val="22"/>
          <w:szCs w:val="22"/>
        </w:rPr>
        <w:t xml:space="preserve"> vartojimas su maistu ir gėrimais“</w:t>
      </w:r>
      <w:r>
        <w:rPr>
          <w:color w:val="auto"/>
          <w:sz w:val="22"/>
          <w:szCs w:val="22"/>
        </w:rPr>
        <w:t xml:space="preserve">). Jeigu gydytojas Jums nurodė vartoti </w:t>
      </w:r>
      <w:r w:rsidR="008A5B62" w:rsidRPr="008A5B62">
        <w:rPr>
          <w:color w:val="auto"/>
          <w:sz w:val="22"/>
          <w:szCs w:val="22"/>
        </w:rPr>
        <w:t>Entecavir Sandoz</w:t>
      </w:r>
      <w:r>
        <w:rPr>
          <w:color w:val="auto"/>
          <w:sz w:val="22"/>
          <w:szCs w:val="22"/>
        </w:rPr>
        <w:t xml:space="preserve">, kai skrandis tuščias, tai reiškia, kad šį vaistą reikia gerti praėjus </w:t>
      </w:r>
      <w:r w:rsidR="008A5B62">
        <w:rPr>
          <w:color w:val="auto"/>
          <w:sz w:val="22"/>
          <w:szCs w:val="22"/>
        </w:rPr>
        <w:t>ne mažiau kaip</w:t>
      </w:r>
      <w:r>
        <w:rPr>
          <w:color w:val="auto"/>
          <w:sz w:val="22"/>
          <w:szCs w:val="22"/>
        </w:rPr>
        <w:t xml:space="preserve"> 2</w:t>
      </w:r>
      <w:r w:rsidR="00942930">
        <w:rPr>
          <w:color w:val="auto"/>
          <w:sz w:val="22"/>
          <w:szCs w:val="22"/>
        </w:rPr>
        <w:t> </w:t>
      </w:r>
      <w:r>
        <w:rPr>
          <w:color w:val="auto"/>
          <w:sz w:val="22"/>
          <w:szCs w:val="22"/>
        </w:rPr>
        <w:t>val. po paskutinio valgio ir likus bent 2</w:t>
      </w:r>
      <w:r w:rsidR="00942930">
        <w:rPr>
          <w:color w:val="auto"/>
          <w:sz w:val="22"/>
          <w:szCs w:val="22"/>
        </w:rPr>
        <w:t> </w:t>
      </w:r>
      <w:r>
        <w:rPr>
          <w:color w:val="auto"/>
          <w:sz w:val="22"/>
          <w:szCs w:val="22"/>
        </w:rPr>
        <w:t xml:space="preserve">val. iki kito valgio. </w:t>
      </w:r>
    </w:p>
    <w:p w14:paraId="68A5F719" w14:textId="77777777" w:rsidR="008A5B62" w:rsidRDefault="008A5B62" w:rsidP="0058746D">
      <w:pPr>
        <w:pStyle w:val="Default"/>
        <w:rPr>
          <w:b/>
          <w:bCs/>
          <w:color w:val="auto"/>
          <w:sz w:val="22"/>
          <w:szCs w:val="22"/>
        </w:rPr>
      </w:pPr>
    </w:p>
    <w:p w14:paraId="4205575E" w14:textId="77777777" w:rsidR="0058746D" w:rsidRDefault="0058746D" w:rsidP="0058746D">
      <w:pPr>
        <w:pStyle w:val="Default"/>
        <w:rPr>
          <w:color w:val="auto"/>
          <w:sz w:val="22"/>
          <w:szCs w:val="22"/>
        </w:rPr>
      </w:pPr>
      <w:r>
        <w:rPr>
          <w:b/>
          <w:bCs/>
          <w:color w:val="auto"/>
          <w:sz w:val="22"/>
          <w:szCs w:val="22"/>
        </w:rPr>
        <w:t xml:space="preserve">Ką daryti pavartojus per didelę </w:t>
      </w:r>
      <w:r w:rsidR="008A5B62" w:rsidRPr="008A5B62">
        <w:rPr>
          <w:b/>
          <w:bCs/>
          <w:color w:val="auto"/>
          <w:sz w:val="22"/>
          <w:szCs w:val="22"/>
        </w:rPr>
        <w:t>Entecavir Sandoz</w:t>
      </w:r>
      <w:r>
        <w:rPr>
          <w:b/>
          <w:bCs/>
          <w:color w:val="auto"/>
          <w:sz w:val="22"/>
          <w:szCs w:val="22"/>
        </w:rPr>
        <w:t xml:space="preserve"> dozę? </w:t>
      </w:r>
    </w:p>
    <w:p w14:paraId="61F59075" w14:textId="77777777" w:rsidR="0058746D" w:rsidRDefault="0058746D" w:rsidP="0058746D">
      <w:pPr>
        <w:pStyle w:val="Default"/>
        <w:rPr>
          <w:color w:val="auto"/>
          <w:sz w:val="22"/>
          <w:szCs w:val="22"/>
        </w:rPr>
      </w:pPr>
      <w:r>
        <w:rPr>
          <w:color w:val="auto"/>
          <w:sz w:val="22"/>
          <w:szCs w:val="22"/>
        </w:rPr>
        <w:t xml:space="preserve">Reikia </w:t>
      </w:r>
      <w:r w:rsidR="008A5B62">
        <w:rPr>
          <w:color w:val="auto"/>
          <w:sz w:val="22"/>
          <w:szCs w:val="22"/>
        </w:rPr>
        <w:t>tuojau pat</w:t>
      </w:r>
      <w:r>
        <w:rPr>
          <w:color w:val="auto"/>
          <w:sz w:val="22"/>
          <w:szCs w:val="22"/>
        </w:rPr>
        <w:t xml:space="preserve"> kreiptis į </w:t>
      </w:r>
      <w:r w:rsidR="008A5B62">
        <w:rPr>
          <w:color w:val="auto"/>
          <w:sz w:val="22"/>
          <w:szCs w:val="22"/>
        </w:rPr>
        <w:t xml:space="preserve">savo </w:t>
      </w:r>
      <w:r>
        <w:rPr>
          <w:color w:val="auto"/>
          <w:sz w:val="22"/>
          <w:szCs w:val="22"/>
        </w:rPr>
        <w:t xml:space="preserve">gydytoją. </w:t>
      </w:r>
    </w:p>
    <w:p w14:paraId="24B3B425" w14:textId="77777777" w:rsidR="008A5B62" w:rsidRDefault="008A5B62" w:rsidP="0058746D">
      <w:pPr>
        <w:pStyle w:val="Default"/>
        <w:rPr>
          <w:b/>
          <w:bCs/>
          <w:color w:val="auto"/>
          <w:sz w:val="22"/>
          <w:szCs w:val="22"/>
        </w:rPr>
      </w:pPr>
    </w:p>
    <w:p w14:paraId="1D12A88A" w14:textId="77777777" w:rsidR="0058746D" w:rsidRDefault="0058746D" w:rsidP="0058746D">
      <w:pPr>
        <w:pStyle w:val="Default"/>
        <w:rPr>
          <w:color w:val="auto"/>
          <w:sz w:val="22"/>
          <w:szCs w:val="22"/>
        </w:rPr>
      </w:pPr>
      <w:r>
        <w:rPr>
          <w:b/>
          <w:bCs/>
          <w:color w:val="auto"/>
          <w:sz w:val="22"/>
          <w:szCs w:val="22"/>
        </w:rPr>
        <w:t xml:space="preserve">Pamiršus pavartoti </w:t>
      </w:r>
      <w:r w:rsidR="008A5B62" w:rsidRPr="008A5B62">
        <w:rPr>
          <w:b/>
          <w:bCs/>
          <w:color w:val="auto"/>
          <w:sz w:val="22"/>
          <w:szCs w:val="22"/>
        </w:rPr>
        <w:t>Entecavir Sandoz</w:t>
      </w:r>
      <w:r>
        <w:rPr>
          <w:b/>
          <w:bCs/>
          <w:color w:val="auto"/>
          <w:sz w:val="22"/>
          <w:szCs w:val="22"/>
        </w:rPr>
        <w:t xml:space="preserve"> </w:t>
      </w:r>
    </w:p>
    <w:p w14:paraId="6FD87957" w14:textId="77777777" w:rsidR="0058746D" w:rsidRDefault="0058746D" w:rsidP="0058746D">
      <w:pPr>
        <w:pStyle w:val="Default"/>
        <w:rPr>
          <w:color w:val="auto"/>
          <w:sz w:val="22"/>
          <w:szCs w:val="22"/>
        </w:rPr>
      </w:pPr>
      <w:r>
        <w:rPr>
          <w:color w:val="auto"/>
          <w:sz w:val="22"/>
          <w:szCs w:val="22"/>
        </w:rPr>
        <w:t xml:space="preserve">Svarbu neužmiršti nė vienos šio vaisto dozės. Užmirštą </w:t>
      </w:r>
      <w:r w:rsidR="008A5B62" w:rsidRPr="008A5B62">
        <w:rPr>
          <w:color w:val="auto"/>
          <w:sz w:val="22"/>
          <w:szCs w:val="22"/>
        </w:rPr>
        <w:t>Entecavir Sandoz</w:t>
      </w:r>
      <w:r>
        <w:rPr>
          <w:color w:val="auto"/>
          <w:sz w:val="22"/>
          <w:szCs w:val="22"/>
        </w:rPr>
        <w:t xml:space="preserve"> dozę prisiminę išgerkite kiek įmanoma greičiau</w:t>
      </w:r>
      <w:r w:rsidR="008A5B62">
        <w:rPr>
          <w:color w:val="auto"/>
          <w:sz w:val="22"/>
          <w:szCs w:val="22"/>
        </w:rPr>
        <w:t xml:space="preserve"> ir toliau </w:t>
      </w:r>
      <w:r>
        <w:rPr>
          <w:color w:val="auto"/>
          <w:sz w:val="22"/>
          <w:szCs w:val="22"/>
        </w:rPr>
        <w:t xml:space="preserve">kitą </w:t>
      </w:r>
      <w:r w:rsidR="008A5B62">
        <w:rPr>
          <w:color w:val="auto"/>
          <w:sz w:val="22"/>
          <w:szCs w:val="22"/>
        </w:rPr>
        <w:t xml:space="preserve">dozę </w:t>
      </w:r>
      <w:r>
        <w:rPr>
          <w:color w:val="auto"/>
          <w:sz w:val="22"/>
          <w:szCs w:val="22"/>
        </w:rPr>
        <w:t>vartokite įprastu laiku. Vis dėlto jeigu jau beveik laikas kitai dozei, tai užmirštąją dozę praleiskite</w:t>
      </w:r>
      <w:r w:rsidR="008A5B62">
        <w:rPr>
          <w:color w:val="auto"/>
          <w:sz w:val="22"/>
          <w:szCs w:val="22"/>
        </w:rPr>
        <w:t>. Palaukite ir</w:t>
      </w:r>
      <w:r>
        <w:rPr>
          <w:color w:val="auto"/>
          <w:sz w:val="22"/>
          <w:szCs w:val="22"/>
        </w:rPr>
        <w:t xml:space="preserve"> kitą </w:t>
      </w:r>
      <w:r w:rsidR="008A5B62">
        <w:rPr>
          <w:color w:val="auto"/>
          <w:sz w:val="22"/>
          <w:szCs w:val="22"/>
        </w:rPr>
        <w:t>dozę</w:t>
      </w:r>
      <w:r w:rsidR="005A6A86">
        <w:rPr>
          <w:color w:val="auto"/>
          <w:sz w:val="22"/>
          <w:szCs w:val="22"/>
        </w:rPr>
        <w:t xml:space="preserve"> </w:t>
      </w:r>
      <w:r>
        <w:rPr>
          <w:color w:val="auto"/>
          <w:sz w:val="22"/>
          <w:szCs w:val="22"/>
        </w:rPr>
        <w:t xml:space="preserve">gerkite įprastu laiku. Negalima vartoti dvigubos dozės norint kompensuoti praleistą dozę. </w:t>
      </w:r>
    </w:p>
    <w:p w14:paraId="5EB3FC2F" w14:textId="77777777" w:rsidR="008A5B62" w:rsidRPr="008A5B62" w:rsidRDefault="008A5B62" w:rsidP="0058746D">
      <w:pPr>
        <w:pStyle w:val="Default"/>
        <w:rPr>
          <w:bCs/>
          <w:color w:val="auto"/>
          <w:sz w:val="22"/>
          <w:szCs w:val="22"/>
        </w:rPr>
      </w:pPr>
    </w:p>
    <w:p w14:paraId="39DE8166" w14:textId="77777777" w:rsidR="008A5B62" w:rsidRPr="00130211" w:rsidRDefault="008A5B62" w:rsidP="00130211">
      <w:pPr>
        <w:rPr>
          <w:b/>
          <w:snapToGrid w:val="0"/>
        </w:rPr>
      </w:pPr>
      <w:r w:rsidRPr="00130211">
        <w:rPr>
          <w:b/>
          <w:snapToGrid w:val="0"/>
        </w:rPr>
        <w:t xml:space="preserve">Nustojus vartoti </w:t>
      </w:r>
      <w:r w:rsidR="00130211" w:rsidRPr="00130211">
        <w:rPr>
          <w:b/>
          <w:snapToGrid w:val="0"/>
        </w:rPr>
        <w:t xml:space="preserve">Entecavir Sandoz </w:t>
      </w:r>
    </w:p>
    <w:p w14:paraId="2816F63B" w14:textId="77777777" w:rsidR="00EC3E05" w:rsidRPr="00EC3E05" w:rsidRDefault="00EC3E05" w:rsidP="00EC3E05">
      <w:pPr>
        <w:pStyle w:val="Default"/>
        <w:rPr>
          <w:color w:val="auto"/>
          <w:sz w:val="22"/>
          <w:szCs w:val="22"/>
        </w:rPr>
      </w:pPr>
      <w:r w:rsidRPr="00EC3E05">
        <w:rPr>
          <w:color w:val="auto"/>
          <w:sz w:val="22"/>
          <w:szCs w:val="22"/>
        </w:rPr>
        <w:t>Nenutraukite Entecavir Sandoz</w:t>
      </w:r>
      <w:r w:rsidRPr="00EC3E05">
        <w:rPr>
          <w:bCs/>
          <w:color w:val="auto"/>
          <w:sz w:val="22"/>
          <w:szCs w:val="22"/>
        </w:rPr>
        <w:t xml:space="preserve"> vartojimo nepasitarus su savo gydytoju</w:t>
      </w:r>
      <w:r>
        <w:rPr>
          <w:bCs/>
          <w:color w:val="auto"/>
          <w:sz w:val="22"/>
          <w:szCs w:val="22"/>
        </w:rPr>
        <w:t>.</w:t>
      </w:r>
      <w:r w:rsidRPr="00EC3E05">
        <w:rPr>
          <w:bCs/>
          <w:color w:val="auto"/>
          <w:sz w:val="22"/>
          <w:szCs w:val="22"/>
        </w:rPr>
        <w:t xml:space="preserve"> </w:t>
      </w:r>
    </w:p>
    <w:p w14:paraId="13F0F68D" w14:textId="77777777" w:rsidR="00EC3E05" w:rsidRDefault="0058746D" w:rsidP="0058746D">
      <w:pPr>
        <w:pStyle w:val="Default"/>
        <w:rPr>
          <w:color w:val="auto"/>
          <w:sz w:val="22"/>
          <w:szCs w:val="22"/>
        </w:rPr>
      </w:pPr>
      <w:r>
        <w:rPr>
          <w:color w:val="auto"/>
          <w:sz w:val="22"/>
          <w:szCs w:val="22"/>
        </w:rPr>
        <w:t xml:space="preserve">Kai kuriems pacientams, baigusiems </w:t>
      </w:r>
      <w:r w:rsidR="00EC3E05">
        <w:rPr>
          <w:color w:val="auto"/>
          <w:sz w:val="22"/>
          <w:szCs w:val="22"/>
        </w:rPr>
        <w:t>entekaviro</w:t>
      </w:r>
      <w:r>
        <w:rPr>
          <w:color w:val="auto"/>
          <w:sz w:val="22"/>
          <w:szCs w:val="22"/>
        </w:rPr>
        <w:t xml:space="preserve"> vartojimą, pasireiškė labai sunkių </w:t>
      </w:r>
      <w:r w:rsidR="00EC3E05">
        <w:rPr>
          <w:color w:val="auto"/>
          <w:sz w:val="22"/>
          <w:szCs w:val="22"/>
        </w:rPr>
        <w:t>kepenų uždegimo</w:t>
      </w:r>
      <w:r>
        <w:rPr>
          <w:color w:val="auto"/>
          <w:sz w:val="22"/>
          <w:szCs w:val="22"/>
        </w:rPr>
        <w:t xml:space="preserve"> simptomų. </w:t>
      </w:r>
      <w:r w:rsidR="00EC3E05">
        <w:rPr>
          <w:color w:val="auto"/>
          <w:sz w:val="22"/>
          <w:szCs w:val="22"/>
        </w:rPr>
        <w:t>Nedels</w:t>
      </w:r>
      <w:r w:rsidR="005A6A86">
        <w:rPr>
          <w:color w:val="auto"/>
          <w:sz w:val="22"/>
          <w:szCs w:val="22"/>
        </w:rPr>
        <w:t>dami</w:t>
      </w:r>
      <w:r w:rsidR="00EC3E05">
        <w:rPr>
          <w:color w:val="auto"/>
          <w:sz w:val="22"/>
          <w:szCs w:val="22"/>
        </w:rPr>
        <w:t xml:space="preserve"> praneškite savo gydyojui apie bet kokius simptomų pokyčius, kurių pastebite po gy</w:t>
      </w:r>
      <w:r w:rsidR="009424FE">
        <w:rPr>
          <w:color w:val="auto"/>
          <w:sz w:val="22"/>
          <w:szCs w:val="22"/>
        </w:rPr>
        <w:t>d</w:t>
      </w:r>
      <w:r w:rsidR="00EC3E05">
        <w:rPr>
          <w:color w:val="auto"/>
          <w:sz w:val="22"/>
          <w:szCs w:val="22"/>
        </w:rPr>
        <w:t>ymo nutraukimo.</w:t>
      </w:r>
    </w:p>
    <w:p w14:paraId="1E2F2CC8" w14:textId="77777777" w:rsidR="0058746D" w:rsidRDefault="0058746D" w:rsidP="0058746D">
      <w:pPr>
        <w:pStyle w:val="Default"/>
        <w:rPr>
          <w:color w:val="auto"/>
          <w:sz w:val="22"/>
          <w:szCs w:val="22"/>
        </w:rPr>
      </w:pPr>
    </w:p>
    <w:p w14:paraId="12D5B8EB" w14:textId="77777777" w:rsidR="0058746D" w:rsidRDefault="0058746D" w:rsidP="0058746D">
      <w:pPr>
        <w:pStyle w:val="Default"/>
        <w:rPr>
          <w:color w:val="auto"/>
          <w:sz w:val="22"/>
          <w:szCs w:val="22"/>
        </w:rPr>
      </w:pPr>
      <w:r>
        <w:rPr>
          <w:color w:val="auto"/>
          <w:sz w:val="22"/>
          <w:szCs w:val="22"/>
        </w:rPr>
        <w:t xml:space="preserve">Jeigu kiltų daugiau klausimų dėl šio vaisto vartojimo, kreipkitės į gydytoją arba vaistininką. </w:t>
      </w:r>
    </w:p>
    <w:p w14:paraId="2C23D50E" w14:textId="77777777" w:rsidR="00EC3E05" w:rsidRDefault="00EC3E05" w:rsidP="0058746D">
      <w:pPr>
        <w:pStyle w:val="Default"/>
        <w:rPr>
          <w:color w:val="auto"/>
          <w:sz w:val="22"/>
          <w:szCs w:val="22"/>
        </w:rPr>
      </w:pPr>
    </w:p>
    <w:p w14:paraId="75B15113" w14:textId="77777777" w:rsidR="00EC3E05" w:rsidRDefault="00EC3E05" w:rsidP="0058746D">
      <w:pPr>
        <w:pStyle w:val="Default"/>
        <w:rPr>
          <w:color w:val="auto"/>
          <w:sz w:val="22"/>
          <w:szCs w:val="22"/>
        </w:rPr>
      </w:pPr>
    </w:p>
    <w:p w14:paraId="2E8041AF" w14:textId="77777777" w:rsidR="0061061F" w:rsidRDefault="0058746D" w:rsidP="0058746D">
      <w:pPr>
        <w:widowControl w:val="0"/>
        <w:autoSpaceDE w:val="0"/>
        <w:autoSpaceDN w:val="0"/>
        <w:adjustRightInd w:val="0"/>
        <w:rPr>
          <w:rFonts w:eastAsia="MS Mincho"/>
          <w:szCs w:val="22"/>
        </w:rPr>
      </w:pPr>
      <w:r>
        <w:rPr>
          <w:b/>
          <w:bCs/>
          <w:szCs w:val="22"/>
        </w:rPr>
        <w:t>4.</w:t>
      </w:r>
      <w:r w:rsidR="00690A24">
        <w:rPr>
          <w:b/>
          <w:bCs/>
          <w:szCs w:val="22"/>
        </w:rPr>
        <w:tab/>
      </w:r>
      <w:r>
        <w:rPr>
          <w:b/>
          <w:bCs/>
          <w:szCs w:val="22"/>
        </w:rPr>
        <w:t>Galimas šalutinis poveikis</w:t>
      </w:r>
    </w:p>
    <w:p w14:paraId="0964B31D" w14:textId="77777777" w:rsidR="0058746D" w:rsidRDefault="0058746D" w:rsidP="0061061F">
      <w:pPr>
        <w:widowControl w:val="0"/>
        <w:autoSpaceDE w:val="0"/>
        <w:autoSpaceDN w:val="0"/>
        <w:adjustRightInd w:val="0"/>
        <w:rPr>
          <w:rFonts w:eastAsia="MS Mincho"/>
          <w:szCs w:val="22"/>
        </w:rPr>
      </w:pPr>
    </w:p>
    <w:p w14:paraId="77381F85" w14:textId="77777777" w:rsidR="00690A24" w:rsidRPr="00690A24" w:rsidRDefault="00690A24" w:rsidP="00690A24">
      <w:pPr>
        <w:widowControl w:val="0"/>
        <w:autoSpaceDE w:val="0"/>
        <w:autoSpaceDN w:val="0"/>
        <w:adjustRightInd w:val="0"/>
        <w:rPr>
          <w:rFonts w:eastAsia="MS Mincho"/>
          <w:szCs w:val="22"/>
        </w:rPr>
      </w:pPr>
      <w:r w:rsidRPr="00690A24">
        <w:rPr>
          <w:rFonts w:eastAsia="MS Mincho"/>
          <w:szCs w:val="22"/>
        </w:rPr>
        <w:t>Šis vaistas, kaip ir visi kiti, gali sukelti šalutinį poveikį, nors jis pasireiškia ne visiems žmonėms.</w:t>
      </w:r>
    </w:p>
    <w:p w14:paraId="3F1E362A" w14:textId="77777777" w:rsidR="00690A24" w:rsidRDefault="00690A24" w:rsidP="00690A24">
      <w:pPr>
        <w:widowControl w:val="0"/>
        <w:autoSpaceDE w:val="0"/>
        <w:autoSpaceDN w:val="0"/>
        <w:adjustRightInd w:val="0"/>
        <w:rPr>
          <w:rFonts w:eastAsia="MS Mincho"/>
          <w:szCs w:val="22"/>
        </w:rPr>
      </w:pPr>
      <w:r>
        <w:rPr>
          <w:rFonts w:eastAsia="MS Mincho"/>
          <w:szCs w:val="22"/>
        </w:rPr>
        <w:t xml:space="preserve">Gauta pranešimų, kad </w:t>
      </w:r>
      <w:r w:rsidRPr="00690A24">
        <w:rPr>
          <w:rFonts w:eastAsia="MS Mincho"/>
          <w:szCs w:val="22"/>
        </w:rPr>
        <w:t xml:space="preserve">Entecavir Sandoz </w:t>
      </w:r>
      <w:r>
        <w:rPr>
          <w:rFonts w:eastAsia="MS Mincho"/>
          <w:szCs w:val="22"/>
        </w:rPr>
        <w:t>gydomiems</w:t>
      </w:r>
      <w:r w:rsidRPr="00690A24">
        <w:rPr>
          <w:rFonts w:eastAsia="MS Mincho"/>
          <w:szCs w:val="22"/>
        </w:rPr>
        <w:t xml:space="preserve"> </w:t>
      </w:r>
      <w:r>
        <w:rPr>
          <w:rFonts w:eastAsia="MS Mincho"/>
          <w:szCs w:val="22"/>
        </w:rPr>
        <w:t>pacientams pasireiškė šis šalutinis poveikis:</w:t>
      </w:r>
      <w:r w:rsidRPr="00690A24">
        <w:rPr>
          <w:rFonts w:eastAsia="MS Mincho"/>
          <w:szCs w:val="22"/>
        </w:rPr>
        <w:t xml:space="preserve"> </w:t>
      </w:r>
    </w:p>
    <w:p w14:paraId="0510C50D" w14:textId="77777777" w:rsidR="00664898" w:rsidRDefault="00664898" w:rsidP="00690A24">
      <w:pPr>
        <w:widowControl w:val="0"/>
        <w:autoSpaceDE w:val="0"/>
        <w:autoSpaceDN w:val="0"/>
        <w:adjustRightInd w:val="0"/>
        <w:rPr>
          <w:rFonts w:eastAsia="MS Mincho"/>
          <w:b/>
          <w:bCs/>
          <w:szCs w:val="22"/>
          <w:u w:val="single"/>
        </w:rPr>
      </w:pPr>
    </w:p>
    <w:p w14:paraId="6F642464" w14:textId="77777777" w:rsidR="00690A24" w:rsidRPr="00591D31" w:rsidRDefault="00A173D3" w:rsidP="00690A24">
      <w:pPr>
        <w:widowControl w:val="0"/>
        <w:autoSpaceDE w:val="0"/>
        <w:autoSpaceDN w:val="0"/>
        <w:adjustRightInd w:val="0"/>
        <w:rPr>
          <w:rFonts w:eastAsia="MS Mincho"/>
          <w:b/>
          <w:bCs/>
          <w:szCs w:val="22"/>
          <w:u w:val="single"/>
        </w:rPr>
      </w:pPr>
      <w:r w:rsidRPr="00591D31">
        <w:rPr>
          <w:rFonts w:eastAsia="MS Mincho"/>
          <w:b/>
          <w:bCs/>
          <w:szCs w:val="22"/>
          <w:u w:val="single"/>
        </w:rPr>
        <w:t>Suaugusie</w:t>
      </w:r>
      <w:r w:rsidR="00664898" w:rsidRPr="00591D31">
        <w:rPr>
          <w:rFonts w:eastAsia="MS Mincho"/>
          <w:b/>
          <w:bCs/>
          <w:szCs w:val="22"/>
          <w:u w:val="single"/>
        </w:rPr>
        <w:t>siems</w:t>
      </w:r>
    </w:p>
    <w:p w14:paraId="177FC5A1" w14:textId="4D899A69" w:rsidR="00FA0E8B" w:rsidRDefault="00FA0E8B" w:rsidP="00690A24">
      <w:pPr>
        <w:widowControl w:val="0"/>
        <w:autoSpaceDE w:val="0"/>
        <w:autoSpaceDN w:val="0"/>
        <w:adjustRightInd w:val="0"/>
        <w:ind w:left="709" w:hanging="709"/>
        <w:rPr>
          <w:rFonts w:eastAsia="MS Mincho"/>
          <w:szCs w:val="22"/>
        </w:rPr>
      </w:pPr>
      <w:r w:rsidRPr="00913EAE">
        <w:rPr>
          <w:b/>
          <w:bCs/>
          <w:color w:val="000000"/>
          <w:szCs w:val="22"/>
        </w:rPr>
        <w:t>Dažni šalutinio poveikio reiškiniai</w:t>
      </w:r>
      <w:r w:rsidRPr="00175E58">
        <w:rPr>
          <w:b/>
          <w:color w:val="000000"/>
        </w:rPr>
        <w:t xml:space="preserve"> (gali pasireikšti rečiau kaip 1 iš 10 </w:t>
      </w:r>
      <w:r w:rsidRPr="00913EAE">
        <w:rPr>
          <w:b/>
          <w:bCs/>
          <w:color w:val="000000"/>
          <w:szCs w:val="22"/>
        </w:rPr>
        <w:t>asmenų)</w:t>
      </w:r>
      <w:r>
        <w:rPr>
          <w:b/>
          <w:bCs/>
          <w:color w:val="000000"/>
          <w:szCs w:val="22"/>
        </w:rPr>
        <w:t>:</w:t>
      </w:r>
    </w:p>
    <w:p w14:paraId="6FD4F1A8" w14:textId="7577FF08" w:rsidR="00690A24" w:rsidRPr="00690A24" w:rsidRDefault="00690A24" w:rsidP="00175E58">
      <w:pPr>
        <w:widowControl w:val="0"/>
        <w:autoSpaceDE w:val="0"/>
        <w:autoSpaceDN w:val="0"/>
        <w:adjustRightInd w:val="0"/>
        <w:ind w:left="709" w:hanging="142"/>
        <w:rPr>
          <w:rFonts w:eastAsia="MS Mincho"/>
          <w:szCs w:val="22"/>
        </w:rPr>
      </w:pPr>
      <w:r w:rsidRPr="00690A24">
        <w:rPr>
          <w:rFonts w:eastAsia="MS Mincho"/>
          <w:szCs w:val="22"/>
        </w:rPr>
        <w:t xml:space="preserve"> galvos skausmas, nemiga</w:t>
      </w:r>
      <w:r>
        <w:rPr>
          <w:rFonts w:eastAsia="MS Mincho"/>
          <w:szCs w:val="22"/>
        </w:rPr>
        <w:t xml:space="preserve"> (negalėjimas miegoti)</w:t>
      </w:r>
      <w:r w:rsidRPr="00690A24">
        <w:rPr>
          <w:rFonts w:eastAsia="MS Mincho"/>
          <w:szCs w:val="22"/>
        </w:rPr>
        <w:t>, nuovargis</w:t>
      </w:r>
      <w:r w:rsidR="005A6A86">
        <w:rPr>
          <w:rFonts w:eastAsia="MS Mincho"/>
          <w:szCs w:val="22"/>
        </w:rPr>
        <w:t xml:space="preserve"> (stiprus pavargimas),</w:t>
      </w:r>
      <w:r w:rsidRPr="00690A24">
        <w:rPr>
          <w:rFonts w:eastAsia="MS Mincho"/>
          <w:szCs w:val="22"/>
        </w:rPr>
        <w:t xml:space="preserve"> svaig</w:t>
      </w:r>
      <w:r w:rsidR="009424FE">
        <w:rPr>
          <w:rFonts w:eastAsia="MS Mincho"/>
          <w:szCs w:val="22"/>
        </w:rPr>
        <w:t>ulys</w:t>
      </w:r>
      <w:r w:rsidRPr="00690A24">
        <w:rPr>
          <w:rFonts w:eastAsia="MS Mincho"/>
          <w:szCs w:val="22"/>
        </w:rPr>
        <w:t>, mieguistumas</w:t>
      </w:r>
      <w:r>
        <w:rPr>
          <w:rFonts w:eastAsia="MS Mincho"/>
          <w:szCs w:val="22"/>
        </w:rPr>
        <w:t xml:space="preserve"> (apsnūdimas)</w:t>
      </w:r>
      <w:r w:rsidRPr="00690A24">
        <w:rPr>
          <w:rFonts w:eastAsia="MS Mincho"/>
          <w:szCs w:val="22"/>
        </w:rPr>
        <w:t>, vėmimas, viduriavimas, pykinimas, dispepsija (virškinim</w:t>
      </w:r>
      <w:r>
        <w:rPr>
          <w:rFonts w:eastAsia="MS Mincho"/>
          <w:szCs w:val="22"/>
        </w:rPr>
        <w:t>o sutrikimas</w:t>
      </w:r>
      <w:r w:rsidRPr="00690A24">
        <w:rPr>
          <w:rFonts w:eastAsia="MS Mincho"/>
          <w:szCs w:val="22"/>
        </w:rPr>
        <w:t xml:space="preserve">) ir padidėjęs kepenų fermentų </w:t>
      </w:r>
      <w:r>
        <w:rPr>
          <w:rFonts w:eastAsia="MS Mincho"/>
          <w:szCs w:val="22"/>
        </w:rPr>
        <w:t>aktyvumas</w:t>
      </w:r>
      <w:r w:rsidRPr="00690A24">
        <w:rPr>
          <w:rFonts w:eastAsia="MS Mincho"/>
          <w:szCs w:val="22"/>
        </w:rPr>
        <w:t xml:space="preserve"> kraujyje</w:t>
      </w:r>
      <w:r>
        <w:rPr>
          <w:rFonts w:eastAsia="MS Mincho"/>
          <w:szCs w:val="22"/>
        </w:rPr>
        <w:t>.</w:t>
      </w:r>
    </w:p>
    <w:p w14:paraId="2F69B912" w14:textId="6CF7FC7A" w:rsidR="00FA0E8B" w:rsidRPr="000B642B" w:rsidRDefault="00FA0E8B" w:rsidP="00FA0E8B">
      <w:pPr>
        <w:autoSpaceDE w:val="0"/>
        <w:autoSpaceDN w:val="0"/>
        <w:adjustRightInd w:val="0"/>
        <w:rPr>
          <w:b/>
          <w:color w:val="000000"/>
          <w:szCs w:val="22"/>
        </w:rPr>
      </w:pPr>
      <w:r w:rsidRPr="00913EAE">
        <w:rPr>
          <w:b/>
          <w:bCs/>
          <w:color w:val="000000"/>
          <w:szCs w:val="22"/>
        </w:rPr>
        <w:t>Nedažni šalutinio poveikio reiškiniai</w:t>
      </w:r>
      <w:r w:rsidRPr="00175E58">
        <w:rPr>
          <w:b/>
          <w:color w:val="000000"/>
        </w:rPr>
        <w:t xml:space="preserve"> (gali pasireikšti rečiau kaip 1 iš 100 </w:t>
      </w:r>
      <w:r w:rsidRPr="00913EAE">
        <w:rPr>
          <w:b/>
          <w:bCs/>
          <w:color w:val="000000"/>
          <w:szCs w:val="22"/>
        </w:rPr>
        <w:t>asmenų):</w:t>
      </w:r>
    </w:p>
    <w:p w14:paraId="5747B86F" w14:textId="1674B427" w:rsidR="00690A24" w:rsidRPr="00690A24" w:rsidRDefault="00690A24" w:rsidP="00690A24">
      <w:pPr>
        <w:widowControl w:val="0"/>
        <w:autoSpaceDE w:val="0"/>
        <w:autoSpaceDN w:val="0"/>
        <w:adjustRightInd w:val="0"/>
        <w:spacing w:before="120"/>
        <w:ind w:left="3260" w:hanging="3260"/>
        <w:rPr>
          <w:rFonts w:eastAsia="MS Mincho"/>
          <w:szCs w:val="22"/>
        </w:rPr>
      </w:pPr>
      <w:r w:rsidRPr="00690A24">
        <w:rPr>
          <w:rFonts w:eastAsia="MS Mincho"/>
          <w:szCs w:val="22"/>
        </w:rPr>
        <w:t>išbėrimas, plaukų slinkimas</w:t>
      </w:r>
      <w:r>
        <w:rPr>
          <w:rFonts w:eastAsia="MS Mincho"/>
          <w:szCs w:val="22"/>
        </w:rPr>
        <w:t>.</w:t>
      </w:r>
    </w:p>
    <w:p w14:paraId="153E45A8" w14:textId="07F1D653" w:rsidR="00FA0E8B" w:rsidRPr="000B642B" w:rsidRDefault="00FA0E8B" w:rsidP="00FA0E8B">
      <w:pPr>
        <w:autoSpaceDE w:val="0"/>
        <w:autoSpaceDN w:val="0"/>
        <w:adjustRightInd w:val="0"/>
        <w:rPr>
          <w:b/>
          <w:color w:val="000000"/>
          <w:szCs w:val="22"/>
        </w:rPr>
      </w:pPr>
      <w:r w:rsidRPr="00913EAE">
        <w:rPr>
          <w:b/>
          <w:bCs/>
          <w:color w:val="000000"/>
          <w:szCs w:val="22"/>
        </w:rPr>
        <w:t>Reti šalutinio poveikio reiškiniai</w:t>
      </w:r>
      <w:r w:rsidRPr="00175E58">
        <w:rPr>
          <w:b/>
          <w:color w:val="000000"/>
        </w:rPr>
        <w:t xml:space="preserve"> (gali pasireikšti rečiau kaip 1 iš </w:t>
      </w:r>
      <w:r w:rsidRPr="00913EAE">
        <w:rPr>
          <w:b/>
          <w:bCs/>
          <w:color w:val="000000"/>
          <w:szCs w:val="22"/>
        </w:rPr>
        <w:t>1 000 asmenų):</w:t>
      </w:r>
    </w:p>
    <w:p w14:paraId="757B64A5" w14:textId="681F6FC1" w:rsidR="00690A24" w:rsidRPr="00690A24" w:rsidRDefault="00690A24" w:rsidP="00690A24">
      <w:pPr>
        <w:widowControl w:val="0"/>
        <w:autoSpaceDE w:val="0"/>
        <w:autoSpaceDN w:val="0"/>
        <w:adjustRightInd w:val="0"/>
        <w:spacing w:before="120"/>
        <w:ind w:left="3260" w:hanging="3260"/>
        <w:rPr>
          <w:rFonts w:eastAsia="MS Mincho"/>
          <w:szCs w:val="22"/>
        </w:rPr>
      </w:pPr>
      <w:r w:rsidRPr="00690A24">
        <w:rPr>
          <w:rFonts w:eastAsia="MS Mincho"/>
          <w:szCs w:val="22"/>
        </w:rPr>
        <w:t>sunki alerginė reakcija.</w:t>
      </w:r>
    </w:p>
    <w:p w14:paraId="19D1047B" w14:textId="77777777" w:rsidR="0061061F" w:rsidRDefault="0061061F" w:rsidP="0061061F">
      <w:pPr>
        <w:widowControl w:val="0"/>
        <w:autoSpaceDE w:val="0"/>
        <w:autoSpaceDN w:val="0"/>
        <w:adjustRightInd w:val="0"/>
        <w:jc w:val="both"/>
        <w:rPr>
          <w:color w:val="000000"/>
          <w:szCs w:val="22"/>
        </w:rPr>
      </w:pPr>
    </w:p>
    <w:p w14:paraId="02A5A3F3" w14:textId="77777777" w:rsidR="00664898" w:rsidRPr="00591D31" w:rsidRDefault="00664898" w:rsidP="0061061F">
      <w:pPr>
        <w:widowControl w:val="0"/>
        <w:autoSpaceDE w:val="0"/>
        <w:autoSpaceDN w:val="0"/>
        <w:adjustRightInd w:val="0"/>
        <w:jc w:val="both"/>
        <w:rPr>
          <w:b/>
          <w:bCs/>
          <w:color w:val="000000"/>
          <w:szCs w:val="22"/>
          <w:u w:val="single"/>
        </w:rPr>
      </w:pPr>
      <w:r w:rsidRPr="00591D31">
        <w:rPr>
          <w:b/>
          <w:bCs/>
          <w:color w:val="000000"/>
          <w:szCs w:val="22"/>
          <w:u w:val="single"/>
        </w:rPr>
        <w:t>Vaikams ir paaugliams</w:t>
      </w:r>
    </w:p>
    <w:p w14:paraId="278F5CC6" w14:textId="77777777" w:rsidR="00664898" w:rsidRPr="00664898" w:rsidRDefault="002C6485" w:rsidP="00664898">
      <w:pPr>
        <w:widowControl w:val="0"/>
        <w:autoSpaceDE w:val="0"/>
        <w:autoSpaceDN w:val="0"/>
        <w:adjustRightInd w:val="0"/>
        <w:jc w:val="both"/>
        <w:rPr>
          <w:color w:val="000000"/>
          <w:szCs w:val="22"/>
        </w:rPr>
      </w:pPr>
      <w:r>
        <w:rPr>
          <w:color w:val="000000"/>
          <w:szCs w:val="22"/>
        </w:rPr>
        <w:t>Šalutinis poveikis v</w:t>
      </w:r>
      <w:r w:rsidR="00664898" w:rsidRPr="00664898">
        <w:rPr>
          <w:color w:val="000000"/>
          <w:szCs w:val="22"/>
        </w:rPr>
        <w:t>ai</w:t>
      </w:r>
      <w:r>
        <w:rPr>
          <w:color w:val="000000"/>
          <w:szCs w:val="22"/>
        </w:rPr>
        <w:t>kams ir</w:t>
      </w:r>
      <w:r w:rsidR="00664898" w:rsidRPr="00664898">
        <w:rPr>
          <w:color w:val="000000"/>
          <w:szCs w:val="22"/>
        </w:rPr>
        <w:t xml:space="preserve"> paaugl</w:t>
      </w:r>
      <w:r>
        <w:rPr>
          <w:color w:val="000000"/>
          <w:szCs w:val="22"/>
        </w:rPr>
        <w:t>iam</w:t>
      </w:r>
      <w:r w:rsidR="005D2421">
        <w:rPr>
          <w:color w:val="000000"/>
          <w:szCs w:val="22"/>
        </w:rPr>
        <w:t xml:space="preserve">s yra panašus į </w:t>
      </w:r>
      <w:r w:rsidR="00C5336A">
        <w:rPr>
          <w:color w:val="000000"/>
          <w:szCs w:val="22"/>
        </w:rPr>
        <w:t>suaugusiųjų patirtą šalutinį poveikį</w:t>
      </w:r>
      <w:r w:rsidR="00D07E19">
        <w:rPr>
          <w:color w:val="000000"/>
          <w:szCs w:val="22"/>
        </w:rPr>
        <w:t>, kuris</w:t>
      </w:r>
      <w:r w:rsidR="00C5336A">
        <w:rPr>
          <w:color w:val="000000"/>
          <w:szCs w:val="22"/>
        </w:rPr>
        <w:t xml:space="preserve"> </w:t>
      </w:r>
      <w:r w:rsidR="00D07E19">
        <w:rPr>
          <w:color w:val="000000"/>
          <w:szCs w:val="22"/>
        </w:rPr>
        <w:t>aprašytas aukšči</w:t>
      </w:r>
      <w:r w:rsidR="00FF0E3A">
        <w:rPr>
          <w:color w:val="000000"/>
          <w:szCs w:val="22"/>
        </w:rPr>
        <w:t>au</w:t>
      </w:r>
      <w:r w:rsidR="00E21D14">
        <w:rPr>
          <w:color w:val="000000"/>
          <w:szCs w:val="22"/>
        </w:rPr>
        <w:t>,</w:t>
      </w:r>
      <w:r w:rsidR="00664898" w:rsidRPr="00664898">
        <w:rPr>
          <w:color w:val="000000"/>
          <w:szCs w:val="22"/>
        </w:rPr>
        <w:t xml:space="preserve"> šalutiniai poveikiai yra tokie patys kaip suaugusiųjų, aprašyti aukščiau, su toliau</w:t>
      </w:r>
      <w:r w:rsidR="00E21D14">
        <w:rPr>
          <w:color w:val="000000"/>
          <w:szCs w:val="22"/>
        </w:rPr>
        <w:t xml:space="preserve"> </w:t>
      </w:r>
      <w:r w:rsidR="00664898" w:rsidRPr="00664898">
        <w:rPr>
          <w:color w:val="000000"/>
          <w:szCs w:val="22"/>
        </w:rPr>
        <w:t>nurodytais skirtumais:</w:t>
      </w:r>
    </w:p>
    <w:p w14:paraId="1E94CA23" w14:textId="313E397C" w:rsidR="00FA0E8B" w:rsidRPr="00C4611D" w:rsidRDefault="00FA0E8B" w:rsidP="00FA0E8B">
      <w:pPr>
        <w:tabs>
          <w:tab w:val="left" w:pos="567"/>
        </w:tabs>
        <w:rPr>
          <w:rFonts w:eastAsia="Times New Roman"/>
          <w:b/>
          <w:szCs w:val="22"/>
        </w:rPr>
      </w:pPr>
      <w:r w:rsidRPr="00175E58">
        <w:rPr>
          <w:b/>
        </w:rPr>
        <w:t xml:space="preserve">Labai </w:t>
      </w:r>
      <w:r w:rsidRPr="005D554B">
        <w:rPr>
          <w:b/>
          <w:bCs/>
          <w:noProof/>
          <w:snapToGrid w:val="0"/>
          <w:szCs w:val="22"/>
        </w:rPr>
        <w:t>dažni šalutinio poveikio reiškiniai</w:t>
      </w:r>
      <w:r w:rsidRPr="00175E58">
        <w:rPr>
          <w:b/>
        </w:rPr>
        <w:t xml:space="preserve"> (gali </w:t>
      </w:r>
      <w:r w:rsidRPr="005D554B">
        <w:rPr>
          <w:b/>
          <w:bCs/>
          <w:noProof/>
          <w:snapToGrid w:val="0"/>
          <w:szCs w:val="22"/>
        </w:rPr>
        <w:t>pasireikšti ne rečiau kaip</w:t>
      </w:r>
      <w:r w:rsidRPr="00175E58">
        <w:rPr>
          <w:b/>
        </w:rPr>
        <w:t xml:space="preserve"> 1 iš 10 </w:t>
      </w:r>
      <w:r w:rsidRPr="005D554B">
        <w:rPr>
          <w:b/>
          <w:bCs/>
          <w:noProof/>
          <w:snapToGrid w:val="0"/>
          <w:szCs w:val="22"/>
        </w:rPr>
        <w:t>asmenų</w:t>
      </w:r>
      <w:r>
        <w:rPr>
          <w:b/>
          <w:bCs/>
          <w:noProof/>
          <w:snapToGrid w:val="0"/>
          <w:szCs w:val="22"/>
        </w:rPr>
        <w:t>):</w:t>
      </w:r>
    </w:p>
    <w:p w14:paraId="41E6D3F3" w14:textId="0AEAEF9A" w:rsidR="00664898" w:rsidRPr="00664898" w:rsidRDefault="00664898" w:rsidP="00664898">
      <w:pPr>
        <w:widowControl w:val="0"/>
        <w:autoSpaceDE w:val="0"/>
        <w:autoSpaceDN w:val="0"/>
        <w:adjustRightInd w:val="0"/>
        <w:jc w:val="both"/>
        <w:rPr>
          <w:color w:val="000000"/>
          <w:szCs w:val="22"/>
        </w:rPr>
      </w:pPr>
      <w:r w:rsidRPr="00664898">
        <w:rPr>
          <w:color w:val="000000"/>
          <w:szCs w:val="22"/>
        </w:rPr>
        <w:t>mažas neutrofilų (vienos rūšies baltųjų kraujo kūnelių,</w:t>
      </w:r>
      <w:r w:rsidR="0013077F">
        <w:rPr>
          <w:color w:val="000000"/>
          <w:szCs w:val="22"/>
        </w:rPr>
        <w:t xml:space="preserve"> </w:t>
      </w:r>
      <w:r w:rsidRPr="00664898">
        <w:rPr>
          <w:color w:val="000000"/>
          <w:szCs w:val="22"/>
        </w:rPr>
        <w:t>svarbių kovojant su infekcija) kiekis.</w:t>
      </w:r>
    </w:p>
    <w:p w14:paraId="4F5DEEB6" w14:textId="77777777" w:rsidR="00917B4F" w:rsidRPr="00D166EA" w:rsidRDefault="00917B4F" w:rsidP="0061061F">
      <w:pPr>
        <w:widowControl w:val="0"/>
        <w:autoSpaceDE w:val="0"/>
        <w:autoSpaceDN w:val="0"/>
        <w:adjustRightInd w:val="0"/>
        <w:jc w:val="both"/>
        <w:rPr>
          <w:color w:val="000000"/>
          <w:szCs w:val="22"/>
        </w:rPr>
      </w:pPr>
    </w:p>
    <w:p w14:paraId="619BA95C" w14:textId="77777777" w:rsidR="0061061F" w:rsidRPr="00D166EA" w:rsidRDefault="0061061F" w:rsidP="0061061F">
      <w:pPr>
        <w:rPr>
          <w:b/>
          <w:bCs/>
          <w:szCs w:val="22"/>
        </w:rPr>
      </w:pPr>
      <w:r w:rsidRPr="00D166EA">
        <w:rPr>
          <w:b/>
          <w:bCs/>
          <w:szCs w:val="22"/>
        </w:rPr>
        <w:t>Pranešimas apie šalutinį poveikį</w:t>
      </w:r>
    </w:p>
    <w:p w14:paraId="34B45184" w14:textId="34626794" w:rsidR="00FA0E8B" w:rsidRPr="00175E58" w:rsidRDefault="0061061F" w:rsidP="00175E58">
      <w:pPr>
        <w:ind w:right="-449"/>
        <w:rPr>
          <w:color w:val="000000"/>
        </w:rPr>
      </w:pPr>
      <w:r w:rsidRPr="00D166EA">
        <w:rPr>
          <w:szCs w:val="22"/>
        </w:rPr>
        <w:t xml:space="preserve">Jeigu pasireiškė šalutinis poveikis, įskaitant šiame lapelyje nenurodytą, pasakykite gydytojui arba vaistininkui. </w:t>
      </w:r>
      <w:r w:rsidR="00FA0E8B" w:rsidRPr="00560367">
        <w:rPr>
          <w:color w:val="000000"/>
          <w:szCs w:val="22"/>
        </w:rPr>
        <w:t>Pranešimą apie</w:t>
      </w:r>
      <w:r w:rsidR="00FA0E8B" w:rsidRPr="00175E58">
        <w:rPr>
          <w:color w:val="000000"/>
        </w:rPr>
        <w:t xml:space="preserve"> šalutinį poveikį galite pateikti </w:t>
      </w:r>
      <w:r w:rsidR="00FA0E8B" w:rsidRPr="00560367">
        <w:rPr>
          <w:color w:val="000000"/>
          <w:szCs w:val="22"/>
        </w:rPr>
        <w:t>šiais būdais: tiesiogiai užpildant formą internetu</w:t>
      </w:r>
      <w:r w:rsidR="00FA0E8B" w:rsidRPr="00175E58">
        <w:rPr>
          <w:color w:val="000000"/>
        </w:rPr>
        <w:t xml:space="preserve"> Valstybinės vaistų kontrolės tarnybos prie Lietuvos Respublikos sveikatos apsaugos ministerijos </w:t>
      </w:r>
      <w:r w:rsidR="00FA0E8B" w:rsidRPr="00560367">
        <w:rPr>
          <w:color w:val="000000"/>
          <w:szCs w:val="22"/>
        </w:rPr>
        <w:t>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00FA0E8B" w:rsidRPr="00175E58">
        <w:rPr>
          <w:color w:val="000000"/>
        </w:rPr>
        <w:t xml:space="preserve"> Pranešdami apie šalutinį poveikį galite mums padėti gauti daugiau informacijos apie šio vaisto saugumą.</w:t>
      </w:r>
    </w:p>
    <w:p w14:paraId="3CC7188F" w14:textId="77777777" w:rsidR="00FA0E8B" w:rsidRPr="00175E58" w:rsidRDefault="00FA0E8B" w:rsidP="00175E58">
      <w:pPr>
        <w:pStyle w:val="Antrat3"/>
        <w:spacing w:before="0" w:after="0"/>
        <w:rPr>
          <w:rFonts w:ascii="Times New Roman" w:hAnsi="Times New Roman"/>
          <w:sz w:val="22"/>
        </w:rPr>
      </w:pPr>
    </w:p>
    <w:p w14:paraId="2894CCAE" w14:textId="77777777" w:rsidR="00FA0E8B" w:rsidRPr="00175E58" w:rsidRDefault="00FA0E8B" w:rsidP="00175E58">
      <w:pPr>
        <w:pStyle w:val="Antrat3"/>
        <w:spacing w:before="0" w:after="0"/>
        <w:rPr>
          <w:rFonts w:ascii="Times New Roman" w:hAnsi="Times New Roman"/>
          <w:sz w:val="22"/>
        </w:rPr>
      </w:pPr>
    </w:p>
    <w:p w14:paraId="4F893349" w14:textId="3D05F500" w:rsidR="0061061F" w:rsidRPr="00D166EA" w:rsidRDefault="0061061F" w:rsidP="0061061F">
      <w:pPr>
        <w:pStyle w:val="Antrat3"/>
        <w:spacing w:before="0" w:after="0"/>
        <w:rPr>
          <w:rFonts w:ascii="Times New Roman" w:hAnsi="Times New Roman"/>
          <w:sz w:val="22"/>
          <w:szCs w:val="22"/>
        </w:rPr>
      </w:pPr>
      <w:r w:rsidRPr="00D166EA">
        <w:rPr>
          <w:rFonts w:ascii="Times New Roman" w:hAnsi="Times New Roman"/>
          <w:sz w:val="22"/>
          <w:szCs w:val="22"/>
        </w:rPr>
        <w:t>5.</w:t>
      </w:r>
      <w:r w:rsidRPr="00D166EA">
        <w:rPr>
          <w:rFonts w:ascii="Times New Roman" w:hAnsi="Times New Roman"/>
          <w:sz w:val="22"/>
          <w:szCs w:val="22"/>
        </w:rPr>
        <w:tab/>
        <w:t xml:space="preserve">Kaip laikyti </w:t>
      </w:r>
      <w:r w:rsidR="009D4230" w:rsidRPr="00D166EA">
        <w:rPr>
          <w:rFonts w:ascii="Times New Roman" w:hAnsi="Times New Roman"/>
          <w:sz w:val="22"/>
          <w:szCs w:val="22"/>
        </w:rPr>
        <w:t>Entecavir</w:t>
      </w:r>
      <w:r w:rsidRPr="00D166EA">
        <w:rPr>
          <w:rFonts w:ascii="Times New Roman" w:hAnsi="Times New Roman"/>
          <w:sz w:val="22"/>
          <w:szCs w:val="22"/>
        </w:rPr>
        <w:t xml:space="preserve"> Sandoz</w:t>
      </w:r>
    </w:p>
    <w:p w14:paraId="5D816596" w14:textId="77777777" w:rsidR="0061061F" w:rsidRPr="00D166EA" w:rsidRDefault="0061061F" w:rsidP="0061061F">
      <w:pPr>
        <w:numPr>
          <w:ilvl w:val="12"/>
          <w:numId w:val="0"/>
        </w:numPr>
        <w:rPr>
          <w:szCs w:val="22"/>
        </w:rPr>
      </w:pPr>
    </w:p>
    <w:p w14:paraId="4823252D" w14:textId="77777777" w:rsidR="0061061F" w:rsidRPr="00D166EA" w:rsidRDefault="0061061F" w:rsidP="0061061F">
      <w:pPr>
        <w:numPr>
          <w:ilvl w:val="12"/>
          <w:numId w:val="0"/>
        </w:numPr>
        <w:tabs>
          <w:tab w:val="left" w:pos="1296"/>
        </w:tabs>
        <w:rPr>
          <w:szCs w:val="22"/>
        </w:rPr>
      </w:pPr>
      <w:r w:rsidRPr="00D166EA">
        <w:rPr>
          <w:szCs w:val="22"/>
        </w:rPr>
        <w:t>Šį vaistą laikykite vaikams nepastebimoje ir nepasiekiamoje vietoje.</w:t>
      </w:r>
    </w:p>
    <w:p w14:paraId="07560897" w14:textId="77777777" w:rsidR="0061061F" w:rsidRPr="00D166EA" w:rsidRDefault="0061061F" w:rsidP="0061061F">
      <w:pPr>
        <w:numPr>
          <w:ilvl w:val="12"/>
          <w:numId w:val="0"/>
        </w:numPr>
        <w:tabs>
          <w:tab w:val="left" w:pos="1296"/>
        </w:tabs>
        <w:rPr>
          <w:szCs w:val="22"/>
        </w:rPr>
      </w:pPr>
    </w:p>
    <w:p w14:paraId="0A944926" w14:textId="77777777" w:rsidR="00BF2076" w:rsidRDefault="0061061F" w:rsidP="0061061F">
      <w:pPr>
        <w:numPr>
          <w:ilvl w:val="12"/>
          <w:numId w:val="0"/>
        </w:numPr>
        <w:tabs>
          <w:tab w:val="left" w:pos="1296"/>
        </w:tabs>
        <w:rPr>
          <w:szCs w:val="22"/>
        </w:rPr>
      </w:pPr>
      <w:r w:rsidRPr="00D166EA">
        <w:rPr>
          <w:szCs w:val="22"/>
        </w:rPr>
        <w:t>Ant dėžutės</w:t>
      </w:r>
      <w:r w:rsidR="0044364C">
        <w:rPr>
          <w:szCs w:val="22"/>
        </w:rPr>
        <w:t xml:space="preserve">, </w:t>
      </w:r>
      <w:r w:rsidR="0044364C" w:rsidRPr="00591D31">
        <w:rPr>
          <w:szCs w:val="22"/>
          <w:highlight w:val="lightGray"/>
        </w:rPr>
        <w:t>buteliuko</w:t>
      </w:r>
      <w:r w:rsidRPr="00D166EA">
        <w:rPr>
          <w:szCs w:val="22"/>
        </w:rPr>
        <w:t xml:space="preserve"> ir lizdinės plokštelės po „Tinka iki/EXP“ nurodytam tinkamumo laikui pasibaigus, šio vaisto vartoti negalima. </w:t>
      </w:r>
    </w:p>
    <w:p w14:paraId="75C6E46F" w14:textId="77777777" w:rsidR="00BF2076" w:rsidRDefault="00BF2076" w:rsidP="0061061F">
      <w:pPr>
        <w:numPr>
          <w:ilvl w:val="12"/>
          <w:numId w:val="0"/>
        </w:numPr>
        <w:tabs>
          <w:tab w:val="left" w:pos="1296"/>
        </w:tabs>
        <w:rPr>
          <w:szCs w:val="22"/>
        </w:rPr>
      </w:pPr>
    </w:p>
    <w:p w14:paraId="6A3667EA" w14:textId="77777777" w:rsidR="0061061F" w:rsidRPr="00D166EA" w:rsidRDefault="0061061F" w:rsidP="0061061F">
      <w:pPr>
        <w:numPr>
          <w:ilvl w:val="12"/>
          <w:numId w:val="0"/>
        </w:numPr>
        <w:tabs>
          <w:tab w:val="left" w:pos="1296"/>
        </w:tabs>
        <w:rPr>
          <w:szCs w:val="22"/>
        </w:rPr>
      </w:pPr>
      <w:r w:rsidRPr="00D166EA">
        <w:rPr>
          <w:szCs w:val="22"/>
        </w:rPr>
        <w:t>Vaistas tinkamas vartoti iki paskutinės nurodyto mėnesio dienos.</w:t>
      </w:r>
    </w:p>
    <w:p w14:paraId="443D63EF" w14:textId="77777777" w:rsidR="0061061F" w:rsidRPr="00D166EA" w:rsidRDefault="0061061F" w:rsidP="0061061F">
      <w:pPr>
        <w:jc w:val="both"/>
        <w:rPr>
          <w:szCs w:val="22"/>
        </w:rPr>
      </w:pPr>
    </w:p>
    <w:p w14:paraId="022F9F32" w14:textId="77777777" w:rsidR="0061061F" w:rsidRPr="00D166EA" w:rsidRDefault="0061061F" w:rsidP="0061061F">
      <w:pPr>
        <w:numPr>
          <w:ilvl w:val="12"/>
          <w:numId w:val="0"/>
        </w:numPr>
        <w:tabs>
          <w:tab w:val="left" w:pos="1296"/>
        </w:tabs>
        <w:rPr>
          <w:rFonts w:eastAsia="MS Mincho"/>
          <w:szCs w:val="22"/>
        </w:rPr>
      </w:pPr>
      <w:r w:rsidRPr="00D166EA">
        <w:rPr>
          <w:rFonts w:eastAsia="MS Mincho"/>
          <w:szCs w:val="22"/>
        </w:rPr>
        <w:t>Šiam vaistui specialių laikymo sąlygų nereikia.</w:t>
      </w:r>
    </w:p>
    <w:p w14:paraId="77FAECB2" w14:textId="77777777" w:rsidR="0061061F" w:rsidRDefault="0061061F" w:rsidP="0061061F">
      <w:pPr>
        <w:numPr>
          <w:ilvl w:val="12"/>
          <w:numId w:val="0"/>
        </w:numPr>
        <w:tabs>
          <w:tab w:val="left" w:pos="1296"/>
        </w:tabs>
        <w:rPr>
          <w:szCs w:val="22"/>
        </w:rPr>
      </w:pPr>
    </w:p>
    <w:p w14:paraId="705756F5" w14:textId="77777777" w:rsidR="00BF2076" w:rsidRDefault="00D50B6C" w:rsidP="0061061F">
      <w:pPr>
        <w:numPr>
          <w:ilvl w:val="12"/>
          <w:numId w:val="0"/>
        </w:numPr>
        <w:tabs>
          <w:tab w:val="left" w:pos="1296"/>
        </w:tabs>
        <w:rPr>
          <w:szCs w:val="22"/>
        </w:rPr>
      </w:pPr>
      <w:r>
        <w:rPr>
          <w:szCs w:val="22"/>
        </w:rPr>
        <w:t>Buteliuką pirmą kartą atidarius,</w:t>
      </w:r>
      <w:r w:rsidR="00BF2076">
        <w:rPr>
          <w:szCs w:val="22"/>
        </w:rPr>
        <w:t xml:space="preserve"> vaistas tinka</w:t>
      </w:r>
      <w:r w:rsidR="005A6A86">
        <w:rPr>
          <w:szCs w:val="22"/>
        </w:rPr>
        <w:t>mas</w:t>
      </w:r>
      <w:r w:rsidR="00BF2076">
        <w:rPr>
          <w:szCs w:val="22"/>
        </w:rPr>
        <w:t xml:space="preserve"> vartoti 6</w:t>
      </w:r>
      <w:r w:rsidR="00942930">
        <w:rPr>
          <w:szCs w:val="22"/>
        </w:rPr>
        <w:t> </w:t>
      </w:r>
      <w:r w:rsidR="00BF2076">
        <w:rPr>
          <w:szCs w:val="22"/>
        </w:rPr>
        <w:t>mėnesius.</w:t>
      </w:r>
    </w:p>
    <w:p w14:paraId="61AFF44E" w14:textId="77777777" w:rsidR="00BF2076" w:rsidRPr="00D166EA" w:rsidRDefault="00BF2076" w:rsidP="0061061F">
      <w:pPr>
        <w:numPr>
          <w:ilvl w:val="12"/>
          <w:numId w:val="0"/>
        </w:numPr>
        <w:tabs>
          <w:tab w:val="left" w:pos="1296"/>
        </w:tabs>
        <w:rPr>
          <w:szCs w:val="22"/>
        </w:rPr>
      </w:pPr>
    </w:p>
    <w:p w14:paraId="363C458E" w14:textId="77777777" w:rsidR="0061061F" w:rsidRPr="00D166EA" w:rsidRDefault="0061061F" w:rsidP="0061061F">
      <w:pPr>
        <w:numPr>
          <w:ilvl w:val="12"/>
          <w:numId w:val="0"/>
        </w:numPr>
        <w:tabs>
          <w:tab w:val="left" w:pos="1296"/>
        </w:tabs>
        <w:rPr>
          <w:i/>
          <w:iCs/>
          <w:szCs w:val="22"/>
        </w:rPr>
      </w:pPr>
      <w:r w:rsidRPr="00D166EA">
        <w:rPr>
          <w:szCs w:val="22"/>
        </w:rPr>
        <w:t xml:space="preserve">Vaistų negalima išmesti į kanalizaciją arba su </w:t>
      </w:r>
      <w:r w:rsidRPr="00591D31">
        <w:rPr>
          <w:szCs w:val="22"/>
          <w:highlight w:val="lightGray"/>
        </w:rPr>
        <w:t>buitinėmis atliekomis</w:t>
      </w:r>
      <w:r w:rsidRPr="00D166EA">
        <w:rPr>
          <w:szCs w:val="22"/>
        </w:rPr>
        <w:t>. Kaip išmesti nereikalingus vaistus, klauskite vaistininko. Šios priemonės padės apsaugoti aplinką.</w:t>
      </w:r>
    </w:p>
    <w:p w14:paraId="41451DAC" w14:textId="77777777" w:rsidR="0061061F" w:rsidRPr="00D166EA" w:rsidRDefault="0061061F" w:rsidP="0061061F">
      <w:pPr>
        <w:numPr>
          <w:ilvl w:val="12"/>
          <w:numId w:val="0"/>
        </w:numPr>
        <w:rPr>
          <w:szCs w:val="22"/>
        </w:rPr>
      </w:pPr>
    </w:p>
    <w:p w14:paraId="13901519" w14:textId="77777777" w:rsidR="0061061F" w:rsidRPr="00D166EA" w:rsidRDefault="0061061F" w:rsidP="0061061F">
      <w:pPr>
        <w:numPr>
          <w:ilvl w:val="12"/>
          <w:numId w:val="0"/>
        </w:numPr>
        <w:rPr>
          <w:szCs w:val="22"/>
        </w:rPr>
      </w:pPr>
    </w:p>
    <w:p w14:paraId="198609BF" w14:textId="77777777" w:rsidR="0061061F" w:rsidRPr="00D166EA" w:rsidRDefault="0061061F" w:rsidP="0061061F">
      <w:pPr>
        <w:pStyle w:val="Antrat3"/>
        <w:spacing w:before="0" w:after="0"/>
        <w:rPr>
          <w:rFonts w:ascii="Times New Roman" w:hAnsi="Times New Roman"/>
          <w:sz w:val="22"/>
          <w:szCs w:val="22"/>
        </w:rPr>
      </w:pPr>
      <w:r w:rsidRPr="00D166EA">
        <w:rPr>
          <w:rFonts w:ascii="Times New Roman" w:hAnsi="Times New Roman"/>
          <w:sz w:val="22"/>
          <w:szCs w:val="22"/>
        </w:rPr>
        <w:t>6.</w:t>
      </w:r>
      <w:r w:rsidRPr="00D166EA">
        <w:rPr>
          <w:rFonts w:ascii="Times New Roman" w:hAnsi="Times New Roman"/>
          <w:b w:val="0"/>
          <w:bCs w:val="0"/>
          <w:sz w:val="22"/>
          <w:szCs w:val="22"/>
        </w:rPr>
        <w:tab/>
      </w:r>
      <w:r w:rsidRPr="00D166EA">
        <w:rPr>
          <w:rFonts w:ascii="Times New Roman" w:hAnsi="Times New Roman"/>
          <w:sz w:val="22"/>
          <w:szCs w:val="22"/>
        </w:rPr>
        <w:t>Pakuotės turinys ir kita informacija</w:t>
      </w:r>
    </w:p>
    <w:p w14:paraId="46309790" w14:textId="77777777" w:rsidR="0061061F" w:rsidRPr="00D166EA" w:rsidRDefault="0061061F" w:rsidP="0061061F">
      <w:pPr>
        <w:numPr>
          <w:ilvl w:val="12"/>
          <w:numId w:val="0"/>
        </w:numPr>
        <w:rPr>
          <w:szCs w:val="22"/>
        </w:rPr>
      </w:pPr>
    </w:p>
    <w:p w14:paraId="51334B79" w14:textId="77777777" w:rsidR="0061061F" w:rsidRPr="00D166EA" w:rsidRDefault="009D4230" w:rsidP="005E1529">
      <w:pPr>
        <w:rPr>
          <w:b/>
          <w:szCs w:val="22"/>
        </w:rPr>
      </w:pPr>
      <w:r w:rsidRPr="00D166EA">
        <w:rPr>
          <w:b/>
          <w:szCs w:val="22"/>
        </w:rPr>
        <w:lastRenderedPageBreak/>
        <w:t>Entecavir</w:t>
      </w:r>
      <w:r w:rsidR="0061061F" w:rsidRPr="00D166EA">
        <w:rPr>
          <w:b/>
          <w:szCs w:val="22"/>
        </w:rPr>
        <w:t xml:space="preserve"> Sandoz sudėtis </w:t>
      </w:r>
    </w:p>
    <w:p w14:paraId="37E34AD5" w14:textId="77777777" w:rsidR="0061061F" w:rsidRPr="00D166EA" w:rsidRDefault="0061061F" w:rsidP="005E1529">
      <w:pPr>
        <w:pStyle w:val="Sraopastraipa"/>
        <w:widowControl w:val="0"/>
        <w:numPr>
          <w:ilvl w:val="0"/>
          <w:numId w:val="6"/>
        </w:numPr>
        <w:autoSpaceDE w:val="0"/>
        <w:autoSpaceDN w:val="0"/>
        <w:adjustRightInd w:val="0"/>
        <w:ind w:left="567" w:hanging="567"/>
        <w:rPr>
          <w:color w:val="000000"/>
          <w:sz w:val="22"/>
          <w:szCs w:val="22"/>
          <w:lang w:val="lt-LT"/>
        </w:rPr>
      </w:pPr>
      <w:r w:rsidRPr="00D166EA">
        <w:rPr>
          <w:sz w:val="22"/>
          <w:szCs w:val="22"/>
          <w:lang w:val="lt-LT"/>
        </w:rPr>
        <w:t xml:space="preserve">Veiklioji medžiaga yra </w:t>
      </w:r>
      <w:r w:rsidR="00BF2076">
        <w:rPr>
          <w:sz w:val="22"/>
          <w:szCs w:val="22"/>
          <w:lang w:val="lt-LT"/>
        </w:rPr>
        <w:t>e</w:t>
      </w:r>
      <w:r w:rsidR="009D4230" w:rsidRPr="00D166EA">
        <w:rPr>
          <w:sz w:val="22"/>
          <w:szCs w:val="22"/>
          <w:lang w:val="lt-LT"/>
        </w:rPr>
        <w:t>nte</w:t>
      </w:r>
      <w:r w:rsidR="00BF2076">
        <w:rPr>
          <w:sz w:val="22"/>
          <w:szCs w:val="22"/>
          <w:lang w:val="lt-LT"/>
        </w:rPr>
        <w:t>k</w:t>
      </w:r>
      <w:r w:rsidR="009D4230" w:rsidRPr="00D166EA">
        <w:rPr>
          <w:sz w:val="22"/>
          <w:szCs w:val="22"/>
          <w:lang w:val="lt-LT"/>
        </w:rPr>
        <w:t>avir</w:t>
      </w:r>
      <w:r w:rsidRPr="00D166EA">
        <w:rPr>
          <w:sz w:val="22"/>
          <w:szCs w:val="22"/>
          <w:lang w:val="lt-LT"/>
        </w:rPr>
        <w:t>as</w:t>
      </w:r>
      <w:r w:rsidR="00BF2076">
        <w:rPr>
          <w:sz w:val="22"/>
          <w:szCs w:val="22"/>
          <w:lang w:val="lt-LT"/>
        </w:rPr>
        <w:t xml:space="preserve"> (monohidrato pavidalu)</w:t>
      </w:r>
      <w:r w:rsidRPr="00D166EA">
        <w:rPr>
          <w:sz w:val="22"/>
          <w:szCs w:val="22"/>
          <w:lang w:val="lt-LT"/>
        </w:rPr>
        <w:t xml:space="preserve">. </w:t>
      </w:r>
      <w:r w:rsidR="00223A22">
        <w:rPr>
          <w:sz w:val="22"/>
          <w:szCs w:val="22"/>
          <w:lang w:val="lt-LT"/>
        </w:rPr>
        <w:br/>
      </w:r>
      <w:r w:rsidR="002439C5">
        <w:rPr>
          <w:sz w:val="22"/>
          <w:szCs w:val="22"/>
          <w:lang w:val="lt-LT"/>
        </w:rPr>
        <w:t>Kiekvienoje plėvele dengtoje tabletėje yra 0,5 mg entekaviro (monohidrato pavidalu).</w:t>
      </w:r>
      <w:r w:rsidR="002439C5">
        <w:rPr>
          <w:sz w:val="22"/>
          <w:szCs w:val="22"/>
          <w:lang w:val="lt-LT"/>
        </w:rPr>
        <w:br/>
      </w:r>
      <w:r w:rsidR="002439C5" w:rsidRPr="00591D31">
        <w:rPr>
          <w:sz w:val="22"/>
          <w:szCs w:val="22"/>
          <w:highlight w:val="lightGray"/>
          <w:lang w:val="lt-LT"/>
        </w:rPr>
        <w:t>Kiekvienoje plėvele dengtoje tabletėje yra 1 mg entekaviro (monohidrato pavidalu).</w:t>
      </w:r>
    </w:p>
    <w:p w14:paraId="25BA9A1B" w14:textId="77777777" w:rsidR="0061061F" w:rsidRPr="00D166EA" w:rsidRDefault="0061061F" w:rsidP="0061061F">
      <w:pPr>
        <w:numPr>
          <w:ilvl w:val="0"/>
          <w:numId w:val="6"/>
        </w:numPr>
        <w:tabs>
          <w:tab w:val="left" w:pos="540"/>
          <w:tab w:val="num" w:pos="720"/>
          <w:tab w:val="left" w:pos="1296"/>
        </w:tabs>
        <w:ind w:left="567" w:hanging="567"/>
        <w:rPr>
          <w:szCs w:val="22"/>
        </w:rPr>
      </w:pPr>
      <w:r w:rsidRPr="00D166EA">
        <w:rPr>
          <w:szCs w:val="22"/>
        </w:rPr>
        <w:t>Pagalbinės medžiagos yra:</w:t>
      </w:r>
    </w:p>
    <w:p w14:paraId="02B6D7A7" w14:textId="77777777" w:rsidR="0061061F" w:rsidRPr="00D166EA" w:rsidRDefault="0061061F" w:rsidP="0061061F">
      <w:pPr>
        <w:widowControl w:val="0"/>
        <w:autoSpaceDE w:val="0"/>
        <w:autoSpaceDN w:val="0"/>
        <w:adjustRightInd w:val="0"/>
        <w:ind w:left="567"/>
        <w:rPr>
          <w:rFonts w:eastAsia="MS Mincho"/>
          <w:szCs w:val="22"/>
        </w:rPr>
      </w:pPr>
      <w:r w:rsidRPr="00BF2076">
        <w:rPr>
          <w:i/>
          <w:color w:val="000000"/>
          <w:szCs w:val="22"/>
        </w:rPr>
        <w:t>Table</w:t>
      </w:r>
      <w:r w:rsidR="009A36C1" w:rsidRPr="00BF2076">
        <w:rPr>
          <w:i/>
          <w:color w:val="000000"/>
          <w:szCs w:val="22"/>
        </w:rPr>
        <w:t>tės branduolys</w:t>
      </w:r>
      <w:r w:rsidRPr="00D166EA">
        <w:rPr>
          <w:i/>
          <w:color w:val="000000"/>
          <w:szCs w:val="22"/>
        </w:rPr>
        <w:t>:</w:t>
      </w:r>
      <w:r w:rsidRPr="00D166EA">
        <w:rPr>
          <w:color w:val="000000"/>
          <w:szCs w:val="22"/>
        </w:rPr>
        <w:t xml:space="preserve"> </w:t>
      </w:r>
      <w:r w:rsidRPr="00D166EA">
        <w:rPr>
          <w:rFonts w:eastAsia="MS Mincho"/>
          <w:szCs w:val="22"/>
        </w:rPr>
        <w:t>laktozė monohidratas, mikrokristalinė celiuliozė</w:t>
      </w:r>
      <w:r w:rsidR="009A36C1" w:rsidRPr="00D166EA">
        <w:rPr>
          <w:rFonts w:eastAsia="MS Mincho"/>
          <w:szCs w:val="22"/>
        </w:rPr>
        <w:t>,</w:t>
      </w:r>
      <w:r w:rsidRPr="00D166EA">
        <w:rPr>
          <w:rFonts w:eastAsia="MS Mincho"/>
          <w:szCs w:val="22"/>
        </w:rPr>
        <w:t xml:space="preserve"> k</w:t>
      </w:r>
      <w:r w:rsidR="00BF2076">
        <w:rPr>
          <w:rFonts w:eastAsia="MS Mincho"/>
          <w:szCs w:val="22"/>
        </w:rPr>
        <w:t>rospovidomas (A tipo), magnio stearatas</w:t>
      </w:r>
      <w:r w:rsidRPr="00D166EA">
        <w:rPr>
          <w:rFonts w:eastAsia="MS Mincho"/>
          <w:szCs w:val="22"/>
        </w:rPr>
        <w:t>.</w:t>
      </w:r>
    </w:p>
    <w:p w14:paraId="3B7BCCFA" w14:textId="77777777" w:rsidR="0061061F" w:rsidRPr="00D166EA" w:rsidRDefault="0061061F" w:rsidP="0061061F">
      <w:pPr>
        <w:tabs>
          <w:tab w:val="left" w:pos="658"/>
        </w:tabs>
        <w:ind w:left="567"/>
        <w:jc w:val="both"/>
        <w:rPr>
          <w:color w:val="000000"/>
          <w:szCs w:val="22"/>
        </w:rPr>
      </w:pPr>
      <w:r w:rsidRPr="00BF2076">
        <w:rPr>
          <w:i/>
          <w:color w:val="000000"/>
          <w:szCs w:val="22"/>
        </w:rPr>
        <w:t>Table</w:t>
      </w:r>
      <w:r w:rsidR="009A36C1" w:rsidRPr="00BF2076">
        <w:rPr>
          <w:i/>
          <w:color w:val="000000"/>
          <w:szCs w:val="22"/>
        </w:rPr>
        <w:t>tės</w:t>
      </w:r>
      <w:r w:rsidRPr="00BF2076">
        <w:rPr>
          <w:i/>
          <w:color w:val="000000"/>
          <w:szCs w:val="22"/>
        </w:rPr>
        <w:t xml:space="preserve"> plėvelė</w:t>
      </w:r>
      <w:r w:rsidRPr="00D166EA">
        <w:rPr>
          <w:i/>
          <w:color w:val="000000"/>
          <w:szCs w:val="22"/>
        </w:rPr>
        <w:t>:</w:t>
      </w:r>
      <w:r w:rsidRPr="00D166EA">
        <w:rPr>
          <w:color w:val="000000"/>
          <w:szCs w:val="22"/>
        </w:rPr>
        <w:t xml:space="preserve"> </w:t>
      </w:r>
      <w:r w:rsidR="009A36C1" w:rsidRPr="00D166EA">
        <w:rPr>
          <w:color w:val="000000"/>
          <w:szCs w:val="22"/>
        </w:rPr>
        <w:t>hipromeliozė</w:t>
      </w:r>
      <w:r w:rsidR="00BF2076">
        <w:rPr>
          <w:color w:val="000000"/>
          <w:szCs w:val="22"/>
        </w:rPr>
        <w:t xml:space="preserve"> 2910</w:t>
      </w:r>
      <w:r w:rsidRPr="00D166EA">
        <w:rPr>
          <w:color w:val="000000"/>
          <w:szCs w:val="22"/>
        </w:rPr>
        <w:t xml:space="preserve">, </w:t>
      </w:r>
      <w:r w:rsidR="00BF2076" w:rsidRPr="00D166EA">
        <w:rPr>
          <w:color w:val="000000"/>
          <w:szCs w:val="22"/>
        </w:rPr>
        <w:t>makrogolis</w:t>
      </w:r>
      <w:r w:rsidR="00BF2076">
        <w:rPr>
          <w:color w:val="000000"/>
          <w:szCs w:val="22"/>
        </w:rPr>
        <w:t xml:space="preserve"> 6000,</w:t>
      </w:r>
      <w:r w:rsidR="00BF2076" w:rsidRPr="00D166EA">
        <w:rPr>
          <w:color w:val="000000"/>
          <w:szCs w:val="22"/>
        </w:rPr>
        <w:t xml:space="preserve"> </w:t>
      </w:r>
      <w:r w:rsidRPr="00D166EA">
        <w:rPr>
          <w:color w:val="000000"/>
          <w:szCs w:val="22"/>
        </w:rPr>
        <w:t>titano dioksidas</w:t>
      </w:r>
      <w:r w:rsidR="00BF2076">
        <w:rPr>
          <w:color w:val="000000"/>
          <w:szCs w:val="22"/>
        </w:rPr>
        <w:t xml:space="preserve"> (E171)</w:t>
      </w:r>
      <w:r w:rsidR="005A6A86">
        <w:rPr>
          <w:color w:val="000000"/>
          <w:szCs w:val="22"/>
        </w:rPr>
        <w:t>,</w:t>
      </w:r>
      <w:r w:rsidR="00BF2076">
        <w:rPr>
          <w:color w:val="000000"/>
          <w:szCs w:val="22"/>
        </w:rPr>
        <w:t xml:space="preserve"> talkas</w:t>
      </w:r>
      <w:r w:rsidRPr="00D166EA">
        <w:rPr>
          <w:color w:val="000000"/>
          <w:szCs w:val="22"/>
        </w:rPr>
        <w:t>.</w:t>
      </w:r>
    </w:p>
    <w:p w14:paraId="17736C37" w14:textId="77777777" w:rsidR="0061061F" w:rsidRPr="00D166EA" w:rsidRDefault="00BF2076" w:rsidP="00BF2076">
      <w:pPr>
        <w:tabs>
          <w:tab w:val="left" w:pos="1296"/>
        </w:tabs>
        <w:ind w:left="567"/>
        <w:rPr>
          <w:szCs w:val="22"/>
        </w:rPr>
      </w:pPr>
      <w:r w:rsidRPr="00591D31">
        <w:rPr>
          <w:szCs w:val="22"/>
          <w:highlight w:val="lightGray"/>
        </w:rPr>
        <w:t>Entecavir Sandoz 1</w:t>
      </w:r>
      <w:r w:rsidR="00942930" w:rsidRPr="00591D31">
        <w:rPr>
          <w:szCs w:val="22"/>
          <w:highlight w:val="lightGray"/>
        </w:rPr>
        <w:t> </w:t>
      </w:r>
      <w:r w:rsidRPr="00591D31">
        <w:rPr>
          <w:szCs w:val="22"/>
          <w:highlight w:val="lightGray"/>
        </w:rPr>
        <w:t>mg plėvele dengtų tablečių sudėtyje</w:t>
      </w:r>
      <w:r w:rsidRPr="00BF2076">
        <w:rPr>
          <w:szCs w:val="22"/>
        </w:rPr>
        <w:t xml:space="preserve"> papildomai yra</w:t>
      </w:r>
      <w:r>
        <w:rPr>
          <w:szCs w:val="22"/>
        </w:rPr>
        <w:t xml:space="preserve"> r</w:t>
      </w:r>
      <w:r w:rsidRPr="00BF2076">
        <w:rPr>
          <w:szCs w:val="22"/>
        </w:rPr>
        <w:t>audon</w:t>
      </w:r>
      <w:r>
        <w:rPr>
          <w:szCs w:val="22"/>
        </w:rPr>
        <w:t>ojo</w:t>
      </w:r>
      <w:r w:rsidRPr="00BF2076">
        <w:rPr>
          <w:szCs w:val="22"/>
        </w:rPr>
        <w:t xml:space="preserve"> geležies oksid</w:t>
      </w:r>
      <w:r>
        <w:rPr>
          <w:szCs w:val="22"/>
        </w:rPr>
        <w:t>o (E172) ir geltonojo</w:t>
      </w:r>
      <w:r w:rsidRPr="00BF2076">
        <w:rPr>
          <w:szCs w:val="22"/>
        </w:rPr>
        <w:t xml:space="preserve"> geležies oksid</w:t>
      </w:r>
      <w:r>
        <w:rPr>
          <w:szCs w:val="22"/>
        </w:rPr>
        <w:t>o</w:t>
      </w:r>
      <w:r w:rsidRPr="00BF2076">
        <w:rPr>
          <w:szCs w:val="22"/>
        </w:rPr>
        <w:t xml:space="preserve"> (E17</w:t>
      </w:r>
      <w:r>
        <w:rPr>
          <w:szCs w:val="22"/>
        </w:rPr>
        <w:t>2</w:t>
      </w:r>
      <w:r w:rsidRPr="00BF2076">
        <w:rPr>
          <w:szCs w:val="22"/>
        </w:rPr>
        <w:t>)</w:t>
      </w:r>
      <w:r w:rsidR="005A6A86">
        <w:rPr>
          <w:szCs w:val="22"/>
        </w:rPr>
        <w:t>.</w:t>
      </w:r>
    </w:p>
    <w:p w14:paraId="420B38D8" w14:textId="77777777" w:rsidR="00BF2076" w:rsidRDefault="00BF2076" w:rsidP="009A36C1">
      <w:pPr>
        <w:rPr>
          <w:b/>
          <w:szCs w:val="22"/>
        </w:rPr>
      </w:pPr>
    </w:p>
    <w:p w14:paraId="43909F85" w14:textId="77777777" w:rsidR="0061061F" w:rsidRPr="00D166EA" w:rsidRDefault="009D4230" w:rsidP="009A36C1">
      <w:pPr>
        <w:rPr>
          <w:b/>
          <w:szCs w:val="22"/>
        </w:rPr>
      </w:pPr>
      <w:r w:rsidRPr="00D166EA">
        <w:rPr>
          <w:b/>
          <w:szCs w:val="22"/>
        </w:rPr>
        <w:t>Entecavir</w:t>
      </w:r>
      <w:r w:rsidR="0061061F" w:rsidRPr="00D166EA">
        <w:rPr>
          <w:b/>
          <w:szCs w:val="22"/>
        </w:rPr>
        <w:t xml:space="preserve"> Sandoz išvaizda ir kiekis pakuotėje</w:t>
      </w:r>
    </w:p>
    <w:p w14:paraId="1E447E1F" w14:textId="77777777" w:rsidR="00BF2076" w:rsidRPr="00D166EA" w:rsidRDefault="00BF2076" w:rsidP="00BF2076">
      <w:pPr>
        <w:pStyle w:val="Normal11pt"/>
        <w:rPr>
          <w:rFonts w:eastAsia="SimSun"/>
          <w:lang w:val="lt-LT"/>
        </w:rPr>
      </w:pPr>
    </w:p>
    <w:p w14:paraId="44A725B5" w14:textId="77777777" w:rsidR="00BF2076" w:rsidRPr="00D166EA" w:rsidRDefault="00BF2076" w:rsidP="00BF2076">
      <w:pPr>
        <w:rPr>
          <w:szCs w:val="22"/>
          <w:u w:val="single"/>
        </w:rPr>
      </w:pPr>
      <w:r w:rsidRPr="00D50B6C">
        <w:rPr>
          <w:szCs w:val="22"/>
          <w:highlight w:val="lightGray"/>
          <w:u w:val="single"/>
        </w:rPr>
        <w:t>Entecavir Sandoz</w:t>
      </w:r>
      <w:r w:rsidRPr="00D50B6C">
        <w:rPr>
          <w:caps/>
          <w:szCs w:val="22"/>
          <w:highlight w:val="lightGray"/>
          <w:u w:val="single"/>
        </w:rPr>
        <w:t xml:space="preserve"> 0,5 </w:t>
      </w:r>
      <w:r w:rsidRPr="00D50B6C">
        <w:rPr>
          <w:szCs w:val="22"/>
          <w:highlight w:val="lightGray"/>
          <w:u w:val="single"/>
        </w:rPr>
        <w:t>mg plėvele dengtos tabletės</w:t>
      </w:r>
    </w:p>
    <w:p w14:paraId="5B5E5E4E" w14:textId="77777777" w:rsidR="00BF2076" w:rsidRPr="00D166EA" w:rsidRDefault="00BF2076" w:rsidP="00BF2076">
      <w:pPr>
        <w:pStyle w:val="Normal11pt"/>
        <w:rPr>
          <w:rFonts w:eastAsia="SimSun"/>
          <w:lang w:val="lt-LT"/>
        </w:rPr>
      </w:pPr>
      <w:r w:rsidRPr="00591D31">
        <w:rPr>
          <w:rFonts w:eastAsia="SimSun"/>
          <w:lang w:val="lt-LT"/>
        </w:rPr>
        <w:t>Balta, apvali, apytiksliai 8 mm skersmens plėvele dengta tabletė, kurios abiejose pusėse yra įspaudai: „SZ“ vienoje pusėje ir „108“ kitoje pusėje.</w:t>
      </w:r>
      <w:r w:rsidRPr="00D166EA">
        <w:rPr>
          <w:rFonts w:eastAsia="SimSun"/>
          <w:lang w:val="lt-LT"/>
        </w:rPr>
        <w:t xml:space="preserve"> </w:t>
      </w:r>
    </w:p>
    <w:p w14:paraId="4E54B019" w14:textId="77777777" w:rsidR="00BF2076" w:rsidRPr="00D166EA" w:rsidRDefault="00BF2076" w:rsidP="00BF2076">
      <w:pPr>
        <w:pStyle w:val="Normal11pt"/>
        <w:rPr>
          <w:rFonts w:eastAsia="SimSun"/>
          <w:highlight w:val="lightGray"/>
          <w:lang w:val="lt-LT"/>
        </w:rPr>
      </w:pPr>
    </w:p>
    <w:p w14:paraId="21F4A027" w14:textId="77777777" w:rsidR="00BF2076" w:rsidRPr="00591D31" w:rsidRDefault="00BF2076" w:rsidP="00BF2076">
      <w:pPr>
        <w:rPr>
          <w:szCs w:val="22"/>
          <w:highlight w:val="lightGray"/>
          <w:u w:val="single"/>
        </w:rPr>
      </w:pPr>
      <w:r w:rsidRPr="00591D31">
        <w:rPr>
          <w:szCs w:val="22"/>
          <w:highlight w:val="lightGray"/>
          <w:u w:val="single"/>
        </w:rPr>
        <w:t>Entecavir Sandoz</w:t>
      </w:r>
      <w:r w:rsidRPr="00591D31">
        <w:rPr>
          <w:caps/>
          <w:szCs w:val="22"/>
          <w:highlight w:val="lightGray"/>
          <w:u w:val="single"/>
        </w:rPr>
        <w:t xml:space="preserve"> 1 </w:t>
      </w:r>
      <w:r w:rsidRPr="00591D31">
        <w:rPr>
          <w:szCs w:val="22"/>
          <w:highlight w:val="lightGray"/>
          <w:u w:val="single"/>
        </w:rPr>
        <w:t>mg plėvele dengtos tabletės</w:t>
      </w:r>
      <w:r w:rsidR="00D50B6C" w:rsidRPr="00591D31">
        <w:rPr>
          <w:szCs w:val="22"/>
          <w:highlight w:val="lightGray"/>
          <w:u w:val="single"/>
        </w:rPr>
        <w:t xml:space="preserve"> </w:t>
      </w:r>
    </w:p>
    <w:p w14:paraId="40B0AF51" w14:textId="77777777" w:rsidR="00BF2076" w:rsidRPr="00D166EA" w:rsidRDefault="00BF2076" w:rsidP="00BF2076">
      <w:pPr>
        <w:pStyle w:val="Normal11pt"/>
        <w:rPr>
          <w:rFonts w:eastAsia="SimSun"/>
          <w:lang w:val="lt-LT"/>
        </w:rPr>
      </w:pPr>
      <w:r w:rsidRPr="00591D31">
        <w:rPr>
          <w:rFonts w:eastAsia="SimSun"/>
          <w:highlight w:val="lightGray"/>
          <w:lang w:val="lt-LT"/>
        </w:rPr>
        <w:t>Rausva, apvali, apytiksliai 10 mm skersmens plėvele dengta tabletė, kurios abiejose pusėse yra įspaudai: „SZ“ vienoje pusėje ir „109“ kitoje pusėje.</w:t>
      </w:r>
      <w:r w:rsidRPr="00D166EA">
        <w:rPr>
          <w:rFonts w:eastAsia="SimSun"/>
          <w:lang w:val="lt-LT"/>
        </w:rPr>
        <w:t xml:space="preserve"> </w:t>
      </w:r>
    </w:p>
    <w:p w14:paraId="55428446" w14:textId="77777777" w:rsidR="0061061F" w:rsidRPr="00D166EA" w:rsidRDefault="0061061F" w:rsidP="009A36C1">
      <w:pPr>
        <w:widowControl w:val="0"/>
        <w:autoSpaceDE w:val="0"/>
        <w:autoSpaceDN w:val="0"/>
        <w:adjustRightInd w:val="0"/>
        <w:jc w:val="both"/>
        <w:rPr>
          <w:color w:val="000000"/>
          <w:szCs w:val="22"/>
        </w:rPr>
      </w:pPr>
    </w:p>
    <w:p w14:paraId="73D96710" w14:textId="77777777" w:rsidR="00BF2076" w:rsidRPr="00D166EA" w:rsidRDefault="005169D5" w:rsidP="00BF2076">
      <w:pPr>
        <w:numPr>
          <w:ilvl w:val="12"/>
          <w:numId w:val="0"/>
        </w:numPr>
        <w:rPr>
          <w:szCs w:val="22"/>
        </w:rPr>
      </w:pPr>
      <w:r>
        <w:rPr>
          <w:szCs w:val="22"/>
        </w:rPr>
        <w:t xml:space="preserve">Plėvele dengtos tabletės yra supakuotos </w:t>
      </w:r>
      <w:r w:rsidR="00947C4A">
        <w:rPr>
          <w:szCs w:val="22"/>
        </w:rPr>
        <w:t xml:space="preserve">į </w:t>
      </w:r>
      <w:r w:rsidR="00BF2076" w:rsidRPr="00D166EA">
        <w:rPr>
          <w:szCs w:val="22"/>
        </w:rPr>
        <w:t>OPA/aliuminio/PVC-aliuminio lizdin</w:t>
      </w:r>
      <w:r w:rsidR="00947C4A">
        <w:rPr>
          <w:szCs w:val="22"/>
        </w:rPr>
        <w:t xml:space="preserve">es plokšteles arba </w:t>
      </w:r>
      <w:r w:rsidR="00497F7F" w:rsidRPr="00D166EA">
        <w:rPr>
          <w:szCs w:val="22"/>
        </w:rPr>
        <w:t>DTPE buteliuk</w:t>
      </w:r>
      <w:r w:rsidR="00497F7F">
        <w:rPr>
          <w:szCs w:val="22"/>
        </w:rPr>
        <w:t>ą</w:t>
      </w:r>
      <w:r w:rsidR="00497F7F" w:rsidRPr="00D166EA">
        <w:rPr>
          <w:szCs w:val="22"/>
        </w:rPr>
        <w:t xml:space="preserve"> su polipropileniniu vaikų sunkiai atidaromu užsukamuoju dangteliu</w:t>
      </w:r>
      <w:r w:rsidR="00497F7F">
        <w:rPr>
          <w:szCs w:val="22"/>
        </w:rPr>
        <w:t xml:space="preserve"> ir </w:t>
      </w:r>
      <w:r w:rsidR="00123FCD">
        <w:rPr>
          <w:szCs w:val="22"/>
        </w:rPr>
        <w:t>įdėtos į kartono dėžutę</w:t>
      </w:r>
      <w:r w:rsidR="00D50B6C">
        <w:rPr>
          <w:szCs w:val="22"/>
        </w:rPr>
        <w:t>.</w:t>
      </w:r>
    </w:p>
    <w:p w14:paraId="7653D7C1" w14:textId="77777777" w:rsidR="0021158A" w:rsidRDefault="0021158A" w:rsidP="00BF2076">
      <w:pPr>
        <w:numPr>
          <w:ilvl w:val="12"/>
          <w:numId w:val="0"/>
        </w:numPr>
        <w:rPr>
          <w:szCs w:val="22"/>
        </w:rPr>
      </w:pPr>
    </w:p>
    <w:p w14:paraId="09890C90" w14:textId="77777777" w:rsidR="0021158A" w:rsidRDefault="00BF2076" w:rsidP="00BF2076">
      <w:pPr>
        <w:numPr>
          <w:ilvl w:val="12"/>
          <w:numId w:val="0"/>
        </w:numPr>
        <w:rPr>
          <w:szCs w:val="22"/>
        </w:rPr>
      </w:pPr>
      <w:r w:rsidRPr="00D166EA">
        <w:rPr>
          <w:szCs w:val="22"/>
        </w:rPr>
        <w:t xml:space="preserve">Pakuotės dydžiai: </w:t>
      </w:r>
    </w:p>
    <w:p w14:paraId="69B3B71E" w14:textId="77777777" w:rsidR="00BF2076" w:rsidRPr="00D166EA" w:rsidRDefault="00021207" w:rsidP="00BF2076">
      <w:pPr>
        <w:numPr>
          <w:ilvl w:val="12"/>
          <w:numId w:val="0"/>
        </w:numPr>
        <w:rPr>
          <w:szCs w:val="22"/>
        </w:rPr>
      </w:pPr>
      <w:r>
        <w:rPr>
          <w:szCs w:val="22"/>
        </w:rPr>
        <w:t xml:space="preserve">Lizdinė plokštelė: </w:t>
      </w:r>
      <w:r w:rsidR="005A6A86" w:rsidRPr="00B606B7">
        <w:rPr>
          <w:szCs w:val="22"/>
        </w:rPr>
        <w:t>10</w:t>
      </w:r>
      <w:r w:rsidR="00BF2076" w:rsidRPr="00D166EA">
        <w:rPr>
          <w:szCs w:val="22"/>
        </w:rPr>
        <w:t>, 30 arba 90 plėvele dengtų tablečių.</w:t>
      </w:r>
    </w:p>
    <w:p w14:paraId="2E84ECB1" w14:textId="77777777" w:rsidR="00BF2076" w:rsidRPr="00D166EA" w:rsidRDefault="00021207">
      <w:pPr>
        <w:numPr>
          <w:ilvl w:val="12"/>
          <w:numId w:val="0"/>
        </w:numPr>
        <w:rPr>
          <w:szCs w:val="22"/>
        </w:rPr>
      </w:pPr>
      <w:r>
        <w:rPr>
          <w:szCs w:val="22"/>
        </w:rPr>
        <w:t>Buteliukas</w:t>
      </w:r>
      <w:r w:rsidR="001B2E36">
        <w:rPr>
          <w:szCs w:val="22"/>
        </w:rPr>
        <w:t>:</w:t>
      </w:r>
      <w:r w:rsidR="00BF2076" w:rsidRPr="00D166EA">
        <w:rPr>
          <w:szCs w:val="22"/>
        </w:rPr>
        <w:t xml:space="preserve"> 30 plėvele dengtų tablečių.</w:t>
      </w:r>
    </w:p>
    <w:p w14:paraId="3C790044" w14:textId="77777777" w:rsidR="00BF2076" w:rsidRPr="00D166EA" w:rsidRDefault="00BF2076" w:rsidP="00BF2076">
      <w:pPr>
        <w:numPr>
          <w:ilvl w:val="12"/>
          <w:numId w:val="0"/>
        </w:numPr>
        <w:rPr>
          <w:szCs w:val="22"/>
        </w:rPr>
      </w:pPr>
    </w:p>
    <w:p w14:paraId="090C12DD" w14:textId="77777777" w:rsidR="009A36C1" w:rsidRPr="00D166EA" w:rsidRDefault="00BF2076" w:rsidP="00BF2076">
      <w:pPr>
        <w:numPr>
          <w:ilvl w:val="12"/>
          <w:numId w:val="0"/>
        </w:numPr>
        <w:rPr>
          <w:szCs w:val="22"/>
        </w:rPr>
      </w:pPr>
      <w:r w:rsidRPr="00D166EA">
        <w:rPr>
          <w:szCs w:val="22"/>
        </w:rPr>
        <w:t>Gali būti tiekiamos ne visų dydžių pakuotės</w:t>
      </w:r>
    </w:p>
    <w:p w14:paraId="2F3C59D0" w14:textId="77777777" w:rsidR="0061061F" w:rsidRPr="00D166EA" w:rsidRDefault="0061061F" w:rsidP="009A36C1">
      <w:pPr>
        <w:rPr>
          <w:b/>
          <w:szCs w:val="22"/>
        </w:rPr>
      </w:pPr>
    </w:p>
    <w:p w14:paraId="394E5CE0" w14:textId="77777777" w:rsidR="0061061F" w:rsidRDefault="0061061F" w:rsidP="009A36C1">
      <w:pPr>
        <w:rPr>
          <w:b/>
          <w:szCs w:val="22"/>
        </w:rPr>
      </w:pPr>
      <w:r w:rsidRPr="00D166EA">
        <w:rPr>
          <w:b/>
          <w:szCs w:val="22"/>
        </w:rPr>
        <w:t>Registruotojas ir gamintoja</w:t>
      </w:r>
      <w:r w:rsidR="003501FE" w:rsidRPr="00D166EA">
        <w:rPr>
          <w:b/>
          <w:szCs w:val="22"/>
        </w:rPr>
        <w:t>i</w:t>
      </w:r>
    </w:p>
    <w:p w14:paraId="0E4DCED3" w14:textId="77777777" w:rsidR="00801841" w:rsidRDefault="00801841" w:rsidP="00801841">
      <w:pPr>
        <w:tabs>
          <w:tab w:val="left" w:pos="567"/>
          <w:tab w:val="left" w:pos="1125"/>
        </w:tabs>
        <w:adjustRightInd w:val="0"/>
        <w:spacing w:line="260" w:lineRule="exact"/>
        <w:rPr>
          <w:i/>
          <w:szCs w:val="22"/>
          <w:lang w:eastAsia="en-US"/>
        </w:rPr>
      </w:pPr>
    </w:p>
    <w:p w14:paraId="5A043923" w14:textId="77777777" w:rsidR="00801841" w:rsidRPr="00D732AC" w:rsidRDefault="00801841" w:rsidP="00801841">
      <w:pPr>
        <w:tabs>
          <w:tab w:val="left" w:pos="567"/>
          <w:tab w:val="left" w:pos="1125"/>
        </w:tabs>
        <w:adjustRightInd w:val="0"/>
        <w:spacing w:line="260" w:lineRule="exact"/>
        <w:rPr>
          <w:i/>
          <w:szCs w:val="22"/>
          <w:lang w:eastAsia="en-US"/>
        </w:rPr>
      </w:pPr>
      <w:r w:rsidRPr="00D732AC">
        <w:rPr>
          <w:i/>
          <w:szCs w:val="22"/>
          <w:lang w:eastAsia="en-US"/>
        </w:rPr>
        <w:t xml:space="preserve">Registruotojas </w:t>
      </w:r>
    </w:p>
    <w:p w14:paraId="6F10CE4D" w14:textId="77777777" w:rsidR="009A36C1" w:rsidRPr="00D166EA" w:rsidRDefault="009A36C1" w:rsidP="009A36C1">
      <w:pPr>
        <w:rPr>
          <w:szCs w:val="22"/>
        </w:rPr>
      </w:pPr>
      <w:r w:rsidRPr="00D166EA">
        <w:rPr>
          <w:szCs w:val="22"/>
        </w:rPr>
        <w:t>Sandoz d.d.</w:t>
      </w:r>
    </w:p>
    <w:p w14:paraId="72C750F6" w14:textId="77777777" w:rsidR="009A36C1" w:rsidRPr="00D166EA" w:rsidRDefault="009A36C1" w:rsidP="009A36C1">
      <w:pPr>
        <w:rPr>
          <w:szCs w:val="22"/>
        </w:rPr>
      </w:pPr>
      <w:r w:rsidRPr="00D166EA">
        <w:rPr>
          <w:szCs w:val="22"/>
        </w:rPr>
        <w:t>Verov</w:t>
      </w:r>
      <w:r w:rsidR="00942930">
        <w:rPr>
          <w:szCs w:val="22"/>
        </w:rPr>
        <w:t>š</w:t>
      </w:r>
      <w:r w:rsidRPr="00D166EA">
        <w:rPr>
          <w:szCs w:val="22"/>
        </w:rPr>
        <w:t>kova 57</w:t>
      </w:r>
    </w:p>
    <w:p w14:paraId="6379EA45" w14:textId="77777777" w:rsidR="009A36C1" w:rsidRPr="00D166EA" w:rsidRDefault="009A36C1" w:rsidP="009A36C1">
      <w:pPr>
        <w:rPr>
          <w:szCs w:val="22"/>
        </w:rPr>
      </w:pPr>
      <w:r w:rsidRPr="00D166EA">
        <w:rPr>
          <w:szCs w:val="22"/>
        </w:rPr>
        <w:t>SI-1000 Ljubljana</w:t>
      </w:r>
    </w:p>
    <w:p w14:paraId="571D517A" w14:textId="77777777" w:rsidR="009A36C1" w:rsidRDefault="009A36C1" w:rsidP="009A36C1">
      <w:pPr>
        <w:rPr>
          <w:szCs w:val="22"/>
        </w:rPr>
      </w:pPr>
      <w:r w:rsidRPr="00D166EA">
        <w:rPr>
          <w:szCs w:val="22"/>
        </w:rPr>
        <w:t>Slovėnija</w:t>
      </w:r>
    </w:p>
    <w:p w14:paraId="1ACB8B31" w14:textId="77777777" w:rsidR="00801841" w:rsidRPr="00D166EA" w:rsidRDefault="00801841" w:rsidP="009A36C1">
      <w:pPr>
        <w:rPr>
          <w:b/>
          <w:szCs w:val="22"/>
        </w:rPr>
      </w:pPr>
    </w:p>
    <w:p w14:paraId="0DA7906D" w14:textId="72F22AC6" w:rsidR="009A36C1" w:rsidRPr="00801841" w:rsidRDefault="00801841" w:rsidP="00801841">
      <w:pPr>
        <w:tabs>
          <w:tab w:val="left" w:pos="567"/>
          <w:tab w:val="left" w:pos="1125"/>
        </w:tabs>
        <w:adjustRightInd w:val="0"/>
        <w:spacing w:line="260" w:lineRule="exact"/>
        <w:rPr>
          <w:i/>
          <w:szCs w:val="22"/>
          <w:lang w:eastAsia="en-US"/>
        </w:rPr>
      </w:pPr>
      <w:r w:rsidRPr="00801841">
        <w:rPr>
          <w:i/>
          <w:szCs w:val="22"/>
          <w:lang w:eastAsia="en-US"/>
        </w:rPr>
        <w:t>Gamintoja</w:t>
      </w:r>
      <w:r w:rsidR="00E243D6">
        <w:rPr>
          <w:i/>
          <w:szCs w:val="22"/>
          <w:lang w:eastAsia="en-US"/>
        </w:rPr>
        <w:t>i</w:t>
      </w:r>
    </w:p>
    <w:p w14:paraId="705C4CDC" w14:textId="77777777" w:rsidR="00801841" w:rsidRDefault="00801841" w:rsidP="00801841">
      <w:pPr>
        <w:rPr>
          <w:szCs w:val="22"/>
        </w:rPr>
      </w:pPr>
      <w:r>
        <w:rPr>
          <w:szCs w:val="22"/>
        </w:rPr>
        <w:t>Lek Pharmaceuticals d.d.</w:t>
      </w:r>
    </w:p>
    <w:p w14:paraId="1FFD74A8" w14:textId="77777777" w:rsidR="00801841" w:rsidRDefault="00801841" w:rsidP="00801841">
      <w:pPr>
        <w:rPr>
          <w:szCs w:val="22"/>
        </w:rPr>
      </w:pPr>
      <w:r w:rsidRPr="00801841">
        <w:rPr>
          <w:szCs w:val="22"/>
        </w:rPr>
        <w:t>Verovškova ulica 57</w:t>
      </w:r>
    </w:p>
    <w:p w14:paraId="597117B0" w14:textId="77777777" w:rsidR="00801841" w:rsidRDefault="00801841" w:rsidP="00801841">
      <w:pPr>
        <w:rPr>
          <w:szCs w:val="22"/>
        </w:rPr>
      </w:pPr>
      <w:r w:rsidRPr="00801841">
        <w:rPr>
          <w:szCs w:val="22"/>
        </w:rPr>
        <w:t>1526 Ljubljana</w:t>
      </w:r>
    </w:p>
    <w:p w14:paraId="62A69FCA" w14:textId="77777777" w:rsidR="00801841" w:rsidRDefault="00801841" w:rsidP="00801841">
      <w:pPr>
        <w:rPr>
          <w:szCs w:val="22"/>
        </w:rPr>
      </w:pPr>
      <w:r>
        <w:rPr>
          <w:szCs w:val="22"/>
        </w:rPr>
        <w:t>Slovėnija</w:t>
      </w:r>
    </w:p>
    <w:p w14:paraId="1AEFB6D8" w14:textId="77777777" w:rsidR="00E243D6" w:rsidRDefault="00E243D6" w:rsidP="002746CC">
      <w:pPr>
        <w:rPr>
          <w:szCs w:val="22"/>
        </w:rPr>
      </w:pPr>
    </w:p>
    <w:p w14:paraId="2828513C" w14:textId="77777777" w:rsidR="00E243D6" w:rsidRDefault="00E243D6" w:rsidP="00E243D6">
      <w:pPr>
        <w:rPr>
          <w:szCs w:val="22"/>
        </w:rPr>
      </w:pPr>
      <w:r>
        <w:rPr>
          <w:szCs w:val="22"/>
        </w:rPr>
        <w:t>arba</w:t>
      </w:r>
    </w:p>
    <w:p w14:paraId="2DC13726" w14:textId="77777777" w:rsidR="00E243D6" w:rsidRDefault="00E243D6" w:rsidP="00E243D6">
      <w:pPr>
        <w:rPr>
          <w:szCs w:val="22"/>
        </w:rPr>
      </w:pPr>
    </w:p>
    <w:p w14:paraId="686D8A2A" w14:textId="77777777" w:rsidR="00E243D6" w:rsidRDefault="00E243D6" w:rsidP="00E243D6">
      <w:pPr>
        <w:rPr>
          <w:szCs w:val="22"/>
        </w:rPr>
      </w:pPr>
      <w:r w:rsidRPr="00D719F7">
        <w:rPr>
          <w:szCs w:val="22"/>
        </w:rPr>
        <w:t xml:space="preserve">Lek Pharmaceuticals d.d. </w:t>
      </w:r>
    </w:p>
    <w:p w14:paraId="4D5A5389" w14:textId="77777777" w:rsidR="00E243D6" w:rsidRDefault="00E243D6" w:rsidP="00E243D6">
      <w:pPr>
        <w:rPr>
          <w:szCs w:val="22"/>
        </w:rPr>
      </w:pPr>
      <w:r w:rsidRPr="00D719F7">
        <w:rPr>
          <w:szCs w:val="22"/>
        </w:rPr>
        <w:t xml:space="preserve">Trimlini 2d 9220 Lendava </w:t>
      </w:r>
    </w:p>
    <w:p w14:paraId="1D43864A" w14:textId="77777777" w:rsidR="00E243D6" w:rsidRPr="00E243D6" w:rsidRDefault="00E243D6" w:rsidP="00E243D6">
      <w:pPr>
        <w:rPr>
          <w:szCs w:val="22"/>
        </w:rPr>
      </w:pPr>
      <w:r w:rsidRPr="00D719F7">
        <w:rPr>
          <w:szCs w:val="22"/>
        </w:rPr>
        <w:t>Slovėnija</w:t>
      </w:r>
    </w:p>
    <w:p w14:paraId="2320F064" w14:textId="77777777" w:rsidR="00E243D6" w:rsidRPr="00801841" w:rsidRDefault="00E243D6" w:rsidP="00801841">
      <w:pPr>
        <w:rPr>
          <w:szCs w:val="22"/>
        </w:rPr>
      </w:pPr>
    </w:p>
    <w:p w14:paraId="2D4CF4F5" w14:textId="77777777" w:rsidR="00801841" w:rsidRPr="00D166EA" w:rsidRDefault="00801841" w:rsidP="009A36C1">
      <w:pPr>
        <w:ind w:left="567" w:hanging="567"/>
        <w:rPr>
          <w:szCs w:val="22"/>
        </w:rPr>
      </w:pPr>
    </w:p>
    <w:p w14:paraId="7C5E160B" w14:textId="77777777" w:rsidR="009A36C1" w:rsidRPr="00D166EA" w:rsidRDefault="009A36C1" w:rsidP="009A36C1">
      <w:pPr>
        <w:rPr>
          <w:szCs w:val="22"/>
        </w:rPr>
      </w:pPr>
      <w:r w:rsidRPr="00D166EA">
        <w:rPr>
          <w:szCs w:val="22"/>
        </w:rPr>
        <w:t>Jeigu apie šį vaistą norite sužinoti daugiau, kreipkitės į vietinį registruotojo atstovą.</w:t>
      </w:r>
    </w:p>
    <w:p w14:paraId="4080A94B" w14:textId="77777777" w:rsidR="009A36C1" w:rsidRPr="00D166EA" w:rsidRDefault="009A36C1" w:rsidP="009A36C1">
      <w:pPr>
        <w:rPr>
          <w:szCs w:val="22"/>
        </w:rPr>
      </w:pPr>
      <w:r w:rsidRPr="00D166EA">
        <w:rPr>
          <w:szCs w:val="22"/>
        </w:rPr>
        <w:t> </w:t>
      </w:r>
    </w:p>
    <w:p w14:paraId="22EB817B" w14:textId="77777777" w:rsidR="009A36C1" w:rsidRPr="00D166EA" w:rsidRDefault="009A36C1" w:rsidP="009A36C1">
      <w:pPr>
        <w:rPr>
          <w:szCs w:val="22"/>
        </w:rPr>
      </w:pPr>
      <w:r w:rsidRPr="00D166EA">
        <w:rPr>
          <w:bCs/>
          <w:szCs w:val="22"/>
        </w:rPr>
        <w:t>Sandoz Pharmaceuticals d.d. filialas</w:t>
      </w:r>
    </w:p>
    <w:p w14:paraId="395066A1" w14:textId="77777777" w:rsidR="009A36C1" w:rsidRPr="00D166EA" w:rsidRDefault="009A36C1" w:rsidP="009A36C1">
      <w:pPr>
        <w:rPr>
          <w:szCs w:val="22"/>
        </w:rPr>
      </w:pPr>
      <w:r w:rsidRPr="00D166EA">
        <w:rPr>
          <w:bCs/>
          <w:szCs w:val="22"/>
        </w:rPr>
        <w:t>Tel. +370 5 2636037</w:t>
      </w:r>
    </w:p>
    <w:p w14:paraId="6A34CEA2" w14:textId="690EC6F7" w:rsidR="009A36C1" w:rsidRPr="00D166EA" w:rsidRDefault="009A36C1" w:rsidP="009A36C1">
      <w:pPr>
        <w:rPr>
          <w:szCs w:val="22"/>
        </w:rPr>
      </w:pPr>
    </w:p>
    <w:p w14:paraId="0FF4C7AD" w14:textId="77777777" w:rsidR="007F5A54" w:rsidRPr="00D166EA" w:rsidRDefault="007F5A54" w:rsidP="0061061F">
      <w:pPr>
        <w:numPr>
          <w:ilvl w:val="12"/>
          <w:numId w:val="0"/>
        </w:numPr>
        <w:rPr>
          <w:szCs w:val="22"/>
        </w:rPr>
      </w:pPr>
    </w:p>
    <w:p w14:paraId="3C9CFFB4" w14:textId="09501D12" w:rsidR="003501FE" w:rsidRDefault="003501FE" w:rsidP="003501FE">
      <w:pPr>
        <w:numPr>
          <w:ilvl w:val="12"/>
          <w:numId w:val="0"/>
        </w:numPr>
        <w:tabs>
          <w:tab w:val="left" w:pos="567"/>
        </w:tabs>
        <w:spacing w:line="260" w:lineRule="exact"/>
        <w:ind w:right="-2"/>
        <w:rPr>
          <w:snapToGrid w:val="0"/>
          <w:szCs w:val="22"/>
          <w:lang w:eastAsia="en-US"/>
        </w:rPr>
      </w:pPr>
      <w:r w:rsidRPr="00D166EA">
        <w:rPr>
          <w:b/>
          <w:snapToGrid w:val="0"/>
          <w:szCs w:val="22"/>
          <w:lang w:eastAsia="en-US"/>
        </w:rPr>
        <w:t xml:space="preserve">Šis vaistas </w:t>
      </w:r>
      <w:r w:rsidR="00FA0E8B" w:rsidRPr="00560367">
        <w:rPr>
          <w:b/>
          <w:szCs w:val="22"/>
        </w:rPr>
        <w:t>Europos ekonominės erdvės valstybėse narėse ir Jungtinėje Karalystėje (Šiaurės Airijoje)</w:t>
      </w:r>
      <w:r w:rsidRPr="00D166EA">
        <w:rPr>
          <w:b/>
          <w:snapToGrid w:val="0"/>
          <w:szCs w:val="22"/>
          <w:lang w:eastAsia="en-US"/>
        </w:rPr>
        <w:t xml:space="preserve"> registruotas tokiais pavadinimais</w:t>
      </w:r>
      <w:r w:rsidRPr="00D166EA">
        <w:rPr>
          <w:snapToGrid w:val="0"/>
          <w:szCs w:val="22"/>
          <w:lang w:eastAsia="en-US"/>
        </w:rPr>
        <w:t>:</w:t>
      </w:r>
    </w:p>
    <w:p w14:paraId="6E0A7DA5" w14:textId="77777777" w:rsidR="003416A2" w:rsidRDefault="003416A2" w:rsidP="003501FE">
      <w:pPr>
        <w:numPr>
          <w:ilvl w:val="12"/>
          <w:numId w:val="0"/>
        </w:numPr>
        <w:tabs>
          <w:tab w:val="left" w:pos="567"/>
        </w:tabs>
        <w:spacing w:line="260" w:lineRule="exact"/>
        <w:ind w:right="-2"/>
        <w:rPr>
          <w:snapToGrid w:val="0"/>
          <w:szCs w:val="22"/>
          <w:lang w:eastAsia="en-US"/>
        </w:rPr>
      </w:pPr>
    </w:p>
    <w:tbl>
      <w:tblPr>
        <w:tblStyle w:val="Lentelstinklelis"/>
        <w:tblW w:w="9060" w:type="dxa"/>
        <w:tblLook w:val="04A0" w:firstRow="1" w:lastRow="0" w:firstColumn="1" w:lastColumn="0" w:noHBand="0" w:noVBand="1"/>
      </w:tblPr>
      <w:tblGrid>
        <w:gridCol w:w="4530"/>
        <w:gridCol w:w="4530"/>
      </w:tblGrid>
      <w:tr w:rsidR="003416A2" w14:paraId="25E686B3" w14:textId="77777777" w:rsidTr="002746CC">
        <w:tc>
          <w:tcPr>
            <w:tcW w:w="4530" w:type="dxa"/>
          </w:tcPr>
          <w:p w14:paraId="23831A4E" w14:textId="77777777" w:rsidR="003416A2" w:rsidRDefault="003416A2" w:rsidP="003501FE">
            <w:pPr>
              <w:numPr>
                <w:ilvl w:val="12"/>
                <w:numId w:val="0"/>
              </w:numPr>
              <w:tabs>
                <w:tab w:val="left" w:pos="567"/>
              </w:tabs>
              <w:spacing w:line="260" w:lineRule="exact"/>
              <w:ind w:right="-2"/>
              <w:rPr>
                <w:snapToGrid w:val="0"/>
                <w:szCs w:val="22"/>
                <w:lang w:eastAsia="en-US"/>
              </w:rPr>
            </w:pPr>
            <w:r w:rsidRPr="006F7352">
              <w:rPr>
                <w:szCs w:val="22"/>
              </w:rPr>
              <w:t>Nyderlandai</w:t>
            </w:r>
            <w:r>
              <w:rPr>
                <w:szCs w:val="22"/>
              </w:rPr>
              <w:t>, Belgija, Čekija, Graikija, Latvija, Lietuva, Prancūzija, Slovėnija</w:t>
            </w:r>
          </w:p>
        </w:tc>
        <w:tc>
          <w:tcPr>
            <w:tcW w:w="4530" w:type="dxa"/>
          </w:tcPr>
          <w:p w14:paraId="7794E372" w14:textId="77777777" w:rsidR="003416A2" w:rsidRDefault="003416A2" w:rsidP="003501FE">
            <w:pPr>
              <w:numPr>
                <w:ilvl w:val="12"/>
                <w:numId w:val="0"/>
              </w:numPr>
              <w:tabs>
                <w:tab w:val="left" w:pos="567"/>
              </w:tabs>
              <w:spacing w:line="260" w:lineRule="exact"/>
              <w:ind w:right="-2"/>
              <w:rPr>
                <w:snapToGrid w:val="0"/>
                <w:szCs w:val="22"/>
                <w:lang w:eastAsia="en-US"/>
              </w:rPr>
            </w:pPr>
            <w:r w:rsidRPr="006F7352">
              <w:rPr>
                <w:szCs w:val="22"/>
              </w:rPr>
              <w:t>Entecavir Sandoz</w:t>
            </w:r>
          </w:p>
        </w:tc>
      </w:tr>
      <w:tr w:rsidR="003416A2" w14:paraId="7B36AAAA" w14:textId="77777777" w:rsidTr="002746CC">
        <w:tc>
          <w:tcPr>
            <w:tcW w:w="4530" w:type="dxa"/>
          </w:tcPr>
          <w:p w14:paraId="17CA454A" w14:textId="77777777" w:rsidR="003416A2" w:rsidRDefault="003416A2" w:rsidP="003501FE">
            <w:pPr>
              <w:numPr>
                <w:ilvl w:val="12"/>
                <w:numId w:val="0"/>
              </w:numPr>
              <w:tabs>
                <w:tab w:val="left" w:pos="567"/>
              </w:tabs>
              <w:spacing w:line="260" w:lineRule="exact"/>
              <w:ind w:right="-2"/>
              <w:rPr>
                <w:snapToGrid w:val="0"/>
                <w:szCs w:val="22"/>
                <w:lang w:eastAsia="en-US"/>
              </w:rPr>
            </w:pPr>
            <w:r>
              <w:rPr>
                <w:snapToGrid w:val="0"/>
                <w:szCs w:val="22"/>
                <w:lang w:eastAsia="en-US"/>
              </w:rPr>
              <w:t>Airija</w:t>
            </w:r>
          </w:p>
        </w:tc>
        <w:tc>
          <w:tcPr>
            <w:tcW w:w="4530" w:type="dxa"/>
          </w:tcPr>
          <w:p w14:paraId="45D0ED91" w14:textId="77777777" w:rsidR="003416A2" w:rsidRDefault="003416A2" w:rsidP="003501FE">
            <w:pPr>
              <w:numPr>
                <w:ilvl w:val="12"/>
                <w:numId w:val="0"/>
              </w:numPr>
              <w:tabs>
                <w:tab w:val="left" w:pos="567"/>
              </w:tabs>
              <w:spacing w:line="260" w:lineRule="exact"/>
              <w:ind w:right="-2"/>
              <w:rPr>
                <w:snapToGrid w:val="0"/>
                <w:szCs w:val="22"/>
                <w:lang w:eastAsia="en-US"/>
              </w:rPr>
            </w:pPr>
            <w:r w:rsidRPr="006F7352">
              <w:rPr>
                <w:szCs w:val="22"/>
              </w:rPr>
              <w:t>Entecavir Rowex</w:t>
            </w:r>
          </w:p>
        </w:tc>
      </w:tr>
    </w:tbl>
    <w:p w14:paraId="7B3E3789" w14:textId="77777777" w:rsidR="003416A2" w:rsidRPr="00D166EA" w:rsidRDefault="003416A2" w:rsidP="003501FE">
      <w:pPr>
        <w:numPr>
          <w:ilvl w:val="12"/>
          <w:numId w:val="0"/>
        </w:numPr>
        <w:tabs>
          <w:tab w:val="left" w:pos="567"/>
        </w:tabs>
        <w:spacing w:line="260" w:lineRule="exact"/>
        <w:ind w:right="-2"/>
        <w:rPr>
          <w:snapToGrid w:val="0"/>
          <w:szCs w:val="22"/>
          <w:lang w:eastAsia="en-US"/>
        </w:rPr>
      </w:pPr>
    </w:p>
    <w:p w14:paraId="1CE585AC" w14:textId="77777777" w:rsidR="003501FE" w:rsidRPr="00D166EA" w:rsidRDefault="003501FE" w:rsidP="003501FE">
      <w:pPr>
        <w:tabs>
          <w:tab w:val="left" w:pos="567"/>
        </w:tabs>
        <w:spacing w:line="260" w:lineRule="exact"/>
        <w:ind w:left="567" w:hanging="567"/>
        <w:rPr>
          <w:snapToGrid w:val="0"/>
          <w:szCs w:val="22"/>
          <w:lang w:eastAsia="en-US"/>
        </w:rPr>
      </w:pPr>
    </w:p>
    <w:p w14:paraId="2C45D78D" w14:textId="76F3E80A" w:rsidR="0061061F" w:rsidRPr="00D166EA" w:rsidRDefault="0061061F" w:rsidP="0061061F">
      <w:pPr>
        <w:numPr>
          <w:ilvl w:val="12"/>
          <w:numId w:val="0"/>
        </w:numPr>
        <w:rPr>
          <w:b/>
          <w:bCs/>
          <w:szCs w:val="22"/>
        </w:rPr>
      </w:pPr>
      <w:r w:rsidRPr="00D166EA">
        <w:rPr>
          <w:b/>
          <w:bCs/>
          <w:szCs w:val="22"/>
        </w:rPr>
        <w:t xml:space="preserve">Šis pakuotės lapelis paskutinį kartą peržiūrėtas </w:t>
      </w:r>
      <w:r w:rsidR="002036C0">
        <w:rPr>
          <w:b/>
          <w:bCs/>
          <w:szCs w:val="22"/>
        </w:rPr>
        <w:t>2024-05-05.</w:t>
      </w:r>
    </w:p>
    <w:p w14:paraId="0E6AFB51" w14:textId="77777777" w:rsidR="0061061F" w:rsidRDefault="0061061F" w:rsidP="0061061F">
      <w:pPr>
        <w:numPr>
          <w:ilvl w:val="12"/>
          <w:numId w:val="0"/>
        </w:numPr>
        <w:rPr>
          <w:iCs/>
          <w:szCs w:val="22"/>
        </w:rPr>
      </w:pPr>
    </w:p>
    <w:p w14:paraId="393803A8" w14:textId="77777777" w:rsidR="005940A6" w:rsidRPr="00D166EA" w:rsidRDefault="005940A6" w:rsidP="0061061F">
      <w:pPr>
        <w:numPr>
          <w:ilvl w:val="12"/>
          <w:numId w:val="0"/>
        </w:numPr>
        <w:rPr>
          <w:iCs/>
          <w:szCs w:val="22"/>
        </w:rPr>
      </w:pPr>
    </w:p>
    <w:p w14:paraId="34F10478" w14:textId="77777777" w:rsidR="0061061F" w:rsidRPr="00D166EA" w:rsidRDefault="0061061F" w:rsidP="0061061F">
      <w:pPr>
        <w:numPr>
          <w:ilvl w:val="12"/>
          <w:numId w:val="0"/>
        </w:numPr>
        <w:rPr>
          <w:szCs w:val="22"/>
        </w:rPr>
      </w:pPr>
      <w:r w:rsidRPr="00D166EA">
        <w:rPr>
          <w:szCs w:val="22"/>
        </w:rPr>
        <w:t xml:space="preserve">Išsami informacija apie šį vaistą pateikiama </w:t>
      </w:r>
      <w:r w:rsidR="009426C7" w:rsidRPr="00D166EA">
        <w:rPr>
          <w:szCs w:val="22"/>
        </w:rPr>
        <w:t>Val</w:t>
      </w:r>
      <w:r w:rsidRPr="00D166EA">
        <w:rPr>
          <w:szCs w:val="22"/>
        </w:rPr>
        <w:t>stybinės vaistų kontrolės tarnybos prie Lietuvos Respublikos sveikatos apsaugos ministerijos tinklalapyje</w:t>
      </w:r>
      <w:r w:rsidRPr="00D166EA">
        <w:rPr>
          <w:i/>
          <w:iCs/>
          <w:szCs w:val="22"/>
        </w:rPr>
        <w:t xml:space="preserve"> </w:t>
      </w:r>
      <w:hyperlink r:id="rId17" w:history="1">
        <w:r w:rsidRPr="00D166EA">
          <w:rPr>
            <w:rStyle w:val="Hipersaitas"/>
            <w:rFonts w:eastAsia="SimSun"/>
            <w:szCs w:val="22"/>
          </w:rPr>
          <w:t>http://www.vvkt.lt/</w:t>
        </w:r>
      </w:hyperlink>
      <w:r w:rsidRPr="00D166EA">
        <w:rPr>
          <w:szCs w:val="22"/>
        </w:rPr>
        <w:t>.</w:t>
      </w:r>
    </w:p>
    <w:p w14:paraId="1D455187" w14:textId="77777777" w:rsidR="0061061F" w:rsidRPr="00D166EA" w:rsidRDefault="0061061F" w:rsidP="0061061F">
      <w:pPr>
        <w:numPr>
          <w:ilvl w:val="12"/>
          <w:numId w:val="0"/>
        </w:numPr>
        <w:tabs>
          <w:tab w:val="left" w:pos="2657"/>
        </w:tabs>
        <w:rPr>
          <w:szCs w:val="22"/>
        </w:rPr>
      </w:pPr>
    </w:p>
    <w:sectPr w:rsidR="0061061F" w:rsidRPr="00D166EA" w:rsidSect="007E3DA0">
      <w:type w:val="continuous"/>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92E0B" w14:textId="77777777" w:rsidR="002036C0" w:rsidRDefault="002036C0">
      <w:r>
        <w:separator/>
      </w:r>
    </w:p>
  </w:endnote>
  <w:endnote w:type="continuationSeparator" w:id="0">
    <w:p w14:paraId="39604F08" w14:textId="77777777" w:rsidR="002036C0" w:rsidRDefault="002036C0">
      <w:r>
        <w:continuationSeparator/>
      </w:r>
    </w:p>
  </w:endnote>
  <w:endnote w:type="continuationNotice" w:id="1">
    <w:p w14:paraId="1A14558E" w14:textId="77777777" w:rsidR="002036C0" w:rsidRDefault="00203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2EE7" w14:textId="77777777" w:rsidR="001B715D" w:rsidRDefault="001B71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08091" w14:textId="2B49CD55" w:rsidR="001B715D" w:rsidRDefault="001B715D">
    <w:pPr>
      <w:pStyle w:val="Porat"/>
      <w:jc w:val="center"/>
    </w:pPr>
    <w:r>
      <w:fldChar w:fldCharType="begin"/>
    </w:r>
    <w:r>
      <w:instrText>PAGE   \* MERGEFORMAT</w:instrText>
    </w:r>
    <w:r>
      <w:fldChar w:fldCharType="separate"/>
    </w:r>
    <w:r w:rsidR="000D138D">
      <w:rPr>
        <w:noProof/>
      </w:rPr>
      <w:t>1</w:t>
    </w:r>
    <w:r>
      <w:fldChar w:fldCharType="end"/>
    </w:r>
  </w:p>
  <w:p w14:paraId="6B611E07" w14:textId="77777777" w:rsidR="001B715D" w:rsidRDefault="001B715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86C37" w14:textId="77777777" w:rsidR="001B715D" w:rsidRDefault="001B71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46EFC" w14:textId="77777777" w:rsidR="002036C0" w:rsidRDefault="002036C0">
      <w:r>
        <w:separator/>
      </w:r>
    </w:p>
  </w:footnote>
  <w:footnote w:type="continuationSeparator" w:id="0">
    <w:p w14:paraId="3CDC627F" w14:textId="77777777" w:rsidR="002036C0" w:rsidRDefault="002036C0">
      <w:r>
        <w:continuationSeparator/>
      </w:r>
    </w:p>
  </w:footnote>
  <w:footnote w:type="continuationNotice" w:id="1">
    <w:p w14:paraId="4CEED339" w14:textId="77777777" w:rsidR="002036C0" w:rsidRDefault="002036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0FF56" w14:textId="77777777" w:rsidR="001B715D" w:rsidRDefault="001B71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4CEF8" w14:textId="77777777" w:rsidR="001B715D" w:rsidRDefault="001B715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DA4B4" w14:textId="77777777" w:rsidR="001B715D" w:rsidRDefault="001B71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59D05C9"/>
    <w:multiLevelType w:val="hybridMultilevel"/>
    <w:tmpl w:val="218435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E554B6"/>
    <w:multiLevelType w:val="hybridMultilevel"/>
    <w:tmpl w:val="08BC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413F3"/>
    <w:multiLevelType w:val="hybridMultilevel"/>
    <w:tmpl w:val="02583D8E"/>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E3BB0"/>
    <w:multiLevelType w:val="hybridMultilevel"/>
    <w:tmpl w:val="5AC26160"/>
    <w:lvl w:ilvl="0" w:tplc="648CE004">
      <w:start w:val="17"/>
      <w:numFmt w:val="decimal"/>
      <w:lvlText w:val="%1."/>
      <w:lvlJc w:val="left"/>
      <w:pPr>
        <w:ind w:left="927" w:hanging="360"/>
      </w:pPr>
      <w:rPr>
        <w:rFonts w:cs="Times New Roman" w:hint="default"/>
        <w:b/>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15:restartNumberingAfterBreak="0">
    <w:nsid w:val="15AE7303"/>
    <w:multiLevelType w:val="hybridMultilevel"/>
    <w:tmpl w:val="3A7AD824"/>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CF489E"/>
    <w:multiLevelType w:val="hybridMultilevel"/>
    <w:tmpl w:val="29200DEC"/>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F46581"/>
    <w:multiLevelType w:val="hybridMultilevel"/>
    <w:tmpl w:val="EB28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F0AC5"/>
    <w:multiLevelType w:val="hybridMultilevel"/>
    <w:tmpl w:val="AFDC35E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86C0184"/>
    <w:multiLevelType w:val="hybridMultilevel"/>
    <w:tmpl w:val="AE2A2F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9D7A48"/>
    <w:multiLevelType w:val="hybridMultilevel"/>
    <w:tmpl w:val="DD60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007B0"/>
    <w:multiLevelType w:val="hybridMultilevel"/>
    <w:tmpl w:val="5A52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0500B"/>
    <w:multiLevelType w:val="hybridMultilevel"/>
    <w:tmpl w:val="08E0D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780D29"/>
    <w:multiLevelType w:val="hybridMultilevel"/>
    <w:tmpl w:val="0B007C3E"/>
    <w:lvl w:ilvl="0" w:tplc="1F4E558E">
      <w:start w:val="1"/>
      <w:numFmt w:val="bullet"/>
      <w:lvlText w:val=""/>
      <w:lvlJc w:val="left"/>
      <w:pPr>
        <w:tabs>
          <w:tab w:val="num" w:pos="567"/>
        </w:tabs>
        <w:ind w:left="567" w:hanging="567"/>
      </w:pPr>
      <w:rPr>
        <w:rFonts w:ascii="Symbol" w:hAnsi="Symbol" w:hint="default"/>
        <w:b w:val="0"/>
        <w:i w:val="0"/>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59683E"/>
    <w:multiLevelType w:val="hybridMultilevel"/>
    <w:tmpl w:val="0D88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82B2C"/>
    <w:multiLevelType w:val="hybridMultilevel"/>
    <w:tmpl w:val="055AA5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FC404EF"/>
    <w:multiLevelType w:val="hybridMultilevel"/>
    <w:tmpl w:val="287C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148A9"/>
    <w:multiLevelType w:val="hybridMultilevel"/>
    <w:tmpl w:val="6758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54476"/>
    <w:multiLevelType w:val="hybridMultilevel"/>
    <w:tmpl w:val="6DEEACE4"/>
    <w:lvl w:ilvl="0" w:tplc="DABE629E">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9B01F9F"/>
    <w:multiLevelType w:val="hybridMultilevel"/>
    <w:tmpl w:val="417A5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AF48AD"/>
    <w:multiLevelType w:val="hybridMultilevel"/>
    <w:tmpl w:val="D50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9620DF"/>
    <w:multiLevelType w:val="hybridMultilevel"/>
    <w:tmpl w:val="AC408F58"/>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B13B75"/>
    <w:multiLevelType w:val="hybridMultilevel"/>
    <w:tmpl w:val="6AA48AA2"/>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ED4F7A"/>
    <w:multiLevelType w:val="hybridMultilevel"/>
    <w:tmpl w:val="83468BA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FBC7FD4"/>
    <w:multiLevelType w:val="hybridMultilevel"/>
    <w:tmpl w:val="A7C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535D74"/>
    <w:multiLevelType w:val="hybridMultilevel"/>
    <w:tmpl w:val="DDE6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0F79E9"/>
    <w:multiLevelType w:val="hybridMultilevel"/>
    <w:tmpl w:val="6EB0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F16B3"/>
    <w:multiLevelType w:val="hybridMultilevel"/>
    <w:tmpl w:val="F102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550922"/>
    <w:multiLevelType w:val="hybridMultilevel"/>
    <w:tmpl w:val="409E38D2"/>
    <w:lvl w:ilvl="0" w:tplc="0210750C">
      <w:start w:val="4"/>
      <w:numFmt w:val="bullet"/>
      <w:lvlText w:val="-"/>
      <w:lvlJc w:val="left"/>
      <w:pPr>
        <w:tabs>
          <w:tab w:val="num" w:pos="567"/>
        </w:tabs>
        <w:ind w:left="567" w:hanging="567"/>
      </w:pPr>
      <w:rPr>
        <w:rFonts w:ascii="MS Gothic" w:eastAsia="MS Gothic" w:hAnsi="MS Gothic" w:cs="MS Gothic" w:hint="eastAsia"/>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100D28"/>
    <w:multiLevelType w:val="hybridMultilevel"/>
    <w:tmpl w:val="2F94C0BA"/>
    <w:lvl w:ilvl="0" w:tplc="FD788292">
      <w:start w:val="1"/>
      <w:numFmt w:val="upperLetter"/>
      <w:lvlText w:val="%1."/>
      <w:lvlJc w:val="left"/>
      <w:pPr>
        <w:ind w:left="5670" w:hanging="5670"/>
      </w:pPr>
      <w:rPr>
        <w:rFonts w:cs="Times New Roman" w:hint="default"/>
        <w:b/>
      </w:rPr>
    </w:lvl>
    <w:lvl w:ilvl="1" w:tplc="6A92C8E4">
      <w:start w:val="1"/>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31" w15:restartNumberingAfterBreak="0">
    <w:nsid w:val="7C731466"/>
    <w:multiLevelType w:val="hybridMultilevel"/>
    <w:tmpl w:val="89CA88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C825B5C"/>
    <w:multiLevelType w:val="hybridMultilevel"/>
    <w:tmpl w:val="6A1A02B0"/>
    <w:lvl w:ilvl="0" w:tplc="0210750C">
      <w:start w:val="4"/>
      <w:numFmt w:val="bullet"/>
      <w:lvlText w:val="-"/>
      <w:lvlJc w:val="left"/>
      <w:pPr>
        <w:tabs>
          <w:tab w:val="num" w:pos="567"/>
        </w:tabs>
        <w:ind w:left="567" w:hanging="567"/>
      </w:pPr>
      <w:rPr>
        <w:rFonts w:ascii="MS Gothic" w:eastAsia="MS Gothic" w:hAnsi="MS Gothic" w:cs="MS Gothic" w:hint="eastAsia"/>
      </w:rPr>
    </w:lvl>
    <w:lvl w:ilvl="1" w:tplc="04270003">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vlJc w:val="left"/>
        <w:pPr>
          <w:ind w:left="360" w:hanging="360"/>
        </w:pPr>
      </w:lvl>
    </w:lvlOverride>
  </w:num>
  <w:num w:numId="2">
    <w:abstractNumId w:val="33"/>
  </w:num>
  <w:num w:numId="3">
    <w:abstractNumId w:val="32"/>
  </w:num>
  <w:num w:numId="4">
    <w:abstractNumId w:val="14"/>
  </w:num>
  <w:num w:numId="5">
    <w:abstractNumId w:val="29"/>
  </w:num>
  <w:num w:numId="6">
    <w:abstractNumId w:val="0"/>
    <w:lvlOverride w:ilvl="0">
      <w:lvl w:ilvl="0">
        <w:start w:val="1"/>
        <w:numFmt w:val="bullet"/>
        <w:lvlText w:val="-"/>
        <w:lvlJc w:val="left"/>
        <w:pPr>
          <w:ind w:left="720" w:hanging="360"/>
        </w:pPr>
      </w:lvl>
    </w:lvlOverride>
  </w:num>
  <w:num w:numId="7">
    <w:abstractNumId w:val="1"/>
  </w:num>
  <w:num w:numId="8">
    <w:abstractNumId w:val="19"/>
  </w:num>
  <w:num w:numId="9">
    <w:abstractNumId w:val="23"/>
  </w:num>
  <w:num w:numId="10">
    <w:abstractNumId w:val="22"/>
  </w:num>
  <w:num w:numId="11">
    <w:abstractNumId w:val="6"/>
  </w:num>
  <w:num w:numId="12">
    <w:abstractNumId w:val="4"/>
  </w:num>
  <w:num w:numId="13">
    <w:abstractNumId w:val="7"/>
  </w:num>
  <w:num w:numId="14">
    <w:abstractNumId w:val="27"/>
  </w:num>
  <w:num w:numId="15">
    <w:abstractNumId w:val="11"/>
  </w:num>
  <w:num w:numId="16">
    <w:abstractNumId w:val="12"/>
  </w:num>
  <w:num w:numId="17">
    <w:abstractNumId w:val="9"/>
  </w:num>
  <w:num w:numId="18">
    <w:abstractNumId w:val="24"/>
  </w:num>
  <w:num w:numId="19">
    <w:abstractNumId w:val="30"/>
  </w:num>
  <w:num w:numId="20">
    <w:abstractNumId w:val="5"/>
  </w:num>
  <w:num w:numId="21">
    <w:abstractNumId w:val="28"/>
  </w:num>
  <w:num w:numId="22">
    <w:abstractNumId w:val="15"/>
  </w:num>
  <w:num w:numId="23">
    <w:abstractNumId w:val="21"/>
  </w:num>
  <w:num w:numId="24">
    <w:abstractNumId w:val="26"/>
  </w:num>
  <w:num w:numId="25">
    <w:abstractNumId w:val="3"/>
  </w:num>
  <w:num w:numId="26">
    <w:abstractNumId w:val="18"/>
  </w:num>
  <w:num w:numId="27">
    <w:abstractNumId w:val="25"/>
  </w:num>
  <w:num w:numId="28">
    <w:abstractNumId w:val="8"/>
  </w:num>
  <w:num w:numId="29">
    <w:abstractNumId w:val="17"/>
  </w:num>
  <w:num w:numId="30">
    <w:abstractNumId w:val="20"/>
  </w:num>
  <w:num w:numId="31">
    <w:abstractNumId w:val="10"/>
  </w:num>
  <w:num w:numId="32">
    <w:abstractNumId w:val="16"/>
  </w:num>
  <w:num w:numId="33">
    <w:abstractNumId w:val="31"/>
  </w:num>
  <w:num w:numId="34">
    <w:abstractNumId w:val="2"/>
  </w:num>
  <w:num w:numId="3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characterSpacingControl w:val="doNotCompress"/>
  <w:savePreviewPicture/>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C4"/>
    <w:rsid w:val="00003539"/>
    <w:rsid w:val="000042F5"/>
    <w:rsid w:val="000065EE"/>
    <w:rsid w:val="00006CFA"/>
    <w:rsid w:val="00007B09"/>
    <w:rsid w:val="00014C1A"/>
    <w:rsid w:val="00014F3E"/>
    <w:rsid w:val="000201A1"/>
    <w:rsid w:val="00020587"/>
    <w:rsid w:val="00021207"/>
    <w:rsid w:val="0002186A"/>
    <w:rsid w:val="0002271F"/>
    <w:rsid w:val="00022764"/>
    <w:rsid w:val="000234D2"/>
    <w:rsid w:val="00024C83"/>
    <w:rsid w:val="00025146"/>
    <w:rsid w:val="000272B0"/>
    <w:rsid w:val="00027D1D"/>
    <w:rsid w:val="000306DE"/>
    <w:rsid w:val="00030A12"/>
    <w:rsid w:val="00031230"/>
    <w:rsid w:val="000356A9"/>
    <w:rsid w:val="0004001D"/>
    <w:rsid w:val="00040FEC"/>
    <w:rsid w:val="0004270F"/>
    <w:rsid w:val="00043AD4"/>
    <w:rsid w:val="00045569"/>
    <w:rsid w:val="00050024"/>
    <w:rsid w:val="00050617"/>
    <w:rsid w:val="000508D7"/>
    <w:rsid w:val="00051078"/>
    <w:rsid w:val="00051721"/>
    <w:rsid w:val="00053885"/>
    <w:rsid w:val="00053AFE"/>
    <w:rsid w:val="00054ADF"/>
    <w:rsid w:val="00056CAF"/>
    <w:rsid w:val="00060C2D"/>
    <w:rsid w:val="00060CF2"/>
    <w:rsid w:val="00060FC6"/>
    <w:rsid w:val="00061FB3"/>
    <w:rsid w:val="000649BC"/>
    <w:rsid w:val="00065B13"/>
    <w:rsid w:val="000729A8"/>
    <w:rsid w:val="000736E6"/>
    <w:rsid w:val="00074830"/>
    <w:rsid w:val="00074CC7"/>
    <w:rsid w:val="00082668"/>
    <w:rsid w:val="00086CAD"/>
    <w:rsid w:val="00086CE8"/>
    <w:rsid w:val="0008715D"/>
    <w:rsid w:val="000879F2"/>
    <w:rsid w:val="00087FF1"/>
    <w:rsid w:val="00090496"/>
    <w:rsid w:val="00092043"/>
    <w:rsid w:val="00092044"/>
    <w:rsid w:val="00092A50"/>
    <w:rsid w:val="0009306F"/>
    <w:rsid w:val="00096BCF"/>
    <w:rsid w:val="000A023B"/>
    <w:rsid w:val="000B10D8"/>
    <w:rsid w:val="000B11D4"/>
    <w:rsid w:val="000B1643"/>
    <w:rsid w:val="000B4BA7"/>
    <w:rsid w:val="000B5A98"/>
    <w:rsid w:val="000B7C5C"/>
    <w:rsid w:val="000C51DB"/>
    <w:rsid w:val="000C6D02"/>
    <w:rsid w:val="000C6FCA"/>
    <w:rsid w:val="000D0A3D"/>
    <w:rsid w:val="000D138D"/>
    <w:rsid w:val="000D6F09"/>
    <w:rsid w:val="000E31A6"/>
    <w:rsid w:val="000E689B"/>
    <w:rsid w:val="000F1F39"/>
    <w:rsid w:val="000F5A00"/>
    <w:rsid w:val="000F606A"/>
    <w:rsid w:val="000F6112"/>
    <w:rsid w:val="0010033A"/>
    <w:rsid w:val="00102BA2"/>
    <w:rsid w:val="00103CE3"/>
    <w:rsid w:val="00105047"/>
    <w:rsid w:val="00106F5A"/>
    <w:rsid w:val="00107C7E"/>
    <w:rsid w:val="00111EF0"/>
    <w:rsid w:val="00112EFF"/>
    <w:rsid w:val="00114676"/>
    <w:rsid w:val="00115B5C"/>
    <w:rsid w:val="001219CA"/>
    <w:rsid w:val="00121A98"/>
    <w:rsid w:val="00122DA9"/>
    <w:rsid w:val="00123835"/>
    <w:rsid w:val="00123FCD"/>
    <w:rsid w:val="00124023"/>
    <w:rsid w:val="00130211"/>
    <w:rsid w:val="0013077F"/>
    <w:rsid w:val="00130CD3"/>
    <w:rsid w:val="00130E7A"/>
    <w:rsid w:val="00131733"/>
    <w:rsid w:val="0013218B"/>
    <w:rsid w:val="001356DC"/>
    <w:rsid w:val="00140266"/>
    <w:rsid w:val="0014582F"/>
    <w:rsid w:val="001520AF"/>
    <w:rsid w:val="0015687C"/>
    <w:rsid w:val="001570EE"/>
    <w:rsid w:val="00164AD7"/>
    <w:rsid w:val="00164AE7"/>
    <w:rsid w:val="00165314"/>
    <w:rsid w:val="00165665"/>
    <w:rsid w:val="00166001"/>
    <w:rsid w:val="00166BA6"/>
    <w:rsid w:val="00171B93"/>
    <w:rsid w:val="00171FA7"/>
    <w:rsid w:val="00175E58"/>
    <w:rsid w:val="00176C5A"/>
    <w:rsid w:val="001860D5"/>
    <w:rsid w:val="0018692C"/>
    <w:rsid w:val="00186F0F"/>
    <w:rsid w:val="00186F93"/>
    <w:rsid w:val="001871B8"/>
    <w:rsid w:val="001879E7"/>
    <w:rsid w:val="00190AD2"/>
    <w:rsid w:val="00190E4A"/>
    <w:rsid w:val="0019110E"/>
    <w:rsid w:val="001A2939"/>
    <w:rsid w:val="001A3A4F"/>
    <w:rsid w:val="001A4AD2"/>
    <w:rsid w:val="001A5724"/>
    <w:rsid w:val="001A7E3B"/>
    <w:rsid w:val="001B0E27"/>
    <w:rsid w:val="001B13A6"/>
    <w:rsid w:val="001B1725"/>
    <w:rsid w:val="001B1C0D"/>
    <w:rsid w:val="001B2E36"/>
    <w:rsid w:val="001B4523"/>
    <w:rsid w:val="001B590D"/>
    <w:rsid w:val="001B61D9"/>
    <w:rsid w:val="001B715D"/>
    <w:rsid w:val="001C09C5"/>
    <w:rsid w:val="001C2BCE"/>
    <w:rsid w:val="001D0454"/>
    <w:rsid w:val="001D06E6"/>
    <w:rsid w:val="001D294C"/>
    <w:rsid w:val="001D4869"/>
    <w:rsid w:val="001D7DF0"/>
    <w:rsid w:val="001E0A14"/>
    <w:rsid w:val="001E0A93"/>
    <w:rsid w:val="001E0AE2"/>
    <w:rsid w:val="001E2D0A"/>
    <w:rsid w:val="001E31D6"/>
    <w:rsid w:val="001E3EC2"/>
    <w:rsid w:val="001E4833"/>
    <w:rsid w:val="001E5809"/>
    <w:rsid w:val="001E6536"/>
    <w:rsid w:val="001F050A"/>
    <w:rsid w:val="001F2AA7"/>
    <w:rsid w:val="001F2D97"/>
    <w:rsid w:val="00201557"/>
    <w:rsid w:val="002036C0"/>
    <w:rsid w:val="00203B91"/>
    <w:rsid w:val="00207731"/>
    <w:rsid w:val="0021158A"/>
    <w:rsid w:val="002118A7"/>
    <w:rsid w:val="00212673"/>
    <w:rsid w:val="00212C57"/>
    <w:rsid w:val="002154C0"/>
    <w:rsid w:val="0021625A"/>
    <w:rsid w:val="00216298"/>
    <w:rsid w:val="0022061B"/>
    <w:rsid w:val="00222C54"/>
    <w:rsid w:val="00223A22"/>
    <w:rsid w:val="00226F75"/>
    <w:rsid w:val="002304A2"/>
    <w:rsid w:val="0023259A"/>
    <w:rsid w:val="00234831"/>
    <w:rsid w:val="002364A6"/>
    <w:rsid w:val="002404BD"/>
    <w:rsid w:val="002423BA"/>
    <w:rsid w:val="00243490"/>
    <w:rsid w:val="002434A3"/>
    <w:rsid w:val="002439C5"/>
    <w:rsid w:val="00243D94"/>
    <w:rsid w:val="002504A3"/>
    <w:rsid w:val="0025209C"/>
    <w:rsid w:val="00254290"/>
    <w:rsid w:val="002550EB"/>
    <w:rsid w:val="0026619E"/>
    <w:rsid w:val="00271E1A"/>
    <w:rsid w:val="00273C2C"/>
    <w:rsid w:val="002746CC"/>
    <w:rsid w:val="00275568"/>
    <w:rsid w:val="00275D36"/>
    <w:rsid w:val="00282DCB"/>
    <w:rsid w:val="00284064"/>
    <w:rsid w:val="00285D29"/>
    <w:rsid w:val="00290215"/>
    <w:rsid w:val="002907E4"/>
    <w:rsid w:val="00291388"/>
    <w:rsid w:val="00294451"/>
    <w:rsid w:val="00295199"/>
    <w:rsid w:val="00295CD9"/>
    <w:rsid w:val="002964C9"/>
    <w:rsid w:val="00297465"/>
    <w:rsid w:val="002A0C6B"/>
    <w:rsid w:val="002A3D59"/>
    <w:rsid w:val="002A4DAC"/>
    <w:rsid w:val="002B2211"/>
    <w:rsid w:val="002B351B"/>
    <w:rsid w:val="002B4D1E"/>
    <w:rsid w:val="002B53A1"/>
    <w:rsid w:val="002B5FB1"/>
    <w:rsid w:val="002B7E6A"/>
    <w:rsid w:val="002C13CE"/>
    <w:rsid w:val="002C2923"/>
    <w:rsid w:val="002C6485"/>
    <w:rsid w:val="002D240D"/>
    <w:rsid w:val="002D2880"/>
    <w:rsid w:val="002D3193"/>
    <w:rsid w:val="002D3C95"/>
    <w:rsid w:val="002E5756"/>
    <w:rsid w:val="002E5FA7"/>
    <w:rsid w:val="002E7478"/>
    <w:rsid w:val="002F24FF"/>
    <w:rsid w:val="002F2852"/>
    <w:rsid w:val="00300ADB"/>
    <w:rsid w:val="00301659"/>
    <w:rsid w:val="00304145"/>
    <w:rsid w:val="003052A3"/>
    <w:rsid w:val="003052C5"/>
    <w:rsid w:val="00311CAE"/>
    <w:rsid w:val="00316120"/>
    <w:rsid w:val="00316C53"/>
    <w:rsid w:val="00321132"/>
    <w:rsid w:val="00321207"/>
    <w:rsid w:val="00321E01"/>
    <w:rsid w:val="00322DE6"/>
    <w:rsid w:val="00324119"/>
    <w:rsid w:val="00326119"/>
    <w:rsid w:val="00331FA9"/>
    <w:rsid w:val="003322F9"/>
    <w:rsid w:val="00332E52"/>
    <w:rsid w:val="0034077A"/>
    <w:rsid w:val="0034132A"/>
    <w:rsid w:val="003416A2"/>
    <w:rsid w:val="00342718"/>
    <w:rsid w:val="003435D3"/>
    <w:rsid w:val="00343FAA"/>
    <w:rsid w:val="003501FE"/>
    <w:rsid w:val="003505CF"/>
    <w:rsid w:val="00351ABC"/>
    <w:rsid w:val="003530FD"/>
    <w:rsid w:val="00355F2F"/>
    <w:rsid w:val="00357274"/>
    <w:rsid w:val="0036570E"/>
    <w:rsid w:val="00365DFA"/>
    <w:rsid w:val="003663E1"/>
    <w:rsid w:val="0036692A"/>
    <w:rsid w:val="0036731D"/>
    <w:rsid w:val="00370671"/>
    <w:rsid w:val="00383640"/>
    <w:rsid w:val="003844B9"/>
    <w:rsid w:val="0038525F"/>
    <w:rsid w:val="00390DE4"/>
    <w:rsid w:val="00391251"/>
    <w:rsid w:val="0039133E"/>
    <w:rsid w:val="0039380B"/>
    <w:rsid w:val="003A0BB0"/>
    <w:rsid w:val="003A1F7F"/>
    <w:rsid w:val="003A4886"/>
    <w:rsid w:val="003A58CB"/>
    <w:rsid w:val="003A5D66"/>
    <w:rsid w:val="003A5EF7"/>
    <w:rsid w:val="003B1534"/>
    <w:rsid w:val="003B16D6"/>
    <w:rsid w:val="003B2651"/>
    <w:rsid w:val="003B32FF"/>
    <w:rsid w:val="003B4611"/>
    <w:rsid w:val="003C1F04"/>
    <w:rsid w:val="003C265D"/>
    <w:rsid w:val="003C26B2"/>
    <w:rsid w:val="003C4380"/>
    <w:rsid w:val="003C468B"/>
    <w:rsid w:val="003C6414"/>
    <w:rsid w:val="003D2025"/>
    <w:rsid w:val="003D42DB"/>
    <w:rsid w:val="003E4DC5"/>
    <w:rsid w:val="003E623C"/>
    <w:rsid w:val="003E649D"/>
    <w:rsid w:val="003F1834"/>
    <w:rsid w:val="003F1FC9"/>
    <w:rsid w:val="003F32C1"/>
    <w:rsid w:val="003F5FF2"/>
    <w:rsid w:val="003F6E3B"/>
    <w:rsid w:val="0040083C"/>
    <w:rsid w:val="0040202C"/>
    <w:rsid w:val="00404F36"/>
    <w:rsid w:val="00410134"/>
    <w:rsid w:val="0041144A"/>
    <w:rsid w:val="00413AB7"/>
    <w:rsid w:val="00414461"/>
    <w:rsid w:val="00414942"/>
    <w:rsid w:val="00416943"/>
    <w:rsid w:val="0042008F"/>
    <w:rsid w:val="004232DA"/>
    <w:rsid w:val="00423D38"/>
    <w:rsid w:val="004240B6"/>
    <w:rsid w:val="00424736"/>
    <w:rsid w:val="00431F55"/>
    <w:rsid w:val="00436C7A"/>
    <w:rsid w:val="00440989"/>
    <w:rsid w:val="0044298C"/>
    <w:rsid w:val="0044364C"/>
    <w:rsid w:val="0044570C"/>
    <w:rsid w:val="00446238"/>
    <w:rsid w:val="004515B9"/>
    <w:rsid w:val="004525B2"/>
    <w:rsid w:val="00456FF6"/>
    <w:rsid w:val="00460374"/>
    <w:rsid w:val="004625A5"/>
    <w:rsid w:val="004635C7"/>
    <w:rsid w:val="00465120"/>
    <w:rsid w:val="00467D85"/>
    <w:rsid w:val="00474BA0"/>
    <w:rsid w:val="0047578D"/>
    <w:rsid w:val="00476291"/>
    <w:rsid w:val="00476663"/>
    <w:rsid w:val="004831F5"/>
    <w:rsid w:val="00490777"/>
    <w:rsid w:val="00491086"/>
    <w:rsid w:val="00492019"/>
    <w:rsid w:val="00492BC2"/>
    <w:rsid w:val="00497F7F"/>
    <w:rsid w:val="004A005F"/>
    <w:rsid w:val="004A0501"/>
    <w:rsid w:val="004A25BF"/>
    <w:rsid w:val="004A40CA"/>
    <w:rsid w:val="004A595D"/>
    <w:rsid w:val="004B3AC6"/>
    <w:rsid w:val="004B6BDE"/>
    <w:rsid w:val="004B7B10"/>
    <w:rsid w:val="004C0D11"/>
    <w:rsid w:val="004C138F"/>
    <w:rsid w:val="004C1B3D"/>
    <w:rsid w:val="004C2C09"/>
    <w:rsid w:val="004C3AC3"/>
    <w:rsid w:val="004C4367"/>
    <w:rsid w:val="004C55CC"/>
    <w:rsid w:val="004D15ED"/>
    <w:rsid w:val="004D243B"/>
    <w:rsid w:val="004D2F55"/>
    <w:rsid w:val="004D7BD5"/>
    <w:rsid w:val="004E0754"/>
    <w:rsid w:val="004E1399"/>
    <w:rsid w:val="004E1A2A"/>
    <w:rsid w:val="004E222C"/>
    <w:rsid w:val="004E27E2"/>
    <w:rsid w:val="004E4DD3"/>
    <w:rsid w:val="004E6E8A"/>
    <w:rsid w:val="004E789A"/>
    <w:rsid w:val="004F0018"/>
    <w:rsid w:val="004F111A"/>
    <w:rsid w:val="004F2215"/>
    <w:rsid w:val="004F39C6"/>
    <w:rsid w:val="004F41B7"/>
    <w:rsid w:val="004F5042"/>
    <w:rsid w:val="004F5087"/>
    <w:rsid w:val="004F68EF"/>
    <w:rsid w:val="004F6EBF"/>
    <w:rsid w:val="005024D4"/>
    <w:rsid w:val="00503CCC"/>
    <w:rsid w:val="005054CC"/>
    <w:rsid w:val="00506ECC"/>
    <w:rsid w:val="005169D5"/>
    <w:rsid w:val="005205FD"/>
    <w:rsid w:val="00521359"/>
    <w:rsid w:val="0052527B"/>
    <w:rsid w:val="005259F1"/>
    <w:rsid w:val="00530C44"/>
    <w:rsid w:val="0053301D"/>
    <w:rsid w:val="00533B34"/>
    <w:rsid w:val="005343DD"/>
    <w:rsid w:val="00534E48"/>
    <w:rsid w:val="00541FBB"/>
    <w:rsid w:val="0054353D"/>
    <w:rsid w:val="00545A83"/>
    <w:rsid w:val="00552713"/>
    <w:rsid w:val="0055422F"/>
    <w:rsid w:val="00555C45"/>
    <w:rsid w:val="005573B3"/>
    <w:rsid w:val="00557D52"/>
    <w:rsid w:val="00560711"/>
    <w:rsid w:val="00561C33"/>
    <w:rsid w:val="00565402"/>
    <w:rsid w:val="00565E57"/>
    <w:rsid w:val="00567882"/>
    <w:rsid w:val="005712BF"/>
    <w:rsid w:val="00573827"/>
    <w:rsid w:val="00574858"/>
    <w:rsid w:val="005803A2"/>
    <w:rsid w:val="00581AE4"/>
    <w:rsid w:val="0058746D"/>
    <w:rsid w:val="00587826"/>
    <w:rsid w:val="00590B39"/>
    <w:rsid w:val="00590C9E"/>
    <w:rsid w:val="00591D31"/>
    <w:rsid w:val="00593133"/>
    <w:rsid w:val="005940A6"/>
    <w:rsid w:val="00594CC0"/>
    <w:rsid w:val="005A0525"/>
    <w:rsid w:val="005A1526"/>
    <w:rsid w:val="005A249E"/>
    <w:rsid w:val="005A26DF"/>
    <w:rsid w:val="005A6A86"/>
    <w:rsid w:val="005A7CA9"/>
    <w:rsid w:val="005A7D74"/>
    <w:rsid w:val="005B4901"/>
    <w:rsid w:val="005B68D5"/>
    <w:rsid w:val="005C0E57"/>
    <w:rsid w:val="005C1D30"/>
    <w:rsid w:val="005C20C0"/>
    <w:rsid w:val="005C58A3"/>
    <w:rsid w:val="005C737F"/>
    <w:rsid w:val="005D2421"/>
    <w:rsid w:val="005D50A7"/>
    <w:rsid w:val="005D6911"/>
    <w:rsid w:val="005E1529"/>
    <w:rsid w:val="005E474D"/>
    <w:rsid w:val="005E5ABD"/>
    <w:rsid w:val="005F1143"/>
    <w:rsid w:val="005F68E8"/>
    <w:rsid w:val="006003B8"/>
    <w:rsid w:val="00601ABA"/>
    <w:rsid w:val="00607E22"/>
    <w:rsid w:val="0061061F"/>
    <w:rsid w:val="0061325C"/>
    <w:rsid w:val="00614E81"/>
    <w:rsid w:val="00615F4C"/>
    <w:rsid w:val="006170DA"/>
    <w:rsid w:val="00617B04"/>
    <w:rsid w:val="00621E11"/>
    <w:rsid w:val="00632A0E"/>
    <w:rsid w:val="006335FE"/>
    <w:rsid w:val="00637E34"/>
    <w:rsid w:val="00640AB9"/>
    <w:rsid w:val="0064621F"/>
    <w:rsid w:val="00650FF8"/>
    <w:rsid w:val="00654B30"/>
    <w:rsid w:val="0065570E"/>
    <w:rsid w:val="0065572F"/>
    <w:rsid w:val="006559C4"/>
    <w:rsid w:val="0065737D"/>
    <w:rsid w:val="00660B8B"/>
    <w:rsid w:val="0066193F"/>
    <w:rsid w:val="006625D1"/>
    <w:rsid w:val="00664898"/>
    <w:rsid w:val="006659F2"/>
    <w:rsid w:val="006677A3"/>
    <w:rsid w:val="00673194"/>
    <w:rsid w:val="006742D7"/>
    <w:rsid w:val="006757EB"/>
    <w:rsid w:val="00676D1F"/>
    <w:rsid w:val="00677684"/>
    <w:rsid w:val="00677B81"/>
    <w:rsid w:val="00680329"/>
    <w:rsid w:val="00680E3A"/>
    <w:rsid w:val="00680FA5"/>
    <w:rsid w:val="00683714"/>
    <w:rsid w:val="00683D43"/>
    <w:rsid w:val="0069059B"/>
    <w:rsid w:val="00690A24"/>
    <w:rsid w:val="00690C55"/>
    <w:rsid w:val="00693136"/>
    <w:rsid w:val="006942F6"/>
    <w:rsid w:val="00695548"/>
    <w:rsid w:val="006A32D5"/>
    <w:rsid w:val="006B0F5E"/>
    <w:rsid w:val="006B2F09"/>
    <w:rsid w:val="006C28F9"/>
    <w:rsid w:val="006C400B"/>
    <w:rsid w:val="006C5364"/>
    <w:rsid w:val="006C5CC6"/>
    <w:rsid w:val="006C7B11"/>
    <w:rsid w:val="006D06EB"/>
    <w:rsid w:val="006D4C3C"/>
    <w:rsid w:val="006E2897"/>
    <w:rsid w:val="006E43FB"/>
    <w:rsid w:val="006E4C21"/>
    <w:rsid w:val="006E6067"/>
    <w:rsid w:val="006E6D3B"/>
    <w:rsid w:val="006F36EC"/>
    <w:rsid w:val="006F5459"/>
    <w:rsid w:val="006F6C97"/>
    <w:rsid w:val="006F7352"/>
    <w:rsid w:val="00702449"/>
    <w:rsid w:val="00704D51"/>
    <w:rsid w:val="00704E3F"/>
    <w:rsid w:val="00705457"/>
    <w:rsid w:val="007124A0"/>
    <w:rsid w:val="007124C4"/>
    <w:rsid w:val="00712A55"/>
    <w:rsid w:val="007148A0"/>
    <w:rsid w:val="00714FE8"/>
    <w:rsid w:val="00716BE8"/>
    <w:rsid w:val="00723C14"/>
    <w:rsid w:val="007313F2"/>
    <w:rsid w:val="00732B5E"/>
    <w:rsid w:val="00734188"/>
    <w:rsid w:val="00740078"/>
    <w:rsid w:val="0074523C"/>
    <w:rsid w:val="00746A7B"/>
    <w:rsid w:val="00750EB5"/>
    <w:rsid w:val="0075447E"/>
    <w:rsid w:val="00756D37"/>
    <w:rsid w:val="00763771"/>
    <w:rsid w:val="0076519A"/>
    <w:rsid w:val="007658CE"/>
    <w:rsid w:val="007663BF"/>
    <w:rsid w:val="00771232"/>
    <w:rsid w:val="007753CF"/>
    <w:rsid w:val="00777C3B"/>
    <w:rsid w:val="007804BF"/>
    <w:rsid w:val="0078135B"/>
    <w:rsid w:val="00781E17"/>
    <w:rsid w:val="00784367"/>
    <w:rsid w:val="0078665F"/>
    <w:rsid w:val="0078763D"/>
    <w:rsid w:val="00790870"/>
    <w:rsid w:val="00792F82"/>
    <w:rsid w:val="00795C57"/>
    <w:rsid w:val="00795E52"/>
    <w:rsid w:val="00797654"/>
    <w:rsid w:val="007B05D5"/>
    <w:rsid w:val="007B13FA"/>
    <w:rsid w:val="007B15C7"/>
    <w:rsid w:val="007B22BE"/>
    <w:rsid w:val="007B271F"/>
    <w:rsid w:val="007B30E8"/>
    <w:rsid w:val="007B5D70"/>
    <w:rsid w:val="007B6515"/>
    <w:rsid w:val="007B7A22"/>
    <w:rsid w:val="007C087B"/>
    <w:rsid w:val="007C228E"/>
    <w:rsid w:val="007C2414"/>
    <w:rsid w:val="007C4479"/>
    <w:rsid w:val="007C567D"/>
    <w:rsid w:val="007C6907"/>
    <w:rsid w:val="007C6F9E"/>
    <w:rsid w:val="007C728D"/>
    <w:rsid w:val="007D408A"/>
    <w:rsid w:val="007D4955"/>
    <w:rsid w:val="007D4ED9"/>
    <w:rsid w:val="007D60F9"/>
    <w:rsid w:val="007D77DB"/>
    <w:rsid w:val="007E0F2D"/>
    <w:rsid w:val="007E3DA0"/>
    <w:rsid w:val="007E537D"/>
    <w:rsid w:val="007E79F6"/>
    <w:rsid w:val="007F08A9"/>
    <w:rsid w:val="007F1B37"/>
    <w:rsid w:val="007F21B3"/>
    <w:rsid w:val="007F2364"/>
    <w:rsid w:val="007F5A54"/>
    <w:rsid w:val="007F71BF"/>
    <w:rsid w:val="007F7408"/>
    <w:rsid w:val="00801841"/>
    <w:rsid w:val="00802AF8"/>
    <w:rsid w:val="00802F5A"/>
    <w:rsid w:val="008038B4"/>
    <w:rsid w:val="008056A6"/>
    <w:rsid w:val="00806318"/>
    <w:rsid w:val="00807239"/>
    <w:rsid w:val="00807911"/>
    <w:rsid w:val="008125F7"/>
    <w:rsid w:val="008175E9"/>
    <w:rsid w:val="008222E9"/>
    <w:rsid w:val="00824CF4"/>
    <w:rsid w:val="00825296"/>
    <w:rsid w:val="00835EAA"/>
    <w:rsid w:val="008374A5"/>
    <w:rsid w:val="008431FB"/>
    <w:rsid w:val="00843E63"/>
    <w:rsid w:val="00845B52"/>
    <w:rsid w:val="00846A54"/>
    <w:rsid w:val="008516FE"/>
    <w:rsid w:val="00853A1E"/>
    <w:rsid w:val="00855CA9"/>
    <w:rsid w:val="00855DDA"/>
    <w:rsid w:val="00856F41"/>
    <w:rsid w:val="00880AAF"/>
    <w:rsid w:val="008811A2"/>
    <w:rsid w:val="00882AEC"/>
    <w:rsid w:val="00883FA7"/>
    <w:rsid w:val="008910A7"/>
    <w:rsid w:val="00893067"/>
    <w:rsid w:val="008938E9"/>
    <w:rsid w:val="00895F57"/>
    <w:rsid w:val="00897CC7"/>
    <w:rsid w:val="008A2619"/>
    <w:rsid w:val="008A4B56"/>
    <w:rsid w:val="008A5B62"/>
    <w:rsid w:val="008A7105"/>
    <w:rsid w:val="008B118F"/>
    <w:rsid w:val="008B3FC2"/>
    <w:rsid w:val="008B5A07"/>
    <w:rsid w:val="008B6339"/>
    <w:rsid w:val="008B69C5"/>
    <w:rsid w:val="008D1343"/>
    <w:rsid w:val="008D1DE1"/>
    <w:rsid w:val="008D77F5"/>
    <w:rsid w:val="008E0ED5"/>
    <w:rsid w:val="008E113C"/>
    <w:rsid w:val="008E310A"/>
    <w:rsid w:val="008E6377"/>
    <w:rsid w:val="008E7CA2"/>
    <w:rsid w:val="008F095B"/>
    <w:rsid w:val="008F117D"/>
    <w:rsid w:val="008F648F"/>
    <w:rsid w:val="0090106E"/>
    <w:rsid w:val="00903D49"/>
    <w:rsid w:val="00907BDA"/>
    <w:rsid w:val="00910DC2"/>
    <w:rsid w:val="0091272C"/>
    <w:rsid w:val="00913E1A"/>
    <w:rsid w:val="009142F9"/>
    <w:rsid w:val="009143EE"/>
    <w:rsid w:val="0091498F"/>
    <w:rsid w:val="009174B2"/>
    <w:rsid w:val="00917B4F"/>
    <w:rsid w:val="009208BD"/>
    <w:rsid w:val="009213CE"/>
    <w:rsid w:val="00921F71"/>
    <w:rsid w:val="0092327C"/>
    <w:rsid w:val="00923418"/>
    <w:rsid w:val="00923EFD"/>
    <w:rsid w:val="009276EB"/>
    <w:rsid w:val="0093160C"/>
    <w:rsid w:val="00931B4B"/>
    <w:rsid w:val="00933E2D"/>
    <w:rsid w:val="00934671"/>
    <w:rsid w:val="00934722"/>
    <w:rsid w:val="00934A53"/>
    <w:rsid w:val="00937A1B"/>
    <w:rsid w:val="00940EF9"/>
    <w:rsid w:val="009424FE"/>
    <w:rsid w:val="009426C7"/>
    <w:rsid w:val="00942930"/>
    <w:rsid w:val="009437F8"/>
    <w:rsid w:val="00947C4A"/>
    <w:rsid w:val="00950D38"/>
    <w:rsid w:val="00951935"/>
    <w:rsid w:val="00953801"/>
    <w:rsid w:val="009539E3"/>
    <w:rsid w:val="0095451E"/>
    <w:rsid w:val="00955FE0"/>
    <w:rsid w:val="00960D49"/>
    <w:rsid w:val="009637B9"/>
    <w:rsid w:val="00963E9A"/>
    <w:rsid w:val="00964C31"/>
    <w:rsid w:val="00965F99"/>
    <w:rsid w:val="00967179"/>
    <w:rsid w:val="00967D8A"/>
    <w:rsid w:val="009705E4"/>
    <w:rsid w:val="0097454C"/>
    <w:rsid w:val="00975134"/>
    <w:rsid w:val="009763A8"/>
    <w:rsid w:val="00977B15"/>
    <w:rsid w:val="00986AD7"/>
    <w:rsid w:val="00987F3E"/>
    <w:rsid w:val="00994AC4"/>
    <w:rsid w:val="00996111"/>
    <w:rsid w:val="009A1672"/>
    <w:rsid w:val="009A36C1"/>
    <w:rsid w:val="009A3DE8"/>
    <w:rsid w:val="009A574E"/>
    <w:rsid w:val="009A70CC"/>
    <w:rsid w:val="009A742D"/>
    <w:rsid w:val="009A7E82"/>
    <w:rsid w:val="009B2529"/>
    <w:rsid w:val="009B2548"/>
    <w:rsid w:val="009B3C15"/>
    <w:rsid w:val="009B5E0F"/>
    <w:rsid w:val="009B68AD"/>
    <w:rsid w:val="009C0B03"/>
    <w:rsid w:val="009C113D"/>
    <w:rsid w:val="009D38CB"/>
    <w:rsid w:val="009D3C12"/>
    <w:rsid w:val="009D3F40"/>
    <w:rsid w:val="009D4230"/>
    <w:rsid w:val="009D56A3"/>
    <w:rsid w:val="009D73B8"/>
    <w:rsid w:val="009E2EF0"/>
    <w:rsid w:val="009E3FB6"/>
    <w:rsid w:val="009E44DB"/>
    <w:rsid w:val="009E4923"/>
    <w:rsid w:val="009F023B"/>
    <w:rsid w:val="009F09AB"/>
    <w:rsid w:val="009F27B7"/>
    <w:rsid w:val="009F6168"/>
    <w:rsid w:val="009F6953"/>
    <w:rsid w:val="009F6D1D"/>
    <w:rsid w:val="00A023FD"/>
    <w:rsid w:val="00A1013E"/>
    <w:rsid w:val="00A117E5"/>
    <w:rsid w:val="00A155EC"/>
    <w:rsid w:val="00A1663C"/>
    <w:rsid w:val="00A17048"/>
    <w:rsid w:val="00A173D3"/>
    <w:rsid w:val="00A17C88"/>
    <w:rsid w:val="00A2036B"/>
    <w:rsid w:val="00A24B4B"/>
    <w:rsid w:val="00A25A7A"/>
    <w:rsid w:val="00A263D3"/>
    <w:rsid w:val="00A321A9"/>
    <w:rsid w:val="00A34F9D"/>
    <w:rsid w:val="00A35586"/>
    <w:rsid w:val="00A4353C"/>
    <w:rsid w:val="00A45433"/>
    <w:rsid w:val="00A459BB"/>
    <w:rsid w:val="00A45C73"/>
    <w:rsid w:val="00A47510"/>
    <w:rsid w:val="00A575C8"/>
    <w:rsid w:val="00A60B6D"/>
    <w:rsid w:val="00A6133F"/>
    <w:rsid w:val="00A61770"/>
    <w:rsid w:val="00A65294"/>
    <w:rsid w:val="00A65B37"/>
    <w:rsid w:val="00A67785"/>
    <w:rsid w:val="00A679F4"/>
    <w:rsid w:val="00A75CA6"/>
    <w:rsid w:val="00A7672B"/>
    <w:rsid w:val="00A821F7"/>
    <w:rsid w:val="00A874D1"/>
    <w:rsid w:val="00A916D0"/>
    <w:rsid w:val="00A91FCD"/>
    <w:rsid w:val="00A9297B"/>
    <w:rsid w:val="00A92D09"/>
    <w:rsid w:val="00A951BF"/>
    <w:rsid w:val="00A9655C"/>
    <w:rsid w:val="00AA1D3D"/>
    <w:rsid w:val="00AA471C"/>
    <w:rsid w:val="00AA5005"/>
    <w:rsid w:val="00AA571D"/>
    <w:rsid w:val="00AA6656"/>
    <w:rsid w:val="00AB1524"/>
    <w:rsid w:val="00AB19CD"/>
    <w:rsid w:val="00AB2A72"/>
    <w:rsid w:val="00AB36E7"/>
    <w:rsid w:val="00AB3A2D"/>
    <w:rsid w:val="00AB5246"/>
    <w:rsid w:val="00AB6060"/>
    <w:rsid w:val="00AB7D65"/>
    <w:rsid w:val="00AB7EDE"/>
    <w:rsid w:val="00AC09F3"/>
    <w:rsid w:val="00AC145B"/>
    <w:rsid w:val="00AC52A2"/>
    <w:rsid w:val="00AC55C2"/>
    <w:rsid w:val="00AC5C7D"/>
    <w:rsid w:val="00AC7965"/>
    <w:rsid w:val="00AD16DD"/>
    <w:rsid w:val="00AD2419"/>
    <w:rsid w:val="00AD3CFA"/>
    <w:rsid w:val="00AD6646"/>
    <w:rsid w:val="00AE2D17"/>
    <w:rsid w:val="00AE50F4"/>
    <w:rsid w:val="00AF2BE0"/>
    <w:rsid w:val="00AF43F4"/>
    <w:rsid w:val="00AF6C01"/>
    <w:rsid w:val="00B00669"/>
    <w:rsid w:val="00B033A2"/>
    <w:rsid w:val="00B10C0F"/>
    <w:rsid w:val="00B11902"/>
    <w:rsid w:val="00B12066"/>
    <w:rsid w:val="00B13177"/>
    <w:rsid w:val="00B154DB"/>
    <w:rsid w:val="00B20320"/>
    <w:rsid w:val="00B217D2"/>
    <w:rsid w:val="00B223E0"/>
    <w:rsid w:val="00B22B13"/>
    <w:rsid w:val="00B2392C"/>
    <w:rsid w:val="00B245AD"/>
    <w:rsid w:val="00B363C9"/>
    <w:rsid w:val="00B36C2F"/>
    <w:rsid w:val="00B40546"/>
    <w:rsid w:val="00B40DEB"/>
    <w:rsid w:val="00B44B2B"/>
    <w:rsid w:val="00B47045"/>
    <w:rsid w:val="00B5226F"/>
    <w:rsid w:val="00B53FBE"/>
    <w:rsid w:val="00B5727F"/>
    <w:rsid w:val="00B606B7"/>
    <w:rsid w:val="00B614AC"/>
    <w:rsid w:val="00B617B8"/>
    <w:rsid w:val="00B6184A"/>
    <w:rsid w:val="00B62088"/>
    <w:rsid w:val="00B6319A"/>
    <w:rsid w:val="00B6531C"/>
    <w:rsid w:val="00B67545"/>
    <w:rsid w:val="00B708B8"/>
    <w:rsid w:val="00B721B1"/>
    <w:rsid w:val="00B72510"/>
    <w:rsid w:val="00B741E8"/>
    <w:rsid w:val="00B7522B"/>
    <w:rsid w:val="00B83726"/>
    <w:rsid w:val="00B83F79"/>
    <w:rsid w:val="00B8421C"/>
    <w:rsid w:val="00B87879"/>
    <w:rsid w:val="00B93219"/>
    <w:rsid w:val="00B93CC5"/>
    <w:rsid w:val="00B94959"/>
    <w:rsid w:val="00B96149"/>
    <w:rsid w:val="00B96632"/>
    <w:rsid w:val="00BA5BF9"/>
    <w:rsid w:val="00BA6359"/>
    <w:rsid w:val="00BB074F"/>
    <w:rsid w:val="00BB1E67"/>
    <w:rsid w:val="00BB5389"/>
    <w:rsid w:val="00BB5D73"/>
    <w:rsid w:val="00BC137E"/>
    <w:rsid w:val="00BC1AED"/>
    <w:rsid w:val="00BC27A7"/>
    <w:rsid w:val="00BC309B"/>
    <w:rsid w:val="00BC3D21"/>
    <w:rsid w:val="00BC4160"/>
    <w:rsid w:val="00BC495B"/>
    <w:rsid w:val="00BC785E"/>
    <w:rsid w:val="00BD1D39"/>
    <w:rsid w:val="00BD3022"/>
    <w:rsid w:val="00BD31E3"/>
    <w:rsid w:val="00BD35CE"/>
    <w:rsid w:val="00BD3A0E"/>
    <w:rsid w:val="00BD6C13"/>
    <w:rsid w:val="00BE1D01"/>
    <w:rsid w:val="00BE2CA7"/>
    <w:rsid w:val="00BE4C2A"/>
    <w:rsid w:val="00BE54F8"/>
    <w:rsid w:val="00BE55B8"/>
    <w:rsid w:val="00BF2076"/>
    <w:rsid w:val="00BF22A2"/>
    <w:rsid w:val="00BF2B49"/>
    <w:rsid w:val="00BF30CA"/>
    <w:rsid w:val="00BF509E"/>
    <w:rsid w:val="00C020A9"/>
    <w:rsid w:val="00C03600"/>
    <w:rsid w:val="00C05035"/>
    <w:rsid w:val="00C06017"/>
    <w:rsid w:val="00C06535"/>
    <w:rsid w:val="00C12076"/>
    <w:rsid w:val="00C138FE"/>
    <w:rsid w:val="00C1408C"/>
    <w:rsid w:val="00C168E4"/>
    <w:rsid w:val="00C16E26"/>
    <w:rsid w:val="00C16EC2"/>
    <w:rsid w:val="00C175E9"/>
    <w:rsid w:val="00C17742"/>
    <w:rsid w:val="00C17E6B"/>
    <w:rsid w:val="00C21C32"/>
    <w:rsid w:val="00C2278F"/>
    <w:rsid w:val="00C2299C"/>
    <w:rsid w:val="00C26FC0"/>
    <w:rsid w:val="00C2747B"/>
    <w:rsid w:val="00C31879"/>
    <w:rsid w:val="00C31C76"/>
    <w:rsid w:val="00C33596"/>
    <w:rsid w:val="00C403D4"/>
    <w:rsid w:val="00C42CDA"/>
    <w:rsid w:val="00C43769"/>
    <w:rsid w:val="00C44259"/>
    <w:rsid w:val="00C52004"/>
    <w:rsid w:val="00C52009"/>
    <w:rsid w:val="00C52394"/>
    <w:rsid w:val="00C523BF"/>
    <w:rsid w:val="00C5336A"/>
    <w:rsid w:val="00C53735"/>
    <w:rsid w:val="00C54AAD"/>
    <w:rsid w:val="00C578E1"/>
    <w:rsid w:val="00C60345"/>
    <w:rsid w:val="00C657D4"/>
    <w:rsid w:val="00C65B4B"/>
    <w:rsid w:val="00C65B65"/>
    <w:rsid w:val="00C7114A"/>
    <w:rsid w:val="00C75F30"/>
    <w:rsid w:val="00C8058A"/>
    <w:rsid w:val="00C81318"/>
    <w:rsid w:val="00C8381F"/>
    <w:rsid w:val="00C84D8F"/>
    <w:rsid w:val="00C87570"/>
    <w:rsid w:val="00C90F09"/>
    <w:rsid w:val="00C91B53"/>
    <w:rsid w:val="00C949E4"/>
    <w:rsid w:val="00C95940"/>
    <w:rsid w:val="00C97A71"/>
    <w:rsid w:val="00CA08A3"/>
    <w:rsid w:val="00CA1BA1"/>
    <w:rsid w:val="00CA71D7"/>
    <w:rsid w:val="00CA7C04"/>
    <w:rsid w:val="00CB0AD7"/>
    <w:rsid w:val="00CB108C"/>
    <w:rsid w:val="00CB2127"/>
    <w:rsid w:val="00CB4957"/>
    <w:rsid w:val="00CC3C1B"/>
    <w:rsid w:val="00CC4552"/>
    <w:rsid w:val="00CC4FF7"/>
    <w:rsid w:val="00CC63AA"/>
    <w:rsid w:val="00CC7FD7"/>
    <w:rsid w:val="00CD24D5"/>
    <w:rsid w:val="00CD4791"/>
    <w:rsid w:val="00CD5FD4"/>
    <w:rsid w:val="00CE17DC"/>
    <w:rsid w:val="00CE246F"/>
    <w:rsid w:val="00CE2A9B"/>
    <w:rsid w:val="00CE78F8"/>
    <w:rsid w:val="00CE79DA"/>
    <w:rsid w:val="00CE7C19"/>
    <w:rsid w:val="00CF0687"/>
    <w:rsid w:val="00CF09E7"/>
    <w:rsid w:val="00CF3CFA"/>
    <w:rsid w:val="00CF3F89"/>
    <w:rsid w:val="00CF4452"/>
    <w:rsid w:val="00D01886"/>
    <w:rsid w:val="00D0215B"/>
    <w:rsid w:val="00D02E6D"/>
    <w:rsid w:val="00D03C73"/>
    <w:rsid w:val="00D04214"/>
    <w:rsid w:val="00D07E19"/>
    <w:rsid w:val="00D10581"/>
    <w:rsid w:val="00D12995"/>
    <w:rsid w:val="00D13114"/>
    <w:rsid w:val="00D13E1C"/>
    <w:rsid w:val="00D15350"/>
    <w:rsid w:val="00D166EA"/>
    <w:rsid w:val="00D20435"/>
    <w:rsid w:val="00D233A7"/>
    <w:rsid w:val="00D23643"/>
    <w:rsid w:val="00D247BF"/>
    <w:rsid w:val="00D24CBC"/>
    <w:rsid w:val="00D27C0F"/>
    <w:rsid w:val="00D3677C"/>
    <w:rsid w:val="00D3711A"/>
    <w:rsid w:val="00D40A6C"/>
    <w:rsid w:val="00D4289F"/>
    <w:rsid w:val="00D44208"/>
    <w:rsid w:val="00D454EB"/>
    <w:rsid w:val="00D45F6B"/>
    <w:rsid w:val="00D46B66"/>
    <w:rsid w:val="00D50212"/>
    <w:rsid w:val="00D50B6C"/>
    <w:rsid w:val="00D50B74"/>
    <w:rsid w:val="00D56AD5"/>
    <w:rsid w:val="00D60B81"/>
    <w:rsid w:val="00D621AE"/>
    <w:rsid w:val="00D624D7"/>
    <w:rsid w:val="00D63BEE"/>
    <w:rsid w:val="00D64E64"/>
    <w:rsid w:val="00D717EE"/>
    <w:rsid w:val="00D73E05"/>
    <w:rsid w:val="00D77092"/>
    <w:rsid w:val="00D77FB6"/>
    <w:rsid w:val="00D81EEB"/>
    <w:rsid w:val="00D823D2"/>
    <w:rsid w:val="00D82434"/>
    <w:rsid w:val="00D85A8E"/>
    <w:rsid w:val="00D86BCA"/>
    <w:rsid w:val="00D8719B"/>
    <w:rsid w:val="00D9049F"/>
    <w:rsid w:val="00D90A75"/>
    <w:rsid w:val="00D90BFF"/>
    <w:rsid w:val="00D92C24"/>
    <w:rsid w:val="00D93C05"/>
    <w:rsid w:val="00D95B62"/>
    <w:rsid w:val="00DA1FF2"/>
    <w:rsid w:val="00DA5659"/>
    <w:rsid w:val="00DA5954"/>
    <w:rsid w:val="00DA6410"/>
    <w:rsid w:val="00DA79EA"/>
    <w:rsid w:val="00DB0527"/>
    <w:rsid w:val="00DB1109"/>
    <w:rsid w:val="00DB1C7E"/>
    <w:rsid w:val="00DB1F2D"/>
    <w:rsid w:val="00DB1F87"/>
    <w:rsid w:val="00DB67EB"/>
    <w:rsid w:val="00DC0300"/>
    <w:rsid w:val="00DC1DA8"/>
    <w:rsid w:val="00DC69C6"/>
    <w:rsid w:val="00DD0300"/>
    <w:rsid w:val="00DD2CA5"/>
    <w:rsid w:val="00DD5A35"/>
    <w:rsid w:val="00DD7D9F"/>
    <w:rsid w:val="00DD7F7D"/>
    <w:rsid w:val="00DE19AD"/>
    <w:rsid w:val="00DE2C84"/>
    <w:rsid w:val="00DE2EDE"/>
    <w:rsid w:val="00DF08D8"/>
    <w:rsid w:val="00DF3BBD"/>
    <w:rsid w:val="00DF588B"/>
    <w:rsid w:val="00E03CAC"/>
    <w:rsid w:val="00E05617"/>
    <w:rsid w:val="00E05B6F"/>
    <w:rsid w:val="00E068EB"/>
    <w:rsid w:val="00E072F5"/>
    <w:rsid w:val="00E07BC2"/>
    <w:rsid w:val="00E07C2B"/>
    <w:rsid w:val="00E07FA5"/>
    <w:rsid w:val="00E14568"/>
    <w:rsid w:val="00E21573"/>
    <w:rsid w:val="00E21AC3"/>
    <w:rsid w:val="00E21D14"/>
    <w:rsid w:val="00E243D6"/>
    <w:rsid w:val="00E30951"/>
    <w:rsid w:val="00E34863"/>
    <w:rsid w:val="00E349AB"/>
    <w:rsid w:val="00E42FFF"/>
    <w:rsid w:val="00E47E38"/>
    <w:rsid w:val="00E50A7D"/>
    <w:rsid w:val="00E50C25"/>
    <w:rsid w:val="00E5381C"/>
    <w:rsid w:val="00E56883"/>
    <w:rsid w:val="00E56D88"/>
    <w:rsid w:val="00E60AD8"/>
    <w:rsid w:val="00E63647"/>
    <w:rsid w:val="00E652EA"/>
    <w:rsid w:val="00E73D66"/>
    <w:rsid w:val="00E7778C"/>
    <w:rsid w:val="00E807A7"/>
    <w:rsid w:val="00E80D11"/>
    <w:rsid w:val="00E80EBB"/>
    <w:rsid w:val="00E819E7"/>
    <w:rsid w:val="00E858FA"/>
    <w:rsid w:val="00E8592F"/>
    <w:rsid w:val="00E87A20"/>
    <w:rsid w:val="00E91C35"/>
    <w:rsid w:val="00E92488"/>
    <w:rsid w:val="00E92C99"/>
    <w:rsid w:val="00E938FA"/>
    <w:rsid w:val="00EA7DEB"/>
    <w:rsid w:val="00EA7F10"/>
    <w:rsid w:val="00EB056D"/>
    <w:rsid w:val="00EB2960"/>
    <w:rsid w:val="00EB3AFF"/>
    <w:rsid w:val="00EB673A"/>
    <w:rsid w:val="00EB6B7E"/>
    <w:rsid w:val="00EB708A"/>
    <w:rsid w:val="00EB743E"/>
    <w:rsid w:val="00EB7D16"/>
    <w:rsid w:val="00EC00C0"/>
    <w:rsid w:val="00EC2A30"/>
    <w:rsid w:val="00EC3E05"/>
    <w:rsid w:val="00EC4168"/>
    <w:rsid w:val="00EC6058"/>
    <w:rsid w:val="00EC7680"/>
    <w:rsid w:val="00EC7A87"/>
    <w:rsid w:val="00ED19AD"/>
    <w:rsid w:val="00ED2CD6"/>
    <w:rsid w:val="00ED2F6D"/>
    <w:rsid w:val="00ED529C"/>
    <w:rsid w:val="00ED552D"/>
    <w:rsid w:val="00ED6A2F"/>
    <w:rsid w:val="00EE1553"/>
    <w:rsid w:val="00EE33EF"/>
    <w:rsid w:val="00EE3819"/>
    <w:rsid w:val="00EE404D"/>
    <w:rsid w:val="00EE58BB"/>
    <w:rsid w:val="00EF08E0"/>
    <w:rsid w:val="00EF2C5D"/>
    <w:rsid w:val="00EF481F"/>
    <w:rsid w:val="00F00272"/>
    <w:rsid w:val="00F05444"/>
    <w:rsid w:val="00F059F5"/>
    <w:rsid w:val="00F0631F"/>
    <w:rsid w:val="00F0640B"/>
    <w:rsid w:val="00F0746E"/>
    <w:rsid w:val="00F12858"/>
    <w:rsid w:val="00F12F1E"/>
    <w:rsid w:val="00F13017"/>
    <w:rsid w:val="00F138E5"/>
    <w:rsid w:val="00F15499"/>
    <w:rsid w:val="00F15F41"/>
    <w:rsid w:val="00F23E64"/>
    <w:rsid w:val="00F23E9A"/>
    <w:rsid w:val="00F24E5D"/>
    <w:rsid w:val="00F25E2C"/>
    <w:rsid w:val="00F27F81"/>
    <w:rsid w:val="00F325C0"/>
    <w:rsid w:val="00F33F6C"/>
    <w:rsid w:val="00F4170E"/>
    <w:rsid w:val="00F434A5"/>
    <w:rsid w:val="00F50BF5"/>
    <w:rsid w:val="00F50D00"/>
    <w:rsid w:val="00F50E49"/>
    <w:rsid w:val="00F53673"/>
    <w:rsid w:val="00F53A37"/>
    <w:rsid w:val="00F56558"/>
    <w:rsid w:val="00F56EA8"/>
    <w:rsid w:val="00F61565"/>
    <w:rsid w:val="00F65F47"/>
    <w:rsid w:val="00F65FDE"/>
    <w:rsid w:val="00F66542"/>
    <w:rsid w:val="00F70490"/>
    <w:rsid w:val="00F7118B"/>
    <w:rsid w:val="00F726C0"/>
    <w:rsid w:val="00F7357C"/>
    <w:rsid w:val="00F73A57"/>
    <w:rsid w:val="00F7516B"/>
    <w:rsid w:val="00F85DAE"/>
    <w:rsid w:val="00F86F6D"/>
    <w:rsid w:val="00F91723"/>
    <w:rsid w:val="00F91F15"/>
    <w:rsid w:val="00F951AE"/>
    <w:rsid w:val="00F95C62"/>
    <w:rsid w:val="00FA05D8"/>
    <w:rsid w:val="00FA0E8B"/>
    <w:rsid w:val="00FA14B5"/>
    <w:rsid w:val="00FA4F98"/>
    <w:rsid w:val="00FA7147"/>
    <w:rsid w:val="00FB1B28"/>
    <w:rsid w:val="00FB2FF5"/>
    <w:rsid w:val="00FB68FC"/>
    <w:rsid w:val="00FB6CC4"/>
    <w:rsid w:val="00FC0FBD"/>
    <w:rsid w:val="00FC4E91"/>
    <w:rsid w:val="00FD501D"/>
    <w:rsid w:val="00FD5317"/>
    <w:rsid w:val="00FD5AD0"/>
    <w:rsid w:val="00FD5FA3"/>
    <w:rsid w:val="00FD658C"/>
    <w:rsid w:val="00FE09B2"/>
    <w:rsid w:val="00FE2806"/>
    <w:rsid w:val="00FF0E3A"/>
    <w:rsid w:val="00FF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E7C86D"/>
  <w15:docId w15:val="{F8FAA625-4B3D-4D74-8AA4-E5C5556A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2076"/>
    <w:rPr>
      <w:sz w:val="22"/>
    </w:rPr>
  </w:style>
  <w:style w:type="paragraph" w:styleId="Antrat1">
    <w:name w:val="heading 1"/>
    <w:basedOn w:val="prastasis"/>
    <w:next w:val="prastasis"/>
    <w:link w:val="Antrat1Diagrama"/>
    <w:qFormat/>
    <w:rsid w:val="00E87A20"/>
    <w:pPr>
      <w:keepNext/>
      <w:spacing w:before="240" w:after="60"/>
      <w:outlineLvl w:val="0"/>
    </w:pPr>
    <w:rPr>
      <w:rFonts w:ascii="Cambria" w:hAnsi="Cambria"/>
      <w:b/>
      <w:bCs/>
      <w:kern w:val="32"/>
      <w:sz w:val="32"/>
      <w:szCs w:val="32"/>
    </w:rPr>
  </w:style>
  <w:style w:type="paragraph" w:styleId="Antrat2">
    <w:name w:val="heading 2"/>
    <w:basedOn w:val="prastasis"/>
    <w:next w:val="prastasis"/>
    <w:autoRedefine/>
    <w:qFormat/>
    <w:rsid w:val="0061061F"/>
    <w:pPr>
      <w:keepNext/>
      <w:tabs>
        <w:tab w:val="left" w:pos="540"/>
      </w:tabs>
      <w:jc w:val="center"/>
      <w:outlineLvl w:val="1"/>
    </w:pPr>
    <w:rPr>
      <w:b/>
      <w:iCs/>
      <w:szCs w:val="22"/>
    </w:rPr>
  </w:style>
  <w:style w:type="paragraph" w:styleId="Antrat3">
    <w:name w:val="heading 3"/>
    <w:basedOn w:val="prastasis"/>
    <w:next w:val="prastasis"/>
    <w:link w:val="Antrat3Diagrama"/>
    <w:qFormat/>
    <w:rsid w:val="00E87A20"/>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9"/>
    <w:qFormat/>
    <w:rsid w:val="00FB6CC4"/>
    <w:pPr>
      <w:keepNext/>
      <w:jc w:val="both"/>
      <w:outlineLvl w:val="3"/>
    </w:pPr>
    <w:rPr>
      <w:u w:val="single"/>
    </w:rPr>
  </w:style>
  <w:style w:type="paragraph" w:styleId="Antrat5">
    <w:name w:val="heading 5"/>
    <w:basedOn w:val="prastasis"/>
    <w:next w:val="prastasis"/>
    <w:link w:val="Antrat5Diagrama"/>
    <w:uiPriority w:val="99"/>
    <w:qFormat/>
    <w:rsid w:val="00FB6CC4"/>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271E1A"/>
    <w:pPr>
      <w:spacing w:before="240" w:after="60"/>
      <w:outlineLvl w:val="5"/>
    </w:pPr>
    <w:rPr>
      <w:b/>
      <w:bCs/>
      <w:szCs w:val="22"/>
    </w:rPr>
  </w:style>
  <w:style w:type="paragraph" w:styleId="Antrat7">
    <w:name w:val="heading 7"/>
    <w:basedOn w:val="prastasis"/>
    <w:next w:val="prastasis"/>
    <w:link w:val="Antrat7Diagrama"/>
    <w:uiPriority w:val="99"/>
    <w:qFormat/>
    <w:rsid w:val="00491086"/>
    <w:pPr>
      <w:keepNext/>
      <w:tabs>
        <w:tab w:val="left" w:pos="-720"/>
        <w:tab w:val="left" w:pos="567"/>
        <w:tab w:val="left" w:pos="4536"/>
      </w:tabs>
      <w:suppressAutoHyphens/>
      <w:spacing w:line="260" w:lineRule="exact"/>
      <w:jc w:val="both"/>
      <w:outlineLvl w:val="6"/>
    </w:pPr>
    <w:rPr>
      <w:i/>
      <w:lang w:val="cs-CZ" w:eastAsia="x-none"/>
    </w:rPr>
  </w:style>
  <w:style w:type="paragraph" w:styleId="Antrat8">
    <w:name w:val="heading 8"/>
    <w:basedOn w:val="prastasis"/>
    <w:next w:val="prastasis"/>
    <w:link w:val="Antrat8Diagrama"/>
    <w:uiPriority w:val="99"/>
    <w:qFormat/>
    <w:rsid w:val="00271E1A"/>
    <w:pPr>
      <w:spacing w:before="240" w:after="60"/>
      <w:outlineLvl w:val="7"/>
    </w:pPr>
    <w:rPr>
      <w:i/>
      <w:iCs/>
      <w:sz w:val="24"/>
      <w:szCs w:val="24"/>
      <w:lang w:eastAsia="x-none"/>
    </w:rPr>
  </w:style>
  <w:style w:type="paragraph" w:styleId="Antrat9">
    <w:name w:val="heading 9"/>
    <w:basedOn w:val="prastasis"/>
    <w:next w:val="prastasis"/>
    <w:link w:val="Antrat9Diagrama"/>
    <w:uiPriority w:val="99"/>
    <w:qFormat/>
    <w:rsid w:val="00491086"/>
    <w:pPr>
      <w:keepNext/>
      <w:tabs>
        <w:tab w:val="left" w:pos="567"/>
      </w:tabs>
      <w:spacing w:line="260" w:lineRule="exact"/>
      <w:jc w:val="both"/>
      <w:outlineLvl w:val="8"/>
    </w:pPr>
    <w:rPr>
      <w:b/>
      <w:i/>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B6CC4"/>
    <w:pPr>
      <w:spacing w:after="120"/>
    </w:pPr>
  </w:style>
  <w:style w:type="character" w:customStyle="1" w:styleId="PagrindinistekstasDiagrama">
    <w:name w:val="Pagrindinis tekstas Diagrama"/>
    <w:link w:val="Pagrindinistekstas"/>
    <w:rsid w:val="0015687C"/>
    <w:rPr>
      <w:sz w:val="22"/>
      <w:lang w:val="lt-LT" w:eastAsia="lt-LT" w:bidi="ar-SA"/>
    </w:rPr>
  </w:style>
  <w:style w:type="paragraph" w:styleId="Porat">
    <w:name w:val="footer"/>
    <w:basedOn w:val="prastasis"/>
    <w:link w:val="PoratDiagrama"/>
    <w:rsid w:val="00FB6CC4"/>
    <w:pPr>
      <w:tabs>
        <w:tab w:val="center" w:pos="4153"/>
        <w:tab w:val="right" w:pos="8306"/>
      </w:tabs>
    </w:pPr>
  </w:style>
  <w:style w:type="character" w:styleId="Puslapionumeris">
    <w:name w:val="page number"/>
    <w:basedOn w:val="Numatytasispastraiposriftas"/>
    <w:rsid w:val="00FB6CC4"/>
  </w:style>
  <w:style w:type="paragraph" w:styleId="Pavadinimas">
    <w:name w:val="Title"/>
    <w:basedOn w:val="prastasis"/>
    <w:link w:val="PavadinimasDiagrama"/>
    <w:autoRedefine/>
    <w:qFormat/>
    <w:rsid w:val="00FB6CC4"/>
    <w:pPr>
      <w:jc w:val="center"/>
      <w:outlineLvl w:val="0"/>
    </w:pPr>
    <w:rPr>
      <w:b/>
      <w:kern w:val="28"/>
    </w:rPr>
  </w:style>
  <w:style w:type="character" w:styleId="Hipersaitas">
    <w:name w:val="Hyperlink"/>
    <w:rsid w:val="00FB6CC4"/>
    <w:rPr>
      <w:color w:val="0000FF"/>
      <w:u w:val="single"/>
    </w:rPr>
  </w:style>
  <w:style w:type="paragraph" w:styleId="Paantrat">
    <w:name w:val="Subtitle"/>
    <w:basedOn w:val="prastasis"/>
    <w:link w:val="PaantratDiagrama"/>
    <w:uiPriority w:val="99"/>
    <w:qFormat/>
    <w:rsid w:val="00FB6CC4"/>
    <w:pPr>
      <w:autoSpaceDE w:val="0"/>
      <w:autoSpaceDN w:val="0"/>
      <w:adjustRightInd w:val="0"/>
      <w:jc w:val="center"/>
    </w:pPr>
    <w:rPr>
      <w:rFonts w:ascii="TimesNewRoman,Bold" w:hAnsi="TimesNewRoman,Bold"/>
      <w:b/>
      <w:color w:val="000000"/>
      <w:lang w:val="x-none"/>
    </w:rPr>
  </w:style>
  <w:style w:type="character" w:styleId="Perirtashipersaitas">
    <w:name w:val="FollowedHyperlink"/>
    <w:uiPriority w:val="99"/>
    <w:rsid w:val="00FB6CC4"/>
    <w:rPr>
      <w:color w:val="800080"/>
      <w:u w:val="single"/>
    </w:rPr>
  </w:style>
  <w:style w:type="paragraph" w:styleId="Antrats">
    <w:name w:val="header"/>
    <w:basedOn w:val="prastasis"/>
    <w:link w:val="AntratsDiagrama"/>
    <w:uiPriority w:val="99"/>
    <w:rsid w:val="00FB6CC4"/>
    <w:pPr>
      <w:tabs>
        <w:tab w:val="center" w:pos="4153"/>
        <w:tab w:val="right" w:pos="8306"/>
      </w:tabs>
    </w:pPr>
    <w:rPr>
      <w:sz w:val="24"/>
      <w:szCs w:val="24"/>
      <w:lang w:eastAsia="x-none"/>
    </w:rPr>
  </w:style>
  <w:style w:type="paragraph" w:customStyle="1" w:styleId="BT-EMEASMCA">
    <w:name w:val="BT- EMEA_SMCA"/>
    <w:basedOn w:val="prastasis"/>
    <w:uiPriority w:val="99"/>
    <w:rsid w:val="00FB6CC4"/>
    <w:pPr>
      <w:tabs>
        <w:tab w:val="num" w:pos="567"/>
      </w:tabs>
      <w:ind w:left="567" w:hanging="567"/>
    </w:pPr>
  </w:style>
  <w:style w:type="paragraph" w:customStyle="1" w:styleId="PI-3EMEASMCA">
    <w:name w:val="PI-3 EMEA_SMCA"/>
    <w:basedOn w:val="prastasis"/>
    <w:autoRedefine/>
    <w:uiPriority w:val="99"/>
    <w:rsid w:val="00FB6CC4"/>
    <w:pPr>
      <w:spacing w:line="220" w:lineRule="exact"/>
    </w:pPr>
    <w:rPr>
      <w:b/>
      <w:bCs/>
      <w:szCs w:val="22"/>
      <w:lang w:eastAsia="en-US"/>
    </w:rPr>
  </w:style>
  <w:style w:type="paragraph" w:customStyle="1" w:styleId="PI-1EMEASMCA">
    <w:name w:val="PI-1 EMEA_SMCA"/>
    <w:basedOn w:val="Antrat2"/>
    <w:autoRedefine/>
    <w:rsid w:val="00FB6CC4"/>
    <w:pPr>
      <w:tabs>
        <w:tab w:val="left" w:pos="567"/>
      </w:tabs>
    </w:pPr>
    <w:rPr>
      <w:lang w:eastAsia="en-US"/>
    </w:rPr>
  </w:style>
  <w:style w:type="paragraph" w:customStyle="1" w:styleId="PI-2EMEASMCA">
    <w:name w:val="PI-2 EMEA_SMCA"/>
    <w:basedOn w:val="prastasis"/>
    <w:autoRedefine/>
    <w:rsid w:val="00FB6CC4"/>
    <w:pPr>
      <w:keepLines/>
      <w:tabs>
        <w:tab w:val="left" w:pos="567"/>
      </w:tabs>
    </w:pPr>
    <w:rPr>
      <w:kern w:val="28"/>
      <w:szCs w:val="22"/>
      <w:lang w:eastAsia="en-US"/>
    </w:rPr>
  </w:style>
  <w:style w:type="character" w:customStyle="1" w:styleId="CharChar22">
    <w:name w:val="Char Char22"/>
    <w:locked/>
    <w:rsid w:val="0002186A"/>
    <w:rPr>
      <w:b/>
      <w:sz w:val="22"/>
      <w:lang w:val="lt-LT" w:eastAsia="lt-LT"/>
    </w:rPr>
  </w:style>
  <w:style w:type="character" w:customStyle="1" w:styleId="BTEMEASMCAChar">
    <w:name w:val="BT EMEA_SMCA Char"/>
    <w:link w:val="BTEMEASMCA"/>
    <w:rsid w:val="00AA471C"/>
    <w:rPr>
      <w:noProof/>
      <w:sz w:val="22"/>
      <w:szCs w:val="22"/>
      <w:lang w:val="lt-LT" w:eastAsia="en-US" w:bidi="ar-SA"/>
    </w:rPr>
  </w:style>
  <w:style w:type="paragraph" w:customStyle="1" w:styleId="TTEMEASMCA">
    <w:name w:val="TT EMEA_SMCA"/>
    <w:basedOn w:val="prastasis"/>
    <w:link w:val="TTEMEASMCAChar"/>
    <w:autoRedefine/>
    <w:rsid w:val="00FB6CC4"/>
    <w:pPr>
      <w:tabs>
        <w:tab w:val="left" w:pos="567"/>
      </w:tabs>
      <w:ind w:left="567" w:hanging="567"/>
    </w:pPr>
    <w:rPr>
      <w:b/>
      <w:caps/>
      <w:szCs w:val="22"/>
      <w:lang w:val="en-US" w:eastAsia="en-US"/>
    </w:rPr>
  </w:style>
  <w:style w:type="character" w:customStyle="1" w:styleId="TTEMEASMCAChar">
    <w:name w:val="TT EMEA_SMCA Char"/>
    <w:link w:val="TTEMEASMCA"/>
    <w:rsid w:val="00FB6CC4"/>
    <w:rPr>
      <w:b/>
      <w:caps/>
      <w:sz w:val="22"/>
      <w:szCs w:val="22"/>
      <w:lang w:val="en-US" w:eastAsia="en-US" w:bidi="ar-SA"/>
    </w:rPr>
  </w:style>
  <w:style w:type="paragraph" w:customStyle="1" w:styleId="BTAnIIEMEASMCA">
    <w:name w:val="BT(AnII) EMEA_SMCA"/>
    <w:basedOn w:val="Debesliotekstas"/>
    <w:autoRedefine/>
    <w:rsid w:val="00FB6CC4"/>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FB6CC4"/>
    <w:rPr>
      <w:rFonts w:ascii="Tahoma" w:hAnsi="Tahoma"/>
      <w:sz w:val="16"/>
      <w:szCs w:val="16"/>
    </w:rPr>
  </w:style>
  <w:style w:type="paragraph" w:customStyle="1" w:styleId="BTgEMEASMCA">
    <w:name w:val="BT(g) EMEA_SMCA"/>
    <w:basedOn w:val="prastasis"/>
    <w:link w:val="BTgEMEASMCAChar"/>
    <w:autoRedefine/>
    <w:rsid w:val="00FB6CC4"/>
    <w:rPr>
      <w:i/>
      <w:noProof/>
      <w:color w:val="008000"/>
      <w:szCs w:val="22"/>
      <w:lang w:eastAsia="en-US"/>
    </w:rPr>
  </w:style>
  <w:style w:type="character" w:customStyle="1" w:styleId="BTgEMEASMCAChar">
    <w:name w:val="BT(g) EMEA_SMCA Char"/>
    <w:link w:val="BTgEMEASMCA"/>
    <w:rsid w:val="00FB6CC4"/>
    <w:rPr>
      <w:i/>
      <w:noProof/>
      <w:color w:val="008000"/>
      <w:sz w:val="22"/>
      <w:szCs w:val="22"/>
      <w:lang w:val="lt-LT" w:eastAsia="en-US" w:bidi="ar-SA"/>
    </w:rPr>
  </w:style>
  <w:style w:type="paragraph" w:customStyle="1" w:styleId="BTuEMEASMCA">
    <w:name w:val="BT(u) EMEA_SMCA"/>
    <w:basedOn w:val="prastasis"/>
    <w:autoRedefine/>
    <w:rsid w:val="00FB6CC4"/>
    <w:rPr>
      <w:u w:val="single"/>
    </w:rPr>
  </w:style>
  <w:style w:type="table" w:styleId="Lentelstinklelis">
    <w:name w:val="Table Grid"/>
    <w:basedOn w:val="prastojilentel"/>
    <w:uiPriority w:val="99"/>
    <w:rsid w:val="00FB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FB6CC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FB6CC4"/>
    <w:rPr>
      <w:b/>
      <w:noProof/>
      <w:sz w:val="22"/>
      <w:szCs w:val="22"/>
      <w:lang w:val="lt-LT" w:eastAsia="en-US" w:bidi="ar-SA"/>
    </w:rPr>
  </w:style>
  <w:style w:type="paragraph" w:styleId="prastasiniatinklio">
    <w:name w:val="Normal (Web)"/>
    <w:basedOn w:val="prastasis"/>
    <w:rsid w:val="00746A7B"/>
    <w:pPr>
      <w:spacing w:before="100" w:after="100"/>
    </w:pPr>
    <w:rPr>
      <w:lang w:val="en-US"/>
    </w:rPr>
  </w:style>
  <w:style w:type="paragraph" w:styleId="Pagrindinistekstas2">
    <w:name w:val="Body Text 2"/>
    <w:basedOn w:val="prastasis"/>
    <w:link w:val="Pagrindinistekstas2Diagrama"/>
    <w:rsid w:val="00271E1A"/>
    <w:pPr>
      <w:spacing w:after="120" w:line="480" w:lineRule="auto"/>
    </w:pPr>
  </w:style>
  <w:style w:type="paragraph" w:styleId="Pagrindiniotekstotrauka2">
    <w:name w:val="Body Text Indent 2"/>
    <w:basedOn w:val="prastasis"/>
    <w:link w:val="Pagrindiniotekstotrauka2Diagrama"/>
    <w:uiPriority w:val="99"/>
    <w:rsid w:val="00271E1A"/>
    <w:pPr>
      <w:spacing w:after="120" w:line="480" w:lineRule="auto"/>
      <w:ind w:left="283"/>
    </w:pPr>
  </w:style>
  <w:style w:type="paragraph" w:styleId="Pagrindinistekstas3">
    <w:name w:val="Body Text 3"/>
    <w:basedOn w:val="prastasis"/>
    <w:link w:val="Pagrindinistekstas3Diagrama"/>
    <w:uiPriority w:val="99"/>
    <w:rsid w:val="00271E1A"/>
    <w:pPr>
      <w:spacing w:after="120"/>
    </w:pPr>
    <w:rPr>
      <w:sz w:val="16"/>
      <w:szCs w:val="16"/>
      <w:lang w:eastAsia="x-none"/>
    </w:rPr>
  </w:style>
  <w:style w:type="paragraph" w:customStyle="1" w:styleId="BTbEMEASMCA">
    <w:name w:val="BT(b) EMEA_SMCA"/>
    <w:basedOn w:val="prastasis"/>
    <w:autoRedefine/>
    <w:rsid w:val="00271E1A"/>
    <w:rPr>
      <w:b/>
      <w:noProof/>
      <w:szCs w:val="22"/>
      <w:lang w:eastAsia="en-US"/>
    </w:rPr>
  </w:style>
  <w:style w:type="paragraph" w:customStyle="1" w:styleId="TableText">
    <w:name w:val="Table Text"/>
    <w:basedOn w:val="prastasis"/>
    <w:uiPriority w:val="99"/>
    <w:rsid w:val="00007B09"/>
    <w:rPr>
      <w:rFonts w:ascii="CG Times (W1)" w:hAnsi="CG Times (W1)"/>
      <w:sz w:val="20"/>
      <w:lang w:val="en-GB" w:eastAsia="en-US"/>
    </w:rPr>
  </w:style>
  <w:style w:type="paragraph" w:customStyle="1" w:styleId="Normal11pt">
    <w:name w:val="Normal + 11pt"/>
    <w:basedOn w:val="prastasis"/>
    <w:link w:val="Normal11ptCar"/>
    <w:uiPriority w:val="99"/>
    <w:rsid w:val="00AA5005"/>
    <w:rPr>
      <w:szCs w:val="22"/>
      <w:lang w:val="en-GB" w:eastAsia="en-US"/>
    </w:rPr>
  </w:style>
  <w:style w:type="character" w:customStyle="1" w:styleId="Normal11ptCar">
    <w:name w:val="Normal + 11pt Car"/>
    <w:link w:val="Normal11pt"/>
    <w:uiPriority w:val="99"/>
    <w:rsid w:val="00AA5005"/>
    <w:rPr>
      <w:sz w:val="22"/>
      <w:szCs w:val="22"/>
      <w:lang w:val="en-GB" w:eastAsia="en-US" w:bidi="ar-SA"/>
    </w:rPr>
  </w:style>
  <w:style w:type="paragraph" w:customStyle="1" w:styleId="NormaLT">
    <w:name w:val="NormaLT"/>
    <w:basedOn w:val="prastasis"/>
    <w:uiPriority w:val="99"/>
    <w:rsid w:val="002C2923"/>
    <w:pPr>
      <w:tabs>
        <w:tab w:val="left" w:pos="425"/>
      </w:tabs>
      <w:jc w:val="both"/>
    </w:pPr>
    <w:rPr>
      <w:rFonts w:ascii="Arial" w:hAnsi="Arial"/>
      <w:sz w:val="24"/>
      <w:lang w:eastAsia="en-US"/>
    </w:rPr>
  </w:style>
  <w:style w:type="paragraph" w:customStyle="1" w:styleId="EMEAEnBodyText">
    <w:name w:val="EMEA En Body Text"/>
    <w:basedOn w:val="prastasis"/>
    <w:rsid w:val="00491086"/>
    <w:pPr>
      <w:spacing w:before="120" w:after="120"/>
      <w:jc w:val="both"/>
    </w:pPr>
    <w:rPr>
      <w:lang w:val="en-US" w:eastAsia="en-US"/>
    </w:rPr>
  </w:style>
  <w:style w:type="paragraph" w:customStyle="1" w:styleId="AHeader1">
    <w:name w:val="AHeader 1"/>
    <w:basedOn w:val="prastasis"/>
    <w:rsid w:val="00491086"/>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491086"/>
    <w:pPr>
      <w:numPr>
        <w:ilvl w:val="1"/>
      </w:numPr>
      <w:tabs>
        <w:tab w:val="num" w:pos="360"/>
        <w:tab w:val="num" w:pos="720"/>
      </w:tabs>
      <w:ind w:left="360" w:hanging="360"/>
    </w:pPr>
    <w:rPr>
      <w:sz w:val="22"/>
    </w:rPr>
  </w:style>
  <w:style w:type="paragraph" w:customStyle="1" w:styleId="AHeader3">
    <w:name w:val="AHeader 3"/>
    <w:basedOn w:val="AHeader2"/>
    <w:rsid w:val="00491086"/>
    <w:pPr>
      <w:numPr>
        <w:ilvl w:val="2"/>
      </w:numPr>
      <w:tabs>
        <w:tab w:val="num" w:pos="360"/>
      </w:tabs>
      <w:ind w:left="360" w:hanging="360"/>
    </w:pPr>
  </w:style>
  <w:style w:type="paragraph" w:customStyle="1" w:styleId="AHeader2abc">
    <w:name w:val="AHeader 2 abc"/>
    <w:basedOn w:val="AHeader3"/>
    <w:rsid w:val="00491086"/>
    <w:pPr>
      <w:numPr>
        <w:ilvl w:val="3"/>
      </w:numPr>
      <w:tabs>
        <w:tab w:val="num" w:pos="360"/>
      </w:tabs>
      <w:ind w:left="360" w:hanging="360"/>
      <w:jc w:val="both"/>
    </w:pPr>
    <w:rPr>
      <w:b w:val="0"/>
      <w:bCs w:val="0"/>
    </w:rPr>
  </w:style>
  <w:style w:type="paragraph" w:customStyle="1" w:styleId="AHeader3abc">
    <w:name w:val="AHeader 3 abc"/>
    <w:basedOn w:val="AHeader2abc"/>
    <w:rsid w:val="00491086"/>
    <w:pPr>
      <w:numPr>
        <w:ilvl w:val="4"/>
      </w:numPr>
      <w:tabs>
        <w:tab w:val="num" w:pos="360"/>
      </w:tabs>
      <w:ind w:left="360" w:hanging="360"/>
    </w:pPr>
  </w:style>
  <w:style w:type="character" w:styleId="Grietas">
    <w:name w:val="Strong"/>
    <w:qFormat/>
    <w:rsid w:val="00491086"/>
    <w:rPr>
      <w:b/>
      <w:bCs/>
    </w:rPr>
  </w:style>
  <w:style w:type="paragraph" w:styleId="Komentarotekstas">
    <w:name w:val="annotation text"/>
    <w:basedOn w:val="prastasis"/>
    <w:link w:val="KomentarotekstasDiagrama"/>
    <w:uiPriority w:val="99"/>
    <w:semiHidden/>
    <w:rsid w:val="003B16D6"/>
    <w:rPr>
      <w:b/>
      <w:bCs/>
      <w:sz w:val="20"/>
      <w:lang w:eastAsia="x-none"/>
    </w:rPr>
  </w:style>
  <w:style w:type="character" w:customStyle="1" w:styleId="Normal1">
    <w:name w:val="Normal1"/>
    <w:rsid w:val="003B16D6"/>
    <w:rPr>
      <w:rFonts w:ascii="Arial" w:hAnsi="Arial"/>
      <w:sz w:val="24"/>
    </w:rPr>
  </w:style>
  <w:style w:type="paragraph" w:styleId="Komentarotema">
    <w:name w:val="annotation subject"/>
    <w:basedOn w:val="Komentarotekstas"/>
    <w:next w:val="Komentarotekstas"/>
    <w:link w:val="KomentarotemaDiagrama"/>
    <w:uiPriority w:val="99"/>
    <w:semiHidden/>
    <w:rsid w:val="003B16D6"/>
  </w:style>
  <w:style w:type="paragraph" w:customStyle="1" w:styleId="Default">
    <w:name w:val="Default"/>
    <w:rsid w:val="003B16D6"/>
    <w:pPr>
      <w:autoSpaceDE w:val="0"/>
      <w:autoSpaceDN w:val="0"/>
      <w:adjustRightInd w:val="0"/>
    </w:pPr>
    <w:rPr>
      <w:color w:val="000000"/>
      <w:sz w:val="24"/>
      <w:szCs w:val="24"/>
      <w:lang w:val="sl-SI" w:eastAsia="sl-SI"/>
    </w:rPr>
  </w:style>
  <w:style w:type="character" w:customStyle="1" w:styleId="CharChar7">
    <w:name w:val="Char Char7"/>
    <w:locked/>
    <w:rsid w:val="003F32C1"/>
    <w:rPr>
      <w:rFonts w:cs="Times New Roman"/>
      <w:sz w:val="22"/>
      <w:lang w:val="lt-LT" w:eastAsia="en-US"/>
    </w:rPr>
  </w:style>
  <w:style w:type="character" w:customStyle="1" w:styleId="Antrat4Diagrama">
    <w:name w:val="Antraštė 4 Diagrama"/>
    <w:link w:val="Antrat4"/>
    <w:uiPriority w:val="99"/>
    <w:locked/>
    <w:rsid w:val="0002186A"/>
    <w:rPr>
      <w:sz w:val="22"/>
      <w:u w:val="single"/>
      <w:lang w:val="lt-LT" w:eastAsia="lt-LT"/>
    </w:rPr>
  </w:style>
  <w:style w:type="character" w:customStyle="1" w:styleId="Antrat5Diagrama">
    <w:name w:val="Antraštė 5 Diagrama"/>
    <w:link w:val="Antrat5"/>
    <w:uiPriority w:val="99"/>
    <w:locked/>
    <w:rsid w:val="0002186A"/>
    <w:rPr>
      <w:b/>
      <w:bCs/>
      <w:i/>
      <w:iCs/>
      <w:sz w:val="26"/>
      <w:szCs w:val="26"/>
      <w:lang w:val="lt-LT" w:eastAsia="lt-LT"/>
    </w:rPr>
  </w:style>
  <w:style w:type="character" w:customStyle="1" w:styleId="Antrat6Diagrama">
    <w:name w:val="Antraštė 6 Diagrama"/>
    <w:link w:val="Antrat6"/>
    <w:uiPriority w:val="99"/>
    <w:locked/>
    <w:rsid w:val="0002186A"/>
    <w:rPr>
      <w:b/>
      <w:bCs/>
      <w:sz w:val="22"/>
      <w:szCs w:val="22"/>
      <w:lang w:val="lt-LT" w:eastAsia="lt-LT"/>
    </w:rPr>
  </w:style>
  <w:style w:type="character" w:customStyle="1" w:styleId="Antrat7Diagrama">
    <w:name w:val="Antraštė 7 Diagrama"/>
    <w:link w:val="Antrat7"/>
    <w:uiPriority w:val="99"/>
    <w:locked/>
    <w:rsid w:val="0002186A"/>
    <w:rPr>
      <w:i/>
      <w:sz w:val="22"/>
      <w:lang w:val="cs-CZ"/>
    </w:rPr>
  </w:style>
  <w:style w:type="character" w:customStyle="1" w:styleId="Antrat8Diagrama">
    <w:name w:val="Antraštė 8 Diagrama"/>
    <w:link w:val="Antrat8"/>
    <w:uiPriority w:val="99"/>
    <w:locked/>
    <w:rsid w:val="0002186A"/>
    <w:rPr>
      <w:i/>
      <w:iCs/>
      <w:sz w:val="24"/>
      <w:szCs w:val="24"/>
      <w:lang w:val="lt-LT"/>
    </w:rPr>
  </w:style>
  <w:style w:type="character" w:customStyle="1" w:styleId="Antrat9Diagrama">
    <w:name w:val="Antraštė 9 Diagrama"/>
    <w:link w:val="Antrat9"/>
    <w:uiPriority w:val="99"/>
    <w:locked/>
    <w:rsid w:val="0002186A"/>
    <w:rPr>
      <w:b/>
      <w:i/>
      <w:sz w:val="22"/>
      <w:lang w:val="cs-CZ"/>
    </w:rPr>
  </w:style>
  <w:style w:type="character" w:customStyle="1" w:styleId="PoratDiagrama">
    <w:name w:val="Poraštė Diagrama"/>
    <w:link w:val="Porat"/>
    <w:locked/>
    <w:rsid w:val="0002186A"/>
    <w:rPr>
      <w:sz w:val="22"/>
      <w:lang w:val="lt-LT" w:eastAsia="lt-LT"/>
    </w:rPr>
  </w:style>
  <w:style w:type="character" w:customStyle="1" w:styleId="CommentTextChar">
    <w:name w:val="Comment Text Char"/>
    <w:semiHidden/>
    <w:locked/>
    <w:rsid w:val="0002186A"/>
    <w:rPr>
      <w:b/>
      <w:lang w:val="lt-LT" w:eastAsia="en-US"/>
    </w:rPr>
  </w:style>
  <w:style w:type="character" w:customStyle="1" w:styleId="PaantratDiagrama">
    <w:name w:val="Paantraštė Diagrama"/>
    <w:link w:val="Paantrat"/>
    <w:uiPriority w:val="99"/>
    <w:locked/>
    <w:rsid w:val="0002186A"/>
    <w:rPr>
      <w:rFonts w:ascii="TimesNewRoman,Bold" w:hAnsi="TimesNewRoman,Bold"/>
      <w:b/>
      <w:color w:val="000000"/>
      <w:sz w:val="22"/>
      <w:lang w:eastAsia="lt-LT"/>
    </w:rPr>
  </w:style>
  <w:style w:type="character" w:customStyle="1" w:styleId="AntratsDiagrama">
    <w:name w:val="Antraštės Diagrama"/>
    <w:link w:val="Antrats"/>
    <w:uiPriority w:val="99"/>
    <w:locked/>
    <w:rsid w:val="0002186A"/>
    <w:rPr>
      <w:sz w:val="24"/>
      <w:szCs w:val="24"/>
      <w:lang w:val="lt-LT"/>
    </w:rPr>
  </w:style>
  <w:style w:type="character" w:customStyle="1" w:styleId="DebesliotekstasDiagrama">
    <w:name w:val="Debesėlio tekstas Diagrama"/>
    <w:link w:val="Debesliotekstas"/>
    <w:uiPriority w:val="99"/>
    <w:semiHidden/>
    <w:locked/>
    <w:rsid w:val="0002186A"/>
    <w:rPr>
      <w:rFonts w:ascii="Tahoma" w:hAnsi="Tahoma" w:cs="Tahoma"/>
      <w:sz w:val="16"/>
      <w:szCs w:val="16"/>
      <w:lang w:val="lt-LT" w:eastAsia="lt-LT"/>
    </w:rPr>
  </w:style>
  <w:style w:type="character" w:customStyle="1" w:styleId="Pagrindinistekstas2Diagrama">
    <w:name w:val="Pagrindinis tekstas 2 Diagrama"/>
    <w:link w:val="Pagrindinistekstas2"/>
    <w:locked/>
    <w:rsid w:val="0002186A"/>
    <w:rPr>
      <w:sz w:val="22"/>
      <w:lang w:val="lt-LT" w:eastAsia="lt-LT"/>
    </w:rPr>
  </w:style>
  <w:style w:type="character" w:customStyle="1" w:styleId="Pagrindiniotekstotrauka2Diagrama">
    <w:name w:val="Pagrindinio teksto įtrauka 2 Diagrama"/>
    <w:link w:val="Pagrindiniotekstotrauka2"/>
    <w:uiPriority w:val="99"/>
    <w:locked/>
    <w:rsid w:val="0002186A"/>
    <w:rPr>
      <w:sz w:val="22"/>
      <w:lang w:val="lt-LT" w:eastAsia="lt-LT"/>
    </w:rPr>
  </w:style>
  <w:style w:type="character" w:customStyle="1" w:styleId="Pagrindinistekstas3Diagrama">
    <w:name w:val="Pagrindinis tekstas 3 Diagrama"/>
    <w:link w:val="Pagrindinistekstas3"/>
    <w:uiPriority w:val="99"/>
    <w:locked/>
    <w:rsid w:val="0002186A"/>
    <w:rPr>
      <w:sz w:val="16"/>
      <w:szCs w:val="16"/>
      <w:lang w:val="lt-LT"/>
    </w:rPr>
  </w:style>
  <w:style w:type="character" w:customStyle="1" w:styleId="KomentarotekstasDiagrama">
    <w:name w:val="Komentaro tekstas Diagrama"/>
    <w:link w:val="Komentarotekstas"/>
    <w:uiPriority w:val="99"/>
    <w:semiHidden/>
    <w:locked/>
    <w:rsid w:val="0002186A"/>
    <w:rPr>
      <w:b/>
      <w:bCs/>
      <w:lang w:val="lt-LT"/>
    </w:rPr>
  </w:style>
  <w:style w:type="character" w:customStyle="1" w:styleId="KomentarotemaDiagrama">
    <w:name w:val="Komentaro tema Diagrama"/>
    <w:link w:val="Komentarotema"/>
    <w:uiPriority w:val="99"/>
    <w:semiHidden/>
    <w:locked/>
    <w:rsid w:val="0002186A"/>
    <w:rPr>
      <w:b/>
      <w:bCs/>
      <w:lang w:val="lt-LT"/>
    </w:rPr>
  </w:style>
  <w:style w:type="character" w:customStyle="1" w:styleId="CharChar70">
    <w:name w:val="Char Char7"/>
    <w:uiPriority w:val="99"/>
    <w:locked/>
    <w:rsid w:val="0002186A"/>
    <w:rPr>
      <w:sz w:val="22"/>
      <w:lang w:val="lt-LT" w:eastAsia="en-US"/>
    </w:rPr>
  </w:style>
  <w:style w:type="character" w:styleId="Komentaronuoroda">
    <w:name w:val="annotation reference"/>
    <w:rsid w:val="0002186A"/>
    <w:rPr>
      <w:rFonts w:cs="Times New Roman"/>
      <w:sz w:val="16"/>
    </w:rPr>
  </w:style>
  <w:style w:type="character" w:customStyle="1" w:styleId="Antrat1Diagrama">
    <w:name w:val="Antraštė 1 Diagrama"/>
    <w:link w:val="Antrat1"/>
    <w:rsid w:val="00E87A20"/>
    <w:rPr>
      <w:rFonts w:ascii="Cambria" w:eastAsia="Times New Roman" w:hAnsi="Cambria" w:cs="Times New Roman"/>
      <w:b/>
      <w:bCs/>
      <w:kern w:val="32"/>
      <w:sz w:val="32"/>
      <w:szCs w:val="32"/>
      <w:lang w:val="lt-LT" w:eastAsia="lt-LT"/>
    </w:rPr>
  </w:style>
  <w:style w:type="character" w:customStyle="1" w:styleId="Antrat3Diagrama">
    <w:name w:val="Antraštė 3 Diagrama"/>
    <w:link w:val="Antrat3"/>
    <w:rsid w:val="00E87A20"/>
    <w:rPr>
      <w:rFonts w:ascii="Arial" w:hAnsi="Arial" w:cs="Arial"/>
      <w:b/>
      <w:bCs/>
      <w:sz w:val="26"/>
      <w:szCs w:val="26"/>
      <w:lang w:val="lt-LT"/>
    </w:rPr>
  </w:style>
  <w:style w:type="numbering" w:customStyle="1" w:styleId="NoList1">
    <w:name w:val="No List1"/>
    <w:next w:val="Sraonra"/>
    <w:semiHidden/>
    <w:rsid w:val="00E87A20"/>
  </w:style>
  <w:style w:type="character" w:customStyle="1" w:styleId="PavadinimasDiagrama">
    <w:name w:val="Pavadinimas Diagrama"/>
    <w:link w:val="Pavadinimas"/>
    <w:locked/>
    <w:rsid w:val="00E87A20"/>
    <w:rPr>
      <w:b/>
      <w:kern w:val="28"/>
      <w:sz w:val="22"/>
      <w:lang w:val="lt-LT" w:eastAsia="lt-LT"/>
    </w:rPr>
  </w:style>
  <w:style w:type="paragraph" w:customStyle="1" w:styleId="BTEMEASMCA">
    <w:name w:val="BT EMEA_SMCA"/>
    <w:basedOn w:val="prastasis"/>
    <w:link w:val="BTEMEASMCAChar"/>
    <w:autoRedefine/>
    <w:rsid w:val="00E87A20"/>
    <w:rPr>
      <w:lang w:val="x-none" w:eastAsia="en-US"/>
    </w:rPr>
  </w:style>
  <w:style w:type="paragraph" w:customStyle="1" w:styleId="Normal11pt0">
    <w:name w:val="Normal + 11 pt"/>
    <w:basedOn w:val="Pagrindinistekstas"/>
    <w:rsid w:val="00E87A20"/>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E87A20"/>
    <w:rPr>
      <w:sz w:val="22"/>
      <w:lang w:val="lt-LT" w:eastAsia="lt-LT" w:bidi="ar-SA"/>
    </w:rPr>
  </w:style>
  <w:style w:type="paragraph" w:customStyle="1" w:styleId="A-TableText">
    <w:name w:val="A-TableText"/>
    <w:basedOn w:val="prastasis"/>
    <w:rsid w:val="00E87A20"/>
    <w:pPr>
      <w:spacing w:before="60" w:after="60"/>
    </w:pPr>
    <w:rPr>
      <w:rFonts w:eastAsia="Calibri"/>
      <w:sz w:val="20"/>
      <w:lang w:val="en-GB" w:eastAsia="en-US"/>
    </w:rPr>
  </w:style>
  <w:style w:type="character" w:customStyle="1" w:styleId="CharChar11">
    <w:name w:val="Char Char11"/>
    <w:locked/>
    <w:rsid w:val="00E87A20"/>
    <w:rPr>
      <w:rFonts w:ascii="Arial" w:hAnsi="Arial"/>
      <w:b/>
      <w:kern w:val="28"/>
      <w:sz w:val="28"/>
      <w:lang w:val="lt-LT" w:eastAsia="en-US" w:bidi="ar-SA"/>
    </w:rPr>
  </w:style>
  <w:style w:type="character" w:customStyle="1" w:styleId="CharChar10">
    <w:name w:val="Char Char10"/>
    <w:semiHidden/>
    <w:locked/>
    <w:rsid w:val="00E87A20"/>
    <w:rPr>
      <w:rFonts w:ascii="Arial" w:hAnsi="Arial"/>
      <w:b/>
      <w:i/>
      <w:sz w:val="22"/>
      <w:lang w:val="lt-LT" w:eastAsia="en-US" w:bidi="ar-SA"/>
    </w:rPr>
  </w:style>
  <w:style w:type="character" w:customStyle="1" w:styleId="Heading1Char">
    <w:name w:val="Heading 1 Char"/>
    <w:locked/>
    <w:rsid w:val="009637B9"/>
    <w:rPr>
      <w:rFonts w:ascii="Times New Roman" w:eastAsia="SimSun" w:hAnsi="Times New Roman"/>
      <w:b/>
      <w:caps/>
      <w:sz w:val="20"/>
      <w:lang w:val="en-US" w:eastAsia="x-none"/>
    </w:rPr>
  </w:style>
  <w:style w:type="character" w:customStyle="1" w:styleId="Heading2Char">
    <w:name w:val="Heading 2 Char"/>
    <w:locked/>
    <w:rsid w:val="009637B9"/>
    <w:rPr>
      <w:rFonts w:ascii="Cambria" w:hAnsi="Cambria"/>
      <w:b/>
      <w:i/>
      <w:snapToGrid w:val="0"/>
      <w:sz w:val="28"/>
      <w:lang w:val="en-GB" w:eastAsia="x-none"/>
    </w:rPr>
  </w:style>
  <w:style w:type="character" w:customStyle="1" w:styleId="Heading3Char">
    <w:name w:val="Heading 3 Char"/>
    <w:locked/>
    <w:rsid w:val="009637B9"/>
    <w:rPr>
      <w:rFonts w:ascii="Cambria" w:hAnsi="Cambria"/>
      <w:b/>
      <w:snapToGrid w:val="0"/>
      <w:sz w:val="26"/>
      <w:lang w:val="en-GB" w:eastAsia="x-none"/>
    </w:rPr>
  </w:style>
  <w:style w:type="character" w:customStyle="1" w:styleId="Heading4Char">
    <w:name w:val="Heading 4 Char"/>
    <w:locked/>
    <w:rsid w:val="009637B9"/>
    <w:rPr>
      <w:rFonts w:ascii="Calibri" w:hAnsi="Calibri"/>
      <w:b/>
      <w:snapToGrid w:val="0"/>
      <w:sz w:val="28"/>
      <w:lang w:val="en-GB" w:eastAsia="x-none"/>
    </w:rPr>
  </w:style>
  <w:style w:type="character" w:customStyle="1" w:styleId="Heading5Char">
    <w:name w:val="Heading 5 Char"/>
    <w:locked/>
    <w:rsid w:val="009637B9"/>
    <w:rPr>
      <w:rFonts w:ascii="Times New Roman" w:eastAsia="SimSun" w:hAnsi="Times New Roman"/>
      <w:noProof/>
      <w:sz w:val="20"/>
      <w:lang w:val="en-GB"/>
    </w:rPr>
  </w:style>
  <w:style w:type="character" w:customStyle="1" w:styleId="Heading6Char">
    <w:name w:val="Heading 6 Char"/>
    <w:locked/>
    <w:rsid w:val="009637B9"/>
    <w:rPr>
      <w:rFonts w:ascii="Times New Roman" w:eastAsia="SimSun" w:hAnsi="Times New Roman"/>
      <w:i/>
      <w:sz w:val="20"/>
      <w:lang w:val="en-GB" w:eastAsia="x-none"/>
    </w:rPr>
  </w:style>
  <w:style w:type="character" w:customStyle="1" w:styleId="Heading7Char">
    <w:name w:val="Heading 7 Char"/>
    <w:locked/>
    <w:rsid w:val="009637B9"/>
    <w:rPr>
      <w:rFonts w:ascii="Times New Roman" w:eastAsia="SimSun" w:hAnsi="Times New Roman"/>
      <w:i/>
      <w:sz w:val="20"/>
      <w:lang w:val="en-GB" w:eastAsia="x-none"/>
    </w:rPr>
  </w:style>
  <w:style w:type="character" w:customStyle="1" w:styleId="Heading8Char">
    <w:name w:val="Heading 8 Char"/>
    <w:locked/>
    <w:rsid w:val="009637B9"/>
    <w:rPr>
      <w:rFonts w:ascii="Times New Roman" w:eastAsia="SimSun" w:hAnsi="Times New Roman"/>
      <w:b/>
      <w:i/>
      <w:sz w:val="20"/>
      <w:lang w:val="en-GB" w:eastAsia="x-none"/>
    </w:rPr>
  </w:style>
  <w:style w:type="character" w:customStyle="1" w:styleId="Heading9Char">
    <w:name w:val="Heading 9 Char"/>
    <w:locked/>
    <w:rsid w:val="009637B9"/>
    <w:rPr>
      <w:rFonts w:ascii="Times New Roman" w:eastAsia="SimSun" w:hAnsi="Times New Roman"/>
      <w:b/>
      <w:i/>
      <w:sz w:val="20"/>
      <w:lang w:val="en-GB" w:eastAsia="x-none"/>
    </w:rPr>
  </w:style>
  <w:style w:type="character" w:customStyle="1" w:styleId="FooterChar">
    <w:name w:val="Footer Char"/>
    <w:locked/>
    <w:rsid w:val="009637B9"/>
    <w:rPr>
      <w:rFonts w:ascii="Times New Roman" w:hAnsi="Times New Roman"/>
      <w:snapToGrid w:val="0"/>
      <w:sz w:val="20"/>
      <w:lang w:val="en-GB" w:eastAsia="x-none"/>
    </w:rPr>
  </w:style>
  <w:style w:type="character" w:customStyle="1" w:styleId="HeaderChar">
    <w:name w:val="Header Char"/>
    <w:rsid w:val="009637B9"/>
    <w:rPr>
      <w:snapToGrid w:val="0"/>
      <w:sz w:val="22"/>
      <w:lang w:val="en-GB" w:eastAsia="en-US"/>
    </w:rPr>
  </w:style>
  <w:style w:type="paragraph" w:customStyle="1" w:styleId="BodytextAgency">
    <w:name w:val="Body text (Agency)"/>
    <w:basedOn w:val="prastasis"/>
    <w:link w:val="BodytextAgencyChar"/>
    <w:rsid w:val="009637B9"/>
    <w:pPr>
      <w:spacing w:after="140" w:line="280" w:lineRule="atLeast"/>
    </w:pPr>
    <w:rPr>
      <w:rFonts w:ascii="Verdana" w:eastAsia="Calibri" w:hAnsi="Verdana"/>
      <w:sz w:val="18"/>
      <w:lang w:val="en-GB"/>
    </w:rPr>
  </w:style>
  <w:style w:type="paragraph" w:customStyle="1" w:styleId="NormalAgency">
    <w:name w:val="Normal (Agency)"/>
    <w:link w:val="NormalAgencyChar"/>
    <w:rsid w:val="009637B9"/>
    <w:rPr>
      <w:rFonts w:ascii="Verdana" w:eastAsia="Calibri" w:hAnsi="Verdana"/>
      <w:sz w:val="18"/>
      <w:szCs w:val="22"/>
      <w:lang w:val="en-GB"/>
    </w:rPr>
  </w:style>
  <w:style w:type="paragraph" w:customStyle="1" w:styleId="TabletextrowsAgency">
    <w:name w:val="Table text rows (Agency)"/>
    <w:basedOn w:val="prastasis"/>
    <w:rsid w:val="009637B9"/>
    <w:pPr>
      <w:spacing w:line="280" w:lineRule="exact"/>
    </w:pPr>
    <w:rPr>
      <w:rFonts w:ascii="Verdana" w:eastAsia="Calibri" w:hAnsi="Verdana"/>
      <w:sz w:val="18"/>
      <w:lang w:val="en-GB" w:eastAsia="en-US"/>
    </w:rPr>
  </w:style>
  <w:style w:type="character" w:customStyle="1" w:styleId="tw4winError">
    <w:name w:val="tw4winError"/>
    <w:rsid w:val="009637B9"/>
    <w:rPr>
      <w:rFonts w:ascii="Courier New" w:hAnsi="Courier New"/>
      <w:color w:val="00FF00"/>
      <w:sz w:val="40"/>
    </w:rPr>
  </w:style>
  <w:style w:type="character" w:customStyle="1" w:styleId="tw4winTerm">
    <w:name w:val="tw4winTerm"/>
    <w:rsid w:val="009637B9"/>
    <w:rPr>
      <w:color w:val="0000FF"/>
    </w:rPr>
  </w:style>
  <w:style w:type="character" w:customStyle="1" w:styleId="tw4winPopup">
    <w:name w:val="tw4winPopup"/>
    <w:rsid w:val="009637B9"/>
    <w:rPr>
      <w:rFonts w:ascii="Courier New" w:hAnsi="Courier New"/>
      <w:noProof/>
      <w:color w:val="008000"/>
    </w:rPr>
  </w:style>
  <w:style w:type="character" w:customStyle="1" w:styleId="tw4winJump">
    <w:name w:val="tw4winJump"/>
    <w:rsid w:val="009637B9"/>
    <w:rPr>
      <w:rFonts w:ascii="Courier New" w:hAnsi="Courier New"/>
      <w:noProof/>
      <w:color w:val="008080"/>
    </w:rPr>
  </w:style>
  <w:style w:type="character" w:customStyle="1" w:styleId="tw4winExternal">
    <w:name w:val="tw4winExternal"/>
    <w:rsid w:val="009637B9"/>
    <w:rPr>
      <w:rFonts w:ascii="Courier New" w:hAnsi="Courier New"/>
      <w:noProof/>
      <w:color w:val="808080"/>
    </w:rPr>
  </w:style>
  <w:style w:type="character" w:customStyle="1" w:styleId="tw4winInternal">
    <w:name w:val="tw4winInternal"/>
    <w:rsid w:val="009637B9"/>
    <w:rPr>
      <w:rFonts w:ascii="Courier New" w:hAnsi="Courier New"/>
      <w:noProof/>
      <w:color w:val="FF0000"/>
    </w:rPr>
  </w:style>
  <w:style w:type="character" w:customStyle="1" w:styleId="DONOTTRANSLATE">
    <w:name w:val="DO_NOT_TRANSLATE"/>
    <w:rsid w:val="009637B9"/>
    <w:rPr>
      <w:rFonts w:ascii="Courier New" w:hAnsi="Courier New"/>
      <w:noProof/>
      <w:color w:val="800000"/>
    </w:rPr>
  </w:style>
  <w:style w:type="character" w:customStyle="1" w:styleId="BalloonTextChar">
    <w:name w:val="Balloon Text Char"/>
    <w:locked/>
    <w:rsid w:val="009637B9"/>
    <w:rPr>
      <w:rFonts w:ascii="Tahoma" w:hAnsi="Tahoma"/>
      <w:snapToGrid w:val="0"/>
      <w:sz w:val="16"/>
      <w:lang w:val="en-GB" w:eastAsia="x-none"/>
    </w:rPr>
  </w:style>
  <w:style w:type="character" w:customStyle="1" w:styleId="CommentSubjectChar">
    <w:name w:val="Comment Subject Char"/>
    <w:locked/>
    <w:rsid w:val="009637B9"/>
    <w:rPr>
      <w:rFonts w:ascii="Times New Roman" w:hAnsi="Times New Roman"/>
      <w:b/>
      <w:snapToGrid w:val="0"/>
      <w:sz w:val="20"/>
      <w:lang w:val="en-GB" w:eastAsia="x-none"/>
    </w:rPr>
  </w:style>
  <w:style w:type="paragraph" w:styleId="Pataisymai">
    <w:name w:val="Revision"/>
    <w:hidden/>
    <w:semiHidden/>
    <w:rsid w:val="009637B9"/>
    <w:rPr>
      <w:rFonts w:eastAsia="Calibri"/>
      <w:sz w:val="22"/>
      <w:lang w:val="en-GB" w:eastAsia="en-US"/>
    </w:rPr>
  </w:style>
  <w:style w:type="character" w:customStyle="1" w:styleId="tw4winMark">
    <w:name w:val="tw4winMark"/>
    <w:rsid w:val="009637B9"/>
    <w:rPr>
      <w:rFonts w:ascii="Courier New" w:hAnsi="Courier New"/>
      <w:vanish/>
      <w:color w:val="800080"/>
      <w:sz w:val="24"/>
      <w:vertAlign w:val="subscript"/>
    </w:rPr>
  </w:style>
  <w:style w:type="character" w:customStyle="1" w:styleId="HeaderChar1">
    <w:name w:val="Header Char1"/>
    <w:locked/>
    <w:rsid w:val="009637B9"/>
    <w:rPr>
      <w:rFonts w:ascii="Times New Roman" w:eastAsia="SimSun" w:hAnsi="Times New Roman"/>
      <w:sz w:val="20"/>
      <w:lang w:val="en-GB" w:eastAsia="zh-CN"/>
    </w:rPr>
  </w:style>
  <w:style w:type="paragraph" w:styleId="Dokumentostruktra">
    <w:name w:val="Document Map"/>
    <w:basedOn w:val="prastasis"/>
    <w:link w:val="DokumentostruktraDiagrama"/>
    <w:rsid w:val="009637B9"/>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locked/>
    <w:rsid w:val="009637B9"/>
    <w:rPr>
      <w:rFonts w:ascii="Tahoma" w:eastAsia="SimSun" w:hAnsi="Tahoma"/>
      <w:lang w:val="en-GB" w:eastAsia="zh-CN" w:bidi="ar-SA"/>
    </w:rPr>
  </w:style>
  <w:style w:type="paragraph" w:styleId="Pagrindiniotekstotrauka">
    <w:name w:val="Body Text Indent"/>
    <w:basedOn w:val="prastasis"/>
    <w:link w:val="PagrindiniotekstotraukaDiagrama"/>
    <w:rsid w:val="009637B9"/>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locked/>
    <w:rsid w:val="009637B9"/>
    <w:rPr>
      <w:rFonts w:eastAsia="SimSun"/>
      <w:lang w:val="en-GB" w:eastAsia="en-GB" w:bidi="ar-SA"/>
    </w:rPr>
  </w:style>
  <w:style w:type="character" w:customStyle="1" w:styleId="BodyText3Char">
    <w:name w:val="Body Text 3 Char"/>
    <w:locked/>
    <w:rsid w:val="009637B9"/>
    <w:rPr>
      <w:rFonts w:ascii="Times New Roman" w:eastAsia="SimSun" w:hAnsi="Times New Roman"/>
      <w:color w:val="0000FF"/>
      <w:lang w:val="en-GB" w:eastAsia="en-GB"/>
    </w:rPr>
  </w:style>
  <w:style w:type="character" w:customStyle="1" w:styleId="BodyTextIndent2Char">
    <w:name w:val="Body Text Indent 2 Char"/>
    <w:locked/>
    <w:rsid w:val="009637B9"/>
    <w:rPr>
      <w:rFonts w:ascii="Times New Roman" w:eastAsia="SimSun" w:hAnsi="Times New Roman"/>
      <w:b/>
      <w:color w:val="0000FF"/>
      <w:lang w:val="en-GB" w:eastAsia="x-none"/>
    </w:rPr>
  </w:style>
  <w:style w:type="character" w:customStyle="1" w:styleId="BodyTextChar">
    <w:name w:val="Body Text Char"/>
    <w:locked/>
    <w:rsid w:val="009637B9"/>
    <w:rPr>
      <w:rFonts w:ascii="Times New Roman" w:eastAsia="SimSun" w:hAnsi="Times New Roman"/>
      <w:i/>
      <w:color w:val="008000"/>
      <w:sz w:val="20"/>
      <w:lang w:val="en-GB" w:eastAsia="x-none"/>
    </w:rPr>
  </w:style>
  <w:style w:type="character" w:customStyle="1" w:styleId="BodyText2Char">
    <w:name w:val="Body Text 2 Char"/>
    <w:locked/>
    <w:rsid w:val="009637B9"/>
    <w:rPr>
      <w:rFonts w:ascii="Times New Roman" w:eastAsia="SimSun" w:hAnsi="Times New Roman"/>
      <w:b/>
      <w:color w:val="0000FF"/>
      <w:u w:val="single"/>
      <w:lang w:val="en-GB" w:eastAsia="x-none"/>
    </w:rPr>
  </w:style>
  <w:style w:type="paragraph" w:styleId="Pagrindiniotekstotrauka3">
    <w:name w:val="Body Text Indent 3"/>
    <w:basedOn w:val="prastasis"/>
    <w:link w:val="Pagrindiniotekstotrauka3Diagrama"/>
    <w:rsid w:val="009637B9"/>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link w:val="Pagrindiniotekstotrauka3"/>
    <w:locked/>
    <w:rsid w:val="009637B9"/>
    <w:rPr>
      <w:rFonts w:eastAsia="SimSun"/>
      <w:szCs w:val="21"/>
      <w:lang w:val="en-GB" w:eastAsia="lt-LT" w:bidi="ar-SA"/>
    </w:rPr>
  </w:style>
  <w:style w:type="character" w:customStyle="1" w:styleId="BodytextAgencyChar">
    <w:name w:val="Body text (Agency) Char"/>
    <w:link w:val="BodytextAgency"/>
    <w:locked/>
    <w:rsid w:val="009637B9"/>
    <w:rPr>
      <w:rFonts w:ascii="Verdana" w:eastAsia="Calibri" w:hAnsi="Verdana"/>
      <w:sz w:val="18"/>
      <w:lang w:val="en-GB" w:eastAsia="lt-LT" w:bidi="ar-SA"/>
    </w:rPr>
  </w:style>
  <w:style w:type="table" w:customStyle="1" w:styleId="TablegridAgencyblack">
    <w:name w:val="Table grid (Agency) black"/>
    <w:semiHidden/>
    <w:rsid w:val="009637B9"/>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9637B9"/>
    <w:pPr>
      <w:keepNext/>
    </w:pPr>
    <w:rPr>
      <w:rFonts w:eastAsia="SimSun" w:cs="Verdana"/>
      <w:b/>
      <w:szCs w:val="18"/>
      <w:lang w:eastAsia="en-GB"/>
    </w:rPr>
  </w:style>
  <w:style w:type="character" w:customStyle="1" w:styleId="NormalAgencyChar">
    <w:name w:val="Normal (Agency) Char"/>
    <w:link w:val="NormalAgency"/>
    <w:locked/>
    <w:rsid w:val="009637B9"/>
    <w:rPr>
      <w:rFonts w:ascii="Verdana" w:eastAsia="Calibri" w:hAnsi="Verdana"/>
      <w:sz w:val="18"/>
      <w:szCs w:val="22"/>
      <w:lang w:val="en-GB" w:eastAsia="lt-LT" w:bidi="ar-SA"/>
    </w:rPr>
  </w:style>
  <w:style w:type="paragraph" w:styleId="Paprastasistekstas">
    <w:name w:val="Plain Text"/>
    <w:basedOn w:val="prastasis"/>
    <w:link w:val="PaprastasistekstasDiagrama"/>
    <w:rsid w:val="009637B9"/>
    <w:rPr>
      <w:rFonts w:ascii="Courier New" w:eastAsia="SimSun" w:hAnsi="Courier New"/>
      <w:sz w:val="20"/>
      <w:lang w:val="en-US"/>
    </w:rPr>
  </w:style>
  <w:style w:type="character" w:customStyle="1" w:styleId="PaprastasistekstasDiagrama">
    <w:name w:val="Paprastasis tekstas Diagrama"/>
    <w:link w:val="Paprastasistekstas"/>
    <w:locked/>
    <w:rsid w:val="009637B9"/>
    <w:rPr>
      <w:rFonts w:ascii="Courier New" w:eastAsia="SimSun" w:hAnsi="Courier New"/>
      <w:lang w:val="en-US" w:eastAsia="lt-LT" w:bidi="ar-SA"/>
    </w:rPr>
  </w:style>
  <w:style w:type="character" w:customStyle="1" w:styleId="TitleChar">
    <w:name w:val="Title Char"/>
    <w:locked/>
    <w:rsid w:val="009637B9"/>
    <w:rPr>
      <w:rFonts w:ascii="Times New Roman" w:eastAsia="SimSun" w:hAnsi="Times New Roman"/>
      <w:b/>
      <w:sz w:val="20"/>
      <w:lang w:val="en-GB" w:eastAsia="x-none"/>
    </w:rPr>
  </w:style>
  <w:style w:type="paragraph" w:styleId="Dokumentoinaostekstas">
    <w:name w:val="endnote text"/>
    <w:basedOn w:val="prastasis"/>
    <w:link w:val="DokumentoinaostekstasDiagrama"/>
    <w:rsid w:val="009637B9"/>
    <w:pPr>
      <w:tabs>
        <w:tab w:val="left" w:pos="567"/>
      </w:tabs>
    </w:pPr>
    <w:rPr>
      <w:rFonts w:eastAsia="SimSun"/>
      <w:sz w:val="20"/>
      <w:lang w:val="en-GB"/>
    </w:rPr>
  </w:style>
  <w:style w:type="character" w:customStyle="1" w:styleId="DokumentoinaostekstasDiagrama">
    <w:name w:val="Dokumento išnašos tekstas Diagrama"/>
    <w:link w:val="Dokumentoinaostekstas"/>
    <w:locked/>
    <w:rsid w:val="009637B9"/>
    <w:rPr>
      <w:rFonts w:eastAsia="SimSun"/>
      <w:lang w:val="en-GB" w:eastAsia="lt-LT" w:bidi="ar-SA"/>
    </w:rPr>
  </w:style>
  <w:style w:type="character" w:customStyle="1" w:styleId="CharChar12">
    <w:name w:val="Char Char12"/>
    <w:locked/>
    <w:rsid w:val="009637B9"/>
    <w:rPr>
      <w:snapToGrid w:val="0"/>
      <w:lang w:val="en-GB" w:eastAsia="en-US"/>
    </w:rPr>
  </w:style>
  <w:style w:type="numbering" w:customStyle="1" w:styleId="NoList2">
    <w:name w:val="No List2"/>
    <w:next w:val="Sraonra"/>
    <w:semiHidden/>
    <w:rsid w:val="004635C7"/>
  </w:style>
  <w:style w:type="table" w:customStyle="1" w:styleId="TableGrid1">
    <w:name w:val="Table Grid1"/>
    <w:basedOn w:val="prastojilentel"/>
    <w:next w:val="Lentelstinklelis"/>
    <w:rsid w:val="004635C7"/>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4A0501"/>
    <w:pPr>
      <w:tabs>
        <w:tab w:val="left" w:pos="567"/>
      </w:tabs>
      <w:spacing w:line="260" w:lineRule="exact"/>
      <w:ind w:left="1296"/>
    </w:pPr>
    <w:rPr>
      <w:lang w:val="en-GB" w:eastAsia="en-US"/>
    </w:rPr>
  </w:style>
  <w:style w:type="character" w:customStyle="1" w:styleId="resultoftext">
    <w:name w:val="resultoftext"/>
    <w:basedOn w:val="Numatytasispastraiposriftas"/>
    <w:rsid w:val="00C65B4B"/>
  </w:style>
  <w:style w:type="paragraph" w:customStyle="1" w:styleId="CM14">
    <w:name w:val="CM14"/>
    <w:basedOn w:val="Default"/>
    <w:next w:val="Default"/>
    <w:rsid w:val="00883FA7"/>
    <w:pPr>
      <w:widowControl w:val="0"/>
      <w:spacing w:after="268"/>
    </w:pPr>
    <w:rPr>
      <w:color w:val="auto"/>
      <w:lang w:val="el-GR" w:eastAsia="el-GR"/>
    </w:rPr>
  </w:style>
  <w:style w:type="paragraph" w:customStyle="1" w:styleId="CM4">
    <w:name w:val="CM4"/>
    <w:basedOn w:val="Default"/>
    <w:next w:val="Default"/>
    <w:rsid w:val="00883FA7"/>
    <w:pPr>
      <w:widowControl w:val="0"/>
      <w:spacing w:line="276" w:lineRule="atLeast"/>
    </w:pPr>
    <w:rPr>
      <w:color w:val="auto"/>
      <w:lang w:val="el-GR" w:eastAsia="el-GR"/>
    </w:rPr>
  </w:style>
  <w:style w:type="paragraph" w:styleId="Turinys1">
    <w:name w:val="toc 1"/>
    <w:basedOn w:val="prastasis"/>
    <w:next w:val="prastasis"/>
    <w:autoRedefine/>
    <w:semiHidden/>
    <w:rsid w:val="00883FA7"/>
    <w:rPr>
      <w:sz w:val="24"/>
      <w:szCs w:val="24"/>
      <w:lang w:val="en-GB" w:eastAsia="en-GB"/>
    </w:rPr>
  </w:style>
  <w:style w:type="paragraph" w:customStyle="1" w:styleId="leipa">
    <w:name w:val="leipa"/>
    <w:basedOn w:val="prastasis"/>
    <w:rsid w:val="00883FA7"/>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rsid w:val="00883FA7"/>
    <w:pPr>
      <w:widowControl w:val="0"/>
    </w:pPr>
    <w:rPr>
      <w:rFonts w:ascii="Courier" w:hAnsi="Courier" w:cs="Courier"/>
      <w:color w:val="auto"/>
      <w:lang w:val="el-GR" w:eastAsia="el-GR"/>
    </w:rPr>
  </w:style>
  <w:style w:type="paragraph" w:customStyle="1" w:styleId="CM50">
    <w:name w:val="CM50"/>
    <w:basedOn w:val="Default"/>
    <w:next w:val="Default"/>
    <w:rsid w:val="00883FA7"/>
    <w:pPr>
      <w:widowControl w:val="0"/>
      <w:spacing w:after="350"/>
    </w:pPr>
    <w:rPr>
      <w:color w:val="auto"/>
      <w:lang w:val="en-US" w:eastAsia="en-US"/>
    </w:rPr>
  </w:style>
  <w:style w:type="paragraph" w:customStyle="1" w:styleId="CM48">
    <w:name w:val="CM48"/>
    <w:basedOn w:val="Default"/>
    <w:next w:val="Default"/>
    <w:rsid w:val="00883FA7"/>
    <w:pPr>
      <w:widowControl w:val="0"/>
      <w:spacing w:after="258"/>
    </w:pPr>
    <w:rPr>
      <w:color w:val="auto"/>
      <w:lang w:val="en-US" w:eastAsia="en-US"/>
    </w:rPr>
  </w:style>
  <w:style w:type="character" w:customStyle="1" w:styleId="PlainTextChar">
    <w:name w:val="Plain Text Char"/>
    <w:locked/>
    <w:rsid w:val="00883FA7"/>
    <w:rPr>
      <w:rFonts w:ascii="Calibri" w:hAnsi="Calibri" w:cs="Times New Roman"/>
      <w:sz w:val="21"/>
      <w:szCs w:val="21"/>
    </w:rPr>
  </w:style>
  <w:style w:type="paragraph" w:styleId="Sraopastraipa">
    <w:name w:val="List Paragraph"/>
    <w:basedOn w:val="prastasis"/>
    <w:qFormat/>
    <w:rsid w:val="00883FA7"/>
    <w:pPr>
      <w:ind w:left="720"/>
      <w:contextualSpacing/>
    </w:pPr>
    <w:rPr>
      <w:sz w:val="24"/>
      <w:szCs w:val="24"/>
      <w:lang w:val="en-GB" w:eastAsia="en-GB"/>
    </w:rPr>
  </w:style>
  <w:style w:type="paragraph" w:customStyle="1" w:styleId="Text">
    <w:name w:val="Text"/>
    <w:basedOn w:val="prastasis"/>
    <w:rsid w:val="00883FA7"/>
    <w:pPr>
      <w:spacing w:before="120"/>
      <w:jc w:val="both"/>
    </w:pPr>
    <w:rPr>
      <w:sz w:val="24"/>
      <w:lang w:val="en-US" w:eastAsia="en-US"/>
    </w:rPr>
  </w:style>
  <w:style w:type="paragraph" w:customStyle="1" w:styleId="Authors">
    <w:name w:val="Authors"/>
    <w:basedOn w:val="prastasis"/>
    <w:rsid w:val="00883FA7"/>
    <w:pPr>
      <w:keepNext/>
      <w:tabs>
        <w:tab w:val="left" w:pos="2268"/>
      </w:tabs>
      <w:spacing w:before="240"/>
    </w:pPr>
    <w:rPr>
      <w:rFonts w:ascii="Arial" w:hAnsi="Arial"/>
      <w:lang w:val="en-US" w:eastAsia="en-US"/>
    </w:rPr>
  </w:style>
  <w:style w:type="paragraph" w:customStyle="1" w:styleId="Listlevel1">
    <w:name w:val="List level 1"/>
    <w:basedOn w:val="prastasis"/>
    <w:rsid w:val="00883FA7"/>
    <w:pPr>
      <w:spacing w:before="40" w:after="20"/>
      <w:ind w:left="425" w:hanging="425"/>
    </w:pPr>
    <w:rPr>
      <w:sz w:val="24"/>
      <w:lang w:val="en-US" w:eastAsia="en-US"/>
    </w:rPr>
  </w:style>
  <w:style w:type="paragraph" w:styleId="Turinys6">
    <w:name w:val="toc 6"/>
    <w:basedOn w:val="prastasis"/>
    <w:semiHidden/>
    <w:rsid w:val="00883FA7"/>
    <w:pPr>
      <w:tabs>
        <w:tab w:val="right" w:leader="dot" w:pos="9061"/>
      </w:tabs>
      <w:spacing w:after="72"/>
      <w:ind w:left="992" w:right="227" w:hanging="992"/>
    </w:pPr>
    <w:rPr>
      <w:sz w:val="24"/>
      <w:lang w:val="en-US" w:eastAsia="en-US"/>
    </w:rPr>
  </w:style>
  <w:style w:type="paragraph" w:styleId="Turinys7">
    <w:name w:val="toc 7"/>
    <w:basedOn w:val="prastasis"/>
    <w:semiHidden/>
    <w:rsid w:val="00883FA7"/>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rsid w:val="00883FA7"/>
    <w:pPr>
      <w:keepLines/>
      <w:spacing w:before="120"/>
      <w:jc w:val="both"/>
    </w:pPr>
    <w:rPr>
      <w:i/>
      <w:color w:val="0000FF"/>
      <w:sz w:val="24"/>
      <w:lang w:val="en-US" w:eastAsia="en-US"/>
    </w:rPr>
  </w:style>
  <w:style w:type="paragraph" w:customStyle="1" w:styleId="Compound">
    <w:name w:val="Compound"/>
    <w:basedOn w:val="prastasis"/>
    <w:rsid w:val="00883FA7"/>
    <w:pPr>
      <w:keepNext/>
      <w:spacing w:before="720"/>
      <w:jc w:val="center"/>
    </w:pPr>
    <w:rPr>
      <w:rFonts w:ascii="Arial" w:hAnsi="Arial"/>
      <w:sz w:val="32"/>
      <w:lang w:val="en-US" w:eastAsia="en-US"/>
    </w:rPr>
  </w:style>
  <w:style w:type="paragraph" w:customStyle="1" w:styleId="Dedicatednumber">
    <w:name w:val="Dedicatednumber"/>
    <w:basedOn w:val="prastasis"/>
    <w:rsid w:val="00883FA7"/>
    <w:pPr>
      <w:keepNext/>
      <w:spacing w:before="720"/>
      <w:jc w:val="center"/>
    </w:pPr>
    <w:rPr>
      <w:rFonts w:ascii="Arial" w:hAnsi="Arial"/>
      <w:sz w:val="28"/>
      <w:lang w:val="en-US" w:eastAsia="en-US"/>
    </w:rPr>
  </w:style>
  <w:style w:type="paragraph" w:customStyle="1" w:styleId="Department">
    <w:name w:val="Department"/>
    <w:basedOn w:val="prastasis"/>
    <w:rsid w:val="00883FA7"/>
    <w:pPr>
      <w:keepNext/>
      <w:spacing w:before="360"/>
      <w:jc w:val="center"/>
    </w:pPr>
    <w:rPr>
      <w:rFonts w:ascii="Arial" w:hAnsi="Arial"/>
      <w:sz w:val="28"/>
      <w:lang w:val="en-US" w:eastAsia="en-US"/>
    </w:rPr>
  </w:style>
  <w:style w:type="paragraph" w:customStyle="1" w:styleId="Docstatus">
    <w:name w:val="Docstatus"/>
    <w:basedOn w:val="prastasis"/>
    <w:rsid w:val="00883FA7"/>
    <w:pPr>
      <w:keepNext/>
      <w:tabs>
        <w:tab w:val="left" w:pos="2268"/>
      </w:tabs>
      <w:spacing w:before="240"/>
    </w:pPr>
    <w:rPr>
      <w:rFonts w:ascii="Arial" w:hAnsi="Arial"/>
      <w:lang w:val="en-US" w:eastAsia="en-US"/>
    </w:rPr>
  </w:style>
  <w:style w:type="paragraph" w:customStyle="1" w:styleId="Doctype">
    <w:name w:val="Doctype"/>
    <w:basedOn w:val="Dedicatednumber"/>
    <w:rsid w:val="00883FA7"/>
    <w:pPr>
      <w:tabs>
        <w:tab w:val="left" w:pos="2268"/>
      </w:tabs>
      <w:spacing w:before="240"/>
      <w:jc w:val="left"/>
    </w:pPr>
    <w:rPr>
      <w:sz w:val="22"/>
    </w:rPr>
  </w:style>
  <w:style w:type="character" w:styleId="Dokumentoinaosnumeris">
    <w:name w:val="endnote reference"/>
    <w:semiHidden/>
    <w:rsid w:val="00883FA7"/>
    <w:rPr>
      <w:vertAlign w:val="baseline"/>
    </w:rPr>
  </w:style>
  <w:style w:type="character" w:customStyle="1" w:styleId="EndnoteTextChar">
    <w:name w:val="Endnote Text Char"/>
    <w:semiHidden/>
    <w:locked/>
    <w:rsid w:val="00883FA7"/>
    <w:rPr>
      <w:rFonts w:cs="Times New Roman"/>
      <w:sz w:val="24"/>
      <w:lang w:val="en-US" w:eastAsia="en-US"/>
    </w:rPr>
  </w:style>
  <w:style w:type="paragraph" w:customStyle="1" w:styleId="Non-proportional">
    <w:name w:val="Non-proportional"/>
    <w:basedOn w:val="prastasis"/>
    <w:rsid w:val="00883FA7"/>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883FA7"/>
    <w:pPr>
      <w:keepNext/>
      <w:keepLines/>
      <w:spacing w:before="240" w:after="60"/>
      <w:ind w:left="1701" w:hanging="1701"/>
    </w:pPr>
    <w:rPr>
      <w:rFonts w:ascii="Arial" w:hAnsi="Arial"/>
      <w:b/>
      <w:lang w:val="en-US" w:eastAsia="en-US"/>
    </w:rPr>
  </w:style>
  <w:style w:type="paragraph" w:customStyle="1" w:styleId="Numberofpages">
    <w:name w:val="Numberofpages"/>
    <w:basedOn w:val="prastasis"/>
    <w:rsid w:val="00883FA7"/>
    <w:pPr>
      <w:keepNext/>
      <w:tabs>
        <w:tab w:val="left" w:pos="2268"/>
      </w:tabs>
      <w:spacing w:before="240"/>
    </w:pPr>
    <w:rPr>
      <w:rFonts w:ascii="Arial" w:hAnsi="Arial"/>
      <w:lang w:val="en-US" w:eastAsia="en-US"/>
    </w:rPr>
  </w:style>
  <w:style w:type="paragraph" w:customStyle="1" w:styleId="Propertystatement">
    <w:name w:val="Propertystatement"/>
    <w:basedOn w:val="Numberofpages"/>
    <w:rsid w:val="00883FA7"/>
    <w:pPr>
      <w:keepNext w:val="0"/>
      <w:spacing w:before="1200"/>
      <w:jc w:val="center"/>
    </w:pPr>
    <w:rPr>
      <w:sz w:val="20"/>
    </w:rPr>
  </w:style>
  <w:style w:type="paragraph" w:customStyle="1" w:styleId="Reference">
    <w:name w:val="Reference"/>
    <w:basedOn w:val="prastasis"/>
    <w:rsid w:val="00883FA7"/>
    <w:pPr>
      <w:spacing w:before="80" w:after="60"/>
      <w:ind w:left="425" w:hanging="425"/>
    </w:pPr>
    <w:rPr>
      <w:sz w:val="24"/>
      <w:lang w:val="en-US" w:eastAsia="en-US"/>
    </w:rPr>
  </w:style>
  <w:style w:type="paragraph" w:customStyle="1" w:styleId="Releasedate">
    <w:name w:val="Releasedate"/>
    <w:basedOn w:val="Docstatus"/>
    <w:rsid w:val="00883FA7"/>
  </w:style>
  <w:style w:type="paragraph" w:customStyle="1" w:styleId="Table">
    <w:name w:val="Table"/>
    <w:basedOn w:val="Nottoc-headings"/>
    <w:rsid w:val="00883FA7"/>
    <w:pPr>
      <w:tabs>
        <w:tab w:val="left" w:pos="284"/>
      </w:tabs>
      <w:spacing w:before="40" w:after="20"/>
      <w:ind w:left="0" w:firstLine="0"/>
    </w:pPr>
    <w:rPr>
      <w:b w:val="0"/>
      <w:sz w:val="20"/>
    </w:rPr>
  </w:style>
  <w:style w:type="paragraph" w:styleId="Turinys2">
    <w:name w:val="toc 2"/>
    <w:basedOn w:val="Turinys1"/>
    <w:semiHidden/>
    <w:rsid w:val="00883FA7"/>
    <w:pPr>
      <w:tabs>
        <w:tab w:val="right" w:leader="dot" w:pos="9061"/>
      </w:tabs>
      <w:spacing w:after="72"/>
      <w:ind w:left="1134" w:right="227" w:hanging="709"/>
    </w:pPr>
    <w:rPr>
      <w:szCs w:val="20"/>
      <w:lang w:val="en-US" w:eastAsia="en-US"/>
    </w:rPr>
  </w:style>
  <w:style w:type="paragraph" w:styleId="Turinys3">
    <w:name w:val="toc 3"/>
    <w:basedOn w:val="Turinys2"/>
    <w:semiHidden/>
    <w:rsid w:val="00883FA7"/>
    <w:pPr>
      <w:ind w:left="2127" w:hanging="993"/>
    </w:pPr>
  </w:style>
  <w:style w:type="paragraph" w:customStyle="1" w:styleId="Listlevel2">
    <w:name w:val="List level 2"/>
    <w:basedOn w:val="Listlevel1"/>
    <w:rsid w:val="00883FA7"/>
    <w:pPr>
      <w:ind w:left="850"/>
    </w:pPr>
  </w:style>
  <w:style w:type="paragraph" w:customStyle="1" w:styleId="Firstpageinfo">
    <w:name w:val="Firstpageinfo"/>
    <w:basedOn w:val="Antrat5"/>
    <w:rsid w:val="00883FA7"/>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rsid w:val="00883FA7"/>
    <w:pPr>
      <w:spacing w:before="0"/>
    </w:pPr>
  </w:style>
  <w:style w:type="paragraph" w:styleId="Antrat">
    <w:name w:val="caption"/>
    <w:basedOn w:val="prastasis"/>
    <w:next w:val="Text"/>
    <w:qFormat/>
    <w:rsid w:val="00883FA7"/>
    <w:pPr>
      <w:spacing w:before="120" w:after="120"/>
    </w:pPr>
    <w:rPr>
      <w:b/>
      <w:sz w:val="24"/>
      <w:lang w:val="en-US" w:eastAsia="en-US"/>
    </w:rPr>
  </w:style>
  <w:style w:type="paragraph" w:customStyle="1" w:styleId="TextIndent">
    <w:name w:val="Text Indent"/>
    <w:basedOn w:val="prastasis"/>
    <w:rsid w:val="00883FA7"/>
    <w:pPr>
      <w:ind w:left="851"/>
    </w:pPr>
    <w:rPr>
      <w:sz w:val="24"/>
      <w:lang w:val="en-US" w:eastAsia="en-US"/>
    </w:rPr>
  </w:style>
  <w:style w:type="paragraph" w:customStyle="1" w:styleId="ParagraphIndent">
    <w:name w:val="Paragraph Indent"/>
    <w:basedOn w:val="prastasis"/>
    <w:rsid w:val="00883FA7"/>
    <w:pPr>
      <w:spacing w:before="120" w:after="120"/>
      <w:ind w:left="851"/>
    </w:pPr>
    <w:rPr>
      <w:sz w:val="24"/>
      <w:lang w:val="en-US" w:eastAsia="en-US"/>
    </w:rPr>
  </w:style>
  <w:style w:type="character" w:customStyle="1" w:styleId="CommentChar">
    <w:name w:val="Comment Char"/>
    <w:link w:val="Comment"/>
    <w:locked/>
    <w:rsid w:val="00883FA7"/>
    <w:rPr>
      <w:i/>
      <w:color w:val="0000FF"/>
      <w:sz w:val="24"/>
      <w:lang w:val="en-US" w:eastAsia="en-US" w:bidi="ar-SA"/>
    </w:rPr>
  </w:style>
  <w:style w:type="paragraph" w:customStyle="1" w:styleId="Heading11">
    <w:name w:val="Heading 11"/>
    <w:basedOn w:val="prastasis"/>
    <w:next w:val="prastasis"/>
    <w:rsid w:val="00883FA7"/>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883FA7"/>
    <w:rPr>
      <w:rFonts w:ascii="Cambria" w:hAnsi="Cambria"/>
      <w:b/>
      <w:color w:val="365F91"/>
      <w:sz w:val="28"/>
    </w:rPr>
  </w:style>
  <w:style w:type="paragraph" w:styleId="Tekstoblokas">
    <w:name w:val="Block Text"/>
    <w:basedOn w:val="Default"/>
    <w:next w:val="Default"/>
    <w:rsid w:val="00883FA7"/>
    <w:rPr>
      <w:color w:val="auto"/>
      <w:lang w:val="en-US" w:eastAsia="en-US"/>
    </w:rPr>
  </w:style>
  <w:style w:type="paragraph" w:customStyle="1" w:styleId="BTbeEMEASMCA">
    <w:name w:val="BT(be) EMEA_SMCA"/>
    <w:basedOn w:val="BTEMEASMCA"/>
    <w:rsid w:val="0061061F"/>
    <w:pPr>
      <w:suppressAutoHyphens/>
      <w:jc w:val="center"/>
    </w:pPr>
    <w:rPr>
      <w:rFonts w:eastAsia="Calibri"/>
      <w:b/>
      <w:bCs/>
      <w:sz w:val="20"/>
      <w:u w:val="single"/>
      <w:lang w:val="lt-LT" w:eastAsia="ar-SA"/>
    </w:rPr>
  </w:style>
  <w:style w:type="paragraph" w:customStyle="1" w:styleId="BTeEMEASMCA">
    <w:name w:val="BT(e) EMEA_SMCA"/>
    <w:basedOn w:val="BTEMEASMCA"/>
    <w:rsid w:val="0061061F"/>
    <w:pPr>
      <w:suppressAutoHyphens/>
      <w:jc w:val="center"/>
    </w:pPr>
    <w:rPr>
      <w:rFonts w:eastAsia="Calibri"/>
      <w:sz w:val="20"/>
      <w:u w:val="single"/>
      <w:lang w:val="lt-LT" w:eastAsia="ar-SA"/>
    </w:rPr>
  </w:style>
  <w:style w:type="character" w:customStyle="1" w:styleId="apple-converted-space">
    <w:name w:val="apple-converted-space"/>
    <w:rsid w:val="0061061F"/>
  </w:style>
  <w:style w:type="character" w:styleId="Emfaz">
    <w:name w:val="Emphasis"/>
    <w:qFormat/>
    <w:rsid w:val="0061061F"/>
    <w:rPr>
      <w:i/>
    </w:rPr>
  </w:style>
  <w:style w:type="paragraph" w:customStyle="1" w:styleId="TableParagraph">
    <w:name w:val="Table Paragraph"/>
    <w:basedOn w:val="prastasis"/>
    <w:rsid w:val="0061061F"/>
    <w:pPr>
      <w:widowControl w:val="0"/>
    </w:pPr>
    <w:rPr>
      <w:rFonts w:ascii="Calibri" w:hAnsi="Calibri"/>
      <w:szCs w:val="22"/>
      <w:lang w:val="en-US" w:eastAsia="en-US"/>
    </w:rPr>
  </w:style>
  <w:style w:type="character" w:customStyle="1" w:styleId="st">
    <w:name w:val="st"/>
    <w:rsid w:val="006106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30367">
      <w:bodyDiv w:val="1"/>
      <w:marLeft w:val="0"/>
      <w:marRight w:val="0"/>
      <w:marTop w:val="0"/>
      <w:marBottom w:val="0"/>
      <w:divBdr>
        <w:top w:val="none" w:sz="0" w:space="0" w:color="auto"/>
        <w:left w:val="none" w:sz="0" w:space="0" w:color="auto"/>
        <w:bottom w:val="none" w:sz="0" w:space="0" w:color="auto"/>
        <w:right w:val="none" w:sz="0" w:space="0" w:color="auto"/>
      </w:divBdr>
    </w:div>
    <w:div w:id="121386875">
      <w:bodyDiv w:val="1"/>
      <w:marLeft w:val="0"/>
      <w:marRight w:val="0"/>
      <w:marTop w:val="0"/>
      <w:marBottom w:val="0"/>
      <w:divBdr>
        <w:top w:val="none" w:sz="0" w:space="0" w:color="auto"/>
        <w:left w:val="none" w:sz="0" w:space="0" w:color="auto"/>
        <w:bottom w:val="none" w:sz="0" w:space="0" w:color="auto"/>
        <w:right w:val="none" w:sz="0" w:space="0" w:color="auto"/>
      </w:divBdr>
    </w:div>
    <w:div w:id="128788667">
      <w:bodyDiv w:val="1"/>
      <w:marLeft w:val="0"/>
      <w:marRight w:val="0"/>
      <w:marTop w:val="0"/>
      <w:marBottom w:val="0"/>
      <w:divBdr>
        <w:top w:val="none" w:sz="0" w:space="0" w:color="auto"/>
        <w:left w:val="none" w:sz="0" w:space="0" w:color="auto"/>
        <w:bottom w:val="none" w:sz="0" w:space="0" w:color="auto"/>
        <w:right w:val="none" w:sz="0" w:space="0" w:color="auto"/>
      </w:divBdr>
    </w:div>
    <w:div w:id="231236152">
      <w:bodyDiv w:val="1"/>
      <w:marLeft w:val="0"/>
      <w:marRight w:val="0"/>
      <w:marTop w:val="0"/>
      <w:marBottom w:val="0"/>
      <w:divBdr>
        <w:top w:val="none" w:sz="0" w:space="0" w:color="auto"/>
        <w:left w:val="none" w:sz="0" w:space="0" w:color="auto"/>
        <w:bottom w:val="none" w:sz="0" w:space="0" w:color="auto"/>
        <w:right w:val="none" w:sz="0" w:space="0" w:color="auto"/>
      </w:divBdr>
    </w:div>
    <w:div w:id="248658506">
      <w:bodyDiv w:val="1"/>
      <w:marLeft w:val="0"/>
      <w:marRight w:val="0"/>
      <w:marTop w:val="0"/>
      <w:marBottom w:val="0"/>
      <w:divBdr>
        <w:top w:val="none" w:sz="0" w:space="0" w:color="auto"/>
        <w:left w:val="none" w:sz="0" w:space="0" w:color="auto"/>
        <w:bottom w:val="none" w:sz="0" w:space="0" w:color="auto"/>
        <w:right w:val="none" w:sz="0" w:space="0" w:color="auto"/>
      </w:divBdr>
    </w:div>
    <w:div w:id="305210784">
      <w:bodyDiv w:val="1"/>
      <w:marLeft w:val="0"/>
      <w:marRight w:val="0"/>
      <w:marTop w:val="0"/>
      <w:marBottom w:val="0"/>
      <w:divBdr>
        <w:top w:val="none" w:sz="0" w:space="0" w:color="auto"/>
        <w:left w:val="none" w:sz="0" w:space="0" w:color="auto"/>
        <w:bottom w:val="none" w:sz="0" w:space="0" w:color="auto"/>
        <w:right w:val="none" w:sz="0" w:space="0" w:color="auto"/>
      </w:divBdr>
    </w:div>
    <w:div w:id="332418619">
      <w:bodyDiv w:val="1"/>
      <w:marLeft w:val="0"/>
      <w:marRight w:val="0"/>
      <w:marTop w:val="0"/>
      <w:marBottom w:val="0"/>
      <w:divBdr>
        <w:top w:val="none" w:sz="0" w:space="0" w:color="auto"/>
        <w:left w:val="none" w:sz="0" w:space="0" w:color="auto"/>
        <w:bottom w:val="none" w:sz="0" w:space="0" w:color="auto"/>
        <w:right w:val="none" w:sz="0" w:space="0" w:color="auto"/>
      </w:divBdr>
    </w:div>
    <w:div w:id="445122006">
      <w:bodyDiv w:val="1"/>
      <w:marLeft w:val="0"/>
      <w:marRight w:val="0"/>
      <w:marTop w:val="0"/>
      <w:marBottom w:val="0"/>
      <w:divBdr>
        <w:top w:val="none" w:sz="0" w:space="0" w:color="auto"/>
        <w:left w:val="none" w:sz="0" w:space="0" w:color="auto"/>
        <w:bottom w:val="none" w:sz="0" w:space="0" w:color="auto"/>
        <w:right w:val="none" w:sz="0" w:space="0" w:color="auto"/>
      </w:divBdr>
    </w:div>
    <w:div w:id="445589347">
      <w:bodyDiv w:val="1"/>
      <w:marLeft w:val="0"/>
      <w:marRight w:val="0"/>
      <w:marTop w:val="0"/>
      <w:marBottom w:val="0"/>
      <w:divBdr>
        <w:top w:val="none" w:sz="0" w:space="0" w:color="auto"/>
        <w:left w:val="none" w:sz="0" w:space="0" w:color="auto"/>
        <w:bottom w:val="none" w:sz="0" w:space="0" w:color="auto"/>
        <w:right w:val="none" w:sz="0" w:space="0" w:color="auto"/>
      </w:divBdr>
    </w:div>
    <w:div w:id="458036455">
      <w:bodyDiv w:val="1"/>
      <w:marLeft w:val="0"/>
      <w:marRight w:val="0"/>
      <w:marTop w:val="0"/>
      <w:marBottom w:val="0"/>
      <w:divBdr>
        <w:top w:val="none" w:sz="0" w:space="0" w:color="auto"/>
        <w:left w:val="none" w:sz="0" w:space="0" w:color="auto"/>
        <w:bottom w:val="none" w:sz="0" w:space="0" w:color="auto"/>
        <w:right w:val="none" w:sz="0" w:space="0" w:color="auto"/>
      </w:divBdr>
    </w:div>
    <w:div w:id="547840017">
      <w:bodyDiv w:val="1"/>
      <w:marLeft w:val="0"/>
      <w:marRight w:val="0"/>
      <w:marTop w:val="0"/>
      <w:marBottom w:val="0"/>
      <w:divBdr>
        <w:top w:val="none" w:sz="0" w:space="0" w:color="auto"/>
        <w:left w:val="none" w:sz="0" w:space="0" w:color="auto"/>
        <w:bottom w:val="none" w:sz="0" w:space="0" w:color="auto"/>
        <w:right w:val="none" w:sz="0" w:space="0" w:color="auto"/>
      </w:divBdr>
    </w:div>
    <w:div w:id="549609278">
      <w:bodyDiv w:val="1"/>
      <w:marLeft w:val="0"/>
      <w:marRight w:val="0"/>
      <w:marTop w:val="0"/>
      <w:marBottom w:val="0"/>
      <w:divBdr>
        <w:top w:val="none" w:sz="0" w:space="0" w:color="auto"/>
        <w:left w:val="none" w:sz="0" w:space="0" w:color="auto"/>
        <w:bottom w:val="none" w:sz="0" w:space="0" w:color="auto"/>
        <w:right w:val="none" w:sz="0" w:space="0" w:color="auto"/>
      </w:divBdr>
    </w:div>
    <w:div w:id="635255310">
      <w:bodyDiv w:val="1"/>
      <w:marLeft w:val="0"/>
      <w:marRight w:val="0"/>
      <w:marTop w:val="0"/>
      <w:marBottom w:val="0"/>
      <w:divBdr>
        <w:top w:val="none" w:sz="0" w:space="0" w:color="auto"/>
        <w:left w:val="none" w:sz="0" w:space="0" w:color="auto"/>
        <w:bottom w:val="none" w:sz="0" w:space="0" w:color="auto"/>
        <w:right w:val="none" w:sz="0" w:space="0" w:color="auto"/>
      </w:divBdr>
    </w:div>
    <w:div w:id="683242963">
      <w:bodyDiv w:val="1"/>
      <w:marLeft w:val="0"/>
      <w:marRight w:val="0"/>
      <w:marTop w:val="0"/>
      <w:marBottom w:val="0"/>
      <w:divBdr>
        <w:top w:val="none" w:sz="0" w:space="0" w:color="auto"/>
        <w:left w:val="none" w:sz="0" w:space="0" w:color="auto"/>
        <w:bottom w:val="none" w:sz="0" w:space="0" w:color="auto"/>
        <w:right w:val="none" w:sz="0" w:space="0" w:color="auto"/>
      </w:divBdr>
    </w:div>
    <w:div w:id="743843781">
      <w:bodyDiv w:val="1"/>
      <w:marLeft w:val="0"/>
      <w:marRight w:val="0"/>
      <w:marTop w:val="0"/>
      <w:marBottom w:val="0"/>
      <w:divBdr>
        <w:top w:val="none" w:sz="0" w:space="0" w:color="auto"/>
        <w:left w:val="none" w:sz="0" w:space="0" w:color="auto"/>
        <w:bottom w:val="none" w:sz="0" w:space="0" w:color="auto"/>
        <w:right w:val="none" w:sz="0" w:space="0" w:color="auto"/>
      </w:divBdr>
    </w:div>
    <w:div w:id="765076285">
      <w:bodyDiv w:val="1"/>
      <w:marLeft w:val="0"/>
      <w:marRight w:val="0"/>
      <w:marTop w:val="0"/>
      <w:marBottom w:val="0"/>
      <w:divBdr>
        <w:top w:val="none" w:sz="0" w:space="0" w:color="auto"/>
        <w:left w:val="none" w:sz="0" w:space="0" w:color="auto"/>
        <w:bottom w:val="none" w:sz="0" w:space="0" w:color="auto"/>
        <w:right w:val="none" w:sz="0" w:space="0" w:color="auto"/>
      </w:divBdr>
    </w:div>
    <w:div w:id="794176648">
      <w:bodyDiv w:val="1"/>
      <w:marLeft w:val="0"/>
      <w:marRight w:val="0"/>
      <w:marTop w:val="0"/>
      <w:marBottom w:val="0"/>
      <w:divBdr>
        <w:top w:val="none" w:sz="0" w:space="0" w:color="auto"/>
        <w:left w:val="none" w:sz="0" w:space="0" w:color="auto"/>
        <w:bottom w:val="none" w:sz="0" w:space="0" w:color="auto"/>
        <w:right w:val="none" w:sz="0" w:space="0" w:color="auto"/>
      </w:divBdr>
    </w:div>
    <w:div w:id="882399073">
      <w:bodyDiv w:val="1"/>
      <w:marLeft w:val="0"/>
      <w:marRight w:val="0"/>
      <w:marTop w:val="0"/>
      <w:marBottom w:val="0"/>
      <w:divBdr>
        <w:top w:val="none" w:sz="0" w:space="0" w:color="auto"/>
        <w:left w:val="none" w:sz="0" w:space="0" w:color="auto"/>
        <w:bottom w:val="none" w:sz="0" w:space="0" w:color="auto"/>
        <w:right w:val="none" w:sz="0" w:space="0" w:color="auto"/>
      </w:divBdr>
    </w:div>
    <w:div w:id="898244575">
      <w:bodyDiv w:val="1"/>
      <w:marLeft w:val="0"/>
      <w:marRight w:val="0"/>
      <w:marTop w:val="0"/>
      <w:marBottom w:val="0"/>
      <w:divBdr>
        <w:top w:val="none" w:sz="0" w:space="0" w:color="auto"/>
        <w:left w:val="none" w:sz="0" w:space="0" w:color="auto"/>
        <w:bottom w:val="none" w:sz="0" w:space="0" w:color="auto"/>
        <w:right w:val="none" w:sz="0" w:space="0" w:color="auto"/>
      </w:divBdr>
    </w:div>
    <w:div w:id="986125831">
      <w:bodyDiv w:val="1"/>
      <w:marLeft w:val="0"/>
      <w:marRight w:val="0"/>
      <w:marTop w:val="0"/>
      <w:marBottom w:val="0"/>
      <w:divBdr>
        <w:top w:val="none" w:sz="0" w:space="0" w:color="auto"/>
        <w:left w:val="none" w:sz="0" w:space="0" w:color="auto"/>
        <w:bottom w:val="none" w:sz="0" w:space="0" w:color="auto"/>
        <w:right w:val="none" w:sz="0" w:space="0" w:color="auto"/>
      </w:divBdr>
    </w:div>
    <w:div w:id="1021396212">
      <w:bodyDiv w:val="1"/>
      <w:marLeft w:val="0"/>
      <w:marRight w:val="0"/>
      <w:marTop w:val="0"/>
      <w:marBottom w:val="0"/>
      <w:divBdr>
        <w:top w:val="none" w:sz="0" w:space="0" w:color="auto"/>
        <w:left w:val="none" w:sz="0" w:space="0" w:color="auto"/>
        <w:bottom w:val="none" w:sz="0" w:space="0" w:color="auto"/>
        <w:right w:val="none" w:sz="0" w:space="0" w:color="auto"/>
      </w:divBdr>
    </w:div>
    <w:div w:id="1099906342">
      <w:bodyDiv w:val="1"/>
      <w:marLeft w:val="0"/>
      <w:marRight w:val="0"/>
      <w:marTop w:val="0"/>
      <w:marBottom w:val="0"/>
      <w:divBdr>
        <w:top w:val="none" w:sz="0" w:space="0" w:color="auto"/>
        <w:left w:val="none" w:sz="0" w:space="0" w:color="auto"/>
        <w:bottom w:val="none" w:sz="0" w:space="0" w:color="auto"/>
        <w:right w:val="none" w:sz="0" w:space="0" w:color="auto"/>
      </w:divBdr>
    </w:div>
    <w:div w:id="1111048685">
      <w:bodyDiv w:val="1"/>
      <w:marLeft w:val="0"/>
      <w:marRight w:val="0"/>
      <w:marTop w:val="0"/>
      <w:marBottom w:val="0"/>
      <w:divBdr>
        <w:top w:val="none" w:sz="0" w:space="0" w:color="auto"/>
        <w:left w:val="none" w:sz="0" w:space="0" w:color="auto"/>
        <w:bottom w:val="none" w:sz="0" w:space="0" w:color="auto"/>
        <w:right w:val="none" w:sz="0" w:space="0" w:color="auto"/>
      </w:divBdr>
    </w:div>
    <w:div w:id="1341202915">
      <w:bodyDiv w:val="1"/>
      <w:marLeft w:val="0"/>
      <w:marRight w:val="0"/>
      <w:marTop w:val="0"/>
      <w:marBottom w:val="0"/>
      <w:divBdr>
        <w:top w:val="none" w:sz="0" w:space="0" w:color="auto"/>
        <w:left w:val="none" w:sz="0" w:space="0" w:color="auto"/>
        <w:bottom w:val="none" w:sz="0" w:space="0" w:color="auto"/>
        <w:right w:val="none" w:sz="0" w:space="0" w:color="auto"/>
      </w:divBdr>
    </w:div>
    <w:div w:id="1394424572">
      <w:bodyDiv w:val="1"/>
      <w:marLeft w:val="0"/>
      <w:marRight w:val="0"/>
      <w:marTop w:val="0"/>
      <w:marBottom w:val="0"/>
      <w:divBdr>
        <w:top w:val="none" w:sz="0" w:space="0" w:color="auto"/>
        <w:left w:val="none" w:sz="0" w:space="0" w:color="auto"/>
        <w:bottom w:val="none" w:sz="0" w:space="0" w:color="auto"/>
        <w:right w:val="none" w:sz="0" w:space="0" w:color="auto"/>
      </w:divBdr>
    </w:div>
    <w:div w:id="1410620250">
      <w:bodyDiv w:val="1"/>
      <w:marLeft w:val="0"/>
      <w:marRight w:val="0"/>
      <w:marTop w:val="0"/>
      <w:marBottom w:val="0"/>
      <w:divBdr>
        <w:top w:val="none" w:sz="0" w:space="0" w:color="auto"/>
        <w:left w:val="none" w:sz="0" w:space="0" w:color="auto"/>
        <w:bottom w:val="none" w:sz="0" w:space="0" w:color="auto"/>
        <w:right w:val="none" w:sz="0" w:space="0" w:color="auto"/>
      </w:divBdr>
    </w:div>
    <w:div w:id="1418941214">
      <w:bodyDiv w:val="1"/>
      <w:marLeft w:val="0"/>
      <w:marRight w:val="0"/>
      <w:marTop w:val="0"/>
      <w:marBottom w:val="0"/>
      <w:divBdr>
        <w:top w:val="none" w:sz="0" w:space="0" w:color="auto"/>
        <w:left w:val="none" w:sz="0" w:space="0" w:color="auto"/>
        <w:bottom w:val="none" w:sz="0" w:space="0" w:color="auto"/>
        <w:right w:val="none" w:sz="0" w:space="0" w:color="auto"/>
      </w:divBdr>
    </w:div>
    <w:div w:id="1438063796">
      <w:bodyDiv w:val="1"/>
      <w:marLeft w:val="0"/>
      <w:marRight w:val="0"/>
      <w:marTop w:val="0"/>
      <w:marBottom w:val="0"/>
      <w:divBdr>
        <w:top w:val="none" w:sz="0" w:space="0" w:color="auto"/>
        <w:left w:val="none" w:sz="0" w:space="0" w:color="auto"/>
        <w:bottom w:val="none" w:sz="0" w:space="0" w:color="auto"/>
        <w:right w:val="none" w:sz="0" w:space="0" w:color="auto"/>
      </w:divBdr>
    </w:div>
    <w:div w:id="1465392378">
      <w:bodyDiv w:val="1"/>
      <w:marLeft w:val="0"/>
      <w:marRight w:val="0"/>
      <w:marTop w:val="0"/>
      <w:marBottom w:val="0"/>
      <w:divBdr>
        <w:top w:val="none" w:sz="0" w:space="0" w:color="auto"/>
        <w:left w:val="none" w:sz="0" w:space="0" w:color="auto"/>
        <w:bottom w:val="none" w:sz="0" w:space="0" w:color="auto"/>
        <w:right w:val="none" w:sz="0" w:space="0" w:color="auto"/>
      </w:divBdr>
    </w:div>
    <w:div w:id="1500846673">
      <w:bodyDiv w:val="1"/>
      <w:marLeft w:val="0"/>
      <w:marRight w:val="0"/>
      <w:marTop w:val="0"/>
      <w:marBottom w:val="0"/>
      <w:divBdr>
        <w:top w:val="none" w:sz="0" w:space="0" w:color="auto"/>
        <w:left w:val="none" w:sz="0" w:space="0" w:color="auto"/>
        <w:bottom w:val="none" w:sz="0" w:space="0" w:color="auto"/>
        <w:right w:val="none" w:sz="0" w:space="0" w:color="auto"/>
      </w:divBdr>
    </w:div>
    <w:div w:id="1639333940">
      <w:bodyDiv w:val="1"/>
      <w:marLeft w:val="0"/>
      <w:marRight w:val="0"/>
      <w:marTop w:val="0"/>
      <w:marBottom w:val="0"/>
      <w:divBdr>
        <w:top w:val="none" w:sz="0" w:space="0" w:color="auto"/>
        <w:left w:val="none" w:sz="0" w:space="0" w:color="auto"/>
        <w:bottom w:val="none" w:sz="0" w:space="0" w:color="auto"/>
        <w:right w:val="none" w:sz="0" w:space="0" w:color="auto"/>
      </w:divBdr>
    </w:div>
    <w:div w:id="1717776630">
      <w:bodyDiv w:val="1"/>
      <w:marLeft w:val="0"/>
      <w:marRight w:val="0"/>
      <w:marTop w:val="0"/>
      <w:marBottom w:val="0"/>
      <w:divBdr>
        <w:top w:val="none" w:sz="0" w:space="0" w:color="auto"/>
        <w:left w:val="none" w:sz="0" w:space="0" w:color="auto"/>
        <w:bottom w:val="none" w:sz="0" w:space="0" w:color="auto"/>
        <w:right w:val="none" w:sz="0" w:space="0" w:color="auto"/>
      </w:divBdr>
    </w:div>
    <w:div w:id="1795907423">
      <w:bodyDiv w:val="1"/>
      <w:marLeft w:val="0"/>
      <w:marRight w:val="0"/>
      <w:marTop w:val="0"/>
      <w:marBottom w:val="0"/>
      <w:divBdr>
        <w:top w:val="none" w:sz="0" w:space="0" w:color="auto"/>
        <w:left w:val="none" w:sz="0" w:space="0" w:color="auto"/>
        <w:bottom w:val="none" w:sz="0" w:space="0" w:color="auto"/>
        <w:right w:val="none" w:sz="0" w:space="0" w:color="auto"/>
      </w:divBdr>
    </w:div>
    <w:div w:id="1800223355">
      <w:bodyDiv w:val="1"/>
      <w:marLeft w:val="0"/>
      <w:marRight w:val="0"/>
      <w:marTop w:val="0"/>
      <w:marBottom w:val="0"/>
      <w:divBdr>
        <w:top w:val="none" w:sz="0" w:space="0" w:color="auto"/>
        <w:left w:val="none" w:sz="0" w:space="0" w:color="auto"/>
        <w:bottom w:val="none" w:sz="0" w:space="0" w:color="auto"/>
        <w:right w:val="none" w:sz="0" w:space="0" w:color="auto"/>
      </w:divBdr>
    </w:div>
    <w:div w:id="1872449024">
      <w:bodyDiv w:val="1"/>
      <w:marLeft w:val="0"/>
      <w:marRight w:val="0"/>
      <w:marTop w:val="0"/>
      <w:marBottom w:val="0"/>
      <w:divBdr>
        <w:top w:val="none" w:sz="0" w:space="0" w:color="auto"/>
        <w:left w:val="none" w:sz="0" w:space="0" w:color="auto"/>
        <w:bottom w:val="none" w:sz="0" w:space="0" w:color="auto"/>
        <w:right w:val="none" w:sz="0" w:space="0" w:color="auto"/>
      </w:divBdr>
    </w:div>
    <w:div w:id="1909654560">
      <w:bodyDiv w:val="1"/>
      <w:marLeft w:val="0"/>
      <w:marRight w:val="0"/>
      <w:marTop w:val="0"/>
      <w:marBottom w:val="0"/>
      <w:divBdr>
        <w:top w:val="none" w:sz="0" w:space="0" w:color="auto"/>
        <w:left w:val="none" w:sz="0" w:space="0" w:color="auto"/>
        <w:bottom w:val="none" w:sz="0" w:space="0" w:color="auto"/>
        <w:right w:val="none" w:sz="0" w:space="0" w:color="auto"/>
      </w:divBdr>
    </w:div>
    <w:div w:id="2048216059">
      <w:bodyDiv w:val="1"/>
      <w:marLeft w:val="0"/>
      <w:marRight w:val="0"/>
      <w:marTop w:val="0"/>
      <w:marBottom w:val="0"/>
      <w:divBdr>
        <w:top w:val="none" w:sz="0" w:space="0" w:color="auto"/>
        <w:left w:val="none" w:sz="0" w:space="0" w:color="auto"/>
        <w:bottom w:val="none" w:sz="0" w:space="0" w:color="auto"/>
        <w:right w:val="none" w:sz="0" w:space="0" w:color="auto"/>
      </w:divBdr>
    </w:div>
    <w:div w:id="2111729337">
      <w:bodyDiv w:val="1"/>
      <w:marLeft w:val="0"/>
      <w:marRight w:val="0"/>
      <w:marTop w:val="0"/>
      <w:marBottom w:val="0"/>
      <w:divBdr>
        <w:top w:val="none" w:sz="0" w:space="0" w:color="auto"/>
        <w:left w:val="none" w:sz="0" w:space="0" w:color="auto"/>
        <w:bottom w:val="none" w:sz="0" w:space="0" w:color="auto"/>
        <w:right w:val="none" w:sz="0" w:space="0" w:color="auto"/>
      </w:divBdr>
    </w:div>
    <w:div w:id="21307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CB686-0133-40AF-A8AB-F00BA85D2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55687</Words>
  <Characters>31743</Characters>
  <Application>Microsoft Office Word</Application>
  <DocSecurity>4</DocSecurity>
  <Lines>264</Lines>
  <Paragraphs>174</Paragraphs>
  <ScaleCrop>false</ScaleCrop>
  <HeadingPairs>
    <vt:vector size="8" baseType="variant">
      <vt:variant>
        <vt:lpstr>Pavadinimas</vt:lpstr>
      </vt:variant>
      <vt:variant>
        <vt:i4>1</vt:i4>
      </vt:variant>
      <vt:variant>
        <vt:lpstr>Antraštės</vt:lpstr>
      </vt:variant>
      <vt:variant>
        <vt:i4>69</vt:i4>
      </vt:variant>
      <vt:variant>
        <vt:lpstr>Title</vt:lpstr>
      </vt:variant>
      <vt:variant>
        <vt:i4>1</vt:i4>
      </vt:variant>
      <vt:variant>
        <vt:lpstr>Headings</vt:lpstr>
      </vt:variant>
      <vt:variant>
        <vt:i4>69</vt:i4>
      </vt:variant>
    </vt:vector>
  </HeadingPairs>
  <TitlesOfParts>
    <vt:vector size="140" baseType="lpstr">
      <vt:lpstr>I PRIEDAS</vt:lpstr>
      <vt:lpstr/>
      <vt:lpstr/>
      <vt:lpstr/>
      <vt:lpstr/>
      <vt:lpstr>    I PRIEDAS</vt:lpstr>
      <vt:lpstr>        3.	FARMACINĖ FORMA</vt:lpstr>
      <vt:lpstr>        6.	FARMACINĖ INFORMACIJA</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UNIKALUS IDENTIFIKATORIUS – 2D BRŪKŠNINIS KODAS</vt:lpstr>
      <vt:lpstr>UNIKALUS IDENTIFIKATORIUS – ŽMONĖMS SUPRANTAMI DUOMENYS</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Entecavir Sandoz</vt:lpstr>
      <vt:lpstr>        </vt:lpstr>
      <vt:lpstr>        </vt:lpstr>
      <vt:lpstr>        5.	Kaip laikyti Entecavir Sandoz</vt:lpstr>
      <vt:lpstr>        6.	Pakuotės turinys ir kita informacija</vt:lpstr>
      <vt:lpstr>I PRIEDAS</vt:lpstr>
      <vt:lpstr/>
      <vt:lpstr/>
      <vt:lpstr/>
      <vt:lpstr/>
      <vt:lpstr>    I PRIEDAS</vt:lpstr>
      <vt:lpstr>        3.	FARMACINĖ FORMA</vt:lpstr>
      <vt:lpstr>        6.	FARMACINĖ INFORMACIJA</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UNIKALUS IDENTIFIKATORIUS – 2D BRŪKŠNINIS KODAS</vt:lpstr>
      <vt:lpstr>UNIKALUS IDENTIFIKATORIUS – ŽMONĖMS SUPRANTAMI DUOMENYS</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Entecavir Sandoz</vt:lpstr>
      <vt:lpstr>        </vt:lpstr>
      <vt:lpstr>        </vt:lpstr>
      <vt:lpstr>        5.	Kaip laikyti Entecavir Sandoz</vt:lpstr>
      <vt:lpstr>        6.	Pakuotės turinys ir kita informacija</vt:lpstr>
    </vt:vector>
  </TitlesOfParts>
  <Company>VVKT</Company>
  <LinksUpToDate>false</LinksUpToDate>
  <CharactersWithSpaces>87256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8060954</vt:i4>
      </vt:variant>
      <vt:variant>
        <vt:i4>18</vt:i4>
      </vt:variant>
      <vt:variant>
        <vt:i4>0</vt:i4>
      </vt:variant>
      <vt:variant>
        <vt:i4>5</vt:i4>
      </vt:variant>
      <vt:variant>
        <vt:lpwstr>mailto:info.lithuania@sandoz.com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Arvydas Milasius</dc:creator>
  <cp:lastModifiedBy>Albina Burkauskaitė</cp:lastModifiedBy>
  <cp:revision>2</cp:revision>
  <dcterms:created xsi:type="dcterms:W3CDTF">2024-05-09T07:12:00Z</dcterms:created>
  <dcterms:modified xsi:type="dcterms:W3CDTF">2024-05-09T07:12:00Z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2021-02-17T12:55:02Z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2202d840-d5a2-423b-a4a5-59433952f0d3</vt:lpwstr>
  </property>
  <property fmtid="{D5CDD505-2E9C-101B-9397-08002B2CF9AE}" pid="8" name="MSIP_Label_4929bff8-5b33-42aa-95d2-28f72e792cb0_ContentBits">
    <vt:lpwstr>0</vt:lpwstr>
  </property>
</Properties>
</file>