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E9E" w:rsidRPr="00D166EA" w:rsidRDefault="00DA2E9E" w:rsidP="00DA2E9E">
      <w:pPr>
        <w:pStyle w:val="Antrat2"/>
      </w:pPr>
      <w:r w:rsidRPr="00D166EA">
        <w:t xml:space="preserve">Pakuotės lapelis: informacija </w:t>
      </w:r>
      <w:r>
        <w:t>pacientui</w:t>
      </w:r>
    </w:p>
    <w:p w:rsidR="00DA2E9E" w:rsidRPr="00D166EA" w:rsidRDefault="00DA2E9E" w:rsidP="00DA2E9E">
      <w:pPr>
        <w:numPr>
          <w:ilvl w:val="12"/>
          <w:numId w:val="0"/>
        </w:numPr>
        <w:shd w:val="clear" w:color="auto" w:fill="FFFFFF"/>
        <w:jc w:val="center"/>
        <w:rPr>
          <w:szCs w:val="22"/>
        </w:rPr>
      </w:pPr>
    </w:p>
    <w:p w:rsidR="00DA2E9E" w:rsidRPr="00D166EA" w:rsidRDefault="00DA2E9E" w:rsidP="00DA2E9E">
      <w:pPr>
        <w:jc w:val="center"/>
        <w:rPr>
          <w:b/>
          <w:szCs w:val="22"/>
        </w:rPr>
      </w:pPr>
      <w:proofErr w:type="spellStart"/>
      <w:r w:rsidRPr="00591D31">
        <w:rPr>
          <w:b/>
          <w:szCs w:val="22"/>
        </w:rPr>
        <w:t>Entecavir</w:t>
      </w:r>
      <w:proofErr w:type="spellEnd"/>
      <w:r w:rsidRPr="00591D31">
        <w:rPr>
          <w:b/>
          <w:szCs w:val="22"/>
        </w:rPr>
        <w:t xml:space="preserve"> </w:t>
      </w:r>
      <w:proofErr w:type="spellStart"/>
      <w:r w:rsidRPr="00591D31">
        <w:rPr>
          <w:b/>
          <w:szCs w:val="22"/>
        </w:rPr>
        <w:t>Sandoz</w:t>
      </w:r>
      <w:proofErr w:type="spellEnd"/>
      <w:r w:rsidRPr="00591D31">
        <w:rPr>
          <w:b/>
          <w:caps/>
          <w:szCs w:val="22"/>
        </w:rPr>
        <w:t xml:space="preserve"> 0,5 </w:t>
      </w:r>
      <w:r w:rsidRPr="00591D31">
        <w:rPr>
          <w:b/>
          <w:szCs w:val="22"/>
        </w:rPr>
        <w:t>mg plėvele dengtos tabletės</w:t>
      </w:r>
    </w:p>
    <w:p w:rsidR="00DA2E9E" w:rsidRPr="00D166EA" w:rsidRDefault="00DA2E9E" w:rsidP="00DA2E9E">
      <w:pPr>
        <w:jc w:val="center"/>
        <w:rPr>
          <w:b/>
          <w:szCs w:val="22"/>
        </w:rPr>
      </w:pPr>
      <w:proofErr w:type="spellStart"/>
      <w:r w:rsidRPr="00591D31">
        <w:rPr>
          <w:b/>
          <w:szCs w:val="22"/>
          <w:highlight w:val="lightGray"/>
        </w:rPr>
        <w:t>Entecavir</w:t>
      </w:r>
      <w:proofErr w:type="spellEnd"/>
      <w:r w:rsidRPr="00591D31">
        <w:rPr>
          <w:b/>
          <w:szCs w:val="22"/>
          <w:highlight w:val="lightGray"/>
        </w:rPr>
        <w:t xml:space="preserve"> </w:t>
      </w:r>
      <w:proofErr w:type="spellStart"/>
      <w:r w:rsidRPr="00591D31">
        <w:rPr>
          <w:b/>
          <w:szCs w:val="22"/>
          <w:highlight w:val="lightGray"/>
        </w:rPr>
        <w:t>Sandoz</w:t>
      </w:r>
      <w:proofErr w:type="spellEnd"/>
      <w:r w:rsidRPr="00591D31">
        <w:rPr>
          <w:b/>
          <w:caps/>
          <w:szCs w:val="22"/>
          <w:highlight w:val="lightGray"/>
        </w:rPr>
        <w:t xml:space="preserve"> 1 </w:t>
      </w:r>
      <w:r w:rsidRPr="00591D31">
        <w:rPr>
          <w:b/>
          <w:szCs w:val="22"/>
          <w:highlight w:val="lightGray"/>
        </w:rPr>
        <w:t>mg plėvele dengtos tabletės</w:t>
      </w:r>
    </w:p>
    <w:p w:rsidR="00DA2E9E" w:rsidRPr="00D166EA" w:rsidRDefault="00DA2E9E" w:rsidP="00DA2E9E">
      <w:pPr>
        <w:pStyle w:val="BTeEMEASMCA"/>
        <w:rPr>
          <w:sz w:val="22"/>
          <w:szCs w:val="22"/>
        </w:rPr>
      </w:pPr>
      <w:proofErr w:type="spellStart"/>
      <w:r>
        <w:rPr>
          <w:sz w:val="22"/>
          <w:szCs w:val="22"/>
          <w:u w:val="none"/>
        </w:rPr>
        <w:t>e</w:t>
      </w:r>
      <w:r w:rsidRPr="00D166EA">
        <w:rPr>
          <w:sz w:val="22"/>
          <w:szCs w:val="22"/>
          <w:u w:val="none"/>
        </w:rPr>
        <w:t>ntekaviras</w:t>
      </w:r>
      <w:proofErr w:type="spellEnd"/>
    </w:p>
    <w:p w:rsidR="00DA2E9E" w:rsidRPr="00D166EA" w:rsidRDefault="00DA2E9E" w:rsidP="00DA2E9E">
      <w:pPr>
        <w:rPr>
          <w:szCs w:val="22"/>
        </w:rPr>
      </w:pPr>
    </w:p>
    <w:p w:rsidR="00DA2E9E" w:rsidRPr="00D166EA" w:rsidRDefault="00DA2E9E" w:rsidP="00DA2E9E">
      <w:pPr>
        <w:suppressAutoHyphens/>
        <w:rPr>
          <w:szCs w:val="22"/>
        </w:rPr>
      </w:pPr>
      <w:r w:rsidRPr="00D166EA">
        <w:rPr>
          <w:b/>
          <w:bCs/>
          <w:szCs w:val="22"/>
        </w:rPr>
        <w:t>Atidžiai perskaitykite visą šį lapelį, prieš pradėdami vartoti vaistą, nes jame pateikiama Jums svarbi informacija.</w:t>
      </w:r>
    </w:p>
    <w:p w:rsidR="00DA2E9E" w:rsidRPr="00D166EA" w:rsidRDefault="00DA2E9E" w:rsidP="00DA2E9E">
      <w:pPr>
        <w:numPr>
          <w:ilvl w:val="0"/>
          <w:numId w:val="1"/>
        </w:numPr>
        <w:ind w:left="567" w:hanging="567"/>
        <w:rPr>
          <w:szCs w:val="22"/>
        </w:rPr>
      </w:pPr>
      <w:r w:rsidRPr="00D166EA">
        <w:rPr>
          <w:szCs w:val="22"/>
        </w:rPr>
        <w:t xml:space="preserve">Neišmeskite šio lapelio, nes vėl gali prireikti jį perskaityti. </w:t>
      </w:r>
    </w:p>
    <w:p w:rsidR="00DA2E9E" w:rsidRPr="00D166EA" w:rsidRDefault="00DA2E9E" w:rsidP="00DA2E9E">
      <w:pPr>
        <w:numPr>
          <w:ilvl w:val="0"/>
          <w:numId w:val="1"/>
        </w:numPr>
        <w:ind w:left="567" w:hanging="567"/>
        <w:rPr>
          <w:szCs w:val="22"/>
        </w:rPr>
      </w:pPr>
      <w:r w:rsidRPr="00D166EA">
        <w:rPr>
          <w:szCs w:val="22"/>
        </w:rPr>
        <w:t>Jeigu kiltų daugiau klausimų, kreipkitės į gydytoją arba vaistininką.</w:t>
      </w:r>
    </w:p>
    <w:p w:rsidR="00DA2E9E" w:rsidRPr="00D166EA" w:rsidRDefault="00DA2E9E" w:rsidP="00DA2E9E">
      <w:pPr>
        <w:ind w:left="567" w:hanging="567"/>
        <w:rPr>
          <w:szCs w:val="22"/>
        </w:rPr>
      </w:pPr>
      <w:r w:rsidRPr="00D166EA">
        <w:rPr>
          <w:szCs w:val="22"/>
        </w:rPr>
        <w:t>-</w:t>
      </w:r>
      <w:r w:rsidRPr="00D166EA">
        <w:rPr>
          <w:szCs w:val="22"/>
        </w:rPr>
        <w:tab/>
        <w:t>Šis vaistas skirtas tik Jums, todėl kitiems žmonėms jo duoti negalima. Vaistas gali jiems pakenkti (net tiems, kurių ligos požymiai yra tokie patys kaip Jūsų).</w:t>
      </w:r>
    </w:p>
    <w:p w:rsidR="00DA2E9E" w:rsidRPr="00D166EA" w:rsidRDefault="00DA2E9E" w:rsidP="00DA2E9E">
      <w:pPr>
        <w:numPr>
          <w:ilvl w:val="0"/>
          <w:numId w:val="1"/>
        </w:numPr>
        <w:tabs>
          <w:tab w:val="left" w:pos="567"/>
        </w:tabs>
        <w:ind w:left="567" w:hanging="567"/>
        <w:rPr>
          <w:szCs w:val="22"/>
        </w:rPr>
      </w:pPr>
      <w:r w:rsidRPr="00D166EA">
        <w:rPr>
          <w:szCs w:val="22"/>
        </w:rPr>
        <w:t>Jeigu pasireiškė šalutinis poveikis (net jeigu jis šiame lapelyje nenurodytas), kreipkitės į gydytoją arba vaistininką. Žr. 4 skyrių.</w:t>
      </w:r>
    </w:p>
    <w:p w:rsidR="00DA2E9E" w:rsidRPr="00D166EA" w:rsidRDefault="00DA2E9E" w:rsidP="00DA2E9E">
      <w:pPr>
        <w:rPr>
          <w:szCs w:val="22"/>
        </w:rPr>
      </w:pPr>
    </w:p>
    <w:p w:rsidR="00DA2E9E" w:rsidRPr="00D166EA" w:rsidRDefault="00DA2E9E" w:rsidP="00DA2E9E">
      <w:pPr>
        <w:rPr>
          <w:b/>
          <w:szCs w:val="22"/>
        </w:rPr>
      </w:pPr>
      <w:r w:rsidRPr="00D166EA">
        <w:rPr>
          <w:b/>
          <w:szCs w:val="22"/>
        </w:rPr>
        <w:t>Apie ką rašoma šiame lapelyje?</w:t>
      </w:r>
    </w:p>
    <w:p w:rsidR="00DA2E9E" w:rsidRPr="00D166EA" w:rsidRDefault="00DA2E9E" w:rsidP="00DA2E9E">
      <w:pPr>
        <w:numPr>
          <w:ilvl w:val="12"/>
          <w:numId w:val="0"/>
        </w:numPr>
        <w:rPr>
          <w:szCs w:val="22"/>
        </w:rPr>
      </w:pPr>
    </w:p>
    <w:p w:rsidR="00DA2E9E" w:rsidRPr="00D166EA" w:rsidRDefault="00DA2E9E" w:rsidP="00DA2E9E">
      <w:pPr>
        <w:numPr>
          <w:ilvl w:val="12"/>
          <w:numId w:val="0"/>
        </w:numPr>
        <w:tabs>
          <w:tab w:val="left" w:pos="900"/>
        </w:tabs>
        <w:ind w:left="567" w:hanging="567"/>
        <w:rPr>
          <w:szCs w:val="22"/>
        </w:rPr>
      </w:pPr>
      <w:r w:rsidRPr="00D166EA">
        <w:rPr>
          <w:szCs w:val="22"/>
        </w:rPr>
        <w:t>1.</w:t>
      </w:r>
      <w:r w:rsidRPr="00D166EA">
        <w:rPr>
          <w:szCs w:val="22"/>
        </w:rPr>
        <w:tab/>
        <w:t xml:space="preserve">Kas yra </w:t>
      </w:r>
      <w:proofErr w:type="spellStart"/>
      <w:r w:rsidRPr="00D166EA">
        <w:rPr>
          <w:szCs w:val="22"/>
        </w:rPr>
        <w:t>Entecavir</w:t>
      </w:r>
      <w:proofErr w:type="spellEnd"/>
      <w:r w:rsidRPr="00D166EA">
        <w:rPr>
          <w:szCs w:val="22"/>
        </w:rPr>
        <w:t xml:space="preserve"> </w:t>
      </w:r>
      <w:proofErr w:type="spellStart"/>
      <w:r w:rsidRPr="00D166EA">
        <w:rPr>
          <w:szCs w:val="22"/>
        </w:rPr>
        <w:t>Sandoz</w:t>
      </w:r>
      <w:proofErr w:type="spellEnd"/>
      <w:r w:rsidRPr="00D166EA">
        <w:rPr>
          <w:szCs w:val="22"/>
        </w:rPr>
        <w:t xml:space="preserve"> ir kam jis vartojamas </w:t>
      </w:r>
    </w:p>
    <w:p w:rsidR="00DA2E9E" w:rsidRPr="00D166EA" w:rsidRDefault="00DA2E9E" w:rsidP="00DA2E9E">
      <w:pPr>
        <w:numPr>
          <w:ilvl w:val="12"/>
          <w:numId w:val="0"/>
        </w:numPr>
        <w:tabs>
          <w:tab w:val="left" w:pos="900"/>
        </w:tabs>
        <w:ind w:left="567" w:hanging="567"/>
        <w:rPr>
          <w:szCs w:val="22"/>
        </w:rPr>
      </w:pPr>
      <w:r w:rsidRPr="00D166EA">
        <w:rPr>
          <w:szCs w:val="22"/>
        </w:rPr>
        <w:t>2.</w:t>
      </w:r>
      <w:r w:rsidRPr="00D166EA">
        <w:rPr>
          <w:szCs w:val="22"/>
        </w:rPr>
        <w:tab/>
        <w:t xml:space="preserve">Kas žinotina prieš vartojant </w:t>
      </w:r>
      <w:proofErr w:type="spellStart"/>
      <w:r w:rsidRPr="00D166EA">
        <w:rPr>
          <w:szCs w:val="22"/>
        </w:rPr>
        <w:t>Entecavir</w:t>
      </w:r>
      <w:proofErr w:type="spellEnd"/>
      <w:r w:rsidRPr="00D166EA">
        <w:rPr>
          <w:szCs w:val="22"/>
        </w:rPr>
        <w:t xml:space="preserve"> </w:t>
      </w:r>
      <w:proofErr w:type="spellStart"/>
      <w:r w:rsidRPr="00D166EA">
        <w:rPr>
          <w:szCs w:val="22"/>
        </w:rPr>
        <w:t>Sandoz</w:t>
      </w:r>
      <w:proofErr w:type="spellEnd"/>
    </w:p>
    <w:p w:rsidR="00DA2E9E" w:rsidRPr="00D166EA" w:rsidRDefault="00DA2E9E" w:rsidP="00DA2E9E">
      <w:pPr>
        <w:numPr>
          <w:ilvl w:val="12"/>
          <w:numId w:val="0"/>
        </w:numPr>
        <w:tabs>
          <w:tab w:val="left" w:pos="900"/>
        </w:tabs>
        <w:ind w:left="567" w:hanging="567"/>
        <w:rPr>
          <w:szCs w:val="22"/>
        </w:rPr>
      </w:pPr>
      <w:r w:rsidRPr="00D166EA">
        <w:rPr>
          <w:szCs w:val="22"/>
        </w:rPr>
        <w:t>3.</w:t>
      </w:r>
      <w:r w:rsidRPr="00D166EA">
        <w:rPr>
          <w:szCs w:val="22"/>
        </w:rPr>
        <w:tab/>
        <w:t xml:space="preserve">Kaip vartoti </w:t>
      </w:r>
      <w:proofErr w:type="spellStart"/>
      <w:r w:rsidRPr="00D166EA">
        <w:rPr>
          <w:szCs w:val="22"/>
        </w:rPr>
        <w:t>Entecavir</w:t>
      </w:r>
      <w:proofErr w:type="spellEnd"/>
      <w:r w:rsidRPr="00D166EA">
        <w:rPr>
          <w:szCs w:val="22"/>
        </w:rPr>
        <w:t xml:space="preserve"> </w:t>
      </w:r>
      <w:proofErr w:type="spellStart"/>
      <w:r w:rsidRPr="00D166EA">
        <w:rPr>
          <w:szCs w:val="22"/>
        </w:rPr>
        <w:t>Sandoz</w:t>
      </w:r>
      <w:proofErr w:type="spellEnd"/>
    </w:p>
    <w:p w:rsidR="00DA2E9E" w:rsidRPr="00D166EA" w:rsidRDefault="00DA2E9E" w:rsidP="00DA2E9E">
      <w:pPr>
        <w:numPr>
          <w:ilvl w:val="12"/>
          <w:numId w:val="0"/>
        </w:numPr>
        <w:tabs>
          <w:tab w:val="left" w:pos="900"/>
          <w:tab w:val="left" w:pos="1620"/>
          <w:tab w:val="left" w:pos="1800"/>
          <w:tab w:val="left" w:pos="2592"/>
          <w:tab w:val="left" w:pos="5430"/>
        </w:tabs>
        <w:ind w:left="567" w:hanging="567"/>
        <w:rPr>
          <w:szCs w:val="22"/>
        </w:rPr>
      </w:pPr>
      <w:r w:rsidRPr="00D166EA">
        <w:rPr>
          <w:szCs w:val="22"/>
        </w:rPr>
        <w:t>4.</w:t>
      </w:r>
      <w:r w:rsidRPr="00D166EA">
        <w:rPr>
          <w:szCs w:val="22"/>
        </w:rPr>
        <w:tab/>
        <w:t xml:space="preserve">Galimas šalutinis poveikis </w:t>
      </w:r>
    </w:p>
    <w:p w:rsidR="00DA2E9E" w:rsidRPr="00D166EA" w:rsidRDefault="00DA2E9E" w:rsidP="00DA2E9E">
      <w:pPr>
        <w:numPr>
          <w:ilvl w:val="12"/>
          <w:numId w:val="0"/>
        </w:numPr>
        <w:tabs>
          <w:tab w:val="left" w:pos="900"/>
        </w:tabs>
        <w:ind w:left="567" w:hanging="567"/>
        <w:rPr>
          <w:szCs w:val="22"/>
        </w:rPr>
      </w:pPr>
      <w:r w:rsidRPr="00D166EA">
        <w:rPr>
          <w:szCs w:val="22"/>
        </w:rPr>
        <w:t>5.</w:t>
      </w:r>
      <w:r w:rsidRPr="00D166EA">
        <w:rPr>
          <w:szCs w:val="22"/>
        </w:rPr>
        <w:tab/>
        <w:t xml:space="preserve">Kaip laikyti </w:t>
      </w:r>
      <w:proofErr w:type="spellStart"/>
      <w:r w:rsidRPr="00D166EA">
        <w:rPr>
          <w:szCs w:val="22"/>
        </w:rPr>
        <w:t>Entecavir</w:t>
      </w:r>
      <w:proofErr w:type="spellEnd"/>
      <w:r w:rsidRPr="00D166EA">
        <w:rPr>
          <w:szCs w:val="22"/>
        </w:rPr>
        <w:t xml:space="preserve"> </w:t>
      </w:r>
      <w:proofErr w:type="spellStart"/>
      <w:r w:rsidRPr="00D166EA">
        <w:rPr>
          <w:szCs w:val="22"/>
        </w:rPr>
        <w:t>Sandoz</w:t>
      </w:r>
      <w:proofErr w:type="spellEnd"/>
    </w:p>
    <w:p w:rsidR="00DA2E9E" w:rsidRPr="00D166EA" w:rsidRDefault="00DA2E9E" w:rsidP="00DA2E9E">
      <w:pPr>
        <w:numPr>
          <w:ilvl w:val="12"/>
          <w:numId w:val="0"/>
        </w:numPr>
        <w:tabs>
          <w:tab w:val="left" w:pos="900"/>
        </w:tabs>
        <w:ind w:left="567" w:hanging="567"/>
        <w:rPr>
          <w:szCs w:val="22"/>
        </w:rPr>
      </w:pPr>
      <w:r w:rsidRPr="00D166EA">
        <w:rPr>
          <w:szCs w:val="22"/>
        </w:rPr>
        <w:t>6.</w:t>
      </w:r>
      <w:r w:rsidRPr="00D166EA">
        <w:rPr>
          <w:szCs w:val="22"/>
        </w:rPr>
        <w:tab/>
        <w:t>Pakuotės turinys ir kita informacija</w:t>
      </w:r>
    </w:p>
    <w:p w:rsidR="00DA2E9E" w:rsidRPr="00D166EA" w:rsidRDefault="00DA2E9E" w:rsidP="00DA2E9E">
      <w:pPr>
        <w:numPr>
          <w:ilvl w:val="12"/>
          <w:numId w:val="0"/>
        </w:numPr>
        <w:rPr>
          <w:szCs w:val="22"/>
        </w:rPr>
      </w:pPr>
    </w:p>
    <w:p w:rsidR="00DA2E9E" w:rsidRPr="00D166EA" w:rsidRDefault="00DA2E9E" w:rsidP="00DA2E9E">
      <w:pPr>
        <w:numPr>
          <w:ilvl w:val="12"/>
          <w:numId w:val="0"/>
        </w:numPr>
        <w:rPr>
          <w:szCs w:val="22"/>
        </w:rPr>
      </w:pPr>
    </w:p>
    <w:p w:rsidR="00DA2E9E" w:rsidRPr="00D166EA" w:rsidRDefault="00DA2E9E" w:rsidP="00DA2E9E">
      <w:pPr>
        <w:ind w:left="567" w:hanging="567"/>
        <w:rPr>
          <w:b/>
          <w:szCs w:val="22"/>
        </w:rPr>
      </w:pPr>
      <w:r w:rsidRPr="00D166EA">
        <w:rPr>
          <w:b/>
          <w:szCs w:val="22"/>
        </w:rPr>
        <w:t>1.</w:t>
      </w:r>
      <w:r w:rsidRPr="00D166EA">
        <w:rPr>
          <w:b/>
          <w:szCs w:val="22"/>
        </w:rPr>
        <w:tab/>
        <w:t xml:space="preserve">Kas yra </w:t>
      </w:r>
      <w:proofErr w:type="spellStart"/>
      <w:r w:rsidRPr="00D166EA">
        <w:rPr>
          <w:b/>
          <w:szCs w:val="22"/>
        </w:rPr>
        <w:t>Entecavir</w:t>
      </w:r>
      <w:proofErr w:type="spellEnd"/>
      <w:r w:rsidRPr="00D166EA">
        <w:rPr>
          <w:b/>
          <w:szCs w:val="22"/>
        </w:rPr>
        <w:t xml:space="preserve"> </w:t>
      </w:r>
      <w:proofErr w:type="spellStart"/>
      <w:r w:rsidRPr="00D166EA">
        <w:rPr>
          <w:b/>
          <w:szCs w:val="22"/>
        </w:rPr>
        <w:t>Sandoz</w:t>
      </w:r>
      <w:proofErr w:type="spellEnd"/>
      <w:r w:rsidRPr="00D166EA">
        <w:rPr>
          <w:b/>
          <w:szCs w:val="22"/>
        </w:rPr>
        <w:t xml:space="preserve"> ir kam jis vartojamas</w:t>
      </w:r>
    </w:p>
    <w:p w:rsidR="00DA2E9E" w:rsidRPr="00D166EA" w:rsidRDefault="00DA2E9E" w:rsidP="00DA2E9E">
      <w:pPr>
        <w:numPr>
          <w:ilvl w:val="12"/>
          <w:numId w:val="0"/>
        </w:numPr>
        <w:rPr>
          <w:szCs w:val="22"/>
        </w:rPr>
      </w:pPr>
    </w:p>
    <w:p w:rsidR="00DA2E9E" w:rsidRPr="00D166EA" w:rsidRDefault="00DA2E9E" w:rsidP="00DA2E9E">
      <w:pPr>
        <w:numPr>
          <w:ilvl w:val="12"/>
          <w:numId w:val="0"/>
        </w:numPr>
        <w:rPr>
          <w:rFonts w:eastAsia="MS Mincho"/>
          <w:szCs w:val="22"/>
        </w:rPr>
      </w:pPr>
      <w:proofErr w:type="spellStart"/>
      <w:r w:rsidRPr="00D166EA">
        <w:rPr>
          <w:rFonts w:eastAsia="MS Mincho"/>
          <w:szCs w:val="22"/>
        </w:rPr>
        <w:t>Entecavir</w:t>
      </w:r>
      <w:proofErr w:type="spellEnd"/>
      <w:r w:rsidRPr="00D166EA">
        <w:rPr>
          <w:rFonts w:eastAsia="MS Mincho"/>
          <w:szCs w:val="22"/>
        </w:rPr>
        <w:t xml:space="preserve"> </w:t>
      </w:r>
      <w:proofErr w:type="spellStart"/>
      <w:r w:rsidRPr="00D166EA">
        <w:rPr>
          <w:rFonts w:eastAsia="MS Mincho"/>
          <w:szCs w:val="22"/>
        </w:rPr>
        <w:t>Sandoz</w:t>
      </w:r>
      <w:proofErr w:type="spellEnd"/>
      <w:r w:rsidRPr="00D166EA">
        <w:rPr>
          <w:rFonts w:eastAsia="MS Mincho"/>
          <w:szCs w:val="22"/>
        </w:rPr>
        <w:t xml:space="preserve"> tabletės yra vaistas nuo virusų, vartojamas gydyti suaugusi</w:t>
      </w:r>
      <w:r>
        <w:rPr>
          <w:rFonts w:eastAsia="MS Mincho"/>
          <w:szCs w:val="22"/>
        </w:rPr>
        <w:t>uosius nuo</w:t>
      </w:r>
      <w:r w:rsidRPr="00D166EA">
        <w:rPr>
          <w:rFonts w:eastAsia="MS Mincho"/>
          <w:szCs w:val="22"/>
        </w:rPr>
        <w:t xml:space="preserve"> hepatito B viruso (HBV) lėtinės (ilgalaikės) infekcijos. </w:t>
      </w:r>
      <w:proofErr w:type="spellStart"/>
      <w:r w:rsidRPr="00D166EA">
        <w:rPr>
          <w:rFonts w:eastAsia="MS Mincho"/>
          <w:szCs w:val="22"/>
        </w:rPr>
        <w:t>Entecavir</w:t>
      </w:r>
      <w:proofErr w:type="spellEnd"/>
      <w:r w:rsidRPr="00D166EA">
        <w:rPr>
          <w:rFonts w:eastAsia="MS Mincho"/>
          <w:szCs w:val="22"/>
        </w:rPr>
        <w:t xml:space="preserve"> </w:t>
      </w:r>
      <w:proofErr w:type="spellStart"/>
      <w:r w:rsidRPr="00D166EA">
        <w:rPr>
          <w:rFonts w:eastAsia="MS Mincho"/>
          <w:szCs w:val="22"/>
        </w:rPr>
        <w:t>Sandoz</w:t>
      </w:r>
      <w:proofErr w:type="spellEnd"/>
      <w:r w:rsidRPr="00D166EA">
        <w:rPr>
          <w:rFonts w:eastAsia="MS Mincho"/>
          <w:szCs w:val="22"/>
        </w:rPr>
        <w:t xml:space="preserve"> gali vartoti žmonės, kurių kepenys pažeistos, bet vis dar veikia gerai (kompensuota kepenų liga), ir žmonės, kurių kepenys pažeistos ir jos negali veikti tinkamai (nekompensuota kepenų liga).</w:t>
      </w:r>
    </w:p>
    <w:p w:rsidR="00DA2E9E" w:rsidRPr="00D166EA" w:rsidRDefault="00DA2E9E" w:rsidP="00DA2E9E">
      <w:pPr>
        <w:numPr>
          <w:ilvl w:val="12"/>
          <w:numId w:val="0"/>
        </w:numPr>
        <w:rPr>
          <w:rFonts w:eastAsia="MS Mincho"/>
          <w:szCs w:val="22"/>
        </w:rPr>
      </w:pPr>
    </w:p>
    <w:p w:rsidR="00DA2E9E" w:rsidRPr="00D166EA" w:rsidRDefault="00DA2E9E" w:rsidP="00DA2E9E">
      <w:pPr>
        <w:numPr>
          <w:ilvl w:val="12"/>
          <w:numId w:val="0"/>
        </w:numPr>
        <w:rPr>
          <w:rFonts w:eastAsia="MS Mincho"/>
          <w:szCs w:val="22"/>
        </w:rPr>
      </w:pPr>
      <w:proofErr w:type="spellStart"/>
      <w:r w:rsidRPr="00D166EA">
        <w:rPr>
          <w:rFonts w:eastAsia="MS Mincho"/>
          <w:szCs w:val="22"/>
        </w:rPr>
        <w:t>Entecavir</w:t>
      </w:r>
      <w:proofErr w:type="spellEnd"/>
      <w:r w:rsidRPr="00D166EA">
        <w:rPr>
          <w:rFonts w:eastAsia="MS Mincho"/>
          <w:szCs w:val="22"/>
        </w:rPr>
        <w:t xml:space="preserve"> </w:t>
      </w:r>
      <w:proofErr w:type="spellStart"/>
      <w:r w:rsidRPr="00D166EA">
        <w:rPr>
          <w:rFonts w:eastAsia="MS Mincho"/>
          <w:szCs w:val="22"/>
        </w:rPr>
        <w:t>Sandoz</w:t>
      </w:r>
      <w:proofErr w:type="spellEnd"/>
      <w:r w:rsidRPr="00D166EA">
        <w:rPr>
          <w:rFonts w:eastAsia="MS Mincho"/>
          <w:szCs w:val="22"/>
        </w:rPr>
        <w:t xml:space="preserve"> tabletės taip pat vartojam</w:t>
      </w:r>
      <w:r>
        <w:rPr>
          <w:rFonts w:eastAsia="MS Mincho"/>
          <w:szCs w:val="22"/>
        </w:rPr>
        <w:t>o</w:t>
      </w:r>
      <w:r w:rsidRPr="00D166EA">
        <w:rPr>
          <w:rFonts w:eastAsia="MS Mincho"/>
          <w:szCs w:val="22"/>
        </w:rPr>
        <w:t>s gydyti vaikus ir paauglius nuo 2 iki &lt;</w:t>
      </w:r>
      <w:r>
        <w:rPr>
          <w:rFonts w:eastAsia="MS Mincho"/>
          <w:szCs w:val="22"/>
        </w:rPr>
        <w:t> </w:t>
      </w:r>
      <w:r w:rsidRPr="00D166EA">
        <w:rPr>
          <w:rFonts w:eastAsia="MS Mincho"/>
          <w:szCs w:val="22"/>
        </w:rPr>
        <w:t>18</w:t>
      </w:r>
      <w:r>
        <w:rPr>
          <w:rFonts w:eastAsia="MS Mincho"/>
          <w:szCs w:val="22"/>
        </w:rPr>
        <w:t> </w:t>
      </w:r>
      <w:r w:rsidRPr="00D166EA">
        <w:rPr>
          <w:rFonts w:eastAsia="MS Mincho"/>
          <w:szCs w:val="22"/>
        </w:rPr>
        <w:t>metų amžiaus n</w:t>
      </w:r>
      <w:r>
        <w:rPr>
          <w:rFonts w:eastAsia="MS Mincho"/>
          <w:szCs w:val="22"/>
        </w:rPr>
        <w:t>u</w:t>
      </w:r>
      <w:r w:rsidRPr="00D166EA">
        <w:rPr>
          <w:rFonts w:eastAsia="MS Mincho"/>
          <w:szCs w:val="22"/>
        </w:rPr>
        <w:t xml:space="preserve">o hepatito B viruso (HBV) lėtinės (ilgalaikės) infekcijos. </w:t>
      </w:r>
      <w:proofErr w:type="spellStart"/>
      <w:r w:rsidRPr="00D166EA">
        <w:rPr>
          <w:szCs w:val="22"/>
        </w:rPr>
        <w:t>Entecavir</w:t>
      </w:r>
      <w:proofErr w:type="spellEnd"/>
      <w:r w:rsidRPr="00D166EA">
        <w:rPr>
          <w:szCs w:val="22"/>
        </w:rPr>
        <w:t xml:space="preserve"> </w:t>
      </w:r>
      <w:proofErr w:type="spellStart"/>
      <w:r w:rsidRPr="00D166EA">
        <w:rPr>
          <w:szCs w:val="22"/>
        </w:rPr>
        <w:t>Sandoz</w:t>
      </w:r>
      <w:proofErr w:type="spellEnd"/>
      <w:r w:rsidRPr="00D166EA">
        <w:rPr>
          <w:b/>
          <w:szCs w:val="22"/>
        </w:rPr>
        <w:t xml:space="preserve"> </w:t>
      </w:r>
      <w:r w:rsidRPr="00D166EA">
        <w:rPr>
          <w:rFonts w:eastAsia="MS Mincho"/>
          <w:szCs w:val="22"/>
        </w:rPr>
        <w:t>galima vartoti tiems vaikams, kurių kepenys pažeistos, bet vis dar veikia gerai (kompensuota kepenų liga).</w:t>
      </w:r>
    </w:p>
    <w:p w:rsidR="00DA2E9E" w:rsidRPr="00D166EA" w:rsidRDefault="00DA2E9E" w:rsidP="00DA2E9E">
      <w:pPr>
        <w:numPr>
          <w:ilvl w:val="12"/>
          <w:numId w:val="0"/>
        </w:numPr>
        <w:rPr>
          <w:rFonts w:eastAsia="MS Mincho"/>
          <w:szCs w:val="22"/>
        </w:rPr>
      </w:pPr>
    </w:p>
    <w:p w:rsidR="00DA2E9E" w:rsidRPr="00D166EA" w:rsidRDefault="00DA2E9E" w:rsidP="00DA2E9E">
      <w:pPr>
        <w:numPr>
          <w:ilvl w:val="12"/>
          <w:numId w:val="0"/>
        </w:numPr>
        <w:rPr>
          <w:szCs w:val="22"/>
        </w:rPr>
      </w:pPr>
      <w:r w:rsidRPr="00D166EA">
        <w:rPr>
          <w:rFonts w:eastAsia="MS Mincho"/>
          <w:szCs w:val="22"/>
        </w:rPr>
        <w:t xml:space="preserve">Hepatito B viruso infekcija gali pažeisti kepenis. </w:t>
      </w:r>
      <w:proofErr w:type="spellStart"/>
      <w:r w:rsidRPr="00D166EA">
        <w:rPr>
          <w:rFonts w:eastAsia="MS Mincho"/>
          <w:szCs w:val="22"/>
        </w:rPr>
        <w:t>Entecavir</w:t>
      </w:r>
      <w:proofErr w:type="spellEnd"/>
      <w:r w:rsidRPr="00D166EA">
        <w:rPr>
          <w:rFonts w:eastAsia="MS Mincho"/>
          <w:szCs w:val="22"/>
        </w:rPr>
        <w:t xml:space="preserve"> </w:t>
      </w:r>
      <w:proofErr w:type="spellStart"/>
      <w:r w:rsidRPr="00D166EA">
        <w:rPr>
          <w:rFonts w:eastAsia="MS Mincho"/>
          <w:szCs w:val="22"/>
        </w:rPr>
        <w:t>Sandoz</w:t>
      </w:r>
      <w:proofErr w:type="spellEnd"/>
      <w:r w:rsidRPr="00D166EA">
        <w:rPr>
          <w:rFonts w:eastAsia="MS Mincho"/>
          <w:szCs w:val="22"/>
        </w:rPr>
        <w:t xml:space="preserve"> mažina virusų kiekį Jūsų organizme ir gerina kepenų būklę.</w:t>
      </w:r>
    </w:p>
    <w:p w:rsidR="00DA2E9E" w:rsidRPr="00D166EA" w:rsidRDefault="00DA2E9E" w:rsidP="00DA2E9E">
      <w:pPr>
        <w:numPr>
          <w:ilvl w:val="12"/>
          <w:numId w:val="0"/>
        </w:numPr>
        <w:rPr>
          <w:szCs w:val="22"/>
        </w:rPr>
      </w:pPr>
    </w:p>
    <w:p w:rsidR="00DA2E9E" w:rsidRPr="00D166EA" w:rsidRDefault="00DA2E9E" w:rsidP="00DA2E9E">
      <w:pPr>
        <w:numPr>
          <w:ilvl w:val="12"/>
          <w:numId w:val="0"/>
        </w:numPr>
        <w:rPr>
          <w:szCs w:val="22"/>
        </w:rPr>
      </w:pPr>
    </w:p>
    <w:p w:rsidR="00DA2E9E" w:rsidRPr="00D166EA" w:rsidRDefault="00DA2E9E" w:rsidP="00DA2E9E">
      <w:pPr>
        <w:rPr>
          <w:b/>
          <w:szCs w:val="22"/>
        </w:rPr>
      </w:pPr>
      <w:r w:rsidRPr="00D166EA">
        <w:rPr>
          <w:b/>
          <w:szCs w:val="22"/>
        </w:rPr>
        <w:t>2.</w:t>
      </w:r>
      <w:r w:rsidRPr="00D166EA">
        <w:rPr>
          <w:b/>
          <w:szCs w:val="22"/>
        </w:rPr>
        <w:tab/>
        <w:t xml:space="preserve">Kas žinotina prieš vartojant </w:t>
      </w:r>
      <w:proofErr w:type="spellStart"/>
      <w:r w:rsidRPr="00D166EA">
        <w:rPr>
          <w:b/>
          <w:szCs w:val="22"/>
        </w:rPr>
        <w:t>Entecavir</w:t>
      </w:r>
      <w:proofErr w:type="spellEnd"/>
      <w:r w:rsidRPr="00D166EA">
        <w:rPr>
          <w:b/>
          <w:szCs w:val="22"/>
        </w:rPr>
        <w:t xml:space="preserve"> </w:t>
      </w:r>
      <w:proofErr w:type="spellStart"/>
      <w:r w:rsidRPr="00D166EA">
        <w:rPr>
          <w:b/>
          <w:szCs w:val="22"/>
        </w:rPr>
        <w:t>Sandoz</w:t>
      </w:r>
      <w:proofErr w:type="spellEnd"/>
      <w:r w:rsidRPr="00D166EA">
        <w:rPr>
          <w:b/>
          <w:szCs w:val="22"/>
        </w:rPr>
        <w:t xml:space="preserve"> </w:t>
      </w:r>
    </w:p>
    <w:p w:rsidR="00DA2E9E" w:rsidRPr="00D166EA" w:rsidRDefault="00DA2E9E" w:rsidP="00DA2E9E">
      <w:pPr>
        <w:numPr>
          <w:ilvl w:val="12"/>
          <w:numId w:val="0"/>
        </w:numPr>
        <w:rPr>
          <w:szCs w:val="22"/>
        </w:rPr>
      </w:pPr>
    </w:p>
    <w:p w:rsidR="00DA2E9E" w:rsidRPr="00B606B7" w:rsidRDefault="00DA2E9E" w:rsidP="00DA2E9E">
      <w:pPr>
        <w:rPr>
          <w:b/>
          <w:szCs w:val="22"/>
        </w:rPr>
      </w:pPr>
      <w:proofErr w:type="spellStart"/>
      <w:r w:rsidRPr="00B606B7">
        <w:rPr>
          <w:b/>
          <w:szCs w:val="22"/>
        </w:rPr>
        <w:t>Entecavir</w:t>
      </w:r>
      <w:proofErr w:type="spellEnd"/>
      <w:r w:rsidRPr="00B606B7">
        <w:rPr>
          <w:b/>
          <w:szCs w:val="22"/>
        </w:rPr>
        <w:t xml:space="preserve"> </w:t>
      </w:r>
      <w:proofErr w:type="spellStart"/>
      <w:r w:rsidRPr="00B606B7">
        <w:rPr>
          <w:b/>
          <w:szCs w:val="22"/>
        </w:rPr>
        <w:t>Sandoz</w:t>
      </w:r>
      <w:proofErr w:type="spellEnd"/>
      <w:r w:rsidRPr="00B606B7">
        <w:rPr>
          <w:b/>
          <w:szCs w:val="22"/>
        </w:rPr>
        <w:t xml:space="preserve"> vartoti </w:t>
      </w:r>
      <w:r>
        <w:rPr>
          <w:b/>
          <w:szCs w:val="22"/>
        </w:rPr>
        <w:t>draudžiama</w:t>
      </w:r>
      <w:r w:rsidRPr="00B606B7">
        <w:rPr>
          <w:b/>
          <w:szCs w:val="22"/>
        </w:rPr>
        <w:t>:</w:t>
      </w:r>
    </w:p>
    <w:p w:rsidR="00DA2E9E" w:rsidRPr="00D166EA" w:rsidRDefault="00DA2E9E" w:rsidP="00DA2E9E">
      <w:pPr>
        <w:pStyle w:val="Sraopastraipa"/>
        <w:widowControl w:val="0"/>
        <w:numPr>
          <w:ilvl w:val="0"/>
          <w:numId w:val="2"/>
        </w:numPr>
        <w:tabs>
          <w:tab w:val="left" w:pos="567"/>
        </w:tabs>
        <w:autoSpaceDE w:val="0"/>
        <w:autoSpaceDN w:val="0"/>
        <w:adjustRightInd w:val="0"/>
        <w:ind w:left="567" w:hanging="567"/>
        <w:rPr>
          <w:rFonts w:eastAsia="MS Mincho"/>
          <w:sz w:val="22"/>
          <w:szCs w:val="22"/>
          <w:lang w:val="lt-LT"/>
        </w:rPr>
      </w:pPr>
      <w:r w:rsidRPr="00D166EA">
        <w:rPr>
          <w:rFonts w:eastAsia="MS Mincho"/>
          <w:sz w:val="22"/>
          <w:szCs w:val="22"/>
          <w:lang w:val="lt-LT"/>
        </w:rPr>
        <w:t xml:space="preserve">jeigu yra </w:t>
      </w:r>
      <w:r w:rsidRPr="00D166EA">
        <w:rPr>
          <w:rFonts w:eastAsia="MS Mincho"/>
          <w:b/>
          <w:sz w:val="22"/>
          <w:szCs w:val="22"/>
          <w:lang w:val="lt-LT"/>
        </w:rPr>
        <w:t>alergija</w:t>
      </w:r>
      <w:r w:rsidRPr="00D166EA">
        <w:rPr>
          <w:rFonts w:eastAsia="MS Mincho"/>
          <w:sz w:val="22"/>
          <w:szCs w:val="22"/>
          <w:lang w:val="lt-LT"/>
        </w:rPr>
        <w:t xml:space="preserve"> </w:t>
      </w:r>
      <w:proofErr w:type="spellStart"/>
      <w:r w:rsidRPr="00D166EA">
        <w:rPr>
          <w:rFonts w:eastAsia="MS Mincho"/>
          <w:sz w:val="22"/>
          <w:szCs w:val="22"/>
          <w:lang w:val="lt-LT"/>
        </w:rPr>
        <w:t>entekavirui</w:t>
      </w:r>
      <w:proofErr w:type="spellEnd"/>
      <w:r w:rsidRPr="00D166EA">
        <w:rPr>
          <w:rFonts w:eastAsia="MS Mincho"/>
          <w:sz w:val="22"/>
          <w:szCs w:val="22"/>
          <w:lang w:val="lt-LT"/>
        </w:rPr>
        <w:t xml:space="preserve"> arba bet kuriai pagalbinei šio vaisto medžiagai (jos išvardytos 6 skyriuje).</w:t>
      </w:r>
    </w:p>
    <w:p w:rsidR="00DA2E9E" w:rsidRPr="00D166EA" w:rsidRDefault="00DA2E9E" w:rsidP="00DA2E9E">
      <w:pPr>
        <w:tabs>
          <w:tab w:val="left" w:pos="1296"/>
        </w:tabs>
        <w:ind w:firstLine="709"/>
        <w:rPr>
          <w:szCs w:val="22"/>
        </w:rPr>
      </w:pPr>
    </w:p>
    <w:p w:rsidR="00DA2E9E" w:rsidRPr="00D166EA" w:rsidRDefault="00DA2E9E" w:rsidP="00DA2E9E">
      <w:pPr>
        <w:rPr>
          <w:b/>
          <w:szCs w:val="22"/>
        </w:rPr>
      </w:pPr>
      <w:r w:rsidRPr="00D166EA">
        <w:rPr>
          <w:b/>
          <w:szCs w:val="22"/>
        </w:rPr>
        <w:t xml:space="preserve">Įspėjimai ir atsargumo priemonės </w:t>
      </w:r>
    </w:p>
    <w:p w:rsidR="00DA2E9E" w:rsidRDefault="00DA2E9E" w:rsidP="00DA2E9E">
      <w:pPr>
        <w:pStyle w:val="Default"/>
        <w:rPr>
          <w:sz w:val="22"/>
          <w:szCs w:val="22"/>
        </w:rPr>
      </w:pPr>
      <w:r>
        <w:rPr>
          <w:sz w:val="22"/>
          <w:szCs w:val="22"/>
        </w:rPr>
        <w:t xml:space="preserve">Pasitarkite su gydytoju arba vaistininku, prieš pradėdami vartoti </w:t>
      </w:r>
      <w:r w:rsidRPr="00D166EA">
        <w:rPr>
          <w:sz w:val="22"/>
          <w:szCs w:val="22"/>
        </w:rPr>
        <w:t>Entecavir Sandoz</w:t>
      </w:r>
      <w:r>
        <w:rPr>
          <w:sz w:val="22"/>
          <w:szCs w:val="22"/>
        </w:rPr>
        <w:t xml:space="preserve">. </w:t>
      </w:r>
    </w:p>
    <w:p w:rsidR="00DA2E9E" w:rsidRDefault="00DA2E9E" w:rsidP="00DA2E9E">
      <w:pPr>
        <w:numPr>
          <w:ilvl w:val="0"/>
          <w:numId w:val="3"/>
        </w:numPr>
        <w:spacing w:before="120"/>
        <w:ind w:left="567" w:hanging="567"/>
      </w:pPr>
      <w:r>
        <w:rPr>
          <w:b/>
          <w:bCs/>
        </w:rPr>
        <w:t>Jeigu Jūs kada nors turėjote problemų dėl savo inkstų</w:t>
      </w:r>
      <w:r>
        <w:t xml:space="preserve">, </w:t>
      </w:r>
      <w:r w:rsidRPr="00D166EA">
        <w:rPr>
          <w:b/>
        </w:rPr>
        <w:t xml:space="preserve">apie tai pasakykite gydytojui. Tai svarbu dėl to, kad </w:t>
      </w:r>
      <w:proofErr w:type="spellStart"/>
      <w:r w:rsidRPr="00D166EA">
        <w:rPr>
          <w:b/>
        </w:rPr>
        <w:t>Entecavir</w:t>
      </w:r>
      <w:proofErr w:type="spellEnd"/>
      <w:r w:rsidRPr="00D166EA">
        <w:rPr>
          <w:b/>
        </w:rPr>
        <w:t xml:space="preserve"> </w:t>
      </w:r>
      <w:proofErr w:type="spellStart"/>
      <w:r w:rsidRPr="00D166EA">
        <w:rPr>
          <w:b/>
        </w:rPr>
        <w:t>Sandoz</w:t>
      </w:r>
      <w:proofErr w:type="spellEnd"/>
      <w:r w:rsidRPr="00D166EA">
        <w:rPr>
          <w:b/>
        </w:rPr>
        <w:t xml:space="preserve"> šalinamas iš organizmo per inkstus (dėl to gali tekti koreguoti šio vaisto dozę arba dozavimo schemą).</w:t>
      </w:r>
    </w:p>
    <w:p w:rsidR="00DA2E9E" w:rsidRDefault="00DA2E9E" w:rsidP="00DA2E9E">
      <w:pPr>
        <w:numPr>
          <w:ilvl w:val="0"/>
          <w:numId w:val="3"/>
        </w:numPr>
        <w:spacing w:before="120"/>
        <w:ind w:left="567" w:hanging="567"/>
      </w:pPr>
      <w:proofErr w:type="spellStart"/>
      <w:r w:rsidRPr="00D166EA">
        <w:rPr>
          <w:b/>
          <w:bCs/>
        </w:rPr>
        <w:lastRenderedPageBreak/>
        <w:t>Entecavir</w:t>
      </w:r>
      <w:proofErr w:type="spellEnd"/>
      <w:r w:rsidRPr="00D166EA">
        <w:rPr>
          <w:b/>
          <w:bCs/>
        </w:rPr>
        <w:t xml:space="preserve"> </w:t>
      </w:r>
      <w:proofErr w:type="spellStart"/>
      <w:r w:rsidRPr="00D166EA">
        <w:rPr>
          <w:b/>
          <w:bCs/>
        </w:rPr>
        <w:t>Sandoz</w:t>
      </w:r>
      <w:proofErr w:type="spellEnd"/>
      <w:r>
        <w:rPr>
          <w:b/>
          <w:bCs/>
        </w:rPr>
        <w:t xml:space="preserve"> vartojimo negalima nutraukti nepasitarus su savo gydytoju</w:t>
      </w:r>
      <w:r>
        <w:t xml:space="preserve">, kadangi gali pablogėti Jūsų kepenų uždegimas. Baigus gydymą </w:t>
      </w:r>
      <w:proofErr w:type="spellStart"/>
      <w:r w:rsidRPr="00D166EA">
        <w:t>Entecavir</w:t>
      </w:r>
      <w:proofErr w:type="spellEnd"/>
      <w:r w:rsidRPr="00D166EA">
        <w:t xml:space="preserve"> </w:t>
      </w:r>
      <w:proofErr w:type="spellStart"/>
      <w:r w:rsidRPr="00D166EA">
        <w:t>Sandoz</w:t>
      </w:r>
      <w:proofErr w:type="spellEnd"/>
      <w:r>
        <w:t xml:space="preserve">, Jūsų gydytojas dar kelis mėnesius toliau Jus stebės ir darys Jūsų kraujo tyrimus. </w:t>
      </w:r>
    </w:p>
    <w:p w:rsidR="00DA2E9E" w:rsidRDefault="00DA2E9E" w:rsidP="00DA2E9E">
      <w:pPr>
        <w:numPr>
          <w:ilvl w:val="0"/>
          <w:numId w:val="3"/>
        </w:numPr>
        <w:spacing w:before="120"/>
        <w:ind w:left="567" w:hanging="567"/>
      </w:pPr>
      <w:r>
        <w:rPr>
          <w:b/>
          <w:bCs/>
        </w:rPr>
        <w:t>Aptarkite su savo gydytoju, ar normaliai veikia Jūsų kepenys</w:t>
      </w:r>
      <w:r>
        <w:t xml:space="preserve">, ir, jeigu ne, tai koks galimas poveikis į Jūsų gydymą </w:t>
      </w:r>
      <w:proofErr w:type="spellStart"/>
      <w:r w:rsidRPr="00C17742">
        <w:t>Entecavir</w:t>
      </w:r>
      <w:proofErr w:type="spellEnd"/>
      <w:r w:rsidRPr="00C17742">
        <w:t xml:space="preserve"> </w:t>
      </w:r>
      <w:proofErr w:type="spellStart"/>
      <w:r w:rsidRPr="00C17742">
        <w:t>Sandoz</w:t>
      </w:r>
      <w:proofErr w:type="spellEnd"/>
      <w:r>
        <w:t xml:space="preserve">. </w:t>
      </w:r>
    </w:p>
    <w:p w:rsidR="00DA2E9E" w:rsidRDefault="00DA2E9E" w:rsidP="00DA2E9E">
      <w:pPr>
        <w:numPr>
          <w:ilvl w:val="0"/>
          <w:numId w:val="3"/>
        </w:numPr>
        <w:spacing w:before="120"/>
        <w:ind w:left="567" w:hanging="567"/>
      </w:pPr>
      <w:r>
        <w:rPr>
          <w:b/>
          <w:bCs/>
        </w:rPr>
        <w:t xml:space="preserve">Jeigu taip pat esate infekuotas (infekuota) ŽIV </w:t>
      </w:r>
      <w:r>
        <w:t xml:space="preserve">(žmogaus imunodeficito virusu), apie tai pasakykite savo gydytojui. </w:t>
      </w:r>
      <w:proofErr w:type="spellStart"/>
      <w:r w:rsidRPr="00C17742">
        <w:t>Entecavir</w:t>
      </w:r>
      <w:proofErr w:type="spellEnd"/>
      <w:r w:rsidRPr="00C17742">
        <w:t xml:space="preserve"> </w:t>
      </w:r>
      <w:proofErr w:type="spellStart"/>
      <w:r w:rsidRPr="00C17742">
        <w:t>Sandoz</w:t>
      </w:r>
      <w:proofErr w:type="spellEnd"/>
      <w:r>
        <w:t xml:space="preserve"> galima vartoti hepatito B infekcijai gydyti tik jeigu kartu vartojama vaistų nuo ŽIV (kitaip ateityje vaistų nuo ŽIV veiksmingumas gali būti mažesnis). </w:t>
      </w:r>
      <w:proofErr w:type="spellStart"/>
      <w:r w:rsidRPr="00D166EA">
        <w:rPr>
          <w:szCs w:val="22"/>
        </w:rPr>
        <w:t>Entecavir</w:t>
      </w:r>
      <w:proofErr w:type="spellEnd"/>
      <w:r w:rsidRPr="00D166EA">
        <w:rPr>
          <w:szCs w:val="22"/>
        </w:rPr>
        <w:t xml:space="preserve"> </w:t>
      </w:r>
      <w:proofErr w:type="spellStart"/>
      <w:r w:rsidRPr="00D166EA">
        <w:rPr>
          <w:szCs w:val="22"/>
        </w:rPr>
        <w:t>Sandoz</w:t>
      </w:r>
      <w:proofErr w:type="spellEnd"/>
      <w:r>
        <w:t xml:space="preserve"> ŽIV infekcijos neveikia. </w:t>
      </w:r>
    </w:p>
    <w:p w:rsidR="00DA2E9E" w:rsidRDefault="00DA2E9E" w:rsidP="00DA2E9E">
      <w:pPr>
        <w:numPr>
          <w:ilvl w:val="0"/>
          <w:numId w:val="3"/>
        </w:numPr>
        <w:spacing w:before="120"/>
        <w:ind w:left="567" w:hanging="567"/>
      </w:pPr>
      <w:proofErr w:type="spellStart"/>
      <w:r w:rsidRPr="001570EE">
        <w:rPr>
          <w:b/>
          <w:bCs/>
        </w:rPr>
        <w:t>Entecavir</w:t>
      </w:r>
      <w:proofErr w:type="spellEnd"/>
      <w:r w:rsidRPr="001570EE">
        <w:rPr>
          <w:b/>
          <w:bCs/>
        </w:rPr>
        <w:t xml:space="preserve"> </w:t>
      </w:r>
      <w:proofErr w:type="spellStart"/>
      <w:r w:rsidRPr="001570EE">
        <w:rPr>
          <w:b/>
          <w:bCs/>
        </w:rPr>
        <w:t>Sandoz</w:t>
      </w:r>
      <w:proofErr w:type="spellEnd"/>
      <w:r>
        <w:rPr>
          <w:b/>
          <w:bCs/>
        </w:rPr>
        <w:t xml:space="preserve"> vartojimas neapsaugo nuo kitų žmonių užkrėtimo hepatito B virusu (HBV) </w:t>
      </w:r>
      <w:r>
        <w:t xml:space="preserve">lytiškai santykiaujant arba per organizmo skysčius (įskaitant užkrėstą kraują). Norint neapkrėsti kitų žmonių HBV, būtinos atsargumo priemonės. Žmonėms, kuriems yra pavojus apsikrėsti HBV, apsaugoti yra sukurta vakcina. </w:t>
      </w:r>
    </w:p>
    <w:p w:rsidR="00DA2E9E" w:rsidRDefault="00DA2E9E" w:rsidP="00DA2E9E">
      <w:pPr>
        <w:numPr>
          <w:ilvl w:val="0"/>
          <w:numId w:val="3"/>
        </w:numPr>
        <w:spacing w:before="120"/>
        <w:ind w:left="567" w:hanging="567"/>
      </w:pPr>
      <w:proofErr w:type="spellStart"/>
      <w:r w:rsidRPr="001570EE">
        <w:rPr>
          <w:b/>
          <w:bCs/>
        </w:rPr>
        <w:t>Entecavir</w:t>
      </w:r>
      <w:proofErr w:type="spellEnd"/>
      <w:r w:rsidRPr="001570EE">
        <w:rPr>
          <w:b/>
          <w:bCs/>
        </w:rPr>
        <w:t xml:space="preserve"> </w:t>
      </w:r>
      <w:proofErr w:type="spellStart"/>
      <w:r w:rsidRPr="001570EE">
        <w:rPr>
          <w:b/>
          <w:bCs/>
        </w:rPr>
        <w:t>Sandoz</w:t>
      </w:r>
      <w:proofErr w:type="spellEnd"/>
      <w:r>
        <w:rPr>
          <w:b/>
          <w:bCs/>
        </w:rPr>
        <w:t xml:space="preserve"> priklauso grupei vaistų, galinčių sukelti pieno rūgšties </w:t>
      </w:r>
      <w:proofErr w:type="spellStart"/>
      <w:r>
        <w:rPr>
          <w:b/>
          <w:bCs/>
        </w:rPr>
        <w:t>acidozę</w:t>
      </w:r>
      <w:proofErr w:type="spellEnd"/>
      <w:r>
        <w:rPr>
          <w:b/>
          <w:bCs/>
        </w:rPr>
        <w:t xml:space="preserve"> </w:t>
      </w:r>
      <w:r>
        <w:t xml:space="preserve">(pieno rūgšties perteklių kraujyje) ir kepenų padidėjimą. Galimi pieno rūgšties </w:t>
      </w:r>
      <w:proofErr w:type="spellStart"/>
      <w:r>
        <w:t>acidozės</w:t>
      </w:r>
      <w:proofErr w:type="spellEnd"/>
      <w:r>
        <w:t xml:space="preserve"> simptomai yra pykinimas, vėmimas ir skrandžio skausmas. Šis retas, tačiau sunkus šalutinis poveikis retkarčiais  yra mirtinas. Pieno rūgšties </w:t>
      </w:r>
      <w:proofErr w:type="spellStart"/>
      <w:r>
        <w:t>acidozė</w:t>
      </w:r>
      <w:proofErr w:type="spellEnd"/>
      <w:r>
        <w:t xml:space="preserve"> dažniau pasireiškia moterims, ypač turinčioms didelį antsvorį. Vartojant </w:t>
      </w:r>
      <w:proofErr w:type="spellStart"/>
      <w:r w:rsidRPr="004C4367">
        <w:rPr>
          <w:b/>
          <w:szCs w:val="22"/>
        </w:rPr>
        <w:t>Entecavir</w:t>
      </w:r>
      <w:proofErr w:type="spellEnd"/>
      <w:r w:rsidRPr="004C4367">
        <w:rPr>
          <w:b/>
          <w:szCs w:val="22"/>
        </w:rPr>
        <w:t xml:space="preserve"> </w:t>
      </w:r>
      <w:proofErr w:type="spellStart"/>
      <w:r w:rsidRPr="004C4367">
        <w:rPr>
          <w:b/>
          <w:szCs w:val="22"/>
        </w:rPr>
        <w:t>Sandoz</w:t>
      </w:r>
      <w:proofErr w:type="spellEnd"/>
      <w:r>
        <w:t xml:space="preserve">, gydytojas reguliariai tikrins Jūsų būklę. </w:t>
      </w:r>
    </w:p>
    <w:p w:rsidR="00DA2E9E" w:rsidRDefault="00DA2E9E" w:rsidP="00DA2E9E">
      <w:pPr>
        <w:numPr>
          <w:ilvl w:val="0"/>
          <w:numId w:val="3"/>
        </w:numPr>
        <w:spacing w:before="120"/>
        <w:ind w:left="567" w:hanging="567"/>
      </w:pPr>
      <w:r>
        <w:rPr>
          <w:b/>
          <w:bCs/>
        </w:rPr>
        <w:t>Jeigu anksčiau vartojote vaistų nuo lėtinio hepatito B</w:t>
      </w:r>
      <w:r>
        <w:t xml:space="preserve">, pasakykite savo gydytojui. </w:t>
      </w:r>
    </w:p>
    <w:p w:rsidR="00DA2E9E" w:rsidRDefault="00DA2E9E" w:rsidP="00DA2E9E">
      <w:pPr>
        <w:rPr>
          <w:b/>
          <w:bCs/>
        </w:rPr>
      </w:pPr>
    </w:p>
    <w:p w:rsidR="00DA2E9E" w:rsidRDefault="00DA2E9E" w:rsidP="00DA2E9E">
      <w:r>
        <w:rPr>
          <w:b/>
          <w:bCs/>
        </w:rPr>
        <w:t xml:space="preserve">Vaikams ir paaugliams </w:t>
      </w:r>
    </w:p>
    <w:p w:rsidR="00DA2E9E" w:rsidRDefault="00DA2E9E" w:rsidP="00DA2E9E">
      <w:pPr>
        <w:rPr>
          <w:rFonts w:eastAsia="MS Mincho"/>
        </w:rPr>
      </w:pPr>
      <w:proofErr w:type="spellStart"/>
      <w:r w:rsidRPr="00D166EA">
        <w:rPr>
          <w:szCs w:val="22"/>
        </w:rPr>
        <w:t>Entecavir</w:t>
      </w:r>
      <w:proofErr w:type="spellEnd"/>
      <w:r w:rsidRPr="00D166EA">
        <w:rPr>
          <w:szCs w:val="22"/>
        </w:rPr>
        <w:t xml:space="preserve"> </w:t>
      </w:r>
      <w:proofErr w:type="spellStart"/>
      <w:r w:rsidRPr="00D166EA">
        <w:rPr>
          <w:szCs w:val="22"/>
        </w:rPr>
        <w:t>Sandoz</w:t>
      </w:r>
      <w:proofErr w:type="spellEnd"/>
      <w:r>
        <w:t xml:space="preserve"> negalima vartoti vaikams, kurie yra jaunesni kaip 2 metų amžiaus arba sveria mažiau kaip 10 kg.</w:t>
      </w:r>
    </w:p>
    <w:p w:rsidR="00DA2E9E" w:rsidRPr="00D166EA" w:rsidRDefault="00DA2E9E" w:rsidP="00DA2E9E">
      <w:pPr>
        <w:numPr>
          <w:ilvl w:val="12"/>
          <w:numId w:val="0"/>
        </w:numPr>
        <w:tabs>
          <w:tab w:val="left" w:pos="1296"/>
        </w:tabs>
        <w:rPr>
          <w:b/>
          <w:bCs/>
          <w:szCs w:val="22"/>
        </w:rPr>
      </w:pPr>
    </w:p>
    <w:p w:rsidR="00DA2E9E" w:rsidRPr="00D166EA" w:rsidRDefault="00DA2E9E" w:rsidP="00DA2E9E">
      <w:pPr>
        <w:rPr>
          <w:b/>
          <w:szCs w:val="22"/>
        </w:rPr>
      </w:pPr>
      <w:r w:rsidRPr="00D166EA">
        <w:rPr>
          <w:b/>
          <w:szCs w:val="22"/>
        </w:rPr>
        <w:t xml:space="preserve">Kiti vaistai ir </w:t>
      </w:r>
      <w:proofErr w:type="spellStart"/>
      <w:r w:rsidRPr="00D166EA">
        <w:rPr>
          <w:b/>
          <w:szCs w:val="22"/>
        </w:rPr>
        <w:t>Entecavir</w:t>
      </w:r>
      <w:proofErr w:type="spellEnd"/>
      <w:r w:rsidRPr="00D166EA">
        <w:rPr>
          <w:b/>
          <w:szCs w:val="22"/>
        </w:rPr>
        <w:t xml:space="preserve"> </w:t>
      </w:r>
      <w:proofErr w:type="spellStart"/>
      <w:r w:rsidRPr="00D166EA">
        <w:rPr>
          <w:b/>
          <w:szCs w:val="22"/>
        </w:rPr>
        <w:t>Sandoz</w:t>
      </w:r>
      <w:proofErr w:type="spellEnd"/>
    </w:p>
    <w:p w:rsidR="00DA2E9E" w:rsidRPr="00D166EA" w:rsidRDefault="00DA2E9E" w:rsidP="00DA2E9E">
      <w:pPr>
        <w:widowControl w:val="0"/>
        <w:autoSpaceDE w:val="0"/>
        <w:autoSpaceDN w:val="0"/>
        <w:adjustRightInd w:val="0"/>
        <w:rPr>
          <w:rFonts w:eastAsia="MS Mincho"/>
          <w:szCs w:val="22"/>
        </w:rPr>
      </w:pPr>
      <w:r w:rsidRPr="00D166EA">
        <w:rPr>
          <w:rFonts w:eastAsia="MS Mincho"/>
          <w:szCs w:val="22"/>
        </w:rPr>
        <w:t>Jeigu vartojate ar neseniai vartojote kitų vaistų arba dėl to nesate tikri, apie tai pasakykite gydytojui arba vaistininkui.</w:t>
      </w:r>
    </w:p>
    <w:p w:rsidR="00DA2E9E" w:rsidRPr="00D166EA" w:rsidRDefault="00DA2E9E" w:rsidP="00DA2E9E">
      <w:pPr>
        <w:widowControl w:val="0"/>
        <w:autoSpaceDE w:val="0"/>
        <w:autoSpaceDN w:val="0"/>
        <w:adjustRightInd w:val="0"/>
        <w:rPr>
          <w:rFonts w:eastAsia="MS Mincho"/>
          <w:szCs w:val="22"/>
        </w:rPr>
      </w:pPr>
    </w:p>
    <w:p w:rsidR="00DA2E9E" w:rsidRPr="00D166EA" w:rsidRDefault="00DA2E9E" w:rsidP="00DA2E9E">
      <w:pPr>
        <w:rPr>
          <w:b/>
          <w:szCs w:val="22"/>
        </w:rPr>
      </w:pPr>
      <w:proofErr w:type="spellStart"/>
      <w:r w:rsidRPr="00D166EA">
        <w:rPr>
          <w:b/>
          <w:szCs w:val="22"/>
        </w:rPr>
        <w:t>Entecavir</w:t>
      </w:r>
      <w:proofErr w:type="spellEnd"/>
      <w:r w:rsidRPr="00D166EA">
        <w:rPr>
          <w:b/>
          <w:szCs w:val="22"/>
        </w:rPr>
        <w:t xml:space="preserve"> </w:t>
      </w:r>
      <w:proofErr w:type="spellStart"/>
      <w:r w:rsidRPr="00D166EA">
        <w:rPr>
          <w:b/>
          <w:szCs w:val="22"/>
        </w:rPr>
        <w:t>Sandoz</w:t>
      </w:r>
      <w:proofErr w:type="spellEnd"/>
      <w:r w:rsidRPr="00D166EA">
        <w:rPr>
          <w:b/>
          <w:szCs w:val="22"/>
        </w:rPr>
        <w:t xml:space="preserve"> vartojimas su maistu ir gėrimais</w:t>
      </w:r>
    </w:p>
    <w:p w:rsidR="00DA2E9E" w:rsidRPr="00594CC0" w:rsidRDefault="00DA2E9E" w:rsidP="00DA2E9E">
      <w:pPr>
        <w:numPr>
          <w:ilvl w:val="12"/>
          <w:numId w:val="0"/>
        </w:numPr>
        <w:tabs>
          <w:tab w:val="left" w:pos="1296"/>
        </w:tabs>
        <w:rPr>
          <w:rFonts w:eastAsia="MS Mincho"/>
          <w:szCs w:val="22"/>
        </w:rPr>
      </w:pPr>
      <w:r w:rsidRPr="00594CC0">
        <w:rPr>
          <w:rFonts w:eastAsia="MS Mincho"/>
          <w:szCs w:val="22"/>
        </w:rPr>
        <w:t>Daugum</w:t>
      </w:r>
      <w:r>
        <w:rPr>
          <w:rFonts w:eastAsia="MS Mincho"/>
          <w:szCs w:val="22"/>
        </w:rPr>
        <w:t>oje atvejų</w:t>
      </w:r>
      <w:r w:rsidRPr="00594CC0">
        <w:rPr>
          <w:rFonts w:eastAsia="MS Mincho"/>
          <w:szCs w:val="22"/>
        </w:rPr>
        <w:t xml:space="preserve"> </w:t>
      </w:r>
      <w:proofErr w:type="spellStart"/>
      <w:r w:rsidRPr="00594CC0">
        <w:rPr>
          <w:szCs w:val="22"/>
        </w:rPr>
        <w:t>Entecavir</w:t>
      </w:r>
      <w:proofErr w:type="spellEnd"/>
      <w:r w:rsidRPr="00594CC0">
        <w:rPr>
          <w:szCs w:val="22"/>
        </w:rPr>
        <w:t xml:space="preserve"> </w:t>
      </w:r>
      <w:proofErr w:type="spellStart"/>
      <w:r w:rsidRPr="00594CC0">
        <w:rPr>
          <w:szCs w:val="22"/>
        </w:rPr>
        <w:t>Sandoz</w:t>
      </w:r>
      <w:proofErr w:type="spellEnd"/>
      <w:r w:rsidRPr="00594CC0">
        <w:rPr>
          <w:rFonts w:eastAsia="MS Mincho"/>
          <w:szCs w:val="22"/>
        </w:rPr>
        <w:t xml:space="preserve"> galima vartoti valgant arba kitu laiku. Vis dėlto jei</w:t>
      </w:r>
      <w:r>
        <w:rPr>
          <w:rFonts w:eastAsia="MS Mincho"/>
          <w:szCs w:val="22"/>
        </w:rPr>
        <w:t>gu</w:t>
      </w:r>
      <w:r w:rsidRPr="00594CC0">
        <w:rPr>
          <w:rFonts w:eastAsia="MS Mincho"/>
          <w:szCs w:val="22"/>
        </w:rPr>
        <w:t xml:space="preserve"> anksčiau vartojote vaist</w:t>
      </w:r>
      <w:r>
        <w:rPr>
          <w:rFonts w:eastAsia="MS Mincho"/>
          <w:szCs w:val="22"/>
        </w:rPr>
        <w:t>o</w:t>
      </w:r>
      <w:r w:rsidRPr="00594CC0">
        <w:rPr>
          <w:rFonts w:eastAsia="MS Mincho"/>
          <w:szCs w:val="22"/>
        </w:rPr>
        <w:t xml:space="preserve">, kurio veiklioji medžiaga yra </w:t>
      </w:r>
      <w:proofErr w:type="spellStart"/>
      <w:r w:rsidRPr="00594CC0">
        <w:rPr>
          <w:rFonts w:eastAsia="MS Mincho"/>
          <w:szCs w:val="22"/>
        </w:rPr>
        <w:t>lamivudinas</w:t>
      </w:r>
      <w:proofErr w:type="spellEnd"/>
      <w:r w:rsidRPr="00594CC0">
        <w:rPr>
          <w:rFonts w:eastAsia="MS Mincho"/>
          <w:szCs w:val="22"/>
        </w:rPr>
        <w:t xml:space="preserve">, </w:t>
      </w:r>
      <w:r>
        <w:rPr>
          <w:rFonts w:eastAsia="MS Mincho"/>
          <w:szCs w:val="22"/>
        </w:rPr>
        <w:t xml:space="preserve">turite </w:t>
      </w:r>
      <w:r w:rsidRPr="00594CC0">
        <w:rPr>
          <w:rFonts w:eastAsia="MS Mincho"/>
          <w:szCs w:val="22"/>
        </w:rPr>
        <w:t>atsižvelkite į toliau pateik</w:t>
      </w:r>
      <w:r>
        <w:rPr>
          <w:rFonts w:eastAsia="MS Mincho"/>
          <w:szCs w:val="22"/>
        </w:rPr>
        <w:t>tus</w:t>
      </w:r>
      <w:r w:rsidRPr="00594CC0">
        <w:rPr>
          <w:rFonts w:eastAsia="MS Mincho"/>
          <w:szCs w:val="22"/>
        </w:rPr>
        <w:t xml:space="preserve"> nurodymus. Jeigu gydymas </w:t>
      </w:r>
      <w:proofErr w:type="spellStart"/>
      <w:r w:rsidRPr="00594CC0">
        <w:rPr>
          <w:rFonts w:eastAsia="MS Mincho"/>
          <w:szCs w:val="22"/>
        </w:rPr>
        <w:t>lamivudinu</w:t>
      </w:r>
      <w:proofErr w:type="spellEnd"/>
      <w:r w:rsidRPr="00594CC0">
        <w:rPr>
          <w:rFonts w:eastAsia="MS Mincho"/>
          <w:szCs w:val="22"/>
        </w:rPr>
        <w:t xml:space="preserve"> buvo neveiksmingas, todėl vietoje jo pradėjote vartoti </w:t>
      </w:r>
      <w:proofErr w:type="spellStart"/>
      <w:r w:rsidRPr="00594CC0">
        <w:rPr>
          <w:rFonts w:eastAsia="MS Mincho"/>
          <w:szCs w:val="22"/>
        </w:rPr>
        <w:t>Entecavir</w:t>
      </w:r>
      <w:proofErr w:type="spellEnd"/>
      <w:r w:rsidRPr="00594CC0">
        <w:rPr>
          <w:rFonts w:eastAsia="MS Mincho"/>
          <w:szCs w:val="22"/>
        </w:rPr>
        <w:t xml:space="preserve"> </w:t>
      </w:r>
      <w:proofErr w:type="spellStart"/>
      <w:r w:rsidRPr="00594CC0">
        <w:rPr>
          <w:rFonts w:eastAsia="MS Mincho"/>
          <w:szCs w:val="22"/>
        </w:rPr>
        <w:t>Sandoz</w:t>
      </w:r>
      <w:proofErr w:type="spellEnd"/>
      <w:r w:rsidRPr="00594CC0">
        <w:rPr>
          <w:rFonts w:eastAsia="MS Mincho"/>
          <w:szCs w:val="22"/>
        </w:rPr>
        <w:t xml:space="preserve">, tai </w:t>
      </w:r>
      <w:r>
        <w:rPr>
          <w:rFonts w:eastAsia="MS Mincho"/>
          <w:szCs w:val="22"/>
        </w:rPr>
        <w:t>šio vaisto</w:t>
      </w:r>
      <w:r w:rsidRPr="00594CC0">
        <w:rPr>
          <w:rFonts w:eastAsia="MS Mincho"/>
          <w:szCs w:val="22"/>
        </w:rPr>
        <w:t xml:space="preserve"> gerkite 1</w:t>
      </w:r>
      <w:r>
        <w:rPr>
          <w:rFonts w:eastAsia="MS Mincho"/>
          <w:szCs w:val="22"/>
        </w:rPr>
        <w:t> </w:t>
      </w:r>
      <w:r w:rsidRPr="00594CC0">
        <w:rPr>
          <w:rFonts w:eastAsia="MS Mincho"/>
          <w:szCs w:val="22"/>
        </w:rPr>
        <w:t xml:space="preserve">kartą per parą, kai skrandis tuščias. Jeigu Jūsų kepenų liga yra labai progresavusi, gydytojas taip pat nurodys gerti </w:t>
      </w:r>
      <w:proofErr w:type="spellStart"/>
      <w:r w:rsidRPr="00594CC0">
        <w:rPr>
          <w:rFonts w:eastAsia="MS Mincho"/>
          <w:szCs w:val="22"/>
        </w:rPr>
        <w:t>Entecavir</w:t>
      </w:r>
      <w:proofErr w:type="spellEnd"/>
      <w:r w:rsidRPr="00594CC0">
        <w:rPr>
          <w:rFonts w:eastAsia="MS Mincho"/>
          <w:szCs w:val="22"/>
        </w:rPr>
        <w:t xml:space="preserve"> </w:t>
      </w:r>
      <w:proofErr w:type="spellStart"/>
      <w:r w:rsidRPr="00594CC0">
        <w:rPr>
          <w:rFonts w:eastAsia="MS Mincho"/>
          <w:szCs w:val="22"/>
        </w:rPr>
        <w:t>Sandoz</w:t>
      </w:r>
      <w:proofErr w:type="spellEnd"/>
      <w:r w:rsidRPr="00594CC0">
        <w:rPr>
          <w:rFonts w:eastAsia="MS Mincho"/>
          <w:szCs w:val="22"/>
        </w:rPr>
        <w:t>, kai skrandis tuščias (</w:t>
      </w:r>
      <w:proofErr w:type="spellStart"/>
      <w:r w:rsidRPr="00594CC0">
        <w:rPr>
          <w:rFonts w:eastAsia="MS Mincho"/>
          <w:szCs w:val="22"/>
        </w:rPr>
        <w:t>t.y</w:t>
      </w:r>
      <w:proofErr w:type="spellEnd"/>
      <w:r w:rsidRPr="00594CC0">
        <w:rPr>
          <w:rFonts w:eastAsia="MS Mincho"/>
          <w:szCs w:val="22"/>
        </w:rPr>
        <w:t>. praėjus ne mažiau 2</w:t>
      </w:r>
      <w:r>
        <w:rPr>
          <w:rFonts w:eastAsia="MS Mincho"/>
          <w:szCs w:val="22"/>
        </w:rPr>
        <w:t> </w:t>
      </w:r>
      <w:r w:rsidRPr="00594CC0">
        <w:rPr>
          <w:rFonts w:eastAsia="MS Mincho"/>
          <w:szCs w:val="22"/>
        </w:rPr>
        <w:t xml:space="preserve">val. po valgio ir likus </w:t>
      </w:r>
      <w:r>
        <w:rPr>
          <w:rFonts w:eastAsia="MS Mincho"/>
          <w:szCs w:val="22"/>
        </w:rPr>
        <w:t>bent</w:t>
      </w:r>
      <w:r w:rsidRPr="00594CC0">
        <w:rPr>
          <w:rFonts w:eastAsia="MS Mincho"/>
          <w:szCs w:val="22"/>
        </w:rPr>
        <w:t xml:space="preserve"> 2</w:t>
      </w:r>
      <w:r>
        <w:rPr>
          <w:rFonts w:eastAsia="MS Mincho"/>
          <w:szCs w:val="22"/>
        </w:rPr>
        <w:t> </w:t>
      </w:r>
      <w:r w:rsidRPr="00594CC0">
        <w:rPr>
          <w:rFonts w:eastAsia="MS Mincho"/>
          <w:szCs w:val="22"/>
        </w:rPr>
        <w:t>val</w:t>
      </w:r>
      <w:r>
        <w:rPr>
          <w:rFonts w:eastAsia="MS Mincho"/>
          <w:szCs w:val="22"/>
        </w:rPr>
        <w:t>andoms</w:t>
      </w:r>
      <w:r w:rsidRPr="00594CC0">
        <w:rPr>
          <w:rFonts w:eastAsia="MS Mincho"/>
          <w:szCs w:val="22"/>
        </w:rPr>
        <w:t xml:space="preserve"> iki kito valgio).</w:t>
      </w:r>
    </w:p>
    <w:p w:rsidR="00DA2E9E" w:rsidRPr="00594CC0" w:rsidRDefault="00DA2E9E" w:rsidP="00DA2E9E">
      <w:pPr>
        <w:numPr>
          <w:ilvl w:val="12"/>
          <w:numId w:val="0"/>
        </w:numPr>
        <w:tabs>
          <w:tab w:val="left" w:pos="1296"/>
        </w:tabs>
        <w:rPr>
          <w:rFonts w:eastAsia="MS Mincho"/>
          <w:color w:val="00B050"/>
          <w:szCs w:val="22"/>
        </w:rPr>
      </w:pPr>
      <w:r w:rsidRPr="005E5ABD">
        <w:rPr>
          <w:rFonts w:eastAsia="MS Mincho"/>
          <w:color w:val="00B050"/>
          <w:szCs w:val="22"/>
        </w:rPr>
        <w:t>[0,5 mg plėvele dengtos tabletės]</w:t>
      </w:r>
    </w:p>
    <w:p w:rsidR="00DA2E9E" w:rsidRDefault="00DA2E9E" w:rsidP="00DA2E9E">
      <w:pPr>
        <w:numPr>
          <w:ilvl w:val="12"/>
          <w:numId w:val="0"/>
        </w:numPr>
        <w:tabs>
          <w:tab w:val="left" w:pos="1296"/>
        </w:tabs>
        <w:rPr>
          <w:rFonts w:eastAsia="MS Mincho"/>
          <w:szCs w:val="22"/>
        </w:rPr>
      </w:pPr>
      <w:r w:rsidRPr="00F61565">
        <w:rPr>
          <w:rFonts w:eastAsia="MS Mincho"/>
          <w:szCs w:val="22"/>
          <w:highlight w:val="lightGray"/>
        </w:rPr>
        <w:t>Vaikai ir paaugliai nuo 2 iki mažiau negu 18</w:t>
      </w:r>
      <w:r>
        <w:rPr>
          <w:rFonts w:eastAsia="MS Mincho"/>
          <w:szCs w:val="22"/>
          <w:highlight w:val="lightGray"/>
        </w:rPr>
        <w:t> </w:t>
      </w:r>
      <w:r w:rsidRPr="00F61565">
        <w:rPr>
          <w:rFonts w:eastAsia="MS Mincho"/>
          <w:szCs w:val="22"/>
          <w:highlight w:val="lightGray"/>
        </w:rPr>
        <w:t xml:space="preserve">metų amžiaus gali vartoti </w:t>
      </w:r>
      <w:proofErr w:type="spellStart"/>
      <w:r w:rsidRPr="00F61565">
        <w:rPr>
          <w:rFonts w:eastAsia="MS Mincho"/>
          <w:szCs w:val="22"/>
          <w:highlight w:val="lightGray"/>
        </w:rPr>
        <w:t>Entecavir</w:t>
      </w:r>
      <w:proofErr w:type="spellEnd"/>
      <w:r w:rsidRPr="00F61565">
        <w:rPr>
          <w:rFonts w:eastAsia="MS Mincho"/>
          <w:szCs w:val="22"/>
          <w:highlight w:val="lightGray"/>
        </w:rPr>
        <w:t xml:space="preserve"> </w:t>
      </w:r>
      <w:proofErr w:type="spellStart"/>
      <w:r w:rsidRPr="00F61565">
        <w:rPr>
          <w:rFonts w:eastAsia="MS Mincho"/>
          <w:szCs w:val="22"/>
          <w:highlight w:val="lightGray"/>
        </w:rPr>
        <w:t>Sandoz</w:t>
      </w:r>
      <w:proofErr w:type="spellEnd"/>
      <w:r w:rsidRPr="00F61565">
        <w:rPr>
          <w:rFonts w:eastAsia="MS Mincho"/>
          <w:szCs w:val="22"/>
          <w:highlight w:val="lightGray"/>
        </w:rPr>
        <w:t xml:space="preserve"> valgant arba kitu laiku.</w:t>
      </w:r>
    </w:p>
    <w:p w:rsidR="00DA2E9E" w:rsidRDefault="00DA2E9E" w:rsidP="00DA2E9E">
      <w:pPr>
        <w:numPr>
          <w:ilvl w:val="12"/>
          <w:numId w:val="0"/>
        </w:numPr>
        <w:tabs>
          <w:tab w:val="left" w:pos="1296"/>
        </w:tabs>
        <w:rPr>
          <w:rFonts w:eastAsia="MS Mincho"/>
          <w:szCs w:val="22"/>
        </w:rPr>
      </w:pPr>
    </w:p>
    <w:p w:rsidR="00DA2E9E" w:rsidRPr="00F61565" w:rsidRDefault="00DA2E9E" w:rsidP="00DA2E9E">
      <w:pPr>
        <w:numPr>
          <w:ilvl w:val="12"/>
          <w:numId w:val="0"/>
        </w:numPr>
        <w:tabs>
          <w:tab w:val="left" w:pos="1296"/>
        </w:tabs>
        <w:rPr>
          <w:rFonts w:eastAsia="MS Mincho"/>
          <w:b/>
          <w:szCs w:val="22"/>
        </w:rPr>
      </w:pPr>
      <w:r w:rsidRPr="00F61565">
        <w:rPr>
          <w:rFonts w:eastAsia="MS Mincho"/>
          <w:b/>
          <w:szCs w:val="22"/>
        </w:rPr>
        <w:t>Nėštumas, žindymo laikotarpis ir vaisingumas</w:t>
      </w:r>
    </w:p>
    <w:p w:rsidR="00DA2E9E" w:rsidRPr="00594CC0" w:rsidRDefault="00DA2E9E" w:rsidP="00DA2E9E">
      <w:pPr>
        <w:numPr>
          <w:ilvl w:val="12"/>
          <w:numId w:val="0"/>
        </w:numPr>
        <w:tabs>
          <w:tab w:val="left" w:pos="1296"/>
        </w:tabs>
        <w:rPr>
          <w:rFonts w:eastAsia="MS Mincho"/>
          <w:szCs w:val="22"/>
        </w:rPr>
      </w:pPr>
      <w:r w:rsidRPr="00B34FA1">
        <w:rPr>
          <w:noProof/>
          <w:szCs w:val="24"/>
        </w:rPr>
        <w:t xml:space="preserve">Jeigu esate nėščia, </w:t>
      </w:r>
      <w:r>
        <w:rPr>
          <w:noProof/>
          <w:szCs w:val="24"/>
        </w:rPr>
        <w:t xml:space="preserve">žindote kūdikį, </w:t>
      </w:r>
      <w:r w:rsidRPr="00B34FA1">
        <w:rPr>
          <w:noProof/>
          <w:szCs w:val="24"/>
        </w:rPr>
        <w:t>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 su gydytoju</w:t>
      </w:r>
      <w:r>
        <w:rPr>
          <w:noProof/>
          <w:szCs w:val="24"/>
        </w:rPr>
        <w:t xml:space="preserve"> </w:t>
      </w:r>
      <w:r w:rsidRPr="00B34FA1">
        <w:rPr>
          <w:noProof/>
          <w:szCs w:val="24"/>
        </w:rPr>
        <w:t>arba</w:t>
      </w:r>
      <w:r>
        <w:rPr>
          <w:noProof/>
          <w:szCs w:val="24"/>
        </w:rPr>
        <w:t xml:space="preserve"> </w:t>
      </w:r>
      <w:r w:rsidRPr="00B34FA1">
        <w:rPr>
          <w:noProof/>
          <w:szCs w:val="24"/>
        </w:rPr>
        <w:t>vaistininku</w:t>
      </w:r>
      <w:r w:rsidRPr="00594CC0">
        <w:rPr>
          <w:rFonts w:eastAsia="MS Mincho"/>
          <w:szCs w:val="22"/>
        </w:rPr>
        <w:t xml:space="preserve">. </w:t>
      </w:r>
      <w:r>
        <w:rPr>
          <w:rFonts w:eastAsia="MS Mincho"/>
          <w:szCs w:val="22"/>
        </w:rPr>
        <w:t xml:space="preserve">Neįrodyta, kad </w:t>
      </w:r>
      <w:proofErr w:type="spellStart"/>
      <w:r>
        <w:rPr>
          <w:rFonts w:eastAsia="MS Mincho"/>
          <w:szCs w:val="22"/>
        </w:rPr>
        <w:t>entekaviro</w:t>
      </w:r>
      <w:proofErr w:type="spellEnd"/>
      <w:r w:rsidRPr="00594CC0">
        <w:rPr>
          <w:rFonts w:eastAsia="MS Mincho"/>
          <w:szCs w:val="22"/>
        </w:rPr>
        <w:t xml:space="preserve"> saugu vartoti nėštumo laikotarpiu. </w:t>
      </w:r>
      <w:proofErr w:type="spellStart"/>
      <w:r w:rsidRPr="00F61565">
        <w:rPr>
          <w:rFonts w:eastAsia="MS Mincho"/>
          <w:szCs w:val="22"/>
        </w:rPr>
        <w:t>Entecavir</w:t>
      </w:r>
      <w:proofErr w:type="spellEnd"/>
      <w:r w:rsidRPr="00F61565">
        <w:rPr>
          <w:rFonts w:eastAsia="MS Mincho"/>
          <w:szCs w:val="22"/>
        </w:rPr>
        <w:t xml:space="preserve"> </w:t>
      </w:r>
      <w:proofErr w:type="spellStart"/>
      <w:r w:rsidRPr="00F61565">
        <w:rPr>
          <w:rFonts w:eastAsia="MS Mincho"/>
          <w:szCs w:val="22"/>
        </w:rPr>
        <w:t>Sandoz</w:t>
      </w:r>
      <w:proofErr w:type="spellEnd"/>
      <w:r w:rsidRPr="00594CC0">
        <w:rPr>
          <w:rFonts w:eastAsia="MS Mincho"/>
          <w:szCs w:val="22"/>
        </w:rPr>
        <w:t xml:space="preserve"> nėštumo metu vartoti negalima, išskyrus atvejus, kai tai specialiai nurod</w:t>
      </w:r>
      <w:r>
        <w:rPr>
          <w:rFonts w:eastAsia="MS Mincho"/>
          <w:szCs w:val="22"/>
        </w:rPr>
        <w:t xml:space="preserve">yta Jūsų </w:t>
      </w:r>
      <w:r w:rsidRPr="00594CC0">
        <w:rPr>
          <w:rFonts w:eastAsia="MS Mincho"/>
          <w:szCs w:val="22"/>
        </w:rPr>
        <w:t>gydytoj</w:t>
      </w:r>
      <w:r>
        <w:rPr>
          <w:rFonts w:eastAsia="MS Mincho"/>
          <w:szCs w:val="22"/>
        </w:rPr>
        <w:t>o</w:t>
      </w:r>
      <w:r w:rsidRPr="00594CC0">
        <w:rPr>
          <w:rFonts w:eastAsia="MS Mincho"/>
          <w:szCs w:val="22"/>
        </w:rPr>
        <w:t xml:space="preserve">. Svarbu, kad gydymo </w:t>
      </w:r>
      <w:proofErr w:type="spellStart"/>
      <w:r w:rsidRPr="00F61565">
        <w:rPr>
          <w:rFonts w:eastAsia="MS Mincho"/>
          <w:szCs w:val="22"/>
        </w:rPr>
        <w:t>Entecavir</w:t>
      </w:r>
      <w:proofErr w:type="spellEnd"/>
      <w:r w:rsidRPr="00F61565">
        <w:rPr>
          <w:rFonts w:eastAsia="MS Mincho"/>
          <w:szCs w:val="22"/>
        </w:rPr>
        <w:t xml:space="preserve"> </w:t>
      </w:r>
      <w:proofErr w:type="spellStart"/>
      <w:r w:rsidRPr="00F61565">
        <w:rPr>
          <w:rFonts w:eastAsia="MS Mincho"/>
          <w:szCs w:val="22"/>
        </w:rPr>
        <w:t>Sandoz</w:t>
      </w:r>
      <w:proofErr w:type="spellEnd"/>
      <w:r w:rsidRPr="00594CC0">
        <w:rPr>
          <w:rFonts w:eastAsia="MS Mincho"/>
          <w:szCs w:val="22"/>
        </w:rPr>
        <w:t xml:space="preserve"> metu vaisingo amžiaus moterys naudotų veiksmingą kontracepcijos metodą nėštumui išvengti.</w:t>
      </w:r>
    </w:p>
    <w:p w:rsidR="00DA2E9E" w:rsidRDefault="00DA2E9E" w:rsidP="00DA2E9E">
      <w:pPr>
        <w:numPr>
          <w:ilvl w:val="12"/>
          <w:numId w:val="0"/>
        </w:numPr>
        <w:tabs>
          <w:tab w:val="left" w:pos="1296"/>
        </w:tabs>
        <w:rPr>
          <w:rFonts w:eastAsia="MS Mincho"/>
          <w:szCs w:val="22"/>
        </w:rPr>
      </w:pPr>
    </w:p>
    <w:p w:rsidR="00DA2E9E" w:rsidRPr="00594CC0" w:rsidRDefault="00DA2E9E" w:rsidP="00DA2E9E">
      <w:pPr>
        <w:numPr>
          <w:ilvl w:val="12"/>
          <w:numId w:val="0"/>
        </w:numPr>
        <w:tabs>
          <w:tab w:val="left" w:pos="1296"/>
        </w:tabs>
        <w:rPr>
          <w:rFonts w:eastAsia="MS Mincho"/>
          <w:szCs w:val="22"/>
        </w:rPr>
      </w:pPr>
      <w:r>
        <w:rPr>
          <w:rFonts w:eastAsia="MS Mincho"/>
          <w:szCs w:val="22"/>
        </w:rPr>
        <w:t>Gydymo</w:t>
      </w:r>
      <w:r w:rsidRPr="00594CC0">
        <w:rPr>
          <w:rFonts w:eastAsia="MS Mincho"/>
          <w:szCs w:val="22"/>
        </w:rPr>
        <w:t xml:space="preserve"> </w:t>
      </w:r>
      <w:proofErr w:type="spellStart"/>
      <w:r w:rsidRPr="00F61565">
        <w:rPr>
          <w:rFonts w:eastAsia="MS Mincho"/>
          <w:szCs w:val="22"/>
        </w:rPr>
        <w:t>Entecavir</w:t>
      </w:r>
      <w:proofErr w:type="spellEnd"/>
      <w:r w:rsidRPr="00F61565">
        <w:rPr>
          <w:rFonts w:eastAsia="MS Mincho"/>
          <w:szCs w:val="22"/>
        </w:rPr>
        <w:t xml:space="preserve"> </w:t>
      </w:r>
      <w:proofErr w:type="spellStart"/>
      <w:r w:rsidRPr="00F61565">
        <w:rPr>
          <w:rFonts w:eastAsia="MS Mincho"/>
          <w:szCs w:val="22"/>
        </w:rPr>
        <w:t>Sandoz</w:t>
      </w:r>
      <w:proofErr w:type="spellEnd"/>
      <w:r>
        <w:rPr>
          <w:rFonts w:eastAsia="MS Mincho"/>
          <w:szCs w:val="22"/>
        </w:rPr>
        <w:t xml:space="preserve"> metu</w:t>
      </w:r>
      <w:r w:rsidRPr="00594CC0">
        <w:rPr>
          <w:rFonts w:eastAsia="MS Mincho"/>
          <w:szCs w:val="22"/>
        </w:rPr>
        <w:t xml:space="preserve"> </w:t>
      </w:r>
      <w:r>
        <w:rPr>
          <w:rFonts w:eastAsia="MS Mincho"/>
          <w:szCs w:val="22"/>
        </w:rPr>
        <w:t>turite nežindyti.</w:t>
      </w:r>
      <w:r w:rsidRPr="00594CC0">
        <w:rPr>
          <w:rFonts w:eastAsia="MS Mincho"/>
          <w:szCs w:val="22"/>
        </w:rPr>
        <w:t xml:space="preserve"> Jeigu </w:t>
      </w:r>
      <w:r>
        <w:rPr>
          <w:rFonts w:eastAsia="MS Mincho"/>
          <w:szCs w:val="22"/>
        </w:rPr>
        <w:t>esate žindyvė</w:t>
      </w:r>
      <w:r w:rsidRPr="00594CC0">
        <w:rPr>
          <w:rFonts w:eastAsia="MS Mincho"/>
          <w:szCs w:val="22"/>
        </w:rPr>
        <w:t xml:space="preserve">, pasakykite </w:t>
      </w:r>
      <w:r>
        <w:rPr>
          <w:rFonts w:eastAsia="MS Mincho"/>
          <w:szCs w:val="22"/>
        </w:rPr>
        <w:t xml:space="preserve">savo </w:t>
      </w:r>
      <w:r w:rsidRPr="00594CC0">
        <w:rPr>
          <w:rFonts w:eastAsia="MS Mincho"/>
          <w:szCs w:val="22"/>
        </w:rPr>
        <w:t xml:space="preserve">gydytojui. Ar </w:t>
      </w:r>
      <w:proofErr w:type="spellStart"/>
      <w:r w:rsidRPr="00594CC0">
        <w:rPr>
          <w:rFonts w:eastAsia="MS Mincho"/>
          <w:szCs w:val="22"/>
        </w:rPr>
        <w:t>entekaviro</w:t>
      </w:r>
      <w:proofErr w:type="spellEnd"/>
      <w:r w:rsidRPr="00594CC0">
        <w:rPr>
          <w:rFonts w:eastAsia="MS Mincho"/>
          <w:szCs w:val="22"/>
        </w:rPr>
        <w:t xml:space="preserve"> (</w:t>
      </w:r>
      <w:proofErr w:type="spellStart"/>
      <w:r w:rsidRPr="00F61565">
        <w:rPr>
          <w:rFonts w:eastAsia="MS Mincho"/>
          <w:szCs w:val="22"/>
        </w:rPr>
        <w:t>Entecavir</w:t>
      </w:r>
      <w:proofErr w:type="spellEnd"/>
      <w:r w:rsidRPr="00F61565">
        <w:rPr>
          <w:rFonts w:eastAsia="MS Mincho"/>
          <w:szCs w:val="22"/>
        </w:rPr>
        <w:t xml:space="preserve"> </w:t>
      </w:r>
      <w:proofErr w:type="spellStart"/>
      <w:r w:rsidRPr="00F61565">
        <w:rPr>
          <w:rFonts w:eastAsia="MS Mincho"/>
          <w:szCs w:val="22"/>
        </w:rPr>
        <w:t>Sandoz</w:t>
      </w:r>
      <w:proofErr w:type="spellEnd"/>
      <w:r w:rsidRPr="00594CC0">
        <w:rPr>
          <w:rFonts w:eastAsia="MS Mincho"/>
          <w:szCs w:val="22"/>
        </w:rPr>
        <w:t xml:space="preserve"> veikliosios medžiagos) išskiriama su </w:t>
      </w:r>
      <w:r>
        <w:rPr>
          <w:rFonts w:eastAsia="MS Mincho"/>
          <w:szCs w:val="22"/>
        </w:rPr>
        <w:t>moters</w:t>
      </w:r>
      <w:r w:rsidRPr="00594CC0">
        <w:rPr>
          <w:rFonts w:eastAsia="MS Mincho"/>
          <w:szCs w:val="22"/>
        </w:rPr>
        <w:t xml:space="preserve"> pienu, nežinoma.</w:t>
      </w:r>
    </w:p>
    <w:p w:rsidR="00DA2E9E" w:rsidRDefault="00DA2E9E" w:rsidP="00DA2E9E">
      <w:pPr>
        <w:numPr>
          <w:ilvl w:val="12"/>
          <w:numId w:val="0"/>
        </w:numPr>
        <w:tabs>
          <w:tab w:val="left" w:pos="1296"/>
        </w:tabs>
        <w:rPr>
          <w:rFonts w:eastAsia="MS Mincho"/>
          <w:szCs w:val="22"/>
        </w:rPr>
      </w:pPr>
    </w:p>
    <w:p w:rsidR="00DA2E9E" w:rsidRPr="00F61565" w:rsidRDefault="00DA2E9E" w:rsidP="00DA2E9E">
      <w:pPr>
        <w:numPr>
          <w:ilvl w:val="12"/>
          <w:numId w:val="0"/>
        </w:numPr>
        <w:tabs>
          <w:tab w:val="left" w:pos="1296"/>
        </w:tabs>
        <w:rPr>
          <w:rFonts w:eastAsia="MS Mincho"/>
          <w:b/>
          <w:szCs w:val="22"/>
        </w:rPr>
      </w:pPr>
      <w:r w:rsidRPr="00F61565">
        <w:rPr>
          <w:rFonts w:eastAsia="MS Mincho"/>
          <w:b/>
          <w:szCs w:val="22"/>
        </w:rPr>
        <w:t>Vairavimas ir mechanizmų valdymas</w:t>
      </w:r>
    </w:p>
    <w:p w:rsidR="00DA2E9E" w:rsidRPr="00594CC0" w:rsidRDefault="00DA2E9E" w:rsidP="00DA2E9E">
      <w:pPr>
        <w:numPr>
          <w:ilvl w:val="12"/>
          <w:numId w:val="0"/>
        </w:numPr>
        <w:tabs>
          <w:tab w:val="left" w:pos="1296"/>
        </w:tabs>
        <w:rPr>
          <w:rFonts w:eastAsia="MS Mincho"/>
          <w:szCs w:val="22"/>
        </w:rPr>
      </w:pPr>
      <w:r>
        <w:rPr>
          <w:rFonts w:eastAsia="MS Mincho"/>
          <w:szCs w:val="22"/>
        </w:rPr>
        <w:lastRenderedPageBreak/>
        <w:t>S</w:t>
      </w:r>
      <w:r w:rsidRPr="00594CC0">
        <w:rPr>
          <w:rFonts w:eastAsia="MS Mincho"/>
          <w:szCs w:val="22"/>
        </w:rPr>
        <w:t>vaig</w:t>
      </w:r>
      <w:r>
        <w:rPr>
          <w:rFonts w:eastAsia="MS Mincho"/>
          <w:szCs w:val="22"/>
        </w:rPr>
        <w:t>ulys</w:t>
      </w:r>
      <w:r w:rsidRPr="00594CC0">
        <w:rPr>
          <w:rFonts w:eastAsia="MS Mincho"/>
          <w:szCs w:val="22"/>
        </w:rPr>
        <w:t xml:space="preserve">, nuovargis ir mieguistumas </w:t>
      </w:r>
      <w:r>
        <w:rPr>
          <w:rFonts w:eastAsia="MS Mincho"/>
          <w:szCs w:val="22"/>
        </w:rPr>
        <w:t>(apsnūdimas) yra dažnas šalutinis poveikis, kuris gali pabloginti Jūsų</w:t>
      </w:r>
      <w:r w:rsidRPr="00594CC0">
        <w:rPr>
          <w:rFonts w:eastAsia="MS Mincho"/>
          <w:szCs w:val="22"/>
        </w:rPr>
        <w:t xml:space="preserve"> gebėjim</w:t>
      </w:r>
      <w:r>
        <w:rPr>
          <w:rFonts w:eastAsia="MS Mincho"/>
          <w:szCs w:val="22"/>
        </w:rPr>
        <w:t>ą</w:t>
      </w:r>
      <w:r w:rsidRPr="00594CC0">
        <w:rPr>
          <w:rFonts w:eastAsia="MS Mincho"/>
          <w:szCs w:val="22"/>
        </w:rPr>
        <w:t xml:space="preserve"> vairuoti ir valdyti mechanizmus. Kilus </w:t>
      </w:r>
      <w:r>
        <w:rPr>
          <w:rFonts w:eastAsia="MS Mincho"/>
          <w:szCs w:val="22"/>
        </w:rPr>
        <w:t xml:space="preserve">bet kokių </w:t>
      </w:r>
      <w:r w:rsidRPr="00594CC0">
        <w:rPr>
          <w:rFonts w:eastAsia="MS Mincho"/>
          <w:szCs w:val="22"/>
        </w:rPr>
        <w:t xml:space="preserve">abejonių, pasikonsultuokite su </w:t>
      </w:r>
      <w:r>
        <w:rPr>
          <w:rFonts w:eastAsia="MS Mincho"/>
          <w:szCs w:val="22"/>
        </w:rPr>
        <w:t xml:space="preserve">savo </w:t>
      </w:r>
      <w:r w:rsidRPr="00594CC0">
        <w:rPr>
          <w:rFonts w:eastAsia="MS Mincho"/>
          <w:szCs w:val="22"/>
        </w:rPr>
        <w:t>gydytoju.</w:t>
      </w:r>
    </w:p>
    <w:p w:rsidR="00DA2E9E" w:rsidRDefault="00DA2E9E" w:rsidP="00DA2E9E">
      <w:pPr>
        <w:numPr>
          <w:ilvl w:val="12"/>
          <w:numId w:val="0"/>
        </w:numPr>
        <w:tabs>
          <w:tab w:val="left" w:pos="1296"/>
        </w:tabs>
        <w:rPr>
          <w:rFonts w:eastAsia="MS Mincho"/>
          <w:szCs w:val="22"/>
        </w:rPr>
      </w:pPr>
    </w:p>
    <w:p w:rsidR="00DA2E9E" w:rsidRPr="00F61565" w:rsidRDefault="00DA2E9E" w:rsidP="00DA2E9E">
      <w:pPr>
        <w:numPr>
          <w:ilvl w:val="12"/>
          <w:numId w:val="0"/>
        </w:numPr>
        <w:tabs>
          <w:tab w:val="left" w:pos="1296"/>
        </w:tabs>
        <w:rPr>
          <w:rFonts w:eastAsia="MS Mincho"/>
          <w:b/>
          <w:szCs w:val="22"/>
        </w:rPr>
      </w:pPr>
      <w:proofErr w:type="spellStart"/>
      <w:r w:rsidRPr="00F61565">
        <w:rPr>
          <w:rFonts w:eastAsia="MS Mincho"/>
          <w:b/>
          <w:szCs w:val="22"/>
        </w:rPr>
        <w:t>Entecavir</w:t>
      </w:r>
      <w:proofErr w:type="spellEnd"/>
      <w:r w:rsidRPr="00F61565">
        <w:rPr>
          <w:rFonts w:eastAsia="MS Mincho"/>
          <w:b/>
          <w:szCs w:val="22"/>
        </w:rPr>
        <w:t xml:space="preserve"> </w:t>
      </w:r>
      <w:proofErr w:type="spellStart"/>
      <w:r w:rsidRPr="00F61565">
        <w:rPr>
          <w:rFonts w:eastAsia="MS Mincho"/>
          <w:b/>
          <w:szCs w:val="22"/>
        </w:rPr>
        <w:t>Sandoz</w:t>
      </w:r>
      <w:proofErr w:type="spellEnd"/>
      <w:r w:rsidRPr="00F61565">
        <w:rPr>
          <w:rFonts w:eastAsia="MS Mincho"/>
          <w:b/>
          <w:szCs w:val="22"/>
        </w:rPr>
        <w:t xml:space="preserve"> sudėtyje yra laktozės</w:t>
      </w:r>
    </w:p>
    <w:p w:rsidR="00DA2E9E" w:rsidRPr="00D166EA" w:rsidRDefault="00DA2E9E" w:rsidP="00DA2E9E">
      <w:pPr>
        <w:numPr>
          <w:ilvl w:val="12"/>
          <w:numId w:val="0"/>
        </w:numPr>
        <w:tabs>
          <w:tab w:val="left" w:pos="1296"/>
        </w:tabs>
        <w:rPr>
          <w:szCs w:val="22"/>
        </w:rPr>
      </w:pPr>
      <w:r w:rsidRPr="001A4AD2">
        <w:rPr>
          <w:rFonts w:eastAsia="MS Mincho"/>
          <w:szCs w:val="22"/>
        </w:rPr>
        <w:t>Šio vaisto sudėtyje yra laktozės.</w:t>
      </w:r>
      <w:r w:rsidRPr="00594CC0">
        <w:rPr>
          <w:rFonts w:eastAsia="MS Mincho"/>
          <w:szCs w:val="22"/>
        </w:rPr>
        <w:t xml:space="preserve"> Jeigu gydytojas Jums yra sakęs, kad netoleruojate kokių nors angliavandenių, kreipkitės į jį prieš pradėdami vartoti šį vaistą.</w:t>
      </w:r>
    </w:p>
    <w:p w:rsidR="00DA2E9E" w:rsidRDefault="00DA2E9E" w:rsidP="00DA2E9E">
      <w:pPr>
        <w:rPr>
          <w:b/>
          <w:szCs w:val="22"/>
        </w:rPr>
      </w:pPr>
    </w:p>
    <w:p w:rsidR="00DA2E9E" w:rsidRPr="00D166EA" w:rsidRDefault="00DA2E9E" w:rsidP="00DA2E9E">
      <w:pPr>
        <w:numPr>
          <w:ilvl w:val="12"/>
          <w:numId w:val="0"/>
        </w:numPr>
        <w:rPr>
          <w:szCs w:val="22"/>
        </w:rPr>
      </w:pPr>
    </w:p>
    <w:p w:rsidR="00DA2E9E" w:rsidRPr="00D166EA" w:rsidRDefault="00DA2E9E" w:rsidP="00DA2E9E">
      <w:pPr>
        <w:pStyle w:val="Antrat3"/>
        <w:spacing w:before="0" w:after="0"/>
        <w:rPr>
          <w:rFonts w:ascii="Times New Roman" w:hAnsi="Times New Roman"/>
          <w:sz w:val="22"/>
          <w:szCs w:val="22"/>
        </w:rPr>
      </w:pPr>
      <w:r w:rsidRPr="00D166EA">
        <w:rPr>
          <w:rFonts w:ascii="Times New Roman" w:hAnsi="Times New Roman"/>
          <w:sz w:val="22"/>
          <w:szCs w:val="22"/>
        </w:rPr>
        <w:t>3.</w:t>
      </w:r>
      <w:r w:rsidRPr="00D166EA">
        <w:rPr>
          <w:rFonts w:ascii="Times New Roman" w:hAnsi="Times New Roman"/>
          <w:sz w:val="22"/>
          <w:szCs w:val="22"/>
        </w:rPr>
        <w:tab/>
        <w:t xml:space="preserve">Kaip vartoti </w:t>
      </w:r>
      <w:proofErr w:type="spellStart"/>
      <w:r w:rsidRPr="00D166EA">
        <w:rPr>
          <w:rFonts w:ascii="Times New Roman" w:hAnsi="Times New Roman"/>
          <w:sz w:val="22"/>
          <w:szCs w:val="22"/>
        </w:rPr>
        <w:t>Entecavir</w:t>
      </w:r>
      <w:proofErr w:type="spellEnd"/>
      <w:r w:rsidRPr="00D166EA">
        <w:rPr>
          <w:rFonts w:ascii="Times New Roman" w:hAnsi="Times New Roman"/>
          <w:sz w:val="22"/>
          <w:szCs w:val="22"/>
        </w:rPr>
        <w:t xml:space="preserve"> </w:t>
      </w:r>
      <w:proofErr w:type="spellStart"/>
      <w:r w:rsidRPr="00D166EA">
        <w:rPr>
          <w:rFonts w:ascii="Times New Roman" w:hAnsi="Times New Roman"/>
          <w:sz w:val="22"/>
          <w:szCs w:val="22"/>
        </w:rPr>
        <w:t>Sandoz</w:t>
      </w:r>
      <w:proofErr w:type="spellEnd"/>
    </w:p>
    <w:p w:rsidR="00DA2E9E" w:rsidRPr="00D166EA" w:rsidRDefault="00DA2E9E" w:rsidP="00DA2E9E">
      <w:pPr>
        <w:numPr>
          <w:ilvl w:val="12"/>
          <w:numId w:val="0"/>
        </w:numPr>
        <w:rPr>
          <w:szCs w:val="22"/>
        </w:rPr>
      </w:pPr>
    </w:p>
    <w:p w:rsidR="00DA2E9E" w:rsidRDefault="00DA2E9E" w:rsidP="00DA2E9E">
      <w:pPr>
        <w:pStyle w:val="Default"/>
        <w:rPr>
          <w:sz w:val="22"/>
          <w:szCs w:val="22"/>
        </w:rPr>
      </w:pPr>
      <w:r>
        <w:rPr>
          <w:b/>
          <w:bCs/>
          <w:sz w:val="22"/>
          <w:szCs w:val="22"/>
        </w:rPr>
        <w:t xml:space="preserve">Ne visiems pacientams reikia vartoti vienodą </w:t>
      </w:r>
      <w:r w:rsidRPr="0058746D">
        <w:rPr>
          <w:b/>
          <w:bCs/>
          <w:sz w:val="22"/>
          <w:szCs w:val="22"/>
        </w:rPr>
        <w:t>Entecavir Sandoz</w:t>
      </w:r>
      <w:r>
        <w:rPr>
          <w:b/>
          <w:bCs/>
          <w:sz w:val="22"/>
          <w:szCs w:val="22"/>
        </w:rPr>
        <w:t xml:space="preserve"> dozę. </w:t>
      </w:r>
    </w:p>
    <w:p w:rsidR="00DA2E9E" w:rsidRPr="0058746D" w:rsidRDefault="00DA2E9E" w:rsidP="00DA2E9E">
      <w:pPr>
        <w:widowControl w:val="0"/>
        <w:autoSpaceDE w:val="0"/>
        <w:autoSpaceDN w:val="0"/>
        <w:adjustRightInd w:val="0"/>
        <w:rPr>
          <w:rFonts w:eastAsia="MS Mincho"/>
          <w:szCs w:val="22"/>
          <w:lang w:val="sl-SI"/>
        </w:rPr>
      </w:pPr>
    </w:p>
    <w:p w:rsidR="00DA2E9E" w:rsidRPr="00D166EA" w:rsidRDefault="00DA2E9E" w:rsidP="00DA2E9E">
      <w:pPr>
        <w:widowControl w:val="0"/>
        <w:autoSpaceDE w:val="0"/>
        <w:autoSpaceDN w:val="0"/>
        <w:adjustRightInd w:val="0"/>
        <w:rPr>
          <w:rFonts w:eastAsia="MS Mincho"/>
          <w:szCs w:val="22"/>
        </w:rPr>
      </w:pPr>
      <w:r w:rsidRPr="00D166EA">
        <w:rPr>
          <w:rFonts w:eastAsia="MS Mincho"/>
          <w:szCs w:val="22"/>
        </w:rPr>
        <w:t xml:space="preserve">Visada vartokite šį vaistą tiksliai kaip nurodė gydytojas. Jeigu abejojate, kreipkitės į </w:t>
      </w:r>
      <w:r>
        <w:rPr>
          <w:rFonts w:eastAsia="MS Mincho"/>
          <w:szCs w:val="22"/>
        </w:rPr>
        <w:t xml:space="preserve">savo </w:t>
      </w:r>
      <w:r w:rsidRPr="00D166EA">
        <w:rPr>
          <w:rFonts w:eastAsia="MS Mincho"/>
          <w:szCs w:val="22"/>
        </w:rPr>
        <w:t>gydytoją arba vaistininką.</w:t>
      </w:r>
    </w:p>
    <w:p w:rsidR="00DA2E9E" w:rsidRDefault="00DA2E9E" w:rsidP="00DA2E9E">
      <w:pPr>
        <w:pStyle w:val="Default"/>
        <w:rPr>
          <w:b/>
          <w:bCs/>
          <w:color w:val="auto"/>
          <w:sz w:val="22"/>
          <w:szCs w:val="22"/>
        </w:rPr>
      </w:pPr>
    </w:p>
    <w:p w:rsidR="00DA2E9E" w:rsidRDefault="00DA2E9E" w:rsidP="00DA2E9E">
      <w:pPr>
        <w:pStyle w:val="Default"/>
        <w:rPr>
          <w:color w:val="auto"/>
          <w:sz w:val="22"/>
          <w:szCs w:val="22"/>
        </w:rPr>
      </w:pPr>
      <w:r>
        <w:rPr>
          <w:b/>
          <w:bCs/>
          <w:color w:val="auto"/>
          <w:sz w:val="22"/>
          <w:szCs w:val="22"/>
        </w:rPr>
        <w:t xml:space="preserve">Suaugusiesiems </w:t>
      </w:r>
      <w:r>
        <w:rPr>
          <w:color w:val="auto"/>
          <w:sz w:val="22"/>
          <w:szCs w:val="22"/>
        </w:rPr>
        <w:t>rekomenduojama dozė yra 0,5 mg arba 1 mg 1 kartą per parą. Ją reikia gerti (suvartoti per burną).</w:t>
      </w:r>
    </w:p>
    <w:p w:rsidR="00DA2E9E" w:rsidRDefault="00DA2E9E" w:rsidP="00DA2E9E">
      <w:pPr>
        <w:pStyle w:val="Default"/>
        <w:rPr>
          <w:b/>
          <w:bCs/>
          <w:color w:val="auto"/>
          <w:sz w:val="22"/>
          <w:szCs w:val="22"/>
        </w:rPr>
      </w:pPr>
    </w:p>
    <w:p w:rsidR="00DA2E9E" w:rsidRDefault="00DA2E9E" w:rsidP="00DA2E9E">
      <w:pPr>
        <w:pStyle w:val="Default"/>
        <w:rPr>
          <w:color w:val="auto"/>
          <w:sz w:val="22"/>
          <w:szCs w:val="22"/>
        </w:rPr>
      </w:pPr>
      <w:r>
        <w:rPr>
          <w:b/>
          <w:bCs/>
          <w:color w:val="auto"/>
          <w:sz w:val="22"/>
          <w:szCs w:val="22"/>
        </w:rPr>
        <w:t xml:space="preserve">Jūsų dozė priklauso nuo: </w:t>
      </w:r>
    </w:p>
    <w:p w:rsidR="00DA2E9E" w:rsidRDefault="00DA2E9E" w:rsidP="00DA2E9E">
      <w:pPr>
        <w:pStyle w:val="Default"/>
        <w:numPr>
          <w:ilvl w:val="0"/>
          <w:numId w:val="4"/>
        </w:numPr>
        <w:rPr>
          <w:color w:val="auto"/>
          <w:sz w:val="22"/>
          <w:szCs w:val="22"/>
        </w:rPr>
      </w:pPr>
      <w:r>
        <w:rPr>
          <w:color w:val="auto"/>
          <w:sz w:val="22"/>
          <w:szCs w:val="22"/>
        </w:rPr>
        <w:t xml:space="preserve"> to, ar anksčiau vartojote vaistų nuo HBV infekcijos ir, jei taip, tai kokių; </w:t>
      </w:r>
    </w:p>
    <w:p w:rsidR="00DA2E9E" w:rsidRDefault="00DA2E9E" w:rsidP="00DA2E9E">
      <w:pPr>
        <w:pStyle w:val="Default"/>
        <w:numPr>
          <w:ilvl w:val="0"/>
          <w:numId w:val="4"/>
        </w:numPr>
        <w:rPr>
          <w:color w:val="auto"/>
          <w:sz w:val="22"/>
          <w:szCs w:val="22"/>
        </w:rPr>
      </w:pPr>
      <w:r>
        <w:rPr>
          <w:color w:val="auto"/>
          <w:sz w:val="22"/>
          <w:szCs w:val="22"/>
        </w:rPr>
        <w:t xml:space="preserve"> to, ar Jums yra problemų dėl savo inkstų. Jūsų gydytojas gali skirti mažesnę dozę arba nurodyti gerti šio vaisto rečiau kaip kartą per parą; </w:t>
      </w:r>
    </w:p>
    <w:p w:rsidR="00DA2E9E" w:rsidRDefault="00DA2E9E" w:rsidP="00DA2E9E">
      <w:pPr>
        <w:pStyle w:val="Default"/>
        <w:numPr>
          <w:ilvl w:val="0"/>
          <w:numId w:val="4"/>
        </w:numPr>
        <w:rPr>
          <w:color w:val="auto"/>
          <w:sz w:val="22"/>
          <w:szCs w:val="22"/>
        </w:rPr>
      </w:pPr>
      <w:r>
        <w:rPr>
          <w:color w:val="auto"/>
          <w:sz w:val="22"/>
          <w:szCs w:val="22"/>
        </w:rPr>
        <w:t xml:space="preserve">Jūsų kepenų būklės. </w:t>
      </w:r>
    </w:p>
    <w:p w:rsidR="00DA2E9E" w:rsidRDefault="00DA2E9E" w:rsidP="00DA2E9E">
      <w:pPr>
        <w:pStyle w:val="Default"/>
        <w:rPr>
          <w:color w:val="auto"/>
          <w:sz w:val="22"/>
          <w:szCs w:val="22"/>
        </w:rPr>
      </w:pPr>
    </w:p>
    <w:p w:rsidR="00DA2E9E" w:rsidRPr="00594CC0" w:rsidRDefault="00DA2E9E" w:rsidP="00DA2E9E">
      <w:pPr>
        <w:numPr>
          <w:ilvl w:val="12"/>
          <w:numId w:val="0"/>
        </w:numPr>
        <w:tabs>
          <w:tab w:val="left" w:pos="1296"/>
        </w:tabs>
        <w:rPr>
          <w:rFonts w:eastAsia="MS Mincho"/>
          <w:color w:val="00B050"/>
          <w:szCs w:val="22"/>
        </w:rPr>
      </w:pPr>
      <w:r w:rsidRPr="00594CC0">
        <w:rPr>
          <w:rFonts w:eastAsia="MS Mincho"/>
          <w:color w:val="00B050"/>
          <w:szCs w:val="22"/>
        </w:rPr>
        <w:t>[0,5</w:t>
      </w:r>
      <w:r>
        <w:rPr>
          <w:rFonts w:eastAsia="MS Mincho"/>
          <w:color w:val="00B050"/>
          <w:szCs w:val="22"/>
        </w:rPr>
        <w:t> </w:t>
      </w:r>
      <w:r w:rsidRPr="00594CC0">
        <w:rPr>
          <w:rFonts w:eastAsia="MS Mincho"/>
          <w:color w:val="00B050"/>
          <w:szCs w:val="22"/>
        </w:rPr>
        <w:t>mg plėvele dengtos tabletės]</w:t>
      </w:r>
    </w:p>
    <w:p w:rsidR="00DA2E9E" w:rsidRDefault="00DA2E9E" w:rsidP="00DA2E9E">
      <w:pPr>
        <w:numPr>
          <w:ilvl w:val="12"/>
          <w:numId w:val="0"/>
        </w:numPr>
        <w:tabs>
          <w:tab w:val="left" w:pos="1296"/>
        </w:tabs>
        <w:rPr>
          <w:rFonts w:eastAsia="MS Mincho"/>
          <w:szCs w:val="22"/>
          <w:highlight w:val="lightGray"/>
        </w:rPr>
      </w:pPr>
      <w:r w:rsidRPr="00AA571D">
        <w:rPr>
          <w:rFonts w:eastAsia="MS Mincho"/>
          <w:b/>
          <w:szCs w:val="22"/>
          <w:highlight w:val="lightGray"/>
        </w:rPr>
        <w:t>Vaikams ir paaugliams</w:t>
      </w:r>
      <w:r w:rsidRPr="00F61565">
        <w:rPr>
          <w:rFonts w:eastAsia="MS Mincho"/>
          <w:szCs w:val="22"/>
          <w:highlight w:val="lightGray"/>
        </w:rPr>
        <w:t xml:space="preserve"> </w:t>
      </w:r>
      <w:r>
        <w:rPr>
          <w:rFonts w:eastAsia="MS Mincho"/>
          <w:szCs w:val="22"/>
          <w:highlight w:val="lightGray"/>
        </w:rPr>
        <w:t>(</w:t>
      </w:r>
      <w:r w:rsidRPr="00F61565">
        <w:rPr>
          <w:rFonts w:eastAsia="MS Mincho"/>
          <w:szCs w:val="22"/>
          <w:highlight w:val="lightGray"/>
        </w:rPr>
        <w:t>nuo 2 iki mažiau negu 18</w:t>
      </w:r>
      <w:r>
        <w:rPr>
          <w:rFonts w:eastAsia="MS Mincho"/>
          <w:szCs w:val="22"/>
          <w:highlight w:val="lightGray"/>
        </w:rPr>
        <w:t> </w:t>
      </w:r>
      <w:r w:rsidRPr="00F61565">
        <w:rPr>
          <w:rFonts w:eastAsia="MS Mincho"/>
          <w:szCs w:val="22"/>
          <w:highlight w:val="lightGray"/>
        </w:rPr>
        <w:t>metų amžiaus</w:t>
      </w:r>
      <w:r>
        <w:rPr>
          <w:rFonts w:eastAsia="MS Mincho"/>
          <w:szCs w:val="22"/>
          <w:highlight w:val="lightGray"/>
        </w:rPr>
        <w:t xml:space="preserve">), Jūsų vaiko gydytojas nuspręs, kokia tiksli dozė, remiantis Jūsų vaiko svoriu. Ne mažiau kaip 32,6 kg sveriantys vaikai gali vartoti 0,5 mg tabletę ar </w:t>
      </w:r>
      <w:proofErr w:type="spellStart"/>
      <w:r>
        <w:rPr>
          <w:rFonts w:eastAsia="MS Mincho"/>
          <w:szCs w:val="22"/>
          <w:highlight w:val="lightGray"/>
        </w:rPr>
        <w:t>entekaviro</w:t>
      </w:r>
      <w:proofErr w:type="spellEnd"/>
      <w:r>
        <w:rPr>
          <w:rFonts w:eastAsia="MS Mincho"/>
          <w:szCs w:val="22"/>
          <w:highlight w:val="lightGray"/>
        </w:rPr>
        <w:t xml:space="preserve"> geriamojo tirpalo, jeigu jis yra tiekiamas. Pacientams, kurių svoris nuo 10 kg iki 32,5 kg, rekomenduojamas </w:t>
      </w:r>
      <w:proofErr w:type="spellStart"/>
      <w:r>
        <w:rPr>
          <w:rFonts w:eastAsia="MS Mincho"/>
          <w:szCs w:val="22"/>
          <w:highlight w:val="lightGray"/>
        </w:rPr>
        <w:t>entekaviro</w:t>
      </w:r>
      <w:proofErr w:type="spellEnd"/>
      <w:r>
        <w:rPr>
          <w:rFonts w:eastAsia="MS Mincho"/>
          <w:szCs w:val="22"/>
          <w:highlight w:val="lightGray"/>
        </w:rPr>
        <w:t xml:space="preserve"> geriamasis tirpalas</w:t>
      </w:r>
      <w:r w:rsidRPr="00F61565">
        <w:rPr>
          <w:rFonts w:eastAsia="MS Mincho"/>
          <w:szCs w:val="22"/>
          <w:highlight w:val="lightGray"/>
        </w:rPr>
        <w:t>.</w:t>
      </w:r>
      <w:r>
        <w:rPr>
          <w:rFonts w:eastAsia="MS Mincho"/>
          <w:szCs w:val="22"/>
          <w:highlight w:val="lightGray"/>
        </w:rPr>
        <w:t xml:space="preserve"> Visos dozės geriamos (vartojamos per burną) kartą per parą. Jaunesniems negu 2 metų amžiaus arba sveriantiems mažiau negu 10 kg </w:t>
      </w:r>
      <w:proofErr w:type="spellStart"/>
      <w:r>
        <w:rPr>
          <w:rFonts w:eastAsia="MS Mincho"/>
          <w:szCs w:val="22"/>
          <w:highlight w:val="lightGray"/>
        </w:rPr>
        <w:t>entekaviro</w:t>
      </w:r>
      <w:proofErr w:type="spellEnd"/>
      <w:r>
        <w:rPr>
          <w:rFonts w:eastAsia="MS Mincho"/>
          <w:szCs w:val="22"/>
          <w:highlight w:val="lightGray"/>
        </w:rPr>
        <w:t xml:space="preserve"> dozavimo rekomendacijų nėra. Jūsų vaiko gydytojas, remiantis Jūsų vaiko svoriu, nuspręs, kokia tiksli dozė Jūsų vaikui.</w:t>
      </w:r>
    </w:p>
    <w:p w:rsidR="00DA2E9E" w:rsidRDefault="00DA2E9E" w:rsidP="00DA2E9E">
      <w:pPr>
        <w:numPr>
          <w:ilvl w:val="12"/>
          <w:numId w:val="0"/>
        </w:numPr>
        <w:tabs>
          <w:tab w:val="left" w:pos="1296"/>
        </w:tabs>
        <w:rPr>
          <w:rFonts w:eastAsia="MS Mincho"/>
          <w:szCs w:val="22"/>
          <w:highlight w:val="lightGray"/>
        </w:rPr>
      </w:pPr>
    </w:p>
    <w:p w:rsidR="00DA2E9E" w:rsidRPr="00594CC0" w:rsidRDefault="00DA2E9E" w:rsidP="00DA2E9E">
      <w:pPr>
        <w:numPr>
          <w:ilvl w:val="12"/>
          <w:numId w:val="0"/>
        </w:numPr>
        <w:tabs>
          <w:tab w:val="left" w:pos="1296"/>
        </w:tabs>
        <w:rPr>
          <w:rFonts w:eastAsia="MS Mincho"/>
          <w:color w:val="00B050"/>
          <w:szCs w:val="22"/>
        </w:rPr>
      </w:pPr>
      <w:r w:rsidRPr="00594CC0">
        <w:rPr>
          <w:rFonts w:eastAsia="MS Mincho"/>
          <w:color w:val="00B050"/>
          <w:szCs w:val="22"/>
        </w:rPr>
        <w:t>[</w:t>
      </w:r>
      <w:r>
        <w:rPr>
          <w:rFonts w:eastAsia="MS Mincho"/>
          <w:color w:val="00B050"/>
          <w:szCs w:val="22"/>
        </w:rPr>
        <w:t>1 </w:t>
      </w:r>
      <w:r w:rsidRPr="00594CC0">
        <w:rPr>
          <w:rFonts w:eastAsia="MS Mincho"/>
          <w:color w:val="00B050"/>
          <w:szCs w:val="22"/>
        </w:rPr>
        <w:t>mg plėvele dengtos tabletės]</w:t>
      </w:r>
      <w:r>
        <w:rPr>
          <w:rFonts w:eastAsia="MS Mincho"/>
          <w:color w:val="00B050"/>
          <w:szCs w:val="22"/>
        </w:rPr>
        <w:t xml:space="preserve"> be funkcinės laužimo vagelės</w:t>
      </w:r>
      <w:r w:rsidRPr="00594CC0">
        <w:rPr>
          <w:rFonts w:eastAsia="MS Mincho"/>
          <w:color w:val="00B050"/>
          <w:szCs w:val="22"/>
        </w:rPr>
        <w:t>]</w:t>
      </w:r>
    </w:p>
    <w:p w:rsidR="00DA2E9E" w:rsidRDefault="00DA2E9E" w:rsidP="00DA2E9E">
      <w:pPr>
        <w:numPr>
          <w:ilvl w:val="12"/>
          <w:numId w:val="0"/>
        </w:numPr>
        <w:tabs>
          <w:tab w:val="left" w:pos="1296"/>
        </w:tabs>
        <w:rPr>
          <w:rFonts w:eastAsia="MS Mincho"/>
          <w:szCs w:val="22"/>
          <w:highlight w:val="lightGray"/>
        </w:rPr>
      </w:pPr>
      <w:r w:rsidRPr="00DB67EB">
        <w:rPr>
          <w:rFonts w:eastAsia="MS Mincho"/>
          <w:b/>
          <w:szCs w:val="22"/>
        </w:rPr>
        <w:t>Vaikams ir paaugliams</w:t>
      </w:r>
      <w:r w:rsidRPr="00DB67EB">
        <w:rPr>
          <w:rFonts w:eastAsia="MS Mincho"/>
          <w:szCs w:val="22"/>
        </w:rPr>
        <w:t xml:space="preserve"> </w:t>
      </w:r>
      <w:r>
        <w:rPr>
          <w:rFonts w:eastAsia="MS Mincho"/>
          <w:szCs w:val="22"/>
        </w:rPr>
        <w:t>(</w:t>
      </w:r>
      <w:r w:rsidRPr="00DB67EB">
        <w:rPr>
          <w:rFonts w:eastAsia="MS Mincho"/>
          <w:szCs w:val="22"/>
        </w:rPr>
        <w:t>nuo 2 iki mažiau negu 18</w:t>
      </w:r>
      <w:r>
        <w:rPr>
          <w:rFonts w:eastAsia="MS Mincho"/>
          <w:szCs w:val="22"/>
        </w:rPr>
        <w:t> </w:t>
      </w:r>
      <w:r w:rsidRPr="00DB67EB">
        <w:rPr>
          <w:rFonts w:eastAsia="MS Mincho"/>
          <w:szCs w:val="22"/>
        </w:rPr>
        <w:t>metų amžiaus</w:t>
      </w:r>
      <w:r>
        <w:rPr>
          <w:rFonts w:eastAsia="MS Mincho"/>
          <w:szCs w:val="22"/>
        </w:rPr>
        <w:t xml:space="preserve">) yra tiekiamos </w:t>
      </w:r>
      <w:proofErr w:type="spellStart"/>
      <w:r w:rsidRPr="00D166EA">
        <w:rPr>
          <w:szCs w:val="22"/>
        </w:rPr>
        <w:t>Entecavir</w:t>
      </w:r>
      <w:proofErr w:type="spellEnd"/>
      <w:r w:rsidRPr="00D166EA">
        <w:rPr>
          <w:szCs w:val="22"/>
        </w:rPr>
        <w:t xml:space="preserve"> </w:t>
      </w:r>
      <w:proofErr w:type="spellStart"/>
      <w:r w:rsidRPr="00D166EA">
        <w:rPr>
          <w:szCs w:val="22"/>
        </w:rPr>
        <w:t>Sandoz</w:t>
      </w:r>
      <w:proofErr w:type="spellEnd"/>
      <w:r>
        <w:rPr>
          <w:szCs w:val="22"/>
        </w:rPr>
        <w:t xml:space="preserve"> 0,5 mg tabletės arba gali būti tiekiamas </w:t>
      </w:r>
      <w:proofErr w:type="spellStart"/>
      <w:r>
        <w:rPr>
          <w:szCs w:val="22"/>
        </w:rPr>
        <w:t>entekaviro</w:t>
      </w:r>
      <w:proofErr w:type="spellEnd"/>
      <w:r>
        <w:rPr>
          <w:szCs w:val="22"/>
        </w:rPr>
        <w:t xml:space="preserve"> geriamasis tirpalas.</w:t>
      </w:r>
    </w:p>
    <w:p w:rsidR="00DA2E9E" w:rsidRDefault="00DA2E9E" w:rsidP="00DA2E9E">
      <w:pPr>
        <w:numPr>
          <w:ilvl w:val="12"/>
          <w:numId w:val="0"/>
        </w:numPr>
        <w:tabs>
          <w:tab w:val="left" w:pos="1296"/>
        </w:tabs>
        <w:rPr>
          <w:rFonts w:eastAsia="MS Mincho"/>
          <w:szCs w:val="22"/>
        </w:rPr>
      </w:pPr>
      <w:r w:rsidRPr="00DB67EB">
        <w:rPr>
          <w:rFonts w:eastAsia="MS Mincho"/>
          <w:szCs w:val="22"/>
        </w:rPr>
        <w:t>Jūsų vaiko gydytojas nuspręs, kokia tiksli dozė</w:t>
      </w:r>
      <w:r>
        <w:rPr>
          <w:rFonts w:eastAsia="MS Mincho"/>
          <w:szCs w:val="22"/>
        </w:rPr>
        <w:t>,</w:t>
      </w:r>
      <w:r w:rsidRPr="00DB67EB">
        <w:rPr>
          <w:rFonts w:eastAsia="MS Mincho"/>
          <w:szCs w:val="22"/>
        </w:rPr>
        <w:t xml:space="preserve"> remiantis Jūsų vaiko svoriu.</w:t>
      </w:r>
    </w:p>
    <w:p w:rsidR="00DA2E9E" w:rsidRDefault="00DA2E9E" w:rsidP="00DA2E9E">
      <w:pPr>
        <w:pStyle w:val="Default"/>
        <w:rPr>
          <w:b/>
          <w:bCs/>
          <w:color w:val="auto"/>
          <w:sz w:val="22"/>
          <w:szCs w:val="22"/>
        </w:rPr>
      </w:pPr>
    </w:p>
    <w:p w:rsidR="00DA2E9E" w:rsidRDefault="00DA2E9E" w:rsidP="00DA2E9E">
      <w:pPr>
        <w:pStyle w:val="Default"/>
        <w:rPr>
          <w:color w:val="auto"/>
          <w:sz w:val="22"/>
          <w:szCs w:val="22"/>
        </w:rPr>
      </w:pPr>
      <w:r>
        <w:rPr>
          <w:color w:val="auto"/>
          <w:sz w:val="22"/>
          <w:szCs w:val="22"/>
        </w:rPr>
        <w:t xml:space="preserve">Jūsų gydytojas informuos, kokia tiksli Jūsų dozė. Visada vartokite savo gydytojo rekomenduotą dozę, kad vaisto poveikis būtų geriausias ir sumažėtų virusų atsparumo gydymui pasireiškimo rizika. </w:t>
      </w:r>
      <w:r w:rsidRPr="008A5B62">
        <w:rPr>
          <w:color w:val="auto"/>
          <w:sz w:val="22"/>
          <w:szCs w:val="22"/>
        </w:rPr>
        <w:t>Entecavir Sandoz</w:t>
      </w:r>
      <w:r>
        <w:rPr>
          <w:color w:val="auto"/>
          <w:sz w:val="22"/>
          <w:szCs w:val="22"/>
        </w:rPr>
        <w:t xml:space="preserve"> vartokite tiek laiko, kiek nurodė Jūsų gydytojas. Jūsų gydytojas Jums paskys, jeigu ir kada Jūs turite nutraukti gydymą. </w:t>
      </w:r>
    </w:p>
    <w:p w:rsidR="00DA2E9E" w:rsidRDefault="00DA2E9E" w:rsidP="00DA2E9E">
      <w:pPr>
        <w:pStyle w:val="Default"/>
        <w:rPr>
          <w:color w:val="auto"/>
          <w:sz w:val="22"/>
          <w:szCs w:val="22"/>
        </w:rPr>
      </w:pPr>
    </w:p>
    <w:p w:rsidR="00DA2E9E" w:rsidRDefault="00DA2E9E" w:rsidP="00DA2E9E">
      <w:pPr>
        <w:pStyle w:val="Default"/>
        <w:rPr>
          <w:color w:val="auto"/>
          <w:sz w:val="22"/>
          <w:szCs w:val="22"/>
        </w:rPr>
      </w:pPr>
      <w:r>
        <w:rPr>
          <w:color w:val="auto"/>
          <w:sz w:val="22"/>
          <w:szCs w:val="22"/>
        </w:rPr>
        <w:t xml:space="preserve">Kai kuriems pacientams reikia vartoti </w:t>
      </w:r>
      <w:r w:rsidRPr="008A5B62">
        <w:rPr>
          <w:color w:val="auto"/>
          <w:sz w:val="22"/>
          <w:szCs w:val="22"/>
        </w:rPr>
        <w:t>Entecavir Sandoz</w:t>
      </w:r>
      <w:r>
        <w:rPr>
          <w:color w:val="auto"/>
          <w:sz w:val="22"/>
          <w:szCs w:val="22"/>
        </w:rPr>
        <w:t xml:space="preserve"> tada, kai skrandis tuščias (žr. </w:t>
      </w:r>
      <w:r>
        <w:rPr>
          <w:b/>
          <w:bCs/>
          <w:color w:val="auto"/>
          <w:sz w:val="22"/>
          <w:szCs w:val="22"/>
        </w:rPr>
        <w:t>2 skyriaus poskyrį „</w:t>
      </w:r>
      <w:r w:rsidRPr="008A5B62">
        <w:rPr>
          <w:b/>
          <w:sz w:val="22"/>
          <w:szCs w:val="22"/>
        </w:rPr>
        <w:t>Entecavir Sandoz</w:t>
      </w:r>
      <w:r>
        <w:rPr>
          <w:b/>
          <w:bCs/>
          <w:color w:val="auto"/>
          <w:sz w:val="22"/>
          <w:szCs w:val="22"/>
        </w:rPr>
        <w:t xml:space="preserve"> vartojimas su maistu ir gėrimais“</w:t>
      </w:r>
      <w:r>
        <w:rPr>
          <w:color w:val="auto"/>
          <w:sz w:val="22"/>
          <w:szCs w:val="22"/>
        </w:rPr>
        <w:t xml:space="preserve">). Jeigu gydytojas Jums nurodė vartoti </w:t>
      </w:r>
      <w:r w:rsidRPr="008A5B62">
        <w:rPr>
          <w:color w:val="auto"/>
          <w:sz w:val="22"/>
          <w:szCs w:val="22"/>
        </w:rPr>
        <w:t>Entecavir Sandoz</w:t>
      </w:r>
      <w:r>
        <w:rPr>
          <w:color w:val="auto"/>
          <w:sz w:val="22"/>
          <w:szCs w:val="22"/>
        </w:rPr>
        <w:t xml:space="preserve">, kai skrandis tuščias, tai reiškia, kad šį vaistą reikia gerti praėjus ne mažiau kaip 2 val. po paskutinio valgio ir likus bent 2 val. iki kito valgio. </w:t>
      </w:r>
    </w:p>
    <w:p w:rsidR="00DA2E9E" w:rsidRDefault="00DA2E9E" w:rsidP="00DA2E9E">
      <w:pPr>
        <w:pStyle w:val="Default"/>
        <w:rPr>
          <w:b/>
          <w:bCs/>
          <w:color w:val="auto"/>
          <w:sz w:val="22"/>
          <w:szCs w:val="22"/>
        </w:rPr>
      </w:pPr>
    </w:p>
    <w:p w:rsidR="00DA2E9E" w:rsidRDefault="00DA2E9E" w:rsidP="00DA2E9E">
      <w:pPr>
        <w:pStyle w:val="Default"/>
        <w:rPr>
          <w:color w:val="auto"/>
          <w:sz w:val="22"/>
          <w:szCs w:val="22"/>
        </w:rPr>
      </w:pPr>
      <w:r>
        <w:rPr>
          <w:b/>
          <w:bCs/>
          <w:color w:val="auto"/>
          <w:sz w:val="22"/>
          <w:szCs w:val="22"/>
        </w:rPr>
        <w:t xml:space="preserve">Ką daryti pavartojus per didelę </w:t>
      </w:r>
      <w:r w:rsidRPr="008A5B62">
        <w:rPr>
          <w:b/>
          <w:bCs/>
          <w:color w:val="auto"/>
          <w:sz w:val="22"/>
          <w:szCs w:val="22"/>
        </w:rPr>
        <w:t>Entecavir Sandoz</w:t>
      </w:r>
      <w:r>
        <w:rPr>
          <w:b/>
          <w:bCs/>
          <w:color w:val="auto"/>
          <w:sz w:val="22"/>
          <w:szCs w:val="22"/>
        </w:rPr>
        <w:t xml:space="preserve"> dozę? </w:t>
      </w:r>
    </w:p>
    <w:p w:rsidR="00DA2E9E" w:rsidRDefault="00DA2E9E" w:rsidP="00DA2E9E">
      <w:pPr>
        <w:pStyle w:val="Default"/>
        <w:rPr>
          <w:color w:val="auto"/>
          <w:sz w:val="22"/>
          <w:szCs w:val="22"/>
        </w:rPr>
      </w:pPr>
      <w:r>
        <w:rPr>
          <w:color w:val="auto"/>
          <w:sz w:val="22"/>
          <w:szCs w:val="22"/>
        </w:rPr>
        <w:t xml:space="preserve">Reikia tuojau pat kreiptis į savo gydytoją. </w:t>
      </w:r>
    </w:p>
    <w:p w:rsidR="00DA2E9E" w:rsidRDefault="00DA2E9E" w:rsidP="00DA2E9E">
      <w:pPr>
        <w:pStyle w:val="Default"/>
        <w:rPr>
          <w:b/>
          <w:bCs/>
          <w:color w:val="auto"/>
          <w:sz w:val="22"/>
          <w:szCs w:val="22"/>
        </w:rPr>
      </w:pPr>
    </w:p>
    <w:p w:rsidR="00DA2E9E" w:rsidRDefault="00DA2E9E" w:rsidP="00DA2E9E">
      <w:pPr>
        <w:pStyle w:val="Default"/>
        <w:rPr>
          <w:color w:val="auto"/>
          <w:sz w:val="22"/>
          <w:szCs w:val="22"/>
        </w:rPr>
      </w:pPr>
      <w:r>
        <w:rPr>
          <w:b/>
          <w:bCs/>
          <w:color w:val="auto"/>
          <w:sz w:val="22"/>
          <w:szCs w:val="22"/>
        </w:rPr>
        <w:t xml:space="preserve">Pamiršus pavartoti </w:t>
      </w:r>
      <w:r w:rsidRPr="008A5B62">
        <w:rPr>
          <w:b/>
          <w:bCs/>
          <w:color w:val="auto"/>
          <w:sz w:val="22"/>
          <w:szCs w:val="22"/>
        </w:rPr>
        <w:t>Entecavir Sandoz</w:t>
      </w:r>
      <w:r>
        <w:rPr>
          <w:b/>
          <w:bCs/>
          <w:color w:val="auto"/>
          <w:sz w:val="22"/>
          <w:szCs w:val="22"/>
        </w:rPr>
        <w:t xml:space="preserve"> </w:t>
      </w:r>
    </w:p>
    <w:p w:rsidR="00DA2E9E" w:rsidRDefault="00DA2E9E" w:rsidP="00DA2E9E">
      <w:pPr>
        <w:pStyle w:val="Default"/>
        <w:rPr>
          <w:color w:val="auto"/>
          <w:sz w:val="22"/>
          <w:szCs w:val="22"/>
        </w:rPr>
      </w:pPr>
      <w:r>
        <w:rPr>
          <w:color w:val="auto"/>
          <w:sz w:val="22"/>
          <w:szCs w:val="22"/>
        </w:rPr>
        <w:lastRenderedPageBreak/>
        <w:t xml:space="preserve">Svarbu neužmiršti nė vienos šio vaisto dozės. Užmirštą </w:t>
      </w:r>
      <w:r w:rsidRPr="008A5B62">
        <w:rPr>
          <w:color w:val="auto"/>
          <w:sz w:val="22"/>
          <w:szCs w:val="22"/>
        </w:rPr>
        <w:t>Entecavir Sandoz</w:t>
      </w:r>
      <w:r>
        <w:rPr>
          <w:color w:val="auto"/>
          <w:sz w:val="22"/>
          <w:szCs w:val="22"/>
        </w:rPr>
        <w:t xml:space="preserve"> dozę prisiminę išgerkite kiek įmanoma greičiau ir toliau kitą dozę vartokite įprastu laiku. Vis dėlto jeigu jau beveik laikas kitai dozei, tai užmirštąją dozę praleiskite. Palaukite ir kitą dozę gerkite įprastu laiku. Negalima vartoti dvigubos dozės norint kompensuoti praleistą dozę. </w:t>
      </w:r>
    </w:p>
    <w:p w:rsidR="00DA2E9E" w:rsidRPr="008A5B62" w:rsidRDefault="00DA2E9E" w:rsidP="00DA2E9E">
      <w:pPr>
        <w:pStyle w:val="Default"/>
        <w:rPr>
          <w:bCs/>
          <w:color w:val="auto"/>
          <w:sz w:val="22"/>
          <w:szCs w:val="22"/>
        </w:rPr>
      </w:pPr>
    </w:p>
    <w:p w:rsidR="00DA2E9E" w:rsidRPr="00130211" w:rsidRDefault="00DA2E9E" w:rsidP="00DA2E9E">
      <w:pPr>
        <w:rPr>
          <w:b/>
          <w:snapToGrid w:val="0"/>
        </w:rPr>
      </w:pPr>
      <w:r w:rsidRPr="00130211">
        <w:rPr>
          <w:b/>
          <w:snapToGrid w:val="0"/>
        </w:rPr>
        <w:t xml:space="preserve">Nustojus vartoti </w:t>
      </w:r>
      <w:proofErr w:type="spellStart"/>
      <w:r w:rsidRPr="00130211">
        <w:rPr>
          <w:b/>
          <w:snapToGrid w:val="0"/>
        </w:rPr>
        <w:t>Entecavir</w:t>
      </w:r>
      <w:proofErr w:type="spellEnd"/>
      <w:r w:rsidRPr="00130211">
        <w:rPr>
          <w:b/>
          <w:snapToGrid w:val="0"/>
        </w:rPr>
        <w:t xml:space="preserve"> </w:t>
      </w:r>
      <w:proofErr w:type="spellStart"/>
      <w:r w:rsidRPr="00130211">
        <w:rPr>
          <w:b/>
          <w:snapToGrid w:val="0"/>
        </w:rPr>
        <w:t>Sandoz</w:t>
      </w:r>
      <w:proofErr w:type="spellEnd"/>
      <w:r w:rsidRPr="00130211">
        <w:rPr>
          <w:b/>
          <w:snapToGrid w:val="0"/>
        </w:rPr>
        <w:t xml:space="preserve"> </w:t>
      </w:r>
    </w:p>
    <w:p w:rsidR="00DA2E9E" w:rsidRPr="00EC3E05" w:rsidRDefault="00DA2E9E" w:rsidP="00DA2E9E">
      <w:pPr>
        <w:pStyle w:val="Default"/>
        <w:rPr>
          <w:color w:val="auto"/>
          <w:sz w:val="22"/>
          <w:szCs w:val="22"/>
        </w:rPr>
      </w:pPr>
      <w:r w:rsidRPr="00EC3E05">
        <w:rPr>
          <w:color w:val="auto"/>
          <w:sz w:val="22"/>
          <w:szCs w:val="22"/>
        </w:rPr>
        <w:t>Nenutraukite Entecavir Sandoz</w:t>
      </w:r>
      <w:r w:rsidRPr="00EC3E05">
        <w:rPr>
          <w:bCs/>
          <w:color w:val="auto"/>
          <w:sz w:val="22"/>
          <w:szCs w:val="22"/>
        </w:rPr>
        <w:t xml:space="preserve"> vartojimo nepasitarus su savo gydytoju</w:t>
      </w:r>
      <w:r>
        <w:rPr>
          <w:bCs/>
          <w:color w:val="auto"/>
          <w:sz w:val="22"/>
          <w:szCs w:val="22"/>
        </w:rPr>
        <w:t>.</w:t>
      </w:r>
      <w:r w:rsidRPr="00EC3E05">
        <w:rPr>
          <w:bCs/>
          <w:color w:val="auto"/>
          <w:sz w:val="22"/>
          <w:szCs w:val="22"/>
        </w:rPr>
        <w:t xml:space="preserve"> </w:t>
      </w:r>
    </w:p>
    <w:p w:rsidR="00DA2E9E" w:rsidRDefault="00DA2E9E" w:rsidP="00DA2E9E">
      <w:pPr>
        <w:pStyle w:val="Default"/>
        <w:rPr>
          <w:color w:val="auto"/>
          <w:sz w:val="22"/>
          <w:szCs w:val="22"/>
        </w:rPr>
      </w:pPr>
      <w:r>
        <w:rPr>
          <w:color w:val="auto"/>
          <w:sz w:val="22"/>
          <w:szCs w:val="22"/>
        </w:rPr>
        <w:t>Kai kuriems pacientams, baigusiems entekaviro vartojimą, pasireiškė labai sunkių kepenų uždegimo simptomų. Nedelsdami praneškite savo gydyojui apie bet kokius simptomų pokyčius, kurių pastebite po gydymo nutraukimo.</w:t>
      </w:r>
    </w:p>
    <w:p w:rsidR="00DA2E9E" w:rsidRDefault="00DA2E9E" w:rsidP="00DA2E9E">
      <w:pPr>
        <w:pStyle w:val="Default"/>
        <w:rPr>
          <w:color w:val="auto"/>
          <w:sz w:val="22"/>
          <w:szCs w:val="22"/>
        </w:rPr>
      </w:pPr>
    </w:p>
    <w:p w:rsidR="00DA2E9E" w:rsidRDefault="00DA2E9E" w:rsidP="00DA2E9E">
      <w:pPr>
        <w:pStyle w:val="Default"/>
        <w:rPr>
          <w:color w:val="auto"/>
          <w:sz w:val="22"/>
          <w:szCs w:val="22"/>
        </w:rPr>
      </w:pPr>
      <w:r>
        <w:rPr>
          <w:color w:val="auto"/>
          <w:sz w:val="22"/>
          <w:szCs w:val="22"/>
        </w:rPr>
        <w:t xml:space="preserve">Jeigu kiltų daugiau klausimų dėl šio vaisto vartojimo, kreipkitės į gydytoją arba vaistininką. </w:t>
      </w:r>
    </w:p>
    <w:p w:rsidR="00DA2E9E" w:rsidRDefault="00DA2E9E" w:rsidP="00DA2E9E">
      <w:pPr>
        <w:pStyle w:val="Default"/>
        <w:rPr>
          <w:color w:val="auto"/>
          <w:sz w:val="22"/>
          <w:szCs w:val="22"/>
        </w:rPr>
      </w:pPr>
    </w:p>
    <w:p w:rsidR="00DA2E9E" w:rsidRDefault="00DA2E9E" w:rsidP="00DA2E9E">
      <w:pPr>
        <w:pStyle w:val="Default"/>
        <w:rPr>
          <w:color w:val="auto"/>
          <w:sz w:val="22"/>
          <w:szCs w:val="22"/>
        </w:rPr>
      </w:pPr>
    </w:p>
    <w:p w:rsidR="00DA2E9E" w:rsidRDefault="00DA2E9E" w:rsidP="00DA2E9E">
      <w:pPr>
        <w:widowControl w:val="0"/>
        <w:autoSpaceDE w:val="0"/>
        <w:autoSpaceDN w:val="0"/>
        <w:adjustRightInd w:val="0"/>
        <w:rPr>
          <w:rFonts w:eastAsia="MS Mincho"/>
          <w:szCs w:val="22"/>
        </w:rPr>
      </w:pPr>
      <w:r>
        <w:rPr>
          <w:b/>
          <w:bCs/>
          <w:szCs w:val="22"/>
        </w:rPr>
        <w:t>4.</w:t>
      </w:r>
      <w:r>
        <w:rPr>
          <w:b/>
          <w:bCs/>
          <w:szCs w:val="22"/>
        </w:rPr>
        <w:tab/>
        <w:t>Galimas šalutinis poveikis</w:t>
      </w:r>
    </w:p>
    <w:p w:rsidR="00DA2E9E" w:rsidRDefault="00DA2E9E" w:rsidP="00DA2E9E">
      <w:pPr>
        <w:widowControl w:val="0"/>
        <w:autoSpaceDE w:val="0"/>
        <w:autoSpaceDN w:val="0"/>
        <w:adjustRightInd w:val="0"/>
        <w:rPr>
          <w:rFonts w:eastAsia="MS Mincho"/>
          <w:szCs w:val="22"/>
        </w:rPr>
      </w:pPr>
    </w:p>
    <w:p w:rsidR="00DA2E9E" w:rsidRPr="00690A24" w:rsidRDefault="00DA2E9E" w:rsidP="00DA2E9E">
      <w:pPr>
        <w:widowControl w:val="0"/>
        <w:autoSpaceDE w:val="0"/>
        <w:autoSpaceDN w:val="0"/>
        <w:adjustRightInd w:val="0"/>
        <w:rPr>
          <w:rFonts w:eastAsia="MS Mincho"/>
          <w:szCs w:val="22"/>
        </w:rPr>
      </w:pPr>
      <w:r w:rsidRPr="00690A24">
        <w:rPr>
          <w:rFonts w:eastAsia="MS Mincho"/>
          <w:szCs w:val="22"/>
        </w:rPr>
        <w:t>Šis vaistas, kaip ir visi kiti, gali sukelti šalutinį poveikį, nors jis pasireiškia ne visiems žmonėms.</w:t>
      </w:r>
    </w:p>
    <w:p w:rsidR="00DA2E9E" w:rsidRDefault="00DA2E9E" w:rsidP="00DA2E9E">
      <w:pPr>
        <w:widowControl w:val="0"/>
        <w:autoSpaceDE w:val="0"/>
        <w:autoSpaceDN w:val="0"/>
        <w:adjustRightInd w:val="0"/>
        <w:rPr>
          <w:rFonts w:eastAsia="MS Mincho"/>
          <w:szCs w:val="22"/>
        </w:rPr>
      </w:pPr>
      <w:r>
        <w:rPr>
          <w:rFonts w:eastAsia="MS Mincho"/>
          <w:szCs w:val="22"/>
        </w:rPr>
        <w:t xml:space="preserve">Gauta pranešimų, kad </w:t>
      </w:r>
      <w:proofErr w:type="spellStart"/>
      <w:r w:rsidRPr="00690A24">
        <w:rPr>
          <w:rFonts w:eastAsia="MS Mincho"/>
          <w:szCs w:val="22"/>
        </w:rPr>
        <w:t>Entecavir</w:t>
      </w:r>
      <w:proofErr w:type="spellEnd"/>
      <w:r w:rsidRPr="00690A24">
        <w:rPr>
          <w:rFonts w:eastAsia="MS Mincho"/>
          <w:szCs w:val="22"/>
        </w:rPr>
        <w:t xml:space="preserve"> </w:t>
      </w:r>
      <w:proofErr w:type="spellStart"/>
      <w:r w:rsidRPr="00690A24">
        <w:rPr>
          <w:rFonts w:eastAsia="MS Mincho"/>
          <w:szCs w:val="22"/>
        </w:rPr>
        <w:t>Sandoz</w:t>
      </w:r>
      <w:proofErr w:type="spellEnd"/>
      <w:r w:rsidRPr="00690A24">
        <w:rPr>
          <w:rFonts w:eastAsia="MS Mincho"/>
          <w:szCs w:val="22"/>
        </w:rPr>
        <w:t xml:space="preserve"> </w:t>
      </w:r>
      <w:r>
        <w:rPr>
          <w:rFonts w:eastAsia="MS Mincho"/>
          <w:szCs w:val="22"/>
        </w:rPr>
        <w:t>gydomiems</w:t>
      </w:r>
      <w:r w:rsidRPr="00690A24">
        <w:rPr>
          <w:rFonts w:eastAsia="MS Mincho"/>
          <w:szCs w:val="22"/>
        </w:rPr>
        <w:t xml:space="preserve"> </w:t>
      </w:r>
      <w:r>
        <w:rPr>
          <w:rFonts w:eastAsia="MS Mincho"/>
          <w:szCs w:val="22"/>
        </w:rPr>
        <w:t>pacientams pasireiškė šis šalutinis poveikis:</w:t>
      </w:r>
      <w:r w:rsidRPr="00690A24">
        <w:rPr>
          <w:rFonts w:eastAsia="MS Mincho"/>
          <w:szCs w:val="22"/>
        </w:rPr>
        <w:t xml:space="preserve"> </w:t>
      </w:r>
    </w:p>
    <w:p w:rsidR="00DA2E9E" w:rsidRDefault="00DA2E9E" w:rsidP="00DA2E9E">
      <w:pPr>
        <w:widowControl w:val="0"/>
        <w:autoSpaceDE w:val="0"/>
        <w:autoSpaceDN w:val="0"/>
        <w:adjustRightInd w:val="0"/>
        <w:rPr>
          <w:rFonts w:eastAsia="MS Mincho"/>
          <w:b/>
          <w:bCs/>
          <w:szCs w:val="22"/>
          <w:u w:val="single"/>
        </w:rPr>
      </w:pPr>
    </w:p>
    <w:p w:rsidR="00DA2E9E" w:rsidRPr="00591D31" w:rsidRDefault="00DA2E9E" w:rsidP="00DA2E9E">
      <w:pPr>
        <w:widowControl w:val="0"/>
        <w:autoSpaceDE w:val="0"/>
        <w:autoSpaceDN w:val="0"/>
        <w:adjustRightInd w:val="0"/>
        <w:rPr>
          <w:rFonts w:eastAsia="MS Mincho"/>
          <w:b/>
          <w:bCs/>
          <w:szCs w:val="22"/>
          <w:u w:val="single"/>
        </w:rPr>
      </w:pPr>
      <w:r w:rsidRPr="00591D31">
        <w:rPr>
          <w:rFonts w:eastAsia="MS Mincho"/>
          <w:b/>
          <w:bCs/>
          <w:szCs w:val="22"/>
          <w:u w:val="single"/>
        </w:rPr>
        <w:t>Suaugusiesiems</w:t>
      </w:r>
    </w:p>
    <w:p w:rsidR="00DA2E9E" w:rsidRDefault="00DA2E9E" w:rsidP="00DA2E9E">
      <w:pPr>
        <w:widowControl w:val="0"/>
        <w:autoSpaceDE w:val="0"/>
        <w:autoSpaceDN w:val="0"/>
        <w:adjustRightInd w:val="0"/>
        <w:ind w:left="709" w:hanging="709"/>
        <w:rPr>
          <w:rFonts w:eastAsia="MS Mincho"/>
          <w:szCs w:val="22"/>
        </w:rPr>
      </w:pPr>
      <w:r w:rsidRPr="00913EAE">
        <w:rPr>
          <w:b/>
          <w:bCs/>
          <w:color w:val="000000"/>
          <w:szCs w:val="22"/>
        </w:rPr>
        <w:t>Dažni šalutinio poveikio reiškiniai</w:t>
      </w:r>
      <w:r w:rsidRPr="00175E58">
        <w:rPr>
          <w:b/>
          <w:color w:val="000000"/>
        </w:rPr>
        <w:t xml:space="preserve"> (gali pasireikšti rečiau kaip 1 iš 10 </w:t>
      </w:r>
      <w:r w:rsidRPr="00913EAE">
        <w:rPr>
          <w:b/>
          <w:bCs/>
          <w:color w:val="000000"/>
          <w:szCs w:val="22"/>
        </w:rPr>
        <w:t>asmenų)</w:t>
      </w:r>
      <w:r>
        <w:rPr>
          <w:b/>
          <w:bCs/>
          <w:color w:val="000000"/>
          <w:szCs w:val="22"/>
        </w:rPr>
        <w:t>:</w:t>
      </w:r>
    </w:p>
    <w:p w:rsidR="00DA2E9E" w:rsidRPr="00690A24" w:rsidRDefault="00DA2E9E" w:rsidP="00DA2E9E">
      <w:pPr>
        <w:widowControl w:val="0"/>
        <w:autoSpaceDE w:val="0"/>
        <w:autoSpaceDN w:val="0"/>
        <w:adjustRightInd w:val="0"/>
        <w:ind w:left="709" w:hanging="142"/>
        <w:rPr>
          <w:rFonts w:eastAsia="MS Mincho"/>
          <w:szCs w:val="22"/>
        </w:rPr>
      </w:pPr>
      <w:r w:rsidRPr="00690A24">
        <w:rPr>
          <w:rFonts w:eastAsia="MS Mincho"/>
          <w:szCs w:val="22"/>
        </w:rPr>
        <w:t xml:space="preserve"> galvos skausmas, nemiga</w:t>
      </w:r>
      <w:r>
        <w:rPr>
          <w:rFonts w:eastAsia="MS Mincho"/>
          <w:szCs w:val="22"/>
        </w:rPr>
        <w:t xml:space="preserve"> (negalėjimas miegoti)</w:t>
      </w:r>
      <w:r w:rsidRPr="00690A24">
        <w:rPr>
          <w:rFonts w:eastAsia="MS Mincho"/>
          <w:szCs w:val="22"/>
        </w:rPr>
        <w:t>, nuovargis</w:t>
      </w:r>
      <w:r>
        <w:rPr>
          <w:rFonts w:eastAsia="MS Mincho"/>
          <w:szCs w:val="22"/>
        </w:rPr>
        <w:t xml:space="preserve"> (stiprus pavargimas),</w:t>
      </w:r>
      <w:r w:rsidRPr="00690A24">
        <w:rPr>
          <w:rFonts w:eastAsia="MS Mincho"/>
          <w:szCs w:val="22"/>
        </w:rPr>
        <w:t xml:space="preserve"> svaig</w:t>
      </w:r>
      <w:r>
        <w:rPr>
          <w:rFonts w:eastAsia="MS Mincho"/>
          <w:szCs w:val="22"/>
        </w:rPr>
        <w:t>ulys</w:t>
      </w:r>
      <w:r w:rsidRPr="00690A24">
        <w:rPr>
          <w:rFonts w:eastAsia="MS Mincho"/>
          <w:szCs w:val="22"/>
        </w:rPr>
        <w:t>, mieguistumas</w:t>
      </w:r>
      <w:r>
        <w:rPr>
          <w:rFonts w:eastAsia="MS Mincho"/>
          <w:szCs w:val="22"/>
        </w:rPr>
        <w:t xml:space="preserve"> (apsnūdimas)</w:t>
      </w:r>
      <w:r w:rsidRPr="00690A24">
        <w:rPr>
          <w:rFonts w:eastAsia="MS Mincho"/>
          <w:szCs w:val="22"/>
        </w:rPr>
        <w:t>, vėmimas, viduriavimas, pykinimas, dispepsija (virškinim</w:t>
      </w:r>
      <w:r>
        <w:rPr>
          <w:rFonts w:eastAsia="MS Mincho"/>
          <w:szCs w:val="22"/>
        </w:rPr>
        <w:t>o sutrikimas</w:t>
      </w:r>
      <w:r w:rsidRPr="00690A24">
        <w:rPr>
          <w:rFonts w:eastAsia="MS Mincho"/>
          <w:szCs w:val="22"/>
        </w:rPr>
        <w:t xml:space="preserve">) ir padidėjęs kepenų fermentų </w:t>
      </w:r>
      <w:r>
        <w:rPr>
          <w:rFonts w:eastAsia="MS Mincho"/>
          <w:szCs w:val="22"/>
        </w:rPr>
        <w:t>aktyvumas</w:t>
      </w:r>
      <w:r w:rsidRPr="00690A24">
        <w:rPr>
          <w:rFonts w:eastAsia="MS Mincho"/>
          <w:szCs w:val="22"/>
        </w:rPr>
        <w:t xml:space="preserve"> kraujyje</w:t>
      </w:r>
      <w:r>
        <w:rPr>
          <w:rFonts w:eastAsia="MS Mincho"/>
          <w:szCs w:val="22"/>
        </w:rPr>
        <w:t>.</w:t>
      </w:r>
    </w:p>
    <w:p w:rsidR="00DA2E9E" w:rsidRPr="000B642B" w:rsidRDefault="00DA2E9E" w:rsidP="00DA2E9E">
      <w:pPr>
        <w:autoSpaceDE w:val="0"/>
        <w:autoSpaceDN w:val="0"/>
        <w:adjustRightInd w:val="0"/>
        <w:rPr>
          <w:b/>
          <w:color w:val="000000"/>
          <w:szCs w:val="22"/>
        </w:rPr>
      </w:pPr>
      <w:r w:rsidRPr="00913EAE">
        <w:rPr>
          <w:b/>
          <w:bCs/>
          <w:color w:val="000000"/>
          <w:szCs w:val="22"/>
        </w:rPr>
        <w:t>Nedažni šalutinio poveikio reiškiniai</w:t>
      </w:r>
      <w:r w:rsidRPr="00175E58">
        <w:rPr>
          <w:b/>
          <w:color w:val="000000"/>
        </w:rPr>
        <w:t xml:space="preserve"> (gali pasireikšti rečiau kaip 1 iš 100 </w:t>
      </w:r>
      <w:r w:rsidRPr="00913EAE">
        <w:rPr>
          <w:b/>
          <w:bCs/>
          <w:color w:val="000000"/>
          <w:szCs w:val="22"/>
        </w:rPr>
        <w:t>asmenų):</w:t>
      </w:r>
    </w:p>
    <w:p w:rsidR="00DA2E9E" w:rsidRPr="00690A24" w:rsidRDefault="00DA2E9E" w:rsidP="00DA2E9E">
      <w:pPr>
        <w:widowControl w:val="0"/>
        <w:autoSpaceDE w:val="0"/>
        <w:autoSpaceDN w:val="0"/>
        <w:adjustRightInd w:val="0"/>
        <w:spacing w:before="120"/>
        <w:ind w:left="3260" w:hanging="3260"/>
        <w:rPr>
          <w:rFonts w:eastAsia="MS Mincho"/>
          <w:szCs w:val="22"/>
        </w:rPr>
      </w:pPr>
      <w:r w:rsidRPr="00690A24">
        <w:rPr>
          <w:rFonts w:eastAsia="MS Mincho"/>
          <w:szCs w:val="22"/>
        </w:rPr>
        <w:t>išbėrimas, plaukų slinkimas</w:t>
      </w:r>
      <w:r>
        <w:rPr>
          <w:rFonts w:eastAsia="MS Mincho"/>
          <w:szCs w:val="22"/>
        </w:rPr>
        <w:t>.</w:t>
      </w:r>
    </w:p>
    <w:p w:rsidR="00DA2E9E" w:rsidRPr="000B642B" w:rsidRDefault="00DA2E9E" w:rsidP="00DA2E9E">
      <w:pPr>
        <w:autoSpaceDE w:val="0"/>
        <w:autoSpaceDN w:val="0"/>
        <w:adjustRightInd w:val="0"/>
        <w:rPr>
          <w:b/>
          <w:color w:val="000000"/>
          <w:szCs w:val="22"/>
        </w:rPr>
      </w:pPr>
      <w:r w:rsidRPr="00913EAE">
        <w:rPr>
          <w:b/>
          <w:bCs/>
          <w:color w:val="000000"/>
          <w:szCs w:val="22"/>
        </w:rPr>
        <w:t>Reti šalutinio poveikio reiškiniai</w:t>
      </w:r>
      <w:r w:rsidRPr="00175E58">
        <w:rPr>
          <w:b/>
          <w:color w:val="000000"/>
        </w:rPr>
        <w:t xml:space="preserve"> (gali pasireikšti rečiau kaip 1 iš </w:t>
      </w:r>
      <w:r w:rsidRPr="00913EAE">
        <w:rPr>
          <w:b/>
          <w:bCs/>
          <w:color w:val="000000"/>
          <w:szCs w:val="22"/>
        </w:rPr>
        <w:t>1 000 asmenų):</w:t>
      </w:r>
    </w:p>
    <w:p w:rsidR="00DA2E9E" w:rsidRPr="00690A24" w:rsidRDefault="00DA2E9E" w:rsidP="00DA2E9E">
      <w:pPr>
        <w:widowControl w:val="0"/>
        <w:autoSpaceDE w:val="0"/>
        <w:autoSpaceDN w:val="0"/>
        <w:adjustRightInd w:val="0"/>
        <w:spacing w:before="120"/>
        <w:ind w:left="3260" w:hanging="3260"/>
        <w:rPr>
          <w:rFonts w:eastAsia="MS Mincho"/>
          <w:szCs w:val="22"/>
        </w:rPr>
      </w:pPr>
      <w:r w:rsidRPr="00690A24">
        <w:rPr>
          <w:rFonts w:eastAsia="MS Mincho"/>
          <w:szCs w:val="22"/>
        </w:rPr>
        <w:t>sunki alerginė reakcija.</w:t>
      </w:r>
    </w:p>
    <w:p w:rsidR="00DA2E9E" w:rsidRDefault="00DA2E9E" w:rsidP="00DA2E9E">
      <w:pPr>
        <w:widowControl w:val="0"/>
        <w:autoSpaceDE w:val="0"/>
        <w:autoSpaceDN w:val="0"/>
        <w:adjustRightInd w:val="0"/>
        <w:jc w:val="both"/>
        <w:rPr>
          <w:color w:val="000000"/>
          <w:szCs w:val="22"/>
        </w:rPr>
      </w:pPr>
    </w:p>
    <w:p w:rsidR="00DA2E9E" w:rsidRPr="00591D31" w:rsidRDefault="00DA2E9E" w:rsidP="00DA2E9E">
      <w:pPr>
        <w:widowControl w:val="0"/>
        <w:autoSpaceDE w:val="0"/>
        <w:autoSpaceDN w:val="0"/>
        <w:adjustRightInd w:val="0"/>
        <w:jc w:val="both"/>
        <w:rPr>
          <w:b/>
          <w:bCs/>
          <w:color w:val="000000"/>
          <w:szCs w:val="22"/>
          <w:u w:val="single"/>
        </w:rPr>
      </w:pPr>
      <w:r w:rsidRPr="00591D31">
        <w:rPr>
          <w:b/>
          <w:bCs/>
          <w:color w:val="000000"/>
          <w:szCs w:val="22"/>
          <w:u w:val="single"/>
        </w:rPr>
        <w:t>Vaikams ir paaugliams</w:t>
      </w:r>
    </w:p>
    <w:p w:rsidR="00DA2E9E" w:rsidRPr="00664898" w:rsidRDefault="00DA2E9E" w:rsidP="00DA2E9E">
      <w:pPr>
        <w:widowControl w:val="0"/>
        <w:autoSpaceDE w:val="0"/>
        <w:autoSpaceDN w:val="0"/>
        <w:adjustRightInd w:val="0"/>
        <w:jc w:val="both"/>
        <w:rPr>
          <w:color w:val="000000"/>
          <w:szCs w:val="22"/>
        </w:rPr>
      </w:pPr>
      <w:r>
        <w:rPr>
          <w:color w:val="000000"/>
          <w:szCs w:val="22"/>
        </w:rPr>
        <w:t>Šalutinis poveikis v</w:t>
      </w:r>
      <w:r w:rsidRPr="00664898">
        <w:rPr>
          <w:color w:val="000000"/>
          <w:szCs w:val="22"/>
        </w:rPr>
        <w:t>ai</w:t>
      </w:r>
      <w:r>
        <w:rPr>
          <w:color w:val="000000"/>
          <w:szCs w:val="22"/>
        </w:rPr>
        <w:t>kams ir</w:t>
      </w:r>
      <w:r w:rsidRPr="00664898">
        <w:rPr>
          <w:color w:val="000000"/>
          <w:szCs w:val="22"/>
        </w:rPr>
        <w:t xml:space="preserve"> paaugl</w:t>
      </w:r>
      <w:r>
        <w:rPr>
          <w:color w:val="000000"/>
          <w:szCs w:val="22"/>
        </w:rPr>
        <w:t>iams yra panašus į suaugusiųjų patirtą šalutinį poveikį, kuris aprašytas aukščiau,</w:t>
      </w:r>
      <w:r w:rsidRPr="00664898">
        <w:rPr>
          <w:color w:val="000000"/>
          <w:szCs w:val="22"/>
        </w:rPr>
        <w:t xml:space="preserve"> šalutiniai poveikiai yra tokie patys kaip suaugusiųjų, aprašyti aukščiau, su toliau</w:t>
      </w:r>
      <w:r>
        <w:rPr>
          <w:color w:val="000000"/>
          <w:szCs w:val="22"/>
        </w:rPr>
        <w:t xml:space="preserve"> </w:t>
      </w:r>
      <w:r w:rsidRPr="00664898">
        <w:rPr>
          <w:color w:val="000000"/>
          <w:szCs w:val="22"/>
        </w:rPr>
        <w:t>nurodytais skirtumais:</w:t>
      </w:r>
    </w:p>
    <w:p w:rsidR="00DA2E9E" w:rsidRPr="00C4611D" w:rsidRDefault="00DA2E9E" w:rsidP="00DA2E9E">
      <w:pPr>
        <w:tabs>
          <w:tab w:val="left" w:pos="567"/>
        </w:tabs>
        <w:rPr>
          <w:rFonts w:eastAsia="Times New Roman"/>
          <w:b/>
          <w:szCs w:val="22"/>
        </w:rPr>
      </w:pPr>
      <w:r w:rsidRPr="00175E58">
        <w:rPr>
          <w:b/>
        </w:rPr>
        <w:t xml:space="preserve">Labai </w:t>
      </w:r>
      <w:r w:rsidRPr="005D554B">
        <w:rPr>
          <w:b/>
          <w:bCs/>
          <w:noProof/>
          <w:snapToGrid w:val="0"/>
          <w:szCs w:val="22"/>
        </w:rPr>
        <w:t>dažni šalutinio poveikio reiškiniai</w:t>
      </w:r>
      <w:r w:rsidRPr="00175E58">
        <w:rPr>
          <w:b/>
        </w:rPr>
        <w:t xml:space="preserve"> (gali </w:t>
      </w:r>
      <w:r w:rsidRPr="005D554B">
        <w:rPr>
          <w:b/>
          <w:bCs/>
          <w:noProof/>
          <w:snapToGrid w:val="0"/>
          <w:szCs w:val="22"/>
        </w:rPr>
        <w:t>pasireikšti ne rečiau kaip</w:t>
      </w:r>
      <w:r w:rsidRPr="00175E58">
        <w:rPr>
          <w:b/>
        </w:rPr>
        <w:t xml:space="preserve"> 1 iš 10 </w:t>
      </w:r>
      <w:r w:rsidRPr="005D554B">
        <w:rPr>
          <w:b/>
          <w:bCs/>
          <w:noProof/>
          <w:snapToGrid w:val="0"/>
          <w:szCs w:val="22"/>
        </w:rPr>
        <w:t>asmenų</w:t>
      </w:r>
      <w:r>
        <w:rPr>
          <w:b/>
          <w:bCs/>
          <w:noProof/>
          <w:snapToGrid w:val="0"/>
          <w:szCs w:val="22"/>
        </w:rPr>
        <w:t>):</w:t>
      </w:r>
    </w:p>
    <w:p w:rsidR="00DA2E9E" w:rsidRPr="00664898" w:rsidRDefault="00DA2E9E" w:rsidP="00DA2E9E">
      <w:pPr>
        <w:widowControl w:val="0"/>
        <w:autoSpaceDE w:val="0"/>
        <w:autoSpaceDN w:val="0"/>
        <w:adjustRightInd w:val="0"/>
        <w:jc w:val="both"/>
        <w:rPr>
          <w:color w:val="000000"/>
          <w:szCs w:val="22"/>
        </w:rPr>
      </w:pPr>
      <w:r w:rsidRPr="00664898">
        <w:rPr>
          <w:color w:val="000000"/>
          <w:szCs w:val="22"/>
        </w:rPr>
        <w:t xml:space="preserve">mažas </w:t>
      </w:r>
      <w:proofErr w:type="spellStart"/>
      <w:r w:rsidRPr="00664898">
        <w:rPr>
          <w:color w:val="000000"/>
          <w:szCs w:val="22"/>
        </w:rPr>
        <w:t>neutrofilų</w:t>
      </w:r>
      <w:proofErr w:type="spellEnd"/>
      <w:r w:rsidRPr="00664898">
        <w:rPr>
          <w:color w:val="000000"/>
          <w:szCs w:val="22"/>
        </w:rPr>
        <w:t xml:space="preserve"> (vienos rūšies baltųjų kraujo kūnelių,</w:t>
      </w:r>
      <w:r>
        <w:rPr>
          <w:color w:val="000000"/>
          <w:szCs w:val="22"/>
        </w:rPr>
        <w:t xml:space="preserve"> </w:t>
      </w:r>
      <w:r w:rsidRPr="00664898">
        <w:rPr>
          <w:color w:val="000000"/>
          <w:szCs w:val="22"/>
        </w:rPr>
        <w:t>svarbių kovojant su infekcija) kiekis.</w:t>
      </w:r>
    </w:p>
    <w:p w:rsidR="00DA2E9E" w:rsidRPr="00D166EA" w:rsidRDefault="00DA2E9E" w:rsidP="00DA2E9E">
      <w:pPr>
        <w:widowControl w:val="0"/>
        <w:autoSpaceDE w:val="0"/>
        <w:autoSpaceDN w:val="0"/>
        <w:adjustRightInd w:val="0"/>
        <w:jc w:val="both"/>
        <w:rPr>
          <w:color w:val="000000"/>
          <w:szCs w:val="22"/>
        </w:rPr>
      </w:pPr>
    </w:p>
    <w:p w:rsidR="00DA2E9E" w:rsidRPr="00D166EA" w:rsidRDefault="00DA2E9E" w:rsidP="00DA2E9E">
      <w:pPr>
        <w:rPr>
          <w:b/>
          <w:bCs/>
          <w:szCs w:val="22"/>
        </w:rPr>
      </w:pPr>
      <w:r w:rsidRPr="00D166EA">
        <w:rPr>
          <w:b/>
          <w:bCs/>
          <w:szCs w:val="22"/>
        </w:rPr>
        <w:t>Pranešimas apie šalutinį poveikį</w:t>
      </w:r>
    </w:p>
    <w:p w:rsidR="00DA2E9E" w:rsidRPr="00175E58" w:rsidRDefault="00DA2E9E" w:rsidP="00DA2E9E">
      <w:pPr>
        <w:ind w:right="-449"/>
        <w:rPr>
          <w:color w:val="000000"/>
        </w:rPr>
      </w:pPr>
      <w:r w:rsidRPr="00D166EA">
        <w:rPr>
          <w:szCs w:val="22"/>
        </w:rPr>
        <w:t xml:space="preserve">Jeigu pasireiškė šalutinis poveikis, įskaitant šiame lapelyje nenurodytą, pasakykite gydytojui arba vaistininkui. </w:t>
      </w:r>
      <w:r w:rsidRPr="00560367">
        <w:rPr>
          <w:color w:val="000000"/>
          <w:szCs w:val="22"/>
        </w:rPr>
        <w:t>Pranešimą apie</w:t>
      </w:r>
      <w:r w:rsidRPr="00175E58">
        <w:rPr>
          <w:color w:val="000000"/>
        </w:rPr>
        <w:t xml:space="preserve"> šalutinį poveikį galite pateikti </w:t>
      </w:r>
      <w:r w:rsidRPr="00560367">
        <w:rPr>
          <w:color w:val="000000"/>
          <w:szCs w:val="22"/>
        </w:rPr>
        <w:t>šiais būdais: tiesiogiai užpildant formą internetu</w:t>
      </w:r>
      <w:r w:rsidRPr="00175E58">
        <w:rPr>
          <w:color w:val="000000"/>
        </w:rPr>
        <w:t xml:space="preserve"> Valstybinės vaistų kontrolės tarnybos prie Lietuvos Respublikos sveikatos apsaugos ministerijos </w:t>
      </w:r>
      <w:r w:rsidRPr="00560367">
        <w:rPr>
          <w:color w:val="000000"/>
          <w:szCs w:val="22"/>
        </w:rPr>
        <w:t xml:space="preserve">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560367">
        <w:rPr>
          <w:color w:val="000000"/>
          <w:szCs w:val="22"/>
        </w:rPr>
        <w:t>NepageidaujamaR@vvkt.lt</w:t>
      </w:r>
      <w:proofErr w:type="spellEnd"/>
      <w:r w:rsidRPr="00560367">
        <w:rPr>
          <w:color w:val="000000"/>
          <w:szCs w:val="22"/>
        </w:rPr>
        <w:t>) arba nemokamu telefonu 8 800 73 568.</w:t>
      </w:r>
      <w:r w:rsidRPr="00175E58">
        <w:rPr>
          <w:color w:val="000000"/>
        </w:rPr>
        <w:t xml:space="preserve"> Pranešdami apie šalutinį poveikį galite mums padėti gauti daugiau informacijos apie šio vaisto saugumą.</w:t>
      </w:r>
    </w:p>
    <w:p w:rsidR="00DA2E9E" w:rsidRPr="00175E58" w:rsidRDefault="00DA2E9E" w:rsidP="00DA2E9E">
      <w:pPr>
        <w:pStyle w:val="Antrat3"/>
        <w:spacing w:before="0" w:after="0"/>
        <w:rPr>
          <w:rFonts w:ascii="Times New Roman" w:hAnsi="Times New Roman"/>
          <w:sz w:val="22"/>
        </w:rPr>
      </w:pPr>
    </w:p>
    <w:p w:rsidR="00DA2E9E" w:rsidRPr="00175E58" w:rsidRDefault="00DA2E9E" w:rsidP="00DA2E9E">
      <w:pPr>
        <w:pStyle w:val="Antrat3"/>
        <w:spacing w:before="0" w:after="0"/>
        <w:rPr>
          <w:rFonts w:ascii="Times New Roman" w:hAnsi="Times New Roman"/>
          <w:sz w:val="22"/>
        </w:rPr>
      </w:pPr>
    </w:p>
    <w:p w:rsidR="00DA2E9E" w:rsidRPr="00D166EA" w:rsidRDefault="00DA2E9E" w:rsidP="00DA2E9E">
      <w:pPr>
        <w:pStyle w:val="Antrat3"/>
        <w:spacing w:before="0" w:after="0"/>
        <w:rPr>
          <w:rFonts w:ascii="Times New Roman" w:hAnsi="Times New Roman"/>
          <w:sz w:val="22"/>
          <w:szCs w:val="22"/>
        </w:rPr>
      </w:pPr>
      <w:r w:rsidRPr="00D166EA">
        <w:rPr>
          <w:rFonts w:ascii="Times New Roman" w:hAnsi="Times New Roman"/>
          <w:sz w:val="22"/>
          <w:szCs w:val="22"/>
        </w:rPr>
        <w:t>5.</w:t>
      </w:r>
      <w:r w:rsidRPr="00D166EA">
        <w:rPr>
          <w:rFonts w:ascii="Times New Roman" w:hAnsi="Times New Roman"/>
          <w:sz w:val="22"/>
          <w:szCs w:val="22"/>
        </w:rPr>
        <w:tab/>
        <w:t xml:space="preserve">Kaip laikyti </w:t>
      </w:r>
      <w:proofErr w:type="spellStart"/>
      <w:r w:rsidRPr="00D166EA">
        <w:rPr>
          <w:rFonts w:ascii="Times New Roman" w:hAnsi="Times New Roman"/>
          <w:sz w:val="22"/>
          <w:szCs w:val="22"/>
        </w:rPr>
        <w:t>Entecavir</w:t>
      </w:r>
      <w:proofErr w:type="spellEnd"/>
      <w:r w:rsidRPr="00D166EA">
        <w:rPr>
          <w:rFonts w:ascii="Times New Roman" w:hAnsi="Times New Roman"/>
          <w:sz w:val="22"/>
          <w:szCs w:val="22"/>
        </w:rPr>
        <w:t xml:space="preserve"> </w:t>
      </w:r>
      <w:proofErr w:type="spellStart"/>
      <w:r w:rsidRPr="00D166EA">
        <w:rPr>
          <w:rFonts w:ascii="Times New Roman" w:hAnsi="Times New Roman"/>
          <w:sz w:val="22"/>
          <w:szCs w:val="22"/>
        </w:rPr>
        <w:t>Sandoz</w:t>
      </w:r>
      <w:proofErr w:type="spellEnd"/>
    </w:p>
    <w:p w:rsidR="00DA2E9E" w:rsidRPr="00D166EA" w:rsidRDefault="00DA2E9E" w:rsidP="00DA2E9E">
      <w:pPr>
        <w:numPr>
          <w:ilvl w:val="12"/>
          <w:numId w:val="0"/>
        </w:numPr>
        <w:rPr>
          <w:szCs w:val="22"/>
        </w:rPr>
      </w:pPr>
    </w:p>
    <w:p w:rsidR="00DA2E9E" w:rsidRPr="00D166EA" w:rsidRDefault="00DA2E9E" w:rsidP="00DA2E9E">
      <w:pPr>
        <w:numPr>
          <w:ilvl w:val="12"/>
          <w:numId w:val="0"/>
        </w:numPr>
        <w:tabs>
          <w:tab w:val="left" w:pos="1296"/>
        </w:tabs>
        <w:rPr>
          <w:szCs w:val="22"/>
        </w:rPr>
      </w:pPr>
      <w:r w:rsidRPr="00D166EA">
        <w:rPr>
          <w:szCs w:val="22"/>
        </w:rPr>
        <w:t>Šį vaistą laikykite vaikams nepastebimoje ir nepasiekiamoje vietoje.</w:t>
      </w:r>
    </w:p>
    <w:p w:rsidR="00DA2E9E" w:rsidRPr="00D166EA" w:rsidRDefault="00DA2E9E" w:rsidP="00DA2E9E">
      <w:pPr>
        <w:numPr>
          <w:ilvl w:val="12"/>
          <w:numId w:val="0"/>
        </w:numPr>
        <w:tabs>
          <w:tab w:val="left" w:pos="1296"/>
        </w:tabs>
        <w:rPr>
          <w:szCs w:val="22"/>
        </w:rPr>
      </w:pPr>
    </w:p>
    <w:p w:rsidR="00DA2E9E" w:rsidRDefault="00DA2E9E" w:rsidP="00DA2E9E">
      <w:pPr>
        <w:numPr>
          <w:ilvl w:val="12"/>
          <w:numId w:val="0"/>
        </w:numPr>
        <w:tabs>
          <w:tab w:val="left" w:pos="1296"/>
        </w:tabs>
        <w:rPr>
          <w:szCs w:val="22"/>
        </w:rPr>
      </w:pPr>
      <w:r w:rsidRPr="00D166EA">
        <w:rPr>
          <w:szCs w:val="22"/>
        </w:rPr>
        <w:t>Ant dėžutės</w:t>
      </w:r>
      <w:r>
        <w:rPr>
          <w:szCs w:val="22"/>
        </w:rPr>
        <w:t xml:space="preserve">, </w:t>
      </w:r>
      <w:r w:rsidRPr="00591D31">
        <w:rPr>
          <w:szCs w:val="22"/>
          <w:highlight w:val="lightGray"/>
        </w:rPr>
        <w:t>buteliuko</w:t>
      </w:r>
      <w:r w:rsidRPr="00D166EA">
        <w:rPr>
          <w:szCs w:val="22"/>
        </w:rPr>
        <w:t xml:space="preserve"> ir lizdinės plokštelės po „Tinka iki/EXP“ nurodytam tinkamumo laikui pasibaigus, šio vaisto vartoti negalima. </w:t>
      </w:r>
    </w:p>
    <w:p w:rsidR="00DA2E9E" w:rsidRDefault="00DA2E9E" w:rsidP="00DA2E9E">
      <w:pPr>
        <w:numPr>
          <w:ilvl w:val="12"/>
          <w:numId w:val="0"/>
        </w:numPr>
        <w:tabs>
          <w:tab w:val="left" w:pos="1296"/>
        </w:tabs>
        <w:rPr>
          <w:szCs w:val="22"/>
        </w:rPr>
      </w:pPr>
    </w:p>
    <w:p w:rsidR="00DA2E9E" w:rsidRPr="00D166EA" w:rsidRDefault="00DA2E9E" w:rsidP="00DA2E9E">
      <w:pPr>
        <w:numPr>
          <w:ilvl w:val="12"/>
          <w:numId w:val="0"/>
        </w:numPr>
        <w:tabs>
          <w:tab w:val="left" w:pos="1296"/>
        </w:tabs>
        <w:rPr>
          <w:szCs w:val="22"/>
        </w:rPr>
      </w:pPr>
      <w:r w:rsidRPr="00D166EA">
        <w:rPr>
          <w:szCs w:val="22"/>
        </w:rPr>
        <w:t>Vaistas tinkamas vartoti iki paskutinės nurodyto mėnesio dienos.</w:t>
      </w:r>
    </w:p>
    <w:p w:rsidR="00DA2E9E" w:rsidRPr="00D166EA" w:rsidRDefault="00DA2E9E" w:rsidP="00DA2E9E">
      <w:pPr>
        <w:jc w:val="both"/>
        <w:rPr>
          <w:szCs w:val="22"/>
        </w:rPr>
      </w:pPr>
    </w:p>
    <w:p w:rsidR="00DA2E9E" w:rsidRPr="00D166EA" w:rsidRDefault="00DA2E9E" w:rsidP="00DA2E9E">
      <w:pPr>
        <w:numPr>
          <w:ilvl w:val="12"/>
          <w:numId w:val="0"/>
        </w:numPr>
        <w:tabs>
          <w:tab w:val="left" w:pos="1296"/>
        </w:tabs>
        <w:rPr>
          <w:rFonts w:eastAsia="MS Mincho"/>
          <w:szCs w:val="22"/>
        </w:rPr>
      </w:pPr>
      <w:r w:rsidRPr="00D166EA">
        <w:rPr>
          <w:rFonts w:eastAsia="MS Mincho"/>
          <w:szCs w:val="22"/>
        </w:rPr>
        <w:t>Šiam vaistui specialių laikymo sąlygų nereikia.</w:t>
      </w:r>
    </w:p>
    <w:p w:rsidR="00DA2E9E" w:rsidRDefault="00DA2E9E" w:rsidP="00DA2E9E">
      <w:pPr>
        <w:numPr>
          <w:ilvl w:val="12"/>
          <w:numId w:val="0"/>
        </w:numPr>
        <w:tabs>
          <w:tab w:val="left" w:pos="1296"/>
        </w:tabs>
        <w:rPr>
          <w:szCs w:val="22"/>
        </w:rPr>
      </w:pPr>
    </w:p>
    <w:p w:rsidR="00DA2E9E" w:rsidRDefault="00DA2E9E" w:rsidP="00DA2E9E">
      <w:pPr>
        <w:numPr>
          <w:ilvl w:val="12"/>
          <w:numId w:val="0"/>
        </w:numPr>
        <w:tabs>
          <w:tab w:val="left" w:pos="1296"/>
        </w:tabs>
        <w:rPr>
          <w:szCs w:val="22"/>
        </w:rPr>
      </w:pPr>
      <w:r>
        <w:rPr>
          <w:szCs w:val="22"/>
        </w:rPr>
        <w:t>Buteliuką pirmą kartą atidarius, vaistas tinkamas vartoti 6 mėnesius.</w:t>
      </w:r>
    </w:p>
    <w:p w:rsidR="00DA2E9E" w:rsidRPr="00D166EA" w:rsidRDefault="00DA2E9E" w:rsidP="00DA2E9E">
      <w:pPr>
        <w:numPr>
          <w:ilvl w:val="12"/>
          <w:numId w:val="0"/>
        </w:numPr>
        <w:tabs>
          <w:tab w:val="left" w:pos="1296"/>
        </w:tabs>
        <w:rPr>
          <w:szCs w:val="22"/>
        </w:rPr>
      </w:pPr>
    </w:p>
    <w:p w:rsidR="00DA2E9E" w:rsidRPr="00D166EA" w:rsidRDefault="00DA2E9E" w:rsidP="00DA2E9E">
      <w:pPr>
        <w:numPr>
          <w:ilvl w:val="12"/>
          <w:numId w:val="0"/>
        </w:numPr>
        <w:tabs>
          <w:tab w:val="left" w:pos="1296"/>
        </w:tabs>
        <w:rPr>
          <w:i/>
          <w:iCs/>
          <w:szCs w:val="22"/>
        </w:rPr>
      </w:pPr>
      <w:r w:rsidRPr="00D166EA">
        <w:rPr>
          <w:szCs w:val="22"/>
        </w:rPr>
        <w:t xml:space="preserve">Vaistų negalima išmesti į kanalizaciją arba su </w:t>
      </w:r>
      <w:r w:rsidRPr="00591D31">
        <w:rPr>
          <w:szCs w:val="22"/>
          <w:highlight w:val="lightGray"/>
        </w:rPr>
        <w:t>buitinėmis atliekomis</w:t>
      </w:r>
      <w:r w:rsidRPr="00D166EA">
        <w:rPr>
          <w:szCs w:val="22"/>
        </w:rPr>
        <w:t>. Kaip išmesti nereikalingus vaistus, klauskite vaistininko. Šios priemonės padės apsaugoti aplinką.</w:t>
      </w:r>
    </w:p>
    <w:p w:rsidR="00DA2E9E" w:rsidRPr="00D166EA" w:rsidRDefault="00DA2E9E" w:rsidP="00DA2E9E">
      <w:pPr>
        <w:numPr>
          <w:ilvl w:val="12"/>
          <w:numId w:val="0"/>
        </w:numPr>
        <w:rPr>
          <w:szCs w:val="22"/>
        </w:rPr>
      </w:pPr>
    </w:p>
    <w:p w:rsidR="00DA2E9E" w:rsidRPr="00D166EA" w:rsidRDefault="00DA2E9E" w:rsidP="00DA2E9E">
      <w:pPr>
        <w:numPr>
          <w:ilvl w:val="12"/>
          <w:numId w:val="0"/>
        </w:numPr>
        <w:rPr>
          <w:szCs w:val="22"/>
        </w:rPr>
      </w:pPr>
    </w:p>
    <w:p w:rsidR="00DA2E9E" w:rsidRPr="00D166EA" w:rsidRDefault="00DA2E9E" w:rsidP="00DA2E9E">
      <w:pPr>
        <w:pStyle w:val="Antrat3"/>
        <w:spacing w:before="0" w:after="0"/>
        <w:rPr>
          <w:rFonts w:ascii="Times New Roman" w:hAnsi="Times New Roman"/>
          <w:sz w:val="22"/>
          <w:szCs w:val="22"/>
        </w:rPr>
      </w:pPr>
      <w:r w:rsidRPr="00D166EA">
        <w:rPr>
          <w:rFonts w:ascii="Times New Roman" w:hAnsi="Times New Roman"/>
          <w:sz w:val="22"/>
          <w:szCs w:val="22"/>
        </w:rPr>
        <w:t>6.</w:t>
      </w:r>
      <w:r w:rsidRPr="00D166EA">
        <w:rPr>
          <w:rFonts w:ascii="Times New Roman" w:hAnsi="Times New Roman"/>
          <w:b w:val="0"/>
          <w:bCs w:val="0"/>
          <w:sz w:val="22"/>
          <w:szCs w:val="22"/>
        </w:rPr>
        <w:tab/>
      </w:r>
      <w:r w:rsidRPr="00D166EA">
        <w:rPr>
          <w:rFonts w:ascii="Times New Roman" w:hAnsi="Times New Roman"/>
          <w:sz w:val="22"/>
          <w:szCs w:val="22"/>
        </w:rPr>
        <w:t>Pakuotės turinys ir kita informacija</w:t>
      </w:r>
    </w:p>
    <w:p w:rsidR="00DA2E9E" w:rsidRPr="00D166EA" w:rsidRDefault="00DA2E9E" w:rsidP="00DA2E9E">
      <w:pPr>
        <w:numPr>
          <w:ilvl w:val="12"/>
          <w:numId w:val="0"/>
        </w:numPr>
        <w:rPr>
          <w:szCs w:val="22"/>
        </w:rPr>
      </w:pPr>
    </w:p>
    <w:p w:rsidR="00DA2E9E" w:rsidRPr="00D166EA" w:rsidRDefault="00DA2E9E" w:rsidP="00DA2E9E">
      <w:pPr>
        <w:rPr>
          <w:b/>
          <w:szCs w:val="22"/>
        </w:rPr>
      </w:pPr>
      <w:proofErr w:type="spellStart"/>
      <w:r w:rsidRPr="00D166EA">
        <w:rPr>
          <w:b/>
          <w:szCs w:val="22"/>
        </w:rPr>
        <w:t>Entecavir</w:t>
      </w:r>
      <w:proofErr w:type="spellEnd"/>
      <w:r w:rsidRPr="00D166EA">
        <w:rPr>
          <w:b/>
          <w:szCs w:val="22"/>
        </w:rPr>
        <w:t xml:space="preserve"> </w:t>
      </w:r>
      <w:proofErr w:type="spellStart"/>
      <w:r w:rsidRPr="00D166EA">
        <w:rPr>
          <w:b/>
          <w:szCs w:val="22"/>
        </w:rPr>
        <w:t>Sandoz</w:t>
      </w:r>
      <w:proofErr w:type="spellEnd"/>
      <w:r w:rsidRPr="00D166EA">
        <w:rPr>
          <w:b/>
          <w:szCs w:val="22"/>
        </w:rPr>
        <w:t xml:space="preserve"> sudėtis </w:t>
      </w:r>
    </w:p>
    <w:p w:rsidR="00DA2E9E" w:rsidRPr="00D166EA" w:rsidRDefault="00DA2E9E" w:rsidP="00DA2E9E">
      <w:pPr>
        <w:pStyle w:val="Sraopastraipa"/>
        <w:widowControl w:val="0"/>
        <w:numPr>
          <w:ilvl w:val="0"/>
          <w:numId w:val="1"/>
        </w:numPr>
        <w:autoSpaceDE w:val="0"/>
        <w:autoSpaceDN w:val="0"/>
        <w:adjustRightInd w:val="0"/>
        <w:ind w:left="567" w:hanging="567"/>
        <w:rPr>
          <w:color w:val="000000"/>
          <w:sz w:val="22"/>
          <w:szCs w:val="22"/>
          <w:lang w:val="lt-LT"/>
        </w:rPr>
      </w:pPr>
      <w:r w:rsidRPr="00D166EA">
        <w:rPr>
          <w:sz w:val="22"/>
          <w:szCs w:val="22"/>
          <w:lang w:val="lt-LT"/>
        </w:rPr>
        <w:t xml:space="preserve">Veiklioji medžiaga yra </w:t>
      </w:r>
      <w:proofErr w:type="spellStart"/>
      <w:r>
        <w:rPr>
          <w:sz w:val="22"/>
          <w:szCs w:val="22"/>
          <w:lang w:val="lt-LT"/>
        </w:rPr>
        <w:t>e</w:t>
      </w:r>
      <w:r w:rsidRPr="00D166EA">
        <w:rPr>
          <w:sz w:val="22"/>
          <w:szCs w:val="22"/>
          <w:lang w:val="lt-LT"/>
        </w:rPr>
        <w:t>nte</w:t>
      </w:r>
      <w:r>
        <w:rPr>
          <w:sz w:val="22"/>
          <w:szCs w:val="22"/>
          <w:lang w:val="lt-LT"/>
        </w:rPr>
        <w:t>k</w:t>
      </w:r>
      <w:r w:rsidRPr="00D166EA">
        <w:rPr>
          <w:sz w:val="22"/>
          <w:szCs w:val="22"/>
          <w:lang w:val="lt-LT"/>
        </w:rPr>
        <w:t>aviras</w:t>
      </w:r>
      <w:proofErr w:type="spellEnd"/>
      <w:r>
        <w:rPr>
          <w:sz w:val="22"/>
          <w:szCs w:val="22"/>
          <w:lang w:val="lt-LT"/>
        </w:rPr>
        <w:t xml:space="preserve"> (</w:t>
      </w:r>
      <w:proofErr w:type="spellStart"/>
      <w:r>
        <w:rPr>
          <w:sz w:val="22"/>
          <w:szCs w:val="22"/>
          <w:lang w:val="lt-LT"/>
        </w:rPr>
        <w:t>monohidrato</w:t>
      </w:r>
      <w:proofErr w:type="spellEnd"/>
      <w:r>
        <w:rPr>
          <w:sz w:val="22"/>
          <w:szCs w:val="22"/>
          <w:lang w:val="lt-LT"/>
        </w:rPr>
        <w:t xml:space="preserve"> pavidalu)</w:t>
      </w:r>
      <w:r w:rsidRPr="00D166EA">
        <w:rPr>
          <w:sz w:val="22"/>
          <w:szCs w:val="22"/>
          <w:lang w:val="lt-LT"/>
        </w:rPr>
        <w:t xml:space="preserve">. </w:t>
      </w:r>
      <w:r>
        <w:rPr>
          <w:sz w:val="22"/>
          <w:szCs w:val="22"/>
          <w:lang w:val="lt-LT"/>
        </w:rPr>
        <w:br/>
        <w:t xml:space="preserve">Kiekvienoje plėvele dengtoje tabletėje yra 0,5 mg </w:t>
      </w:r>
      <w:proofErr w:type="spellStart"/>
      <w:r>
        <w:rPr>
          <w:sz w:val="22"/>
          <w:szCs w:val="22"/>
          <w:lang w:val="lt-LT"/>
        </w:rPr>
        <w:t>entekaviro</w:t>
      </w:r>
      <w:proofErr w:type="spellEnd"/>
      <w:r>
        <w:rPr>
          <w:sz w:val="22"/>
          <w:szCs w:val="22"/>
          <w:lang w:val="lt-LT"/>
        </w:rPr>
        <w:t xml:space="preserve"> (</w:t>
      </w:r>
      <w:proofErr w:type="spellStart"/>
      <w:r>
        <w:rPr>
          <w:sz w:val="22"/>
          <w:szCs w:val="22"/>
          <w:lang w:val="lt-LT"/>
        </w:rPr>
        <w:t>monohidrato</w:t>
      </w:r>
      <w:proofErr w:type="spellEnd"/>
      <w:r>
        <w:rPr>
          <w:sz w:val="22"/>
          <w:szCs w:val="22"/>
          <w:lang w:val="lt-LT"/>
        </w:rPr>
        <w:t xml:space="preserve"> pavidalu).</w:t>
      </w:r>
      <w:r>
        <w:rPr>
          <w:sz w:val="22"/>
          <w:szCs w:val="22"/>
          <w:lang w:val="lt-LT"/>
        </w:rPr>
        <w:br/>
      </w:r>
      <w:r w:rsidRPr="00591D31">
        <w:rPr>
          <w:sz w:val="22"/>
          <w:szCs w:val="22"/>
          <w:highlight w:val="lightGray"/>
          <w:lang w:val="lt-LT"/>
        </w:rPr>
        <w:t xml:space="preserve">Kiekvienoje plėvele dengtoje tabletėje yra 1 mg </w:t>
      </w:r>
      <w:proofErr w:type="spellStart"/>
      <w:r w:rsidRPr="00591D31">
        <w:rPr>
          <w:sz w:val="22"/>
          <w:szCs w:val="22"/>
          <w:highlight w:val="lightGray"/>
          <w:lang w:val="lt-LT"/>
        </w:rPr>
        <w:t>entekaviro</w:t>
      </w:r>
      <w:proofErr w:type="spellEnd"/>
      <w:r w:rsidRPr="00591D31">
        <w:rPr>
          <w:sz w:val="22"/>
          <w:szCs w:val="22"/>
          <w:highlight w:val="lightGray"/>
          <w:lang w:val="lt-LT"/>
        </w:rPr>
        <w:t xml:space="preserve"> (</w:t>
      </w:r>
      <w:proofErr w:type="spellStart"/>
      <w:r w:rsidRPr="00591D31">
        <w:rPr>
          <w:sz w:val="22"/>
          <w:szCs w:val="22"/>
          <w:highlight w:val="lightGray"/>
          <w:lang w:val="lt-LT"/>
        </w:rPr>
        <w:t>monohidrato</w:t>
      </w:r>
      <w:proofErr w:type="spellEnd"/>
      <w:r w:rsidRPr="00591D31">
        <w:rPr>
          <w:sz w:val="22"/>
          <w:szCs w:val="22"/>
          <w:highlight w:val="lightGray"/>
          <w:lang w:val="lt-LT"/>
        </w:rPr>
        <w:t xml:space="preserve"> pavidalu).</w:t>
      </w:r>
    </w:p>
    <w:p w:rsidR="00DA2E9E" w:rsidRPr="00D166EA" w:rsidRDefault="00DA2E9E" w:rsidP="00DA2E9E">
      <w:pPr>
        <w:numPr>
          <w:ilvl w:val="0"/>
          <w:numId w:val="1"/>
        </w:numPr>
        <w:tabs>
          <w:tab w:val="left" w:pos="540"/>
          <w:tab w:val="num" w:pos="720"/>
          <w:tab w:val="left" w:pos="1296"/>
        </w:tabs>
        <w:ind w:left="567" w:hanging="567"/>
        <w:rPr>
          <w:szCs w:val="22"/>
        </w:rPr>
      </w:pPr>
      <w:r w:rsidRPr="00D166EA">
        <w:rPr>
          <w:szCs w:val="22"/>
        </w:rPr>
        <w:t>Pagalbinės medžiagos yra:</w:t>
      </w:r>
    </w:p>
    <w:p w:rsidR="00DA2E9E" w:rsidRPr="00D166EA" w:rsidRDefault="00DA2E9E" w:rsidP="00DA2E9E">
      <w:pPr>
        <w:widowControl w:val="0"/>
        <w:autoSpaceDE w:val="0"/>
        <w:autoSpaceDN w:val="0"/>
        <w:adjustRightInd w:val="0"/>
        <w:ind w:left="567"/>
        <w:rPr>
          <w:rFonts w:eastAsia="MS Mincho"/>
          <w:szCs w:val="22"/>
        </w:rPr>
      </w:pPr>
      <w:r w:rsidRPr="00BF2076">
        <w:rPr>
          <w:i/>
          <w:color w:val="000000"/>
          <w:szCs w:val="22"/>
        </w:rPr>
        <w:t>Tabletės branduolys</w:t>
      </w:r>
      <w:r w:rsidRPr="00D166EA">
        <w:rPr>
          <w:i/>
          <w:color w:val="000000"/>
          <w:szCs w:val="22"/>
        </w:rPr>
        <w:t>:</w:t>
      </w:r>
      <w:r w:rsidRPr="00D166EA">
        <w:rPr>
          <w:color w:val="000000"/>
          <w:szCs w:val="22"/>
        </w:rPr>
        <w:t xml:space="preserve"> </w:t>
      </w:r>
      <w:r w:rsidRPr="00D166EA">
        <w:rPr>
          <w:rFonts w:eastAsia="MS Mincho"/>
          <w:szCs w:val="22"/>
        </w:rPr>
        <w:t xml:space="preserve">laktozė </w:t>
      </w:r>
      <w:proofErr w:type="spellStart"/>
      <w:r w:rsidRPr="00D166EA">
        <w:rPr>
          <w:rFonts w:eastAsia="MS Mincho"/>
          <w:szCs w:val="22"/>
        </w:rPr>
        <w:t>monohidratas</w:t>
      </w:r>
      <w:proofErr w:type="spellEnd"/>
      <w:r w:rsidRPr="00D166EA">
        <w:rPr>
          <w:rFonts w:eastAsia="MS Mincho"/>
          <w:szCs w:val="22"/>
        </w:rPr>
        <w:t xml:space="preserve">, </w:t>
      </w:r>
      <w:proofErr w:type="spellStart"/>
      <w:r w:rsidRPr="00D166EA">
        <w:rPr>
          <w:rFonts w:eastAsia="MS Mincho"/>
          <w:szCs w:val="22"/>
        </w:rPr>
        <w:t>mikrokristalinė</w:t>
      </w:r>
      <w:proofErr w:type="spellEnd"/>
      <w:r w:rsidRPr="00D166EA">
        <w:rPr>
          <w:rFonts w:eastAsia="MS Mincho"/>
          <w:szCs w:val="22"/>
        </w:rPr>
        <w:t xml:space="preserve"> celiuliozė, </w:t>
      </w:r>
      <w:proofErr w:type="spellStart"/>
      <w:r w:rsidRPr="00D166EA">
        <w:rPr>
          <w:rFonts w:eastAsia="MS Mincho"/>
          <w:szCs w:val="22"/>
        </w:rPr>
        <w:t>k</w:t>
      </w:r>
      <w:r>
        <w:rPr>
          <w:rFonts w:eastAsia="MS Mincho"/>
          <w:szCs w:val="22"/>
        </w:rPr>
        <w:t>rospovidomas</w:t>
      </w:r>
      <w:proofErr w:type="spellEnd"/>
      <w:r>
        <w:rPr>
          <w:rFonts w:eastAsia="MS Mincho"/>
          <w:szCs w:val="22"/>
        </w:rPr>
        <w:t xml:space="preserve"> (A tipo), magnio </w:t>
      </w:r>
      <w:proofErr w:type="spellStart"/>
      <w:r>
        <w:rPr>
          <w:rFonts w:eastAsia="MS Mincho"/>
          <w:szCs w:val="22"/>
        </w:rPr>
        <w:t>stearatas</w:t>
      </w:r>
      <w:proofErr w:type="spellEnd"/>
      <w:r w:rsidRPr="00D166EA">
        <w:rPr>
          <w:rFonts w:eastAsia="MS Mincho"/>
          <w:szCs w:val="22"/>
        </w:rPr>
        <w:t>.</w:t>
      </w:r>
    </w:p>
    <w:p w:rsidR="00DA2E9E" w:rsidRPr="00D166EA" w:rsidRDefault="00DA2E9E" w:rsidP="00DA2E9E">
      <w:pPr>
        <w:tabs>
          <w:tab w:val="left" w:pos="658"/>
        </w:tabs>
        <w:ind w:left="567"/>
        <w:jc w:val="both"/>
        <w:rPr>
          <w:color w:val="000000"/>
          <w:szCs w:val="22"/>
        </w:rPr>
      </w:pPr>
      <w:r w:rsidRPr="00BF2076">
        <w:rPr>
          <w:i/>
          <w:color w:val="000000"/>
          <w:szCs w:val="22"/>
        </w:rPr>
        <w:t>Tabletės plėvelė</w:t>
      </w:r>
      <w:r w:rsidRPr="00D166EA">
        <w:rPr>
          <w:i/>
          <w:color w:val="000000"/>
          <w:szCs w:val="22"/>
        </w:rPr>
        <w:t>:</w:t>
      </w:r>
      <w:r w:rsidRPr="00D166EA">
        <w:rPr>
          <w:color w:val="000000"/>
          <w:szCs w:val="22"/>
        </w:rPr>
        <w:t xml:space="preserve"> </w:t>
      </w:r>
      <w:proofErr w:type="spellStart"/>
      <w:r w:rsidRPr="00D166EA">
        <w:rPr>
          <w:color w:val="000000"/>
          <w:szCs w:val="22"/>
        </w:rPr>
        <w:t>hipromeliozė</w:t>
      </w:r>
      <w:proofErr w:type="spellEnd"/>
      <w:r>
        <w:rPr>
          <w:color w:val="000000"/>
          <w:szCs w:val="22"/>
        </w:rPr>
        <w:t xml:space="preserve"> 2910</w:t>
      </w:r>
      <w:r w:rsidRPr="00D166EA">
        <w:rPr>
          <w:color w:val="000000"/>
          <w:szCs w:val="22"/>
        </w:rPr>
        <w:t xml:space="preserve">, </w:t>
      </w:r>
      <w:proofErr w:type="spellStart"/>
      <w:r w:rsidRPr="00D166EA">
        <w:rPr>
          <w:color w:val="000000"/>
          <w:szCs w:val="22"/>
        </w:rPr>
        <w:t>makrogolis</w:t>
      </w:r>
      <w:proofErr w:type="spellEnd"/>
      <w:r>
        <w:rPr>
          <w:color w:val="000000"/>
          <w:szCs w:val="22"/>
        </w:rPr>
        <w:t xml:space="preserve"> 6000,</w:t>
      </w:r>
      <w:r w:rsidRPr="00D166EA">
        <w:rPr>
          <w:color w:val="000000"/>
          <w:szCs w:val="22"/>
        </w:rPr>
        <w:t xml:space="preserve"> titano dioksidas</w:t>
      </w:r>
      <w:r>
        <w:rPr>
          <w:color w:val="000000"/>
          <w:szCs w:val="22"/>
        </w:rPr>
        <w:t xml:space="preserve"> (E171), talkas</w:t>
      </w:r>
      <w:r w:rsidRPr="00D166EA">
        <w:rPr>
          <w:color w:val="000000"/>
          <w:szCs w:val="22"/>
        </w:rPr>
        <w:t>.</w:t>
      </w:r>
    </w:p>
    <w:p w:rsidR="00DA2E9E" w:rsidRPr="00D166EA" w:rsidRDefault="00DA2E9E" w:rsidP="00DA2E9E">
      <w:pPr>
        <w:tabs>
          <w:tab w:val="left" w:pos="1296"/>
        </w:tabs>
        <w:ind w:left="567"/>
        <w:rPr>
          <w:szCs w:val="22"/>
        </w:rPr>
      </w:pPr>
      <w:proofErr w:type="spellStart"/>
      <w:r w:rsidRPr="00591D31">
        <w:rPr>
          <w:szCs w:val="22"/>
          <w:highlight w:val="lightGray"/>
        </w:rPr>
        <w:t>Entecavir</w:t>
      </w:r>
      <w:proofErr w:type="spellEnd"/>
      <w:r w:rsidRPr="00591D31">
        <w:rPr>
          <w:szCs w:val="22"/>
          <w:highlight w:val="lightGray"/>
        </w:rPr>
        <w:t xml:space="preserve"> </w:t>
      </w:r>
      <w:proofErr w:type="spellStart"/>
      <w:r w:rsidRPr="00591D31">
        <w:rPr>
          <w:szCs w:val="22"/>
          <w:highlight w:val="lightGray"/>
        </w:rPr>
        <w:t>Sandoz</w:t>
      </w:r>
      <w:proofErr w:type="spellEnd"/>
      <w:r w:rsidRPr="00591D31">
        <w:rPr>
          <w:szCs w:val="22"/>
          <w:highlight w:val="lightGray"/>
        </w:rPr>
        <w:t xml:space="preserve"> 1 mg plėvele dengtų tablečių sudėtyje</w:t>
      </w:r>
      <w:r w:rsidRPr="00BF2076">
        <w:rPr>
          <w:szCs w:val="22"/>
        </w:rPr>
        <w:t xml:space="preserve"> papildomai yra</w:t>
      </w:r>
      <w:r>
        <w:rPr>
          <w:szCs w:val="22"/>
        </w:rPr>
        <w:t xml:space="preserve"> r</w:t>
      </w:r>
      <w:r w:rsidRPr="00BF2076">
        <w:rPr>
          <w:szCs w:val="22"/>
        </w:rPr>
        <w:t>audon</w:t>
      </w:r>
      <w:r>
        <w:rPr>
          <w:szCs w:val="22"/>
        </w:rPr>
        <w:t>ojo</w:t>
      </w:r>
      <w:r w:rsidRPr="00BF2076">
        <w:rPr>
          <w:szCs w:val="22"/>
        </w:rPr>
        <w:t xml:space="preserve"> geležies oksid</w:t>
      </w:r>
      <w:r>
        <w:rPr>
          <w:szCs w:val="22"/>
        </w:rPr>
        <w:t>o (E172) ir geltonojo</w:t>
      </w:r>
      <w:r w:rsidRPr="00BF2076">
        <w:rPr>
          <w:szCs w:val="22"/>
        </w:rPr>
        <w:t xml:space="preserve"> geležies oksid</w:t>
      </w:r>
      <w:r>
        <w:rPr>
          <w:szCs w:val="22"/>
        </w:rPr>
        <w:t>o</w:t>
      </w:r>
      <w:r w:rsidRPr="00BF2076">
        <w:rPr>
          <w:szCs w:val="22"/>
        </w:rPr>
        <w:t xml:space="preserve"> (E17</w:t>
      </w:r>
      <w:r>
        <w:rPr>
          <w:szCs w:val="22"/>
        </w:rPr>
        <w:t>2</w:t>
      </w:r>
      <w:r w:rsidRPr="00BF2076">
        <w:rPr>
          <w:szCs w:val="22"/>
        </w:rPr>
        <w:t>)</w:t>
      </w:r>
      <w:r>
        <w:rPr>
          <w:szCs w:val="22"/>
        </w:rPr>
        <w:t>.</w:t>
      </w:r>
    </w:p>
    <w:p w:rsidR="00DA2E9E" w:rsidRDefault="00DA2E9E" w:rsidP="00DA2E9E">
      <w:pPr>
        <w:rPr>
          <w:b/>
          <w:szCs w:val="22"/>
        </w:rPr>
      </w:pPr>
    </w:p>
    <w:p w:rsidR="00DA2E9E" w:rsidRPr="00D166EA" w:rsidRDefault="00DA2E9E" w:rsidP="00DA2E9E">
      <w:pPr>
        <w:rPr>
          <w:b/>
          <w:szCs w:val="22"/>
        </w:rPr>
      </w:pPr>
      <w:proofErr w:type="spellStart"/>
      <w:r w:rsidRPr="00D166EA">
        <w:rPr>
          <w:b/>
          <w:szCs w:val="22"/>
        </w:rPr>
        <w:t>Entecavir</w:t>
      </w:r>
      <w:proofErr w:type="spellEnd"/>
      <w:r w:rsidRPr="00D166EA">
        <w:rPr>
          <w:b/>
          <w:szCs w:val="22"/>
        </w:rPr>
        <w:t xml:space="preserve"> </w:t>
      </w:r>
      <w:proofErr w:type="spellStart"/>
      <w:r w:rsidRPr="00D166EA">
        <w:rPr>
          <w:b/>
          <w:szCs w:val="22"/>
        </w:rPr>
        <w:t>Sandoz</w:t>
      </w:r>
      <w:proofErr w:type="spellEnd"/>
      <w:r w:rsidRPr="00D166EA">
        <w:rPr>
          <w:b/>
          <w:szCs w:val="22"/>
        </w:rPr>
        <w:t xml:space="preserve"> išvaizda ir kiekis pakuotėje</w:t>
      </w:r>
    </w:p>
    <w:p w:rsidR="00DA2E9E" w:rsidRPr="00D166EA" w:rsidRDefault="00DA2E9E" w:rsidP="00DA2E9E">
      <w:pPr>
        <w:pStyle w:val="Normal11pt"/>
        <w:rPr>
          <w:rFonts w:eastAsia="SimSun"/>
          <w:lang w:val="lt-LT"/>
        </w:rPr>
      </w:pPr>
    </w:p>
    <w:p w:rsidR="00DA2E9E" w:rsidRPr="00D166EA" w:rsidRDefault="00DA2E9E" w:rsidP="00DA2E9E">
      <w:pPr>
        <w:rPr>
          <w:szCs w:val="22"/>
          <w:u w:val="single"/>
        </w:rPr>
      </w:pPr>
      <w:proofErr w:type="spellStart"/>
      <w:r w:rsidRPr="00D50B6C">
        <w:rPr>
          <w:szCs w:val="22"/>
          <w:highlight w:val="lightGray"/>
          <w:u w:val="single"/>
        </w:rPr>
        <w:t>Entecavir</w:t>
      </w:r>
      <w:proofErr w:type="spellEnd"/>
      <w:r w:rsidRPr="00D50B6C">
        <w:rPr>
          <w:szCs w:val="22"/>
          <w:highlight w:val="lightGray"/>
          <w:u w:val="single"/>
        </w:rPr>
        <w:t xml:space="preserve"> </w:t>
      </w:r>
      <w:proofErr w:type="spellStart"/>
      <w:r w:rsidRPr="00D50B6C">
        <w:rPr>
          <w:szCs w:val="22"/>
          <w:highlight w:val="lightGray"/>
          <w:u w:val="single"/>
        </w:rPr>
        <w:t>Sandoz</w:t>
      </w:r>
      <w:proofErr w:type="spellEnd"/>
      <w:r w:rsidRPr="00D50B6C">
        <w:rPr>
          <w:caps/>
          <w:szCs w:val="22"/>
          <w:highlight w:val="lightGray"/>
          <w:u w:val="single"/>
        </w:rPr>
        <w:t xml:space="preserve"> 0,5 </w:t>
      </w:r>
      <w:r w:rsidRPr="00D50B6C">
        <w:rPr>
          <w:szCs w:val="22"/>
          <w:highlight w:val="lightGray"/>
          <w:u w:val="single"/>
        </w:rPr>
        <w:t>mg plėvele dengtos tabletės</w:t>
      </w:r>
    </w:p>
    <w:p w:rsidR="00DA2E9E" w:rsidRPr="00D166EA" w:rsidRDefault="00DA2E9E" w:rsidP="00DA2E9E">
      <w:pPr>
        <w:pStyle w:val="Normal11pt"/>
        <w:rPr>
          <w:rFonts w:eastAsia="SimSun"/>
          <w:lang w:val="lt-LT"/>
        </w:rPr>
      </w:pPr>
      <w:r w:rsidRPr="00591D31">
        <w:rPr>
          <w:rFonts w:eastAsia="SimSun"/>
          <w:lang w:val="lt-LT"/>
        </w:rPr>
        <w:t>Balta, apvali, apytiksliai 8 mm skersmens plėvele dengta tabletė, kurios abiejose pusėse yra įspaudai: „SZ“ vienoje pusėje ir „108“ kitoje pusėje.</w:t>
      </w:r>
      <w:r w:rsidRPr="00D166EA">
        <w:rPr>
          <w:rFonts w:eastAsia="SimSun"/>
          <w:lang w:val="lt-LT"/>
        </w:rPr>
        <w:t xml:space="preserve"> </w:t>
      </w:r>
    </w:p>
    <w:p w:rsidR="00DA2E9E" w:rsidRPr="00D166EA" w:rsidRDefault="00DA2E9E" w:rsidP="00DA2E9E">
      <w:pPr>
        <w:pStyle w:val="Normal11pt"/>
        <w:rPr>
          <w:rFonts w:eastAsia="SimSun"/>
          <w:highlight w:val="lightGray"/>
          <w:lang w:val="lt-LT"/>
        </w:rPr>
      </w:pPr>
    </w:p>
    <w:p w:rsidR="00DA2E9E" w:rsidRPr="00591D31" w:rsidRDefault="00DA2E9E" w:rsidP="00DA2E9E">
      <w:pPr>
        <w:rPr>
          <w:szCs w:val="22"/>
          <w:highlight w:val="lightGray"/>
          <w:u w:val="single"/>
        </w:rPr>
      </w:pPr>
      <w:proofErr w:type="spellStart"/>
      <w:r w:rsidRPr="00591D31">
        <w:rPr>
          <w:szCs w:val="22"/>
          <w:highlight w:val="lightGray"/>
          <w:u w:val="single"/>
        </w:rPr>
        <w:t>Entecavir</w:t>
      </w:r>
      <w:proofErr w:type="spellEnd"/>
      <w:r w:rsidRPr="00591D31">
        <w:rPr>
          <w:szCs w:val="22"/>
          <w:highlight w:val="lightGray"/>
          <w:u w:val="single"/>
        </w:rPr>
        <w:t xml:space="preserve"> </w:t>
      </w:r>
      <w:proofErr w:type="spellStart"/>
      <w:r w:rsidRPr="00591D31">
        <w:rPr>
          <w:szCs w:val="22"/>
          <w:highlight w:val="lightGray"/>
          <w:u w:val="single"/>
        </w:rPr>
        <w:t>Sandoz</w:t>
      </w:r>
      <w:proofErr w:type="spellEnd"/>
      <w:r w:rsidRPr="00591D31">
        <w:rPr>
          <w:caps/>
          <w:szCs w:val="22"/>
          <w:highlight w:val="lightGray"/>
          <w:u w:val="single"/>
        </w:rPr>
        <w:t xml:space="preserve"> 1 </w:t>
      </w:r>
      <w:r w:rsidRPr="00591D31">
        <w:rPr>
          <w:szCs w:val="22"/>
          <w:highlight w:val="lightGray"/>
          <w:u w:val="single"/>
        </w:rPr>
        <w:t xml:space="preserve">mg plėvele dengtos tabletės </w:t>
      </w:r>
    </w:p>
    <w:p w:rsidR="00DA2E9E" w:rsidRPr="00D166EA" w:rsidRDefault="00DA2E9E" w:rsidP="00DA2E9E">
      <w:pPr>
        <w:pStyle w:val="Normal11pt"/>
        <w:rPr>
          <w:rFonts w:eastAsia="SimSun"/>
          <w:lang w:val="lt-LT"/>
        </w:rPr>
      </w:pPr>
      <w:r w:rsidRPr="00591D31">
        <w:rPr>
          <w:rFonts w:eastAsia="SimSun"/>
          <w:highlight w:val="lightGray"/>
          <w:lang w:val="lt-LT"/>
        </w:rPr>
        <w:t>Rausva, apvali, apytiksliai 10 mm skersmens plėvele dengta tabletė, kurios abiejose pusėse yra įspaudai: „SZ“ vienoje pusėje ir „109“ kitoje pusėje.</w:t>
      </w:r>
      <w:r w:rsidRPr="00D166EA">
        <w:rPr>
          <w:rFonts w:eastAsia="SimSun"/>
          <w:lang w:val="lt-LT"/>
        </w:rPr>
        <w:t xml:space="preserve"> </w:t>
      </w:r>
    </w:p>
    <w:p w:rsidR="00DA2E9E" w:rsidRPr="00D166EA" w:rsidRDefault="00DA2E9E" w:rsidP="00DA2E9E">
      <w:pPr>
        <w:widowControl w:val="0"/>
        <w:autoSpaceDE w:val="0"/>
        <w:autoSpaceDN w:val="0"/>
        <w:adjustRightInd w:val="0"/>
        <w:jc w:val="both"/>
        <w:rPr>
          <w:color w:val="000000"/>
          <w:szCs w:val="22"/>
        </w:rPr>
      </w:pPr>
    </w:p>
    <w:p w:rsidR="00DA2E9E" w:rsidRPr="00D166EA" w:rsidRDefault="00DA2E9E" w:rsidP="00DA2E9E">
      <w:pPr>
        <w:numPr>
          <w:ilvl w:val="12"/>
          <w:numId w:val="0"/>
        </w:numPr>
        <w:rPr>
          <w:szCs w:val="22"/>
        </w:rPr>
      </w:pPr>
      <w:r>
        <w:rPr>
          <w:szCs w:val="22"/>
        </w:rPr>
        <w:t xml:space="preserve">Plėvele dengtos tabletės yra supakuotos į </w:t>
      </w:r>
      <w:r w:rsidRPr="00D166EA">
        <w:rPr>
          <w:szCs w:val="22"/>
        </w:rPr>
        <w:t>OPA/aliuminio/PVC-aliuminio lizdin</w:t>
      </w:r>
      <w:r>
        <w:rPr>
          <w:szCs w:val="22"/>
        </w:rPr>
        <w:t xml:space="preserve">es plokšteles arba </w:t>
      </w:r>
      <w:r w:rsidRPr="00D166EA">
        <w:rPr>
          <w:szCs w:val="22"/>
        </w:rPr>
        <w:t>DTPE buteliuk</w:t>
      </w:r>
      <w:r>
        <w:rPr>
          <w:szCs w:val="22"/>
        </w:rPr>
        <w:t>ą</w:t>
      </w:r>
      <w:r w:rsidRPr="00D166EA">
        <w:rPr>
          <w:szCs w:val="22"/>
        </w:rPr>
        <w:t xml:space="preserve"> su </w:t>
      </w:r>
      <w:proofErr w:type="spellStart"/>
      <w:r w:rsidRPr="00D166EA">
        <w:rPr>
          <w:szCs w:val="22"/>
        </w:rPr>
        <w:t>polipropileniniu</w:t>
      </w:r>
      <w:proofErr w:type="spellEnd"/>
      <w:r w:rsidRPr="00D166EA">
        <w:rPr>
          <w:szCs w:val="22"/>
        </w:rPr>
        <w:t xml:space="preserve"> vaikų sunkiai atidaromu užsukamuoju dangteliu</w:t>
      </w:r>
      <w:r>
        <w:rPr>
          <w:szCs w:val="22"/>
        </w:rPr>
        <w:t xml:space="preserve"> ir įdėtos į kartono dėžutę.</w:t>
      </w:r>
    </w:p>
    <w:p w:rsidR="00DA2E9E" w:rsidRDefault="00DA2E9E" w:rsidP="00DA2E9E">
      <w:pPr>
        <w:numPr>
          <w:ilvl w:val="12"/>
          <w:numId w:val="0"/>
        </w:numPr>
        <w:rPr>
          <w:szCs w:val="22"/>
        </w:rPr>
      </w:pPr>
    </w:p>
    <w:p w:rsidR="00DA2E9E" w:rsidRDefault="00DA2E9E" w:rsidP="00DA2E9E">
      <w:pPr>
        <w:numPr>
          <w:ilvl w:val="12"/>
          <w:numId w:val="0"/>
        </w:numPr>
        <w:rPr>
          <w:szCs w:val="22"/>
        </w:rPr>
      </w:pPr>
      <w:r w:rsidRPr="00D166EA">
        <w:rPr>
          <w:szCs w:val="22"/>
        </w:rPr>
        <w:t xml:space="preserve">Pakuotės dydžiai: </w:t>
      </w:r>
    </w:p>
    <w:p w:rsidR="00DA2E9E" w:rsidRPr="00D166EA" w:rsidRDefault="00DA2E9E" w:rsidP="00DA2E9E">
      <w:pPr>
        <w:numPr>
          <w:ilvl w:val="12"/>
          <w:numId w:val="0"/>
        </w:numPr>
        <w:rPr>
          <w:szCs w:val="22"/>
        </w:rPr>
      </w:pPr>
      <w:r>
        <w:rPr>
          <w:szCs w:val="22"/>
        </w:rPr>
        <w:t xml:space="preserve">Lizdinė plokštelė: </w:t>
      </w:r>
      <w:r w:rsidRPr="00B606B7">
        <w:rPr>
          <w:szCs w:val="22"/>
        </w:rPr>
        <w:t>10</w:t>
      </w:r>
      <w:r w:rsidRPr="00D166EA">
        <w:rPr>
          <w:szCs w:val="22"/>
        </w:rPr>
        <w:t>, 30 arba 90 plėvele dengtų tablečių.</w:t>
      </w:r>
    </w:p>
    <w:p w:rsidR="00DA2E9E" w:rsidRPr="00D166EA" w:rsidRDefault="00DA2E9E" w:rsidP="00DA2E9E">
      <w:pPr>
        <w:numPr>
          <w:ilvl w:val="12"/>
          <w:numId w:val="0"/>
        </w:numPr>
        <w:rPr>
          <w:szCs w:val="22"/>
        </w:rPr>
      </w:pPr>
      <w:r>
        <w:rPr>
          <w:szCs w:val="22"/>
        </w:rPr>
        <w:t>Buteliukas:</w:t>
      </w:r>
      <w:r w:rsidRPr="00D166EA">
        <w:rPr>
          <w:szCs w:val="22"/>
        </w:rPr>
        <w:t xml:space="preserve"> 30 plėvele dengtų tablečių.</w:t>
      </w:r>
    </w:p>
    <w:p w:rsidR="00DA2E9E" w:rsidRPr="00D166EA" w:rsidRDefault="00DA2E9E" w:rsidP="00DA2E9E">
      <w:pPr>
        <w:numPr>
          <w:ilvl w:val="12"/>
          <w:numId w:val="0"/>
        </w:numPr>
        <w:rPr>
          <w:szCs w:val="22"/>
        </w:rPr>
      </w:pPr>
    </w:p>
    <w:p w:rsidR="00DA2E9E" w:rsidRPr="00D166EA" w:rsidRDefault="00DA2E9E" w:rsidP="00DA2E9E">
      <w:pPr>
        <w:numPr>
          <w:ilvl w:val="12"/>
          <w:numId w:val="0"/>
        </w:numPr>
        <w:rPr>
          <w:szCs w:val="22"/>
        </w:rPr>
      </w:pPr>
      <w:r w:rsidRPr="00D166EA">
        <w:rPr>
          <w:szCs w:val="22"/>
        </w:rPr>
        <w:t>Gali būti tiekiamos ne visų dydžių pakuotės</w:t>
      </w:r>
    </w:p>
    <w:p w:rsidR="00DA2E9E" w:rsidRPr="00D166EA" w:rsidRDefault="00DA2E9E" w:rsidP="00DA2E9E">
      <w:pPr>
        <w:rPr>
          <w:b/>
          <w:szCs w:val="22"/>
        </w:rPr>
      </w:pPr>
    </w:p>
    <w:p w:rsidR="00DA2E9E" w:rsidRDefault="00DA2E9E" w:rsidP="00DA2E9E">
      <w:pPr>
        <w:rPr>
          <w:b/>
          <w:szCs w:val="22"/>
        </w:rPr>
      </w:pPr>
      <w:r w:rsidRPr="00D166EA">
        <w:rPr>
          <w:b/>
          <w:szCs w:val="22"/>
        </w:rPr>
        <w:t>Registruotojas ir gamintojai</w:t>
      </w:r>
    </w:p>
    <w:p w:rsidR="00DA2E9E" w:rsidRDefault="00DA2E9E" w:rsidP="00DA2E9E">
      <w:pPr>
        <w:tabs>
          <w:tab w:val="left" w:pos="567"/>
          <w:tab w:val="left" w:pos="1125"/>
        </w:tabs>
        <w:adjustRightInd w:val="0"/>
        <w:spacing w:line="260" w:lineRule="exact"/>
        <w:rPr>
          <w:i/>
          <w:szCs w:val="22"/>
          <w:lang w:eastAsia="en-US"/>
        </w:rPr>
      </w:pPr>
    </w:p>
    <w:p w:rsidR="00DA2E9E" w:rsidRPr="00D732AC" w:rsidRDefault="00DA2E9E" w:rsidP="00DA2E9E">
      <w:pPr>
        <w:tabs>
          <w:tab w:val="left" w:pos="567"/>
          <w:tab w:val="left" w:pos="1125"/>
        </w:tabs>
        <w:adjustRightInd w:val="0"/>
        <w:spacing w:line="260" w:lineRule="exact"/>
        <w:rPr>
          <w:i/>
          <w:szCs w:val="22"/>
          <w:lang w:eastAsia="en-US"/>
        </w:rPr>
      </w:pPr>
      <w:r w:rsidRPr="00D732AC">
        <w:rPr>
          <w:i/>
          <w:szCs w:val="22"/>
          <w:lang w:eastAsia="en-US"/>
        </w:rPr>
        <w:t xml:space="preserve">Registruotojas </w:t>
      </w:r>
    </w:p>
    <w:p w:rsidR="00DA2E9E" w:rsidRPr="00D166EA" w:rsidRDefault="00DA2E9E" w:rsidP="00DA2E9E">
      <w:pPr>
        <w:rPr>
          <w:szCs w:val="22"/>
        </w:rPr>
      </w:pPr>
      <w:proofErr w:type="spellStart"/>
      <w:r w:rsidRPr="00D166EA">
        <w:rPr>
          <w:szCs w:val="22"/>
        </w:rPr>
        <w:t>Sandoz</w:t>
      </w:r>
      <w:proofErr w:type="spellEnd"/>
      <w:r w:rsidRPr="00D166EA">
        <w:rPr>
          <w:szCs w:val="22"/>
        </w:rPr>
        <w:t xml:space="preserve"> </w:t>
      </w:r>
      <w:proofErr w:type="spellStart"/>
      <w:r w:rsidRPr="00D166EA">
        <w:rPr>
          <w:szCs w:val="22"/>
        </w:rPr>
        <w:t>d.d</w:t>
      </w:r>
      <w:proofErr w:type="spellEnd"/>
      <w:r w:rsidRPr="00D166EA">
        <w:rPr>
          <w:szCs w:val="22"/>
        </w:rPr>
        <w:t>.</w:t>
      </w:r>
    </w:p>
    <w:p w:rsidR="00DA2E9E" w:rsidRPr="00D166EA" w:rsidRDefault="00DA2E9E" w:rsidP="00DA2E9E">
      <w:pPr>
        <w:rPr>
          <w:szCs w:val="22"/>
        </w:rPr>
      </w:pPr>
      <w:proofErr w:type="spellStart"/>
      <w:r w:rsidRPr="00D166EA">
        <w:rPr>
          <w:szCs w:val="22"/>
        </w:rPr>
        <w:t>Verov</w:t>
      </w:r>
      <w:r>
        <w:rPr>
          <w:szCs w:val="22"/>
        </w:rPr>
        <w:t>š</w:t>
      </w:r>
      <w:r w:rsidRPr="00D166EA">
        <w:rPr>
          <w:szCs w:val="22"/>
        </w:rPr>
        <w:t>kova</w:t>
      </w:r>
      <w:proofErr w:type="spellEnd"/>
      <w:r w:rsidRPr="00D166EA">
        <w:rPr>
          <w:szCs w:val="22"/>
        </w:rPr>
        <w:t xml:space="preserve"> 57</w:t>
      </w:r>
    </w:p>
    <w:p w:rsidR="00DA2E9E" w:rsidRPr="00D166EA" w:rsidRDefault="00DA2E9E" w:rsidP="00DA2E9E">
      <w:pPr>
        <w:rPr>
          <w:szCs w:val="22"/>
        </w:rPr>
      </w:pPr>
      <w:r w:rsidRPr="00D166EA">
        <w:rPr>
          <w:szCs w:val="22"/>
        </w:rPr>
        <w:t xml:space="preserve">SI-1000 </w:t>
      </w:r>
      <w:proofErr w:type="spellStart"/>
      <w:r w:rsidRPr="00D166EA">
        <w:rPr>
          <w:szCs w:val="22"/>
        </w:rPr>
        <w:t>Ljubljana</w:t>
      </w:r>
      <w:proofErr w:type="spellEnd"/>
    </w:p>
    <w:p w:rsidR="00DA2E9E" w:rsidRDefault="00DA2E9E" w:rsidP="00DA2E9E">
      <w:pPr>
        <w:rPr>
          <w:szCs w:val="22"/>
        </w:rPr>
      </w:pPr>
      <w:r w:rsidRPr="00D166EA">
        <w:rPr>
          <w:szCs w:val="22"/>
        </w:rPr>
        <w:t>Slovėnija</w:t>
      </w:r>
    </w:p>
    <w:p w:rsidR="00DA2E9E" w:rsidRPr="00D166EA" w:rsidRDefault="00DA2E9E" w:rsidP="00DA2E9E">
      <w:pPr>
        <w:rPr>
          <w:b/>
          <w:szCs w:val="22"/>
        </w:rPr>
      </w:pPr>
    </w:p>
    <w:p w:rsidR="00DA2E9E" w:rsidRPr="00801841" w:rsidRDefault="00DA2E9E" w:rsidP="00DA2E9E">
      <w:pPr>
        <w:tabs>
          <w:tab w:val="left" w:pos="567"/>
          <w:tab w:val="left" w:pos="1125"/>
        </w:tabs>
        <w:adjustRightInd w:val="0"/>
        <w:spacing w:line="260" w:lineRule="exact"/>
        <w:rPr>
          <w:i/>
          <w:szCs w:val="22"/>
          <w:lang w:eastAsia="en-US"/>
        </w:rPr>
      </w:pPr>
      <w:r w:rsidRPr="00801841">
        <w:rPr>
          <w:i/>
          <w:szCs w:val="22"/>
          <w:lang w:eastAsia="en-US"/>
        </w:rPr>
        <w:t>Gamintoja</w:t>
      </w:r>
      <w:r>
        <w:rPr>
          <w:i/>
          <w:szCs w:val="22"/>
          <w:lang w:eastAsia="en-US"/>
        </w:rPr>
        <w:t>i</w:t>
      </w:r>
    </w:p>
    <w:p w:rsidR="00DA2E9E" w:rsidRDefault="00DA2E9E" w:rsidP="00DA2E9E">
      <w:pPr>
        <w:rPr>
          <w:szCs w:val="22"/>
        </w:rPr>
      </w:pPr>
      <w:proofErr w:type="spellStart"/>
      <w:r>
        <w:rPr>
          <w:szCs w:val="22"/>
        </w:rPr>
        <w:t>Lek</w:t>
      </w:r>
      <w:proofErr w:type="spellEnd"/>
      <w:r>
        <w:rPr>
          <w:szCs w:val="22"/>
        </w:rPr>
        <w:t xml:space="preserve"> </w:t>
      </w:r>
      <w:proofErr w:type="spellStart"/>
      <w:r>
        <w:rPr>
          <w:szCs w:val="22"/>
        </w:rPr>
        <w:t>Pharmaceuticals</w:t>
      </w:r>
      <w:proofErr w:type="spellEnd"/>
      <w:r>
        <w:rPr>
          <w:szCs w:val="22"/>
        </w:rPr>
        <w:t xml:space="preserve"> </w:t>
      </w:r>
      <w:proofErr w:type="spellStart"/>
      <w:r>
        <w:rPr>
          <w:szCs w:val="22"/>
        </w:rPr>
        <w:t>d.d</w:t>
      </w:r>
      <w:proofErr w:type="spellEnd"/>
      <w:r>
        <w:rPr>
          <w:szCs w:val="22"/>
        </w:rPr>
        <w:t>.</w:t>
      </w:r>
    </w:p>
    <w:p w:rsidR="00DA2E9E" w:rsidRDefault="00DA2E9E" w:rsidP="00DA2E9E">
      <w:pPr>
        <w:rPr>
          <w:szCs w:val="22"/>
        </w:rPr>
      </w:pPr>
      <w:proofErr w:type="spellStart"/>
      <w:r w:rsidRPr="00801841">
        <w:rPr>
          <w:szCs w:val="22"/>
        </w:rPr>
        <w:lastRenderedPageBreak/>
        <w:t>Verovškova</w:t>
      </w:r>
      <w:proofErr w:type="spellEnd"/>
      <w:r w:rsidRPr="00801841">
        <w:rPr>
          <w:szCs w:val="22"/>
        </w:rPr>
        <w:t xml:space="preserve"> </w:t>
      </w:r>
      <w:proofErr w:type="spellStart"/>
      <w:r w:rsidRPr="00801841">
        <w:rPr>
          <w:szCs w:val="22"/>
        </w:rPr>
        <w:t>ulica</w:t>
      </w:r>
      <w:proofErr w:type="spellEnd"/>
      <w:r w:rsidRPr="00801841">
        <w:rPr>
          <w:szCs w:val="22"/>
        </w:rPr>
        <w:t xml:space="preserve"> 57</w:t>
      </w:r>
    </w:p>
    <w:p w:rsidR="00DA2E9E" w:rsidRDefault="00DA2E9E" w:rsidP="00DA2E9E">
      <w:pPr>
        <w:rPr>
          <w:szCs w:val="22"/>
        </w:rPr>
      </w:pPr>
      <w:r w:rsidRPr="00801841">
        <w:rPr>
          <w:szCs w:val="22"/>
        </w:rPr>
        <w:t xml:space="preserve">1526 </w:t>
      </w:r>
      <w:proofErr w:type="spellStart"/>
      <w:r w:rsidRPr="00801841">
        <w:rPr>
          <w:szCs w:val="22"/>
        </w:rPr>
        <w:t>Ljubljana</w:t>
      </w:r>
      <w:proofErr w:type="spellEnd"/>
    </w:p>
    <w:p w:rsidR="00DA2E9E" w:rsidRDefault="00DA2E9E" w:rsidP="00DA2E9E">
      <w:pPr>
        <w:rPr>
          <w:szCs w:val="22"/>
        </w:rPr>
      </w:pPr>
      <w:r>
        <w:rPr>
          <w:szCs w:val="22"/>
        </w:rPr>
        <w:t>Slovėnija</w:t>
      </w:r>
    </w:p>
    <w:p w:rsidR="00DA2E9E" w:rsidRDefault="00DA2E9E" w:rsidP="00DA2E9E">
      <w:pPr>
        <w:rPr>
          <w:szCs w:val="22"/>
        </w:rPr>
      </w:pPr>
    </w:p>
    <w:p w:rsidR="00DA2E9E" w:rsidRDefault="00DA2E9E" w:rsidP="00DA2E9E">
      <w:pPr>
        <w:rPr>
          <w:szCs w:val="22"/>
        </w:rPr>
      </w:pPr>
      <w:r>
        <w:rPr>
          <w:szCs w:val="22"/>
        </w:rPr>
        <w:t>arba</w:t>
      </w:r>
    </w:p>
    <w:p w:rsidR="00DA2E9E" w:rsidRDefault="00DA2E9E" w:rsidP="00DA2E9E">
      <w:pPr>
        <w:rPr>
          <w:szCs w:val="22"/>
        </w:rPr>
      </w:pPr>
    </w:p>
    <w:p w:rsidR="00DA2E9E" w:rsidRDefault="00DA2E9E" w:rsidP="00DA2E9E">
      <w:pPr>
        <w:rPr>
          <w:szCs w:val="22"/>
        </w:rPr>
      </w:pPr>
      <w:proofErr w:type="spellStart"/>
      <w:r w:rsidRPr="00D719F7">
        <w:rPr>
          <w:szCs w:val="22"/>
        </w:rPr>
        <w:t>Lek</w:t>
      </w:r>
      <w:proofErr w:type="spellEnd"/>
      <w:r w:rsidRPr="00D719F7">
        <w:rPr>
          <w:szCs w:val="22"/>
        </w:rPr>
        <w:t xml:space="preserve"> </w:t>
      </w:r>
      <w:proofErr w:type="spellStart"/>
      <w:r w:rsidRPr="00D719F7">
        <w:rPr>
          <w:szCs w:val="22"/>
        </w:rPr>
        <w:t>Pharmaceuticals</w:t>
      </w:r>
      <w:proofErr w:type="spellEnd"/>
      <w:r w:rsidRPr="00D719F7">
        <w:rPr>
          <w:szCs w:val="22"/>
        </w:rPr>
        <w:t xml:space="preserve"> </w:t>
      </w:r>
      <w:proofErr w:type="spellStart"/>
      <w:r w:rsidRPr="00D719F7">
        <w:rPr>
          <w:szCs w:val="22"/>
        </w:rPr>
        <w:t>d.d</w:t>
      </w:r>
      <w:proofErr w:type="spellEnd"/>
      <w:r w:rsidRPr="00D719F7">
        <w:rPr>
          <w:szCs w:val="22"/>
        </w:rPr>
        <w:t xml:space="preserve">. </w:t>
      </w:r>
    </w:p>
    <w:p w:rsidR="00DA2E9E" w:rsidRDefault="00DA2E9E" w:rsidP="00DA2E9E">
      <w:pPr>
        <w:rPr>
          <w:szCs w:val="22"/>
        </w:rPr>
      </w:pPr>
      <w:proofErr w:type="spellStart"/>
      <w:r w:rsidRPr="00D719F7">
        <w:rPr>
          <w:szCs w:val="22"/>
        </w:rPr>
        <w:t>Trimlini</w:t>
      </w:r>
      <w:proofErr w:type="spellEnd"/>
      <w:r w:rsidRPr="00D719F7">
        <w:rPr>
          <w:szCs w:val="22"/>
        </w:rPr>
        <w:t xml:space="preserve"> 2d 9220 </w:t>
      </w:r>
      <w:proofErr w:type="spellStart"/>
      <w:r w:rsidRPr="00D719F7">
        <w:rPr>
          <w:szCs w:val="22"/>
        </w:rPr>
        <w:t>Lendava</w:t>
      </w:r>
      <w:proofErr w:type="spellEnd"/>
      <w:r w:rsidRPr="00D719F7">
        <w:rPr>
          <w:szCs w:val="22"/>
        </w:rPr>
        <w:t xml:space="preserve"> </w:t>
      </w:r>
    </w:p>
    <w:p w:rsidR="00DA2E9E" w:rsidRPr="00E243D6" w:rsidRDefault="00DA2E9E" w:rsidP="00DA2E9E">
      <w:pPr>
        <w:rPr>
          <w:szCs w:val="22"/>
        </w:rPr>
      </w:pPr>
      <w:r w:rsidRPr="00D719F7">
        <w:rPr>
          <w:szCs w:val="22"/>
        </w:rPr>
        <w:t>Slovėnija</w:t>
      </w:r>
    </w:p>
    <w:p w:rsidR="00DA2E9E" w:rsidRPr="00801841" w:rsidRDefault="00DA2E9E" w:rsidP="00DA2E9E">
      <w:pPr>
        <w:rPr>
          <w:szCs w:val="22"/>
        </w:rPr>
      </w:pPr>
    </w:p>
    <w:p w:rsidR="00DA2E9E" w:rsidRPr="00D166EA" w:rsidRDefault="00DA2E9E" w:rsidP="00DA2E9E">
      <w:pPr>
        <w:ind w:left="567" w:hanging="567"/>
        <w:rPr>
          <w:szCs w:val="22"/>
        </w:rPr>
      </w:pPr>
    </w:p>
    <w:p w:rsidR="00DA2E9E" w:rsidRPr="00D166EA" w:rsidRDefault="00DA2E9E" w:rsidP="00DA2E9E">
      <w:pPr>
        <w:rPr>
          <w:szCs w:val="22"/>
        </w:rPr>
      </w:pPr>
      <w:r w:rsidRPr="00D166EA">
        <w:rPr>
          <w:szCs w:val="22"/>
        </w:rPr>
        <w:t>Jeigu apie šį vaistą norite sužinoti daugiau, kreipkitės į vietinį registruotojo atstovą.</w:t>
      </w:r>
    </w:p>
    <w:p w:rsidR="00DA2E9E" w:rsidRPr="00D166EA" w:rsidRDefault="00DA2E9E" w:rsidP="00DA2E9E">
      <w:pPr>
        <w:rPr>
          <w:szCs w:val="22"/>
        </w:rPr>
      </w:pPr>
      <w:r w:rsidRPr="00D166EA">
        <w:rPr>
          <w:szCs w:val="22"/>
        </w:rPr>
        <w:t> </w:t>
      </w:r>
    </w:p>
    <w:p w:rsidR="00DA2E9E" w:rsidRPr="00D166EA" w:rsidRDefault="00DA2E9E" w:rsidP="00DA2E9E">
      <w:pPr>
        <w:rPr>
          <w:szCs w:val="22"/>
        </w:rPr>
      </w:pPr>
      <w:proofErr w:type="spellStart"/>
      <w:r w:rsidRPr="00D166EA">
        <w:rPr>
          <w:bCs/>
          <w:szCs w:val="22"/>
        </w:rPr>
        <w:t>Sandoz</w:t>
      </w:r>
      <w:proofErr w:type="spellEnd"/>
      <w:r w:rsidRPr="00D166EA">
        <w:rPr>
          <w:bCs/>
          <w:szCs w:val="22"/>
        </w:rPr>
        <w:t xml:space="preserve"> </w:t>
      </w:r>
      <w:proofErr w:type="spellStart"/>
      <w:r w:rsidRPr="00D166EA">
        <w:rPr>
          <w:bCs/>
          <w:szCs w:val="22"/>
        </w:rPr>
        <w:t>Pharmaceuticals</w:t>
      </w:r>
      <w:proofErr w:type="spellEnd"/>
      <w:r w:rsidRPr="00D166EA">
        <w:rPr>
          <w:bCs/>
          <w:szCs w:val="22"/>
        </w:rPr>
        <w:t xml:space="preserve"> </w:t>
      </w:r>
      <w:proofErr w:type="spellStart"/>
      <w:r w:rsidRPr="00D166EA">
        <w:rPr>
          <w:bCs/>
          <w:szCs w:val="22"/>
        </w:rPr>
        <w:t>d.d</w:t>
      </w:r>
      <w:proofErr w:type="spellEnd"/>
      <w:r w:rsidRPr="00D166EA">
        <w:rPr>
          <w:bCs/>
          <w:szCs w:val="22"/>
        </w:rPr>
        <w:t>. filialas</w:t>
      </w:r>
    </w:p>
    <w:p w:rsidR="00DA2E9E" w:rsidRPr="00D166EA" w:rsidRDefault="00DA2E9E" w:rsidP="00DA2E9E">
      <w:pPr>
        <w:rPr>
          <w:szCs w:val="22"/>
        </w:rPr>
      </w:pPr>
      <w:r w:rsidRPr="00D166EA">
        <w:rPr>
          <w:bCs/>
          <w:szCs w:val="22"/>
        </w:rPr>
        <w:t>Tel. +370 5 2636037</w:t>
      </w:r>
    </w:p>
    <w:p w:rsidR="00DA2E9E" w:rsidRPr="00D166EA" w:rsidRDefault="00DA2E9E" w:rsidP="00DA2E9E">
      <w:pPr>
        <w:rPr>
          <w:szCs w:val="22"/>
        </w:rPr>
      </w:pPr>
    </w:p>
    <w:p w:rsidR="00DA2E9E" w:rsidRPr="00D166EA" w:rsidRDefault="00DA2E9E" w:rsidP="00DA2E9E">
      <w:pPr>
        <w:numPr>
          <w:ilvl w:val="12"/>
          <w:numId w:val="0"/>
        </w:numPr>
        <w:rPr>
          <w:szCs w:val="22"/>
        </w:rPr>
      </w:pPr>
    </w:p>
    <w:p w:rsidR="00DA2E9E" w:rsidRDefault="00DA2E9E" w:rsidP="00DA2E9E">
      <w:pPr>
        <w:numPr>
          <w:ilvl w:val="12"/>
          <w:numId w:val="0"/>
        </w:numPr>
        <w:tabs>
          <w:tab w:val="left" w:pos="567"/>
        </w:tabs>
        <w:spacing w:line="260" w:lineRule="exact"/>
        <w:ind w:right="-2"/>
        <w:rPr>
          <w:snapToGrid w:val="0"/>
          <w:szCs w:val="22"/>
          <w:lang w:eastAsia="en-US"/>
        </w:rPr>
      </w:pPr>
      <w:r w:rsidRPr="00D166EA">
        <w:rPr>
          <w:b/>
          <w:snapToGrid w:val="0"/>
          <w:szCs w:val="22"/>
          <w:lang w:eastAsia="en-US"/>
        </w:rPr>
        <w:t xml:space="preserve">Šis vaistas </w:t>
      </w:r>
      <w:r w:rsidRPr="00560367">
        <w:rPr>
          <w:b/>
          <w:szCs w:val="22"/>
        </w:rPr>
        <w:t>Europos ekonominės erdvės valstybėse narėse ir Jungtinėje Karalystėje (Šiaurės Airijoje)</w:t>
      </w:r>
      <w:r w:rsidRPr="00D166EA">
        <w:rPr>
          <w:b/>
          <w:snapToGrid w:val="0"/>
          <w:szCs w:val="22"/>
          <w:lang w:eastAsia="en-US"/>
        </w:rPr>
        <w:t xml:space="preserve"> registruotas tokiais pavadinimais</w:t>
      </w:r>
      <w:r w:rsidRPr="00D166EA">
        <w:rPr>
          <w:snapToGrid w:val="0"/>
          <w:szCs w:val="22"/>
          <w:lang w:eastAsia="en-US"/>
        </w:rPr>
        <w:t>:</w:t>
      </w:r>
    </w:p>
    <w:p w:rsidR="00DA2E9E" w:rsidRDefault="00DA2E9E" w:rsidP="00DA2E9E">
      <w:pPr>
        <w:numPr>
          <w:ilvl w:val="12"/>
          <w:numId w:val="0"/>
        </w:numPr>
        <w:tabs>
          <w:tab w:val="left" w:pos="567"/>
        </w:tabs>
        <w:spacing w:line="260" w:lineRule="exact"/>
        <w:ind w:right="-2"/>
        <w:rPr>
          <w:snapToGrid w:val="0"/>
          <w:szCs w:val="22"/>
          <w:lang w:eastAsia="en-US"/>
        </w:rPr>
      </w:pPr>
    </w:p>
    <w:tbl>
      <w:tblPr>
        <w:tblStyle w:val="Lentelstinklelis"/>
        <w:tblW w:w="9060" w:type="dxa"/>
        <w:tblLook w:val="04A0" w:firstRow="1" w:lastRow="0" w:firstColumn="1" w:lastColumn="0" w:noHBand="0" w:noVBand="1"/>
      </w:tblPr>
      <w:tblGrid>
        <w:gridCol w:w="4530"/>
        <w:gridCol w:w="4530"/>
      </w:tblGrid>
      <w:tr w:rsidR="00DA2E9E" w:rsidRPr="00DA2E9E" w:rsidTr="001219AB">
        <w:tc>
          <w:tcPr>
            <w:tcW w:w="4530" w:type="dxa"/>
          </w:tcPr>
          <w:p w:rsidR="00DA2E9E" w:rsidRPr="00DA2E9E" w:rsidRDefault="00DA2E9E" w:rsidP="001219AB">
            <w:pPr>
              <w:numPr>
                <w:ilvl w:val="12"/>
                <w:numId w:val="0"/>
              </w:numPr>
              <w:tabs>
                <w:tab w:val="left" w:pos="567"/>
              </w:tabs>
              <w:spacing w:line="260" w:lineRule="exact"/>
              <w:ind w:right="-2"/>
              <w:rPr>
                <w:snapToGrid w:val="0"/>
                <w:sz w:val="22"/>
                <w:szCs w:val="22"/>
                <w:lang w:eastAsia="en-US"/>
              </w:rPr>
            </w:pPr>
            <w:r w:rsidRPr="00DA2E9E">
              <w:rPr>
                <w:sz w:val="22"/>
                <w:szCs w:val="22"/>
              </w:rPr>
              <w:t>Nyderlandai, Belgija, Čekija, Graikija, Latvija, Lietuva, Prancūzija, Slovėnija</w:t>
            </w:r>
          </w:p>
        </w:tc>
        <w:tc>
          <w:tcPr>
            <w:tcW w:w="4530" w:type="dxa"/>
          </w:tcPr>
          <w:p w:rsidR="00DA2E9E" w:rsidRPr="00DA2E9E" w:rsidRDefault="00DA2E9E" w:rsidP="001219AB">
            <w:pPr>
              <w:numPr>
                <w:ilvl w:val="12"/>
                <w:numId w:val="0"/>
              </w:numPr>
              <w:tabs>
                <w:tab w:val="left" w:pos="567"/>
              </w:tabs>
              <w:spacing w:line="260" w:lineRule="exact"/>
              <w:ind w:right="-2"/>
              <w:rPr>
                <w:snapToGrid w:val="0"/>
                <w:sz w:val="22"/>
                <w:szCs w:val="22"/>
                <w:lang w:eastAsia="en-US"/>
              </w:rPr>
            </w:pPr>
            <w:proofErr w:type="spellStart"/>
            <w:r w:rsidRPr="00DA2E9E">
              <w:rPr>
                <w:sz w:val="22"/>
                <w:szCs w:val="22"/>
              </w:rPr>
              <w:t>Entecavir</w:t>
            </w:r>
            <w:proofErr w:type="spellEnd"/>
            <w:r w:rsidRPr="00DA2E9E">
              <w:rPr>
                <w:sz w:val="22"/>
                <w:szCs w:val="22"/>
              </w:rPr>
              <w:t xml:space="preserve"> </w:t>
            </w:r>
            <w:proofErr w:type="spellStart"/>
            <w:r w:rsidRPr="00DA2E9E">
              <w:rPr>
                <w:sz w:val="22"/>
                <w:szCs w:val="22"/>
              </w:rPr>
              <w:t>Sandoz</w:t>
            </w:r>
            <w:proofErr w:type="spellEnd"/>
          </w:p>
        </w:tc>
      </w:tr>
      <w:tr w:rsidR="00DA2E9E" w:rsidRPr="00DA2E9E" w:rsidTr="001219AB">
        <w:tc>
          <w:tcPr>
            <w:tcW w:w="4530" w:type="dxa"/>
          </w:tcPr>
          <w:p w:rsidR="00DA2E9E" w:rsidRPr="00DA2E9E" w:rsidRDefault="00DA2E9E" w:rsidP="001219AB">
            <w:pPr>
              <w:numPr>
                <w:ilvl w:val="12"/>
                <w:numId w:val="0"/>
              </w:numPr>
              <w:tabs>
                <w:tab w:val="left" w:pos="567"/>
              </w:tabs>
              <w:spacing w:line="260" w:lineRule="exact"/>
              <w:ind w:right="-2"/>
              <w:rPr>
                <w:snapToGrid w:val="0"/>
                <w:sz w:val="22"/>
                <w:szCs w:val="22"/>
                <w:lang w:eastAsia="en-US"/>
              </w:rPr>
            </w:pPr>
            <w:r w:rsidRPr="00DA2E9E">
              <w:rPr>
                <w:snapToGrid w:val="0"/>
                <w:sz w:val="22"/>
                <w:szCs w:val="22"/>
                <w:lang w:eastAsia="en-US"/>
              </w:rPr>
              <w:t>Airija</w:t>
            </w:r>
          </w:p>
        </w:tc>
        <w:tc>
          <w:tcPr>
            <w:tcW w:w="4530" w:type="dxa"/>
          </w:tcPr>
          <w:p w:rsidR="00DA2E9E" w:rsidRPr="00DA2E9E" w:rsidRDefault="00DA2E9E" w:rsidP="001219AB">
            <w:pPr>
              <w:numPr>
                <w:ilvl w:val="12"/>
                <w:numId w:val="0"/>
              </w:numPr>
              <w:tabs>
                <w:tab w:val="left" w:pos="567"/>
              </w:tabs>
              <w:spacing w:line="260" w:lineRule="exact"/>
              <w:ind w:right="-2"/>
              <w:rPr>
                <w:snapToGrid w:val="0"/>
                <w:sz w:val="22"/>
                <w:szCs w:val="22"/>
                <w:lang w:eastAsia="en-US"/>
              </w:rPr>
            </w:pPr>
            <w:proofErr w:type="spellStart"/>
            <w:r w:rsidRPr="00DA2E9E">
              <w:rPr>
                <w:sz w:val="22"/>
                <w:szCs w:val="22"/>
              </w:rPr>
              <w:t>Entecavir</w:t>
            </w:r>
            <w:proofErr w:type="spellEnd"/>
            <w:r w:rsidRPr="00DA2E9E">
              <w:rPr>
                <w:sz w:val="22"/>
                <w:szCs w:val="22"/>
              </w:rPr>
              <w:t xml:space="preserve"> </w:t>
            </w:r>
            <w:proofErr w:type="spellStart"/>
            <w:r w:rsidRPr="00DA2E9E">
              <w:rPr>
                <w:sz w:val="22"/>
                <w:szCs w:val="22"/>
              </w:rPr>
              <w:t>Rowex</w:t>
            </w:r>
            <w:proofErr w:type="spellEnd"/>
          </w:p>
        </w:tc>
      </w:tr>
    </w:tbl>
    <w:p w:rsidR="00DA2E9E" w:rsidRPr="00D166EA" w:rsidRDefault="00DA2E9E" w:rsidP="00DA2E9E">
      <w:pPr>
        <w:numPr>
          <w:ilvl w:val="12"/>
          <w:numId w:val="0"/>
        </w:numPr>
        <w:tabs>
          <w:tab w:val="left" w:pos="567"/>
        </w:tabs>
        <w:spacing w:line="260" w:lineRule="exact"/>
        <w:ind w:right="-2"/>
        <w:rPr>
          <w:snapToGrid w:val="0"/>
          <w:szCs w:val="22"/>
          <w:lang w:eastAsia="en-US"/>
        </w:rPr>
      </w:pPr>
    </w:p>
    <w:p w:rsidR="00DA2E9E" w:rsidRPr="00D166EA" w:rsidRDefault="00DA2E9E" w:rsidP="00DA2E9E">
      <w:pPr>
        <w:tabs>
          <w:tab w:val="left" w:pos="567"/>
        </w:tabs>
        <w:spacing w:line="260" w:lineRule="exact"/>
        <w:ind w:left="567" w:hanging="567"/>
        <w:rPr>
          <w:snapToGrid w:val="0"/>
          <w:szCs w:val="22"/>
          <w:lang w:eastAsia="en-US"/>
        </w:rPr>
      </w:pPr>
    </w:p>
    <w:p w:rsidR="00DA2E9E" w:rsidRPr="00D166EA" w:rsidRDefault="00DA2E9E" w:rsidP="00DA2E9E">
      <w:pPr>
        <w:numPr>
          <w:ilvl w:val="12"/>
          <w:numId w:val="0"/>
        </w:numPr>
        <w:rPr>
          <w:b/>
          <w:bCs/>
          <w:szCs w:val="22"/>
        </w:rPr>
      </w:pPr>
      <w:r w:rsidRPr="00D166EA">
        <w:rPr>
          <w:b/>
          <w:bCs/>
          <w:szCs w:val="22"/>
        </w:rPr>
        <w:t xml:space="preserve">Šis pakuotės lapelis paskutinį kartą peržiūrėtas </w:t>
      </w:r>
      <w:r>
        <w:rPr>
          <w:b/>
          <w:bCs/>
          <w:szCs w:val="22"/>
        </w:rPr>
        <w:t>2024-05-05.</w:t>
      </w:r>
    </w:p>
    <w:p w:rsidR="00DA2E9E" w:rsidRDefault="00DA2E9E" w:rsidP="00DA2E9E">
      <w:pPr>
        <w:numPr>
          <w:ilvl w:val="12"/>
          <w:numId w:val="0"/>
        </w:numPr>
        <w:rPr>
          <w:iCs/>
          <w:szCs w:val="22"/>
        </w:rPr>
      </w:pPr>
    </w:p>
    <w:p w:rsidR="00DA2E9E" w:rsidRPr="00D166EA" w:rsidRDefault="00DA2E9E" w:rsidP="00DA2E9E">
      <w:pPr>
        <w:numPr>
          <w:ilvl w:val="12"/>
          <w:numId w:val="0"/>
        </w:numPr>
        <w:rPr>
          <w:iCs/>
          <w:szCs w:val="22"/>
        </w:rPr>
      </w:pPr>
    </w:p>
    <w:p w:rsidR="00DA2E9E" w:rsidRPr="00D166EA" w:rsidRDefault="00DA2E9E" w:rsidP="00DA2E9E">
      <w:pPr>
        <w:numPr>
          <w:ilvl w:val="12"/>
          <w:numId w:val="0"/>
        </w:numPr>
        <w:rPr>
          <w:szCs w:val="22"/>
        </w:rPr>
      </w:pPr>
      <w:r w:rsidRPr="00D166EA">
        <w:rPr>
          <w:szCs w:val="22"/>
        </w:rPr>
        <w:t>Išsami informacija apie šį vaistą pateikiama Valstybinės vaistų kontrolės tarnybos prie Lietuvos Respublikos sveikatos apsaugos ministerijos tinklalapyje</w:t>
      </w:r>
      <w:r w:rsidRPr="00D166EA">
        <w:rPr>
          <w:i/>
          <w:iCs/>
          <w:szCs w:val="22"/>
        </w:rPr>
        <w:t xml:space="preserve"> </w:t>
      </w:r>
      <w:hyperlink r:id="rId5" w:history="1">
        <w:r w:rsidRPr="00D166EA">
          <w:rPr>
            <w:rStyle w:val="Hipersaitas"/>
            <w:rFonts w:eastAsia="SimSun"/>
            <w:szCs w:val="22"/>
          </w:rPr>
          <w:t>http://www.vvkt.lt/</w:t>
        </w:r>
      </w:hyperlink>
      <w:r w:rsidRPr="00D166EA">
        <w:rPr>
          <w:szCs w:val="22"/>
        </w:rPr>
        <w:t>.</w:t>
      </w:r>
    </w:p>
    <w:p w:rsidR="00BA6577" w:rsidRDefault="00BA6577">
      <w:bookmarkStart w:id="0" w:name="_GoBack"/>
      <w:bookmarkEnd w:id="0"/>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9D05C9"/>
    <w:multiLevelType w:val="hybridMultilevel"/>
    <w:tmpl w:val="21843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F46581"/>
    <w:multiLevelType w:val="hybridMultilevel"/>
    <w:tmpl w:val="EB28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31466"/>
    <w:multiLevelType w:val="hybridMultilevel"/>
    <w:tmpl w:val="89CA88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9E"/>
    <w:rsid w:val="00072F85"/>
    <w:rsid w:val="00181364"/>
    <w:rsid w:val="00305C48"/>
    <w:rsid w:val="003362C6"/>
    <w:rsid w:val="00BA6577"/>
    <w:rsid w:val="00C30905"/>
    <w:rsid w:val="00D358F2"/>
    <w:rsid w:val="00DA2E9E"/>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A27A6-EE8F-4E12-B549-C252BC10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2E9E"/>
    <w:pPr>
      <w:spacing w:after="0" w:line="240" w:lineRule="auto"/>
    </w:pPr>
    <w:rPr>
      <w:rFonts w:ascii="Times New Roman" w:eastAsia="Batang" w:hAnsi="Times New Roman" w:cs="Times New Roman"/>
      <w:szCs w:val="20"/>
      <w:lang w:eastAsia="lt-LT"/>
    </w:rPr>
  </w:style>
  <w:style w:type="paragraph" w:styleId="Antrat2">
    <w:name w:val="heading 2"/>
    <w:basedOn w:val="prastasis"/>
    <w:next w:val="prastasis"/>
    <w:link w:val="Antrat2Diagrama"/>
    <w:autoRedefine/>
    <w:qFormat/>
    <w:rsid w:val="00DA2E9E"/>
    <w:pPr>
      <w:keepNext/>
      <w:tabs>
        <w:tab w:val="left" w:pos="540"/>
      </w:tabs>
      <w:jc w:val="center"/>
      <w:outlineLvl w:val="1"/>
    </w:pPr>
    <w:rPr>
      <w:b/>
      <w:iCs/>
      <w:szCs w:val="22"/>
    </w:rPr>
  </w:style>
  <w:style w:type="paragraph" w:styleId="Antrat3">
    <w:name w:val="heading 3"/>
    <w:basedOn w:val="prastasis"/>
    <w:next w:val="prastasis"/>
    <w:link w:val="Antrat3Diagrama"/>
    <w:qFormat/>
    <w:rsid w:val="00DA2E9E"/>
    <w:pPr>
      <w:keepNext/>
      <w:spacing w:before="240" w:after="60"/>
      <w:outlineLvl w:val="2"/>
    </w:pPr>
    <w:rPr>
      <w:rFonts w:ascii="Arial" w:hAnsi="Arial"/>
      <w:b/>
      <w:bCs/>
      <w:sz w:val="26"/>
      <w:szCs w:val="26"/>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A2E9E"/>
    <w:rPr>
      <w:rFonts w:ascii="Times New Roman" w:eastAsia="Batang" w:hAnsi="Times New Roman" w:cs="Times New Roman"/>
      <w:b/>
      <w:iCs/>
      <w:lang w:eastAsia="lt-LT"/>
    </w:rPr>
  </w:style>
  <w:style w:type="character" w:customStyle="1" w:styleId="Antrat3Diagrama">
    <w:name w:val="Antraštė 3 Diagrama"/>
    <w:basedOn w:val="Numatytasispastraiposriftas"/>
    <w:link w:val="Antrat3"/>
    <w:rsid w:val="00DA2E9E"/>
    <w:rPr>
      <w:rFonts w:ascii="Arial" w:eastAsia="Batang" w:hAnsi="Arial" w:cs="Times New Roman"/>
      <w:b/>
      <w:bCs/>
      <w:sz w:val="26"/>
      <w:szCs w:val="26"/>
      <w:lang w:eastAsia="x-none"/>
    </w:rPr>
  </w:style>
  <w:style w:type="character" w:styleId="Hipersaitas">
    <w:name w:val="Hyperlink"/>
    <w:rsid w:val="00DA2E9E"/>
    <w:rPr>
      <w:color w:val="0000FF"/>
      <w:u w:val="single"/>
    </w:rPr>
  </w:style>
  <w:style w:type="table" w:styleId="Lentelstinklelis">
    <w:name w:val="Table Grid"/>
    <w:basedOn w:val="prastojilentel"/>
    <w:uiPriority w:val="99"/>
    <w:rsid w:val="00DA2E9E"/>
    <w:pPr>
      <w:spacing w:after="0" w:line="240" w:lineRule="auto"/>
    </w:pPr>
    <w:rPr>
      <w:rFonts w:ascii="Times New Roman" w:eastAsia="Batang"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pt"/>
    <w:basedOn w:val="prastasis"/>
    <w:link w:val="Normal11ptCar"/>
    <w:uiPriority w:val="99"/>
    <w:rsid w:val="00DA2E9E"/>
    <w:rPr>
      <w:szCs w:val="22"/>
      <w:lang w:val="en-GB" w:eastAsia="en-US"/>
    </w:rPr>
  </w:style>
  <w:style w:type="character" w:customStyle="1" w:styleId="Normal11ptCar">
    <w:name w:val="Normal + 11pt Car"/>
    <w:link w:val="Normal11pt"/>
    <w:uiPriority w:val="99"/>
    <w:rsid w:val="00DA2E9E"/>
    <w:rPr>
      <w:rFonts w:ascii="Times New Roman" w:eastAsia="Batang" w:hAnsi="Times New Roman" w:cs="Times New Roman"/>
      <w:lang w:val="en-GB"/>
    </w:rPr>
  </w:style>
  <w:style w:type="paragraph" w:customStyle="1" w:styleId="Default">
    <w:name w:val="Default"/>
    <w:rsid w:val="00DA2E9E"/>
    <w:pPr>
      <w:autoSpaceDE w:val="0"/>
      <w:autoSpaceDN w:val="0"/>
      <w:adjustRightInd w:val="0"/>
      <w:spacing w:after="0" w:line="240" w:lineRule="auto"/>
    </w:pPr>
    <w:rPr>
      <w:rFonts w:ascii="Times New Roman" w:eastAsia="Batang" w:hAnsi="Times New Roman" w:cs="Times New Roman"/>
      <w:color w:val="000000"/>
      <w:sz w:val="24"/>
      <w:szCs w:val="24"/>
      <w:lang w:val="sl-SI" w:eastAsia="sl-SI"/>
    </w:rPr>
  </w:style>
  <w:style w:type="paragraph" w:styleId="Sraopastraipa">
    <w:name w:val="List Paragraph"/>
    <w:basedOn w:val="prastasis"/>
    <w:qFormat/>
    <w:rsid w:val="00DA2E9E"/>
    <w:pPr>
      <w:ind w:left="720"/>
      <w:contextualSpacing/>
    </w:pPr>
    <w:rPr>
      <w:sz w:val="24"/>
      <w:szCs w:val="24"/>
      <w:lang w:val="en-GB" w:eastAsia="en-GB"/>
    </w:rPr>
  </w:style>
  <w:style w:type="paragraph" w:customStyle="1" w:styleId="BTeEMEASMCA">
    <w:name w:val="BT(e) EMEA_SMCA"/>
    <w:basedOn w:val="prastasis"/>
    <w:rsid w:val="00DA2E9E"/>
    <w:pPr>
      <w:suppressAutoHyphens/>
      <w:jc w:val="center"/>
    </w:pPr>
    <w:rPr>
      <w:rFonts w:eastAsia="Calibri"/>
      <w:sz w:val="20"/>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9120</Words>
  <Characters>5199</Characters>
  <Application>Microsoft Office Word</Application>
  <DocSecurity>0</DocSecurity>
  <Lines>43</Lines>
  <Paragraphs>28</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Pakuotės lapelis: informacija pacientui</vt:lpstr>
      <vt:lpstr>        3.	Kaip vartoti Entecavir Sandoz</vt:lpstr>
      <vt:lpstr>        </vt:lpstr>
      <vt:lpstr>        </vt:lpstr>
      <vt:lpstr>        5.	Kaip laikyti Entecavir Sandoz</vt:lpstr>
      <vt:lpstr>        6.	Pakuotės turinys ir kita informacija</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2024-05-09T07:12:00Z</dcterms:created>
  <dcterms:modified xsi:type="dcterms:W3CDTF">2024-05-09T07:13:00Z</dcterms:modified>
</cp:coreProperties>
</file>