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0D" w:rsidRPr="00CC60E2" w:rsidRDefault="002D0F0D" w:rsidP="002D0F0D">
      <w:pPr>
        <w:pStyle w:val="Antrat2"/>
        <w:spacing w:before="0" w:after="0" w:line="240" w:lineRule="auto"/>
        <w:jc w:val="center"/>
        <w:rPr>
          <w:rFonts w:ascii="Times New Roman" w:hAnsi="Times New Roman"/>
          <w:bCs w:val="0"/>
          <w:i w:val="0"/>
          <w:iCs w:val="0"/>
          <w:sz w:val="22"/>
          <w:szCs w:val="24"/>
          <w:lang w:val="lt-LT"/>
        </w:rPr>
      </w:pPr>
      <w:r w:rsidRPr="00CC60E2">
        <w:rPr>
          <w:rFonts w:ascii="Times New Roman" w:hAnsi="Times New Roman"/>
          <w:i w:val="0"/>
          <w:sz w:val="22"/>
          <w:lang w:val="lt-LT"/>
        </w:rPr>
        <w:t>Pakuotės lapelis:</w:t>
      </w:r>
      <w:r w:rsidRPr="00CC60E2">
        <w:rPr>
          <w:rFonts w:ascii="Times New Roman" w:hAnsi="Times New Roman"/>
          <w:bCs w:val="0"/>
          <w:i w:val="0"/>
          <w:iCs w:val="0"/>
          <w:sz w:val="22"/>
          <w:szCs w:val="24"/>
          <w:lang w:val="lt-LT"/>
        </w:rPr>
        <w:t xml:space="preserve"> </w:t>
      </w:r>
      <w:r w:rsidRPr="00CC60E2">
        <w:rPr>
          <w:rFonts w:ascii="Times New Roman" w:hAnsi="Times New Roman"/>
          <w:i w:val="0"/>
          <w:sz w:val="22"/>
          <w:lang w:val="lt-LT"/>
        </w:rPr>
        <w:t>informacija pacientui</w:t>
      </w:r>
    </w:p>
    <w:p w:rsidR="002D0F0D" w:rsidRPr="00CC60E2" w:rsidRDefault="002D0F0D" w:rsidP="002D0F0D">
      <w:pPr>
        <w:numPr>
          <w:ilvl w:val="12"/>
          <w:numId w:val="0"/>
        </w:numPr>
        <w:shd w:val="clear" w:color="auto" w:fill="FFFFFF"/>
        <w:tabs>
          <w:tab w:val="clear" w:pos="567"/>
        </w:tabs>
        <w:spacing w:line="240" w:lineRule="auto"/>
        <w:jc w:val="center"/>
        <w:rPr>
          <w:szCs w:val="24"/>
          <w:lang w:val="lt-LT"/>
        </w:rPr>
      </w:pPr>
    </w:p>
    <w:p w:rsidR="002D0F0D" w:rsidRPr="00CC60E2" w:rsidRDefault="002D0F0D" w:rsidP="002D0F0D">
      <w:pPr>
        <w:jc w:val="center"/>
        <w:rPr>
          <w:szCs w:val="22"/>
          <w:lang w:val="lt-LT"/>
        </w:rPr>
      </w:pPr>
      <w:r w:rsidRPr="00CC60E2">
        <w:rPr>
          <w:b/>
          <w:szCs w:val="22"/>
          <w:lang w:val="lt-LT"/>
        </w:rPr>
        <w:t>GATTART 680 mg/80 mg kramtomosios tabletės</w:t>
      </w:r>
    </w:p>
    <w:p w:rsidR="002D0F0D" w:rsidRPr="00CC60E2" w:rsidRDefault="002D0F0D" w:rsidP="002D0F0D">
      <w:pPr>
        <w:jc w:val="center"/>
        <w:rPr>
          <w:b/>
          <w:szCs w:val="24"/>
          <w:lang w:val="lt-LT"/>
        </w:rPr>
      </w:pPr>
    </w:p>
    <w:p w:rsidR="002D0F0D" w:rsidRPr="00CC60E2" w:rsidRDefault="002D0F0D" w:rsidP="002D0F0D">
      <w:pPr>
        <w:numPr>
          <w:ilvl w:val="12"/>
          <w:numId w:val="0"/>
        </w:numPr>
        <w:tabs>
          <w:tab w:val="clear" w:pos="567"/>
        </w:tabs>
        <w:spacing w:line="240" w:lineRule="auto"/>
        <w:jc w:val="center"/>
        <w:rPr>
          <w:szCs w:val="24"/>
          <w:lang w:val="lt-LT"/>
        </w:rPr>
      </w:pPr>
      <w:r w:rsidRPr="00CC60E2">
        <w:rPr>
          <w:szCs w:val="22"/>
          <w:lang w:val="lt-LT"/>
        </w:rPr>
        <w:t>kalcio karbonatas /</w:t>
      </w:r>
      <w:r w:rsidRPr="00CC60E2">
        <w:rPr>
          <w:lang w:val="lt-LT"/>
        </w:rPr>
        <w:t xml:space="preserve"> </w:t>
      </w:r>
      <w:r w:rsidRPr="00CC60E2">
        <w:rPr>
          <w:szCs w:val="22"/>
          <w:lang w:val="lt-LT"/>
        </w:rPr>
        <w:t xml:space="preserve">sunkusis magnio </w:t>
      </w:r>
      <w:proofErr w:type="spellStart"/>
      <w:r w:rsidRPr="00CC60E2">
        <w:rPr>
          <w:szCs w:val="22"/>
          <w:lang w:val="lt-LT"/>
        </w:rPr>
        <w:t>subkarbonatas</w:t>
      </w:r>
      <w:proofErr w:type="spellEnd"/>
    </w:p>
    <w:p w:rsidR="002D0F0D" w:rsidRPr="00CC60E2" w:rsidRDefault="002D0F0D" w:rsidP="002D0F0D">
      <w:pPr>
        <w:tabs>
          <w:tab w:val="clear" w:pos="567"/>
        </w:tabs>
        <w:spacing w:line="240" w:lineRule="auto"/>
        <w:rPr>
          <w:color w:val="000000"/>
          <w:szCs w:val="24"/>
          <w:lang w:val="lt-LT"/>
        </w:rPr>
      </w:pPr>
    </w:p>
    <w:p w:rsidR="002D0F0D" w:rsidRPr="00CC60E2" w:rsidRDefault="002D0F0D" w:rsidP="002D0F0D">
      <w:pPr>
        <w:suppressAutoHyphens/>
        <w:rPr>
          <w:szCs w:val="22"/>
          <w:lang w:val="lt-LT"/>
        </w:rPr>
      </w:pPr>
      <w:r w:rsidRPr="00CC60E2">
        <w:rPr>
          <w:b/>
          <w:szCs w:val="22"/>
          <w:lang w:val="lt-LT"/>
        </w:rPr>
        <w:t>Atidžiai perskaitykite visą šį lapelį, prieš pradėdami vartoti šį vaistą, nes jame pateikiama Jums svarbi informacija.</w:t>
      </w:r>
    </w:p>
    <w:p w:rsidR="002D0F0D" w:rsidRPr="00CC60E2" w:rsidRDefault="002D0F0D" w:rsidP="002D0F0D">
      <w:pPr>
        <w:numPr>
          <w:ilvl w:val="12"/>
          <w:numId w:val="0"/>
        </w:numPr>
        <w:tabs>
          <w:tab w:val="left" w:pos="720"/>
        </w:tabs>
        <w:ind w:right="-2"/>
        <w:rPr>
          <w:szCs w:val="22"/>
          <w:lang w:val="lt-LT"/>
        </w:rPr>
      </w:pPr>
      <w:r w:rsidRPr="00CC60E2">
        <w:rPr>
          <w:szCs w:val="22"/>
          <w:lang w:val="lt-LT"/>
        </w:rPr>
        <w:t xml:space="preserve">Visada vartokite šį vaistą tiksliai kaip aprašyta šiame lapelyje arba kaip nurodė gydytojas arba vaistininkas. </w:t>
      </w:r>
    </w:p>
    <w:p w:rsidR="002D0F0D" w:rsidRPr="00CC60E2" w:rsidRDefault="002D0F0D" w:rsidP="002D0F0D">
      <w:pPr>
        <w:numPr>
          <w:ilvl w:val="0"/>
          <w:numId w:val="1"/>
        </w:numPr>
        <w:spacing w:line="240" w:lineRule="auto"/>
        <w:ind w:left="567" w:hanging="567"/>
        <w:rPr>
          <w:szCs w:val="22"/>
          <w:lang w:val="lt-LT"/>
        </w:rPr>
      </w:pPr>
      <w:r w:rsidRPr="00CC60E2">
        <w:rPr>
          <w:szCs w:val="22"/>
          <w:lang w:val="lt-LT"/>
        </w:rPr>
        <w:t xml:space="preserve">Neišmeskite šio lapelio, nes vėl gali prireikti jį perskaityti. </w:t>
      </w:r>
    </w:p>
    <w:p w:rsidR="002D0F0D" w:rsidRPr="00CC60E2" w:rsidRDefault="002D0F0D" w:rsidP="002D0F0D">
      <w:pPr>
        <w:numPr>
          <w:ilvl w:val="0"/>
          <w:numId w:val="1"/>
        </w:numPr>
        <w:spacing w:line="240" w:lineRule="auto"/>
        <w:ind w:left="567" w:hanging="567"/>
        <w:rPr>
          <w:szCs w:val="22"/>
          <w:lang w:val="lt-LT"/>
        </w:rPr>
      </w:pPr>
      <w:r w:rsidRPr="00CC60E2">
        <w:rPr>
          <w:szCs w:val="22"/>
          <w:lang w:val="lt-LT"/>
        </w:rPr>
        <w:t>Jeigu norite sužinoti daugiau arba pasitarti, kreipkitės į vaistininką.</w:t>
      </w:r>
    </w:p>
    <w:p w:rsidR="002D0F0D" w:rsidRPr="00CC60E2" w:rsidRDefault="002D0F0D" w:rsidP="002D0F0D">
      <w:pPr>
        <w:numPr>
          <w:ilvl w:val="0"/>
          <w:numId w:val="1"/>
        </w:numPr>
        <w:spacing w:line="240" w:lineRule="auto"/>
        <w:ind w:left="567" w:hanging="567"/>
        <w:rPr>
          <w:szCs w:val="22"/>
          <w:lang w:val="lt-LT"/>
        </w:rPr>
      </w:pPr>
      <w:r w:rsidRPr="00CC60E2">
        <w:rPr>
          <w:szCs w:val="22"/>
          <w:lang w:val="lt-LT"/>
        </w:rPr>
        <w:t>Jeigu pasireiškė šalutinis poveikis (net jeigu jis šiame lapelyje nenurodytas), kreipkitės į gydytoją arba vaistininką. Žr. 4 skyrių.</w:t>
      </w:r>
    </w:p>
    <w:p w:rsidR="002D0F0D" w:rsidRPr="00CC60E2" w:rsidRDefault="002D0F0D" w:rsidP="002D0F0D">
      <w:pPr>
        <w:numPr>
          <w:ilvl w:val="0"/>
          <w:numId w:val="1"/>
        </w:numPr>
        <w:spacing w:line="240" w:lineRule="auto"/>
        <w:ind w:left="567" w:hanging="567"/>
        <w:rPr>
          <w:szCs w:val="22"/>
          <w:lang w:val="lt-LT"/>
        </w:rPr>
      </w:pPr>
      <w:r w:rsidRPr="00CC60E2">
        <w:rPr>
          <w:szCs w:val="22"/>
          <w:lang w:val="lt-LT"/>
        </w:rPr>
        <w:t>Jeigu per 7 dienas Jūsų savijauta nepagerėjo arba net pablogėjo, kreipkitės į gydytoją.</w:t>
      </w:r>
    </w:p>
    <w:p w:rsidR="002D0F0D" w:rsidRPr="00CC60E2" w:rsidRDefault="002D0F0D" w:rsidP="002D0F0D">
      <w:pPr>
        <w:tabs>
          <w:tab w:val="clear" w:pos="567"/>
        </w:tabs>
        <w:spacing w:line="240" w:lineRule="auto"/>
        <w:ind w:right="-2"/>
        <w:rPr>
          <w:szCs w:val="24"/>
          <w:lang w:val="lt-LT"/>
        </w:rPr>
      </w:pPr>
    </w:p>
    <w:p w:rsidR="002D0F0D" w:rsidRPr="00CC60E2" w:rsidRDefault="002D0F0D" w:rsidP="002D0F0D">
      <w:pPr>
        <w:numPr>
          <w:ilvl w:val="12"/>
          <w:numId w:val="0"/>
        </w:numPr>
        <w:tabs>
          <w:tab w:val="clear" w:pos="567"/>
        </w:tabs>
        <w:spacing w:line="240" w:lineRule="auto"/>
        <w:ind w:left="284" w:right="-2"/>
        <w:rPr>
          <w:szCs w:val="24"/>
          <w:lang w:val="lt-LT"/>
        </w:rPr>
      </w:pPr>
    </w:p>
    <w:p w:rsidR="002D0F0D" w:rsidRPr="00CC60E2" w:rsidRDefault="002D0F0D" w:rsidP="002D0F0D">
      <w:pPr>
        <w:numPr>
          <w:ilvl w:val="12"/>
          <w:numId w:val="0"/>
        </w:numPr>
        <w:ind w:right="-2"/>
        <w:outlineLvl w:val="0"/>
        <w:rPr>
          <w:szCs w:val="22"/>
          <w:lang w:val="lt-LT"/>
        </w:rPr>
      </w:pPr>
      <w:r w:rsidRPr="00CC60E2">
        <w:rPr>
          <w:b/>
          <w:szCs w:val="22"/>
          <w:lang w:val="lt-LT"/>
        </w:rPr>
        <w:t>Apie ką rašoma šiame lapelyje?</w:t>
      </w:r>
    </w:p>
    <w:p w:rsidR="002D0F0D" w:rsidRPr="00CC60E2" w:rsidRDefault="002D0F0D" w:rsidP="002D0F0D">
      <w:pPr>
        <w:numPr>
          <w:ilvl w:val="12"/>
          <w:numId w:val="0"/>
        </w:numPr>
        <w:ind w:right="-29"/>
        <w:rPr>
          <w:szCs w:val="22"/>
          <w:lang w:val="lt-LT"/>
        </w:rPr>
      </w:pPr>
      <w:r w:rsidRPr="00CC60E2">
        <w:rPr>
          <w:szCs w:val="22"/>
          <w:lang w:val="lt-LT"/>
        </w:rPr>
        <w:t>1.</w:t>
      </w:r>
      <w:r w:rsidRPr="00CC60E2">
        <w:rPr>
          <w:szCs w:val="22"/>
          <w:lang w:val="lt-LT"/>
        </w:rPr>
        <w:tab/>
        <w:t>Kas yra GATTART ir kam jis vartojamas</w:t>
      </w:r>
    </w:p>
    <w:p w:rsidR="002D0F0D" w:rsidRPr="00CC60E2" w:rsidRDefault="002D0F0D" w:rsidP="002D0F0D">
      <w:pPr>
        <w:numPr>
          <w:ilvl w:val="12"/>
          <w:numId w:val="0"/>
        </w:numPr>
        <w:ind w:right="-29"/>
        <w:rPr>
          <w:szCs w:val="22"/>
          <w:lang w:val="lt-LT"/>
        </w:rPr>
      </w:pPr>
      <w:r w:rsidRPr="00CC60E2">
        <w:rPr>
          <w:szCs w:val="22"/>
          <w:lang w:val="lt-LT"/>
        </w:rPr>
        <w:t>2.</w:t>
      </w:r>
      <w:r w:rsidRPr="00CC60E2">
        <w:rPr>
          <w:szCs w:val="22"/>
          <w:lang w:val="lt-LT"/>
        </w:rPr>
        <w:tab/>
        <w:t>Kas žinotina prieš vartojant GATTART</w:t>
      </w:r>
    </w:p>
    <w:p w:rsidR="002D0F0D" w:rsidRPr="00CC60E2" w:rsidRDefault="002D0F0D" w:rsidP="002D0F0D">
      <w:pPr>
        <w:numPr>
          <w:ilvl w:val="12"/>
          <w:numId w:val="0"/>
        </w:numPr>
        <w:ind w:right="-29"/>
        <w:rPr>
          <w:szCs w:val="22"/>
          <w:lang w:val="lt-LT"/>
        </w:rPr>
      </w:pPr>
      <w:r w:rsidRPr="00CC60E2">
        <w:rPr>
          <w:szCs w:val="22"/>
          <w:lang w:val="lt-LT"/>
        </w:rPr>
        <w:t>3.</w:t>
      </w:r>
      <w:r w:rsidRPr="00CC60E2">
        <w:rPr>
          <w:szCs w:val="22"/>
          <w:lang w:val="lt-LT"/>
        </w:rPr>
        <w:tab/>
        <w:t xml:space="preserve">Kaip vartoti GATTART </w:t>
      </w:r>
    </w:p>
    <w:p w:rsidR="002D0F0D" w:rsidRPr="00CC60E2" w:rsidRDefault="002D0F0D" w:rsidP="002D0F0D">
      <w:pPr>
        <w:numPr>
          <w:ilvl w:val="12"/>
          <w:numId w:val="0"/>
        </w:numPr>
        <w:ind w:right="-29"/>
        <w:rPr>
          <w:szCs w:val="22"/>
          <w:lang w:val="lt-LT"/>
        </w:rPr>
      </w:pPr>
      <w:r w:rsidRPr="00CC60E2">
        <w:rPr>
          <w:szCs w:val="22"/>
          <w:lang w:val="lt-LT"/>
        </w:rPr>
        <w:t>4.</w:t>
      </w:r>
      <w:r w:rsidRPr="00CC60E2">
        <w:rPr>
          <w:szCs w:val="22"/>
          <w:lang w:val="lt-LT"/>
        </w:rPr>
        <w:tab/>
        <w:t>Galimas šalutinis poveikis</w:t>
      </w:r>
    </w:p>
    <w:p w:rsidR="002D0F0D" w:rsidRPr="00CC60E2" w:rsidRDefault="002D0F0D" w:rsidP="002D0F0D">
      <w:pPr>
        <w:numPr>
          <w:ilvl w:val="0"/>
          <w:numId w:val="2"/>
        </w:numPr>
        <w:spacing w:line="240" w:lineRule="auto"/>
        <w:ind w:right="-29"/>
        <w:rPr>
          <w:szCs w:val="22"/>
          <w:lang w:val="lt-LT"/>
        </w:rPr>
      </w:pPr>
      <w:r w:rsidRPr="00CC60E2">
        <w:rPr>
          <w:szCs w:val="22"/>
          <w:lang w:val="lt-LT"/>
        </w:rPr>
        <w:t>Kaip laikyti GATTART</w:t>
      </w:r>
    </w:p>
    <w:p w:rsidR="002D0F0D" w:rsidRPr="00CC60E2" w:rsidRDefault="002D0F0D" w:rsidP="002D0F0D">
      <w:pPr>
        <w:ind w:right="-29"/>
        <w:rPr>
          <w:szCs w:val="22"/>
          <w:lang w:val="lt-LT"/>
        </w:rPr>
      </w:pPr>
      <w:r w:rsidRPr="00CC60E2">
        <w:rPr>
          <w:szCs w:val="22"/>
          <w:lang w:val="lt-LT"/>
        </w:rPr>
        <w:t>6.</w:t>
      </w:r>
      <w:r w:rsidRPr="00CC60E2">
        <w:rPr>
          <w:szCs w:val="22"/>
          <w:lang w:val="lt-LT"/>
        </w:rPr>
        <w:tab/>
        <w:t>Pakuotės turinys ir kita informacija</w:t>
      </w: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numPr>
          <w:ilvl w:val="0"/>
          <w:numId w:val="3"/>
        </w:numPr>
        <w:spacing w:line="240" w:lineRule="auto"/>
        <w:ind w:right="-2"/>
        <w:rPr>
          <w:b/>
          <w:szCs w:val="22"/>
          <w:lang w:val="lt-LT"/>
        </w:rPr>
      </w:pPr>
      <w:r w:rsidRPr="00CC60E2">
        <w:rPr>
          <w:b/>
          <w:szCs w:val="22"/>
          <w:lang w:val="lt-LT"/>
        </w:rPr>
        <w:t>Kas yra GATTART</w:t>
      </w:r>
      <w:r w:rsidRPr="00CC60E2">
        <w:rPr>
          <w:szCs w:val="22"/>
          <w:lang w:val="lt-LT"/>
        </w:rPr>
        <w:t xml:space="preserve"> </w:t>
      </w:r>
      <w:r w:rsidRPr="00CC60E2">
        <w:rPr>
          <w:b/>
          <w:szCs w:val="22"/>
          <w:lang w:val="lt-LT"/>
        </w:rPr>
        <w:t>ir kam jis vartojamas</w:t>
      </w:r>
    </w:p>
    <w:p w:rsidR="002D0F0D" w:rsidRPr="00CC60E2" w:rsidRDefault="002D0F0D" w:rsidP="002D0F0D">
      <w:pPr>
        <w:numPr>
          <w:ilvl w:val="12"/>
          <w:numId w:val="0"/>
        </w:numPr>
        <w:rPr>
          <w:szCs w:val="22"/>
          <w:lang w:val="lt-LT"/>
        </w:rPr>
      </w:pPr>
    </w:p>
    <w:p w:rsidR="002D0F0D" w:rsidRPr="00CC60E2" w:rsidRDefault="002D0F0D" w:rsidP="002D0F0D">
      <w:pPr>
        <w:rPr>
          <w:lang w:val="lt-LT"/>
        </w:rPr>
      </w:pPr>
      <w:r w:rsidRPr="00CC60E2">
        <w:rPr>
          <w:szCs w:val="22"/>
          <w:lang w:val="lt-LT"/>
        </w:rPr>
        <w:t>GATTART yra mėtų skonio rūgštingumą neutralizuojanti tabletė, kuri neutralizuoja skrandžio rūgštis organizme.</w:t>
      </w:r>
    </w:p>
    <w:p w:rsidR="002D0F0D" w:rsidRPr="00CC60E2" w:rsidRDefault="002D0F0D" w:rsidP="002D0F0D">
      <w:pPr>
        <w:rPr>
          <w:szCs w:val="22"/>
          <w:lang w:val="lt-LT"/>
        </w:rPr>
      </w:pPr>
      <w:r w:rsidRPr="00CC60E2">
        <w:rPr>
          <w:szCs w:val="22"/>
          <w:lang w:val="lt-LT"/>
        </w:rPr>
        <w:t>GATTART vartojamas gydyti rėmenį ir susijusius simptomus, pvz., skrandžio skausmus ir atsir</w:t>
      </w:r>
      <w:r>
        <w:rPr>
          <w:szCs w:val="22"/>
          <w:lang w:val="lt-LT"/>
        </w:rPr>
        <w:t>ū</w:t>
      </w:r>
      <w:r w:rsidRPr="00CC60E2">
        <w:rPr>
          <w:szCs w:val="22"/>
          <w:lang w:val="lt-LT"/>
        </w:rPr>
        <w:t>gimą rūgštimi.</w:t>
      </w:r>
    </w:p>
    <w:p w:rsidR="002D0F0D" w:rsidRPr="00CC60E2" w:rsidRDefault="002D0F0D" w:rsidP="002D0F0D">
      <w:pPr>
        <w:rPr>
          <w:szCs w:val="22"/>
          <w:lang w:val="lt-LT"/>
        </w:rPr>
      </w:pPr>
    </w:p>
    <w:p w:rsidR="002D0F0D" w:rsidRPr="00CC60E2" w:rsidRDefault="002D0F0D" w:rsidP="002D0F0D">
      <w:pPr>
        <w:rPr>
          <w:color w:val="000000"/>
          <w:szCs w:val="22"/>
          <w:lang w:val="lt-LT"/>
        </w:rPr>
      </w:pPr>
      <w:r w:rsidRPr="00CC60E2">
        <w:rPr>
          <w:color w:val="000000"/>
          <w:szCs w:val="22"/>
          <w:lang w:val="lt-LT"/>
        </w:rPr>
        <w:t>Jeigu per 7 dienas Jūsų savijauta nepagerėjo arba net pablogėjo, kreipkitės į gydytoją.</w:t>
      </w: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pStyle w:val="Antrat4"/>
        <w:rPr>
          <w:rFonts w:ascii="Times New Roman" w:hAnsi="Times New Roman"/>
          <w:sz w:val="22"/>
          <w:lang w:val="lt-LT"/>
        </w:rPr>
      </w:pPr>
      <w:r w:rsidRPr="00CC60E2">
        <w:rPr>
          <w:rFonts w:ascii="Times New Roman" w:hAnsi="Times New Roman"/>
          <w:sz w:val="22"/>
          <w:lang w:val="lt-LT"/>
        </w:rPr>
        <w:t>2.</w:t>
      </w:r>
      <w:r w:rsidRPr="00CC60E2">
        <w:rPr>
          <w:rFonts w:ascii="Times New Roman" w:hAnsi="Times New Roman"/>
          <w:sz w:val="22"/>
          <w:lang w:val="lt-LT"/>
        </w:rPr>
        <w:tab/>
        <w:t xml:space="preserve">Kas žinotina prieš vartojant </w:t>
      </w:r>
      <w:r w:rsidRPr="00CC60E2">
        <w:rPr>
          <w:rFonts w:ascii="Times New Roman" w:hAnsi="Times New Roman"/>
          <w:bCs w:val="0"/>
          <w:sz w:val="22"/>
          <w:szCs w:val="22"/>
          <w:lang w:val="lt-LT"/>
        </w:rPr>
        <w:t>GATTART</w:t>
      </w: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numPr>
          <w:ilvl w:val="12"/>
          <w:numId w:val="0"/>
        </w:numPr>
        <w:outlineLvl w:val="0"/>
        <w:rPr>
          <w:szCs w:val="22"/>
          <w:lang w:val="lt-LT"/>
        </w:rPr>
      </w:pPr>
      <w:r w:rsidRPr="00CC60E2">
        <w:rPr>
          <w:b/>
          <w:szCs w:val="22"/>
          <w:lang w:val="lt-LT"/>
        </w:rPr>
        <w:t>GATTART vartoti negalima:</w:t>
      </w:r>
    </w:p>
    <w:p w:rsidR="002D0F0D" w:rsidRPr="00CC60E2" w:rsidRDefault="002D0F0D" w:rsidP="002D0F0D">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yra alergija kalcio karbonatui, magnio karbonatui arba bet kuriai pagalbinei šio vaisto medžiagai (jos išvardytos 6 skyriuje);</w:t>
      </w:r>
    </w:p>
    <w:p w:rsidR="002D0F0D" w:rsidRPr="00CC60E2" w:rsidRDefault="002D0F0D" w:rsidP="002D0F0D">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Jūsų kraujyje yra didelis kalcio ir žemas fosfatų kiekis;</w:t>
      </w:r>
    </w:p>
    <w:p w:rsidR="002D0F0D" w:rsidRPr="00CC60E2" w:rsidRDefault="002D0F0D" w:rsidP="002D0F0D">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šlapime yra didelis kalcio kiekis arba turite inkstų akmenų;</w:t>
      </w:r>
    </w:p>
    <w:p w:rsidR="002D0F0D" w:rsidRPr="00CC60E2" w:rsidRDefault="002D0F0D" w:rsidP="002D0F0D">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sergate sunkia inkstų liga.</w:t>
      </w:r>
    </w:p>
    <w:p w:rsidR="002D0F0D" w:rsidRPr="00CC60E2" w:rsidRDefault="002D0F0D" w:rsidP="002D0F0D">
      <w:pPr>
        <w:numPr>
          <w:ilvl w:val="12"/>
          <w:numId w:val="0"/>
        </w:numPr>
        <w:rPr>
          <w:szCs w:val="22"/>
          <w:lang w:val="lt-LT"/>
        </w:rPr>
      </w:pPr>
      <w:r w:rsidRPr="00CC60E2">
        <w:rPr>
          <w:szCs w:val="22"/>
          <w:lang w:val="lt-LT"/>
        </w:rPr>
        <w:t>Jeigu abejojate, ar tai, kas pirmiau aprašyta, galioja Jums, pasitarkite su gydytoju ar vaistininku.</w:t>
      </w:r>
    </w:p>
    <w:p w:rsidR="002D0F0D" w:rsidRPr="00CC60E2" w:rsidRDefault="002D0F0D" w:rsidP="002D0F0D">
      <w:pPr>
        <w:numPr>
          <w:ilvl w:val="12"/>
          <w:numId w:val="0"/>
        </w:numPr>
        <w:ind w:right="-2"/>
        <w:outlineLvl w:val="0"/>
        <w:rPr>
          <w:b/>
          <w:szCs w:val="22"/>
          <w:lang w:val="lt-LT"/>
        </w:rPr>
      </w:pPr>
    </w:p>
    <w:p w:rsidR="002D0F0D" w:rsidRPr="00CC60E2" w:rsidRDefault="002D0F0D" w:rsidP="002D0F0D">
      <w:pPr>
        <w:numPr>
          <w:ilvl w:val="12"/>
          <w:numId w:val="0"/>
        </w:numPr>
        <w:ind w:right="-2"/>
        <w:outlineLvl w:val="0"/>
        <w:rPr>
          <w:b/>
          <w:szCs w:val="22"/>
          <w:lang w:val="lt-LT"/>
        </w:rPr>
      </w:pPr>
      <w:r w:rsidRPr="00CC60E2">
        <w:rPr>
          <w:b/>
          <w:szCs w:val="22"/>
          <w:lang w:val="lt-LT"/>
        </w:rPr>
        <w:t>Įspėjimai ir atsargumo priemonės:</w:t>
      </w:r>
    </w:p>
    <w:p w:rsidR="002D0F0D" w:rsidRPr="00CC60E2" w:rsidRDefault="002D0F0D" w:rsidP="002D0F0D">
      <w:pPr>
        <w:numPr>
          <w:ilvl w:val="12"/>
          <w:numId w:val="0"/>
        </w:numPr>
        <w:ind w:right="-2"/>
        <w:outlineLvl w:val="0"/>
        <w:rPr>
          <w:color w:val="000000"/>
          <w:szCs w:val="22"/>
          <w:lang w:val="lt-LT"/>
        </w:rPr>
      </w:pPr>
      <w:r w:rsidRPr="00CC60E2">
        <w:rPr>
          <w:color w:val="000000"/>
          <w:szCs w:val="22"/>
          <w:lang w:val="lt-LT"/>
        </w:rPr>
        <w:t>Pasitarkite su gydytoju arba vaistininku, prieš pradėdami vartoti šį vaistą:</w:t>
      </w:r>
    </w:p>
    <w:p w:rsidR="002D0F0D" w:rsidRPr="00CC60E2" w:rsidRDefault="002D0F0D" w:rsidP="002D0F0D">
      <w:pPr>
        <w:numPr>
          <w:ilvl w:val="0"/>
          <w:numId w:val="1"/>
        </w:numPr>
        <w:tabs>
          <w:tab w:val="clear" w:pos="567"/>
          <w:tab w:val="left" w:pos="1290"/>
        </w:tabs>
        <w:spacing w:line="240" w:lineRule="auto"/>
        <w:ind w:right="-2"/>
        <w:rPr>
          <w:szCs w:val="22"/>
          <w:lang w:val="lt-LT"/>
        </w:rPr>
      </w:pPr>
      <w:r w:rsidRPr="00CC60E2">
        <w:rPr>
          <w:szCs w:val="22"/>
          <w:lang w:val="lt-LT"/>
        </w:rPr>
        <w:t>jeigu turite lengvų ar vidutinių inkstų problemų, nes reikia atlikti kraujo tyrimus.</w:t>
      </w:r>
    </w:p>
    <w:p w:rsidR="002D0F0D" w:rsidRPr="00CC60E2" w:rsidRDefault="002D0F0D" w:rsidP="002D0F0D">
      <w:pPr>
        <w:numPr>
          <w:ilvl w:val="12"/>
          <w:numId w:val="0"/>
        </w:numPr>
        <w:ind w:right="-2"/>
        <w:outlineLvl w:val="0"/>
        <w:rPr>
          <w:b/>
          <w:szCs w:val="22"/>
          <w:lang w:val="lt-LT"/>
        </w:rPr>
      </w:pPr>
    </w:p>
    <w:p w:rsidR="002D0F0D" w:rsidRPr="00CC60E2" w:rsidRDefault="002D0F0D" w:rsidP="002D0F0D">
      <w:pPr>
        <w:autoSpaceDE w:val="0"/>
        <w:autoSpaceDN w:val="0"/>
        <w:adjustRightInd w:val="0"/>
        <w:ind w:left="360"/>
        <w:rPr>
          <w:szCs w:val="22"/>
          <w:lang w:val="lt-LT"/>
        </w:rPr>
      </w:pPr>
      <w:r w:rsidRPr="00CC60E2">
        <w:rPr>
          <w:szCs w:val="22"/>
          <w:lang w:val="lt-LT"/>
        </w:rPr>
        <w:t>Neviršykite nurodytos dozės ir šio vaisto nevartokite daugiau nei 7 dienas nepasitarę su gydytoju. Kaip ir kitus rūgštingumą neutralizuojančius preparatus, vartojant šias tabletes gali būti maskuojami kitų, sunkesnių sveikatos būklių simptomai, todėl venkite šį vaistą vartoti ilgą laiką.</w:t>
      </w:r>
    </w:p>
    <w:p w:rsidR="002D0F0D" w:rsidRPr="00CC60E2" w:rsidRDefault="002D0F0D" w:rsidP="002D0F0D">
      <w:pPr>
        <w:autoSpaceDE w:val="0"/>
        <w:autoSpaceDN w:val="0"/>
        <w:adjustRightInd w:val="0"/>
        <w:rPr>
          <w:szCs w:val="22"/>
          <w:lang w:val="lt-LT"/>
        </w:rPr>
      </w:pPr>
    </w:p>
    <w:p w:rsidR="002D0F0D" w:rsidRPr="00CC60E2" w:rsidRDefault="002D0F0D" w:rsidP="002D0F0D">
      <w:pPr>
        <w:autoSpaceDE w:val="0"/>
        <w:autoSpaceDN w:val="0"/>
        <w:adjustRightInd w:val="0"/>
        <w:rPr>
          <w:b/>
          <w:szCs w:val="22"/>
          <w:lang w:val="lt-LT"/>
        </w:rPr>
      </w:pPr>
      <w:r w:rsidRPr="00CC60E2">
        <w:rPr>
          <w:b/>
          <w:szCs w:val="22"/>
          <w:lang w:val="lt-LT"/>
        </w:rPr>
        <w:t>Vaikams ir paaugliams</w:t>
      </w:r>
    </w:p>
    <w:p w:rsidR="002D0F0D" w:rsidRPr="00CC60E2" w:rsidRDefault="002D0F0D" w:rsidP="002D0F0D">
      <w:pPr>
        <w:autoSpaceDE w:val="0"/>
        <w:autoSpaceDN w:val="0"/>
        <w:adjustRightInd w:val="0"/>
        <w:rPr>
          <w:szCs w:val="22"/>
          <w:u w:val="single"/>
          <w:lang w:val="lt-LT"/>
        </w:rPr>
      </w:pPr>
      <w:r w:rsidRPr="00CC60E2">
        <w:rPr>
          <w:szCs w:val="22"/>
          <w:u w:val="single"/>
          <w:lang w:val="lt-LT"/>
        </w:rPr>
        <w:t>Šis vaistas nerekomenduojamas vaikams iki 12 metų amžiaus.</w:t>
      </w:r>
    </w:p>
    <w:p w:rsidR="002D0F0D" w:rsidRPr="00CC60E2" w:rsidRDefault="002D0F0D" w:rsidP="002D0F0D">
      <w:pPr>
        <w:autoSpaceDE w:val="0"/>
        <w:autoSpaceDN w:val="0"/>
        <w:adjustRightInd w:val="0"/>
        <w:rPr>
          <w:szCs w:val="22"/>
          <w:lang w:val="lt-LT"/>
        </w:rPr>
      </w:pPr>
    </w:p>
    <w:p w:rsidR="002D0F0D" w:rsidRPr="00CC60E2" w:rsidRDefault="002D0F0D" w:rsidP="002D0F0D">
      <w:pPr>
        <w:numPr>
          <w:ilvl w:val="12"/>
          <w:numId w:val="0"/>
        </w:numPr>
        <w:ind w:right="-2"/>
        <w:rPr>
          <w:szCs w:val="22"/>
          <w:lang w:val="lt-LT"/>
        </w:rPr>
      </w:pPr>
      <w:r w:rsidRPr="00CC60E2">
        <w:rPr>
          <w:b/>
          <w:szCs w:val="22"/>
          <w:lang w:val="lt-LT"/>
        </w:rPr>
        <w:t>Kiti vaistai ir  GATTART</w:t>
      </w:r>
    </w:p>
    <w:p w:rsidR="002D0F0D" w:rsidRPr="00CC60E2" w:rsidRDefault="002D0F0D" w:rsidP="002D0F0D">
      <w:pPr>
        <w:autoSpaceDE w:val="0"/>
        <w:autoSpaceDN w:val="0"/>
        <w:adjustRightInd w:val="0"/>
        <w:rPr>
          <w:szCs w:val="22"/>
          <w:lang w:val="lt-LT"/>
        </w:rPr>
      </w:pPr>
      <w:r w:rsidRPr="00CC60E2">
        <w:rPr>
          <w:szCs w:val="22"/>
          <w:lang w:val="lt-LT"/>
        </w:rPr>
        <w:t>Jeigu vartojate ar neseniai vartojote kitų vaistų arba dėl to nesate tikri, apie tai pasakykite gydytojui arba vaistininkui.</w:t>
      </w:r>
      <w:r w:rsidRPr="00CC60E2">
        <w:rPr>
          <w:vanish/>
          <w:szCs w:val="22"/>
          <w:lang w:val="lt-LT"/>
        </w:rPr>
        <w:t xml:space="preserve"> Cefadroxil </w:t>
      </w:r>
    </w:p>
    <w:p w:rsidR="002D0F0D" w:rsidRPr="00CC60E2" w:rsidRDefault="002D0F0D" w:rsidP="002D0F0D">
      <w:pPr>
        <w:autoSpaceDE w:val="0"/>
        <w:autoSpaceDN w:val="0"/>
        <w:adjustRightInd w:val="0"/>
        <w:rPr>
          <w:szCs w:val="22"/>
          <w:lang w:val="lt-LT"/>
        </w:rPr>
      </w:pPr>
      <w:r w:rsidRPr="00CC60E2">
        <w:rPr>
          <w:szCs w:val="22"/>
          <w:lang w:val="lt-LT"/>
        </w:rPr>
        <w:t>Jeigu vartojate bet kuriuos iš šių vaistų, prieš vartodami GATTART pasitarkite su gydytoju ar vaistininku, nes jis gali turėti įtakos kitų vaistų veikimui:</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proofErr w:type="spellStart"/>
      <w:r w:rsidRPr="00CC60E2">
        <w:rPr>
          <w:szCs w:val="22"/>
          <w:lang w:val="lt-LT"/>
        </w:rPr>
        <w:t>tetraciklinus</w:t>
      </w:r>
      <w:proofErr w:type="spellEnd"/>
      <w:r w:rsidRPr="00CC60E2">
        <w:rPr>
          <w:szCs w:val="22"/>
          <w:lang w:val="lt-LT"/>
        </w:rPr>
        <w:t xml:space="preserve"> ir </w:t>
      </w:r>
      <w:proofErr w:type="spellStart"/>
      <w:r w:rsidRPr="00CC60E2">
        <w:rPr>
          <w:szCs w:val="22"/>
          <w:lang w:val="lt-LT"/>
        </w:rPr>
        <w:t>chinolonus</w:t>
      </w:r>
      <w:proofErr w:type="spellEnd"/>
      <w:r w:rsidRPr="00CC60E2">
        <w:rPr>
          <w:szCs w:val="22"/>
          <w:lang w:val="lt-LT"/>
        </w:rPr>
        <w:t xml:space="preserve"> (antibiotikus);</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proofErr w:type="spellStart"/>
      <w:r w:rsidRPr="00CC60E2">
        <w:rPr>
          <w:szCs w:val="22"/>
          <w:lang w:val="lt-LT"/>
        </w:rPr>
        <w:t>levotiroksiną</w:t>
      </w:r>
      <w:proofErr w:type="spellEnd"/>
      <w:r w:rsidRPr="00CC60E2">
        <w:rPr>
          <w:szCs w:val="22"/>
          <w:lang w:val="lt-LT"/>
        </w:rPr>
        <w:t xml:space="preserve"> (skydliaukės hormoną);</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proofErr w:type="spellStart"/>
      <w:r w:rsidRPr="00CC60E2">
        <w:rPr>
          <w:szCs w:val="22"/>
          <w:lang w:val="lt-LT"/>
        </w:rPr>
        <w:t>eltrombopagą</w:t>
      </w:r>
      <w:proofErr w:type="spellEnd"/>
      <w:r w:rsidRPr="00CC60E2">
        <w:rPr>
          <w:szCs w:val="22"/>
          <w:lang w:val="lt-LT"/>
        </w:rPr>
        <w:t xml:space="preserve"> (vartojamą trombocitų skaičiui padidinti);</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proofErr w:type="spellStart"/>
      <w:r w:rsidRPr="00CC60E2">
        <w:rPr>
          <w:szCs w:val="22"/>
          <w:lang w:val="lt-LT"/>
        </w:rPr>
        <w:t>digoksiną</w:t>
      </w:r>
      <w:proofErr w:type="spellEnd"/>
      <w:r w:rsidRPr="00CC60E2">
        <w:rPr>
          <w:szCs w:val="22"/>
          <w:lang w:val="lt-LT"/>
        </w:rPr>
        <w:t xml:space="preserve"> (vartojamas kai kurioms širdies ligoms);</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proofErr w:type="spellStart"/>
      <w:r w:rsidRPr="00CC60E2">
        <w:rPr>
          <w:szCs w:val="22"/>
          <w:lang w:val="lt-LT"/>
        </w:rPr>
        <w:t>tiazidinius</w:t>
      </w:r>
      <w:proofErr w:type="spellEnd"/>
      <w:r w:rsidRPr="00CC60E2">
        <w:rPr>
          <w:szCs w:val="22"/>
          <w:lang w:val="lt-LT"/>
        </w:rPr>
        <w:t xml:space="preserve"> diuretikus (šlapimą varančios tabletės, skirtos skysčių susikaupimui ir aukštam kraujospūdžiui gydyti);</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r w:rsidRPr="00CC60E2">
        <w:rPr>
          <w:szCs w:val="22"/>
          <w:lang w:val="lt-LT"/>
        </w:rPr>
        <w:t>fluoridus (dantų ėduonies prevencijai);</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r w:rsidRPr="00CC60E2">
        <w:rPr>
          <w:szCs w:val="22"/>
          <w:lang w:val="lt-LT"/>
        </w:rPr>
        <w:t>fosfatų (žarnynui išvalyti prieš chirurginę procedūrą);</w:t>
      </w:r>
    </w:p>
    <w:p w:rsidR="002D0F0D" w:rsidRPr="00CC60E2" w:rsidRDefault="002D0F0D" w:rsidP="002D0F0D">
      <w:pPr>
        <w:numPr>
          <w:ilvl w:val="0"/>
          <w:numId w:val="1"/>
        </w:numPr>
        <w:tabs>
          <w:tab w:val="clear" w:pos="567"/>
        </w:tabs>
        <w:autoSpaceDE w:val="0"/>
        <w:autoSpaceDN w:val="0"/>
        <w:adjustRightInd w:val="0"/>
        <w:spacing w:line="240" w:lineRule="auto"/>
        <w:rPr>
          <w:szCs w:val="22"/>
          <w:lang w:val="lt-LT"/>
        </w:rPr>
      </w:pPr>
      <w:r w:rsidRPr="00CC60E2">
        <w:rPr>
          <w:szCs w:val="22"/>
          <w:lang w:val="lt-LT"/>
        </w:rPr>
        <w:t>geležies papildus.</w:t>
      </w:r>
    </w:p>
    <w:p w:rsidR="002D0F0D" w:rsidRPr="00CC60E2" w:rsidRDefault="002D0F0D" w:rsidP="002D0F0D">
      <w:pPr>
        <w:autoSpaceDE w:val="0"/>
        <w:autoSpaceDN w:val="0"/>
        <w:adjustRightInd w:val="0"/>
        <w:rPr>
          <w:szCs w:val="22"/>
          <w:lang w:val="lt-LT"/>
        </w:rPr>
      </w:pPr>
      <w:r w:rsidRPr="00CC60E2">
        <w:rPr>
          <w:szCs w:val="22"/>
          <w:lang w:val="lt-LT"/>
        </w:rPr>
        <w:t xml:space="preserve">Siekiant padidinti visų vartojamų vaistų naudą, GATTART vartokite mažiausiai 4 valandas prieš arba po </w:t>
      </w:r>
      <w:proofErr w:type="spellStart"/>
      <w:r w:rsidRPr="00CC60E2">
        <w:rPr>
          <w:szCs w:val="22"/>
          <w:lang w:val="lt-LT"/>
        </w:rPr>
        <w:t>eltrombopago</w:t>
      </w:r>
      <w:proofErr w:type="spellEnd"/>
      <w:r w:rsidRPr="00CC60E2">
        <w:rPr>
          <w:szCs w:val="22"/>
          <w:lang w:val="lt-LT"/>
        </w:rPr>
        <w:t xml:space="preserve"> [vartojamo trombocitų (kraujo krešėjimo ląstelių) gamybai padidinti] pavartojimo ir 1</w:t>
      </w:r>
      <w:r w:rsidRPr="00CC60E2">
        <w:rPr>
          <w:szCs w:val="22"/>
          <w:cs/>
          <w:lang w:val="lt-LT"/>
        </w:rPr>
        <w:t>–</w:t>
      </w:r>
      <w:r w:rsidRPr="00CC60E2">
        <w:rPr>
          <w:szCs w:val="22"/>
          <w:lang w:val="lt-LT"/>
        </w:rPr>
        <w:t>2 valandas po visų kitų vaistų pavartojimo.</w:t>
      </w:r>
    </w:p>
    <w:p w:rsidR="002D0F0D" w:rsidRPr="00CC60E2" w:rsidRDefault="002D0F0D" w:rsidP="002D0F0D">
      <w:pPr>
        <w:autoSpaceDE w:val="0"/>
        <w:autoSpaceDN w:val="0"/>
        <w:adjustRightInd w:val="0"/>
        <w:rPr>
          <w:szCs w:val="22"/>
          <w:lang w:val="lt-LT"/>
        </w:rPr>
      </w:pPr>
    </w:p>
    <w:p w:rsidR="002D0F0D" w:rsidRPr="00CC60E2" w:rsidRDefault="002D0F0D" w:rsidP="002D0F0D">
      <w:pPr>
        <w:numPr>
          <w:ilvl w:val="12"/>
          <w:numId w:val="0"/>
        </w:numPr>
        <w:ind w:right="-2"/>
        <w:rPr>
          <w:szCs w:val="22"/>
          <w:lang w:val="lt-LT"/>
        </w:rPr>
      </w:pPr>
      <w:r w:rsidRPr="00CC60E2">
        <w:rPr>
          <w:b/>
          <w:szCs w:val="22"/>
          <w:lang w:val="lt-LT"/>
        </w:rPr>
        <w:t xml:space="preserve">GATTART vartojimas su maistu ir gėrimais </w:t>
      </w:r>
    </w:p>
    <w:p w:rsidR="002D0F0D" w:rsidRPr="00CC60E2" w:rsidRDefault="002D0F0D" w:rsidP="002D0F0D">
      <w:pPr>
        <w:autoSpaceDE w:val="0"/>
        <w:autoSpaceDN w:val="0"/>
        <w:adjustRightInd w:val="0"/>
        <w:rPr>
          <w:szCs w:val="22"/>
          <w:lang w:val="lt-LT"/>
        </w:rPr>
      </w:pPr>
      <w:r w:rsidRPr="00CC60E2">
        <w:rPr>
          <w:szCs w:val="22"/>
          <w:lang w:val="lt-LT"/>
        </w:rPr>
        <w:t>Šio vaisto stenkitės nevartoti su dideliu pieno kiekiu ar pieno produktais.</w:t>
      </w:r>
    </w:p>
    <w:p w:rsidR="002D0F0D" w:rsidRPr="00CC60E2" w:rsidRDefault="002D0F0D" w:rsidP="002D0F0D">
      <w:pPr>
        <w:autoSpaceDE w:val="0"/>
        <w:autoSpaceDN w:val="0"/>
        <w:adjustRightInd w:val="0"/>
        <w:rPr>
          <w:szCs w:val="22"/>
          <w:lang w:val="lt-LT"/>
        </w:rPr>
      </w:pPr>
    </w:p>
    <w:p w:rsidR="002D0F0D" w:rsidRPr="00CC60E2" w:rsidRDefault="002D0F0D" w:rsidP="002D0F0D">
      <w:pPr>
        <w:numPr>
          <w:ilvl w:val="12"/>
          <w:numId w:val="0"/>
        </w:numPr>
        <w:ind w:right="-2"/>
        <w:outlineLvl w:val="0"/>
        <w:rPr>
          <w:b/>
          <w:szCs w:val="22"/>
          <w:lang w:val="lt-LT"/>
        </w:rPr>
      </w:pPr>
      <w:r w:rsidRPr="00CC60E2">
        <w:rPr>
          <w:b/>
          <w:szCs w:val="22"/>
          <w:lang w:val="lt-LT"/>
        </w:rPr>
        <w:t>Nėštumas, žindymo laikotarpis ir vaisingumas</w:t>
      </w:r>
    </w:p>
    <w:p w:rsidR="002D0F0D" w:rsidRPr="00CC60E2" w:rsidRDefault="002D0F0D" w:rsidP="002D0F0D">
      <w:pPr>
        <w:rPr>
          <w:szCs w:val="22"/>
          <w:lang w:val="lt-LT"/>
        </w:rPr>
      </w:pPr>
      <w:r w:rsidRPr="00CC60E2">
        <w:rPr>
          <w:szCs w:val="22"/>
          <w:lang w:val="lt-LT"/>
        </w:rPr>
        <w:t>Šias tabletes galima vartoti nėštumo ir žindymo metu, jeigu vartojama, kaip nurodyta.</w:t>
      </w: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pStyle w:val="Antrat3"/>
        <w:spacing w:before="0" w:after="0" w:line="240" w:lineRule="auto"/>
        <w:rPr>
          <w:rFonts w:ascii="Times New Roman" w:hAnsi="Times New Roman"/>
          <w:sz w:val="22"/>
          <w:lang w:val="lt-LT"/>
        </w:rPr>
      </w:pPr>
      <w:r w:rsidRPr="00CC60E2">
        <w:rPr>
          <w:rFonts w:ascii="Times New Roman" w:hAnsi="Times New Roman"/>
          <w:sz w:val="22"/>
          <w:lang w:val="lt-LT"/>
        </w:rPr>
        <w:t>3.</w:t>
      </w:r>
      <w:r w:rsidRPr="00CC60E2">
        <w:rPr>
          <w:rFonts w:ascii="Times New Roman" w:hAnsi="Times New Roman"/>
          <w:sz w:val="22"/>
          <w:lang w:val="lt-LT"/>
        </w:rPr>
        <w:tab/>
        <w:t xml:space="preserve">Kaip vartoti </w:t>
      </w:r>
      <w:r w:rsidRPr="00CC60E2">
        <w:rPr>
          <w:rFonts w:ascii="Times New Roman" w:hAnsi="Times New Roman"/>
          <w:sz w:val="22"/>
          <w:szCs w:val="22"/>
          <w:lang w:val="lt-LT"/>
        </w:rPr>
        <w:t>GATTART</w:t>
      </w: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numPr>
          <w:ilvl w:val="12"/>
          <w:numId w:val="0"/>
        </w:numPr>
        <w:ind w:right="-2"/>
        <w:rPr>
          <w:szCs w:val="22"/>
          <w:lang w:val="lt-LT"/>
        </w:rPr>
      </w:pPr>
      <w:r w:rsidRPr="00CC60E2">
        <w:rPr>
          <w:szCs w:val="22"/>
          <w:lang w:val="lt-LT"/>
        </w:rPr>
        <w:t xml:space="preserve">Visada vartokite šį vaistą tiksliai kaip aprašyta šiame lapelyje arba kaip nurodė gydytojas arba vaistininkas. Jeigu abejojate, kreipkitės į gydytoją arba vaistininką. </w:t>
      </w:r>
    </w:p>
    <w:p w:rsidR="002D0F0D" w:rsidRPr="00CC60E2" w:rsidRDefault="002D0F0D" w:rsidP="002D0F0D">
      <w:pPr>
        <w:numPr>
          <w:ilvl w:val="12"/>
          <w:numId w:val="0"/>
        </w:numPr>
        <w:ind w:right="-2"/>
        <w:rPr>
          <w:szCs w:val="22"/>
          <w:lang w:val="lt-LT"/>
        </w:rPr>
      </w:pPr>
    </w:p>
    <w:p w:rsidR="002D0F0D" w:rsidRPr="00CC60E2" w:rsidRDefault="002D0F0D" w:rsidP="002D0F0D">
      <w:pPr>
        <w:numPr>
          <w:ilvl w:val="12"/>
          <w:numId w:val="0"/>
        </w:numPr>
        <w:ind w:right="-2"/>
        <w:rPr>
          <w:szCs w:val="22"/>
          <w:lang w:val="lt-LT"/>
        </w:rPr>
      </w:pPr>
      <w:r w:rsidRPr="00CC60E2">
        <w:rPr>
          <w:szCs w:val="22"/>
          <w:lang w:val="lt-LT"/>
        </w:rPr>
        <w:t xml:space="preserve">Rekomenduojama dozė yra </w:t>
      </w:r>
    </w:p>
    <w:p w:rsidR="002D0F0D" w:rsidRPr="00CC60E2" w:rsidRDefault="002D0F0D" w:rsidP="002D0F0D">
      <w:pPr>
        <w:numPr>
          <w:ilvl w:val="12"/>
          <w:numId w:val="0"/>
        </w:numPr>
        <w:ind w:right="-2"/>
        <w:rPr>
          <w:szCs w:val="22"/>
          <w:lang w:val="lt-LT"/>
        </w:rPr>
      </w:pPr>
      <w:r w:rsidRPr="00CC60E2">
        <w:rPr>
          <w:b/>
          <w:szCs w:val="22"/>
          <w:lang w:val="lt-LT"/>
        </w:rPr>
        <w:t>Suaugusieji ir paaugliai</w:t>
      </w:r>
      <w:r w:rsidRPr="00CC60E2">
        <w:rPr>
          <w:szCs w:val="22"/>
          <w:lang w:val="lt-LT"/>
        </w:rPr>
        <w:t xml:space="preserve"> (vyresni nei 12 metų amžiaus): 1</w:t>
      </w:r>
      <w:r w:rsidRPr="00CC60E2">
        <w:rPr>
          <w:szCs w:val="22"/>
          <w:cs/>
          <w:lang w:val="lt-LT"/>
        </w:rPr>
        <w:t>–</w:t>
      </w:r>
      <w:r w:rsidRPr="00CC60E2">
        <w:rPr>
          <w:szCs w:val="22"/>
          <w:lang w:val="lt-LT"/>
        </w:rPr>
        <w:t xml:space="preserve">2 tabletes reikia sučiulpti ar sukramtyti rėmens ir susijusių simptomų atveju (išvardyti 1 skyriuje), pageidautina 1 valandą po valgio ir prieš miegą. </w:t>
      </w:r>
    </w:p>
    <w:p w:rsidR="002D0F0D" w:rsidRPr="00CC60E2" w:rsidRDefault="002D0F0D" w:rsidP="002D0F0D">
      <w:pPr>
        <w:numPr>
          <w:ilvl w:val="12"/>
          <w:numId w:val="0"/>
        </w:numPr>
        <w:ind w:right="-2"/>
        <w:rPr>
          <w:szCs w:val="22"/>
          <w:lang w:val="lt-LT"/>
        </w:rPr>
      </w:pPr>
    </w:p>
    <w:p w:rsidR="002D0F0D" w:rsidRPr="00CC60E2" w:rsidRDefault="002D0F0D" w:rsidP="002D0F0D">
      <w:pPr>
        <w:numPr>
          <w:ilvl w:val="12"/>
          <w:numId w:val="0"/>
        </w:numPr>
        <w:ind w:right="-2"/>
        <w:rPr>
          <w:szCs w:val="22"/>
          <w:lang w:val="lt-LT"/>
        </w:rPr>
      </w:pPr>
      <w:r w:rsidRPr="00CC60E2">
        <w:rPr>
          <w:szCs w:val="22"/>
          <w:lang w:val="lt-LT"/>
        </w:rPr>
        <w:t>Nevartokite daugiau nei 11 tablečių per dieną.</w:t>
      </w:r>
    </w:p>
    <w:p w:rsidR="002D0F0D" w:rsidRPr="00CC60E2" w:rsidRDefault="002D0F0D" w:rsidP="002D0F0D">
      <w:pPr>
        <w:numPr>
          <w:ilvl w:val="12"/>
          <w:numId w:val="0"/>
        </w:numPr>
        <w:ind w:right="-2"/>
        <w:rPr>
          <w:szCs w:val="22"/>
          <w:lang w:val="lt-LT"/>
        </w:rPr>
      </w:pPr>
    </w:p>
    <w:p w:rsidR="002D0F0D" w:rsidRPr="00CC60E2" w:rsidRDefault="002D0F0D" w:rsidP="002D0F0D">
      <w:pPr>
        <w:numPr>
          <w:ilvl w:val="12"/>
          <w:numId w:val="0"/>
        </w:numPr>
        <w:ind w:right="-2"/>
        <w:rPr>
          <w:szCs w:val="22"/>
          <w:lang w:val="lt-LT"/>
        </w:rPr>
      </w:pPr>
      <w:r w:rsidRPr="00CC60E2">
        <w:rPr>
          <w:szCs w:val="22"/>
          <w:lang w:val="lt-LT"/>
        </w:rPr>
        <w:t>Jeigu per 7 dienas Jūsų savijauta nepagerėjo arba net pablogėjo, kreipkitės į gydytoją. Šio vaisto nevartokite ilgą laiką.</w:t>
      </w:r>
    </w:p>
    <w:p w:rsidR="002D0F0D" w:rsidRPr="00CC60E2" w:rsidRDefault="002D0F0D" w:rsidP="002D0F0D">
      <w:pPr>
        <w:numPr>
          <w:ilvl w:val="12"/>
          <w:numId w:val="0"/>
        </w:numPr>
        <w:ind w:right="-2"/>
        <w:rPr>
          <w:szCs w:val="22"/>
          <w:lang w:val="lt-LT"/>
        </w:rPr>
      </w:pPr>
    </w:p>
    <w:p w:rsidR="002D0F0D" w:rsidRPr="00CC60E2" w:rsidRDefault="002D0F0D" w:rsidP="002D0F0D">
      <w:pPr>
        <w:widowControl w:val="0"/>
        <w:autoSpaceDE w:val="0"/>
        <w:autoSpaceDN w:val="0"/>
        <w:adjustRightInd w:val="0"/>
        <w:rPr>
          <w:b/>
          <w:szCs w:val="22"/>
          <w:lang w:val="lt-LT"/>
        </w:rPr>
      </w:pPr>
      <w:r w:rsidRPr="00CC60E2">
        <w:rPr>
          <w:b/>
          <w:szCs w:val="22"/>
          <w:lang w:val="lt-LT"/>
        </w:rPr>
        <w:t>Vartojimas vaikams ir paaugliams</w:t>
      </w:r>
    </w:p>
    <w:p w:rsidR="002D0F0D" w:rsidRPr="00CC60E2" w:rsidRDefault="002D0F0D" w:rsidP="002D0F0D">
      <w:pPr>
        <w:widowControl w:val="0"/>
        <w:autoSpaceDE w:val="0"/>
        <w:autoSpaceDN w:val="0"/>
        <w:adjustRightInd w:val="0"/>
        <w:rPr>
          <w:szCs w:val="22"/>
          <w:lang w:val="lt-LT"/>
        </w:rPr>
      </w:pPr>
      <w:r w:rsidRPr="00CC60E2">
        <w:rPr>
          <w:szCs w:val="22"/>
          <w:lang w:val="lt-LT"/>
        </w:rPr>
        <w:t>Šis vaistas nerekomenduojamas vaikams iki 12 metų amžiaus.</w:t>
      </w:r>
    </w:p>
    <w:p w:rsidR="002D0F0D" w:rsidRPr="00CC60E2" w:rsidRDefault="002D0F0D" w:rsidP="002D0F0D">
      <w:pPr>
        <w:widowControl w:val="0"/>
        <w:autoSpaceDE w:val="0"/>
        <w:autoSpaceDN w:val="0"/>
        <w:adjustRightInd w:val="0"/>
        <w:rPr>
          <w:szCs w:val="22"/>
          <w:lang w:val="lt-LT"/>
        </w:rPr>
      </w:pPr>
    </w:p>
    <w:p w:rsidR="002D0F0D" w:rsidRPr="00CC60E2" w:rsidRDefault="002D0F0D" w:rsidP="002D0F0D">
      <w:pPr>
        <w:numPr>
          <w:ilvl w:val="12"/>
          <w:numId w:val="0"/>
        </w:numPr>
        <w:ind w:right="-2"/>
        <w:outlineLvl w:val="0"/>
        <w:rPr>
          <w:b/>
          <w:szCs w:val="22"/>
          <w:lang w:val="lt-LT"/>
        </w:rPr>
      </w:pPr>
      <w:r w:rsidRPr="00CC60E2">
        <w:rPr>
          <w:b/>
          <w:szCs w:val="22"/>
          <w:lang w:val="lt-LT"/>
        </w:rPr>
        <w:t>Ką daryti pavartojus per didelę GATTART dozę?</w:t>
      </w:r>
    </w:p>
    <w:p w:rsidR="002D0F0D" w:rsidRPr="00CC60E2" w:rsidRDefault="002D0F0D" w:rsidP="002D0F0D">
      <w:pPr>
        <w:numPr>
          <w:ilvl w:val="12"/>
          <w:numId w:val="0"/>
        </w:numPr>
        <w:ind w:right="-2"/>
        <w:outlineLvl w:val="0"/>
        <w:rPr>
          <w:b/>
          <w:szCs w:val="22"/>
          <w:lang w:val="lt-LT"/>
        </w:rPr>
      </w:pPr>
      <w:r w:rsidRPr="00CC60E2">
        <w:rPr>
          <w:szCs w:val="22"/>
          <w:lang w:val="lt-LT"/>
        </w:rPr>
        <w:t>Gerkite daug vandens ir pasitarkite su gydytoju ar vaistininku. Perdozavimo simptomai gali būti pykinimas ir vėmimas, vidurių užkietėjimas ir raumenų silpnumas.</w:t>
      </w:r>
    </w:p>
    <w:p w:rsidR="002D0F0D" w:rsidRPr="00CC60E2" w:rsidRDefault="002D0F0D" w:rsidP="002D0F0D">
      <w:pPr>
        <w:numPr>
          <w:ilvl w:val="12"/>
          <w:numId w:val="0"/>
        </w:numPr>
        <w:ind w:right="-2"/>
        <w:outlineLvl w:val="0"/>
        <w:rPr>
          <w:b/>
          <w:szCs w:val="22"/>
          <w:lang w:val="lt-LT"/>
        </w:rPr>
      </w:pPr>
    </w:p>
    <w:p w:rsidR="002D0F0D" w:rsidRPr="00CC60E2" w:rsidRDefault="002D0F0D" w:rsidP="002D0F0D">
      <w:pPr>
        <w:numPr>
          <w:ilvl w:val="12"/>
          <w:numId w:val="0"/>
        </w:numPr>
        <w:tabs>
          <w:tab w:val="clear" w:pos="567"/>
        </w:tabs>
        <w:spacing w:line="240" w:lineRule="auto"/>
        <w:rPr>
          <w:szCs w:val="22"/>
          <w:lang w:val="lt-LT"/>
        </w:rPr>
      </w:pPr>
      <w:r w:rsidRPr="00CC60E2">
        <w:rPr>
          <w:szCs w:val="22"/>
          <w:lang w:val="lt-LT"/>
        </w:rPr>
        <w:t>Jeigu kiltų daugiau klausimų dėl šio vaisto vartojimo, kreipkitės į gydytoją arba vaistininką.</w:t>
      </w:r>
    </w:p>
    <w:p w:rsidR="002D0F0D" w:rsidRPr="00CC60E2" w:rsidRDefault="002D0F0D" w:rsidP="002D0F0D">
      <w:pPr>
        <w:numPr>
          <w:ilvl w:val="12"/>
          <w:numId w:val="0"/>
        </w:numPr>
        <w:tabs>
          <w:tab w:val="clear" w:pos="567"/>
        </w:tabs>
        <w:spacing w:line="240" w:lineRule="auto"/>
        <w:rPr>
          <w:szCs w:val="24"/>
          <w:lang w:val="lt-LT"/>
        </w:rPr>
      </w:pPr>
    </w:p>
    <w:p w:rsidR="002D0F0D" w:rsidRPr="00CC60E2" w:rsidRDefault="002D0F0D" w:rsidP="002D0F0D">
      <w:pPr>
        <w:numPr>
          <w:ilvl w:val="12"/>
          <w:numId w:val="0"/>
        </w:numPr>
        <w:tabs>
          <w:tab w:val="clear" w:pos="567"/>
        </w:tabs>
        <w:spacing w:line="240" w:lineRule="auto"/>
        <w:rPr>
          <w:szCs w:val="24"/>
          <w:lang w:val="lt-LT"/>
        </w:rPr>
      </w:pPr>
    </w:p>
    <w:p w:rsidR="002D0F0D" w:rsidRPr="00CC60E2" w:rsidRDefault="002D0F0D" w:rsidP="002D0F0D">
      <w:pPr>
        <w:numPr>
          <w:ilvl w:val="12"/>
          <w:numId w:val="0"/>
        </w:numPr>
        <w:tabs>
          <w:tab w:val="clear" w:pos="567"/>
        </w:tabs>
        <w:spacing w:line="240" w:lineRule="auto"/>
        <w:rPr>
          <w:szCs w:val="24"/>
          <w:lang w:val="lt-LT"/>
        </w:rPr>
      </w:pPr>
    </w:p>
    <w:p w:rsidR="002D0F0D" w:rsidRPr="00CC60E2" w:rsidRDefault="002D0F0D" w:rsidP="002D0F0D">
      <w:pPr>
        <w:pStyle w:val="Antrat3"/>
        <w:spacing w:before="0" w:after="0" w:line="240" w:lineRule="auto"/>
        <w:rPr>
          <w:rFonts w:ascii="Times New Roman" w:hAnsi="Times New Roman"/>
          <w:sz w:val="22"/>
          <w:lang w:val="lt-LT"/>
        </w:rPr>
      </w:pPr>
      <w:r w:rsidRPr="00CC60E2">
        <w:rPr>
          <w:rFonts w:ascii="Times New Roman" w:hAnsi="Times New Roman"/>
          <w:sz w:val="22"/>
          <w:lang w:val="lt-LT"/>
        </w:rPr>
        <w:t>4.</w:t>
      </w:r>
      <w:r w:rsidRPr="00CC60E2">
        <w:rPr>
          <w:rFonts w:ascii="Times New Roman" w:hAnsi="Times New Roman"/>
          <w:sz w:val="22"/>
          <w:lang w:val="lt-LT"/>
        </w:rPr>
        <w:tab/>
        <w:t>Galimas šalutinis poveikis</w:t>
      </w:r>
    </w:p>
    <w:p w:rsidR="002D0F0D" w:rsidRPr="00CC60E2" w:rsidRDefault="002D0F0D" w:rsidP="002D0F0D">
      <w:pPr>
        <w:numPr>
          <w:ilvl w:val="12"/>
          <w:numId w:val="0"/>
        </w:numPr>
        <w:tabs>
          <w:tab w:val="clear" w:pos="567"/>
        </w:tabs>
        <w:spacing w:line="240" w:lineRule="auto"/>
        <w:rPr>
          <w:szCs w:val="24"/>
          <w:lang w:val="lt-LT"/>
        </w:rPr>
      </w:pPr>
    </w:p>
    <w:p w:rsidR="002D0F0D" w:rsidRPr="00CC60E2" w:rsidRDefault="002D0F0D" w:rsidP="002D0F0D">
      <w:pPr>
        <w:numPr>
          <w:ilvl w:val="12"/>
          <w:numId w:val="0"/>
        </w:numPr>
        <w:ind w:right="-29"/>
        <w:rPr>
          <w:szCs w:val="22"/>
          <w:lang w:val="lt-LT"/>
        </w:rPr>
      </w:pPr>
      <w:r w:rsidRPr="00CC60E2">
        <w:rPr>
          <w:szCs w:val="22"/>
          <w:lang w:val="lt-LT"/>
        </w:rPr>
        <w:t>Šis vaistas, kaip ir visi kiti, gali sukelti šalutinį poveikį, nors jis pasireiškia ne visiems žmonėms. Vartojant rekomenduojamą dozę nepageidaujami poveikiai mažai tikėtini. Jeigu patiriate šių nepageidaujamų poveikių, sustabdykite gydymą ir nedelsdami kreipkitės į gydymo įstaigą.</w:t>
      </w:r>
    </w:p>
    <w:p w:rsidR="002D0F0D" w:rsidRPr="00CC60E2" w:rsidRDefault="002D0F0D" w:rsidP="002D0F0D">
      <w:pPr>
        <w:numPr>
          <w:ilvl w:val="12"/>
          <w:numId w:val="0"/>
        </w:numPr>
        <w:ind w:right="-29"/>
        <w:rPr>
          <w:szCs w:val="22"/>
          <w:lang w:val="lt-LT"/>
        </w:rPr>
      </w:pPr>
    </w:p>
    <w:p w:rsidR="002D0F0D" w:rsidRPr="00CC60E2" w:rsidRDefault="002D0F0D" w:rsidP="002D0F0D">
      <w:pPr>
        <w:numPr>
          <w:ilvl w:val="12"/>
          <w:numId w:val="0"/>
        </w:numPr>
        <w:ind w:right="-29"/>
        <w:rPr>
          <w:szCs w:val="22"/>
          <w:lang w:val="lt-LT"/>
        </w:rPr>
      </w:pPr>
      <w:r w:rsidRPr="00CC60E2">
        <w:rPr>
          <w:szCs w:val="22"/>
          <w:lang w:val="lt-LT"/>
        </w:rPr>
        <w:t xml:space="preserve">Retai buvo registruota alerginių reakcijų į šio vaisto sudėtines dalis, pvz., bėrimas, niežėjimas, dusulys ir veido, burnos arba gerklės tinimas ir anafilaksinis šokas (anafilaksinis šokas yra sunki greita alerginė reakcija, kurios simptomai yra žemas kraujospūdis, šokas, širdies plakimo pojūtis, dusulys, </w:t>
      </w:r>
      <w:proofErr w:type="spellStart"/>
      <w:r w:rsidRPr="00CC60E2">
        <w:rPr>
          <w:szCs w:val="22"/>
          <w:lang w:val="lt-LT"/>
        </w:rPr>
        <w:t>bronchospazmas</w:t>
      </w:r>
      <w:proofErr w:type="spellEnd"/>
      <w:r w:rsidRPr="00CC60E2">
        <w:rPr>
          <w:szCs w:val="22"/>
          <w:lang w:val="lt-LT"/>
        </w:rPr>
        <w:t>, odos reakcijos, pilvo skausmas ar spazmai, vėmimas ir viduriavimas).</w:t>
      </w:r>
    </w:p>
    <w:p w:rsidR="002D0F0D" w:rsidRPr="00CC60E2" w:rsidRDefault="002D0F0D" w:rsidP="002D0F0D">
      <w:pPr>
        <w:rPr>
          <w:b/>
          <w:szCs w:val="22"/>
          <w:lang w:val="lt-LT"/>
        </w:rPr>
      </w:pPr>
    </w:p>
    <w:p w:rsidR="002D0F0D" w:rsidRPr="00CC60E2" w:rsidRDefault="002D0F0D" w:rsidP="002D0F0D">
      <w:pPr>
        <w:rPr>
          <w:szCs w:val="22"/>
          <w:lang w:val="lt-LT"/>
        </w:rPr>
      </w:pPr>
      <w:r w:rsidRPr="00CC60E2">
        <w:rPr>
          <w:szCs w:val="22"/>
          <w:lang w:val="lt-LT"/>
        </w:rPr>
        <w:t xml:space="preserve">Ilgai vartojant dideles dozes gali padidėti kalcio ir magnio kiekis kraujyje, ypač inkstų ligomis sergantiems žmonėms. To simptomai gali būti pykinimas, vėmimas, </w:t>
      </w:r>
      <w:proofErr w:type="spellStart"/>
      <w:r w:rsidRPr="00CC60E2">
        <w:rPr>
          <w:szCs w:val="22"/>
          <w:lang w:val="lt-LT"/>
        </w:rPr>
        <w:t>nevirškinimas</w:t>
      </w:r>
      <w:proofErr w:type="spellEnd"/>
      <w:r w:rsidRPr="00CC60E2">
        <w:rPr>
          <w:szCs w:val="22"/>
          <w:lang w:val="lt-LT"/>
        </w:rPr>
        <w:t xml:space="preserve">, viduriavimas, nuovargis, raumenų silpnumas, galvos skausmas, inkstų problemos ir skonio jausmo sutrikimas. Išskirtinais atvejais, didelių dozių ilgalaikis vartojimas gali sukelti pieno šarmų sindromą, tai gali padidinti kalcio kiekį kraujyje. </w:t>
      </w:r>
    </w:p>
    <w:p w:rsidR="002D0F0D" w:rsidRPr="00CC60E2" w:rsidRDefault="002D0F0D" w:rsidP="002D0F0D">
      <w:pPr>
        <w:spacing w:line="240" w:lineRule="auto"/>
        <w:rPr>
          <w:b/>
          <w:szCs w:val="24"/>
          <w:lang w:val="lt-LT"/>
        </w:rPr>
      </w:pPr>
    </w:p>
    <w:p w:rsidR="002D0F0D" w:rsidRPr="00CC60E2" w:rsidRDefault="002D0F0D" w:rsidP="002D0F0D">
      <w:pPr>
        <w:spacing w:line="240" w:lineRule="auto"/>
        <w:rPr>
          <w:b/>
          <w:szCs w:val="24"/>
          <w:lang w:val="lt-LT"/>
        </w:rPr>
      </w:pPr>
      <w:r w:rsidRPr="00CC60E2">
        <w:rPr>
          <w:b/>
          <w:noProof/>
          <w:szCs w:val="24"/>
          <w:lang w:val="lt-LT"/>
        </w:rPr>
        <w:t>Pranešimas apie šalutinį poveikį</w:t>
      </w:r>
    </w:p>
    <w:p w:rsidR="002D0F0D" w:rsidRPr="00CC60E2" w:rsidRDefault="002D0F0D" w:rsidP="002D0F0D">
      <w:pPr>
        <w:ind w:right="-449"/>
        <w:rPr>
          <w:noProof/>
          <w:szCs w:val="24"/>
          <w:lang w:val="lt-LT"/>
        </w:rPr>
      </w:pPr>
      <w:r w:rsidRPr="00CC60E2">
        <w:rPr>
          <w:lang w:val="lt-LT"/>
        </w:rPr>
        <w:t>Jeigu pasireiškė šalutinis poveikis, įskaitant šiame lapelyje nenurodytą, pasakykite gydytojui arba,</w:t>
      </w:r>
      <w:r>
        <w:rPr>
          <w:lang w:val="lt-LT"/>
        </w:rPr>
        <w:t xml:space="preserve"> </w:t>
      </w:r>
      <w:r w:rsidRPr="00CC60E2">
        <w:rPr>
          <w:lang w:val="lt-LT"/>
        </w:rPr>
        <w:t>vaistininkui. Apie šalutinį poveikį taip pat galite pranešti Valstybinei vaistų kontrolės tarnybai prie Lietuvos Respublikos sveikatos apsaugos ministerijos nemokamu t</w:t>
      </w:r>
      <w:r w:rsidRPr="00CC60E2">
        <w:rPr>
          <w:lang w:val="lt-LT" w:eastAsia="zh-CN"/>
        </w:rPr>
        <w:t>elefonu 8 800 73568</w:t>
      </w:r>
      <w:r w:rsidRPr="00CC60E2">
        <w:rPr>
          <w:lang w:val="lt-LT"/>
        </w:rPr>
        <w:t xml:space="preserve"> arba užpildyti interneto svetainėje </w:t>
      </w:r>
      <w:hyperlink r:id="rId5" w:history="1">
        <w:r w:rsidRPr="00CC60E2">
          <w:rPr>
            <w:rStyle w:val="Hipersaitas"/>
            <w:rFonts w:eastAsia="SimSun"/>
            <w:lang w:val="lt-LT"/>
          </w:rPr>
          <w:t>www.vvkt.lt</w:t>
        </w:r>
      </w:hyperlink>
      <w:r w:rsidRPr="00CC60E2">
        <w:rPr>
          <w:lang w:val="lt-LT"/>
        </w:rPr>
        <w:t xml:space="preserve"> esančią formą ir pateikti ją Valstybinei vaistų kontrolės tarnybai prie Lietuvos Respublikos sveikatos apsaugos ministerijos vienu iš šių būdų: raštu (adresu Žirmūnų g. 139A, LT-09120 Vilnius), </w:t>
      </w:r>
      <w:r w:rsidRPr="00CC60E2">
        <w:rPr>
          <w:lang w:val="lt-LT" w:eastAsia="zh-CN"/>
        </w:rPr>
        <w:t xml:space="preserve">nemokamu </w:t>
      </w:r>
      <w:r w:rsidRPr="00CC60E2">
        <w:rPr>
          <w:lang w:val="lt-LT"/>
        </w:rPr>
        <w:t>fakso numeriu 8 800 20131</w:t>
      </w:r>
      <w:r w:rsidRPr="00CC60E2">
        <w:rPr>
          <w:lang w:val="lt-LT" w:eastAsia="zh-CN"/>
        </w:rPr>
        <w:t xml:space="preserve">, </w:t>
      </w:r>
      <w:r w:rsidRPr="00CC60E2">
        <w:rPr>
          <w:lang w:val="lt-LT"/>
        </w:rPr>
        <w:t xml:space="preserve">el. paštu </w:t>
      </w:r>
      <w:hyperlink r:id="rId6" w:history="1">
        <w:r w:rsidRPr="00CC60E2">
          <w:rPr>
            <w:rStyle w:val="Hipersaitas"/>
            <w:rFonts w:eastAsia="SimSun"/>
            <w:lang w:val="lt-LT"/>
          </w:rPr>
          <w:t>NepageidaujamaR@vvkt.lt</w:t>
        </w:r>
      </w:hyperlink>
      <w:r w:rsidRPr="00CC60E2">
        <w:rPr>
          <w:lang w:val="lt-LT"/>
        </w:rPr>
        <w:t xml:space="preserve">, taip pat per Valstybinės vaistų kontrolės tarnybos prie Lietuvos Respublikos sveikatos apsaugos ministerijos interneto svetainę (adresu </w:t>
      </w:r>
      <w:hyperlink r:id="rId7" w:history="1">
        <w:r w:rsidRPr="00CC60E2">
          <w:rPr>
            <w:rStyle w:val="Hipersaitas"/>
            <w:rFonts w:eastAsia="SimSun"/>
            <w:lang w:val="lt-LT"/>
          </w:rPr>
          <w:t>http://www.vvkt.lt</w:t>
        </w:r>
      </w:hyperlink>
      <w:r w:rsidRPr="00CC60E2">
        <w:rPr>
          <w:lang w:val="lt-LT"/>
        </w:rPr>
        <w:t>). Pranešdami apie šalutinį poveikį galite mums padėti gauti daugiau informacijos apie šio vaisto saugumą.</w:t>
      </w:r>
    </w:p>
    <w:p w:rsidR="002D0F0D" w:rsidRPr="00CC60E2" w:rsidRDefault="002D0F0D" w:rsidP="002D0F0D">
      <w:pPr>
        <w:rPr>
          <w:rFonts w:eastAsia="Verdana"/>
          <w:szCs w:val="22"/>
          <w:lang w:val="lt-LT"/>
        </w:rPr>
      </w:pPr>
    </w:p>
    <w:p w:rsidR="002D0F0D" w:rsidRPr="00CC60E2" w:rsidRDefault="002D0F0D" w:rsidP="002D0F0D">
      <w:pPr>
        <w:rPr>
          <w:rFonts w:eastAsia="Verdana"/>
          <w:szCs w:val="22"/>
          <w:lang w:val="lt-LT"/>
        </w:rPr>
      </w:pPr>
      <w:r w:rsidRPr="00CC60E2">
        <w:rPr>
          <w:rFonts w:eastAsia="Verdana"/>
          <w:szCs w:val="22"/>
          <w:lang w:val="lt-LT"/>
        </w:rPr>
        <w:t>Pranešdami apie šalutinį poveikį galite mums padėti gauti daugiau informacijos apie šio vaisto saugumą.</w:t>
      </w:r>
    </w:p>
    <w:p w:rsidR="002D0F0D" w:rsidRPr="00CC60E2" w:rsidRDefault="002D0F0D" w:rsidP="002D0F0D">
      <w:pPr>
        <w:ind w:right="-449"/>
        <w:rPr>
          <w:noProof/>
          <w:szCs w:val="24"/>
          <w:lang w:val="lt-LT"/>
        </w:rPr>
      </w:pPr>
    </w:p>
    <w:p w:rsidR="002D0F0D" w:rsidRPr="00CC60E2" w:rsidRDefault="002D0F0D" w:rsidP="002D0F0D">
      <w:pPr>
        <w:ind w:right="-449"/>
        <w:rPr>
          <w:noProof/>
          <w:szCs w:val="24"/>
          <w:lang w:val="lt-LT"/>
        </w:rPr>
      </w:pPr>
    </w:p>
    <w:p w:rsidR="002D0F0D" w:rsidRPr="00CC60E2" w:rsidRDefault="002D0F0D" w:rsidP="002D0F0D">
      <w:pPr>
        <w:pStyle w:val="Antrat3"/>
        <w:spacing w:before="0" w:after="0" w:line="240" w:lineRule="auto"/>
        <w:rPr>
          <w:rFonts w:ascii="Times New Roman" w:hAnsi="Times New Roman"/>
          <w:sz w:val="22"/>
          <w:lang w:val="lt-LT"/>
        </w:rPr>
      </w:pPr>
      <w:r w:rsidRPr="00CC60E2">
        <w:rPr>
          <w:rFonts w:ascii="Times New Roman" w:hAnsi="Times New Roman"/>
          <w:sz w:val="22"/>
          <w:lang w:val="lt-LT"/>
        </w:rPr>
        <w:t>5.</w:t>
      </w:r>
      <w:r w:rsidRPr="00CC60E2">
        <w:rPr>
          <w:rFonts w:ascii="Times New Roman" w:hAnsi="Times New Roman"/>
          <w:sz w:val="22"/>
          <w:lang w:val="lt-LT"/>
        </w:rPr>
        <w:tab/>
        <w:t xml:space="preserve">Kaip laikyti </w:t>
      </w:r>
      <w:r w:rsidRPr="00CC60E2">
        <w:rPr>
          <w:rFonts w:ascii="Times New Roman" w:hAnsi="Times New Roman"/>
          <w:bCs w:val="0"/>
          <w:sz w:val="22"/>
          <w:szCs w:val="22"/>
          <w:lang w:val="lt-LT"/>
        </w:rPr>
        <w:t>GATTART</w:t>
      </w:r>
    </w:p>
    <w:p w:rsidR="002D0F0D" w:rsidRPr="00CC60E2" w:rsidRDefault="002D0F0D" w:rsidP="002D0F0D">
      <w:pPr>
        <w:numPr>
          <w:ilvl w:val="12"/>
          <w:numId w:val="0"/>
        </w:numPr>
        <w:ind w:left="567" w:right="-2" w:hanging="567"/>
        <w:rPr>
          <w:szCs w:val="22"/>
          <w:lang w:val="lt-LT"/>
        </w:rPr>
      </w:pPr>
    </w:p>
    <w:p w:rsidR="002D0F0D" w:rsidRPr="00CC60E2" w:rsidRDefault="002D0F0D" w:rsidP="002D0F0D">
      <w:pPr>
        <w:numPr>
          <w:ilvl w:val="12"/>
          <w:numId w:val="0"/>
        </w:numPr>
        <w:ind w:right="-2"/>
        <w:rPr>
          <w:szCs w:val="22"/>
          <w:lang w:val="lt-LT"/>
        </w:rPr>
      </w:pPr>
      <w:r w:rsidRPr="00CC60E2">
        <w:rPr>
          <w:szCs w:val="22"/>
          <w:lang w:val="lt-LT"/>
        </w:rPr>
        <w:t>Šį vaistą laikykite vaikams nepastebimoje ir nepasiekiamoje vietoje.</w:t>
      </w:r>
    </w:p>
    <w:p w:rsidR="002D0F0D" w:rsidRPr="00CC60E2" w:rsidRDefault="002D0F0D" w:rsidP="002D0F0D">
      <w:pPr>
        <w:numPr>
          <w:ilvl w:val="12"/>
          <w:numId w:val="0"/>
        </w:numPr>
        <w:ind w:right="-2"/>
        <w:rPr>
          <w:szCs w:val="22"/>
          <w:lang w:val="lt-LT"/>
        </w:rPr>
      </w:pPr>
      <w:r w:rsidRPr="00CC60E2">
        <w:rPr>
          <w:szCs w:val="22"/>
          <w:lang w:val="lt-LT"/>
        </w:rPr>
        <w:t xml:space="preserve">Ant dėžutės ir lizdinės pakuotės po „Tinka iki“ ir „EXP“ nurodytam tinkamumo laikui pasibaigus, šio vaisto vartoti negalima. Vaistas tinkamas vartoti iki paskutinės nurodyto mėnesio dienos. </w:t>
      </w:r>
    </w:p>
    <w:p w:rsidR="002D0F0D" w:rsidRPr="00CC60E2" w:rsidRDefault="002D0F0D" w:rsidP="002D0F0D">
      <w:pPr>
        <w:autoSpaceDE w:val="0"/>
        <w:autoSpaceDN w:val="0"/>
        <w:adjustRightInd w:val="0"/>
        <w:rPr>
          <w:szCs w:val="22"/>
          <w:lang w:val="lt-LT"/>
        </w:rPr>
      </w:pPr>
      <w:r w:rsidRPr="00CC60E2">
        <w:rPr>
          <w:szCs w:val="22"/>
          <w:lang w:val="lt-LT"/>
        </w:rPr>
        <w:t xml:space="preserve">Laikyti gamintojo pakuotėje, kad vaistas būtų apsaugotas nuo drėgmės. Šio vaisto laikymui specialių temperatūros sąlygų nereikalaujama. </w:t>
      </w:r>
    </w:p>
    <w:p w:rsidR="002D0F0D" w:rsidRPr="00CC60E2" w:rsidRDefault="002D0F0D" w:rsidP="002D0F0D">
      <w:pPr>
        <w:numPr>
          <w:ilvl w:val="12"/>
          <w:numId w:val="0"/>
        </w:numPr>
        <w:ind w:right="-2"/>
        <w:rPr>
          <w:szCs w:val="22"/>
          <w:lang w:val="lt-LT"/>
        </w:rPr>
      </w:pPr>
      <w:r w:rsidRPr="00CC60E2">
        <w:rPr>
          <w:szCs w:val="22"/>
          <w:lang w:val="lt-LT"/>
        </w:rPr>
        <w:t>Vaistų negalima išmesti į kanalizaciją arba su buitinėmis atliekomis. Kaip išmesti nereikalingus vaistus, klauskite vaistininko. Šios priemonės padės apsaugoti aplinką.</w:t>
      </w:r>
    </w:p>
    <w:p w:rsidR="002D0F0D" w:rsidRPr="00CC60E2" w:rsidRDefault="002D0F0D" w:rsidP="002D0F0D">
      <w:pPr>
        <w:numPr>
          <w:ilvl w:val="12"/>
          <w:numId w:val="0"/>
        </w:numPr>
        <w:tabs>
          <w:tab w:val="clear" w:pos="567"/>
        </w:tabs>
        <w:spacing w:line="240" w:lineRule="auto"/>
        <w:ind w:right="-2"/>
        <w:rPr>
          <w:noProof/>
          <w:szCs w:val="24"/>
          <w:lang w:val="lt-LT"/>
        </w:rPr>
      </w:pPr>
    </w:p>
    <w:p w:rsidR="002D0F0D" w:rsidRPr="00CC60E2" w:rsidRDefault="002D0F0D" w:rsidP="002D0F0D">
      <w:pPr>
        <w:numPr>
          <w:ilvl w:val="12"/>
          <w:numId w:val="0"/>
        </w:numPr>
        <w:tabs>
          <w:tab w:val="clear" w:pos="567"/>
        </w:tabs>
        <w:spacing w:line="240" w:lineRule="auto"/>
        <w:ind w:right="-2"/>
        <w:rPr>
          <w:noProof/>
          <w:szCs w:val="24"/>
          <w:lang w:val="lt-LT"/>
        </w:rPr>
      </w:pPr>
    </w:p>
    <w:p w:rsidR="002D0F0D" w:rsidRPr="00CC60E2" w:rsidRDefault="002D0F0D" w:rsidP="002D0F0D">
      <w:pPr>
        <w:pStyle w:val="Antrat3"/>
        <w:spacing w:before="0" w:after="0" w:line="240" w:lineRule="auto"/>
        <w:rPr>
          <w:rFonts w:ascii="Times New Roman" w:hAnsi="Times New Roman"/>
          <w:sz w:val="22"/>
          <w:lang w:val="lt-LT"/>
        </w:rPr>
      </w:pPr>
      <w:r w:rsidRPr="00CC60E2">
        <w:rPr>
          <w:rFonts w:ascii="Times New Roman" w:hAnsi="Times New Roman"/>
          <w:sz w:val="22"/>
          <w:lang w:val="lt-LT"/>
        </w:rPr>
        <w:t>6.</w:t>
      </w:r>
      <w:r w:rsidRPr="00CC60E2">
        <w:rPr>
          <w:rFonts w:ascii="Times New Roman" w:hAnsi="Times New Roman"/>
          <w:b w:val="0"/>
          <w:sz w:val="22"/>
          <w:lang w:val="lt-LT"/>
        </w:rPr>
        <w:tab/>
      </w:r>
      <w:r w:rsidRPr="00CC60E2">
        <w:rPr>
          <w:rFonts w:ascii="Times New Roman" w:hAnsi="Times New Roman"/>
          <w:sz w:val="22"/>
          <w:lang w:val="lt-LT"/>
        </w:rPr>
        <w:t>Pakuotės turinys ir kita informacija</w:t>
      </w:r>
    </w:p>
    <w:p w:rsidR="002D0F0D" w:rsidRPr="00CC60E2" w:rsidRDefault="002D0F0D" w:rsidP="002D0F0D">
      <w:pPr>
        <w:numPr>
          <w:ilvl w:val="12"/>
          <w:numId w:val="0"/>
        </w:numPr>
        <w:tabs>
          <w:tab w:val="clear" w:pos="567"/>
        </w:tabs>
        <w:spacing w:line="240" w:lineRule="auto"/>
        <w:rPr>
          <w:szCs w:val="24"/>
          <w:lang w:val="lt-LT"/>
        </w:rPr>
      </w:pPr>
    </w:p>
    <w:p w:rsidR="002D0F0D" w:rsidRPr="00CC60E2" w:rsidRDefault="002D0F0D" w:rsidP="002D0F0D">
      <w:pPr>
        <w:numPr>
          <w:ilvl w:val="12"/>
          <w:numId w:val="0"/>
        </w:numPr>
        <w:ind w:right="-2"/>
        <w:rPr>
          <w:b/>
          <w:szCs w:val="22"/>
          <w:lang w:val="lt-LT"/>
        </w:rPr>
      </w:pPr>
      <w:r w:rsidRPr="00CC60E2">
        <w:rPr>
          <w:b/>
          <w:szCs w:val="22"/>
          <w:lang w:val="lt-LT"/>
        </w:rPr>
        <w:t>GATTART sudėtis</w:t>
      </w:r>
    </w:p>
    <w:p w:rsidR="002D0F0D" w:rsidRPr="00CC60E2" w:rsidRDefault="002D0F0D" w:rsidP="002D0F0D">
      <w:pPr>
        <w:tabs>
          <w:tab w:val="left" w:pos="360"/>
        </w:tabs>
        <w:ind w:right="-2"/>
        <w:rPr>
          <w:szCs w:val="22"/>
          <w:lang w:val="lt-LT"/>
        </w:rPr>
      </w:pPr>
      <w:r w:rsidRPr="00CC60E2">
        <w:rPr>
          <w:szCs w:val="22"/>
          <w:lang w:val="lt-LT"/>
        </w:rPr>
        <w:t xml:space="preserve">- </w:t>
      </w:r>
      <w:r w:rsidRPr="00CC60E2">
        <w:rPr>
          <w:szCs w:val="22"/>
          <w:lang w:val="lt-LT"/>
        </w:rPr>
        <w:tab/>
      </w:r>
      <w:r w:rsidRPr="00CC60E2">
        <w:rPr>
          <w:szCs w:val="22"/>
          <w:lang w:val="lt-LT"/>
        </w:rPr>
        <w:tab/>
        <w:t xml:space="preserve">Veikliosios medžiagos yra kalcio karbonatas ir sunkusis magnio </w:t>
      </w:r>
      <w:proofErr w:type="spellStart"/>
      <w:r w:rsidRPr="00CC60E2">
        <w:rPr>
          <w:szCs w:val="22"/>
          <w:lang w:val="lt-LT"/>
        </w:rPr>
        <w:t>subkarbonatas</w:t>
      </w:r>
      <w:proofErr w:type="spellEnd"/>
      <w:r w:rsidRPr="00CC60E2">
        <w:rPr>
          <w:szCs w:val="22"/>
          <w:lang w:val="lt-LT"/>
        </w:rPr>
        <w:t xml:space="preserve">. </w:t>
      </w:r>
    </w:p>
    <w:p w:rsidR="002D0F0D" w:rsidRPr="00CC60E2" w:rsidRDefault="002D0F0D" w:rsidP="002D0F0D">
      <w:pPr>
        <w:tabs>
          <w:tab w:val="left" w:pos="360"/>
        </w:tabs>
        <w:ind w:right="-2"/>
        <w:rPr>
          <w:szCs w:val="22"/>
          <w:lang w:val="lt-LT"/>
        </w:rPr>
      </w:pPr>
      <w:r w:rsidRPr="00CC60E2">
        <w:rPr>
          <w:szCs w:val="22"/>
          <w:lang w:val="lt-LT"/>
        </w:rPr>
        <w:t xml:space="preserve">Kiekvienoje kramtomojoje tabletėje yra 680 mg kalcio karbonato ir 80 mg sunkiojo magnio </w:t>
      </w:r>
      <w:proofErr w:type="spellStart"/>
      <w:r w:rsidRPr="00CC60E2">
        <w:rPr>
          <w:szCs w:val="22"/>
          <w:lang w:val="lt-LT"/>
        </w:rPr>
        <w:t>subkarbonato</w:t>
      </w:r>
      <w:proofErr w:type="spellEnd"/>
      <w:r w:rsidRPr="00CC60E2">
        <w:rPr>
          <w:szCs w:val="22"/>
          <w:lang w:val="lt-LT"/>
        </w:rPr>
        <w:t>.</w:t>
      </w:r>
    </w:p>
    <w:p w:rsidR="002D0F0D" w:rsidRPr="00CC60E2" w:rsidRDefault="002D0F0D" w:rsidP="002D0F0D">
      <w:pPr>
        <w:autoSpaceDE w:val="0"/>
        <w:autoSpaceDN w:val="0"/>
        <w:adjustRightInd w:val="0"/>
        <w:rPr>
          <w:szCs w:val="22"/>
          <w:lang w:val="lt-LT"/>
        </w:rPr>
      </w:pPr>
      <w:r w:rsidRPr="00CC60E2">
        <w:rPr>
          <w:szCs w:val="22"/>
          <w:lang w:val="lt-LT"/>
        </w:rPr>
        <w:t xml:space="preserve">- </w:t>
      </w:r>
      <w:r w:rsidRPr="00CC60E2">
        <w:rPr>
          <w:szCs w:val="22"/>
          <w:lang w:val="lt-LT"/>
        </w:rPr>
        <w:tab/>
        <w:t xml:space="preserve">Pagalbinės medžiagos yra koloidinis bevandenis silicio dioksidas, </w:t>
      </w:r>
      <w:proofErr w:type="spellStart"/>
      <w:r w:rsidRPr="00CC60E2">
        <w:rPr>
          <w:szCs w:val="22"/>
          <w:lang w:val="lt-LT"/>
        </w:rPr>
        <w:t>pregelifikuotas</w:t>
      </w:r>
      <w:proofErr w:type="spellEnd"/>
      <w:r w:rsidRPr="00CC60E2">
        <w:rPr>
          <w:szCs w:val="22"/>
          <w:lang w:val="lt-LT"/>
        </w:rPr>
        <w:t xml:space="preserve"> krakmolas, </w:t>
      </w:r>
      <w:proofErr w:type="spellStart"/>
      <w:r w:rsidRPr="00CC60E2">
        <w:rPr>
          <w:szCs w:val="22"/>
          <w:lang w:val="lt-LT"/>
        </w:rPr>
        <w:t>kopovidonas</w:t>
      </w:r>
      <w:proofErr w:type="spellEnd"/>
      <w:r w:rsidRPr="00CC60E2">
        <w:rPr>
          <w:szCs w:val="22"/>
          <w:lang w:val="lt-LT"/>
        </w:rPr>
        <w:t xml:space="preserve">, </w:t>
      </w:r>
      <w:proofErr w:type="spellStart"/>
      <w:r w:rsidRPr="00CC60E2">
        <w:rPr>
          <w:szCs w:val="22"/>
          <w:lang w:val="lt-LT"/>
        </w:rPr>
        <w:t>ksilitolis</w:t>
      </w:r>
      <w:proofErr w:type="spellEnd"/>
      <w:r w:rsidRPr="00CC60E2">
        <w:rPr>
          <w:szCs w:val="22"/>
          <w:lang w:val="lt-LT"/>
        </w:rPr>
        <w:t xml:space="preserve"> (E 967); mažai pakeista </w:t>
      </w:r>
      <w:proofErr w:type="spellStart"/>
      <w:r w:rsidRPr="00CC60E2">
        <w:rPr>
          <w:szCs w:val="22"/>
          <w:lang w:val="lt-LT"/>
        </w:rPr>
        <w:t>hidroksipropilceliuliozė</w:t>
      </w:r>
      <w:proofErr w:type="spellEnd"/>
      <w:r w:rsidRPr="00CC60E2">
        <w:rPr>
          <w:szCs w:val="22"/>
          <w:lang w:val="lt-LT"/>
        </w:rPr>
        <w:t xml:space="preserve"> LH-11, šaltmėtės aromatinė medžiaga SD (aromatinis (-</w:t>
      </w:r>
      <w:proofErr w:type="spellStart"/>
      <w:r w:rsidRPr="00CC60E2">
        <w:rPr>
          <w:szCs w:val="22"/>
          <w:lang w:val="lt-LT"/>
        </w:rPr>
        <w:t>iai</w:t>
      </w:r>
      <w:proofErr w:type="spellEnd"/>
      <w:r w:rsidRPr="00CC60E2">
        <w:rPr>
          <w:szCs w:val="22"/>
          <w:lang w:val="lt-LT"/>
        </w:rPr>
        <w:t>) preparatas (-ai), natūrali (-</w:t>
      </w:r>
      <w:proofErr w:type="spellStart"/>
      <w:r w:rsidRPr="00CC60E2">
        <w:rPr>
          <w:szCs w:val="22"/>
          <w:lang w:val="lt-LT"/>
        </w:rPr>
        <w:t>ios</w:t>
      </w:r>
      <w:proofErr w:type="spellEnd"/>
      <w:r w:rsidRPr="00CC60E2">
        <w:rPr>
          <w:szCs w:val="22"/>
          <w:lang w:val="lt-LT"/>
        </w:rPr>
        <w:t>) aromatinė (-ės) medžiaga (-</w:t>
      </w:r>
      <w:proofErr w:type="spellStart"/>
      <w:r w:rsidRPr="00CC60E2">
        <w:rPr>
          <w:szCs w:val="22"/>
          <w:lang w:val="lt-LT"/>
        </w:rPr>
        <w:t>os</w:t>
      </w:r>
      <w:proofErr w:type="spellEnd"/>
      <w:r w:rsidRPr="00CC60E2">
        <w:rPr>
          <w:szCs w:val="22"/>
          <w:lang w:val="lt-LT"/>
        </w:rPr>
        <w:t xml:space="preserve">) – </w:t>
      </w:r>
      <w:proofErr w:type="spellStart"/>
      <w:r w:rsidRPr="00CC60E2">
        <w:rPr>
          <w:szCs w:val="22"/>
          <w:lang w:val="lt-LT"/>
        </w:rPr>
        <w:t>pulegonas</w:t>
      </w:r>
      <w:proofErr w:type="spellEnd"/>
      <w:r w:rsidRPr="00CC60E2">
        <w:rPr>
          <w:szCs w:val="22"/>
          <w:lang w:val="lt-LT"/>
        </w:rPr>
        <w:t xml:space="preserve">, </w:t>
      </w:r>
      <w:proofErr w:type="spellStart"/>
      <w:r w:rsidRPr="00CC60E2">
        <w:rPr>
          <w:szCs w:val="22"/>
          <w:lang w:val="lt-LT"/>
        </w:rPr>
        <w:t>mentofuranas</w:t>
      </w:r>
      <w:proofErr w:type="spellEnd"/>
      <w:r w:rsidRPr="00CC60E2">
        <w:rPr>
          <w:szCs w:val="22"/>
          <w:lang w:val="lt-LT"/>
        </w:rPr>
        <w:t xml:space="preserve">, </w:t>
      </w:r>
      <w:proofErr w:type="spellStart"/>
      <w:r w:rsidRPr="00CC60E2">
        <w:rPr>
          <w:szCs w:val="22"/>
          <w:lang w:val="lt-LT"/>
        </w:rPr>
        <w:t>maltodekstrinas</w:t>
      </w:r>
      <w:proofErr w:type="spellEnd"/>
      <w:r w:rsidRPr="00CC60E2">
        <w:rPr>
          <w:szCs w:val="22"/>
          <w:lang w:val="lt-LT"/>
        </w:rPr>
        <w:t xml:space="preserve"> ir </w:t>
      </w:r>
      <w:proofErr w:type="spellStart"/>
      <w:r w:rsidRPr="00CC60E2">
        <w:rPr>
          <w:szCs w:val="22"/>
          <w:lang w:val="lt-LT"/>
        </w:rPr>
        <w:t>gumiarabikas</w:t>
      </w:r>
      <w:proofErr w:type="spellEnd"/>
      <w:r w:rsidRPr="00CC60E2">
        <w:rPr>
          <w:szCs w:val="22"/>
          <w:lang w:val="lt-LT"/>
        </w:rPr>
        <w:t xml:space="preserve"> (E 414)), džiovinta išpurškiant L mentolio aromatinė medžiaga (aromatinė (-ės) medžiaga (-</w:t>
      </w:r>
      <w:proofErr w:type="spellStart"/>
      <w:r w:rsidRPr="00CC60E2">
        <w:rPr>
          <w:szCs w:val="22"/>
          <w:lang w:val="lt-LT"/>
        </w:rPr>
        <w:t>os</w:t>
      </w:r>
      <w:proofErr w:type="spellEnd"/>
      <w:r w:rsidRPr="00CC60E2">
        <w:rPr>
          <w:szCs w:val="22"/>
          <w:lang w:val="lt-LT"/>
        </w:rPr>
        <w:t xml:space="preserve">), </w:t>
      </w:r>
      <w:proofErr w:type="spellStart"/>
      <w:r w:rsidRPr="00CC60E2">
        <w:rPr>
          <w:szCs w:val="22"/>
          <w:lang w:val="lt-LT"/>
        </w:rPr>
        <w:t>gumiarabikas</w:t>
      </w:r>
      <w:proofErr w:type="spellEnd"/>
      <w:r w:rsidRPr="00CC60E2">
        <w:rPr>
          <w:szCs w:val="22"/>
          <w:lang w:val="lt-LT"/>
        </w:rPr>
        <w:t xml:space="preserve"> (E 414)), talkas ir magnio </w:t>
      </w:r>
      <w:proofErr w:type="spellStart"/>
      <w:r w:rsidRPr="00CC60E2">
        <w:rPr>
          <w:szCs w:val="22"/>
          <w:lang w:val="lt-LT"/>
        </w:rPr>
        <w:t>stearatas</w:t>
      </w:r>
      <w:proofErr w:type="spellEnd"/>
      <w:r w:rsidRPr="00CC60E2">
        <w:rPr>
          <w:szCs w:val="22"/>
          <w:lang w:val="lt-LT"/>
        </w:rPr>
        <w:t>.</w:t>
      </w:r>
    </w:p>
    <w:p w:rsidR="002D0F0D" w:rsidRPr="00E32BD1" w:rsidRDefault="002D0F0D" w:rsidP="002D0F0D">
      <w:pPr>
        <w:tabs>
          <w:tab w:val="left" w:pos="360"/>
        </w:tabs>
        <w:rPr>
          <w:lang w:val="lt-LT"/>
        </w:rPr>
      </w:pPr>
    </w:p>
    <w:p w:rsidR="002D0F0D" w:rsidRPr="00CC60E2" w:rsidRDefault="002D0F0D" w:rsidP="002D0F0D">
      <w:pPr>
        <w:tabs>
          <w:tab w:val="left" w:pos="360"/>
        </w:tabs>
        <w:rPr>
          <w:szCs w:val="22"/>
          <w:lang w:val="lt-LT"/>
        </w:rPr>
      </w:pPr>
    </w:p>
    <w:p w:rsidR="002D0F0D" w:rsidRPr="00CC60E2" w:rsidRDefault="002D0F0D" w:rsidP="002D0F0D">
      <w:pPr>
        <w:tabs>
          <w:tab w:val="left" w:pos="360"/>
        </w:tabs>
        <w:rPr>
          <w:szCs w:val="22"/>
          <w:lang w:val="lt-LT"/>
        </w:rPr>
      </w:pPr>
    </w:p>
    <w:p w:rsidR="002D0F0D" w:rsidRPr="00CC60E2" w:rsidRDefault="002D0F0D" w:rsidP="002D0F0D">
      <w:pPr>
        <w:numPr>
          <w:ilvl w:val="12"/>
          <w:numId w:val="0"/>
        </w:numPr>
        <w:ind w:right="-2"/>
        <w:rPr>
          <w:b/>
          <w:szCs w:val="22"/>
          <w:lang w:val="lt-LT"/>
        </w:rPr>
      </w:pPr>
    </w:p>
    <w:p w:rsidR="002D0F0D" w:rsidRPr="00CC60E2" w:rsidRDefault="002D0F0D" w:rsidP="002D0F0D">
      <w:pPr>
        <w:numPr>
          <w:ilvl w:val="12"/>
          <w:numId w:val="0"/>
        </w:numPr>
        <w:ind w:right="-2"/>
        <w:rPr>
          <w:b/>
          <w:szCs w:val="22"/>
          <w:lang w:val="lt-LT"/>
        </w:rPr>
      </w:pPr>
      <w:r w:rsidRPr="00CC60E2">
        <w:rPr>
          <w:b/>
          <w:szCs w:val="22"/>
          <w:lang w:val="lt-LT"/>
        </w:rPr>
        <w:t>GATTART išvaizda ir kiekis pakuotėje</w:t>
      </w:r>
    </w:p>
    <w:p w:rsidR="002D0F0D" w:rsidRPr="00CC60E2" w:rsidRDefault="002D0F0D" w:rsidP="002D0F0D">
      <w:pPr>
        <w:autoSpaceDE w:val="0"/>
        <w:autoSpaceDN w:val="0"/>
        <w:adjustRightInd w:val="0"/>
        <w:rPr>
          <w:szCs w:val="22"/>
          <w:lang w:val="lt-LT"/>
        </w:rPr>
      </w:pPr>
      <w:r w:rsidRPr="00CC60E2">
        <w:rPr>
          <w:szCs w:val="22"/>
          <w:lang w:val="lt-LT"/>
        </w:rPr>
        <w:t xml:space="preserve">GATTART kramtomosios tabletės yra kvadratinės, baltos ar balkšvos, abipus įgaubtos tabletės užapvalintais kampais. Tabletės dydis yra: ilgis – 15 mm, plotis – 15 mm ir storis – 3,9 </w:t>
      </w:r>
      <w:r w:rsidRPr="00CC60E2">
        <w:rPr>
          <w:szCs w:val="22"/>
          <w:cs/>
          <w:lang w:val="lt-LT"/>
        </w:rPr>
        <w:t>–</w:t>
      </w:r>
      <w:r w:rsidRPr="00CC60E2">
        <w:rPr>
          <w:szCs w:val="22"/>
          <w:lang w:val="lt-LT"/>
        </w:rPr>
        <w:t xml:space="preserve"> 4,3 mm.</w:t>
      </w:r>
    </w:p>
    <w:p w:rsidR="002D0F0D" w:rsidRPr="00CC60E2" w:rsidRDefault="002D0F0D" w:rsidP="002D0F0D">
      <w:pPr>
        <w:autoSpaceDE w:val="0"/>
        <w:autoSpaceDN w:val="0"/>
        <w:adjustRightInd w:val="0"/>
        <w:rPr>
          <w:szCs w:val="22"/>
          <w:lang w:val="lt-LT"/>
        </w:rPr>
      </w:pPr>
      <w:r w:rsidRPr="00CC60E2">
        <w:rPr>
          <w:szCs w:val="22"/>
          <w:lang w:val="lt-LT"/>
        </w:rPr>
        <w:t xml:space="preserve">Tabletės yra supakuotos išstumiamose PVC/PVDC/Al lizdinėse plokštelėse, kurių kiekvienoje yra 8 tabletės. </w:t>
      </w:r>
    </w:p>
    <w:p w:rsidR="002D0F0D" w:rsidRPr="00CC60E2" w:rsidRDefault="002D0F0D" w:rsidP="002D0F0D">
      <w:pPr>
        <w:autoSpaceDE w:val="0"/>
        <w:autoSpaceDN w:val="0"/>
        <w:adjustRightInd w:val="0"/>
        <w:rPr>
          <w:szCs w:val="22"/>
          <w:lang w:val="lt-LT"/>
        </w:rPr>
      </w:pPr>
      <w:r w:rsidRPr="00CC60E2">
        <w:rPr>
          <w:szCs w:val="22"/>
          <w:lang w:val="lt-LT"/>
        </w:rPr>
        <w:t>Kartono dėžutėje yra 16, 24, 48</w:t>
      </w:r>
      <w:r>
        <w:rPr>
          <w:szCs w:val="22"/>
          <w:lang w:val="lt-LT"/>
        </w:rPr>
        <w:t>, 64</w:t>
      </w:r>
      <w:r w:rsidRPr="00CC60E2">
        <w:rPr>
          <w:szCs w:val="22"/>
          <w:lang w:val="lt-LT"/>
        </w:rPr>
        <w:t xml:space="preserve"> arba 96 kramtomosios tabletės ir pakuotės lapelis.</w:t>
      </w:r>
    </w:p>
    <w:p w:rsidR="002D0F0D" w:rsidRPr="00CC60E2" w:rsidRDefault="002D0F0D" w:rsidP="002D0F0D">
      <w:pPr>
        <w:autoSpaceDE w:val="0"/>
        <w:autoSpaceDN w:val="0"/>
        <w:adjustRightInd w:val="0"/>
        <w:rPr>
          <w:szCs w:val="22"/>
          <w:lang w:val="lt-LT"/>
        </w:rPr>
      </w:pPr>
    </w:p>
    <w:p w:rsidR="002D0F0D" w:rsidRPr="00CC60E2" w:rsidRDefault="002D0F0D" w:rsidP="002D0F0D">
      <w:pPr>
        <w:autoSpaceDE w:val="0"/>
        <w:autoSpaceDN w:val="0"/>
        <w:adjustRightInd w:val="0"/>
        <w:rPr>
          <w:szCs w:val="22"/>
          <w:lang w:val="lt-LT"/>
        </w:rPr>
      </w:pPr>
      <w:r w:rsidRPr="00CC60E2">
        <w:rPr>
          <w:szCs w:val="22"/>
          <w:lang w:val="lt-LT"/>
        </w:rPr>
        <w:t>Gali būti tiekiamos ne visų dydžių pakuotės.</w:t>
      </w: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pStyle w:val="Antrat4"/>
        <w:rPr>
          <w:rFonts w:ascii="Times New Roman" w:hAnsi="Times New Roman"/>
          <w:sz w:val="22"/>
          <w:lang w:val="lt-LT"/>
        </w:rPr>
      </w:pPr>
      <w:r w:rsidRPr="00CC60E2">
        <w:rPr>
          <w:rFonts w:ascii="Times New Roman" w:hAnsi="Times New Roman"/>
          <w:sz w:val="22"/>
          <w:lang w:val="lt-LT"/>
        </w:rPr>
        <w:t>Registruotojas ir gamintojas</w:t>
      </w:r>
    </w:p>
    <w:p w:rsidR="002D0F0D" w:rsidRPr="00CC60E2" w:rsidRDefault="002D0F0D" w:rsidP="002D0F0D">
      <w:pPr>
        <w:tabs>
          <w:tab w:val="clear" w:pos="567"/>
        </w:tabs>
        <w:spacing w:line="240" w:lineRule="auto"/>
        <w:rPr>
          <w:snapToGrid/>
          <w:szCs w:val="22"/>
          <w:lang w:val="lt-LT" w:eastAsia="lt-LT"/>
        </w:rPr>
      </w:pPr>
      <w:proofErr w:type="spellStart"/>
      <w:r w:rsidRPr="00CC60E2">
        <w:rPr>
          <w:snapToGrid/>
          <w:szCs w:val="22"/>
          <w:lang w:val="lt-LT" w:eastAsia="lt-LT"/>
        </w:rPr>
        <w:t>Alkaloid</w:t>
      </w:r>
      <w:proofErr w:type="spellEnd"/>
      <w:r w:rsidRPr="00CC60E2">
        <w:rPr>
          <w:snapToGrid/>
          <w:szCs w:val="22"/>
          <w:lang w:val="lt-LT" w:eastAsia="lt-LT"/>
        </w:rPr>
        <w:t xml:space="preserve"> – INT </w:t>
      </w:r>
      <w:proofErr w:type="spellStart"/>
      <w:r w:rsidRPr="00CC60E2">
        <w:rPr>
          <w:snapToGrid/>
          <w:szCs w:val="22"/>
          <w:lang w:val="lt-LT" w:eastAsia="lt-LT"/>
        </w:rPr>
        <w:t>d.o.o</w:t>
      </w:r>
      <w:proofErr w:type="spellEnd"/>
      <w:r w:rsidRPr="00CC60E2">
        <w:rPr>
          <w:snapToGrid/>
          <w:szCs w:val="22"/>
          <w:lang w:val="lt-LT" w:eastAsia="lt-LT"/>
        </w:rPr>
        <w:t>.</w:t>
      </w:r>
    </w:p>
    <w:p w:rsidR="002D0F0D" w:rsidRPr="00CC60E2" w:rsidRDefault="002D0F0D" w:rsidP="002D0F0D">
      <w:pPr>
        <w:numPr>
          <w:ilvl w:val="12"/>
          <w:numId w:val="0"/>
        </w:numPr>
        <w:ind w:right="-2"/>
        <w:outlineLvl w:val="0"/>
        <w:rPr>
          <w:szCs w:val="22"/>
          <w:lang w:val="lt-LT"/>
        </w:rPr>
      </w:pPr>
      <w:proofErr w:type="spellStart"/>
      <w:r w:rsidRPr="00CC60E2">
        <w:rPr>
          <w:szCs w:val="22"/>
          <w:lang w:val="lt-LT"/>
        </w:rPr>
        <w:t>Šlandrova</w:t>
      </w:r>
      <w:proofErr w:type="spellEnd"/>
      <w:r w:rsidRPr="00CC60E2">
        <w:rPr>
          <w:szCs w:val="22"/>
          <w:lang w:val="lt-LT"/>
        </w:rPr>
        <w:t xml:space="preserve"> </w:t>
      </w:r>
      <w:proofErr w:type="spellStart"/>
      <w:r w:rsidRPr="00CC60E2">
        <w:rPr>
          <w:szCs w:val="22"/>
          <w:lang w:val="lt-LT"/>
        </w:rPr>
        <w:t>ulica</w:t>
      </w:r>
      <w:proofErr w:type="spellEnd"/>
      <w:r w:rsidRPr="00CC60E2">
        <w:rPr>
          <w:szCs w:val="22"/>
          <w:lang w:val="lt-LT"/>
        </w:rPr>
        <w:t xml:space="preserve"> 4</w:t>
      </w:r>
    </w:p>
    <w:p w:rsidR="002D0F0D" w:rsidRPr="00CC60E2" w:rsidRDefault="002D0F0D" w:rsidP="002D0F0D">
      <w:pPr>
        <w:numPr>
          <w:ilvl w:val="12"/>
          <w:numId w:val="0"/>
        </w:numPr>
        <w:ind w:right="-2"/>
        <w:outlineLvl w:val="0"/>
        <w:rPr>
          <w:szCs w:val="22"/>
          <w:lang w:val="lt-LT"/>
        </w:rPr>
      </w:pPr>
      <w:r w:rsidRPr="00CC60E2">
        <w:rPr>
          <w:szCs w:val="22"/>
          <w:lang w:val="lt-LT"/>
        </w:rPr>
        <w:t xml:space="preserve">1231 </w:t>
      </w:r>
      <w:proofErr w:type="spellStart"/>
      <w:r w:rsidRPr="00CC60E2">
        <w:rPr>
          <w:szCs w:val="22"/>
          <w:lang w:val="lt-LT"/>
        </w:rPr>
        <w:t>Ljubljana-Črnuče</w:t>
      </w:r>
      <w:proofErr w:type="spellEnd"/>
    </w:p>
    <w:p w:rsidR="002D0F0D" w:rsidRPr="00CC60E2" w:rsidRDefault="002D0F0D" w:rsidP="002D0F0D">
      <w:pPr>
        <w:numPr>
          <w:ilvl w:val="12"/>
          <w:numId w:val="0"/>
        </w:numPr>
        <w:ind w:right="-2"/>
        <w:outlineLvl w:val="0"/>
        <w:rPr>
          <w:szCs w:val="22"/>
          <w:lang w:val="lt-LT"/>
        </w:rPr>
      </w:pPr>
      <w:r w:rsidRPr="00CC60E2">
        <w:rPr>
          <w:szCs w:val="22"/>
          <w:lang w:val="lt-LT"/>
        </w:rPr>
        <w:t>Slovėnija</w:t>
      </w:r>
    </w:p>
    <w:p w:rsidR="002D0F0D" w:rsidRPr="00CC60E2" w:rsidRDefault="002D0F0D" w:rsidP="002D0F0D">
      <w:pPr>
        <w:numPr>
          <w:ilvl w:val="12"/>
          <w:numId w:val="0"/>
        </w:numPr>
        <w:ind w:right="-2"/>
        <w:outlineLvl w:val="0"/>
        <w:rPr>
          <w:szCs w:val="22"/>
          <w:lang w:val="lt-LT"/>
        </w:rPr>
      </w:pPr>
      <w:r w:rsidRPr="00CC60E2">
        <w:rPr>
          <w:szCs w:val="22"/>
          <w:lang w:val="lt-LT"/>
        </w:rPr>
        <w:t>El. paštas: info@alkaloid.si</w:t>
      </w:r>
    </w:p>
    <w:p w:rsidR="002D0F0D" w:rsidRPr="00CC60E2" w:rsidRDefault="002D0F0D" w:rsidP="002D0F0D">
      <w:pPr>
        <w:numPr>
          <w:ilvl w:val="12"/>
          <w:numId w:val="0"/>
        </w:numPr>
        <w:tabs>
          <w:tab w:val="clear" w:pos="567"/>
        </w:tabs>
        <w:spacing w:line="240" w:lineRule="auto"/>
        <w:ind w:right="-2"/>
        <w:rPr>
          <w:szCs w:val="24"/>
          <w:lang w:val="lt-LT"/>
        </w:rPr>
      </w:pPr>
    </w:p>
    <w:p w:rsidR="002D0F0D" w:rsidRPr="00CC60E2" w:rsidRDefault="002D0F0D" w:rsidP="002D0F0D">
      <w:pPr>
        <w:rPr>
          <w:b/>
          <w:szCs w:val="22"/>
          <w:lang w:val="lt-LT"/>
        </w:rPr>
      </w:pPr>
    </w:p>
    <w:p w:rsidR="002D0F0D" w:rsidRPr="00CC60E2" w:rsidRDefault="002D0F0D" w:rsidP="002D0F0D">
      <w:pPr>
        <w:rPr>
          <w:b/>
          <w:szCs w:val="22"/>
          <w:lang w:val="lt-LT"/>
        </w:rPr>
      </w:pPr>
      <w:r w:rsidRPr="00CC60E2">
        <w:rPr>
          <w:b/>
          <w:szCs w:val="22"/>
          <w:lang w:val="lt-LT"/>
        </w:rPr>
        <w:t>Šis vaistas EEE valstybėse narėse registruotas tokiais pavadinimais:</w:t>
      </w:r>
    </w:p>
    <w:p w:rsidR="002D0F0D" w:rsidRPr="00CC60E2" w:rsidRDefault="002D0F0D" w:rsidP="002D0F0D">
      <w:pPr>
        <w:numPr>
          <w:ilvl w:val="12"/>
          <w:numId w:val="0"/>
        </w:numPr>
        <w:ind w:right="-2"/>
        <w:rPr>
          <w:szCs w:val="22"/>
          <w:lang w:val="lt-LT"/>
        </w:rPr>
      </w:pPr>
      <w:r w:rsidRPr="00CC60E2">
        <w:rPr>
          <w:szCs w:val="22"/>
          <w:lang w:val="lt-LT"/>
        </w:rPr>
        <w:t xml:space="preserve">         </w:t>
      </w:r>
    </w:p>
    <w:tbl>
      <w:tblPr>
        <w:tblW w:w="10098" w:type="dxa"/>
        <w:tblLook w:val="04A0" w:firstRow="1" w:lastRow="0" w:firstColumn="1" w:lastColumn="0" w:noHBand="0" w:noVBand="1"/>
      </w:tblPr>
      <w:tblGrid>
        <w:gridCol w:w="2898"/>
        <w:gridCol w:w="7200"/>
      </w:tblGrid>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Austrija</w:t>
            </w:r>
          </w:p>
        </w:tc>
        <w:tc>
          <w:tcPr>
            <w:tcW w:w="7200" w:type="dxa"/>
            <w:shd w:val="clear" w:color="auto" w:fill="auto"/>
          </w:tcPr>
          <w:p w:rsidR="002D0F0D" w:rsidRPr="00CC60E2" w:rsidRDefault="002D0F0D" w:rsidP="000C0499">
            <w:pPr>
              <w:rPr>
                <w:szCs w:val="22"/>
                <w:lang w:val="lt-LT" w:eastAsia="en-GB"/>
              </w:rPr>
            </w:pPr>
            <w:r>
              <w:rPr>
                <w:szCs w:val="22"/>
              </w:rPr>
              <w:t>ACIDEXA</w:t>
            </w:r>
            <w:r w:rsidRPr="00CC60E2">
              <w:rPr>
                <w:szCs w:val="22"/>
                <w:lang w:val="lt-LT" w:eastAsia="en-GB"/>
              </w:rPr>
              <w:t xml:space="preserve"> 680 mg/80 mg </w:t>
            </w:r>
            <w:proofErr w:type="spellStart"/>
            <w:r w:rsidRPr="00CC60E2">
              <w:rPr>
                <w:szCs w:val="22"/>
                <w:lang w:val="lt-LT" w:eastAsia="en-GB"/>
              </w:rPr>
              <w:t>Kautabletten</w:t>
            </w:r>
            <w:proofErr w:type="spellEnd"/>
            <w:r w:rsidRPr="00CC60E2">
              <w:rPr>
                <w:szCs w:val="22"/>
                <w:lang w:val="lt-LT" w:eastAsia="en-GB"/>
              </w:rPr>
              <w:t xml:space="preserve"> </w:t>
            </w:r>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Belgija</w:t>
            </w:r>
          </w:p>
        </w:tc>
        <w:tc>
          <w:tcPr>
            <w:tcW w:w="7200" w:type="dxa"/>
            <w:shd w:val="clear" w:color="auto" w:fill="auto"/>
          </w:tcPr>
          <w:p w:rsidR="002D0F0D" w:rsidRPr="00CC60E2" w:rsidRDefault="002D0F0D" w:rsidP="000C0499">
            <w:pPr>
              <w:rPr>
                <w:szCs w:val="22"/>
                <w:lang w:val="lt-LT" w:eastAsia="en-GB"/>
              </w:rPr>
            </w:pPr>
            <w:r w:rsidRPr="00CC60E2">
              <w:rPr>
                <w:szCs w:val="22"/>
                <w:lang w:val="lt-LT" w:eastAsia="en-GB"/>
              </w:rPr>
              <w:t xml:space="preserve">GATTART 680 mg/80 mg </w:t>
            </w:r>
            <w:proofErr w:type="spellStart"/>
            <w:r w:rsidRPr="00CC60E2">
              <w:rPr>
                <w:szCs w:val="22"/>
                <w:lang w:val="lt-LT" w:eastAsia="en-GB"/>
              </w:rPr>
              <w:t>kauwtabletten</w:t>
            </w:r>
            <w:proofErr w:type="spellEnd"/>
          </w:p>
        </w:tc>
      </w:tr>
      <w:tr w:rsidR="002D0F0D" w:rsidRPr="00CC60E2" w:rsidTr="000C0499">
        <w:trPr>
          <w:trHeight w:val="273"/>
        </w:trPr>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Danija</w:t>
            </w:r>
          </w:p>
        </w:tc>
        <w:tc>
          <w:tcPr>
            <w:tcW w:w="7200" w:type="dxa"/>
            <w:shd w:val="clear" w:color="auto" w:fill="auto"/>
          </w:tcPr>
          <w:p w:rsidR="002D0F0D" w:rsidRPr="00CC60E2" w:rsidRDefault="002D0F0D" w:rsidP="000C0499">
            <w:pPr>
              <w:rPr>
                <w:szCs w:val="22"/>
                <w:lang w:val="lt-LT" w:eastAsia="en-GB"/>
              </w:rPr>
            </w:pPr>
            <w:r w:rsidRPr="00CC60E2">
              <w:rPr>
                <w:szCs w:val="22"/>
                <w:lang w:val="lt-LT" w:eastAsia="en-GB"/>
              </w:rPr>
              <w:t xml:space="preserve">GATTART 680 mg/80 mg </w:t>
            </w:r>
            <w:proofErr w:type="spellStart"/>
            <w:r w:rsidRPr="00CC60E2">
              <w:rPr>
                <w:szCs w:val="22"/>
                <w:lang w:val="lt-LT" w:eastAsia="en-GB"/>
              </w:rPr>
              <w:t>Kautabletten</w:t>
            </w:r>
            <w:proofErr w:type="spellEnd"/>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Estija</w:t>
            </w:r>
          </w:p>
        </w:tc>
        <w:tc>
          <w:tcPr>
            <w:tcW w:w="7200" w:type="dxa"/>
            <w:shd w:val="clear" w:color="auto" w:fill="auto"/>
          </w:tcPr>
          <w:p w:rsidR="002D0F0D" w:rsidRPr="00CC60E2" w:rsidRDefault="002D0F0D" w:rsidP="000C0499">
            <w:pPr>
              <w:rPr>
                <w:szCs w:val="22"/>
                <w:highlight w:val="yellow"/>
                <w:lang w:val="lt-LT" w:eastAsia="en-GB"/>
              </w:rPr>
            </w:pPr>
            <w:r w:rsidRPr="00CC60E2">
              <w:rPr>
                <w:szCs w:val="22"/>
                <w:lang w:val="lt-LT" w:eastAsia="en-GB"/>
              </w:rPr>
              <w:t>GATTART</w:t>
            </w:r>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Italija</w:t>
            </w:r>
          </w:p>
          <w:p w:rsidR="002D0F0D" w:rsidRPr="00CC60E2" w:rsidRDefault="002D0F0D" w:rsidP="000C0499">
            <w:pPr>
              <w:numPr>
                <w:ilvl w:val="12"/>
                <w:numId w:val="0"/>
              </w:numPr>
              <w:ind w:right="-2"/>
              <w:rPr>
                <w:szCs w:val="22"/>
                <w:lang w:val="lt-LT" w:eastAsia="en-GB"/>
              </w:rPr>
            </w:pPr>
            <w:r w:rsidRPr="00CC60E2">
              <w:rPr>
                <w:szCs w:val="22"/>
                <w:lang w:val="lt-LT" w:eastAsia="en-GB"/>
              </w:rPr>
              <w:t>Jungtinė Karalystė</w:t>
            </w:r>
          </w:p>
        </w:tc>
        <w:tc>
          <w:tcPr>
            <w:tcW w:w="7200" w:type="dxa"/>
            <w:shd w:val="clear" w:color="auto" w:fill="auto"/>
          </w:tcPr>
          <w:p w:rsidR="002D0F0D" w:rsidRPr="00CC60E2" w:rsidRDefault="002D0F0D" w:rsidP="000C0499">
            <w:pPr>
              <w:rPr>
                <w:szCs w:val="22"/>
                <w:lang w:val="lt-LT" w:eastAsia="en-GB"/>
              </w:rPr>
            </w:pPr>
            <w:proofErr w:type="spellStart"/>
            <w:r w:rsidRPr="00CC60E2">
              <w:rPr>
                <w:szCs w:val="22"/>
                <w:lang w:val="lt-LT" w:eastAsia="en-GB"/>
              </w:rPr>
              <w:t>Calcio</w:t>
            </w:r>
            <w:proofErr w:type="spellEnd"/>
            <w:r w:rsidRPr="00CC60E2">
              <w:rPr>
                <w:szCs w:val="22"/>
                <w:lang w:val="lt-LT" w:eastAsia="en-GB"/>
              </w:rPr>
              <w:t xml:space="preserve"> </w:t>
            </w:r>
            <w:proofErr w:type="spellStart"/>
            <w:r w:rsidRPr="00CC60E2">
              <w:rPr>
                <w:szCs w:val="22"/>
                <w:lang w:val="lt-LT" w:eastAsia="en-GB"/>
              </w:rPr>
              <w:t>Carbonato</w:t>
            </w:r>
            <w:proofErr w:type="spellEnd"/>
            <w:r w:rsidRPr="00CC60E2">
              <w:rPr>
                <w:szCs w:val="22"/>
                <w:lang w:val="lt-LT" w:eastAsia="en-GB"/>
              </w:rPr>
              <w:t xml:space="preserve"> E </w:t>
            </w:r>
            <w:proofErr w:type="spellStart"/>
            <w:r w:rsidRPr="00CC60E2">
              <w:rPr>
                <w:szCs w:val="22"/>
                <w:lang w:val="lt-LT" w:eastAsia="en-GB"/>
              </w:rPr>
              <w:t>Magnesio</w:t>
            </w:r>
            <w:proofErr w:type="spellEnd"/>
            <w:r w:rsidRPr="00CC60E2">
              <w:rPr>
                <w:szCs w:val="22"/>
                <w:lang w:val="lt-LT" w:eastAsia="en-GB"/>
              </w:rPr>
              <w:t xml:space="preserve"> </w:t>
            </w:r>
            <w:proofErr w:type="spellStart"/>
            <w:r w:rsidRPr="00CC60E2">
              <w:rPr>
                <w:szCs w:val="22"/>
                <w:lang w:val="lt-LT" w:eastAsia="en-GB"/>
              </w:rPr>
              <w:t>Carbonato</w:t>
            </w:r>
            <w:proofErr w:type="spellEnd"/>
            <w:r w:rsidRPr="00CC60E2">
              <w:rPr>
                <w:szCs w:val="22"/>
                <w:lang w:val="lt-LT" w:eastAsia="en-GB"/>
              </w:rPr>
              <w:t xml:space="preserve"> </w:t>
            </w:r>
            <w:proofErr w:type="spellStart"/>
            <w:r w:rsidRPr="00CC60E2">
              <w:rPr>
                <w:szCs w:val="22"/>
                <w:lang w:val="lt-LT" w:eastAsia="en-GB"/>
              </w:rPr>
              <w:t>Alkaloid</w:t>
            </w:r>
            <w:proofErr w:type="spellEnd"/>
            <w:r w:rsidRPr="00CC60E2">
              <w:rPr>
                <w:szCs w:val="22"/>
                <w:lang w:val="lt-LT" w:eastAsia="en-GB"/>
              </w:rPr>
              <w:t>-INT</w:t>
            </w:r>
          </w:p>
          <w:p w:rsidR="002D0F0D" w:rsidRPr="00CC60E2" w:rsidRDefault="002D0F0D" w:rsidP="000C0499">
            <w:pPr>
              <w:rPr>
                <w:szCs w:val="22"/>
                <w:lang w:val="lt-LT" w:eastAsia="en-GB"/>
              </w:rPr>
            </w:pPr>
            <w:proofErr w:type="spellStart"/>
            <w:r w:rsidRPr="00CC60E2">
              <w:rPr>
                <w:szCs w:val="22"/>
                <w:lang w:val="lt-LT" w:eastAsia="en-GB"/>
              </w:rPr>
              <w:t>Gattart</w:t>
            </w:r>
            <w:proofErr w:type="spellEnd"/>
            <w:r w:rsidRPr="00CC60E2">
              <w:rPr>
                <w:szCs w:val="22"/>
                <w:lang w:val="lt-LT" w:eastAsia="en-GB"/>
              </w:rPr>
              <w:t xml:space="preserve"> 680 mg/80 mg </w:t>
            </w:r>
            <w:proofErr w:type="spellStart"/>
            <w:r w:rsidRPr="00CC60E2">
              <w:rPr>
                <w:szCs w:val="22"/>
                <w:lang w:val="lt-LT" w:eastAsia="en-GB"/>
              </w:rPr>
              <w:t>Chewable</w:t>
            </w:r>
            <w:proofErr w:type="spellEnd"/>
            <w:r w:rsidRPr="00CC60E2">
              <w:rPr>
                <w:szCs w:val="22"/>
                <w:lang w:val="lt-LT" w:eastAsia="en-GB"/>
              </w:rPr>
              <w:t xml:space="preserve"> </w:t>
            </w:r>
            <w:proofErr w:type="spellStart"/>
            <w:r w:rsidRPr="00CC60E2">
              <w:rPr>
                <w:szCs w:val="22"/>
                <w:lang w:val="lt-LT" w:eastAsia="en-GB"/>
              </w:rPr>
              <w:t>Tablets</w:t>
            </w:r>
            <w:proofErr w:type="spellEnd"/>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Latvija</w:t>
            </w:r>
          </w:p>
        </w:tc>
        <w:tc>
          <w:tcPr>
            <w:tcW w:w="7200" w:type="dxa"/>
            <w:shd w:val="clear" w:color="auto" w:fill="auto"/>
          </w:tcPr>
          <w:p w:rsidR="002D0F0D" w:rsidRPr="00CC60E2" w:rsidRDefault="002D0F0D" w:rsidP="000C0499">
            <w:pPr>
              <w:rPr>
                <w:szCs w:val="22"/>
                <w:lang w:val="lt-LT" w:eastAsia="en-GB"/>
              </w:rPr>
            </w:pPr>
            <w:r w:rsidRPr="00CC60E2">
              <w:rPr>
                <w:szCs w:val="22"/>
                <w:lang w:val="lt-LT" w:eastAsia="en-GB"/>
              </w:rPr>
              <w:t xml:space="preserve">GATTART 680 mg/80 mg </w:t>
            </w:r>
            <w:proofErr w:type="spellStart"/>
            <w:r w:rsidRPr="00CC60E2">
              <w:rPr>
                <w:szCs w:val="22"/>
                <w:lang w:val="lt-LT" w:eastAsia="en-GB"/>
              </w:rPr>
              <w:t>košļājamās</w:t>
            </w:r>
            <w:proofErr w:type="spellEnd"/>
            <w:r w:rsidRPr="00CC60E2">
              <w:rPr>
                <w:szCs w:val="22"/>
                <w:lang w:val="lt-LT" w:eastAsia="en-GB"/>
              </w:rPr>
              <w:t xml:space="preserve"> tabletes</w:t>
            </w:r>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Lietuva</w:t>
            </w:r>
          </w:p>
        </w:tc>
        <w:tc>
          <w:tcPr>
            <w:tcW w:w="7200" w:type="dxa"/>
            <w:shd w:val="clear" w:color="auto" w:fill="auto"/>
          </w:tcPr>
          <w:p w:rsidR="002D0F0D" w:rsidRPr="00CC60E2" w:rsidRDefault="002D0F0D" w:rsidP="000C0499">
            <w:pPr>
              <w:rPr>
                <w:szCs w:val="22"/>
                <w:lang w:val="lt-LT"/>
              </w:rPr>
            </w:pPr>
            <w:r w:rsidRPr="00CC60E2">
              <w:rPr>
                <w:szCs w:val="22"/>
                <w:lang w:val="lt-LT"/>
              </w:rPr>
              <w:t>GATTART 680 mg/80 mg kramtomosios tabletės</w:t>
            </w:r>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Nyderlandai</w:t>
            </w:r>
          </w:p>
        </w:tc>
        <w:tc>
          <w:tcPr>
            <w:tcW w:w="7200" w:type="dxa"/>
            <w:shd w:val="clear" w:color="auto" w:fill="auto"/>
          </w:tcPr>
          <w:p w:rsidR="002D0F0D" w:rsidRPr="00CC60E2" w:rsidRDefault="002D0F0D" w:rsidP="000C0499">
            <w:pPr>
              <w:rPr>
                <w:szCs w:val="22"/>
                <w:lang w:val="lt-LT" w:eastAsia="en-GB"/>
              </w:rPr>
            </w:pPr>
            <w:r w:rsidRPr="00CC60E2">
              <w:rPr>
                <w:szCs w:val="22"/>
                <w:lang w:val="lt-LT" w:eastAsia="en-GB"/>
              </w:rPr>
              <w:t xml:space="preserve">GATTART 680 mg/80 mg </w:t>
            </w:r>
            <w:proofErr w:type="spellStart"/>
            <w:r w:rsidRPr="00CC60E2">
              <w:rPr>
                <w:szCs w:val="22"/>
                <w:lang w:val="lt-LT" w:eastAsia="en-GB"/>
              </w:rPr>
              <w:t>kauwtabletten</w:t>
            </w:r>
            <w:proofErr w:type="spellEnd"/>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Portugalija</w:t>
            </w:r>
          </w:p>
        </w:tc>
        <w:tc>
          <w:tcPr>
            <w:tcW w:w="7200" w:type="dxa"/>
            <w:shd w:val="clear" w:color="auto" w:fill="auto"/>
          </w:tcPr>
          <w:p w:rsidR="002D0F0D" w:rsidRPr="00CC60E2" w:rsidRDefault="002D0F0D" w:rsidP="000C0499">
            <w:pPr>
              <w:rPr>
                <w:szCs w:val="22"/>
                <w:lang w:val="lt-LT" w:eastAsia="en-GB"/>
              </w:rPr>
            </w:pPr>
            <w:r w:rsidRPr="00CC60E2">
              <w:rPr>
                <w:szCs w:val="22"/>
                <w:lang w:val="lt-LT" w:eastAsia="en-GB"/>
              </w:rPr>
              <w:t xml:space="preserve">GATTART 680 mg + 80 mg </w:t>
            </w:r>
            <w:proofErr w:type="spellStart"/>
            <w:r w:rsidRPr="00CC60E2">
              <w:rPr>
                <w:szCs w:val="22"/>
                <w:lang w:val="lt-LT" w:eastAsia="en-GB"/>
              </w:rPr>
              <w:t>comprimido</w:t>
            </w:r>
            <w:proofErr w:type="spellEnd"/>
            <w:r w:rsidRPr="00CC60E2">
              <w:rPr>
                <w:szCs w:val="22"/>
                <w:lang w:val="lt-LT" w:eastAsia="en-GB"/>
              </w:rPr>
              <w:t xml:space="preserve"> para </w:t>
            </w:r>
            <w:proofErr w:type="spellStart"/>
            <w:r w:rsidRPr="00CC60E2">
              <w:rPr>
                <w:szCs w:val="22"/>
                <w:lang w:val="lt-LT" w:eastAsia="en-GB"/>
              </w:rPr>
              <w:t>mastigar</w:t>
            </w:r>
            <w:proofErr w:type="spellEnd"/>
            <w:r w:rsidRPr="00CC60E2">
              <w:rPr>
                <w:szCs w:val="22"/>
                <w:lang w:val="lt-LT" w:eastAsia="en-GB"/>
              </w:rPr>
              <w:t xml:space="preserve"> </w:t>
            </w:r>
          </w:p>
        </w:tc>
      </w:tr>
      <w:tr w:rsidR="002D0F0D" w:rsidRPr="00CC60E2" w:rsidTr="000C0499">
        <w:tc>
          <w:tcPr>
            <w:tcW w:w="2898" w:type="dxa"/>
            <w:shd w:val="clear" w:color="auto" w:fill="auto"/>
          </w:tcPr>
          <w:p w:rsidR="002D0F0D" w:rsidRPr="00CC60E2" w:rsidRDefault="002D0F0D" w:rsidP="000C0499">
            <w:pPr>
              <w:numPr>
                <w:ilvl w:val="12"/>
                <w:numId w:val="0"/>
              </w:numPr>
              <w:ind w:right="-2"/>
              <w:rPr>
                <w:szCs w:val="22"/>
                <w:lang w:val="lt-LT" w:eastAsia="en-GB"/>
              </w:rPr>
            </w:pPr>
            <w:r w:rsidRPr="00CC60E2">
              <w:rPr>
                <w:szCs w:val="22"/>
                <w:lang w:val="lt-LT" w:eastAsia="en-GB"/>
              </w:rPr>
              <w:t>Vengrija</w:t>
            </w:r>
          </w:p>
        </w:tc>
        <w:tc>
          <w:tcPr>
            <w:tcW w:w="7200" w:type="dxa"/>
            <w:shd w:val="clear" w:color="auto" w:fill="auto"/>
          </w:tcPr>
          <w:p w:rsidR="002D0F0D" w:rsidRPr="00CC60E2" w:rsidRDefault="002D0F0D" w:rsidP="000C0499">
            <w:pPr>
              <w:rPr>
                <w:szCs w:val="22"/>
                <w:lang w:val="lt-LT" w:eastAsia="en-GB"/>
              </w:rPr>
            </w:pPr>
            <w:r w:rsidRPr="00CC60E2">
              <w:rPr>
                <w:szCs w:val="22"/>
                <w:lang w:val="lt-LT" w:eastAsia="en-GB"/>
              </w:rPr>
              <w:t xml:space="preserve">GATTART 680 mg/80 mg </w:t>
            </w:r>
            <w:proofErr w:type="spellStart"/>
            <w:r w:rsidRPr="00CC60E2">
              <w:rPr>
                <w:szCs w:val="22"/>
                <w:lang w:val="lt-LT" w:eastAsia="en-GB"/>
              </w:rPr>
              <w:t>rágótabletta</w:t>
            </w:r>
            <w:proofErr w:type="spellEnd"/>
            <w:r w:rsidRPr="00CC60E2">
              <w:rPr>
                <w:szCs w:val="22"/>
                <w:lang w:val="lt-LT" w:eastAsia="en-GB"/>
              </w:rPr>
              <w:t xml:space="preserve"> </w:t>
            </w:r>
          </w:p>
        </w:tc>
      </w:tr>
    </w:tbl>
    <w:p w:rsidR="002D0F0D" w:rsidRPr="00CC60E2" w:rsidRDefault="002D0F0D" w:rsidP="002D0F0D">
      <w:pPr>
        <w:numPr>
          <w:ilvl w:val="12"/>
          <w:numId w:val="0"/>
        </w:numPr>
        <w:ind w:right="-2"/>
        <w:rPr>
          <w:szCs w:val="22"/>
          <w:lang w:val="lt-LT"/>
        </w:rPr>
      </w:pPr>
      <w:r w:rsidRPr="00CC60E2">
        <w:rPr>
          <w:lang w:val="lt-LT"/>
        </w:rPr>
        <w:t xml:space="preserve">    </w:t>
      </w:r>
    </w:p>
    <w:p w:rsidR="002D0F0D" w:rsidRPr="00CC60E2" w:rsidRDefault="002D0F0D" w:rsidP="002D0F0D">
      <w:pPr>
        <w:numPr>
          <w:ilvl w:val="12"/>
          <w:numId w:val="0"/>
        </w:numPr>
        <w:ind w:right="-2"/>
        <w:outlineLvl w:val="0"/>
        <w:rPr>
          <w:i/>
          <w:color w:val="000000"/>
          <w:lang w:val="lt-LT"/>
        </w:rPr>
      </w:pPr>
      <w:r w:rsidRPr="00CC60E2">
        <w:rPr>
          <w:b/>
          <w:color w:val="000000"/>
          <w:szCs w:val="22"/>
          <w:lang w:val="lt-LT"/>
        </w:rPr>
        <w:t>Šis pakuotės lapelis paskutinį kartą peržiūrėtas</w:t>
      </w:r>
      <w:r>
        <w:rPr>
          <w:b/>
          <w:color w:val="000000"/>
          <w:szCs w:val="22"/>
          <w:lang w:val="lt-LT"/>
        </w:rPr>
        <w:t xml:space="preserve"> 2024-05-05</w:t>
      </w:r>
      <w:r w:rsidRPr="00CC60E2">
        <w:rPr>
          <w:b/>
          <w:color w:val="000000"/>
          <w:szCs w:val="22"/>
          <w:lang w:val="lt-LT"/>
        </w:rPr>
        <w:t>.</w:t>
      </w:r>
    </w:p>
    <w:p w:rsidR="002D0F0D" w:rsidRPr="00CC60E2" w:rsidRDefault="002D0F0D" w:rsidP="002D0F0D">
      <w:pPr>
        <w:rPr>
          <w:lang w:val="lt-LT"/>
        </w:rPr>
      </w:pPr>
    </w:p>
    <w:p w:rsidR="002D0F0D" w:rsidRPr="00CC60E2" w:rsidRDefault="002D0F0D" w:rsidP="002D0F0D">
      <w:pPr>
        <w:rPr>
          <w:lang w:val="lt-LT"/>
        </w:rPr>
      </w:pPr>
    </w:p>
    <w:p w:rsidR="002D0F0D" w:rsidRPr="00CC60E2" w:rsidRDefault="002D0F0D" w:rsidP="002D0F0D">
      <w:pPr>
        <w:numPr>
          <w:ilvl w:val="12"/>
          <w:numId w:val="0"/>
        </w:numPr>
        <w:spacing w:line="240" w:lineRule="auto"/>
        <w:ind w:right="-2"/>
        <w:rPr>
          <w:szCs w:val="24"/>
          <w:lang w:val="lt-LT"/>
        </w:rPr>
      </w:pPr>
      <w:r w:rsidRPr="00CC60E2">
        <w:rPr>
          <w:lang w:val="lt-LT"/>
        </w:rPr>
        <w:t xml:space="preserve">Išsami informacija apie šį </w:t>
      </w:r>
      <w:r w:rsidRPr="00CC60E2">
        <w:rPr>
          <w:szCs w:val="24"/>
          <w:lang w:val="lt-LT"/>
        </w:rPr>
        <w:t>vaistą</w:t>
      </w:r>
      <w:r w:rsidRPr="00CC60E2">
        <w:rPr>
          <w:lang w:val="lt-LT"/>
        </w:rPr>
        <w:t xml:space="preserve"> pateikiama Valstybinės vaistų kontrolės tarnybos prie Lietuvos Respublikos sveikatos apsaugos ministerijos tinklalapyje</w:t>
      </w:r>
      <w:r w:rsidRPr="00CC60E2">
        <w:rPr>
          <w:i/>
          <w:szCs w:val="24"/>
          <w:lang w:val="lt-LT"/>
        </w:rPr>
        <w:t xml:space="preserve"> </w:t>
      </w:r>
      <w:hyperlink r:id="rId8" w:history="1">
        <w:r w:rsidRPr="00CC60E2">
          <w:rPr>
            <w:rStyle w:val="Hipersaitas"/>
            <w:rFonts w:eastAsia="SimSun"/>
            <w:lang w:val="lt-LT"/>
          </w:rPr>
          <w:t>http://www.vvkt.lt/</w:t>
        </w:r>
      </w:hyperlink>
      <w:r w:rsidRPr="00CC60E2">
        <w:rPr>
          <w:lang w:val="lt-LT"/>
        </w:rPr>
        <w:t>.</w:t>
      </w:r>
    </w:p>
    <w:p w:rsidR="002D0F0D" w:rsidRPr="00CC60E2" w:rsidRDefault="002D0F0D" w:rsidP="002D0F0D">
      <w:pPr>
        <w:rPr>
          <w:lang w:val="lt-LT"/>
        </w:rPr>
      </w:pPr>
    </w:p>
    <w:p w:rsidR="00BA6577" w:rsidRDefault="00BA6577">
      <w:bookmarkStart w:id="0" w:name="_GoBack"/>
      <w:bookmarkEnd w:id="0"/>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0D"/>
    <w:rsid w:val="00072F85"/>
    <w:rsid w:val="00181364"/>
    <w:rsid w:val="002945D9"/>
    <w:rsid w:val="002D0F0D"/>
    <w:rsid w:val="00305C48"/>
    <w:rsid w:val="003362C6"/>
    <w:rsid w:val="00742EBF"/>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55128-13F0-48E0-87B8-C868B626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0F0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2D0F0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2D0F0D"/>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2D0F0D"/>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D0F0D"/>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D0F0D"/>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D0F0D"/>
    <w:rPr>
      <w:rFonts w:ascii="Calibri" w:eastAsia="Times New Roman" w:hAnsi="Calibri" w:cs="Times New Roman"/>
      <w:b/>
      <w:bCs/>
      <w:snapToGrid w:val="0"/>
      <w:sz w:val="28"/>
      <w:szCs w:val="28"/>
      <w:lang w:val="en-GB"/>
    </w:rPr>
  </w:style>
  <w:style w:type="character" w:styleId="Hipersaitas">
    <w:name w:val="Hyperlink"/>
    <w:uiPriority w:val="99"/>
    <w:rsid w:val="002D0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6163</Words>
  <Characters>3514</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20</vt:i4>
      </vt:variant>
    </vt:vector>
  </HeadingPairs>
  <TitlesOfParts>
    <vt:vector size="21" baseType="lpstr">
      <vt:lpstr/>
      <vt:lpstr>    Pakuotės lapelis: informacija pacientui</vt:lpstr>
      <vt:lpstr>Apie ką rašoma šiame lapelyje?</vt:lpstr>
      <vt:lpstr>GATTART vartoti negalima:</vt:lpstr>
      <vt:lpstr/>
      <vt:lpstr>Įspėjimai ir atsargumo priemonės:</vt:lpstr>
      <vt:lpstr>Pasitarkite su gydytoju arba vaistininku, prieš pradėdami vartoti šį vaistą:</vt:lpstr>
      <vt:lpstr/>
      <vt:lpstr>Nėštumas, žindymo laikotarpis ir vaisingumas</vt:lpstr>
      <vt:lpstr>        3.	Kaip vartoti GATTART</vt:lpstr>
      <vt:lpstr>Ką daryti pavartojus per didelę GATTART dozę?</vt:lpstr>
      <vt:lpstr>Gerkite daug vandens ir pasitarkite su gydytoju ar vaistininku. Perdozavimo simp</vt:lpstr>
      <vt:lpstr/>
      <vt:lpstr>        4.	Galimas šalutinis poveikis</vt:lpstr>
      <vt:lpstr>        5.	Kaip laikyti GATTART</vt:lpstr>
      <vt:lpstr>        6.	Pakuotės turinys ir kita informacija</vt:lpstr>
      <vt:lpstr>Šlandrova ulica 4</vt:lpstr>
      <vt:lpstr>1231 Ljubljana-Črnuče</vt:lpstr>
      <vt:lpstr>Slovėnija</vt:lpstr>
      <vt:lpstr>El. paštas: info@alkaloid.si</vt:lpstr>
      <vt:lpstr>Šis pakuotės lapelis paskutinį kartą peržiūrėtas 2024-05-05.</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2024-06-13T06:36:00Z</dcterms:created>
  <dcterms:modified xsi:type="dcterms:W3CDTF">2024-06-13T06:36:00Z</dcterms:modified>
</cp:coreProperties>
</file>