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B0D72F" w14:textId="77777777" w:rsidR="00506BE7" w:rsidRDefault="00506BE7">
      <w:pPr>
        <w:widowControl w:val="0"/>
        <w:tabs>
          <w:tab w:val="left" w:pos="567"/>
        </w:tabs>
        <w:spacing w:after="0" w:line="240" w:lineRule="auto"/>
        <w:ind w:left="567" w:hanging="567"/>
        <w:jc w:val="center"/>
        <w:outlineLvl w:val="1"/>
        <w:rPr>
          <w:rFonts w:ascii="Times New Roman" w:eastAsia="Calibri" w:hAnsi="Times New Roman" w:cs="Times New Roman"/>
          <w:b/>
        </w:rPr>
      </w:pPr>
      <w:bookmarkStart w:id="0" w:name="Tab"/>
      <w:bookmarkStart w:id="1" w:name="_Toc129243223"/>
      <w:bookmarkStart w:id="2" w:name="_Toc129243098"/>
      <w:bookmarkStart w:id="3" w:name="_GoBack"/>
      <w:bookmarkEnd w:id="0"/>
      <w:bookmarkEnd w:id="3"/>
    </w:p>
    <w:p w14:paraId="253BDDE6" w14:textId="77777777" w:rsidR="00506BE7" w:rsidRDefault="00506BE7">
      <w:pPr>
        <w:widowControl w:val="0"/>
        <w:tabs>
          <w:tab w:val="left" w:pos="567"/>
        </w:tabs>
        <w:spacing w:after="0" w:line="240" w:lineRule="auto"/>
        <w:ind w:left="567" w:hanging="567"/>
        <w:jc w:val="center"/>
        <w:outlineLvl w:val="1"/>
        <w:rPr>
          <w:rFonts w:ascii="Times New Roman" w:eastAsia="Calibri" w:hAnsi="Times New Roman" w:cs="Times New Roman"/>
          <w:b/>
        </w:rPr>
      </w:pPr>
    </w:p>
    <w:p w14:paraId="04BC8066" w14:textId="77777777" w:rsidR="00506BE7" w:rsidRDefault="00506BE7">
      <w:pPr>
        <w:widowControl w:val="0"/>
        <w:tabs>
          <w:tab w:val="left" w:pos="567"/>
        </w:tabs>
        <w:spacing w:after="0" w:line="240" w:lineRule="auto"/>
        <w:ind w:left="567" w:hanging="567"/>
        <w:jc w:val="center"/>
        <w:outlineLvl w:val="1"/>
        <w:rPr>
          <w:rFonts w:ascii="Times New Roman" w:eastAsia="Calibri" w:hAnsi="Times New Roman" w:cs="Times New Roman"/>
          <w:b/>
        </w:rPr>
      </w:pPr>
    </w:p>
    <w:p w14:paraId="4E96733D" w14:textId="77777777" w:rsidR="00506BE7" w:rsidRDefault="00506BE7">
      <w:pPr>
        <w:widowControl w:val="0"/>
        <w:tabs>
          <w:tab w:val="left" w:pos="567"/>
        </w:tabs>
        <w:spacing w:after="0" w:line="240" w:lineRule="auto"/>
        <w:ind w:left="567" w:hanging="567"/>
        <w:jc w:val="center"/>
        <w:outlineLvl w:val="1"/>
        <w:rPr>
          <w:rFonts w:ascii="Times New Roman" w:eastAsia="Calibri" w:hAnsi="Times New Roman" w:cs="Times New Roman"/>
          <w:b/>
        </w:rPr>
      </w:pPr>
    </w:p>
    <w:p w14:paraId="7CCFCF1C" w14:textId="77777777" w:rsidR="00506BE7" w:rsidRDefault="00506BE7">
      <w:pPr>
        <w:widowControl w:val="0"/>
        <w:tabs>
          <w:tab w:val="left" w:pos="567"/>
        </w:tabs>
        <w:spacing w:after="0" w:line="240" w:lineRule="auto"/>
        <w:ind w:left="567" w:hanging="567"/>
        <w:jc w:val="center"/>
        <w:outlineLvl w:val="1"/>
        <w:rPr>
          <w:rFonts w:ascii="Times New Roman" w:eastAsia="Calibri" w:hAnsi="Times New Roman" w:cs="Times New Roman"/>
          <w:b/>
        </w:rPr>
      </w:pPr>
    </w:p>
    <w:p w14:paraId="4B497136" w14:textId="77777777" w:rsidR="00506BE7" w:rsidRDefault="00506BE7">
      <w:pPr>
        <w:widowControl w:val="0"/>
        <w:tabs>
          <w:tab w:val="left" w:pos="567"/>
        </w:tabs>
        <w:spacing w:after="0" w:line="240" w:lineRule="auto"/>
        <w:ind w:left="567" w:hanging="567"/>
        <w:jc w:val="center"/>
        <w:outlineLvl w:val="1"/>
        <w:rPr>
          <w:rFonts w:ascii="Times New Roman" w:eastAsia="Calibri" w:hAnsi="Times New Roman" w:cs="Times New Roman"/>
          <w:b/>
        </w:rPr>
      </w:pPr>
    </w:p>
    <w:p w14:paraId="5B891130" w14:textId="77777777" w:rsidR="00506BE7" w:rsidRDefault="00506BE7">
      <w:pPr>
        <w:widowControl w:val="0"/>
        <w:spacing w:after="0" w:line="240" w:lineRule="auto"/>
        <w:jc w:val="center"/>
        <w:rPr>
          <w:rFonts w:ascii="Times New Roman" w:eastAsia="Calibri" w:hAnsi="Times New Roman" w:cs="Times New Roman"/>
          <w:b/>
        </w:rPr>
      </w:pPr>
    </w:p>
    <w:p w14:paraId="34653FD8" w14:textId="77777777" w:rsidR="00506BE7" w:rsidRDefault="00506BE7">
      <w:pPr>
        <w:widowControl w:val="0"/>
        <w:spacing w:after="0" w:line="240" w:lineRule="auto"/>
        <w:jc w:val="center"/>
        <w:rPr>
          <w:rFonts w:ascii="Times New Roman" w:eastAsia="Calibri" w:hAnsi="Times New Roman" w:cs="Times New Roman"/>
          <w:b/>
        </w:rPr>
      </w:pPr>
    </w:p>
    <w:p w14:paraId="2B4F2068" w14:textId="77777777" w:rsidR="00506BE7" w:rsidRDefault="00506BE7">
      <w:pPr>
        <w:widowControl w:val="0"/>
        <w:spacing w:after="0" w:line="240" w:lineRule="auto"/>
        <w:jc w:val="center"/>
        <w:rPr>
          <w:rFonts w:ascii="Times New Roman" w:eastAsia="Calibri" w:hAnsi="Times New Roman" w:cs="Times New Roman"/>
          <w:b/>
        </w:rPr>
      </w:pPr>
    </w:p>
    <w:p w14:paraId="159AEE94" w14:textId="77777777" w:rsidR="00506BE7" w:rsidRDefault="00506BE7">
      <w:pPr>
        <w:widowControl w:val="0"/>
        <w:spacing w:after="0" w:line="240" w:lineRule="auto"/>
        <w:jc w:val="center"/>
        <w:rPr>
          <w:rFonts w:ascii="Times New Roman" w:eastAsia="Calibri" w:hAnsi="Times New Roman" w:cs="Times New Roman"/>
          <w:b/>
        </w:rPr>
      </w:pPr>
    </w:p>
    <w:p w14:paraId="73BF7177" w14:textId="77777777" w:rsidR="00506BE7" w:rsidRDefault="00506BE7">
      <w:pPr>
        <w:widowControl w:val="0"/>
        <w:spacing w:after="0" w:line="240" w:lineRule="auto"/>
        <w:jc w:val="center"/>
        <w:rPr>
          <w:rFonts w:ascii="Times New Roman" w:eastAsia="Calibri" w:hAnsi="Times New Roman" w:cs="Times New Roman"/>
          <w:b/>
        </w:rPr>
      </w:pPr>
    </w:p>
    <w:p w14:paraId="1270C9EF" w14:textId="77777777" w:rsidR="00506BE7" w:rsidRDefault="00506BE7">
      <w:pPr>
        <w:widowControl w:val="0"/>
        <w:spacing w:after="0" w:line="240" w:lineRule="auto"/>
        <w:jc w:val="center"/>
        <w:rPr>
          <w:rFonts w:ascii="Times New Roman" w:eastAsia="Calibri" w:hAnsi="Times New Roman" w:cs="Times New Roman"/>
          <w:b/>
        </w:rPr>
      </w:pPr>
    </w:p>
    <w:p w14:paraId="0BFF984A" w14:textId="77777777" w:rsidR="00506BE7" w:rsidRDefault="00506BE7">
      <w:pPr>
        <w:widowControl w:val="0"/>
        <w:spacing w:after="0" w:line="240" w:lineRule="auto"/>
        <w:jc w:val="center"/>
        <w:rPr>
          <w:rFonts w:ascii="Times New Roman" w:eastAsia="Calibri" w:hAnsi="Times New Roman" w:cs="Times New Roman"/>
          <w:b/>
        </w:rPr>
      </w:pPr>
    </w:p>
    <w:p w14:paraId="678206C7" w14:textId="77777777" w:rsidR="00506BE7" w:rsidRDefault="00506BE7">
      <w:pPr>
        <w:widowControl w:val="0"/>
        <w:spacing w:after="0" w:line="240" w:lineRule="auto"/>
        <w:jc w:val="center"/>
        <w:rPr>
          <w:rFonts w:ascii="Times New Roman" w:eastAsia="Calibri" w:hAnsi="Times New Roman" w:cs="Times New Roman"/>
          <w:b/>
        </w:rPr>
      </w:pPr>
    </w:p>
    <w:p w14:paraId="024AED78" w14:textId="77777777" w:rsidR="00506BE7" w:rsidRDefault="00506BE7">
      <w:pPr>
        <w:widowControl w:val="0"/>
        <w:spacing w:after="0" w:line="240" w:lineRule="auto"/>
        <w:jc w:val="center"/>
        <w:rPr>
          <w:rFonts w:ascii="Times New Roman" w:eastAsia="Calibri" w:hAnsi="Times New Roman" w:cs="Times New Roman"/>
          <w:b/>
        </w:rPr>
      </w:pPr>
    </w:p>
    <w:p w14:paraId="0F84BAA9" w14:textId="77777777" w:rsidR="00506BE7" w:rsidRDefault="00506BE7">
      <w:pPr>
        <w:widowControl w:val="0"/>
        <w:spacing w:after="0" w:line="240" w:lineRule="auto"/>
        <w:jc w:val="center"/>
        <w:rPr>
          <w:rFonts w:ascii="Times New Roman" w:eastAsia="Calibri" w:hAnsi="Times New Roman" w:cs="Times New Roman"/>
          <w:b/>
        </w:rPr>
      </w:pPr>
    </w:p>
    <w:p w14:paraId="71F9A35C" w14:textId="77777777" w:rsidR="00506BE7" w:rsidRDefault="00506BE7">
      <w:pPr>
        <w:widowControl w:val="0"/>
        <w:spacing w:after="0" w:line="240" w:lineRule="auto"/>
        <w:jc w:val="center"/>
        <w:rPr>
          <w:rFonts w:ascii="Times New Roman" w:eastAsia="Calibri" w:hAnsi="Times New Roman" w:cs="Times New Roman"/>
          <w:b/>
        </w:rPr>
      </w:pPr>
    </w:p>
    <w:p w14:paraId="10FCF996" w14:textId="77777777" w:rsidR="00506BE7" w:rsidRDefault="00506BE7">
      <w:pPr>
        <w:widowControl w:val="0"/>
        <w:spacing w:after="0" w:line="240" w:lineRule="auto"/>
        <w:jc w:val="center"/>
        <w:rPr>
          <w:rFonts w:ascii="Times New Roman" w:eastAsia="Calibri" w:hAnsi="Times New Roman" w:cs="Times New Roman"/>
          <w:b/>
        </w:rPr>
      </w:pPr>
    </w:p>
    <w:p w14:paraId="53FF9807" w14:textId="77777777" w:rsidR="00506BE7" w:rsidRDefault="00506BE7">
      <w:pPr>
        <w:widowControl w:val="0"/>
        <w:spacing w:after="0" w:line="240" w:lineRule="auto"/>
        <w:jc w:val="center"/>
        <w:rPr>
          <w:rFonts w:ascii="Times New Roman" w:eastAsia="Calibri" w:hAnsi="Times New Roman" w:cs="Times New Roman"/>
          <w:b/>
        </w:rPr>
      </w:pPr>
    </w:p>
    <w:p w14:paraId="0F7828A7" w14:textId="77777777" w:rsidR="00506BE7" w:rsidRDefault="00506BE7">
      <w:pPr>
        <w:widowControl w:val="0"/>
        <w:spacing w:after="0" w:line="240" w:lineRule="auto"/>
        <w:jc w:val="center"/>
        <w:rPr>
          <w:rFonts w:ascii="Times New Roman" w:eastAsia="Calibri" w:hAnsi="Times New Roman" w:cs="Times New Roman"/>
          <w:b/>
        </w:rPr>
      </w:pPr>
    </w:p>
    <w:p w14:paraId="0FBC358F" w14:textId="77777777" w:rsidR="00506BE7" w:rsidRDefault="00506BE7">
      <w:pPr>
        <w:widowControl w:val="0"/>
        <w:spacing w:after="0" w:line="240" w:lineRule="auto"/>
        <w:jc w:val="center"/>
        <w:rPr>
          <w:rFonts w:ascii="Times New Roman" w:eastAsia="Calibri" w:hAnsi="Times New Roman" w:cs="Times New Roman"/>
          <w:b/>
        </w:rPr>
      </w:pPr>
    </w:p>
    <w:p w14:paraId="425F6CD7" w14:textId="77777777" w:rsidR="00506BE7" w:rsidRDefault="00506BE7">
      <w:pPr>
        <w:widowControl w:val="0"/>
        <w:spacing w:after="0" w:line="240" w:lineRule="auto"/>
        <w:jc w:val="center"/>
        <w:rPr>
          <w:rFonts w:ascii="Times New Roman" w:eastAsia="Calibri" w:hAnsi="Times New Roman" w:cs="Times New Roman"/>
          <w:b/>
        </w:rPr>
      </w:pPr>
    </w:p>
    <w:p w14:paraId="61DF4F4B" w14:textId="77777777" w:rsidR="00506BE7" w:rsidRDefault="00506BE7">
      <w:pPr>
        <w:widowControl w:val="0"/>
        <w:spacing w:after="0" w:line="240" w:lineRule="auto"/>
        <w:jc w:val="center"/>
        <w:rPr>
          <w:rFonts w:ascii="Times New Roman" w:eastAsia="Calibri" w:hAnsi="Times New Roman" w:cs="Times New Roman"/>
          <w:b/>
        </w:rPr>
      </w:pPr>
    </w:p>
    <w:p w14:paraId="4EF1CC42" w14:textId="77777777" w:rsidR="00506BE7" w:rsidRDefault="008E332A">
      <w:pPr>
        <w:widowControl w:val="0"/>
        <w:spacing w:after="0" w:line="240" w:lineRule="auto"/>
        <w:jc w:val="center"/>
        <w:rPr>
          <w:rFonts w:ascii="Times New Roman" w:eastAsia="Calibri" w:hAnsi="Times New Roman" w:cs="Times New Roman"/>
          <w:b/>
        </w:rPr>
      </w:pPr>
      <w:r>
        <w:rPr>
          <w:rFonts w:ascii="Times New Roman" w:eastAsia="Calibri" w:hAnsi="Times New Roman" w:cs="Times New Roman"/>
          <w:b/>
        </w:rPr>
        <w:t>I PRIEDAS</w:t>
      </w:r>
    </w:p>
    <w:p w14:paraId="2D35DBEA" w14:textId="77777777" w:rsidR="00506BE7" w:rsidRDefault="00506BE7">
      <w:pPr>
        <w:widowControl w:val="0"/>
        <w:spacing w:after="0" w:line="240" w:lineRule="auto"/>
        <w:jc w:val="center"/>
        <w:rPr>
          <w:rFonts w:ascii="Times New Roman" w:eastAsia="Calibri" w:hAnsi="Times New Roman" w:cs="Times New Roman"/>
          <w:b/>
        </w:rPr>
      </w:pPr>
    </w:p>
    <w:p w14:paraId="064274FB" w14:textId="77777777" w:rsidR="00506BE7" w:rsidRDefault="008E332A">
      <w:pPr>
        <w:widowControl w:val="0"/>
        <w:spacing w:after="0" w:line="240" w:lineRule="auto"/>
        <w:jc w:val="center"/>
        <w:rPr>
          <w:rFonts w:ascii="Times New Roman" w:eastAsia="Calibri" w:hAnsi="Times New Roman" w:cs="Times New Roman"/>
          <w:b/>
        </w:rPr>
      </w:pPr>
      <w:r>
        <w:rPr>
          <w:rFonts w:ascii="Times New Roman" w:eastAsia="Calibri" w:hAnsi="Times New Roman" w:cs="Times New Roman"/>
          <w:b/>
        </w:rPr>
        <w:t>PREPARATO CHARAKTERISTIKŲ SANTRAUKA</w:t>
      </w:r>
    </w:p>
    <w:p w14:paraId="3E8E73E9" w14:textId="77777777" w:rsidR="00506BE7" w:rsidRDefault="008E332A">
      <w:pPr>
        <w:widowControl w:val="0"/>
        <w:tabs>
          <w:tab w:val="left" w:pos="567"/>
        </w:tabs>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rPr>
        <w:br w:type="page"/>
      </w:r>
      <w:r>
        <w:rPr>
          <w:rFonts w:ascii="Times New Roman" w:eastAsia="Calibri" w:hAnsi="Times New Roman" w:cs="Times New Roman"/>
          <w:b/>
        </w:rPr>
        <w:lastRenderedPageBreak/>
        <w:t>1.</w:t>
      </w:r>
      <w:r>
        <w:rPr>
          <w:rFonts w:ascii="Times New Roman" w:eastAsia="Calibri" w:hAnsi="Times New Roman" w:cs="Times New Roman"/>
          <w:b/>
        </w:rPr>
        <w:tab/>
        <w:t>VAISTINIO PREPARATO PAVADINIMAS</w:t>
      </w:r>
      <w:bookmarkEnd w:id="1"/>
      <w:bookmarkEnd w:id="2"/>
    </w:p>
    <w:p w14:paraId="7A018A5B" w14:textId="77777777" w:rsidR="00506BE7" w:rsidRDefault="00506BE7">
      <w:pPr>
        <w:widowControl w:val="0"/>
        <w:spacing w:after="0" w:line="240" w:lineRule="auto"/>
        <w:rPr>
          <w:rFonts w:ascii="Times New Roman" w:eastAsia="Calibri" w:hAnsi="Times New Roman" w:cs="Times New Roman"/>
        </w:rPr>
      </w:pPr>
    </w:p>
    <w:p w14:paraId="2825C7A9"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Kventiax 50 mg pailginto atpalaidavimo tabletės</w:t>
      </w:r>
    </w:p>
    <w:p w14:paraId="4C6968F3"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Kventiax 150 mg pailginto atpalaidavimo tabletės</w:t>
      </w:r>
    </w:p>
    <w:p w14:paraId="02EC01DB"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Kventiax 200 mg pailginto atpalaidavimo tabletės</w:t>
      </w:r>
    </w:p>
    <w:p w14:paraId="330FDE4A"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Kventiax 300 mg pailginto atpalaidavimo tabletės</w:t>
      </w:r>
    </w:p>
    <w:p w14:paraId="02CF8B6A" w14:textId="77777777" w:rsidR="00506BE7" w:rsidRDefault="008E332A">
      <w:pPr>
        <w:widowControl w:val="0"/>
        <w:spacing w:after="0" w:line="240" w:lineRule="auto"/>
        <w:rPr>
          <w:rFonts w:ascii="Times New Roman" w:eastAsia="Calibri" w:hAnsi="Times New Roman" w:cs="Times New Roman"/>
          <w:lang w:val="sl-SI"/>
        </w:rPr>
      </w:pPr>
      <w:r>
        <w:rPr>
          <w:rFonts w:ascii="Times New Roman" w:eastAsia="Calibri" w:hAnsi="Times New Roman" w:cs="Times New Roman"/>
          <w:lang w:val="sl-SI"/>
        </w:rPr>
        <w:t>Kventiax 400 mg pailginto atpalaidavimo tabletės</w:t>
      </w:r>
    </w:p>
    <w:p w14:paraId="6F241368" w14:textId="77777777" w:rsidR="00506BE7" w:rsidRDefault="00506BE7">
      <w:pPr>
        <w:widowControl w:val="0"/>
        <w:spacing w:after="0" w:line="240" w:lineRule="auto"/>
        <w:rPr>
          <w:rFonts w:ascii="Times New Roman" w:eastAsia="Calibri" w:hAnsi="Times New Roman" w:cs="Times New Roman"/>
        </w:rPr>
      </w:pPr>
    </w:p>
    <w:p w14:paraId="56097BF0" w14:textId="77777777" w:rsidR="00506BE7" w:rsidRDefault="00506BE7">
      <w:pPr>
        <w:widowControl w:val="0"/>
        <w:spacing w:after="0" w:line="240" w:lineRule="auto"/>
        <w:rPr>
          <w:rFonts w:ascii="Times New Roman" w:eastAsia="Calibri" w:hAnsi="Times New Roman" w:cs="Times New Roman"/>
        </w:rPr>
      </w:pPr>
    </w:p>
    <w:p w14:paraId="44E47A08" w14:textId="77777777" w:rsidR="00506BE7" w:rsidRDefault="008E332A">
      <w:pPr>
        <w:widowControl w:val="0"/>
        <w:tabs>
          <w:tab w:val="left" w:pos="567"/>
        </w:tabs>
        <w:spacing w:after="0" w:line="240" w:lineRule="auto"/>
        <w:ind w:left="567" w:hanging="567"/>
        <w:outlineLvl w:val="1"/>
        <w:rPr>
          <w:rFonts w:ascii="Times New Roman" w:eastAsia="Calibri" w:hAnsi="Times New Roman" w:cs="Times New Roman"/>
          <w:b/>
        </w:rPr>
      </w:pPr>
      <w:bookmarkStart w:id="4" w:name="_Toc129243224"/>
      <w:bookmarkStart w:id="5" w:name="_Toc129243099"/>
      <w:r>
        <w:rPr>
          <w:rFonts w:ascii="Times New Roman" w:eastAsia="Calibri" w:hAnsi="Times New Roman" w:cs="Times New Roman"/>
          <w:b/>
        </w:rPr>
        <w:t>2.</w:t>
      </w:r>
      <w:r>
        <w:rPr>
          <w:rFonts w:ascii="Times New Roman" w:eastAsia="Calibri" w:hAnsi="Times New Roman" w:cs="Times New Roman"/>
          <w:b/>
        </w:rPr>
        <w:tab/>
        <w:t>KOKYBINĖ IR KIEKYBINĖ SUDĖTIS</w:t>
      </w:r>
      <w:bookmarkEnd w:id="4"/>
      <w:bookmarkEnd w:id="5"/>
    </w:p>
    <w:p w14:paraId="0C2A6890" w14:textId="77777777" w:rsidR="00506BE7" w:rsidRDefault="00506BE7">
      <w:pPr>
        <w:widowControl w:val="0"/>
        <w:spacing w:after="0" w:line="240" w:lineRule="auto"/>
        <w:rPr>
          <w:rFonts w:ascii="Times New Roman" w:eastAsia="Calibri" w:hAnsi="Times New Roman" w:cs="Times New Roman"/>
        </w:rPr>
      </w:pPr>
    </w:p>
    <w:p w14:paraId="51FA261E" w14:textId="77777777" w:rsidR="00506BE7" w:rsidRDefault="008E332A">
      <w:pPr>
        <w:widowControl w:val="0"/>
        <w:spacing w:after="0" w:line="240" w:lineRule="auto"/>
        <w:rPr>
          <w:rFonts w:ascii="Times New Roman" w:eastAsia="Calibri" w:hAnsi="Times New Roman" w:cs="Times New Roman"/>
          <w:i/>
        </w:rPr>
      </w:pPr>
      <w:r>
        <w:rPr>
          <w:rFonts w:ascii="Times New Roman" w:eastAsia="Calibri" w:hAnsi="Times New Roman" w:cs="Times New Roman"/>
          <w:i/>
        </w:rPr>
        <w:t>50 mg pailginto atpalaidavimo tabletės</w:t>
      </w:r>
    </w:p>
    <w:p w14:paraId="04952385" w14:textId="77777777" w:rsidR="00506BE7" w:rsidRDefault="008E332A">
      <w:pPr>
        <w:widowControl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Kiekvienoje pailginto atpalaidavimo tabletėje yra 50 mg kvetiapino (kvetiapino hemifumarato pavidalu).</w:t>
      </w:r>
    </w:p>
    <w:p w14:paraId="688057E4" w14:textId="77777777" w:rsidR="00506BE7" w:rsidRDefault="008E332A">
      <w:pPr>
        <w:widowControl w:val="0"/>
        <w:autoSpaceDE w:val="0"/>
        <w:autoSpaceDN w:val="0"/>
        <w:adjustRightInd w:val="0"/>
        <w:spacing w:after="0" w:line="240" w:lineRule="auto"/>
        <w:jc w:val="both"/>
        <w:rPr>
          <w:rFonts w:ascii="Times New Roman" w:eastAsia="Calibri" w:hAnsi="Times New Roman" w:cs="Times New Roman"/>
          <w:i/>
        </w:rPr>
      </w:pPr>
      <w:r>
        <w:rPr>
          <w:rFonts w:ascii="Times New Roman" w:eastAsia="Calibri" w:hAnsi="Times New Roman" w:cs="Times New Roman"/>
          <w:i/>
        </w:rPr>
        <w:t>150</w:t>
      </w:r>
      <w:r>
        <w:rPr>
          <w:rFonts w:ascii="Times New Roman" w:eastAsia="Calibri" w:hAnsi="Times New Roman" w:cs="Times New Roman"/>
        </w:rPr>
        <w:t> </w:t>
      </w:r>
      <w:r>
        <w:rPr>
          <w:rFonts w:ascii="Times New Roman" w:eastAsia="Calibri" w:hAnsi="Times New Roman" w:cs="Times New Roman"/>
          <w:i/>
        </w:rPr>
        <w:t>mg pailginto atpalaidavimo tabletės</w:t>
      </w:r>
    </w:p>
    <w:p w14:paraId="1EB8B6F9" w14:textId="77777777" w:rsidR="00506BE7" w:rsidRDefault="008E332A">
      <w:pPr>
        <w:widowControl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Kiekvienoje pailginto atpalaidavimo tabletėje yra 150 mg kvetiapino (kvetiapino hemifumarato pavidalu).</w:t>
      </w:r>
    </w:p>
    <w:p w14:paraId="2F502C93" w14:textId="77777777" w:rsidR="00506BE7" w:rsidRDefault="008E332A">
      <w:pPr>
        <w:widowControl w:val="0"/>
        <w:spacing w:after="0" w:line="240" w:lineRule="auto"/>
        <w:rPr>
          <w:rFonts w:ascii="Times New Roman" w:eastAsia="Calibri" w:hAnsi="Times New Roman" w:cs="Times New Roman"/>
          <w:i/>
        </w:rPr>
      </w:pPr>
      <w:r>
        <w:rPr>
          <w:rFonts w:ascii="Times New Roman" w:eastAsia="Calibri" w:hAnsi="Times New Roman" w:cs="Times New Roman"/>
          <w:i/>
        </w:rPr>
        <w:t>200</w:t>
      </w:r>
      <w:r>
        <w:rPr>
          <w:rFonts w:ascii="Times New Roman" w:eastAsia="Calibri" w:hAnsi="Times New Roman" w:cs="Times New Roman"/>
        </w:rPr>
        <w:t> </w:t>
      </w:r>
      <w:r>
        <w:rPr>
          <w:rFonts w:ascii="Times New Roman" w:eastAsia="Calibri" w:hAnsi="Times New Roman" w:cs="Times New Roman"/>
          <w:i/>
        </w:rPr>
        <w:t>mg pailginto atpalaidavimo tabletės</w:t>
      </w:r>
    </w:p>
    <w:p w14:paraId="31CACD22"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Kiekvienoje pailginto atpalaidavimo tabletėje yra 200 mg kvetiapino (kvetiapino hemifumarato pavidalu).</w:t>
      </w:r>
    </w:p>
    <w:p w14:paraId="4C2C6100" w14:textId="77777777" w:rsidR="00506BE7" w:rsidRDefault="008E332A">
      <w:pPr>
        <w:widowControl w:val="0"/>
        <w:spacing w:after="0" w:line="240" w:lineRule="auto"/>
        <w:rPr>
          <w:rFonts w:ascii="Times New Roman" w:eastAsia="Calibri" w:hAnsi="Times New Roman" w:cs="Times New Roman"/>
          <w:i/>
        </w:rPr>
      </w:pPr>
      <w:r>
        <w:rPr>
          <w:rFonts w:ascii="Times New Roman" w:eastAsia="Calibri" w:hAnsi="Times New Roman" w:cs="Times New Roman"/>
          <w:i/>
        </w:rPr>
        <w:t>300</w:t>
      </w:r>
      <w:r>
        <w:rPr>
          <w:rFonts w:ascii="Times New Roman" w:eastAsia="Calibri" w:hAnsi="Times New Roman" w:cs="Times New Roman"/>
        </w:rPr>
        <w:t> </w:t>
      </w:r>
      <w:r>
        <w:rPr>
          <w:rFonts w:ascii="Times New Roman" w:eastAsia="Calibri" w:hAnsi="Times New Roman" w:cs="Times New Roman"/>
          <w:i/>
        </w:rPr>
        <w:t>mg pailginto atpalaidavimo tabletės</w:t>
      </w:r>
    </w:p>
    <w:p w14:paraId="5D921A0F"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Kiekvienoje pailginto atpalaidavimo tabletėje yra 300 mg kvetiapino (kvetiapino hemifumarato pavidalu).</w:t>
      </w:r>
    </w:p>
    <w:p w14:paraId="48FEA237" w14:textId="77777777" w:rsidR="00506BE7" w:rsidRDefault="008E332A">
      <w:pPr>
        <w:widowControl w:val="0"/>
        <w:spacing w:after="0" w:line="240" w:lineRule="auto"/>
        <w:rPr>
          <w:rFonts w:ascii="Times New Roman" w:eastAsia="Calibri" w:hAnsi="Times New Roman" w:cs="Times New Roman"/>
          <w:i/>
          <w:lang w:val="sl-SI"/>
        </w:rPr>
      </w:pPr>
      <w:r>
        <w:rPr>
          <w:rFonts w:ascii="Times New Roman" w:eastAsia="Calibri" w:hAnsi="Times New Roman" w:cs="Times New Roman"/>
          <w:i/>
          <w:lang w:val="sl-SI"/>
        </w:rPr>
        <w:t>400</w:t>
      </w:r>
      <w:r>
        <w:rPr>
          <w:rFonts w:ascii="Times New Roman" w:eastAsia="Calibri" w:hAnsi="Times New Roman" w:cs="Times New Roman"/>
          <w:lang w:val="sl-SI"/>
        </w:rPr>
        <w:t> </w:t>
      </w:r>
      <w:r>
        <w:rPr>
          <w:rFonts w:ascii="Times New Roman" w:eastAsia="Calibri" w:hAnsi="Times New Roman" w:cs="Times New Roman"/>
          <w:i/>
          <w:lang w:val="sl-SI"/>
        </w:rPr>
        <w:t>mg pailginto atpalaidavimo tabletės</w:t>
      </w:r>
    </w:p>
    <w:p w14:paraId="6BA1FFFB" w14:textId="77777777" w:rsidR="00506BE7" w:rsidRDefault="008E332A">
      <w:pPr>
        <w:widowControl w:val="0"/>
        <w:spacing w:after="0" w:line="240" w:lineRule="auto"/>
        <w:rPr>
          <w:rFonts w:ascii="Times New Roman" w:eastAsia="Calibri" w:hAnsi="Times New Roman" w:cs="Times New Roman"/>
          <w:lang w:val="sl-SI"/>
        </w:rPr>
      </w:pPr>
      <w:r>
        <w:rPr>
          <w:rFonts w:ascii="Times New Roman" w:eastAsia="Calibri" w:hAnsi="Times New Roman" w:cs="Times New Roman"/>
          <w:lang w:val="sl-SI"/>
        </w:rPr>
        <w:t>Kiekvienoje pailginto atpalaidavimo tabletėje yra 400 mg kvetiapino (kvetiapino hemifumarato pavidalu).</w:t>
      </w:r>
    </w:p>
    <w:p w14:paraId="40E61E85" w14:textId="77777777" w:rsidR="00506BE7" w:rsidRDefault="00506BE7">
      <w:pPr>
        <w:widowControl w:val="0"/>
        <w:autoSpaceDE w:val="0"/>
        <w:autoSpaceDN w:val="0"/>
        <w:adjustRightInd w:val="0"/>
        <w:spacing w:after="0" w:line="240" w:lineRule="auto"/>
        <w:jc w:val="both"/>
        <w:rPr>
          <w:rFonts w:ascii="Times New Roman" w:eastAsia="Calibri" w:hAnsi="Times New Roman" w:cs="Times New Roman"/>
        </w:rPr>
      </w:pPr>
    </w:p>
    <w:p w14:paraId="572DA22A"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u w:val="single"/>
        </w:rPr>
        <w:t>Pagalbinės medžiagos, kurių poveikis žinomas</w:t>
      </w:r>
    </w:p>
    <w:p w14:paraId="0CB31AE6" w14:textId="77777777" w:rsidR="00506BE7" w:rsidRDefault="008E332A">
      <w:pPr>
        <w:widowControl w:val="0"/>
        <w:spacing w:after="0" w:line="240" w:lineRule="auto"/>
        <w:rPr>
          <w:rFonts w:ascii="Times New Roman" w:eastAsia="Calibri" w:hAnsi="Times New Roman" w:cs="Times New Roman"/>
          <w:i/>
        </w:rPr>
      </w:pPr>
      <w:r>
        <w:rPr>
          <w:rFonts w:ascii="Times New Roman" w:eastAsia="Calibri" w:hAnsi="Times New Roman" w:cs="Times New Roman"/>
          <w:i/>
        </w:rPr>
        <w:t>50 mg pailginto atpalaidavimo tabletės</w:t>
      </w:r>
    </w:p>
    <w:p w14:paraId="4E1BA3C6" w14:textId="77777777" w:rsidR="00506BE7" w:rsidRDefault="008E332A">
      <w:pPr>
        <w:widowControl w:val="0"/>
        <w:autoSpaceDE w:val="0"/>
        <w:autoSpaceDN w:val="0"/>
        <w:adjustRightInd w:val="0"/>
        <w:spacing w:after="0" w:line="240" w:lineRule="auto"/>
        <w:jc w:val="both"/>
        <w:rPr>
          <w:rFonts w:ascii="Times New Roman" w:eastAsia="Calibri" w:hAnsi="Times New Roman" w:cs="Times New Roman"/>
        </w:rPr>
      </w:pPr>
      <w:r>
        <w:rPr>
          <w:rFonts w:ascii="Times New Roman" w:eastAsia="Calibri" w:hAnsi="Times New Roman" w:cs="Times New Roman"/>
        </w:rPr>
        <w:t>Kiekvienoje pailginto atpalaidavimo tabletėje yra 119,44 mg laktozės ir 8,44 mg natrio.</w:t>
      </w:r>
    </w:p>
    <w:p w14:paraId="1566C1F1" w14:textId="77777777" w:rsidR="00506BE7" w:rsidRDefault="008E332A">
      <w:pPr>
        <w:widowControl w:val="0"/>
        <w:autoSpaceDE w:val="0"/>
        <w:autoSpaceDN w:val="0"/>
        <w:adjustRightInd w:val="0"/>
        <w:spacing w:after="0" w:line="240" w:lineRule="auto"/>
        <w:jc w:val="both"/>
        <w:rPr>
          <w:rFonts w:ascii="Times New Roman" w:eastAsia="Calibri" w:hAnsi="Times New Roman" w:cs="Times New Roman"/>
          <w:i/>
        </w:rPr>
      </w:pPr>
      <w:r>
        <w:rPr>
          <w:rFonts w:ascii="Times New Roman" w:eastAsia="Calibri" w:hAnsi="Times New Roman" w:cs="Times New Roman"/>
          <w:i/>
        </w:rPr>
        <w:t>150</w:t>
      </w:r>
      <w:r>
        <w:rPr>
          <w:rFonts w:ascii="Times New Roman" w:eastAsia="Calibri" w:hAnsi="Times New Roman" w:cs="Times New Roman"/>
        </w:rPr>
        <w:t> </w:t>
      </w:r>
      <w:r>
        <w:rPr>
          <w:rFonts w:ascii="Times New Roman" w:eastAsia="Calibri" w:hAnsi="Times New Roman" w:cs="Times New Roman"/>
          <w:i/>
        </w:rPr>
        <w:t>mg pailginto atpalaidavimo tabletės</w:t>
      </w:r>
    </w:p>
    <w:p w14:paraId="222AFA51" w14:textId="77777777" w:rsidR="00506BE7" w:rsidRDefault="008E332A">
      <w:pPr>
        <w:widowControl w:val="0"/>
        <w:autoSpaceDE w:val="0"/>
        <w:autoSpaceDN w:val="0"/>
        <w:adjustRightInd w:val="0"/>
        <w:spacing w:after="0" w:line="240" w:lineRule="auto"/>
        <w:jc w:val="both"/>
        <w:rPr>
          <w:rFonts w:ascii="Times New Roman" w:eastAsia="Calibri" w:hAnsi="Times New Roman" w:cs="Times New Roman"/>
        </w:rPr>
      </w:pPr>
      <w:r>
        <w:rPr>
          <w:rFonts w:ascii="Times New Roman" w:eastAsia="Calibri" w:hAnsi="Times New Roman" w:cs="Times New Roman"/>
        </w:rPr>
        <w:t>Kiekvienoje pailginto atpalaidavimo tabletėje yra 37,57 mg laktozės ir 14,53 mg natrio.</w:t>
      </w:r>
    </w:p>
    <w:p w14:paraId="65D1BF01" w14:textId="77777777" w:rsidR="00506BE7" w:rsidRDefault="008E332A">
      <w:pPr>
        <w:widowControl w:val="0"/>
        <w:spacing w:after="0" w:line="240" w:lineRule="auto"/>
        <w:rPr>
          <w:rFonts w:ascii="Times New Roman" w:eastAsia="Calibri" w:hAnsi="Times New Roman" w:cs="Times New Roman"/>
          <w:i/>
        </w:rPr>
      </w:pPr>
      <w:r>
        <w:rPr>
          <w:rFonts w:ascii="Times New Roman" w:eastAsia="Calibri" w:hAnsi="Times New Roman" w:cs="Times New Roman"/>
          <w:i/>
        </w:rPr>
        <w:t>200</w:t>
      </w:r>
      <w:r>
        <w:rPr>
          <w:rFonts w:ascii="Times New Roman" w:eastAsia="Calibri" w:hAnsi="Times New Roman" w:cs="Times New Roman"/>
        </w:rPr>
        <w:t> </w:t>
      </w:r>
      <w:r>
        <w:rPr>
          <w:rFonts w:ascii="Times New Roman" w:eastAsia="Calibri" w:hAnsi="Times New Roman" w:cs="Times New Roman"/>
          <w:i/>
        </w:rPr>
        <w:t>mg pailginto atpalaidavimo tabletės</w:t>
      </w:r>
    </w:p>
    <w:p w14:paraId="3A997170"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Kiekvienoje pailginto atpalaidavimo tabletėje yra 50,09 mg laktozės ir 19,38 mg natrio.</w:t>
      </w:r>
    </w:p>
    <w:p w14:paraId="2BA1BAFE" w14:textId="77777777" w:rsidR="00506BE7" w:rsidRDefault="008E332A">
      <w:pPr>
        <w:widowControl w:val="0"/>
        <w:spacing w:after="0" w:line="240" w:lineRule="auto"/>
        <w:rPr>
          <w:rFonts w:ascii="Times New Roman" w:eastAsia="Calibri" w:hAnsi="Times New Roman" w:cs="Times New Roman"/>
          <w:i/>
        </w:rPr>
      </w:pPr>
      <w:r>
        <w:rPr>
          <w:rFonts w:ascii="Times New Roman" w:eastAsia="Calibri" w:hAnsi="Times New Roman" w:cs="Times New Roman"/>
          <w:i/>
        </w:rPr>
        <w:t>300</w:t>
      </w:r>
      <w:r>
        <w:rPr>
          <w:rFonts w:ascii="Times New Roman" w:eastAsia="Calibri" w:hAnsi="Times New Roman" w:cs="Times New Roman"/>
        </w:rPr>
        <w:t> </w:t>
      </w:r>
      <w:r>
        <w:rPr>
          <w:rFonts w:ascii="Times New Roman" w:eastAsia="Calibri" w:hAnsi="Times New Roman" w:cs="Times New Roman"/>
          <w:i/>
        </w:rPr>
        <w:t>mg pailginto atpalaidavimo tabletės</w:t>
      </w:r>
    </w:p>
    <w:p w14:paraId="768F6BED"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Kiekvienoje pailginto atpalaidavimo tabletėje yra 75,15 mg laktozės ir 29,06 mg natrio.</w:t>
      </w:r>
    </w:p>
    <w:p w14:paraId="772C5223" w14:textId="77777777" w:rsidR="00506BE7" w:rsidRDefault="008E332A">
      <w:pPr>
        <w:widowControl w:val="0"/>
        <w:spacing w:after="0" w:line="240" w:lineRule="auto"/>
        <w:rPr>
          <w:rFonts w:ascii="Times New Roman" w:eastAsia="Calibri" w:hAnsi="Times New Roman" w:cs="Times New Roman"/>
          <w:i/>
          <w:lang w:val="sl-SI"/>
        </w:rPr>
      </w:pPr>
      <w:r>
        <w:rPr>
          <w:rFonts w:ascii="Times New Roman" w:eastAsia="Calibri" w:hAnsi="Times New Roman" w:cs="Times New Roman"/>
          <w:i/>
          <w:lang w:val="sl-SI"/>
        </w:rPr>
        <w:t>400</w:t>
      </w:r>
      <w:r>
        <w:rPr>
          <w:rFonts w:ascii="Times New Roman" w:eastAsia="Calibri" w:hAnsi="Times New Roman" w:cs="Times New Roman"/>
          <w:lang w:val="sl-SI"/>
        </w:rPr>
        <w:t> </w:t>
      </w:r>
      <w:r>
        <w:rPr>
          <w:rFonts w:ascii="Times New Roman" w:eastAsia="Calibri" w:hAnsi="Times New Roman" w:cs="Times New Roman"/>
          <w:i/>
          <w:lang w:val="sl-SI"/>
        </w:rPr>
        <w:t>mg pailginto atpalaidavimo tabletės</w:t>
      </w:r>
    </w:p>
    <w:p w14:paraId="7A581068" w14:textId="77777777" w:rsidR="00506BE7" w:rsidRDefault="008E332A">
      <w:pPr>
        <w:widowControl w:val="0"/>
        <w:spacing w:after="0" w:line="240" w:lineRule="auto"/>
        <w:rPr>
          <w:rFonts w:ascii="Times New Roman" w:eastAsia="Calibri" w:hAnsi="Times New Roman" w:cs="Times New Roman"/>
          <w:lang w:val="sl-SI"/>
        </w:rPr>
      </w:pPr>
      <w:r>
        <w:rPr>
          <w:rFonts w:ascii="Times New Roman" w:eastAsia="Calibri" w:hAnsi="Times New Roman" w:cs="Times New Roman"/>
          <w:lang w:val="sl-SI"/>
        </w:rPr>
        <w:t>Kiekvienoje pailginto atpalaidavimo tabletėje yra 14,73 mg laktozės ir 23,46 mg natrio.</w:t>
      </w:r>
    </w:p>
    <w:p w14:paraId="1F7A6430" w14:textId="77777777" w:rsidR="00506BE7" w:rsidRDefault="00506BE7">
      <w:pPr>
        <w:widowControl w:val="0"/>
        <w:spacing w:after="0" w:line="240" w:lineRule="auto"/>
        <w:rPr>
          <w:rFonts w:ascii="Times New Roman" w:eastAsia="Calibri" w:hAnsi="Times New Roman" w:cs="Times New Roman"/>
        </w:rPr>
      </w:pPr>
    </w:p>
    <w:p w14:paraId="35624966"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Visos pagalbinės medžiagos išvardytos 6.1 skyriuje.</w:t>
      </w:r>
    </w:p>
    <w:p w14:paraId="16A69E3B" w14:textId="77777777" w:rsidR="00506BE7" w:rsidRDefault="00506BE7">
      <w:pPr>
        <w:widowControl w:val="0"/>
        <w:spacing w:after="0" w:line="240" w:lineRule="auto"/>
        <w:rPr>
          <w:rFonts w:ascii="Times New Roman" w:eastAsia="Calibri" w:hAnsi="Times New Roman" w:cs="Times New Roman"/>
        </w:rPr>
      </w:pPr>
    </w:p>
    <w:p w14:paraId="1110FE8D" w14:textId="77777777" w:rsidR="00506BE7" w:rsidRDefault="00506BE7">
      <w:pPr>
        <w:widowControl w:val="0"/>
        <w:spacing w:after="0" w:line="240" w:lineRule="auto"/>
        <w:rPr>
          <w:rFonts w:ascii="Times New Roman" w:eastAsia="Calibri" w:hAnsi="Times New Roman" w:cs="Times New Roman"/>
        </w:rPr>
      </w:pPr>
    </w:p>
    <w:p w14:paraId="540214C7" w14:textId="77777777" w:rsidR="00506BE7" w:rsidRDefault="008E332A">
      <w:pPr>
        <w:widowControl w:val="0"/>
        <w:tabs>
          <w:tab w:val="left" w:pos="567"/>
        </w:tabs>
        <w:spacing w:after="0" w:line="240" w:lineRule="auto"/>
        <w:ind w:left="567" w:hanging="567"/>
        <w:outlineLvl w:val="1"/>
        <w:rPr>
          <w:rFonts w:ascii="Times New Roman" w:eastAsia="Calibri" w:hAnsi="Times New Roman" w:cs="Times New Roman"/>
          <w:b/>
        </w:rPr>
      </w:pPr>
      <w:bookmarkStart w:id="6" w:name="_Toc129243225"/>
      <w:bookmarkStart w:id="7" w:name="_Toc129243100"/>
      <w:r>
        <w:rPr>
          <w:rFonts w:ascii="Times New Roman" w:eastAsia="Calibri" w:hAnsi="Times New Roman" w:cs="Times New Roman"/>
          <w:b/>
        </w:rPr>
        <w:t>3.</w:t>
      </w:r>
      <w:r>
        <w:rPr>
          <w:rFonts w:ascii="Times New Roman" w:eastAsia="Calibri" w:hAnsi="Times New Roman" w:cs="Times New Roman"/>
          <w:b/>
        </w:rPr>
        <w:tab/>
        <w:t>FARMACINĖ FORMA</w:t>
      </w:r>
      <w:bookmarkEnd w:id="6"/>
      <w:bookmarkEnd w:id="7"/>
    </w:p>
    <w:p w14:paraId="6EE400EA" w14:textId="77777777" w:rsidR="00506BE7" w:rsidRDefault="00506BE7">
      <w:pPr>
        <w:widowControl w:val="0"/>
        <w:spacing w:after="0" w:line="240" w:lineRule="auto"/>
        <w:rPr>
          <w:rFonts w:ascii="Times New Roman" w:eastAsia="Calibri" w:hAnsi="Times New Roman" w:cs="Times New Roman"/>
        </w:rPr>
      </w:pPr>
    </w:p>
    <w:p w14:paraId="3C03FD0E"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Pailginto atpalaidavimo tabletė</w:t>
      </w:r>
    </w:p>
    <w:p w14:paraId="000FD93B" w14:textId="77777777" w:rsidR="00506BE7" w:rsidRDefault="00506BE7">
      <w:pPr>
        <w:widowControl w:val="0"/>
        <w:spacing w:after="0" w:line="240" w:lineRule="auto"/>
        <w:rPr>
          <w:rFonts w:ascii="Times New Roman" w:eastAsia="Calibri" w:hAnsi="Times New Roman" w:cs="Times New Roman"/>
        </w:rPr>
      </w:pPr>
    </w:p>
    <w:p w14:paraId="7B0D696C" w14:textId="77777777" w:rsidR="00506BE7" w:rsidRDefault="008E332A">
      <w:pPr>
        <w:widowControl w:val="0"/>
        <w:spacing w:after="0" w:line="240" w:lineRule="auto"/>
        <w:rPr>
          <w:rFonts w:ascii="Times New Roman" w:eastAsia="Calibri" w:hAnsi="Times New Roman" w:cs="Times New Roman"/>
          <w:i/>
        </w:rPr>
      </w:pPr>
      <w:r>
        <w:rPr>
          <w:rFonts w:ascii="Times New Roman" w:eastAsia="Calibri" w:hAnsi="Times New Roman" w:cs="Times New Roman"/>
          <w:i/>
        </w:rPr>
        <w:t>50 mg pailginto atpalaidavimo tabletės</w:t>
      </w:r>
    </w:p>
    <w:p w14:paraId="4C924EE5"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Baltos arba beveik baltos, kapsulės formos, truputį abipus išgaubtos, nuožulniais kraštais plėvele dengtos tabletės, kurių vienoje pusėje yra įspaustas skaičius „50“. Tabletės išmatavimai: ilgis – 16,2 mm ir storis – 4,0 – 5,2 mm.</w:t>
      </w:r>
    </w:p>
    <w:p w14:paraId="23E975A5" w14:textId="77777777" w:rsidR="00506BE7" w:rsidRDefault="008E332A">
      <w:pPr>
        <w:widowControl w:val="0"/>
        <w:spacing w:after="0" w:line="240" w:lineRule="auto"/>
        <w:rPr>
          <w:rFonts w:ascii="Times New Roman" w:eastAsia="Calibri" w:hAnsi="Times New Roman" w:cs="Times New Roman"/>
          <w:i/>
        </w:rPr>
      </w:pPr>
      <w:r>
        <w:rPr>
          <w:rFonts w:ascii="Times New Roman" w:eastAsia="Calibri" w:hAnsi="Times New Roman" w:cs="Times New Roman"/>
          <w:i/>
        </w:rPr>
        <w:t>150 mg pailginto atpalaidavimo tabletės</w:t>
      </w:r>
    </w:p>
    <w:p w14:paraId="4E52F53C"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Rausvai oranžinės, apvalios, abipus išgaubtos, plėvele dengtos tabletės, nuožulniais kraštais. Tabletės išmatavimai: skersmuo – 10 mm ir storis – 4,6 – 6,0 mm.</w:t>
      </w:r>
    </w:p>
    <w:p w14:paraId="5F96E4C6" w14:textId="77777777" w:rsidR="00506BE7" w:rsidRDefault="008E332A">
      <w:pPr>
        <w:widowControl w:val="0"/>
        <w:spacing w:after="0" w:line="240" w:lineRule="auto"/>
        <w:rPr>
          <w:rFonts w:ascii="Times New Roman" w:eastAsia="Calibri" w:hAnsi="Times New Roman" w:cs="Times New Roman"/>
          <w:i/>
        </w:rPr>
      </w:pPr>
      <w:r>
        <w:rPr>
          <w:rFonts w:ascii="Times New Roman" w:eastAsia="Calibri" w:hAnsi="Times New Roman" w:cs="Times New Roman"/>
          <w:i/>
        </w:rPr>
        <w:t>200 mg pailginto atpalaidavimo tabletės</w:t>
      </w:r>
    </w:p>
    <w:p w14:paraId="3AD361F0"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Geltonai rudos, ovalios, abipus išgaubtos, plėvele dengtos tabletės. Tabletės išmatavimai: ilgis yra 16 mm ir storis yra 5,6 – 7,1 mm.</w:t>
      </w:r>
    </w:p>
    <w:p w14:paraId="5A60FE24" w14:textId="77777777" w:rsidR="00506BE7" w:rsidRDefault="008E332A">
      <w:pPr>
        <w:widowControl w:val="0"/>
        <w:spacing w:after="0" w:line="240" w:lineRule="auto"/>
        <w:rPr>
          <w:rFonts w:ascii="Times New Roman" w:eastAsia="Calibri" w:hAnsi="Times New Roman" w:cs="Times New Roman"/>
          <w:i/>
        </w:rPr>
      </w:pPr>
      <w:r>
        <w:rPr>
          <w:rFonts w:ascii="Times New Roman" w:eastAsia="Calibri" w:hAnsi="Times New Roman" w:cs="Times New Roman"/>
          <w:i/>
        </w:rPr>
        <w:t>300 mg pailginto atpalaidavimo tabletės</w:t>
      </w:r>
    </w:p>
    <w:p w14:paraId="56028FA2"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lastRenderedPageBreak/>
        <w:t>Blyškiai rudai geltonos, kapsulės formos, abipus išgaubtos, plėvele dengtos tabletės. Tabletės išmatavimai: ilgis yra 19,1 mm ir storis yra 5,9 – 7,4 mm.</w:t>
      </w:r>
    </w:p>
    <w:p w14:paraId="3B4D0A8D" w14:textId="77777777" w:rsidR="00506BE7" w:rsidRDefault="008E332A">
      <w:pPr>
        <w:widowControl w:val="0"/>
        <w:spacing w:after="0" w:line="240" w:lineRule="auto"/>
        <w:rPr>
          <w:rFonts w:ascii="Times New Roman" w:eastAsia="Calibri" w:hAnsi="Times New Roman" w:cs="Times New Roman"/>
          <w:i/>
          <w:lang w:val="sl-SI"/>
        </w:rPr>
      </w:pPr>
      <w:r>
        <w:rPr>
          <w:rFonts w:ascii="Times New Roman" w:eastAsia="Calibri" w:hAnsi="Times New Roman" w:cs="Times New Roman"/>
          <w:i/>
          <w:lang w:val="sl-SI"/>
        </w:rPr>
        <w:t>400 mg pailginto atpalaidavimo tabletės</w:t>
      </w:r>
    </w:p>
    <w:p w14:paraId="159A8EC1" w14:textId="77777777" w:rsidR="00506BE7" w:rsidRDefault="008E332A">
      <w:pPr>
        <w:widowControl w:val="0"/>
        <w:spacing w:after="0" w:line="240" w:lineRule="auto"/>
        <w:rPr>
          <w:rFonts w:ascii="Times New Roman" w:eastAsia="Calibri" w:hAnsi="Times New Roman" w:cs="Times New Roman"/>
          <w:lang w:val="sl-SI"/>
        </w:rPr>
      </w:pPr>
      <w:r>
        <w:rPr>
          <w:rFonts w:ascii="Times New Roman" w:eastAsia="Calibri" w:hAnsi="Times New Roman" w:cs="Times New Roman"/>
          <w:lang w:val="sl-SI"/>
        </w:rPr>
        <w:t>Baltos arba beveik baltos, kapsulės formos, abipus išgaubtos, plėvele dengtos tabletės, kurių vienoje pusėje yra įspaustas skaičius „400“. Tablečių išmatavimai: ilgis yra 18,7 – 19,5 mm ir storis - 5,5 – 7,1 mm.</w:t>
      </w:r>
    </w:p>
    <w:p w14:paraId="6563392F" w14:textId="77777777" w:rsidR="00506BE7" w:rsidRDefault="00506BE7">
      <w:pPr>
        <w:widowControl w:val="0"/>
        <w:spacing w:after="0" w:line="240" w:lineRule="auto"/>
        <w:rPr>
          <w:rFonts w:ascii="Times New Roman" w:eastAsia="Calibri" w:hAnsi="Times New Roman" w:cs="Times New Roman"/>
        </w:rPr>
      </w:pPr>
    </w:p>
    <w:p w14:paraId="2A95AD52" w14:textId="77777777" w:rsidR="00506BE7" w:rsidRDefault="00506BE7">
      <w:pPr>
        <w:widowControl w:val="0"/>
        <w:spacing w:after="0" w:line="240" w:lineRule="auto"/>
        <w:rPr>
          <w:rFonts w:ascii="Times New Roman" w:eastAsia="Calibri" w:hAnsi="Times New Roman" w:cs="Times New Roman"/>
        </w:rPr>
      </w:pPr>
    </w:p>
    <w:p w14:paraId="4B26F62F" w14:textId="77777777" w:rsidR="00506BE7" w:rsidRDefault="008E332A">
      <w:pPr>
        <w:widowControl w:val="0"/>
        <w:tabs>
          <w:tab w:val="left" w:pos="567"/>
        </w:tabs>
        <w:spacing w:after="0" w:line="240" w:lineRule="auto"/>
        <w:ind w:left="567" w:hanging="567"/>
        <w:outlineLvl w:val="1"/>
        <w:rPr>
          <w:rFonts w:ascii="Times New Roman" w:eastAsia="Calibri" w:hAnsi="Times New Roman" w:cs="Times New Roman"/>
          <w:b/>
        </w:rPr>
      </w:pPr>
      <w:bookmarkStart w:id="8" w:name="_Toc129243226"/>
      <w:bookmarkStart w:id="9" w:name="_Toc129243101"/>
      <w:r>
        <w:rPr>
          <w:rFonts w:ascii="Times New Roman" w:eastAsia="Calibri" w:hAnsi="Times New Roman" w:cs="Times New Roman"/>
          <w:b/>
        </w:rPr>
        <w:t>4.</w:t>
      </w:r>
      <w:r>
        <w:rPr>
          <w:rFonts w:ascii="Times New Roman" w:eastAsia="Calibri" w:hAnsi="Times New Roman" w:cs="Times New Roman"/>
          <w:b/>
        </w:rPr>
        <w:tab/>
        <w:t>KLINIKINĖ INFORMACIJA</w:t>
      </w:r>
      <w:bookmarkEnd w:id="8"/>
      <w:bookmarkEnd w:id="9"/>
    </w:p>
    <w:p w14:paraId="30BF4949" w14:textId="77777777" w:rsidR="00506BE7" w:rsidRDefault="00506BE7">
      <w:pPr>
        <w:widowControl w:val="0"/>
        <w:spacing w:after="0" w:line="240" w:lineRule="auto"/>
        <w:rPr>
          <w:rFonts w:ascii="Times New Roman" w:eastAsia="Calibri" w:hAnsi="Times New Roman" w:cs="Times New Roman"/>
        </w:rPr>
      </w:pPr>
    </w:p>
    <w:p w14:paraId="356B31B0" w14:textId="77777777" w:rsidR="00506BE7" w:rsidRDefault="008E332A">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10" w:name="_Toc129243227"/>
      <w:bookmarkStart w:id="11" w:name="_Toc129243102"/>
      <w:r>
        <w:rPr>
          <w:rFonts w:ascii="Times New Roman" w:eastAsia="Calibri" w:hAnsi="Times New Roman" w:cs="Times New Roman"/>
          <w:b/>
          <w:kern w:val="28"/>
        </w:rPr>
        <w:t>4.1</w:t>
      </w:r>
      <w:r>
        <w:rPr>
          <w:rFonts w:ascii="Times New Roman" w:eastAsia="Calibri" w:hAnsi="Times New Roman" w:cs="Times New Roman"/>
          <w:b/>
          <w:kern w:val="28"/>
        </w:rPr>
        <w:tab/>
        <w:t>Terapinės indikacijos</w:t>
      </w:r>
      <w:bookmarkEnd w:id="10"/>
      <w:bookmarkEnd w:id="11"/>
    </w:p>
    <w:p w14:paraId="6C5E014E" w14:textId="77777777" w:rsidR="00506BE7" w:rsidRDefault="00506BE7">
      <w:pPr>
        <w:widowControl w:val="0"/>
        <w:tabs>
          <w:tab w:val="left" w:pos="567"/>
        </w:tabs>
        <w:spacing w:after="0" w:line="240" w:lineRule="auto"/>
        <w:ind w:left="567" w:hanging="567"/>
        <w:outlineLvl w:val="2"/>
        <w:rPr>
          <w:rFonts w:ascii="Times New Roman" w:eastAsia="Calibri" w:hAnsi="Times New Roman" w:cs="Times New Roman"/>
          <w:kern w:val="28"/>
        </w:rPr>
      </w:pPr>
    </w:p>
    <w:p w14:paraId="6D64FB67" w14:textId="77777777" w:rsidR="00506BE7" w:rsidRDefault="008E332A">
      <w:pPr>
        <w:widowControl w:val="0"/>
        <w:spacing w:after="0" w:line="240" w:lineRule="auto"/>
        <w:rPr>
          <w:rFonts w:ascii="Times New Roman" w:eastAsia="Calibri" w:hAnsi="Times New Roman" w:cs="Times New Roman"/>
          <w:color w:val="000000"/>
          <w:lang w:val="sl-SI"/>
        </w:rPr>
      </w:pPr>
      <w:r>
        <w:rPr>
          <w:rFonts w:ascii="Times New Roman" w:eastAsia="Calibri" w:hAnsi="Times New Roman" w:cs="Times New Roman"/>
        </w:rPr>
        <w:t>Kventiax skirtas</w:t>
      </w:r>
      <w:r>
        <w:rPr>
          <w:rFonts w:ascii="Times New Roman" w:eastAsia="Calibri" w:hAnsi="Times New Roman" w:cs="Times New Roman"/>
          <w:color w:val="000000"/>
          <w:lang w:val="sl-SI"/>
        </w:rPr>
        <w:t xml:space="preserve"> toliau nurodytų ligų gydymui:</w:t>
      </w:r>
    </w:p>
    <w:p w14:paraId="560D982D" w14:textId="77777777" w:rsidR="00506BE7" w:rsidRDefault="008E332A">
      <w:pPr>
        <w:pStyle w:val="Sraopastraipa"/>
        <w:widowControl w:val="0"/>
        <w:numPr>
          <w:ilvl w:val="0"/>
          <w:numId w:val="32"/>
        </w:numPr>
        <w:ind w:left="567" w:hanging="567"/>
        <w:rPr>
          <w:rFonts w:eastAsia="Calibri"/>
        </w:rPr>
      </w:pPr>
      <w:r>
        <w:rPr>
          <w:rFonts w:eastAsia="Calibri"/>
          <w:sz w:val="22"/>
        </w:rPr>
        <w:t>Šizofrenijos gydymas.</w:t>
      </w:r>
    </w:p>
    <w:p w14:paraId="6293D6A1" w14:textId="77777777" w:rsidR="00506BE7" w:rsidRDefault="00506BE7">
      <w:pPr>
        <w:pStyle w:val="Sraopastraipa"/>
        <w:widowControl w:val="0"/>
        <w:ind w:left="567"/>
        <w:rPr>
          <w:rFonts w:eastAsia="Calibri"/>
        </w:rPr>
      </w:pPr>
    </w:p>
    <w:p w14:paraId="5C9DC7FC" w14:textId="77777777" w:rsidR="00506BE7" w:rsidRDefault="008E332A">
      <w:pPr>
        <w:pStyle w:val="Sraopastraipa"/>
        <w:widowControl w:val="0"/>
        <w:numPr>
          <w:ilvl w:val="0"/>
          <w:numId w:val="26"/>
        </w:numPr>
        <w:ind w:left="567" w:hanging="567"/>
        <w:rPr>
          <w:rFonts w:eastAsia="Calibri"/>
        </w:rPr>
      </w:pPr>
      <w:r>
        <w:rPr>
          <w:rFonts w:eastAsia="Calibri"/>
          <w:sz w:val="22"/>
        </w:rPr>
        <w:t>Bipolinio sutrikimo gydymas:</w:t>
      </w:r>
    </w:p>
    <w:p w14:paraId="2C0E0529" w14:textId="77777777" w:rsidR="00506BE7" w:rsidRDefault="008E332A">
      <w:pPr>
        <w:widowControl w:val="0"/>
        <w:numPr>
          <w:ilvl w:val="0"/>
          <w:numId w:val="26"/>
        </w:numPr>
        <w:spacing w:after="0" w:line="240" w:lineRule="auto"/>
        <w:ind w:left="1134" w:hanging="567"/>
        <w:contextualSpacing/>
        <w:rPr>
          <w:rFonts w:ascii="Times New Roman" w:eastAsia="Calibri" w:hAnsi="Times New Roman" w:cs="Times New Roman"/>
        </w:rPr>
      </w:pPr>
      <w:r>
        <w:rPr>
          <w:rFonts w:ascii="Times New Roman" w:eastAsia="Calibri" w:hAnsi="Times New Roman" w:cs="Times New Roman"/>
          <w:color w:val="000000"/>
          <w:lang w:val="sl-SI"/>
        </w:rPr>
        <w:t>vidutinio sunkumo ir sunkių manijos epizodų, sergant bipoliniu sutrikimu, gydymas;</w:t>
      </w:r>
    </w:p>
    <w:p w14:paraId="30E8BDFA" w14:textId="77777777" w:rsidR="00506BE7" w:rsidRDefault="008E332A">
      <w:pPr>
        <w:widowControl w:val="0"/>
        <w:numPr>
          <w:ilvl w:val="0"/>
          <w:numId w:val="26"/>
        </w:numPr>
        <w:spacing w:after="0" w:line="240" w:lineRule="auto"/>
        <w:ind w:left="1134" w:hanging="567"/>
        <w:contextualSpacing/>
        <w:rPr>
          <w:rFonts w:ascii="Times New Roman" w:eastAsia="Calibri" w:hAnsi="Times New Roman" w:cs="Times New Roman"/>
        </w:rPr>
      </w:pPr>
      <w:r>
        <w:rPr>
          <w:rFonts w:ascii="Times New Roman" w:eastAsia="Calibri" w:hAnsi="Times New Roman" w:cs="Times New Roman"/>
          <w:color w:val="000000"/>
          <w:lang w:val="sl-SI"/>
        </w:rPr>
        <w:t>didžiosios depresijos epizodų, sergant bipoliniu sutrikimu, gydymas;</w:t>
      </w:r>
    </w:p>
    <w:p w14:paraId="6BCCEF9E" w14:textId="77777777" w:rsidR="00506BE7" w:rsidRDefault="008E332A">
      <w:pPr>
        <w:widowControl w:val="0"/>
        <w:numPr>
          <w:ilvl w:val="0"/>
          <w:numId w:val="26"/>
        </w:numPr>
        <w:spacing w:after="0" w:line="240" w:lineRule="auto"/>
        <w:ind w:left="1134" w:hanging="567"/>
        <w:contextualSpacing/>
        <w:rPr>
          <w:rFonts w:ascii="Times New Roman" w:eastAsia="Calibri" w:hAnsi="Times New Roman" w:cs="Times New Roman"/>
        </w:rPr>
      </w:pPr>
      <w:r>
        <w:rPr>
          <w:rFonts w:ascii="Times New Roman" w:eastAsia="Calibri" w:hAnsi="Times New Roman" w:cs="Times New Roman"/>
          <w:color w:val="000000"/>
          <w:lang w:val="sl-SI"/>
        </w:rPr>
        <w:t>manijos ar depresijos epizodų</w:t>
      </w:r>
      <w:r>
        <w:rPr>
          <w:rFonts w:ascii="Times New Roman" w:eastAsia="Calibri" w:hAnsi="Times New Roman" w:cs="Times New Roman"/>
          <w:lang w:val="sl-SI"/>
        </w:rPr>
        <w:t xml:space="preserve"> </w:t>
      </w:r>
      <w:r>
        <w:rPr>
          <w:rFonts w:ascii="Times New Roman" w:eastAsia="Calibri" w:hAnsi="Times New Roman" w:cs="Times New Roman"/>
          <w:color w:val="000000"/>
          <w:lang w:val="sl-SI"/>
        </w:rPr>
        <w:t>atkryčio profilaktika bipoliniu sutrikimu sergantiems pacientams, kuriems buvo veiksmingas kvetiapinas</w:t>
      </w:r>
      <w:r>
        <w:rPr>
          <w:rFonts w:ascii="Times New Roman" w:eastAsia="Calibri" w:hAnsi="Times New Roman" w:cs="Times New Roman"/>
        </w:rPr>
        <w:t>.</w:t>
      </w:r>
    </w:p>
    <w:p w14:paraId="30116B66" w14:textId="77777777" w:rsidR="00506BE7" w:rsidRDefault="00506BE7">
      <w:pPr>
        <w:widowControl w:val="0"/>
        <w:spacing w:after="0" w:line="240" w:lineRule="auto"/>
        <w:ind w:left="1134"/>
        <w:contextualSpacing/>
        <w:rPr>
          <w:rFonts w:ascii="Times New Roman" w:eastAsia="Calibri" w:hAnsi="Times New Roman" w:cs="Times New Roman"/>
        </w:rPr>
      </w:pPr>
    </w:p>
    <w:p w14:paraId="2751EA38" w14:textId="77777777" w:rsidR="00506BE7" w:rsidRDefault="008E332A">
      <w:pPr>
        <w:pStyle w:val="Sraopastraipa"/>
        <w:widowControl w:val="0"/>
        <w:numPr>
          <w:ilvl w:val="0"/>
          <w:numId w:val="26"/>
        </w:numPr>
        <w:ind w:left="567" w:hanging="567"/>
        <w:rPr>
          <w:rFonts w:eastAsia="Calibri"/>
          <w:lang w:val="lt-LT"/>
        </w:rPr>
      </w:pPr>
      <w:r>
        <w:rPr>
          <w:rFonts w:eastAsia="Calibri"/>
          <w:sz w:val="22"/>
          <w:lang w:val="lt-LT"/>
        </w:rPr>
        <w:t>papildomas didžiosios depresijos epizodų gydymas didžiuoju depresiniu sutrikimu sergantiems pacientams, kurių organizmo reakcija į monoterapiją antidepresantais buvo suboptimali (žr. 5.1 skyrių). Prieš pradėdamas gydymą, gydytojas turi įvertinti Kventiax saugumo duomenis (žr. 4.4 skyrių).</w:t>
      </w:r>
    </w:p>
    <w:p w14:paraId="0C9328BC" w14:textId="77777777" w:rsidR="00506BE7" w:rsidRDefault="00506BE7">
      <w:pPr>
        <w:widowControl w:val="0"/>
        <w:spacing w:after="0" w:line="240" w:lineRule="auto"/>
        <w:ind w:left="567" w:hanging="567"/>
        <w:rPr>
          <w:rFonts w:ascii="Times New Roman" w:eastAsia="Calibri" w:hAnsi="Times New Roman" w:cs="Times New Roman"/>
        </w:rPr>
      </w:pPr>
    </w:p>
    <w:p w14:paraId="048E653B" w14:textId="77777777" w:rsidR="00506BE7" w:rsidRDefault="008E332A">
      <w:pPr>
        <w:widowControl w:val="0"/>
        <w:spacing w:after="0" w:line="240" w:lineRule="auto"/>
        <w:ind w:left="540" w:hanging="540"/>
        <w:rPr>
          <w:rFonts w:ascii="Times New Roman" w:eastAsia="Calibri" w:hAnsi="Times New Roman" w:cs="Times New Roman"/>
          <w:b/>
        </w:rPr>
      </w:pPr>
      <w:bookmarkStart w:id="12" w:name="_Toc129243228"/>
      <w:bookmarkStart w:id="13" w:name="_Toc129243103"/>
      <w:r>
        <w:rPr>
          <w:rFonts w:ascii="Times New Roman" w:eastAsia="Calibri" w:hAnsi="Times New Roman" w:cs="Times New Roman"/>
          <w:b/>
        </w:rPr>
        <w:t>4.2</w:t>
      </w:r>
      <w:r>
        <w:rPr>
          <w:rFonts w:ascii="Times New Roman" w:eastAsia="Calibri" w:hAnsi="Times New Roman" w:cs="Times New Roman"/>
          <w:b/>
        </w:rPr>
        <w:tab/>
        <w:t>Dozavimas ir vartojimo metodas</w:t>
      </w:r>
      <w:bookmarkEnd w:id="12"/>
      <w:bookmarkEnd w:id="13"/>
    </w:p>
    <w:p w14:paraId="65CE2CFF" w14:textId="77777777" w:rsidR="00506BE7" w:rsidRDefault="00506BE7">
      <w:pPr>
        <w:widowControl w:val="0"/>
        <w:spacing w:after="0" w:line="240" w:lineRule="auto"/>
        <w:rPr>
          <w:rFonts w:ascii="Times New Roman" w:eastAsia="Calibri" w:hAnsi="Times New Roman" w:cs="Times New Roman"/>
        </w:rPr>
      </w:pPr>
    </w:p>
    <w:p w14:paraId="31A1250E" w14:textId="77777777" w:rsidR="00506BE7" w:rsidRDefault="008E332A">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Dozavimas</w:t>
      </w:r>
    </w:p>
    <w:p w14:paraId="0E174B94"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Dozavimo režimas kiekvienai indikacijai skiriasi, todėl pacientą būtina aiškiai informuoti apie jo ligai tinkamą dozavimą.</w:t>
      </w:r>
    </w:p>
    <w:p w14:paraId="2EBB16CD" w14:textId="77777777" w:rsidR="00506BE7" w:rsidRDefault="00506BE7">
      <w:pPr>
        <w:widowControl w:val="0"/>
        <w:spacing w:after="0" w:line="240" w:lineRule="auto"/>
        <w:rPr>
          <w:rFonts w:ascii="Times New Roman" w:eastAsia="Calibri" w:hAnsi="Times New Roman" w:cs="Times New Roman"/>
        </w:rPr>
      </w:pPr>
    </w:p>
    <w:p w14:paraId="5A668C7D"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u w:val="single"/>
        </w:rPr>
        <w:t>Suaugusiesiems</w:t>
      </w:r>
    </w:p>
    <w:p w14:paraId="2B288555" w14:textId="77777777" w:rsidR="00506BE7" w:rsidRDefault="00506BE7">
      <w:pPr>
        <w:widowControl w:val="0"/>
        <w:spacing w:after="0" w:line="240" w:lineRule="auto"/>
        <w:rPr>
          <w:rFonts w:ascii="Times New Roman" w:eastAsia="Calibri" w:hAnsi="Times New Roman" w:cs="Times New Roman"/>
          <w:b/>
        </w:rPr>
      </w:pPr>
    </w:p>
    <w:p w14:paraId="4C8FD343" w14:textId="77777777" w:rsidR="00506BE7" w:rsidRDefault="008E332A">
      <w:pPr>
        <w:widowControl w:val="0"/>
        <w:spacing w:after="0" w:line="240" w:lineRule="auto"/>
        <w:rPr>
          <w:rFonts w:ascii="Times New Roman" w:eastAsia="Calibri" w:hAnsi="Times New Roman" w:cs="Times New Roman"/>
          <w:i/>
        </w:rPr>
      </w:pPr>
      <w:r>
        <w:rPr>
          <w:rFonts w:ascii="Times New Roman" w:eastAsia="Calibri" w:hAnsi="Times New Roman" w:cs="Times New Roman"/>
          <w:i/>
        </w:rPr>
        <w:t>Šizofrenijos bei vidutinio sunkumo ir sunkių manijos epizodų, susijusių su bipoliu sutrikimu, gydymas</w:t>
      </w:r>
    </w:p>
    <w:p w14:paraId="44A892D2"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Kventiax reikia gerti bent valandą prieš valgį. Pradedant gydyti pirmą parą skiriama 300 mg, antrą – 600 mg. Rekomenduojama paros dozė yra 600 mg, tačiau ją galima padidinti iki 800 mg, jeigu tai kliniškai pagrįsta. Dozė koreguojama veiksmingų dozių (nuo 400 mg iki 800 mg per parą) ribose, ji priklauso nuo individualios klinikinės reakcijos ir vaistinio preparato individualaus toleravimo. Palaikomajam šizofrenijos gydymui dozės koreguoti nereikia.</w:t>
      </w:r>
    </w:p>
    <w:p w14:paraId="12156832" w14:textId="77777777" w:rsidR="00506BE7" w:rsidRDefault="00506BE7">
      <w:pPr>
        <w:widowControl w:val="0"/>
        <w:spacing w:after="0" w:line="240" w:lineRule="auto"/>
        <w:rPr>
          <w:rFonts w:ascii="Times New Roman" w:eastAsia="Calibri" w:hAnsi="Times New Roman" w:cs="Times New Roman"/>
        </w:rPr>
      </w:pPr>
    </w:p>
    <w:p w14:paraId="5A4AFAD6" w14:textId="77777777" w:rsidR="00506BE7" w:rsidRDefault="008E332A">
      <w:pPr>
        <w:widowControl w:val="0"/>
        <w:autoSpaceDN w:val="0"/>
        <w:spacing w:after="0" w:line="240" w:lineRule="auto"/>
        <w:rPr>
          <w:rFonts w:ascii="Times New Roman" w:eastAsia="Calibri" w:hAnsi="Times New Roman" w:cs="Times New Roman"/>
          <w:i/>
        </w:rPr>
      </w:pPr>
      <w:r>
        <w:rPr>
          <w:rFonts w:ascii="Times New Roman" w:eastAsia="Calibri" w:hAnsi="Times New Roman" w:cs="Times New Roman"/>
          <w:i/>
        </w:rPr>
        <w:t>Bipoliniu sutrikimu sergančių pacientų didžiosios depresijos epizodų gydymas</w:t>
      </w:r>
    </w:p>
    <w:p w14:paraId="0985D82F"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Kventiax reikia gerti prieš miegą. Pradedant gydyti paros dozė pirmąsias keturias dienas turi būti tokia: pirmą– 50 mg, antrą – 100 mg, trečią – 200 mg, ketvirtą – 300 mg. Rekomenduojama paros dozė – 300 mg. Klinikiniai tyrimai neparodė geresnio poveikio 600 mg dozę vartojusių pacientų grupei negu vartojusiai 300 mg dozę (žr. 5.1 skyrių), tačiau atskiriems pacientams 600 mg dozė gali būti naudinga. Gydymą didesne kaip 300 mg doze gali pradėti tik gydytojas, turintis bipolinio sutrikimo gydymo patirties. Klinikiniai tyrimai parodė, kad esant vaistinio preparato toleravimo problemų atskiriems pacientams galima svarstyti dozės sumažinimo iki minimalios 200 mg tikslingumą.</w:t>
      </w:r>
    </w:p>
    <w:p w14:paraId="6EC340E3" w14:textId="77777777" w:rsidR="00506BE7" w:rsidRDefault="00506BE7">
      <w:pPr>
        <w:widowControl w:val="0"/>
        <w:spacing w:after="0" w:line="240" w:lineRule="auto"/>
        <w:rPr>
          <w:rFonts w:ascii="Times New Roman" w:eastAsia="Calibri" w:hAnsi="Times New Roman" w:cs="Times New Roman"/>
          <w:b/>
        </w:rPr>
      </w:pPr>
    </w:p>
    <w:p w14:paraId="539D3F0C" w14:textId="77777777" w:rsidR="00506BE7" w:rsidRDefault="008E332A">
      <w:pPr>
        <w:widowControl w:val="0"/>
        <w:spacing w:after="0" w:line="240" w:lineRule="auto"/>
        <w:rPr>
          <w:rFonts w:ascii="Times New Roman" w:eastAsia="Calibri" w:hAnsi="Times New Roman" w:cs="Times New Roman"/>
          <w:i/>
        </w:rPr>
      </w:pPr>
      <w:r>
        <w:rPr>
          <w:rFonts w:ascii="Times New Roman" w:eastAsia="Calibri" w:hAnsi="Times New Roman" w:cs="Times New Roman"/>
          <w:i/>
        </w:rPr>
        <w:t>Bipolinio sutrikimo atkryčio profilaktika</w:t>
      </w:r>
    </w:p>
    <w:p w14:paraId="52888F7E"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Bipolinio sutrikimo manijos, mišrių ar depresijos epizodų atkryčio profilaktikai pacientai, kurių bipolinio sutrikimo pradiniam gydymui buvo veiksmingas Kventiax, turi toliau vartoti tokią pačią dozę prieš miegą. Ją galima koreguoti, priklausomai nuo individualios klinikinės reakcijos ir vaistinio preparato individualaus toleravimo, 300</w:t>
      </w:r>
      <w:r>
        <w:rPr>
          <w:rFonts w:ascii="Times New Roman" w:eastAsia="Calibri" w:hAnsi="Times New Roman" w:cs="Times New Roman"/>
        </w:rPr>
        <w:noBreakHyphen/>
        <w:t>800 mg per parą ribose. Palaikomajam gydymui svarbu vartoti mažiausią veiksmingą dozę.</w:t>
      </w:r>
    </w:p>
    <w:p w14:paraId="5BF5B056" w14:textId="77777777" w:rsidR="00506BE7" w:rsidRDefault="00506BE7">
      <w:pPr>
        <w:widowControl w:val="0"/>
        <w:spacing w:after="0" w:line="240" w:lineRule="auto"/>
        <w:rPr>
          <w:rFonts w:ascii="Times New Roman" w:eastAsia="Calibri" w:hAnsi="Times New Roman" w:cs="Times New Roman"/>
        </w:rPr>
      </w:pPr>
    </w:p>
    <w:p w14:paraId="7B7AABBB" w14:textId="77777777" w:rsidR="00506BE7" w:rsidRDefault="008E332A">
      <w:pPr>
        <w:widowControl w:val="0"/>
        <w:spacing w:after="0" w:line="240" w:lineRule="auto"/>
        <w:rPr>
          <w:rFonts w:ascii="Times New Roman" w:eastAsia="Calibri" w:hAnsi="Times New Roman" w:cs="Times New Roman"/>
          <w:i/>
        </w:rPr>
      </w:pPr>
      <w:r>
        <w:rPr>
          <w:rFonts w:ascii="Times New Roman" w:eastAsia="Calibri" w:hAnsi="Times New Roman" w:cs="Times New Roman"/>
          <w:i/>
        </w:rPr>
        <w:t>Didžiosios depresijos epizodų, susijusių su didžiuoju depresiniu sutrikimu, gydymas kartu su kitais vaistiniais preparatais</w:t>
      </w:r>
    </w:p>
    <w:p w14:paraId="2C1B12A1"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Kventiax reikia gerti prieš miegą. Pradedant gydyti pirmą ir antrą parą skiriama po 50 mg, trečią ir ketvirtą – po 150 mg. Trumpalaikių tyrimų metu kartu vartojant kitų vaistinių preparatų (amitriptilino, bupropiono, citalopramo, duloksetino, escitalopramo, fluoksetino, paroksetino, sertralino, venlafaksino, žr. 5.1 skyrių) Kventiax antidepresinis poveikis nustatytas vartojant  150 mg ir 300 mg  paros dozes, trumpalaikių monoterapijos tyrimų metu – 50 mg paros dozes. Vartojant didesnes dozes, padidėja nepageidaujamų reiškinių rizika, todėl gydytojas turi parinkti mažiausią veiksmingą dozę, pradedant nuo 50 mg per parą. Ar 150 mg paros dozę reikia padidinti iki 300 mg, sprendžiama įvertinus konkretaus paciento būklę.</w:t>
      </w:r>
    </w:p>
    <w:p w14:paraId="25A68155" w14:textId="77777777" w:rsidR="00506BE7" w:rsidRDefault="00506BE7">
      <w:pPr>
        <w:widowControl w:val="0"/>
        <w:spacing w:after="0" w:line="240" w:lineRule="auto"/>
        <w:rPr>
          <w:rFonts w:ascii="Times New Roman" w:eastAsia="Calibri" w:hAnsi="Times New Roman" w:cs="Times New Roman"/>
        </w:rPr>
      </w:pPr>
    </w:p>
    <w:p w14:paraId="7FBC615B" w14:textId="77777777" w:rsidR="00506BE7" w:rsidRDefault="008E332A">
      <w:pPr>
        <w:widowControl w:val="0"/>
        <w:spacing w:after="0" w:line="240" w:lineRule="auto"/>
        <w:rPr>
          <w:rFonts w:ascii="Times New Roman" w:eastAsia="Calibri" w:hAnsi="Times New Roman" w:cs="Times New Roman"/>
          <w:b/>
          <w:i/>
        </w:rPr>
      </w:pPr>
      <w:r>
        <w:rPr>
          <w:rFonts w:ascii="Times New Roman" w:eastAsia="Calibri" w:hAnsi="Times New Roman" w:cs="Times New Roman"/>
          <w:i/>
        </w:rPr>
        <w:t>Greito atpalaidavimo kvetiapino tablečių keitimas</w:t>
      </w:r>
    </w:p>
    <w:p w14:paraId="78EFEB33"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Kad būtų patogiau dozuoti, kelias greito atpalaidavimo kvetiapino tabletes per parą vartojantiems pacientams  galima pakeisti tokia pačia vieną kartą per parą išgeriama Kventiax </w:t>
      </w:r>
      <w:r>
        <w:rPr>
          <w:rFonts w:ascii="Times New Roman" w:eastAsia="Calibri" w:hAnsi="Times New Roman" w:cs="Times New Roman"/>
          <w:lang w:val="sl-SI"/>
        </w:rPr>
        <w:t>pailginto atpalaidavimo tablete</w:t>
      </w:r>
      <w:r>
        <w:rPr>
          <w:rFonts w:ascii="Times New Roman" w:eastAsia="Calibri" w:hAnsi="Times New Roman" w:cs="Times New Roman"/>
        </w:rPr>
        <w:t>. Vis dėlto dozę gali tekti individualiai koreguoti.</w:t>
      </w:r>
    </w:p>
    <w:p w14:paraId="271EE935" w14:textId="77777777" w:rsidR="00506BE7" w:rsidRDefault="00506BE7">
      <w:pPr>
        <w:widowControl w:val="0"/>
        <w:spacing w:after="0" w:line="240" w:lineRule="auto"/>
        <w:rPr>
          <w:rFonts w:ascii="Times New Roman" w:eastAsia="Calibri" w:hAnsi="Times New Roman" w:cs="Times New Roman"/>
        </w:rPr>
      </w:pPr>
    </w:p>
    <w:p w14:paraId="67E55C76" w14:textId="77777777" w:rsidR="00506BE7" w:rsidRDefault="008E332A">
      <w:pPr>
        <w:widowControl w:val="0"/>
        <w:spacing w:after="0" w:line="240" w:lineRule="auto"/>
        <w:rPr>
          <w:rFonts w:ascii="Times New Roman" w:eastAsia="Calibri" w:hAnsi="Times New Roman" w:cs="Times New Roman"/>
          <w:b/>
          <w:i/>
        </w:rPr>
      </w:pPr>
      <w:r>
        <w:rPr>
          <w:rFonts w:ascii="Times New Roman" w:eastAsia="Calibri" w:hAnsi="Times New Roman" w:cs="Times New Roman"/>
          <w:i/>
        </w:rPr>
        <w:t>Senyviems pacientams</w:t>
      </w:r>
    </w:p>
    <w:p w14:paraId="6518FC46"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Senyviems pacientams Kventiax (kaip ir kitų vaistinių preparatų nuo psichozės ir depresijos) skiriama atsargiai, ypač</w:t>
      </w:r>
      <w:r>
        <w:rPr>
          <w:rFonts w:ascii="Times New Roman" w:hAnsi="Times New Roman"/>
          <w:lang w:val="sl-SI"/>
        </w:rPr>
        <w:t xml:space="preserve"> </w:t>
      </w:r>
      <w:r>
        <w:rPr>
          <w:rFonts w:ascii="Times New Roman" w:eastAsia="Calibri" w:hAnsi="Times New Roman" w:cs="Times New Roman"/>
          <w:lang w:val="sl-SI"/>
        </w:rPr>
        <w:t>pradinio dozės nustatymo laikotarpiu</w:t>
      </w:r>
      <w:r>
        <w:rPr>
          <w:rFonts w:ascii="Times New Roman" w:eastAsia="Calibri" w:hAnsi="Times New Roman" w:cs="Times New Roman"/>
        </w:rPr>
        <w:t xml:space="preserve"> . Kventiax dozę gali tekti didinti lėčiau ir iki mažesnės terapinės paros dozės negu jaunesniems pacientams. Senyvų žmonių organizme kvetiapino vidutinis plazminis klirensas būna 30</w:t>
      </w:r>
      <w:r>
        <w:rPr>
          <w:rFonts w:ascii="Times New Roman" w:eastAsia="Calibri" w:hAnsi="Times New Roman" w:cs="Times New Roman"/>
        </w:rPr>
        <w:noBreakHyphen/>
        <w:t>50% mažesnis negu jaunesnių. Senyviems pacientams iš pradžių skiriama 50 mg per parą. Dozę galima didinti po 50 mg per parą iki veiksmingos dozės, priklausomai nuo individualios klinikinės reakcijos ir vaistinio preparato individualaus toleravimo.</w:t>
      </w:r>
    </w:p>
    <w:p w14:paraId="0A92E85E" w14:textId="77777777" w:rsidR="00506BE7" w:rsidRDefault="00506BE7">
      <w:pPr>
        <w:widowControl w:val="0"/>
        <w:spacing w:after="0" w:line="240" w:lineRule="auto"/>
        <w:rPr>
          <w:rFonts w:ascii="Times New Roman" w:eastAsia="Calibri" w:hAnsi="Times New Roman" w:cs="Times New Roman"/>
        </w:rPr>
      </w:pPr>
    </w:p>
    <w:p w14:paraId="40E916F2"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Pradedant gydyti senyvų pacientų didžiosios depresijos epizodus, susijusius su didžiuoju depresiniu sutrikimu, 1-3 parą skiriama po 50 mg, nuo ketvirtos paros – po 100 mg, nuo aštuntos – po 150 mg per parą. Turi būti vartojama mažiausia veiksminga dozė, pradedant nuo 50 mg per parą. Jeigu įvertinus konkretaus paciento būklę nusprendžiama, kad paros dozę reikia padidinti iki 300 mg, tą galima daryti ne anksčiau kaip 22-ą gydymo dieną.</w:t>
      </w:r>
    </w:p>
    <w:p w14:paraId="49220F9D" w14:textId="77777777" w:rsidR="00506BE7" w:rsidRDefault="00506BE7">
      <w:pPr>
        <w:widowControl w:val="0"/>
        <w:spacing w:after="0" w:line="240" w:lineRule="auto"/>
        <w:rPr>
          <w:rFonts w:ascii="Times New Roman" w:eastAsia="Calibri" w:hAnsi="Times New Roman" w:cs="Times New Roman"/>
        </w:rPr>
      </w:pPr>
    </w:p>
    <w:p w14:paraId="3ABDE1BD"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Veiksmingumas ir saugumas vyresniems kaip 65 metų pacientams, ištiktiems bipolinio sutrikimo depresijos epizodų, neištirti.</w:t>
      </w:r>
    </w:p>
    <w:p w14:paraId="2189D220" w14:textId="77777777" w:rsidR="00506BE7" w:rsidRDefault="00506BE7">
      <w:pPr>
        <w:widowControl w:val="0"/>
        <w:spacing w:after="0" w:line="240" w:lineRule="auto"/>
        <w:rPr>
          <w:rFonts w:ascii="Times New Roman" w:eastAsia="Calibri" w:hAnsi="Times New Roman" w:cs="Times New Roman"/>
        </w:rPr>
      </w:pPr>
    </w:p>
    <w:p w14:paraId="3F4ECD86"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u w:val="single"/>
        </w:rPr>
        <w:t>Vaikų populiacija</w:t>
      </w:r>
    </w:p>
    <w:p w14:paraId="4D2F547D"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Vaikams ir paaugliams iki 18 metų Kventiax vartoti nerekomenduojama dėl duomenų, pagrindžiančių vartojimą šios grupės pacientams, stokos. Turimi placebu kontroliuojamų kvetiapino klinikinių tyrimų duomenys pateikiami 4.4, 4.8, 5.1 ir 5.2 skyriuose.</w:t>
      </w:r>
    </w:p>
    <w:p w14:paraId="2BC90BD7" w14:textId="77777777" w:rsidR="00506BE7" w:rsidRDefault="00506BE7">
      <w:pPr>
        <w:widowControl w:val="0"/>
        <w:spacing w:after="0" w:line="240" w:lineRule="auto"/>
        <w:rPr>
          <w:rFonts w:ascii="Times New Roman" w:eastAsia="Calibri" w:hAnsi="Times New Roman" w:cs="Times New Roman"/>
        </w:rPr>
      </w:pPr>
    </w:p>
    <w:p w14:paraId="5AD7F512" w14:textId="77777777" w:rsidR="00506BE7" w:rsidRDefault="008E332A">
      <w:pPr>
        <w:widowControl w:val="0"/>
        <w:spacing w:after="0" w:line="240" w:lineRule="auto"/>
        <w:rPr>
          <w:rFonts w:ascii="Times New Roman" w:eastAsia="Calibri" w:hAnsi="Times New Roman" w:cs="Times New Roman"/>
          <w:b/>
          <w:i/>
        </w:rPr>
      </w:pPr>
      <w:r>
        <w:rPr>
          <w:rFonts w:ascii="Times New Roman" w:eastAsia="Calibri" w:hAnsi="Times New Roman" w:cs="Times New Roman"/>
          <w:i/>
        </w:rPr>
        <w:t>Pacientams, kurių inkstų funkcija sutrikusi</w:t>
      </w:r>
    </w:p>
    <w:p w14:paraId="29E195B2"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Pacientams, kurių inkstų funkcija sutrikusi, dozės koreguoti nereikia.</w:t>
      </w:r>
    </w:p>
    <w:p w14:paraId="4E38A58E" w14:textId="77777777" w:rsidR="00506BE7" w:rsidRDefault="00506BE7">
      <w:pPr>
        <w:widowControl w:val="0"/>
        <w:spacing w:after="0" w:line="240" w:lineRule="auto"/>
        <w:rPr>
          <w:rFonts w:ascii="Times New Roman" w:eastAsia="Calibri" w:hAnsi="Times New Roman" w:cs="Times New Roman"/>
        </w:rPr>
      </w:pPr>
    </w:p>
    <w:p w14:paraId="6E3414E5" w14:textId="77777777" w:rsidR="00506BE7" w:rsidRDefault="008E332A">
      <w:pPr>
        <w:widowControl w:val="0"/>
        <w:spacing w:after="0" w:line="240" w:lineRule="auto"/>
        <w:rPr>
          <w:rFonts w:ascii="Times New Roman" w:eastAsia="Calibri" w:hAnsi="Times New Roman" w:cs="Times New Roman"/>
          <w:b/>
          <w:i/>
        </w:rPr>
      </w:pPr>
      <w:r>
        <w:rPr>
          <w:rFonts w:ascii="Times New Roman" w:eastAsia="Calibri" w:hAnsi="Times New Roman" w:cs="Times New Roman"/>
          <w:i/>
        </w:rPr>
        <w:t>Pacientams, kurių kepenų funkcija sutrikusi</w:t>
      </w:r>
    </w:p>
    <w:p w14:paraId="5F128D00"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Didelė kvetiapino dalis metabolizuojama kepenyse, todėl pacientams, kuriųkepenų funkcija sutrikusi, Kventiax skiriama atsargiai, ypač </w:t>
      </w:r>
      <w:r>
        <w:rPr>
          <w:rFonts w:ascii="Times New Roman" w:eastAsia="Calibri" w:hAnsi="Times New Roman" w:cs="Times New Roman"/>
          <w:lang w:val="sl-SI"/>
        </w:rPr>
        <w:t>pradiniu dozės nustatymo laikotarpiu</w:t>
      </w:r>
      <w:r>
        <w:rPr>
          <w:rFonts w:ascii="Times New Roman" w:eastAsia="Calibri" w:hAnsi="Times New Roman" w:cs="Times New Roman"/>
        </w:rPr>
        <w:t>. Esant kepenų funkcijos sutrikimui,pacientams iš pradžių skiriama 50 mg per parą. Dozę galima didinti po 50 mg per parą iki veiksmingos dozės, priklausomai nuo individualios klinikinės reakcijos ir vaistinio preparato individualaus toleravimo.</w:t>
      </w:r>
    </w:p>
    <w:p w14:paraId="65B823EC" w14:textId="77777777" w:rsidR="00506BE7" w:rsidRDefault="00506BE7">
      <w:pPr>
        <w:widowControl w:val="0"/>
        <w:spacing w:after="0" w:line="240" w:lineRule="auto"/>
        <w:rPr>
          <w:rFonts w:ascii="Times New Roman" w:eastAsia="Calibri" w:hAnsi="Times New Roman" w:cs="Times New Roman"/>
        </w:rPr>
      </w:pPr>
    </w:p>
    <w:p w14:paraId="6446F64A" w14:textId="77777777" w:rsidR="00506BE7" w:rsidRDefault="008E332A">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Vartojimo metodas</w:t>
      </w:r>
    </w:p>
    <w:p w14:paraId="116361C2"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Kventiax geriamas 1 kartą per parą, ne valgio metu. Tabletę reikia nuryti nepažeistą. Jos negalima dalyti, kramtyti ar smulkinti.</w:t>
      </w:r>
    </w:p>
    <w:p w14:paraId="2CAA0008" w14:textId="77777777" w:rsidR="00506BE7" w:rsidRDefault="00506BE7">
      <w:pPr>
        <w:widowControl w:val="0"/>
        <w:spacing w:after="0" w:line="240" w:lineRule="auto"/>
        <w:rPr>
          <w:rFonts w:ascii="Times New Roman" w:eastAsia="Calibri" w:hAnsi="Times New Roman" w:cs="Times New Roman"/>
        </w:rPr>
      </w:pPr>
    </w:p>
    <w:p w14:paraId="10D0015C" w14:textId="77777777" w:rsidR="00506BE7" w:rsidRDefault="008E332A">
      <w:pPr>
        <w:widowControl w:val="0"/>
        <w:spacing w:after="0" w:line="240" w:lineRule="auto"/>
        <w:ind w:left="540" w:hanging="540"/>
        <w:rPr>
          <w:rFonts w:ascii="Times New Roman" w:eastAsia="Calibri" w:hAnsi="Times New Roman" w:cs="Times New Roman"/>
          <w:b/>
        </w:rPr>
      </w:pPr>
      <w:bookmarkStart w:id="14" w:name="_Toc129243229"/>
      <w:bookmarkStart w:id="15" w:name="_Toc129243104"/>
      <w:r>
        <w:rPr>
          <w:rFonts w:ascii="Times New Roman" w:eastAsia="Calibri" w:hAnsi="Times New Roman" w:cs="Times New Roman"/>
          <w:b/>
        </w:rPr>
        <w:t>4.3</w:t>
      </w:r>
      <w:r>
        <w:rPr>
          <w:rFonts w:ascii="Times New Roman" w:eastAsia="Calibri" w:hAnsi="Times New Roman" w:cs="Times New Roman"/>
          <w:b/>
        </w:rPr>
        <w:tab/>
        <w:t>Kontraindikacijos</w:t>
      </w:r>
      <w:bookmarkEnd w:id="14"/>
      <w:bookmarkEnd w:id="15"/>
    </w:p>
    <w:p w14:paraId="16D0E0B8" w14:textId="77777777" w:rsidR="00506BE7" w:rsidRDefault="00506BE7">
      <w:pPr>
        <w:widowControl w:val="0"/>
        <w:spacing w:after="0" w:line="240" w:lineRule="auto"/>
        <w:rPr>
          <w:rFonts w:ascii="Times New Roman" w:eastAsia="Calibri" w:hAnsi="Times New Roman" w:cs="Times New Roman"/>
        </w:rPr>
      </w:pPr>
    </w:p>
    <w:p w14:paraId="6649B275"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Padidėjęs jautrumas veikliajai arba bet kuriai 6.1 skyriuje nurodytai pagalbinei medžiagai.</w:t>
      </w:r>
    </w:p>
    <w:p w14:paraId="34501483" w14:textId="77777777" w:rsidR="00506BE7" w:rsidRDefault="00506BE7">
      <w:pPr>
        <w:widowControl w:val="0"/>
        <w:spacing w:after="0" w:line="240" w:lineRule="auto"/>
        <w:rPr>
          <w:rFonts w:ascii="Times New Roman" w:eastAsia="Calibri" w:hAnsi="Times New Roman" w:cs="Times New Roman"/>
        </w:rPr>
      </w:pPr>
    </w:p>
    <w:p w14:paraId="7F2FAF8A"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lastRenderedPageBreak/>
        <w:t>Vartojimas kartu su citochromo P450 3A4 inhibitoriais, pvz., ŽIV proteazės inhibitoriais, azolo grupės vaistiniais preparatais nuo grybelio, eritromicinu, klaritromicinu ir nefazodonu (žr. 4.5 skyrių).</w:t>
      </w:r>
    </w:p>
    <w:p w14:paraId="636E4C0C" w14:textId="77777777" w:rsidR="00506BE7" w:rsidRDefault="00506BE7">
      <w:pPr>
        <w:widowControl w:val="0"/>
        <w:spacing w:after="0" w:line="240" w:lineRule="auto"/>
        <w:rPr>
          <w:rFonts w:ascii="Times New Roman" w:eastAsia="Calibri" w:hAnsi="Times New Roman" w:cs="Times New Roman"/>
        </w:rPr>
      </w:pPr>
    </w:p>
    <w:p w14:paraId="19685F93" w14:textId="77777777" w:rsidR="00506BE7" w:rsidRDefault="008E332A">
      <w:pPr>
        <w:widowControl w:val="0"/>
        <w:spacing w:after="0" w:line="240" w:lineRule="auto"/>
        <w:ind w:left="540" w:hanging="540"/>
        <w:rPr>
          <w:rFonts w:ascii="Times New Roman" w:eastAsia="Calibri" w:hAnsi="Times New Roman" w:cs="Times New Roman"/>
          <w:b/>
        </w:rPr>
      </w:pPr>
      <w:bookmarkStart w:id="16" w:name="_Toc129243230"/>
      <w:bookmarkStart w:id="17" w:name="_Toc129243105"/>
      <w:r>
        <w:rPr>
          <w:rFonts w:ascii="Times New Roman" w:eastAsia="Calibri" w:hAnsi="Times New Roman" w:cs="Times New Roman"/>
          <w:b/>
        </w:rPr>
        <w:t>4.4</w:t>
      </w:r>
      <w:r>
        <w:rPr>
          <w:rFonts w:ascii="Times New Roman" w:eastAsia="Calibri" w:hAnsi="Times New Roman" w:cs="Times New Roman"/>
          <w:b/>
        </w:rPr>
        <w:tab/>
        <w:t>Specialūs įspėjimai ir atsargumo priemonės</w:t>
      </w:r>
      <w:bookmarkEnd w:id="16"/>
      <w:bookmarkEnd w:id="17"/>
    </w:p>
    <w:p w14:paraId="54273D81" w14:textId="77777777" w:rsidR="00506BE7" w:rsidRDefault="00506BE7">
      <w:pPr>
        <w:widowControl w:val="0"/>
        <w:spacing w:after="0" w:line="240" w:lineRule="auto"/>
        <w:rPr>
          <w:rFonts w:ascii="Times New Roman" w:eastAsia="Calibri" w:hAnsi="Times New Roman" w:cs="Times New Roman"/>
          <w:b/>
        </w:rPr>
      </w:pPr>
    </w:p>
    <w:p w14:paraId="006F5310"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Kventiax vartojamas kelioms indikacijoms, todėl jo saugumo pobūdį reikia vertinti atsižvelgiant į konkretaus paciento diagnozę ir vartojamą dozę.</w:t>
      </w:r>
    </w:p>
    <w:p w14:paraId="49D22E15" w14:textId="77777777" w:rsidR="00506BE7" w:rsidRDefault="00506BE7">
      <w:pPr>
        <w:widowControl w:val="0"/>
        <w:spacing w:after="0" w:line="240" w:lineRule="auto"/>
        <w:rPr>
          <w:rFonts w:ascii="Times New Roman" w:eastAsia="Calibri" w:hAnsi="Times New Roman" w:cs="Times New Roman"/>
        </w:rPr>
      </w:pPr>
    </w:p>
    <w:p w14:paraId="1F3EA7FC"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rPr>
        <w:t>Ilgalaikio vartojimo kartu su kitais vaistiniais preparatais veiksmingumas ir saugumas didžiuoju depresiniu sutrikimu sergantiems pacientams neištirti, tačiau ištirtas ilgalaikės monoterapijos veiksmingumas ir saugumas suaugusiems pacientams (žr. 5.1 skyrių).</w:t>
      </w:r>
    </w:p>
    <w:p w14:paraId="41BF3102" w14:textId="77777777" w:rsidR="00506BE7" w:rsidRDefault="00506BE7">
      <w:pPr>
        <w:widowControl w:val="0"/>
        <w:spacing w:after="0" w:line="240" w:lineRule="auto"/>
        <w:rPr>
          <w:rFonts w:ascii="Times New Roman" w:eastAsia="Calibri" w:hAnsi="Times New Roman" w:cs="Times New Roman"/>
        </w:rPr>
      </w:pPr>
    </w:p>
    <w:p w14:paraId="5EC7F7FC" w14:textId="77777777" w:rsidR="00506BE7" w:rsidRDefault="008E332A">
      <w:pPr>
        <w:widowControl w:val="0"/>
        <w:spacing w:after="0" w:line="240" w:lineRule="auto"/>
        <w:rPr>
          <w:rFonts w:ascii="Times New Roman" w:eastAsia="Calibri" w:hAnsi="Times New Roman" w:cs="Times New Roman"/>
          <w:b/>
          <w:i/>
        </w:rPr>
      </w:pPr>
      <w:r>
        <w:rPr>
          <w:rFonts w:ascii="Times New Roman" w:eastAsia="Calibri" w:hAnsi="Times New Roman" w:cs="Times New Roman"/>
          <w:b/>
          <w:i/>
        </w:rPr>
        <w:t>Vaikų populiacija</w:t>
      </w:r>
    </w:p>
    <w:p w14:paraId="38816BB8"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Vaikams ir paaugliams iki 18 metų kvetiapino vartoti nerekomenduojama, kadangi duomenų šiai amžiaus grupei trūksta. Vaikų ir paauglių klinikinių tyrimų metu gauta panašių saugumo duomenų kaip tiriant poveikį suaugusiesiems (žr. 4.8 skyrių), tačiau kai kurių nepageidaujamų reiškinių (padidėjęs apetitas, padidėjusi prolaktino koncentracija serume, vėmimas, rinitas, sinkopė) jiems pasireiškė dažniau, kai kurie (ekstrapiramidiniai simptomai ir dirglumas) gali turėti kitokią reikšmę, o vieno (kraujospūdžio padidėjimo) anksčiau atlikti suaugusiųjų tyrimai neparodė. Be to, gauta pranešimų apie vaikų ir paauglių skydliaukės funkcijos rodmenų pokyčius.</w:t>
      </w:r>
    </w:p>
    <w:p w14:paraId="580E3E45" w14:textId="77777777" w:rsidR="00506BE7" w:rsidRDefault="00506BE7">
      <w:pPr>
        <w:widowControl w:val="0"/>
        <w:spacing w:after="0" w:line="240" w:lineRule="auto"/>
        <w:rPr>
          <w:rFonts w:ascii="Times New Roman" w:eastAsia="Calibri" w:hAnsi="Times New Roman" w:cs="Times New Roman"/>
        </w:rPr>
      </w:pPr>
    </w:p>
    <w:p w14:paraId="3577C165"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Be to, netirtas ilgalaikio (ilgesnės kaip 26 mėn. trukmės) gydymo saugumas augimo ir brendimo požiūriu, taip pat nežinomas ilgalaikis poveikis pažintinės funkcijos ir elgesio vystymuisi.</w:t>
      </w:r>
    </w:p>
    <w:p w14:paraId="4E4321D9" w14:textId="77777777" w:rsidR="00506BE7" w:rsidRDefault="00506BE7">
      <w:pPr>
        <w:widowControl w:val="0"/>
        <w:spacing w:after="0" w:line="240" w:lineRule="auto"/>
        <w:rPr>
          <w:rFonts w:ascii="Times New Roman" w:eastAsia="Calibri" w:hAnsi="Times New Roman" w:cs="Times New Roman"/>
        </w:rPr>
      </w:pPr>
    </w:p>
    <w:p w14:paraId="007659BA"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Placebu kontroliuojamų klinikinių tyrimų metu vaikams ir paaugliams, sirgusiems šizofrenija, bipolinio sutrikimo manijos faze ir bipolinio sutrikimo depresijos faze, ekstrapiramidinių simptomų dažniau pasireiškė vartojant kvetiapino negu vartojant placebo (žr. 4.8 skyrių).</w:t>
      </w:r>
    </w:p>
    <w:p w14:paraId="575CEA85" w14:textId="77777777" w:rsidR="00506BE7" w:rsidRDefault="00506BE7">
      <w:pPr>
        <w:widowControl w:val="0"/>
        <w:spacing w:after="0" w:line="240" w:lineRule="auto"/>
        <w:rPr>
          <w:rFonts w:ascii="Times New Roman" w:eastAsia="Calibri" w:hAnsi="Times New Roman" w:cs="Times New Roman"/>
          <w:b/>
          <w:i/>
        </w:rPr>
      </w:pPr>
    </w:p>
    <w:p w14:paraId="229DC1C4" w14:textId="77777777" w:rsidR="00506BE7" w:rsidRDefault="008E332A">
      <w:pPr>
        <w:widowControl w:val="0"/>
        <w:spacing w:after="0" w:line="240" w:lineRule="auto"/>
        <w:rPr>
          <w:rFonts w:ascii="Times New Roman" w:eastAsia="Calibri" w:hAnsi="Times New Roman" w:cs="Times New Roman"/>
          <w:b/>
          <w:i/>
        </w:rPr>
      </w:pPr>
      <w:r>
        <w:rPr>
          <w:rFonts w:ascii="Times New Roman" w:eastAsia="Calibri" w:hAnsi="Times New Roman" w:cs="Times New Roman"/>
          <w:b/>
          <w:i/>
        </w:rPr>
        <w:t>Savižudybė ar mintys apie savižudybę, ligos klinikinis pasunkėjimas</w:t>
      </w:r>
    </w:p>
    <w:p w14:paraId="191F4C28"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Depresija yra susijusi su padidėjusia minčių apie savižudybę, savęs žalojimo ir savižudybės (su savižudybe susijusių reiškinių) rizika. Ši rizika išlieka padidėjusi tol, kol pasireiškia reikšminga remisija. Kelias pirmąsias gydymo savaites ar net ilgiau pagerėjimo gali nebūti, todėl pacientą reikia atidžiai stebėti, kol pagerėjimas pasireikš. Bendros klinikinės patirties duomenimis, ankstyvųjų sveikimo stadijų metu savižudybės pavojus gali būti didesnis. Be to, dėl žinomų su gydoma liga susijusių rizikos veiksnių gydytojas turi įvertinti galimą su savižudybe susijusių reiškinių riziką staiga nutraukus kvetiapino vartojimą.</w:t>
      </w:r>
    </w:p>
    <w:p w14:paraId="60B946BD" w14:textId="77777777" w:rsidR="00506BE7" w:rsidRDefault="00506BE7">
      <w:pPr>
        <w:widowControl w:val="0"/>
        <w:spacing w:after="0" w:line="240" w:lineRule="auto"/>
        <w:rPr>
          <w:rFonts w:ascii="Times New Roman" w:eastAsia="Calibri" w:hAnsi="Times New Roman" w:cs="Times New Roman"/>
        </w:rPr>
      </w:pPr>
    </w:p>
    <w:p w14:paraId="3EDBA0F2"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Su savižudybe susijusių reiškinių riziką taip pat gali didinti kitos psichikos ligos, kurioms gydyti vartojama kvetiapino. Be to, šiomis ligomis ir didžiuoju depresiniu sutrikimu pacientas gali sirgti vienu metu. Dėl to gydant kitais psichikos sutrikimais sergančius pacientus reikia imtis tokių pačių atsargumo priemonių kaip ir gydant sergančius didžiuoju depresiniu sutrikimu.</w:t>
      </w:r>
    </w:p>
    <w:p w14:paraId="0ABA270E" w14:textId="77777777" w:rsidR="00506BE7" w:rsidRDefault="00506BE7">
      <w:pPr>
        <w:widowControl w:val="0"/>
        <w:spacing w:after="0" w:line="240" w:lineRule="auto"/>
        <w:rPr>
          <w:rFonts w:ascii="Times New Roman" w:eastAsia="Calibri" w:hAnsi="Times New Roman" w:cs="Times New Roman"/>
        </w:rPr>
      </w:pPr>
    </w:p>
    <w:p w14:paraId="2278EDF9"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Pacientams, kuriems anksčiau buvo su savižudybe susijusių reiškinių arba iki pradedant gydymą buvo reikšmingo laipsnio minčių apie savižudybę, tokių minčių atsiradimo ar mėginimo nusižudyti pavojus yra didesnis, todėl gydymo metu juos reikia atidžiai stebėti. Placebu kontroliuojamų antidepresantų klinikinių tyrimų, kuriuose dalyvavo psichikos sutrikimais sirgę suaugę pacientai, metaanalizė parodė didesnę jaunesnių kaip 25 metų pacientų savižudiško elgesio riziką vartojant antidepresantų negu vartojant placebo.</w:t>
      </w:r>
    </w:p>
    <w:p w14:paraId="144E318B" w14:textId="77777777" w:rsidR="00506BE7" w:rsidRDefault="00506BE7">
      <w:pPr>
        <w:widowControl w:val="0"/>
        <w:spacing w:after="0" w:line="240" w:lineRule="auto"/>
        <w:rPr>
          <w:rFonts w:ascii="Times New Roman" w:eastAsia="Calibri" w:hAnsi="Times New Roman" w:cs="Times New Roman"/>
        </w:rPr>
      </w:pPr>
    </w:p>
    <w:p w14:paraId="16CF4AEF"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Šiuo vaistiniu preparatu gydomus pacientus, ypač tuos, kuriems nustatyta didelė rizika, reikia atidžiai stebėti, ypač pradedant gydymą ir pakeitus dozę. Pacientus ir jų globėjus reikia perspėti, kad stebėtų, ar nepasunkėjo liga, nepasireiškė savižudiškas elgesys, neatsirado minčių apie savižudybę ar neįprastų elgesio pokyčių, o pastebėję tokių simptomų – nedelsdami kreiptųsi į gydytoją.</w:t>
      </w:r>
    </w:p>
    <w:p w14:paraId="297A7776" w14:textId="77777777" w:rsidR="00506BE7" w:rsidRDefault="00506BE7">
      <w:pPr>
        <w:widowControl w:val="0"/>
        <w:spacing w:after="0" w:line="240" w:lineRule="auto"/>
        <w:rPr>
          <w:rFonts w:ascii="Times New Roman" w:eastAsia="Calibri" w:hAnsi="Times New Roman" w:cs="Times New Roman"/>
        </w:rPr>
      </w:pPr>
    </w:p>
    <w:p w14:paraId="5A45AC07"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Trumpalaikiai placebu kontroliuojami klinikiniai tyrimai, kuriuose dalyvavo bipolinio sutrikimo didžiųjų depresijos epizodų ištikti pacientai, parodė didesnę su savižudybe susijusių reiškinių riziką jauniems (iki 25 metų) suaugusiems pacientams vartojant kvetiapiną negu vartojant placebą </w:t>
      </w:r>
      <w:r>
        <w:rPr>
          <w:rFonts w:ascii="Times New Roman" w:eastAsia="Calibri" w:hAnsi="Times New Roman" w:cs="Times New Roman"/>
        </w:rPr>
        <w:lastRenderedPageBreak/>
        <w:t>(atitinkamai 3% ir 0%). Klinikinių tyrimų, kuriuose dalyvavo didžiuoju depresiniu sutrikimu sirgę pacientai, metu su savižudybe susijusių reiškinių pastebėta 2,1% (3/144) kvetiapiną ir 1,3% (1/75) placebą vartojusių jaunų suaugusių (iki 25 metų) pacientų.</w:t>
      </w:r>
      <w:r>
        <w:rPr>
          <w:rFonts w:ascii="Times New Roman" w:hAnsi="Times New Roman"/>
        </w:rPr>
        <w:t xml:space="preserve"> </w:t>
      </w:r>
      <w:r>
        <w:rPr>
          <w:rFonts w:ascii="Times New Roman" w:eastAsia="MS Mincho" w:hAnsi="Times New Roman" w:cs="Times New Roman"/>
        </w:rPr>
        <w:t>Retrospektyvinis tyrimas, kurio metu kvetiapino skirta didžiosios depresijos sutrikimu sergantiems pacientams, parodė, kad vartojant kvetiapiną kartu su kitais antidepresantais, savęs žalojimo ir savižudybės tikimybė padidėjo 25-64 metų amžiaus pacientams, kurie anksčiau savęs nežalojo.</w:t>
      </w:r>
    </w:p>
    <w:p w14:paraId="3DE5714B" w14:textId="77777777" w:rsidR="00506BE7" w:rsidRDefault="00506BE7">
      <w:pPr>
        <w:widowControl w:val="0"/>
        <w:spacing w:after="0" w:line="240" w:lineRule="auto"/>
        <w:rPr>
          <w:rFonts w:ascii="Times New Roman" w:eastAsia="Calibri" w:hAnsi="Times New Roman" w:cs="Times New Roman"/>
        </w:rPr>
      </w:pPr>
    </w:p>
    <w:p w14:paraId="2638218A" w14:textId="77777777" w:rsidR="00506BE7" w:rsidRDefault="008E332A">
      <w:pPr>
        <w:widowControl w:val="0"/>
        <w:spacing w:after="0" w:line="240" w:lineRule="auto"/>
        <w:rPr>
          <w:rFonts w:ascii="Times New Roman" w:eastAsia="Calibri" w:hAnsi="Times New Roman" w:cs="Times New Roman"/>
          <w:b/>
          <w:i/>
        </w:rPr>
      </w:pPr>
      <w:r>
        <w:rPr>
          <w:rFonts w:ascii="Times New Roman" w:eastAsia="Calibri" w:hAnsi="Times New Roman" w:cs="Times New Roman"/>
          <w:b/>
          <w:i/>
        </w:rPr>
        <w:t>Metabolizmo sutrikimo rizika</w:t>
      </w:r>
    </w:p>
    <w:p w14:paraId="526B760F"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Atsižvelgiant į klinikinių tyrimų metu nustatytą metabolizmo rodiklių (įskaitant kūno svorio, gliukozės (žr. „Hiperglikemija“) ir lipidų koncentracijos kraujyje) pablogėjimo riziką, šiuos rodiklius reikia ištirti prieš pradedant gydyti ir reguliariai kontroliuoti jų pokyčius gydymo metu. Jeigu šie rodikliai pablogėtų, juos būtina koreguoti pagal klinikinį poreikį (taip pat žr. 4.8 skyrių).</w:t>
      </w:r>
    </w:p>
    <w:p w14:paraId="7F9D0FDC" w14:textId="77777777" w:rsidR="00506BE7" w:rsidRDefault="00506BE7">
      <w:pPr>
        <w:widowControl w:val="0"/>
        <w:spacing w:after="0" w:line="240" w:lineRule="auto"/>
        <w:rPr>
          <w:rFonts w:ascii="Times New Roman" w:eastAsia="Calibri" w:hAnsi="Times New Roman" w:cs="Times New Roman"/>
          <w:i/>
        </w:rPr>
      </w:pPr>
    </w:p>
    <w:p w14:paraId="47767923" w14:textId="77777777" w:rsidR="00506BE7" w:rsidRDefault="008E332A">
      <w:pPr>
        <w:widowControl w:val="0"/>
        <w:spacing w:after="0" w:line="240" w:lineRule="auto"/>
        <w:rPr>
          <w:rFonts w:ascii="Times New Roman" w:eastAsia="Calibri" w:hAnsi="Times New Roman" w:cs="Times New Roman"/>
          <w:b/>
          <w:i/>
        </w:rPr>
      </w:pPr>
      <w:r>
        <w:rPr>
          <w:rFonts w:ascii="Times New Roman" w:eastAsia="Calibri" w:hAnsi="Times New Roman" w:cs="Times New Roman"/>
          <w:b/>
          <w:i/>
        </w:rPr>
        <w:t>Ekstrapiramidiniai simptomai</w:t>
      </w:r>
    </w:p>
    <w:p w14:paraId="27120444"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Placebu kontroliuojamų klinikinių tyrimų metu suaugusiems pacientams, vartojusiems kvetiapino nuo bipolinio sutrikimo didžiosios depresijos epizodų ir didžiojo depresinio sutrikimo, ekstrapiramidinių simptomų pasireiškė dažniau negu vartojusiems placebą (žr. 4.8 ir 5.1 skyrius).</w:t>
      </w:r>
    </w:p>
    <w:p w14:paraId="793A624B" w14:textId="77777777" w:rsidR="00506BE7" w:rsidRDefault="00506BE7">
      <w:pPr>
        <w:widowControl w:val="0"/>
        <w:spacing w:after="0" w:line="240" w:lineRule="auto"/>
        <w:rPr>
          <w:rFonts w:ascii="Times New Roman" w:eastAsia="Calibri" w:hAnsi="Times New Roman" w:cs="Times New Roman"/>
        </w:rPr>
      </w:pPr>
    </w:p>
    <w:p w14:paraId="4FD9BCEC"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Vartojant kvetiapiną gali pasireikšti akatizija, kuriai būdingas nemalonus ar varginantis nenustygimas vietoje ir poreikis judėti, dažnai taip pat išnyksta gebėjimas ramiai sėdėti ar stovėti. Šių sutrikimų pasireiškimo tikimybė būna didžiausia pirmąsias kelias gydymo savaites. Pasireiškus tokių simptomų, dozės didinimas gali būti kenksmingas.</w:t>
      </w:r>
    </w:p>
    <w:p w14:paraId="6F31964E" w14:textId="77777777" w:rsidR="00506BE7" w:rsidRDefault="00506BE7">
      <w:pPr>
        <w:widowControl w:val="0"/>
        <w:spacing w:after="0" w:line="240" w:lineRule="auto"/>
        <w:rPr>
          <w:rFonts w:ascii="Times New Roman" w:eastAsia="Calibri" w:hAnsi="Times New Roman" w:cs="Times New Roman"/>
          <w:i/>
        </w:rPr>
      </w:pPr>
    </w:p>
    <w:p w14:paraId="5C600FBE" w14:textId="77777777" w:rsidR="00506BE7" w:rsidRDefault="008E332A">
      <w:pPr>
        <w:widowControl w:val="0"/>
        <w:spacing w:after="0" w:line="240" w:lineRule="auto"/>
        <w:rPr>
          <w:rFonts w:ascii="Times New Roman" w:eastAsia="Calibri" w:hAnsi="Times New Roman" w:cs="Times New Roman"/>
          <w:b/>
          <w:i/>
        </w:rPr>
      </w:pPr>
      <w:r>
        <w:rPr>
          <w:rFonts w:ascii="Times New Roman" w:eastAsia="Calibri" w:hAnsi="Times New Roman" w:cs="Times New Roman"/>
          <w:b/>
          <w:i/>
        </w:rPr>
        <w:t>Vėlyvoji diskinezija</w:t>
      </w:r>
    </w:p>
    <w:p w14:paraId="6C48CAF5"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Pasireiškus vėlyvosios diskinezijos požymių ir simptomų, svarstytinas kvetiapino dozės mažinimo ar jo vartojimo nutraukimo tikslingumas. Pažymėtina, kad nutraukus gydymą vėlyvoji diskinezija gali pasunkėti ar net prasidėti (žr. 4.8 skyrių).</w:t>
      </w:r>
    </w:p>
    <w:p w14:paraId="3F9EF82A" w14:textId="77777777" w:rsidR="00506BE7" w:rsidRDefault="00506BE7">
      <w:pPr>
        <w:widowControl w:val="0"/>
        <w:spacing w:after="0" w:line="240" w:lineRule="auto"/>
        <w:rPr>
          <w:rFonts w:ascii="Times New Roman" w:eastAsia="Calibri" w:hAnsi="Times New Roman" w:cs="Times New Roman"/>
          <w:b/>
          <w:i/>
        </w:rPr>
      </w:pPr>
    </w:p>
    <w:p w14:paraId="50A3311C" w14:textId="77777777" w:rsidR="00506BE7" w:rsidRDefault="008E332A">
      <w:pPr>
        <w:widowControl w:val="0"/>
        <w:spacing w:after="0" w:line="240" w:lineRule="auto"/>
        <w:rPr>
          <w:rFonts w:ascii="Times New Roman" w:eastAsia="Calibri" w:hAnsi="Times New Roman" w:cs="Times New Roman"/>
          <w:b/>
          <w:i/>
        </w:rPr>
      </w:pPr>
      <w:r>
        <w:rPr>
          <w:rFonts w:ascii="Times New Roman" w:eastAsia="Calibri" w:hAnsi="Times New Roman" w:cs="Times New Roman"/>
          <w:b/>
          <w:i/>
        </w:rPr>
        <w:t>Mieguistumas ir svaigulys</w:t>
      </w:r>
    </w:p>
    <w:p w14:paraId="1F9FCE73"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Vartojant kvetiapiną gali pasireikšti mieguistumas ir susijusių simptomų, pvz., sedacija (žr. 4.8 skyrių). Bipolinės depresijos ir didžiojo depresinio sutrikimo gydymo klinikinių tyrimų metu mieguistumas dažniausiai pasireikšdavo per pirmąsias 3 gydymo dienas ir būdavo nuo lengvo iki vidutinio intensyvumo. Jeigu pacientas jaučia didelį mieguistumą, jam gali reikėti dažnesnio kontakto su gydytoju bent 2 savaites nuo mieguistumo pasireiškimo arba kol jis palengvės, taip pat gali tekti svarstyti gydymo nutraukimo tikslingumą.</w:t>
      </w:r>
    </w:p>
    <w:p w14:paraId="50BFCBFF" w14:textId="77777777" w:rsidR="00506BE7" w:rsidRDefault="00506BE7">
      <w:pPr>
        <w:widowControl w:val="0"/>
        <w:spacing w:after="0" w:line="240" w:lineRule="auto"/>
        <w:rPr>
          <w:rFonts w:ascii="Times New Roman" w:eastAsia="Calibri" w:hAnsi="Times New Roman" w:cs="Times New Roman"/>
        </w:rPr>
      </w:pPr>
    </w:p>
    <w:p w14:paraId="6901D4A5" w14:textId="77777777" w:rsidR="00506BE7" w:rsidRDefault="008E332A">
      <w:pPr>
        <w:widowControl w:val="0"/>
        <w:spacing w:after="0" w:line="240" w:lineRule="auto"/>
        <w:rPr>
          <w:rFonts w:ascii="Times New Roman" w:eastAsia="Calibri" w:hAnsi="Times New Roman" w:cs="Times New Roman"/>
          <w:b/>
          <w:i/>
        </w:rPr>
      </w:pPr>
      <w:r>
        <w:rPr>
          <w:rFonts w:ascii="Times New Roman" w:eastAsia="Calibri" w:hAnsi="Times New Roman" w:cs="Times New Roman"/>
          <w:b/>
          <w:i/>
        </w:rPr>
        <w:t>Ortostatinė hipotenzija</w:t>
      </w:r>
    </w:p>
    <w:p w14:paraId="0647A413"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Vartojant kvetiapino gali pasireikšti ortostatinė hipotenzija ir su ja susijęs svaigulys (žr. 4.8 skyrių) (dažniausiai pradiniu dozės didinimo laikotarpiu, kaip ir mieguistumas). Dėl šių sutrikimų gali padidėti netyčinio susižalojimo (pvz., pargriuvus) rizika, ypač senyviems žmonėms, todėl pacientams reikia patarti būti atsargiems, kol pripras prie galimo šio vaistinio preparato poveikio.</w:t>
      </w:r>
    </w:p>
    <w:p w14:paraId="056E101F" w14:textId="77777777" w:rsidR="00506BE7" w:rsidRDefault="00506BE7">
      <w:pPr>
        <w:widowControl w:val="0"/>
        <w:spacing w:after="0" w:line="240" w:lineRule="auto"/>
        <w:rPr>
          <w:rFonts w:ascii="Times New Roman" w:eastAsia="Calibri" w:hAnsi="Times New Roman" w:cs="Times New Roman"/>
          <w:i/>
        </w:rPr>
      </w:pPr>
    </w:p>
    <w:p w14:paraId="6A6D36F9"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Kvetiapino skiriama atsargiai, jeigu diagnozuota širdies ir kraujagyslių sistemos liga, smegenų kraujagyslių liga arba hipotenzijos pavojus padidėjęs dėl kitos priežasties. Pasireiškus ortostatinei hipotenzijai, svarstytinas tikslingumas sumažinti dozę arba ją didinti lėčiau, ypač jeigu pacientas serga širdies ir kraujagyslių liga.</w:t>
      </w:r>
    </w:p>
    <w:p w14:paraId="7AE2D3C2" w14:textId="77777777" w:rsidR="00506BE7" w:rsidRDefault="00506BE7">
      <w:pPr>
        <w:widowControl w:val="0"/>
        <w:spacing w:after="0" w:line="240" w:lineRule="auto"/>
        <w:rPr>
          <w:rFonts w:ascii="Times New Roman" w:eastAsia="Calibri" w:hAnsi="Times New Roman" w:cs="Times New Roman"/>
        </w:rPr>
      </w:pPr>
    </w:p>
    <w:p w14:paraId="6AE2A97E" w14:textId="77777777" w:rsidR="00506BE7" w:rsidRDefault="008E332A">
      <w:pPr>
        <w:widowControl w:val="0"/>
        <w:spacing w:after="0" w:line="240" w:lineRule="auto"/>
        <w:rPr>
          <w:rFonts w:ascii="Times New Roman" w:eastAsia="Calibri" w:hAnsi="Times New Roman" w:cs="Times New Roman"/>
          <w:b/>
          <w:i/>
        </w:rPr>
      </w:pPr>
      <w:r>
        <w:rPr>
          <w:rFonts w:ascii="Times New Roman" w:eastAsia="Calibri" w:hAnsi="Times New Roman" w:cs="Times New Roman"/>
          <w:b/>
          <w:i/>
        </w:rPr>
        <w:t>Miego apnėjos sindromas</w:t>
      </w:r>
    </w:p>
    <w:p w14:paraId="148D35E5"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Pranešta apie miego apnėjos sindromo atvejus kvetiapiną vartojantiems pacientams. Kvetiapino skiriama atsargiai, jeigu pacientas kartu vartoja centrinę nervų sistemą slopinančių vaistinių preparatų, anksčiau yra buvusi miego apnėja arba yra jos pasireiškimo rizika, pvz., pacientas turi antsvorį, yra nutukęs arba vyriškos lyties.</w:t>
      </w:r>
    </w:p>
    <w:p w14:paraId="0859540F" w14:textId="77777777" w:rsidR="00506BE7" w:rsidRDefault="00506BE7">
      <w:pPr>
        <w:widowControl w:val="0"/>
        <w:spacing w:after="0" w:line="240" w:lineRule="auto"/>
        <w:rPr>
          <w:rFonts w:ascii="Times New Roman" w:eastAsia="Calibri" w:hAnsi="Times New Roman" w:cs="Times New Roman"/>
          <w:i/>
        </w:rPr>
      </w:pPr>
    </w:p>
    <w:p w14:paraId="65FA69F6" w14:textId="77777777" w:rsidR="00506BE7" w:rsidRDefault="008E332A">
      <w:pPr>
        <w:widowControl w:val="0"/>
        <w:spacing w:after="0" w:line="240" w:lineRule="auto"/>
        <w:rPr>
          <w:rFonts w:ascii="Times New Roman" w:eastAsia="Calibri" w:hAnsi="Times New Roman" w:cs="Times New Roman"/>
          <w:b/>
          <w:i/>
        </w:rPr>
      </w:pPr>
      <w:r>
        <w:rPr>
          <w:rFonts w:ascii="Times New Roman" w:eastAsia="Calibri" w:hAnsi="Times New Roman" w:cs="Times New Roman"/>
          <w:b/>
          <w:i/>
        </w:rPr>
        <w:t>Traukuliai</w:t>
      </w:r>
    </w:p>
    <w:p w14:paraId="52BFEA24"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Kontroliuojamų klinikinių tyrimų metu traukulių dažnis kvetiapiną ir placebą vartojusiems pacientams nesiskyrė. Nėra duomenų apie traukulių pasireiškimo dažnį pacientams, kuriems praeityje yra buvęs traukuliais pasireiškiantis sutrikimas. </w:t>
      </w:r>
      <w:r>
        <w:rPr>
          <w:rFonts w:ascii="Times New Roman" w:eastAsia="Calibri" w:hAnsi="Times New Roman" w:cs="Times New Roman"/>
          <w:color w:val="000000"/>
          <w:lang w:val="sl-SI"/>
        </w:rPr>
        <w:t xml:space="preserve">Pacientus, kuriems yra buvę traukulių priepuolių, kvetiapinu, </w:t>
      </w:r>
      <w:r>
        <w:rPr>
          <w:rFonts w:ascii="Times New Roman" w:eastAsia="Calibri" w:hAnsi="Times New Roman" w:cs="Times New Roman"/>
          <w:color w:val="000000"/>
          <w:lang w:val="sl-SI"/>
        </w:rPr>
        <w:lastRenderedPageBreak/>
        <w:t>kaip ir kitais vaistiniais preparatais nuo psichozių, būtina gydyti atsargiai</w:t>
      </w:r>
      <w:r>
        <w:rPr>
          <w:rFonts w:ascii="Times New Roman" w:eastAsia="Calibri" w:hAnsi="Times New Roman" w:cs="Times New Roman"/>
        </w:rPr>
        <w:t>(žr.4.8 skyrių).</w:t>
      </w:r>
    </w:p>
    <w:p w14:paraId="278656DF" w14:textId="77777777" w:rsidR="00506BE7" w:rsidRDefault="00506BE7">
      <w:pPr>
        <w:widowControl w:val="0"/>
        <w:spacing w:after="0" w:line="240" w:lineRule="auto"/>
        <w:rPr>
          <w:rFonts w:ascii="Times New Roman" w:eastAsia="Calibri" w:hAnsi="Times New Roman" w:cs="Times New Roman"/>
        </w:rPr>
      </w:pPr>
    </w:p>
    <w:p w14:paraId="67BF8326" w14:textId="77777777" w:rsidR="00506BE7" w:rsidRDefault="008E332A">
      <w:pPr>
        <w:widowControl w:val="0"/>
        <w:spacing w:after="0" w:line="240" w:lineRule="auto"/>
        <w:rPr>
          <w:rFonts w:ascii="Times New Roman" w:eastAsia="Calibri" w:hAnsi="Times New Roman" w:cs="Times New Roman"/>
          <w:b/>
          <w:i/>
        </w:rPr>
      </w:pPr>
      <w:r>
        <w:rPr>
          <w:rFonts w:ascii="Times New Roman" w:eastAsia="Calibri" w:hAnsi="Times New Roman" w:cs="Times New Roman"/>
          <w:b/>
          <w:i/>
        </w:rPr>
        <w:t>Piktybinis neurolepsinis sindromas</w:t>
      </w:r>
    </w:p>
    <w:p w14:paraId="3917365A"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Buvo atvejų, kai, vartojant vaistinius preparatus nuo psichozės (įskaitant kvetiapiną, žr. 4.8 skyrių), ištiko neurolepsinis piktybinis sindromas, kuris kliniškai pasireiškia hipertermija, pakitusia psichika, raumenų rigidiškumu, autonominės nervų sistemos nestabilumu ir padidėjusia kreatinfosfokinazės koncentracija. Ištikus piktybiniam neurolepsiniam sindromui, reikia nutraukti kvetiapino vartojimą ir atitinkamai gydyti.</w:t>
      </w:r>
    </w:p>
    <w:p w14:paraId="4A8CE39A" w14:textId="77777777" w:rsidR="00506BE7" w:rsidRDefault="00506BE7">
      <w:pPr>
        <w:widowControl w:val="0"/>
        <w:spacing w:after="0" w:line="240" w:lineRule="auto"/>
        <w:rPr>
          <w:rFonts w:ascii="Times New Roman" w:eastAsia="SimSun" w:hAnsi="Times New Roman" w:cs="Times New Roman"/>
          <w:b/>
          <w:bCs/>
        </w:rPr>
      </w:pPr>
    </w:p>
    <w:p w14:paraId="1A045AAC" w14:textId="77777777" w:rsidR="00506BE7" w:rsidRDefault="008E332A">
      <w:pPr>
        <w:widowControl w:val="0"/>
        <w:spacing w:after="0" w:line="240" w:lineRule="auto"/>
        <w:rPr>
          <w:rFonts w:ascii="Times New Roman" w:eastAsia="SimSun" w:hAnsi="Times New Roman" w:cs="Times New Roman"/>
          <w:b/>
          <w:bCs/>
        </w:rPr>
      </w:pPr>
      <w:r>
        <w:rPr>
          <w:rFonts w:ascii="Times New Roman" w:eastAsia="SimSun" w:hAnsi="Times New Roman" w:cs="Times New Roman"/>
          <w:b/>
          <w:bCs/>
        </w:rPr>
        <w:t>Serotonino sindromas</w:t>
      </w:r>
    </w:p>
    <w:p w14:paraId="34173627" w14:textId="66578239" w:rsidR="00506BE7" w:rsidRDefault="008E332A">
      <w:pPr>
        <w:widowControl w:val="0"/>
        <w:spacing w:after="0" w:line="240" w:lineRule="auto"/>
        <w:rPr>
          <w:rFonts w:ascii="Times New Roman" w:eastAsia="SimSun" w:hAnsi="Times New Roman" w:cs="Times New Roman"/>
        </w:rPr>
      </w:pPr>
      <w:r>
        <w:rPr>
          <w:rFonts w:ascii="Times New Roman" w:eastAsia="SimSun" w:hAnsi="Times New Roman" w:cs="Times New Roman"/>
        </w:rPr>
        <w:t>Kartu vartojant Kventiax ir kitus serotoninerginius vaistus, tokius kaip MAO inhibitoriai, selektyvūs serotonino reabsorbcijos inhibitoriai (SSRI), serotonino</w:t>
      </w:r>
      <w:r w:rsidR="00EB2BB5">
        <w:rPr>
          <w:rFonts w:ascii="Times New Roman" w:eastAsia="SimSun" w:hAnsi="Times New Roman" w:cs="Times New Roman"/>
        </w:rPr>
        <w:t xml:space="preserve"> ir</w:t>
      </w:r>
      <w:r>
        <w:rPr>
          <w:rFonts w:ascii="Times New Roman" w:eastAsia="SimSun" w:hAnsi="Times New Roman" w:cs="Times New Roman"/>
        </w:rPr>
        <w:t xml:space="preserve"> norepinefrino reabsorbcijos inhibitoriai (SNRI) arba tricikliai antidepresantai, gali </w:t>
      </w:r>
      <w:r w:rsidR="00EB2BB5">
        <w:rPr>
          <w:rFonts w:ascii="Times New Roman" w:eastAsia="SimSun" w:hAnsi="Times New Roman" w:cs="Times New Roman"/>
        </w:rPr>
        <w:t>išsivystyti</w:t>
      </w:r>
      <w:r>
        <w:rPr>
          <w:rFonts w:ascii="Times New Roman" w:eastAsia="SimSun" w:hAnsi="Times New Roman" w:cs="Times New Roman"/>
        </w:rPr>
        <w:t xml:space="preserve"> serotonino sindrom</w:t>
      </w:r>
      <w:r w:rsidR="00EB2BB5">
        <w:rPr>
          <w:rFonts w:ascii="Times New Roman" w:eastAsia="SimSun" w:hAnsi="Times New Roman" w:cs="Times New Roman"/>
        </w:rPr>
        <w:t>as</w:t>
      </w:r>
      <w:r>
        <w:rPr>
          <w:rFonts w:ascii="Times New Roman" w:eastAsia="SimSun" w:hAnsi="Times New Roman" w:cs="Times New Roman"/>
        </w:rPr>
        <w:t>, potencialiai pavojing</w:t>
      </w:r>
      <w:r w:rsidR="00EB2BB5">
        <w:rPr>
          <w:rFonts w:ascii="Times New Roman" w:eastAsia="SimSun" w:hAnsi="Times New Roman" w:cs="Times New Roman"/>
        </w:rPr>
        <w:t>a</w:t>
      </w:r>
      <w:r>
        <w:rPr>
          <w:rFonts w:ascii="Times New Roman" w:eastAsia="SimSun" w:hAnsi="Times New Roman" w:cs="Times New Roman"/>
        </w:rPr>
        <w:t xml:space="preserve"> gyvybei būkl</w:t>
      </w:r>
      <w:r w:rsidR="00EB2BB5">
        <w:rPr>
          <w:rFonts w:ascii="Times New Roman" w:eastAsia="SimSun" w:hAnsi="Times New Roman" w:cs="Times New Roman"/>
        </w:rPr>
        <w:t>ė</w:t>
      </w:r>
      <w:r>
        <w:rPr>
          <w:rFonts w:ascii="Times New Roman" w:eastAsia="SimSun" w:hAnsi="Times New Roman" w:cs="Times New Roman"/>
        </w:rPr>
        <w:t xml:space="preserve"> (žr. 4.5 skyrius).</w:t>
      </w:r>
    </w:p>
    <w:p w14:paraId="79853C73" w14:textId="462BA1C5" w:rsidR="00506BE7" w:rsidRDefault="008E332A">
      <w:pPr>
        <w:widowControl w:val="0"/>
        <w:spacing w:after="0" w:line="240" w:lineRule="auto"/>
        <w:rPr>
          <w:rFonts w:ascii="Times New Roman" w:eastAsia="SimSun" w:hAnsi="Times New Roman" w:cs="Times New Roman"/>
        </w:rPr>
      </w:pPr>
      <w:r>
        <w:rPr>
          <w:rFonts w:ascii="Times New Roman" w:eastAsia="SimSun" w:hAnsi="Times New Roman" w:cs="Times New Roman"/>
        </w:rPr>
        <w:t>Jei kliniškai pagrįstas gydymas kitais serotoninerginiais preparatais, rekomenduojama atidžiai stebėti pacientą, ypač gydymo pradžioje ir didinant dozę. Serotonino sindromo simptomai gali būti psichinės būklės pokyčiai, autonomini</w:t>
      </w:r>
      <w:r w:rsidR="00EB2BB5">
        <w:rPr>
          <w:rFonts w:ascii="Times New Roman" w:eastAsia="SimSun" w:hAnsi="Times New Roman" w:cs="Times New Roman"/>
        </w:rPr>
        <w:t>ų funkcijų</w:t>
      </w:r>
      <w:r>
        <w:rPr>
          <w:rFonts w:ascii="Times New Roman" w:eastAsia="SimSun" w:hAnsi="Times New Roman" w:cs="Times New Roman"/>
        </w:rPr>
        <w:t xml:space="preserve"> nestabilumas, nervų ir raumenų sutrikimai ir (arba) virškinimo trakto simptomai.</w:t>
      </w:r>
    </w:p>
    <w:p w14:paraId="076CF028" w14:textId="02234D78" w:rsidR="00506BE7" w:rsidRDefault="008E332A">
      <w:pPr>
        <w:widowControl w:val="0"/>
        <w:spacing w:after="0" w:line="240" w:lineRule="auto"/>
        <w:rPr>
          <w:rFonts w:ascii="Times New Roman" w:eastAsia="SimSun" w:hAnsi="Times New Roman" w:cs="Times New Roman"/>
        </w:rPr>
      </w:pPr>
      <w:r>
        <w:rPr>
          <w:rFonts w:ascii="Times New Roman" w:eastAsia="SimSun" w:hAnsi="Times New Roman" w:cs="Times New Roman"/>
        </w:rPr>
        <w:t xml:space="preserve">Jei įtariamas serotonino sindromas, atsižvelgiant į simptomų sunkumą, reikia </w:t>
      </w:r>
      <w:r w:rsidR="00EB2BB5">
        <w:rPr>
          <w:rFonts w:ascii="Times New Roman" w:eastAsia="SimSun" w:hAnsi="Times New Roman" w:cs="Times New Roman"/>
        </w:rPr>
        <w:t xml:space="preserve">apsvarstyti </w:t>
      </w:r>
      <w:r>
        <w:rPr>
          <w:rFonts w:ascii="Times New Roman" w:eastAsia="SimSun" w:hAnsi="Times New Roman" w:cs="Times New Roman"/>
        </w:rPr>
        <w:t>sumažinti dozę arba nutraukti gydymą.</w:t>
      </w:r>
    </w:p>
    <w:p w14:paraId="7945E30E" w14:textId="77777777" w:rsidR="00506BE7" w:rsidRDefault="00506BE7">
      <w:pPr>
        <w:widowControl w:val="0"/>
        <w:spacing w:after="0" w:line="240" w:lineRule="auto"/>
        <w:rPr>
          <w:rFonts w:ascii="Times New Roman" w:eastAsia="Calibri" w:hAnsi="Times New Roman" w:cs="Times New Roman"/>
          <w:i/>
        </w:rPr>
      </w:pPr>
    </w:p>
    <w:p w14:paraId="09247697" w14:textId="77777777" w:rsidR="00506BE7" w:rsidRDefault="008E332A">
      <w:pPr>
        <w:widowControl w:val="0"/>
        <w:spacing w:after="0" w:line="240" w:lineRule="auto"/>
        <w:rPr>
          <w:rFonts w:ascii="Times New Roman" w:eastAsia="Calibri" w:hAnsi="Times New Roman" w:cs="Times New Roman"/>
          <w:b/>
          <w:i/>
        </w:rPr>
      </w:pPr>
      <w:r>
        <w:rPr>
          <w:rFonts w:ascii="Times New Roman" w:eastAsia="Calibri" w:hAnsi="Times New Roman" w:cs="Times New Roman"/>
          <w:b/>
          <w:i/>
        </w:rPr>
        <w:t>Sunki neutropenija ir agranulocitozė</w:t>
      </w:r>
    </w:p>
    <w:p w14:paraId="56E644EA"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Kvetiapino klinikinių tyrimų metu gauta pranešimų apie ryškią neutropeniją (neutrofilų &lt;0,5 × 10</w:t>
      </w:r>
      <w:r>
        <w:rPr>
          <w:rFonts w:ascii="Times New Roman" w:eastAsia="Calibri" w:hAnsi="Times New Roman" w:cs="Times New Roman"/>
          <w:vertAlign w:val="superscript"/>
        </w:rPr>
        <w:t>9</w:t>
      </w:r>
      <w:r>
        <w:rPr>
          <w:rFonts w:ascii="Times New Roman" w:eastAsia="Calibri" w:hAnsi="Times New Roman" w:cs="Times New Roman"/>
        </w:rPr>
        <w:t>/l). Dauguma atvejų ji pasireiškė per kelis kvetiapino vartojimo mėnesius. Aiškaus jo ryšio su doze nenustatyta.</w:t>
      </w:r>
      <w:r>
        <w:rPr>
          <w:rFonts w:ascii="Times New Roman" w:hAnsi="Times New Roman"/>
          <w:lang w:val="sl-SI"/>
        </w:rPr>
        <w:t xml:space="preserve"> </w:t>
      </w:r>
      <w:r>
        <w:rPr>
          <w:rFonts w:ascii="Times New Roman" w:eastAsia="Calibri" w:hAnsi="Times New Roman" w:cs="Times New Roman"/>
          <w:lang w:val="sl-SI"/>
        </w:rPr>
        <w:t>Po vaistinio preparato registracijos</w:t>
      </w:r>
      <w:r>
        <w:rPr>
          <w:rFonts w:ascii="Times New Roman" w:eastAsia="Calibri" w:hAnsi="Times New Roman" w:cs="Times New Roman"/>
        </w:rPr>
        <w:t>, gauta pranešimų apie mirties atvejus. Galimi neutropenijos rizikos veiksniai yra sumažėjęs leukocitų skaičius iki gydymo ir vaistinių preparatų sukelta neutropenija anamnezėje, tačiau keli neutropenijos atvejai užfiksuoti ir jų nebuvus. Jeigu neutrofilų skaičius &lt;1,0 × 10</w:t>
      </w:r>
      <w:r>
        <w:rPr>
          <w:rFonts w:ascii="Times New Roman" w:eastAsia="Calibri" w:hAnsi="Times New Roman" w:cs="Times New Roman"/>
          <w:vertAlign w:val="superscript"/>
        </w:rPr>
        <w:t>9/</w:t>
      </w:r>
      <w:r>
        <w:rPr>
          <w:rFonts w:ascii="Times New Roman" w:eastAsia="Calibri" w:hAnsi="Times New Roman" w:cs="Times New Roman"/>
        </w:rPr>
        <w:t>l, reikia nutraukti kvetiapino vartojimą, stebėti pacientą dėl infekcijos požymių ir simptomų bei tirti neutrofilų skaičių, kol jis pasidarys &gt;1,5× 10</w:t>
      </w:r>
      <w:r>
        <w:rPr>
          <w:rFonts w:ascii="Times New Roman" w:eastAsia="Calibri" w:hAnsi="Times New Roman" w:cs="Times New Roman"/>
          <w:vertAlign w:val="superscript"/>
        </w:rPr>
        <w:t>9</w:t>
      </w:r>
      <w:r>
        <w:rPr>
          <w:rFonts w:ascii="Times New Roman" w:eastAsia="Calibri" w:hAnsi="Times New Roman" w:cs="Times New Roman"/>
        </w:rPr>
        <w:t>/l (žr. 5.1 skyrių).</w:t>
      </w:r>
    </w:p>
    <w:p w14:paraId="5AEE987A" w14:textId="77777777" w:rsidR="00506BE7" w:rsidRDefault="00506BE7">
      <w:pPr>
        <w:widowControl w:val="0"/>
        <w:spacing w:after="0" w:line="240" w:lineRule="auto"/>
        <w:rPr>
          <w:rFonts w:ascii="Times New Roman" w:eastAsia="Calibri" w:hAnsi="Times New Roman" w:cs="Times New Roman"/>
        </w:rPr>
      </w:pPr>
    </w:p>
    <w:p w14:paraId="0E5C6780" w14:textId="77777777" w:rsidR="00506BE7" w:rsidRDefault="008E332A">
      <w:pPr>
        <w:widowControl w:val="0"/>
        <w:spacing w:after="0" w:line="240" w:lineRule="auto"/>
        <w:rPr>
          <w:rFonts w:ascii="Times New Roman" w:eastAsia="Calibri" w:hAnsi="Times New Roman" w:cs="Times New Roman"/>
          <w:lang w:val="sl-SI"/>
        </w:rPr>
      </w:pPr>
      <w:r>
        <w:rPr>
          <w:rFonts w:ascii="Times New Roman" w:eastAsia="Calibri" w:hAnsi="Times New Roman" w:cs="Times New Roman"/>
          <w:lang w:val="sl-SI"/>
        </w:rPr>
        <w:t>Jei pasireiškia infekcija ar karščiavimas, ypač jei nėra akivaizdaus (-žių) tokios būklės atsiradimą skatinančio (-ų) veiksnio (-ų), būtina pagalvoti, ar neatsirado neutropenija, ir skirti gydymą, atsižvelgiant į klinikinę būklę.</w:t>
      </w:r>
    </w:p>
    <w:p w14:paraId="09FB518D" w14:textId="77777777" w:rsidR="00506BE7" w:rsidRDefault="00506BE7">
      <w:pPr>
        <w:widowControl w:val="0"/>
        <w:spacing w:after="0" w:line="240" w:lineRule="auto"/>
        <w:rPr>
          <w:rFonts w:ascii="Times New Roman" w:eastAsia="Calibri" w:hAnsi="Times New Roman" w:cs="Times New Roman"/>
          <w:lang w:val="sl-SI"/>
        </w:rPr>
      </w:pPr>
    </w:p>
    <w:p w14:paraId="09743C9B"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Pacientus reikia perspėti, kad nedelsdami praneštų, jeigu vartojant kvetiapiną bet kuriuo gydymo laikotarpiu pasireikštų agranulocitozei ar infekcijai būdingų požymių arba simptomų (pvz., karščiavimas, silpnumas, letargija arba faringitas). Tokiems pacientams reikia nedelsiant ištirti leukocitų ir absoliutų neutrofilų skaičių, ypač jei aiškios infekcijos priežasties nėra.</w:t>
      </w:r>
    </w:p>
    <w:p w14:paraId="4B45CA7E" w14:textId="77777777" w:rsidR="00506BE7" w:rsidRDefault="00506BE7">
      <w:pPr>
        <w:widowControl w:val="0"/>
        <w:spacing w:after="0" w:line="240" w:lineRule="auto"/>
        <w:rPr>
          <w:rFonts w:ascii="Times New Roman" w:eastAsia="Calibri" w:hAnsi="Times New Roman" w:cs="Times New Roman"/>
        </w:rPr>
      </w:pPr>
    </w:p>
    <w:p w14:paraId="4F7628DA" w14:textId="77777777" w:rsidR="00506BE7" w:rsidRDefault="008E332A">
      <w:pPr>
        <w:widowControl w:val="0"/>
        <w:spacing w:after="0" w:line="240" w:lineRule="auto"/>
        <w:rPr>
          <w:rFonts w:ascii="Times New Roman" w:eastAsia="Calibri" w:hAnsi="Times New Roman" w:cs="Times New Roman"/>
          <w:b/>
          <w:i/>
        </w:rPr>
      </w:pPr>
      <w:r>
        <w:rPr>
          <w:rFonts w:ascii="Times New Roman" w:eastAsia="Calibri" w:hAnsi="Times New Roman" w:cs="Times New Roman"/>
          <w:b/>
          <w:i/>
        </w:rPr>
        <w:t>Anticholinerginis (antimuskarininis) poveikis</w:t>
      </w:r>
    </w:p>
    <w:p w14:paraId="030A0E50"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Kvetiapino aktyvus metabolitas norkvetiapinas turi vidutinį ar stiprų afinitetą kelių porūšių muskarino receptoriams. Tai lemia nepageidaujamų reakcijų, susijusių su anticholinerginiu poveikiu, pasireiškimą vartojant kvetiapiną rekomenduojamomis dozėmis kartu su kitais anticholinerginiais vaistiniais preparatais arba jo perdozavus. Kvetiapino atsargiai skiriama kartu su anticholinerginiais (antimuskarininiais) vaistiniais preparatais bei pacientams, kuriems yra diagnozuotas arba anksčiau buvo šlapimo susilaikymas, kliniškai reikšminga prostatos hipertrofija, žarnų obstrukcija arba panašios būklės, padidėjęs akispūdis arba uždaro kampo glaukoma (žr. 4.5, 4.8, 4.9 ir 5.1 skyrius).</w:t>
      </w:r>
    </w:p>
    <w:p w14:paraId="33D3C1BE" w14:textId="77777777" w:rsidR="00506BE7" w:rsidRDefault="00506BE7">
      <w:pPr>
        <w:widowControl w:val="0"/>
        <w:spacing w:after="0" w:line="240" w:lineRule="auto"/>
        <w:rPr>
          <w:rFonts w:ascii="Times New Roman" w:eastAsia="Calibri" w:hAnsi="Times New Roman" w:cs="Times New Roman"/>
        </w:rPr>
      </w:pPr>
    </w:p>
    <w:p w14:paraId="5DBC7615" w14:textId="77777777" w:rsidR="00506BE7" w:rsidRDefault="008E332A">
      <w:pPr>
        <w:widowControl w:val="0"/>
        <w:spacing w:after="0" w:line="240" w:lineRule="auto"/>
        <w:rPr>
          <w:rFonts w:ascii="Times New Roman" w:eastAsia="Calibri" w:hAnsi="Times New Roman" w:cs="Times New Roman"/>
          <w:b/>
          <w:i/>
        </w:rPr>
      </w:pPr>
      <w:r>
        <w:rPr>
          <w:rFonts w:ascii="Times New Roman" w:eastAsia="Calibri" w:hAnsi="Times New Roman" w:cs="Times New Roman"/>
          <w:b/>
          <w:i/>
        </w:rPr>
        <w:t>Sąveika</w:t>
      </w:r>
    </w:p>
    <w:p w14:paraId="220AEF3A"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Taip pat žr. 4.5 skyrių.</w:t>
      </w:r>
    </w:p>
    <w:p w14:paraId="1888579E"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Kartu vartojant stipriai veikiančius kepenų fermentų induktorius (pvz., karbamazepiną ar fenitoiną), gerokai sumažėja kvetiapino koncentracija plazmoje, todėl gali pakisti jo veiksmingumas. Kepenų fermentų induktorius vartojantiems pacientams kvetiapino skiriama tik tuomet, kai, gydytojo nuomone, šio vaistinio preparato palankus poveikis viršija pavojų, kylantį nutraukus kepenų fermentų induktorių vartojimą. Svarbu kepenų induktoriaus dozę būtų keisti tik palaipsniui, o prireikus vietoje jo skirti kepenų fermentų neindukuojančio vaistinio preparato (pvz., natrio valproato).</w:t>
      </w:r>
    </w:p>
    <w:p w14:paraId="4196102E" w14:textId="77777777" w:rsidR="00506BE7" w:rsidRDefault="00506BE7">
      <w:pPr>
        <w:widowControl w:val="0"/>
        <w:spacing w:after="0" w:line="240" w:lineRule="auto"/>
        <w:rPr>
          <w:rFonts w:ascii="Times New Roman" w:eastAsia="Calibri" w:hAnsi="Times New Roman" w:cs="Times New Roman"/>
        </w:rPr>
      </w:pPr>
    </w:p>
    <w:p w14:paraId="34F78F00" w14:textId="77777777" w:rsidR="00506BE7" w:rsidRDefault="008E332A">
      <w:pPr>
        <w:widowControl w:val="0"/>
        <w:spacing w:after="0" w:line="240" w:lineRule="auto"/>
        <w:rPr>
          <w:rFonts w:ascii="Times New Roman" w:eastAsia="Calibri" w:hAnsi="Times New Roman" w:cs="Times New Roman"/>
          <w:b/>
          <w:i/>
        </w:rPr>
      </w:pPr>
      <w:r>
        <w:rPr>
          <w:rFonts w:ascii="Times New Roman" w:eastAsia="Calibri" w:hAnsi="Times New Roman" w:cs="Times New Roman"/>
          <w:b/>
          <w:i/>
        </w:rPr>
        <w:lastRenderedPageBreak/>
        <w:t>Svoris</w:t>
      </w:r>
    </w:p>
    <w:p w14:paraId="1835C81F"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Gauta pranešimų apie kvetiapiną vartojančių pacientų svorio prieaugį. Reikia sverti pacientą ir kontroliuoti jo svorį pagal klinikinį poreikį, atsižvelgiant į vaistinių preparatų nuo psichozės vartojimo rekomendacijas (žr. 4.8 ir 5.1 skyrius).</w:t>
      </w:r>
    </w:p>
    <w:p w14:paraId="624B0DEC" w14:textId="77777777" w:rsidR="00506BE7" w:rsidRDefault="00506BE7">
      <w:pPr>
        <w:widowControl w:val="0"/>
        <w:spacing w:after="0" w:line="240" w:lineRule="auto"/>
        <w:rPr>
          <w:rFonts w:ascii="Times New Roman" w:eastAsia="Calibri" w:hAnsi="Times New Roman" w:cs="Times New Roman"/>
        </w:rPr>
      </w:pPr>
    </w:p>
    <w:p w14:paraId="74620D91" w14:textId="77777777" w:rsidR="00506BE7" w:rsidRDefault="008E332A">
      <w:pPr>
        <w:widowControl w:val="0"/>
        <w:spacing w:after="0" w:line="240" w:lineRule="auto"/>
        <w:rPr>
          <w:rFonts w:ascii="Times New Roman" w:eastAsia="Calibri" w:hAnsi="Times New Roman" w:cs="Times New Roman"/>
          <w:b/>
          <w:i/>
        </w:rPr>
      </w:pPr>
      <w:r>
        <w:rPr>
          <w:rFonts w:ascii="Times New Roman" w:eastAsia="Calibri" w:hAnsi="Times New Roman" w:cs="Times New Roman"/>
          <w:b/>
          <w:i/>
        </w:rPr>
        <w:t>Hiperglikemija</w:t>
      </w:r>
    </w:p>
    <w:p w14:paraId="70AF7706"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Aprašyta retų atvejų, kai atsirado hiperglikemija ir (arba) pasireiškė ar pasunkėjo cukrinis diabetas (buvo net atvejų, kai pasireiškė ketoacidozė ar koma ir net ištiko mirtis, žr. 4.8 skyrių). Kai kuriais atvejais prieš tai buvo užfiksuotas svorio prieaugis (tai gali būti rizikos veiksnys). Pacientui rekomenduojamas atitinkamas klinikinis stebėjimas, atsižvelgiant į vaistinių preparatų nuo psichozės vartojimo rekomendacijas. Vaistinių preparatų nuo psichozės, įskaitant kvetiapiną, vartojančius pacientus reikia stebėti dėl galimų hiperglikemijos požymių ir simptomų (polidipsijos, poliurijos, polifagijos ir silpnumo). Jei pacientas serga cukriniu diabetu arba yra šios ligos rizikos veiksnių, tai reikia reguliariai tikrinti, ar nepablogėjo gliukozės koncentracijos kraujyje reguliavimas. Be to, pacientą reikia reguliariai sverti.</w:t>
      </w:r>
    </w:p>
    <w:p w14:paraId="16760B0E" w14:textId="77777777" w:rsidR="00506BE7" w:rsidRDefault="00506BE7">
      <w:pPr>
        <w:widowControl w:val="0"/>
        <w:spacing w:after="0" w:line="240" w:lineRule="auto"/>
        <w:rPr>
          <w:rFonts w:ascii="Times New Roman" w:eastAsia="Calibri" w:hAnsi="Times New Roman" w:cs="Times New Roman"/>
        </w:rPr>
      </w:pPr>
    </w:p>
    <w:p w14:paraId="4992E4E3" w14:textId="77777777" w:rsidR="00506BE7" w:rsidRDefault="008E332A">
      <w:pPr>
        <w:widowControl w:val="0"/>
        <w:spacing w:after="0" w:line="240" w:lineRule="auto"/>
        <w:rPr>
          <w:rFonts w:ascii="Times New Roman" w:eastAsia="Calibri" w:hAnsi="Times New Roman" w:cs="Times New Roman"/>
          <w:b/>
          <w:i/>
        </w:rPr>
      </w:pPr>
      <w:r>
        <w:rPr>
          <w:rFonts w:ascii="Times New Roman" w:eastAsia="Calibri" w:hAnsi="Times New Roman" w:cs="Times New Roman"/>
          <w:b/>
          <w:i/>
        </w:rPr>
        <w:t>Lipidai</w:t>
      </w:r>
    </w:p>
    <w:p w14:paraId="2363B946"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Kvetiapino klinikinių tyrimų metu pastebėta trigliceridų, </w:t>
      </w:r>
      <w:r>
        <w:rPr>
          <w:rFonts w:ascii="Times New Roman" w:eastAsia="Calibri" w:hAnsi="Times New Roman" w:cs="Times New Roman"/>
          <w:color w:val="000000"/>
          <w:lang w:val="sl-SI"/>
        </w:rPr>
        <w:t>mažo tankio lipoproteinų</w:t>
      </w:r>
      <w:r>
        <w:rPr>
          <w:rFonts w:ascii="Times New Roman" w:hAnsi="Times New Roman"/>
          <w:color w:val="000000"/>
          <w:lang w:val="sl-SI"/>
        </w:rPr>
        <w:t xml:space="preserve"> (</w:t>
      </w:r>
      <w:r>
        <w:rPr>
          <w:rFonts w:ascii="Times New Roman" w:eastAsia="Calibri" w:hAnsi="Times New Roman" w:cs="Times New Roman"/>
        </w:rPr>
        <w:t xml:space="preserve">MTL) ir bendro cholesterolio koncentracijos padidėjimo bei </w:t>
      </w:r>
      <w:r>
        <w:rPr>
          <w:rFonts w:ascii="Times New Roman" w:eastAsia="Calibri" w:hAnsi="Times New Roman" w:cs="Times New Roman"/>
          <w:color w:val="000000"/>
          <w:lang w:val="sl-SI"/>
        </w:rPr>
        <w:t>didelio tankio lipoproteinų</w:t>
      </w:r>
      <w:r>
        <w:rPr>
          <w:rFonts w:ascii="Times New Roman" w:hAnsi="Times New Roman"/>
          <w:color w:val="000000"/>
          <w:lang w:val="sl-SI"/>
        </w:rPr>
        <w:t xml:space="preserve"> (</w:t>
      </w:r>
      <w:r>
        <w:rPr>
          <w:rFonts w:ascii="Times New Roman" w:eastAsia="Calibri" w:hAnsi="Times New Roman" w:cs="Times New Roman"/>
        </w:rPr>
        <w:t>DTL) cholesterolio koncentracijos sumažėjimo atvejų (žr. 4.8 skyrių). Lipidų koncentracijų pokyčius reikia koreguoti pagal klinikinį poreikį.</w:t>
      </w:r>
    </w:p>
    <w:p w14:paraId="43C77FFB" w14:textId="77777777" w:rsidR="00506BE7" w:rsidRDefault="00506BE7">
      <w:pPr>
        <w:widowControl w:val="0"/>
        <w:spacing w:after="0" w:line="240" w:lineRule="auto"/>
        <w:rPr>
          <w:rFonts w:ascii="Times New Roman" w:eastAsia="Calibri" w:hAnsi="Times New Roman" w:cs="Times New Roman"/>
        </w:rPr>
      </w:pPr>
    </w:p>
    <w:p w14:paraId="578599F2" w14:textId="77777777" w:rsidR="00506BE7" w:rsidRDefault="008E332A">
      <w:pPr>
        <w:widowControl w:val="0"/>
        <w:spacing w:after="0" w:line="240" w:lineRule="auto"/>
        <w:rPr>
          <w:rFonts w:ascii="Times New Roman" w:eastAsia="Calibri" w:hAnsi="Times New Roman" w:cs="Times New Roman"/>
          <w:b/>
          <w:i/>
        </w:rPr>
      </w:pPr>
      <w:r>
        <w:rPr>
          <w:rFonts w:ascii="Times New Roman" w:eastAsia="Calibri" w:hAnsi="Times New Roman" w:cs="Times New Roman"/>
          <w:b/>
          <w:i/>
        </w:rPr>
        <w:t>Pailgėjęs QT intervalas</w:t>
      </w:r>
    </w:p>
    <w:p w14:paraId="3B6FC9FB" w14:textId="77777777" w:rsidR="00506BE7" w:rsidRDefault="008E332A">
      <w:pPr>
        <w:widowControl w:val="0"/>
        <w:overflowPunct w:val="0"/>
        <w:autoSpaceDE w:val="0"/>
        <w:autoSpaceDN w:val="0"/>
        <w:adjustRightInd w:val="0"/>
        <w:spacing w:after="0" w:line="240" w:lineRule="auto"/>
        <w:ind w:right="20"/>
        <w:rPr>
          <w:rFonts w:ascii="Times New Roman" w:eastAsia="Calibri" w:hAnsi="Times New Roman" w:cs="Times New Roman"/>
        </w:rPr>
      </w:pPr>
      <w:r>
        <w:rPr>
          <w:rFonts w:ascii="Times New Roman" w:eastAsia="Calibri" w:hAnsi="Times New Roman" w:cs="Times New Roman"/>
        </w:rPr>
        <w:t xml:space="preserve">Klinikinių tyrimų metu ir vartojant kvetiapino pagal </w:t>
      </w:r>
      <w:r>
        <w:rPr>
          <w:rFonts w:ascii="Times New Roman" w:eastAsia="Calibri" w:hAnsi="Times New Roman" w:cs="Times New Roman"/>
          <w:color w:val="000000"/>
          <w:lang w:val="sl-SI"/>
        </w:rPr>
        <w:t>preparato charakteristikų santraukoje (</w:t>
      </w:r>
      <w:r>
        <w:rPr>
          <w:rFonts w:ascii="Times New Roman" w:eastAsia="Calibri" w:hAnsi="Times New Roman" w:cs="Times New Roman"/>
        </w:rPr>
        <w:t>PCS)</w:t>
      </w:r>
      <w:r>
        <w:rPr>
          <w:rFonts w:ascii="Times New Roman" w:eastAsia="Calibri" w:hAnsi="Times New Roman" w:cs="Times New Roman"/>
          <w:color w:val="000000"/>
          <w:lang w:val="sl-SI"/>
        </w:rPr>
        <w:t xml:space="preserve"> pateikiamas rekomendacijas</w:t>
      </w:r>
      <w:r>
        <w:rPr>
          <w:rFonts w:ascii="Times New Roman" w:eastAsia="Calibri" w:hAnsi="Times New Roman" w:cs="Times New Roman"/>
        </w:rPr>
        <w:t xml:space="preserve">, nuolatinio absoliutaus QT intervalo pailgėjimo nenustatyta. </w:t>
      </w:r>
      <w:r>
        <w:rPr>
          <w:rFonts w:ascii="Times New Roman" w:eastAsia="Calibri" w:hAnsi="Times New Roman" w:cs="Times New Roman"/>
          <w:color w:val="000000"/>
          <w:lang w:val="sl-SI"/>
        </w:rPr>
        <w:t>Po vaistinio preparato registracijos</w:t>
      </w:r>
      <w:r>
        <w:rPr>
          <w:rFonts w:ascii="Times New Roman" w:eastAsia="Calibri" w:hAnsi="Times New Roman" w:cs="Times New Roman"/>
        </w:rPr>
        <w:t>gauta pranešimų apie pailgėjusį QT intervalą jo vartojant terapinėmis dozėmis (žr. 4.8 skyrių) ir perdozavus (žr. 4.9 skyrių). Kvetiapino (kaip ir kitų vaistinių preparatų nuo psichozės) atsargiai skiriama pacientams, kurie serga širdies ir kraujagyslių ligomis, arba kurių šeimos nariams nustatytas pailgėjęs QT. Jo taip pat atsargiai skiriama kartu su QT intervalą ilginančiais vaistiniais preparatais ar kitais neuroleptikais, ypač senyviems pacientams, esant įgimtam ilgo QT sindromui, staziniam širdies nepakankamumui, širdies hipertrofijai, hipokalemijai arba hipomagnezemijai (žr. 4.5 skyrių).</w:t>
      </w:r>
    </w:p>
    <w:p w14:paraId="4AA47FB2" w14:textId="77777777" w:rsidR="00506BE7" w:rsidRDefault="00506BE7">
      <w:pPr>
        <w:widowControl w:val="0"/>
        <w:autoSpaceDE w:val="0"/>
        <w:autoSpaceDN w:val="0"/>
        <w:adjustRightInd w:val="0"/>
        <w:spacing w:after="0" w:line="240" w:lineRule="auto"/>
        <w:rPr>
          <w:rFonts w:ascii="Times New Roman" w:eastAsia="Calibri" w:hAnsi="Times New Roman" w:cs="Times New Roman"/>
        </w:rPr>
      </w:pPr>
    </w:p>
    <w:p w14:paraId="23C39D84" w14:textId="77777777" w:rsidR="00506BE7" w:rsidRDefault="008E332A">
      <w:pPr>
        <w:widowControl w:val="0"/>
        <w:autoSpaceDE w:val="0"/>
        <w:autoSpaceDN w:val="0"/>
        <w:adjustRightInd w:val="0"/>
        <w:spacing w:after="0" w:line="240" w:lineRule="auto"/>
        <w:rPr>
          <w:rFonts w:ascii="Times New Roman" w:eastAsia="Calibri" w:hAnsi="Times New Roman" w:cs="Times New Roman"/>
          <w:b/>
          <w:i/>
        </w:rPr>
      </w:pPr>
      <w:r>
        <w:rPr>
          <w:rFonts w:ascii="Times New Roman" w:eastAsia="Calibri" w:hAnsi="Times New Roman" w:cs="Times New Roman"/>
          <w:b/>
          <w:i/>
        </w:rPr>
        <w:t>Kardiomiopatija ir miokarditas</w:t>
      </w:r>
    </w:p>
    <w:p w14:paraId="227EA03B"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Klinikinių tyrimų metu ir po kvetiapino</w:t>
      </w:r>
      <w:r>
        <w:rPr>
          <w:rFonts w:ascii="Times New Roman" w:hAnsi="Times New Roman"/>
          <w:color w:val="000000"/>
          <w:lang w:val="sl-SI"/>
        </w:rPr>
        <w:t xml:space="preserve"> registracijos</w:t>
      </w:r>
      <w:r>
        <w:rPr>
          <w:rFonts w:ascii="Times New Roman" w:eastAsia="Calibri" w:hAnsi="Times New Roman" w:cs="Times New Roman"/>
        </w:rPr>
        <w:t xml:space="preserve"> gauta pranešimų apie kardiomiopatijos ir miokardito atvejus</w:t>
      </w:r>
      <w:r>
        <w:rPr>
          <w:rFonts w:ascii="Times New Roman" w:eastAsia="SimSun" w:hAnsi="Times New Roman" w:cs="Times New Roman"/>
        </w:rPr>
        <w:t xml:space="preserve"> (žr. 4.8 skyrių)</w:t>
      </w:r>
      <w:r>
        <w:rPr>
          <w:rFonts w:ascii="Times New Roman" w:eastAsia="Calibri" w:hAnsi="Times New Roman" w:cs="Times New Roman"/>
        </w:rPr>
        <w:t xml:space="preserve">. Įtarus kardiomiopatiją arba miokarditą, </w:t>
      </w:r>
      <w:r>
        <w:rPr>
          <w:rFonts w:ascii="Times New Roman" w:eastAsia="SimSun" w:hAnsi="Times New Roman" w:cs="Times New Roman"/>
        </w:rPr>
        <w:t xml:space="preserve">reikia apsvarstyti </w:t>
      </w:r>
      <w:r>
        <w:rPr>
          <w:rFonts w:ascii="Times New Roman" w:eastAsia="Calibri" w:hAnsi="Times New Roman" w:cs="Times New Roman"/>
        </w:rPr>
        <w:t>kvetiapino vartojimo nutraukimo tikslingumą.</w:t>
      </w:r>
    </w:p>
    <w:p w14:paraId="6ED5B1A6" w14:textId="77777777" w:rsidR="00506BE7" w:rsidRDefault="00506BE7">
      <w:pPr>
        <w:widowControl w:val="0"/>
        <w:spacing w:after="0" w:line="240" w:lineRule="auto"/>
        <w:rPr>
          <w:rFonts w:ascii="Times New Roman" w:eastAsia="Calibri" w:hAnsi="Times New Roman" w:cs="Times New Roman"/>
          <w:i/>
        </w:rPr>
      </w:pPr>
    </w:p>
    <w:p w14:paraId="170D32AE" w14:textId="77777777" w:rsidR="00506BE7" w:rsidRDefault="008E332A">
      <w:pPr>
        <w:widowControl w:val="0"/>
        <w:spacing w:after="0"/>
        <w:rPr>
          <w:rFonts w:ascii="Times New Roman" w:eastAsia="SimSun" w:hAnsi="Times New Roman" w:cs="Times New Roman"/>
          <w:b/>
          <w:i/>
        </w:rPr>
      </w:pPr>
      <w:r>
        <w:rPr>
          <w:rFonts w:ascii="Times New Roman" w:eastAsia="SimSun" w:hAnsi="Times New Roman" w:cs="Times New Roman"/>
          <w:b/>
          <w:i/>
        </w:rPr>
        <w:t>Sunkios nepageidaujamos odos reakcijos</w:t>
      </w:r>
    </w:p>
    <w:p w14:paraId="705DFCF9" w14:textId="0C21401A" w:rsidR="00506BE7" w:rsidRDefault="008E332A">
      <w:pPr>
        <w:widowControl w:val="0"/>
        <w:spacing w:after="0" w:line="240" w:lineRule="auto"/>
        <w:rPr>
          <w:rFonts w:ascii="Times New Roman" w:eastAsia="SimSun" w:hAnsi="Times New Roman" w:cs="Times New Roman"/>
        </w:rPr>
      </w:pPr>
      <w:r>
        <w:rPr>
          <w:rFonts w:ascii="Times New Roman" w:eastAsia="SimSun" w:hAnsi="Times New Roman" w:cs="Times New Roman"/>
        </w:rPr>
        <w:t>Gydymo kvetiapinu metu labai retai buvo pranešta apie sunkias nepageidaujamas odos reakcijas (SNOR), įskaitant Stivenso-Džonsono (</w:t>
      </w:r>
      <w:r>
        <w:rPr>
          <w:rFonts w:ascii="Times New Roman" w:eastAsia="SimSun" w:hAnsi="Times New Roman" w:cs="Times New Roman"/>
          <w:i/>
          <w:iCs/>
        </w:rPr>
        <w:t>Stevens-Johnson</w:t>
      </w:r>
      <w:r>
        <w:rPr>
          <w:rFonts w:ascii="Times New Roman" w:eastAsia="SimSun" w:hAnsi="Times New Roman" w:cs="Times New Roman"/>
        </w:rPr>
        <w:t xml:space="preserve">) sindromą (SJS), toksinę epidermio nekrolizę (TEN), ūminę išplitusią egzanteminę pustuliozę (angl. </w:t>
      </w:r>
      <w:r>
        <w:rPr>
          <w:rFonts w:ascii="Times New Roman" w:eastAsia="SimSun" w:hAnsi="Times New Roman" w:cs="Times New Roman"/>
          <w:i/>
          <w:iCs/>
        </w:rPr>
        <w:t>acute generalised exanthematous pustulosis</w:t>
      </w:r>
      <w:r>
        <w:rPr>
          <w:rFonts w:ascii="Times New Roman" w:eastAsia="SimSun" w:hAnsi="Times New Roman" w:cs="Times New Roman"/>
        </w:rPr>
        <w:t xml:space="preserve">, AGEP), daugiaformę eritemą (DE) ir reakciją į vaistinį preparatą su eozinofilija ir sisteminiais simptomais (angl. </w:t>
      </w:r>
      <w:r>
        <w:rPr>
          <w:rFonts w:ascii="Times New Roman" w:eastAsia="SimSun" w:hAnsi="Times New Roman" w:cs="Times New Roman"/>
          <w:i/>
          <w:iCs/>
        </w:rPr>
        <w:t xml:space="preserve">Drug </w:t>
      </w:r>
      <w:r w:rsidR="0097013C">
        <w:rPr>
          <w:rFonts w:ascii="Times New Roman" w:eastAsia="SimSun" w:hAnsi="Times New Roman"/>
          <w:i/>
          <w:iCs/>
        </w:rPr>
        <w:t>Reaction</w:t>
      </w:r>
      <w:r>
        <w:rPr>
          <w:rFonts w:ascii="Times New Roman" w:eastAsia="SimSun" w:hAnsi="Times New Roman" w:cs="Times New Roman"/>
          <w:i/>
          <w:iCs/>
        </w:rPr>
        <w:t xml:space="preserve"> with Eosinophilia and Systemic Symptoms</w:t>
      </w:r>
      <w:r>
        <w:rPr>
          <w:rFonts w:ascii="Times New Roman" w:eastAsia="SimSun" w:hAnsi="Times New Roman" w:cs="Times New Roman"/>
        </w:rPr>
        <w:t>, DRESS). SNOR dažniausiai pasireiškia vienu ar daugiau toliau išvardytų simptomų: plačiai išplitęs odos išbėrimas, kuris gali pasireikšti kartu su niežuliu arba būti susijęs su pustulėmis, eksfoliacinis dermatitas, karščiavimas, limfadenopatija ir galimai eozinofilija ar neutrofilija. Dauguma tokių reakcijų pasireiškė per 4 savaites nuo gydymo kvetiapinu pradžios, o kai kurios DRESS reakcijos pasireiškė per 6 savaites nuo gydymo kvetiapinu pradžios. Jei atsiranda tokias sunkias reakcijas rodančių požymių ir simptomų, kvetiapino vartojimą būtina nedelsiant nutraukti ir apsvarstyti alternatyvų gydymą.</w:t>
      </w:r>
    </w:p>
    <w:p w14:paraId="60BECC66" w14:textId="77777777" w:rsidR="00506BE7" w:rsidRDefault="00506BE7">
      <w:pPr>
        <w:widowControl w:val="0"/>
        <w:spacing w:after="0" w:line="240" w:lineRule="auto"/>
        <w:rPr>
          <w:rFonts w:ascii="Times New Roman" w:eastAsia="Calibri" w:hAnsi="Times New Roman" w:cs="Times New Roman"/>
          <w:i/>
        </w:rPr>
      </w:pPr>
    </w:p>
    <w:p w14:paraId="12B44D48" w14:textId="77777777" w:rsidR="00506BE7" w:rsidRDefault="008E332A">
      <w:pPr>
        <w:widowControl w:val="0"/>
        <w:spacing w:after="0" w:line="240" w:lineRule="auto"/>
        <w:rPr>
          <w:rFonts w:ascii="Times New Roman" w:eastAsia="Calibri" w:hAnsi="Times New Roman" w:cs="Times New Roman"/>
          <w:b/>
          <w:i/>
        </w:rPr>
      </w:pPr>
      <w:r>
        <w:rPr>
          <w:rFonts w:ascii="Times New Roman" w:eastAsia="Calibri" w:hAnsi="Times New Roman" w:cs="Times New Roman"/>
          <w:b/>
          <w:i/>
        </w:rPr>
        <w:t>Nutraukimas</w:t>
      </w:r>
    </w:p>
    <w:p w14:paraId="2A059009" w14:textId="77777777" w:rsidR="00506BE7" w:rsidRDefault="008E332A">
      <w:pPr>
        <w:widowControl w:val="0"/>
        <w:overflowPunct w:val="0"/>
        <w:autoSpaceDE w:val="0"/>
        <w:autoSpaceDN w:val="0"/>
        <w:adjustRightInd w:val="0"/>
        <w:spacing w:after="0" w:line="240" w:lineRule="auto"/>
        <w:ind w:right="240"/>
        <w:rPr>
          <w:rFonts w:ascii="Times New Roman" w:eastAsia="Calibri" w:hAnsi="Times New Roman" w:cs="Times New Roman"/>
        </w:rPr>
      </w:pPr>
      <w:r>
        <w:rPr>
          <w:rFonts w:ascii="Times New Roman" w:eastAsia="Calibri" w:hAnsi="Times New Roman" w:cs="Times New Roman"/>
        </w:rPr>
        <w:t>Aprašyta atvejų, kai staiga nutraukus kvetiapino vartojimą pasireiškė ūminių nutraukimo simptomų (pvz., nemiga, pykinimas, galvos skausmas, viduriavimas, vėmimas, svaigulys ir irzlumas). Dėl to šio vaistinio preparato vartojimą rekomenduojama baigti palaipsniui, per bent 1-2 savaites (žr. 4.8 skyrių).</w:t>
      </w:r>
    </w:p>
    <w:p w14:paraId="32736AAF" w14:textId="77777777" w:rsidR="00506BE7" w:rsidRDefault="00506BE7">
      <w:pPr>
        <w:widowControl w:val="0"/>
        <w:spacing w:after="0" w:line="240" w:lineRule="auto"/>
        <w:rPr>
          <w:rFonts w:ascii="Times New Roman" w:eastAsia="Calibri" w:hAnsi="Times New Roman" w:cs="Times New Roman"/>
        </w:rPr>
      </w:pPr>
    </w:p>
    <w:p w14:paraId="10D08502" w14:textId="77777777" w:rsidR="00506BE7" w:rsidRDefault="008E332A">
      <w:pPr>
        <w:widowControl w:val="0"/>
        <w:spacing w:after="0" w:line="240" w:lineRule="auto"/>
        <w:rPr>
          <w:rFonts w:ascii="Times New Roman" w:eastAsia="Calibri" w:hAnsi="Times New Roman" w:cs="Times New Roman"/>
          <w:b/>
          <w:i/>
        </w:rPr>
      </w:pPr>
      <w:r>
        <w:rPr>
          <w:rFonts w:ascii="Times New Roman" w:eastAsia="Calibri" w:hAnsi="Times New Roman" w:cs="Times New Roman"/>
          <w:b/>
          <w:i/>
        </w:rPr>
        <w:lastRenderedPageBreak/>
        <w:t>Senyviems pacientams, sergantiems su demencija susijusia psichoze</w:t>
      </w:r>
    </w:p>
    <w:p w14:paraId="2A8B5181"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Su demencija susijusiai psichozei gydyti kvetiapinas neregistruotas.</w:t>
      </w:r>
    </w:p>
    <w:p w14:paraId="3DC2890C" w14:textId="77777777" w:rsidR="00506BE7" w:rsidRDefault="00506BE7">
      <w:pPr>
        <w:widowControl w:val="0"/>
        <w:spacing w:after="0" w:line="240" w:lineRule="auto"/>
        <w:rPr>
          <w:rFonts w:ascii="Times New Roman" w:eastAsia="Calibri" w:hAnsi="Times New Roman" w:cs="Times New Roman"/>
        </w:rPr>
      </w:pPr>
    </w:p>
    <w:p w14:paraId="6B105A43" w14:textId="77777777" w:rsidR="00506BE7" w:rsidRDefault="008E332A">
      <w:pPr>
        <w:widowControl w:val="0"/>
        <w:overflowPunct w:val="0"/>
        <w:autoSpaceDE w:val="0"/>
        <w:autoSpaceDN w:val="0"/>
        <w:adjustRightInd w:val="0"/>
        <w:spacing w:after="0" w:line="240" w:lineRule="auto"/>
        <w:ind w:right="120"/>
        <w:rPr>
          <w:rFonts w:ascii="Times New Roman" w:eastAsia="Calibri" w:hAnsi="Times New Roman" w:cs="Times New Roman"/>
        </w:rPr>
      </w:pPr>
      <w:r>
        <w:rPr>
          <w:rFonts w:ascii="Times New Roman" w:eastAsia="Calibri" w:hAnsi="Times New Roman" w:cs="Times New Roman"/>
        </w:rPr>
        <w:t>Atsitiktinės atrankos placebu kontroliuojami kai kurių netipinių vaistinių preparatų nuo psichozės klinikiniai tyrimai parodė maždaug 3 kartus didesnę smegenų kraujagyslių nepageidaujamų reiškinių riziką demencija sergantiems pacientams. Šio padidėjimo mechanizmas nežinomas. Su kitais vaistiniais preparatais nuo psichozės susijusio pavojaus ir pavojaus kitoms pacientų populiacijoms padidėjimo galimybė nepaneigta. Jei yra insulto rizikos veiksnių, kvetiapino skiriama atsargiai.</w:t>
      </w:r>
    </w:p>
    <w:p w14:paraId="6D63B26D" w14:textId="77777777" w:rsidR="00506BE7" w:rsidRDefault="00506BE7">
      <w:pPr>
        <w:widowControl w:val="0"/>
        <w:autoSpaceDE w:val="0"/>
        <w:autoSpaceDN w:val="0"/>
        <w:adjustRightInd w:val="0"/>
        <w:spacing w:after="0" w:line="240" w:lineRule="auto"/>
        <w:rPr>
          <w:rFonts w:ascii="Times New Roman" w:eastAsia="Calibri" w:hAnsi="Times New Roman" w:cs="Times New Roman"/>
        </w:rPr>
      </w:pPr>
    </w:p>
    <w:p w14:paraId="24C0E3A1" w14:textId="77777777" w:rsidR="00506BE7" w:rsidRDefault="008E332A">
      <w:pPr>
        <w:widowControl w:val="0"/>
        <w:overflowPunct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Netipinių vaistinių preparatų nuo psichozės klinikinių tyrimų metaanalizė parodė didesnę mirties riziką jų vartojantiems senyviems pacientams, sergantiems su demencija susijusia psichoze (palyginus su vartojančiais placebo). Dviejų 10 savaičių trukmės placebu kontroliuojamų kvetiapino tyrimų, atliktų su ta pačia pacientų populiacija (n = 710, amžiaus vidurkis – 83 metai, diapazonas – 56-99 metai), metu mirė 5,5 % kvetiapino ir 3,2 % placebo vartojusių pacientų. Mirties priežastys šių tyrimų metu buvo įvairios ir atitiko tikėtinas šiai pacientų populiacijai.</w:t>
      </w:r>
    </w:p>
    <w:p w14:paraId="16E95DD9" w14:textId="77777777" w:rsidR="00506BE7" w:rsidRDefault="00506BE7">
      <w:pPr>
        <w:widowControl w:val="0"/>
        <w:spacing w:after="0" w:line="240" w:lineRule="auto"/>
        <w:rPr>
          <w:rFonts w:ascii="Times New Roman" w:eastAsia="Calibri" w:hAnsi="Times New Roman" w:cs="Times New Roman"/>
          <w:b/>
        </w:rPr>
      </w:pPr>
    </w:p>
    <w:p w14:paraId="11C216D1" w14:textId="77777777" w:rsidR="00506BE7" w:rsidRDefault="008E332A">
      <w:pPr>
        <w:widowControl w:val="0"/>
        <w:spacing w:after="0" w:line="240" w:lineRule="auto"/>
        <w:rPr>
          <w:rFonts w:ascii="Times New Roman" w:eastAsia="SimSun" w:hAnsi="Times New Roman" w:cs="Times New Roman"/>
          <w:b/>
          <w:i/>
        </w:rPr>
      </w:pPr>
      <w:r>
        <w:rPr>
          <w:rFonts w:ascii="Times New Roman" w:eastAsia="SimSun" w:hAnsi="Times New Roman" w:cs="Times New Roman"/>
          <w:b/>
          <w:i/>
        </w:rPr>
        <w:t>Senyviems pacientams, sergantiems Parkinsono liga (PL)/parkinsonizmu</w:t>
      </w:r>
    </w:p>
    <w:p w14:paraId="5DF20041" w14:textId="77777777" w:rsidR="00506BE7" w:rsidRDefault="008E332A">
      <w:pPr>
        <w:widowControl w:val="0"/>
        <w:overflowPunct w:val="0"/>
        <w:autoSpaceDE w:val="0"/>
        <w:autoSpaceDN w:val="0"/>
        <w:adjustRightInd w:val="0"/>
        <w:spacing w:after="0" w:line="240" w:lineRule="auto"/>
        <w:rPr>
          <w:rFonts w:ascii="Times New Roman" w:eastAsia="Times New Roman" w:hAnsi="Times New Roman" w:cs="Times New Roman"/>
        </w:rPr>
      </w:pPr>
      <w:r>
        <w:rPr>
          <w:rFonts w:ascii="Times New Roman" w:eastAsia="SimSun" w:hAnsi="Times New Roman" w:cs="Times New Roman"/>
        </w:rPr>
        <w:t>Retrospektyvinis populiacijų tyrimas, kurio metu kvetiapino skirta didžiosios depresijos sutrikimo gydymui, parodė, kad vartojant kvetiapiną vyresniems kaip 65 metų pacientams,  mirties rizika yra didesnė. Šio ryšio nebuvo, kai pacientai, sergantys PL buvo pašalinti iš analizės. Senyvus pacientus, sergančius PL, gydyti kvetiapinu reikia atsargiai.</w:t>
      </w:r>
    </w:p>
    <w:p w14:paraId="28009D86" w14:textId="77777777" w:rsidR="00506BE7" w:rsidRDefault="00506BE7">
      <w:pPr>
        <w:widowControl w:val="0"/>
        <w:spacing w:after="0" w:line="240" w:lineRule="auto"/>
        <w:rPr>
          <w:rFonts w:ascii="Times New Roman" w:eastAsia="Times New Roman" w:hAnsi="Times New Roman" w:cs="Times New Roman"/>
          <w:bCs/>
          <w:i/>
        </w:rPr>
      </w:pPr>
    </w:p>
    <w:p w14:paraId="3AA7E456" w14:textId="77777777" w:rsidR="00506BE7" w:rsidRDefault="008E332A">
      <w:pPr>
        <w:widowControl w:val="0"/>
        <w:spacing w:after="0" w:line="240" w:lineRule="auto"/>
        <w:rPr>
          <w:rFonts w:ascii="Times New Roman" w:eastAsia="Calibri" w:hAnsi="Times New Roman" w:cs="Times New Roman"/>
          <w:b/>
          <w:i/>
        </w:rPr>
      </w:pPr>
      <w:r>
        <w:rPr>
          <w:rFonts w:ascii="Times New Roman" w:eastAsia="Calibri" w:hAnsi="Times New Roman" w:cs="Times New Roman"/>
          <w:b/>
          <w:i/>
        </w:rPr>
        <w:t>Disfagija</w:t>
      </w:r>
    </w:p>
    <w:p w14:paraId="55EF9C18"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Gauta pranešimų apie disfagiją (žr. 4.8 skyrių) ir aspiraciją vartojant kvetiapino. Priežastinio ryšio su aspiracine pneumonija nenustatyta, tačiau esant jos rizikai kvetiapino skiriama atsargiai.</w:t>
      </w:r>
    </w:p>
    <w:p w14:paraId="6444314A" w14:textId="77777777" w:rsidR="00506BE7" w:rsidRDefault="00506BE7">
      <w:pPr>
        <w:widowControl w:val="0"/>
        <w:spacing w:after="0" w:line="240" w:lineRule="auto"/>
        <w:rPr>
          <w:rFonts w:ascii="Times New Roman" w:eastAsia="Calibri" w:hAnsi="Times New Roman" w:cs="Times New Roman"/>
        </w:rPr>
      </w:pPr>
    </w:p>
    <w:p w14:paraId="2723C54B" w14:textId="77777777" w:rsidR="00506BE7" w:rsidRDefault="008E332A">
      <w:pPr>
        <w:widowControl w:val="0"/>
        <w:spacing w:after="0" w:line="240" w:lineRule="auto"/>
        <w:rPr>
          <w:rFonts w:ascii="Times New Roman" w:eastAsia="Calibri" w:hAnsi="Times New Roman" w:cs="Times New Roman"/>
          <w:b/>
          <w:i/>
        </w:rPr>
      </w:pPr>
      <w:r>
        <w:rPr>
          <w:rFonts w:ascii="Times New Roman" w:eastAsia="Calibri" w:hAnsi="Times New Roman" w:cs="Times New Roman"/>
          <w:b/>
          <w:i/>
        </w:rPr>
        <w:t>Vidurių užkietėjimas ir žarnų obstrukcija</w:t>
      </w:r>
    </w:p>
    <w:p w14:paraId="225486D2"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rPr>
        <w:t>Vidurių užkietėjimas yra žarnų obstrukcijos rizikos veiksnys. Gauta pranešimų apie vidurių užkietėjimą ir žarnų obstrukciją, pasireiškusius vartojant kvetiapiną (žr. 4.8 skyrių). Tarp šių pranešimų yra ir mirties atvejų, įvykusių buvus didesnei žarnų obstrukcijos rizikai, t.y. kartu daugelį žarnų peristaltiką lėtinančių vaistų vartojusiems ir (arba) galėjusiems nepranešti apie pasireiškusius vidurių užkietėjimo simptomus pacientams. Pasireiškus žarnų obstrukcijai arba nepraeinamumui, pacientą reikia atidžiai stebėti ir skubiai gydyti.</w:t>
      </w:r>
    </w:p>
    <w:p w14:paraId="1FC4DF16" w14:textId="77777777" w:rsidR="00506BE7" w:rsidRDefault="00506BE7">
      <w:pPr>
        <w:widowControl w:val="0"/>
        <w:spacing w:after="0" w:line="240" w:lineRule="auto"/>
        <w:rPr>
          <w:rFonts w:ascii="Times New Roman" w:eastAsia="Calibri" w:hAnsi="Times New Roman" w:cs="Times New Roman"/>
          <w:i/>
        </w:rPr>
      </w:pPr>
    </w:p>
    <w:p w14:paraId="5EAF1CB1" w14:textId="77777777" w:rsidR="00506BE7" w:rsidRDefault="008E332A">
      <w:pPr>
        <w:widowControl w:val="0"/>
        <w:spacing w:after="0" w:line="240" w:lineRule="auto"/>
        <w:rPr>
          <w:rFonts w:ascii="Times New Roman" w:eastAsia="Calibri" w:hAnsi="Times New Roman" w:cs="Times New Roman"/>
          <w:b/>
          <w:i/>
        </w:rPr>
      </w:pPr>
      <w:r>
        <w:rPr>
          <w:rFonts w:ascii="Times New Roman" w:eastAsia="Calibri" w:hAnsi="Times New Roman" w:cs="Times New Roman"/>
          <w:b/>
          <w:i/>
        </w:rPr>
        <w:t>Venų tromboembolija (VTE</w:t>
      </w:r>
      <w:r>
        <w:rPr>
          <w:rFonts w:ascii="Times New Roman" w:eastAsia="Calibri" w:hAnsi="Times New Roman" w:cs="Times New Roman"/>
          <w:b/>
          <w:i/>
          <w:lang w:val="sl-SI"/>
        </w:rPr>
        <w:t>)</w:t>
      </w:r>
    </w:p>
    <w:p w14:paraId="7EEC99FF"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Užfiksuota venų tromboembolijos (VTE) atvejų vartojant vaistinių preparatų nuo psichozės. Šių vaistinių preparatų vartojantys pacientai dažnai turi įgytų VTE rizikos veiksnių, todėl prieš skiriant kvetiapino reikia nustatyti visus galimus rizikos veiksnius, o juo gydant – imtis profilaktikos priemonių.</w:t>
      </w:r>
    </w:p>
    <w:p w14:paraId="55DCDAD3" w14:textId="77777777" w:rsidR="00506BE7" w:rsidRDefault="00506BE7">
      <w:pPr>
        <w:widowControl w:val="0"/>
        <w:spacing w:after="0" w:line="240" w:lineRule="auto"/>
        <w:rPr>
          <w:rFonts w:ascii="Times New Roman" w:eastAsia="Calibri" w:hAnsi="Times New Roman" w:cs="Times New Roman"/>
        </w:rPr>
      </w:pPr>
    </w:p>
    <w:p w14:paraId="14C3AEFD" w14:textId="77777777" w:rsidR="00506BE7" w:rsidRDefault="008E332A">
      <w:pPr>
        <w:widowControl w:val="0"/>
        <w:spacing w:after="0" w:line="240" w:lineRule="auto"/>
        <w:rPr>
          <w:rFonts w:ascii="Times New Roman" w:eastAsia="Calibri" w:hAnsi="Times New Roman" w:cs="Times New Roman"/>
          <w:b/>
          <w:i/>
        </w:rPr>
      </w:pPr>
      <w:r>
        <w:rPr>
          <w:rFonts w:ascii="Times New Roman" w:eastAsia="Calibri" w:hAnsi="Times New Roman" w:cs="Times New Roman"/>
          <w:b/>
          <w:i/>
        </w:rPr>
        <w:t>Pankreatitas</w:t>
      </w:r>
    </w:p>
    <w:p w14:paraId="321CEDB0"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Klinikinių tyrimų metu ir </w:t>
      </w:r>
      <w:bookmarkStart w:id="18" w:name="OLE_LINK2"/>
      <w:r>
        <w:rPr>
          <w:rFonts w:ascii="Times New Roman" w:eastAsia="Calibri" w:hAnsi="Times New Roman" w:cs="Times New Roman"/>
          <w:color w:val="000000"/>
          <w:lang w:val="sl-SI"/>
        </w:rPr>
        <w:t xml:space="preserve">po vaistinio preparato </w:t>
      </w:r>
      <w:bookmarkEnd w:id="18"/>
      <w:r>
        <w:rPr>
          <w:rFonts w:ascii="Times New Roman" w:eastAsia="Calibri" w:hAnsi="Times New Roman" w:cs="Times New Roman"/>
          <w:color w:val="000000"/>
          <w:lang w:val="sl-SI"/>
        </w:rPr>
        <w:t>registracijos</w:t>
      </w:r>
      <w:r>
        <w:rPr>
          <w:rFonts w:ascii="Times New Roman" w:eastAsia="Calibri" w:hAnsi="Times New Roman" w:cs="Times New Roman"/>
        </w:rPr>
        <w:t>, gauta pranešimų apie pankreatitą. Pankreatito rizikos veiksnių nustatyta ne visaisatvejais,</w:t>
      </w:r>
      <w:r>
        <w:rPr>
          <w:rFonts w:ascii="Times New Roman" w:hAnsi="Times New Roman"/>
          <w:color w:val="000000"/>
          <w:lang w:val="sl-SI"/>
        </w:rPr>
        <w:t xml:space="preserve"> </w:t>
      </w:r>
      <w:r>
        <w:rPr>
          <w:rFonts w:ascii="Times New Roman" w:eastAsia="Calibri" w:hAnsi="Times New Roman" w:cs="Times New Roman"/>
          <w:color w:val="000000"/>
          <w:lang w:val="sl-SI"/>
        </w:rPr>
        <w:t>apie kuriuos pranešta po vaistinio preparato registracijos,</w:t>
      </w:r>
      <w:r>
        <w:rPr>
          <w:rFonts w:ascii="Times New Roman" w:eastAsia="Calibri" w:hAnsi="Times New Roman" w:cs="Times New Roman"/>
        </w:rPr>
        <w:t xml:space="preserve"> tačiau daugelis pacientų jų turėjo – tai buvo padidėjusi trigliceridų koncentracija (žr. 4.4 skyrių), tulžies pūslės akmenys, alkoholio vartojimas.</w:t>
      </w:r>
    </w:p>
    <w:p w14:paraId="1AD7413F" w14:textId="77777777" w:rsidR="00506BE7" w:rsidRDefault="00506BE7">
      <w:pPr>
        <w:widowControl w:val="0"/>
        <w:spacing w:after="0" w:line="240" w:lineRule="auto"/>
        <w:rPr>
          <w:rFonts w:ascii="Times New Roman" w:eastAsia="Calibri" w:hAnsi="Times New Roman" w:cs="Times New Roman"/>
        </w:rPr>
      </w:pPr>
    </w:p>
    <w:p w14:paraId="4EEECC3A" w14:textId="77777777" w:rsidR="00506BE7" w:rsidRDefault="008E332A">
      <w:pPr>
        <w:widowControl w:val="0"/>
        <w:spacing w:after="0" w:line="240" w:lineRule="auto"/>
        <w:outlineLvl w:val="5"/>
        <w:rPr>
          <w:rFonts w:ascii="Times New Roman" w:eastAsia="Calibri" w:hAnsi="Times New Roman" w:cs="Times New Roman"/>
          <w:b/>
          <w:i/>
        </w:rPr>
      </w:pPr>
      <w:r>
        <w:rPr>
          <w:rFonts w:ascii="Times New Roman" w:eastAsia="Calibri" w:hAnsi="Times New Roman" w:cs="Times New Roman"/>
          <w:b/>
          <w:i/>
        </w:rPr>
        <w:t>Papildoma informacija</w:t>
      </w:r>
    </w:p>
    <w:p w14:paraId="3A1DABB5" w14:textId="77777777" w:rsidR="00506BE7" w:rsidRDefault="008E332A">
      <w:pPr>
        <w:widowControl w:val="0"/>
        <w:overflowPunct w:val="0"/>
        <w:autoSpaceDE w:val="0"/>
        <w:autoSpaceDN w:val="0"/>
        <w:adjustRightInd w:val="0"/>
        <w:spacing w:after="0" w:line="240" w:lineRule="auto"/>
        <w:ind w:left="2" w:right="320"/>
        <w:rPr>
          <w:rFonts w:ascii="Times New Roman" w:eastAsia="Calibri" w:hAnsi="Times New Roman" w:cs="Times New Roman"/>
        </w:rPr>
      </w:pPr>
      <w:r>
        <w:rPr>
          <w:rFonts w:ascii="Times New Roman" w:eastAsia="Calibri" w:hAnsi="Times New Roman" w:cs="Times New Roman"/>
        </w:rPr>
        <w:t>Kvetiapino vartojimo kartu su divalproeksu ar ličiu, esant ūminiams vidutinio sunkumo ir sunkiems manijos epizodams, duomenų yra nedaug, tačiau šie deriniai buvo toleruojami gerai (žr. 4.8 ir 5.1 skyrius). Turimi duomenys rodo suminį jų poveikį po 3 savaičių.</w:t>
      </w:r>
    </w:p>
    <w:p w14:paraId="1F51020B" w14:textId="77777777" w:rsidR="00506BE7" w:rsidRDefault="00506BE7">
      <w:pPr>
        <w:widowControl w:val="0"/>
        <w:autoSpaceDE w:val="0"/>
        <w:autoSpaceDN w:val="0"/>
        <w:adjustRightInd w:val="0"/>
        <w:spacing w:after="0" w:line="240" w:lineRule="auto"/>
        <w:rPr>
          <w:rFonts w:ascii="Times New Roman" w:eastAsia="Calibri" w:hAnsi="Times New Roman" w:cs="Times New Roman"/>
        </w:rPr>
      </w:pPr>
    </w:p>
    <w:p w14:paraId="01C817D2" w14:textId="77777777" w:rsidR="00506BE7" w:rsidRDefault="008E332A">
      <w:pPr>
        <w:widowControl w:val="0"/>
        <w:tabs>
          <w:tab w:val="left" w:pos="567"/>
        </w:tabs>
        <w:spacing w:after="0" w:line="240" w:lineRule="auto"/>
        <w:rPr>
          <w:rFonts w:ascii="Times New Roman" w:eastAsia="Calibri" w:hAnsi="Times New Roman" w:cs="Times New Roman"/>
          <w:b/>
          <w:i/>
        </w:rPr>
      </w:pPr>
      <w:r>
        <w:rPr>
          <w:rFonts w:ascii="Times New Roman" w:eastAsia="Calibri" w:hAnsi="Times New Roman" w:cs="Times New Roman"/>
          <w:b/>
          <w:i/>
        </w:rPr>
        <w:t>Netinkamas naudojimas ir piktnaudžiavimas</w:t>
      </w:r>
    </w:p>
    <w:p w14:paraId="74469320" w14:textId="77777777" w:rsidR="00506BE7" w:rsidRDefault="008E332A">
      <w:pPr>
        <w:widowControl w:val="0"/>
        <w:spacing w:after="0" w:line="240" w:lineRule="auto"/>
        <w:rPr>
          <w:rFonts w:ascii="Times New Roman" w:eastAsia="Calibri" w:hAnsi="Times New Roman" w:cs="Times New Roman"/>
          <w:lang w:val="sl-SI"/>
        </w:rPr>
      </w:pPr>
      <w:r>
        <w:rPr>
          <w:rFonts w:ascii="Times New Roman" w:eastAsia="Calibri" w:hAnsi="Times New Roman" w:cs="Times New Roman"/>
          <w:lang w:val="sl-SI"/>
        </w:rPr>
        <w:t>Gauta pranešimų apie netinkamo vaistinio preparato vartojimo ir piktnaudžiavimo atvejus. Skiriant kvetiapino pacientams, kurie praeityje piktnaudžiavo alkoholiu arba vaistiniais preparatais, gali prireikti imtis atsargumo priemonių.</w:t>
      </w:r>
    </w:p>
    <w:p w14:paraId="5287298A" w14:textId="77777777" w:rsidR="00506BE7" w:rsidRDefault="00506BE7">
      <w:pPr>
        <w:widowControl w:val="0"/>
        <w:spacing w:after="0" w:line="240" w:lineRule="auto"/>
        <w:rPr>
          <w:rFonts w:ascii="Times New Roman" w:eastAsia="Calibri" w:hAnsi="Times New Roman" w:cs="Times New Roman"/>
          <w:lang w:val="sl-SI"/>
        </w:rPr>
      </w:pPr>
    </w:p>
    <w:p w14:paraId="265167BB" w14:textId="77777777" w:rsidR="00506BE7" w:rsidRDefault="008E332A">
      <w:pPr>
        <w:widowControl w:val="0"/>
        <w:autoSpaceDE w:val="0"/>
        <w:autoSpaceDN w:val="0"/>
        <w:adjustRightInd w:val="0"/>
        <w:spacing w:after="0" w:line="240" w:lineRule="auto"/>
        <w:ind w:left="2"/>
        <w:rPr>
          <w:rFonts w:ascii="Times New Roman" w:eastAsia="Calibri" w:hAnsi="Times New Roman" w:cs="Times New Roman"/>
          <w:b/>
          <w:i/>
        </w:rPr>
      </w:pPr>
      <w:r>
        <w:rPr>
          <w:rFonts w:ascii="Times New Roman" w:eastAsia="Calibri" w:hAnsi="Times New Roman" w:cs="Times New Roman"/>
          <w:b/>
          <w:i/>
        </w:rPr>
        <w:t>Laktozė</w:t>
      </w:r>
    </w:p>
    <w:p w14:paraId="1C05272F"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rPr>
        <w:lastRenderedPageBreak/>
        <w:t xml:space="preserve">Kventiax sudėtyje yra laktozės. Šio vaistinio preparato negalima vartoti pacientams, kuriems nustatytas retas paveldimas sutrikimas – galaktozės netoleravimas, </w:t>
      </w:r>
      <w:r>
        <w:rPr>
          <w:rFonts w:ascii="Times New Roman" w:eastAsia="Times New Roman" w:hAnsi="Times New Roman" w:cs="Times New Roman"/>
          <w:bCs/>
        </w:rPr>
        <w:t>visiškas</w:t>
      </w:r>
      <w:r>
        <w:rPr>
          <w:rFonts w:ascii="Times New Roman" w:eastAsia="Calibri" w:hAnsi="Times New Roman" w:cs="Times New Roman"/>
        </w:rPr>
        <w:t xml:space="preserve"> laktazės stygius arba gliukozės ir galaktozės malabsorbcija.</w:t>
      </w:r>
    </w:p>
    <w:p w14:paraId="0CBCFD09" w14:textId="77777777" w:rsidR="00506BE7" w:rsidRDefault="00506BE7">
      <w:pPr>
        <w:widowControl w:val="0"/>
        <w:spacing w:after="0" w:line="240" w:lineRule="auto"/>
        <w:rPr>
          <w:rFonts w:ascii="Times New Roman" w:eastAsia="Calibri" w:hAnsi="Times New Roman" w:cs="Times New Roman"/>
        </w:rPr>
      </w:pPr>
    </w:p>
    <w:p w14:paraId="4943F645"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i/>
        </w:rPr>
        <w:t>Natris</w:t>
      </w:r>
    </w:p>
    <w:p w14:paraId="4F4B9127" w14:textId="77777777" w:rsidR="00506BE7" w:rsidRDefault="008E332A">
      <w:pPr>
        <w:widowControl w:val="0"/>
        <w:spacing w:after="0" w:line="240" w:lineRule="auto"/>
        <w:rPr>
          <w:rFonts w:ascii="Times New Roman" w:eastAsia="Times New Roman" w:hAnsi="Times New Roman" w:cs="Times New Roman"/>
          <w:bCs/>
          <w:lang w:eastAsia="sl-SI"/>
        </w:rPr>
      </w:pPr>
      <w:r>
        <w:rPr>
          <w:rFonts w:ascii="Times New Roman" w:eastAsia="Calibri" w:hAnsi="Times New Roman" w:cs="Times New Roman"/>
          <w:i/>
        </w:rPr>
        <w:t xml:space="preserve">50 mg pailginto atpalaidavimo </w:t>
      </w:r>
      <w:r>
        <w:rPr>
          <w:rFonts w:ascii="Times New Roman" w:eastAsia="Times New Roman" w:hAnsi="Times New Roman" w:cs="Times New Roman"/>
          <w:bCs/>
          <w:i/>
          <w:lang w:eastAsia="sl-SI"/>
        </w:rPr>
        <w:t>tabletės</w:t>
      </w:r>
    </w:p>
    <w:p w14:paraId="210C6813" w14:textId="77777777" w:rsidR="00506BE7" w:rsidRDefault="008E332A">
      <w:pPr>
        <w:widowControl w:val="0"/>
        <w:spacing w:after="0" w:line="240" w:lineRule="auto"/>
        <w:rPr>
          <w:rFonts w:ascii="Times New Roman" w:eastAsia="Calibri" w:hAnsi="Times New Roman" w:cs="Times New Roman"/>
        </w:rPr>
      </w:pPr>
      <w:r>
        <w:rPr>
          <w:rFonts w:ascii="Times New Roman" w:eastAsia="Times New Roman" w:hAnsi="Times New Roman" w:cs="Times New Roman"/>
          <w:bCs/>
          <w:lang w:eastAsia="sl-SI"/>
        </w:rPr>
        <w:t xml:space="preserve">Šio vaistinio preparato </w:t>
      </w:r>
      <w:r>
        <w:rPr>
          <w:rFonts w:ascii="Times New Roman" w:eastAsia="Calibri" w:hAnsi="Times New Roman" w:cs="Times New Roman"/>
        </w:rPr>
        <w:t>tabletėje yra 8,44 mg natrio</w:t>
      </w:r>
      <w:r>
        <w:rPr>
          <w:rFonts w:ascii="Times New Roman" w:eastAsia="Times New Roman" w:hAnsi="Times New Roman" w:cs="Times New Roman"/>
          <w:bCs/>
          <w:lang w:eastAsia="sl-SI"/>
        </w:rPr>
        <w:t>,</w:t>
      </w:r>
      <w:r>
        <w:rPr>
          <w:rFonts w:ascii="Times New Roman" w:hAnsi="Times New Roman"/>
        </w:rPr>
        <w:t xml:space="preserve"> </w:t>
      </w:r>
      <w:r>
        <w:rPr>
          <w:rFonts w:ascii="Times New Roman" w:eastAsia="Times New Roman" w:hAnsi="Times New Roman" w:cs="Times New Roman"/>
          <w:bCs/>
          <w:lang w:eastAsia="sl-SI"/>
        </w:rPr>
        <w:t>tai atitinka 0,42 % didžiausios PSO rekomenduojamos paros normos suaugusiesiems, kuri yra 2 g natrio</w:t>
      </w:r>
      <w:r>
        <w:rPr>
          <w:rFonts w:ascii="Times New Roman" w:eastAsia="Calibri" w:hAnsi="Times New Roman" w:cs="Times New Roman"/>
        </w:rPr>
        <w:t>.</w:t>
      </w:r>
    </w:p>
    <w:p w14:paraId="740171BF" w14:textId="77777777" w:rsidR="00506BE7" w:rsidRDefault="00506BE7">
      <w:pPr>
        <w:widowControl w:val="0"/>
        <w:spacing w:after="0" w:line="240" w:lineRule="auto"/>
        <w:rPr>
          <w:rFonts w:ascii="Times New Roman" w:eastAsia="Times New Roman" w:hAnsi="Times New Roman" w:cs="Times New Roman"/>
          <w:bCs/>
          <w:lang w:eastAsia="sl-SI"/>
        </w:rPr>
      </w:pPr>
    </w:p>
    <w:p w14:paraId="7675AC36" w14:textId="77777777" w:rsidR="00506BE7" w:rsidRDefault="008E332A">
      <w:pPr>
        <w:widowControl w:val="0"/>
        <w:spacing w:after="0" w:line="240" w:lineRule="auto"/>
        <w:rPr>
          <w:rFonts w:ascii="Times New Roman" w:eastAsia="Times New Roman" w:hAnsi="Times New Roman" w:cs="Times New Roman"/>
          <w:bCs/>
        </w:rPr>
      </w:pPr>
      <w:r>
        <w:rPr>
          <w:rFonts w:ascii="Times New Roman" w:eastAsia="Calibri" w:hAnsi="Times New Roman" w:cs="Times New Roman"/>
          <w:i/>
        </w:rPr>
        <w:t xml:space="preserve">150 mg pailginto atpalaidavimo </w:t>
      </w:r>
      <w:r>
        <w:rPr>
          <w:rFonts w:ascii="Times New Roman" w:eastAsia="Times New Roman" w:hAnsi="Times New Roman" w:cs="Times New Roman"/>
          <w:bCs/>
          <w:i/>
        </w:rPr>
        <w:t>tabletės</w:t>
      </w:r>
    </w:p>
    <w:p w14:paraId="1B5C8F54" w14:textId="77777777" w:rsidR="00506BE7" w:rsidRDefault="008E332A">
      <w:pPr>
        <w:widowControl w:val="0"/>
        <w:spacing w:after="0" w:line="240" w:lineRule="auto"/>
        <w:rPr>
          <w:rFonts w:ascii="Times New Roman" w:eastAsia="Calibri" w:hAnsi="Times New Roman" w:cs="Times New Roman"/>
        </w:rPr>
      </w:pPr>
      <w:r>
        <w:rPr>
          <w:rFonts w:ascii="Times New Roman" w:eastAsia="Times New Roman" w:hAnsi="Times New Roman" w:cs="Times New Roman"/>
          <w:bCs/>
        </w:rPr>
        <w:t xml:space="preserve">Šio vaistinio preparato </w:t>
      </w:r>
      <w:r>
        <w:rPr>
          <w:rFonts w:ascii="Times New Roman" w:eastAsia="Calibri" w:hAnsi="Times New Roman" w:cs="Times New Roman"/>
        </w:rPr>
        <w:t>tabletėje yra 14,53 mg natrio</w:t>
      </w:r>
      <w:r>
        <w:rPr>
          <w:rFonts w:ascii="Times New Roman" w:eastAsia="Times New Roman" w:hAnsi="Times New Roman" w:cs="Times New Roman"/>
          <w:bCs/>
        </w:rPr>
        <w:t>,</w:t>
      </w:r>
      <w:r>
        <w:rPr>
          <w:rFonts w:ascii="Times New Roman" w:hAnsi="Times New Roman"/>
        </w:rPr>
        <w:t xml:space="preserve"> </w:t>
      </w:r>
      <w:r>
        <w:rPr>
          <w:rFonts w:ascii="Times New Roman" w:eastAsia="Times New Roman" w:hAnsi="Times New Roman" w:cs="Times New Roman"/>
          <w:bCs/>
        </w:rPr>
        <w:t>tai atitinka 0,73 % didžiausios PSO rekomenduojamos paros normos suaugusiesiems, kuri yra 2 g natrio</w:t>
      </w:r>
      <w:r>
        <w:rPr>
          <w:rFonts w:ascii="Times New Roman" w:eastAsia="Calibri" w:hAnsi="Times New Roman" w:cs="Times New Roman"/>
        </w:rPr>
        <w:t>.</w:t>
      </w:r>
    </w:p>
    <w:p w14:paraId="48F338CC" w14:textId="77777777" w:rsidR="00506BE7" w:rsidRDefault="00506BE7">
      <w:pPr>
        <w:widowControl w:val="0"/>
        <w:spacing w:after="0" w:line="240" w:lineRule="auto"/>
        <w:rPr>
          <w:rFonts w:ascii="Times New Roman" w:eastAsia="Times New Roman" w:hAnsi="Times New Roman" w:cs="Times New Roman"/>
          <w:b/>
          <w:bCs/>
        </w:rPr>
      </w:pPr>
    </w:p>
    <w:p w14:paraId="35D6B530" w14:textId="77777777" w:rsidR="00506BE7" w:rsidRDefault="008E332A">
      <w:pPr>
        <w:widowControl w:val="0"/>
        <w:spacing w:after="0" w:line="240" w:lineRule="auto"/>
        <w:rPr>
          <w:rFonts w:ascii="Times New Roman" w:eastAsia="Times New Roman" w:hAnsi="Times New Roman" w:cs="Times New Roman"/>
          <w:bCs/>
        </w:rPr>
      </w:pPr>
      <w:r>
        <w:rPr>
          <w:rFonts w:ascii="Times New Roman" w:eastAsia="Calibri" w:hAnsi="Times New Roman" w:cs="Times New Roman"/>
          <w:i/>
        </w:rPr>
        <w:t xml:space="preserve">200 mg pailginto atpalaidavimo </w:t>
      </w:r>
      <w:r>
        <w:rPr>
          <w:rFonts w:ascii="Times New Roman" w:eastAsia="Times New Roman" w:hAnsi="Times New Roman" w:cs="Times New Roman"/>
          <w:bCs/>
          <w:i/>
        </w:rPr>
        <w:t>tabletės</w:t>
      </w:r>
    </w:p>
    <w:p w14:paraId="08F1CC6E" w14:textId="77777777" w:rsidR="00506BE7" w:rsidRDefault="008E332A">
      <w:pPr>
        <w:widowControl w:val="0"/>
        <w:spacing w:after="0" w:line="240" w:lineRule="auto"/>
        <w:rPr>
          <w:rFonts w:ascii="Times New Roman" w:eastAsia="Calibri" w:hAnsi="Times New Roman" w:cs="Times New Roman"/>
          <w:b/>
        </w:rPr>
      </w:pPr>
      <w:r>
        <w:rPr>
          <w:rFonts w:ascii="Times New Roman" w:eastAsia="Times New Roman" w:hAnsi="Times New Roman" w:cs="Times New Roman"/>
          <w:bCs/>
        </w:rPr>
        <w:t xml:space="preserve">Šio vaistinio preparato </w:t>
      </w:r>
      <w:r>
        <w:rPr>
          <w:rFonts w:ascii="Times New Roman" w:eastAsia="Calibri" w:hAnsi="Times New Roman" w:cs="Times New Roman"/>
        </w:rPr>
        <w:t>tabletėje yra 19,38 mg natrio</w:t>
      </w:r>
      <w:r>
        <w:rPr>
          <w:rFonts w:ascii="Times New Roman" w:eastAsia="Times New Roman" w:hAnsi="Times New Roman" w:cs="Times New Roman"/>
          <w:bCs/>
        </w:rPr>
        <w:t>,</w:t>
      </w:r>
      <w:r>
        <w:rPr>
          <w:rFonts w:ascii="Times New Roman" w:hAnsi="Times New Roman"/>
        </w:rPr>
        <w:t xml:space="preserve"> </w:t>
      </w:r>
      <w:r>
        <w:rPr>
          <w:rFonts w:ascii="Times New Roman" w:eastAsia="Times New Roman" w:hAnsi="Times New Roman" w:cs="Times New Roman"/>
          <w:bCs/>
        </w:rPr>
        <w:t>tai atitinka 0,97 % didžiausios PSO rekomenduojamos paros normos suaugusiesiems, kuri yra 2 g natrio</w:t>
      </w:r>
      <w:r>
        <w:rPr>
          <w:rFonts w:ascii="Times New Roman" w:eastAsia="Calibri" w:hAnsi="Times New Roman" w:cs="Times New Roman"/>
        </w:rPr>
        <w:t>.</w:t>
      </w:r>
    </w:p>
    <w:p w14:paraId="3F3C5135" w14:textId="77777777" w:rsidR="00506BE7" w:rsidRDefault="00506BE7">
      <w:pPr>
        <w:widowControl w:val="0"/>
        <w:spacing w:after="0" w:line="240" w:lineRule="auto"/>
        <w:rPr>
          <w:rFonts w:ascii="Times New Roman" w:eastAsia="Times New Roman" w:hAnsi="Times New Roman" w:cs="Times New Roman"/>
          <w:b/>
          <w:bCs/>
          <w:lang w:val="sl-SI" w:eastAsia="sl-SI"/>
        </w:rPr>
      </w:pPr>
    </w:p>
    <w:p w14:paraId="08042F68" w14:textId="77777777" w:rsidR="00506BE7" w:rsidRDefault="008E332A">
      <w:pPr>
        <w:widowControl w:val="0"/>
        <w:spacing w:after="0" w:line="240" w:lineRule="auto"/>
        <w:rPr>
          <w:rFonts w:ascii="Times New Roman" w:eastAsia="Times New Roman" w:hAnsi="Times New Roman" w:cs="Times New Roman"/>
          <w:bCs/>
          <w:i/>
        </w:rPr>
      </w:pPr>
      <w:r>
        <w:rPr>
          <w:rFonts w:ascii="Times New Roman" w:eastAsia="Calibri" w:hAnsi="Times New Roman" w:cs="Times New Roman"/>
          <w:i/>
        </w:rPr>
        <w:t xml:space="preserve">300 mg pailginto atpalaidavimo </w:t>
      </w:r>
      <w:r>
        <w:rPr>
          <w:rFonts w:ascii="Times New Roman" w:eastAsia="Times New Roman" w:hAnsi="Times New Roman" w:cs="Times New Roman"/>
          <w:bCs/>
          <w:i/>
        </w:rPr>
        <w:t>tabletės</w:t>
      </w:r>
    </w:p>
    <w:p w14:paraId="239B5165" w14:textId="77777777" w:rsidR="00506BE7" w:rsidRDefault="008E332A">
      <w:pPr>
        <w:widowControl w:val="0"/>
        <w:spacing w:after="0" w:line="240" w:lineRule="auto"/>
        <w:rPr>
          <w:rFonts w:ascii="Times New Roman" w:eastAsia="Calibri" w:hAnsi="Times New Roman" w:cs="Times New Roman"/>
        </w:rPr>
      </w:pPr>
      <w:r>
        <w:rPr>
          <w:rFonts w:ascii="Times New Roman" w:eastAsia="Times New Roman" w:hAnsi="Times New Roman" w:cs="Times New Roman"/>
          <w:bCs/>
        </w:rPr>
        <w:t xml:space="preserve">Šio vaistinio preparato </w:t>
      </w:r>
      <w:r>
        <w:rPr>
          <w:rFonts w:ascii="Times New Roman" w:eastAsia="Calibri" w:hAnsi="Times New Roman" w:cs="Times New Roman"/>
        </w:rPr>
        <w:t>tabletėje yra 29,06 mg natrio</w:t>
      </w:r>
      <w:r>
        <w:rPr>
          <w:rFonts w:ascii="Times New Roman" w:eastAsia="Times New Roman" w:hAnsi="Times New Roman" w:cs="Times New Roman"/>
          <w:bCs/>
        </w:rPr>
        <w:t>,</w:t>
      </w:r>
      <w:r>
        <w:rPr>
          <w:rFonts w:ascii="Times New Roman" w:hAnsi="Times New Roman"/>
        </w:rPr>
        <w:t xml:space="preserve"> </w:t>
      </w:r>
      <w:r>
        <w:rPr>
          <w:rFonts w:ascii="Times New Roman" w:eastAsia="Times New Roman" w:hAnsi="Times New Roman" w:cs="Times New Roman"/>
          <w:bCs/>
        </w:rPr>
        <w:t>tai atitinka 1,45 % didžiausios PSO rekomenduojamos paros normos suaugusiesiems, kuri yra 2 g natrio</w:t>
      </w:r>
      <w:r>
        <w:rPr>
          <w:rFonts w:ascii="Times New Roman" w:eastAsia="Calibri" w:hAnsi="Times New Roman" w:cs="Times New Roman"/>
        </w:rPr>
        <w:t>.</w:t>
      </w:r>
    </w:p>
    <w:p w14:paraId="188E5467" w14:textId="77777777" w:rsidR="00506BE7" w:rsidRDefault="00506BE7">
      <w:pPr>
        <w:widowControl w:val="0"/>
        <w:spacing w:after="0" w:line="240" w:lineRule="auto"/>
        <w:rPr>
          <w:rFonts w:ascii="Times New Roman" w:eastAsia="Times New Roman" w:hAnsi="Times New Roman" w:cs="Times New Roman"/>
          <w:bCs/>
          <w:lang w:val="sl-SI" w:eastAsia="sl-SI"/>
        </w:rPr>
      </w:pPr>
    </w:p>
    <w:p w14:paraId="2748BC8D" w14:textId="77777777" w:rsidR="00506BE7" w:rsidRDefault="008E332A">
      <w:pPr>
        <w:widowControl w:val="0"/>
        <w:spacing w:after="0" w:line="240" w:lineRule="auto"/>
        <w:rPr>
          <w:rFonts w:ascii="Times New Roman" w:eastAsia="Times New Roman" w:hAnsi="Times New Roman" w:cs="Times New Roman"/>
          <w:bCs/>
          <w:i/>
          <w:lang w:val="sl-SI" w:eastAsia="sl-SI"/>
        </w:rPr>
      </w:pPr>
      <w:r>
        <w:rPr>
          <w:rFonts w:ascii="Times New Roman" w:eastAsia="Calibri" w:hAnsi="Times New Roman" w:cs="Times New Roman"/>
          <w:i/>
          <w:lang w:val="sl-SI"/>
        </w:rPr>
        <w:t xml:space="preserve">400 mg pailginto atpalaidavimo </w:t>
      </w:r>
      <w:r>
        <w:rPr>
          <w:rFonts w:ascii="Times New Roman" w:eastAsia="Times New Roman" w:hAnsi="Times New Roman" w:cs="Times New Roman"/>
          <w:bCs/>
          <w:i/>
          <w:lang w:val="sl-SI" w:eastAsia="sl-SI"/>
        </w:rPr>
        <w:t>tabletės</w:t>
      </w:r>
    </w:p>
    <w:p w14:paraId="2C762B7D" w14:textId="77777777" w:rsidR="00506BE7" w:rsidRDefault="008E332A">
      <w:pPr>
        <w:widowControl w:val="0"/>
        <w:spacing w:after="0" w:line="240" w:lineRule="auto"/>
        <w:rPr>
          <w:rFonts w:ascii="Times New Roman" w:eastAsia="Calibri" w:hAnsi="Times New Roman" w:cs="Times New Roman"/>
          <w:lang w:val="sl-SI"/>
        </w:rPr>
      </w:pPr>
      <w:r>
        <w:rPr>
          <w:rFonts w:ascii="Times New Roman" w:eastAsia="Times New Roman" w:hAnsi="Times New Roman" w:cs="Times New Roman"/>
          <w:bCs/>
          <w:lang w:val="sl-SI" w:eastAsia="sl-SI"/>
        </w:rPr>
        <w:t xml:space="preserve">Šio vaistinio preparato </w:t>
      </w:r>
      <w:r>
        <w:rPr>
          <w:rFonts w:ascii="Times New Roman" w:eastAsia="Calibri" w:hAnsi="Times New Roman" w:cs="Times New Roman"/>
          <w:lang w:val="sl-SI"/>
        </w:rPr>
        <w:t>tabletėje yra 23,46 mg natrio</w:t>
      </w:r>
      <w:r>
        <w:rPr>
          <w:rFonts w:ascii="Times New Roman" w:eastAsia="Times New Roman" w:hAnsi="Times New Roman" w:cs="Times New Roman"/>
          <w:bCs/>
          <w:lang w:val="sl-SI" w:eastAsia="sl-SI"/>
        </w:rPr>
        <w:t>,</w:t>
      </w:r>
      <w:r>
        <w:rPr>
          <w:rFonts w:ascii="Times New Roman" w:hAnsi="Times New Roman"/>
        </w:rPr>
        <w:t xml:space="preserve"> </w:t>
      </w:r>
      <w:r>
        <w:rPr>
          <w:rFonts w:ascii="Times New Roman" w:eastAsia="Times New Roman" w:hAnsi="Times New Roman" w:cs="Times New Roman"/>
          <w:bCs/>
        </w:rPr>
        <w:t>tai atitinka 1,17 % didžiausios PSO rekomenduojamos paros normos suaugusiesiems, kuri yra 2 g natrio</w:t>
      </w:r>
      <w:r>
        <w:rPr>
          <w:rFonts w:ascii="Times New Roman" w:eastAsia="Calibri" w:hAnsi="Times New Roman" w:cs="Times New Roman"/>
          <w:lang w:val="sl-SI"/>
        </w:rPr>
        <w:t>.</w:t>
      </w:r>
    </w:p>
    <w:p w14:paraId="4C6F3213" w14:textId="77777777" w:rsidR="00506BE7" w:rsidRDefault="00506BE7">
      <w:pPr>
        <w:widowControl w:val="0"/>
        <w:spacing w:after="0" w:line="240" w:lineRule="auto"/>
        <w:rPr>
          <w:rFonts w:ascii="Times New Roman" w:eastAsia="Calibri" w:hAnsi="Times New Roman" w:cs="Times New Roman"/>
        </w:rPr>
      </w:pPr>
    </w:p>
    <w:p w14:paraId="60E0F0AC" w14:textId="77777777" w:rsidR="00506BE7" w:rsidRDefault="008E332A">
      <w:pPr>
        <w:widowControl w:val="0"/>
        <w:spacing w:after="0" w:line="240" w:lineRule="auto"/>
        <w:ind w:left="540" w:hanging="540"/>
        <w:rPr>
          <w:rFonts w:ascii="Times New Roman" w:eastAsia="Calibri" w:hAnsi="Times New Roman" w:cs="Times New Roman"/>
          <w:b/>
        </w:rPr>
      </w:pPr>
      <w:bookmarkStart w:id="19" w:name="_Toc129243231"/>
      <w:bookmarkStart w:id="20" w:name="_Toc129243106"/>
      <w:r>
        <w:rPr>
          <w:rFonts w:ascii="Times New Roman" w:eastAsia="Calibri" w:hAnsi="Times New Roman" w:cs="Times New Roman"/>
          <w:b/>
        </w:rPr>
        <w:t>4.5</w:t>
      </w:r>
      <w:r>
        <w:rPr>
          <w:rFonts w:ascii="Times New Roman" w:eastAsia="Calibri" w:hAnsi="Times New Roman" w:cs="Times New Roman"/>
          <w:b/>
        </w:rPr>
        <w:tab/>
        <w:t>Sąveika su kitais vaistiniais preparatais ir kitokia sąveika</w:t>
      </w:r>
      <w:bookmarkEnd w:id="19"/>
      <w:bookmarkEnd w:id="20"/>
    </w:p>
    <w:p w14:paraId="307DD44C" w14:textId="77777777" w:rsidR="00506BE7" w:rsidRDefault="00506BE7">
      <w:pPr>
        <w:widowControl w:val="0"/>
        <w:spacing w:after="0" w:line="240" w:lineRule="auto"/>
        <w:rPr>
          <w:rFonts w:ascii="Times New Roman" w:eastAsia="Calibri" w:hAnsi="Times New Roman" w:cs="Times New Roman"/>
        </w:rPr>
      </w:pPr>
    </w:p>
    <w:p w14:paraId="66462AF8"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Atsižvelgiant į pagrindinį kvetiapino poveikį centrinei nervų sistemai (CNS), kartu su kitais centrinio veikimo vaistiniais preparatais ir alkoholiniais gėrimais jo reikia vartoti atsargiai.</w:t>
      </w:r>
    </w:p>
    <w:p w14:paraId="2CEB5140" w14:textId="77777777" w:rsidR="00506BE7" w:rsidRDefault="00506BE7">
      <w:pPr>
        <w:widowControl w:val="0"/>
        <w:spacing w:after="0" w:line="240" w:lineRule="auto"/>
        <w:rPr>
          <w:rFonts w:ascii="Times New Roman" w:eastAsia="SimSun" w:hAnsi="Times New Roman" w:cs="Times New Roman"/>
          <w:lang w:eastAsia="sl-SI"/>
        </w:rPr>
      </w:pPr>
    </w:p>
    <w:p w14:paraId="31095E04" w14:textId="5481C997" w:rsidR="00506BE7" w:rsidRDefault="008E332A">
      <w:pPr>
        <w:widowControl w:val="0"/>
        <w:spacing w:after="0" w:line="240" w:lineRule="auto"/>
        <w:rPr>
          <w:rFonts w:ascii="Times New Roman" w:eastAsia="Calibri" w:hAnsi="Times New Roman" w:cs="Times New Roman"/>
        </w:rPr>
      </w:pPr>
      <w:r>
        <w:rPr>
          <w:rFonts w:ascii="Times New Roman" w:eastAsia="SimSun" w:hAnsi="Times New Roman" w:cs="Times New Roman"/>
          <w:lang w:eastAsia="sl-SI"/>
        </w:rPr>
        <w:t xml:space="preserve">Kvetiapiną reikia atsargiai vartoti kartu su serotoninerginiais vaistiniais preparatais, tokiais kaip MAO inhibitoriai, selektyvūs serotonino reabsorbcijos inhibitoriai (SSRI), serotonino </w:t>
      </w:r>
      <w:r w:rsidR="00EB2BB5">
        <w:rPr>
          <w:rFonts w:ascii="Times New Roman" w:eastAsia="SimSun" w:hAnsi="Times New Roman" w:cs="Times New Roman"/>
          <w:lang w:eastAsia="sl-SI"/>
        </w:rPr>
        <w:t xml:space="preserve">ir </w:t>
      </w:r>
      <w:r>
        <w:rPr>
          <w:rFonts w:ascii="Times New Roman" w:eastAsia="SimSun" w:hAnsi="Times New Roman" w:cs="Times New Roman"/>
          <w:lang w:eastAsia="sl-SI"/>
        </w:rPr>
        <w:t>norepinefrino reabsorbcijos inhibitoriai (SNRI) arba tricikliai antidepresantai, nes</w:t>
      </w:r>
      <w:r w:rsidR="00EB2BB5" w:rsidRPr="00EB2BB5">
        <w:rPr>
          <w:rFonts w:ascii="Times New Roman" w:eastAsia="SimSun" w:hAnsi="Times New Roman" w:cs="Times New Roman"/>
          <w:lang w:eastAsia="sl-SI"/>
        </w:rPr>
        <w:t xml:space="preserve"> padidėja serotonino sindromo (sutrikimo, galinčio kelti pavojų gyvybei) išsivystymo rizika (žr. 4.4 skyrių)</w:t>
      </w:r>
      <w:r w:rsidR="00EB2BB5">
        <w:rPr>
          <w:rFonts w:ascii="Times New Roman" w:eastAsia="SimSun" w:hAnsi="Times New Roman" w:cs="Times New Roman"/>
          <w:lang w:eastAsia="sl-SI"/>
        </w:rPr>
        <w:t xml:space="preserve">. </w:t>
      </w:r>
    </w:p>
    <w:p w14:paraId="4F689FE3"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Kartu su kitais anticholinerginiais (antimuskarininiais) vaistiniais preparatais kvetiapino skiriama atsargiai (žr. 4.4 skyrių).</w:t>
      </w:r>
    </w:p>
    <w:p w14:paraId="7BCA9889" w14:textId="77777777" w:rsidR="00506BE7" w:rsidRDefault="00506BE7">
      <w:pPr>
        <w:widowControl w:val="0"/>
        <w:spacing w:after="0" w:line="240" w:lineRule="auto"/>
        <w:rPr>
          <w:rFonts w:ascii="Times New Roman" w:eastAsia="Calibri" w:hAnsi="Times New Roman" w:cs="Times New Roman"/>
        </w:rPr>
      </w:pPr>
    </w:p>
    <w:p w14:paraId="264AAE24" w14:textId="77777777" w:rsidR="00506BE7" w:rsidRDefault="008E332A">
      <w:pPr>
        <w:widowControl w:val="0"/>
        <w:overflowPunct w:val="0"/>
        <w:autoSpaceDE w:val="0"/>
        <w:autoSpaceDN w:val="0"/>
        <w:adjustRightInd w:val="0"/>
        <w:spacing w:after="0" w:line="240" w:lineRule="auto"/>
        <w:ind w:left="2" w:right="200"/>
        <w:rPr>
          <w:rFonts w:ascii="Times New Roman" w:eastAsia="Calibri" w:hAnsi="Times New Roman" w:cs="Times New Roman"/>
        </w:rPr>
      </w:pPr>
      <w:r>
        <w:rPr>
          <w:rFonts w:ascii="Times New Roman" w:eastAsia="Calibri" w:hAnsi="Times New Roman" w:cs="Times New Roman"/>
        </w:rPr>
        <w:t xml:space="preserve">Pagrindinis nuo citochromo P450 priklausomo kvetiapino metabolizmo fermentas yra citochromas P450 (CYP) 3A4. </w:t>
      </w:r>
      <w:r>
        <w:rPr>
          <w:rFonts w:ascii="Times New Roman" w:eastAsia="Calibri" w:hAnsi="Times New Roman" w:cs="Times New Roman"/>
          <w:color w:val="000000"/>
          <w:lang w:val="sl-SI"/>
        </w:rPr>
        <w:t xml:space="preserve">Sąveikos tyrimų metu sveikiems savanoriams kartu su kvetiapinu (25 mg) vartojant CYP3A4 inhibitorių ketokonazolą, kvetiapino AUC (plotas po koncentracijos kreive) padidėjo 5–8 kartus, todėl kartu su CYP3A4 inhibitoriais kvetiapino vartoti negalima. </w:t>
      </w:r>
      <w:r>
        <w:rPr>
          <w:rFonts w:ascii="Times New Roman" w:eastAsia="Calibri" w:hAnsi="Times New Roman" w:cs="Times New Roman"/>
        </w:rPr>
        <w:t>Be to, vartojant kvetiapino nerekomenduojama gerti greipfrutų sulčių.</w:t>
      </w:r>
    </w:p>
    <w:p w14:paraId="1A0763FC" w14:textId="77777777" w:rsidR="00506BE7" w:rsidRDefault="00506BE7">
      <w:pPr>
        <w:widowControl w:val="0"/>
        <w:spacing w:after="0" w:line="240" w:lineRule="auto"/>
        <w:rPr>
          <w:rFonts w:ascii="Times New Roman" w:eastAsia="Calibri" w:hAnsi="Times New Roman" w:cs="Times New Roman"/>
        </w:rPr>
      </w:pPr>
    </w:p>
    <w:p w14:paraId="28938A46" w14:textId="77777777" w:rsidR="00506BE7" w:rsidRDefault="008E332A">
      <w:pPr>
        <w:widowControl w:val="0"/>
        <w:overflowPunct w:val="0"/>
        <w:autoSpaceDE w:val="0"/>
        <w:autoSpaceDN w:val="0"/>
        <w:adjustRightInd w:val="0"/>
        <w:spacing w:after="0" w:line="240" w:lineRule="auto"/>
        <w:ind w:left="2"/>
        <w:rPr>
          <w:rFonts w:ascii="Times New Roman" w:eastAsia="Calibri" w:hAnsi="Times New Roman" w:cs="Times New Roman"/>
        </w:rPr>
      </w:pPr>
      <w:r>
        <w:rPr>
          <w:rFonts w:ascii="Times New Roman" w:eastAsia="Calibri" w:hAnsi="Times New Roman" w:cs="Times New Roman"/>
        </w:rPr>
        <w:t>Daugelio dozių tyrimo metu ištyrus atskirai, o paskui kartu su kepenų fermentų induktoriumi karbamazepinu vartoto kvetiapino farmakokinetiką pacientų organizme, nustatytas reikšmingai padidėjęs kvetiapino klirensas ir vidutiniškai 13 % sumažėjusi jo sisteminė ekspozicija (AUC), tačiau kai kuriems pacientams šis pokytis buvo didesnis. Dėl tokios sąveikos gali sumažėti kvetiapino koncentracija plazmoje ir jo veiksmingumas. Kartu vartojant kito mikrosominių fermentų induktoriaus – fenitoino, kvetiapino klirensas padidėjo maždaug 450 %. Kepenų fermentų induktorių vartojantiems pacientams kvetiapino skiriama tik tuomet, kai, gydytojo nuomone, šio vaistinio preparato palankus poveikis viršija pavojų, kylantį nutraukus kepenų fermentų induktoriaus vartojimą. Svarbu kepenų induktoriaus dozę keisti tik palaipsniui, o prireikus vietoje jo skirti kepenų fermentų neindukuojančio vaistinio preparato, pvz., natrio valproato (žr. 4.4 skyrių).</w:t>
      </w:r>
    </w:p>
    <w:p w14:paraId="3F2C5D19" w14:textId="77777777" w:rsidR="00506BE7" w:rsidRDefault="00506BE7">
      <w:pPr>
        <w:widowControl w:val="0"/>
        <w:autoSpaceDE w:val="0"/>
        <w:autoSpaceDN w:val="0"/>
        <w:adjustRightInd w:val="0"/>
        <w:spacing w:after="0" w:line="240" w:lineRule="auto"/>
        <w:rPr>
          <w:rFonts w:ascii="Times New Roman" w:eastAsia="Calibri" w:hAnsi="Times New Roman" w:cs="Times New Roman"/>
        </w:rPr>
      </w:pPr>
    </w:p>
    <w:p w14:paraId="23FC4E5E" w14:textId="77777777" w:rsidR="00506BE7" w:rsidRDefault="008E332A">
      <w:pPr>
        <w:widowControl w:val="0"/>
        <w:overflowPunct w:val="0"/>
        <w:autoSpaceDE w:val="0"/>
        <w:autoSpaceDN w:val="0"/>
        <w:adjustRightInd w:val="0"/>
        <w:spacing w:after="0" w:line="240" w:lineRule="auto"/>
        <w:ind w:left="2"/>
        <w:rPr>
          <w:rFonts w:ascii="Times New Roman" w:eastAsia="Calibri" w:hAnsi="Times New Roman" w:cs="Times New Roman"/>
        </w:rPr>
      </w:pPr>
      <w:r>
        <w:rPr>
          <w:rFonts w:ascii="Times New Roman" w:eastAsia="Calibri" w:hAnsi="Times New Roman" w:cs="Times New Roman"/>
        </w:rPr>
        <w:t>Kartu vartoti antidepresantai imipraminas (CYP2D6 inhibitorius) ir fluoksetinas (CYP3A4 ir CYP2D6 inhibitorius) reikšmingos įtakos kvetiapino farmakokinetikai neturėjo.</w:t>
      </w:r>
    </w:p>
    <w:p w14:paraId="21572E2A" w14:textId="77777777" w:rsidR="00506BE7" w:rsidRDefault="00506BE7">
      <w:pPr>
        <w:widowControl w:val="0"/>
        <w:autoSpaceDE w:val="0"/>
        <w:autoSpaceDN w:val="0"/>
        <w:adjustRightInd w:val="0"/>
        <w:spacing w:after="0" w:line="240" w:lineRule="auto"/>
        <w:rPr>
          <w:rFonts w:ascii="Times New Roman" w:eastAsia="Calibri" w:hAnsi="Times New Roman" w:cs="Times New Roman"/>
        </w:rPr>
      </w:pPr>
    </w:p>
    <w:p w14:paraId="2892B5B6" w14:textId="77777777" w:rsidR="00506BE7" w:rsidRDefault="008E332A">
      <w:pPr>
        <w:widowControl w:val="0"/>
        <w:overflowPunct w:val="0"/>
        <w:autoSpaceDE w:val="0"/>
        <w:autoSpaceDN w:val="0"/>
        <w:adjustRightInd w:val="0"/>
        <w:spacing w:after="0" w:line="240" w:lineRule="auto"/>
        <w:ind w:left="2" w:right="580"/>
        <w:jc w:val="both"/>
        <w:rPr>
          <w:rFonts w:ascii="Times New Roman" w:eastAsia="Calibri" w:hAnsi="Times New Roman" w:cs="Times New Roman"/>
        </w:rPr>
      </w:pPr>
      <w:r>
        <w:rPr>
          <w:rFonts w:ascii="Times New Roman" w:eastAsia="Calibri" w:hAnsi="Times New Roman" w:cs="Times New Roman"/>
        </w:rPr>
        <w:lastRenderedPageBreak/>
        <w:t>Kartu vartoti vaistiniai preparatai nuo psichozės risperidonas ir haloperidolis reikšmingos įtakos kvetiapino farmakokinetikai neturėjo. Kartu vartojant tioridazino, kvetiapino klirensas padidėjo maždaug 70 %.</w:t>
      </w:r>
    </w:p>
    <w:p w14:paraId="1F51C04A" w14:textId="77777777" w:rsidR="00506BE7" w:rsidRDefault="00506BE7">
      <w:pPr>
        <w:widowControl w:val="0"/>
        <w:autoSpaceDE w:val="0"/>
        <w:autoSpaceDN w:val="0"/>
        <w:adjustRightInd w:val="0"/>
        <w:spacing w:after="0" w:line="240" w:lineRule="auto"/>
        <w:rPr>
          <w:rFonts w:ascii="Times New Roman" w:eastAsia="Calibri" w:hAnsi="Times New Roman" w:cs="Times New Roman"/>
        </w:rPr>
      </w:pPr>
    </w:p>
    <w:p w14:paraId="1E4AA110" w14:textId="77777777" w:rsidR="00506BE7" w:rsidRDefault="008E332A">
      <w:pPr>
        <w:widowControl w:val="0"/>
        <w:autoSpaceDE w:val="0"/>
        <w:autoSpaceDN w:val="0"/>
        <w:adjustRightInd w:val="0"/>
        <w:spacing w:after="0" w:line="240" w:lineRule="auto"/>
        <w:ind w:left="2"/>
        <w:rPr>
          <w:rFonts w:ascii="Times New Roman" w:eastAsia="Calibri" w:hAnsi="Times New Roman" w:cs="Times New Roman"/>
        </w:rPr>
      </w:pPr>
      <w:r>
        <w:rPr>
          <w:rFonts w:ascii="Times New Roman" w:eastAsia="Calibri" w:hAnsi="Times New Roman" w:cs="Times New Roman"/>
        </w:rPr>
        <w:t>Kartu vartotas cimetidinas įtakos kvetiapino farmakokinetikai neturėjo.</w:t>
      </w:r>
    </w:p>
    <w:p w14:paraId="3011B5E9" w14:textId="77777777" w:rsidR="00506BE7" w:rsidRDefault="00506BE7">
      <w:pPr>
        <w:widowControl w:val="0"/>
        <w:autoSpaceDE w:val="0"/>
        <w:autoSpaceDN w:val="0"/>
        <w:adjustRightInd w:val="0"/>
        <w:spacing w:after="0" w:line="240" w:lineRule="auto"/>
        <w:rPr>
          <w:rFonts w:ascii="Times New Roman" w:eastAsia="Calibri" w:hAnsi="Times New Roman" w:cs="Times New Roman"/>
        </w:rPr>
      </w:pPr>
    </w:p>
    <w:p w14:paraId="327C6FFB"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Kartu vartotas kvetiapinas įtakos ličio farmakokinetikai neturėjo.</w:t>
      </w:r>
    </w:p>
    <w:p w14:paraId="6AE0BCD5" w14:textId="77777777" w:rsidR="00506BE7" w:rsidRDefault="00506BE7">
      <w:pPr>
        <w:widowControl w:val="0"/>
        <w:spacing w:after="0" w:line="240" w:lineRule="auto"/>
        <w:rPr>
          <w:rFonts w:ascii="Times New Roman" w:eastAsia="Calibri" w:hAnsi="Times New Roman" w:cs="Times New Roman"/>
        </w:rPr>
      </w:pPr>
    </w:p>
    <w:p w14:paraId="4AB9309D"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6 savaičių trukmės atsitiktinės atrankos tyrimo metu palyginus ličio ir kvetiapino derinio poveikį ūmine manija sergantiems suaugusiems pacientams su placebo ir kvetiapino derinio poveikiu, papildomo gydymo ličiu grupės pacientams dažniau negu papildomo gydymo placebo grupės, dažniau atsirado ekstrapiramidinių sutrikimų (ypač tremoras), mieguistumas ir svorio prieaugis (žr. 5.1 skyrių).</w:t>
      </w:r>
    </w:p>
    <w:p w14:paraId="3D8ACCFA" w14:textId="77777777" w:rsidR="00506BE7" w:rsidRDefault="00506BE7">
      <w:pPr>
        <w:widowControl w:val="0"/>
        <w:spacing w:after="0" w:line="240" w:lineRule="auto"/>
        <w:rPr>
          <w:rFonts w:ascii="Times New Roman" w:eastAsia="Calibri" w:hAnsi="Times New Roman" w:cs="Times New Roman"/>
        </w:rPr>
      </w:pPr>
    </w:p>
    <w:p w14:paraId="10E679C6"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Kartu vartojami natrio valproatas ir kvetiapinas kliniškai reikšmingos įtakos vienas kito farmakokinetikai neturėjo. Retrospektyviojo vaikų ir paauglių, vartojusių valproato, kvetiapino arba jų abiejų, tyrimo metu leukopenija ir neutropenija šių vaistinių preparatų derinio grupės pacientams pasireiškė dažniau negu bet kurios monoterapijos grupės.</w:t>
      </w:r>
    </w:p>
    <w:p w14:paraId="74DA6A6E" w14:textId="77777777" w:rsidR="00506BE7" w:rsidRDefault="00506BE7">
      <w:pPr>
        <w:widowControl w:val="0"/>
        <w:spacing w:after="0" w:line="240" w:lineRule="auto"/>
        <w:rPr>
          <w:rFonts w:ascii="Times New Roman" w:eastAsia="Calibri" w:hAnsi="Times New Roman" w:cs="Times New Roman"/>
        </w:rPr>
      </w:pPr>
    </w:p>
    <w:p w14:paraId="7A32056E"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Oficialių sąveikos su dažnai vartojamais širdies ir kraujagyslių sistemą veikiančiais vaistiniais preparatais tyrimų neatlikta.</w:t>
      </w:r>
    </w:p>
    <w:p w14:paraId="6C073662" w14:textId="77777777" w:rsidR="00506BE7" w:rsidRDefault="00506BE7">
      <w:pPr>
        <w:widowControl w:val="0"/>
        <w:spacing w:after="0" w:line="240" w:lineRule="auto"/>
        <w:rPr>
          <w:rFonts w:ascii="Times New Roman" w:eastAsia="Calibri" w:hAnsi="Times New Roman" w:cs="Times New Roman"/>
        </w:rPr>
      </w:pPr>
    </w:p>
    <w:p w14:paraId="6BBE3D51"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Kartu su vaistiniais preparatais, kurie trikdo elektrolitų pusiausvyrą arba ilgina QT intervalą, kvetiapino skiriama atsargiai.</w:t>
      </w:r>
    </w:p>
    <w:p w14:paraId="7C434608" w14:textId="77777777" w:rsidR="00506BE7" w:rsidRDefault="00506BE7">
      <w:pPr>
        <w:widowControl w:val="0"/>
        <w:spacing w:after="0" w:line="240" w:lineRule="auto"/>
        <w:rPr>
          <w:rFonts w:ascii="Times New Roman" w:eastAsia="Calibri" w:hAnsi="Times New Roman" w:cs="Times New Roman"/>
        </w:rPr>
      </w:pPr>
    </w:p>
    <w:p w14:paraId="3BE2999E"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Gauta pranešimų apie klaidingai teigiamus metadono ir triciklių antidepresantų imunofermentinių tyrimų duomenis kvetiapiną vartojantiems pacientams. Abejotinus imunofermentinių tyrimų duomenis rekomenduojama patvirtinti tinkamais chromatografiniais metodais.</w:t>
      </w:r>
    </w:p>
    <w:p w14:paraId="7F2C0DD9" w14:textId="77777777" w:rsidR="00506BE7" w:rsidRDefault="00506BE7">
      <w:pPr>
        <w:widowControl w:val="0"/>
        <w:spacing w:after="0" w:line="240" w:lineRule="auto"/>
        <w:rPr>
          <w:rFonts w:ascii="Times New Roman" w:eastAsia="Calibri" w:hAnsi="Times New Roman" w:cs="Times New Roman"/>
        </w:rPr>
      </w:pPr>
    </w:p>
    <w:p w14:paraId="581C3AA9" w14:textId="77777777" w:rsidR="00506BE7" w:rsidRDefault="008E332A">
      <w:pPr>
        <w:widowControl w:val="0"/>
        <w:spacing w:after="0" w:line="240" w:lineRule="auto"/>
        <w:ind w:left="540" w:hanging="540"/>
        <w:rPr>
          <w:rFonts w:ascii="Times New Roman" w:eastAsia="Calibri" w:hAnsi="Times New Roman" w:cs="Times New Roman"/>
          <w:b/>
        </w:rPr>
      </w:pPr>
      <w:bookmarkStart w:id="21" w:name="_Toc129243232"/>
      <w:bookmarkStart w:id="22" w:name="_Toc129243107"/>
      <w:r>
        <w:rPr>
          <w:rFonts w:ascii="Times New Roman" w:eastAsia="Calibri" w:hAnsi="Times New Roman" w:cs="Times New Roman"/>
          <w:b/>
        </w:rPr>
        <w:t>4.6</w:t>
      </w:r>
      <w:r>
        <w:rPr>
          <w:rFonts w:ascii="Times New Roman" w:eastAsia="Calibri" w:hAnsi="Times New Roman" w:cs="Times New Roman"/>
          <w:b/>
        </w:rPr>
        <w:tab/>
        <w:t>Vaisingumas, nėštumo ir žindymo laikotarpis</w:t>
      </w:r>
      <w:bookmarkEnd w:id="21"/>
      <w:bookmarkEnd w:id="22"/>
    </w:p>
    <w:p w14:paraId="4E0356E9" w14:textId="77777777" w:rsidR="00506BE7" w:rsidRDefault="00506BE7">
      <w:pPr>
        <w:widowControl w:val="0"/>
        <w:spacing w:after="0" w:line="240" w:lineRule="auto"/>
        <w:rPr>
          <w:rFonts w:ascii="Times New Roman" w:eastAsia="Calibri" w:hAnsi="Times New Roman" w:cs="Times New Roman"/>
        </w:rPr>
      </w:pPr>
    </w:p>
    <w:p w14:paraId="712A0999" w14:textId="77777777" w:rsidR="00506BE7" w:rsidRDefault="008E332A">
      <w:pPr>
        <w:widowControl w:val="0"/>
        <w:autoSpaceDE w:val="0"/>
        <w:autoSpaceDN w:val="0"/>
        <w:adjustRightInd w:val="0"/>
        <w:spacing w:after="0" w:line="240" w:lineRule="auto"/>
        <w:ind w:left="2"/>
        <w:rPr>
          <w:rFonts w:ascii="Times New Roman" w:eastAsia="Calibri" w:hAnsi="Times New Roman" w:cs="Times New Roman"/>
          <w:u w:val="single"/>
        </w:rPr>
      </w:pPr>
      <w:r>
        <w:rPr>
          <w:rFonts w:ascii="Times New Roman" w:eastAsia="Calibri" w:hAnsi="Times New Roman" w:cs="Times New Roman"/>
          <w:u w:val="single"/>
        </w:rPr>
        <w:t>Nėštumas</w:t>
      </w:r>
    </w:p>
    <w:p w14:paraId="74BF346E" w14:textId="77777777" w:rsidR="00506BE7" w:rsidRDefault="008E332A">
      <w:pPr>
        <w:widowControl w:val="0"/>
        <w:autoSpaceDE w:val="0"/>
        <w:autoSpaceDN w:val="0"/>
        <w:adjustRightInd w:val="0"/>
        <w:spacing w:after="0" w:line="240" w:lineRule="auto"/>
        <w:ind w:left="2"/>
        <w:rPr>
          <w:rFonts w:ascii="Times New Roman" w:eastAsia="Calibri" w:hAnsi="Times New Roman" w:cs="Times New Roman"/>
          <w:i/>
        </w:rPr>
      </w:pPr>
      <w:r>
        <w:rPr>
          <w:rFonts w:ascii="Times New Roman" w:eastAsia="Calibri" w:hAnsi="Times New Roman" w:cs="Times New Roman"/>
          <w:i/>
        </w:rPr>
        <w:t>Pirmasis trimestras</w:t>
      </w:r>
    </w:p>
    <w:p w14:paraId="664B57EB" w14:textId="77777777" w:rsidR="00506BE7" w:rsidRDefault="008E332A">
      <w:pPr>
        <w:widowControl w:val="0"/>
        <w:overflowPunct w:val="0"/>
        <w:autoSpaceDE w:val="0"/>
        <w:autoSpaceDN w:val="0"/>
        <w:adjustRightInd w:val="0"/>
        <w:spacing w:after="0" w:line="240" w:lineRule="auto"/>
        <w:ind w:left="2" w:right="20"/>
        <w:rPr>
          <w:rFonts w:ascii="Times New Roman" w:eastAsia="Calibri" w:hAnsi="Times New Roman" w:cs="Times New Roman"/>
        </w:rPr>
      </w:pPr>
      <w:r>
        <w:rPr>
          <w:rFonts w:ascii="Times New Roman" w:eastAsia="Calibri" w:hAnsi="Times New Roman" w:cs="Times New Roman"/>
        </w:rPr>
        <w:t>Nedidelis kiekis publikuotų duomenų (apie 300 – 1000 nėštumų baigtis), įskaitant atskirus pranešimus ir kelis stebėjimo tyrimus, kvetiapino sukeliamo apsigimimų rizikos padidėjimo nerodo. Vis dėlto visi turimi duomenys daryti tvirtų išvadų neleidžia. Su gyvūnais atlikti tyrimai parodė toksinį poveikį reprodukcijai (žr. 5.3 skyrių). Dėl to nėščiosioms kvetiapino skiriama tik tada, kai laukiamas palankus poveikis viršija galimus pavojus.</w:t>
      </w:r>
    </w:p>
    <w:p w14:paraId="7378CB3A" w14:textId="77777777" w:rsidR="00506BE7" w:rsidRDefault="00506BE7">
      <w:pPr>
        <w:widowControl w:val="0"/>
        <w:autoSpaceDE w:val="0"/>
        <w:autoSpaceDN w:val="0"/>
        <w:adjustRightInd w:val="0"/>
        <w:spacing w:after="0" w:line="240" w:lineRule="auto"/>
        <w:rPr>
          <w:rFonts w:ascii="Times New Roman" w:eastAsia="Calibri" w:hAnsi="Times New Roman" w:cs="Times New Roman"/>
        </w:rPr>
      </w:pPr>
    </w:p>
    <w:p w14:paraId="7C196FBF" w14:textId="77777777" w:rsidR="00506BE7" w:rsidRDefault="008E332A">
      <w:pPr>
        <w:widowControl w:val="0"/>
        <w:autoSpaceDE w:val="0"/>
        <w:autoSpaceDN w:val="0"/>
        <w:adjustRightInd w:val="0"/>
        <w:spacing w:after="0" w:line="240" w:lineRule="auto"/>
        <w:ind w:left="2"/>
        <w:rPr>
          <w:rFonts w:ascii="Times New Roman" w:eastAsia="Calibri" w:hAnsi="Times New Roman" w:cs="Times New Roman"/>
        </w:rPr>
      </w:pPr>
      <w:r>
        <w:rPr>
          <w:rFonts w:ascii="Times New Roman" w:eastAsia="Calibri" w:hAnsi="Times New Roman" w:cs="Times New Roman"/>
          <w:i/>
        </w:rPr>
        <w:t>Trečiasis trimestras</w:t>
      </w:r>
    </w:p>
    <w:p w14:paraId="76E0E001" w14:textId="77777777" w:rsidR="00506BE7" w:rsidRDefault="008E332A">
      <w:pPr>
        <w:widowControl w:val="0"/>
        <w:overflowPunct w:val="0"/>
        <w:autoSpaceDE w:val="0"/>
        <w:autoSpaceDN w:val="0"/>
        <w:adjustRightInd w:val="0"/>
        <w:spacing w:after="0" w:line="240" w:lineRule="auto"/>
        <w:ind w:left="2" w:right="60"/>
        <w:rPr>
          <w:rFonts w:ascii="Times New Roman" w:eastAsia="Calibri" w:hAnsi="Times New Roman" w:cs="Times New Roman"/>
        </w:rPr>
      </w:pPr>
      <w:r>
        <w:rPr>
          <w:rFonts w:ascii="Times New Roman" w:eastAsia="Calibri" w:hAnsi="Times New Roman" w:cs="Times New Roman"/>
        </w:rPr>
        <w:t xml:space="preserve">Vaistinių preparatų nuo psichozės, įskaitant kvetiapiną, trečią nėštumo trimestrą paveiktiems naujagimiams kyla nepageidaujamų reakcijų (ekstrapiraminių ir </w:t>
      </w:r>
      <w:r>
        <w:rPr>
          <w:rFonts w:ascii="Times New Roman" w:eastAsia="Calibri" w:hAnsi="Times New Roman" w:cs="Times New Roman"/>
          <w:color w:val="000000"/>
          <w:lang w:val="sl-SI"/>
        </w:rPr>
        <w:t xml:space="preserve">(arba) </w:t>
      </w:r>
      <w:r>
        <w:rPr>
          <w:rFonts w:ascii="Times New Roman" w:eastAsia="Calibri" w:hAnsi="Times New Roman" w:cs="Times New Roman"/>
        </w:rPr>
        <w:t>nutraukimo simptomų, kurie gali būti įvairaus intensyvumo ir trukmės po gimimo) pavojus. Gauta pranešimų apie sujaudinimą, padidėjusį raumenų tonusą, sumažėjusį raumenų tonusą, tremorą, mieguistumą, kvėpavimo distresą ir maitinimo sutrikimą, todėl naujagimius reikia atidžiai stebėti.</w:t>
      </w:r>
    </w:p>
    <w:p w14:paraId="2BFE7CAD" w14:textId="77777777" w:rsidR="00506BE7" w:rsidRDefault="00506BE7">
      <w:pPr>
        <w:widowControl w:val="0"/>
        <w:autoSpaceDE w:val="0"/>
        <w:autoSpaceDN w:val="0"/>
        <w:adjustRightInd w:val="0"/>
        <w:spacing w:after="0" w:line="240" w:lineRule="auto"/>
        <w:rPr>
          <w:rFonts w:ascii="Times New Roman" w:eastAsia="Calibri" w:hAnsi="Times New Roman" w:cs="Times New Roman"/>
        </w:rPr>
      </w:pPr>
    </w:p>
    <w:p w14:paraId="5D01CB7E" w14:textId="77777777" w:rsidR="00506BE7" w:rsidRDefault="008E332A">
      <w:pPr>
        <w:widowControl w:val="0"/>
        <w:autoSpaceDE w:val="0"/>
        <w:autoSpaceDN w:val="0"/>
        <w:adjustRightInd w:val="0"/>
        <w:spacing w:after="0" w:line="240" w:lineRule="auto"/>
        <w:ind w:left="2"/>
        <w:rPr>
          <w:rFonts w:ascii="Times New Roman" w:eastAsia="Calibri" w:hAnsi="Times New Roman" w:cs="Times New Roman"/>
          <w:u w:val="single"/>
        </w:rPr>
      </w:pPr>
      <w:r>
        <w:rPr>
          <w:rFonts w:ascii="Times New Roman" w:eastAsia="Calibri" w:hAnsi="Times New Roman" w:cs="Times New Roman"/>
          <w:u w:val="single"/>
        </w:rPr>
        <w:t>Žindymas</w:t>
      </w:r>
    </w:p>
    <w:p w14:paraId="28E88807" w14:textId="77777777" w:rsidR="00506BE7" w:rsidRDefault="008E332A">
      <w:pPr>
        <w:widowControl w:val="0"/>
        <w:overflowPunct w:val="0"/>
        <w:autoSpaceDE w:val="0"/>
        <w:autoSpaceDN w:val="0"/>
        <w:adjustRightInd w:val="0"/>
        <w:spacing w:after="0" w:line="240" w:lineRule="auto"/>
        <w:ind w:left="2" w:right="80"/>
        <w:rPr>
          <w:rFonts w:ascii="Times New Roman" w:eastAsia="Calibri" w:hAnsi="Times New Roman" w:cs="Times New Roman"/>
        </w:rPr>
      </w:pPr>
      <w:r>
        <w:rPr>
          <w:rFonts w:ascii="Times New Roman" w:eastAsia="Calibri" w:hAnsi="Times New Roman" w:cs="Times New Roman"/>
        </w:rPr>
        <w:t>Remiantis labai nedideliu publikuotų pranešimų apie kvetiapino išskyrimą į moters pieną duomenų kiekiu, informacija apie terapinėmis dozėmis vartojamo kvetiapino išskyrimą yra prieštaringa. Nesant patikimų duomenų būtina nuspręsti, ar nutraukti žindymą, ar Kventiax vartojimą atsižvelgiant į žindymo naudą kūdikiui ir gydymo naudą motinai.</w:t>
      </w:r>
    </w:p>
    <w:p w14:paraId="7BB7338E" w14:textId="77777777" w:rsidR="00506BE7" w:rsidRDefault="00506BE7">
      <w:pPr>
        <w:widowControl w:val="0"/>
        <w:autoSpaceDE w:val="0"/>
        <w:autoSpaceDN w:val="0"/>
        <w:adjustRightInd w:val="0"/>
        <w:spacing w:after="0" w:line="240" w:lineRule="auto"/>
        <w:rPr>
          <w:rFonts w:ascii="Times New Roman" w:eastAsia="Calibri" w:hAnsi="Times New Roman" w:cs="Times New Roman"/>
        </w:rPr>
      </w:pPr>
    </w:p>
    <w:p w14:paraId="3E41C593" w14:textId="77777777" w:rsidR="00506BE7" w:rsidRDefault="008E332A">
      <w:pPr>
        <w:widowControl w:val="0"/>
        <w:autoSpaceDE w:val="0"/>
        <w:autoSpaceDN w:val="0"/>
        <w:adjustRightInd w:val="0"/>
        <w:spacing w:after="0" w:line="240" w:lineRule="auto"/>
        <w:ind w:left="2"/>
        <w:rPr>
          <w:rFonts w:ascii="Times New Roman" w:eastAsia="Calibri" w:hAnsi="Times New Roman" w:cs="Times New Roman"/>
          <w:u w:val="single"/>
        </w:rPr>
      </w:pPr>
      <w:r>
        <w:rPr>
          <w:rFonts w:ascii="Times New Roman" w:eastAsia="Calibri" w:hAnsi="Times New Roman" w:cs="Times New Roman"/>
          <w:u w:val="single"/>
        </w:rPr>
        <w:t>Vaisingumas</w:t>
      </w:r>
    </w:p>
    <w:p w14:paraId="7C455CF5"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Kvetiapino poveikis žmogaus vaisingumui netirtas. Žiurkėms nustatytas su padidėjusia prolaktino koncentracija susijęs poveikis, tačiau tiesioginės reikšmės žmonėms jis neturi (žr. 5.3 skyrių).</w:t>
      </w:r>
    </w:p>
    <w:p w14:paraId="0C0C2AED" w14:textId="77777777" w:rsidR="00506BE7" w:rsidRDefault="00506BE7">
      <w:pPr>
        <w:widowControl w:val="0"/>
        <w:spacing w:after="0" w:line="240" w:lineRule="auto"/>
        <w:rPr>
          <w:rFonts w:ascii="Times New Roman" w:eastAsia="Calibri" w:hAnsi="Times New Roman" w:cs="Times New Roman"/>
        </w:rPr>
      </w:pPr>
    </w:p>
    <w:p w14:paraId="49D78CC1" w14:textId="77777777" w:rsidR="00506BE7" w:rsidRDefault="008E332A">
      <w:pPr>
        <w:widowControl w:val="0"/>
        <w:spacing w:after="0" w:line="240" w:lineRule="auto"/>
        <w:ind w:left="540" w:hanging="540"/>
        <w:rPr>
          <w:rFonts w:ascii="Times New Roman" w:eastAsia="Calibri" w:hAnsi="Times New Roman" w:cs="Times New Roman"/>
          <w:b/>
        </w:rPr>
      </w:pPr>
      <w:bookmarkStart w:id="23" w:name="_Toc129243233"/>
      <w:bookmarkStart w:id="24" w:name="_Toc129243108"/>
      <w:r>
        <w:rPr>
          <w:rFonts w:ascii="Times New Roman" w:eastAsia="Calibri" w:hAnsi="Times New Roman" w:cs="Times New Roman"/>
          <w:b/>
        </w:rPr>
        <w:t>4.7</w:t>
      </w:r>
      <w:r>
        <w:rPr>
          <w:rFonts w:ascii="Times New Roman" w:eastAsia="Calibri" w:hAnsi="Times New Roman" w:cs="Times New Roman"/>
          <w:b/>
        </w:rPr>
        <w:tab/>
        <w:t>Poveikis gebėjimui vairuoti ir valdyti mechanizmus</w:t>
      </w:r>
      <w:bookmarkEnd w:id="23"/>
      <w:bookmarkEnd w:id="24"/>
    </w:p>
    <w:p w14:paraId="6D3FACF7" w14:textId="77777777" w:rsidR="00506BE7" w:rsidRDefault="00506BE7">
      <w:pPr>
        <w:widowControl w:val="0"/>
        <w:spacing w:after="0" w:line="240" w:lineRule="auto"/>
        <w:rPr>
          <w:rFonts w:ascii="Times New Roman" w:eastAsia="Calibri" w:hAnsi="Times New Roman" w:cs="Times New Roman"/>
        </w:rPr>
      </w:pPr>
    </w:p>
    <w:p w14:paraId="3EDB6C4D"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lastRenderedPageBreak/>
        <w:t>Atsižvelgiant į pagrindinį kvetiapino poveikį centrinei nervų sistemai, manoma kad šis vaistinis preparatas gali trikdyti veiklą, kuriai reikia sutelkto dėmesio. Dėl to pacientui reikia patarti, kad nevairuotų ir nevaldytų mechanizmų, kol paaiškės jo individualus jautrumas šio vaistinio preparato poveikiui.</w:t>
      </w:r>
    </w:p>
    <w:p w14:paraId="02D6A775" w14:textId="77777777" w:rsidR="00506BE7" w:rsidRDefault="00506BE7">
      <w:pPr>
        <w:widowControl w:val="0"/>
        <w:spacing w:after="0" w:line="240" w:lineRule="auto"/>
        <w:rPr>
          <w:rFonts w:ascii="Times New Roman" w:eastAsia="Calibri" w:hAnsi="Times New Roman" w:cs="Times New Roman"/>
        </w:rPr>
      </w:pPr>
    </w:p>
    <w:p w14:paraId="7FE2F30A" w14:textId="77777777" w:rsidR="00506BE7" w:rsidRDefault="008E332A">
      <w:pPr>
        <w:widowControl w:val="0"/>
        <w:spacing w:after="0" w:line="240" w:lineRule="auto"/>
        <w:ind w:left="540" w:hanging="540"/>
        <w:rPr>
          <w:rFonts w:ascii="Times New Roman" w:eastAsia="Calibri" w:hAnsi="Times New Roman" w:cs="Times New Roman"/>
          <w:b/>
        </w:rPr>
      </w:pPr>
      <w:bookmarkStart w:id="25" w:name="_Toc129243234"/>
      <w:bookmarkStart w:id="26" w:name="_Toc129243109"/>
      <w:r>
        <w:rPr>
          <w:rFonts w:ascii="Times New Roman" w:eastAsia="Calibri" w:hAnsi="Times New Roman" w:cs="Times New Roman"/>
          <w:b/>
        </w:rPr>
        <w:t>4.8</w:t>
      </w:r>
      <w:r>
        <w:rPr>
          <w:rFonts w:ascii="Times New Roman" w:eastAsia="Calibri" w:hAnsi="Times New Roman" w:cs="Times New Roman"/>
          <w:b/>
        </w:rPr>
        <w:tab/>
        <w:t>Nepageidaujamas poveikis</w:t>
      </w:r>
      <w:bookmarkEnd w:id="25"/>
      <w:bookmarkEnd w:id="26"/>
    </w:p>
    <w:p w14:paraId="4092C809" w14:textId="77777777" w:rsidR="00506BE7" w:rsidRDefault="00506BE7">
      <w:pPr>
        <w:widowControl w:val="0"/>
        <w:spacing w:after="0" w:line="240" w:lineRule="auto"/>
        <w:rPr>
          <w:rFonts w:ascii="Times New Roman" w:eastAsia="Calibri" w:hAnsi="Times New Roman" w:cs="Times New Roman"/>
        </w:rPr>
      </w:pPr>
    </w:p>
    <w:p w14:paraId="5A10E659" w14:textId="77777777" w:rsidR="00506BE7" w:rsidRDefault="008E332A">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Saugumo duomenų santrauka</w:t>
      </w:r>
    </w:p>
    <w:p w14:paraId="5561BF72" w14:textId="77777777" w:rsidR="00506BE7" w:rsidRDefault="008E332A">
      <w:pPr>
        <w:widowControl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Dažniausiai praneštos nepageidaujamos reakcijos į vaistinį preparatą (NRV), pasireiškusios vartojant kvetiapino (≥ 10 %), yra mieguistumas, svaigulys, galvos skausmas, sausa burna, nutraukimo simptomai, padidėjusi trigliceridų koncentracija serume, padidėjusi bendrojo (ypač MTL) cholesterolio koncentracija, sumažėjusi DTL cholesterolio koncentracija, svorio prieaugis, sumažėjusi hemoglobino koncentracija ir ekstrapiramidiniai simptomai.</w:t>
      </w:r>
    </w:p>
    <w:p w14:paraId="21FA4D76" w14:textId="77777777" w:rsidR="00506BE7" w:rsidRDefault="008E332A">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Calibri" w:hAnsi="Times New Roman" w:cs="Times New Roman"/>
          <w:lang w:val="sl-SI"/>
        </w:rPr>
        <w:t xml:space="preserve">Vartojant kvetiapiną, gauta pranešimų apie stipriai išreikštas odos nepageidaujamas reakcijas (angl. </w:t>
      </w:r>
      <w:r>
        <w:rPr>
          <w:rFonts w:ascii="Times New Roman" w:eastAsia="Calibri" w:hAnsi="Times New Roman" w:cs="Times New Roman"/>
          <w:i/>
          <w:lang w:val="sl-SI"/>
        </w:rPr>
        <w:t>severe cutaneous adverse reactions, SCARs</w:t>
      </w:r>
      <w:r>
        <w:rPr>
          <w:rFonts w:ascii="Times New Roman" w:eastAsia="Calibri" w:hAnsi="Times New Roman" w:cs="Times New Roman"/>
          <w:lang w:val="sl-SI"/>
        </w:rPr>
        <w:t xml:space="preserve">), įskaitant </w:t>
      </w:r>
      <w:r>
        <w:rPr>
          <w:rFonts w:ascii="Times New Roman" w:eastAsia="Calibri" w:hAnsi="Times New Roman" w:cs="Times New Roman"/>
        </w:rPr>
        <w:t>Stivenso-Džonsono</w:t>
      </w:r>
      <w:r>
        <w:rPr>
          <w:rFonts w:ascii="Times New Roman" w:eastAsia="Calibri" w:hAnsi="Times New Roman" w:cs="Times New Roman"/>
          <w:i/>
          <w:lang w:val="sl-SI"/>
        </w:rPr>
        <w:t xml:space="preserve"> (Stevens-Johnson) </w:t>
      </w:r>
      <w:r>
        <w:rPr>
          <w:rFonts w:ascii="Times New Roman" w:eastAsia="Calibri" w:hAnsi="Times New Roman" w:cs="Times New Roman"/>
          <w:lang w:val="sl-SI"/>
        </w:rPr>
        <w:t xml:space="preserve">sindromą (SJS), toksinę epidermio nekrolizę (TEN) ir reakciją į vaistą su eozinofilija ir sisteminiais simptomais (angl. </w:t>
      </w:r>
      <w:r>
        <w:rPr>
          <w:rFonts w:ascii="Times New Roman" w:eastAsia="Calibri" w:hAnsi="Times New Roman" w:cs="Times New Roman"/>
          <w:i/>
          <w:lang w:val="sl-SI"/>
        </w:rPr>
        <w:t>Drug Rash with Eosinophilia and Systemic Symptoms, DRESS</w:t>
      </w:r>
      <w:r>
        <w:rPr>
          <w:rFonts w:ascii="Times New Roman" w:eastAsia="Calibri" w:hAnsi="Times New Roman" w:cs="Times New Roman"/>
          <w:lang w:val="sl-SI"/>
        </w:rPr>
        <w:t>).</w:t>
      </w:r>
    </w:p>
    <w:p w14:paraId="1A7A6191" w14:textId="77777777" w:rsidR="00506BE7" w:rsidRDefault="00506BE7">
      <w:pPr>
        <w:widowControl w:val="0"/>
        <w:spacing w:after="0" w:line="240" w:lineRule="auto"/>
        <w:rPr>
          <w:rFonts w:ascii="Times New Roman" w:eastAsia="Calibri" w:hAnsi="Times New Roman" w:cs="Times New Roman"/>
        </w:rPr>
      </w:pPr>
    </w:p>
    <w:p w14:paraId="63FDA5E8" w14:textId="77777777" w:rsidR="00506BE7" w:rsidRDefault="008E332A">
      <w:pPr>
        <w:widowControl w:val="0"/>
        <w:overflowPunct w:val="0"/>
        <w:autoSpaceDE w:val="0"/>
        <w:autoSpaceDN w:val="0"/>
        <w:adjustRightInd w:val="0"/>
        <w:spacing w:after="0" w:line="240" w:lineRule="auto"/>
        <w:ind w:right="860"/>
        <w:jc w:val="both"/>
        <w:rPr>
          <w:rFonts w:ascii="Times New Roman" w:eastAsia="Calibri" w:hAnsi="Times New Roman" w:cs="Times New Roman"/>
          <w:u w:val="single"/>
        </w:rPr>
      </w:pPr>
      <w:r>
        <w:rPr>
          <w:rFonts w:ascii="Times New Roman" w:eastAsia="Calibri" w:hAnsi="Times New Roman" w:cs="Times New Roman"/>
          <w:u w:val="single"/>
        </w:rPr>
        <w:t>Nepageidaujamų reakcijų santrauka lentelėje</w:t>
      </w:r>
    </w:p>
    <w:p w14:paraId="14D291E5" w14:textId="77777777" w:rsidR="00506BE7" w:rsidRDefault="008E332A">
      <w:pPr>
        <w:widowControl w:val="0"/>
        <w:overflowPunct w:val="0"/>
        <w:autoSpaceDE w:val="0"/>
        <w:autoSpaceDN w:val="0"/>
        <w:adjustRightInd w:val="0"/>
        <w:spacing w:after="0" w:line="240" w:lineRule="auto"/>
        <w:ind w:right="860"/>
        <w:jc w:val="both"/>
        <w:rPr>
          <w:rFonts w:ascii="Times New Roman" w:eastAsia="Calibri" w:hAnsi="Times New Roman" w:cs="Times New Roman"/>
        </w:rPr>
      </w:pPr>
      <w:r>
        <w:rPr>
          <w:rFonts w:ascii="Times New Roman" w:eastAsia="Calibri" w:hAnsi="Times New Roman" w:cs="Times New Roman"/>
        </w:rPr>
        <w:t xml:space="preserve">NRV, pasireiškusių vartojant kvetiapino, dažnis nurodomas toliau pateikiamoje 1 lentelėje laikantis Medicinos mokslų tarptautinių organizacijų tarybos (angl. </w:t>
      </w:r>
      <w:r>
        <w:rPr>
          <w:rFonts w:ascii="Times New Roman" w:eastAsia="Calibri" w:hAnsi="Times New Roman" w:cs="Times New Roman"/>
          <w:i/>
        </w:rPr>
        <w:t>Council for International Organizations of</w:t>
      </w:r>
      <w:r>
        <w:rPr>
          <w:rFonts w:ascii="Times New Roman" w:eastAsia="Calibri" w:hAnsi="Times New Roman" w:cs="Times New Roman"/>
        </w:rPr>
        <w:t xml:space="preserve"> </w:t>
      </w:r>
      <w:r>
        <w:rPr>
          <w:rFonts w:ascii="Times New Roman" w:eastAsia="Calibri" w:hAnsi="Times New Roman" w:cs="Times New Roman"/>
          <w:i/>
        </w:rPr>
        <w:t>Medical Sciences</w:t>
      </w:r>
      <w:r>
        <w:rPr>
          <w:rFonts w:ascii="Times New Roman" w:eastAsia="Calibri" w:hAnsi="Times New Roman" w:cs="Times New Roman"/>
        </w:rPr>
        <w:t>, CIOMS) rekomendacijų (CIOMS III darbo grupė, 1995).</w:t>
      </w:r>
    </w:p>
    <w:p w14:paraId="6D33C525" w14:textId="77777777" w:rsidR="00506BE7" w:rsidRDefault="00506BE7">
      <w:pPr>
        <w:widowControl w:val="0"/>
        <w:autoSpaceDE w:val="0"/>
        <w:autoSpaceDN w:val="0"/>
        <w:adjustRightInd w:val="0"/>
        <w:spacing w:after="0" w:line="240" w:lineRule="auto"/>
        <w:rPr>
          <w:rFonts w:ascii="Times New Roman" w:eastAsia="Calibri" w:hAnsi="Times New Roman" w:cs="Times New Roman"/>
        </w:rPr>
      </w:pPr>
    </w:p>
    <w:p w14:paraId="761F1D2A" w14:textId="77777777" w:rsidR="00506BE7" w:rsidRDefault="008E332A">
      <w:pPr>
        <w:widowControl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b/>
        </w:rPr>
        <w:t>1 lentelė. Su kvetiapino vartojimu susijusios NRV</w:t>
      </w:r>
    </w:p>
    <w:p w14:paraId="22AED6DC" w14:textId="77777777" w:rsidR="00506BE7" w:rsidRDefault="00506BE7">
      <w:pPr>
        <w:widowControl w:val="0"/>
        <w:autoSpaceDE w:val="0"/>
        <w:autoSpaceDN w:val="0"/>
        <w:adjustRightInd w:val="0"/>
        <w:spacing w:after="0" w:line="240" w:lineRule="auto"/>
        <w:rPr>
          <w:rFonts w:ascii="Times New Roman" w:eastAsia="Calibri" w:hAnsi="Times New Roman" w:cs="Times New Roman"/>
        </w:rPr>
      </w:pPr>
    </w:p>
    <w:p w14:paraId="2875807A" w14:textId="77777777" w:rsidR="00506BE7" w:rsidRDefault="008E332A">
      <w:pPr>
        <w:widowControl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Nepageidaujamo poveikio dažnis apibūdinamas taip: labai dažnas (≥ 1/10), dažnas (nuo ≥ 1/100 iki &lt; 1/10), nedažnas (nuo ≥ 1/1000 iki &lt; 1/100), retas (nuo ≥ 1/10000 iki &lt; 1/1000), labai retas (&lt; 1/10000) ir nežinomas (negali būti apskaičiuotas pagal turimus duomenis).</w:t>
      </w:r>
    </w:p>
    <w:p w14:paraId="3ECE97E5" w14:textId="77777777" w:rsidR="00506BE7" w:rsidRDefault="00506BE7">
      <w:pPr>
        <w:widowControl w:val="0"/>
        <w:autoSpaceDE w:val="0"/>
        <w:autoSpaceDN w:val="0"/>
        <w:adjustRightInd w:val="0"/>
        <w:spacing w:after="0" w:line="240" w:lineRule="auto"/>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1"/>
        <w:gridCol w:w="1511"/>
        <w:gridCol w:w="1313"/>
        <w:gridCol w:w="1430"/>
        <w:gridCol w:w="1096"/>
        <w:gridCol w:w="1270"/>
      </w:tblGrid>
      <w:tr w:rsidR="00506BE7" w14:paraId="1AFC3547" w14:textId="77777777" w:rsidTr="0097013C">
        <w:tc>
          <w:tcPr>
            <w:tcW w:w="0" w:type="auto"/>
            <w:shd w:val="clear" w:color="auto" w:fill="auto"/>
          </w:tcPr>
          <w:p w14:paraId="16A60249"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b/>
                <w:lang w:val="sl-SI"/>
              </w:rPr>
              <w:t>Organų sistemų klasė</w:t>
            </w:r>
          </w:p>
        </w:tc>
        <w:tc>
          <w:tcPr>
            <w:tcW w:w="0" w:type="auto"/>
            <w:shd w:val="clear" w:color="auto" w:fill="auto"/>
          </w:tcPr>
          <w:p w14:paraId="79B2790B"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Labai dažnas</w:t>
            </w:r>
          </w:p>
        </w:tc>
        <w:tc>
          <w:tcPr>
            <w:tcW w:w="0" w:type="auto"/>
            <w:shd w:val="clear" w:color="auto" w:fill="auto"/>
          </w:tcPr>
          <w:p w14:paraId="4EDA829F"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Dažnas</w:t>
            </w:r>
          </w:p>
        </w:tc>
        <w:tc>
          <w:tcPr>
            <w:tcW w:w="0" w:type="auto"/>
            <w:shd w:val="clear" w:color="auto" w:fill="auto"/>
          </w:tcPr>
          <w:p w14:paraId="2FD1EFB2"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Nedažnas</w:t>
            </w:r>
          </w:p>
        </w:tc>
        <w:tc>
          <w:tcPr>
            <w:tcW w:w="0" w:type="auto"/>
            <w:shd w:val="clear" w:color="auto" w:fill="auto"/>
          </w:tcPr>
          <w:p w14:paraId="23E542A7"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Retas</w:t>
            </w:r>
          </w:p>
        </w:tc>
        <w:tc>
          <w:tcPr>
            <w:tcW w:w="0" w:type="auto"/>
            <w:shd w:val="clear" w:color="auto" w:fill="auto"/>
          </w:tcPr>
          <w:p w14:paraId="2D3AC2FB"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Labai retas</w:t>
            </w:r>
          </w:p>
        </w:tc>
        <w:tc>
          <w:tcPr>
            <w:tcW w:w="0" w:type="auto"/>
            <w:shd w:val="clear" w:color="auto" w:fill="auto"/>
          </w:tcPr>
          <w:p w14:paraId="4256E782"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Nežinomas</w:t>
            </w:r>
          </w:p>
        </w:tc>
      </w:tr>
      <w:tr w:rsidR="00506BE7" w14:paraId="5D65243A" w14:textId="77777777" w:rsidTr="0097013C">
        <w:tc>
          <w:tcPr>
            <w:tcW w:w="0" w:type="auto"/>
            <w:shd w:val="clear" w:color="auto" w:fill="auto"/>
          </w:tcPr>
          <w:p w14:paraId="5894B078"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Kraujo ir limfinės sistemos sutrikimai</w:t>
            </w:r>
          </w:p>
        </w:tc>
        <w:tc>
          <w:tcPr>
            <w:tcW w:w="0" w:type="auto"/>
            <w:shd w:val="clear" w:color="auto" w:fill="auto"/>
          </w:tcPr>
          <w:p w14:paraId="5B42D6F7"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Sumažėjusi hemoglobino koncentracija </w:t>
            </w:r>
            <w:r>
              <w:rPr>
                <w:rFonts w:ascii="Times New Roman" w:eastAsia="Calibri" w:hAnsi="Times New Roman" w:cs="Times New Roman"/>
                <w:vertAlign w:val="superscript"/>
              </w:rPr>
              <w:t>22</w:t>
            </w:r>
          </w:p>
        </w:tc>
        <w:tc>
          <w:tcPr>
            <w:tcW w:w="0" w:type="auto"/>
            <w:shd w:val="clear" w:color="auto" w:fill="auto"/>
          </w:tcPr>
          <w:p w14:paraId="2E3DA6BC"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Leukopenija </w:t>
            </w:r>
            <w:r>
              <w:rPr>
                <w:rFonts w:ascii="Times New Roman" w:eastAsia="Calibri" w:hAnsi="Times New Roman" w:cs="Times New Roman"/>
                <w:vertAlign w:val="superscript"/>
              </w:rPr>
              <w:t>1, 28</w:t>
            </w:r>
            <w:r>
              <w:rPr>
                <w:rFonts w:ascii="Times New Roman" w:eastAsia="Calibri" w:hAnsi="Times New Roman" w:cs="Times New Roman"/>
              </w:rPr>
              <w:t>, sumažėjęs neutrofilų kiekis, padidėjęs eozinofilų kiekis</w:t>
            </w:r>
            <w:r>
              <w:rPr>
                <w:rFonts w:ascii="Times New Roman" w:eastAsia="Calibri" w:hAnsi="Times New Roman" w:cs="Times New Roman"/>
                <w:vertAlign w:val="superscript"/>
              </w:rPr>
              <w:t>27</w:t>
            </w:r>
          </w:p>
        </w:tc>
        <w:tc>
          <w:tcPr>
            <w:tcW w:w="0" w:type="auto"/>
            <w:shd w:val="clear" w:color="auto" w:fill="auto"/>
          </w:tcPr>
          <w:p w14:paraId="0E324E72"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Neutropenija</w:t>
            </w:r>
            <w:r>
              <w:rPr>
                <w:rFonts w:ascii="Times New Roman" w:eastAsia="Calibri" w:hAnsi="Times New Roman" w:cs="Times New Roman"/>
                <w:vertAlign w:val="superscript"/>
              </w:rPr>
              <w:t>1</w:t>
            </w:r>
            <w:r>
              <w:rPr>
                <w:rFonts w:ascii="Times New Roman" w:eastAsia="Calibri" w:hAnsi="Times New Roman" w:cs="Times New Roman"/>
              </w:rPr>
              <w:t>, trombocitopenija, anemija, sumažėjęs trombocitų skaičius</w:t>
            </w:r>
            <w:r>
              <w:rPr>
                <w:rFonts w:ascii="Times New Roman" w:eastAsia="Calibri" w:hAnsi="Times New Roman" w:cs="Times New Roman"/>
                <w:vertAlign w:val="superscript"/>
              </w:rPr>
              <w:t>13</w:t>
            </w:r>
          </w:p>
        </w:tc>
        <w:tc>
          <w:tcPr>
            <w:tcW w:w="0" w:type="auto"/>
            <w:shd w:val="clear" w:color="auto" w:fill="auto"/>
          </w:tcPr>
          <w:p w14:paraId="3AF81E37"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Agranuloci-tozė</w:t>
            </w:r>
            <w:r>
              <w:rPr>
                <w:rFonts w:ascii="Times New Roman" w:eastAsia="Calibri" w:hAnsi="Times New Roman" w:cs="Times New Roman"/>
                <w:vertAlign w:val="superscript"/>
              </w:rPr>
              <w:t>26</w:t>
            </w:r>
          </w:p>
        </w:tc>
        <w:tc>
          <w:tcPr>
            <w:tcW w:w="0" w:type="auto"/>
            <w:shd w:val="clear" w:color="auto" w:fill="auto"/>
          </w:tcPr>
          <w:p w14:paraId="5BAC03AA"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711568DF" w14:textId="77777777" w:rsidR="00506BE7" w:rsidRDefault="00506BE7">
            <w:pPr>
              <w:widowControl w:val="0"/>
              <w:spacing w:after="0" w:line="240" w:lineRule="auto"/>
              <w:rPr>
                <w:rFonts w:ascii="Times New Roman" w:eastAsia="Calibri" w:hAnsi="Times New Roman" w:cs="Times New Roman"/>
                <w:vertAlign w:val="superscript"/>
              </w:rPr>
            </w:pPr>
          </w:p>
        </w:tc>
      </w:tr>
      <w:tr w:rsidR="00506BE7" w14:paraId="3C05B59F" w14:textId="77777777" w:rsidTr="0097013C">
        <w:tc>
          <w:tcPr>
            <w:tcW w:w="0" w:type="auto"/>
            <w:shd w:val="clear" w:color="auto" w:fill="auto"/>
          </w:tcPr>
          <w:p w14:paraId="0C2BB099"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Imuninės sistemos sutrikimai</w:t>
            </w:r>
          </w:p>
        </w:tc>
        <w:tc>
          <w:tcPr>
            <w:tcW w:w="0" w:type="auto"/>
            <w:shd w:val="clear" w:color="auto" w:fill="auto"/>
          </w:tcPr>
          <w:p w14:paraId="032283CD"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5E26F503"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17924E02"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Padidėjęs jautrumas (įskaitant odos alergines reakcijas)</w:t>
            </w:r>
          </w:p>
        </w:tc>
        <w:tc>
          <w:tcPr>
            <w:tcW w:w="0" w:type="auto"/>
            <w:shd w:val="clear" w:color="auto" w:fill="auto"/>
          </w:tcPr>
          <w:p w14:paraId="62C76C01"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178754EE"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Anafilaksinė reakcija</w:t>
            </w:r>
            <w:r>
              <w:rPr>
                <w:rFonts w:ascii="Times New Roman" w:eastAsia="Calibri" w:hAnsi="Times New Roman" w:cs="Times New Roman"/>
                <w:vertAlign w:val="superscript"/>
              </w:rPr>
              <w:t>5</w:t>
            </w:r>
          </w:p>
        </w:tc>
        <w:tc>
          <w:tcPr>
            <w:tcW w:w="0" w:type="auto"/>
            <w:shd w:val="clear" w:color="auto" w:fill="auto"/>
          </w:tcPr>
          <w:p w14:paraId="3DD1FDE3" w14:textId="77777777" w:rsidR="00506BE7" w:rsidRDefault="00506BE7">
            <w:pPr>
              <w:widowControl w:val="0"/>
              <w:spacing w:after="0" w:line="240" w:lineRule="auto"/>
              <w:rPr>
                <w:rFonts w:ascii="Times New Roman" w:eastAsia="Calibri" w:hAnsi="Times New Roman" w:cs="Times New Roman"/>
              </w:rPr>
            </w:pPr>
          </w:p>
        </w:tc>
      </w:tr>
      <w:tr w:rsidR="00506BE7" w14:paraId="54511431" w14:textId="77777777" w:rsidTr="0097013C">
        <w:tc>
          <w:tcPr>
            <w:tcW w:w="0" w:type="auto"/>
            <w:shd w:val="clear" w:color="auto" w:fill="auto"/>
          </w:tcPr>
          <w:p w14:paraId="42156B87"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Endokrininiai sutrikimai</w:t>
            </w:r>
          </w:p>
        </w:tc>
        <w:tc>
          <w:tcPr>
            <w:tcW w:w="0" w:type="auto"/>
            <w:shd w:val="clear" w:color="auto" w:fill="auto"/>
          </w:tcPr>
          <w:p w14:paraId="4ACB00EB"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68EF2045"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Hiperprolaktinemija, sumažėjusi bendro</w:t>
            </w:r>
            <w:r>
              <w:rPr>
                <w:rFonts w:ascii="Times New Roman" w:eastAsia="Calibri" w:hAnsi="Times New Roman" w:cs="Times New Roman"/>
                <w:color w:val="000000"/>
              </w:rPr>
              <w:t xml:space="preserve"> T</w:t>
            </w:r>
            <w:r>
              <w:rPr>
                <w:rFonts w:ascii="Times New Roman" w:eastAsia="Calibri" w:hAnsi="Times New Roman" w:cs="Times New Roman"/>
                <w:color w:val="000000"/>
                <w:vertAlign w:val="subscript"/>
              </w:rPr>
              <w:t xml:space="preserve">4 </w:t>
            </w:r>
            <w:r>
              <w:rPr>
                <w:rFonts w:ascii="Times New Roman" w:eastAsia="Calibri" w:hAnsi="Times New Roman" w:cs="Times New Roman"/>
                <w:color w:val="000000"/>
                <w:vertAlign w:val="superscript"/>
              </w:rPr>
              <w:t>24</w:t>
            </w:r>
            <w:r>
              <w:rPr>
                <w:rFonts w:ascii="Times New Roman" w:eastAsia="Calibri" w:hAnsi="Times New Roman" w:cs="Times New Roman"/>
              </w:rPr>
              <w:t>, sumažėjusi laisvo</w:t>
            </w:r>
            <w:r>
              <w:rPr>
                <w:rFonts w:ascii="Times New Roman" w:eastAsia="Calibri" w:hAnsi="Times New Roman" w:cs="Times New Roman"/>
                <w:color w:val="000000"/>
              </w:rPr>
              <w:t xml:space="preserve"> T</w:t>
            </w:r>
            <w:r>
              <w:rPr>
                <w:rFonts w:ascii="Times New Roman" w:eastAsia="Calibri" w:hAnsi="Times New Roman" w:cs="Times New Roman"/>
                <w:color w:val="000000"/>
                <w:vertAlign w:val="subscript"/>
              </w:rPr>
              <w:t xml:space="preserve">4 </w:t>
            </w:r>
            <w:r>
              <w:rPr>
                <w:rFonts w:ascii="Times New Roman" w:eastAsia="Calibri" w:hAnsi="Times New Roman" w:cs="Times New Roman"/>
                <w:color w:val="000000"/>
                <w:vertAlign w:val="superscript"/>
              </w:rPr>
              <w:t>24</w:t>
            </w:r>
            <w:r>
              <w:rPr>
                <w:rFonts w:ascii="Times New Roman" w:eastAsia="Calibri" w:hAnsi="Times New Roman" w:cs="Times New Roman"/>
              </w:rPr>
              <w:t>, sumažėjusi bendro</w:t>
            </w:r>
            <w:r>
              <w:rPr>
                <w:rFonts w:ascii="Times New Roman" w:eastAsia="Calibri" w:hAnsi="Times New Roman" w:cs="Times New Roman"/>
                <w:color w:val="000000"/>
              </w:rPr>
              <w:t xml:space="preserve"> T</w:t>
            </w:r>
            <w:r>
              <w:rPr>
                <w:rFonts w:ascii="Times New Roman" w:eastAsia="Calibri" w:hAnsi="Times New Roman" w:cs="Times New Roman"/>
                <w:color w:val="000000"/>
                <w:vertAlign w:val="subscript"/>
              </w:rPr>
              <w:t xml:space="preserve">3 </w:t>
            </w:r>
            <w:r>
              <w:rPr>
                <w:rFonts w:ascii="Times New Roman" w:eastAsia="Calibri" w:hAnsi="Times New Roman" w:cs="Times New Roman"/>
                <w:color w:val="000000"/>
                <w:vertAlign w:val="superscript"/>
              </w:rPr>
              <w:t>24</w:t>
            </w:r>
            <w:r>
              <w:rPr>
                <w:rFonts w:ascii="Times New Roman" w:eastAsia="Calibri" w:hAnsi="Times New Roman" w:cs="Times New Roman"/>
              </w:rPr>
              <w:t xml:space="preserve">, padidėjusi </w:t>
            </w:r>
            <w:r>
              <w:rPr>
                <w:rFonts w:ascii="Times New Roman" w:eastAsia="Calibri" w:hAnsi="Times New Roman" w:cs="Times New Roman"/>
                <w:color w:val="000000"/>
              </w:rPr>
              <w:t>TSH</w:t>
            </w:r>
            <w:r>
              <w:rPr>
                <w:rFonts w:ascii="Times New Roman" w:eastAsia="Calibri" w:hAnsi="Times New Roman" w:cs="Times New Roman"/>
                <w:color w:val="000000"/>
                <w:vertAlign w:val="subscript"/>
              </w:rPr>
              <w:t xml:space="preserve"> </w:t>
            </w:r>
            <w:r>
              <w:rPr>
                <w:rFonts w:ascii="Times New Roman" w:eastAsia="Calibri" w:hAnsi="Times New Roman" w:cs="Times New Roman"/>
                <w:color w:val="000000"/>
                <w:vertAlign w:val="superscript"/>
              </w:rPr>
              <w:t>24</w:t>
            </w:r>
            <w:r>
              <w:rPr>
                <w:rFonts w:ascii="Times New Roman" w:eastAsia="Calibri" w:hAnsi="Times New Roman" w:cs="Times New Roman"/>
              </w:rPr>
              <w:t xml:space="preserve"> koncentracija</w:t>
            </w:r>
            <w:r>
              <w:rPr>
                <w:rFonts w:ascii="Times New Roman" w:eastAsia="Calibri" w:hAnsi="Times New Roman" w:cs="Times New Roman"/>
                <w:color w:val="000000"/>
              </w:rPr>
              <w:t xml:space="preserve"> </w:t>
            </w:r>
          </w:p>
        </w:tc>
        <w:tc>
          <w:tcPr>
            <w:tcW w:w="0" w:type="auto"/>
            <w:shd w:val="clear" w:color="auto" w:fill="auto"/>
          </w:tcPr>
          <w:p w14:paraId="38B5DC4C"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Sumažėjusi laisvo </w:t>
            </w:r>
            <w:r>
              <w:rPr>
                <w:rFonts w:ascii="Times New Roman" w:eastAsia="Calibri" w:hAnsi="Times New Roman" w:cs="Times New Roman"/>
                <w:color w:val="000000"/>
              </w:rPr>
              <w:t>T3</w:t>
            </w:r>
            <w:r>
              <w:rPr>
                <w:rFonts w:ascii="Times New Roman" w:eastAsia="Calibri" w:hAnsi="Times New Roman" w:cs="Times New Roman"/>
                <w:color w:val="000000"/>
                <w:vertAlign w:val="subscript"/>
              </w:rPr>
              <w:t xml:space="preserve"> </w:t>
            </w:r>
            <w:r>
              <w:rPr>
                <w:rFonts w:ascii="Times New Roman" w:eastAsia="Calibri" w:hAnsi="Times New Roman" w:cs="Times New Roman"/>
                <w:color w:val="000000"/>
                <w:vertAlign w:val="superscript"/>
              </w:rPr>
              <w:t>24</w:t>
            </w:r>
            <w:r>
              <w:rPr>
                <w:rFonts w:ascii="Times New Roman" w:eastAsia="Calibri" w:hAnsi="Times New Roman" w:cs="Times New Roman"/>
              </w:rPr>
              <w:t>, hipotirozė</w:t>
            </w:r>
            <w:r>
              <w:rPr>
                <w:rFonts w:ascii="Times New Roman" w:eastAsia="Calibri" w:hAnsi="Times New Roman" w:cs="Times New Roman"/>
                <w:color w:val="000000"/>
                <w:vertAlign w:val="superscript"/>
              </w:rPr>
              <w:t>21</w:t>
            </w:r>
            <w:r>
              <w:rPr>
                <w:rFonts w:ascii="Times New Roman" w:eastAsia="Calibri" w:hAnsi="Times New Roman" w:cs="Times New Roman"/>
              </w:rPr>
              <w:t xml:space="preserve"> </w:t>
            </w:r>
          </w:p>
        </w:tc>
        <w:tc>
          <w:tcPr>
            <w:tcW w:w="0" w:type="auto"/>
            <w:shd w:val="clear" w:color="auto" w:fill="auto"/>
          </w:tcPr>
          <w:p w14:paraId="33D1124C"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76B7BA68"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Sutrikusi antidiurezinio hormono sekrecija </w:t>
            </w:r>
          </w:p>
        </w:tc>
        <w:tc>
          <w:tcPr>
            <w:tcW w:w="0" w:type="auto"/>
            <w:shd w:val="clear" w:color="auto" w:fill="auto"/>
          </w:tcPr>
          <w:p w14:paraId="01772EF5" w14:textId="77777777" w:rsidR="00506BE7" w:rsidRDefault="00506BE7">
            <w:pPr>
              <w:widowControl w:val="0"/>
              <w:spacing w:after="0" w:line="240" w:lineRule="auto"/>
              <w:rPr>
                <w:rFonts w:ascii="Times New Roman" w:eastAsia="Calibri" w:hAnsi="Times New Roman" w:cs="Times New Roman"/>
              </w:rPr>
            </w:pPr>
          </w:p>
        </w:tc>
      </w:tr>
      <w:tr w:rsidR="00506BE7" w14:paraId="12BF71F1" w14:textId="77777777" w:rsidTr="0097013C">
        <w:tc>
          <w:tcPr>
            <w:tcW w:w="0" w:type="auto"/>
            <w:shd w:val="clear" w:color="auto" w:fill="auto"/>
          </w:tcPr>
          <w:p w14:paraId="45807591"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lastRenderedPageBreak/>
              <w:t>Metabolizmo ir mitybos sutrikimai</w:t>
            </w:r>
          </w:p>
        </w:tc>
        <w:tc>
          <w:tcPr>
            <w:tcW w:w="0" w:type="auto"/>
            <w:shd w:val="clear" w:color="auto" w:fill="auto"/>
          </w:tcPr>
          <w:p w14:paraId="6C2B11D7"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Padidėjusi trigliceridų koncentracija serume</w:t>
            </w:r>
            <w:r>
              <w:rPr>
                <w:rFonts w:ascii="Times New Roman" w:eastAsia="Calibri" w:hAnsi="Times New Roman" w:cs="Times New Roman"/>
                <w:vertAlign w:val="superscript"/>
              </w:rPr>
              <w:t>10,30</w:t>
            </w:r>
            <w:r>
              <w:rPr>
                <w:rFonts w:ascii="Times New Roman" w:eastAsia="Calibri" w:hAnsi="Times New Roman" w:cs="Times New Roman"/>
              </w:rPr>
              <w:t>, padidėjusi bendro (ypač MTL) cholesterolio koncentracija</w:t>
            </w:r>
            <w:r>
              <w:rPr>
                <w:rFonts w:ascii="Times New Roman" w:eastAsia="Calibri" w:hAnsi="Times New Roman" w:cs="Times New Roman"/>
                <w:vertAlign w:val="superscript"/>
              </w:rPr>
              <w:t>11,30</w:t>
            </w:r>
            <w:r>
              <w:rPr>
                <w:rFonts w:ascii="Times New Roman" w:eastAsia="Calibri" w:hAnsi="Times New Roman" w:cs="Times New Roman"/>
              </w:rPr>
              <w:t>, sumažėjusi DTL cholesterolio koncentracija</w:t>
            </w:r>
            <w:r>
              <w:rPr>
                <w:rFonts w:ascii="Times New Roman" w:eastAsia="Calibri" w:hAnsi="Times New Roman" w:cs="Times New Roman"/>
                <w:vertAlign w:val="superscript"/>
              </w:rPr>
              <w:t>17,30</w:t>
            </w:r>
            <w:r>
              <w:rPr>
                <w:rFonts w:ascii="Times New Roman" w:eastAsia="Calibri" w:hAnsi="Times New Roman" w:cs="Times New Roman"/>
              </w:rPr>
              <w:t>, svorio prieaugis</w:t>
            </w:r>
            <w:r>
              <w:rPr>
                <w:rFonts w:ascii="Times New Roman" w:eastAsia="Calibri" w:hAnsi="Times New Roman" w:cs="Times New Roman"/>
                <w:vertAlign w:val="superscript"/>
              </w:rPr>
              <w:t xml:space="preserve">8,30 </w:t>
            </w:r>
          </w:p>
        </w:tc>
        <w:tc>
          <w:tcPr>
            <w:tcW w:w="0" w:type="auto"/>
            <w:shd w:val="clear" w:color="auto" w:fill="auto"/>
          </w:tcPr>
          <w:p w14:paraId="4B5860F6"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Padidėjęs apetitas, padidėjusi gliukozės koncentracija kraujyje (iki hiperglikemijos)</w:t>
            </w:r>
            <w:r>
              <w:rPr>
                <w:rFonts w:ascii="Times New Roman" w:eastAsia="Calibri" w:hAnsi="Times New Roman" w:cs="Times New Roman"/>
                <w:color w:val="000000"/>
                <w:vertAlign w:val="superscript"/>
              </w:rPr>
              <w:t xml:space="preserve"> 6,30</w:t>
            </w:r>
          </w:p>
        </w:tc>
        <w:tc>
          <w:tcPr>
            <w:tcW w:w="0" w:type="auto"/>
            <w:shd w:val="clear" w:color="auto" w:fill="auto"/>
          </w:tcPr>
          <w:p w14:paraId="188CA0F3"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Hiponatremija</w:t>
            </w:r>
            <w:r>
              <w:rPr>
                <w:rFonts w:ascii="Times New Roman" w:eastAsia="Calibri" w:hAnsi="Times New Roman" w:cs="Times New Roman"/>
                <w:color w:val="000000"/>
                <w:vertAlign w:val="superscript"/>
              </w:rPr>
              <w:t>19</w:t>
            </w:r>
            <w:r>
              <w:rPr>
                <w:rFonts w:ascii="Times New Roman" w:eastAsia="Calibri" w:hAnsi="Times New Roman" w:cs="Times New Roman"/>
              </w:rPr>
              <w:t xml:space="preserve">, cukrinis diabetas </w:t>
            </w:r>
            <w:r>
              <w:rPr>
                <w:rFonts w:ascii="Times New Roman" w:eastAsia="Calibri" w:hAnsi="Times New Roman" w:cs="Times New Roman"/>
                <w:color w:val="000000"/>
                <w:vertAlign w:val="superscript"/>
              </w:rPr>
              <w:t>1,5</w:t>
            </w:r>
            <w:r>
              <w:rPr>
                <w:rFonts w:ascii="Times New Roman" w:eastAsia="Calibri" w:hAnsi="Times New Roman" w:cs="Times New Roman"/>
                <w:color w:val="000000"/>
              </w:rPr>
              <w:t>, p</w:t>
            </w:r>
            <w:r>
              <w:rPr>
                <w:rFonts w:ascii="Times New Roman" w:eastAsia="Calibri" w:hAnsi="Times New Roman" w:cs="Times New Roman"/>
              </w:rPr>
              <w:t>asunkėjęs esamas cukrinis diabetas</w:t>
            </w:r>
            <w:r>
              <w:rPr>
                <w:rFonts w:ascii="Times New Roman" w:eastAsia="Calibri" w:hAnsi="Times New Roman" w:cs="Times New Roman"/>
                <w:color w:val="000000"/>
              </w:rPr>
              <w:t xml:space="preserve"> </w:t>
            </w:r>
          </w:p>
        </w:tc>
        <w:tc>
          <w:tcPr>
            <w:tcW w:w="0" w:type="auto"/>
            <w:shd w:val="clear" w:color="auto" w:fill="auto"/>
          </w:tcPr>
          <w:p w14:paraId="66074D1D"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Metabolinis sindromas</w:t>
            </w:r>
            <w:r>
              <w:rPr>
                <w:rFonts w:ascii="Times New Roman" w:eastAsia="Calibri" w:hAnsi="Times New Roman" w:cs="Times New Roman"/>
                <w:color w:val="000000"/>
                <w:vertAlign w:val="superscript"/>
              </w:rPr>
              <w:t>29</w:t>
            </w:r>
          </w:p>
        </w:tc>
        <w:tc>
          <w:tcPr>
            <w:tcW w:w="0" w:type="auto"/>
            <w:shd w:val="clear" w:color="auto" w:fill="auto"/>
          </w:tcPr>
          <w:p w14:paraId="41262C46"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707D51FE" w14:textId="77777777" w:rsidR="00506BE7" w:rsidRDefault="00506BE7">
            <w:pPr>
              <w:widowControl w:val="0"/>
              <w:spacing w:after="0" w:line="240" w:lineRule="auto"/>
              <w:rPr>
                <w:rFonts w:ascii="Times New Roman" w:eastAsia="Calibri" w:hAnsi="Times New Roman" w:cs="Times New Roman"/>
              </w:rPr>
            </w:pPr>
          </w:p>
        </w:tc>
      </w:tr>
      <w:tr w:rsidR="00506BE7" w14:paraId="52EF0E35" w14:textId="77777777" w:rsidTr="0097013C">
        <w:tc>
          <w:tcPr>
            <w:tcW w:w="0" w:type="auto"/>
            <w:shd w:val="clear" w:color="auto" w:fill="auto"/>
          </w:tcPr>
          <w:p w14:paraId="5582D6FB"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Psichikos sutrikimai</w:t>
            </w:r>
          </w:p>
        </w:tc>
        <w:tc>
          <w:tcPr>
            <w:tcW w:w="0" w:type="auto"/>
            <w:shd w:val="clear" w:color="auto" w:fill="auto"/>
          </w:tcPr>
          <w:p w14:paraId="177E5060"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63DE29A5"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Nenormalūs sapnai ir košmarai, savižudiškos mintys ir elgesys</w:t>
            </w:r>
            <w:r>
              <w:rPr>
                <w:rFonts w:ascii="Times New Roman" w:eastAsia="Calibri" w:hAnsi="Times New Roman" w:cs="Times New Roman"/>
                <w:color w:val="000000"/>
                <w:vertAlign w:val="superscript"/>
              </w:rPr>
              <w:t>20</w:t>
            </w:r>
          </w:p>
        </w:tc>
        <w:tc>
          <w:tcPr>
            <w:tcW w:w="0" w:type="auto"/>
            <w:shd w:val="clear" w:color="auto" w:fill="auto"/>
          </w:tcPr>
          <w:p w14:paraId="5CF096AD"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14D14EBB"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Somnambu-lizmas ir susijusios reakcijos, pvz., kalbėjimas miegant ir su miegu susijęs valgymo sutrikimas</w:t>
            </w:r>
          </w:p>
        </w:tc>
        <w:tc>
          <w:tcPr>
            <w:tcW w:w="0" w:type="auto"/>
            <w:shd w:val="clear" w:color="auto" w:fill="auto"/>
          </w:tcPr>
          <w:p w14:paraId="3CC61448"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1604D86A" w14:textId="77777777" w:rsidR="00506BE7" w:rsidRDefault="00506BE7">
            <w:pPr>
              <w:widowControl w:val="0"/>
              <w:spacing w:after="0" w:line="240" w:lineRule="auto"/>
              <w:rPr>
                <w:rFonts w:ascii="Times New Roman" w:eastAsia="Calibri" w:hAnsi="Times New Roman" w:cs="Times New Roman"/>
              </w:rPr>
            </w:pPr>
          </w:p>
        </w:tc>
      </w:tr>
      <w:tr w:rsidR="00506BE7" w14:paraId="62284B31" w14:textId="77777777" w:rsidTr="0097013C">
        <w:tc>
          <w:tcPr>
            <w:tcW w:w="0" w:type="auto"/>
            <w:shd w:val="clear" w:color="auto" w:fill="auto"/>
          </w:tcPr>
          <w:p w14:paraId="3800EDD5"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Nervinės sistemos sutrikimai</w:t>
            </w:r>
          </w:p>
        </w:tc>
        <w:tc>
          <w:tcPr>
            <w:tcW w:w="0" w:type="auto"/>
            <w:shd w:val="clear" w:color="auto" w:fill="auto"/>
          </w:tcPr>
          <w:p w14:paraId="16B0D168"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Svaigulys </w:t>
            </w:r>
            <w:r>
              <w:rPr>
                <w:rFonts w:ascii="Times New Roman" w:eastAsia="Calibri" w:hAnsi="Times New Roman" w:cs="Times New Roman"/>
                <w:color w:val="000000"/>
                <w:vertAlign w:val="superscript"/>
              </w:rPr>
              <w:t>4,16</w:t>
            </w:r>
            <w:r>
              <w:rPr>
                <w:rFonts w:ascii="Times New Roman" w:eastAsia="Calibri" w:hAnsi="Times New Roman" w:cs="Times New Roman"/>
              </w:rPr>
              <w:t>, mieguistu-mas</w:t>
            </w:r>
            <w:r>
              <w:rPr>
                <w:rFonts w:ascii="Times New Roman" w:eastAsia="Calibri" w:hAnsi="Times New Roman" w:cs="Times New Roman"/>
                <w:color w:val="000000"/>
                <w:vertAlign w:val="superscript"/>
              </w:rPr>
              <w:t>2,16</w:t>
            </w:r>
            <w:r>
              <w:rPr>
                <w:rFonts w:ascii="Times New Roman" w:eastAsia="Calibri" w:hAnsi="Times New Roman" w:cs="Times New Roman"/>
              </w:rPr>
              <w:t>, galvos skausmas, ekstrapira-midiniai simptomai</w:t>
            </w:r>
            <w:r>
              <w:rPr>
                <w:rFonts w:ascii="Times New Roman" w:eastAsia="Calibri" w:hAnsi="Times New Roman" w:cs="Times New Roman"/>
                <w:color w:val="000000"/>
                <w:vertAlign w:val="superscript"/>
              </w:rPr>
              <w:t>1,21</w:t>
            </w:r>
          </w:p>
        </w:tc>
        <w:tc>
          <w:tcPr>
            <w:tcW w:w="0" w:type="auto"/>
            <w:shd w:val="clear" w:color="auto" w:fill="auto"/>
          </w:tcPr>
          <w:p w14:paraId="185E5222"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Dizartrija</w:t>
            </w:r>
          </w:p>
        </w:tc>
        <w:tc>
          <w:tcPr>
            <w:tcW w:w="0" w:type="auto"/>
            <w:shd w:val="clear" w:color="auto" w:fill="auto"/>
          </w:tcPr>
          <w:p w14:paraId="7581A389" w14:textId="254CDC94" w:rsidR="00506BE7" w:rsidRPr="0097013C"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Traukuliai</w:t>
            </w:r>
            <w:r>
              <w:rPr>
                <w:rFonts w:ascii="Times New Roman" w:eastAsia="Calibri" w:hAnsi="Times New Roman" w:cs="Times New Roman"/>
                <w:color w:val="000000"/>
                <w:vertAlign w:val="superscript"/>
              </w:rPr>
              <w:t>1</w:t>
            </w:r>
            <w:r>
              <w:rPr>
                <w:rFonts w:ascii="Times New Roman" w:eastAsia="Calibri" w:hAnsi="Times New Roman" w:cs="Times New Roman"/>
              </w:rPr>
              <w:t>, neramių kojų sindromas, vėlyvoji diskinezija</w:t>
            </w:r>
            <w:r>
              <w:rPr>
                <w:rFonts w:ascii="Times New Roman" w:eastAsia="Calibri" w:hAnsi="Times New Roman" w:cs="Times New Roman"/>
                <w:color w:val="000000"/>
                <w:vertAlign w:val="superscript"/>
              </w:rPr>
              <w:t>1,5</w:t>
            </w:r>
            <w:r>
              <w:rPr>
                <w:rFonts w:ascii="Times New Roman" w:eastAsia="Calibri" w:hAnsi="Times New Roman" w:cs="Times New Roman"/>
              </w:rPr>
              <w:t>, sinkopė</w:t>
            </w:r>
            <w:r>
              <w:rPr>
                <w:rFonts w:ascii="Times New Roman" w:eastAsia="Calibri" w:hAnsi="Times New Roman" w:cs="Times New Roman"/>
                <w:color w:val="000000"/>
                <w:vertAlign w:val="superscript"/>
              </w:rPr>
              <w:t>4,16</w:t>
            </w:r>
            <w:r w:rsidR="0097013C">
              <w:rPr>
                <w:rFonts w:ascii="Times New Roman" w:eastAsia="Calibri" w:hAnsi="Times New Roman" w:cs="Times New Roman"/>
                <w:color w:val="000000"/>
              </w:rPr>
              <w:t xml:space="preserve">, </w:t>
            </w:r>
            <w:r w:rsidR="0097013C">
              <w:rPr>
                <w:rFonts w:ascii="Times New Roman" w:eastAsia="SimSun" w:hAnsi="Times New Roman"/>
              </w:rPr>
              <w:t>sumišimo būsena</w:t>
            </w:r>
          </w:p>
        </w:tc>
        <w:tc>
          <w:tcPr>
            <w:tcW w:w="0" w:type="auto"/>
            <w:shd w:val="clear" w:color="auto" w:fill="auto"/>
          </w:tcPr>
          <w:p w14:paraId="096BC006"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05B26666"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280EFDB8" w14:textId="77777777" w:rsidR="00506BE7" w:rsidRDefault="00506BE7">
            <w:pPr>
              <w:widowControl w:val="0"/>
              <w:spacing w:after="0" w:line="240" w:lineRule="auto"/>
              <w:rPr>
                <w:rFonts w:ascii="Times New Roman" w:eastAsia="Calibri" w:hAnsi="Times New Roman" w:cs="Times New Roman"/>
              </w:rPr>
            </w:pPr>
          </w:p>
        </w:tc>
      </w:tr>
      <w:tr w:rsidR="00506BE7" w14:paraId="59C083A8" w14:textId="77777777" w:rsidTr="0097013C">
        <w:tc>
          <w:tcPr>
            <w:tcW w:w="0" w:type="auto"/>
            <w:shd w:val="clear" w:color="auto" w:fill="auto"/>
          </w:tcPr>
          <w:p w14:paraId="3ED97E5A"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Akių sutrikimai</w:t>
            </w:r>
          </w:p>
        </w:tc>
        <w:tc>
          <w:tcPr>
            <w:tcW w:w="0" w:type="auto"/>
            <w:shd w:val="clear" w:color="auto" w:fill="auto"/>
          </w:tcPr>
          <w:p w14:paraId="38D11D96"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4968C3A1"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Neryškus matymas</w:t>
            </w:r>
          </w:p>
        </w:tc>
        <w:tc>
          <w:tcPr>
            <w:tcW w:w="0" w:type="auto"/>
            <w:shd w:val="clear" w:color="auto" w:fill="auto"/>
          </w:tcPr>
          <w:p w14:paraId="5325E3E9"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6FA5351D"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2FF380B6"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2B9DA49A" w14:textId="77777777" w:rsidR="00506BE7" w:rsidRDefault="00506BE7">
            <w:pPr>
              <w:widowControl w:val="0"/>
              <w:spacing w:after="0" w:line="240" w:lineRule="auto"/>
              <w:rPr>
                <w:rFonts w:ascii="Times New Roman" w:eastAsia="Calibri" w:hAnsi="Times New Roman" w:cs="Times New Roman"/>
              </w:rPr>
            </w:pPr>
          </w:p>
        </w:tc>
      </w:tr>
      <w:tr w:rsidR="00506BE7" w14:paraId="2B324427" w14:textId="77777777" w:rsidTr="0097013C">
        <w:tc>
          <w:tcPr>
            <w:tcW w:w="0" w:type="auto"/>
            <w:shd w:val="clear" w:color="auto" w:fill="auto"/>
          </w:tcPr>
          <w:p w14:paraId="4987AA75"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Širdies sutrikimai</w:t>
            </w:r>
          </w:p>
        </w:tc>
        <w:tc>
          <w:tcPr>
            <w:tcW w:w="0" w:type="auto"/>
            <w:shd w:val="clear" w:color="auto" w:fill="auto"/>
          </w:tcPr>
          <w:p w14:paraId="74A32FF4"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3373A199"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Tachikardija</w:t>
            </w:r>
            <w:r>
              <w:rPr>
                <w:rFonts w:ascii="Times New Roman" w:eastAsia="Calibri" w:hAnsi="Times New Roman" w:cs="Times New Roman"/>
                <w:color w:val="000000"/>
                <w:vertAlign w:val="superscript"/>
              </w:rPr>
              <w:t>4</w:t>
            </w:r>
            <w:r>
              <w:rPr>
                <w:rFonts w:ascii="Times New Roman" w:eastAsia="Calibri" w:hAnsi="Times New Roman" w:cs="Times New Roman"/>
              </w:rPr>
              <w:t>, Palpitacijos</w:t>
            </w:r>
            <w:r>
              <w:rPr>
                <w:rFonts w:ascii="Times New Roman" w:eastAsia="Calibri" w:hAnsi="Times New Roman" w:cs="Times New Roman"/>
                <w:color w:val="000000"/>
                <w:vertAlign w:val="superscript"/>
              </w:rPr>
              <w:t>23</w:t>
            </w:r>
          </w:p>
        </w:tc>
        <w:tc>
          <w:tcPr>
            <w:tcW w:w="0" w:type="auto"/>
            <w:shd w:val="clear" w:color="auto" w:fill="auto"/>
          </w:tcPr>
          <w:p w14:paraId="760B2B18"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QT intervalo pailgėjimas</w:t>
            </w:r>
            <w:r>
              <w:rPr>
                <w:rFonts w:ascii="Times New Roman" w:eastAsia="Calibri" w:hAnsi="Times New Roman" w:cs="Times New Roman"/>
                <w:color w:val="000000"/>
                <w:vertAlign w:val="superscript"/>
              </w:rPr>
              <w:t>1,12,18</w:t>
            </w:r>
            <w:r>
              <w:rPr>
                <w:rFonts w:ascii="Times New Roman" w:eastAsia="Calibri" w:hAnsi="Times New Roman" w:cs="Times New Roman"/>
              </w:rPr>
              <w:t>, bradikardija</w:t>
            </w:r>
            <w:r>
              <w:rPr>
                <w:rFonts w:ascii="Times New Roman" w:eastAsia="Calibri" w:hAnsi="Times New Roman" w:cs="Times New Roman"/>
                <w:color w:val="000000"/>
                <w:vertAlign w:val="superscript"/>
              </w:rPr>
              <w:t>32</w:t>
            </w:r>
          </w:p>
        </w:tc>
        <w:tc>
          <w:tcPr>
            <w:tcW w:w="0" w:type="auto"/>
            <w:shd w:val="clear" w:color="auto" w:fill="auto"/>
          </w:tcPr>
          <w:p w14:paraId="2581209F"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65CD32A0"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0C1C0D2E"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Kardiomiopatija, miokarditas</w:t>
            </w:r>
          </w:p>
        </w:tc>
      </w:tr>
      <w:tr w:rsidR="00506BE7" w14:paraId="1500B167" w14:textId="77777777" w:rsidTr="0097013C">
        <w:tc>
          <w:tcPr>
            <w:tcW w:w="0" w:type="auto"/>
            <w:shd w:val="clear" w:color="auto" w:fill="auto"/>
          </w:tcPr>
          <w:p w14:paraId="426D469D"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Kraujagyslių sutrikimai</w:t>
            </w:r>
          </w:p>
        </w:tc>
        <w:tc>
          <w:tcPr>
            <w:tcW w:w="0" w:type="auto"/>
            <w:shd w:val="clear" w:color="auto" w:fill="auto"/>
          </w:tcPr>
          <w:p w14:paraId="753AC295"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6A47CE41"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Ortostatinė hipotenzija</w:t>
            </w:r>
            <w:r>
              <w:rPr>
                <w:rFonts w:ascii="Times New Roman" w:eastAsia="Calibri" w:hAnsi="Times New Roman" w:cs="Times New Roman"/>
                <w:color w:val="000000"/>
                <w:vertAlign w:val="superscript"/>
              </w:rPr>
              <w:t>4,16</w:t>
            </w:r>
          </w:p>
        </w:tc>
        <w:tc>
          <w:tcPr>
            <w:tcW w:w="0" w:type="auto"/>
            <w:shd w:val="clear" w:color="auto" w:fill="auto"/>
          </w:tcPr>
          <w:p w14:paraId="5FC084D4"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77B4A476"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Venų tromboembolija</w:t>
            </w:r>
            <w:r>
              <w:rPr>
                <w:rFonts w:ascii="Times New Roman" w:eastAsia="Calibri" w:hAnsi="Times New Roman" w:cs="Times New Roman"/>
                <w:color w:val="000000"/>
                <w:vertAlign w:val="superscript"/>
              </w:rPr>
              <w:t>1</w:t>
            </w:r>
          </w:p>
        </w:tc>
        <w:tc>
          <w:tcPr>
            <w:tcW w:w="0" w:type="auto"/>
            <w:shd w:val="clear" w:color="auto" w:fill="auto"/>
          </w:tcPr>
          <w:p w14:paraId="68162ED6"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360FBE34"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Insultas</w:t>
            </w:r>
            <w:r>
              <w:rPr>
                <w:rFonts w:ascii="Times New Roman" w:eastAsia="Calibri" w:hAnsi="Times New Roman" w:cs="Times New Roman"/>
                <w:color w:val="000000"/>
                <w:vertAlign w:val="superscript"/>
              </w:rPr>
              <w:t>33</w:t>
            </w:r>
          </w:p>
        </w:tc>
      </w:tr>
      <w:tr w:rsidR="00506BE7" w14:paraId="2BD88FC8" w14:textId="77777777" w:rsidTr="0097013C">
        <w:tc>
          <w:tcPr>
            <w:tcW w:w="0" w:type="auto"/>
            <w:shd w:val="clear" w:color="auto" w:fill="auto"/>
          </w:tcPr>
          <w:p w14:paraId="56A26E18"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Kvėpavimo sistemos, krūtinės ląstos ir tarpuplaučio </w:t>
            </w:r>
            <w:r>
              <w:rPr>
                <w:rFonts w:ascii="Times New Roman" w:eastAsia="Calibri" w:hAnsi="Times New Roman" w:cs="Times New Roman"/>
              </w:rPr>
              <w:lastRenderedPageBreak/>
              <w:t>sutrikimai</w:t>
            </w:r>
          </w:p>
        </w:tc>
        <w:tc>
          <w:tcPr>
            <w:tcW w:w="0" w:type="auto"/>
            <w:shd w:val="clear" w:color="auto" w:fill="auto"/>
          </w:tcPr>
          <w:p w14:paraId="306678F8"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663B8B4C"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Dusulys</w:t>
            </w:r>
            <w:r>
              <w:rPr>
                <w:rFonts w:ascii="Times New Roman" w:eastAsia="Calibri" w:hAnsi="Times New Roman" w:cs="Times New Roman"/>
                <w:color w:val="000000"/>
                <w:vertAlign w:val="superscript"/>
              </w:rPr>
              <w:t>23</w:t>
            </w:r>
          </w:p>
        </w:tc>
        <w:tc>
          <w:tcPr>
            <w:tcW w:w="0" w:type="auto"/>
            <w:shd w:val="clear" w:color="auto" w:fill="auto"/>
          </w:tcPr>
          <w:p w14:paraId="155BCE36"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Sloga</w:t>
            </w:r>
          </w:p>
        </w:tc>
        <w:tc>
          <w:tcPr>
            <w:tcW w:w="0" w:type="auto"/>
            <w:shd w:val="clear" w:color="auto" w:fill="auto"/>
          </w:tcPr>
          <w:p w14:paraId="7E029ACC"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44F97241"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30A1020E" w14:textId="77777777" w:rsidR="00506BE7" w:rsidRDefault="00506BE7">
            <w:pPr>
              <w:widowControl w:val="0"/>
              <w:spacing w:after="0" w:line="240" w:lineRule="auto"/>
              <w:rPr>
                <w:rFonts w:ascii="Times New Roman" w:eastAsia="Calibri" w:hAnsi="Times New Roman" w:cs="Times New Roman"/>
              </w:rPr>
            </w:pPr>
          </w:p>
        </w:tc>
      </w:tr>
      <w:tr w:rsidR="00506BE7" w14:paraId="1F734E1F" w14:textId="77777777" w:rsidTr="0097013C">
        <w:tc>
          <w:tcPr>
            <w:tcW w:w="0" w:type="auto"/>
            <w:shd w:val="clear" w:color="auto" w:fill="auto"/>
          </w:tcPr>
          <w:p w14:paraId="2E10A414"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Virškinimo trakto sutrikimai</w:t>
            </w:r>
          </w:p>
        </w:tc>
        <w:tc>
          <w:tcPr>
            <w:tcW w:w="0" w:type="auto"/>
            <w:shd w:val="clear" w:color="auto" w:fill="auto"/>
          </w:tcPr>
          <w:p w14:paraId="4F73647D"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Burnos sausmė</w:t>
            </w:r>
          </w:p>
        </w:tc>
        <w:tc>
          <w:tcPr>
            <w:tcW w:w="0" w:type="auto"/>
            <w:shd w:val="clear" w:color="auto" w:fill="auto"/>
          </w:tcPr>
          <w:p w14:paraId="18E2E55B"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Vidurių užkietėjimas, dispepsija, vėmimas</w:t>
            </w:r>
            <w:r>
              <w:rPr>
                <w:rFonts w:ascii="Times New Roman" w:eastAsia="Calibri" w:hAnsi="Times New Roman" w:cs="Times New Roman"/>
                <w:color w:val="000000"/>
                <w:vertAlign w:val="superscript"/>
              </w:rPr>
              <w:t>25</w:t>
            </w:r>
          </w:p>
        </w:tc>
        <w:tc>
          <w:tcPr>
            <w:tcW w:w="0" w:type="auto"/>
            <w:shd w:val="clear" w:color="auto" w:fill="auto"/>
          </w:tcPr>
          <w:p w14:paraId="538594A5"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Disfalgija</w:t>
            </w:r>
            <w:r>
              <w:rPr>
                <w:rFonts w:ascii="Times New Roman" w:eastAsia="Calibri" w:hAnsi="Times New Roman" w:cs="Times New Roman"/>
                <w:color w:val="000000"/>
                <w:vertAlign w:val="superscript"/>
              </w:rPr>
              <w:t>7</w:t>
            </w:r>
          </w:p>
        </w:tc>
        <w:tc>
          <w:tcPr>
            <w:tcW w:w="0" w:type="auto"/>
            <w:shd w:val="clear" w:color="auto" w:fill="auto"/>
          </w:tcPr>
          <w:p w14:paraId="46A46DCF"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Pankreatitas</w:t>
            </w:r>
            <w:r>
              <w:rPr>
                <w:rFonts w:ascii="Times New Roman" w:eastAsia="Calibri" w:hAnsi="Times New Roman" w:cs="Times New Roman"/>
                <w:color w:val="000000"/>
                <w:vertAlign w:val="superscript"/>
              </w:rPr>
              <w:t>1</w:t>
            </w:r>
            <w:r>
              <w:rPr>
                <w:rFonts w:ascii="Times New Roman" w:eastAsia="Calibri" w:hAnsi="Times New Roman" w:cs="Times New Roman"/>
              </w:rPr>
              <w:t>, žarnų užsikimšimas arba nepraeinamumas</w:t>
            </w:r>
          </w:p>
        </w:tc>
        <w:tc>
          <w:tcPr>
            <w:tcW w:w="0" w:type="auto"/>
            <w:shd w:val="clear" w:color="auto" w:fill="auto"/>
          </w:tcPr>
          <w:p w14:paraId="2D157F4F"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2CC1BCC3" w14:textId="77777777" w:rsidR="00506BE7" w:rsidRDefault="00506BE7">
            <w:pPr>
              <w:widowControl w:val="0"/>
              <w:spacing w:after="0" w:line="240" w:lineRule="auto"/>
              <w:rPr>
                <w:rFonts w:ascii="Times New Roman" w:eastAsia="Calibri" w:hAnsi="Times New Roman" w:cs="Times New Roman"/>
              </w:rPr>
            </w:pPr>
          </w:p>
        </w:tc>
      </w:tr>
      <w:tr w:rsidR="00506BE7" w14:paraId="76A6C8D4" w14:textId="77777777" w:rsidTr="0097013C">
        <w:tc>
          <w:tcPr>
            <w:tcW w:w="0" w:type="auto"/>
            <w:shd w:val="clear" w:color="auto" w:fill="auto"/>
          </w:tcPr>
          <w:p w14:paraId="2588C777"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Kepenų, tulžies pūslės ir latakų sutrikimai</w:t>
            </w:r>
          </w:p>
        </w:tc>
        <w:tc>
          <w:tcPr>
            <w:tcW w:w="0" w:type="auto"/>
            <w:shd w:val="clear" w:color="auto" w:fill="auto"/>
          </w:tcPr>
          <w:p w14:paraId="0B58EFA8"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6DEEC82F"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Padidėjęs alaninamino-transferazės (ALT), gama-GT aktyvumas serume</w:t>
            </w:r>
            <w:r>
              <w:rPr>
                <w:rFonts w:ascii="Times New Roman" w:eastAsia="Calibri" w:hAnsi="Times New Roman" w:cs="Times New Roman"/>
                <w:color w:val="000000"/>
                <w:vertAlign w:val="superscript"/>
              </w:rPr>
              <w:t>3</w:t>
            </w:r>
          </w:p>
        </w:tc>
        <w:tc>
          <w:tcPr>
            <w:tcW w:w="0" w:type="auto"/>
            <w:shd w:val="clear" w:color="auto" w:fill="auto"/>
          </w:tcPr>
          <w:p w14:paraId="7C82B033"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Padidėjęs aspartatami-notransfera-zės (AST) -aktyvumas serume</w:t>
            </w:r>
            <w:r>
              <w:rPr>
                <w:rFonts w:ascii="Times New Roman" w:eastAsia="Calibri" w:hAnsi="Times New Roman" w:cs="Times New Roman"/>
                <w:color w:val="000000"/>
                <w:vertAlign w:val="superscript"/>
              </w:rPr>
              <w:t>3</w:t>
            </w:r>
          </w:p>
        </w:tc>
        <w:tc>
          <w:tcPr>
            <w:tcW w:w="0" w:type="auto"/>
            <w:shd w:val="clear" w:color="auto" w:fill="auto"/>
          </w:tcPr>
          <w:p w14:paraId="3CAEA1EB"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Gelta</w:t>
            </w:r>
            <w:r>
              <w:rPr>
                <w:rFonts w:ascii="Times New Roman" w:eastAsia="Calibri" w:hAnsi="Times New Roman" w:cs="Times New Roman"/>
                <w:color w:val="000000"/>
                <w:vertAlign w:val="superscript"/>
              </w:rPr>
              <w:t>3</w:t>
            </w:r>
            <w:r>
              <w:rPr>
                <w:rFonts w:ascii="Times New Roman" w:eastAsia="Calibri" w:hAnsi="Times New Roman" w:cs="Times New Roman"/>
              </w:rPr>
              <w:t>, Hepatitas</w:t>
            </w:r>
          </w:p>
        </w:tc>
        <w:tc>
          <w:tcPr>
            <w:tcW w:w="0" w:type="auto"/>
            <w:shd w:val="clear" w:color="auto" w:fill="auto"/>
          </w:tcPr>
          <w:p w14:paraId="128684EC"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4DA60F53" w14:textId="77777777" w:rsidR="00506BE7" w:rsidRDefault="00506BE7">
            <w:pPr>
              <w:widowControl w:val="0"/>
              <w:spacing w:after="0" w:line="240" w:lineRule="auto"/>
              <w:rPr>
                <w:rFonts w:ascii="Times New Roman" w:eastAsia="Calibri" w:hAnsi="Times New Roman" w:cs="Times New Roman"/>
              </w:rPr>
            </w:pPr>
          </w:p>
        </w:tc>
      </w:tr>
      <w:tr w:rsidR="00506BE7" w14:paraId="04680722" w14:textId="77777777" w:rsidTr="0097013C">
        <w:tc>
          <w:tcPr>
            <w:tcW w:w="0" w:type="auto"/>
            <w:shd w:val="clear" w:color="auto" w:fill="auto"/>
          </w:tcPr>
          <w:p w14:paraId="77735982"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Odos ir poodinio audinio sutrikimai</w:t>
            </w:r>
          </w:p>
        </w:tc>
        <w:tc>
          <w:tcPr>
            <w:tcW w:w="0" w:type="auto"/>
            <w:shd w:val="clear" w:color="auto" w:fill="auto"/>
          </w:tcPr>
          <w:p w14:paraId="1F3DD108"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2188DCAD"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1A86983D"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388B2943"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4DBAC5A8"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Angioedema</w:t>
            </w:r>
            <w:r>
              <w:rPr>
                <w:rFonts w:ascii="Times New Roman" w:eastAsia="Calibri" w:hAnsi="Times New Roman" w:cs="Times New Roman"/>
                <w:color w:val="000000"/>
                <w:vertAlign w:val="superscript"/>
              </w:rPr>
              <w:t>5</w:t>
            </w:r>
            <w:r>
              <w:rPr>
                <w:rFonts w:ascii="Times New Roman" w:eastAsia="Calibri" w:hAnsi="Times New Roman" w:cs="Times New Roman"/>
              </w:rPr>
              <w:t>, Stivenso-Džonsono (</w:t>
            </w:r>
            <w:r>
              <w:rPr>
                <w:rFonts w:ascii="Times New Roman" w:eastAsia="Calibri" w:hAnsi="Times New Roman" w:cs="Times New Roman"/>
                <w:i/>
              </w:rPr>
              <w:t>Stevens-Johnson</w:t>
            </w:r>
            <w:r>
              <w:rPr>
                <w:rFonts w:ascii="Times New Roman" w:eastAsia="Calibri" w:hAnsi="Times New Roman" w:cs="Times New Roman"/>
              </w:rPr>
              <w:t>) sindromas</w:t>
            </w:r>
            <w:r>
              <w:rPr>
                <w:rFonts w:ascii="Times New Roman" w:eastAsia="Calibri" w:hAnsi="Times New Roman" w:cs="Times New Roman"/>
                <w:color w:val="000000"/>
                <w:vertAlign w:val="superscript"/>
              </w:rPr>
              <w:t>5</w:t>
            </w:r>
          </w:p>
        </w:tc>
        <w:tc>
          <w:tcPr>
            <w:tcW w:w="0" w:type="auto"/>
            <w:shd w:val="clear" w:color="auto" w:fill="auto"/>
          </w:tcPr>
          <w:p w14:paraId="113DA177"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Toksinė epider-mio nekrolizė, daugiaformė raudonė (</w:t>
            </w:r>
            <w:r>
              <w:rPr>
                <w:rFonts w:ascii="Times New Roman" w:eastAsia="Calibri" w:hAnsi="Times New Roman" w:cs="Times New Roman"/>
                <w:i/>
              </w:rPr>
              <w:t>Erythema multiforme</w:t>
            </w:r>
            <w:r>
              <w:rPr>
                <w:rFonts w:ascii="Times New Roman" w:eastAsia="Calibri" w:hAnsi="Times New Roman" w:cs="Times New Roman"/>
              </w:rPr>
              <w:t>),</w:t>
            </w:r>
            <w:r>
              <w:rPr>
                <w:rFonts w:ascii="Times New Roman" w:hAnsi="Times New Roman"/>
              </w:rPr>
              <w:t xml:space="preserve"> ūminė išplitusi egzanteminė pustuliozė (AGEP), </w:t>
            </w:r>
            <w:r>
              <w:rPr>
                <w:rFonts w:ascii="Times New Roman" w:eastAsia="Calibri" w:hAnsi="Times New Roman" w:cs="Times New Roman"/>
              </w:rPr>
              <w:t>vaisto sukeltas išbėrimas su eozinofilija ir sisteminiais simptomais (</w:t>
            </w:r>
            <w:r>
              <w:rPr>
                <w:rFonts w:ascii="Times New Roman" w:eastAsia="Calibri" w:hAnsi="Times New Roman" w:cs="Times New Roman"/>
                <w:i/>
              </w:rPr>
              <w:t>DRESS</w:t>
            </w:r>
            <w:r>
              <w:rPr>
                <w:rFonts w:ascii="Times New Roman" w:eastAsia="Calibri" w:hAnsi="Times New Roman" w:cs="Times New Roman"/>
              </w:rPr>
              <w:t>)</w:t>
            </w:r>
            <w:r>
              <w:rPr>
                <w:rFonts w:ascii="Times New Roman" w:eastAsia="SimSun" w:hAnsi="Times New Roman" w:cs="Times New Roman"/>
              </w:rPr>
              <w:t>, odos vaskulitas</w:t>
            </w:r>
          </w:p>
        </w:tc>
      </w:tr>
      <w:tr w:rsidR="00506BE7" w14:paraId="2E19217E" w14:textId="77777777" w:rsidTr="0097013C">
        <w:tc>
          <w:tcPr>
            <w:tcW w:w="0" w:type="auto"/>
            <w:shd w:val="clear" w:color="auto" w:fill="auto"/>
          </w:tcPr>
          <w:p w14:paraId="25E65FF8"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Skeleto, raumenų ir jungiamojo audinio sutrikimai</w:t>
            </w:r>
          </w:p>
        </w:tc>
        <w:tc>
          <w:tcPr>
            <w:tcW w:w="0" w:type="auto"/>
            <w:shd w:val="clear" w:color="auto" w:fill="auto"/>
          </w:tcPr>
          <w:p w14:paraId="11FC84EA"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1F83B3FD"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1A9CC67B"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0B7720CC"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7431E9DA"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Rabdomiolizė</w:t>
            </w:r>
          </w:p>
        </w:tc>
        <w:tc>
          <w:tcPr>
            <w:tcW w:w="0" w:type="auto"/>
            <w:shd w:val="clear" w:color="auto" w:fill="auto"/>
          </w:tcPr>
          <w:p w14:paraId="39E555CB" w14:textId="77777777" w:rsidR="00506BE7" w:rsidRDefault="00506BE7">
            <w:pPr>
              <w:widowControl w:val="0"/>
              <w:spacing w:after="0" w:line="240" w:lineRule="auto"/>
              <w:rPr>
                <w:rFonts w:ascii="Times New Roman" w:eastAsia="Calibri" w:hAnsi="Times New Roman" w:cs="Times New Roman"/>
              </w:rPr>
            </w:pPr>
          </w:p>
        </w:tc>
      </w:tr>
      <w:tr w:rsidR="00506BE7" w14:paraId="3FE38E82" w14:textId="77777777" w:rsidTr="0097013C">
        <w:tc>
          <w:tcPr>
            <w:tcW w:w="0" w:type="auto"/>
            <w:shd w:val="clear" w:color="auto" w:fill="auto"/>
          </w:tcPr>
          <w:p w14:paraId="1526A2F6"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Inkstų ir šlapimo takų sutrikimai</w:t>
            </w:r>
          </w:p>
        </w:tc>
        <w:tc>
          <w:tcPr>
            <w:tcW w:w="0" w:type="auto"/>
            <w:shd w:val="clear" w:color="auto" w:fill="auto"/>
          </w:tcPr>
          <w:p w14:paraId="06467616"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582CDEBE"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4C69F411"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Šlapimo susilaikymas</w:t>
            </w:r>
          </w:p>
        </w:tc>
        <w:tc>
          <w:tcPr>
            <w:tcW w:w="0" w:type="auto"/>
            <w:shd w:val="clear" w:color="auto" w:fill="auto"/>
          </w:tcPr>
          <w:p w14:paraId="17C5103D"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7E0CA263"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45BEB2F1" w14:textId="77777777" w:rsidR="00506BE7" w:rsidRDefault="00506BE7">
            <w:pPr>
              <w:widowControl w:val="0"/>
              <w:spacing w:after="0" w:line="240" w:lineRule="auto"/>
              <w:rPr>
                <w:rFonts w:ascii="Times New Roman" w:eastAsia="Calibri" w:hAnsi="Times New Roman" w:cs="Times New Roman"/>
              </w:rPr>
            </w:pPr>
          </w:p>
        </w:tc>
      </w:tr>
      <w:tr w:rsidR="00506BE7" w14:paraId="68B44F21" w14:textId="77777777" w:rsidTr="0097013C">
        <w:tc>
          <w:tcPr>
            <w:tcW w:w="0" w:type="auto"/>
            <w:shd w:val="clear" w:color="auto" w:fill="auto"/>
          </w:tcPr>
          <w:p w14:paraId="17DEEB98"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Būklės nėštumo, pogimdyminiu ir perinataliniu laikotarpiu </w:t>
            </w:r>
          </w:p>
        </w:tc>
        <w:tc>
          <w:tcPr>
            <w:tcW w:w="0" w:type="auto"/>
            <w:shd w:val="clear" w:color="auto" w:fill="auto"/>
          </w:tcPr>
          <w:p w14:paraId="5E00DBF1"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62028F74"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17464C5B"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7EEBF228"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3CB5E417"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28FC0E10"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Vaistinio preparato nutraukimo sindromas naujagimiui</w:t>
            </w:r>
            <w:r>
              <w:rPr>
                <w:rFonts w:ascii="Times New Roman" w:eastAsia="Calibri" w:hAnsi="Times New Roman" w:cs="Times New Roman"/>
                <w:color w:val="000000"/>
                <w:vertAlign w:val="superscript"/>
              </w:rPr>
              <w:t>31</w:t>
            </w:r>
          </w:p>
        </w:tc>
      </w:tr>
      <w:tr w:rsidR="00506BE7" w14:paraId="2836720B" w14:textId="77777777" w:rsidTr="0097013C">
        <w:tc>
          <w:tcPr>
            <w:tcW w:w="0" w:type="auto"/>
            <w:shd w:val="clear" w:color="auto" w:fill="auto"/>
          </w:tcPr>
          <w:p w14:paraId="684CA497"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Lytinės </w:t>
            </w:r>
            <w:r>
              <w:rPr>
                <w:rFonts w:ascii="Times New Roman" w:eastAsia="Calibri" w:hAnsi="Times New Roman" w:cs="Times New Roman"/>
              </w:rPr>
              <w:lastRenderedPageBreak/>
              <w:t>sistemos ir krūties sutrikimai</w:t>
            </w:r>
          </w:p>
        </w:tc>
        <w:tc>
          <w:tcPr>
            <w:tcW w:w="0" w:type="auto"/>
            <w:shd w:val="clear" w:color="auto" w:fill="auto"/>
          </w:tcPr>
          <w:p w14:paraId="5F531B81"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12531E39"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19BB3BF0"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Lytinė </w:t>
            </w:r>
            <w:r>
              <w:rPr>
                <w:rFonts w:ascii="Times New Roman" w:eastAsia="Calibri" w:hAnsi="Times New Roman" w:cs="Times New Roman"/>
              </w:rPr>
              <w:lastRenderedPageBreak/>
              <w:t>disfunkcija</w:t>
            </w:r>
          </w:p>
        </w:tc>
        <w:tc>
          <w:tcPr>
            <w:tcW w:w="0" w:type="auto"/>
            <w:shd w:val="clear" w:color="auto" w:fill="auto"/>
          </w:tcPr>
          <w:p w14:paraId="3EF727C0"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lastRenderedPageBreak/>
              <w:t xml:space="preserve">Priapizmas, </w:t>
            </w:r>
            <w:r>
              <w:rPr>
                <w:rFonts w:ascii="Times New Roman" w:eastAsia="Calibri" w:hAnsi="Times New Roman" w:cs="Times New Roman"/>
              </w:rPr>
              <w:lastRenderedPageBreak/>
              <w:t>galaktorėja, padidėjusios krūtys, sutrikusios menstruacijos</w:t>
            </w:r>
          </w:p>
        </w:tc>
        <w:tc>
          <w:tcPr>
            <w:tcW w:w="0" w:type="auto"/>
            <w:shd w:val="clear" w:color="auto" w:fill="auto"/>
          </w:tcPr>
          <w:p w14:paraId="2ABCC81E"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2755F8CC" w14:textId="77777777" w:rsidR="00506BE7" w:rsidRDefault="00506BE7">
            <w:pPr>
              <w:widowControl w:val="0"/>
              <w:spacing w:after="0" w:line="240" w:lineRule="auto"/>
              <w:rPr>
                <w:rFonts w:ascii="Times New Roman" w:eastAsia="Calibri" w:hAnsi="Times New Roman" w:cs="Times New Roman"/>
              </w:rPr>
            </w:pPr>
          </w:p>
        </w:tc>
      </w:tr>
      <w:tr w:rsidR="00506BE7" w14:paraId="33B28854" w14:textId="77777777" w:rsidTr="0097013C">
        <w:tc>
          <w:tcPr>
            <w:tcW w:w="0" w:type="auto"/>
            <w:shd w:val="clear" w:color="auto" w:fill="auto"/>
          </w:tcPr>
          <w:p w14:paraId="4BC1D1DC"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Bendrieji sutrikimai ir vartojimo vietos pažeidimai</w:t>
            </w:r>
          </w:p>
        </w:tc>
        <w:tc>
          <w:tcPr>
            <w:tcW w:w="0" w:type="auto"/>
            <w:shd w:val="clear" w:color="auto" w:fill="auto"/>
          </w:tcPr>
          <w:p w14:paraId="659CB1CC"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Nutraukimo simptomai</w:t>
            </w:r>
            <w:r>
              <w:rPr>
                <w:rFonts w:ascii="Times New Roman" w:eastAsia="Calibri" w:hAnsi="Times New Roman" w:cs="Times New Roman"/>
                <w:color w:val="000000"/>
                <w:vertAlign w:val="superscript"/>
              </w:rPr>
              <w:t>1,9</w:t>
            </w:r>
          </w:p>
        </w:tc>
        <w:tc>
          <w:tcPr>
            <w:tcW w:w="0" w:type="auto"/>
            <w:shd w:val="clear" w:color="auto" w:fill="auto"/>
          </w:tcPr>
          <w:p w14:paraId="475DC6E3"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Lengva astenija, periferinė edema, irzlumas, karščiavimas</w:t>
            </w:r>
          </w:p>
        </w:tc>
        <w:tc>
          <w:tcPr>
            <w:tcW w:w="0" w:type="auto"/>
            <w:shd w:val="clear" w:color="auto" w:fill="auto"/>
          </w:tcPr>
          <w:p w14:paraId="73A3BBE4"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6B6C1A54"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Neurolepsinis piktybinis sindromas</w:t>
            </w:r>
            <w:r>
              <w:rPr>
                <w:rFonts w:ascii="Times New Roman" w:eastAsia="Calibri" w:hAnsi="Times New Roman" w:cs="Times New Roman"/>
                <w:color w:val="000000"/>
                <w:vertAlign w:val="superscript"/>
              </w:rPr>
              <w:t>1</w:t>
            </w:r>
            <w:r>
              <w:rPr>
                <w:rFonts w:ascii="Times New Roman" w:eastAsia="Calibri" w:hAnsi="Times New Roman" w:cs="Times New Roman"/>
              </w:rPr>
              <w:t>, hipotermija</w:t>
            </w:r>
          </w:p>
        </w:tc>
        <w:tc>
          <w:tcPr>
            <w:tcW w:w="0" w:type="auto"/>
            <w:shd w:val="clear" w:color="auto" w:fill="auto"/>
          </w:tcPr>
          <w:p w14:paraId="2D3AF623"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4A016CAA" w14:textId="77777777" w:rsidR="00506BE7" w:rsidRDefault="00506BE7">
            <w:pPr>
              <w:widowControl w:val="0"/>
              <w:spacing w:after="0" w:line="240" w:lineRule="auto"/>
              <w:rPr>
                <w:rFonts w:ascii="Times New Roman" w:eastAsia="Calibri" w:hAnsi="Times New Roman" w:cs="Times New Roman"/>
              </w:rPr>
            </w:pPr>
          </w:p>
        </w:tc>
      </w:tr>
      <w:tr w:rsidR="00506BE7" w14:paraId="527E1942" w14:textId="77777777" w:rsidTr="0097013C">
        <w:tc>
          <w:tcPr>
            <w:tcW w:w="0" w:type="auto"/>
            <w:shd w:val="clear" w:color="auto" w:fill="auto"/>
          </w:tcPr>
          <w:p w14:paraId="6324DECC"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Tyrimai</w:t>
            </w:r>
          </w:p>
        </w:tc>
        <w:tc>
          <w:tcPr>
            <w:tcW w:w="0" w:type="auto"/>
            <w:shd w:val="clear" w:color="auto" w:fill="auto"/>
          </w:tcPr>
          <w:p w14:paraId="1884219C"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200A2DEC"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41907ED1"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5F5DE7B9"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Padidėjęs kreatinfosfokinazės aktyvumas kraujyje</w:t>
            </w:r>
          </w:p>
        </w:tc>
        <w:tc>
          <w:tcPr>
            <w:tcW w:w="0" w:type="auto"/>
            <w:shd w:val="clear" w:color="auto" w:fill="auto"/>
          </w:tcPr>
          <w:p w14:paraId="308F8F35" w14:textId="77777777" w:rsidR="00506BE7" w:rsidRDefault="00506BE7">
            <w:pPr>
              <w:widowControl w:val="0"/>
              <w:spacing w:after="0" w:line="240" w:lineRule="auto"/>
              <w:rPr>
                <w:rFonts w:ascii="Times New Roman" w:eastAsia="Calibri" w:hAnsi="Times New Roman" w:cs="Times New Roman"/>
              </w:rPr>
            </w:pPr>
          </w:p>
        </w:tc>
        <w:tc>
          <w:tcPr>
            <w:tcW w:w="0" w:type="auto"/>
            <w:shd w:val="clear" w:color="auto" w:fill="auto"/>
          </w:tcPr>
          <w:p w14:paraId="0E75A66B" w14:textId="77777777" w:rsidR="00506BE7" w:rsidRDefault="00506BE7">
            <w:pPr>
              <w:widowControl w:val="0"/>
              <w:spacing w:after="0" w:line="240" w:lineRule="auto"/>
              <w:rPr>
                <w:rFonts w:ascii="Times New Roman" w:eastAsia="Calibri" w:hAnsi="Times New Roman" w:cs="Times New Roman"/>
              </w:rPr>
            </w:pPr>
          </w:p>
        </w:tc>
      </w:tr>
    </w:tbl>
    <w:p w14:paraId="4A9BD045" w14:textId="77777777" w:rsidR="00506BE7" w:rsidRDefault="00506BE7">
      <w:pPr>
        <w:widowControl w:val="0"/>
        <w:spacing w:after="0" w:line="240" w:lineRule="auto"/>
        <w:rPr>
          <w:rFonts w:ascii="Times New Roman" w:eastAsia="Calibri" w:hAnsi="Times New Roman" w:cs="Times New Roman"/>
        </w:rPr>
      </w:pPr>
    </w:p>
    <w:p w14:paraId="5691B1FE"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1</w:t>
      </w:r>
      <w:r>
        <w:rPr>
          <w:rFonts w:ascii="Times New Roman" w:eastAsia="Calibri" w:hAnsi="Times New Roman" w:cs="Times New Roman"/>
        </w:rPr>
        <w:t xml:space="preserve"> Žr. 4.4 skyrių.</w:t>
      </w:r>
    </w:p>
    <w:p w14:paraId="2E664FB1"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 xml:space="preserve"> Gali pasireikšti mieguistumas, ypač per pirmąsias dvi gydymo savaites. Toliau vartojant kvetiapiną, jis dažniausiai praeina.</w:t>
      </w:r>
    </w:p>
    <w:p w14:paraId="260BFACA"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3</w:t>
      </w:r>
      <w:r>
        <w:rPr>
          <w:rFonts w:ascii="Times New Roman" w:eastAsia="Calibri" w:hAnsi="Times New Roman" w:cs="Times New Roman"/>
        </w:rPr>
        <w:t>Kai kuriems kvetiapiną vartojusiems pacientams nustatytas nesimptominis transaminazių (ALT, AST) ar gama-GT koncentracijos serume padidėjimas (nustatytas nukrypimas nuo normalaus iki ≥ 3x viršutinė normos riba bet kuriuo metu). Kvetiapiną vartojant toliau, šių fermentų koncentracijos paprastai sunormalėdavo.</w:t>
      </w:r>
    </w:p>
    <w:p w14:paraId="34A0E7C8"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4</w:t>
      </w:r>
      <w:r>
        <w:rPr>
          <w:rFonts w:ascii="Times New Roman" w:eastAsia="Calibri" w:hAnsi="Times New Roman" w:cs="Times New Roman"/>
        </w:rPr>
        <w:t xml:space="preserve">Kvetiapinas, kaip ir kiti </w:t>
      </w:r>
      <w:r>
        <w:rPr>
          <w:rFonts w:ascii="Times New Roman" w:eastAsia="Calibri" w:hAnsi="Times New Roman" w:cs="Times New Roman"/>
        </w:rPr>
        <w:sym w:font="Symbol" w:char="F061"/>
      </w:r>
      <w:r>
        <w:rPr>
          <w:rFonts w:ascii="Times New Roman" w:eastAsia="Calibri" w:hAnsi="Times New Roman" w:cs="Times New Roman"/>
          <w:vertAlign w:val="subscript"/>
        </w:rPr>
        <w:t>1</w:t>
      </w:r>
      <w:r>
        <w:rPr>
          <w:rFonts w:ascii="Times New Roman" w:eastAsia="Calibri" w:hAnsi="Times New Roman" w:cs="Times New Roman"/>
        </w:rPr>
        <w:t xml:space="preserve"> adrenoreceptorius blokuojantys vaistai nuo psichozės, dažnai gali sukelti ortostatinę hipotenziją, pasireiškiančią svaiguliu, tachikardija ir (kai kuriems pacientams) sinkope, ypač pradiniu dozės didinimo laikotarpiu (žr. 4.4 skyrių).</w:t>
      </w:r>
    </w:p>
    <w:p w14:paraId="1BE8B9AD"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 xml:space="preserve">5 </w:t>
      </w:r>
      <w:r>
        <w:rPr>
          <w:rFonts w:ascii="Times New Roman" w:eastAsia="Calibri" w:hAnsi="Times New Roman" w:cs="Times New Roman"/>
        </w:rPr>
        <w:t>Šių nepageidaujamų reakcijų dažnis apskaičiuo</w:t>
      </w:r>
      <w:r>
        <w:rPr>
          <w:rFonts w:ascii="Times New Roman" w:eastAsia="Calibri" w:hAnsi="Times New Roman" w:cs="Times New Roman"/>
        </w:rPr>
        <w:softHyphen/>
        <w:t>tas remiantis tik  kvetiapino greito atpalaidavimo formų poregistraciniais duomenimis.</w:t>
      </w:r>
    </w:p>
    <w:p w14:paraId="4A27E967"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 xml:space="preserve">6 </w:t>
      </w:r>
      <w:r>
        <w:rPr>
          <w:rFonts w:ascii="Times New Roman" w:eastAsia="Calibri" w:hAnsi="Times New Roman" w:cs="Times New Roman"/>
        </w:rPr>
        <w:t xml:space="preserve">Bent vieną kartą nustatyta gliukozės koncentracija kraujyje nevalgius </w:t>
      </w:r>
      <w:r>
        <w:rPr>
          <w:rFonts w:ascii="Times New Roman" w:eastAsia="Calibri" w:hAnsi="Times New Roman" w:cs="Times New Roman"/>
        </w:rPr>
        <w:sym w:font="Symbol" w:char="F0B3"/>
      </w:r>
      <w:r>
        <w:rPr>
          <w:rFonts w:ascii="Times New Roman" w:eastAsia="Calibri" w:hAnsi="Times New Roman" w:cs="Times New Roman"/>
        </w:rPr>
        <w:t> 126 mg/dl (</w:t>
      </w:r>
      <w:r>
        <w:rPr>
          <w:rFonts w:ascii="Times New Roman" w:eastAsia="Calibri" w:hAnsi="Times New Roman" w:cs="Times New Roman"/>
        </w:rPr>
        <w:sym w:font="Symbol" w:char="F0B3"/>
      </w:r>
      <w:r>
        <w:rPr>
          <w:rFonts w:ascii="Times New Roman" w:eastAsia="Calibri" w:hAnsi="Times New Roman" w:cs="Times New Roman"/>
        </w:rPr>
        <w:t xml:space="preserve"> 7 mmol/l) arba kitu laiku </w:t>
      </w:r>
      <w:r>
        <w:rPr>
          <w:rFonts w:ascii="Times New Roman" w:eastAsia="Calibri" w:hAnsi="Times New Roman" w:cs="Times New Roman"/>
        </w:rPr>
        <w:sym w:font="Symbol" w:char="F0B3"/>
      </w:r>
      <w:r>
        <w:rPr>
          <w:rFonts w:ascii="Times New Roman" w:eastAsia="Calibri" w:hAnsi="Times New Roman" w:cs="Times New Roman"/>
        </w:rPr>
        <w:t> 200 mg/dl (</w:t>
      </w:r>
      <w:r>
        <w:rPr>
          <w:rFonts w:ascii="Times New Roman" w:eastAsia="Calibri" w:hAnsi="Times New Roman" w:cs="Times New Roman"/>
        </w:rPr>
        <w:sym w:font="Symbol" w:char="F0B3"/>
      </w:r>
      <w:r>
        <w:rPr>
          <w:rFonts w:ascii="Times New Roman" w:eastAsia="Calibri" w:hAnsi="Times New Roman" w:cs="Times New Roman"/>
        </w:rPr>
        <w:t> 11,1 mmol/l).</w:t>
      </w:r>
    </w:p>
    <w:p w14:paraId="78320029"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 xml:space="preserve">7 </w:t>
      </w:r>
      <w:r>
        <w:rPr>
          <w:rFonts w:ascii="Times New Roman" w:eastAsia="Calibri" w:hAnsi="Times New Roman" w:cs="Times New Roman"/>
        </w:rPr>
        <w:t>Vartojant kvetiapiną, disfagija pasireiškė dažniau nei vartojant placebą tik bipolinės depresijos klinikinių tyrimų metu.</w:t>
      </w:r>
    </w:p>
    <w:p w14:paraId="313D2CBE"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 xml:space="preserve">8 </w:t>
      </w:r>
      <w:r>
        <w:rPr>
          <w:rFonts w:ascii="Times New Roman" w:eastAsia="Calibri" w:hAnsi="Times New Roman" w:cs="Times New Roman"/>
        </w:rPr>
        <w:t>Skaičiuojant atvejus, kai kūno svoris priaugo &gt; 7 % palyginus su buvusiu iki gydymo. Suaugusiems dažniausiai pasireiškia pirmosiomis gydymo savaitėmis.</w:t>
      </w:r>
    </w:p>
    <w:p w14:paraId="12EA34A4"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 xml:space="preserve">9 </w:t>
      </w:r>
      <w:r>
        <w:rPr>
          <w:rFonts w:ascii="Times New Roman" w:eastAsia="Calibri" w:hAnsi="Times New Roman" w:cs="Times New Roman"/>
        </w:rPr>
        <w:t>Trumpalaikių placebu kontroliuojamų monoterapijos klinikinių tyrimų metu vertinant nutraukimo simptomus, dažniausiai pastebėta nemiga, pykinimas, galvos skausmas, viduriavimas, vėmimas, svaigulys ir irzlumas. Šių reakcijų dažnis reikšmingai sumažėjo per savaitę po vaistinio preparato vartojimo nutraukimo.</w:t>
      </w:r>
    </w:p>
    <w:p w14:paraId="3DF23339"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 xml:space="preserve">10 </w:t>
      </w:r>
      <w:r>
        <w:rPr>
          <w:rFonts w:ascii="Times New Roman" w:eastAsia="Calibri" w:hAnsi="Times New Roman" w:cs="Times New Roman"/>
        </w:rPr>
        <w:t>Bent vieną kartą nustatyta trigliceridų koncentracija ≥ 200 mg/dl (</w:t>
      </w:r>
      <w:r>
        <w:rPr>
          <w:rFonts w:ascii="Times New Roman" w:eastAsia="Calibri" w:hAnsi="Times New Roman" w:cs="Times New Roman"/>
        </w:rPr>
        <w:sym w:font="Symbol" w:char="F0B3"/>
      </w:r>
      <w:r>
        <w:rPr>
          <w:rFonts w:ascii="Times New Roman" w:eastAsia="Calibri" w:hAnsi="Times New Roman" w:cs="Times New Roman"/>
        </w:rPr>
        <w:t> 2,258 mmol/l) (18 metų ir vyresniems pacientams) arba ≥ 150 mg/dl (≥ 1,694 mmol/l) (jaunesniems kaip 18 metų pacientams).</w:t>
      </w:r>
    </w:p>
    <w:p w14:paraId="0FA3DBAA"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 xml:space="preserve">11 </w:t>
      </w:r>
      <w:r>
        <w:rPr>
          <w:rFonts w:ascii="Times New Roman" w:eastAsia="Calibri" w:hAnsi="Times New Roman" w:cs="Times New Roman"/>
        </w:rPr>
        <w:t>Bent vieną kartą nustatyta cholesterolio koncentracija ≥ 240 mg/dl (</w:t>
      </w:r>
      <w:r>
        <w:rPr>
          <w:rFonts w:ascii="Times New Roman" w:eastAsia="Calibri" w:hAnsi="Times New Roman" w:cs="Times New Roman"/>
        </w:rPr>
        <w:sym w:font="Symbol" w:char="F0B3"/>
      </w:r>
      <w:r>
        <w:rPr>
          <w:rFonts w:ascii="Times New Roman" w:eastAsia="Calibri" w:hAnsi="Times New Roman" w:cs="Times New Roman"/>
        </w:rPr>
        <w:t> 6,2064 mmol/l) (18 metų ir vyresniems pacientams) arba ≥ 150 mg/dl (≥ 5,172 mmol/l) (jaunesniems kaip 18 metų pacientams). Labai dažnai nustatyta MTL cholesterolio koncentracija ≥ 30 mg/dl (≥ 0,769 mmol/l). Vidutinis pokytis pacientams, kuriems ji padidėjo, buvo 41,7 mg/dl (≥ 1,07 mmol/l).</w:t>
      </w:r>
    </w:p>
    <w:p w14:paraId="1C2EC6F3"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 xml:space="preserve">12 </w:t>
      </w:r>
      <w:r>
        <w:rPr>
          <w:rFonts w:ascii="Times New Roman" w:eastAsia="Calibri" w:hAnsi="Times New Roman" w:cs="Times New Roman"/>
        </w:rPr>
        <w:t>Žr. tekstą žemiau.</w:t>
      </w:r>
    </w:p>
    <w:p w14:paraId="499328FA"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13</w:t>
      </w:r>
      <w:r>
        <w:rPr>
          <w:rFonts w:ascii="Times New Roman" w:eastAsia="Calibri" w:hAnsi="Times New Roman" w:cs="Times New Roman"/>
        </w:rPr>
        <w:t xml:space="preserve"> Bent vieną kartą nustatyta trombocitų koncentracija </w:t>
      </w:r>
      <w:r>
        <w:rPr>
          <w:rFonts w:ascii="Times New Roman" w:eastAsia="Calibri" w:hAnsi="Times New Roman" w:cs="Times New Roman"/>
        </w:rPr>
        <w:sym w:font="Symbol" w:char="F0A3"/>
      </w:r>
      <w:r>
        <w:rPr>
          <w:rFonts w:ascii="Times New Roman" w:eastAsia="Calibri" w:hAnsi="Times New Roman" w:cs="Times New Roman"/>
        </w:rPr>
        <w:t xml:space="preserve"> 100x10</w:t>
      </w:r>
      <w:r>
        <w:rPr>
          <w:rFonts w:ascii="Times New Roman" w:eastAsia="Calibri" w:hAnsi="Times New Roman" w:cs="Times New Roman"/>
          <w:vertAlign w:val="superscript"/>
        </w:rPr>
        <w:t>9</w:t>
      </w:r>
      <w:r>
        <w:rPr>
          <w:rFonts w:ascii="Times New Roman" w:eastAsia="Calibri" w:hAnsi="Times New Roman" w:cs="Times New Roman"/>
        </w:rPr>
        <w:t>/l.</w:t>
      </w:r>
    </w:p>
    <w:p w14:paraId="2D97CA59"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vertAlign w:val="superscript"/>
        </w:rPr>
        <w:t xml:space="preserve">14 </w:t>
      </w:r>
      <w:r>
        <w:rPr>
          <w:rFonts w:ascii="Times New Roman" w:eastAsia="Calibri" w:hAnsi="Times New Roman" w:cs="Times New Roman"/>
        </w:rPr>
        <w:t>Remiantis klinikinių tyrimų metu gautais pranešimais apie kreatinfosfokinazės koncentracijos kraujyje padidėjimą kaip nepageidaujamą reiškinį, nesusijusį su piktybiniu neurolepsiniu sindromu.</w:t>
      </w:r>
    </w:p>
    <w:p w14:paraId="333A95C5"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 xml:space="preserve">15 </w:t>
      </w:r>
      <w:r>
        <w:rPr>
          <w:rFonts w:ascii="Times New Roman" w:eastAsia="Calibri" w:hAnsi="Times New Roman" w:cs="Times New Roman"/>
        </w:rPr>
        <w:t>Bet kuriuo laiku nustatyta prolaktino koncentracija vyresniems kaip 18 metų pacientams vyrams &gt; 20 </w:t>
      </w:r>
      <w:r>
        <w:rPr>
          <w:rFonts w:ascii="Times New Roman" w:eastAsia="Calibri" w:hAnsi="Times New Roman" w:cs="Times New Roman"/>
        </w:rPr>
        <w:sym w:font="Symbol" w:char="F06D"/>
      </w:r>
      <w:r>
        <w:rPr>
          <w:rFonts w:ascii="Times New Roman" w:eastAsia="Calibri" w:hAnsi="Times New Roman" w:cs="Times New Roman"/>
        </w:rPr>
        <w:t xml:space="preserve">g/l (&gt; 869,56 pmol/l), moterims &gt; 30 </w:t>
      </w:r>
      <w:r>
        <w:rPr>
          <w:rFonts w:ascii="Times New Roman" w:eastAsia="Calibri" w:hAnsi="Times New Roman" w:cs="Times New Roman"/>
        </w:rPr>
        <w:sym w:font="Symbol" w:char="F06D"/>
      </w:r>
      <w:r>
        <w:rPr>
          <w:rFonts w:ascii="Times New Roman" w:eastAsia="Calibri" w:hAnsi="Times New Roman" w:cs="Times New Roman"/>
        </w:rPr>
        <w:t>g/l (&gt; 1304,34 pmol/l).</w:t>
      </w:r>
    </w:p>
    <w:p w14:paraId="69906D72"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 xml:space="preserve">16 </w:t>
      </w:r>
      <w:r>
        <w:rPr>
          <w:rFonts w:ascii="Times New Roman" w:eastAsia="Calibri" w:hAnsi="Times New Roman" w:cs="Times New Roman"/>
        </w:rPr>
        <w:t>Dėl to pacientas gali pargriūti.</w:t>
      </w:r>
    </w:p>
    <w:p w14:paraId="64C3A82C"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 xml:space="preserve">17 </w:t>
      </w:r>
      <w:r>
        <w:rPr>
          <w:rFonts w:ascii="Times New Roman" w:eastAsia="Calibri" w:hAnsi="Times New Roman" w:cs="Times New Roman"/>
        </w:rPr>
        <w:t>Bet kuriuo laiku nustatyta DTL cholesterolio koncentracija vyrams &lt; 40 mg/dl (1,025 mmol/l), moterims &lt; 50 mg/dl (1,282 mmol/l).</w:t>
      </w:r>
    </w:p>
    <w:p w14:paraId="41178031"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vertAlign w:val="superscript"/>
        </w:rPr>
        <w:lastRenderedPageBreak/>
        <w:t xml:space="preserve">18 </w:t>
      </w:r>
      <w:r>
        <w:rPr>
          <w:rFonts w:ascii="Times New Roman" w:eastAsia="Calibri" w:hAnsi="Times New Roman" w:cs="Times New Roman"/>
        </w:rPr>
        <w:t>Įskaičiuoti pacientai, kurių koreguotas QT intervalas, buvęs &lt; 450 msek. trukmės, pailgėjo ≥ 30 msek. ir pasidarė ≥ 450 msek. Placebu kontroliuojamų kvetiapino tyrimų metu vidutinis pokytis ir pacientų, kuriems nustatytas klinikai reikšmingas pailgėjimas, procentas kvetiapino ir placebo grupėse buvo panašus.</w:t>
      </w:r>
    </w:p>
    <w:p w14:paraId="3D9DBA55"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19</w:t>
      </w:r>
      <w:r>
        <w:rPr>
          <w:rFonts w:ascii="Times New Roman" w:eastAsia="Calibri" w:hAnsi="Times New Roman" w:cs="Times New Roman"/>
        </w:rPr>
        <w:t xml:space="preserve"> Bent vieną kartą nustatytas nukrypimas nuo &gt;132 mmol/L iki &lt;132 mmol/L.</w:t>
      </w:r>
    </w:p>
    <w:p w14:paraId="6702233F"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 xml:space="preserve">20 </w:t>
      </w:r>
      <w:r>
        <w:rPr>
          <w:rFonts w:ascii="Times New Roman" w:eastAsia="Calibri" w:hAnsi="Times New Roman" w:cs="Times New Roman"/>
        </w:rPr>
        <w:t>Pranešimų apie mintis apie savižudybę ir savižudišką elgesį gauta vartojant kvetiapiną ar netrukus po jo vartojimo (žr. 4.4 ir 5.1 skyrius).</w:t>
      </w:r>
    </w:p>
    <w:p w14:paraId="580F15F5"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 xml:space="preserve">21 </w:t>
      </w:r>
      <w:r>
        <w:rPr>
          <w:rFonts w:ascii="Times New Roman" w:eastAsia="Calibri" w:hAnsi="Times New Roman" w:cs="Times New Roman"/>
        </w:rPr>
        <w:t>Žr. 5.1 skyrių.</w:t>
      </w:r>
    </w:p>
    <w:p w14:paraId="55CA2B53"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 xml:space="preserve">22 </w:t>
      </w:r>
      <w:r>
        <w:rPr>
          <w:rFonts w:ascii="Times New Roman" w:eastAsia="Calibri" w:hAnsi="Times New Roman" w:cs="Times New Roman"/>
        </w:rPr>
        <w:t>Visų tyrimų, įskaitant atvirus jų tęsinius, metu sumažėjusi hemoglobino koncentracija (≤ 13 g/dl [8,07 mmol/l] vyrams, ≤ 12 g/dl [7,45 mmol/l] moterims) bent kartą nustatyta 11 % kvetiapino vartojusių pacientų. Vidutinis didžiausias hemoglobino koncentracijos sumažėjimas, bet kuriuo laiku nustatytas šiems pacientams, buvo 1,5 g/dl.</w:t>
      </w:r>
    </w:p>
    <w:p w14:paraId="47ECE864" w14:textId="77777777" w:rsidR="00506BE7" w:rsidRDefault="008E332A">
      <w:pPr>
        <w:widowControl w:val="0"/>
        <w:spacing w:after="0" w:line="240" w:lineRule="auto"/>
        <w:contextualSpacing/>
        <w:rPr>
          <w:rFonts w:ascii="Times New Roman" w:eastAsia="Calibri" w:hAnsi="Times New Roman" w:cs="Times New Roman"/>
        </w:rPr>
      </w:pPr>
      <w:r>
        <w:rPr>
          <w:rFonts w:ascii="Times New Roman" w:eastAsia="Calibri" w:hAnsi="Times New Roman" w:cs="Times New Roman"/>
          <w:vertAlign w:val="superscript"/>
        </w:rPr>
        <w:t>23</w:t>
      </w:r>
      <w:r>
        <w:rPr>
          <w:rFonts w:ascii="Times New Roman" w:eastAsia="Calibri" w:hAnsi="Times New Roman" w:cs="Times New Roman"/>
        </w:rPr>
        <w:t xml:space="preserve"> Gautų pranešimų duomenimis, dažnai kartu būdavo tachikardija, svaigulys, ortostatinė hipotenzija ir (arba) širdies ar kvėpavimo takų liga.</w:t>
      </w:r>
    </w:p>
    <w:p w14:paraId="669C2AFA" w14:textId="77777777" w:rsidR="00506BE7" w:rsidRDefault="008E332A">
      <w:pPr>
        <w:widowControl w:val="0"/>
        <w:spacing w:after="0" w:line="240" w:lineRule="auto"/>
        <w:contextualSpacing/>
        <w:rPr>
          <w:rFonts w:ascii="Times New Roman" w:eastAsia="Calibri" w:hAnsi="Times New Roman" w:cs="Times New Roman"/>
        </w:rPr>
      </w:pPr>
      <w:r>
        <w:rPr>
          <w:rFonts w:ascii="Times New Roman" w:eastAsia="Calibri" w:hAnsi="Times New Roman" w:cs="Times New Roman"/>
          <w:vertAlign w:val="superscript"/>
        </w:rPr>
        <w:t xml:space="preserve">24 </w:t>
      </w:r>
      <w:r>
        <w:rPr>
          <w:rFonts w:ascii="Times New Roman" w:eastAsia="Calibri" w:hAnsi="Times New Roman" w:cs="Times New Roman"/>
        </w:rPr>
        <w:t>Visų klinikinių tyrimų metu užfiksuoti potencialiai reikšmingi klinikai nukrypimai, kai koncentracija iki gydymo buvo normali. Bendrojo T</w:t>
      </w:r>
      <w:r>
        <w:rPr>
          <w:rFonts w:ascii="Times New Roman" w:eastAsia="Calibri" w:hAnsi="Times New Roman" w:cs="Times New Roman"/>
          <w:vertAlign w:val="subscript"/>
        </w:rPr>
        <w:t>4</w:t>
      </w:r>
      <w:r>
        <w:rPr>
          <w:rFonts w:ascii="Times New Roman" w:eastAsia="Calibri" w:hAnsi="Times New Roman" w:cs="Times New Roman"/>
        </w:rPr>
        <w:t>, laisvojo T</w:t>
      </w:r>
      <w:r>
        <w:rPr>
          <w:rFonts w:ascii="Times New Roman" w:eastAsia="Calibri" w:hAnsi="Times New Roman" w:cs="Times New Roman"/>
          <w:vertAlign w:val="subscript"/>
        </w:rPr>
        <w:t>4</w:t>
      </w:r>
      <w:r>
        <w:rPr>
          <w:rFonts w:ascii="Times New Roman" w:eastAsia="Calibri" w:hAnsi="Times New Roman" w:cs="Times New Roman"/>
        </w:rPr>
        <w:t>, bendrojo T</w:t>
      </w:r>
      <w:r>
        <w:rPr>
          <w:rFonts w:ascii="Times New Roman" w:eastAsia="Calibri" w:hAnsi="Times New Roman" w:cs="Times New Roman"/>
          <w:vertAlign w:val="subscript"/>
        </w:rPr>
        <w:t>3</w:t>
      </w:r>
      <w:r>
        <w:rPr>
          <w:rFonts w:ascii="Times New Roman" w:eastAsia="Calibri" w:hAnsi="Times New Roman" w:cs="Times New Roman"/>
        </w:rPr>
        <w:t xml:space="preserve"> ir laisvojo T</w:t>
      </w:r>
      <w:r>
        <w:rPr>
          <w:rFonts w:ascii="Times New Roman" w:eastAsia="Calibri" w:hAnsi="Times New Roman" w:cs="Times New Roman"/>
          <w:vertAlign w:val="subscript"/>
        </w:rPr>
        <w:t>3</w:t>
      </w:r>
      <w:r>
        <w:rPr>
          <w:rFonts w:ascii="Times New Roman" w:eastAsia="Calibri" w:hAnsi="Times New Roman" w:cs="Times New Roman"/>
        </w:rPr>
        <w:t xml:space="preserve"> nukrypimais laikyta bet kuriuo metu nustatyta mažesnė kaip 0,8 x apatinė normos riba (pmol/L) koncentracija, TSH – didesnė kaip 5 mIU/l koncentracija.</w:t>
      </w:r>
    </w:p>
    <w:p w14:paraId="1029B32E" w14:textId="77777777" w:rsidR="00506BE7" w:rsidRDefault="008E332A">
      <w:pPr>
        <w:widowControl w:val="0"/>
        <w:spacing w:after="0" w:line="240" w:lineRule="auto"/>
        <w:contextualSpacing/>
        <w:rPr>
          <w:rFonts w:ascii="Times New Roman" w:eastAsia="Calibri" w:hAnsi="Times New Roman" w:cs="Times New Roman"/>
        </w:rPr>
      </w:pPr>
      <w:r>
        <w:rPr>
          <w:rFonts w:ascii="Times New Roman" w:eastAsia="Calibri" w:hAnsi="Times New Roman" w:cs="Times New Roman"/>
          <w:vertAlign w:val="superscript"/>
        </w:rPr>
        <w:t xml:space="preserve">25 </w:t>
      </w:r>
      <w:r>
        <w:rPr>
          <w:rFonts w:ascii="Times New Roman" w:eastAsia="Calibri" w:hAnsi="Times New Roman" w:cs="Times New Roman"/>
        </w:rPr>
        <w:t>Remiantis padidėjusio vėmimo dažnio senyviems</w:t>
      </w:r>
      <w:r>
        <w:rPr>
          <w:rFonts w:ascii="Times New Roman" w:eastAsia="Calibri" w:hAnsi="Times New Roman" w:cs="Times New Roman"/>
          <w:vertAlign w:val="superscript"/>
        </w:rPr>
        <w:t xml:space="preserve"> </w:t>
      </w:r>
      <w:r>
        <w:rPr>
          <w:rFonts w:ascii="Times New Roman" w:eastAsia="Calibri" w:hAnsi="Times New Roman" w:cs="Times New Roman"/>
        </w:rPr>
        <w:t>pacientams (vyresniems kaip 65 metų) duomenimis.</w:t>
      </w:r>
    </w:p>
    <w:p w14:paraId="2ACBB6F1" w14:textId="77777777" w:rsidR="00506BE7" w:rsidRDefault="008E332A">
      <w:pPr>
        <w:widowControl w:val="0"/>
        <w:spacing w:after="0" w:line="240" w:lineRule="auto"/>
        <w:contextualSpacing/>
        <w:rPr>
          <w:rFonts w:ascii="Times New Roman" w:eastAsia="Calibri" w:hAnsi="Times New Roman" w:cs="Times New Roman"/>
        </w:rPr>
      </w:pPr>
      <w:r>
        <w:rPr>
          <w:rFonts w:ascii="Times New Roman" w:eastAsia="Calibri" w:hAnsi="Times New Roman" w:cs="Times New Roman"/>
          <w:vertAlign w:val="superscript"/>
        </w:rPr>
        <w:t xml:space="preserve">26 </w:t>
      </w:r>
      <w:r>
        <w:rPr>
          <w:rFonts w:ascii="Times New Roman" w:eastAsia="Calibri" w:hAnsi="Times New Roman" w:cs="Times New Roman"/>
        </w:rPr>
        <w:t>Visų kvetiapino klinikinių tyrimų metu užfiksuoti neutrofilų skaičiaus pokyčiai, kai iki gydymo jų buvo ≥ 1,5 x 10</w:t>
      </w:r>
      <w:r>
        <w:rPr>
          <w:rFonts w:ascii="Times New Roman" w:eastAsia="Calibri" w:hAnsi="Times New Roman" w:cs="Times New Roman"/>
          <w:vertAlign w:val="superscript"/>
        </w:rPr>
        <w:t>9</w:t>
      </w:r>
      <w:r>
        <w:rPr>
          <w:rFonts w:ascii="Times New Roman" w:eastAsia="Calibri" w:hAnsi="Times New Roman" w:cs="Times New Roman"/>
        </w:rPr>
        <w:t>/l, bet kuriuo laiku gydant rasta &lt; 0,5 x 10</w:t>
      </w:r>
      <w:r>
        <w:rPr>
          <w:rFonts w:ascii="Times New Roman" w:eastAsia="Calibri" w:hAnsi="Times New Roman" w:cs="Times New Roman"/>
          <w:vertAlign w:val="superscript"/>
        </w:rPr>
        <w:t>9</w:t>
      </w:r>
      <w:r>
        <w:rPr>
          <w:rFonts w:ascii="Times New Roman" w:eastAsia="Calibri" w:hAnsi="Times New Roman" w:cs="Times New Roman"/>
        </w:rPr>
        <w:t>/l, nustatyta ryški neutropenija (&lt; 0,5 x 10</w:t>
      </w:r>
      <w:r>
        <w:rPr>
          <w:rFonts w:ascii="Times New Roman" w:eastAsia="Calibri" w:hAnsi="Times New Roman" w:cs="Times New Roman"/>
          <w:vertAlign w:val="superscript"/>
        </w:rPr>
        <w:t>9</w:t>
      </w:r>
      <w:r>
        <w:rPr>
          <w:rFonts w:ascii="Times New Roman" w:eastAsia="Calibri" w:hAnsi="Times New Roman" w:cs="Times New Roman"/>
        </w:rPr>
        <w:t>/l) ir infekcija (žr. 4.4 skyrių).</w:t>
      </w:r>
    </w:p>
    <w:p w14:paraId="6435FD1C" w14:textId="77777777" w:rsidR="00506BE7" w:rsidRDefault="008E332A">
      <w:pPr>
        <w:widowControl w:val="0"/>
        <w:spacing w:after="0" w:line="240" w:lineRule="auto"/>
        <w:contextualSpacing/>
        <w:rPr>
          <w:rFonts w:ascii="Times New Roman" w:eastAsia="Calibri" w:hAnsi="Times New Roman" w:cs="Times New Roman"/>
        </w:rPr>
      </w:pPr>
      <w:r>
        <w:rPr>
          <w:rFonts w:ascii="Times New Roman" w:eastAsia="Calibri" w:hAnsi="Times New Roman" w:cs="Times New Roman"/>
          <w:vertAlign w:val="superscript"/>
        </w:rPr>
        <w:t xml:space="preserve">27 </w:t>
      </w:r>
      <w:r>
        <w:rPr>
          <w:rFonts w:ascii="Times New Roman" w:eastAsia="Calibri" w:hAnsi="Times New Roman" w:cs="Times New Roman"/>
        </w:rPr>
        <w:t>Visų klinikinių tyrimų metu užfiksuoti potencialiai reikšmingi klinikai nukrypimai, kai koncentracija iki gydymo buvo normali. Nukrypusiu laikytas bet kada užfiksuotas eozinofilų kiekis ≥ 1 x 10</w:t>
      </w:r>
      <w:r>
        <w:rPr>
          <w:rFonts w:ascii="Times New Roman" w:eastAsia="Calibri" w:hAnsi="Times New Roman" w:cs="Times New Roman"/>
          <w:vertAlign w:val="superscript"/>
        </w:rPr>
        <w:t>9</w:t>
      </w:r>
      <w:r>
        <w:rPr>
          <w:rFonts w:ascii="Times New Roman" w:eastAsia="Calibri" w:hAnsi="Times New Roman" w:cs="Times New Roman"/>
        </w:rPr>
        <w:t>/l.</w:t>
      </w:r>
    </w:p>
    <w:p w14:paraId="063C18E8" w14:textId="77777777" w:rsidR="00506BE7" w:rsidRDefault="008E332A">
      <w:pPr>
        <w:widowControl w:val="0"/>
        <w:spacing w:after="0" w:line="240" w:lineRule="auto"/>
        <w:contextualSpacing/>
        <w:rPr>
          <w:rFonts w:ascii="Times New Roman" w:eastAsia="Calibri" w:hAnsi="Times New Roman" w:cs="Times New Roman"/>
          <w:u w:val="double"/>
        </w:rPr>
      </w:pPr>
      <w:r>
        <w:rPr>
          <w:rFonts w:ascii="Times New Roman" w:eastAsia="Calibri" w:hAnsi="Times New Roman" w:cs="Times New Roman"/>
          <w:vertAlign w:val="superscript"/>
        </w:rPr>
        <w:t xml:space="preserve">28 </w:t>
      </w:r>
      <w:r>
        <w:rPr>
          <w:rFonts w:ascii="Times New Roman" w:eastAsia="Calibri" w:hAnsi="Times New Roman" w:cs="Times New Roman"/>
        </w:rPr>
        <w:t>Visų tyrimų metu bet kuriuo laiku užfiksuoti potencialiai reikšmingi klinikai nukrypimai, kai koncentracija iki gydymo buvo normali. Nukrypusiu laikytas bet kada užfiksuotas leukocitų kiekis ≤ 3x10</w:t>
      </w:r>
      <w:r>
        <w:rPr>
          <w:rFonts w:ascii="Times New Roman" w:eastAsia="Calibri" w:hAnsi="Times New Roman" w:cs="Times New Roman"/>
          <w:vertAlign w:val="superscript"/>
        </w:rPr>
        <w:t>9</w:t>
      </w:r>
      <w:r>
        <w:rPr>
          <w:rFonts w:ascii="Times New Roman" w:eastAsia="Calibri" w:hAnsi="Times New Roman" w:cs="Times New Roman"/>
        </w:rPr>
        <w:t>/l.</w:t>
      </w:r>
    </w:p>
    <w:p w14:paraId="4A9427D0"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 xml:space="preserve">29 </w:t>
      </w:r>
      <w:r>
        <w:rPr>
          <w:rFonts w:ascii="Times New Roman" w:eastAsia="Calibri" w:hAnsi="Times New Roman" w:cs="Times New Roman"/>
        </w:rPr>
        <w:t>Remiantis visų kvetiapino klinikinių tyrimų metu gautais metabolinio sindromo nepageidaujamo reiškinio pranešimais.</w:t>
      </w:r>
    </w:p>
    <w:p w14:paraId="30C844DC" w14:textId="77777777" w:rsidR="00506BE7" w:rsidRDefault="008E332A">
      <w:pPr>
        <w:widowControl w:val="0"/>
        <w:spacing w:after="0" w:line="240" w:lineRule="auto"/>
        <w:contextualSpacing/>
        <w:rPr>
          <w:rFonts w:ascii="Times New Roman" w:eastAsia="Calibri" w:hAnsi="Times New Roman" w:cs="Times New Roman"/>
        </w:rPr>
      </w:pPr>
      <w:r>
        <w:rPr>
          <w:rFonts w:ascii="Times New Roman" w:eastAsia="Calibri" w:hAnsi="Times New Roman" w:cs="Times New Roman"/>
          <w:vertAlign w:val="superscript"/>
        </w:rPr>
        <w:t>30</w:t>
      </w:r>
      <w:r>
        <w:rPr>
          <w:rFonts w:ascii="Times New Roman" w:eastAsia="Calibri" w:hAnsi="Times New Roman" w:cs="Times New Roman"/>
          <w:color w:val="002060"/>
        </w:rPr>
        <w:t xml:space="preserve"> </w:t>
      </w:r>
      <w:r>
        <w:rPr>
          <w:rFonts w:ascii="Times New Roman" w:eastAsia="Calibri" w:hAnsi="Times New Roman" w:cs="Times New Roman"/>
        </w:rPr>
        <w:t>Kai kuriems pacientams klinikinių tyrimų metu nustatytas daugiau kaip vieno metabolinio rizikos veiksnio (kūno svoris, gliukozės koncentracija kraujyje, lipidų koncentracija) pablogėjimas (žr. 4.4 skyrių).</w:t>
      </w:r>
    </w:p>
    <w:p w14:paraId="0E066DCA" w14:textId="77777777" w:rsidR="00506BE7" w:rsidRDefault="008E332A">
      <w:pPr>
        <w:widowControl w:val="0"/>
        <w:spacing w:after="0" w:line="240" w:lineRule="auto"/>
        <w:contextualSpacing/>
        <w:rPr>
          <w:rFonts w:ascii="Times New Roman" w:eastAsia="Calibri" w:hAnsi="Times New Roman" w:cs="Times New Roman"/>
        </w:rPr>
      </w:pPr>
      <w:r>
        <w:rPr>
          <w:rFonts w:ascii="Times New Roman" w:eastAsia="Calibri" w:hAnsi="Times New Roman" w:cs="Times New Roman"/>
          <w:vertAlign w:val="superscript"/>
        </w:rPr>
        <w:t xml:space="preserve">31 </w:t>
      </w:r>
      <w:r>
        <w:rPr>
          <w:rFonts w:ascii="Times New Roman" w:eastAsia="Calibri" w:hAnsi="Times New Roman" w:cs="Times New Roman"/>
        </w:rPr>
        <w:t>Žr.4.6 skyrių.</w:t>
      </w:r>
    </w:p>
    <w:p w14:paraId="27AE84E6" w14:textId="77777777" w:rsidR="00506BE7" w:rsidRDefault="008E332A">
      <w:pPr>
        <w:widowControl w:val="0"/>
        <w:spacing w:after="0" w:line="240" w:lineRule="auto"/>
        <w:contextualSpacing/>
        <w:rPr>
          <w:rFonts w:ascii="Times New Roman" w:eastAsia="Calibri" w:hAnsi="Times New Roman" w:cs="Times New Roman"/>
        </w:rPr>
      </w:pPr>
      <w:r>
        <w:rPr>
          <w:rFonts w:ascii="Times New Roman" w:eastAsia="Times New Roman" w:hAnsi="Times New Roman" w:cs="Times New Roman"/>
          <w:vertAlign w:val="superscript"/>
        </w:rPr>
        <w:t xml:space="preserve">32 </w:t>
      </w:r>
      <w:r>
        <w:rPr>
          <w:rFonts w:ascii="Times New Roman" w:eastAsia="Times New Roman" w:hAnsi="Times New Roman" w:cs="Times New Roman"/>
        </w:rPr>
        <w:t>Gali</w:t>
      </w:r>
      <w:r>
        <w:rPr>
          <w:rFonts w:ascii="Times New Roman" w:eastAsia="Calibri" w:hAnsi="Times New Roman" w:cs="Times New Roman"/>
        </w:rPr>
        <w:t xml:space="preserve"> pasireikšti iš karto pradėjus gydymą ar šiek tiek vėliau ir būti susijusi su hipotenzija ir (arba) sinkope. Dažnis apskaičiuotas pagal bradikardijos ir su ja susijusių nepageidaujamų reiškinių pranešimus visų kvetiapino klinikinių tyrimų metu.</w:t>
      </w:r>
    </w:p>
    <w:p w14:paraId="6D2D2CF7" w14:textId="77777777" w:rsidR="00506BE7" w:rsidRDefault="008E332A">
      <w:pPr>
        <w:widowControl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vertAlign w:val="superscript"/>
        </w:rPr>
        <w:t>33</w:t>
      </w:r>
      <w:r>
        <w:rPr>
          <w:rFonts w:ascii="Times New Roman" w:hAnsi="Times New Roman"/>
          <w:lang w:val="sl-SI"/>
        </w:rPr>
        <w:t xml:space="preserve"> </w:t>
      </w:r>
      <w:r>
        <w:rPr>
          <w:rFonts w:ascii="Times New Roman" w:eastAsia="SimSun" w:hAnsi="Times New Roman" w:cs="Times New Roman"/>
          <w:lang w:val="sl-SI" w:eastAsia="sl-SI"/>
        </w:rPr>
        <w:t>Remiantis vienu retrospektyvinio neanandomizuoto epidemiologinio tyrimo duomenimis.</w:t>
      </w:r>
    </w:p>
    <w:p w14:paraId="7922EF85" w14:textId="77777777" w:rsidR="00506BE7" w:rsidRDefault="00506BE7">
      <w:pPr>
        <w:widowControl w:val="0"/>
        <w:spacing w:after="0" w:line="240" w:lineRule="auto"/>
        <w:rPr>
          <w:rFonts w:ascii="Times New Roman" w:eastAsia="Calibri" w:hAnsi="Times New Roman" w:cs="Times New Roman"/>
        </w:rPr>
      </w:pPr>
    </w:p>
    <w:p w14:paraId="4C4BC1D1" w14:textId="77777777" w:rsidR="00506BE7" w:rsidRDefault="008E332A">
      <w:pPr>
        <w:widowControl w:val="0"/>
        <w:overflowPunct w:val="0"/>
        <w:autoSpaceDE w:val="0"/>
        <w:autoSpaceDN w:val="0"/>
        <w:adjustRightInd w:val="0"/>
        <w:spacing w:after="0" w:line="240" w:lineRule="auto"/>
        <w:ind w:right="120"/>
        <w:rPr>
          <w:rFonts w:ascii="Times New Roman" w:eastAsia="Calibri" w:hAnsi="Times New Roman" w:cs="Times New Roman"/>
        </w:rPr>
      </w:pPr>
      <w:r>
        <w:rPr>
          <w:rFonts w:ascii="Times New Roman" w:eastAsia="Calibri" w:hAnsi="Times New Roman" w:cs="Times New Roman"/>
        </w:rPr>
        <w:t xml:space="preserve">Užfiksuota atvejų, kai vartojant neuroleptikų pailgėjo QT intervalas, pasireiškė skilvelių aritmija, ištiko staigi mirtis dėl neaiškios priežasties, sustojo širdis ar prasidėjo </w:t>
      </w:r>
      <w:r>
        <w:rPr>
          <w:rFonts w:ascii="Times New Roman" w:eastAsia="Calibri" w:hAnsi="Times New Roman" w:cs="Times New Roman"/>
          <w:i/>
        </w:rPr>
        <w:t>torsades de pointes</w:t>
      </w:r>
      <w:r>
        <w:rPr>
          <w:rFonts w:ascii="Times New Roman" w:eastAsia="Calibri" w:hAnsi="Times New Roman" w:cs="Times New Roman"/>
        </w:rPr>
        <w:t xml:space="preserve"> tipo aritmija. Tokie poveikiai laikomi būdingais šiai vaistinių preparatų grupei.</w:t>
      </w:r>
    </w:p>
    <w:p w14:paraId="11575C8D" w14:textId="77777777" w:rsidR="00506BE7" w:rsidRDefault="00506BE7">
      <w:pPr>
        <w:widowControl w:val="0"/>
        <w:overflowPunct w:val="0"/>
        <w:autoSpaceDE w:val="0"/>
        <w:autoSpaceDN w:val="0"/>
        <w:adjustRightInd w:val="0"/>
        <w:spacing w:after="0" w:line="240" w:lineRule="auto"/>
        <w:ind w:right="120"/>
        <w:rPr>
          <w:rFonts w:ascii="Times New Roman" w:eastAsia="Calibri" w:hAnsi="Times New Roman" w:cs="Times New Roman"/>
        </w:rPr>
      </w:pPr>
    </w:p>
    <w:p w14:paraId="5F8636BB" w14:textId="77777777" w:rsidR="00506BE7" w:rsidRDefault="008E332A">
      <w:pPr>
        <w:widowControl w:val="0"/>
        <w:overflowPunct w:val="0"/>
        <w:autoSpaceDE w:val="0"/>
        <w:autoSpaceDN w:val="0"/>
        <w:adjustRightInd w:val="0"/>
        <w:spacing w:after="0" w:line="240" w:lineRule="auto"/>
        <w:ind w:right="120"/>
        <w:rPr>
          <w:rFonts w:ascii="Times New Roman" w:eastAsia="Calibri" w:hAnsi="Times New Roman" w:cs="Times New Roman"/>
          <w:u w:val="single"/>
        </w:rPr>
      </w:pPr>
      <w:r>
        <w:rPr>
          <w:rFonts w:ascii="Times New Roman" w:eastAsia="Calibri" w:hAnsi="Times New Roman" w:cs="Times New Roman"/>
          <w:u w:val="single"/>
        </w:rPr>
        <w:t>Vaikų populiacija</w:t>
      </w:r>
    </w:p>
    <w:p w14:paraId="3AEE95E6" w14:textId="77777777" w:rsidR="00506BE7" w:rsidRDefault="008E332A">
      <w:pPr>
        <w:widowControl w:val="0"/>
        <w:overflowPunct w:val="0"/>
        <w:autoSpaceDE w:val="0"/>
        <w:autoSpaceDN w:val="0"/>
        <w:adjustRightInd w:val="0"/>
        <w:spacing w:after="0" w:line="240" w:lineRule="auto"/>
        <w:ind w:right="120"/>
        <w:rPr>
          <w:rFonts w:ascii="Times New Roman" w:eastAsia="Calibri" w:hAnsi="Times New Roman" w:cs="Times New Roman"/>
        </w:rPr>
      </w:pPr>
      <w:r>
        <w:rPr>
          <w:rFonts w:ascii="Times New Roman" w:eastAsia="Calibri" w:hAnsi="Times New Roman" w:cs="Times New Roman"/>
        </w:rPr>
        <w:t>Vaikams ir paaugliams būdingos tokios pačios NRV kaip aukščiau aprašytos suaugusiesiems. Žemiau pateikiamoje lentelėje nurodytos NRV, kurių vaikams ir paaugliams (10 – 17 metų) pasireiškia dažniau negu suaugusiesiems, ir tos, kurių suaugusiesiems nenustatyta.</w:t>
      </w:r>
    </w:p>
    <w:p w14:paraId="6DF97CF5" w14:textId="77777777" w:rsidR="00506BE7" w:rsidRDefault="00506BE7">
      <w:pPr>
        <w:widowControl w:val="0"/>
        <w:spacing w:after="0" w:line="240" w:lineRule="auto"/>
        <w:rPr>
          <w:rFonts w:ascii="Times New Roman" w:eastAsia="Calibri" w:hAnsi="Times New Roman" w:cs="Times New Roman"/>
        </w:rPr>
      </w:pPr>
    </w:p>
    <w:p w14:paraId="173BAC22"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2 lentelė. Su kvetiapino vartojimu susijusios NRV vaikams ir paaugliams, kurių jiems pasireiškė dažniau negu suaugusiesiems, arba kurių suaugusiesiems nenustatyta</w:t>
      </w:r>
    </w:p>
    <w:p w14:paraId="674741D5" w14:textId="77777777" w:rsidR="00506BE7" w:rsidRDefault="00506BE7">
      <w:pPr>
        <w:widowControl w:val="0"/>
        <w:spacing w:after="0" w:line="240" w:lineRule="auto"/>
        <w:rPr>
          <w:rFonts w:ascii="Times New Roman" w:eastAsia="Calibri" w:hAnsi="Times New Roman" w:cs="Times New Roman"/>
        </w:rPr>
      </w:pPr>
    </w:p>
    <w:p w14:paraId="33B56C09" w14:textId="77777777" w:rsidR="00506BE7" w:rsidRDefault="008E332A">
      <w:pPr>
        <w:widowControl w:val="0"/>
        <w:overflowPunct w:val="0"/>
        <w:autoSpaceDE w:val="0"/>
        <w:autoSpaceDN w:val="0"/>
        <w:adjustRightInd w:val="0"/>
        <w:spacing w:after="0" w:line="240" w:lineRule="auto"/>
        <w:ind w:right="440"/>
        <w:rPr>
          <w:rFonts w:ascii="Times New Roman" w:eastAsia="Calibri" w:hAnsi="Times New Roman" w:cs="Times New Roman"/>
        </w:rPr>
      </w:pPr>
      <w:r>
        <w:rPr>
          <w:rFonts w:ascii="Times New Roman" w:eastAsia="Calibri" w:hAnsi="Times New Roman" w:cs="Times New Roman"/>
        </w:rPr>
        <w:t>Nepageidaujamo poveikio dažnis apibūdinamas taip: labai dažnas (≥ 1/10), dažnas (nuo ≥ 1/100 iki &lt; 1/10), nedažnas (nuo ≥ 1/1 000 iki &lt; 1/100), retas (nuo ≥ 1/10 000 iki &lt; 1/1000) ir labai retas (&lt; 1/10 000).</w:t>
      </w:r>
    </w:p>
    <w:p w14:paraId="51FE5F13" w14:textId="77777777" w:rsidR="00506BE7" w:rsidRDefault="00506BE7">
      <w:pPr>
        <w:widowControl w:val="0"/>
        <w:overflowPunct w:val="0"/>
        <w:autoSpaceDE w:val="0"/>
        <w:autoSpaceDN w:val="0"/>
        <w:adjustRightInd w:val="0"/>
        <w:spacing w:after="0" w:line="240" w:lineRule="auto"/>
        <w:ind w:right="440"/>
        <w:rPr>
          <w:rFonts w:ascii="Times New Roman" w:eastAsia="Calibri" w:hAnsi="Times New Roman" w:cs="Times New Roman"/>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4122"/>
        <w:gridCol w:w="1921"/>
      </w:tblGrid>
      <w:tr w:rsidR="00506BE7" w14:paraId="76CD3F97" w14:textId="77777777">
        <w:tc>
          <w:tcPr>
            <w:tcW w:w="3094" w:type="dxa"/>
            <w:shd w:val="clear" w:color="auto" w:fill="auto"/>
          </w:tcPr>
          <w:p w14:paraId="26923285" w14:textId="77777777" w:rsidR="00506BE7" w:rsidRDefault="008E332A">
            <w:pPr>
              <w:widowControl w:val="0"/>
              <w:overflowPunct w:val="0"/>
              <w:autoSpaceDE w:val="0"/>
              <w:autoSpaceDN w:val="0"/>
              <w:adjustRightInd w:val="0"/>
              <w:spacing w:after="0" w:line="240" w:lineRule="auto"/>
              <w:ind w:right="440"/>
              <w:rPr>
                <w:rFonts w:ascii="Times New Roman" w:eastAsia="Calibri" w:hAnsi="Times New Roman" w:cs="Times New Roman"/>
                <w:b/>
                <w:i/>
              </w:rPr>
            </w:pPr>
            <w:r>
              <w:rPr>
                <w:rFonts w:ascii="Times New Roman" w:eastAsia="Calibri" w:hAnsi="Times New Roman" w:cs="Times New Roman"/>
                <w:b/>
                <w:i/>
              </w:rPr>
              <w:t>Organų sistemų grupė</w:t>
            </w:r>
          </w:p>
        </w:tc>
        <w:tc>
          <w:tcPr>
            <w:tcW w:w="4244" w:type="dxa"/>
            <w:shd w:val="clear" w:color="auto" w:fill="auto"/>
          </w:tcPr>
          <w:p w14:paraId="51A8F141" w14:textId="77777777" w:rsidR="00506BE7" w:rsidRDefault="008E332A">
            <w:pPr>
              <w:widowControl w:val="0"/>
              <w:overflowPunct w:val="0"/>
              <w:autoSpaceDE w:val="0"/>
              <w:autoSpaceDN w:val="0"/>
              <w:adjustRightInd w:val="0"/>
              <w:spacing w:after="0" w:line="240" w:lineRule="auto"/>
              <w:ind w:right="440"/>
              <w:rPr>
                <w:rFonts w:ascii="Times New Roman" w:eastAsia="Calibri" w:hAnsi="Times New Roman" w:cs="Times New Roman"/>
                <w:b/>
              </w:rPr>
            </w:pPr>
            <w:r>
              <w:rPr>
                <w:rFonts w:ascii="Times New Roman" w:eastAsia="Calibri" w:hAnsi="Times New Roman" w:cs="Times New Roman"/>
                <w:b/>
              </w:rPr>
              <w:t>Labai dažnas</w:t>
            </w:r>
          </w:p>
        </w:tc>
        <w:tc>
          <w:tcPr>
            <w:tcW w:w="1949" w:type="dxa"/>
            <w:shd w:val="clear" w:color="auto" w:fill="auto"/>
          </w:tcPr>
          <w:p w14:paraId="593C3BC1" w14:textId="77777777" w:rsidR="00506BE7" w:rsidRDefault="008E332A">
            <w:pPr>
              <w:widowControl w:val="0"/>
              <w:overflowPunct w:val="0"/>
              <w:autoSpaceDE w:val="0"/>
              <w:autoSpaceDN w:val="0"/>
              <w:adjustRightInd w:val="0"/>
              <w:spacing w:after="0" w:line="240" w:lineRule="auto"/>
              <w:ind w:right="440"/>
              <w:rPr>
                <w:rFonts w:ascii="Times New Roman" w:eastAsia="Calibri" w:hAnsi="Times New Roman" w:cs="Times New Roman"/>
                <w:b/>
              </w:rPr>
            </w:pPr>
            <w:r>
              <w:rPr>
                <w:rFonts w:ascii="Times New Roman" w:eastAsia="Calibri" w:hAnsi="Times New Roman" w:cs="Times New Roman"/>
                <w:b/>
              </w:rPr>
              <w:t>Dažnas</w:t>
            </w:r>
          </w:p>
        </w:tc>
      </w:tr>
      <w:tr w:rsidR="00506BE7" w14:paraId="53E22C4C" w14:textId="77777777">
        <w:tc>
          <w:tcPr>
            <w:tcW w:w="3094" w:type="dxa"/>
            <w:shd w:val="clear" w:color="auto" w:fill="auto"/>
          </w:tcPr>
          <w:p w14:paraId="3B0D73F3" w14:textId="77777777" w:rsidR="00506BE7" w:rsidRDefault="008E332A">
            <w:pPr>
              <w:widowControl w:val="0"/>
              <w:overflowPunct w:val="0"/>
              <w:autoSpaceDE w:val="0"/>
              <w:autoSpaceDN w:val="0"/>
              <w:adjustRightInd w:val="0"/>
              <w:spacing w:after="0" w:line="240" w:lineRule="auto"/>
              <w:ind w:right="440"/>
              <w:rPr>
                <w:rFonts w:ascii="Times New Roman" w:eastAsia="Calibri" w:hAnsi="Times New Roman" w:cs="Times New Roman"/>
                <w:i/>
              </w:rPr>
            </w:pPr>
            <w:r>
              <w:rPr>
                <w:rFonts w:ascii="Times New Roman" w:eastAsia="Calibri" w:hAnsi="Times New Roman" w:cs="Times New Roman"/>
                <w:i/>
              </w:rPr>
              <w:t>Endokrininiai sutrikimai</w:t>
            </w:r>
          </w:p>
        </w:tc>
        <w:tc>
          <w:tcPr>
            <w:tcW w:w="4244" w:type="dxa"/>
            <w:shd w:val="clear" w:color="auto" w:fill="auto"/>
          </w:tcPr>
          <w:p w14:paraId="0E2600EE" w14:textId="77777777" w:rsidR="00506BE7" w:rsidRDefault="008E332A">
            <w:pPr>
              <w:widowControl w:val="0"/>
              <w:overflowPunct w:val="0"/>
              <w:autoSpaceDE w:val="0"/>
              <w:autoSpaceDN w:val="0"/>
              <w:adjustRightInd w:val="0"/>
              <w:spacing w:after="0" w:line="240" w:lineRule="auto"/>
              <w:ind w:right="440"/>
              <w:rPr>
                <w:rFonts w:ascii="Times New Roman" w:eastAsia="Calibri" w:hAnsi="Times New Roman" w:cs="Times New Roman"/>
              </w:rPr>
            </w:pPr>
            <w:r>
              <w:rPr>
                <w:rFonts w:ascii="Times New Roman" w:eastAsia="Calibri" w:hAnsi="Times New Roman" w:cs="Times New Roman"/>
              </w:rPr>
              <w:t>Padidėjusi prolaktino koncentracija</w:t>
            </w:r>
            <w:r>
              <w:rPr>
                <w:rFonts w:ascii="Times New Roman" w:eastAsia="Calibri" w:hAnsi="Times New Roman" w:cs="Times New Roman"/>
                <w:vertAlign w:val="superscript"/>
              </w:rPr>
              <w:t>1</w:t>
            </w:r>
          </w:p>
        </w:tc>
        <w:tc>
          <w:tcPr>
            <w:tcW w:w="1949" w:type="dxa"/>
            <w:shd w:val="clear" w:color="auto" w:fill="auto"/>
          </w:tcPr>
          <w:p w14:paraId="62FE6128" w14:textId="77777777" w:rsidR="00506BE7" w:rsidRDefault="00506BE7">
            <w:pPr>
              <w:widowControl w:val="0"/>
              <w:overflowPunct w:val="0"/>
              <w:autoSpaceDE w:val="0"/>
              <w:autoSpaceDN w:val="0"/>
              <w:adjustRightInd w:val="0"/>
              <w:spacing w:after="0" w:line="240" w:lineRule="auto"/>
              <w:ind w:right="440"/>
              <w:rPr>
                <w:rFonts w:ascii="Times New Roman" w:eastAsia="Calibri" w:hAnsi="Times New Roman" w:cs="Times New Roman"/>
              </w:rPr>
            </w:pPr>
          </w:p>
        </w:tc>
      </w:tr>
      <w:tr w:rsidR="00506BE7" w14:paraId="4222692B" w14:textId="77777777">
        <w:tc>
          <w:tcPr>
            <w:tcW w:w="3094" w:type="dxa"/>
            <w:shd w:val="clear" w:color="auto" w:fill="auto"/>
          </w:tcPr>
          <w:p w14:paraId="26CA479D" w14:textId="77777777" w:rsidR="00506BE7" w:rsidRDefault="008E332A">
            <w:pPr>
              <w:widowControl w:val="0"/>
              <w:overflowPunct w:val="0"/>
              <w:autoSpaceDE w:val="0"/>
              <w:autoSpaceDN w:val="0"/>
              <w:adjustRightInd w:val="0"/>
              <w:spacing w:after="0" w:line="240" w:lineRule="auto"/>
              <w:ind w:right="440"/>
              <w:rPr>
                <w:rFonts w:ascii="Times New Roman" w:eastAsia="Calibri" w:hAnsi="Times New Roman" w:cs="Times New Roman"/>
                <w:i/>
              </w:rPr>
            </w:pPr>
            <w:r>
              <w:rPr>
                <w:rFonts w:ascii="Times New Roman" w:eastAsia="Calibri" w:hAnsi="Times New Roman" w:cs="Times New Roman"/>
                <w:i/>
              </w:rPr>
              <w:lastRenderedPageBreak/>
              <w:t>Metabolizmo ir mitybos sutrikimai</w:t>
            </w:r>
          </w:p>
        </w:tc>
        <w:tc>
          <w:tcPr>
            <w:tcW w:w="4244" w:type="dxa"/>
            <w:shd w:val="clear" w:color="auto" w:fill="auto"/>
          </w:tcPr>
          <w:p w14:paraId="392A0A02" w14:textId="77777777" w:rsidR="00506BE7" w:rsidRDefault="008E332A">
            <w:pPr>
              <w:widowControl w:val="0"/>
              <w:overflowPunct w:val="0"/>
              <w:autoSpaceDE w:val="0"/>
              <w:autoSpaceDN w:val="0"/>
              <w:adjustRightInd w:val="0"/>
              <w:spacing w:after="0" w:line="240" w:lineRule="auto"/>
              <w:ind w:right="440"/>
              <w:rPr>
                <w:rFonts w:ascii="Times New Roman" w:eastAsia="Calibri" w:hAnsi="Times New Roman" w:cs="Times New Roman"/>
              </w:rPr>
            </w:pPr>
            <w:r>
              <w:rPr>
                <w:rFonts w:ascii="Times New Roman" w:eastAsia="Calibri" w:hAnsi="Times New Roman" w:cs="Times New Roman"/>
              </w:rPr>
              <w:t>Padidėjęs apetitas</w:t>
            </w:r>
          </w:p>
        </w:tc>
        <w:tc>
          <w:tcPr>
            <w:tcW w:w="1949" w:type="dxa"/>
            <w:shd w:val="clear" w:color="auto" w:fill="auto"/>
          </w:tcPr>
          <w:p w14:paraId="1CCEBC81" w14:textId="77777777" w:rsidR="00506BE7" w:rsidRDefault="00506BE7">
            <w:pPr>
              <w:widowControl w:val="0"/>
              <w:overflowPunct w:val="0"/>
              <w:autoSpaceDE w:val="0"/>
              <w:autoSpaceDN w:val="0"/>
              <w:adjustRightInd w:val="0"/>
              <w:spacing w:after="0" w:line="240" w:lineRule="auto"/>
              <w:ind w:right="440"/>
              <w:rPr>
                <w:rFonts w:ascii="Times New Roman" w:eastAsia="Calibri" w:hAnsi="Times New Roman" w:cs="Times New Roman"/>
              </w:rPr>
            </w:pPr>
          </w:p>
        </w:tc>
      </w:tr>
      <w:tr w:rsidR="00506BE7" w14:paraId="7F540B74" w14:textId="77777777">
        <w:tc>
          <w:tcPr>
            <w:tcW w:w="3094" w:type="dxa"/>
            <w:shd w:val="clear" w:color="auto" w:fill="auto"/>
          </w:tcPr>
          <w:p w14:paraId="3D297B53" w14:textId="77777777" w:rsidR="00506BE7" w:rsidRDefault="008E332A">
            <w:pPr>
              <w:widowControl w:val="0"/>
              <w:overflowPunct w:val="0"/>
              <w:autoSpaceDE w:val="0"/>
              <w:autoSpaceDN w:val="0"/>
              <w:adjustRightInd w:val="0"/>
              <w:spacing w:after="0" w:line="240" w:lineRule="auto"/>
              <w:ind w:right="440"/>
              <w:rPr>
                <w:rFonts w:ascii="Times New Roman" w:eastAsia="Calibri" w:hAnsi="Times New Roman" w:cs="Times New Roman"/>
                <w:i/>
              </w:rPr>
            </w:pPr>
            <w:r>
              <w:rPr>
                <w:rFonts w:ascii="Times New Roman" w:eastAsia="Calibri" w:hAnsi="Times New Roman" w:cs="Times New Roman"/>
                <w:i/>
              </w:rPr>
              <w:t>Nervų sistemos sutrikimai</w:t>
            </w:r>
          </w:p>
        </w:tc>
        <w:tc>
          <w:tcPr>
            <w:tcW w:w="4244" w:type="dxa"/>
            <w:shd w:val="clear" w:color="auto" w:fill="auto"/>
          </w:tcPr>
          <w:p w14:paraId="7B6CFDC9" w14:textId="77777777" w:rsidR="00506BE7" w:rsidRDefault="008E332A">
            <w:pPr>
              <w:widowControl w:val="0"/>
              <w:overflowPunct w:val="0"/>
              <w:autoSpaceDE w:val="0"/>
              <w:autoSpaceDN w:val="0"/>
              <w:adjustRightInd w:val="0"/>
              <w:spacing w:after="0" w:line="240" w:lineRule="auto"/>
              <w:ind w:right="440"/>
              <w:rPr>
                <w:rFonts w:ascii="Times New Roman" w:eastAsia="Calibri" w:hAnsi="Times New Roman" w:cs="Times New Roman"/>
              </w:rPr>
            </w:pPr>
            <w:r>
              <w:rPr>
                <w:rFonts w:ascii="Times New Roman" w:eastAsia="Calibri" w:hAnsi="Times New Roman" w:cs="Times New Roman"/>
              </w:rPr>
              <w:t>Ekstrapiramidiniai simptomai</w:t>
            </w:r>
            <w:r>
              <w:rPr>
                <w:rFonts w:ascii="Times New Roman" w:eastAsia="Calibri" w:hAnsi="Times New Roman" w:cs="Times New Roman"/>
                <w:vertAlign w:val="superscript"/>
              </w:rPr>
              <w:t>3,4</w:t>
            </w:r>
          </w:p>
        </w:tc>
        <w:tc>
          <w:tcPr>
            <w:tcW w:w="1949" w:type="dxa"/>
            <w:shd w:val="clear" w:color="auto" w:fill="auto"/>
          </w:tcPr>
          <w:p w14:paraId="1F50F1AC" w14:textId="77777777" w:rsidR="00506BE7" w:rsidRDefault="008E332A">
            <w:pPr>
              <w:widowControl w:val="0"/>
              <w:overflowPunct w:val="0"/>
              <w:autoSpaceDE w:val="0"/>
              <w:autoSpaceDN w:val="0"/>
              <w:adjustRightInd w:val="0"/>
              <w:spacing w:after="0" w:line="240" w:lineRule="auto"/>
              <w:ind w:right="440"/>
              <w:rPr>
                <w:rFonts w:ascii="Times New Roman" w:eastAsia="Calibri" w:hAnsi="Times New Roman" w:cs="Times New Roman"/>
              </w:rPr>
            </w:pPr>
            <w:r>
              <w:rPr>
                <w:rFonts w:ascii="Times New Roman" w:eastAsia="Calibri" w:hAnsi="Times New Roman" w:cs="Times New Roman"/>
              </w:rPr>
              <w:t>Sinkopė</w:t>
            </w:r>
          </w:p>
        </w:tc>
      </w:tr>
      <w:tr w:rsidR="00506BE7" w14:paraId="36BA4575" w14:textId="77777777">
        <w:tc>
          <w:tcPr>
            <w:tcW w:w="3094" w:type="dxa"/>
            <w:shd w:val="clear" w:color="auto" w:fill="auto"/>
          </w:tcPr>
          <w:p w14:paraId="56485547" w14:textId="77777777" w:rsidR="00506BE7" w:rsidRDefault="008E332A">
            <w:pPr>
              <w:widowControl w:val="0"/>
              <w:overflowPunct w:val="0"/>
              <w:autoSpaceDE w:val="0"/>
              <w:autoSpaceDN w:val="0"/>
              <w:adjustRightInd w:val="0"/>
              <w:spacing w:after="0" w:line="240" w:lineRule="auto"/>
              <w:ind w:right="440"/>
              <w:rPr>
                <w:rFonts w:ascii="Times New Roman" w:eastAsia="Calibri" w:hAnsi="Times New Roman" w:cs="Times New Roman"/>
                <w:i/>
              </w:rPr>
            </w:pPr>
            <w:r>
              <w:rPr>
                <w:rFonts w:ascii="Times New Roman" w:eastAsia="Calibri" w:hAnsi="Times New Roman" w:cs="Times New Roman"/>
                <w:i/>
              </w:rPr>
              <w:t>Kraujagyslių sutrikimai</w:t>
            </w:r>
          </w:p>
        </w:tc>
        <w:tc>
          <w:tcPr>
            <w:tcW w:w="4244" w:type="dxa"/>
            <w:shd w:val="clear" w:color="auto" w:fill="auto"/>
          </w:tcPr>
          <w:p w14:paraId="2FFC739D" w14:textId="77777777" w:rsidR="00506BE7" w:rsidRDefault="008E332A">
            <w:pPr>
              <w:widowControl w:val="0"/>
              <w:overflowPunct w:val="0"/>
              <w:autoSpaceDE w:val="0"/>
              <w:autoSpaceDN w:val="0"/>
              <w:adjustRightInd w:val="0"/>
              <w:spacing w:after="0" w:line="240" w:lineRule="auto"/>
              <w:ind w:right="440"/>
              <w:rPr>
                <w:rFonts w:ascii="Times New Roman" w:eastAsia="Calibri" w:hAnsi="Times New Roman" w:cs="Times New Roman"/>
              </w:rPr>
            </w:pPr>
            <w:r>
              <w:rPr>
                <w:rFonts w:ascii="Times New Roman" w:eastAsia="Calibri" w:hAnsi="Times New Roman" w:cs="Times New Roman"/>
              </w:rPr>
              <w:t>Padidėjęs kraujospūdis</w:t>
            </w:r>
            <w:r>
              <w:rPr>
                <w:rFonts w:ascii="Times New Roman" w:eastAsia="Calibri" w:hAnsi="Times New Roman" w:cs="Times New Roman"/>
                <w:vertAlign w:val="superscript"/>
              </w:rPr>
              <w:t>2</w:t>
            </w:r>
          </w:p>
        </w:tc>
        <w:tc>
          <w:tcPr>
            <w:tcW w:w="1949" w:type="dxa"/>
            <w:shd w:val="clear" w:color="auto" w:fill="auto"/>
          </w:tcPr>
          <w:p w14:paraId="02EC1A51" w14:textId="77777777" w:rsidR="00506BE7" w:rsidRDefault="00506BE7">
            <w:pPr>
              <w:widowControl w:val="0"/>
              <w:overflowPunct w:val="0"/>
              <w:autoSpaceDE w:val="0"/>
              <w:autoSpaceDN w:val="0"/>
              <w:adjustRightInd w:val="0"/>
              <w:spacing w:after="0" w:line="240" w:lineRule="auto"/>
              <w:ind w:right="440"/>
              <w:rPr>
                <w:rFonts w:ascii="Times New Roman" w:eastAsia="Calibri" w:hAnsi="Times New Roman" w:cs="Times New Roman"/>
              </w:rPr>
            </w:pPr>
          </w:p>
        </w:tc>
      </w:tr>
      <w:tr w:rsidR="00506BE7" w14:paraId="07A90DD3" w14:textId="77777777">
        <w:tc>
          <w:tcPr>
            <w:tcW w:w="3094" w:type="dxa"/>
            <w:shd w:val="clear" w:color="auto" w:fill="auto"/>
          </w:tcPr>
          <w:p w14:paraId="23075D8B" w14:textId="77777777" w:rsidR="00506BE7" w:rsidRDefault="008E332A">
            <w:pPr>
              <w:widowControl w:val="0"/>
              <w:overflowPunct w:val="0"/>
              <w:autoSpaceDE w:val="0"/>
              <w:autoSpaceDN w:val="0"/>
              <w:adjustRightInd w:val="0"/>
              <w:spacing w:after="0" w:line="240" w:lineRule="auto"/>
              <w:ind w:right="440"/>
              <w:rPr>
                <w:rFonts w:ascii="Times New Roman" w:eastAsia="Calibri" w:hAnsi="Times New Roman" w:cs="Times New Roman"/>
                <w:i/>
              </w:rPr>
            </w:pPr>
            <w:r>
              <w:rPr>
                <w:rFonts w:ascii="Times New Roman" w:eastAsia="Calibri" w:hAnsi="Times New Roman" w:cs="Times New Roman"/>
                <w:i/>
              </w:rPr>
              <w:t>Kvėpavimo sistemos, krūtinės ląstos ir tarpuplaučio sutrikimai</w:t>
            </w:r>
          </w:p>
        </w:tc>
        <w:tc>
          <w:tcPr>
            <w:tcW w:w="4244" w:type="dxa"/>
            <w:shd w:val="clear" w:color="auto" w:fill="auto"/>
          </w:tcPr>
          <w:p w14:paraId="6C9C6546" w14:textId="77777777" w:rsidR="00506BE7" w:rsidRDefault="00506BE7">
            <w:pPr>
              <w:widowControl w:val="0"/>
              <w:overflowPunct w:val="0"/>
              <w:autoSpaceDE w:val="0"/>
              <w:autoSpaceDN w:val="0"/>
              <w:adjustRightInd w:val="0"/>
              <w:spacing w:after="0" w:line="240" w:lineRule="auto"/>
              <w:ind w:right="440"/>
              <w:rPr>
                <w:rFonts w:ascii="Times New Roman" w:eastAsia="Calibri" w:hAnsi="Times New Roman" w:cs="Times New Roman"/>
              </w:rPr>
            </w:pPr>
          </w:p>
        </w:tc>
        <w:tc>
          <w:tcPr>
            <w:tcW w:w="1949" w:type="dxa"/>
            <w:shd w:val="clear" w:color="auto" w:fill="auto"/>
          </w:tcPr>
          <w:p w14:paraId="46E62F15" w14:textId="77777777" w:rsidR="00506BE7" w:rsidRDefault="008E332A">
            <w:pPr>
              <w:widowControl w:val="0"/>
              <w:overflowPunct w:val="0"/>
              <w:autoSpaceDE w:val="0"/>
              <w:autoSpaceDN w:val="0"/>
              <w:adjustRightInd w:val="0"/>
              <w:spacing w:after="0" w:line="240" w:lineRule="auto"/>
              <w:ind w:right="440"/>
              <w:rPr>
                <w:rFonts w:ascii="Times New Roman" w:eastAsia="Calibri" w:hAnsi="Times New Roman" w:cs="Times New Roman"/>
              </w:rPr>
            </w:pPr>
            <w:r>
              <w:rPr>
                <w:rFonts w:ascii="Times New Roman" w:eastAsia="Calibri" w:hAnsi="Times New Roman" w:cs="Times New Roman"/>
              </w:rPr>
              <w:t>Sloga</w:t>
            </w:r>
          </w:p>
        </w:tc>
      </w:tr>
      <w:tr w:rsidR="00506BE7" w14:paraId="17D961AA" w14:textId="77777777">
        <w:tc>
          <w:tcPr>
            <w:tcW w:w="3094" w:type="dxa"/>
            <w:shd w:val="clear" w:color="auto" w:fill="auto"/>
          </w:tcPr>
          <w:p w14:paraId="7B841F48" w14:textId="77777777" w:rsidR="00506BE7" w:rsidRDefault="008E332A">
            <w:pPr>
              <w:widowControl w:val="0"/>
              <w:overflowPunct w:val="0"/>
              <w:autoSpaceDE w:val="0"/>
              <w:autoSpaceDN w:val="0"/>
              <w:adjustRightInd w:val="0"/>
              <w:spacing w:after="0" w:line="240" w:lineRule="auto"/>
              <w:ind w:right="440"/>
              <w:rPr>
                <w:rFonts w:ascii="Times New Roman" w:eastAsia="Calibri" w:hAnsi="Times New Roman" w:cs="Times New Roman"/>
                <w:i/>
              </w:rPr>
            </w:pPr>
            <w:r>
              <w:rPr>
                <w:rFonts w:ascii="Times New Roman" w:eastAsia="Calibri" w:hAnsi="Times New Roman" w:cs="Times New Roman"/>
                <w:i/>
              </w:rPr>
              <w:t>Virškinimo trakto sutrikimai</w:t>
            </w:r>
          </w:p>
        </w:tc>
        <w:tc>
          <w:tcPr>
            <w:tcW w:w="4244" w:type="dxa"/>
            <w:shd w:val="clear" w:color="auto" w:fill="auto"/>
          </w:tcPr>
          <w:p w14:paraId="16B0FFE0" w14:textId="77777777" w:rsidR="00506BE7" w:rsidRDefault="008E332A">
            <w:pPr>
              <w:widowControl w:val="0"/>
              <w:overflowPunct w:val="0"/>
              <w:autoSpaceDE w:val="0"/>
              <w:autoSpaceDN w:val="0"/>
              <w:adjustRightInd w:val="0"/>
              <w:spacing w:after="0" w:line="240" w:lineRule="auto"/>
              <w:ind w:right="440"/>
              <w:rPr>
                <w:rFonts w:ascii="Times New Roman" w:eastAsia="Calibri" w:hAnsi="Times New Roman" w:cs="Times New Roman"/>
              </w:rPr>
            </w:pPr>
            <w:r>
              <w:rPr>
                <w:rFonts w:ascii="Times New Roman" w:eastAsia="Calibri" w:hAnsi="Times New Roman" w:cs="Times New Roman"/>
              </w:rPr>
              <w:t>Vėmimas</w:t>
            </w:r>
          </w:p>
        </w:tc>
        <w:tc>
          <w:tcPr>
            <w:tcW w:w="1949" w:type="dxa"/>
            <w:shd w:val="clear" w:color="auto" w:fill="auto"/>
          </w:tcPr>
          <w:p w14:paraId="1F54EB73" w14:textId="77777777" w:rsidR="00506BE7" w:rsidRDefault="00506BE7">
            <w:pPr>
              <w:widowControl w:val="0"/>
              <w:overflowPunct w:val="0"/>
              <w:autoSpaceDE w:val="0"/>
              <w:autoSpaceDN w:val="0"/>
              <w:adjustRightInd w:val="0"/>
              <w:spacing w:after="0" w:line="240" w:lineRule="auto"/>
              <w:ind w:right="440"/>
              <w:rPr>
                <w:rFonts w:ascii="Times New Roman" w:eastAsia="Calibri" w:hAnsi="Times New Roman" w:cs="Times New Roman"/>
              </w:rPr>
            </w:pPr>
          </w:p>
        </w:tc>
      </w:tr>
      <w:tr w:rsidR="00506BE7" w14:paraId="3C933D56" w14:textId="77777777">
        <w:tc>
          <w:tcPr>
            <w:tcW w:w="3094" w:type="dxa"/>
            <w:shd w:val="clear" w:color="auto" w:fill="auto"/>
          </w:tcPr>
          <w:p w14:paraId="098463CB" w14:textId="77777777" w:rsidR="00506BE7" w:rsidRDefault="008E332A">
            <w:pPr>
              <w:widowControl w:val="0"/>
              <w:overflowPunct w:val="0"/>
              <w:autoSpaceDE w:val="0"/>
              <w:autoSpaceDN w:val="0"/>
              <w:adjustRightInd w:val="0"/>
              <w:spacing w:after="0" w:line="240" w:lineRule="auto"/>
              <w:ind w:right="440"/>
              <w:rPr>
                <w:rFonts w:ascii="Times New Roman" w:eastAsia="Calibri" w:hAnsi="Times New Roman" w:cs="Times New Roman"/>
                <w:i/>
              </w:rPr>
            </w:pPr>
            <w:r>
              <w:rPr>
                <w:rFonts w:ascii="Times New Roman" w:eastAsia="Calibri" w:hAnsi="Times New Roman" w:cs="Times New Roman"/>
                <w:i/>
              </w:rPr>
              <w:t>Bendrieji sutrikimai ir vartojimo vietos pažeidimai</w:t>
            </w:r>
          </w:p>
        </w:tc>
        <w:tc>
          <w:tcPr>
            <w:tcW w:w="4244" w:type="dxa"/>
            <w:shd w:val="clear" w:color="auto" w:fill="auto"/>
          </w:tcPr>
          <w:p w14:paraId="36F51C97" w14:textId="77777777" w:rsidR="00506BE7" w:rsidRDefault="00506BE7">
            <w:pPr>
              <w:widowControl w:val="0"/>
              <w:overflowPunct w:val="0"/>
              <w:autoSpaceDE w:val="0"/>
              <w:autoSpaceDN w:val="0"/>
              <w:adjustRightInd w:val="0"/>
              <w:spacing w:after="0" w:line="240" w:lineRule="auto"/>
              <w:ind w:right="440"/>
              <w:rPr>
                <w:rFonts w:ascii="Times New Roman" w:eastAsia="Calibri" w:hAnsi="Times New Roman" w:cs="Times New Roman"/>
              </w:rPr>
            </w:pPr>
          </w:p>
        </w:tc>
        <w:tc>
          <w:tcPr>
            <w:tcW w:w="1949" w:type="dxa"/>
            <w:shd w:val="clear" w:color="auto" w:fill="auto"/>
          </w:tcPr>
          <w:p w14:paraId="7456AF62" w14:textId="77777777" w:rsidR="00506BE7" w:rsidRDefault="008E332A">
            <w:pPr>
              <w:widowControl w:val="0"/>
              <w:overflowPunct w:val="0"/>
              <w:autoSpaceDE w:val="0"/>
              <w:autoSpaceDN w:val="0"/>
              <w:adjustRightInd w:val="0"/>
              <w:spacing w:after="0" w:line="240" w:lineRule="auto"/>
              <w:ind w:right="440"/>
              <w:rPr>
                <w:rFonts w:ascii="Times New Roman" w:eastAsia="Calibri" w:hAnsi="Times New Roman" w:cs="Times New Roman"/>
              </w:rPr>
            </w:pPr>
            <w:r>
              <w:rPr>
                <w:rFonts w:ascii="Times New Roman" w:eastAsia="Calibri" w:hAnsi="Times New Roman" w:cs="Times New Roman"/>
              </w:rPr>
              <w:t>Irzlumas</w:t>
            </w:r>
            <w:r>
              <w:rPr>
                <w:rFonts w:ascii="Times New Roman" w:eastAsia="Calibri" w:hAnsi="Times New Roman" w:cs="Times New Roman"/>
                <w:vertAlign w:val="superscript"/>
              </w:rPr>
              <w:t>3</w:t>
            </w:r>
          </w:p>
        </w:tc>
      </w:tr>
    </w:tbl>
    <w:p w14:paraId="77A4D418" w14:textId="77777777" w:rsidR="00506BE7" w:rsidRDefault="00506BE7">
      <w:pPr>
        <w:widowControl w:val="0"/>
        <w:overflowPunct w:val="0"/>
        <w:autoSpaceDE w:val="0"/>
        <w:autoSpaceDN w:val="0"/>
        <w:adjustRightInd w:val="0"/>
        <w:spacing w:after="0" w:line="240" w:lineRule="auto"/>
        <w:ind w:right="440"/>
        <w:rPr>
          <w:rFonts w:ascii="Times New Roman" w:eastAsia="Calibri" w:hAnsi="Times New Roman" w:cs="Times New Roman"/>
        </w:rPr>
      </w:pPr>
    </w:p>
    <w:p w14:paraId="0969A458" w14:textId="77777777" w:rsidR="00506BE7" w:rsidRDefault="008E332A">
      <w:pPr>
        <w:widowControl w:val="0"/>
        <w:overflowPunct w:val="0"/>
        <w:autoSpaceDE w:val="0"/>
        <w:autoSpaceDN w:val="0"/>
        <w:adjustRightInd w:val="0"/>
        <w:spacing w:after="0" w:line="240" w:lineRule="auto"/>
        <w:ind w:right="780"/>
        <w:jc w:val="both"/>
        <w:rPr>
          <w:rFonts w:ascii="Times New Roman" w:eastAsia="Calibri" w:hAnsi="Times New Roman" w:cs="Times New Roman"/>
        </w:rPr>
      </w:pPr>
      <w:r>
        <w:rPr>
          <w:rFonts w:ascii="Times New Roman" w:eastAsia="Calibri" w:hAnsi="Times New Roman" w:cs="Times New Roman"/>
          <w:vertAlign w:val="superscript"/>
        </w:rPr>
        <w:t xml:space="preserve">1 </w:t>
      </w:r>
      <w:r>
        <w:rPr>
          <w:rFonts w:ascii="Times New Roman" w:eastAsia="Calibri" w:hAnsi="Times New Roman" w:cs="Times New Roman"/>
        </w:rPr>
        <w:t>Bet kuriuo laiku pacientams iki 18 metų nustatyta prolaktino koncentracija: &gt; 20 μg/l (&gt; 869,56 pmol/l) berniukams, &gt; 26 μg/l (&gt; 1130,428 pmol/l) mergaitėms. Mažiau kaip 1 % pacientų nustatyta prolaktino koncentracija &gt; 100 μg/l.</w:t>
      </w:r>
    </w:p>
    <w:p w14:paraId="34D26EC1" w14:textId="77777777" w:rsidR="00506BE7" w:rsidRDefault="008E332A">
      <w:pPr>
        <w:widowControl w:val="0"/>
        <w:overflowPunct w:val="0"/>
        <w:autoSpaceDE w:val="0"/>
        <w:autoSpaceDN w:val="0"/>
        <w:adjustRightInd w:val="0"/>
        <w:spacing w:after="0" w:line="240" w:lineRule="auto"/>
        <w:ind w:right="480"/>
        <w:jc w:val="both"/>
        <w:rPr>
          <w:rFonts w:ascii="Times New Roman" w:eastAsia="Calibri" w:hAnsi="Times New Roman" w:cs="Times New Roman"/>
        </w:rPr>
      </w:pPr>
      <w:r>
        <w:rPr>
          <w:rFonts w:ascii="Times New Roman" w:eastAsia="Calibri" w:hAnsi="Times New Roman" w:cs="Times New Roman"/>
          <w:vertAlign w:val="superscript"/>
        </w:rPr>
        <w:t xml:space="preserve">2 </w:t>
      </w:r>
      <w:r>
        <w:rPr>
          <w:rFonts w:ascii="Times New Roman" w:eastAsia="Calibri" w:hAnsi="Times New Roman" w:cs="Times New Roman"/>
        </w:rPr>
        <w:t>Dviejų trumpalaikių (3-6 savaičių trukmės) placebu kontroliuojamų tyrimų, atliktų su vaikais ir paaugliais, metu bet kuriuo laiku nustatytas padidėjimas virš kliniškai reikšmingos ribos, adaptuotos pagal Nacionalinių sveikatos institutų kriterijus, arba &gt; 20 mmHg (sistolinis) ar &gt; 10 mmHg (diastolinis).</w:t>
      </w:r>
    </w:p>
    <w:p w14:paraId="07EFB117" w14:textId="77777777" w:rsidR="00506BE7" w:rsidRDefault="008E332A">
      <w:pPr>
        <w:widowControl w:val="0"/>
        <w:overflowPunct w:val="0"/>
        <w:autoSpaceDE w:val="0"/>
        <w:autoSpaceDN w:val="0"/>
        <w:adjustRightInd w:val="0"/>
        <w:spacing w:after="0" w:line="240" w:lineRule="auto"/>
        <w:ind w:right="480"/>
        <w:jc w:val="both"/>
        <w:rPr>
          <w:rFonts w:ascii="Times New Roman" w:eastAsia="Calibri" w:hAnsi="Times New Roman" w:cs="Times New Roman"/>
        </w:rPr>
      </w:pPr>
      <w:r>
        <w:rPr>
          <w:rFonts w:ascii="Times New Roman" w:eastAsia="Calibri" w:hAnsi="Times New Roman" w:cs="Times New Roman"/>
          <w:vertAlign w:val="superscript"/>
        </w:rPr>
        <w:t xml:space="preserve">3 </w:t>
      </w:r>
      <w:r>
        <w:rPr>
          <w:rFonts w:ascii="Times New Roman" w:eastAsia="Calibri" w:hAnsi="Times New Roman" w:cs="Times New Roman"/>
        </w:rPr>
        <w:t>Pastaba: irzlumo pasireiškimo dažnis atitinka nustatytą suaugusiems, tačiau jo klinikinė reikšmė vaikams ir paaugliams gali būti kitokia.</w:t>
      </w:r>
    </w:p>
    <w:p w14:paraId="11698411" w14:textId="77777777" w:rsidR="00506BE7" w:rsidRDefault="008E332A">
      <w:pPr>
        <w:widowControl w:val="0"/>
        <w:overflowPunct w:val="0"/>
        <w:autoSpaceDE w:val="0"/>
        <w:autoSpaceDN w:val="0"/>
        <w:adjustRightInd w:val="0"/>
        <w:jc w:val="both"/>
        <w:rPr>
          <w:rFonts w:ascii="Times New Roman" w:eastAsia="Calibri" w:hAnsi="Times New Roman" w:cs="Times New Roman"/>
        </w:rPr>
      </w:pPr>
      <w:r>
        <w:rPr>
          <w:rFonts w:ascii="Times New Roman" w:eastAsia="Calibri" w:hAnsi="Times New Roman" w:cs="Times New Roman"/>
          <w:vertAlign w:val="superscript"/>
        </w:rPr>
        <w:t xml:space="preserve">4 </w:t>
      </w:r>
      <w:r>
        <w:rPr>
          <w:rFonts w:ascii="Times New Roman" w:eastAsia="Calibri" w:hAnsi="Times New Roman" w:cs="Times New Roman"/>
        </w:rPr>
        <w:t>Žr. 5.1 skyrių.</w:t>
      </w:r>
    </w:p>
    <w:p w14:paraId="17FC494F" w14:textId="77777777" w:rsidR="00506BE7" w:rsidRDefault="00506BE7">
      <w:pPr>
        <w:widowControl w:val="0"/>
        <w:spacing w:after="0" w:line="240" w:lineRule="auto"/>
        <w:rPr>
          <w:rFonts w:ascii="Times New Roman" w:eastAsia="Calibri" w:hAnsi="Times New Roman" w:cs="Times New Roman"/>
        </w:rPr>
      </w:pPr>
    </w:p>
    <w:p w14:paraId="449519F7" w14:textId="77777777" w:rsidR="00506BE7" w:rsidRDefault="008E332A">
      <w:pPr>
        <w:widowControl w:val="0"/>
        <w:autoSpaceDE w:val="0"/>
        <w:autoSpaceDN w:val="0"/>
        <w:adjustRightInd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Pranešimas apie įtariamas nepageidaujamas reakcijas</w:t>
      </w:r>
    </w:p>
    <w:p w14:paraId="50A8A723" w14:textId="77777777" w:rsidR="005F6077" w:rsidRPr="005F6077" w:rsidRDefault="005F6077" w:rsidP="005F6077">
      <w:pPr>
        <w:tabs>
          <w:tab w:val="left" w:pos="567"/>
        </w:tabs>
        <w:spacing w:after="0" w:line="260" w:lineRule="exact"/>
        <w:jc w:val="both"/>
        <w:rPr>
          <w:rFonts w:ascii="Times New Roman" w:eastAsia="Times New Roman" w:hAnsi="Times New Roman" w:cs="Times New Roman"/>
          <w:szCs w:val="24"/>
        </w:rPr>
      </w:pPr>
      <w:r w:rsidRPr="005F6077">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5F6077">
        <w:rPr>
          <w:rFonts w:ascii="Times New Roman" w:eastAsia="Times New Roman" w:hAnsi="Times New Roman" w:cs="Times New Roman"/>
          <w:u w:val="single"/>
        </w:rPr>
        <w:t>https://vvkt.lrv.lt/lt/</w:t>
      </w:r>
      <w:r w:rsidRPr="005F6077">
        <w:rPr>
          <w:rFonts w:ascii="Times New Roman" w:eastAsia="Times New Roman" w:hAnsi="Times New Roman" w:cs="Times New Roman"/>
        </w:rPr>
        <w:t xml:space="preserve"> nurodytais būdais.</w:t>
      </w:r>
    </w:p>
    <w:p w14:paraId="76404075" w14:textId="77777777" w:rsidR="00506BE7" w:rsidRDefault="00506BE7">
      <w:pPr>
        <w:widowControl w:val="0"/>
        <w:spacing w:after="0" w:line="240" w:lineRule="auto"/>
        <w:rPr>
          <w:rFonts w:ascii="Times New Roman" w:eastAsia="Calibri" w:hAnsi="Times New Roman" w:cs="Times New Roman"/>
        </w:rPr>
      </w:pPr>
    </w:p>
    <w:p w14:paraId="19F5CCAE" w14:textId="77777777" w:rsidR="00506BE7" w:rsidRDefault="008E332A">
      <w:pPr>
        <w:widowControl w:val="0"/>
        <w:spacing w:after="0" w:line="240" w:lineRule="auto"/>
        <w:ind w:left="540" w:hanging="540"/>
        <w:rPr>
          <w:rFonts w:ascii="Times New Roman" w:eastAsia="Calibri" w:hAnsi="Times New Roman" w:cs="Times New Roman"/>
          <w:b/>
        </w:rPr>
      </w:pPr>
      <w:bookmarkStart w:id="27" w:name="_Toc129243235"/>
      <w:bookmarkStart w:id="28" w:name="_Toc129243110"/>
      <w:r>
        <w:rPr>
          <w:rFonts w:ascii="Times New Roman" w:eastAsia="Calibri" w:hAnsi="Times New Roman" w:cs="Times New Roman"/>
          <w:b/>
        </w:rPr>
        <w:t>4.9</w:t>
      </w:r>
      <w:r>
        <w:rPr>
          <w:rFonts w:ascii="Times New Roman" w:eastAsia="Calibri" w:hAnsi="Times New Roman" w:cs="Times New Roman"/>
          <w:b/>
        </w:rPr>
        <w:tab/>
        <w:t>Perdozavimas</w:t>
      </w:r>
      <w:bookmarkEnd w:id="27"/>
      <w:bookmarkEnd w:id="28"/>
    </w:p>
    <w:p w14:paraId="05B9F293" w14:textId="77777777" w:rsidR="00506BE7" w:rsidRDefault="00506BE7">
      <w:pPr>
        <w:widowControl w:val="0"/>
        <w:spacing w:after="0" w:line="240" w:lineRule="auto"/>
        <w:rPr>
          <w:rFonts w:ascii="Times New Roman" w:eastAsia="Calibri" w:hAnsi="Times New Roman" w:cs="Times New Roman"/>
        </w:rPr>
      </w:pPr>
    </w:p>
    <w:p w14:paraId="499BB031" w14:textId="77777777" w:rsidR="00506BE7" w:rsidRDefault="008E332A">
      <w:pPr>
        <w:widowControl w:val="0"/>
        <w:spacing w:after="0" w:line="240" w:lineRule="auto"/>
        <w:rPr>
          <w:rFonts w:ascii="Times New Roman" w:eastAsia="Calibri" w:hAnsi="Times New Roman" w:cs="Times New Roman"/>
          <w:b/>
          <w:u w:val="single"/>
        </w:rPr>
      </w:pPr>
      <w:r>
        <w:rPr>
          <w:rFonts w:ascii="Times New Roman" w:eastAsia="Calibri" w:hAnsi="Times New Roman" w:cs="Times New Roman"/>
          <w:u w:val="single"/>
        </w:rPr>
        <w:t>Simptomai</w:t>
      </w:r>
    </w:p>
    <w:p w14:paraId="74C329E1"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rPr>
        <w:t>Dauguma pastebėtų apsinuodijimo simptomų ir požymių (mieguistumas, sedacija, tachikardija, hipotenzija ir anticholinerginis poveikis) buvo veikliosios medžiagos sustiprėjusio farmakologinio poveikio pasekmės.</w:t>
      </w:r>
    </w:p>
    <w:p w14:paraId="427D8A9D" w14:textId="77777777" w:rsidR="00506BE7" w:rsidRDefault="00506BE7">
      <w:pPr>
        <w:widowControl w:val="0"/>
        <w:spacing w:after="0" w:line="240" w:lineRule="auto"/>
        <w:rPr>
          <w:rFonts w:ascii="Times New Roman" w:eastAsia="Calibri" w:hAnsi="Times New Roman" w:cs="Times New Roman"/>
          <w:lang w:val="sl-SI"/>
        </w:rPr>
      </w:pPr>
    </w:p>
    <w:p w14:paraId="653B7A2E"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rPr>
        <w:t>Perdozavus gali pailgėti QT intervalas, prasidėti traukuliai, ištikti epilepsinė būklė, vykti rabdomiolizė, susilpnėti kvėpavimas, susilaikyti šlapimas, sutrikti orientacija, pasireikšti delyras ir (ar) sujaudinimas, ištikti koma ir mirtis. Pacientams, sergantiems sunkiomis širdies ir kraujagyslių sistemos ligomis, perdozavimo sukeliamų sutrikimų pavojus gali būti didesnis (žr. 4.4 skyriuje „Ortostatinė hipotenzija“).</w:t>
      </w:r>
    </w:p>
    <w:p w14:paraId="35CB2C0D" w14:textId="77777777" w:rsidR="00506BE7" w:rsidRDefault="00506BE7">
      <w:pPr>
        <w:widowControl w:val="0"/>
        <w:spacing w:after="0" w:line="240" w:lineRule="auto"/>
        <w:rPr>
          <w:rFonts w:ascii="Times New Roman" w:eastAsia="Calibri" w:hAnsi="Times New Roman" w:cs="Times New Roman"/>
        </w:rPr>
      </w:pPr>
    </w:p>
    <w:p w14:paraId="4E65B36E" w14:textId="77777777" w:rsidR="00506BE7" w:rsidRDefault="008E332A">
      <w:pPr>
        <w:widowControl w:val="0"/>
        <w:spacing w:after="0" w:line="240" w:lineRule="auto"/>
        <w:rPr>
          <w:rFonts w:ascii="Times New Roman" w:eastAsia="Calibri" w:hAnsi="Times New Roman" w:cs="Times New Roman"/>
          <w:b/>
          <w:u w:val="single"/>
        </w:rPr>
      </w:pPr>
      <w:r>
        <w:rPr>
          <w:rFonts w:ascii="Times New Roman" w:eastAsia="Calibri" w:hAnsi="Times New Roman" w:cs="Times New Roman"/>
          <w:u w:val="single"/>
        </w:rPr>
        <w:t>Perdozavimo gydymas</w:t>
      </w:r>
    </w:p>
    <w:p w14:paraId="2EA17275"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Specifinio priešnuodžio kvetiapinui nėra. Jeigu yra stipriai išreikštų požymių, rekomenduojama atsižvelgti į kelių vaistinių preparatų pavartojimo galimybę ir intensyviai gydyti: užtikrinti bei palaikyti kvėpavimo takų praeinamumą, pakankamą oksigenaciją ir plaučių ventiliaciją, stebėti bei palaikyti širdies ir kraujagyslių sistemos veiklą.</w:t>
      </w:r>
    </w:p>
    <w:p w14:paraId="02B0B0C6" w14:textId="77777777" w:rsidR="00506BE7" w:rsidRDefault="00506BE7">
      <w:pPr>
        <w:widowControl w:val="0"/>
        <w:spacing w:after="0" w:line="240" w:lineRule="auto"/>
        <w:rPr>
          <w:rFonts w:ascii="Times New Roman" w:eastAsia="Calibri" w:hAnsi="Times New Roman" w:cs="Times New Roman"/>
        </w:rPr>
      </w:pPr>
    </w:p>
    <w:p w14:paraId="4F7A4D3B"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Remiantis publikuotais duomenimis, pacientus, kuriems pasireiškė delyras, sujaudinimas ir akivaizdus anticholinerginis sindromas, galima gydyti fizostigminu (1-2 mg doze, nuolat registruojant EKG). Vis dėlto tai nėra rekomenduojamas standartinis gydymas, nes fizostigminas gali bloginti širdies laidumą. Fizostigmino galima skirti tik kai nėra EKG pokyčių. Jeigu yra širdies aritmija, bet kurio laipsnio atrioventrikulinė blokada arba išsiplėtęs QRS intervalas, fizostigmino skirti negalima.</w:t>
      </w:r>
    </w:p>
    <w:p w14:paraId="21F1BE35" w14:textId="77777777" w:rsidR="00506BE7" w:rsidRDefault="00506BE7">
      <w:pPr>
        <w:widowControl w:val="0"/>
        <w:spacing w:after="0" w:line="240" w:lineRule="auto"/>
        <w:rPr>
          <w:rFonts w:ascii="Times New Roman" w:eastAsia="Calibri" w:hAnsi="Times New Roman" w:cs="Times New Roman"/>
        </w:rPr>
      </w:pPr>
    </w:p>
    <w:p w14:paraId="521AC5B4" w14:textId="77777777" w:rsidR="00506BE7" w:rsidRDefault="008E332A">
      <w:pPr>
        <w:widowControl w:val="0"/>
        <w:spacing w:after="0" w:line="240" w:lineRule="auto"/>
        <w:rPr>
          <w:rFonts w:ascii="Times New Roman" w:eastAsia="Calibri" w:hAnsi="Times New Roman" w:cs="Times New Roman"/>
          <w:color w:val="000000"/>
          <w:lang w:val="sl-SI"/>
        </w:rPr>
      </w:pPr>
      <w:r>
        <w:rPr>
          <w:rFonts w:ascii="Times New Roman" w:eastAsia="Calibri" w:hAnsi="Times New Roman" w:cs="Times New Roman"/>
          <w:color w:val="000000"/>
          <w:lang w:val="sl-SI"/>
        </w:rPr>
        <w:lastRenderedPageBreak/>
        <w:t>Nors absorbcijos slopinimas perdozavimo atveju netirtas, gali būti naudinga plauti skrandį sunkaus apsinuodijimo atvejais</w:t>
      </w:r>
      <w:r>
        <w:rPr>
          <w:rFonts w:ascii="Times New Roman" w:eastAsia="Calibri" w:hAnsi="Times New Roman" w:cs="Times New Roman"/>
        </w:rPr>
        <w:t xml:space="preserve"> (jei įmanoma, per valandą po perdozavimo). </w:t>
      </w:r>
      <w:r>
        <w:rPr>
          <w:rFonts w:ascii="Times New Roman" w:eastAsia="Calibri" w:hAnsi="Times New Roman" w:cs="Times New Roman"/>
          <w:color w:val="000000"/>
          <w:lang w:val="sl-SI"/>
        </w:rPr>
        <w:t>Reikia apsvarstyti aktyvintosios anglies skyrimą.</w:t>
      </w:r>
    </w:p>
    <w:p w14:paraId="681F6B0C" w14:textId="77777777" w:rsidR="00506BE7" w:rsidRDefault="00506BE7">
      <w:pPr>
        <w:widowControl w:val="0"/>
        <w:spacing w:after="0" w:line="240" w:lineRule="auto"/>
        <w:rPr>
          <w:rFonts w:ascii="Times New Roman" w:eastAsia="Calibri" w:hAnsi="Times New Roman" w:cs="Times New Roman"/>
        </w:rPr>
      </w:pPr>
    </w:p>
    <w:p w14:paraId="185A9157"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rPr>
        <w:t>Perdozavus kvetiapino pasireiškusią refraktorinę hipotenziją reikia atitinkamai gydyti, t.y. leisti skysčių į veną ir (arba) skirti simpatomimetinių vaistinių preparatų Pažymėtina, kad netinka epinefrinas ir dopaminas, nes dėl beta adrenoreceptorių stimuliavimo gali pasunkėti hipotenzija esant dėl kvetiapino poveikio užblokuotiems alfa receptoriams.</w:t>
      </w:r>
    </w:p>
    <w:p w14:paraId="6586723F" w14:textId="77777777" w:rsidR="00506BE7" w:rsidRDefault="00506BE7">
      <w:pPr>
        <w:widowControl w:val="0"/>
        <w:spacing w:after="0" w:line="240" w:lineRule="auto"/>
        <w:rPr>
          <w:rFonts w:ascii="Times New Roman" w:eastAsia="Calibri" w:hAnsi="Times New Roman" w:cs="Times New Roman"/>
        </w:rPr>
      </w:pPr>
    </w:p>
    <w:p w14:paraId="71D9CB34"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Perdozavus pailginto atpalaidavimo kvetiapino, palyginti su nedelsiamo atpalaidavimo kvetiapino perdozavimu, stipriausiais slopinamasis poveikis bei poveikis pulsui pasireiškia vėliau ir atsigavimas būna ilgesnis.</w:t>
      </w:r>
    </w:p>
    <w:p w14:paraId="4B556E72" w14:textId="77777777" w:rsidR="00506BE7" w:rsidRDefault="00506BE7">
      <w:pPr>
        <w:widowControl w:val="0"/>
        <w:spacing w:after="0" w:line="240" w:lineRule="auto"/>
        <w:rPr>
          <w:rFonts w:ascii="Times New Roman" w:eastAsia="Calibri" w:hAnsi="Times New Roman" w:cs="Times New Roman"/>
        </w:rPr>
      </w:pPr>
    </w:p>
    <w:p w14:paraId="277ADC43"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Gauta pranešimų apie atvejus, kai perdozavus pailginto atpalaidavimo farmacinės formos kvetiapino susidarė skrandžio bezoarų, todėl sprendžiant dėl tolesnio paciento gydymo rekomenduojama atlikti tinkamą diagnostinę vizualizaciją.</w:t>
      </w:r>
      <w:r>
        <w:t xml:space="preserve"> </w:t>
      </w:r>
      <w:r>
        <w:rPr>
          <w:rFonts w:ascii="Times New Roman" w:eastAsia="Calibri" w:hAnsi="Times New Roman" w:cs="Times New Roman"/>
        </w:rPr>
        <w:t>Įprastinis skrandžio plovimas gali būti neveiksmingas šalinant bezoarus, nes darinys būna lipnios į gumą panašios struktūros.</w:t>
      </w:r>
    </w:p>
    <w:p w14:paraId="2F60CFCE" w14:textId="77777777" w:rsidR="00506BE7" w:rsidRDefault="00506BE7">
      <w:pPr>
        <w:widowControl w:val="0"/>
        <w:spacing w:after="0" w:line="240" w:lineRule="auto"/>
        <w:rPr>
          <w:rFonts w:ascii="Times New Roman" w:eastAsia="Calibri" w:hAnsi="Times New Roman" w:cs="Times New Roman"/>
        </w:rPr>
      </w:pPr>
    </w:p>
    <w:p w14:paraId="3010E708" w14:textId="77777777" w:rsidR="00506BE7" w:rsidRDefault="008E332A">
      <w:pPr>
        <w:widowControl w:val="0"/>
        <w:spacing w:after="0" w:line="240" w:lineRule="auto"/>
        <w:rPr>
          <w:rFonts w:ascii="Times New Roman" w:eastAsia="Times New Roman" w:hAnsi="Times New Roman" w:cs="Times New Roman"/>
          <w:bCs/>
        </w:rPr>
      </w:pPr>
      <w:r>
        <w:rPr>
          <w:rFonts w:ascii="Times New Roman" w:eastAsia="Calibri" w:hAnsi="Times New Roman" w:cs="Times New Roman"/>
        </w:rPr>
        <w:t>Kai kuriais atvejais farmaciniai bezoarai buvo sėkmingai pašalinti endoskopijos būdu.</w:t>
      </w:r>
    </w:p>
    <w:p w14:paraId="137BE58A" w14:textId="77777777" w:rsidR="00506BE7" w:rsidRDefault="00506BE7">
      <w:pPr>
        <w:widowControl w:val="0"/>
        <w:spacing w:after="0" w:line="240" w:lineRule="auto"/>
        <w:rPr>
          <w:rFonts w:ascii="Times New Roman" w:eastAsia="Calibri" w:hAnsi="Times New Roman" w:cs="Times New Roman"/>
        </w:rPr>
      </w:pPr>
    </w:p>
    <w:p w14:paraId="1321AB7D"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rPr>
        <w:t>Pacientui, kol atsigaus, reikia atidžios gydytojo priežiūros ir stebėjimo.</w:t>
      </w:r>
    </w:p>
    <w:p w14:paraId="0DBC9169" w14:textId="77777777" w:rsidR="00506BE7" w:rsidRDefault="00506BE7">
      <w:pPr>
        <w:widowControl w:val="0"/>
        <w:spacing w:after="0" w:line="240" w:lineRule="auto"/>
        <w:rPr>
          <w:rFonts w:ascii="Times New Roman" w:eastAsia="Calibri" w:hAnsi="Times New Roman" w:cs="Times New Roman"/>
        </w:rPr>
      </w:pPr>
    </w:p>
    <w:p w14:paraId="16232910" w14:textId="77777777" w:rsidR="00506BE7" w:rsidRDefault="00506BE7">
      <w:pPr>
        <w:widowControl w:val="0"/>
        <w:spacing w:after="0" w:line="240" w:lineRule="auto"/>
        <w:rPr>
          <w:rFonts w:ascii="Times New Roman" w:eastAsia="Calibri" w:hAnsi="Times New Roman" w:cs="Times New Roman"/>
        </w:rPr>
      </w:pPr>
    </w:p>
    <w:p w14:paraId="5DEAFBF7" w14:textId="77777777" w:rsidR="00506BE7" w:rsidRDefault="008E332A">
      <w:pPr>
        <w:widowControl w:val="0"/>
        <w:tabs>
          <w:tab w:val="left" w:pos="567"/>
        </w:tabs>
        <w:spacing w:after="0" w:line="240" w:lineRule="auto"/>
        <w:ind w:left="567" w:hanging="567"/>
        <w:outlineLvl w:val="1"/>
        <w:rPr>
          <w:rFonts w:ascii="Times New Roman" w:eastAsia="Calibri" w:hAnsi="Times New Roman" w:cs="Times New Roman"/>
          <w:b/>
        </w:rPr>
      </w:pPr>
      <w:bookmarkStart w:id="29" w:name="_Toc129243236"/>
      <w:bookmarkStart w:id="30" w:name="_Toc129243111"/>
      <w:r>
        <w:rPr>
          <w:rFonts w:ascii="Times New Roman" w:eastAsia="Calibri" w:hAnsi="Times New Roman" w:cs="Times New Roman"/>
          <w:b/>
        </w:rPr>
        <w:t>5.</w:t>
      </w:r>
      <w:r>
        <w:rPr>
          <w:rFonts w:ascii="Times New Roman" w:eastAsia="Calibri" w:hAnsi="Times New Roman" w:cs="Times New Roman"/>
          <w:b/>
        </w:rPr>
        <w:tab/>
        <w:t>FARMAKOLOGINĖS SAVYBĖS</w:t>
      </w:r>
      <w:bookmarkEnd w:id="29"/>
      <w:bookmarkEnd w:id="30"/>
    </w:p>
    <w:p w14:paraId="1AD11291" w14:textId="77777777" w:rsidR="00506BE7" w:rsidRDefault="00506BE7">
      <w:pPr>
        <w:widowControl w:val="0"/>
        <w:spacing w:after="0" w:line="240" w:lineRule="auto"/>
        <w:rPr>
          <w:rFonts w:ascii="Times New Roman" w:eastAsia="Calibri" w:hAnsi="Times New Roman" w:cs="Times New Roman"/>
        </w:rPr>
      </w:pPr>
    </w:p>
    <w:p w14:paraId="61C2045D" w14:textId="77777777" w:rsidR="00506BE7" w:rsidRDefault="008E332A">
      <w:pPr>
        <w:widowControl w:val="0"/>
        <w:spacing w:after="0" w:line="240" w:lineRule="auto"/>
        <w:ind w:left="540" w:hanging="540"/>
        <w:rPr>
          <w:rFonts w:ascii="Times New Roman" w:eastAsia="Calibri" w:hAnsi="Times New Roman" w:cs="Times New Roman"/>
          <w:b/>
        </w:rPr>
      </w:pPr>
      <w:bookmarkStart w:id="31" w:name="_Toc129243237"/>
      <w:bookmarkStart w:id="32" w:name="_Toc129243112"/>
      <w:r>
        <w:rPr>
          <w:rFonts w:ascii="Times New Roman" w:eastAsia="Calibri" w:hAnsi="Times New Roman" w:cs="Times New Roman"/>
          <w:b/>
        </w:rPr>
        <w:t>5.1</w:t>
      </w:r>
      <w:r>
        <w:rPr>
          <w:rFonts w:ascii="Times New Roman" w:eastAsia="Calibri" w:hAnsi="Times New Roman" w:cs="Times New Roman"/>
          <w:b/>
        </w:rPr>
        <w:tab/>
        <w:t>Farmakodinaminės savybės</w:t>
      </w:r>
      <w:bookmarkEnd w:id="31"/>
      <w:bookmarkEnd w:id="32"/>
    </w:p>
    <w:p w14:paraId="6B2E4CC2" w14:textId="77777777" w:rsidR="00506BE7" w:rsidRDefault="00506BE7">
      <w:pPr>
        <w:widowControl w:val="0"/>
        <w:spacing w:after="0" w:line="240" w:lineRule="auto"/>
        <w:rPr>
          <w:rFonts w:ascii="Times New Roman" w:eastAsia="Calibri" w:hAnsi="Times New Roman" w:cs="Times New Roman"/>
        </w:rPr>
      </w:pPr>
    </w:p>
    <w:p w14:paraId="6A439AAC"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Farmakoterapinė grupė – vaistiniai preparatai nuo psichozės; diazepinai, oksazepinai, tiazepiniai ir oksepinai. ATC kodas – N05AH04.</w:t>
      </w:r>
    </w:p>
    <w:p w14:paraId="3E919D6A" w14:textId="77777777" w:rsidR="00506BE7" w:rsidRDefault="00506BE7">
      <w:pPr>
        <w:widowControl w:val="0"/>
        <w:spacing w:after="0" w:line="240" w:lineRule="auto"/>
        <w:rPr>
          <w:rFonts w:ascii="Times New Roman" w:eastAsia="Calibri" w:hAnsi="Times New Roman" w:cs="Times New Roman"/>
        </w:rPr>
      </w:pPr>
    </w:p>
    <w:p w14:paraId="7350B8AE" w14:textId="77777777" w:rsidR="00506BE7" w:rsidRDefault="008E332A">
      <w:pPr>
        <w:widowControl w:val="0"/>
        <w:spacing w:after="0" w:line="240" w:lineRule="auto"/>
        <w:rPr>
          <w:rFonts w:ascii="Times New Roman" w:eastAsia="Calibri" w:hAnsi="Times New Roman" w:cs="Times New Roman"/>
          <w:u w:val="single"/>
        </w:rPr>
      </w:pPr>
      <w:bookmarkStart w:id="33" w:name="_Toc129243238"/>
      <w:bookmarkStart w:id="34" w:name="_Toc129243113"/>
      <w:r>
        <w:rPr>
          <w:rFonts w:ascii="Times New Roman" w:eastAsia="Calibri" w:hAnsi="Times New Roman" w:cs="Times New Roman"/>
          <w:u w:val="single"/>
        </w:rPr>
        <w:t>Veikimo mechanizmas</w:t>
      </w:r>
    </w:p>
    <w:p w14:paraId="7AC9EEDB" w14:textId="77777777" w:rsidR="00506BE7" w:rsidRDefault="008E332A">
      <w:pPr>
        <w:widowControl w:val="0"/>
        <w:tabs>
          <w:tab w:val="left" w:pos="0"/>
          <w:tab w:val="left" w:pos="8496"/>
        </w:tabs>
        <w:spacing w:after="0" w:line="240" w:lineRule="auto"/>
        <w:ind w:left="34" w:hanging="34"/>
        <w:rPr>
          <w:rFonts w:ascii="Times New Roman" w:eastAsia="Calibri" w:hAnsi="Times New Roman" w:cs="Times New Roman"/>
        </w:rPr>
      </w:pPr>
      <w:r>
        <w:rPr>
          <w:rFonts w:ascii="Times New Roman" w:eastAsia="Calibri" w:hAnsi="Times New Roman" w:cs="Times New Roman"/>
        </w:rPr>
        <w:t>Kvetiapinas yra netipinis vaistinis preparatas nuo psichozės. Kvetiapinas ir žmogaus plazmoje randamas aktyvus metabolitas norkvetiapinas sąveikauja su daugelio neuromediatorių receptoriais. Kvetiapinas ir norkvetiapinas turi afinitetą smegenų serotonino 5HT</w:t>
      </w:r>
      <w:r>
        <w:rPr>
          <w:rFonts w:ascii="Times New Roman" w:eastAsia="Calibri" w:hAnsi="Times New Roman" w:cs="Times New Roman"/>
          <w:vertAlign w:val="subscript"/>
        </w:rPr>
        <w:t>2</w:t>
      </w:r>
      <w:r>
        <w:rPr>
          <w:rFonts w:ascii="Times New Roman" w:eastAsia="Calibri" w:hAnsi="Times New Roman" w:cs="Times New Roman"/>
        </w:rPr>
        <w:t xml:space="preserve"> bei dopamino D</w:t>
      </w:r>
      <w:r>
        <w:rPr>
          <w:rFonts w:ascii="Times New Roman" w:eastAsia="Calibri" w:hAnsi="Times New Roman" w:cs="Times New Roman"/>
          <w:vertAlign w:val="subscript"/>
        </w:rPr>
        <w:t>1</w:t>
      </w:r>
      <w:r>
        <w:rPr>
          <w:rFonts w:ascii="Times New Roman" w:eastAsia="Calibri" w:hAnsi="Times New Roman" w:cs="Times New Roman"/>
        </w:rPr>
        <w:t xml:space="preserve"> ir D</w:t>
      </w:r>
      <w:r>
        <w:rPr>
          <w:rFonts w:ascii="Times New Roman" w:eastAsia="Calibri" w:hAnsi="Times New Roman" w:cs="Times New Roman"/>
          <w:vertAlign w:val="subscript"/>
        </w:rPr>
        <w:t>2</w:t>
      </w:r>
      <w:r>
        <w:rPr>
          <w:rFonts w:ascii="Times New Roman" w:eastAsia="Calibri" w:hAnsi="Times New Roman" w:cs="Times New Roman"/>
        </w:rPr>
        <w:t xml:space="preserve"> receptoriams. Manoma, kad toks antagonizmo receptoriams derinys, kai selektyvumas 5HT</w:t>
      </w:r>
      <w:r>
        <w:rPr>
          <w:rFonts w:ascii="Times New Roman" w:eastAsia="Calibri" w:hAnsi="Times New Roman" w:cs="Times New Roman"/>
          <w:vertAlign w:val="subscript"/>
        </w:rPr>
        <w:t>2</w:t>
      </w:r>
      <w:r>
        <w:rPr>
          <w:rFonts w:ascii="Times New Roman" w:eastAsia="Calibri" w:hAnsi="Times New Roman" w:cs="Times New Roman"/>
        </w:rPr>
        <w:t xml:space="preserve"> receptoriams yra didesnis negu D</w:t>
      </w:r>
      <w:r>
        <w:rPr>
          <w:rFonts w:ascii="Times New Roman" w:eastAsia="Calibri" w:hAnsi="Times New Roman" w:cs="Times New Roman"/>
          <w:vertAlign w:val="subscript"/>
        </w:rPr>
        <w:t>2</w:t>
      </w:r>
      <w:r>
        <w:rPr>
          <w:rFonts w:ascii="Times New Roman" w:eastAsia="Calibri" w:hAnsi="Times New Roman" w:cs="Times New Roman"/>
        </w:rPr>
        <w:t>, įtakoja kvetiapino klinikines antipsichozines savybes ir silpnesnį negu tipinių vaistinių preparatų nuo psichozės nepageidaujamą poveikį ekstrapiramidinei sistemai. Kvetiapinas ir norkvetiapinas neturi pastebimo afiniteto benzodiazepinų receptoriams, tačiau turi didelį afinitetą histaminerginiams ir adrenerginiams alfa</w:t>
      </w:r>
      <w:r>
        <w:rPr>
          <w:rFonts w:ascii="Times New Roman" w:eastAsia="Calibri" w:hAnsi="Times New Roman" w:cs="Times New Roman"/>
          <w:vertAlign w:val="subscript"/>
        </w:rPr>
        <w:t>1</w:t>
      </w:r>
      <w:r>
        <w:rPr>
          <w:rFonts w:ascii="Times New Roman" w:eastAsia="Calibri" w:hAnsi="Times New Roman" w:cs="Times New Roman"/>
        </w:rPr>
        <w:t xml:space="preserve"> receptoriams, vidutinį afinitetą adrenerginiams alfa</w:t>
      </w:r>
      <w:r>
        <w:rPr>
          <w:rFonts w:ascii="Times New Roman" w:eastAsia="Calibri" w:hAnsi="Times New Roman" w:cs="Times New Roman"/>
          <w:vertAlign w:val="subscript"/>
        </w:rPr>
        <w:t>2</w:t>
      </w:r>
      <w:r>
        <w:rPr>
          <w:rFonts w:ascii="Times New Roman" w:eastAsia="Calibri" w:hAnsi="Times New Roman" w:cs="Times New Roman"/>
        </w:rPr>
        <w:t xml:space="preserve"> receptoriams. Be to, kvetiapinas turi mažą afinitetą muskarino receptoriams arba jo neturi, o norkvetiapino afinitetas kai kuriems muskarino receptoriams yra vidutinis arba didelis – tuo paaiškinamas jo anticholinerginis (antimuskarininis) poveikis. Įtakos kvetiapino terapiniam antidepresiniam veiksmingumui gali turėti norkvetiapino sukeliamas norepinefrino nešiklio slopinimas ir dalinis agonizmas 5HT</w:t>
      </w:r>
      <w:r>
        <w:rPr>
          <w:rFonts w:ascii="Times New Roman" w:eastAsia="Calibri" w:hAnsi="Times New Roman" w:cs="Times New Roman"/>
          <w:vertAlign w:val="subscript"/>
        </w:rPr>
        <w:t>1A</w:t>
      </w:r>
      <w:r>
        <w:rPr>
          <w:rFonts w:ascii="Times New Roman" w:eastAsia="Calibri" w:hAnsi="Times New Roman" w:cs="Times New Roman"/>
        </w:rPr>
        <w:t>.</w:t>
      </w:r>
    </w:p>
    <w:p w14:paraId="2FDD4D4F" w14:textId="77777777" w:rsidR="00506BE7" w:rsidRDefault="00506BE7">
      <w:pPr>
        <w:widowControl w:val="0"/>
        <w:spacing w:after="0" w:line="240" w:lineRule="auto"/>
        <w:rPr>
          <w:rFonts w:ascii="Times New Roman" w:eastAsia="Calibri" w:hAnsi="Times New Roman" w:cs="Times New Roman"/>
        </w:rPr>
      </w:pPr>
    </w:p>
    <w:p w14:paraId="57EB8C04" w14:textId="77777777" w:rsidR="00506BE7" w:rsidRDefault="008E332A">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Farmakodinaminis poveikis</w:t>
      </w:r>
    </w:p>
    <w:p w14:paraId="026757C3" w14:textId="77777777" w:rsidR="00506BE7" w:rsidRDefault="008E332A">
      <w:pPr>
        <w:widowControl w:val="0"/>
        <w:overflowPunct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Kvetiapino aktyvumą rodo antipsichozinio poveikio mėginiai, pvz., vengimo sąlyginio reflekso. Be to, kvetiapinas blokuoja dopamino agonistų veikimą (vertinamą pagal elgesio arba elektrofiziologinius pokyčius) ir didina dopamino metabolitų koncentracijas (tai yra D</w:t>
      </w:r>
      <w:r>
        <w:rPr>
          <w:rFonts w:ascii="Times New Roman" w:eastAsia="Calibri" w:hAnsi="Times New Roman" w:cs="Times New Roman"/>
          <w:vertAlign w:val="subscript"/>
        </w:rPr>
        <w:t>2</w:t>
      </w:r>
      <w:r>
        <w:rPr>
          <w:rFonts w:ascii="Times New Roman" w:eastAsia="Calibri" w:hAnsi="Times New Roman" w:cs="Times New Roman"/>
        </w:rPr>
        <w:t xml:space="preserve"> receptorių blokavimo neurocheminis rodmuo).</w:t>
      </w:r>
    </w:p>
    <w:p w14:paraId="519E934E" w14:textId="77777777" w:rsidR="00506BE7" w:rsidRDefault="00506BE7">
      <w:pPr>
        <w:widowControl w:val="0"/>
        <w:autoSpaceDE w:val="0"/>
        <w:autoSpaceDN w:val="0"/>
        <w:adjustRightInd w:val="0"/>
        <w:spacing w:after="0" w:line="240" w:lineRule="auto"/>
        <w:rPr>
          <w:rFonts w:ascii="Times New Roman" w:eastAsia="Calibri" w:hAnsi="Times New Roman" w:cs="Times New Roman"/>
        </w:rPr>
      </w:pPr>
    </w:p>
    <w:p w14:paraId="4B85EB68"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rPr>
        <w:t xml:space="preserve">Atliekant ikiklinikinius tyrimus, skirtus numatyti nepageidaujamą poveikį ekstrapiramidinei sistemai, nustatytas netipinio (kitokio negu tipinių vaistinių preparatų nuo psichozės) pobūdžio kvetiapino veikimas. Ilgai vartojamas kvetiapinas per daug neįjautrina dopamino D </w:t>
      </w:r>
      <w:r>
        <w:rPr>
          <w:rFonts w:ascii="Times New Roman" w:eastAsia="Calibri" w:hAnsi="Times New Roman" w:cs="Times New Roman"/>
          <w:vertAlign w:val="subscript"/>
        </w:rPr>
        <w:t>2</w:t>
      </w:r>
      <w:r>
        <w:rPr>
          <w:rFonts w:ascii="Times New Roman" w:eastAsia="Calibri" w:hAnsi="Times New Roman" w:cs="Times New Roman"/>
        </w:rPr>
        <w:t xml:space="preserve"> receptorių. Jo dozės, efektyvios D</w:t>
      </w:r>
      <w:r>
        <w:rPr>
          <w:rFonts w:ascii="Times New Roman" w:eastAsia="Calibri" w:hAnsi="Times New Roman" w:cs="Times New Roman"/>
          <w:vertAlign w:val="subscript"/>
        </w:rPr>
        <w:t>2</w:t>
      </w:r>
      <w:r>
        <w:rPr>
          <w:rFonts w:ascii="Times New Roman" w:eastAsia="Calibri" w:hAnsi="Times New Roman" w:cs="Times New Roman"/>
        </w:rPr>
        <w:t xml:space="preserve"> receptoriams blokuoti, sukelia tik silpną katalepsiją. Ilgai vartojamas kvetiapinas selektyviai veikia limbinę sistemą, sukeldamas depoliarizacinę mezolimbinės (bet ne nigrostriatinės) sistemos dopamino turinčių neuronų blokadą. Distonijas skatinantis kvetiapino, vartojamo trumpai ar </w:t>
      </w:r>
      <w:r>
        <w:rPr>
          <w:rFonts w:ascii="Times New Roman" w:eastAsia="Calibri" w:hAnsi="Times New Roman" w:cs="Times New Roman"/>
        </w:rPr>
        <w:lastRenderedPageBreak/>
        <w:t>ilgai, poveikis haloperidoliu įjautrintoms ir anksčiau negavusioms vaistų Cebus beždžionėms yra minimalus (žr. 4.8 skyrių).</w:t>
      </w:r>
    </w:p>
    <w:p w14:paraId="6BA4DDFA" w14:textId="77777777" w:rsidR="00506BE7" w:rsidRDefault="00506BE7">
      <w:pPr>
        <w:widowControl w:val="0"/>
        <w:spacing w:after="0" w:line="240" w:lineRule="auto"/>
        <w:rPr>
          <w:rFonts w:ascii="Times New Roman" w:eastAsia="Calibri" w:hAnsi="Times New Roman" w:cs="Times New Roman"/>
        </w:rPr>
      </w:pPr>
    </w:p>
    <w:p w14:paraId="2EE4C0EC" w14:textId="77777777" w:rsidR="00506BE7" w:rsidRDefault="008E332A">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Klinikinis veiksmingumas</w:t>
      </w:r>
    </w:p>
    <w:p w14:paraId="18C9F661" w14:textId="77777777" w:rsidR="00506BE7" w:rsidRDefault="00506BE7">
      <w:pPr>
        <w:widowControl w:val="0"/>
        <w:spacing w:after="0" w:line="240" w:lineRule="auto"/>
        <w:rPr>
          <w:rFonts w:ascii="Times New Roman" w:eastAsia="Calibri" w:hAnsi="Times New Roman" w:cs="Times New Roman"/>
          <w:b/>
        </w:rPr>
      </w:pPr>
    </w:p>
    <w:p w14:paraId="16FD9625" w14:textId="77777777" w:rsidR="00506BE7" w:rsidRDefault="008E332A">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Šizofrenija</w:t>
      </w:r>
    </w:p>
    <w:p w14:paraId="1975D80B"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rPr>
        <w:t xml:space="preserve">Kvetiapino </w:t>
      </w:r>
      <w:r>
        <w:rPr>
          <w:rFonts w:ascii="Times New Roman" w:eastAsia="Calibri" w:hAnsi="Times New Roman" w:cs="Times New Roman"/>
          <w:color w:val="000000"/>
          <w:lang w:val="sl-SI"/>
        </w:rPr>
        <w:t>pailginto atpalaidavimo tablečių</w:t>
      </w:r>
      <w:r>
        <w:rPr>
          <w:rFonts w:ascii="Times New Roman" w:hAnsi="Times New Roman"/>
          <w:color w:val="000000"/>
          <w:lang w:val="sl-SI"/>
        </w:rPr>
        <w:t xml:space="preserve"> </w:t>
      </w:r>
      <w:r>
        <w:rPr>
          <w:rFonts w:ascii="Times New Roman" w:eastAsia="Calibri" w:hAnsi="Times New Roman" w:cs="Times New Roman"/>
        </w:rPr>
        <w:t>veiksmingumas šizofrenijai gydyti įrodytas vienu 6 savaičių trukmės placebu kontroliuojamu tyrimu su pacientais, kuriems šizofrenija diagnozuota pagal DSM-IV kriterijus, ir vienu aktyvios kontrolės greito atpalaidavimo vaisto keitimo pailginto atpalaidavimo vaistu tyrimu su kliniškai stabilia šizofrenija sirgusiais pacientais, kurie gydėsi ambulatorijoje.</w:t>
      </w:r>
    </w:p>
    <w:p w14:paraId="58EDE63A" w14:textId="77777777" w:rsidR="00506BE7" w:rsidRDefault="00506BE7">
      <w:pPr>
        <w:widowControl w:val="0"/>
        <w:spacing w:after="0" w:line="240" w:lineRule="auto"/>
        <w:rPr>
          <w:rFonts w:ascii="Times New Roman" w:eastAsia="Calibri" w:hAnsi="Times New Roman" w:cs="Times New Roman"/>
        </w:rPr>
      </w:pPr>
    </w:p>
    <w:p w14:paraId="39A61CCE"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rPr>
        <w:t xml:space="preserve">Pagrindinis veiksmingumo rodiklis placebu kontroliuojamo tyrimo metu buvo Pozytivių ir negatyvių sindromų skalės (PANSS) (angl. </w:t>
      </w:r>
      <w:r>
        <w:rPr>
          <w:rFonts w:ascii="Times New Roman" w:eastAsia="Calibri" w:hAnsi="Times New Roman" w:cs="Times New Roman"/>
          <w:i/>
        </w:rPr>
        <w:t>Positive and Negative Syndrome Scale</w:t>
      </w:r>
      <w:r>
        <w:rPr>
          <w:rFonts w:ascii="Times New Roman" w:eastAsia="Calibri" w:hAnsi="Times New Roman" w:cs="Times New Roman"/>
        </w:rPr>
        <w:t>, PANSS) suminio rodmens pokytis lyginant nustatytąjį iki tyrimo ir paskutinės apžiūros metu. Kvetiapino pailginto atpalaidavimo tablečių 400 mg, 600 mg ir 800 mg paros dozės palengvino psichozės simptomus statistiškai reikšmingiau nei placebas. 600 mg ir 800 mg paros dozių poveikis buvo išreikštas stipriau negu 400 mg.</w:t>
      </w:r>
    </w:p>
    <w:p w14:paraId="34ABED98" w14:textId="77777777" w:rsidR="00506BE7" w:rsidRDefault="00506BE7">
      <w:pPr>
        <w:widowControl w:val="0"/>
        <w:spacing w:after="0" w:line="240" w:lineRule="auto"/>
        <w:rPr>
          <w:rFonts w:ascii="Times New Roman" w:eastAsia="Calibri" w:hAnsi="Times New Roman" w:cs="Times New Roman"/>
        </w:rPr>
      </w:pPr>
    </w:p>
    <w:p w14:paraId="42C6A321"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rPr>
        <w:t>6 savaičių trukmės aktyvios kontrolės vieno vaistinio preparato keitimo kitu tyrimo metu pagrindinis veiksmingumo rodiklis buvo pacientų, kuriems nustatytas vaisto neveiksmingumas (t.y. nutraukiusių vaistinio preparato vartojimą dėl jo neveiksmingumo arba suminiam PANSS rodikliui padidėjus ≥20% per laikotarpį nuo įtraukimo į vieną iš tyrimo grupių iki bet kurio vizito), procentas. Pacientams, kurių būklė buvo stabilizuota vartojant 400</w:t>
      </w:r>
      <w:r>
        <w:rPr>
          <w:rFonts w:ascii="Times New Roman" w:eastAsia="Calibri" w:hAnsi="Times New Roman" w:cs="Times New Roman"/>
        </w:rPr>
        <w:noBreakHyphen/>
        <w:t>800 mg greito atpalaidavimo kvetiapino per parą, šį vaistą pakeitus atitinkama vienu kartu išgeriama pailginto atpalaidavimo kvetiapino paros doze, veiksmingas poveikis išliko.</w:t>
      </w:r>
    </w:p>
    <w:p w14:paraId="596D0AB2" w14:textId="77777777" w:rsidR="00506BE7" w:rsidRDefault="00506BE7">
      <w:pPr>
        <w:widowControl w:val="0"/>
        <w:spacing w:after="0" w:line="240" w:lineRule="auto"/>
        <w:rPr>
          <w:rFonts w:ascii="Times New Roman" w:eastAsia="Calibri" w:hAnsi="Times New Roman" w:cs="Times New Roman"/>
        </w:rPr>
      </w:pPr>
    </w:p>
    <w:p w14:paraId="4740231C"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Ilgalaikio tyrimo metu stabilia šizofrenija sirgę pacientai 16 savaičių vartojo pailgino atpalaidavimo kvetiapino tabletes palaikomajam gydymui. Ligos atkryčiui išvengti pailginto atpalaidavimo kvetiapinas buvo veiksmingesnis negu placebas. Apskaičiuotoji atkryčio po 6 mėn. trukmės gydymo rizika pailginto atpalaidavimo kvetiapino grupėje buvo 14,3%, placebo – 68,2%. Vidutinė dozė buvo 669 mg. Pailginto atpalaidavimo kvetiapino vartojus iki 9 mėn. (mediana – 7 mėn.), naujų su šio vaistinio preparato saugumu susijusių duomenų negauta. Ypač pažymėtina, kad po ilgalaikio pailginto atpalaidavimo kvetiapino vartojimo nepadaugėjo pranešimų apie nepageidaujamus ekstrapiramidinės sistemos reiškinius ir svorio prieaugį.</w:t>
      </w:r>
    </w:p>
    <w:p w14:paraId="028FB7DA" w14:textId="77777777" w:rsidR="00506BE7" w:rsidRDefault="00506BE7">
      <w:pPr>
        <w:widowControl w:val="0"/>
        <w:spacing w:after="0" w:line="240" w:lineRule="auto"/>
        <w:rPr>
          <w:rFonts w:ascii="Times New Roman" w:eastAsia="Calibri" w:hAnsi="Times New Roman" w:cs="Times New Roman"/>
        </w:rPr>
      </w:pPr>
    </w:p>
    <w:p w14:paraId="5E8CCF08" w14:textId="77777777" w:rsidR="00506BE7" w:rsidRDefault="008E332A">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Bipolinis sutrikimas</w:t>
      </w:r>
    </w:p>
    <w:p w14:paraId="5AEF3F86"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Dviejų monoterapijos tyrimų metu kvetiapinas veiksmingiau negu placebas palengvino manijos epizodais (nuo vidutinio sunkumo iki sunkių) sirgusių pacientų manijos simptomus po 3 ir 12 gydymo savaičių. Reikšmingai geresnį pailginto atpalaidavimo kvetiapino veiksmingumą negu placebo parodė papildomas 3 savaičių trukmės tyrimas skiriant jo 400</w:t>
      </w:r>
      <w:r>
        <w:rPr>
          <w:rFonts w:ascii="Times New Roman" w:eastAsia="Calibri" w:hAnsi="Times New Roman" w:cs="Times New Roman"/>
        </w:rPr>
        <w:noBreakHyphen/>
        <w:t>800 mg (vidutiniškai – apie 600 mg) paros dozę. Kvetiapino vartojimo kartu su divalproeksu ar ličiu vidutinio sunkumo ir sunkiems manijos epizodams gydyti po 3 ir 6 gydymo savaičių duomenų turima nedaug, tačiau šie vaistinių preparatų deriniai buvo toleruojami gerai. Gauti duomenys parodė suminį poveikį po 3 savaičių, tačiau kito tyrimo duomenys suminio poveikio po 6 savaičių neparodė.</w:t>
      </w:r>
    </w:p>
    <w:p w14:paraId="2764CB74" w14:textId="77777777" w:rsidR="00506BE7" w:rsidRDefault="00506BE7">
      <w:pPr>
        <w:widowControl w:val="0"/>
        <w:spacing w:after="0" w:line="240" w:lineRule="auto"/>
        <w:rPr>
          <w:rFonts w:ascii="Times New Roman" w:eastAsia="Calibri" w:hAnsi="Times New Roman" w:cs="Times New Roman"/>
        </w:rPr>
      </w:pPr>
    </w:p>
    <w:p w14:paraId="60DDD776"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Klinikinio tyrimo metu 300 mg kvetiapino pailginto atpalaidavimo tabletėsper parą veiksmingiau negu placebas sumažino I ar II tipo bipolinio sutrikimo depresijos epizodais sirgusių pacientų bendrąjį MADRS (</w:t>
      </w:r>
      <w:r>
        <w:rPr>
          <w:rFonts w:ascii="Times New Roman" w:eastAsia="Calibri" w:hAnsi="Times New Roman" w:cs="Times New Roman"/>
          <w:i/>
        </w:rPr>
        <w:t>Montgomery-Åsberg</w:t>
      </w:r>
      <w:r>
        <w:rPr>
          <w:rFonts w:ascii="Times New Roman" w:eastAsia="Calibri" w:hAnsi="Times New Roman" w:cs="Times New Roman"/>
        </w:rPr>
        <w:t xml:space="preserve"> depresijos vertinimo skalės) rodiklį.</w:t>
      </w:r>
    </w:p>
    <w:p w14:paraId="399FBE28" w14:textId="77777777" w:rsidR="00506BE7" w:rsidRDefault="00506BE7">
      <w:pPr>
        <w:widowControl w:val="0"/>
        <w:spacing w:after="0" w:line="240" w:lineRule="auto"/>
        <w:rPr>
          <w:rFonts w:ascii="Times New Roman" w:eastAsia="Calibri" w:hAnsi="Times New Roman" w:cs="Times New Roman"/>
        </w:rPr>
      </w:pPr>
    </w:p>
    <w:p w14:paraId="404EDAC6"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Keturių papildomų 8 savaičių trukmės klinikinių tyrimų metu 300 mg ir 600 mg greito atpalaidavimo kvetiapino per parą reikšmingai labiau už placebą palengvino I ar II tipo bipolinio sutrikimo depresijos epizodus (nuo vidutinio sunkumo iki sunkių) pagal atitinkamus veiksmingumo rodiklius – vidutinį MADRS pagerėjimą ir atsaką, apibūdinamą kaip MADRS bendrojo rodiklio pagerėjimas bent 50% palyginus su </w:t>
      </w:r>
      <w:r>
        <w:rPr>
          <w:rFonts w:ascii="Times New Roman" w:hAnsi="Times New Roman"/>
          <w:color w:val="000000"/>
          <w:lang w:val="sl-SI"/>
        </w:rPr>
        <w:t>pradiniais duomenimis</w:t>
      </w:r>
      <w:r>
        <w:rPr>
          <w:rFonts w:ascii="Times New Roman" w:eastAsia="Calibri" w:hAnsi="Times New Roman" w:cs="Times New Roman"/>
        </w:rPr>
        <w:t>. 300 mg ir 600 mg greito atpalaidavimo kvetiapino vartojusiems pacientams nustatyto poveikio ryškumas nesiskyrė.</w:t>
      </w:r>
    </w:p>
    <w:p w14:paraId="2C2BBA65" w14:textId="77777777" w:rsidR="00506BE7" w:rsidRDefault="00506BE7">
      <w:pPr>
        <w:widowControl w:val="0"/>
        <w:spacing w:after="0" w:line="240" w:lineRule="auto"/>
        <w:rPr>
          <w:rFonts w:ascii="Times New Roman" w:eastAsia="Calibri" w:hAnsi="Times New Roman" w:cs="Times New Roman"/>
        </w:rPr>
      </w:pPr>
    </w:p>
    <w:p w14:paraId="249A6DB7"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lastRenderedPageBreak/>
        <w:t>Dviejų iš šių tyrimų tęstinės fazės metu ilgalaikio gydymo poveikis pacientų, kuriems pasireiškė reikiama reakcija vartojant 300 mg ar 600 mg greito atpalaidavimo kvetiapino, depresijos simptomams buvo veiksmingesnis negu placebo, tačiau geresnio poveikio manijos simptomams nenustatyta.</w:t>
      </w:r>
    </w:p>
    <w:p w14:paraId="536FC1B9" w14:textId="77777777" w:rsidR="00506BE7" w:rsidRDefault="00506BE7">
      <w:pPr>
        <w:widowControl w:val="0"/>
        <w:spacing w:after="0" w:line="240" w:lineRule="auto"/>
        <w:rPr>
          <w:rFonts w:ascii="Times New Roman" w:eastAsia="Calibri" w:hAnsi="Times New Roman" w:cs="Times New Roman"/>
        </w:rPr>
      </w:pPr>
    </w:p>
    <w:p w14:paraId="0167B18C"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rPr>
        <w:t>Dviejų ligos pasikartojimo profilaktikos tyrimų metu buvo vertinamas kvetiapino ir nuotaikos stabilizatorių derinių poveikis. Pacientams, sirgusiems manijos, depresijos arba mišriais nuotaikos sutrikimo epizodais, nuotaikos stabilizatorių ir kvetiapino derinių poveikis</w:t>
      </w:r>
      <w:r>
        <w:rPr>
          <w:rFonts w:ascii="Times New Roman" w:hAnsi="Times New Roman"/>
          <w:color w:val="000000"/>
          <w:lang w:val="sl-SI"/>
        </w:rPr>
        <w:t xml:space="preserve"> </w:t>
      </w:r>
      <w:r>
        <w:rPr>
          <w:rFonts w:ascii="Times New Roman" w:eastAsia="Calibri" w:hAnsi="Times New Roman" w:cs="Times New Roman"/>
          <w:color w:val="000000"/>
          <w:lang w:val="sl-SI"/>
        </w:rPr>
        <w:t>buvo pranašesnis už monoterapiją nuotaikos stabilizatoriais, atsižvelgiant į laikotarpį, po kurio pasikartojo bet kuris nuotaikos sutrikimo reiškinys (manija, mišrus ar depresijos).</w:t>
      </w:r>
      <w:r>
        <w:rPr>
          <w:rFonts w:ascii="Times New Roman" w:hAnsi="Times New Roman"/>
          <w:color w:val="000000"/>
          <w:lang w:val="sl-SI"/>
        </w:rPr>
        <w:t xml:space="preserve"> </w:t>
      </w:r>
      <w:r>
        <w:rPr>
          <w:rFonts w:ascii="Times New Roman" w:eastAsia="Calibri" w:hAnsi="Times New Roman" w:cs="Times New Roman"/>
        </w:rPr>
        <w:t>. Vartota 400</w:t>
      </w:r>
      <w:r>
        <w:rPr>
          <w:rFonts w:ascii="Times New Roman" w:eastAsia="Calibri" w:hAnsi="Times New Roman" w:cs="Times New Roman"/>
        </w:rPr>
        <w:noBreakHyphen/>
        <w:t>800 mg kvetiapino paros dozė, padalinta į dvi vienkartines (kartu su ličiu arba valproatu).</w:t>
      </w:r>
    </w:p>
    <w:p w14:paraId="02130B73" w14:textId="77777777" w:rsidR="00506BE7" w:rsidRDefault="00506BE7">
      <w:pPr>
        <w:widowControl w:val="0"/>
        <w:spacing w:after="0" w:line="240" w:lineRule="auto"/>
        <w:rPr>
          <w:rFonts w:ascii="Times New Roman" w:eastAsia="Calibri" w:hAnsi="Times New Roman" w:cs="Times New Roman"/>
        </w:rPr>
      </w:pPr>
    </w:p>
    <w:p w14:paraId="2FAAE81D"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6 savaičių trukmės, atsitiktinių imčių tyrimo metu ličio ir kvetiapino pailginto atpalaidavimo tablečių derinio poveikį ūmine manija sergantiems suaugusiems pacientams palyginus su placebo ir kvetiapino pailginto atpalaidavimo tablečių derinio poveikiu nustatyta, kad vidutinio YMRS (angl. </w:t>
      </w:r>
      <w:r>
        <w:rPr>
          <w:rFonts w:ascii="Times New Roman" w:eastAsia="Calibri" w:hAnsi="Times New Roman" w:cs="Times New Roman"/>
          <w:i/>
        </w:rPr>
        <w:t>Young Mania Rating Scale</w:t>
      </w:r>
      <w:r>
        <w:rPr>
          <w:rFonts w:ascii="Times New Roman" w:eastAsia="Calibri" w:hAnsi="Times New Roman" w:cs="Times New Roman"/>
        </w:rPr>
        <w:t>) pagerėjimo skirtumas tarp papildomo gydymo ličiu ir placebu grupių pacientų buvo 2,8 balo. Atsakas (YMRS pagerėjimas bent 50 % palyginus su pradiniu) papildomo gydymo ličiu grupės pacientams pasireiškė 11 % dažniau negu placebo (atitinkamai 79 % ir 68 %).</w:t>
      </w:r>
    </w:p>
    <w:p w14:paraId="4A975B63" w14:textId="77777777" w:rsidR="00506BE7" w:rsidRDefault="00506BE7">
      <w:pPr>
        <w:widowControl w:val="0"/>
        <w:spacing w:after="0" w:line="240" w:lineRule="auto"/>
        <w:rPr>
          <w:rFonts w:ascii="Times New Roman" w:eastAsia="Calibri" w:hAnsi="Times New Roman" w:cs="Times New Roman"/>
        </w:rPr>
      </w:pPr>
    </w:p>
    <w:p w14:paraId="2B99D506"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Vieno ilgalaikio (iki 2 metų trukmės gydymo) tyrimo metu tirta atkryčio profilaktika pacientams, patyrusiems manijos, depresijos ar mišrių nuotaikos sutrikimų epizodų. Vartojant kvetiapiną, laikotarpis iki bet kokio nuotaikos sutrikimo reiškinio (manijos, mišraus ar depresinio) atkryčio I tipo bipoliniu sutrikimu sergantiems pacientams truko ilgiau negu vartojant placebą. Kurį nors nuotaikos reiškinį patyrė 91 (22,5%) kvetiapino grupės, 208 (51,5%) placebo grupės ir 95 (26,1%) ličio grupės pacientai. Palyginus pacientų, kuriems pradinis gydymas kvetiapinu sukėlė palankų poveikį, duomenis toliau vartojus šį vaistinį preparatą ir jį pakeitus ličio preparatu nenustatyta, kad toks pakeitimas duotų papildomos naudos atkryčio profilaktikai.</w:t>
      </w:r>
    </w:p>
    <w:p w14:paraId="478E0020" w14:textId="77777777" w:rsidR="00506BE7" w:rsidRDefault="00506BE7">
      <w:pPr>
        <w:widowControl w:val="0"/>
        <w:spacing w:after="0" w:line="240" w:lineRule="auto"/>
        <w:rPr>
          <w:rFonts w:ascii="Times New Roman" w:eastAsia="Calibri" w:hAnsi="Times New Roman" w:cs="Times New Roman"/>
        </w:rPr>
      </w:pPr>
    </w:p>
    <w:p w14:paraId="2DA7A744" w14:textId="77777777" w:rsidR="00506BE7" w:rsidRDefault="008E332A">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Didžiosios depresijos epizodai, susiję su didžiuoju depresiniu sutrikimu</w:t>
      </w:r>
    </w:p>
    <w:p w14:paraId="13C894CD"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Į 2 trumpalaikius (6 savaičių trukmės) tyrimus įtraukti pacientai, kuriems bent vieno antidepresanto poveikis buvo nepakankamas. Pailginto atpalaidavimo kvetiapino 150 mg ir 300 mg paros dozės, skirtos papildomai su toliau vartotu antidepresantu (amitriptilinu, bupropionu, citalopramu, duloksetinu, escitalopramu, fluoksetinu, paroksetinu, sertralinu arba venlafaksinu), palengvino depresijos simptomus labiau negu atskirai vartotas antidepresantas vertinant pagal MADRS bendrojo rodiklio pagerėjimą (mažiausių kvadratų metodu apskaičiuotas 2</w:t>
      </w:r>
      <w:r>
        <w:rPr>
          <w:rFonts w:ascii="Times New Roman" w:eastAsia="Calibri" w:hAnsi="Times New Roman" w:cs="Times New Roman"/>
        </w:rPr>
        <w:noBreakHyphen/>
        <w:t>3,3 punktų vidutinis pokytis palyginus su pokyčiu vartojant placebą).</w:t>
      </w:r>
    </w:p>
    <w:p w14:paraId="11013FB0" w14:textId="77777777" w:rsidR="00506BE7" w:rsidRDefault="00506BE7">
      <w:pPr>
        <w:widowControl w:val="0"/>
        <w:spacing w:after="0" w:line="240" w:lineRule="auto"/>
        <w:rPr>
          <w:rFonts w:ascii="Times New Roman" w:eastAsia="Calibri" w:hAnsi="Times New Roman" w:cs="Times New Roman"/>
        </w:rPr>
      </w:pPr>
    </w:p>
    <w:p w14:paraId="77F4F3CA"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Ilgalaikio vartojimo kartu su kitais vaistiniais preparatais veiksmingumas ir saugumas didžiuoju depresiniu sutrikimu sergantiems pacientams neištirti, tačiau ištirtas ilgalaikės monoterapijos veiksmingumas ir saugumas suaugusiems pacientams (žr. žemiau).</w:t>
      </w:r>
    </w:p>
    <w:p w14:paraId="0B3976B6" w14:textId="77777777" w:rsidR="00506BE7" w:rsidRDefault="00506BE7">
      <w:pPr>
        <w:widowControl w:val="0"/>
        <w:spacing w:after="0" w:line="240" w:lineRule="auto"/>
        <w:rPr>
          <w:rFonts w:ascii="Times New Roman" w:eastAsia="Calibri" w:hAnsi="Times New Roman" w:cs="Times New Roman"/>
        </w:rPr>
      </w:pPr>
    </w:p>
    <w:p w14:paraId="368BCE01"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Atlikti žemiau aprašyti monoterapijos pailginto atpalaidavimo kvetiapino tyrimai, tačiau pailginto atpalaidavimo kvetiapinas vartojamas tik gydymui kitais vaistiniais preparatais papildyti.</w:t>
      </w:r>
    </w:p>
    <w:p w14:paraId="2C6AC472" w14:textId="77777777" w:rsidR="00506BE7" w:rsidRDefault="00506BE7">
      <w:pPr>
        <w:widowControl w:val="0"/>
        <w:spacing w:after="0" w:line="240" w:lineRule="auto"/>
        <w:rPr>
          <w:rFonts w:ascii="Times New Roman" w:eastAsia="Calibri" w:hAnsi="Times New Roman" w:cs="Times New Roman"/>
        </w:rPr>
      </w:pPr>
    </w:p>
    <w:p w14:paraId="16FF1937"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3 iš 4 trumpalaikių (iki 8 savaičių trukmės) monoterapijos tyrimų parodė, kad pailginto atpalaidavimo kvetiapino 50 mg, 150 mg ir 300 mg paros dozės yra veiksmingesnės už placebą didžiuoju depresiniu sutrikimu sergančių pacientų depresijos simptomams palengvinti vertinant pagal MADRS bendrojo rodiklio pagerėjimą (mažiausių kvadratų metodu apskaičiuotas 2</w:t>
      </w:r>
      <w:r>
        <w:rPr>
          <w:rFonts w:ascii="Times New Roman" w:eastAsia="Calibri" w:hAnsi="Times New Roman" w:cs="Times New Roman"/>
        </w:rPr>
        <w:noBreakHyphen/>
        <w:t>4 punktų vidutinis pokytis palyginus su pokyčiu vartojant placebą).</w:t>
      </w:r>
    </w:p>
    <w:p w14:paraId="5377179D" w14:textId="77777777" w:rsidR="00506BE7" w:rsidRDefault="00506BE7">
      <w:pPr>
        <w:widowControl w:val="0"/>
        <w:spacing w:after="0" w:line="240" w:lineRule="auto"/>
        <w:rPr>
          <w:rFonts w:ascii="Times New Roman" w:eastAsia="Calibri" w:hAnsi="Times New Roman" w:cs="Times New Roman"/>
        </w:rPr>
      </w:pPr>
    </w:p>
    <w:p w14:paraId="1AD1CA90"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Monoterapijos atkryčio profilaktikai tyrimo metu depresiniais epizodais sirgę pacientai, kurių būklė buvo stabilizuota bent 12 savaičių taikius atvirą gydymą pailginto atpalaidavimo kvetiapinu, randomizuoti iki 52 savaičių vartoti pailginto atpalaidavimo kvetiapino 1 kartą per parą arba placebą. Vidutinė pailginto atpalaidavimo kvetiapino dozė randomizuotos fazės metu buvo 177 mg per parą. Atkrytį 14,2% patyrė pailginto atpalaidavimo kvetiapiną ir 34,4% placebą vartojusių pacientų.</w:t>
      </w:r>
    </w:p>
    <w:p w14:paraId="7D54B8B2" w14:textId="77777777" w:rsidR="00506BE7" w:rsidRDefault="00506BE7">
      <w:pPr>
        <w:widowControl w:val="0"/>
        <w:spacing w:after="0" w:line="240" w:lineRule="auto"/>
        <w:rPr>
          <w:rFonts w:ascii="Times New Roman" w:eastAsia="Calibri" w:hAnsi="Times New Roman" w:cs="Times New Roman"/>
        </w:rPr>
      </w:pPr>
    </w:p>
    <w:p w14:paraId="363E8252"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Trumpalaikio (9 savaičių trukmės) tyrimo, kuriame dalyvavo didžiuoju depresiniu sutrikimu sirgę senyvi (66</w:t>
      </w:r>
      <w:r>
        <w:rPr>
          <w:rFonts w:ascii="Times New Roman" w:eastAsia="Calibri" w:hAnsi="Times New Roman" w:cs="Times New Roman"/>
        </w:rPr>
        <w:noBreakHyphen/>
        <w:t>89 metų) pacientai, nesirgę demencija, metu 50</w:t>
      </w:r>
      <w:r>
        <w:rPr>
          <w:rFonts w:ascii="Times New Roman" w:eastAsia="Calibri" w:hAnsi="Times New Roman" w:cs="Times New Roman"/>
        </w:rPr>
        <w:noBreakHyphen/>
        <w:t xml:space="preserve">300 mg ribose koreguojama pailginto </w:t>
      </w:r>
      <w:r>
        <w:rPr>
          <w:rFonts w:ascii="Times New Roman" w:eastAsia="Calibri" w:hAnsi="Times New Roman" w:cs="Times New Roman"/>
        </w:rPr>
        <w:lastRenderedPageBreak/>
        <w:t>atpalaidavimo kvetiapino paros dozė palengvino depresijos simptomus labiau už placebą vertinant pagal MADRS bendrojo rodiklio pagerėjimą (mažiausių kvadratų metodu apskaičiuotas minus 7,54 punkto vidutinis pokytis vartojant pailginto atpalaidavimo kvetiapiną palyginus su pokyčiu vartojant placebą). Šio tyrimo metu į pailginto atpalaidavimo kvetiapino grupę randomizuoti pacientai pirmąsias 3 dienas vartojo 50 mg per parą; priklausomai nuo klinikinės reakcijos ir vaistinio preparato toleravimo, ketvirtą dieną dozė galėjo būti didinama iki 100 mg per parą, aštuntą dieną – iki 150 mg per parą ir vėliau – iki 300 mg per parą. Vidutinė pailginto atpalaidavimo kvetiapino paros dozė buvo 160 mg. 1 kartą per parą vartojamą pailginto atpalaidavimo kvetiapiną senyvi pacientai toleravo panašiai kaip jaunesni (18</w:t>
      </w:r>
      <w:r>
        <w:rPr>
          <w:rFonts w:ascii="Times New Roman" w:eastAsia="Calibri" w:hAnsi="Times New Roman" w:cs="Times New Roman"/>
        </w:rPr>
        <w:noBreakHyphen/>
        <w:t>65 metų) suaugusieji, skyrėsi tik ekstrapiramidinių simptomų pasireiškimo dažnis (žr. 4.8 skyrių ir „Klinikinis saugumas“ žemiau). 19% randomizuotų pacientų buvo vyresni kaip 75 metų.</w:t>
      </w:r>
    </w:p>
    <w:p w14:paraId="171A4ECC" w14:textId="77777777" w:rsidR="00506BE7" w:rsidRDefault="00506BE7">
      <w:pPr>
        <w:widowControl w:val="0"/>
        <w:spacing w:after="0" w:line="240" w:lineRule="auto"/>
        <w:rPr>
          <w:rFonts w:ascii="Times New Roman" w:eastAsia="Calibri" w:hAnsi="Times New Roman" w:cs="Times New Roman"/>
          <w:b/>
        </w:rPr>
      </w:pPr>
    </w:p>
    <w:p w14:paraId="674D94C4" w14:textId="77777777" w:rsidR="00506BE7" w:rsidRDefault="008E332A">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Klinikinis saugumas</w:t>
      </w:r>
    </w:p>
    <w:p w14:paraId="265106EF"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Trumpalaikių placebu kontroliuojamų klinikinių tyrimų, kuriuose dalyvavo šizofrenija ir bipolinio sutrikimo manijos faze sirgę pacientai, metu suminis ekstrapiramidinių simptomų pasireiškimo dažnis vartojant kvetiapino ir placebo buvo panašus (šizofrenija sergantiems pacientams 7,8% vartojant kvetiapino ir 8% vartojant placebo, bipolinio sutrikimo manijos faze sergantiems pacientams atitinkamai – 11,2% ir 11,4%). %). Trumpalaikių placebu kontroliuojamų klinikinių tyrimų, kuriuose dalyvavo didžiuoju depresiniu sutrikimu ir bipolinio sutrikimo depresijos faze sirgę pacientai, metu ekstrapiramidinių simptomų vartojant kvetiapino pasireiškė dažniau negu vartojant placebo. Trumpalaikių placebu kontroliuojamų klinikinių tyrimų, kuriuose dalyvavo bipolinio sutrikimo depresijos faze sirgę pacientai, metu suminis ekstrapiramidinių simptomų pasireiškimo dažnis vartojant kvetiapino buvo 8,9 %, vartojant placebo – 3,8 %. Trumpalaikių placebu kontroliuojamų monoterapijos klinikinių tyrimų metu ekstrapiramidinių simptomų iš viso pasireiškė 5,4 % pailginto atpalaidavimo kvetiapiną ir 3,2 % placebo vartojusių pacientų, sirgusių didžiuoju depresijos sutrikimu. Trumpalaikio placebu kontroliuojamo monoterapijos klinikinio tyrimo, kuriame dalyvavo didžiuoju depresiniu sutrikimu sirgę senyvo amžiaus pacientai, metu suminis ekstrapiramidinių simptomų pasireiškimo dažnis vartojant pailginto atpalaidavimo kvetiapino buvo 9 %, vartojant placebo – 2,3 %. Nė vienas nepageidaujamas reiškinys (pvz., akatizija, ekstrapiramidiniai sutrikimai, tremoras, diskinezija, distonija, nenustygimas, nevalingi raumenų susitraukimai, psichomotorinis hiperaktyvumas, raumenų rigidiškumas) nepasireiškė daugiau kaip 4 % jokios grupės pacientų, sirgusių bipolinio sutrikimo depresijos faze ar didžiuoju depresiniu sutrikimu.</w:t>
      </w:r>
    </w:p>
    <w:p w14:paraId="0D83CF9A" w14:textId="77777777" w:rsidR="00506BE7" w:rsidRDefault="00506BE7">
      <w:pPr>
        <w:widowControl w:val="0"/>
        <w:spacing w:after="0" w:line="240" w:lineRule="auto"/>
        <w:rPr>
          <w:rFonts w:ascii="Times New Roman" w:eastAsia="Calibri" w:hAnsi="Times New Roman" w:cs="Times New Roman"/>
        </w:rPr>
      </w:pPr>
    </w:p>
    <w:p w14:paraId="14BFF315"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Trumpalaikių (3</w:t>
      </w:r>
      <w:r>
        <w:rPr>
          <w:rFonts w:ascii="Times New Roman" w:eastAsia="Calibri" w:hAnsi="Times New Roman" w:cs="Times New Roman"/>
        </w:rPr>
        <w:noBreakHyphen/>
        <w:t>8 savaičių) fiksuotos dozės (50</w:t>
      </w:r>
      <w:r>
        <w:rPr>
          <w:rFonts w:ascii="Times New Roman" w:eastAsia="Calibri" w:hAnsi="Times New Roman" w:cs="Times New Roman"/>
        </w:rPr>
        <w:noBreakHyphen/>
        <w:t>800 mg per parą) placebu kontroliuojamų tyrimų metu 50 mg kvetiapino per parą vartoję pacientai priaugo vidutiniškai 0,8 kg, vartoję 600 mg – 1,4 kg, vartoję 800 mg – mažiau, o vartoję placebą – 0,2 kg svorio. 7% ar daugiau kūno svorio priaugo 5,3% 50 mg kvetiapino per parą, 15,5% 400 mg kvetiapino per parą (600 mg ar 800 mg kvetiapino per parą vartojusių pacientų procentinė dalis buvo mažesnė) ir 3,7% placebo vartojusių pacientų.</w:t>
      </w:r>
    </w:p>
    <w:p w14:paraId="22DD1F95" w14:textId="77777777" w:rsidR="00506BE7" w:rsidRDefault="00506BE7">
      <w:pPr>
        <w:widowControl w:val="0"/>
        <w:spacing w:after="0" w:line="240" w:lineRule="auto"/>
        <w:rPr>
          <w:rFonts w:ascii="Times New Roman" w:eastAsia="Calibri" w:hAnsi="Times New Roman" w:cs="Times New Roman"/>
        </w:rPr>
      </w:pPr>
    </w:p>
    <w:p w14:paraId="18115E63"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6 savaičių trukmės, atsitiktinių imčių tyrimo metu ličio ir pailginto atpalaidavimo kvetiapino derinio poveikį ūmine manija sergantiems suaugusiems pacientams lyginant su placebo ir pailginto atpalaidavimo kvetiapino derinio poveikiu, nepageidaujamų reiškinių patyrė daugiau (63 %) pailginto atpalaidavimo kvetiapiną ir litį vartojusių pacientų negu vartojusių pailginto atpalaidavimo kvetiapiną ir placebą (48 %). Gautais saugumo duomenimis, ekstrapiramidinių simptomų papildomo gydymo ličiu grupės pacientams (16,8 %) pasireiškė dažniau negu placebo (6,6 %) (dažniausiai tai buvo drebulys, užfiksuotas 15,6 % ličio ir 4,9 % placebo grupės pacientų). Mieguistumas taip pat dažniau pasireiškė gydymo</w:t>
      </w:r>
      <w:r>
        <w:rPr>
          <w:rFonts w:ascii="Times New Roman" w:eastAsia="Calibri" w:hAnsi="Times New Roman" w:cs="Times New Roman"/>
          <w:lang w:val="sl-SI"/>
        </w:rPr>
        <w:t xml:space="preserve"> kvetiapino</w:t>
      </w:r>
      <w:r>
        <w:rPr>
          <w:rFonts w:ascii="Times New Roman" w:eastAsia="Calibri" w:hAnsi="Times New Roman" w:cs="Times New Roman"/>
        </w:rPr>
        <w:t xml:space="preserve"> pailginto atpalaidavimo ir papildomai ličio grupės pacientams (12,7 %) negu </w:t>
      </w:r>
      <w:r>
        <w:rPr>
          <w:rFonts w:ascii="Times New Roman" w:eastAsia="Calibri" w:hAnsi="Times New Roman" w:cs="Times New Roman"/>
          <w:lang w:val="sl-SI"/>
        </w:rPr>
        <w:t>kvetiapino</w:t>
      </w:r>
      <w:r>
        <w:rPr>
          <w:rFonts w:ascii="Times New Roman" w:eastAsia="Calibri" w:hAnsi="Times New Roman" w:cs="Times New Roman"/>
        </w:rPr>
        <w:t xml:space="preserve"> pailginto atpalaidavimo ir placebo grupėje(5,5 %). Be to, gydymo laikotarpiu ≥ 7 % svorio priaugo daugiau papildomo gydymo ličiu grupės pacientų (8,0 %) negu placebo (4,7 %).</w:t>
      </w:r>
    </w:p>
    <w:p w14:paraId="6D5ECBD6" w14:textId="77777777" w:rsidR="00506BE7" w:rsidRDefault="00506BE7">
      <w:pPr>
        <w:widowControl w:val="0"/>
        <w:spacing w:after="0" w:line="240" w:lineRule="auto"/>
        <w:rPr>
          <w:rFonts w:ascii="Times New Roman" w:eastAsia="Calibri" w:hAnsi="Times New Roman" w:cs="Times New Roman"/>
        </w:rPr>
      </w:pPr>
    </w:p>
    <w:p w14:paraId="68BEC2B5"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Ilgesnės trukmės atkryčio profilaktikos tyrimai turėjo 4-36 savaičių atvirąjį periodą, kurio metu pacientai vartojo kvetiapino, ir po to atsitiktinės atrankos nutraukimo laikotarpį, kurio metu pacientai buvo atsitiktinai atrinkti vartoti kvetiapino arba placebo. Vartojant kvetiapino atrinkti pacientai per atvirąjį periodą priaugo vidutiniškai 2,56 kg, o iki randomizuoto periodo 48-os savaitės pabaigos – 3,22 kg (palyginus su svoriu atvirojo periodo pradžioje). Vartojant placebo atrinkti pacientai per atvirąjį periodą priaugo vidutiniškai 2,39 kg, o iki randomizuoto periodo 48-os savaitės pabaigos – 0,89 kg (palyginus su svoriu atvirojo periodo pradžioje).</w:t>
      </w:r>
    </w:p>
    <w:p w14:paraId="79407E3B" w14:textId="77777777" w:rsidR="00506BE7" w:rsidRDefault="00506BE7">
      <w:pPr>
        <w:widowControl w:val="0"/>
        <w:spacing w:after="0" w:line="240" w:lineRule="auto"/>
        <w:rPr>
          <w:rFonts w:ascii="Times New Roman" w:eastAsia="Calibri" w:hAnsi="Times New Roman" w:cs="Times New Roman"/>
        </w:rPr>
      </w:pPr>
    </w:p>
    <w:p w14:paraId="3A378D87"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rPr>
        <w:t>Placebu kontroliuojamų, senyvų su demencija susijusia psichoze sergančių pacientų, tyrimų metu nepageidaujamų smegenų kraujagyslių reiškinių dažnis per 100 paciento metų vartojant kvetiapino nebuvo didesnis negu vartojant placebo.</w:t>
      </w:r>
    </w:p>
    <w:p w14:paraId="003D43B2" w14:textId="77777777" w:rsidR="00506BE7" w:rsidRDefault="00506BE7">
      <w:pPr>
        <w:widowControl w:val="0"/>
        <w:spacing w:after="0" w:line="240" w:lineRule="auto"/>
        <w:rPr>
          <w:rFonts w:ascii="Times New Roman" w:eastAsia="Calibri" w:hAnsi="Times New Roman" w:cs="Times New Roman"/>
        </w:rPr>
      </w:pPr>
    </w:p>
    <w:p w14:paraId="495ABA5D"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rPr>
        <w:t>Visų trumpalaikių placebu kontroliuojamų monoterapijos tyrimų metu iš pacientų, kurių kraujyje iki gydymo buvo ≥ 1,5 × 10</w:t>
      </w:r>
      <w:r>
        <w:rPr>
          <w:rFonts w:ascii="Times New Roman" w:eastAsia="Calibri" w:hAnsi="Times New Roman" w:cs="Times New Roman"/>
          <w:vertAlign w:val="superscript"/>
        </w:rPr>
        <w:t>9</w:t>
      </w:r>
      <w:r>
        <w:rPr>
          <w:rFonts w:ascii="Times New Roman" w:eastAsia="Calibri" w:hAnsi="Times New Roman" w:cs="Times New Roman"/>
        </w:rPr>
        <w:t>/l neutrofilų, vėliau vartojusių kvetiapino, &lt; 1,5 × 10</w:t>
      </w:r>
      <w:r>
        <w:rPr>
          <w:rFonts w:ascii="Times New Roman" w:eastAsia="Calibri" w:hAnsi="Times New Roman" w:cs="Times New Roman"/>
          <w:vertAlign w:val="superscript"/>
        </w:rPr>
        <w:t>9</w:t>
      </w:r>
      <w:r>
        <w:rPr>
          <w:rFonts w:ascii="Times New Roman" w:eastAsia="Calibri" w:hAnsi="Times New Roman" w:cs="Times New Roman"/>
        </w:rPr>
        <w:t>/l neutrofilų bent kartą rasta 1,9 %, o vėliau vartojusių placebo – 1,5 %. Atvejų, kai neutrofilų liko nuo &gt; 0,5 x 10</w:t>
      </w:r>
      <w:r>
        <w:rPr>
          <w:rFonts w:ascii="Times New Roman" w:eastAsia="Calibri" w:hAnsi="Times New Roman" w:cs="Times New Roman"/>
          <w:vertAlign w:val="superscript"/>
        </w:rPr>
        <w:t>9</w:t>
      </w:r>
      <w:r>
        <w:rPr>
          <w:rFonts w:ascii="Times New Roman" w:eastAsia="Calibri" w:hAnsi="Times New Roman" w:cs="Times New Roman"/>
        </w:rPr>
        <w:t>/l iki &lt; 1 x 10</w:t>
      </w:r>
      <w:r>
        <w:rPr>
          <w:rFonts w:ascii="Times New Roman" w:eastAsia="Calibri" w:hAnsi="Times New Roman" w:cs="Times New Roman"/>
          <w:vertAlign w:val="superscript"/>
        </w:rPr>
        <w:t>9</w:t>
      </w:r>
      <w:r>
        <w:rPr>
          <w:rFonts w:ascii="Times New Roman" w:eastAsia="Calibri" w:hAnsi="Times New Roman" w:cs="Times New Roman"/>
        </w:rPr>
        <w:t>/l, kvetiapino ir placebo vartojusiems pacientams pasitaikė vienodai (0,2 %). Visų klinikinių tyrimų (placebu kontroliuojamų, atvirų ir su lyginamuoju vaistiniu preparatu) metu pacientams, kurių kraujyje iki gydymo buvo ≥ 1,5 × 10</w:t>
      </w:r>
      <w:r>
        <w:rPr>
          <w:rFonts w:ascii="Times New Roman" w:eastAsia="Calibri" w:hAnsi="Times New Roman" w:cs="Times New Roman"/>
          <w:vertAlign w:val="superscript"/>
        </w:rPr>
        <w:t>9</w:t>
      </w:r>
      <w:r>
        <w:rPr>
          <w:rFonts w:ascii="Times New Roman" w:eastAsia="Calibri" w:hAnsi="Times New Roman" w:cs="Times New Roman"/>
        </w:rPr>
        <w:t>/l neutrofilų, vėliau vartojus kvetiapino &lt; 1,5 × 10</w:t>
      </w:r>
      <w:r>
        <w:rPr>
          <w:rFonts w:ascii="Times New Roman" w:eastAsia="Calibri" w:hAnsi="Times New Roman" w:cs="Times New Roman"/>
          <w:vertAlign w:val="superscript"/>
        </w:rPr>
        <w:t>9</w:t>
      </w:r>
      <w:r>
        <w:rPr>
          <w:rFonts w:ascii="Times New Roman" w:eastAsia="Calibri" w:hAnsi="Times New Roman" w:cs="Times New Roman"/>
        </w:rPr>
        <w:t>/l neutrofilų bent kartą rasta 2,9 %, o &lt; 0,5 × 10</w:t>
      </w:r>
      <w:r>
        <w:rPr>
          <w:rFonts w:ascii="Times New Roman" w:eastAsia="Calibri" w:hAnsi="Times New Roman" w:cs="Times New Roman"/>
          <w:vertAlign w:val="superscript"/>
        </w:rPr>
        <w:t>9</w:t>
      </w:r>
      <w:r>
        <w:rPr>
          <w:rFonts w:ascii="Times New Roman" w:eastAsia="Calibri" w:hAnsi="Times New Roman" w:cs="Times New Roman"/>
        </w:rPr>
        <w:t>/l – 0,21 %.</w:t>
      </w:r>
    </w:p>
    <w:p w14:paraId="38AC4C31" w14:textId="77777777" w:rsidR="00506BE7" w:rsidRDefault="00506BE7">
      <w:pPr>
        <w:widowControl w:val="0"/>
        <w:spacing w:after="0" w:line="240" w:lineRule="auto"/>
        <w:rPr>
          <w:rFonts w:ascii="Times New Roman" w:eastAsia="Calibri" w:hAnsi="Times New Roman" w:cs="Times New Roman"/>
        </w:rPr>
      </w:pPr>
    </w:p>
    <w:p w14:paraId="44F3C3D3"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Vartojant kvetiapino, priklausomai nuo dozės sumažėdavo skydliaukės hormonų koncentracijos. TSH koncentracijos pokyčių užfiksuota 3,2 % kvetiapiną ir 2,7 % placebą vartojusių pacientų. Reciprokinių, potencialiai reikšmingų klinikai T</w:t>
      </w:r>
      <w:r>
        <w:rPr>
          <w:rFonts w:ascii="Times New Roman" w:eastAsia="Calibri" w:hAnsi="Times New Roman" w:cs="Times New Roman"/>
          <w:vertAlign w:val="subscript"/>
        </w:rPr>
        <w:t>3</w:t>
      </w:r>
      <w:r>
        <w:rPr>
          <w:rFonts w:ascii="Times New Roman" w:eastAsia="Calibri" w:hAnsi="Times New Roman" w:cs="Times New Roman"/>
        </w:rPr>
        <w:t xml:space="preserve"> arba T</w:t>
      </w:r>
      <w:r>
        <w:rPr>
          <w:rFonts w:ascii="Times New Roman" w:eastAsia="Calibri" w:hAnsi="Times New Roman" w:cs="Times New Roman"/>
          <w:vertAlign w:val="subscript"/>
        </w:rPr>
        <w:t>4</w:t>
      </w:r>
      <w:r>
        <w:rPr>
          <w:rFonts w:ascii="Times New Roman" w:eastAsia="Calibri" w:hAnsi="Times New Roman" w:cs="Times New Roman"/>
        </w:rPr>
        <w:t xml:space="preserve"> ir kartu TSH koncentracijos pokylių šių tyrimų metu pasitaikė retai, o pastebėtieji jų pokyčiai nebuvo susiję su klinikiniais hipotirozės simptomais. Bendrojo ir laisvojo T</w:t>
      </w:r>
      <w:r>
        <w:rPr>
          <w:rFonts w:ascii="Times New Roman" w:eastAsia="Calibri" w:hAnsi="Times New Roman" w:cs="Times New Roman"/>
          <w:vertAlign w:val="subscript"/>
        </w:rPr>
        <w:t>4</w:t>
      </w:r>
      <w:r>
        <w:rPr>
          <w:rFonts w:ascii="Times New Roman" w:eastAsia="Calibri" w:hAnsi="Times New Roman" w:cs="Times New Roman"/>
        </w:rPr>
        <w:t xml:space="preserve"> koncentracijos ryškiausiai sumažėdavo per pirmąsias 6 kvetiapino vartojimo savaites, ilgalaikio gydymo metu jos toliau nemažėdavo. Maždaug 2/3 visų atvejų kvetiapino poveikis bendrojo ir laisvo T</w:t>
      </w:r>
      <w:r>
        <w:rPr>
          <w:rFonts w:ascii="Times New Roman" w:eastAsia="Calibri" w:hAnsi="Times New Roman" w:cs="Times New Roman"/>
          <w:vertAlign w:val="subscript"/>
        </w:rPr>
        <w:t>4</w:t>
      </w:r>
      <w:r>
        <w:rPr>
          <w:rFonts w:ascii="Times New Roman" w:eastAsia="Calibri" w:hAnsi="Times New Roman" w:cs="Times New Roman"/>
        </w:rPr>
        <w:t xml:space="preserve"> koncentracijoms išnykdavo jo vartojimą nutraukus (nepriklausomai nuo jo trukmės).</w:t>
      </w:r>
    </w:p>
    <w:p w14:paraId="56AC4F31" w14:textId="77777777" w:rsidR="00506BE7" w:rsidRDefault="00506BE7">
      <w:pPr>
        <w:widowControl w:val="0"/>
        <w:spacing w:after="0" w:line="240" w:lineRule="auto"/>
        <w:rPr>
          <w:rFonts w:ascii="Times New Roman" w:eastAsia="Calibri" w:hAnsi="Times New Roman" w:cs="Times New Roman"/>
          <w:u w:val="single"/>
        </w:rPr>
      </w:pPr>
    </w:p>
    <w:p w14:paraId="2B66E6F7" w14:textId="77777777" w:rsidR="00506BE7" w:rsidRDefault="008E332A">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Katarakta/ lęšiuko drumstis</w:t>
      </w:r>
    </w:p>
    <w:p w14:paraId="25B7553E"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Klinikinio tyrimo metu lyginant potencialų kataraktą sukeliantį kvetiapino (200-800 mg per parą) ir risperidono (2-8 mg per parą) poveikį šizofrenija ar šizoafektiniu sutrikimu sergantiems pacientams nustatyta, kad bent 21 mėn. kvetiapino vartojusių pacientų, kurių lęšiuko drumsties laipsnis padidėjo, dalis (4 %) nebuvo didesnė negu tiek pat laiko vartojusių risperidono (10%).</w:t>
      </w:r>
    </w:p>
    <w:p w14:paraId="054DF841" w14:textId="77777777" w:rsidR="00506BE7" w:rsidRDefault="00506BE7">
      <w:pPr>
        <w:widowControl w:val="0"/>
        <w:spacing w:after="0" w:line="240" w:lineRule="auto"/>
        <w:rPr>
          <w:rFonts w:ascii="Times New Roman" w:eastAsia="Calibri" w:hAnsi="Times New Roman" w:cs="Times New Roman"/>
          <w:b/>
          <w:i/>
        </w:rPr>
      </w:pPr>
    </w:p>
    <w:p w14:paraId="1B398917" w14:textId="77777777" w:rsidR="00506BE7" w:rsidRDefault="008E332A">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Vaikų populiacija</w:t>
      </w:r>
    </w:p>
    <w:p w14:paraId="094D0908" w14:textId="77777777" w:rsidR="00506BE7" w:rsidRDefault="00506BE7">
      <w:pPr>
        <w:widowControl w:val="0"/>
        <w:spacing w:after="0" w:line="240" w:lineRule="auto"/>
        <w:rPr>
          <w:rFonts w:ascii="Times New Roman" w:eastAsia="Calibri" w:hAnsi="Times New Roman" w:cs="Times New Roman"/>
          <w:u w:val="single"/>
        </w:rPr>
      </w:pPr>
    </w:p>
    <w:p w14:paraId="6B602AEE" w14:textId="77777777" w:rsidR="00506BE7" w:rsidRDefault="008E332A">
      <w:pPr>
        <w:widowControl w:val="0"/>
        <w:spacing w:after="0" w:line="240" w:lineRule="auto"/>
        <w:rPr>
          <w:rFonts w:ascii="Times New Roman" w:eastAsia="Calibri" w:hAnsi="Times New Roman" w:cs="Times New Roman"/>
          <w:i/>
          <w:u w:val="single"/>
        </w:rPr>
      </w:pPr>
      <w:r>
        <w:rPr>
          <w:rFonts w:ascii="Times New Roman" w:eastAsia="Calibri" w:hAnsi="Times New Roman" w:cs="Times New Roman"/>
          <w:i/>
          <w:u w:val="single"/>
        </w:rPr>
        <w:t>Klinikinis veiksmingumas</w:t>
      </w:r>
    </w:p>
    <w:p w14:paraId="635BE10C"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Kvetiapino veiksmingumas ir saugumas manijai gydyti tirti atliekant 3 savaičių trukmės placebu kontroliuojamą tyrimą (n = 284, dalyvavo 10</w:t>
      </w:r>
      <w:r>
        <w:rPr>
          <w:rFonts w:ascii="Times New Roman" w:eastAsia="Calibri" w:hAnsi="Times New Roman" w:cs="Times New Roman"/>
        </w:rPr>
        <w:noBreakHyphen/>
        <w:t xml:space="preserve">17 metų pacientai iš JAV). Apie 45% tyrime dalyvavusių pacientų taip pat buvo diagnozuotas aktyvumo ir dėmesio sutrikimas </w:t>
      </w:r>
      <w:r>
        <w:rPr>
          <w:rFonts w:ascii="Times New Roman" w:eastAsia="Calibri" w:hAnsi="Times New Roman" w:cs="Times New Roman"/>
          <w:color w:val="000000"/>
          <w:lang w:val="sl-SI"/>
        </w:rPr>
        <w:t xml:space="preserve">(angl. </w:t>
      </w:r>
      <w:r>
        <w:rPr>
          <w:rFonts w:ascii="Times New Roman" w:eastAsia="Calibri" w:hAnsi="Times New Roman" w:cs="Times New Roman"/>
          <w:i/>
          <w:color w:val="000000"/>
          <w:lang w:val="sl-SI"/>
        </w:rPr>
        <w:t>Attention deficit hyperactivity disorder</w:t>
      </w:r>
      <w:r>
        <w:rPr>
          <w:rFonts w:ascii="Times New Roman" w:eastAsia="Calibri" w:hAnsi="Times New Roman" w:cs="Times New Roman"/>
          <w:color w:val="000000"/>
          <w:lang w:val="sl-SI"/>
        </w:rPr>
        <w:t>, ADHD)</w:t>
      </w:r>
      <w:r>
        <w:rPr>
          <w:rFonts w:ascii="Times New Roman" w:eastAsia="Calibri" w:hAnsi="Times New Roman" w:cs="Times New Roman"/>
        </w:rPr>
        <w:t>. Be to, atliktas 6 savaičių trukmės placebu kontro</w:t>
      </w:r>
      <w:r>
        <w:rPr>
          <w:rFonts w:ascii="Times New Roman" w:eastAsia="Calibri" w:hAnsi="Times New Roman" w:cs="Times New Roman"/>
        </w:rPr>
        <w:softHyphen/>
        <w:t>liuojamas šizofrenijos gydymo tyrimas (n = 222, dalyvavo 13</w:t>
      </w:r>
      <w:r>
        <w:rPr>
          <w:rFonts w:ascii="Times New Roman" w:eastAsia="Calibri" w:hAnsi="Times New Roman" w:cs="Times New Roman"/>
        </w:rPr>
        <w:noBreakHyphen/>
        <w:t>17 metų pacientai). Į abu tyrimus neįtraukta pacientų, kuriems anksčiau buvo nustatytas kvetiapino neveiksmingumas. Gydymas kvetiapinu buvo pradedamas nuo 50 mg per parą, antrą parą dozė buvo 100 mg, vėliau dozė didinta iki tikslinės (manija sergantiems pacientams – 400</w:t>
      </w:r>
      <w:r>
        <w:rPr>
          <w:rFonts w:ascii="Times New Roman" w:eastAsia="Calibri" w:hAnsi="Times New Roman" w:cs="Times New Roman"/>
        </w:rPr>
        <w:noBreakHyphen/>
        <w:t>600 mg per parą, sergantiems šizofrenija – 400</w:t>
      </w:r>
      <w:r>
        <w:rPr>
          <w:rFonts w:ascii="Times New Roman" w:eastAsia="Calibri" w:hAnsi="Times New Roman" w:cs="Times New Roman"/>
        </w:rPr>
        <w:noBreakHyphen/>
        <w:t>800 mg per parą) pridedant po 100 mg per parą, o paros dozę padalijant į 2</w:t>
      </w:r>
      <w:r>
        <w:rPr>
          <w:rFonts w:ascii="Times New Roman" w:eastAsia="Calibri" w:hAnsi="Times New Roman" w:cs="Times New Roman"/>
        </w:rPr>
        <w:noBreakHyphen/>
        <w:t>3 vienkartines.</w:t>
      </w:r>
    </w:p>
    <w:p w14:paraId="56D57B79" w14:textId="77777777" w:rsidR="00506BE7" w:rsidRDefault="00506BE7">
      <w:pPr>
        <w:widowControl w:val="0"/>
        <w:spacing w:after="0" w:line="240" w:lineRule="auto"/>
        <w:rPr>
          <w:rFonts w:ascii="Times New Roman" w:eastAsia="Calibri" w:hAnsi="Times New Roman" w:cs="Times New Roman"/>
        </w:rPr>
      </w:pPr>
    </w:p>
    <w:p w14:paraId="56EEC34C"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Manijos tyrimo metu YMRS (angl. </w:t>
      </w:r>
      <w:r>
        <w:rPr>
          <w:rFonts w:ascii="Times New Roman" w:eastAsia="Calibri" w:hAnsi="Times New Roman" w:cs="Times New Roman"/>
          <w:i/>
        </w:rPr>
        <w:t>Young Mania Rating Scale</w:t>
      </w:r>
      <w:r>
        <w:rPr>
          <w:rFonts w:ascii="Times New Roman" w:eastAsia="Calibri" w:hAnsi="Times New Roman" w:cs="Times New Roman"/>
        </w:rPr>
        <w:t xml:space="preserve"> – jauno amžiaus pacientų manijos vertinimo skalė) bendrojo rodmens (aktyvus gydymas minus placebas) mažiausių kvadratų metodu apskaičiuoto vidutinio pokyčio, palyginus su buvusiu iki gydymo, skirtumas vartojant 400 mg kvetiapino per parą buvo –5,21, o vartojant 600 mg kvetiapino per parą –6,56. Atsakas (YMRS pagerėjimas ≥ 50 %) pasireiškė 64 % 400 mg kvetiapino per parą, 58 % 600 mg kvetiapino per parą ir 37 % placebą vartojusių pacientų.</w:t>
      </w:r>
    </w:p>
    <w:p w14:paraId="20C71B7E" w14:textId="77777777" w:rsidR="00506BE7" w:rsidRDefault="00506BE7">
      <w:pPr>
        <w:widowControl w:val="0"/>
        <w:spacing w:after="0" w:line="240" w:lineRule="auto"/>
        <w:rPr>
          <w:rFonts w:ascii="Times New Roman" w:eastAsia="Calibri" w:hAnsi="Times New Roman" w:cs="Times New Roman"/>
        </w:rPr>
      </w:pPr>
    </w:p>
    <w:p w14:paraId="1176854C"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Šizofrenijos tyrimo metu PANSS (angl. </w:t>
      </w:r>
      <w:r>
        <w:rPr>
          <w:rFonts w:ascii="Times New Roman" w:eastAsia="Calibri" w:hAnsi="Times New Roman" w:cs="Times New Roman"/>
          <w:i/>
        </w:rPr>
        <w:t>Positive and Negative Syndrome Scale</w:t>
      </w:r>
      <w:r>
        <w:rPr>
          <w:rFonts w:ascii="Times New Roman" w:eastAsia="Calibri" w:hAnsi="Times New Roman" w:cs="Times New Roman"/>
        </w:rPr>
        <w:t xml:space="preserve"> – pozityvių ir negatyvių sindromų skalė) bendrojo rodmens (aktyvus gydymas minus placebas) mažiausių kvadratų metodu apskaičiuoto vidutinio pokyčio, palyginus su buvusiu iki gydymo, skirtumas vartojant 400 mg kvetiapino per parą buvo –8,16, o vartojant 800 mg kvetiapino per parą –9,29. Nei maža (400 mg per parą), nei didelė (800 mg per parą) kvetiapino dozė nesukėlė geresnio negu placebas poveikio vertinant pagal procentą pacientų, kuriems pasireiškė atsakas, apibūdintas kaip PANSS bendrojo rodmens sumažėjimas ≥ 30 %. Pažymėtina, kad didesnės dozės manijos ir šizofrenijos gydymo grupėse atsakas pasireiškė mažesniam pacientų skaičiui.</w:t>
      </w:r>
    </w:p>
    <w:p w14:paraId="0AE463E5" w14:textId="77777777" w:rsidR="00506BE7" w:rsidRDefault="00506BE7">
      <w:pPr>
        <w:widowControl w:val="0"/>
        <w:spacing w:after="0" w:line="240" w:lineRule="auto"/>
        <w:rPr>
          <w:rFonts w:ascii="Times New Roman" w:eastAsia="Calibri" w:hAnsi="Times New Roman" w:cs="Times New Roman"/>
        </w:rPr>
      </w:pPr>
    </w:p>
    <w:p w14:paraId="76D8ECE7"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lastRenderedPageBreak/>
        <w:t>Trečias, trumpalaikis, placebu kontroliuojamas pailginto atpalaidavimo kvetiapino monoterapijos tyrimas neįrodė veiksmingumo bipolinio sutrikimo depresijos faze sergantiems 10-17 metų vaikams ir paaugliams.</w:t>
      </w:r>
    </w:p>
    <w:p w14:paraId="7B055A44" w14:textId="77777777" w:rsidR="00506BE7" w:rsidRDefault="00506BE7">
      <w:pPr>
        <w:widowControl w:val="0"/>
        <w:spacing w:after="0" w:line="240" w:lineRule="auto"/>
        <w:rPr>
          <w:rFonts w:ascii="Times New Roman" w:eastAsia="Calibri" w:hAnsi="Times New Roman" w:cs="Times New Roman"/>
        </w:rPr>
      </w:pPr>
    </w:p>
    <w:p w14:paraId="1764E8C1"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Duomenų apie poveikio palaikymą ar atkryčio profilaktiką šios amžiaus grupės pacientams nėra.</w:t>
      </w:r>
    </w:p>
    <w:p w14:paraId="1541E5F2" w14:textId="77777777" w:rsidR="00506BE7" w:rsidRDefault="00506BE7">
      <w:pPr>
        <w:widowControl w:val="0"/>
        <w:spacing w:after="0" w:line="240" w:lineRule="auto"/>
        <w:rPr>
          <w:rFonts w:ascii="Times New Roman" w:eastAsia="Calibri" w:hAnsi="Times New Roman" w:cs="Times New Roman"/>
        </w:rPr>
      </w:pPr>
    </w:p>
    <w:p w14:paraId="1C1F2060" w14:textId="77777777" w:rsidR="00506BE7" w:rsidRDefault="008E332A">
      <w:pPr>
        <w:widowControl w:val="0"/>
        <w:spacing w:after="0" w:line="240" w:lineRule="auto"/>
        <w:rPr>
          <w:rFonts w:ascii="Times New Roman" w:eastAsia="Calibri" w:hAnsi="Times New Roman" w:cs="Times New Roman"/>
          <w:i/>
          <w:u w:val="single"/>
        </w:rPr>
      </w:pPr>
      <w:r>
        <w:rPr>
          <w:rFonts w:ascii="Times New Roman" w:eastAsia="Calibri" w:hAnsi="Times New Roman" w:cs="Times New Roman"/>
          <w:i/>
          <w:u w:val="single"/>
        </w:rPr>
        <w:t>Klinikinis saugumas</w:t>
      </w:r>
    </w:p>
    <w:p w14:paraId="7129C3D6"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Atliekant aukščiau aprašytus trumpalaikius vaikų populiacijos kvetiapino tyrimus, ekstrapiramidinių simptomų pasireiškė: šizofrenijos tyrimo metu – 12,9 % ir 5,3 %, bipolinio sutrikimo manijos fazės tyrimo metu – 3,6 % ir 1,1 %, o bipolinio sutrikimo depresijos fazės tyrimo metu – atitinkamai 1,1 % kvetiapino ir 0 % placebo grupės pacientų. Šizofrenijos ir bipolinio sutrikimo manijos fazės tyrimų metu ≥ 7 % svorio, palyginus su pradiniu, priaugo 17 % ir 2,5 %, o bipolinio sutrikimo depresijos fazės tyrimo metu – atitinkamai 13,7 % kvetiapino ir 6,8 % placebo grupės pacientų. Su savižudybe susijusių reiškinių šizofrenijos tyrimo metu patyrė 1,4 % ir 1,3 %, bipolinio sutrikimo manijos fazės tyrimo metu – 1,0 % ir 0 %, o bipolinio sutrikimo depresijos fazės tyrimo metu – atitinkamai 1,1 % kvetiapino ir 0 % placebo grupės pacientų. </w:t>
      </w:r>
      <w:r>
        <w:rPr>
          <w:rFonts w:ascii="Times New Roman" w:eastAsia="Calibri" w:hAnsi="Times New Roman" w:cs="Times New Roman"/>
          <w:lang w:val="sl-SI"/>
        </w:rPr>
        <w:t xml:space="preserve">Stebėjimo po gydymo pratęsimo fazės metu, dviems pacientams, sirgusiems bipolinio sutrikimo depresijos faze, pasireiškė </w:t>
      </w:r>
      <w:r>
        <w:rPr>
          <w:rFonts w:ascii="Times New Roman" w:eastAsia="Calibri" w:hAnsi="Times New Roman" w:cs="Times New Roman"/>
        </w:rPr>
        <w:t xml:space="preserve">2 </w:t>
      </w:r>
      <w:r>
        <w:rPr>
          <w:rFonts w:ascii="Times New Roman" w:eastAsia="Calibri" w:hAnsi="Times New Roman" w:cs="Times New Roman"/>
          <w:lang w:val="sl-SI"/>
        </w:rPr>
        <w:t xml:space="preserve">papildomi su savižudybe susiję </w:t>
      </w:r>
      <w:r>
        <w:rPr>
          <w:rFonts w:ascii="Times New Roman" w:eastAsia="Calibri" w:hAnsi="Times New Roman" w:cs="Times New Roman"/>
        </w:rPr>
        <w:t xml:space="preserve"> reiškiniai, iš kurių vienas tuo metu vartojo kvetiapiną.</w:t>
      </w:r>
    </w:p>
    <w:p w14:paraId="6A4AD516" w14:textId="77777777" w:rsidR="00506BE7" w:rsidRDefault="00506BE7">
      <w:pPr>
        <w:widowControl w:val="0"/>
        <w:spacing w:after="0" w:line="240" w:lineRule="auto"/>
        <w:rPr>
          <w:rFonts w:ascii="Times New Roman" w:eastAsia="Calibri" w:hAnsi="Times New Roman" w:cs="Times New Roman"/>
        </w:rPr>
      </w:pPr>
    </w:p>
    <w:p w14:paraId="53DDA002" w14:textId="77777777" w:rsidR="00506BE7" w:rsidRDefault="008E332A">
      <w:pPr>
        <w:widowControl w:val="0"/>
        <w:spacing w:after="0" w:line="240" w:lineRule="auto"/>
        <w:rPr>
          <w:rFonts w:ascii="Times New Roman" w:eastAsia="Calibri" w:hAnsi="Times New Roman" w:cs="Times New Roman"/>
          <w:i/>
          <w:u w:val="single"/>
        </w:rPr>
      </w:pPr>
      <w:r>
        <w:rPr>
          <w:rFonts w:ascii="Times New Roman" w:eastAsia="Calibri" w:hAnsi="Times New Roman" w:cs="Times New Roman"/>
          <w:i/>
          <w:u w:val="single"/>
        </w:rPr>
        <w:t>Ilgalaikis saugumas</w:t>
      </w:r>
    </w:p>
    <w:p w14:paraId="78503F98"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Po trumpalaikių tyrimų atlikus 26 savaičių trukmės atvirą tęstinį tyrimą, gauta papildomų saugumo duomenų (jame dalyvavo 380 pacientų, kvetiapino paros dozė buvo koreguojama 400-800 mg ribose). Gauta pranešimų apie padidėjusį vaikų ir paauglių kraujospūdį. Vaikams ir paaugliams dažniau negu suaugusiesiems užfiksuotas padidėjęs apetitas, ekstrapiramidinių simptomų ir padidėjusi prolaktino koncentracija serume (žr. 4.4 ir 4.8 skyrius). </w:t>
      </w:r>
      <w:r>
        <w:rPr>
          <w:rFonts w:ascii="Times New Roman" w:eastAsia="Calibri" w:hAnsi="Times New Roman" w:cs="Times New Roman"/>
          <w:lang w:val="sl-SI"/>
        </w:rPr>
        <w:t>Kūno masės indekso padidėjimas, koreguotas pagal normalų ilgalaikį augimą, buvo laikomas kliniškai reikšmingu, jei sudarė bent 0,5 standartinio nuokrypio.</w:t>
      </w:r>
      <w:r>
        <w:rPr>
          <w:rFonts w:ascii="Times New Roman" w:eastAsia="Calibri" w:hAnsi="Times New Roman" w:cs="Times New Roman"/>
        </w:rPr>
        <w:t>Šį kriterijų atitiko 18,3 % pacientų, bent 26 savaites vartojusių kvetiapiną.</w:t>
      </w:r>
    </w:p>
    <w:p w14:paraId="39A4A660" w14:textId="77777777" w:rsidR="00506BE7" w:rsidRDefault="00506BE7">
      <w:pPr>
        <w:widowControl w:val="0"/>
        <w:spacing w:after="0" w:line="240" w:lineRule="auto"/>
        <w:rPr>
          <w:rFonts w:ascii="Times New Roman" w:eastAsia="Calibri" w:hAnsi="Times New Roman" w:cs="Times New Roman"/>
        </w:rPr>
      </w:pPr>
    </w:p>
    <w:p w14:paraId="7C8F89F6" w14:textId="77777777" w:rsidR="00506BE7" w:rsidRDefault="008E332A">
      <w:pPr>
        <w:widowControl w:val="0"/>
        <w:spacing w:after="0" w:line="240" w:lineRule="auto"/>
        <w:ind w:left="540" w:hanging="540"/>
        <w:rPr>
          <w:rFonts w:ascii="Times New Roman" w:eastAsia="Calibri" w:hAnsi="Times New Roman" w:cs="Times New Roman"/>
          <w:b/>
        </w:rPr>
      </w:pPr>
      <w:r>
        <w:rPr>
          <w:rFonts w:ascii="Times New Roman" w:eastAsia="Calibri" w:hAnsi="Times New Roman" w:cs="Times New Roman"/>
          <w:b/>
        </w:rPr>
        <w:t>5.2</w:t>
      </w:r>
      <w:r>
        <w:rPr>
          <w:rFonts w:ascii="Times New Roman" w:eastAsia="Calibri" w:hAnsi="Times New Roman" w:cs="Times New Roman"/>
          <w:b/>
        </w:rPr>
        <w:tab/>
        <w:t>Farmakokinetinės savybės</w:t>
      </w:r>
      <w:bookmarkEnd w:id="33"/>
      <w:bookmarkEnd w:id="34"/>
    </w:p>
    <w:p w14:paraId="29ACA172" w14:textId="77777777" w:rsidR="00506BE7" w:rsidRDefault="00506BE7">
      <w:pPr>
        <w:widowControl w:val="0"/>
        <w:spacing w:after="0" w:line="240" w:lineRule="auto"/>
        <w:rPr>
          <w:rFonts w:ascii="Times New Roman" w:eastAsia="Calibri" w:hAnsi="Times New Roman" w:cs="Times New Roman"/>
        </w:rPr>
      </w:pPr>
    </w:p>
    <w:p w14:paraId="5EBA6EA6" w14:textId="77777777" w:rsidR="00506BE7" w:rsidRDefault="008E332A">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Absorbcija</w:t>
      </w:r>
    </w:p>
    <w:p w14:paraId="3133C726"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Išgertas kvetiapinas gerai absorbuojamas. Pavartojus pailginto atpalaidavimo kvetiapino, didžiausios kvetiapino ir norkvetiapino koncentracijos plazmoje (T</w:t>
      </w:r>
      <w:r>
        <w:rPr>
          <w:rFonts w:ascii="Times New Roman" w:eastAsia="Calibri" w:hAnsi="Times New Roman" w:cs="Times New Roman"/>
          <w:vertAlign w:val="subscript"/>
        </w:rPr>
        <w:t>max</w:t>
      </w:r>
      <w:r>
        <w:rPr>
          <w:rFonts w:ascii="Times New Roman" w:eastAsia="Calibri" w:hAnsi="Times New Roman" w:cs="Times New Roman"/>
        </w:rPr>
        <w:t>) susidaro maždaug po 6 val. Aktyvaus metabolito norkvetiapino didžiausia pusiausvyrinė molinė koncentracija sudaro 35% atitinkamos kvetiapino koncentracijos.</w:t>
      </w:r>
    </w:p>
    <w:p w14:paraId="2A6BC569" w14:textId="77777777" w:rsidR="00506BE7" w:rsidRDefault="00506BE7">
      <w:pPr>
        <w:widowControl w:val="0"/>
        <w:spacing w:after="0" w:line="240" w:lineRule="auto"/>
        <w:rPr>
          <w:rFonts w:ascii="Times New Roman" w:eastAsia="Calibri" w:hAnsi="Times New Roman" w:cs="Times New Roman"/>
        </w:rPr>
      </w:pPr>
    </w:p>
    <w:p w14:paraId="0381275D"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Kvetiapino ir norkvetiapino farmakokinetika yra tiesinė, jos rodikliai proporcingi dozei vartojant iki 800 mg 1 kartą per parą. Vartojant tokią pačią pailginto atpalaidavimo kvetiapino ir greito atpalaidavimo kvetiapino (pailginto atpalaidavimo kvetiapiną išgeriant iš karto, o greito atpalaidavimo kvetiapiną – per 2 kartus), plotas po koncentracijos plazmoje priklausomai nuo laiko kreive (AUC) būna vienodas, tačiau didžiausia pusiausvyrinė koncentracija plazmoje (C</w:t>
      </w:r>
      <w:r>
        <w:rPr>
          <w:rFonts w:ascii="Times New Roman" w:eastAsia="Calibri" w:hAnsi="Times New Roman" w:cs="Times New Roman"/>
          <w:vertAlign w:val="subscript"/>
        </w:rPr>
        <w:t>max</w:t>
      </w:r>
      <w:r>
        <w:rPr>
          <w:rFonts w:ascii="Times New Roman" w:eastAsia="Calibri" w:hAnsi="Times New Roman" w:cs="Times New Roman"/>
        </w:rPr>
        <w:t>) vartojant pailginto atpalaidavimo kvetiapino būna 13% mažesnė. Vartojant pailginto atpalaidavimo kvetiapiną, metabolito norkvetiapino AUC būna 18% mažesnis negu vartojant greito atpalaidavimo kvetiapiną.</w:t>
      </w:r>
    </w:p>
    <w:p w14:paraId="0CCFC293" w14:textId="77777777" w:rsidR="00506BE7" w:rsidRDefault="00506BE7">
      <w:pPr>
        <w:widowControl w:val="0"/>
        <w:spacing w:after="0" w:line="240" w:lineRule="auto"/>
        <w:rPr>
          <w:rFonts w:ascii="Times New Roman" w:eastAsia="Calibri" w:hAnsi="Times New Roman" w:cs="Times New Roman"/>
        </w:rPr>
      </w:pPr>
    </w:p>
    <w:p w14:paraId="19684630"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Maisto poveikio kvetiapino biologiniam įsisavinamumui tyrimas parodė, kad riebus maistas statistikai reikšmingai (atitinkamai maždaug 50% ir 20%) padidina C</w:t>
      </w:r>
      <w:r>
        <w:rPr>
          <w:rFonts w:ascii="Times New Roman" w:eastAsia="Calibri" w:hAnsi="Times New Roman" w:cs="Times New Roman"/>
          <w:vertAlign w:val="subscript"/>
        </w:rPr>
        <w:t>max</w:t>
      </w:r>
      <w:r>
        <w:rPr>
          <w:rFonts w:ascii="Times New Roman" w:eastAsia="Calibri" w:hAnsi="Times New Roman" w:cs="Times New Roman"/>
        </w:rPr>
        <w:t xml:space="preserve"> ir AUC išgėrus pailginto atpalaidavimo kvetiapino. Nepaneigta galimybė, kad riebaus maisto poveikis vartojant šią farmacinę formą gali būti stipresnis. Palyginimui pažymėtina, kad lengvas valgis neturėjo reikšmingos įtakos kvetiapino C</w:t>
      </w:r>
      <w:r>
        <w:rPr>
          <w:rFonts w:ascii="Times New Roman" w:eastAsia="Calibri" w:hAnsi="Times New Roman" w:cs="Times New Roman"/>
          <w:vertAlign w:val="subscript"/>
        </w:rPr>
        <w:t>max</w:t>
      </w:r>
      <w:r>
        <w:rPr>
          <w:rFonts w:ascii="Times New Roman" w:eastAsia="Calibri" w:hAnsi="Times New Roman" w:cs="Times New Roman"/>
        </w:rPr>
        <w:t xml:space="preserve"> ir AUC išgėrus pailginto atpalaidavimo kvetiapino. Pailginto atpalaidavimo kvetiapino rekomenduojama gerti 1 kartą per parą ne valgio metu.</w:t>
      </w:r>
    </w:p>
    <w:p w14:paraId="50596F89" w14:textId="77777777" w:rsidR="00506BE7" w:rsidRDefault="00506BE7">
      <w:pPr>
        <w:widowControl w:val="0"/>
        <w:spacing w:after="0" w:line="240" w:lineRule="auto"/>
        <w:rPr>
          <w:rFonts w:ascii="Times New Roman" w:eastAsia="Calibri" w:hAnsi="Times New Roman" w:cs="Times New Roman"/>
          <w:u w:val="single"/>
        </w:rPr>
      </w:pPr>
    </w:p>
    <w:p w14:paraId="1218BB48" w14:textId="77777777" w:rsidR="00506BE7" w:rsidRDefault="008E332A">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Pasiskirstymas</w:t>
      </w:r>
    </w:p>
    <w:p w14:paraId="59D56AD5"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Maždaug 83% kvetiapino būna prisijungusio prie plazmos baltymų.</w:t>
      </w:r>
    </w:p>
    <w:p w14:paraId="6B7057A0" w14:textId="77777777" w:rsidR="00506BE7" w:rsidRDefault="00506BE7">
      <w:pPr>
        <w:widowControl w:val="0"/>
        <w:spacing w:after="0" w:line="240" w:lineRule="auto"/>
        <w:rPr>
          <w:rFonts w:ascii="Times New Roman" w:eastAsia="Calibri" w:hAnsi="Times New Roman" w:cs="Times New Roman"/>
        </w:rPr>
      </w:pPr>
    </w:p>
    <w:p w14:paraId="4FDE84B1" w14:textId="77777777" w:rsidR="00506BE7" w:rsidRDefault="008E332A">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Biotransformacija</w:t>
      </w:r>
    </w:p>
    <w:p w14:paraId="269565FA"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Kvetiapinas ekstensyviai metabolizuojamas kepenyse. Pavartojus radioaktyviu izotopu žymėto kvetiapino, nepakitęs vaistas išmatose ir šlapime sudaro mažiau kaip 5%.</w:t>
      </w:r>
    </w:p>
    <w:p w14:paraId="4C75DBF8" w14:textId="77777777" w:rsidR="00506BE7" w:rsidRDefault="00506BE7">
      <w:pPr>
        <w:widowControl w:val="0"/>
        <w:tabs>
          <w:tab w:val="left" w:pos="0"/>
          <w:tab w:val="left" w:pos="8496"/>
        </w:tabs>
        <w:spacing w:after="0" w:line="240" w:lineRule="auto"/>
        <w:ind w:left="567" w:hanging="567"/>
        <w:rPr>
          <w:rFonts w:ascii="Times New Roman" w:eastAsia="Calibri" w:hAnsi="Times New Roman" w:cs="Times New Roman"/>
        </w:rPr>
      </w:pPr>
    </w:p>
    <w:p w14:paraId="6084A31E" w14:textId="77777777" w:rsidR="00506BE7" w:rsidRDefault="008E332A">
      <w:pPr>
        <w:widowControl w:val="0"/>
        <w:tabs>
          <w:tab w:val="left" w:pos="7080"/>
        </w:tabs>
        <w:spacing w:after="0" w:line="240" w:lineRule="auto"/>
        <w:rPr>
          <w:rFonts w:ascii="Times New Roman" w:eastAsia="Calibri" w:hAnsi="Times New Roman" w:cs="Times New Roman"/>
        </w:rPr>
      </w:pPr>
      <w:r>
        <w:rPr>
          <w:rFonts w:ascii="Times New Roman" w:eastAsia="Calibri" w:hAnsi="Times New Roman" w:cs="Times New Roman"/>
        </w:rPr>
        <w:t xml:space="preserve">Tyrimais </w:t>
      </w:r>
      <w:r>
        <w:rPr>
          <w:rFonts w:ascii="Times New Roman" w:eastAsia="Calibri" w:hAnsi="Times New Roman" w:cs="Times New Roman"/>
          <w:i/>
        </w:rPr>
        <w:t>in vitro</w:t>
      </w:r>
      <w:r>
        <w:rPr>
          <w:rFonts w:ascii="Times New Roman" w:eastAsia="Calibri" w:hAnsi="Times New Roman" w:cs="Times New Roman"/>
        </w:rPr>
        <w:t xml:space="preserve"> nustatyta, kad pagrindinis nuo citochromo P450 priklausomo kvetiapino metabolizmo fermentas yra CYP3A4. Daugiausia norkvetiapino susidaro ir eliminuojama veikiant CYP3A4.</w:t>
      </w:r>
    </w:p>
    <w:p w14:paraId="5B72908F" w14:textId="77777777" w:rsidR="00506BE7" w:rsidRDefault="00506BE7">
      <w:pPr>
        <w:widowControl w:val="0"/>
        <w:spacing w:after="0" w:line="240" w:lineRule="auto"/>
        <w:rPr>
          <w:rFonts w:ascii="Times New Roman" w:eastAsia="Calibri" w:hAnsi="Times New Roman" w:cs="Times New Roman"/>
        </w:rPr>
      </w:pPr>
    </w:p>
    <w:p w14:paraId="5520B5E9"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Nustatyta, kad kvetiapinas ir keli jo metabolitai (įskaitant norkvetiapiną) </w:t>
      </w:r>
      <w:r>
        <w:rPr>
          <w:rFonts w:ascii="Times New Roman" w:eastAsia="Calibri" w:hAnsi="Times New Roman" w:cs="Times New Roman"/>
          <w:i/>
        </w:rPr>
        <w:t>in vitro</w:t>
      </w:r>
      <w:r>
        <w:rPr>
          <w:rFonts w:ascii="Times New Roman" w:eastAsia="Calibri" w:hAnsi="Times New Roman" w:cs="Times New Roman"/>
        </w:rPr>
        <w:t xml:space="preserve"> silpnai slopina žmogaus citochromo P450 1A2, 2C9, 2C19, 2D6 ir 3A4 fermentų aktyvumą, bet tik kai koncentracijos maždaug 5</w:t>
      </w:r>
      <w:r>
        <w:rPr>
          <w:rFonts w:ascii="Times New Roman" w:eastAsia="Calibri" w:hAnsi="Times New Roman" w:cs="Times New Roman"/>
        </w:rPr>
        <w:noBreakHyphen/>
        <w:t>50 kartų viršija susidarančias žmogui vartojant 300</w:t>
      </w:r>
      <w:r>
        <w:rPr>
          <w:rFonts w:ascii="Times New Roman" w:eastAsia="Calibri" w:hAnsi="Times New Roman" w:cs="Times New Roman"/>
        </w:rPr>
        <w:noBreakHyphen/>
        <w:t xml:space="preserve">800 mg per parą. Remiantis šių tyrimų </w:t>
      </w:r>
      <w:r>
        <w:rPr>
          <w:rFonts w:ascii="Times New Roman" w:eastAsia="Calibri" w:hAnsi="Times New Roman" w:cs="Times New Roman"/>
          <w:i/>
        </w:rPr>
        <w:t xml:space="preserve">in vitro </w:t>
      </w:r>
      <w:r>
        <w:rPr>
          <w:rFonts w:ascii="Times New Roman" w:eastAsia="Calibri" w:hAnsi="Times New Roman" w:cs="Times New Roman"/>
        </w:rPr>
        <w:t>duomenimis, nereikėtų tikėtis, kad</w:t>
      </w:r>
      <w:r>
        <w:rPr>
          <w:rFonts w:ascii="Times New Roman" w:eastAsia="Calibri" w:hAnsi="Times New Roman" w:cs="Times New Roman"/>
          <w:i/>
        </w:rPr>
        <w:t xml:space="preserve"> </w:t>
      </w:r>
      <w:r>
        <w:rPr>
          <w:rFonts w:ascii="Times New Roman" w:eastAsia="Calibri" w:hAnsi="Times New Roman" w:cs="Times New Roman"/>
        </w:rPr>
        <w:t>kartu vartojamas</w:t>
      </w:r>
      <w:r>
        <w:rPr>
          <w:rFonts w:ascii="Times New Roman" w:eastAsia="Calibri" w:hAnsi="Times New Roman" w:cs="Times New Roman"/>
          <w:i/>
        </w:rPr>
        <w:t xml:space="preserve"> </w:t>
      </w:r>
      <w:r>
        <w:rPr>
          <w:rFonts w:ascii="Times New Roman" w:eastAsia="Calibri" w:hAnsi="Times New Roman" w:cs="Times New Roman"/>
        </w:rPr>
        <w:t>kvetiapinas kliniškai reikšmingai slopintų</w:t>
      </w:r>
      <w:r>
        <w:rPr>
          <w:rFonts w:ascii="Times New Roman" w:eastAsia="Calibri" w:hAnsi="Times New Roman" w:cs="Times New Roman"/>
          <w:i/>
        </w:rPr>
        <w:t xml:space="preserve"> </w:t>
      </w:r>
      <w:r>
        <w:rPr>
          <w:rFonts w:ascii="Times New Roman" w:eastAsia="Calibri" w:hAnsi="Times New Roman" w:cs="Times New Roman"/>
        </w:rPr>
        <w:t>nuo citochromo P450 priklausomą kitų vaistų metabolizmą. Tyrimų su gyvūnais duomenimis, citochromo P450 izofermentus kvetiapinas gali indukuoti. Vis dėlto atliekant specialų sąveikos psichoze sergančių pacientų organizme tyrimą, citochromo P450 izofermentų aktyvumo padidėjimo vartojant kvetiapino nenustatyta.</w:t>
      </w:r>
    </w:p>
    <w:p w14:paraId="62EF7E10" w14:textId="77777777" w:rsidR="00506BE7" w:rsidRDefault="00506BE7">
      <w:pPr>
        <w:widowControl w:val="0"/>
        <w:spacing w:after="0" w:line="240" w:lineRule="auto"/>
        <w:rPr>
          <w:rFonts w:ascii="Times New Roman" w:eastAsia="Calibri" w:hAnsi="Times New Roman" w:cs="Times New Roman"/>
        </w:rPr>
      </w:pPr>
    </w:p>
    <w:p w14:paraId="18C42486" w14:textId="77777777" w:rsidR="00506BE7" w:rsidRDefault="008E332A">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Eliminacija</w:t>
      </w:r>
    </w:p>
    <w:p w14:paraId="37B9F40F"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Kvetiapino pusinis eliminacijos periodas yra apie 7 val., norkvetiapino – apie 12 val. Maždaug 73 % radioaktyvumo randama šlapime, 21 % – išmatose, mažiau kaip 5 % viso radioaktyvumo atitinka nepakitusią veikliąją medžiagą. Vidutinė laisvojo kvetiapino ir jo aktyvaus metabolito žmogaus plazmoje norkvetiapino molinė dozės dalis, išskiriama su šlapimu, yra mažesnė kaip 5 %.</w:t>
      </w:r>
    </w:p>
    <w:p w14:paraId="73D4B2F2" w14:textId="77777777" w:rsidR="00506BE7" w:rsidRDefault="00506BE7">
      <w:pPr>
        <w:widowControl w:val="0"/>
        <w:spacing w:after="0" w:line="240" w:lineRule="auto"/>
        <w:rPr>
          <w:rFonts w:ascii="Times New Roman" w:eastAsia="Calibri" w:hAnsi="Times New Roman" w:cs="Times New Roman"/>
          <w:b/>
        </w:rPr>
      </w:pPr>
    </w:p>
    <w:p w14:paraId="41E1E367" w14:textId="77777777" w:rsidR="00506BE7" w:rsidRDefault="008E332A">
      <w:pPr>
        <w:widowControl w:val="0"/>
        <w:spacing w:after="0" w:line="240" w:lineRule="auto"/>
        <w:outlineLvl w:val="3"/>
        <w:rPr>
          <w:rFonts w:ascii="Times New Roman" w:eastAsia="Calibri" w:hAnsi="Times New Roman" w:cs="Times New Roman"/>
          <w:u w:val="single"/>
        </w:rPr>
      </w:pPr>
      <w:r>
        <w:rPr>
          <w:rFonts w:ascii="Times New Roman" w:eastAsia="Calibri" w:hAnsi="Times New Roman" w:cs="Times New Roman"/>
          <w:u w:val="single"/>
        </w:rPr>
        <w:t>Ypatingos populiacijos</w:t>
      </w:r>
    </w:p>
    <w:p w14:paraId="11DDB911" w14:textId="77777777" w:rsidR="00506BE7" w:rsidRDefault="00506BE7">
      <w:pPr>
        <w:widowControl w:val="0"/>
        <w:spacing w:after="0" w:line="240" w:lineRule="auto"/>
        <w:rPr>
          <w:rFonts w:ascii="Times New Roman" w:eastAsia="Calibri" w:hAnsi="Times New Roman" w:cs="Times New Roman"/>
          <w:i/>
        </w:rPr>
      </w:pPr>
    </w:p>
    <w:p w14:paraId="02118211" w14:textId="77777777" w:rsidR="00506BE7" w:rsidRDefault="008E332A">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Lytis</w:t>
      </w:r>
    </w:p>
    <w:p w14:paraId="74B78530"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Kvetiapino farmakokinetika vyrų ir moterų organizme nesiskiria.</w:t>
      </w:r>
    </w:p>
    <w:p w14:paraId="3F7D796D" w14:textId="77777777" w:rsidR="00506BE7" w:rsidRDefault="00506BE7">
      <w:pPr>
        <w:widowControl w:val="0"/>
        <w:spacing w:after="0" w:line="240" w:lineRule="auto"/>
        <w:rPr>
          <w:rFonts w:ascii="Times New Roman" w:eastAsia="Calibri" w:hAnsi="Times New Roman" w:cs="Times New Roman"/>
          <w:i/>
        </w:rPr>
      </w:pPr>
    </w:p>
    <w:p w14:paraId="4BA8263C" w14:textId="77777777" w:rsidR="00506BE7" w:rsidRDefault="008E332A">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Senyvas amžius</w:t>
      </w:r>
    </w:p>
    <w:p w14:paraId="0CCFAB42"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Vidutinis kvetiapino klirensas senyvų žmonių organizme yra maždaug 30-50% mažesnis negu 18-65 metų suaugusiųjų.</w:t>
      </w:r>
    </w:p>
    <w:p w14:paraId="15E9C631" w14:textId="77777777" w:rsidR="00506BE7" w:rsidRDefault="00506BE7">
      <w:pPr>
        <w:widowControl w:val="0"/>
        <w:spacing w:after="0" w:line="240" w:lineRule="auto"/>
        <w:rPr>
          <w:rFonts w:ascii="Times New Roman" w:eastAsia="Calibri" w:hAnsi="Times New Roman" w:cs="Times New Roman"/>
        </w:rPr>
      </w:pPr>
    </w:p>
    <w:p w14:paraId="4464F6A7" w14:textId="77777777" w:rsidR="00506BE7" w:rsidRDefault="008E332A">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Sutrikusi inkstų funkcija</w:t>
      </w:r>
    </w:p>
    <w:p w14:paraId="70574EFD"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Vidutinis kvetiapino plazminis klirensas sunkiu inkstų nepakankamumu (kreatinino klirensas &lt; 30 ml/min/1,73 m</w:t>
      </w:r>
      <w:r>
        <w:rPr>
          <w:rFonts w:ascii="Times New Roman" w:eastAsia="Calibri" w:hAnsi="Times New Roman" w:cs="Times New Roman"/>
          <w:vertAlign w:val="superscript"/>
        </w:rPr>
        <w:t>2</w:t>
      </w:r>
      <w:r>
        <w:rPr>
          <w:rFonts w:ascii="Times New Roman" w:eastAsia="Calibri" w:hAnsi="Times New Roman" w:cs="Times New Roman"/>
        </w:rPr>
        <w:t>) sergančių žmonių organizme būna maždaug 25% mažesnis, tačiau individualus klirensas išlieka tokiose ribose kaip sveikiems žmonėms.</w:t>
      </w:r>
      <w:r>
        <w:rPr>
          <w:rFonts w:ascii="Times New Roman" w:eastAsia="Calibri" w:hAnsi="Times New Roman" w:cs="Times New Roman"/>
        </w:rPr>
        <w:br/>
      </w:r>
    </w:p>
    <w:p w14:paraId="607E3672" w14:textId="77777777" w:rsidR="00506BE7" w:rsidRDefault="008E332A">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Sutrikusi kepenų funkcija</w:t>
      </w:r>
    </w:p>
    <w:p w14:paraId="64FB9B0A"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Vidutinis kvetiapino plazminis klirensas kepenų funkcijos sutrikimu (stabilia alkoholine ciroze) sergančių asmenų organizme būna maždaug 25% mažesnis. Didelė kvetiapino dalis metabolizuojama kepenyse, todėl kepenų funkcijos sutrikimusergančių pacientų plazmoje turėtų susidaryti didesnė šio vaistinio preparato koncentracija. Jiems gali tekti koreguoti dozę (žr. 4.2 skyrių).</w:t>
      </w:r>
    </w:p>
    <w:p w14:paraId="2377B07E" w14:textId="77777777" w:rsidR="00506BE7" w:rsidRDefault="00506BE7">
      <w:pPr>
        <w:widowControl w:val="0"/>
        <w:spacing w:after="0" w:line="240" w:lineRule="auto"/>
        <w:rPr>
          <w:rFonts w:ascii="Times New Roman" w:eastAsia="Calibri" w:hAnsi="Times New Roman" w:cs="Times New Roman"/>
          <w:b/>
        </w:rPr>
      </w:pPr>
    </w:p>
    <w:p w14:paraId="41BA8DCB" w14:textId="77777777" w:rsidR="00506BE7" w:rsidRDefault="008E332A">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Vaikų populiacija</w:t>
      </w:r>
    </w:p>
    <w:p w14:paraId="2CDE6B2E" w14:textId="77777777" w:rsidR="00506BE7" w:rsidRDefault="008E332A">
      <w:pPr>
        <w:widowControl w:val="0"/>
        <w:overflowPunct w:val="0"/>
        <w:autoSpaceDE w:val="0"/>
        <w:autoSpaceDN w:val="0"/>
        <w:adjustRightInd w:val="0"/>
        <w:spacing w:after="0" w:line="240" w:lineRule="auto"/>
        <w:ind w:left="2" w:right="240"/>
        <w:rPr>
          <w:rFonts w:ascii="Times New Roman" w:eastAsia="Calibri" w:hAnsi="Times New Roman" w:cs="Times New Roman"/>
        </w:rPr>
      </w:pPr>
      <w:r>
        <w:rPr>
          <w:rFonts w:ascii="Times New Roman" w:eastAsia="Calibri" w:hAnsi="Times New Roman" w:cs="Times New Roman"/>
        </w:rPr>
        <w:t>Farmakokinetikos duomenys gauti tiriant 9 vaikus (10-12 metų amžiaus) ir 12 paauglių, kuriems vartojant po 400 mg greito atpalaidavimo kvetiapino 2 kartus per parą buvo nusistovėjusi pusiausvyros koncentracija. Pusiausvyros sąlygomis pagal dozę koreguota nepakitusio kvetiapino koncentracija 10-17 metų vaikų ir paauglių plazmoje paprastai būdavo panaši kaip suaugusiųjų, tik C</w:t>
      </w:r>
      <w:r>
        <w:rPr>
          <w:rFonts w:ascii="Times New Roman" w:eastAsia="Calibri" w:hAnsi="Times New Roman" w:cs="Times New Roman"/>
          <w:vertAlign w:val="subscript"/>
        </w:rPr>
        <w:t>max</w:t>
      </w:r>
      <w:r>
        <w:rPr>
          <w:rFonts w:ascii="Times New Roman" w:eastAsia="Calibri" w:hAnsi="Times New Roman" w:cs="Times New Roman"/>
        </w:rPr>
        <w:t xml:space="preserve"> vaikams buvo ties viršutine suaugusiems nustatyto diapazono riba. Aktyvaus metabolito norkvetiapino AUC 10-12 metų vaikų plazmoje buvo didesnis negu suaugusiųjų 62 %, C</w:t>
      </w:r>
      <w:r>
        <w:rPr>
          <w:rFonts w:ascii="Times New Roman" w:eastAsia="Calibri" w:hAnsi="Times New Roman" w:cs="Times New Roman"/>
          <w:vertAlign w:val="subscript"/>
        </w:rPr>
        <w:t>max</w:t>
      </w:r>
      <w:r>
        <w:rPr>
          <w:rFonts w:ascii="Times New Roman" w:eastAsia="Calibri" w:hAnsi="Times New Roman" w:cs="Times New Roman"/>
        </w:rPr>
        <w:t xml:space="preserve"> – 49 %, o 13-17 metų paauglių – atitinkamai 28 % ir 14 %.</w:t>
      </w:r>
    </w:p>
    <w:p w14:paraId="6BC293A8" w14:textId="77777777" w:rsidR="00506BE7" w:rsidRDefault="00506BE7">
      <w:pPr>
        <w:widowControl w:val="0"/>
        <w:overflowPunct w:val="0"/>
        <w:autoSpaceDE w:val="0"/>
        <w:autoSpaceDN w:val="0"/>
        <w:adjustRightInd w:val="0"/>
        <w:spacing w:after="0" w:line="240" w:lineRule="auto"/>
        <w:ind w:left="2" w:right="240"/>
        <w:rPr>
          <w:rFonts w:ascii="Times New Roman" w:eastAsia="Calibri" w:hAnsi="Times New Roman" w:cs="Times New Roman"/>
        </w:rPr>
      </w:pPr>
    </w:p>
    <w:p w14:paraId="22A78CF8"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Informacijos apie pailginto atpalaidavimo kvetiapino farmakokinetiką vaikų ir paauglių organizme nėra.</w:t>
      </w:r>
    </w:p>
    <w:p w14:paraId="10D7C02B" w14:textId="77777777" w:rsidR="00506BE7" w:rsidRDefault="00506BE7">
      <w:pPr>
        <w:widowControl w:val="0"/>
        <w:spacing w:after="0" w:line="240" w:lineRule="auto"/>
        <w:rPr>
          <w:rFonts w:ascii="Times New Roman" w:eastAsia="Calibri" w:hAnsi="Times New Roman" w:cs="Times New Roman"/>
          <w:b/>
        </w:rPr>
      </w:pPr>
    </w:p>
    <w:p w14:paraId="3FF3DC55" w14:textId="77777777" w:rsidR="00506BE7" w:rsidRDefault="008E332A">
      <w:pPr>
        <w:widowControl w:val="0"/>
        <w:spacing w:after="0" w:line="240" w:lineRule="auto"/>
        <w:ind w:left="540" w:hanging="540"/>
        <w:rPr>
          <w:rFonts w:ascii="Times New Roman" w:eastAsia="Calibri" w:hAnsi="Times New Roman" w:cs="Times New Roman"/>
          <w:b/>
        </w:rPr>
      </w:pPr>
      <w:bookmarkStart w:id="35" w:name="_Toc129243239"/>
      <w:bookmarkStart w:id="36" w:name="_Toc129243114"/>
      <w:r>
        <w:rPr>
          <w:rFonts w:ascii="Times New Roman" w:eastAsia="Calibri" w:hAnsi="Times New Roman" w:cs="Times New Roman"/>
          <w:b/>
        </w:rPr>
        <w:t>5.3</w:t>
      </w:r>
      <w:r>
        <w:rPr>
          <w:rFonts w:ascii="Times New Roman" w:eastAsia="Calibri" w:hAnsi="Times New Roman" w:cs="Times New Roman"/>
          <w:b/>
        </w:rPr>
        <w:tab/>
        <w:t>Ikiklinikinių saugumo tyrimų duomenys</w:t>
      </w:r>
      <w:bookmarkEnd w:id="35"/>
      <w:bookmarkEnd w:id="36"/>
    </w:p>
    <w:p w14:paraId="095870E3" w14:textId="77777777" w:rsidR="00506BE7" w:rsidRDefault="00506BE7">
      <w:pPr>
        <w:widowControl w:val="0"/>
        <w:spacing w:after="0" w:line="240" w:lineRule="auto"/>
        <w:rPr>
          <w:rFonts w:ascii="Times New Roman" w:eastAsia="Calibri" w:hAnsi="Times New Roman" w:cs="Times New Roman"/>
        </w:rPr>
      </w:pPr>
    </w:p>
    <w:p w14:paraId="20EF7D4C"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Eilė genotoksiškumo tyrimų </w:t>
      </w:r>
      <w:r>
        <w:rPr>
          <w:rFonts w:ascii="Times New Roman" w:eastAsia="Calibri" w:hAnsi="Times New Roman" w:cs="Times New Roman"/>
          <w:i/>
        </w:rPr>
        <w:t>in vitro</w:t>
      </w:r>
      <w:r>
        <w:rPr>
          <w:rFonts w:ascii="Times New Roman" w:eastAsia="Calibri" w:hAnsi="Times New Roman" w:cs="Times New Roman"/>
        </w:rPr>
        <w:t xml:space="preserve"> ir </w:t>
      </w:r>
      <w:r>
        <w:rPr>
          <w:rFonts w:ascii="Times New Roman" w:eastAsia="Calibri" w:hAnsi="Times New Roman" w:cs="Times New Roman"/>
          <w:i/>
        </w:rPr>
        <w:t>in vivo</w:t>
      </w:r>
      <w:r>
        <w:rPr>
          <w:rFonts w:ascii="Times New Roman" w:eastAsia="Calibri" w:hAnsi="Times New Roman" w:cs="Times New Roman"/>
        </w:rPr>
        <w:t xml:space="preserve"> genotoksiškumo neparodė. Esant kliniškai reikšmingai ekspozicijai, laboratoriniams gyvūnams rasta šių ilgalaikiais klinikiniais tyrimais nepatvirtintų nukrypimų:</w:t>
      </w:r>
    </w:p>
    <w:p w14:paraId="1EA6955E" w14:textId="77777777" w:rsidR="00506BE7" w:rsidRDefault="00506BE7">
      <w:pPr>
        <w:widowControl w:val="0"/>
        <w:spacing w:after="0" w:line="240" w:lineRule="auto"/>
        <w:rPr>
          <w:rFonts w:ascii="Times New Roman" w:eastAsia="Calibri" w:hAnsi="Times New Roman" w:cs="Times New Roman"/>
          <w:lang w:val="sl-SI"/>
        </w:rPr>
      </w:pPr>
    </w:p>
    <w:p w14:paraId="77BCF8EF"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lang w:val="sl-SI"/>
        </w:rPr>
        <w:t>Pigmento</w:t>
      </w:r>
      <w:r>
        <w:rPr>
          <w:rFonts w:ascii="Times New Roman" w:eastAsia="Calibri" w:hAnsi="Times New Roman" w:cs="Times New Roman"/>
        </w:rPr>
        <w:t xml:space="preserve"> sankaupos skydliaukėje (žiurkėms); skydliaukės folikulinių ląstelių hipertrofija, sumažėjusi T</w:t>
      </w:r>
      <w:r>
        <w:rPr>
          <w:rFonts w:ascii="Times New Roman" w:eastAsia="Calibri" w:hAnsi="Times New Roman" w:cs="Times New Roman"/>
          <w:vertAlign w:val="subscript"/>
        </w:rPr>
        <w:t>3</w:t>
      </w:r>
      <w:r>
        <w:rPr>
          <w:rFonts w:ascii="Times New Roman" w:eastAsia="Calibri" w:hAnsi="Times New Roman" w:cs="Times New Roman"/>
        </w:rPr>
        <w:t xml:space="preserve"> koncentracija plazmoje, sumažėjusi hemoglobino koncentracija bei sumažėjęs eritrocitų ir leukocitų skaičius (</w:t>
      </w:r>
      <w:r>
        <w:rPr>
          <w:rFonts w:ascii="Times New Roman" w:eastAsia="Calibri" w:hAnsi="Times New Roman" w:cs="Times New Roman"/>
          <w:i/>
        </w:rPr>
        <w:t>Cynomolgus</w:t>
      </w:r>
      <w:r>
        <w:rPr>
          <w:rFonts w:ascii="Times New Roman" w:eastAsia="Calibri" w:hAnsi="Times New Roman" w:cs="Times New Roman"/>
        </w:rPr>
        <w:t xml:space="preserve"> beždžionėms); lęšių drumstis ir katarakta (šunims) (dėl kataraktos ar lęšiuko drumsties žr.5.1 skyrių).</w:t>
      </w:r>
    </w:p>
    <w:p w14:paraId="27A6D519" w14:textId="77777777" w:rsidR="00506BE7" w:rsidRDefault="00506BE7">
      <w:pPr>
        <w:widowControl w:val="0"/>
        <w:spacing w:after="0" w:line="240" w:lineRule="auto"/>
        <w:rPr>
          <w:rFonts w:ascii="Times New Roman" w:eastAsia="Calibri" w:hAnsi="Times New Roman" w:cs="Times New Roman"/>
        </w:rPr>
      </w:pPr>
    </w:p>
    <w:p w14:paraId="4649E5B1" w14:textId="77777777" w:rsidR="00506BE7" w:rsidRDefault="008E332A">
      <w:pPr>
        <w:widowControl w:val="0"/>
        <w:overflowPunct w:val="0"/>
        <w:autoSpaceDE w:val="0"/>
        <w:autoSpaceDN w:val="0"/>
        <w:adjustRightInd w:val="0"/>
        <w:spacing w:after="0" w:line="240" w:lineRule="auto"/>
        <w:ind w:left="2" w:right="140"/>
        <w:rPr>
          <w:rFonts w:ascii="Times New Roman" w:eastAsia="Calibri" w:hAnsi="Times New Roman" w:cs="Times New Roman"/>
        </w:rPr>
      </w:pPr>
      <w:r>
        <w:rPr>
          <w:rFonts w:ascii="Times New Roman" w:eastAsia="Calibri" w:hAnsi="Times New Roman" w:cs="Times New Roman"/>
        </w:rPr>
        <w:t xml:space="preserve">Tiriant toksinį poveikį triušių embrionų ir vaisių vystymuisi, dažniau rasta vaisių karpalinių ar tarsalinių linkių. </w:t>
      </w:r>
      <w:r>
        <w:rPr>
          <w:rFonts w:ascii="Times New Roman" w:eastAsia="Calibri" w:hAnsi="Times New Roman" w:cs="Times New Roman"/>
          <w:lang w:val="sl-SI"/>
        </w:rPr>
        <w:t>Toks poveikis pasireiškė tada, kai atsirado akivaizdus poveikis patelei, pvz., sumažėjęs kūno svorio didėjimas. Toks poveikis pastebėtas, kai ekspozicija patelės organizme buvo panaši arba šiek tiek didesnė, palyginti su būnančia žmonėms vartojant maksimalias terapines dozes.</w:t>
      </w:r>
      <w:r>
        <w:rPr>
          <w:rFonts w:ascii="Times New Roman" w:eastAsia="Calibri" w:hAnsi="Times New Roman" w:cs="Times New Roman"/>
        </w:rPr>
        <w:t xml:space="preserve"> Šio radinio reikšmė žmonėms nežinoma.</w:t>
      </w:r>
    </w:p>
    <w:p w14:paraId="1BFD8754" w14:textId="77777777" w:rsidR="00506BE7" w:rsidRDefault="00506BE7">
      <w:pPr>
        <w:widowControl w:val="0"/>
        <w:autoSpaceDE w:val="0"/>
        <w:autoSpaceDN w:val="0"/>
        <w:adjustRightInd w:val="0"/>
        <w:spacing w:after="0" w:line="240" w:lineRule="auto"/>
        <w:rPr>
          <w:rFonts w:ascii="Times New Roman" w:eastAsia="Calibri" w:hAnsi="Times New Roman" w:cs="Times New Roman"/>
        </w:rPr>
      </w:pPr>
    </w:p>
    <w:p w14:paraId="683D54B1"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Tiriant poveikį žiurkių vaisingumui, nustatytas ribinis patinų vaisingumo sumažėjimas, pseudovaikingumų, prailgėjusių lytinio neaktyvumo (</w:t>
      </w:r>
      <w:r>
        <w:rPr>
          <w:rFonts w:ascii="Times New Roman" w:eastAsia="Calibri" w:hAnsi="Times New Roman" w:cs="Times New Roman"/>
          <w:i/>
        </w:rPr>
        <w:t>diestrus</w:t>
      </w:r>
      <w:r>
        <w:rPr>
          <w:rFonts w:ascii="Times New Roman" w:eastAsia="Calibri" w:hAnsi="Times New Roman" w:cs="Times New Roman"/>
        </w:rPr>
        <w:t>) periodų, pailgėjusių intervalų iki lytinio akto ir mažiau vaikingumų. Šis poveikis yra susijęs su padidėjusia prolaktino koncentracija ir dėl rūšinių hormoninės reprodukcijos reguliacijos skirtumų tiesioginės reikšmės žmogui neturi.</w:t>
      </w:r>
    </w:p>
    <w:p w14:paraId="13E6E677" w14:textId="77777777" w:rsidR="00506BE7" w:rsidRDefault="00506BE7">
      <w:pPr>
        <w:widowControl w:val="0"/>
        <w:spacing w:after="0" w:line="240" w:lineRule="auto"/>
        <w:rPr>
          <w:rFonts w:ascii="Times New Roman" w:eastAsia="Calibri" w:hAnsi="Times New Roman" w:cs="Times New Roman"/>
        </w:rPr>
      </w:pPr>
    </w:p>
    <w:p w14:paraId="1C2426BE" w14:textId="77777777" w:rsidR="00506BE7" w:rsidRDefault="00506BE7">
      <w:pPr>
        <w:widowControl w:val="0"/>
        <w:spacing w:after="0" w:line="240" w:lineRule="auto"/>
        <w:rPr>
          <w:rFonts w:ascii="Times New Roman" w:eastAsia="Calibri" w:hAnsi="Times New Roman" w:cs="Times New Roman"/>
        </w:rPr>
      </w:pPr>
    </w:p>
    <w:p w14:paraId="31EF13C0" w14:textId="77777777" w:rsidR="00506BE7" w:rsidRDefault="008E332A">
      <w:pPr>
        <w:widowControl w:val="0"/>
        <w:tabs>
          <w:tab w:val="left" w:pos="567"/>
        </w:tabs>
        <w:spacing w:after="0" w:line="240" w:lineRule="auto"/>
        <w:ind w:left="567" w:hanging="567"/>
        <w:outlineLvl w:val="1"/>
        <w:rPr>
          <w:rFonts w:ascii="Times New Roman" w:eastAsia="Calibri" w:hAnsi="Times New Roman" w:cs="Times New Roman"/>
          <w:b/>
        </w:rPr>
      </w:pPr>
      <w:bookmarkStart w:id="37" w:name="_Toc129243240"/>
      <w:bookmarkStart w:id="38" w:name="_Toc129243115"/>
      <w:r>
        <w:rPr>
          <w:rFonts w:ascii="Times New Roman" w:eastAsia="Calibri" w:hAnsi="Times New Roman" w:cs="Times New Roman"/>
          <w:b/>
        </w:rPr>
        <w:t>6.</w:t>
      </w:r>
      <w:r>
        <w:rPr>
          <w:rFonts w:ascii="Times New Roman" w:eastAsia="Calibri" w:hAnsi="Times New Roman" w:cs="Times New Roman"/>
          <w:b/>
        </w:rPr>
        <w:tab/>
        <w:t>FARMACINĖ INFORMACIJA</w:t>
      </w:r>
      <w:bookmarkEnd w:id="37"/>
      <w:bookmarkEnd w:id="38"/>
    </w:p>
    <w:p w14:paraId="3BD58697" w14:textId="77777777" w:rsidR="00506BE7" w:rsidRDefault="00506BE7">
      <w:pPr>
        <w:widowControl w:val="0"/>
        <w:spacing w:after="0" w:line="240" w:lineRule="auto"/>
        <w:rPr>
          <w:rFonts w:ascii="Times New Roman" w:eastAsia="Calibri" w:hAnsi="Times New Roman" w:cs="Times New Roman"/>
        </w:rPr>
      </w:pPr>
    </w:p>
    <w:p w14:paraId="09992088" w14:textId="77777777" w:rsidR="00506BE7" w:rsidRDefault="008E332A">
      <w:pPr>
        <w:widowControl w:val="0"/>
        <w:spacing w:after="0" w:line="240" w:lineRule="auto"/>
        <w:ind w:left="540" w:hanging="540"/>
        <w:rPr>
          <w:rFonts w:ascii="Times New Roman" w:eastAsia="Calibri" w:hAnsi="Times New Roman" w:cs="Times New Roman"/>
          <w:b/>
        </w:rPr>
      </w:pPr>
      <w:bookmarkStart w:id="39" w:name="_Toc129243241"/>
      <w:bookmarkStart w:id="40" w:name="_Toc129243116"/>
      <w:r>
        <w:rPr>
          <w:rFonts w:ascii="Times New Roman" w:eastAsia="Calibri" w:hAnsi="Times New Roman" w:cs="Times New Roman"/>
          <w:b/>
        </w:rPr>
        <w:t>6.1</w:t>
      </w:r>
      <w:r>
        <w:rPr>
          <w:rFonts w:ascii="Times New Roman" w:eastAsia="Calibri" w:hAnsi="Times New Roman" w:cs="Times New Roman"/>
          <w:b/>
        </w:rPr>
        <w:tab/>
        <w:t>Pagalbinių medžiagų sąrašas</w:t>
      </w:r>
      <w:bookmarkEnd w:id="39"/>
      <w:bookmarkEnd w:id="40"/>
    </w:p>
    <w:p w14:paraId="5281B46E" w14:textId="77777777" w:rsidR="00506BE7" w:rsidRDefault="00506BE7">
      <w:pPr>
        <w:widowControl w:val="0"/>
        <w:spacing w:after="0" w:line="240" w:lineRule="auto"/>
        <w:rPr>
          <w:rFonts w:ascii="Times New Roman" w:eastAsia="Calibri" w:hAnsi="Times New Roman" w:cs="Times New Roman"/>
        </w:rPr>
      </w:pPr>
    </w:p>
    <w:p w14:paraId="54F3D48C" w14:textId="77777777" w:rsidR="00506BE7" w:rsidRDefault="008E332A">
      <w:pPr>
        <w:widowControl w:val="0"/>
        <w:spacing w:after="0" w:line="240" w:lineRule="auto"/>
        <w:rPr>
          <w:rFonts w:ascii="Times New Roman" w:eastAsia="Calibri" w:hAnsi="Times New Roman" w:cs="Times New Roman"/>
          <w:i/>
        </w:rPr>
      </w:pPr>
      <w:r>
        <w:rPr>
          <w:rFonts w:ascii="Times New Roman" w:eastAsia="Calibri" w:hAnsi="Times New Roman" w:cs="Times New Roman"/>
          <w:i/>
        </w:rPr>
        <w:t>Tabletės šerdis</w:t>
      </w:r>
    </w:p>
    <w:p w14:paraId="292DF0FA"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Hipromeliozė</w:t>
      </w:r>
    </w:p>
    <w:p w14:paraId="628272CC"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Laktozė monohidratas</w:t>
      </w:r>
    </w:p>
    <w:p w14:paraId="417ADCFE"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Mikrokristalinė celiuliozė</w:t>
      </w:r>
    </w:p>
    <w:p w14:paraId="217CD0CB"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Natrio citratas dihidratas − tik 50 mg </w:t>
      </w:r>
      <w:r>
        <w:rPr>
          <w:rFonts w:ascii="Times New Roman" w:eastAsia="Calibri" w:hAnsi="Times New Roman" w:cs="Times New Roman"/>
          <w:lang w:val="sl-SI"/>
        </w:rPr>
        <w:t xml:space="preserve">ir 400 mg </w:t>
      </w:r>
      <w:r>
        <w:rPr>
          <w:rFonts w:ascii="Times New Roman" w:eastAsia="Calibri" w:hAnsi="Times New Roman" w:cs="Times New Roman"/>
        </w:rPr>
        <w:t>pailginto atpalaidavimo tabletėse</w:t>
      </w:r>
    </w:p>
    <w:p w14:paraId="4C62D164"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Dinatrio fosfatas dihidratas− tik 150 mg, 200 mg ir 300 mg pailginto atpalaidavimo tabletėse</w:t>
      </w:r>
    </w:p>
    <w:p w14:paraId="0607B469"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Magnio stearatas</w:t>
      </w:r>
    </w:p>
    <w:p w14:paraId="70A0D3C4" w14:textId="77777777" w:rsidR="00506BE7" w:rsidRDefault="00506BE7">
      <w:pPr>
        <w:widowControl w:val="0"/>
        <w:spacing w:after="0" w:line="240" w:lineRule="auto"/>
        <w:rPr>
          <w:rFonts w:ascii="Times New Roman" w:eastAsia="Calibri" w:hAnsi="Times New Roman" w:cs="Times New Roman"/>
        </w:rPr>
      </w:pPr>
    </w:p>
    <w:p w14:paraId="64E90C2C" w14:textId="77777777" w:rsidR="00506BE7" w:rsidRDefault="008E332A">
      <w:pPr>
        <w:widowControl w:val="0"/>
        <w:spacing w:after="0" w:line="240" w:lineRule="auto"/>
        <w:rPr>
          <w:rFonts w:ascii="Times New Roman" w:eastAsia="Calibri" w:hAnsi="Times New Roman" w:cs="Times New Roman"/>
          <w:i/>
        </w:rPr>
      </w:pPr>
      <w:r>
        <w:rPr>
          <w:rFonts w:ascii="Times New Roman" w:eastAsia="Calibri" w:hAnsi="Times New Roman" w:cs="Times New Roman"/>
          <w:i/>
        </w:rPr>
        <w:t>50</w:t>
      </w:r>
      <w:r>
        <w:rPr>
          <w:rFonts w:ascii="Times New Roman" w:eastAsia="Calibri" w:hAnsi="Times New Roman" w:cs="Times New Roman"/>
          <w:i/>
          <w:lang w:val="sl-SI"/>
        </w:rPr>
        <w:t> mg ir 400</w:t>
      </w:r>
      <w:r>
        <w:rPr>
          <w:rFonts w:ascii="Times New Roman" w:eastAsia="Calibri" w:hAnsi="Times New Roman" w:cs="Times New Roman"/>
          <w:i/>
        </w:rPr>
        <w:t> mg pailginto atpalaidavimo tabletės dangalas</w:t>
      </w:r>
    </w:p>
    <w:p w14:paraId="5B84EB7E"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Hipromeliozė</w:t>
      </w:r>
    </w:p>
    <w:p w14:paraId="154B361D"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Titano dioksidas (E171)</w:t>
      </w:r>
    </w:p>
    <w:p w14:paraId="0167BB40"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Makrogolis 400</w:t>
      </w:r>
    </w:p>
    <w:p w14:paraId="03872905" w14:textId="77777777" w:rsidR="00506BE7" w:rsidRDefault="00506BE7">
      <w:pPr>
        <w:widowControl w:val="0"/>
        <w:spacing w:after="0" w:line="240" w:lineRule="auto"/>
        <w:rPr>
          <w:rFonts w:ascii="Times New Roman" w:eastAsia="Calibri" w:hAnsi="Times New Roman" w:cs="Times New Roman"/>
        </w:rPr>
      </w:pPr>
    </w:p>
    <w:p w14:paraId="733D6315" w14:textId="77777777" w:rsidR="00506BE7" w:rsidRDefault="008E332A">
      <w:pPr>
        <w:widowControl w:val="0"/>
        <w:spacing w:after="0" w:line="240" w:lineRule="auto"/>
        <w:rPr>
          <w:rFonts w:ascii="Times New Roman" w:eastAsia="Calibri" w:hAnsi="Times New Roman" w:cs="Times New Roman"/>
          <w:i/>
        </w:rPr>
      </w:pPr>
      <w:r>
        <w:rPr>
          <w:rFonts w:ascii="Times New Roman" w:eastAsia="Calibri" w:hAnsi="Times New Roman" w:cs="Times New Roman"/>
          <w:i/>
        </w:rPr>
        <w:t>150 mg pailginto atpalaidavimo tabletės dangalas</w:t>
      </w:r>
    </w:p>
    <w:p w14:paraId="150EFFCB"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Polivinilo alkoholis</w:t>
      </w:r>
    </w:p>
    <w:p w14:paraId="7B77DD31"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Titano dioksidas (E171)</w:t>
      </w:r>
    </w:p>
    <w:p w14:paraId="406DA7D2"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Makrogolis 3000</w:t>
      </w:r>
    </w:p>
    <w:p w14:paraId="49CC096B"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Talkas</w:t>
      </w:r>
    </w:p>
    <w:p w14:paraId="33921774"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Raudonasis geležies oksidas (E172)</w:t>
      </w:r>
    </w:p>
    <w:p w14:paraId="069A7EDB"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Geltonasis geležies oksidas (E172)</w:t>
      </w:r>
    </w:p>
    <w:p w14:paraId="7001567F" w14:textId="77777777" w:rsidR="00506BE7" w:rsidRDefault="00506BE7">
      <w:pPr>
        <w:widowControl w:val="0"/>
        <w:spacing w:after="0" w:line="240" w:lineRule="auto"/>
        <w:rPr>
          <w:rFonts w:ascii="Times New Roman" w:eastAsia="Calibri" w:hAnsi="Times New Roman" w:cs="Times New Roman"/>
        </w:rPr>
      </w:pPr>
    </w:p>
    <w:p w14:paraId="7E603627" w14:textId="77777777" w:rsidR="00506BE7" w:rsidRDefault="008E332A">
      <w:pPr>
        <w:widowControl w:val="0"/>
        <w:spacing w:after="0" w:line="240" w:lineRule="auto"/>
        <w:rPr>
          <w:rFonts w:ascii="Times New Roman" w:eastAsia="Calibri" w:hAnsi="Times New Roman" w:cs="Times New Roman"/>
          <w:i/>
        </w:rPr>
      </w:pPr>
      <w:r>
        <w:rPr>
          <w:rFonts w:ascii="Times New Roman" w:eastAsia="Calibri" w:hAnsi="Times New Roman" w:cs="Times New Roman"/>
          <w:i/>
        </w:rPr>
        <w:t>200 mg ir 300 mg pailginto atpalaidavimo tabletės dangalas</w:t>
      </w:r>
    </w:p>
    <w:p w14:paraId="4C0A6549"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Polivinilo alkoholis</w:t>
      </w:r>
    </w:p>
    <w:p w14:paraId="45DC89BF"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Titano dioksidas (E171)</w:t>
      </w:r>
    </w:p>
    <w:p w14:paraId="389D3144"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Makrogolis 3000</w:t>
      </w:r>
    </w:p>
    <w:p w14:paraId="0177BF1F"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Talkas</w:t>
      </w:r>
    </w:p>
    <w:p w14:paraId="69EBAB53"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Geltonasis geležies oksidas (E172)</w:t>
      </w:r>
    </w:p>
    <w:p w14:paraId="11188FA9" w14:textId="77777777" w:rsidR="00506BE7" w:rsidRDefault="00506BE7">
      <w:pPr>
        <w:widowControl w:val="0"/>
        <w:spacing w:after="0" w:line="240" w:lineRule="auto"/>
        <w:rPr>
          <w:rFonts w:ascii="Times New Roman" w:eastAsia="Calibri" w:hAnsi="Times New Roman" w:cs="Times New Roman"/>
        </w:rPr>
      </w:pPr>
    </w:p>
    <w:p w14:paraId="764BF2AD" w14:textId="77777777" w:rsidR="00506BE7" w:rsidRDefault="008E332A">
      <w:pPr>
        <w:widowControl w:val="0"/>
        <w:spacing w:after="0" w:line="240" w:lineRule="auto"/>
        <w:ind w:left="540" w:hanging="540"/>
        <w:rPr>
          <w:rFonts w:ascii="Times New Roman" w:eastAsia="Calibri" w:hAnsi="Times New Roman" w:cs="Times New Roman"/>
          <w:b/>
        </w:rPr>
      </w:pPr>
      <w:bookmarkStart w:id="41" w:name="_Toc129243242"/>
      <w:bookmarkStart w:id="42" w:name="_Toc129243117"/>
      <w:r>
        <w:rPr>
          <w:rFonts w:ascii="Times New Roman" w:eastAsia="Calibri" w:hAnsi="Times New Roman" w:cs="Times New Roman"/>
          <w:b/>
        </w:rPr>
        <w:t>6.2</w:t>
      </w:r>
      <w:r>
        <w:rPr>
          <w:rFonts w:ascii="Times New Roman" w:eastAsia="Calibri" w:hAnsi="Times New Roman" w:cs="Times New Roman"/>
          <w:b/>
        </w:rPr>
        <w:tab/>
        <w:t>Nesuderinamumas</w:t>
      </w:r>
      <w:bookmarkEnd w:id="41"/>
      <w:bookmarkEnd w:id="42"/>
    </w:p>
    <w:p w14:paraId="5AA9BE19" w14:textId="77777777" w:rsidR="00506BE7" w:rsidRDefault="00506BE7">
      <w:pPr>
        <w:widowControl w:val="0"/>
        <w:spacing w:after="0" w:line="240" w:lineRule="auto"/>
        <w:rPr>
          <w:rFonts w:ascii="Times New Roman" w:eastAsia="Calibri" w:hAnsi="Times New Roman" w:cs="Times New Roman"/>
        </w:rPr>
      </w:pPr>
    </w:p>
    <w:p w14:paraId="3CEEAA9C"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Duomenys nebūtini.</w:t>
      </w:r>
    </w:p>
    <w:p w14:paraId="2B14013C" w14:textId="77777777" w:rsidR="00506BE7" w:rsidRDefault="00506BE7">
      <w:pPr>
        <w:widowControl w:val="0"/>
        <w:spacing w:after="0" w:line="240" w:lineRule="auto"/>
        <w:rPr>
          <w:rFonts w:ascii="Times New Roman" w:eastAsia="Calibri" w:hAnsi="Times New Roman" w:cs="Times New Roman"/>
        </w:rPr>
      </w:pPr>
    </w:p>
    <w:p w14:paraId="3980171D" w14:textId="77777777" w:rsidR="00506BE7" w:rsidRDefault="008E332A">
      <w:pPr>
        <w:widowControl w:val="0"/>
        <w:spacing w:after="0" w:line="240" w:lineRule="auto"/>
        <w:ind w:left="540" w:hanging="540"/>
        <w:rPr>
          <w:rFonts w:ascii="Times New Roman" w:eastAsia="Calibri" w:hAnsi="Times New Roman" w:cs="Times New Roman"/>
          <w:b/>
        </w:rPr>
      </w:pPr>
      <w:bookmarkStart w:id="43" w:name="_Toc129243243"/>
      <w:bookmarkStart w:id="44" w:name="_Toc129243118"/>
      <w:r>
        <w:rPr>
          <w:rFonts w:ascii="Times New Roman" w:eastAsia="Calibri" w:hAnsi="Times New Roman" w:cs="Times New Roman"/>
          <w:b/>
        </w:rPr>
        <w:t>6.3</w:t>
      </w:r>
      <w:r>
        <w:rPr>
          <w:rFonts w:ascii="Times New Roman" w:eastAsia="Calibri" w:hAnsi="Times New Roman" w:cs="Times New Roman"/>
          <w:b/>
        </w:rPr>
        <w:tab/>
        <w:t>Tinkamumo laikas</w:t>
      </w:r>
      <w:bookmarkEnd w:id="43"/>
      <w:bookmarkEnd w:id="44"/>
    </w:p>
    <w:p w14:paraId="020395D8" w14:textId="77777777" w:rsidR="00506BE7" w:rsidRDefault="00506BE7">
      <w:pPr>
        <w:widowControl w:val="0"/>
        <w:tabs>
          <w:tab w:val="left" w:pos="567"/>
        </w:tabs>
        <w:spacing w:after="0" w:line="240" w:lineRule="auto"/>
        <w:rPr>
          <w:rFonts w:ascii="Times New Roman" w:eastAsia="Calibri" w:hAnsi="Times New Roman" w:cs="Times New Roman"/>
          <w:i/>
        </w:rPr>
      </w:pPr>
    </w:p>
    <w:p w14:paraId="5E983EEE" w14:textId="77777777" w:rsidR="00506BE7" w:rsidRDefault="008E332A">
      <w:pPr>
        <w:widowControl w:val="0"/>
        <w:spacing w:after="0" w:line="240" w:lineRule="auto"/>
        <w:rPr>
          <w:rFonts w:ascii="Times New Roman" w:eastAsia="Calibri" w:hAnsi="Times New Roman" w:cs="Times New Roman"/>
          <w:lang w:val="sl-SI"/>
        </w:rPr>
      </w:pPr>
      <w:r>
        <w:rPr>
          <w:rFonts w:ascii="Times New Roman" w:eastAsia="Calibri" w:hAnsi="Times New Roman" w:cs="Times New Roman"/>
          <w:lang w:val="sl-SI"/>
        </w:rPr>
        <w:t>3 metai.</w:t>
      </w:r>
    </w:p>
    <w:p w14:paraId="11B32AE6" w14:textId="77777777" w:rsidR="00506BE7" w:rsidRDefault="00506BE7">
      <w:pPr>
        <w:widowControl w:val="0"/>
        <w:spacing w:after="0" w:line="240" w:lineRule="auto"/>
        <w:rPr>
          <w:rFonts w:ascii="Times New Roman" w:eastAsia="Calibri" w:hAnsi="Times New Roman" w:cs="Times New Roman"/>
        </w:rPr>
      </w:pPr>
    </w:p>
    <w:p w14:paraId="21817C65" w14:textId="77777777" w:rsidR="00506BE7" w:rsidRDefault="008E332A">
      <w:pPr>
        <w:widowControl w:val="0"/>
        <w:spacing w:after="0" w:line="240" w:lineRule="auto"/>
        <w:ind w:left="540" w:hanging="540"/>
        <w:rPr>
          <w:rFonts w:ascii="Times New Roman" w:eastAsia="Calibri" w:hAnsi="Times New Roman" w:cs="Times New Roman"/>
          <w:b/>
        </w:rPr>
      </w:pPr>
      <w:bookmarkStart w:id="45" w:name="_Toc129243244"/>
      <w:bookmarkStart w:id="46" w:name="_Toc129243119"/>
      <w:r>
        <w:rPr>
          <w:rFonts w:ascii="Times New Roman" w:eastAsia="Calibri" w:hAnsi="Times New Roman" w:cs="Times New Roman"/>
          <w:b/>
        </w:rPr>
        <w:t>6.4</w:t>
      </w:r>
      <w:r>
        <w:rPr>
          <w:rFonts w:ascii="Times New Roman" w:eastAsia="Calibri" w:hAnsi="Times New Roman" w:cs="Times New Roman"/>
          <w:b/>
        </w:rPr>
        <w:tab/>
        <w:t>Specialios laikymo sąlygos</w:t>
      </w:r>
      <w:bookmarkEnd w:id="45"/>
      <w:bookmarkEnd w:id="46"/>
    </w:p>
    <w:p w14:paraId="7F8DE310" w14:textId="77777777" w:rsidR="00506BE7" w:rsidRDefault="00506BE7">
      <w:pPr>
        <w:widowControl w:val="0"/>
        <w:spacing w:after="0" w:line="240" w:lineRule="auto"/>
        <w:rPr>
          <w:rFonts w:ascii="Times New Roman" w:eastAsia="Calibri" w:hAnsi="Times New Roman" w:cs="Times New Roman"/>
        </w:rPr>
      </w:pPr>
    </w:p>
    <w:p w14:paraId="014CDBBF"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Laikyti gamintojo pakuotėje, kad vaistinis preparatas būtų apsaugotas nuo drėgmės.</w:t>
      </w:r>
    </w:p>
    <w:p w14:paraId="7C96D678"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Šio vaistinio preparato laikymui specialių temperatūros sąlygų nereikalaujama.</w:t>
      </w:r>
    </w:p>
    <w:p w14:paraId="41AEC09E" w14:textId="77777777" w:rsidR="00506BE7" w:rsidRDefault="00506BE7">
      <w:pPr>
        <w:widowControl w:val="0"/>
        <w:spacing w:after="0" w:line="240" w:lineRule="auto"/>
        <w:rPr>
          <w:rFonts w:ascii="Times New Roman" w:eastAsia="Calibri" w:hAnsi="Times New Roman" w:cs="Times New Roman"/>
        </w:rPr>
      </w:pPr>
    </w:p>
    <w:p w14:paraId="6820388D" w14:textId="77777777" w:rsidR="00506BE7" w:rsidRDefault="008E332A">
      <w:pPr>
        <w:widowControl w:val="0"/>
        <w:spacing w:after="0" w:line="240" w:lineRule="auto"/>
        <w:ind w:left="540" w:hanging="540"/>
        <w:rPr>
          <w:rFonts w:ascii="Times New Roman" w:eastAsia="Calibri" w:hAnsi="Times New Roman" w:cs="Times New Roman"/>
          <w:b/>
        </w:rPr>
      </w:pPr>
      <w:bookmarkStart w:id="47" w:name="_Toc129243245"/>
      <w:bookmarkStart w:id="48" w:name="_Toc129243120"/>
      <w:r>
        <w:rPr>
          <w:rFonts w:ascii="Times New Roman" w:eastAsia="Calibri" w:hAnsi="Times New Roman" w:cs="Times New Roman"/>
          <w:b/>
        </w:rPr>
        <w:t>6.5</w:t>
      </w:r>
      <w:r>
        <w:rPr>
          <w:rFonts w:ascii="Times New Roman" w:eastAsia="Calibri" w:hAnsi="Times New Roman" w:cs="Times New Roman"/>
          <w:b/>
        </w:rPr>
        <w:tab/>
        <w:t>Talpyklės pobūdis ir jos turinys</w:t>
      </w:r>
      <w:bookmarkEnd w:id="47"/>
      <w:bookmarkEnd w:id="48"/>
    </w:p>
    <w:p w14:paraId="37265A2E" w14:textId="77777777" w:rsidR="00506BE7" w:rsidRDefault="00506BE7">
      <w:pPr>
        <w:widowControl w:val="0"/>
        <w:spacing w:after="0" w:line="240" w:lineRule="auto"/>
        <w:rPr>
          <w:rFonts w:ascii="Times New Roman" w:eastAsia="Calibri" w:hAnsi="Times New Roman" w:cs="Times New Roman"/>
        </w:rPr>
      </w:pPr>
    </w:p>
    <w:p w14:paraId="555E7233"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OPA/Al/PVC/Al lizdinės plokštelės</w:t>
      </w:r>
    </w:p>
    <w:p w14:paraId="234FE00D"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Pakuotės dydžiai: 10, 30, 50, 60, 90 arba 100 pailginto atpalaidavimo tablečių.</w:t>
      </w:r>
    </w:p>
    <w:p w14:paraId="4A531E2D" w14:textId="77777777" w:rsidR="00506BE7" w:rsidRDefault="00506BE7">
      <w:pPr>
        <w:widowControl w:val="0"/>
        <w:spacing w:after="0" w:line="240" w:lineRule="auto"/>
        <w:rPr>
          <w:rFonts w:ascii="Times New Roman" w:eastAsia="Calibri" w:hAnsi="Times New Roman" w:cs="Times New Roman"/>
        </w:rPr>
      </w:pPr>
    </w:p>
    <w:p w14:paraId="71B97AD0"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Gali būti tiekiamos ne visų dydžių pakuotės.</w:t>
      </w:r>
    </w:p>
    <w:p w14:paraId="73A96EED" w14:textId="77777777" w:rsidR="00506BE7" w:rsidRDefault="00506BE7">
      <w:pPr>
        <w:widowControl w:val="0"/>
        <w:spacing w:after="0" w:line="240" w:lineRule="auto"/>
        <w:rPr>
          <w:rFonts w:ascii="Times New Roman" w:eastAsia="Calibri" w:hAnsi="Times New Roman" w:cs="Times New Roman"/>
        </w:rPr>
      </w:pPr>
    </w:p>
    <w:p w14:paraId="4611738E" w14:textId="77777777" w:rsidR="00506BE7" w:rsidRDefault="008E332A">
      <w:pPr>
        <w:widowControl w:val="0"/>
        <w:spacing w:after="0" w:line="240" w:lineRule="auto"/>
        <w:ind w:left="540" w:hanging="540"/>
        <w:rPr>
          <w:rFonts w:ascii="Times New Roman" w:eastAsia="Calibri" w:hAnsi="Times New Roman" w:cs="Times New Roman"/>
          <w:b/>
        </w:rPr>
      </w:pPr>
      <w:bookmarkStart w:id="49" w:name="_Toc129243246"/>
      <w:bookmarkStart w:id="50" w:name="_Toc129243121"/>
      <w:r>
        <w:rPr>
          <w:rFonts w:ascii="Times New Roman" w:eastAsia="Calibri" w:hAnsi="Times New Roman" w:cs="Times New Roman"/>
          <w:b/>
        </w:rPr>
        <w:t>6.6</w:t>
      </w:r>
      <w:r>
        <w:rPr>
          <w:rFonts w:ascii="Times New Roman" w:eastAsia="Calibri" w:hAnsi="Times New Roman" w:cs="Times New Roman"/>
          <w:b/>
        </w:rPr>
        <w:tab/>
        <w:t>Specialūs reikalavimai atliekoms tvarkyti</w:t>
      </w:r>
      <w:bookmarkEnd w:id="49"/>
      <w:bookmarkEnd w:id="50"/>
    </w:p>
    <w:p w14:paraId="268AF95C" w14:textId="77777777" w:rsidR="00506BE7" w:rsidRDefault="00506BE7">
      <w:pPr>
        <w:widowControl w:val="0"/>
        <w:spacing w:after="0" w:line="240" w:lineRule="auto"/>
        <w:rPr>
          <w:rFonts w:ascii="Times New Roman" w:eastAsia="Calibri" w:hAnsi="Times New Roman" w:cs="Times New Roman"/>
        </w:rPr>
      </w:pPr>
    </w:p>
    <w:p w14:paraId="3C8D120B"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Specialių reikalavimų nėra.</w:t>
      </w:r>
    </w:p>
    <w:p w14:paraId="0AF9FEC0" w14:textId="77777777" w:rsidR="00506BE7" w:rsidRDefault="00506BE7">
      <w:pPr>
        <w:widowControl w:val="0"/>
        <w:spacing w:after="0" w:line="240" w:lineRule="auto"/>
        <w:rPr>
          <w:rFonts w:ascii="Times New Roman" w:eastAsia="Calibri" w:hAnsi="Times New Roman" w:cs="Times New Roman"/>
        </w:rPr>
      </w:pPr>
    </w:p>
    <w:p w14:paraId="33AEBB8E" w14:textId="77777777" w:rsidR="00506BE7" w:rsidRDefault="00506BE7">
      <w:pPr>
        <w:widowControl w:val="0"/>
        <w:spacing w:after="0" w:line="240" w:lineRule="auto"/>
        <w:rPr>
          <w:rFonts w:ascii="Times New Roman" w:eastAsia="Calibri" w:hAnsi="Times New Roman" w:cs="Times New Roman"/>
        </w:rPr>
      </w:pPr>
    </w:p>
    <w:p w14:paraId="515E0C14" w14:textId="77777777" w:rsidR="00506BE7" w:rsidRDefault="008E332A">
      <w:pPr>
        <w:widowControl w:val="0"/>
        <w:tabs>
          <w:tab w:val="left" w:pos="567"/>
        </w:tabs>
        <w:spacing w:after="0" w:line="240" w:lineRule="auto"/>
        <w:ind w:left="567" w:hanging="567"/>
        <w:outlineLvl w:val="1"/>
        <w:rPr>
          <w:rFonts w:ascii="Times New Roman" w:eastAsia="Calibri" w:hAnsi="Times New Roman" w:cs="Times New Roman"/>
          <w:b/>
        </w:rPr>
      </w:pPr>
      <w:bookmarkStart w:id="51" w:name="_Toc129243247"/>
      <w:bookmarkStart w:id="52" w:name="_Toc129243122"/>
      <w:r>
        <w:rPr>
          <w:rFonts w:ascii="Times New Roman" w:eastAsia="Calibri" w:hAnsi="Times New Roman" w:cs="Times New Roman"/>
          <w:b/>
        </w:rPr>
        <w:t>7.</w:t>
      </w:r>
      <w:r>
        <w:rPr>
          <w:rFonts w:ascii="Times New Roman" w:eastAsia="Calibri" w:hAnsi="Times New Roman" w:cs="Times New Roman"/>
          <w:b/>
        </w:rPr>
        <w:tab/>
        <w:t>REGISTRUOTOJAS</w:t>
      </w:r>
    </w:p>
    <w:bookmarkEnd w:id="51"/>
    <w:bookmarkEnd w:id="52"/>
    <w:p w14:paraId="20023EC6" w14:textId="77777777" w:rsidR="00506BE7" w:rsidRDefault="00506BE7">
      <w:pPr>
        <w:widowControl w:val="0"/>
        <w:spacing w:after="0" w:line="240" w:lineRule="auto"/>
        <w:rPr>
          <w:rFonts w:ascii="Times New Roman" w:eastAsia="Calibri" w:hAnsi="Times New Roman" w:cs="Times New Roman"/>
        </w:rPr>
      </w:pPr>
    </w:p>
    <w:p w14:paraId="112EEDCD" w14:textId="77777777" w:rsidR="00506BE7" w:rsidRDefault="008E332A">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KRKA, d.d., Novo mesto</w:t>
      </w:r>
    </w:p>
    <w:p w14:paraId="506589F8" w14:textId="77777777" w:rsidR="00506BE7" w:rsidRDefault="008E332A">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Šmarješka cesta 6</w:t>
      </w:r>
    </w:p>
    <w:p w14:paraId="626AC748" w14:textId="77777777" w:rsidR="00506BE7" w:rsidRDefault="008E332A">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8501 Novo mesto</w:t>
      </w:r>
    </w:p>
    <w:p w14:paraId="356C0D58" w14:textId="77777777" w:rsidR="00506BE7" w:rsidRDefault="008E332A">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Slovėnija</w:t>
      </w:r>
    </w:p>
    <w:p w14:paraId="0D48A9EF" w14:textId="77777777" w:rsidR="00506BE7" w:rsidRDefault="00506BE7">
      <w:pPr>
        <w:widowControl w:val="0"/>
        <w:spacing w:after="0" w:line="240" w:lineRule="auto"/>
        <w:rPr>
          <w:rFonts w:ascii="Times New Roman" w:eastAsia="Calibri" w:hAnsi="Times New Roman" w:cs="Times New Roman"/>
        </w:rPr>
      </w:pPr>
    </w:p>
    <w:p w14:paraId="37ABFBCF" w14:textId="77777777" w:rsidR="00506BE7" w:rsidRDefault="00506BE7">
      <w:pPr>
        <w:widowControl w:val="0"/>
        <w:spacing w:after="0" w:line="240" w:lineRule="auto"/>
        <w:rPr>
          <w:rFonts w:ascii="Times New Roman" w:eastAsia="Calibri" w:hAnsi="Times New Roman" w:cs="Times New Roman"/>
        </w:rPr>
      </w:pPr>
    </w:p>
    <w:p w14:paraId="5BE800B3" w14:textId="77777777" w:rsidR="00506BE7" w:rsidRDefault="008E332A">
      <w:pPr>
        <w:widowControl w:val="0"/>
        <w:tabs>
          <w:tab w:val="left" w:pos="567"/>
        </w:tabs>
        <w:spacing w:after="0" w:line="240" w:lineRule="auto"/>
        <w:ind w:left="567" w:hanging="567"/>
        <w:outlineLvl w:val="1"/>
        <w:rPr>
          <w:rFonts w:ascii="Times New Roman" w:eastAsia="Calibri" w:hAnsi="Times New Roman" w:cs="Times New Roman"/>
          <w:b/>
        </w:rPr>
      </w:pPr>
      <w:bookmarkStart w:id="53" w:name="_Toc129243248"/>
      <w:bookmarkStart w:id="54" w:name="_Toc129243123"/>
      <w:r>
        <w:rPr>
          <w:rFonts w:ascii="Times New Roman" w:eastAsia="Calibri" w:hAnsi="Times New Roman" w:cs="Times New Roman"/>
          <w:b/>
        </w:rPr>
        <w:t>8.</w:t>
      </w:r>
      <w:r>
        <w:rPr>
          <w:rFonts w:ascii="Times New Roman" w:eastAsia="Calibri" w:hAnsi="Times New Roman" w:cs="Times New Roman"/>
          <w:b/>
        </w:rPr>
        <w:tab/>
        <w:t>REGISTRACIJOS PAŽYMĖJIMO NUMERIS (-IAI)</w:t>
      </w:r>
      <w:bookmarkEnd w:id="53"/>
      <w:bookmarkEnd w:id="54"/>
    </w:p>
    <w:p w14:paraId="6E6FBE52" w14:textId="77777777" w:rsidR="00506BE7" w:rsidRDefault="00506BE7">
      <w:pPr>
        <w:widowControl w:val="0"/>
        <w:spacing w:after="0" w:line="240" w:lineRule="auto"/>
        <w:rPr>
          <w:rFonts w:ascii="Times New Roman" w:eastAsia="Calibri" w:hAnsi="Times New Roman" w:cs="Times New Roman"/>
        </w:rPr>
      </w:pPr>
    </w:p>
    <w:p w14:paraId="4FE55430" w14:textId="77777777" w:rsidR="00506BE7" w:rsidRDefault="00506BE7">
      <w:pPr>
        <w:widowControl w:val="0"/>
        <w:spacing w:after="0" w:line="240" w:lineRule="auto"/>
        <w:rPr>
          <w:rFonts w:ascii="Times New Roman" w:eastAsia="Calibri" w:hAnsi="Times New Roman" w:cs="Times New Roman"/>
          <w:i/>
        </w:rPr>
      </w:pPr>
    </w:p>
    <w:tbl>
      <w:tblPr>
        <w:tblW w:w="0" w:type="auto"/>
        <w:tblLook w:val="04A0" w:firstRow="1" w:lastRow="0" w:firstColumn="1" w:lastColumn="0" w:noHBand="0" w:noVBand="1"/>
      </w:tblPr>
      <w:tblGrid>
        <w:gridCol w:w="3023"/>
        <w:gridCol w:w="3024"/>
        <w:gridCol w:w="3024"/>
      </w:tblGrid>
      <w:tr w:rsidR="00506BE7" w14:paraId="67625355" w14:textId="77777777">
        <w:tc>
          <w:tcPr>
            <w:tcW w:w="3095" w:type="dxa"/>
            <w:shd w:val="clear" w:color="auto" w:fill="auto"/>
          </w:tcPr>
          <w:p w14:paraId="2BDB8DC8" w14:textId="77777777" w:rsidR="00506BE7" w:rsidRDefault="008E332A">
            <w:pPr>
              <w:widowControl w:val="0"/>
              <w:spacing w:after="0" w:line="240" w:lineRule="auto"/>
              <w:rPr>
                <w:rFonts w:ascii="Times New Roman" w:eastAsia="Calibri" w:hAnsi="Times New Roman" w:cs="Times New Roman"/>
                <w:i/>
              </w:rPr>
            </w:pPr>
            <w:r>
              <w:rPr>
                <w:rFonts w:ascii="Times New Roman" w:eastAsia="Calibri" w:hAnsi="Times New Roman" w:cs="Times New Roman"/>
                <w:i/>
              </w:rPr>
              <w:t>Kventiax 50 mg</w:t>
            </w:r>
          </w:p>
          <w:p w14:paraId="20DAEB0E"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LT/1/07/0907/073 – N10</w:t>
            </w:r>
          </w:p>
          <w:p w14:paraId="097830CF"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LT/1/07/0907/074 – N30</w:t>
            </w:r>
          </w:p>
          <w:p w14:paraId="62F53BEE"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LT/1/07/0907/075 – N50</w:t>
            </w:r>
          </w:p>
          <w:p w14:paraId="75090548"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LT/1/07/0907/076 – N60</w:t>
            </w:r>
          </w:p>
          <w:p w14:paraId="761C839A"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LT/1/07/0907/077 – N90</w:t>
            </w:r>
          </w:p>
          <w:p w14:paraId="3EF1B33E"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LT/1/07/0907/078 – N100</w:t>
            </w:r>
          </w:p>
        </w:tc>
        <w:tc>
          <w:tcPr>
            <w:tcW w:w="3096" w:type="dxa"/>
            <w:shd w:val="clear" w:color="auto" w:fill="auto"/>
          </w:tcPr>
          <w:p w14:paraId="59761495" w14:textId="77777777" w:rsidR="00506BE7" w:rsidRDefault="008E332A">
            <w:pPr>
              <w:widowControl w:val="0"/>
              <w:spacing w:after="0" w:line="240" w:lineRule="auto"/>
              <w:rPr>
                <w:rFonts w:ascii="Times New Roman" w:eastAsia="Calibri" w:hAnsi="Times New Roman" w:cs="Times New Roman"/>
                <w:i/>
              </w:rPr>
            </w:pPr>
            <w:r>
              <w:rPr>
                <w:rFonts w:ascii="Times New Roman" w:eastAsia="Calibri" w:hAnsi="Times New Roman" w:cs="Times New Roman"/>
                <w:i/>
              </w:rPr>
              <w:t>Kventiax 150 mg</w:t>
            </w:r>
          </w:p>
          <w:p w14:paraId="220087C6"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LT/1/07/0907/055 – N10</w:t>
            </w:r>
          </w:p>
          <w:p w14:paraId="09658323"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LT/1/07/0907/056 – N30</w:t>
            </w:r>
          </w:p>
          <w:p w14:paraId="16647EC7"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LT/1/07/0907/057 – N50</w:t>
            </w:r>
          </w:p>
          <w:p w14:paraId="28606073"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LT/1/07/0907/058 – N60</w:t>
            </w:r>
          </w:p>
          <w:p w14:paraId="1460F28C"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LT/1/07/0907/059 – N90</w:t>
            </w:r>
          </w:p>
          <w:p w14:paraId="6645A55F"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LT/1/07/0907/060 – N100</w:t>
            </w:r>
          </w:p>
        </w:tc>
        <w:tc>
          <w:tcPr>
            <w:tcW w:w="3096" w:type="dxa"/>
            <w:shd w:val="clear" w:color="auto" w:fill="auto"/>
          </w:tcPr>
          <w:p w14:paraId="18E6166A" w14:textId="77777777" w:rsidR="00506BE7" w:rsidRDefault="008E332A">
            <w:pPr>
              <w:widowControl w:val="0"/>
              <w:spacing w:after="0" w:line="240" w:lineRule="auto"/>
              <w:rPr>
                <w:rFonts w:ascii="Times New Roman" w:eastAsia="Calibri" w:hAnsi="Times New Roman" w:cs="Times New Roman"/>
                <w:i/>
              </w:rPr>
            </w:pPr>
            <w:r>
              <w:rPr>
                <w:rFonts w:ascii="Times New Roman" w:eastAsia="Calibri" w:hAnsi="Times New Roman" w:cs="Times New Roman"/>
                <w:i/>
              </w:rPr>
              <w:t>Kventiax 200 mg</w:t>
            </w:r>
          </w:p>
          <w:p w14:paraId="4DF69F5F"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LT/1/07/0907/061 – N10</w:t>
            </w:r>
          </w:p>
          <w:p w14:paraId="094CE891"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LT/1/07/0907/062 – N30</w:t>
            </w:r>
          </w:p>
          <w:p w14:paraId="6682A91D"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LT/1/07/0907/063 – N50</w:t>
            </w:r>
          </w:p>
          <w:p w14:paraId="3D9E9E58"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LT/1/07/0907/064 – N60</w:t>
            </w:r>
          </w:p>
          <w:p w14:paraId="092D6386"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LT/1/07/0907/065  – N90</w:t>
            </w:r>
          </w:p>
          <w:p w14:paraId="2D4FBF15"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LT/1/07/0907/066 – N100</w:t>
            </w:r>
          </w:p>
        </w:tc>
      </w:tr>
      <w:tr w:rsidR="00506BE7" w14:paraId="4983C335" w14:textId="77777777">
        <w:trPr>
          <w:gridAfter w:val="1"/>
          <w:wAfter w:w="3096" w:type="dxa"/>
        </w:trPr>
        <w:tc>
          <w:tcPr>
            <w:tcW w:w="3095" w:type="dxa"/>
            <w:shd w:val="clear" w:color="auto" w:fill="auto"/>
          </w:tcPr>
          <w:p w14:paraId="4223C164" w14:textId="77777777" w:rsidR="00506BE7" w:rsidRDefault="008E332A">
            <w:pPr>
              <w:widowControl w:val="0"/>
              <w:spacing w:after="0" w:line="240" w:lineRule="auto"/>
              <w:rPr>
                <w:rFonts w:ascii="Times New Roman" w:eastAsia="Calibri" w:hAnsi="Times New Roman" w:cs="Times New Roman"/>
                <w:i/>
              </w:rPr>
            </w:pPr>
            <w:r>
              <w:rPr>
                <w:rFonts w:ascii="Times New Roman" w:eastAsia="Calibri" w:hAnsi="Times New Roman" w:cs="Times New Roman"/>
                <w:i/>
              </w:rPr>
              <w:t>Kventiax 300 mg</w:t>
            </w:r>
          </w:p>
          <w:p w14:paraId="70BEE72D"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LT/1/07/0907/067 – N10</w:t>
            </w:r>
          </w:p>
          <w:p w14:paraId="66B79EFC"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LT/1/07/0907/068 – N30</w:t>
            </w:r>
          </w:p>
          <w:p w14:paraId="2D5B0A48"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LT/1/07/0907/069 – N50</w:t>
            </w:r>
          </w:p>
          <w:p w14:paraId="18A632BE"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LT/1/07/0907/070 – N60</w:t>
            </w:r>
          </w:p>
          <w:p w14:paraId="3AF55A8C"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LT/1/07/0907/071 – N90</w:t>
            </w:r>
          </w:p>
          <w:p w14:paraId="719F772F"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LT/1/07/0907/072 – N100</w:t>
            </w:r>
          </w:p>
        </w:tc>
        <w:tc>
          <w:tcPr>
            <w:tcW w:w="3096" w:type="dxa"/>
            <w:shd w:val="clear" w:color="auto" w:fill="auto"/>
          </w:tcPr>
          <w:p w14:paraId="0DAC4D79" w14:textId="77777777" w:rsidR="00506BE7" w:rsidRDefault="008E332A">
            <w:pPr>
              <w:widowControl w:val="0"/>
              <w:spacing w:after="0" w:line="240" w:lineRule="auto"/>
              <w:rPr>
                <w:rFonts w:ascii="Times New Roman" w:eastAsia="Calibri" w:hAnsi="Times New Roman" w:cs="Times New Roman"/>
                <w:i/>
              </w:rPr>
            </w:pPr>
            <w:r>
              <w:rPr>
                <w:rFonts w:ascii="Times New Roman" w:eastAsia="Calibri" w:hAnsi="Times New Roman" w:cs="Times New Roman"/>
                <w:i/>
              </w:rPr>
              <w:t>Kventiax 400 mg</w:t>
            </w:r>
          </w:p>
          <w:p w14:paraId="2624D720"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LT/1/18/4255/001 – N10</w:t>
            </w:r>
          </w:p>
          <w:p w14:paraId="6E5DBAFE"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LT/1/18/4255/002 – N30</w:t>
            </w:r>
          </w:p>
          <w:p w14:paraId="1CDB9058"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LT/1/18/4255/003 – N50</w:t>
            </w:r>
          </w:p>
          <w:p w14:paraId="2E3D535E"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LT/1/18/4255/004 – N60</w:t>
            </w:r>
          </w:p>
          <w:p w14:paraId="01B3F6FF"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LT/1/18/4255/005 – N90</w:t>
            </w:r>
          </w:p>
          <w:p w14:paraId="701750CD"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LT/1/18/4255/006 – N100</w:t>
            </w:r>
          </w:p>
        </w:tc>
      </w:tr>
    </w:tbl>
    <w:p w14:paraId="5EE4A709" w14:textId="77777777" w:rsidR="00506BE7" w:rsidRDefault="00506BE7">
      <w:pPr>
        <w:widowControl w:val="0"/>
        <w:spacing w:after="0" w:line="240" w:lineRule="auto"/>
        <w:rPr>
          <w:rFonts w:ascii="Times New Roman" w:eastAsia="Calibri" w:hAnsi="Times New Roman" w:cs="Times New Roman"/>
        </w:rPr>
      </w:pPr>
    </w:p>
    <w:p w14:paraId="04E8FBDC" w14:textId="77777777" w:rsidR="00506BE7" w:rsidRDefault="00506BE7">
      <w:pPr>
        <w:widowControl w:val="0"/>
        <w:spacing w:after="0" w:line="240" w:lineRule="auto"/>
        <w:rPr>
          <w:rFonts w:ascii="Times New Roman" w:eastAsia="Calibri" w:hAnsi="Times New Roman" w:cs="Times New Roman"/>
        </w:rPr>
      </w:pPr>
    </w:p>
    <w:p w14:paraId="7912D680" w14:textId="77777777" w:rsidR="00506BE7" w:rsidRDefault="008E332A">
      <w:pPr>
        <w:widowControl w:val="0"/>
        <w:tabs>
          <w:tab w:val="left" w:pos="567"/>
        </w:tabs>
        <w:spacing w:after="0" w:line="240" w:lineRule="auto"/>
        <w:ind w:left="567" w:hanging="567"/>
        <w:outlineLvl w:val="1"/>
        <w:rPr>
          <w:rFonts w:ascii="Times New Roman" w:eastAsia="Calibri" w:hAnsi="Times New Roman" w:cs="Times New Roman"/>
          <w:b/>
        </w:rPr>
      </w:pPr>
      <w:bookmarkStart w:id="55" w:name="_Toc129243249"/>
      <w:bookmarkStart w:id="56" w:name="_Toc129243124"/>
      <w:r>
        <w:rPr>
          <w:rFonts w:ascii="Times New Roman" w:eastAsia="Calibri" w:hAnsi="Times New Roman" w:cs="Times New Roman"/>
          <w:b/>
        </w:rPr>
        <w:t>9.</w:t>
      </w:r>
      <w:r>
        <w:rPr>
          <w:rFonts w:ascii="Times New Roman" w:eastAsia="Calibri" w:hAnsi="Times New Roman" w:cs="Times New Roman"/>
          <w:b/>
        </w:rPr>
        <w:tab/>
        <w:t>REGISTRAVIMO /PERREGISTRAVIMO DATA</w:t>
      </w:r>
      <w:bookmarkEnd w:id="55"/>
      <w:bookmarkEnd w:id="56"/>
    </w:p>
    <w:p w14:paraId="62BBD373" w14:textId="77777777" w:rsidR="00506BE7" w:rsidRDefault="00506BE7">
      <w:pPr>
        <w:widowControl w:val="0"/>
        <w:spacing w:after="0" w:line="240" w:lineRule="auto"/>
        <w:rPr>
          <w:rFonts w:ascii="Times New Roman" w:eastAsia="Calibri" w:hAnsi="Times New Roman" w:cs="Times New Roman"/>
        </w:rPr>
      </w:pPr>
    </w:p>
    <w:p w14:paraId="5AABD2CB"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Registravimo data</w:t>
      </w:r>
    </w:p>
    <w:p w14:paraId="0CC2A4CB"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i/>
        </w:rPr>
        <w:t xml:space="preserve">Kventiax 50 mg : </w:t>
      </w:r>
      <w:r>
        <w:rPr>
          <w:rFonts w:ascii="Times New Roman" w:eastAsia="Calibri" w:hAnsi="Times New Roman" w:cs="Times New Roman"/>
        </w:rPr>
        <w:t>2015 m. lapkričio 26 d.</w:t>
      </w:r>
    </w:p>
    <w:p w14:paraId="2238BA91"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i/>
        </w:rPr>
        <w:t xml:space="preserve">Kventiax 150 mg, 200 mg, 300 mg: </w:t>
      </w:r>
      <w:r>
        <w:rPr>
          <w:rFonts w:ascii="Times New Roman" w:eastAsia="Calibri" w:hAnsi="Times New Roman" w:cs="Times New Roman"/>
        </w:rPr>
        <w:t>2014 m. gruodžio 23 d.</w:t>
      </w:r>
    </w:p>
    <w:p w14:paraId="755A16B4"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i/>
        </w:rPr>
        <w:t xml:space="preserve">Kventiax 400 mg : </w:t>
      </w:r>
      <w:r>
        <w:rPr>
          <w:rFonts w:ascii="Times New Roman" w:eastAsia="Calibri" w:hAnsi="Times New Roman" w:cs="Times New Roman"/>
        </w:rPr>
        <w:t>2018 m. rugsėjo 10 d.</w:t>
      </w:r>
    </w:p>
    <w:p w14:paraId="1C25E2EA" w14:textId="77777777" w:rsidR="00506BE7" w:rsidRDefault="00506BE7">
      <w:pPr>
        <w:widowControl w:val="0"/>
        <w:spacing w:after="0" w:line="240" w:lineRule="auto"/>
        <w:rPr>
          <w:rFonts w:ascii="Times New Roman" w:eastAsia="Calibri" w:hAnsi="Times New Roman" w:cs="Times New Roman"/>
        </w:rPr>
      </w:pPr>
    </w:p>
    <w:p w14:paraId="747EF7A8"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Paskutinio perregistravimo data 2019 m. spalio 11 d.</w:t>
      </w:r>
    </w:p>
    <w:p w14:paraId="45EFE144" w14:textId="77777777" w:rsidR="00506BE7" w:rsidRDefault="00506BE7">
      <w:pPr>
        <w:widowControl w:val="0"/>
        <w:tabs>
          <w:tab w:val="left" w:pos="567"/>
        </w:tabs>
        <w:spacing w:after="0" w:line="240" w:lineRule="auto"/>
        <w:ind w:left="567" w:hanging="567"/>
        <w:outlineLvl w:val="1"/>
        <w:rPr>
          <w:rFonts w:ascii="Times New Roman" w:eastAsia="Calibri" w:hAnsi="Times New Roman" w:cs="Times New Roman"/>
          <w:b/>
        </w:rPr>
      </w:pPr>
      <w:bookmarkStart w:id="57" w:name="_Toc129243250"/>
      <w:bookmarkStart w:id="58" w:name="_Toc129243125"/>
    </w:p>
    <w:p w14:paraId="1EA1C3A6" w14:textId="77777777" w:rsidR="00506BE7" w:rsidRDefault="00506BE7">
      <w:pPr>
        <w:widowControl w:val="0"/>
        <w:tabs>
          <w:tab w:val="left" w:pos="567"/>
        </w:tabs>
        <w:spacing w:after="0" w:line="240" w:lineRule="auto"/>
        <w:ind w:left="567" w:hanging="567"/>
        <w:outlineLvl w:val="1"/>
        <w:rPr>
          <w:rFonts w:ascii="Times New Roman" w:eastAsia="Calibri" w:hAnsi="Times New Roman" w:cs="Times New Roman"/>
          <w:b/>
        </w:rPr>
      </w:pPr>
    </w:p>
    <w:p w14:paraId="3EDB77E5" w14:textId="77777777" w:rsidR="00506BE7" w:rsidRDefault="008E332A">
      <w:pPr>
        <w:widowControl w:val="0"/>
        <w:tabs>
          <w:tab w:val="left" w:pos="567"/>
        </w:tabs>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10.</w:t>
      </w:r>
      <w:r>
        <w:rPr>
          <w:rFonts w:ascii="Times New Roman" w:eastAsia="Calibri" w:hAnsi="Times New Roman" w:cs="Times New Roman"/>
          <w:b/>
        </w:rPr>
        <w:tab/>
        <w:t>TEKSTO PERŽIŪROS DATA</w:t>
      </w:r>
      <w:bookmarkEnd w:id="57"/>
      <w:bookmarkEnd w:id="58"/>
    </w:p>
    <w:p w14:paraId="049355B3" w14:textId="77777777" w:rsidR="00506BE7" w:rsidRDefault="00506BE7">
      <w:pPr>
        <w:widowControl w:val="0"/>
        <w:spacing w:after="0" w:line="240" w:lineRule="auto"/>
        <w:rPr>
          <w:rFonts w:ascii="Times New Roman" w:eastAsia="Calibri" w:hAnsi="Times New Roman" w:cs="Times New Roman"/>
        </w:rPr>
      </w:pPr>
    </w:p>
    <w:p w14:paraId="1FE564FE" w14:textId="09BA3770" w:rsidR="00506BE7" w:rsidRDefault="0097013C">
      <w:pPr>
        <w:widowControl w:val="0"/>
        <w:spacing w:after="0" w:line="240" w:lineRule="auto"/>
        <w:rPr>
          <w:rFonts w:ascii="Times New Roman" w:hAnsi="Times New Roman"/>
          <w:lang w:val="sl-SI"/>
        </w:rPr>
      </w:pPr>
      <w:r>
        <w:rPr>
          <w:rFonts w:ascii="Times New Roman" w:hAnsi="Times New Roman"/>
          <w:lang w:val="sl-SI"/>
        </w:rPr>
        <w:lastRenderedPageBreak/>
        <w:t>2025 m. balandžio 13 d.</w:t>
      </w:r>
    </w:p>
    <w:p w14:paraId="6594B3A0" w14:textId="77777777" w:rsidR="009360C2" w:rsidRDefault="009360C2">
      <w:pPr>
        <w:widowControl w:val="0"/>
        <w:spacing w:after="0" w:line="240" w:lineRule="auto"/>
        <w:rPr>
          <w:rFonts w:ascii="Times New Roman" w:eastAsia="Calibri" w:hAnsi="Times New Roman" w:cs="Times New Roman"/>
        </w:rPr>
      </w:pPr>
    </w:p>
    <w:p w14:paraId="3E602D8E" w14:textId="27186C22" w:rsidR="00506BE7" w:rsidRDefault="008E332A">
      <w:pPr>
        <w:widowControl w:val="0"/>
        <w:tabs>
          <w:tab w:val="left" w:pos="5954"/>
          <w:tab w:val="left" w:pos="6237"/>
          <w:tab w:val="left" w:pos="6663"/>
          <w:tab w:val="left" w:pos="6946"/>
        </w:tabs>
        <w:spacing w:after="0" w:line="240" w:lineRule="auto"/>
        <w:rPr>
          <w:rFonts w:ascii="Times New Roman" w:eastAsia="Calibri" w:hAnsi="Times New Roman" w:cs="Times New Roman"/>
        </w:rPr>
      </w:pPr>
      <w:r>
        <w:rPr>
          <w:rFonts w:ascii="Times New Roman" w:eastAsia="Calibri" w:hAnsi="Times New Roman" w:cs="Times New Roman"/>
        </w:rPr>
        <w:t>Išsami informacija apie šį vaistinį preparatą pateikiama Valstybinės vaistų kontrolės tarnybos prie Lietuvos Respublikos sveikatos apsaugos ministerijos tinklalapyje</w:t>
      </w:r>
      <w:r>
        <w:rPr>
          <w:rFonts w:ascii="Times New Roman" w:eastAsia="Calibri" w:hAnsi="Times New Roman" w:cs="Times New Roman"/>
          <w:i/>
        </w:rPr>
        <w:t xml:space="preserve"> </w:t>
      </w:r>
      <w:r w:rsidR="005F6077" w:rsidRPr="005F6077">
        <w:rPr>
          <w:rFonts w:ascii="Times New Roman" w:eastAsia="Times New Roman" w:hAnsi="Times New Roman" w:cs="Times New Roman"/>
          <w:color w:val="0000EE"/>
          <w:u w:val="single"/>
          <w:lang w:eastAsia="lt-LT"/>
        </w:rPr>
        <w:t>https://vvkt.lrv.lt/lt/.</w:t>
      </w:r>
    </w:p>
    <w:p w14:paraId="0AC06CCB" w14:textId="77777777" w:rsidR="00506BE7" w:rsidRDefault="008E332A">
      <w:pPr>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br w:type="page"/>
      </w:r>
    </w:p>
    <w:p w14:paraId="131A50CF" w14:textId="77777777" w:rsidR="00506BE7" w:rsidRDefault="00506BE7">
      <w:pPr>
        <w:widowControl w:val="0"/>
        <w:spacing w:after="0" w:line="240" w:lineRule="auto"/>
        <w:jc w:val="center"/>
        <w:rPr>
          <w:rFonts w:ascii="Times New Roman" w:eastAsia="Calibri" w:hAnsi="Times New Roman" w:cs="Times New Roman"/>
        </w:rPr>
      </w:pPr>
    </w:p>
    <w:p w14:paraId="739ADD5A" w14:textId="77777777" w:rsidR="00506BE7" w:rsidRDefault="00506BE7">
      <w:pPr>
        <w:widowControl w:val="0"/>
        <w:spacing w:after="0" w:line="240" w:lineRule="auto"/>
        <w:jc w:val="center"/>
        <w:rPr>
          <w:rFonts w:ascii="Times New Roman" w:eastAsia="Calibri" w:hAnsi="Times New Roman" w:cs="Times New Roman"/>
        </w:rPr>
      </w:pPr>
    </w:p>
    <w:p w14:paraId="172AC2D4" w14:textId="77777777" w:rsidR="00506BE7" w:rsidRDefault="00506BE7">
      <w:pPr>
        <w:widowControl w:val="0"/>
        <w:spacing w:after="0" w:line="240" w:lineRule="auto"/>
        <w:jc w:val="center"/>
        <w:rPr>
          <w:rFonts w:ascii="Times New Roman" w:eastAsia="Calibri" w:hAnsi="Times New Roman" w:cs="Times New Roman"/>
        </w:rPr>
      </w:pPr>
    </w:p>
    <w:p w14:paraId="5E80FFAD" w14:textId="77777777" w:rsidR="00506BE7" w:rsidRDefault="00506BE7">
      <w:pPr>
        <w:widowControl w:val="0"/>
        <w:spacing w:after="0" w:line="240" w:lineRule="auto"/>
        <w:jc w:val="center"/>
        <w:rPr>
          <w:rFonts w:ascii="Times New Roman" w:eastAsia="Calibri" w:hAnsi="Times New Roman" w:cs="Times New Roman"/>
        </w:rPr>
      </w:pPr>
    </w:p>
    <w:p w14:paraId="15DD86B0" w14:textId="77777777" w:rsidR="00506BE7" w:rsidRDefault="00506BE7">
      <w:pPr>
        <w:widowControl w:val="0"/>
        <w:spacing w:after="0" w:line="240" w:lineRule="auto"/>
        <w:jc w:val="center"/>
        <w:rPr>
          <w:rFonts w:ascii="Times New Roman" w:eastAsia="Calibri" w:hAnsi="Times New Roman" w:cs="Times New Roman"/>
        </w:rPr>
      </w:pPr>
    </w:p>
    <w:p w14:paraId="6E84C48F"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bookmarkStart w:id="59" w:name="_Toc129243253"/>
      <w:bookmarkStart w:id="60" w:name="_Toc129243128"/>
    </w:p>
    <w:p w14:paraId="76758BBF"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167F0A83"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22C2FB44"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2D2E119B"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5B664019"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7CB5E249"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68B6F73D"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4E37CE94"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4DFCE16D"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7960EE62"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16A61300"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7C33A1F7"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63D97F0F"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29EC45E1"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6841A400"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393D76FB"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060A5301"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551EFC58" w14:textId="77777777" w:rsidR="00506BE7" w:rsidRDefault="008E332A">
      <w:pPr>
        <w:widowControl w:val="0"/>
        <w:tabs>
          <w:tab w:val="left" w:pos="567"/>
        </w:tabs>
        <w:spacing w:after="0" w:line="240" w:lineRule="auto"/>
        <w:jc w:val="center"/>
        <w:outlineLvl w:val="0"/>
        <w:rPr>
          <w:rFonts w:ascii="Times New Roman" w:eastAsia="Calibri" w:hAnsi="Times New Roman" w:cs="Times New Roman"/>
          <w:b/>
        </w:rPr>
      </w:pPr>
      <w:r>
        <w:rPr>
          <w:rFonts w:ascii="Times New Roman" w:eastAsia="Calibri" w:hAnsi="Times New Roman" w:cs="Times New Roman"/>
          <w:b/>
        </w:rPr>
        <w:t>II PRIEDAS</w:t>
      </w:r>
      <w:bookmarkEnd w:id="59"/>
      <w:bookmarkEnd w:id="60"/>
    </w:p>
    <w:p w14:paraId="20C3918A" w14:textId="77777777" w:rsidR="00506BE7" w:rsidRDefault="00506BE7">
      <w:pPr>
        <w:widowControl w:val="0"/>
        <w:spacing w:after="0" w:line="240" w:lineRule="auto"/>
        <w:rPr>
          <w:rFonts w:ascii="Times New Roman" w:eastAsia="Calibri" w:hAnsi="Times New Roman" w:cs="Times New Roman"/>
        </w:rPr>
      </w:pPr>
    </w:p>
    <w:p w14:paraId="09B31F3F" w14:textId="77777777" w:rsidR="00506BE7" w:rsidRDefault="008E332A">
      <w:pPr>
        <w:widowControl w:val="0"/>
        <w:tabs>
          <w:tab w:val="left" w:pos="567"/>
        </w:tabs>
        <w:spacing w:after="0" w:line="240" w:lineRule="auto"/>
        <w:jc w:val="center"/>
        <w:outlineLvl w:val="0"/>
        <w:rPr>
          <w:rFonts w:ascii="Times New Roman" w:eastAsia="Calibri" w:hAnsi="Times New Roman" w:cs="Times New Roman"/>
          <w:b/>
        </w:rPr>
      </w:pPr>
      <w:r>
        <w:rPr>
          <w:rFonts w:ascii="Times New Roman" w:eastAsia="Calibri" w:hAnsi="Times New Roman" w:cs="Times New Roman"/>
          <w:b/>
        </w:rPr>
        <w:t>REGISTRACIJOS SĄLYGOS</w:t>
      </w:r>
    </w:p>
    <w:p w14:paraId="37C26BA2" w14:textId="77777777" w:rsidR="00506BE7" w:rsidRDefault="00506BE7">
      <w:pPr>
        <w:widowControl w:val="0"/>
        <w:spacing w:after="0" w:line="240" w:lineRule="auto"/>
        <w:rPr>
          <w:rFonts w:ascii="Times New Roman" w:eastAsia="Calibri" w:hAnsi="Times New Roman" w:cs="Times New Roman"/>
        </w:rPr>
      </w:pPr>
    </w:p>
    <w:p w14:paraId="38A80516" w14:textId="77777777" w:rsidR="00506BE7" w:rsidRDefault="008E332A">
      <w:pPr>
        <w:widowControl w:val="0"/>
        <w:tabs>
          <w:tab w:val="left" w:pos="567"/>
          <w:tab w:val="left" w:pos="1701"/>
        </w:tabs>
        <w:spacing w:after="0" w:line="240" w:lineRule="auto"/>
        <w:ind w:left="1576" w:hanging="442"/>
        <w:rPr>
          <w:rFonts w:ascii="Times New Roman" w:eastAsia="Calibri" w:hAnsi="Times New Roman" w:cs="Times New Roman"/>
          <w:b/>
        </w:rPr>
      </w:pPr>
      <w:r>
        <w:rPr>
          <w:rFonts w:ascii="Times New Roman" w:eastAsia="Calibri" w:hAnsi="Times New Roman" w:cs="Times New Roman"/>
          <w:b/>
        </w:rPr>
        <w:t>A.</w:t>
      </w:r>
      <w:r>
        <w:rPr>
          <w:rFonts w:ascii="Times New Roman" w:eastAsia="Calibri" w:hAnsi="Times New Roman" w:cs="Times New Roman"/>
          <w:b/>
        </w:rPr>
        <w:tab/>
        <w:t>GAMINTOJAS (-AI), ATSAKINGAS (-I) UŽ SERIJŲ IŠLEIDIMĄ</w:t>
      </w:r>
    </w:p>
    <w:p w14:paraId="20D7F1AA" w14:textId="77777777" w:rsidR="00506BE7" w:rsidRDefault="00506BE7">
      <w:pPr>
        <w:widowControl w:val="0"/>
        <w:spacing w:after="0" w:line="240" w:lineRule="auto"/>
        <w:rPr>
          <w:rFonts w:ascii="Times New Roman" w:eastAsia="Calibri" w:hAnsi="Times New Roman" w:cs="Times New Roman"/>
        </w:rPr>
      </w:pPr>
    </w:p>
    <w:p w14:paraId="175EC3FA" w14:textId="77777777" w:rsidR="00506BE7" w:rsidRDefault="008E332A">
      <w:pPr>
        <w:widowControl w:val="0"/>
        <w:tabs>
          <w:tab w:val="left" w:pos="567"/>
          <w:tab w:val="left" w:pos="1701"/>
        </w:tabs>
        <w:spacing w:after="0" w:line="240" w:lineRule="auto"/>
        <w:ind w:left="1576" w:hanging="442"/>
        <w:rPr>
          <w:rFonts w:ascii="Times New Roman" w:eastAsia="Calibri" w:hAnsi="Times New Roman" w:cs="Times New Roman"/>
          <w:b/>
        </w:rPr>
      </w:pPr>
      <w:r>
        <w:rPr>
          <w:rFonts w:ascii="Times New Roman" w:eastAsia="Calibri" w:hAnsi="Times New Roman" w:cs="Times New Roman"/>
          <w:b/>
        </w:rPr>
        <w:t>B.</w:t>
      </w:r>
      <w:r>
        <w:rPr>
          <w:rFonts w:ascii="Times New Roman" w:eastAsia="Calibri" w:hAnsi="Times New Roman" w:cs="Times New Roman"/>
          <w:b/>
        </w:rPr>
        <w:tab/>
        <w:t>TIEKIMO IR VARTOJIMO SĄLYGOS AR APRIBOJIMAI</w:t>
      </w:r>
    </w:p>
    <w:p w14:paraId="299110A8" w14:textId="77777777" w:rsidR="00506BE7" w:rsidRDefault="008E332A">
      <w:pPr>
        <w:widowControl w:val="0"/>
        <w:tabs>
          <w:tab w:val="left" w:pos="567"/>
        </w:tabs>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rPr>
        <w:br w:type="page"/>
      </w:r>
      <w:r>
        <w:rPr>
          <w:rFonts w:ascii="Times New Roman" w:eastAsia="Calibri" w:hAnsi="Times New Roman" w:cs="Times New Roman"/>
          <w:b/>
        </w:rPr>
        <w:lastRenderedPageBreak/>
        <w:t>A.</w:t>
      </w:r>
      <w:r>
        <w:rPr>
          <w:rFonts w:ascii="Times New Roman" w:eastAsia="Calibri" w:hAnsi="Times New Roman" w:cs="Times New Roman"/>
          <w:b/>
        </w:rPr>
        <w:tab/>
        <w:t>GAMINTOJAS (-AI), ATSAKINGAS (-I) UŽ SERIJŲ IŠLEIDIMĄ</w:t>
      </w:r>
    </w:p>
    <w:p w14:paraId="3D38D7C5" w14:textId="77777777" w:rsidR="00506BE7" w:rsidRDefault="00506BE7">
      <w:pPr>
        <w:widowControl w:val="0"/>
        <w:spacing w:after="0" w:line="240" w:lineRule="auto"/>
        <w:rPr>
          <w:rFonts w:ascii="Times New Roman" w:eastAsia="Calibri" w:hAnsi="Times New Roman" w:cs="Times New Roman"/>
        </w:rPr>
      </w:pPr>
    </w:p>
    <w:p w14:paraId="48BA7922" w14:textId="77777777" w:rsidR="00506BE7" w:rsidRDefault="008E332A">
      <w:pPr>
        <w:widowControl w:val="0"/>
        <w:tabs>
          <w:tab w:val="left" w:pos="567"/>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Gamintojo (-ų), atsakingo (-ų) už serijų išleidimą, pavadinimas (-ai) ir adresas (-ai)</w:t>
      </w:r>
    </w:p>
    <w:p w14:paraId="34C5DBA7" w14:textId="77777777" w:rsidR="00506BE7" w:rsidRDefault="00506BE7">
      <w:pPr>
        <w:widowControl w:val="0"/>
        <w:tabs>
          <w:tab w:val="left" w:pos="567"/>
        </w:tabs>
        <w:spacing w:after="0" w:line="240" w:lineRule="auto"/>
        <w:jc w:val="both"/>
        <w:rPr>
          <w:rFonts w:ascii="Times New Roman" w:eastAsia="Calibri" w:hAnsi="Times New Roman" w:cs="Times New Roman"/>
        </w:rPr>
      </w:pPr>
    </w:p>
    <w:p w14:paraId="25886864" w14:textId="77777777" w:rsidR="00506BE7" w:rsidRDefault="008E332A">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KRKA, d.d., Novo mesto</w:t>
      </w:r>
    </w:p>
    <w:p w14:paraId="7D198C2E" w14:textId="77777777" w:rsidR="00506BE7" w:rsidRDefault="008E332A">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Šmarješka cesta 6</w:t>
      </w:r>
    </w:p>
    <w:p w14:paraId="5823C854" w14:textId="77777777" w:rsidR="00506BE7" w:rsidRDefault="008E332A">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8501 Novo mesto</w:t>
      </w:r>
    </w:p>
    <w:p w14:paraId="6FC93606" w14:textId="77777777" w:rsidR="00506BE7" w:rsidRDefault="008E332A">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Slovėnija</w:t>
      </w:r>
    </w:p>
    <w:p w14:paraId="152A7985" w14:textId="77777777" w:rsidR="00506BE7" w:rsidRDefault="00506BE7">
      <w:pPr>
        <w:widowControl w:val="0"/>
        <w:spacing w:after="0" w:line="240" w:lineRule="auto"/>
        <w:rPr>
          <w:rFonts w:ascii="Times New Roman" w:eastAsia="Calibri" w:hAnsi="Times New Roman" w:cs="Times New Roman"/>
        </w:rPr>
      </w:pPr>
    </w:p>
    <w:p w14:paraId="1984A82E"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arba</w:t>
      </w:r>
    </w:p>
    <w:p w14:paraId="11349D6B" w14:textId="77777777" w:rsidR="00506BE7" w:rsidRDefault="00506BE7">
      <w:pPr>
        <w:widowControl w:val="0"/>
        <w:spacing w:after="0" w:line="240" w:lineRule="auto"/>
        <w:rPr>
          <w:rFonts w:ascii="Times New Roman" w:eastAsia="Calibri" w:hAnsi="Times New Roman" w:cs="Times New Roman"/>
        </w:rPr>
      </w:pPr>
    </w:p>
    <w:p w14:paraId="2A87C7E5"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TAD Pharma GmbH</w:t>
      </w:r>
    </w:p>
    <w:p w14:paraId="360C749C"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Heinz-Lohmann-Straße 5</w:t>
      </w:r>
    </w:p>
    <w:p w14:paraId="16E2450A"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27472 Cuxhaven</w:t>
      </w:r>
    </w:p>
    <w:p w14:paraId="017F453D"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Vokietija</w:t>
      </w:r>
    </w:p>
    <w:p w14:paraId="0A8FD5E8" w14:textId="77777777" w:rsidR="00506BE7" w:rsidRDefault="00506BE7">
      <w:pPr>
        <w:widowControl w:val="0"/>
        <w:spacing w:after="0" w:line="240" w:lineRule="auto"/>
        <w:rPr>
          <w:rFonts w:ascii="Times New Roman" w:eastAsia="Calibri" w:hAnsi="Times New Roman" w:cs="Times New Roman"/>
        </w:rPr>
      </w:pPr>
    </w:p>
    <w:p w14:paraId="4B0DE738"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Su pakuote pateikiamame pakuotės lapelyje nurodomas gamintojo, atsakingo už konkrečios serijos išleidimą, pavadinimas ir adresas.</w:t>
      </w:r>
    </w:p>
    <w:p w14:paraId="6F6C2EB0" w14:textId="77777777" w:rsidR="00506BE7" w:rsidRDefault="00506BE7">
      <w:pPr>
        <w:widowControl w:val="0"/>
        <w:spacing w:after="0" w:line="240" w:lineRule="auto"/>
        <w:rPr>
          <w:rFonts w:ascii="Times New Roman" w:eastAsia="Calibri" w:hAnsi="Times New Roman" w:cs="Times New Roman"/>
        </w:rPr>
      </w:pPr>
    </w:p>
    <w:p w14:paraId="24480848" w14:textId="77777777" w:rsidR="00506BE7" w:rsidRDefault="00506BE7">
      <w:pPr>
        <w:widowControl w:val="0"/>
        <w:spacing w:after="0" w:line="240" w:lineRule="auto"/>
        <w:rPr>
          <w:rFonts w:ascii="Times New Roman" w:eastAsia="Calibri" w:hAnsi="Times New Roman" w:cs="Times New Roman"/>
        </w:rPr>
      </w:pPr>
    </w:p>
    <w:p w14:paraId="7A726CD2" w14:textId="77777777" w:rsidR="00506BE7" w:rsidRDefault="008E332A">
      <w:pPr>
        <w:widowControl w:val="0"/>
        <w:tabs>
          <w:tab w:val="left" w:pos="567"/>
        </w:tabs>
        <w:spacing w:after="0" w:line="240" w:lineRule="auto"/>
        <w:ind w:left="567" w:hanging="567"/>
        <w:outlineLvl w:val="1"/>
        <w:rPr>
          <w:rFonts w:ascii="Times New Roman" w:eastAsia="Calibri" w:hAnsi="Times New Roman" w:cs="Times New Roman"/>
          <w:b/>
        </w:rPr>
      </w:pPr>
      <w:bookmarkStart w:id="61" w:name="_Toc129243254"/>
      <w:bookmarkStart w:id="62" w:name="_Toc129243129"/>
      <w:r>
        <w:rPr>
          <w:rFonts w:ascii="Times New Roman" w:eastAsia="Calibri" w:hAnsi="Times New Roman" w:cs="Times New Roman"/>
          <w:b/>
        </w:rPr>
        <w:t>B.</w:t>
      </w:r>
      <w:r>
        <w:rPr>
          <w:rFonts w:ascii="Times New Roman" w:eastAsia="Calibri" w:hAnsi="Times New Roman" w:cs="Times New Roman"/>
          <w:b/>
        </w:rPr>
        <w:tab/>
        <w:t>TIEKIMO IR VARTOJIMO SĄLYGOS AR APRIBOJIMAI</w:t>
      </w:r>
      <w:bookmarkEnd w:id="61"/>
      <w:bookmarkEnd w:id="62"/>
    </w:p>
    <w:p w14:paraId="12C5BD1C" w14:textId="77777777" w:rsidR="00506BE7" w:rsidRDefault="00506BE7">
      <w:pPr>
        <w:widowControl w:val="0"/>
        <w:spacing w:after="0" w:line="240" w:lineRule="auto"/>
        <w:rPr>
          <w:rFonts w:ascii="Times New Roman" w:eastAsia="Calibri" w:hAnsi="Times New Roman" w:cs="Times New Roman"/>
        </w:rPr>
      </w:pPr>
    </w:p>
    <w:p w14:paraId="46F4A8B9" w14:textId="77777777" w:rsidR="00506BE7" w:rsidRDefault="008E332A">
      <w:pPr>
        <w:widowControl w:val="0"/>
        <w:tabs>
          <w:tab w:val="left" w:pos="567"/>
        </w:tabs>
        <w:autoSpaceDE w:val="0"/>
        <w:autoSpaceDN w:val="0"/>
        <w:adjustRightInd w:val="0"/>
        <w:spacing w:after="0" w:line="240" w:lineRule="auto"/>
        <w:jc w:val="both"/>
        <w:rPr>
          <w:rFonts w:ascii="Times New Roman" w:eastAsia="Calibri" w:hAnsi="Times New Roman" w:cs="Times New Roman"/>
        </w:rPr>
      </w:pPr>
      <w:r>
        <w:rPr>
          <w:rFonts w:ascii="Times New Roman" w:eastAsia="Calibri" w:hAnsi="Times New Roman" w:cs="Times New Roman"/>
        </w:rPr>
        <w:t>Receptinis vaistinis preparatas.</w:t>
      </w:r>
    </w:p>
    <w:p w14:paraId="32F99AF9" w14:textId="77777777" w:rsidR="00506BE7" w:rsidRDefault="00506BE7">
      <w:pPr>
        <w:widowControl w:val="0"/>
        <w:spacing w:after="0" w:line="240" w:lineRule="auto"/>
        <w:rPr>
          <w:rFonts w:ascii="Times New Roman" w:eastAsia="Calibri" w:hAnsi="Times New Roman" w:cs="Times New Roman"/>
        </w:rPr>
      </w:pPr>
    </w:p>
    <w:p w14:paraId="2CBB0D29" w14:textId="77777777" w:rsidR="00506BE7" w:rsidRDefault="008E332A">
      <w:pPr>
        <w:widowControl w:val="0"/>
        <w:tabs>
          <w:tab w:val="left" w:pos="567"/>
        </w:tabs>
        <w:spacing w:after="0" w:line="240" w:lineRule="auto"/>
        <w:jc w:val="center"/>
        <w:rPr>
          <w:rFonts w:ascii="Times New Roman" w:eastAsia="Calibri" w:hAnsi="Times New Roman" w:cs="Times New Roman"/>
        </w:rPr>
      </w:pPr>
      <w:r>
        <w:rPr>
          <w:rFonts w:ascii="Times New Roman" w:eastAsia="Calibri" w:hAnsi="Times New Roman" w:cs="Times New Roman"/>
        </w:rPr>
        <w:br w:type="page"/>
      </w:r>
    </w:p>
    <w:p w14:paraId="1EF4BB68" w14:textId="77777777" w:rsidR="00506BE7" w:rsidRDefault="00506BE7">
      <w:pPr>
        <w:widowControl w:val="0"/>
        <w:tabs>
          <w:tab w:val="left" w:pos="567"/>
        </w:tabs>
        <w:spacing w:after="0" w:line="240" w:lineRule="auto"/>
        <w:jc w:val="center"/>
        <w:rPr>
          <w:rFonts w:ascii="Times New Roman" w:eastAsia="Calibri" w:hAnsi="Times New Roman" w:cs="Times New Roman"/>
        </w:rPr>
      </w:pPr>
    </w:p>
    <w:p w14:paraId="2DC652A2" w14:textId="77777777" w:rsidR="00506BE7" w:rsidRDefault="00506BE7">
      <w:pPr>
        <w:widowControl w:val="0"/>
        <w:tabs>
          <w:tab w:val="left" w:pos="567"/>
        </w:tabs>
        <w:spacing w:after="0" w:line="240" w:lineRule="auto"/>
        <w:jc w:val="center"/>
        <w:rPr>
          <w:rFonts w:ascii="Times New Roman" w:eastAsia="Calibri" w:hAnsi="Times New Roman" w:cs="Times New Roman"/>
        </w:rPr>
      </w:pPr>
    </w:p>
    <w:p w14:paraId="2C5CE021" w14:textId="77777777" w:rsidR="00506BE7" w:rsidRDefault="00506BE7">
      <w:pPr>
        <w:widowControl w:val="0"/>
        <w:tabs>
          <w:tab w:val="left" w:pos="567"/>
        </w:tabs>
        <w:spacing w:after="0" w:line="240" w:lineRule="auto"/>
        <w:jc w:val="center"/>
        <w:rPr>
          <w:rFonts w:ascii="Times New Roman" w:eastAsia="Calibri" w:hAnsi="Times New Roman" w:cs="Times New Roman"/>
        </w:rPr>
      </w:pPr>
    </w:p>
    <w:p w14:paraId="020F0C36" w14:textId="77777777" w:rsidR="00506BE7" w:rsidRDefault="00506BE7">
      <w:pPr>
        <w:widowControl w:val="0"/>
        <w:tabs>
          <w:tab w:val="left" w:pos="567"/>
        </w:tabs>
        <w:spacing w:after="0" w:line="240" w:lineRule="auto"/>
        <w:jc w:val="center"/>
        <w:rPr>
          <w:rFonts w:ascii="Times New Roman" w:eastAsia="Calibri" w:hAnsi="Times New Roman" w:cs="Times New Roman"/>
        </w:rPr>
      </w:pPr>
    </w:p>
    <w:p w14:paraId="16542C44" w14:textId="77777777" w:rsidR="00506BE7" w:rsidRDefault="00506BE7">
      <w:pPr>
        <w:widowControl w:val="0"/>
        <w:spacing w:after="0" w:line="240" w:lineRule="auto"/>
        <w:jc w:val="center"/>
        <w:rPr>
          <w:rFonts w:ascii="Times New Roman" w:eastAsia="Calibri" w:hAnsi="Times New Roman" w:cs="Times New Roman"/>
        </w:rPr>
      </w:pPr>
    </w:p>
    <w:p w14:paraId="3632EC78" w14:textId="77777777" w:rsidR="00506BE7" w:rsidRDefault="00506BE7">
      <w:pPr>
        <w:widowControl w:val="0"/>
        <w:spacing w:after="0" w:line="240" w:lineRule="auto"/>
        <w:jc w:val="center"/>
        <w:rPr>
          <w:rFonts w:ascii="Times New Roman" w:eastAsia="Calibri" w:hAnsi="Times New Roman" w:cs="Times New Roman"/>
        </w:rPr>
      </w:pPr>
    </w:p>
    <w:p w14:paraId="5AA6982D" w14:textId="77777777" w:rsidR="00506BE7" w:rsidRDefault="00506BE7">
      <w:pPr>
        <w:widowControl w:val="0"/>
        <w:spacing w:after="0" w:line="240" w:lineRule="auto"/>
        <w:jc w:val="center"/>
        <w:rPr>
          <w:rFonts w:ascii="Times New Roman" w:eastAsia="Calibri" w:hAnsi="Times New Roman" w:cs="Times New Roman"/>
        </w:rPr>
      </w:pPr>
    </w:p>
    <w:p w14:paraId="4428D55B" w14:textId="77777777" w:rsidR="00506BE7" w:rsidRDefault="00506BE7">
      <w:pPr>
        <w:widowControl w:val="0"/>
        <w:spacing w:after="0" w:line="240" w:lineRule="auto"/>
        <w:jc w:val="center"/>
        <w:rPr>
          <w:rFonts w:ascii="Times New Roman" w:eastAsia="Calibri" w:hAnsi="Times New Roman" w:cs="Times New Roman"/>
        </w:rPr>
      </w:pPr>
    </w:p>
    <w:p w14:paraId="6D8DEA2F" w14:textId="77777777" w:rsidR="00506BE7" w:rsidRDefault="00506BE7">
      <w:pPr>
        <w:widowControl w:val="0"/>
        <w:spacing w:after="0" w:line="240" w:lineRule="auto"/>
        <w:jc w:val="center"/>
        <w:rPr>
          <w:rFonts w:ascii="Times New Roman" w:eastAsia="Calibri" w:hAnsi="Times New Roman" w:cs="Times New Roman"/>
        </w:rPr>
      </w:pPr>
    </w:p>
    <w:p w14:paraId="785DFD04" w14:textId="77777777" w:rsidR="00506BE7" w:rsidRDefault="00506BE7">
      <w:pPr>
        <w:widowControl w:val="0"/>
        <w:spacing w:after="0" w:line="240" w:lineRule="auto"/>
        <w:jc w:val="center"/>
        <w:rPr>
          <w:rFonts w:ascii="Times New Roman" w:eastAsia="Calibri" w:hAnsi="Times New Roman" w:cs="Times New Roman"/>
        </w:rPr>
      </w:pPr>
    </w:p>
    <w:p w14:paraId="48C06AAE" w14:textId="77777777" w:rsidR="00506BE7" w:rsidRDefault="00506BE7">
      <w:pPr>
        <w:widowControl w:val="0"/>
        <w:spacing w:after="0" w:line="240" w:lineRule="auto"/>
        <w:jc w:val="center"/>
        <w:rPr>
          <w:rFonts w:ascii="Times New Roman" w:eastAsia="Calibri" w:hAnsi="Times New Roman" w:cs="Times New Roman"/>
        </w:rPr>
      </w:pPr>
    </w:p>
    <w:p w14:paraId="18C9622A" w14:textId="77777777" w:rsidR="00506BE7" w:rsidRDefault="00506BE7">
      <w:pPr>
        <w:widowControl w:val="0"/>
        <w:spacing w:after="0" w:line="240" w:lineRule="auto"/>
        <w:jc w:val="center"/>
        <w:rPr>
          <w:rFonts w:ascii="Times New Roman" w:eastAsia="Calibri" w:hAnsi="Times New Roman" w:cs="Times New Roman"/>
        </w:rPr>
      </w:pPr>
    </w:p>
    <w:p w14:paraId="00C7ADA5" w14:textId="77777777" w:rsidR="00506BE7" w:rsidRDefault="00506BE7">
      <w:pPr>
        <w:widowControl w:val="0"/>
        <w:spacing w:after="0" w:line="240" w:lineRule="auto"/>
        <w:jc w:val="center"/>
        <w:rPr>
          <w:rFonts w:ascii="Times New Roman" w:eastAsia="Calibri" w:hAnsi="Times New Roman" w:cs="Times New Roman"/>
        </w:rPr>
      </w:pPr>
    </w:p>
    <w:p w14:paraId="075D31E4" w14:textId="77777777" w:rsidR="00506BE7" w:rsidRDefault="00506BE7">
      <w:pPr>
        <w:widowControl w:val="0"/>
        <w:spacing w:after="0" w:line="240" w:lineRule="auto"/>
        <w:jc w:val="center"/>
        <w:rPr>
          <w:rFonts w:ascii="Times New Roman" w:eastAsia="Calibri" w:hAnsi="Times New Roman" w:cs="Times New Roman"/>
        </w:rPr>
      </w:pPr>
    </w:p>
    <w:p w14:paraId="1D4FABFB" w14:textId="77777777" w:rsidR="00506BE7" w:rsidRDefault="00506BE7">
      <w:pPr>
        <w:widowControl w:val="0"/>
        <w:spacing w:after="0" w:line="240" w:lineRule="auto"/>
        <w:jc w:val="center"/>
        <w:rPr>
          <w:rFonts w:ascii="Times New Roman" w:eastAsia="Calibri" w:hAnsi="Times New Roman" w:cs="Times New Roman"/>
        </w:rPr>
      </w:pPr>
    </w:p>
    <w:p w14:paraId="14858B59" w14:textId="77777777" w:rsidR="00506BE7" w:rsidRDefault="00506BE7">
      <w:pPr>
        <w:widowControl w:val="0"/>
        <w:spacing w:after="0" w:line="240" w:lineRule="auto"/>
        <w:jc w:val="center"/>
        <w:rPr>
          <w:rFonts w:ascii="Times New Roman" w:eastAsia="Calibri" w:hAnsi="Times New Roman" w:cs="Times New Roman"/>
        </w:rPr>
      </w:pPr>
    </w:p>
    <w:p w14:paraId="623F9847" w14:textId="77777777" w:rsidR="00506BE7" w:rsidRDefault="00506BE7">
      <w:pPr>
        <w:widowControl w:val="0"/>
        <w:spacing w:after="0" w:line="240" w:lineRule="auto"/>
        <w:jc w:val="center"/>
        <w:rPr>
          <w:rFonts w:ascii="Times New Roman" w:eastAsia="Calibri" w:hAnsi="Times New Roman" w:cs="Times New Roman"/>
        </w:rPr>
      </w:pPr>
    </w:p>
    <w:p w14:paraId="3CC1D42A" w14:textId="77777777" w:rsidR="00506BE7" w:rsidRDefault="00506BE7">
      <w:pPr>
        <w:widowControl w:val="0"/>
        <w:spacing w:after="0" w:line="240" w:lineRule="auto"/>
        <w:jc w:val="center"/>
        <w:rPr>
          <w:rFonts w:ascii="Times New Roman" w:eastAsia="Calibri" w:hAnsi="Times New Roman" w:cs="Times New Roman"/>
        </w:rPr>
      </w:pPr>
    </w:p>
    <w:p w14:paraId="72F534DC" w14:textId="77777777" w:rsidR="00506BE7" w:rsidRDefault="00506BE7">
      <w:pPr>
        <w:widowControl w:val="0"/>
        <w:spacing w:after="0" w:line="240" w:lineRule="auto"/>
        <w:jc w:val="center"/>
        <w:rPr>
          <w:rFonts w:ascii="Times New Roman" w:eastAsia="Calibri" w:hAnsi="Times New Roman" w:cs="Times New Roman"/>
        </w:rPr>
      </w:pPr>
    </w:p>
    <w:p w14:paraId="43F9C173" w14:textId="77777777" w:rsidR="00506BE7" w:rsidRDefault="00506BE7">
      <w:pPr>
        <w:widowControl w:val="0"/>
        <w:spacing w:after="0" w:line="240" w:lineRule="auto"/>
        <w:jc w:val="center"/>
        <w:rPr>
          <w:rFonts w:ascii="Times New Roman" w:eastAsia="Calibri" w:hAnsi="Times New Roman" w:cs="Times New Roman"/>
        </w:rPr>
      </w:pPr>
    </w:p>
    <w:p w14:paraId="5F7F3769"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bookmarkStart w:id="63" w:name="_Toc129243259"/>
      <w:bookmarkStart w:id="64" w:name="_Toc129243134"/>
    </w:p>
    <w:p w14:paraId="2E7DA0CB"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248E69EF"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0682B5AB" w14:textId="77777777" w:rsidR="00506BE7" w:rsidRDefault="008E332A">
      <w:pPr>
        <w:widowControl w:val="0"/>
        <w:tabs>
          <w:tab w:val="left" w:pos="567"/>
        </w:tabs>
        <w:spacing w:after="0" w:line="240" w:lineRule="auto"/>
        <w:jc w:val="center"/>
        <w:outlineLvl w:val="0"/>
        <w:rPr>
          <w:rFonts w:ascii="Times New Roman" w:eastAsia="Calibri" w:hAnsi="Times New Roman" w:cs="Times New Roman"/>
          <w:b/>
        </w:rPr>
      </w:pPr>
      <w:r>
        <w:rPr>
          <w:rFonts w:ascii="Times New Roman" w:eastAsia="Calibri" w:hAnsi="Times New Roman" w:cs="Times New Roman"/>
          <w:b/>
        </w:rPr>
        <w:t>III PRIEDAS</w:t>
      </w:r>
      <w:bookmarkEnd w:id="63"/>
      <w:bookmarkEnd w:id="64"/>
    </w:p>
    <w:p w14:paraId="5F800B4E" w14:textId="77777777" w:rsidR="00506BE7" w:rsidRDefault="00506BE7">
      <w:pPr>
        <w:widowControl w:val="0"/>
        <w:spacing w:after="0" w:line="240" w:lineRule="auto"/>
        <w:rPr>
          <w:rFonts w:ascii="Times New Roman" w:eastAsia="Calibri" w:hAnsi="Times New Roman" w:cs="Times New Roman"/>
        </w:rPr>
      </w:pPr>
    </w:p>
    <w:p w14:paraId="4E3E934A" w14:textId="77777777" w:rsidR="00506BE7" w:rsidRDefault="008E332A">
      <w:pPr>
        <w:widowControl w:val="0"/>
        <w:tabs>
          <w:tab w:val="left" w:pos="567"/>
        </w:tabs>
        <w:spacing w:after="0" w:line="240" w:lineRule="auto"/>
        <w:jc w:val="center"/>
        <w:outlineLvl w:val="0"/>
        <w:rPr>
          <w:rFonts w:ascii="Times New Roman" w:eastAsia="Calibri" w:hAnsi="Times New Roman" w:cs="Times New Roman"/>
          <w:b/>
        </w:rPr>
      </w:pPr>
      <w:bookmarkStart w:id="65" w:name="_Toc129243260"/>
      <w:bookmarkStart w:id="66" w:name="_Toc129243135"/>
      <w:r>
        <w:rPr>
          <w:rFonts w:ascii="Times New Roman" w:eastAsia="Calibri" w:hAnsi="Times New Roman" w:cs="Times New Roman"/>
          <w:b/>
        </w:rPr>
        <w:t>ŽENKLINIMAS IR PAKUOTĖS LAPELIS</w:t>
      </w:r>
      <w:bookmarkEnd w:id="65"/>
      <w:bookmarkEnd w:id="66"/>
    </w:p>
    <w:p w14:paraId="51A5638F" w14:textId="77777777" w:rsidR="00506BE7" w:rsidRDefault="008E332A">
      <w:pPr>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br w:type="page"/>
      </w:r>
    </w:p>
    <w:p w14:paraId="50E95172" w14:textId="77777777" w:rsidR="00506BE7" w:rsidRDefault="00506BE7">
      <w:pPr>
        <w:widowControl w:val="0"/>
        <w:spacing w:after="0" w:line="240" w:lineRule="auto"/>
        <w:jc w:val="center"/>
        <w:rPr>
          <w:rFonts w:ascii="Times New Roman" w:eastAsia="Calibri" w:hAnsi="Times New Roman" w:cs="Times New Roman"/>
        </w:rPr>
      </w:pPr>
    </w:p>
    <w:p w14:paraId="21E65CDB" w14:textId="77777777" w:rsidR="00506BE7" w:rsidRDefault="00506BE7">
      <w:pPr>
        <w:widowControl w:val="0"/>
        <w:spacing w:after="0" w:line="240" w:lineRule="auto"/>
        <w:jc w:val="center"/>
        <w:rPr>
          <w:rFonts w:ascii="Times New Roman" w:eastAsia="Calibri" w:hAnsi="Times New Roman" w:cs="Times New Roman"/>
        </w:rPr>
      </w:pPr>
    </w:p>
    <w:p w14:paraId="1D84FA41" w14:textId="77777777" w:rsidR="00506BE7" w:rsidRDefault="00506BE7">
      <w:pPr>
        <w:widowControl w:val="0"/>
        <w:spacing w:after="0" w:line="240" w:lineRule="auto"/>
        <w:jc w:val="center"/>
        <w:rPr>
          <w:rFonts w:ascii="Times New Roman" w:eastAsia="Calibri" w:hAnsi="Times New Roman" w:cs="Times New Roman"/>
        </w:rPr>
      </w:pPr>
    </w:p>
    <w:p w14:paraId="1181480A" w14:textId="77777777" w:rsidR="00506BE7" w:rsidRDefault="00506BE7">
      <w:pPr>
        <w:widowControl w:val="0"/>
        <w:spacing w:after="0" w:line="240" w:lineRule="auto"/>
        <w:jc w:val="center"/>
        <w:rPr>
          <w:rFonts w:ascii="Times New Roman" w:eastAsia="Calibri" w:hAnsi="Times New Roman" w:cs="Times New Roman"/>
        </w:rPr>
      </w:pPr>
    </w:p>
    <w:p w14:paraId="27B5527E" w14:textId="77777777" w:rsidR="00506BE7" w:rsidRDefault="00506BE7">
      <w:pPr>
        <w:widowControl w:val="0"/>
        <w:spacing w:after="0" w:line="240" w:lineRule="auto"/>
        <w:jc w:val="center"/>
        <w:rPr>
          <w:rFonts w:ascii="Times New Roman" w:eastAsia="Calibri" w:hAnsi="Times New Roman" w:cs="Times New Roman"/>
        </w:rPr>
      </w:pPr>
    </w:p>
    <w:p w14:paraId="722A81B7" w14:textId="77777777" w:rsidR="00506BE7" w:rsidRDefault="00506BE7">
      <w:pPr>
        <w:widowControl w:val="0"/>
        <w:spacing w:after="0" w:line="240" w:lineRule="auto"/>
        <w:jc w:val="center"/>
        <w:rPr>
          <w:rFonts w:ascii="Times New Roman" w:eastAsia="Calibri" w:hAnsi="Times New Roman" w:cs="Times New Roman"/>
        </w:rPr>
      </w:pPr>
    </w:p>
    <w:p w14:paraId="63BF306E" w14:textId="77777777" w:rsidR="00506BE7" w:rsidRDefault="00506BE7">
      <w:pPr>
        <w:widowControl w:val="0"/>
        <w:spacing w:after="0" w:line="240" w:lineRule="auto"/>
        <w:jc w:val="center"/>
        <w:rPr>
          <w:rFonts w:ascii="Times New Roman" w:eastAsia="Calibri" w:hAnsi="Times New Roman" w:cs="Times New Roman"/>
        </w:rPr>
      </w:pPr>
    </w:p>
    <w:p w14:paraId="38B1DBFB" w14:textId="77777777" w:rsidR="00506BE7" w:rsidRDefault="00506BE7">
      <w:pPr>
        <w:widowControl w:val="0"/>
        <w:spacing w:after="0" w:line="240" w:lineRule="auto"/>
        <w:jc w:val="center"/>
        <w:rPr>
          <w:rFonts w:ascii="Times New Roman" w:eastAsia="Calibri" w:hAnsi="Times New Roman" w:cs="Times New Roman"/>
        </w:rPr>
      </w:pPr>
    </w:p>
    <w:p w14:paraId="1A50F4DE" w14:textId="77777777" w:rsidR="00506BE7" w:rsidRDefault="00506BE7">
      <w:pPr>
        <w:widowControl w:val="0"/>
        <w:spacing w:after="0" w:line="240" w:lineRule="auto"/>
        <w:jc w:val="center"/>
        <w:rPr>
          <w:rFonts w:ascii="Times New Roman" w:eastAsia="Calibri" w:hAnsi="Times New Roman" w:cs="Times New Roman"/>
        </w:rPr>
      </w:pPr>
    </w:p>
    <w:p w14:paraId="2ECEA378" w14:textId="77777777" w:rsidR="00506BE7" w:rsidRDefault="00506BE7">
      <w:pPr>
        <w:widowControl w:val="0"/>
        <w:spacing w:after="0" w:line="240" w:lineRule="auto"/>
        <w:jc w:val="center"/>
        <w:rPr>
          <w:rFonts w:ascii="Times New Roman" w:eastAsia="Calibri" w:hAnsi="Times New Roman" w:cs="Times New Roman"/>
        </w:rPr>
      </w:pPr>
    </w:p>
    <w:p w14:paraId="4861FC9F" w14:textId="77777777" w:rsidR="00506BE7" w:rsidRDefault="00506BE7">
      <w:pPr>
        <w:widowControl w:val="0"/>
        <w:spacing w:after="0" w:line="240" w:lineRule="auto"/>
        <w:jc w:val="center"/>
        <w:rPr>
          <w:rFonts w:ascii="Times New Roman" w:eastAsia="Calibri" w:hAnsi="Times New Roman" w:cs="Times New Roman"/>
        </w:rPr>
      </w:pPr>
    </w:p>
    <w:p w14:paraId="72254B48" w14:textId="77777777" w:rsidR="00506BE7" w:rsidRDefault="00506BE7">
      <w:pPr>
        <w:widowControl w:val="0"/>
        <w:spacing w:after="0" w:line="240" w:lineRule="auto"/>
        <w:jc w:val="center"/>
        <w:rPr>
          <w:rFonts w:ascii="Times New Roman" w:eastAsia="Calibri" w:hAnsi="Times New Roman" w:cs="Times New Roman"/>
        </w:rPr>
      </w:pPr>
    </w:p>
    <w:p w14:paraId="1BC5FC19" w14:textId="77777777" w:rsidR="00506BE7" w:rsidRDefault="00506BE7">
      <w:pPr>
        <w:widowControl w:val="0"/>
        <w:spacing w:after="0" w:line="240" w:lineRule="auto"/>
        <w:jc w:val="center"/>
        <w:rPr>
          <w:rFonts w:ascii="Times New Roman" w:eastAsia="Calibri" w:hAnsi="Times New Roman" w:cs="Times New Roman"/>
        </w:rPr>
      </w:pPr>
    </w:p>
    <w:p w14:paraId="15651723" w14:textId="77777777" w:rsidR="00506BE7" w:rsidRDefault="00506BE7">
      <w:pPr>
        <w:widowControl w:val="0"/>
        <w:spacing w:after="0" w:line="240" w:lineRule="auto"/>
        <w:jc w:val="center"/>
        <w:rPr>
          <w:rFonts w:ascii="Times New Roman" w:eastAsia="Calibri" w:hAnsi="Times New Roman" w:cs="Times New Roman"/>
        </w:rPr>
      </w:pPr>
    </w:p>
    <w:p w14:paraId="62355B33" w14:textId="77777777" w:rsidR="00506BE7" w:rsidRDefault="00506BE7">
      <w:pPr>
        <w:widowControl w:val="0"/>
        <w:spacing w:after="0" w:line="240" w:lineRule="auto"/>
        <w:jc w:val="center"/>
        <w:rPr>
          <w:rFonts w:ascii="Times New Roman" w:eastAsia="Calibri" w:hAnsi="Times New Roman" w:cs="Times New Roman"/>
        </w:rPr>
      </w:pPr>
    </w:p>
    <w:p w14:paraId="33F8AA4A" w14:textId="77777777" w:rsidR="00506BE7" w:rsidRDefault="00506BE7">
      <w:pPr>
        <w:widowControl w:val="0"/>
        <w:spacing w:after="0" w:line="240" w:lineRule="auto"/>
        <w:jc w:val="center"/>
        <w:rPr>
          <w:rFonts w:ascii="Times New Roman" w:eastAsia="Calibri" w:hAnsi="Times New Roman" w:cs="Times New Roman"/>
        </w:rPr>
      </w:pPr>
    </w:p>
    <w:p w14:paraId="65A9AEE6" w14:textId="77777777" w:rsidR="00506BE7" w:rsidRDefault="00506BE7">
      <w:pPr>
        <w:widowControl w:val="0"/>
        <w:spacing w:after="0" w:line="240" w:lineRule="auto"/>
        <w:jc w:val="center"/>
        <w:rPr>
          <w:rFonts w:ascii="Times New Roman" w:eastAsia="Calibri" w:hAnsi="Times New Roman" w:cs="Times New Roman"/>
        </w:rPr>
      </w:pPr>
    </w:p>
    <w:p w14:paraId="39A79B7A" w14:textId="77777777" w:rsidR="00506BE7" w:rsidRDefault="00506BE7">
      <w:pPr>
        <w:widowControl w:val="0"/>
        <w:spacing w:after="0" w:line="240" w:lineRule="auto"/>
        <w:jc w:val="center"/>
        <w:rPr>
          <w:rFonts w:ascii="Times New Roman" w:eastAsia="Calibri" w:hAnsi="Times New Roman" w:cs="Times New Roman"/>
        </w:rPr>
      </w:pPr>
    </w:p>
    <w:p w14:paraId="6E045CB4" w14:textId="77777777" w:rsidR="00506BE7" w:rsidRDefault="00506BE7">
      <w:pPr>
        <w:widowControl w:val="0"/>
        <w:spacing w:after="0" w:line="240" w:lineRule="auto"/>
        <w:jc w:val="center"/>
        <w:rPr>
          <w:rFonts w:ascii="Times New Roman" w:eastAsia="Calibri" w:hAnsi="Times New Roman" w:cs="Times New Roman"/>
        </w:rPr>
      </w:pPr>
    </w:p>
    <w:p w14:paraId="386546E0" w14:textId="77777777" w:rsidR="00506BE7" w:rsidRDefault="00506BE7">
      <w:pPr>
        <w:widowControl w:val="0"/>
        <w:spacing w:after="0" w:line="240" w:lineRule="auto"/>
        <w:jc w:val="center"/>
        <w:rPr>
          <w:rFonts w:ascii="Times New Roman" w:eastAsia="Calibri" w:hAnsi="Times New Roman" w:cs="Times New Roman"/>
        </w:rPr>
      </w:pPr>
    </w:p>
    <w:p w14:paraId="205CBEFE" w14:textId="77777777" w:rsidR="00506BE7" w:rsidRDefault="00506BE7">
      <w:pPr>
        <w:widowControl w:val="0"/>
        <w:spacing w:after="0" w:line="240" w:lineRule="auto"/>
        <w:jc w:val="center"/>
        <w:rPr>
          <w:rFonts w:ascii="Times New Roman" w:eastAsia="Calibri" w:hAnsi="Times New Roman" w:cs="Times New Roman"/>
        </w:rPr>
      </w:pPr>
    </w:p>
    <w:p w14:paraId="2117D1EB"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kern w:val="28"/>
        </w:rPr>
      </w:pPr>
    </w:p>
    <w:p w14:paraId="29DCEE54"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kern w:val="28"/>
        </w:rPr>
      </w:pPr>
    </w:p>
    <w:p w14:paraId="1BAFCAB5" w14:textId="77777777" w:rsidR="00506BE7" w:rsidRDefault="008E332A">
      <w:pPr>
        <w:widowControl w:val="0"/>
        <w:tabs>
          <w:tab w:val="left" w:pos="567"/>
        </w:tabs>
        <w:spacing w:after="0" w:line="240" w:lineRule="auto"/>
        <w:jc w:val="center"/>
        <w:outlineLvl w:val="0"/>
        <w:rPr>
          <w:rFonts w:ascii="Times New Roman" w:eastAsia="Calibri" w:hAnsi="Times New Roman" w:cs="Times New Roman"/>
          <w:b/>
          <w:kern w:val="28"/>
        </w:rPr>
      </w:pPr>
      <w:r>
        <w:rPr>
          <w:rFonts w:ascii="Times New Roman" w:eastAsia="Calibri" w:hAnsi="Times New Roman" w:cs="Times New Roman"/>
          <w:b/>
          <w:kern w:val="28"/>
        </w:rPr>
        <w:t>A. ŽENKLINIMAS</w:t>
      </w:r>
    </w:p>
    <w:p w14:paraId="42005274" w14:textId="77777777" w:rsidR="00506BE7" w:rsidRDefault="008E332A">
      <w:pPr>
        <w:widowControl w:val="0"/>
        <w:tabs>
          <w:tab w:val="left" w:pos="567"/>
        </w:tabs>
        <w:spacing w:after="0" w:line="240" w:lineRule="auto"/>
        <w:jc w:val="center"/>
        <w:outlineLvl w:val="0"/>
        <w:rPr>
          <w:rFonts w:ascii="Times New Roman" w:eastAsia="Calibri" w:hAnsi="Times New Roman" w:cs="Times New Roman"/>
          <w:b/>
          <w:kern w:val="28"/>
        </w:rPr>
      </w:pPr>
      <w:r>
        <w:rPr>
          <w:rFonts w:ascii="Times New Roman" w:eastAsia="Calibri" w:hAnsi="Times New Roman" w:cs="Times New Roman"/>
          <w:kern w:val="28"/>
        </w:rPr>
        <w:br w:type="page"/>
      </w:r>
    </w:p>
    <w:p w14:paraId="2167F7AC" w14:textId="77777777" w:rsidR="00506BE7" w:rsidRDefault="008E332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lastRenderedPageBreak/>
        <w:t>INFORMACIJA ANT IŠORINĖS PAKUOTĖS</w:t>
      </w:r>
    </w:p>
    <w:p w14:paraId="2C95388F" w14:textId="77777777" w:rsidR="00506BE7" w:rsidRDefault="00506BE7">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p>
    <w:p w14:paraId="73A78CD4" w14:textId="77777777" w:rsidR="00506BE7" w:rsidRDefault="008E332A">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rPr>
      </w:pPr>
      <w:r>
        <w:rPr>
          <w:rFonts w:ascii="Times New Roman" w:eastAsia="Calibri" w:hAnsi="Times New Roman" w:cs="Times New Roman"/>
          <w:b/>
        </w:rPr>
        <w:t>KARTONO DĖŽUTĖ</w:t>
      </w:r>
    </w:p>
    <w:p w14:paraId="7DD29AC5" w14:textId="77777777" w:rsidR="00506BE7" w:rsidRDefault="00506BE7">
      <w:pPr>
        <w:widowControl w:val="0"/>
        <w:spacing w:after="0" w:line="240" w:lineRule="auto"/>
        <w:rPr>
          <w:rFonts w:ascii="Times New Roman" w:eastAsia="Calibri" w:hAnsi="Times New Roman" w:cs="Times New Roman"/>
        </w:rPr>
      </w:pPr>
    </w:p>
    <w:p w14:paraId="13887E37" w14:textId="77777777" w:rsidR="00506BE7" w:rsidRDefault="00506BE7">
      <w:pPr>
        <w:widowControl w:val="0"/>
        <w:spacing w:after="0" w:line="240" w:lineRule="auto"/>
        <w:rPr>
          <w:rFonts w:ascii="Times New Roman" w:eastAsia="Calibri" w:hAnsi="Times New Roman" w:cs="Times New Roman"/>
        </w:rPr>
      </w:pPr>
    </w:p>
    <w:p w14:paraId="765EC730" w14:textId="77777777" w:rsidR="00506BE7" w:rsidRDefault="008E332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1.</w:t>
      </w:r>
      <w:r>
        <w:rPr>
          <w:rFonts w:ascii="Times New Roman" w:eastAsia="Calibri" w:hAnsi="Times New Roman" w:cs="Times New Roman"/>
          <w:b/>
        </w:rPr>
        <w:tab/>
        <w:t>VAISTINIO PREPARATO PAVADINIMAS</w:t>
      </w:r>
    </w:p>
    <w:p w14:paraId="2D0C7A05" w14:textId="77777777" w:rsidR="00506BE7" w:rsidRDefault="00506BE7">
      <w:pPr>
        <w:widowControl w:val="0"/>
        <w:spacing w:after="0" w:line="240" w:lineRule="auto"/>
        <w:rPr>
          <w:rFonts w:ascii="Times New Roman" w:eastAsia="Calibri" w:hAnsi="Times New Roman" w:cs="Times New Roman"/>
        </w:rPr>
      </w:pPr>
    </w:p>
    <w:p w14:paraId="52B1D5C7" w14:textId="77777777" w:rsidR="00506BE7" w:rsidRDefault="008E332A">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Kventiax 50 mg pailginto atpalaidavimo tabletės</w:t>
      </w:r>
    </w:p>
    <w:p w14:paraId="0B630378" w14:textId="77777777" w:rsidR="00506BE7" w:rsidRDefault="008E332A">
      <w:pPr>
        <w:widowControl w:val="0"/>
        <w:tabs>
          <w:tab w:val="left" w:pos="567"/>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Kventiax 150 mg pailginto atpalaidavimo tabletės</w:t>
      </w:r>
    </w:p>
    <w:p w14:paraId="7088D3B4" w14:textId="77777777" w:rsidR="00506BE7" w:rsidRDefault="008E332A">
      <w:pPr>
        <w:widowControl w:val="0"/>
        <w:tabs>
          <w:tab w:val="left" w:pos="567"/>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Kventiax 200 mg pailginto atpalaidavimo tabletės</w:t>
      </w:r>
    </w:p>
    <w:p w14:paraId="4C2E9AAC" w14:textId="77777777" w:rsidR="00506BE7" w:rsidRDefault="008E332A">
      <w:pPr>
        <w:widowControl w:val="0"/>
        <w:tabs>
          <w:tab w:val="left" w:pos="567"/>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Kventiax 300 mg pailginto atpalaidavimo tabletės</w:t>
      </w:r>
    </w:p>
    <w:p w14:paraId="32F0A31C" w14:textId="77777777" w:rsidR="00506BE7" w:rsidRDefault="008E332A">
      <w:pPr>
        <w:widowControl w:val="0"/>
        <w:tabs>
          <w:tab w:val="left" w:pos="567"/>
        </w:tabs>
        <w:spacing w:after="0" w:line="240" w:lineRule="auto"/>
        <w:rPr>
          <w:rFonts w:ascii="Times New Roman" w:eastAsia="Calibri" w:hAnsi="Times New Roman" w:cs="Times New Roman"/>
          <w:highlight w:val="lightGray"/>
          <w:lang w:val="sl-SI"/>
        </w:rPr>
      </w:pPr>
      <w:r>
        <w:rPr>
          <w:rFonts w:ascii="Times New Roman" w:eastAsia="Calibri" w:hAnsi="Times New Roman" w:cs="Times New Roman"/>
          <w:highlight w:val="lightGray"/>
          <w:lang w:val="sl-SI"/>
        </w:rPr>
        <w:t>Kventiax 400 mg pailginto atpalaidavimo tabletės</w:t>
      </w:r>
    </w:p>
    <w:p w14:paraId="54AE2EDB" w14:textId="77777777" w:rsidR="00506BE7" w:rsidRDefault="00506BE7">
      <w:pPr>
        <w:widowControl w:val="0"/>
        <w:tabs>
          <w:tab w:val="left" w:pos="567"/>
        </w:tabs>
        <w:spacing w:after="0" w:line="240" w:lineRule="auto"/>
        <w:rPr>
          <w:rFonts w:ascii="Times New Roman" w:eastAsia="Calibri" w:hAnsi="Times New Roman" w:cs="Times New Roman"/>
          <w:lang w:val="sl-SI"/>
        </w:rPr>
      </w:pPr>
    </w:p>
    <w:p w14:paraId="39485E8D" w14:textId="77777777" w:rsidR="00506BE7" w:rsidRDefault="008E332A">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quetiapinum</w:t>
      </w:r>
    </w:p>
    <w:p w14:paraId="28601CA5" w14:textId="77777777" w:rsidR="00506BE7" w:rsidRDefault="00506BE7">
      <w:pPr>
        <w:widowControl w:val="0"/>
        <w:spacing w:after="0" w:line="240" w:lineRule="auto"/>
        <w:rPr>
          <w:rFonts w:ascii="Times New Roman" w:eastAsia="Calibri" w:hAnsi="Times New Roman" w:cs="Times New Roman"/>
        </w:rPr>
      </w:pPr>
    </w:p>
    <w:p w14:paraId="0A379C1E" w14:textId="77777777" w:rsidR="00506BE7" w:rsidRDefault="00506BE7">
      <w:pPr>
        <w:widowControl w:val="0"/>
        <w:spacing w:after="0" w:line="240" w:lineRule="auto"/>
        <w:rPr>
          <w:rFonts w:ascii="Times New Roman" w:eastAsia="Calibri" w:hAnsi="Times New Roman" w:cs="Times New Roman"/>
        </w:rPr>
      </w:pPr>
    </w:p>
    <w:p w14:paraId="126CEAE4" w14:textId="77777777" w:rsidR="00506BE7" w:rsidRDefault="008E332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VEIKLIOJI (-IOS) MEDŽIAGA (-OS) IR JOS (-Ų) KIEKIS (-IAI)</w:t>
      </w:r>
    </w:p>
    <w:p w14:paraId="777BE4F2" w14:textId="77777777" w:rsidR="00506BE7" w:rsidRDefault="00506BE7">
      <w:pPr>
        <w:widowControl w:val="0"/>
        <w:spacing w:after="0" w:line="240" w:lineRule="auto"/>
        <w:rPr>
          <w:rFonts w:ascii="Times New Roman" w:eastAsia="Calibri" w:hAnsi="Times New Roman" w:cs="Times New Roman"/>
        </w:rPr>
      </w:pPr>
    </w:p>
    <w:p w14:paraId="670B19FD"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Kiekvienoje pailginto atpalaidavimo tabletėje yra 50 mg kvetiapino (kvetiapino hemifumarato pavidalu).</w:t>
      </w:r>
    </w:p>
    <w:p w14:paraId="2FF0E557"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highlight w:val="lightGray"/>
        </w:rPr>
        <w:t>Kiekvienoje pailginto atpalaidavimo tabletėje yra 150 mg kvetiapino (kvetiapino hemifumarato pavidalu).</w:t>
      </w:r>
    </w:p>
    <w:p w14:paraId="479AF9B2"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Kiekvienoje pailginto atpalaidavimo tabletėje yra 200 mg kvetiapino (kvetiapino hemifumarato pavidalu).</w:t>
      </w:r>
    </w:p>
    <w:p w14:paraId="1F69F942"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highlight w:val="lightGray"/>
        </w:rPr>
        <w:t>Kiekvienoje pailginto atpalaidavimo tabletėje yra 300 mg kvetiapino (kvetiapino hemifumarato pavidalu).</w:t>
      </w:r>
    </w:p>
    <w:p w14:paraId="3F8C196A" w14:textId="77777777" w:rsidR="00506BE7" w:rsidRDefault="008E332A">
      <w:pPr>
        <w:widowControl w:val="0"/>
        <w:spacing w:after="0" w:line="240" w:lineRule="auto"/>
        <w:rPr>
          <w:rFonts w:ascii="Times New Roman" w:eastAsia="Calibri" w:hAnsi="Times New Roman" w:cs="Times New Roman"/>
          <w:lang w:val="sl-SI"/>
        </w:rPr>
      </w:pPr>
      <w:r>
        <w:rPr>
          <w:rFonts w:ascii="Times New Roman" w:eastAsia="Calibri" w:hAnsi="Times New Roman" w:cs="Times New Roman"/>
          <w:highlight w:val="lightGray"/>
          <w:lang w:val="sl-SI"/>
        </w:rPr>
        <w:t>Kiekvienoje pailginto atpalaidavimo tabletėje yra 400 mg kvetiapino (kvetiapino hemifumarato pavidalu).</w:t>
      </w:r>
    </w:p>
    <w:p w14:paraId="7CB7D970" w14:textId="77777777" w:rsidR="00506BE7" w:rsidRDefault="00506BE7">
      <w:pPr>
        <w:widowControl w:val="0"/>
        <w:spacing w:after="0" w:line="240" w:lineRule="auto"/>
        <w:rPr>
          <w:rFonts w:ascii="Times New Roman" w:eastAsia="Calibri" w:hAnsi="Times New Roman" w:cs="Times New Roman"/>
        </w:rPr>
      </w:pPr>
    </w:p>
    <w:p w14:paraId="341D870A" w14:textId="77777777" w:rsidR="00506BE7" w:rsidRDefault="00506BE7">
      <w:pPr>
        <w:widowControl w:val="0"/>
        <w:spacing w:after="0" w:line="240" w:lineRule="auto"/>
        <w:rPr>
          <w:rFonts w:ascii="Times New Roman" w:eastAsia="Calibri" w:hAnsi="Times New Roman" w:cs="Times New Roman"/>
        </w:rPr>
      </w:pPr>
    </w:p>
    <w:p w14:paraId="6BD24D18" w14:textId="77777777" w:rsidR="00506BE7" w:rsidRDefault="008E332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3.</w:t>
      </w:r>
      <w:r>
        <w:rPr>
          <w:rFonts w:ascii="Times New Roman" w:eastAsia="Calibri" w:hAnsi="Times New Roman" w:cs="Times New Roman"/>
          <w:b/>
        </w:rPr>
        <w:tab/>
        <w:t>PAGALBINIŲ MEDŽIAGŲ SĄRAŠAS</w:t>
      </w:r>
    </w:p>
    <w:p w14:paraId="7DE46FFA" w14:textId="77777777" w:rsidR="00506BE7" w:rsidRDefault="00506BE7">
      <w:pPr>
        <w:widowControl w:val="0"/>
        <w:spacing w:after="0" w:line="240" w:lineRule="auto"/>
        <w:rPr>
          <w:rFonts w:ascii="Times New Roman" w:eastAsia="Calibri" w:hAnsi="Times New Roman" w:cs="Times New Roman"/>
        </w:rPr>
      </w:pPr>
    </w:p>
    <w:p w14:paraId="3FA8B724" w14:textId="77777777" w:rsidR="00506BE7" w:rsidRDefault="008E332A">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Sudėtyje taip pat yra laktozės ir natrio.</w:t>
      </w:r>
    </w:p>
    <w:p w14:paraId="4686BA84" w14:textId="77777777" w:rsidR="00506BE7" w:rsidRDefault="008E332A">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Daugiau informacijos pateikta pakuotės lapelyje.</w:t>
      </w:r>
    </w:p>
    <w:p w14:paraId="39AE3D02" w14:textId="77777777" w:rsidR="00506BE7" w:rsidRDefault="00506BE7">
      <w:pPr>
        <w:widowControl w:val="0"/>
        <w:spacing w:after="0" w:line="240" w:lineRule="auto"/>
        <w:rPr>
          <w:rFonts w:ascii="Times New Roman" w:eastAsia="Calibri" w:hAnsi="Times New Roman" w:cs="Times New Roman"/>
        </w:rPr>
      </w:pPr>
    </w:p>
    <w:p w14:paraId="6C675482" w14:textId="77777777" w:rsidR="00506BE7" w:rsidRDefault="00506BE7">
      <w:pPr>
        <w:widowControl w:val="0"/>
        <w:spacing w:after="0" w:line="240" w:lineRule="auto"/>
        <w:rPr>
          <w:rFonts w:ascii="Times New Roman" w:eastAsia="Calibri" w:hAnsi="Times New Roman" w:cs="Times New Roman"/>
        </w:rPr>
      </w:pPr>
    </w:p>
    <w:p w14:paraId="5321F6D0" w14:textId="77777777" w:rsidR="00506BE7" w:rsidRDefault="008E332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4.</w:t>
      </w:r>
      <w:r>
        <w:rPr>
          <w:rFonts w:ascii="Times New Roman" w:eastAsia="Calibri" w:hAnsi="Times New Roman" w:cs="Times New Roman"/>
          <w:b/>
        </w:rPr>
        <w:tab/>
        <w:t>FARMACINĖ FORMA IR KIEKIS PAKUOTĖJE</w:t>
      </w:r>
    </w:p>
    <w:p w14:paraId="59065F81" w14:textId="77777777" w:rsidR="00506BE7" w:rsidRDefault="00506BE7">
      <w:pPr>
        <w:widowControl w:val="0"/>
        <w:spacing w:after="0" w:line="240" w:lineRule="auto"/>
        <w:rPr>
          <w:rFonts w:ascii="Times New Roman" w:eastAsia="Calibri" w:hAnsi="Times New Roman" w:cs="Times New Roman"/>
        </w:rPr>
      </w:pPr>
    </w:p>
    <w:p w14:paraId="648ABED0" w14:textId="77777777" w:rsidR="00506BE7" w:rsidRDefault="008E332A">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highlight w:val="lightGray"/>
        </w:rPr>
        <w:t>pailginto atpalaidavimo tabletė</w:t>
      </w:r>
    </w:p>
    <w:p w14:paraId="39C7216E" w14:textId="77777777" w:rsidR="00506BE7" w:rsidRDefault="00506BE7">
      <w:pPr>
        <w:widowControl w:val="0"/>
        <w:spacing w:after="0" w:line="240" w:lineRule="auto"/>
        <w:rPr>
          <w:rFonts w:ascii="Times New Roman" w:eastAsia="Calibri" w:hAnsi="Times New Roman" w:cs="Times New Roman"/>
        </w:rPr>
      </w:pPr>
    </w:p>
    <w:p w14:paraId="275A5A12"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10 pailginto atpalaidavimo tablečių</w:t>
      </w:r>
    </w:p>
    <w:p w14:paraId="503E2799"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30 pailginto atpalaidavimo tablečių</w:t>
      </w:r>
    </w:p>
    <w:p w14:paraId="7B820839"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50 pailginto atpalaidavimo tablečių</w:t>
      </w:r>
    </w:p>
    <w:p w14:paraId="46826546"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60 pailginto atpalaidavimo tablečių</w:t>
      </w:r>
    </w:p>
    <w:p w14:paraId="1373FDEF"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90 pailginto atpalaidavimo tablečių</w:t>
      </w:r>
    </w:p>
    <w:p w14:paraId="63E16295"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highlight w:val="lightGray"/>
        </w:rPr>
        <w:t>100 pailginto atpalaidavimo tablečių</w:t>
      </w:r>
    </w:p>
    <w:p w14:paraId="588FE723" w14:textId="77777777" w:rsidR="00506BE7" w:rsidRDefault="00506BE7">
      <w:pPr>
        <w:widowControl w:val="0"/>
        <w:spacing w:after="0" w:line="240" w:lineRule="auto"/>
        <w:rPr>
          <w:rFonts w:ascii="Times New Roman" w:eastAsia="Calibri" w:hAnsi="Times New Roman" w:cs="Times New Roman"/>
        </w:rPr>
      </w:pPr>
    </w:p>
    <w:p w14:paraId="23A310F8" w14:textId="77777777" w:rsidR="00506BE7" w:rsidRDefault="00506BE7">
      <w:pPr>
        <w:widowControl w:val="0"/>
        <w:spacing w:after="0" w:line="240" w:lineRule="auto"/>
        <w:rPr>
          <w:rFonts w:ascii="Times New Roman" w:eastAsia="Calibri" w:hAnsi="Times New Roman" w:cs="Times New Roman"/>
        </w:rPr>
      </w:pPr>
    </w:p>
    <w:p w14:paraId="41CEB91C" w14:textId="77777777" w:rsidR="00506BE7" w:rsidRDefault="008E332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5.</w:t>
      </w:r>
      <w:r>
        <w:rPr>
          <w:rFonts w:ascii="Times New Roman" w:eastAsia="Calibri" w:hAnsi="Times New Roman" w:cs="Times New Roman"/>
          <w:b/>
        </w:rPr>
        <w:tab/>
        <w:t>VARTOJIMO METODAS IR BŪDAS (-AI)</w:t>
      </w:r>
    </w:p>
    <w:p w14:paraId="32A037CC" w14:textId="77777777" w:rsidR="00506BE7" w:rsidRDefault="00506BE7">
      <w:pPr>
        <w:widowControl w:val="0"/>
        <w:spacing w:after="0" w:line="240" w:lineRule="auto"/>
        <w:rPr>
          <w:rFonts w:ascii="Times New Roman" w:eastAsia="Calibri" w:hAnsi="Times New Roman" w:cs="Times New Roman"/>
        </w:rPr>
      </w:pPr>
    </w:p>
    <w:p w14:paraId="478951AB"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Tablečių negalima dalyti, kramtyti ar traiškyti.</w:t>
      </w:r>
    </w:p>
    <w:p w14:paraId="7A0EEEAD"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Prieš vartojimą perskaitykite pakuotės lapelį.</w:t>
      </w:r>
    </w:p>
    <w:p w14:paraId="29E74FB8"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Vartoti per burną</w:t>
      </w:r>
    </w:p>
    <w:p w14:paraId="29EA1CD6" w14:textId="77777777" w:rsidR="00506BE7" w:rsidRDefault="00506BE7">
      <w:pPr>
        <w:widowControl w:val="0"/>
        <w:spacing w:after="0" w:line="240" w:lineRule="auto"/>
        <w:rPr>
          <w:rFonts w:ascii="Times New Roman" w:eastAsia="Calibri" w:hAnsi="Times New Roman" w:cs="Times New Roman"/>
        </w:rPr>
      </w:pPr>
    </w:p>
    <w:p w14:paraId="1561132A" w14:textId="77777777" w:rsidR="00506BE7" w:rsidRDefault="00506BE7">
      <w:pPr>
        <w:widowControl w:val="0"/>
        <w:spacing w:after="0" w:line="240" w:lineRule="auto"/>
        <w:rPr>
          <w:rFonts w:ascii="Times New Roman" w:eastAsia="Calibri" w:hAnsi="Times New Roman" w:cs="Times New Roman"/>
        </w:rPr>
      </w:pPr>
    </w:p>
    <w:p w14:paraId="4828E86E" w14:textId="77777777" w:rsidR="00506BE7" w:rsidRDefault="008E332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lastRenderedPageBreak/>
        <w:t>6.</w:t>
      </w:r>
      <w:r>
        <w:rPr>
          <w:rFonts w:ascii="Times New Roman" w:eastAsia="Calibri" w:hAnsi="Times New Roman" w:cs="Times New Roman"/>
          <w:b/>
        </w:rPr>
        <w:tab/>
        <w:t>SPECIALUS ĮSPĖJIMAS, KAD VAISTINĮ PREPARATĄ BŪTINA LAIKYTI VAIKAMS NEPASTEBIMOJE IR NEPASIEKIAMOJE VIETOJE</w:t>
      </w:r>
    </w:p>
    <w:p w14:paraId="6469AA50" w14:textId="77777777" w:rsidR="00506BE7" w:rsidRDefault="00506BE7">
      <w:pPr>
        <w:widowControl w:val="0"/>
        <w:spacing w:after="0" w:line="240" w:lineRule="auto"/>
        <w:rPr>
          <w:rFonts w:ascii="Times New Roman" w:eastAsia="Calibri" w:hAnsi="Times New Roman" w:cs="Times New Roman"/>
        </w:rPr>
      </w:pPr>
    </w:p>
    <w:p w14:paraId="44B79D8C"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Laikyti vaikams nepastebimoje ir nepasiekiamoje vietoje.</w:t>
      </w:r>
    </w:p>
    <w:p w14:paraId="5323DF92" w14:textId="77777777" w:rsidR="00506BE7" w:rsidRDefault="00506BE7">
      <w:pPr>
        <w:widowControl w:val="0"/>
        <w:spacing w:after="0" w:line="240" w:lineRule="auto"/>
        <w:rPr>
          <w:rFonts w:ascii="Times New Roman" w:eastAsia="Calibri" w:hAnsi="Times New Roman" w:cs="Times New Roman"/>
        </w:rPr>
      </w:pPr>
    </w:p>
    <w:p w14:paraId="2244CA78" w14:textId="77777777" w:rsidR="00506BE7" w:rsidRDefault="00506BE7">
      <w:pPr>
        <w:widowControl w:val="0"/>
        <w:spacing w:after="0" w:line="240" w:lineRule="auto"/>
        <w:rPr>
          <w:rFonts w:ascii="Times New Roman" w:eastAsia="Calibri" w:hAnsi="Times New Roman" w:cs="Times New Roman"/>
        </w:rPr>
      </w:pPr>
    </w:p>
    <w:p w14:paraId="44181CAF" w14:textId="77777777" w:rsidR="00506BE7" w:rsidRDefault="008E332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7.</w:t>
      </w:r>
      <w:r>
        <w:rPr>
          <w:rFonts w:ascii="Times New Roman" w:eastAsia="Calibri" w:hAnsi="Times New Roman" w:cs="Times New Roman"/>
          <w:b/>
        </w:rPr>
        <w:tab/>
        <w:t>KITAS SPECIALUS ĮSPĖJIMAS (JEI REIKIA)</w:t>
      </w:r>
    </w:p>
    <w:p w14:paraId="6C113D2A" w14:textId="77777777" w:rsidR="00506BE7" w:rsidRDefault="00506BE7">
      <w:pPr>
        <w:widowControl w:val="0"/>
        <w:spacing w:after="0" w:line="240" w:lineRule="auto"/>
        <w:rPr>
          <w:rFonts w:ascii="Times New Roman" w:eastAsia="Calibri" w:hAnsi="Times New Roman" w:cs="Times New Roman"/>
        </w:rPr>
      </w:pPr>
    </w:p>
    <w:p w14:paraId="6C645B0F" w14:textId="77777777" w:rsidR="00506BE7" w:rsidRDefault="00506BE7">
      <w:pPr>
        <w:widowControl w:val="0"/>
        <w:spacing w:after="0" w:line="240" w:lineRule="auto"/>
        <w:rPr>
          <w:rFonts w:ascii="Times New Roman" w:eastAsia="Calibri" w:hAnsi="Times New Roman" w:cs="Times New Roman"/>
        </w:rPr>
      </w:pPr>
    </w:p>
    <w:p w14:paraId="61063061" w14:textId="77777777" w:rsidR="00506BE7" w:rsidRDefault="008E332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8.</w:t>
      </w:r>
      <w:r>
        <w:rPr>
          <w:rFonts w:ascii="Times New Roman" w:eastAsia="Calibri" w:hAnsi="Times New Roman" w:cs="Times New Roman"/>
          <w:b/>
        </w:rPr>
        <w:tab/>
        <w:t>TINKAMUMO LAIKAS</w:t>
      </w:r>
    </w:p>
    <w:p w14:paraId="457AE2AA" w14:textId="77777777" w:rsidR="00506BE7" w:rsidRDefault="00506BE7">
      <w:pPr>
        <w:widowControl w:val="0"/>
        <w:spacing w:after="0" w:line="240" w:lineRule="auto"/>
        <w:rPr>
          <w:rFonts w:ascii="Times New Roman" w:eastAsia="Calibri" w:hAnsi="Times New Roman" w:cs="Times New Roman"/>
        </w:rPr>
      </w:pPr>
    </w:p>
    <w:p w14:paraId="16565D0A" w14:textId="77777777" w:rsidR="00506BE7" w:rsidRDefault="008E332A">
      <w:pPr>
        <w:widowControl w:val="0"/>
        <w:spacing w:after="0" w:line="240" w:lineRule="auto"/>
        <w:rPr>
          <w:rFonts w:ascii="Times New Roman" w:eastAsia="Calibri" w:hAnsi="Times New Roman" w:cs="Times New Roman"/>
          <w:lang w:val="sl-SI"/>
        </w:rPr>
      </w:pPr>
      <w:r>
        <w:rPr>
          <w:rFonts w:ascii="Times New Roman" w:eastAsia="Calibri" w:hAnsi="Times New Roman" w:cs="Times New Roman"/>
          <w:lang w:val="sl-SI"/>
        </w:rPr>
        <w:t>EXP {MMMM/mm}</w:t>
      </w:r>
    </w:p>
    <w:p w14:paraId="0A3C14D7"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highlight w:val="lightGray"/>
        </w:rPr>
        <w:t>Tinka iki {MMMM/mm}</w:t>
      </w:r>
    </w:p>
    <w:p w14:paraId="3DF8252B" w14:textId="77777777" w:rsidR="00506BE7" w:rsidRDefault="00506BE7">
      <w:pPr>
        <w:widowControl w:val="0"/>
        <w:spacing w:after="0" w:line="240" w:lineRule="auto"/>
        <w:rPr>
          <w:rFonts w:ascii="Times New Roman" w:eastAsia="Calibri" w:hAnsi="Times New Roman" w:cs="Times New Roman"/>
        </w:rPr>
      </w:pPr>
    </w:p>
    <w:p w14:paraId="73B6AAC6" w14:textId="77777777" w:rsidR="00506BE7" w:rsidRDefault="00506BE7">
      <w:pPr>
        <w:widowControl w:val="0"/>
        <w:spacing w:after="0" w:line="240" w:lineRule="auto"/>
        <w:rPr>
          <w:rFonts w:ascii="Times New Roman" w:eastAsia="Calibri" w:hAnsi="Times New Roman" w:cs="Times New Roman"/>
        </w:rPr>
      </w:pPr>
    </w:p>
    <w:p w14:paraId="41C26B0F" w14:textId="77777777" w:rsidR="00506BE7" w:rsidRDefault="008E332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9.</w:t>
      </w:r>
      <w:r>
        <w:rPr>
          <w:rFonts w:ascii="Times New Roman" w:eastAsia="Calibri" w:hAnsi="Times New Roman" w:cs="Times New Roman"/>
          <w:b/>
        </w:rPr>
        <w:tab/>
        <w:t>SPECIALIOS LAIKYMO SĄLYGOS</w:t>
      </w:r>
    </w:p>
    <w:p w14:paraId="5A920579" w14:textId="77777777" w:rsidR="00506BE7" w:rsidRDefault="00506BE7">
      <w:pPr>
        <w:widowControl w:val="0"/>
        <w:spacing w:after="0" w:line="240" w:lineRule="auto"/>
        <w:rPr>
          <w:rFonts w:ascii="Times New Roman" w:eastAsia="Calibri" w:hAnsi="Times New Roman" w:cs="Times New Roman"/>
        </w:rPr>
      </w:pPr>
    </w:p>
    <w:p w14:paraId="2EE8E9CB" w14:textId="77777777" w:rsidR="00506BE7" w:rsidRDefault="008E332A">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Laikyti gamintojo pakuotėje, kad vaistas būtų apsaugotas nuo drėgmės.</w:t>
      </w:r>
    </w:p>
    <w:p w14:paraId="385DEDBC" w14:textId="77777777" w:rsidR="00506BE7" w:rsidRDefault="00506BE7">
      <w:pPr>
        <w:widowControl w:val="0"/>
        <w:tabs>
          <w:tab w:val="left" w:pos="567"/>
        </w:tabs>
        <w:overflowPunct w:val="0"/>
        <w:autoSpaceDE w:val="0"/>
        <w:autoSpaceDN w:val="0"/>
        <w:adjustRightInd w:val="0"/>
        <w:spacing w:after="0" w:line="240" w:lineRule="auto"/>
        <w:rPr>
          <w:rFonts w:ascii="Times New Roman" w:eastAsia="Calibri" w:hAnsi="Times New Roman" w:cs="Times New Roman"/>
        </w:rPr>
      </w:pPr>
    </w:p>
    <w:p w14:paraId="067608BC" w14:textId="77777777" w:rsidR="00506BE7" w:rsidRDefault="00506BE7">
      <w:pPr>
        <w:widowControl w:val="0"/>
        <w:tabs>
          <w:tab w:val="left" w:pos="567"/>
        </w:tabs>
        <w:overflowPunct w:val="0"/>
        <w:autoSpaceDE w:val="0"/>
        <w:autoSpaceDN w:val="0"/>
        <w:adjustRightInd w:val="0"/>
        <w:spacing w:after="0" w:line="240" w:lineRule="auto"/>
        <w:rPr>
          <w:rFonts w:ascii="Times New Roman" w:eastAsia="Calibri" w:hAnsi="Times New Roman" w:cs="Times New Roman"/>
        </w:rPr>
      </w:pPr>
    </w:p>
    <w:p w14:paraId="7939DA0D" w14:textId="77777777" w:rsidR="00506BE7" w:rsidRDefault="008E332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10.</w:t>
      </w:r>
      <w:r>
        <w:rPr>
          <w:rFonts w:ascii="Times New Roman" w:eastAsia="Calibri" w:hAnsi="Times New Roman" w:cs="Times New Roman"/>
          <w:b/>
        </w:rPr>
        <w:tab/>
        <w:t>SPECIALIOS ATSARGUMO PRIEMONĖS DĖL NESUVARTOTO VAISTINIO PREPARATO AR JO ATLIEKŲ TVARKYMO (JEI REIKIA)</w:t>
      </w:r>
    </w:p>
    <w:p w14:paraId="3B6F290C" w14:textId="77777777" w:rsidR="00506BE7" w:rsidRDefault="00506BE7">
      <w:pPr>
        <w:widowControl w:val="0"/>
        <w:spacing w:after="0" w:line="240" w:lineRule="auto"/>
        <w:rPr>
          <w:rFonts w:ascii="Times New Roman" w:eastAsia="Calibri" w:hAnsi="Times New Roman" w:cs="Times New Roman"/>
        </w:rPr>
      </w:pPr>
    </w:p>
    <w:p w14:paraId="328682CF" w14:textId="77777777" w:rsidR="00506BE7" w:rsidRDefault="00506BE7">
      <w:pPr>
        <w:widowControl w:val="0"/>
        <w:spacing w:after="0" w:line="240" w:lineRule="auto"/>
        <w:rPr>
          <w:rFonts w:ascii="Times New Roman" w:eastAsia="Calibri" w:hAnsi="Times New Roman" w:cs="Times New Roman"/>
        </w:rPr>
      </w:pPr>
    </w:p>
    <w:p w14:paraId="6D5503AE" w14:textId="77777777" w:rsidR="00506BE7" w:rsidRDefault="008E332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11.</w:t>
      </w:r>
      <w:r>
        <w:rPr>
          <w:rFonts w:ascii="Times New Roman" w:eastAsia="Calibri" w:hAnsi="Times New Roman" w:cs="Times New Roman"/>
          <w:b/>
        </w:rPr>
        <w:tab/>
        <w:t>REGISTRUOTOJO PAVADINIMAS IR ADRESAS</w:t>
      </w:r>
    </w:p>
    <w:p w14:paraId="717B2B29" w14:textId="77777777" w:rsidR="00506BE7" w:rsidRDefault="00506BE7">
      <w:pPr>
        <w:widowControl w:val="0"/>
        <w:spacing w:after="0" w:line="240" w:lineRule="auto"/>
        <w:rPr>
          <w:rFonts w:ascii="Times New Roman" w:eastAsia="Calibri" w:hAnsi="Times New Roman" w:cs="Times New Roman"/>
        </w:rPr>
      </w:pPr>
    </w:p>
    <w:p w14:paraId="1D33B4F7" w14:textId="77777777" w:rsidR="00506BE7" w:rsidRDefault="008E332A">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KRKA, d.d., Novo mesto</w:t>
      </w:r>
    </w:p>
    <w:p w14:paraId="63B21EF3" w14:textId="77777777" w:rsidR="00506BE7" w:rsidRDefault="008E332A">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Šmarješka cesta 6</w:t>
      </w:r>
    </w:p>
    <w:p w14:paraId="435A4B76" w14:textId="77777777" w:rsidR="00506BE7" w:rsidRDefault="008E332A">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8501 Novo mesto</w:t>
      </w:r>
    </w:p>
    <w:p w14:paraId="7A0DB904" w14:textId="77777777" w:rsidR="00506BE7" w:rsidRDefault="008E332A">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Slovėnija</w:t>
      </w:r>
    </w:p>
    <w:p w14:paraId="7B7FD5C5" w14:textId="77777777" w:rsidR="00506BE7" w:rsidRDefault="00506BE7">
      <w:pPr>
        <w:widowControl w:val="0"/>
        <w:spacing w:after="0" w:line="240" w:lineRule="auto"/>
        <w:rPr>
          <w:rFonts w:ascii="Times New Roman" w:eastAsia="Calibri" w:hAnsi="Times New Roman" w:cs="Times New Roman"/>
        </w:rPr>
      </w:pPr>
    </w:p>
    <w:p w14:paraId="7238E890" w14:textId="77777777" w:rsidR="00506BE7" w:rsidRDefault="00506BE7">
      <w:pPr>
        <w:widowControl w:val="0"/>
        <w:spacing w:after="0" w:line="240" w:lineRule="auto"/>
        <w:rPr>
          <w:rFonts w:ascii="Times New Roman" w:eastAsia="Calibri" w:hAnsi="Times New Roman" w:cs="Times New Roman"/>
        </w:rPr>
      </w:pPr>
    </w:p>
    <w:p w14:paraId="0C3EE236" w14:textId="77777777" w:rsidR="00506BE7" w:rsidRDefault="008E332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12.</w:t>
      </w:r>
      <w:r>
        <w:rPr>
          <w:rFonts w:ascii="Times New Roman" w:eastAsia="Calibri" w:hAnsi="Times New Roman" w:cs="Times New Roman"/>
          <w:b/>
        </w:rPr>
        <w:tab/>
        <w:t>REGISTRACIJOS PAŽYMĖJIMO NUMERIS (-IAI)</w:t>
      </w:r>
    </w:p>
    <w:p w14:paraId="6378FBDF" w14:textId="77777777" w:rsidR="00506BE7" w:rsidRDefault="00506BE7">
      <w:pPr>
        <w:widowControl w:val="0"/>
        <w:spacing w:after="0" w:line="240" w:lineRule="auto"/>
        <w:rPr>
          <w:rFonts w:ascii="Times New Roman" w:eastAsia="Calibri" w:hAnsi="Times New Roman" w:cs="Times New Roman"/>
        </w:rPr>
      </w:pPr>
    </w:p>
    <w:p w14:paraId="33637414"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Kventiax 50 mg</w:t>
      </w:r>
    </w:p>
    <w:p w14:paraId="0968E37C"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rPr>
        <w:t xml:space="preserve">LT/1/07/0907/073 </w:t>
      </w:r>
      <w:r>
        <w:rPr>
          <w:rFonts w:ascii="Times New Roman" w:eastAsia="Calibri" w:hAnsi="Times New Roman" w:cs="Times New Roman"/>
          <w:highlight w:val="lightGray"/>
        </w:rPr>
        <w:t>– N10</w:t>
      </w:r>
    </w:p>
    <w:p w14:paraId="17EBB2B6"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LT/1/07/0907/074 – N30</w:t>
      </w:r>
    </w:p>
    <w:p w14:paraId="4833BF77"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LT/1/07/0907/075 – N50</w:t>
      </w:r>
    </w:p>
    <w:p w14:paraId="04451FC9"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LT/1/07/0907/076 – N60</w:t>
      </w:r>
    </w:p>
    <w:p w14:paraId="6AE1168B"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LT/1/07/0907/077 – N90</w:t>
      </w:r>
    </w:p>
    <w:p w14:paraId="582AB8FF"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LT/1/07/0907/078 – N100</w:t>
      </w:r>
    </w:p>
    <w:p w14:paraId="7A07FB0E" w14:textId="77777777" w:rsidR="00506BE7" w:rsidRDefault="00506BE7">
      <w:pPr>
        <w:widowControl w:val="0"/>
        <w:spacing w:after="0" w:line="240" w:lineRule="auto"/>
        <w:rPr>
          <w:rFonts w:ascii="Times New Roman" w:eastAsia="Calibri" w:hAnsi="Times New Roman" w:cs="Times New Roman"/>
          <w:highlight w:val="lightGray"/>
        </w:rPr>
      </w:pPr>
    </w:p>
    <w:p w14:paraId="1F3741EC"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Kventiax 150 mg</w:t>
      </w:r>
    </w:p>
    <w:p w14:paraId="25E8BBB3"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LT/1/07/0907/055 – N10</w:t>
      </w:r>
    </w:p>
    <w:p w14:paraId="6C758802"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LT/1/07/0907/056 – N30</w:t>
      </w:r>
    </w:p>
    <w:p w14:paraId="73EFA797"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LT/1/07/0907/057 – N50</w:t>
      </w:r>
    </w:p>
    <w:p w14:paraId="4BFD373A"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LT/1/07/0907/058 – N60</w:t>
      </w:r>
    </w:p>
    <w:p w14:paraId="4C3C9126"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LT/1/07/0907/059 – N90</w:t>
      </w:r>
    </w:p>
    <w:p w14:paraId="4A9939EB"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LT/1/07/0907/060 – N100</w:t>
      </w:r>
    </w:p>
    <w:p w14:paraId="734FC169" w14:textId="77777777" w:rsidR="00506BE7" w:rsidRDefault="00506BE7">
      <w:pPr>
        <w:widowControl w:val="0"/>
        <w:spacing w:after="0" w:line="240" w:lineRule="auto"/>
        <w:rPr>
          <w:rFonts w:ascii="Times New Roman" w:eastAsia="Calibri" w:hAnsi="Times New Roman" w:cs="Times New Roman"/>
          <w:highlight w:val="lightGray"/>
        </w:rPr>
      </w:pPr>
    </w:p>
    <w:p w14:paraId="55BBDF91"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Kventiax 200 mg</w:t>
      </w:r>
    </w:p>
    <w:p w14:paraId="237C926C"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LT/1/07/0907/061 – N10</w:t>
      </w:r>
    </w:p>
    <w:p w14:paraId="7D09FD6A"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LT/1/07/0907/062 – N30</w:t>
      </w:r>
    </w:p>
    <w:p w14:paraId="034BD6F4"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LT/1/07/0907/063 – N50</w:t>
      </w:r>
    </w:p>
    <w:p w14:paraId="0F820378"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LT/1/07/0907/064 – N60</w:t>
      </w:r>
    </w:p>
    <w:p w14:paraId="09CBC840"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lastRenderedPageBreak/>
        <w:t>LT/1/07/0907/065  – N90</w:t>
      </w:r>
    </w:p>
    <w:p w14:paraId="69CDE576"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LT/1/07/0907/066 – N100</w:t>
      </w:r>
    </w:p>
    <w:p w14:paraId="1AE8D223" w14:textId="77777777" w:rsidR="00506BE7" w:rsidRDefault="00506BE7">
      <w:pPr>
        <w:widowControl w:val="0"/>
        <w:spacing w:after="0" w:line="240" w:lineRule="auto"/>
        <w:rPr>
          <w:rFonts w:ascii="Times New Roman" w:eastAsia="Calibri" w:hAnsi="Times New Roman" w:cs="Times New Roman"/>
          <w:highlight w:val="lightGray"/>
        </w:rPr>
      </w:pPr>
    </w:p>
    <w:p w14:paraId="70D23C43"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Kventiax 300 mg</w:t>
      </w:r>
    </w:p>
    <w:p w14:paraId="4C5ED558"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LT/1/07/0907/067 – N10</w:t>
      </w:r>
    </w:p>
    <w:p w14:paraId="6D2B664F"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LT/1/07/0907/068 – N30</w:t>
      </w:r>
    </w:p>
    <w:p w14:paraId="3500E0A2"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LT/1/07/0907/069 – N50</w:t>
      </w:r>
    </w:p>
    <w:p w14:paraId="7DB66B1C"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LT/1/07/0907/070 – N60</w:t>
      </w:r>
    </w:p>
    <w:p w14:paraId="5A37FD38"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LT/1/07/0907/071 – N90</w:t>
      </w:r>
    </w:p>
    <w:p w14:paraId="30FA247D"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LT/1/07/0907/072 – N100</w:t>
      </w:r>
    </w:p>
    <w:p w14:paraId="07568C68"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 xml:space="preserve"> </w:t>
      </w:r>
    </w:p>
    <w:p w14:paraId="1E551FB7"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Kventiax 400 mg</w:t>
      </w:r>
    </w:p>
    <w:p w14:paraId="42AE7038"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LT/1/18/4255/001 – N10</w:t>
      </w:r>
    </w:p>
    <w:p w14:paraId="3913EBC9"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LT/1/18/4255/002 – N30</w:t>
      </w:r>
    </w:p>
    <w:p w14:paraId="4C4956E2"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LT/1/18/4255/003 – N50</w:t>
      </w:r>
    </w:p>
    <w:p w14:paraId="34970647"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LT/1/18/4255/004 – N60</w:t>
      </w:r>
    </w:p>
    <w:p w14:paraId="20D89408" w14:textId="77777777" w:rsidR="00506BE7" w:rsidRDefault="008E332A">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LT/1/18/4255/005 – N90</w:t>
      </w:r>
    </w:p>
    <w:p w14:paraId="2FB3C043"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highlight w:val="lightGray"/>
        </w:rPr>
        <w:t>LT/1/18/4255/006 – N100</w:t>
      </w:r>
    </w:p>
    <w:p w14:paraId="1DE39D83" w14:textId="77777777" w:rsidR="00506BE7" w:rsidRDefault="00506BE7">
      <w:pPr>
        <w:widowControl w:val="0"/>
        <w:spacing w:after="0" w:line="240" w:lineRule="auto"/>
        <w:rPr>
          <w:rFonts w:ascii="Times New Roman" w:eastAsia="Calibri" w:hAnsi="Times New Roman" w:cs="Times New Roman"/>
        </w:rPr>
      </w:pPr>
    </w:p>
    <w:p w14:paraId="401E75E5" w14:textId="77777777" w:rsidR="00506BE7" w:rsidRDefault="00506BE7">
      <w:pPr>
        <w:widowControl w:val="0"/>
        <w:spacing w:after="0" w:line="240" w:lineRule="auto"/>
        <w:rPr>
          <w:rFonts w:ascii="Times New Roman" w:eastAsia="Calibri" w:hAnsi="Times New Roman" w:cs="Times New Roman"/>
        </w:rPr>
      </w:pPr>
    </w:p>
    <w:p w14:paraId="6B9D9AB8" w14:textId="77777777" w:rsidR="00506BE7" w:rsidRDefault="008E332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13.</w:t>
      </w:r>
      <w:r>
        <w:rPr>
          <w:rFonts w:ascii="Times New Roman" w:eastAsia="Calibri" w:hAnsi="Times New Roman" w:cs="Times New Roman"/>
          <w:b/>
        </w:rPr>
        <w:tab/>
        <w:t>SERIJOS NUMERIS</w:t>
      </w:r>
    </w:p>
    <w:p w14:paraId="18457E75" w14:textId="77777777" w:rsidR="00506BE7" w:rsidRDefault="00506BE7">
      <w:pPr>
        <w:widowControl w:val="0"/>
        <w:spacing w:after="0" w:line="240" w:lineRule="auto"/>
        <w:rPr>
          <w:rFonts w:ascii="Times New Roman" w:eastAsia="Calibri" w:hAnsi="Times New Roman" w:cs="Times New Roman"/>
        </w:rPr>
      </w:pPr>
    </w:p>
    <w:p w14:paraId="3D10FA7D" w14:textId="77777777" w:rsidR="00506BE7" w:rsidRDefault="008E332A">
      <w:pPr>
        <w:widowControl w:val="0"/>
        <w:spacing w:after="0" w:line="240" w:lineRule="auto"/>
        <w:rPr>
          <w:rFonts w:ascii="Times New Roman" w:eastAsia="Calibri" w:hAnsi="Times New Roman" w:cs="Times New Roman"/>
          <w:lang w:val="sl-SI"/>
        </w:rPr>
      </w:pPr>
      <w:r>
        <w:rPr>
          <w:rFonts w:ascii="Times New Roman" w:eastAsia="Calibri" w:hAnsi="Times New Roman" w:cs="Times New Roman"/>
          <w:lang w:val="sl-SI"/>
        </w:rPr>
        <w:t>Lot</w:t>
      </w:r>
    </w:p>
    <w:p w14:paraId="4F6658CA"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highlight w:val="lightGray"/>
        </w:rPr>
        <w:t>Serija</w:t>
      </w:r>
    </w:p>
    <w:p w14:paraId="24690CE2" w14:textId="77777777" w:rsidR="00506BE7" w:rsidRDefault="00506BE7">
      <w:pPr>
        <w:widowControl w:val="0"/>
        <w:spacing w:after="0" w:line="240" w:lineRule="auto"/>
        <w:rPr>
          <w:rFonts w:ascii="Times New Roman" w:eastAsia="Calibri" w:hAnsi="Times New Roman" w:cs="Times New Roman"/>
        </w:rPr>
      </w:pPr>
    </w:p>
    <w:p w14:paraId="6D200939" w14:textId="77777777" w:rsidR="00506BE7" w:rsidRDefault="00506BE7">
      <w:pPr>
        <w:widowControl w:val="0"/>
        <w:spacing w:after="0" w:line="240" w:lineRule="auto"/>
        <w:rPr>
          <w:rFonts w:ascii="Times New Roman" w:eastAsia="Calibri" w:hAnsi="Times New Roman" w:cs="Times New Roman"/>
        </w:rPr>
      </w:pPr>
    </w:p>
    <w:p w14:paraId="010EC8B8" w14:textId="77777777" w:rsidR="00506BE7" w:rsidRDefault="008E332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14.</w:t>
      </w:r>
      <w:r>
        <w:rPr>
          <w:rFonts w:ascii="Times New Roman" w:eastAsia="Calibri" w:hAnsi="Times New Roman" w:cs="Times New Roman"/>
          <w:b/>
        </w:rPr>
        <w:tab/>
        <w:t>PARDAVIMO (IŠDAVIMO) TVARKA</w:t>
      </w:r>
    </w:p>
    <w:p w14:paraId="2F36FBCF" w14:textId="77777777" w:rsidR="00506BE7" w:rsidRDefault="00506BE7">
      <w:pPr>
        <w:widowControl w:val="0"/>
        <w:spacing w:after="0" w:line="240" w:lineRule="auto"/>
        <w:rPr>
          <w:rFonts w:ascii="Times New Roman" w:eastAsia="Calibri" w:hAnsi="Times New Roman" w:cs="Times New Roman"/>
        </w:rPr>
      </w:pPr>
    </w:p>
    <w:p w14:paraId="6B66FA2E"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Receptinis vaistas</w:t>
      </w:r>
    </w:p>
    <w:p w14:paraId="6898B513" w14:textId="77777777" w:rsidR="00506BE7" w:rsidRDefault="00506BE7">
      <w:pPr>
        <w:widowControl w:val="0"/>
        <w:spacing w:after="0" w:line="240" w:lineRule="auto"/>
        <w:rPr>
          <w:rFonts w:ascii="Times New Roman" w:eastAsia="Calibri" w:hAnsi="Times New Roman" w:cs="Times New Roman"/>
        </w:rPr>
      </w:pPr>
    </w:p>
    <w:p w14:paraId="456793F6" w14:textId="77777777" w:rsidR="00506BE7" w:rsidRDefault="00506BE7">
      <w:pPr>
        <w:widowControl w:val="0"/>
        <w:spacing w:after="0" w:line="240" w:lineRule="auto"/>
        <w:rPr>
          <w:rFonts w:ascii="Times New Roman" w:eastAsia="Calibri" w:hAnsi="Times New Roman" w:cs="Times New Roman"/>
        </w:rPr>
      </w:pPr>
    </w:p>
    <w:p w14:paraId="31A41A16" w14:textId="77777777" w:rsidR="00506BE7" w:rsidRDefault="008E332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15.</w:t>
      </w:r>
      <w:r>
        <w:rPr>
          <w:rFonts w:ascii="Times New Roman" w:eastAsia="Calibri" w:hAnsi="Times New Roman" w:cs="Times New Roman"/>
          <w:b/>
        </w:rPr>
        <w:tab/>
        <w:t>VARTOJIMO INSTRUKCIJA</w:t>
      </w:r>
    </w:p>
    <w:p w14:paraId="7F899009" w14:textId="77777777" w:rsidR="00506BE7" w:rsidRDefault="00506BE7">
      <w:pPr>
        <w:widowControl w:val="0"/>
        <w:spacing w:after="0" w:line="240" w:lineRule="auto"/>
        <w:rPr>
          <w:rFonts w:ascii="Times New Roman" w:eastAsia="Calibri" w:hAnsi="Times New Roman" w:cs="Times New Roman"/>
        </w:rPr>
      </w:pPr>
    </w:p>
    <w:p w14:paraId="5B67A580" w14:textId="77777777" w:rsidR="00506BE7" w:rsidRDefault="00506BE7">
      <w:pPr>
        <w:widowControl w:val="0"/>
        <w:spacing w:after="0" w:line="240" w:lineRule="auto"/>
        <w:rPr>
          <w:rFonts w:ascii="Times New Roman" w:eastAsia="Calibri" w:hAnsi="Times New Roman" w:cs="Times New Roman"/>
        </w:rPr>
      </w:pPr>
    </w:p>
    <w:p w14:paraId="3244FFA2" w14:textId="77777777" w:rsidR="00506BE7" w:rsidRDefault="008E332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16.</w:t>
      </w:r>
      <w:r>
        <w:rPr>
          <w:rFonts w:ascii="Times New Roman" w:eastAsia="Calibri" w:hAnsi="Times New Roman" w:cs="Times New Roman"/>
          <w:b/>
        </w:rPr>
        <w:tab/>
        <w:t>INFORMACIJA BRAILIO RAŠTU</w:t>
      </w:r>
    </w:p>
    <w:p w14:paraId="1C0FC56B" w14:textId="77777777" w:rsidR="00506BE7" w:rsidRDefault="00506BE7">
      <w:pPr>
        <w:widowControl w:val="0"/>
        <w:spacing w:after="0" w:line="240" w:lineRule="auto"/>
        <w:rPr>
          <w:rFonts w:ascii="Times New Roman" w:eastAsia="Calibri" w:hAnsi="Times New Roman" w:cs="Times New Roman"/>
        </w:rPr>
      </w:pPr>
    </w:p>
    <w:p w14:paraId="24154C00" w14:textId="77777777" w:rsidR="00506BE7" w:rsidRDefault="008E332A">
      <w:pPr>
        <w:widowControl w:val="0"/>
        <w:tabs>
          <w:tab w:val="left" w:pos="567"/>
        </w:tabs>
        <w:overflowPunct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Kventiax 50 mg</w:t>
      </w:r>
    </w:p>
    <w:p w14:paraId="60116355" w14:textId="77777777" w:rsidR="00506BE7" w:rsidRDefault="008E332A">
      <w:pPr>
        <w:widowControl w:val="0"/>
        <w:tabs>
          <w:tab w:val="left" w:pos="567"/>
        </w:tabs>
        <w:overflowPunct w:val="0"/>
        <w:autoSpaceDE w:val="0"/>
        <w:autoSpaceDN w:val="0"/>
        <w:adjustRightInd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Kventiax 150 mg</w:t>
      </w:r>
    </w:p>
    <w:p w14:paraId="161C8AB9" w14:textId="77777777" w:rsidR="00506BE7" w:rsidRDefault="008E332A">
      <w:pPr>
        <w:widowControl w:val="0"/>
        <w:tabs>
          <w:tab w:val="left" w:pos="567"/>
        </w:tabs>
        <w:overflowPunct w:val="0"/>
        <w:autoSpaceDE w:val="0"/>
        <w:autoSpaceDN w:val="0"/>
        <w:adjustRightInd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Kventiax 200 mg</w:t>
      </w:r>
    </w:p>
    <w:p w14:paraId="6002A2B0" w14:textId="77777777" w:rsidR="00506BE7" w:rsidRDefault="008E332A">
      <w:pPr>
        <w:widowControl w:val="0"/>
        <w:tabs>
          <w:tab w:val="left" w:pos="567"/>
        </w:tabs>
        <w:overflowPunct w:val="0"/>
        <w:autoSpaceDE w:val="0"/>
        <w:autoSpaceDN w:val="0"/>
        <w:adjustRightInd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Kventiax 300 mg</w:t>
      </w:r>
    </w:p>
    <w:p w14:paraId="60281EB7" w14:textId="77777777" w:rsidR="00506BE7" w:rsidRDefault="008E332A">
      <w:pPr>
        <w:widowControl w:val="0"/>
        <w:tabs>
          <w:tab w:val="left" w:pos="567"/>
        </w:tabs>
        <w:overflowPunct w:val="0"/>
        <w:autoSpaceDE w:val="0"/>
        <w:autoSpaceDN w:val="0"/>
        <w:adjustRightInd w:val="0"/>
        <w:spacing w:after="0" w:line="240" w:lineRule="auto"/>
        <w:rPr>
          <w:rFonts w:ascii="Times New Roman" w:eastAsia="Calibri" w:hAnsi="Times New Roman" w:cs="Times New Roman"/>
          <w:highlight w:val="lightGray"/>
          <w:lang w:val="sl-SI"/>
        </w:rPr>
      </w:pPr>
      <w:r>
        <w:rPr>
          <w:rFonts w:ascii="Times New Roman" w:eastAsia="Calibri" w:hAnsi="Times New Roman" w:cs="Times New Roman"/>
          <w:highlight w:val="lightGray"/>
          <w:lang w:val="sl-SI"/>
        </w:rPr>
        <w:t>Kventiax 400 mg</w:t>
      </w:r>
    </w:p>
    <w:p w14:paraId="7E2F3814" w14:textId="77777777" w:rsidR="00506BE7" w:rsidRDefault="00506BE7">
      <w:pPr>
        <w:widowControl w:val="0"/>
        <w:spacing w:after="0" w:line="240" w:lineRule="auto"/>
        <w:rPr>
          <w:rFonts w:ascii="Times New Roman" w:eastAsia="Calibri" w:hAnsi="Times New Roman" w:cs="Times New Roman"/>
        </w:rPr>
      </w:pPr>
    </w:p>
    <w:p w14:paraId="74876327" w14:textId="77777777" w:rsidR="00506BE7" w:rsidRDefault="00506BE7">
      <w:pPr>
        <w:widowControl w:val="0"/>
        <w:spacing w:after="0" w:line="240" w:lineRule="auto"/>
        <w:rPr>
          <w:rFonts w:ascii="Times New Roman" w:eastAsia="Calibri" w:hAnsi="Times New Roman" w:cs="Times New Roman"/>
        </w:rPr>
      </w:pPr>
    </w:p>
    <w:p w14:paraId="08F3D42B" w14:textId="77777777" w:rsidR="00506BE7" w:rsidRDefault="008E332A">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Calibri" w:hAnsi="Times New Roman" w:cs="Times New Roman"/>
          <w:i/>
        </w:rPr>
      </w:pPr>
      <w:r>
        <w:rPr>
          <w:rFonts w:ascii="Times New Roman" w:eastAsia="Calibri" w:hAnsi="Times New Roman" w:cs="Times New Roman"/>
          <w:b/>
        </w:rPr>
        <w:t>17.</w:t>
      </w:r>
      <w:r>
        <w:rPr>
          <w:rFonts w:ascii="Times New Roman" w:eastAsia="Calibri" w:hAnsi="Times New Roman" w:cs="Times New Roman"/>
          <w:b/>
        </w:rPr>
        <w:tab/>
        <w:t>UNIKALUS IDENTIFIKATORIUS – 2D BRŪKŠNINIS KODAS</w:t>
      </w:r>
    </w:p>
    <w:p w14:paraId="0D1F38FC" w14:textId="77777777" w:rsidR="00506BE7" w:rsidRDefault="00506BE7">
      <w:pPr>
        <w:widowControl w:val="0"/>
        <w:spacing w:after="0" w:line="240" w:lineRule="auto"/>
        <w:rPr>
          <w:rFonts w:ascii="Times New Roman" w:eastAsia="Calibri" w:hAnsi="Times New Roman" w:cs="Times New Roman"/>
          <w:lang w:val="sl-SI"/>
        </w:rPr>
      </w:pPr>
    </w:p>
    <w:p w14:paraId="01D9DA57" w14:textId="77777777" w:rsidR="00506BE7" w:rsidRDefault="008E332A">
      <w:pPr>
        <w:widowControl w:val="0"/>
        <w:spacing w:after="0" w:line="240" w:lineRule="auto"/>
        <w:rPr>
          <w:rFonts w:ascii="Times New Roman" w:eastAsia="Calibri" w:hAnsi="Times New Roman" w:cs="Times New Roman"/>
          <w:lang w:val="sl-SI"/>
        </w:rPr>
      </w:pPr>
      <w:r>
        <w:rPr>
          <w:rFonts w:ascii="Times New Roman" w:eastAsia="Calibri" w:hAnsi="Times New Roman" w:cs="Times New Roman"/>
          <w:highlight w:val="lightGray"/>
          <w:lang w:val="sl-SI"/>
        </w:rPr>
        <w:t>2D brūkšninis kodas su nurodytu unikaliu identifikatoriumi.</w:t>
      </w:r>
    </w:p>
    <w:p w14:paraId="1D99F753" w14:textId="77777777" w:rsidR="00506BE7" w:rsidRDefault="00506BE7">
      <w:pPr>
        <w:widowControl w:val="0"/>
        <w:spacing w:after="0" w:line="240" w:lineRule="auto"/>
        <w:rPr>
          <w:rFonts w:ascii="Times New Roman" w:eastAsia="Calibri" w:hAnsi="Times New Roman" w:cs="Times New Roman"/>
          <w:lang w:val="sl-SI"/>
        </w:rPr>
      </w:pPr>
    </w:p>
    <w:p w14:paraId="36B1FC14" w14:textId="77777777" w:rsidR="00506BE7" w:rsidRDefault="00506BE7">
      <w:pPr>
        <w:widowControl w:val="0"/>
        <w:spacing w:after="0" w:line="240" w:lineRule="auto"/>
        <w:rPr>
          <w:rFonts w:ascii="Times New Roman" w:eastAsia="Calibri" w:hAnsi="Times New Roman" w:cs="Times New Roman"/>
          <w:lang w:val="sl-SI"/>
        </w:rPr>
      </w:pPr>
    </w:p>
    <w:p w14:paraId="65205C56" w14:textId="77777777" w:rsidR="00506BE7" w:rsidRDefault="008E332A">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Calibri" w:hAnsi="Times New Roman" w:cs="Times New Roman"/>
          <w:i/>
        </w:rPr>
      </w:pPr>
      <w:r>
        <w:rPr>
          <w:rFonts w:ascii="Times New Roman" w:eastAsia="Calibri" w:hAnsi="Times New Roman" w:cs="Times New Roman"/>
          <w:b/>
        </w:rPr>
        <w:t>18.</w:t>
      </w:r>
      <w:r>
        <w:rPr>
          <w:rFonts w:ascii="Times New Roman" w:eastAsia="Calibri" w:hAnsi="Times New Roman" w:cs="Times New Roman"/>
          <w:b/>
        </w:rPr>
        <w:tab/>
        <w:t>UNIKALUS IDENTIFIKATORIUS – ŽMONĖMS SUPRANTAMI DUOMENYS</w:t>
      </w:r>
    </w:p>
    <w:p w14:paraId="25833D9D" w14:textId="77777777" w:rsidR="00506BE7" w:rsidRDefault="00506BE7">
      <w:pPr>
        <w:widowControl w:val="0"/>
        <w:spacing w:after="0" w:line="240" w:lineRule="auto"/>
        <w:rPr>
          <w:rFonts w:ascii="Times New Roman" w:eastAsia="Calibri" w:hAnsi="Times New Roman" w:cs="Times New Roman"/>
          <w:lang w:val="sl-SI"/>
        </w:rPr>
      </w:pPr>
    </w:p>
    <w:p w14:paraId="36DF78DE" w14:textId="77777777" w:rsidR="00506BE7" w:rsidRDefault="008E332A">
      <w:pPr>
        <w:widowControl w:val="0"/>
        <w:spacing w:after="0" w:line="240" w:lineRule="auto"/>
        <w:rPr>
          <w:rFonts w:ascii="Times New Roman" w:eastAsia="Calibri" w:hAnsi="Times New Roman" w:cs="Times New Roman"/>
          <w:lang w:val="sl-SI"/>
        </w:rPr>
      </w:pPr>
      <w:r>
        <w:rPr>
          <w:rFonts w:ascii="Times New Roman" w:eastAsia="Calibri" w:hAnsi="Times New Roman" w:cs="Times New Roman"/>
          <w:lang w:val="sl-SI"/>
        </w:rPr>
        <w:t xml:space="preserve">PC </w:t>
      </w:r>
      <w:r>
        <w:rPr>
          <w:rFonts w:ascii="Times New Roman" w:eastAsia="Calibri" w:hAnsi="Times New Roman" w:cs="Times New Roman"/>
        </w:rPr>
        <w:t>{numeris}</w:t>
      </w:r>
    </w:p>
    <w:p w14:paraId="362CA568" w14:textId="77777777" w:rsidR="00506BE7" w:rsidRDefault="008E332A">
      <w:pPr>
        <w:widowControl w:val="0"/>
        <w:spacing w:after="0" w:line="240" w:lineRule="auto"/>
        <w:rPr>
          <w:rFonts w:ascii="Times New Roman" w:eastAsia="Calibri" w:hAnsi="Times New Roman" w:cs="Times New Roman"/>
          <w:lang w:val="sl-SI"/>
        </w:rPr>
      </w:pPr>
      <w:r>
        <w:rPr>
          <w:rFonts w:ascii="Times New Roman" w:eastAsia="Calibri" w:hAnsi="Times New Roman" w:cs="Times New Roman"/>
          <w:lang w:val="sl-SI"/>
        </w:rPr>
        <w:t xml:space="preserve">SN </w:t>
      </w:r>
      <w:r>
        <w:rPr>
          <w:rFonts w:ascii="Times New Roman" w:eastAsia="Calibri" w:hAnsi="Times New Roman" w:cs="Times New Roman"/>
        </w:rPr>
        <w:t>{numeris}</w:t>
      </w:r>
    </w:p>
    <w:p w14:paraId="69D24891" w14:textId="77777777" w:rsidR="00506BE7" w:rsidRDefault="008E332A">
      <w:pPr>
        <w:widowControl w:val="0"/>
        <w:spacing w:after="0" w:line="240" w:lineRule="auto"/>
        <w:rPr>
          <w:rFonts w:ascii="Times New Roman" w:eastAsia="Calibri" w:hAnsi="Times New Roman" w:cs="Times New Roman"/>
          <w:lang w:val="sl-SI"/>
        </w:rPr>
      </w:pPr>
      <w:r>
        <w:rPr>
          <w:rFonts w:ascii="Times New Roman" w:eastAsia="Calibri" w:hAnsi="Times New Roman" w:cs="Times New Roman"/>
          <w:highlight w:val="lightGray"/>
          <w:lang w:val="sl-SI"/>
        </w:rPr>
        <w:t xml:space="preserve">NN </w:t>
      </w:r>
      <w:r>
        <w:rPr>
          <w:rFonts w:ascii="Times New Roman" w:eastAsia="Calibri" w:hAnsi="Times New Roman" w:cs="Times New Roman"/>
          <w:highlight w:val="lightGray"/>
        </w:rPr>
        <w:t>{numeris}</w:t>
      </w:r>
    </w:p>
    <w:p w14:paraId="4336CEF3" w14:textId="77777777" w:rsidR="00506BE7" w:rsidRDefault="008E332A">
      <w:pPr>
        <w:widowControl w:val="0"/>
        <w:spacing w:after="0" w:line="240" w:lineRule="auto"/>
        <w:rPr>
          <w:rFonts w:ascii="Times New Roman" w:eastAsia="Calibri" w:hAnsi="Times New Roman" w:cs="Times New Roman"/>
          <w:highlight w:val="lightGray"/>
          <w:lang w:val="sl-SI"/>
        </w:rPr>
      </w:pPr>
      <w:r>
        <w:rPr>
          <w:rFonts w:ascii="Times New Roman" w:eastAsia="Calibri" w:hAnsi="Times New Roman" w:cs="Times New Roman"/>
          <w:highlight w:val="lightGray"/>
          <w:lang w:val="sl-SI"/>
        </w:rPr>
        <w:br w:type="page"/>
      </w:r>
    </w:p>
    <w:p w14:paraId="28AE05D0" w14:textId="77777777" w:rsidR="00506BE7" w:rsidRDefault="008E332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lastRenderedPageBreak/>
        <w:t xml:space="preserve">MINIMALI </w:t>
      </w:r>
      <w:r>
        <w:rPr>
          <w:rFonts w:ascii="Times New Roman" w:eastAsia="Calibri" w:hAnsi="Times New Roman" w:cs="Times New Roman"/>
          <w:b/>
          <w:caps/>
        </w:rPr>
        <w:t xml:space="preserve">informacija ant </w:t>
      </w:r>
      <w:r>
        <w:rPr>
          <w:rFonts w:ascii="Times New Roman" w:eastAsia="Calibri" w:hAnsi="Times New Roman" w:cs="Times New Roman"/>
          <w:b/>
        </w:rPr>
        <w:t>LIZDINIŲ PLOKŠTELIŲ ARBA DVISLUOKSNIŲ JUOSTELIŲ</w:t>
      </w:r>
    </w:p>
    <w:p w14:paraId="3721C59E" w14:textId="77777777" w:rsidR="00506BE7" w:rsidRDefault="00506BE7">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p>
    <w:p w14:paraId="25A71C10" w14:textId="77777777" w:rsidR="00506BE7" w:rsidRDefault="008E332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LIZDINĖ PLOKŠTELĖ</w:t>
      </w:r>
    </w:p>
    <w:p w14:paraId="16EC473D" w14:textId="77777777" w:rsidR="00506BE7" w:rsidRDefault="00506BE7">
      <w:pPr>
        <w:widowControl w:val="0"/>
        <w:spacing w:after="0" w:line="240" w:lineRule="auto"/>
        <w:rPr>
          <w:rFonts w:ascii="Times New Roman" w:eastAsia="Calibri" w:hAnsi="Times New Roman" w:cs="Times New Roman"/>
        </w:rPr>
      </w:pPr>
    </w:p>
    <w:p w14:paraId="0175B632" w14:textId="77777777" w:rsidR="00506BE7" w:rsidRDefault="00506BE7">
      <w:pPr>
        <w:widowControl w:val="0"/>
        <w:spacing w:after="0" w:line="240" w:lineRule="auto"/>
        <w:rPr>
          <w:rFonts w:ascii="Times New Roman" w:eastAsia="Calibri" w:hAnsi="Times New Roman" w:cs="Times New Roman"/>
        </w:rPr>
      </w:pPr>
    </w:p>
    <w:p w14:paraId="1BDB5723" w14:textId="77777777" w:rsidR="00506BE7" w:rsidRDefault="008E332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1.</w:t>
      </w:r>
      <w:r>
        <w:rPr>
          <w:rFonts w:ascii="Times New Roman" w:eastAsia="Calibri" w:hAnsi="Times New Roman" w:cs="Times New Roman"/>
          <w:b/>
        </w:rPr>
        <w:tab/>
        <w:t>VAISTINIO PREPARATO PAVADINIMAS</w:t>
      </w:r>
    </w:p>
    <w:p w14:paraId="48AA8B51" w14:textId="77777777" w:rsidR="00506BE7" w:rsidRDefault="00506BE7">
      <w:pPr>
        <w:widowControl w:val="0"/>
        <w:spacing w:after="0" w:line="240" w:lineRule="auto"/>
        <w:rPr>
          <w:rFonts w:ascii="Times New Roman" w:eastAsia="Calibri" w:hAnsi="Times New Roman" w:cs="Times New Roman"/>
        </w:rPr>
      </w:pPr>
    </w:p>
    <w:p w14:paraId="51AF9135" w14:textId="77777777" w:rsidR="00506BE7" w:rsidRDefault="008E332A">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Kventiax 50 mg pailginto atpalaidavimo tabletės</w:t>
      </w:r>
    </w:p>
    <w:p w14:paraId="57627A44" w14:textId="77777777" w:rsidR="00506BE7" w:rsidRDefault="008E332A">
      <w:pPr>
        <w:widowControl w:val="0"/>
        <w:tabs>
          <w:tab w:val="left" w:pos="567"/>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Kventiax 150 mg pailginto atpalaidavimo tabletės</w:t>
      </w:r>
    </w:p>
    <w:p w14:paraId="77F95EA3" w14:textId="77777777" w:rsidR="00506BE7" w:rsidRDefault="008E332A">
      <w:pPr>
        <w:widowControl w:val="0"/>
        <w:tabs>
          <w:tab w:val="left" w:pos="567"/>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Kventiax 200 mg pailginto atpalaidavimo tabletės</w:t>
      </w:r>
    </w:p>
    <w:p w14:paraId="34B08E8C" w14:textId="77777777" w:rsidR="00506BE7" w:rsidRDefault="008E332A">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highlight w:val="lightGray"/>
        </w:rPr>
        <w:t>Kventiax 300 mg pailginto atpalaidavimo tabletės</w:t>
      </w:r>
    </w:p>
    <w:p w14:paraId="74596A19" w14:textId="77777777" w:rsidR="00506BE7" w:rsidRDefault="008E332A">
      <w:pPr>
        <w:widowControl w:val="0"/>
        <w:tabs>
          <w:tab w:val="left" w:pos="567"/>
        </w:tabs>
        <w:spacing w:after="0" w:line="240" w:lineRule="auto"/>
        <w:rPr>
          <w:rFonts w:ascii="Times New Roman" w:eastAsia="Calibri" w:hAnsi="Times New Roman" w:cs="Times New Roman"/>
          <w:lang w:val="sl-SI"/>
        </w:rPr>
      </w:pPr>
      <w:r>
        <w:rPr>
          <w:rFonts w:ascii="Times New Roman" w:eastAsia="Calibri" w:hAnsi="Times New Roman" w:cs="Times New Roman"/>
          <w:highlight w:val="lightGray"/>
          <w:lang w:val="sl-SI"/>
        </w:rPr>
        <w:t>Kventiax 400 mg pailginto atpalaidavimo tabletės</w:t>
      </w:r>
    </w:p>
    <w:p w14:paraId="254827BC" w14:textId="77777777" w:rsidR="00506BE7" w:rsidRDefault="00506BE7">
      <w:pPr>
        <w:widowControl w:val="0"/>
        <w:tabs>
          <w:tab w:val="left" w:pos="567"/>
        </w:tabs>
        <w:spacing w:after="0" w:line="240" w:lineRule="auto"/>
        <w:rPr>
          <w:rFonts w:ascii="Times New Roman" w:eastAsia="Calibri" w:hAnsi="Times New Roman" w:cs="Times New Roman"/>
        </w:rPr>
      </w:pPr>
    </w:p>
    <w:p w14:paraId="5C292B71" w14:textId="77777777" w:rsidR="00506BE7" w:rsidRDefault="008E332A">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quetiapinum</w:t>
      </w:r>
    </w:p>
    <w:p w14:paraId="32746737" w14:textId="77777777" w:rsidR="00506BE7" w:rsidRDefault="00506BE7">
      <w:pPr>
        <w:widowControl w:val="0"/>
        <w:spacing w:after="0" w:line="240" w:lineRule="auto"/>
        <w:rPr>
          <w:rFonts w:ascii="Times New Roman" w:eastAsia="Calibri" w:hAnsi="Times New Roman" w:cs="Times New Roman"/>
        </w:rPr>
      </w:pPr>
    </w:p>
    <w:p w14:paraId="36A888AA" w14:textId="77777777" w:rsidR="00506BE7" w:rsidRDefault="00506BE7">
      <w:pPr>
        <w:widowControl w:val="0"/>
        <w:spacing w:after="0" w:line="240" w:lineRule="auto"/>
        <w:rPr>
          <w:rFonts w:ascii="Times New Roman" w:eastAsia="Calibri" w:hAnsi="Times New Roman" w:cs="Times New Roman"/>
        </w:rPr>
      </w:pPr>
    </w:p>
    <w:p w14:paraId="7A8FB9DF" w14:textId="77777777" w:rsidR="00506BE7" w:rsidRDefault="008E332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REGISTRUOTOJO PAVADINIMAS</w:t>
      </w:r>
    </w:p>
    <w:p w14:paraId="76DA913A" w14:textId="77777777" w:rsidR="00506BE7" w:rsidRDefault="00506BE7">
      <w:pPr>
        <w:widowControl w:val="0"/>
        <w:spacing w:after="0" w:line="240" w:lineRule="auto"/>
        <w:rPr>
          <w:rFonts w:ascii="Times New Roman" w:eastAsia="Calibri" w:hAnsi="Times New Roman" w:cs="Times New Roman"/>
        </w:rPr>
      </w:pPr>
    </w:p>
    <w:p w14:paraId="3A024998" w14:textId="77777777" w:rsidR="00506BE7" w:rsidRDefault="008E332A">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rPr>
        <w:t>KRKA</w:t>
      </w:r>
    </w:p>
    <w:p w14:paraId="04CE18E0" w14:textId="77777777" w:rsidR="00506BE7" w:rsidRDefault="00506BE7">
      <w:pPr>
        <w:widowControl w:val="0"/>
        <w:spacing w:after="0" w:line="240" w:lineRule="auto"/>
        <w:rPr>
          <w:rFonts w:ascii="Times New Roman" w:eastAsia="Calibri" w:hAnsi="Times New Roman" w:cs="Times New Roman"/>
        </w:rPr>
      </w:pPr>
    </w:p>
    <w:p w14:paraId="719CF5E1" w14:textId="77777777" w:rsidR="00506BE7" w:rsidRDefault="00506BE7">
      <w:pPr>
        <w:widowControl w:val="0"/>
        <w:spacing w:after="0" w:line="240" w:lineRule="auto"/>
        <w:rPr>
          <w:rFonts w:ascii="Times New Roman" w:eastAsia="Calibri" w:hAnsi="Times New Roman" w:cs="Times New Roman"/>
        </w:rPr>
      </w:pPr>
    </w:p>
    <w:p w14:paraId="2D91B4E5" w14:textId="77777777" w:rsidR="00506BE7" w:rsidRDefault="008E332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3.</w:t>
      </w:r>
      <w:r>
        <w:rPr>
          <w:rFonts w:ascii="Times New Roman" w:eastAsia="Calibri" w:hAnsi="Times New Roman" w:cs="Times New Roman"/>
          <w:b/>
        </w:rPr>
        <w:tab/>
        <w:t>TINKAMUMO LAIKAS</w:t>
      </w:r>
    </w:p>
    <w:p w14:paraId="49D58E48" w14:textId="77777777" w:rsidR="00506BE7" w:rsidRDefault="00506BE7">
      <w:pPr>
        <w:widowControl w:val="0"/>
        <w:spacing w:after="0" w:line="240" w:lineRule="auto"/>
        <w:rPr>
          <w:rFonts w:ascii="Times New Roman" w:eastAsia="Calibri" w:hAnsi="Times New Roman" w:cs="Times New Roman"/>
        </w:rPr>
      </w:pPr>
    </w:p>
    <w:p w14:paraId="20C038E0"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EXP (mm/MMMM)</w:t>
      </w:r>
    </w:p>
    <w:p w14:paraId="09529F41" w14:textId="77777777" w:rsidR="00506BE7" w:rsidRDefault="00506BE7">
      <w:pPr>
        <w:widowControl w:val="0"/>
        <w:spacing w:after="0" w:line="240" w:lineRule="auto"/>
        <w:rPr>
          <w:rFonts w:ascii="Times New Roman" w:eastAsia="Calibri" w:hAnsi="Times New Roman" w:cs="Times New Roman"/>
        </w:rPr>
      </w:pPr>
    </w:p>
    <w:p w14:paraId="41B424BB" w14:textId="77777777" w:rsidR="00506BE7" w:rsidRDefault="00506BE7">
      <w:pPr>
        <w:widowControl w:val="0"/>
        <w:spacing w:after="0" w:line="240" w:lineRule="auto"/>
        <w:rPr>
          <w:rFonts w:ascii="Times New Roman" w:eastAsia="Calibri" w:hAnsi="Times New Roman" w:cs="Times New Roman"/>
        </w:rPr>
      </w:pPr>
    </w:p>
    <w:p w14:paraId="36F1E28A" w14:textId="77777777" w:rsidR="00506BE7" w:rsidRDefault="008E332A">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4.</w:t>
      </w:r>
      <w:r>
        <w:rPr>
          <w:rFonts w:ascii="Times New Roman" w:eastAsia="Calibri" w:hAnsi="Times New Roman" w:cs="Times New Roman"/>
          <w:b/>
        </w:rPr>
        <w:tab/>
        <w:t>SERIJOS NUMERIS</w:t>
      </w:r>
    </w:p>
    <w:p w14:paraId="788CA258" w14:textId="77777777" w:rsidR="00506BE7" w:rsidRDefault="00506BE7">
      <w:pPr>
        <w:widowControl w:val="0"/>
        <w:spacing w:after="0" w:line="240" w:lineRule="auto"/>
        <w:rPr>
          <w:rFonts w:ascii="Times New Roman" w:eastAsia="Calibri" w:hAnsi="Times New Roman" w:cs="Times New Roman"/>
        </w:rPr>
      </w:pPr>
    </w:p>
    <w:p w14:paraId="463CFE7B"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Lot</w:t>
      </w:r>
    </w:p>
    <w:p w14:paraId="2CFB9FE8" w14:textId="77777777" w:rsidR="00506BE7" w:rsidRDefault="00506BE7">
      <w:pPr>
        <w:widowControl w:val="0"/>
        <w:spacing w:after="0" w:line="240" w:lineRule="auto"/>
        <w:rPr>
          <w:rFonts w:ascii="Times New Roman" w:eastAsia="Calibri" w:hAnsi="Times New Roman" w:cs="Times New Roman"/>
        </w:rPr>
      </w:pPr>
    </w:p>
    <w:p w14:paraId="4C325E59" w14:textId="77777777" w:rsidR="00506BE7" w:rsidRDefault="00506BE7">
      <w:pPr>
        <w:widowControl w:val="0"/>
        <w:spacing w:after="0" w:line="240" w:lineRule="auto"/>
        <w:rPr>
          <w:rFonts w:ascii="Times New Roman" w:eastAsia="Calibri" w:hAnsi="Times New Roman" w:cs="Times New Roman"/>
        </w:rPr>
      </w:pPr>
    </w:p>
    <w:p w14:paraId="435A58B8" w14:textId="77777777" w:rsidR="00506BE7" w:rsidRDefault="008E332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5.</w:t>
      </w:r>
      <w:r>
        <w:rPr>
          <w:rFonts w:ascii="Times New Roman" w:eastAsia="Calibri" w:hAnsi="Times New Roman" w:cs="Times New Roman"/>
          <w:b/>
        </w:rPr>
        <w:tab/>
        <w:t>KITA</w:t>
      </w:r>
    </w:p>
    <w:p w14:paraId="7C0A6341" w14:textId="77777777" w:rsidR="00506BE7" w:rsidRDefault="00506BE7">
      <w:pPr>
        <w:widowControl w:val="0"/>
        <w:tabs>
          <w:tab w:val="left" w:pos="567"/>
        </w:tabs>
        <w:spacing w:after="0" w:line="240" w:lineRule="auto"/>
        <w:rPr>
          <w:rFonts w:ascii="Times New Roman" w:eastAsia="Calibri" w:hAnsi="Times New Roman" w:cs="Times New Roman"/>
        </w:rPr>
      </w:pPr>
    </w:p>
    <w:p w14:paraId="358EC1B4" w14:textId="77777777" w:rsidR="00506BE7" w:rsidRDefault="00506BE7">
      <w:pPr>
        <w:widowControl w:val="0"/>
        <w:tabs>
          <w:tab w:val="left" w:pos="567"/>
        </w:tabs>
        <w:spacing w:after="0" w:line="240" w:lineRule="auto"/>
        <w:rPr>
          <w:rFonts w:ascii="Times New Roman" w:eastAsia="Calibri" w:hAnsi="Times New Roman" w:cs="Times New Roman"/>
        </w:rPr>
      </w:pPr>
    </w:p>
    <w:p w14:paraId="40A9F16E"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br w:type="page"/>
      </w:r>
    </w:p>
    <w:p w14:paraId="529FD709"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59095873"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569307FF"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61A6A1C5"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5098DE21"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138E707B"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5A7DE604"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2AEDFE4C"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07417118"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749C6422"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2EBA51F5"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3CE6E32B"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00A5C72F"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72D71264"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3FE968A3"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78600037"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15F5375E"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7B59CE83"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3F546EBA"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2528A838"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23CA2D3C"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1E3615D0"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1BEF9D30"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526DFEFF" w14:textId="77777777" w:rsidR="00506BE7" w:rsidRDefault="008E332A">
      <w:pPr>
        <w:widowControl w:val="0"/>
        <w:tabs>
          <w:tab w:val="left" w:pos="567"/>
        </w:tabs>
        <w:spacing w:after="0" w:line="240" w:lineRule="auto"/>
        <w:jc w:val="center"/>
        <w:outlineLvl w:val="0"/>
        <w:rPr>
          <w:rFonts w:ascii="Times New Roman" w:eastAsia="Calibri" w:hAnsi="Times New Roman" w:cs="Times New Roman"/>
          <w:b/>
        </w:rPr>
      </w:pPr>
      <w:r>
        <w:rPr>
          <w:rFonts w:ascii="Times New Roman" w:eastAsia="Calibri" w:hAnsi="Times New Roman" w:cs="Times New Roman"/>
          <w:b/>
        </w:rPr>
        <w:t>B. PAKUOTĖS LAPELIS</w:t>
      </w:r>
    </w:p>
    <w:p w14:paraId="60DC5E31" w14:textId="77777777" w:rsidR="00506BE7" w:rsidRDefault="00506BE7">
      <w:pPr>
        <w:widowControl w:val="0"/>
        <w:tabs>
          <w:tab w:val="left" w:pos="567"/>
        </w:tabs>
        <w:spacing w:after="0" w:line="240" w:lineRule="auto"/>
        <w:jc w:val="center"/>
        <w:outlineLvl w:val="0"/>
        <w:rPr>
          <w:rFonts w:ascii="Times New Roman" w:eastAsia="Calibri" w:hAnsi="Times New Roman" w:cs="Times New Roman"/>
          <w:b/>
        </w:rPr>
      </w:pPr>
    </w:p>
    <w:p w14:paraId="01166AAD" w14:textId="77777777" w:rsidR="00506BE7" w:rsidRDefault="008E332A">
      <w:pPr>
        <w:widowControl w:val="0"/>
        <w:tabs>
          <w:tab w:val="left" w:pos="567"/>
        </w:tabs>
        <w:spacing w:after="0" w:line="240" w:lineRule="auto"/>
        <w:jc w:val="center"/>
        <w:outlineLvl w:val="0"/>
        <w:rPr>
          <w:rFonts w:ascii="Times New Roman" w:eastAsia="Calibri" w:hAnsi="Times New Roman" w:cs="Times New Roman"/>
          <w:b/>
        </w:rPr>
      </w:pPr>
      <w:r>
        <w:rPr>
          <w:rFonts w:ascii="Times New Roman" w:eastAsia="Calibri" w:hAnsi="Times New Roman" w:cs="Times New Roman"/>
          <w:b/>
        </w:rPr>
        <w:br w:type="page"/>
      </w:r>
      <w:r>
        <w:rPr>
          <w:rFonts w:ascii="Times New Roman" w:eastAsia="Calibri" w:hAnsi="Times New Roman" w:cs="Times New Roman"/>
          <w:b/>
        </w:rPr>
        <w:lastRenderedPageBreak/>
        <w:t>Pakuotės lapelis: informacija pacientui</w:t>
      </w:r>
    </w:p>
    <w:p w14:paraId="54071F66" w14:textId="77777777" w:rsidR="00506BE7" w:rsidRDefault="00506BE7">
      <w:pPr>
        <w:widowControl w:val="0"/>
        <w:spacing w:after="0" w:line="240" w:lineRule="auto"/>
        <w:rPr>
          <w:rFonts w:ascii="Times New Roman" w:eastAsia="Calibri" w:hAnsi="Times New Roman" w:cs="Times New Roman"/>
        </w:rPr>
      </w:pPr>
    </w:p>
    <w:p w14:paraId="304C80DF" w14:textId="77777777" w:rsidR="00506BE7" w:rsidRDefault="008E332A">
      <w:pPr>
        <w:widowControl w:val="0"/>
        <w:numPr>
          <w:ilvl w:val="12"/>
          <w:numId w:val="0"/>
        </w:numPr>
        <w:spacing w:after="0" w:line="240" w:lineRule="auto"/>
        <w:jc w:val="center"/>
        <w:rPr>
          <w:rFonts w:ascii="Times New Roman" w:eastAsia="Calibri" w:hAnsi="Times New Roman" w:cs="Times New Roman"/>
          <w:b/>
        </w:rPr>
      </w:pPr>
      <w:r>
        <w:rPr>
          <w:rFonts w:ascii="Times New Roman" w:eastAsia="Calibri" w:hAnsi="Times New Roman" w:cs="Times New Roman"/>
          <w:b/>
        </w:rPr>
        <w:t>Kventiax 50 mg pailginto atpalaidavimo tabletės</w:t>
      </w:r>
    </w:p>
    <w:p w14:paraId="01F8B0C6" w14:textId="77777777" w:rsidR="00506BE7" w:rsidRDefault="008E332A">
      <w:pPr>
        <w:widowControl w:val="0"/>
        <w:numPr>
          <w:ilvl w:val="12"/>
          <w:numId w:val="0"/>
        </w:numPr>
        <w:spacing w:after="0" w:line="240" w:lineRule="auto"/>
        <w:jc w:val="center"/>
        <w:rPr>
          <w:rFonts w:ascii="Times New Roman" w:eastAsia="Calibri" w:hAnsi="Times New Roman" w:cs="Times New Roman"/>
          <w:b/>
        </w:rPr>
      </w:pPr>
      <w:r>
        <w:rPr>
          <w:rFonts w:ascii="Times New Roman" w:eastAsia="Calibri" w:hAnsi="Times New Roman" w:cs="Times New Roman"/>
          <w:b/>
        </w:rPr>
        <w:t>Kventiax 150</w:t>
      </w:r>
      <w:r>
        <w:rPr>
          <w:rFonts w:ascii="Times New Roman" w:eastAsia="Calibri" w:hAnsi="Times New Roman" w:cs="Times New Roman"/>
          <w:b/>
          <w:lang w:val="sl-SI"/>
        </w:rPr>
        <w:t> </w:t>
      </w:r>
      <w:r>
        <w:rPr>
          <w:rFonts w:ascii="Times New Roman" w:eastAsia="Calibri" w:hAnsi="Times New Roman" w:cs="Times New Roman"/>
          <w:b/>
        </w:rPr>
        <w:t>mg pailginto atpalaidavimo tabletės</w:t>
      </w:r>
    </w:p>
    <w:p w14:paraId="3CA25387" w14:textId="77777777" w:rsidR="00506BE7" w:rsidRDefault="008E332A">
      <w:pPr>
        <w:widowControl w:val="0"/>
        <w:numPr>
          <w:ilvl w:val="12"/>
          <w:numId w:val="0"/>
        </w:numPr>
        <w:spacing w:after="0" w:line="240" w:lineRule="auto"/>
        <w:jc w:val="center"/>
        <w:rPr>
          <w:rFonts w:ascii="Times New Roman" w:eastAsia="Calibri" w:hAnsi="Times New Roman" w:cs="Times New Roman"/>
          <w:b/>
        </w:rPr>
      </w:pPr>
      <w:r>
        <w:rPr>
          <w:rFonts w:ascii="Times New Roman" w:eastAsia="Calibri" w:hAnsi="Times New Roman" w:cs="Times New Roman"/>
          <w:b/>
        </w:rPr>
        <w:t>Kventiax 200</w:t>
      </w:r>
      <w:r>
        <w:rPr>
          <w:rFonts w:ascii="Times New Roman" w:eastAsia="Calibri" w:hAnsi="Times New Roman" w:cs="Times New Roman"/>
          <w:b/>
          <w:lang w:val="sl-SI"/>
        </w:rPr>
        <w:t> </w:t>
      </w:r>
      <w:r>
        <w:rPr>
          <w:rFonts w:ascii="Times New Roman" w:eastAsia="Calibri" w:hAnsi="Times New Roman" w:cs="Times New Roman"/>
          <w:b/>
        </w:rPr>
        <w:t>mg pailginto atpalaidavimo tabletės</w:t>
      </w:r>
    </w:p>
    <w:p w14:paraId="3A6B3358" w14:textId="77777777" w:rsidR="00506BE7" w:rsidRDefault="008E332A">
      <w:pPr>
        <w:widowControl w:val="0"/>
        <w:numPr>
          <w:ilvl w:val="12"/>
          <w:numId w:val="0"/>
        </w:numPr>
        <w:spacing w:after="0" w:line="240" w:lineRule="auto"/>
        <w:jc w:val="center"/>
        <w:rPr>
          <w:rFonts w:ascii="Times New Roman" w:eastAsia="Calibri" w:hAnsi="Times New Roman" w:cs="Times New Roman"/>
          <w:b/>
        </w:rPr>
      </w:pPr>
      <w:r>
        <w:rPr>
          <w:rFonts w:ascii="Times New Roman" w:eastAsia="Calibri" w:hAnsi="Times New Roman" w:cs="Times New Roman"/>
          <w:b/>
        </w:rPr>
        <w:t>Kventiax 300</w:t>
      </w:r>
      <w:r>
        <w:rPr>
          <w:rFonts w:ascii="Times New Roman" w:eastAsia="Calibri" w:hAnsi="Times New Roman" w:cs="Times New Roman"/>
          <w:b/>
          <w:lang w:val="sl-SI"/>
        </w:rPr>
        <w:t> </w:t>
      </w:r>
      <w:r>
        <w:rPr>
          <w:rFonts w:ascii="Times New Roman" w:eastAsia="Calibri" w:hAnsi="Times New Roman" w:cs="Times New Roman"/>
          <w:b/>
        </w:rPr>
        <w:t>mg pailginto atpalaidavimo tabletės</w:t>
      </w:r>
    </w:p>
    <w:p w14:paraId="3D9D8485" w14:textId="77777777" w:rsidR="00506BE7" w:rsidRDefault="008E332A">
      <w:pPr>
        <w:widowControl w:val="0"/>
        <w:numPr>
          <w:ilvl w:val="12"/>
          <w:numId w:val="0"/>
        </w:numPr>
        <w:spacing w:after="0" w:line="240" w:lineRule="auto"/>
        <w:jc w:val="center"/>
        <w:rPr>
          <w:rFonts w:ascii="Times New Roman" w:eastAsia="Calibri" w:hAnsi="Times New Roman" w:cs="Times New Roman"/>
          <w:b/>
        </w:rPr>
      </w:pPr>
      <w:r>
        <w:rPr>
          <w:rFonts w:ascii="Times New Roman" w:eastAsia="Calibri" w:hAnsi="Times New Roman" w:cs="Times New Roman"/>
          <w:b/>
          <w:lang w:val="sl-SI"/>
        </w:rPr>
        <w:t>Kventiax 400 mg pailginto atpalaidavimo tabletės</w:t>
      </w:r>
    </w:p>
    <w:p w14:paraId="5EF1BC14" w14:textId="77777777" w:rsidR="00506BE7" w:rsidRDefault="008E332A">
      <w:pPr>
        <w:widowControl w:val="0"/>
        <w:numPr>
          <w:ilvl w:val="12"/>
          <w:numId w:val="0"/>
        </w:numPr>
        <w:spacing w:after="0" w:line="240" w:lineRule="auto"/>
        <w:jc w:val="center"/>
        <w:rPr>
          <w:rFonts w:ascii="Times New Roman" w:eastAsia="Calibri" w:hAnsi="Times New Roman" w:cs="Times New Roman"/>
        </w:rPr>
      </w:pPr>
      <w:r>
        <w:rPr>
          <w:rFonts w:ascii="Times New Roman" w:eastAsia="Calibri" w:hAnsi="Times New Roman" w:cs="Times New Roman"/>
        </w:rPr>
        <w:t>kvetiapinas</w:t>
      </w:r>
    </w:p>
    <w:p w14:paraId="7AC93C54" w14:textId="77777777" w:rsidR="00506BE7" w:rsidRDefault="00506BE7">
      <w:pPr>
        <w:widowControl w:val="0"/>
        <w:spacing w:after="0" w:line="240" w:lineRule="auto"/>
        <w:rPr>
          <w:rFonts w:ascii="Times New Roman" w:eastAsia="Calibri" w:hAnsi="Times New Roman" w:cs="Times New Roman"/>
        </w:rPr>
      </w:pPr>
    </w:p>
    <w:p w14:paraId="151C6664"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Atidžiai perskaitykite visą šį lapelį, prieš pradėdami vartoti vaistą, nes jame pateikiama Jums svarbi informacija.</w:t>
      </w:r>
    </w:p>
    <w:p w14:paraId="7D90D82D" w14:textId="77777777" w:rsidR="00506BE7" w:rsidRDefault="008E332A">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Neišmeskite šio lapelio, nes vėl gali prireikti jį perskaityti.</w:t>
      </w:r>
    </w:p>
    <w:p w14:paraId="38C22BFC" w14:textId="77777777" w:rsidR="00506BE7" w:rsidRDefault="008E332A">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Jeigu kiltų daugiau klausimų, kreipkitės į gydytoją arba vaistininką.</w:t>
      </w:r>
    </w:p>
    <w:p w14:paraId="0C1E4348" w14:textId="77777777" w:rsidR="00506BE7" w:rsidRDefault="008E332A">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Šis vaistas skirtas tik Jums, todėl kitiems žmonėms jo duoti negalima. Vaistas gali jiems pakenkti (net tiems, kurių ligos požymiai yra tokie patys kaip Jūsų).</w:t>
      </w:r>
    </w:p>
    <w:p w14:paraId="0007E7BE" w14:textId="77777777" w:rsidR="00506BE7" w:rsidRDefault="008E332A">
      <w:pPr>
        <w:widowControl w:val="0"/>
        <w:numPr>
          <w:ilvl w:val="0"/>
          <w:numId w:val="6"/>
        </w:numPr>
        <w:spacing w:after="0" w:line="240" w:lineRule="auto"/>
        <w:ind w:left="567" w:hanging="567"/>
        <w:rPr>
          <w:rFonts w:ascii="Times New Roman" w:eastAsia="Calibri" w:hAnsi="Times New Roman" w:cs="Times New Roman"/>
          <w:i/>
        </w:rPr>
      </w:pPr>
      <w:r>
        <w:rPr>
          <w:rFonts w:ascii="Times New Roman" w:eastAsia="Calibri" w:hAnsi="Times New Roman" w:cs="Times New Roman"/>
        </w:rPr>
        <w:t>Jeigu pasireiškė šalutinis poveikis (net jeigu jis šiame lapelyje nenurodytas), kreipkitės į gydytoją arba vaistininką. Žr. 4 skyrių.</w:t>
      </w:r>
    </w:p>
    <w:p w14:paraId="4A521B8C" w14:textId="77777777" w:rsidR="00506BE7" w:rsidRDefault="00506BE7">
      <w:pPr>
        <w:widowControl w:val="0"/>
        <w:spacing w:after="0" w:line="240" w:lineRule="auto"/>
        <w:rPr>
          <w:rFonts w:ascii="Times New Roman" w:eastAsia="Calibri" w:hAnsi="Times New Roman" w:cs="Times New Roman"/>
        </w:rPr>
      </w:pPr>
    </w:p>
    <w:p w14:paraId="4AF79430"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Apie ką rašoma šiame lapelyje?</w:t>
      </w:r>
    </w:p>
    <w:p w14:paraId="16FCE41C" w14:textId="77777777" w:rsidR="00506BE7" w:rsidRDefault="00506BE7">
      <w:pPr>
        <w:widowControl w:val="0"/>
        <w:spacing w:after="0" w:line="240" w:lineRule="auto"/>
        <w:rPr>
          <w:rFonts w:ascii="Times New Roman" w:eastAsia="Calibri" w:hAnsi="Times New Roman" w:cs="Times New Roman"/>
          <w:b/>
        </w:rPr>
      </w:pPr>
    </w:p>
    <w:p w14:paraId="7EC7C482" w14:textId="77777777" w:rsidR="00506BE7" w:rsidRDefault="008E332A">
      <w:pPr>
        <w:widowControl w:val="0"/>
        <w:spacing w:after="0" w:line="240" w:lineRule="auto"/>
        <w:ind w:left="567" w:hanging="567"/>
        <w:rPr>
          <w:rFonts w:ascii="Times New Roman" w:eastAsia="Calibri" w:hAnsi="Times New Roman" w:cs="Times New Roman"/>
        </w:rPr>
      </w:pPr>
      <w:r>
        <w:rPr>
          <w:rFonts w:ascii="Times New Roman" w:eastAsia="Calibri" w:hAnsi="Times New Roman" w:cs="Times New Roman"/>
        </w:rPr>
        <w:t>1.</w:t>
      </w:r>
      <w:r>
        <w:rPr>
          <w:rFonts w:ascii="Times New Roman" w:eastAsia="Calibri" w:hAnsi="Times New Roman" w:cs="Times New Roman"/>
        </w:rPr>
        <w:tab/>
        <w:t>Kas yra Kventiax ir kam jis vartojamas</w:t>
      </w:r>
    </w:p>
    <w:p w14:paraId="50CAB439" w14:textId="77777777" w:rsidR="00506BE7" w:rsidRDefault="008E332A">
      <w:pPr>
        <w:widowControl w:val="0"/>
        <w:spacing w:after="0" w:line="240" w:lineRule="auto"/>
        <w:ind w:left="567" w:hanging="567"/>
        <w:rPr>
          <w:rFonts w:ascii="Times New Roman" w:eastAsia="Calibri" w:hAnsi="Times New Roman" w:cs="Times New Roman"/>
        </w:rPr>
      </w:pPr>
      <w:r>
        <w:rPr>
          <w:rFonts w:ascii="Times New Roman" w:eastAsia="Calibri" w:hAnsi="Times New Roman" w:cs="Times New Roman"/>
        </w:rPr>
        <w:t>2.</w:t>
      </w:r>
      <w:r>
        <w:rPr>
          <w:rFonts w:ascii="Times New Roman" w:eastAsia="Calibri" w:hAnsi="Times New Roman" w:cs="Times New Roman"/>
        </w:rPr>
        <w:tab/>
        <w:t>Kas žinotina prieš vartojant Kventiax</w:t>
      </w:r>
    </w:p>
    <w:p w14:paraId="0B70D86F" w14:textId="77777777" w:rsidR="00506BE7" w:rsidRDefault="008E332A">
      <w:pPr>
        <w:widowControl w:val="0"/>
        <w:spacing w:after="0" w:line="240" w:lineRule="auto"/>
        <w:ind w:left="567" w:hanging="567"/>
        <w:rPr>
          <w:rFonts w:ascii="Times New Roman" w:eastAsia="Calibri" w:hAnsi="Times New Roman" w:cs="Times New Roman"/>
        </w:rPr>
      </w:pPr>
      <w:r>
        <w:rPr>
          <w:rFonts w:ascii="Times New Roman" w:eastAsia="Calibri" w:hAnsi="Times New Roman" w:cs="Times New Roman"/>
        </w:rPr>
        <w:t>3.</w:t>
      </w:r>
      <w:r>
        <w:rPr>
          <w:rFonts w:ascii="Times New Roman" w:eastAsia="Calibri" w:hAnsi="Times New Roman" w:cs="Times New Roman"/>
        </w:rPr>
        <w:tab/>
        <w:t>Kaip vartoti Kventiax</w:t>
      </w:r>
    </w:p>
    <w:p w14:paraId="032BD91E" w14:textId="77777777" w:rsidR="00506BE7" w:rsidRDefault="008E332A">
      <w:pPr>
        <w:widowControl w:val="0"/>
        <w:spacing w:after="0" w:line="240" w:lineRule="auto"/>
        <w:ind w:left="567" w:hanging="567"/>
        <w:rPr>
          <w:rFonts w:ascii="Times New Roman" w:eastAsia="Calibri" w:hAnsi="Times New Roman" w:cs="Times New Roman"/>
        </w:rPr>
      </w:pPr>
      <w:r>
        <w:rPr>
          <w:rFonts w:ascii="Times New Roman" w:eastAsia="Calibri" w:hAnsi="Times New Roman" w:cs="Times New Roman"/>
        </w:rPr>
        <w:t>4.</w:t>
      </w:r>
      <w:r>
        <w:rPr>
          <w:rFonts w:ascii="Times New Roman" w:eastAsia="Calibri" w:hAnsi="Times New Roman" w:cs="Times New Roman"/>
        </w:rPr>
        <w:tab/>
        <w:t>Galimas šalutinis poveikis</w:t>
      </w:r>
    </w:p>
    <w:p w14:paraId="44350F9E" w14:textId="77777777" w:rsidR="00506BE7" w:rsidRDefault="008E332A">
      <w:pPr>
        <w:widowControl w:val="0"/>
        <w:spacing w:after="0" w:line="240" w:lineRule="auto"/>
        <w:ind w:left="567" w:hanging="567"/>
        <w:rPr>
          <w:rFonts w:ascii="Times New Roman" w:eastAsia="Calibri" w:hAnsi="Times New Roman" w:cs="Times New Roman"/>
        </w:rPr>
      </w:pPr>
      <w:r>
        <w:rPr>
          <w:rFonts w:ascii="Times New Roman" w:eastAsia="Calibri" w:hAnsi="Times New Roman" w:cs="Times New Roman"/>
        </w:rPr>
        <w:t>5.</w:t>
      </w:r>
      <w:r>
        <w:rPr>
          <w:rFonts w:ascii="Times New Roman" w:eastAsia="Calibri" w:hAnsi="Times New Roman" w:cs="Times New Roman"/>
        </w:rPr>
        <w:tab/>
        <w:t>Kaip laikyti Kventiax</w:t>
      </w:r>
    </w:p>
    <w:p w14:paraId="42A4F153" w14:textId="77777777" w:rsidR="00506BE7" w:rsidRDefault="008E332A">
      <w:pPr>
        <w:widowControl w:val="0"/>
        <w:spacing w:after="0" w:line="240" w:lineRule="auto"/>
        <w:ind w:left="567" w:hanging="567"/>
        <w:rPr>
          <w:rFonts w:ascii="Times New Roman" w:eastAsia="Calibri" w:hAnsi="Times New Roman" w:cs="Times New Roman"/>
        </w:rPr>
      </w:pPr>
      <w:r>
        <w:rPr>
          <w:rFonts w:ascii="Times New Roman" w:eastAsia="Calibri" w:hAnsi="Times New Roman" w:cs="Times New Roman"/>
        </w:rPr>
        <w:t>6.</w:t>
      </w:r>
      <w:r>
        <w:rPr>
          <w:rFonts w:ascii="Times New Roman" w:eastAsia="Calibri" w:hAnsi="Times New Roman" w:cs="Times New Roman"/>
        </w:rPr>
        <w:tab/>
        <w:t>Pakuotės turinys ir kita informacija</w:t>
      </w:r>
    </w:p>
    <w:p w14:paraId="4CCACE39" w14:textId="77777777" w:rsidR="00506BE7" w:rsidRDefault="00506BE7">
      <w:pPr>
        <w:widowControl w:val="0"/>
        <w:spacing w:after="0" w:line="240" w:lineRule="auto"/>
        <w:rPr>
          <w:rFonts w:ascii="Times New Roman" w:eastAsia="Calibri" w:hAnsi="Times New Roman" w:cs="Times New Roman"/>
        </w:rPr>
      </w:pPr>
    </w:p>
    <w:p w14:paraId="1B564F14" w14:textId="77777777" w:rsidR="00506BE7" w:rsidRDefault="00506BE7">
      <w:pPr>
        <w:widowControl w:val="0"/>
        <w:spacing w:after="0" w:line="240" w:lineRule="auto"/>
        <w:rPr>
          <w:rFonts w:ascii="Times New Roman" w:eastAsia="Calibri" w:hAnsi="Times New Roman" w:cs="Times New Roman"/>
        </w:rPr>
      </w:pPr>
    </w:p>
    <w:p w14:paraId="59247B18" w14:textId="77777777" w:rsidR="00506BE7" w:rsidRDefault="008E332A">
      <w:pPr>
        <w:widowControl w:val="0"/>
        <w:tabs>
          <w:tab w:val="left" w:pos="567"/>
        </w:tabs>
        <w:spacing w:after="0" w:line="240" w:lineRule="auto"/>
        <w:ind w:left="567" w:hanging="567"/>
        <w:outlineLvl w:val="1"/>
        <w:rPr>
          <w:rFonts w:ascii="Times New Roman" w:eastAsia="Calibri" w:hAnsi="Times New Roman" w:cs="Times New Roman"/>
          <w:b/>
        </w:rPr>
      </w:pPr>
      <w:bookmarkStart w:id="67" w:name="_Toc129243264"/>
      <w:bookmarkStart w:id="68" w:name="_Toc129243139"/>
      <w:r>
        <w:rPr>
          <w:rFonts w:ascii="Times New Roman" w:eastAsia="Calibri" w:hAnsi="Times New Roman" w:cs="Times New Roman"/>
          <w:b/>
        </w:rPr>
        <w:t>1.</w:t>
      </w:r>
      <w:r>
        <w:rPr>
          <w:rFonts w:ascii="Times New Roman" w:eastAsia="Calibri" w:hAnsi="Times New Roman" w:cs="Times New Roman"/>
          <w:b/>
        </w:rPr>
        <w:tab/>
        <w:t>Kas yra Kventiax ir kam jis vartojamas</w:t>
      </w:r>
      <w:bookmarkEnd w:id="67"/>
      <w:bookmarkEnd w:id="68"/>
    </w:p>
    <w:p w14:paraId="679336D6" w14:textId="77777777" w:rsidR="00506BE7" w:rsidRDefault="00506BE7">
      <w:pPr>
        <w:widowControl w:val="0"/>
        <w:spacing w:after="0" w:line="240" w:lineRule="auto"/>
        <w:rPr>
          <w:rFonts w:ascii="Times New Roman" w:eastAsia="Calibri" w:hAnsi="Times New Roman" w:cs="Times New Roman"/>
        </w:rPr>
      </w:pPr>
    </w:p>
    <w:p w14:paraId="15AB97E5"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Kventiax sudėtyje yra medžiagos, vadinamos kvetiapinu, kuri priklauso vaistų nuo psichozės grupei. Kventiax galima vartoti kelioms ligoms gydyti:</w:t>
      </w:r>
    </w:p>
    <w:p w14:paraId="72EEF219" w14:textId="77777777" w:rsidR="00506BE7" w:rsidRDefault="008E332A">
      <w:pPr>
        <w:widowControl w:val="0"/>
        <w:numPr>
          <w:ilvl w:val="0"/>
          <w:numId w:val="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depresijai, susijusiai su bipoliniu sutrikimu ir didžiojo depresinio sutrikimo didžiosios depresijos epizodams (sergant šiomis ligomis gali apimti liūdesys, varginti depresija, kaltės jausmas, energijos stygius, apetito stoka ar nemiga);</w:t>
      </w:r>
    </w:p>
    <w:p w14:paraId="53CA94FA" w14:textId="77777777" w:rsidR="00506BE7" w:rsidRDefault="008E332A">
      <w:pPr>
        <w:widowControl w:val="0"/>
        <w:numPr>
          <w:ilvl w:val="0"/>
          <w:numId w:val="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manijai (sergant šia liga gali pasireikšti labai didelis sujaudinimas, pakili nuotaika, entuziazmas, padidėjęs aktyvumas ar neapgalvotas elgesys, net agresyvumas ir griaunamasis elgesys);</w:t>
      </w:r>
    </w:p>
    <w:p w14:paraId="1DC22A3E" w14:textId="77777777" w:rsidR="00506BE7" w:rsidRDefault="008E332A">
      <w:pPr>
        <w:widowControl w:val="0"/>
        <w:numPr>
          <w:ilvl w:val="0"/>
          <w:numId w:val="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šizofrenijai (sirgdami šia liga galite girdėti ar jausti daiktus, kurių nėra, tikėti nesamais dalykais, gali pasireikšti neįprastas įtarumas, nerimas, sutrikti orientacija, atsirasti kaltės jausmas, psichinė įtampa ar depresija).</w:t>
      </w:r>
    </w:p>
    <w:p w14:paraId="3CDB43D2" w14:textId="77777777" w:rsidR="00506BE7" w:rsidRDefault="00506BE7">
      <w:pPr>
        <w:widowControl w:val="0"/>
        <w:spacing w:after="0" w:line="240" w:lineRule="auto"/>
        <w:rPr>
          <w:rFonts w:ascii="Times New Roman" w:eastAsia="Calibri" w:hAnsi="Times New Roman" w:cs="Times New Roman"/>
        </w:rPr>
      </w:pPr>
    </w:p>
    <w:p w14:paraId="42C5AB14"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Didžiojo depresinio sutrikimo didžiosios depresijos epizodams gydyti Kventiax vartojamas papildomai, kartu su kitu vaistu nuo šios ligos.</w:t>
      </w:r>
    </w:p>
    <w:p w14:paraId="3440E54C" w14:textId="77777777" w:rsidR="00506BE7" w:rsidRDefault="00506BE7">
      <w:pPr>
        <w:widowControl w:val="0"/>
        <w:spacing w:after="0" w:line="240" w:lineRule="auto"/>
        <w:rPr>
          <w:rFonts w:ascii="Times New Roman" w:eastAsia="Calibri" w:hAnsi="Times New Roman" w:cs="Times New Roman"/>
        </w:rPr>
      </w:pPr>
    </w:p>
    <w:p w14:paraId="38A975F1"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Net Jums pasijutus geriau, gydytojas gali nurodyti toliau vartoti Kventiax.</w:t>
      </w:r>
    </w:p>
    <w:p w14:paraId="581E7684" w14:textId="77777777" w:rsidR="00506BE7" w:rsidRDefault="00506BE7">
      <w:pPr>
        <w:widowControl w:val="0"/>
        <w:spacing w:after="0" w:line="240" w:lineRule="auto"/>
        <w:rPr>
          <w:rFonts w:ascii="Times New Roman" w:eastAsia="Calibri" w:hAnsi="Times New Roman" w:cs="Times New Roman"/>
        </w:rPr>
      </w:pPr>
    </w:p>
    <w:p w14:paraId="23B5893C" w14:textId="77777777" w:rsidR="00506BE7" w:rsidRDefault="00506BE7">
      <w:pPr>
        <w:widowControl w:val="0"/>
        <w:spacing w:after="0" w:line="240" w:lineRule="auto"/>
        <w:rPr>
          <w:rFonts w:ascii="Times New Roman" w:eastAsia="Calibri" w:hAnsi="Times New Roman" w:cs="Times New Roman"/>
        </w:rPr>
      </w:pPr>
    </w:p>
    <w:p w14:paraId="065E9020" w14:textId="77777777" w:rsidR="00506BE7" w:rsidRDefault="008E332A">
      <w:pPr>
        <w:widowControl w:val="0"/>
        <w:tabs>
          <w:tab w:val="left" w:pos="567"/>
        </w:tabs>
        <w:spacing w:after="0" w:line="240" w:lineRule="auto"/>
        <w:ind w:left="567" w:hanging="567"/>
        <w:outlineLvl w:val="1"/>
        <w:rPr>
          <w:rFonts w:ascii="Times New Roman" w:eastAsia="Calibri" w:hAnsi="Times New Roman" w:cs="Times New Roman"/>
          <w:b/>
        </w:rPr>
      </w:pPr>
      <w:bookmarkStart w:id="69" w:name="_Toc129243265"/>
      <w:bookmarkStart w:id="70" w:name="_Toc129243140"/>
      <w:r>
        <w:rPr>
          <w:rFonts w:ascii="Times New Roman" w:eastAsia="Calibri" w:hAnsi="Times New Roman" w:cs="Times New Roman"/>
          <w:b/>
        </w:rPr>
        <w:t>2.</w:t>
      </w:r>
      <w:r>
        <w:rPr>
          <w:rFonts w:ascii="Times New Roman" w:eastAsia="Calibri" w:hAnsi="Times New Roman" w:cs="Times New Roman"/>
          <w:b/>
        </w:rPr>
        <w:tab/>
        <w:t>Kas žinotina prieš vartojant Kventiax</w:t>
      </w:r>
      <w:bookmarkEnd w:id="69"/>
      <w:bookmarkEnd w:id="70"/>
    </w:p>
    <w:p w14:paraId="74CBE07B" w14:textId="77777777" w:rsidR="00506BE7" w:rsidRDefault="00506BE7">
      <w:pPr>
        <w:widowControl w:val="0"/>
        <w:spacing w:after="0" w:line="240" w:lineRule="auto"/>
        <w:rPr>
          <w:rFonts w:ascii="Times New Roman" w:eastAsia="Calibri" w:hAnsi="Times New Roman" w:cs="Times New Roman"/>
        </w:rPr>
      </w:pPr>
    </w:p>
    <w:p w14:paraId="4C6FCC1D"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Kventiax vartoti draudžiama:</w:t>
      </w:r>
    </w:p>
    <w:p w14:paraId="77F65112" w14:textId="77777777" w:rsidR="00506BE7" w:rsidRDefault="008E332A">
      <w:pPr>
        <w:widowControl w:val="0"/>
        <w:numPr>
          <w:ilvl w:val="0"/>
          <w:numId w:val="8"/>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jeigu yra alergija kvetiapinui arba bet kuriai pagalbinei šio vaisto medžiagai (jos išvardytos 6 skyriuje);</w:t>
      </w:r>
    </w:p>
    <w:p w14:paraId="3F9105E4" w14:textId="77777777" w:rsidR="00506BE7" w:rsidRDefault="008E332A">
      <w:pPr>
        <w:widowControl w:val="0"/>
        <w:numPr>
          <w:ilvl w:val="0"/>
          <w:numId w:val="8"/>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jeigu vartojate kurį nors iš šių vaistų:</w:t>
      </w:r>
    </w:p>
    <w:p w14:paraId="399BDA77" w14:textId="77777777" w:rsidR="00506BE7" w:rsidRDefault="008E332A">
      <w:pPr>
        <w:widowControl w:val="0"/>
        <w:numPr>
          <w:ilvl w:val="0"/>
          <w:numId w:val="3"/>
        </w:numPr>
        <w:spacing w:after="0" w:line="240" w:lineRule="auto"/>
        <w:ind w:left="1134" w:hanging="567"/>
        <w:rPr>
          <w:rFonts w:ascii="Times New Roman" w:eastAsia="Calibri" w:hAnsi="Times New Roman" w:cs="Times New Roman"/>
        </w:rPr>
      </w:pPr>
      <w:r>
        <w:rPr>
          <w:rFonts w:ascii="Times New Roman" w:eastAsia="Calibri" w:hAnsi="Times New Roman" w:cs="Times New Roman"/>
        </w:rPr>
        <w:t>kai kurių vaistų nuo ŽIV;</w:t>
      </w:r>
    </w:p>
    <w:p w14:paraId="2B18CA85" w14:textId="77777777" w:rsidR="00506BE7" w:rsidRDefault="008E332A">
      <w:pPr>
        <w:widowControl w:val="0"/>
        <w:numPr>
          <w:ilvl w:val="0"/>
          <w:numId w:val="3"/>
        </w:numPr>
        <w:spacing w:after="0" w:line="240" w:lineRule="auto"/>
        <w:ind w:left="1134" w:hanging="567"/>
        <w:rPr>
          <w:rFonts w:ascii="Times New Roman" w:eastAsia="Calibri" w:hAnsi="Times New Roman" w:cs="Times New Roman"/>
        </w:rPr>
      </w:pPr>
      <w:r>
        <w:rPr>
          <w:rFonts w:ascii="Times New Roman" w:eastAsia="Calibri" w:hAnsi="Times New Roman" w:cs="Times New Roman"/>
        </w:rPr>
        <w:t>azolo grupės priešgrybelinių vaistų (nuo grybelio infekcijų);</w:t>
      </w:r>
    </w:p>
    <w:p w14:paraId="711E0823" w14:textId="77777777" w:rsidR="00506BE7" w:rsidRDefault="008E332A">
      <w:pPr>
        <w:widowControl w:val="0"/>
        <w:numPr>
          <w:ilvl w:val="0"/>
          <w:numId w:val="3"/>
        </w:numPr>
        <w:spacing w:after="0" w:line="240" w:lineRule="auto"/>
        <w:ind w:left="1134" w:hanging="567"/>
        <w:rPr>
          <w:rFonts w:ascii="Times New Roman" w:eastAsia="Calibri" w:hAnsi="Times New Roman" w:cs="Times New Roman"/>
        </w:rPr>
      </w:pPr>
      <w:r>
        <w:rPr>
          <w:rFonts w:ascii="Times New Roman" w:eastAsia="Calibri" w:hAnsi="Times New Roman" w:cs="Times New Roman"/>
        </w:rPr>
        <w:t>eritromicino ar klaritromicino (vaistai, kuriais gydomos infekcinės ligos);</w:t>
      </w:r>
    </w:p>
    <w:p w14:paraId="282B0CEB" w14:textId="77777777" w:rsidR="00506BE7" w:rsidRDefault="008E332A">
      <w:pPr>
        <w:widowControl w:val="0"/>
        <w:numPr>
          <w:ilvl w:val="0"/>
          <w:numId w:val="3"/>
        </w:numPr>
        <w:spacing w:after="0" w:line="240" w:lineRule="auto"/>
        <w:ind w:left="1134" w:hanging="567"/>
        <w:rPr>
          <w:rFonts w:ascii="Times New Roman" w:eastAsia="Calibri" w:hAnsi="Times New Roman" w:cs="Times New Roman"/>
        </w:rPr>
      </w:pPr>
      <w:r>
        <w:rPr>
          <w:rFonts w:ascii="Times New Roman" w:eastAsia="Calibri" w:hAnsi="Times New Roman" w:cs="Times New Roman"/>
        </w:rPr>
        <w:t>nefazodono (vaistas nuo depresijos).</w:t>
      </w:r>
    </w:p>
    <w:p w14:paraId="169B63EC" w14:textId="77777777" w:rsidR="00506BE7" w:rsidRDefault="00506BE7">
      <w:pPr>
        <w:widowControl w:val="0"/>
        <w:spacing w:after="0" w:line="240" w:lineRule="auto"/>
        <w:rPr>
          <w:rFonts w:ascii="Times New Roman" w:eastAsia="Calibri" w:hAnsi="Times New Roman" w:cs="Times New Roman"/>
        </w:rPr>
      </w:pPr>
    </w:p>
    <w:p w14:paraId="62551253" w14:textId="3D5D672D"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Jeigu abejojate, apie tai pasakykite gydytojui arba vaistininkui, prieš pradėdami vartoti Kventiax.</w:t>
      </w:r>
    </w:p>
    <w:p w14:paraId="74ACDFD4" w14:textId="77777777" w:rsidR="00506BE7" w:rsidRDefault="00506BE7">
      <w:pPr>
        <w:widowControl w:val="0"/>
        <w:spacing w:after="0" w:line="240" w:lineRule="auto"/>
        <w:rPr>
          <w:rFonts w:ascii="Times New Roman" w:eastAsia="Calibri" w:hAnsi="Times New Roman" w:cs="Times New Roman"/>
        </w:rPr>
      </w:pPr>
    </w:p>
    <w:p w14:paraId="2713B483"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Įspėjimai ir atsargumo priemonės</w:t>
      </w:r>
    </w:p>
    <w:p w14:paraId="3A00E007" w14:textId="77777777" w:rsidR="00506BE7" w:rsidRDefault="008E332A">
      <w:pPr>
        <w:widowControl w:val="0"/>
        <w:numPr>
          <w:ilvl w:val="12"/>
          <w:numId w:val="0"/>
        </w:numPr>
        <w:spacing w:after="0" w:line="240" w:lineRule="auto"/>
        <w:rPr>
          <w:rFonts w:ascii="Times New Roman" w:eastAsia="Calibri" w:hAnsi="Times New Roman" w:cs="Times New Roman"/>
        </w:rPr>
      </w:pPr>
      <w:r>
        <w:rPr>
          <w:rFonts w:ascii="Times New Roman" w:eastAsia="Calibri" w:hAnsi="Times New Roman" w:cs="Times New Roman"/>
        </w:rPr>
        <w:t>Pasitarkite su gydytoju ar vaistininku, prieš pradėdami vartoti Kventiax jeigu:</w:t>
      </w:r>
    </w:p>
    <w:p w14:paraId="4E9F4F99" w14:textId="77777777" w:rsidR="00506BE7" w:rsidRDefault="008E332A">
      <w:pPr>
        <w:widowControl w:val="0"/>
        <w:numPr>
          <w:ilvl w:val="0"/>
          <w:numId w:val="9"/>
        </w:numPr>
        <w:spacing w:after="0" w:line="240" w:lineRule="auto"/>
        <w:rPr>
          <w:rFonts w:ascii="Times New Roman" w:eastAsia="Calibri" w:hAnsi="Times New Roman" w:cs="Times New Roman"/>
        </w:rPr>
      </w:pPr>
      <w:r>
        <w:rPr>
          <w:rFonts w:ascii="Times New Roman" w:eastAsia="Calibri" w:hAnsi="Times New Roman" w:cs="Times New Roman"/>
        </w:rPr>
        <w:t>Jūs arba kuris nors Jūsų šeimos narys sergate arba anksčiau sirgote širdies ligomis (pvz., ritmo sutrikimais,</w:t>
      </w:r>
      <w:r>
        <w:rPr>
          <w:rFonts w:ascii="Times New Roman" w:eastAsia="Calibri" w:hAnsi="Times New Roman" w:cs="Times New Roman"/>
          <w:color w:val="000000"/>
          <w:lang w:val="sl-SI"/>
        </w:rPr>
        <w:t xml:space="preserve"> širdies raumens nusilpimas ar uždegimas</w:t>
      </w:r>
      <w:r>
        <w:rPr>
          <w:rFonts w:ascii="Times New Roman" w:eastAsia="Calibri" w:hAnsi="Times New Roman" w:cs="Times New Roman"/>
        </w:rPr>
        <w:t>) arba jeigu Jūs vartojate vaistų, kurie gali paveikti širdies susitraukimus;</w:t>
      </w:r>
    </w:p>
    <w:p w14:paraId="50BD7F5E" w14:textId="77777777" w:rsidR="00506BE7" w:rsidRDefault="008E332A">
      <w:pPr>
        <w:widowControl w:val="0"/>
        <w:numPr>
          <w:ilvl w:val="0"/>
          <w:numId w:val="9"/>
        </w:numPr>
        <w:spacing w:after="0" w:line="240" w:lineRule="auto"/>
        <w:rPr>
          <w:rFonts w:ascii="Times New Roman" w:eastAsia="Calibri" w:hAnsi="Times New Roman" w:cs="Times New Roman"/>
        </w:rPr>
      </w:pPr>
      <w:r>
        <w:rPr>
          <w:rFonts w:ascii="Times New Roman" w:eastAsia="Calibri" w:hAnsi="Times New Roman" w:cs="Times New Roman"/>
        </w:rPr>
        <w:t>Jūsų kraujospūdis yra žemas;</w:t>
      </w:r>
    </w:p>
    <w:p w14:paraId="10CC0A60" w14:textId="77777777" w:rsidR="00506BE7" w:rsidRDefault="008E332A">
      <w:pPr>
        <w:widowControl w:val="0"/>
        <w:numPr>
          <w:ilvl w:val="0"/>
          <w:numId w:val="9"/>
        </w:numPr>
        <w:spacing w:after="0" w:line="240" w:lineRule="auto"/>
        <w:rPr>
          <w:rFonts w:ascii="Times New Roman" w:eastAsia="Calibri" w:hAnsi="Times New Roman" w:cs="Times New Roman"/>
        </w:rPr>
      </w:pPr>
      <w:r>
        <w:rPr>
          <w:rFonts w:ascii="Times New Roman" w:eastAsia="Calibri" w:hAnsi="Times New Roman" w:cs="Times New Roman"/>
        </w:rPr>
        <w:t>Jus buvo ištikęs insultas (ypač jei esate senyvo amžiaus);</w:t>
      </w:r>
    </w:p>
    <w:p w14:paraId="7EB6B473" w14:textId="77777777" w:rsidR="00506BE7" w:rsidRDefault="008E332A">
      <w:pPr>
        <w:widowControl w:val="0"/>
        <w:numPr>
          <w:ilvl w:val="0"/>
          <w:numId w:val="9"/>
        </w:numPr>
        <w:spacing w:after="0" w:line="240" w:lineRule="auto"/>
        <w:rPr>
          <w:rFonts w:ascii="Times New Roman" w:eastAsia="Calibri" w:hAnsi="Times New Roman" w:cs="Times New Roman"/>
        </w:rPr>
      </w:pPr>
      <w:r>
        <w:rPr>
          <w:rFonts w:ascii="Times New Roman" w:eastAsia="Calibri" w:hAnsi="Times New Roman" w:cs="Times New Roman"/>
        </w:rPr>
        <w:t>nesveikos Jūsų kepenys;</w:t>
      </w:r>
    </w:p>
    <w:p w14:paraId="4235AD18" w14:textId="77777777" w:rsidR="00506BE7" w:rsidRDefault="008E332A">
      <w:pPr>
        <w:widowControl w:val="0"/>
        <w:numPr>
          <w:ilvl w:val="0"/>
          <w:numId w:val="9"/>
        </w:numPr>
        <w:spacing w:after="0" w:line="240" w:lineRule="auto"/>
        <w:rPr>
          <w:rFonts w:ascii="Times New Roman" w:eastAsia="Calibri" w:hAnsi="Times New Roman" w:cs="Times New Roman"/>
        </w:rPr>
      </w:pPr>
      <w:r>
        <w:rPr>
          <w:rFonts w:ascii="Times New Roman" w:eastAsia="Calibri" w:hAnsi="Times New Roman" w:cs="Times New Roman"/>
        </w:rPr>
        <w:t>Jums kada nors yra buvę traukulių (priepuolių);</w:t>
      </w:r>
    </w:p>
    <w:p w14:paraId="203E3B60" w14:textId="77777777" w:rsidR="00506BE7" w:rsidRDefault="008E332A">
      <w:pPr>
        <w:widowControl w:val="0"/>
        <w:numPr>
          <w:ilvl w:val="0"/>
          <w:numId w:val="9"/>
        </w:numPr>
        <w:spacing w:after="0" w:line="240" w:lineRule="auto"/>
        <w:rPr>
          <w:rFonts w:ascii="Times New Roman" w:eastAsia="Calibri" w:hAnsi="Times New Roman" w:cs="Times New Roman"/>
        </w:rPr>
      </w:pPr>
      <w:r>
        <w:rPr>
          <w:rFonts w:ascii="Times New Roman" w:eastAsia="Calibri" w:hAnsi="Times New Roman" w:cs="Times New Roman"/>
        </w:rPr>
        <w:t>Jūs sergate cukriniu diabetu arba turite padidėjusią šios ligos riziką (gydytojas gali nuspręsti tirti cukraus koncentraciją Jūsų kraujyje, kol vartosite Kventiax);</w:t>
      </w:r>
    </w:p>
    <w:p w14:paraId="0E789A8F" w14:textId="77777777" w:rsidR="00506BE7" w:rsidRDefault="008E332A">
      <w:pPr>
        <w:widowControl w:val="0"/>
        <w:numPr>
          <w:ilvl w:val="0"/>
          <w:numId w:val="9"/>
        </w:numPr>
        <w:spacing w:after="0" w:line="240" w:lineRule="auto"/>
        <w:rPr>
          <w:rFonts w:ascii="Times New Roman" w:eastAsia="Calibri" w:hAnsi="Times New Roman" w:cs="Times New Roman"/>
        </w:rPr>
      </w:pPr>
      <w:r>
        <w:rPr>
          <w:rFonts w:ascii="Times New Roman" w:eastAsia="Calibri" w:hAnsi="Times New Roman" w:cs="Times New Roman"/>
        </w:rPr>
        <w:t>žinote, kad dėl kitų vaistų poveikio arba kitokios priežasties Jūsų kraujyje anksčiau buvo sumažėjęs baltųjų kūnelių kiekis;</w:t>
      </w:r>
    </w:p>
    <w:p w14:paraId="43CE1AC5" w14:textId="77777777" w:rsidR="00506BE7" w:rsidRDefault="008E332A">
      <w:pPr>
        <w:widowControl w:val="0"/>
        <w:numPr>
          <w:ilvl w:val="0"/>
          <w:numId w:val="9"/>
        </w:numPr>
        <w:spacing w:after="0" w:line="240" w:lineRule="auto"/>
        <w:rPr>
          <w:rFonts w:ascii="Times New Roman" w:eastAsia="Calibri" w:hAnsi="Times New Roman" w:cs="Times New Roman"/>
        </w:rPr>
      </w:pPr>
      <w:r>
        <w:rPr>
          <w:rFonts w:ascii="Times New Roman" w:eastAsia="Calibri" w:hAnsi="Times New Roman" w:cs="Times New Roman"/>
        </w:rPr>
        <w:t>Jūs esate senyvo amžiaus ir sergate demencija (liga, pasireiškiančia smegenų veiklos silpnėjimu) (ja sergant Kventiax vartoti negalima, kadangi nustatyta, kad demencija sergantiems senyviems pacientams Kventiax grupės vaistai gali padidinti insulto ir kai kuriais atvejais net mirties riziką);</w:t>
      </w:r>
    </w:p>
    <w:p w14:paraId="54E5C198" w14:textId="77777777" w:rsidR="00506BE7" w:rsidRPr="00DA4B46" w:rsidRDefault="008E332A">
      <w:pPr>
        <w:widowControl w:val="0"/>
        <w:numPr>
          <w:ilvl w:val="0"/>
          <w:numId w:val="9"/>
        </w:numPr>
        <w:spacing w:after="0" w:line="240" w:lineRule="auto"/>
        <w:contextualSpacing/>
        <w:rPr>
          <w:rFonts w:ascii="Times New Roman" w:hAnsi="Times New Roman"/>
          <w:lang w:val="pt-PT"/>
        </w:rPr>
      </w:pPr>
      <w:r>
        <w:rPr>
          <w:rFonts w:ascii="Times New Roman" w:eastAsia="Times New Roman" w:hAnsi="Times New Roman" w:cs="Times New Roman"/>
        </w:rPr>
        <w:t>Jūs esate senyvo amžiaus ir sergate Parkinsono liga/parkinsonizmu;</w:t>
      </w:r>
    </w:p>
    <w:p w14:paraId="0D40CFBF" w14:textId="77777777" w:rsidR="00506BE7" w:rsidRDefault="008E332A">
      <w:pPr>
        <w:widowControl w:val="0"/>
        <w:numPr>
          <w:ilvl w:val="0"/>
          <w:numId w:val="9"/>
        </w:numPr>
        <w:spacing w:after="0" w:line="240" w:lineRule="auto"/>
        <w:rPr>
          <w:rFonts w:ascii="Times New Roman" w:eastAsia="Calibri" w:hAnsi="Times New Roman" w:cs="Times New Roman"/>
        </w:rPr>
      </w:pPr>
      <w:r>
        <w:rPr>
          <w:rFonts w:ascii="Times New Roman" w:eastAsia="Calibri" w:hAnsi="Times New Roman" w:cs="Times New Roman"/>
        </w:rPr>
        <w:t>Jums arba Jūsų šeimos nariams buvo susidarę krešulių kraujagyslėse (nustatyta, kad panašiai kaip Kventiax veikiantys vaistai didina krešulių kraujagyslėse susidarymo pavojų).</w:t>
      </w:r>
    </w:p>
    <w:p w14:paraId="0A6E789B" w14:textId="77777777" w:rsidR="00506BE7" w:rsidRDefault="008E332A">
      <w:pPr>
        <w:widowControl w:val="0"/>
        <w:numPr>
          <w:ilvl w:val="0"/>
          <w:numId w:val="9"/>
        </w:numPr>
        <w:spacing w:after="0" w:line="240" w:lineRule="auto"/>
        <w:contextualSpacing/>
        <w:rPr>
          <w:rFonts w:ascii="Times New Roman" w:eastAsia="Calibri" w:hAnsi="Times New Roman" w:cs="Times New Roman"/>
        </w:rPr>
      </w:pPr>
      <w:r>
        <w:rPr>
          <w:rFonts w:ascii="Times New Roman" w:eastAsia="Calibri" w:hAnsi="Times New Roman" w:cs="Times New Roman"/>
        </w:rPr>
        <w:t>yra arba anksčiau yra buvęs sutrikimas, kuris pasireiškia trumpomis kvėpavimo pauzėmis normalaus nakties miego metu (jis vadinamas miego apnėja), arba vartojate vaistų, slopinančių normalią smegenų veiklą (antidepresantų);</w:t>
      </w:r>
    </w:p>
    <w:p w14:paraId="4B1577D9" w14:textId="77777777" w:rsidR="00506BE7" w:rsidRDefault="008E332A">
      <w:pPr>
        <w:widowControl w:val="0"/>
        <w:numPr>
          <w:ilvl w:val="0"/>
          <w:numId w:val="9"/>
        </w:numPr>
        <w:spacing w:after="0" w:line="240" w:lineRule="auto"/>
        <w:contextualSpacing/>
        <w:rPr>
          <w:rFonts w:ascii="Times New Roman" w:eastAsia="Calibri" w:hAnsi="Times New Roman" w:cs="Times New Roman"/>
        </w:rPr>
      </w:pPr>
      <w:r>
        <w:rPr>
          <w:rFonts w:ascii="Times New Roman" w:eastAsia="Calibri" w:hAnsi="Times New Roman" w:cs="Times New Roman"/>
        </w:rPr>
        <w:t>yra arba anksčiau yra buvęs sutrikimas, dėl kurio pilnai neišsituština šlapimo pūslė (jis vadinamas šlapimo susilaikymu), padidėjusi Jūsų prostata, užsikimšusios žarnos arba padidėjęs akispūdis. Tokių sutrikimų kartais sukelia vaistai, kurie yra vadinami anticholinerginiais preparatais, veikia nervų ląstelių funkciją ir todėl vartojami tam tikroms ligoms gydyti.</w:t>
      </w:r>
    </w:p>
    <w:p w14:paraId="11A399C0" w14:textId="77777777" w:rsidR="00506BE7" w:rsidRDefault="008E332A">
      <w:pPr>
        <w:widowControl w:val="0"/>
        <w:numPr>
          <w:ilvl w:val="0"/>
          <w:numId w:val="9"/>
        </w:numPr>
        <w:spacing w:after="0" w:line="240" w:lineRule="auto"/>
        <w:contextualSpacing/>
        <w:rPr>
          <w:rFonts w:ascii="Times New Roman" w:eastAsia="Calibri" w:hAnsi="Times New Roman" w:cs="Times New Roman"/>
          <w:lang w:val="sl-SI"/>
        </w:rPr>
      </w:pPr>
      <w:r>
        <w:rPr>
          <w:rFonts w:ascii="Times New Roman" w:eastAsia="Calibri" w:hAnsi="Times New Roman" w:cs="Times New Roman"/>
          <w:lang w:val="sl-SI"/>
        </w:rPr>
        <w:t>Jei ilgą laiką vartojote alkoholį ar narkotines medžiagas;</w:t>
      </w:r>
    </w:p>
    <w:p w14:paraId="4C4E0D07" w14:textId="434BF76C" w:rsidR="00506BE7" w:rsidRDefault="008E332A">
      <w:pPr>
        <w:widowControl w:val="0"/>
        <w:numPr>
          <w:ilvl w:val="0"/>
          <w:numId w:val="9"/>
        </w:numPr>
        <w:spacing w:after="0" w:line="240" w:lineRule="auto"/>
        <w:contextualSpacing/>
        <w:rPr>
          <w:rFonts w:ascii="Times New Roman" w:eastAsia="Calibri" w:hAnsi="Times New Roman" w:cs="Times New Roman"/>
          <w:lang w:val="sl-SI"/>
        </w:rPr>
      </w:pPr>
      <w:r>
        <w:rPr>
          <w:rFonts w:ascii="Times New Roman" w:eastAsia="SimSun" w:hAnsi="Times New Roman" w:cs="Times New Roman"/>
          <w:lang w:eastAsia="sl-SI"/>
        </w:rPr>
        <w:t xml:space="preserve"> sergate depresija ar kitomis ligomis, kurios gydomos antidepresantais. Šių vaistų vartojimas kartu su Kventiax gali sukelti serotonino sindromą, potencialiai pavojingą gyvybei būklę (žr. „Kiti vaistai ir Kventiax“).</w:t>
      </w:r>
    </w:p>
    <w:p w14:paraId="69569ACF" w14:textId="77777777" w:rsidR="00506BE7" w:rsidRDefault="00506BE7">
      <w:pPr>
        <w:widowControl w:val="0"/>
        <w:spacing w:after="0" w:line="240" w:lineRule="auto"/>
        <w:rPr>
          <w:rFonts w:ascii="Times New Roman" w:eastAsia="Calibri" w:hAnsi="Times New Roman" w:cs="Times New Roman"/>
        </w:rPr>
      </w:pPr>
    </w:p>
    <w:p w14:paraId="3A7DEC2A" w14:textId="77777777" w:rsidR="00506BE7" w:rsidRDefault="008E332A">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Nedelsdami kreipkitės į gydytoją, jeigu vartojant Kventiax Jums pasireikštų kuris nors iš šių sutrikimų:</w:t>
      </w:r>
    </w:p>
    <w:p w14:paraId="0BD9CF7E" w14:textId="77777777" w:rsidR="00506BE7" w:rsidRDefault="008E332A">
      <w:pPr>
        <w:widowControl w:val="0"/>
        <w:numPr>
          <w:ilvl w:val="0"/>
          <w:numId w:val="10"/>
        </w:numPr>
        <w:spacing w:after="0" w:line="240" w:lineRule="auto"/>
        <w:rPr>
          <w:rFonts w:ascii="Times New Roman" w:eastAsia="Calibri" w:hAnsi="Times New Roman" w:cs="Times New Roman"/>
        </w:rPr>
      </w:pPr>
      <w:r>
        <w:rPr>
          <w:rFonts w:ascii="Times New Roman" w:eastAsia="Calibri" w:hAnsi="Times New Roman" w:cs="Times New Roman"/>
        </w:rPr>
        <w:t>karščiavimas kartu su dideliu raumenų stinguliu, prakaitavimu arba sąmonės sutrikimu (šis sutrikimas vadinamas piktybiniu neurolepsiniu sindromu) (tokiu atveju Jums gali reikėti skubios gydytojo pagalbos);</w:t>
      </w:r>
    </w:p>
    <w:p w14:paraId="3DF9CC25" w14:textId="77777777" w:rsidR="00506BE7" w:rsidRDefault="008E332A">
      <w:pPr>
        <w:widowControl w:val="0"/>
        <w:numPr>
          <w:ilvl w:val="0"/>
          <w:numId w:val="10"/>
        </w:numPr>
        <w:spacing w:after="0" w:line="240" w:lineRule="auto"/>
        <w:rPr>
          <w:rFonts w:ascii="Times New Roman" w:eastAsia="Calibri" w:hAnsi="Times New Roman" w:cs="Times New Roman"/>
        </w:rPr>
      </w:pPr>
      <w:r>
        <w:rPr>
          <w:rFonts w:ascii="Times New Roman" w:eastAsia="Calibri" w:hAnsi="Times New Roman" w:cs="Times New Roman"/>
        </w:rPr>
        <w:t>prasidėtų nekontroliuojami judesiai, ypač veido ar liežuvio;</w:t>
      </w:r>
    </w:p>
    <w:p w14:paraId="33198A33" w14:textId="77777777" w:rsidR="00506BE7" w:rsidRDefault="008E332A">
      <w:pPr>
        <w:widowControl w:val="0"/>
        <w:numPr>
          <w:ilvl w:val="0"/>
          <w:numId w:val="10"/>
        </w:numPr>
        <w:spacing w:after="0" w:line="240" w:lineRule="auto"/>
        <w:rPr>
          <w:rFonts w:ascii="Times New Roman" w:eastAsia="Calibri" w:hAnsi="Times New Roman" w:cs="Times New Roman"/>
        </w:rPr>
      </w:pPr>
      <w:r>
        <w:rPr>
          <w:rFonts w:ascii="Times New Roman" w:eastAsia="Calibri" w:hAnsi="Times New Roman" w:cs="Times New Roman"/>
        </w:rPr>
        <w:t>pajustumėte svaigulį arba didelį mieguistumą (tokiu atveju senyviems pacientams gali padidėti griuvimo ir atsitiktinio susižalojimo rizika);</w:t>
      </w:r>
    </w:p>
    <w:p w14:paraId="75D7896F" w14:textId="77777777" w:rsidR="00506BE7" w:rsidRDefault="008E332A">
      <w:pPr>
        <w:widowControl w:val="0"/>
        <w:numPr>
          <w:ilvl w:val="0"/>
          <w:numId w:val="10"/>
        </w:numPr>
        <w:spacing w:after="0" w:line="240" w:lineRule="auto"/>
        <w:rPr>
          <w:rFonts w:ascii="Times New Roman" w:eastAsia="Calibri" w:hAnsi="Times New Roman" w:cs="Times New Roman"/>
        </w:rPr>
      </w:pPr>
      <w:r>
        <w:rPr>
          <w:rFonts w:ascii="Times New Roman" w:eastAsia="Calibri" w:hAnsi="Times New Roman" w:cs="Times New Roman"/>
          <w:color w:val="000000"/>
          <w:lang w:val="sl-SI"/>
        </w:rPr>
        <w:t>priepuoliai</w:t>
      </w:r>
      <w:r>
        <w:rPr>
          <w:rFonts w:ascii="Times New Roman" w:eastAsia="Calibri" w:hAnsi="Times New Roman" w:cs="Times New Roman"/>
        </w:rPr>
        <w:t xml:space="preserve"> (traukuliai);</w:t>
      </w:r>
    </w:p>
    <w:p w14:paraId="68C06F64" w14:textId="77777777" w:rsidR="00506BE7" w:rsidRDefault="008E332A">
      <w:pPr>
        <w:widowControl w:val="0"/>
        <w:numPr>
          <w:ilvl w:val="0"/>
          <w:numId w:val="10"/>
        </w:numPr>
        <w:spacing w:after="0" w:line="240" w:lineRule="auto"/>
        <w:contextualSpacing/>
        <w:rPr>
          <w:rFonts w:ascii="Times New Roman" w:eastAsia="Calibri" w:hAnsi="Times New Roman" w:cs="Times New Roman"/>
        </w:rPr>
      </w:pPr>
      <w:r>
        <w:rPr>
          <w:rFonts w:ascii="Times New Roman" w:eastAsia="Calibri" w:hAnsi="Times New Roman" w:cs="Times New Roman"/>
        </w:rPr>
        <w:t>ilgalaikė skausminga erekcija (priapizmas);</w:t>
      </w:r>
    </w:p>
    <w:p w14:paraId="397E4A23" w14:textId="47ED7630" w:rsidR="00506BE7" w:rsidRDefault="008E332A">
      <w:pPr>
        <w:widowControl w:val="0"/>
        <w:numPr>
          <w:ilvl w:val="0"/>
          <w:numId w:val="10"/>
        </w:numPr>
        <w:spacing w:after="0" w:line="240" w:lineRule="auto"/>
        <w:contextualSpacing/>
        <w:rPr>
          <w:rFonts w:ascii="Times New Roman" w:eastAsia="SimSun" w:hAnsi="Times New Roman" w:cs="Times New Roman"/>
        </w:rPr>
      </w:pPr>
      <w:r>
        <w:rPr>
          <w:rFonts w:ascii="Times New Roman" w:eastAsia="SimSun" w:hAnsi="Times New Roman" w:cs="Times New Roman"/>
        </w:rPr>
        <w:t xml:space="preserve">dažnas ir neritmiškas širdies plakimas (net ramybės būsenoje), širdies plakimo pojūtis, kvėpavimo problemos, krūtinės skausmas ar </w:t>
      </w:r>
      <w:r w:rsidR="0097013C">
        <w:rPr>
          <w:rFonts w:ascii="Times New Roman" w:eastAsia="SimSun" w:hAnsi="Times New Roman" w:cs="Times New Roman"/>
        </w:rPr>
        <w:t>nepaaiškinamas</w:t>
      </w:r>
      <w:r>
        <w:rPr>
          <w:rFonts w:ascii="Times New Roman" w:eastAsia="SimSun" w:hAnsi="Times New Roman" w:cs="Times New Roman"/>
        </w:rPr>
        <w:t xml:space="preserve"> nuovargis. Gydytojas turės patikrinti Jūsų širdį ir, jei reikės, nedelsdamas nusiųs kardiologo konsultacijai</w:t>
      </w:r>
      <w:r>
        <w:rPr>
          <w:rFonts w:ascii="Times New Roman" w:eastAsia="Calibri" w:hAnsi="Times New Roman" w:cs="Times New Roman"/>
        </w:rPr>
        <w:t>.</w:t>
      </w:r>
    </w:p>
    <w:p w14:paraId="3CEEEF64" w14:textId="77777777" w:rsidR="00506BE7" w:rsidRDefault="00506BE7">
      <w:pPr>
        <w:widowControl w:val="0"/>
        <w:spacing w:after="0" w:line="240" w:lineRule="auto"/>
        <w:rPr>
          <w:rFonts w:ascii="Times New Roman" w:eastAsia="Calibri" w:hAnsi="Times New Roman" w:cs="Times New Roman"/>
        </w:rPr>
      </w:pPr>
    </w:p>
    <w:p w14:paraId="35629E87"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Tokių sutrikimų gali sukelti visi šios grupės vaistai.</w:t>
      </w:r>
    </w:p>
    <w:p w14:paraId="23687AA9" w14:textId="77777777" w:rsidR="00506BE7" w:rsidRDefault="00506BE7">
      <w:pPr>
        <w:widowControl w:val="0"/>
        <w:autoSpaceDE w:val="0"/>
        <w:autoSpaceDN w:val="0"/>
        <w:adjustRightInd w:val="0"/>
        <w:spacing w:after="0" w:line="240" w:lineRule="auto"/>
        <w:ind w:left="2"/>
        <w:rPr>
          <w:rFonts w:ascii="Times New Roman" w:eastAsia="Calibri" w:hAnsi="Times New Roman" w:cs="Times New Roman"/>
        </w:rPr>
      </w:pPr>
    </w:p>
    <w:p w14:paraId="7A366228" w14:textId="77777777" w:rsidR="00506BE7" w:rsidRDefault="008E332A">
      <w:pPr>
        <w:widowControl w:val="0"/>
        <w:autoSpaceDE w:val="0"/>
        <w:autoSpaceDN w:val="0"/>
        <w:adjustRightInd w:val="0"/>
        <w:spacing w:after="0" w:line="240" w:lineRule="auto"/>
        <w:ind w:left="2"/>
        <w:rPr>
          <w:rFonts w:ascii="Times New Roman" w:eastAsia="Calibri" w:hAnsi="Times New Roman" w:cs="Times New Roman"/>
          <w:u w:val="single"/>
        </w:rPr>
      </w:pPr>
      <w:r>
        <w:rPr>
          <w:rFonts w:ascii="Times New Roman" w:eastAsia="Calibri" w:hAnsi="Times New Roman" w:cs="Times New Roman"/>
          <w:u w:val="single"/>
        </w:rPr>
        <w:t>Kiek įmanoma greičiau pasakykite gydytojui, jeigu Jums pasireikštų kuris nors iš šių sutrikimų:</w:t>
      </w:r>
    </w:p>
    <w:p w14:paraId="1360A4A6" w14:textId="77777777" w:rsidR="00506BE7" w:rsidRDefault="008E332A">
      <w:pPr>
        <w:widowControl w:val="0"/>
        <w:numPr>
          <w:ilvl w:val="0"/>
          <w:numId w:val="10"/>
        </w:numPr>
        <w:spacing w:after="0" w:line="240" w:lineRule="auto"/>
        <w:rPr>
          <w:rFonts w:ascii="Times New Roman" w:eastAsia="Calibri" w:hAnsi="Times New Roman" w:cs="Times New Roman"/>
        </w:rPr>
      </w:pPr>
      <w:r>
        <w:rPr>
          <w:rFonts w:ascii="Times New Roman" w:eastAsia="Calibri" w:hAnsi="Times New Roman" w:cs="Times New Roman"/>
        </w:rPr>
        <w:t>karščiavimas, panašių į gripo simptomų, gerklės skausmas arba kokia nors kita infekcija – šių sutrikimų priežastis gali būti labai sumažėjęs baltųjų kraujo ląstelių skaičius, dėl kurio gali tekti nutraukti Kventiax vartojimą ir (arba) atitinkamai gydyti;</w:t>
      </w:r>
    </w:p>
    <w:p w14:paraId="7D99418D" w14:textId="77777777" w:rsidR="00506BE7" w:rsidRDefault="008E332A">
      <w:pPr>
        <w:widowControl w:val="0"/>
        <w:numPr>
          <w:ilvl w:val="0"/>
          <w:numId w:val="10"/>
        </w:numPr>
        <w:spacing w:after="0" w:line="240" w:lineRule="auto"/>
        <w:rPr>
          <w:rFonts w:ascii="Times New Roman" w:eastAsia="Calibri" w:hAnsi="Times New Roman" w:cs="Times New Roman"/>
        </w:rPr>
      </w:pPr>
      <w:r>
        <w:rPr>
          <w:rFonts w:ascii="Times New Roman" w:eastAsia="Calibri" w:hAnsi="Times New Roman" w:cs="Times New Roman"/>
        </w:rPr>
        <w:t>vidurių užkietėjimas ir kartu nuolatinis pilvo skausmas arba vidurių užkietėjimas, kurio nepalengvina vaistai (gali pavojingai užsikimšti žarnos).</w:t>
      </w:r>
    </w:p>
    <w:p w14:paraId="7B74C8D6" w14:textId="77777777" w:rsidR="00506BE7" w:rsidRDefault="00506BE7">
      <w:pPr>
        <w:widowControl w:val="0"/>
        <w:spacing w:after="0" w:line="240" w:lineRule="auto"/>
        <w:rPr>
          <w:rFonts w:ascii="Times New Roman" w:eastAsia="Calibri" w:hAnsi="Times New Roman" w:cs="Times New Roman"/>
        </w:rPr>
      </w:pPr>
    </w:p>
    <w:p w14:paraId="4A49BB71"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Mintys apie savižudybę ir depresijos pasunkėjimas</w:t>
      </w:r>
    </w:p>
    <w:p w14:paraId="09A8C814"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Sergant depresija, kartais gali kilti noras susižaloti ar nusižudyti. Pradedant gydymą, tokių sutrikimų pavojus gali padidėti, kadangi šis vaistas pradeda veikti tik po tam tikro laiko (dažniausiai maždaug po 2 savaičių, kartais net vėliau). Tokių minčių atsiradimo pavojus gali būti didesnis staiga nutraukus šio vaisto vartojimą, taip pat jauniems suaugusiems žmonėms. Klinikinių tyrimų duomenys rodo didesnę minčių apie savižudybę atsiradimo ir (arba) savižudiško elgesio riziką jaunesniems kaip 25 metų depresija sergantiems suaugusiesiems pacientams.</w:t>
      </w:r>
    </w:p>
    <w:p w14:paraId="2B105B91" w14:textId="77777777" w:rsidR="00506BE7" w:rsidRDefault="00506BE7">
      <w:pPr>
        <w:widowControl w:val="0"/>
        <w:spacing w:after="0" w:line="240" w:lineRule="auto"/>
        <w:rPr>
          <w:rFonts w:ascii="Times New Roman" w:eastAsia="Calibri" w:hAnsi="Times New Roman" w:cs="Times New Roman"/>
        </w:rPr>
      </w:pPr>
    </w:p>
    <w:p w14:paraId="2D959B46"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Jeigu Jums kiltų noras susižaloti arba nusižudyti, tuoj pat kreipkitės į savo gydytoją arba vykite į ligoninę. Gali būti naudinga giminaičiui arba artimam draugui pasakyti, kad sergate depresija ar kita psichikos liga ir paprašyti perskaityti šį pakuotės lapelį. Taip pat galėtumėte jų paprašyti, kad pasakytų Jums, jeigu jiems atrodytų, kad Jūsų depresija pasunkėjo, arba jeigu jie sunerimtų dėl Jūsų elgesio pokyčių.</w:t>
      </w:r>
    </w:p>
    <w:p w14:paraId="5F729ED9" w14:textId="77777777" w:rsidR="00506BE7" w:rsidRDefault="00506BE7">
      <w:pPr>
        <w:widowControl w:val="0"/>
        <w:spacing w:after="0" w:line="240" w:lineRule="auto"/>
        <w:rPr>
          <w:rFonts w:ascii="Times New Roman" w:eastAsia="Calibri" w:hAnsi="Times New Roman" w:cs="Times New Roman"/>
        </w:rPr>
      </w:pPr>
    </w:p>
    <w:p w14:paraId="4B44E38B" w14:textId="77777777" w:rsidR="00506BE7" w:rsidRDefault="008E332A">
      <w:pPr>
        <w:widowControl w:val="0"/>
        <w:spacing w:after="0"/>
        <w:rPr>
          <w:rFonts w:ascii="Times New Roman" w:eastAsia="SimSun" w:hAnsi="Times New Roman" w:cs="Times New Roman"/>
          <w:b/>
        </w:rPr>
      </w:pPr>
      <w:r>
        <w:rPr>
          <w:rFonts w:ascii="Times New Roman" w:eastAsia="SimSun" w:hAnsi="Times New Roman" w:cs="Times New Roman"/>
          <w:b/>
        </w:rPr>
        <w:t>Sunkios nepageidaujamos odos reakcijos</w:t>
      </w:r>
    </w:p>
    <w:p w14:paraId="2CDA16E0" w14:textId="77777777" w:rsidR="00506BE7" w:rsidRDefault="008E332A">
      <w:pPr>
        <w:widowControl w:val="0"/>
        <w:spacing w:after="0"/>
        <w:rPr>
          <w:rFonts w:ascii="Times New Roman" w:eastAsia="SimSun" w:hAnsi="Times New Roman" w:cs="Times New Roman"/>
        </w:rPr>
      </w:pPr>
      <w:r>
        <w:rPr>
          <w:rFonts w:ascii="Times New Roman" w:eastAsia="SimSun" w:hAnsi="Times New Roman" w:cs="Times New Roman"/>
        </w:rPr>
        <w:t>Gydant šiuo vaistu, labai retai buvo pranešta apie sunkias odos nepageidaujamas reakcijas, kurios gali būti pavojos gyvybei arba mirtinos. Tai dažniausiai pasireiškia kaip:</w:t>
      </w:r>
    </w:p>
    <w:p w14:paraId="45AC5EE0" w14:textId="77777777" w:rsidR="00506BE7" w:rsidRDefault="008E332A">
      <w:pPr>
        <w:pStyle w:val="Sraopastraipa"/>
        <w:widowControl w:val="0"/>
        <w:numPr>
          <w:ilvl w:val="0"/>
          <w:numId w:val="37"/>
        </w:numPr>
        <w:ind w:left="567" w:hanging="567"/>
        <w:rPr>
          <w:rFonts w:eastAsia="SimSun"/>
          <w:lang w:val="lt-LT"/>
        </w:rPr>
      </w:pPr>
      <w:r>
        <w:rPr>
          <w:sz w:val="22"/>
          <w:szCs w:val="22"/>
          <w:lang w:val="lt-LT"/>
        </w:rPr>
        <w:t>Stivenso-Džonsono (</w:t>
      </w:r>
      <w:r>
        <w:rPr>
          <w:i/>
          <w:iCs/>
          <w:sz w:val="22"/>
          <w:szCs w:val="22"/>
          <w:lang w:val="lt-LT"/>
        </w:rPr>
        <w:t>Stevens-Johnson</w:t>
      </w:r>
      <w:r>
        <w:rPr>
          <w:sz w:val="22"/>
          <w:szCs w:val="22"/>
          <w:lang w:val="lt-LT"/>
        </w:rPr>
        <w:t>) sindromas (SJS), t. y. plačiai išplitęs išbėrimas su pūslėmis ir odos lupimusi, ypač apie burną, nosį, akis ir lytinius organus;</w:t>
      </w:r>
    </w:p>
    <w:p w14:paraId="00C08681" w14:textId="77777777" w:rsidR="00506BE7" w:rsidRDefault="008E332A">
      <w:pPr>
        <w:pStyle w:val="Sraopastraipa"/>
        <w:widowControl w:val="0"/>
        <w:numPr>
          <w:ilvl w:val="0"/>
          <w:numId w:val="37"/>
        </w:numPr>
        <w:ind w:left="567" w:hanging="567"/>
        <w:rPr>
          <w:rFonts w:eastAsia="SimSun"/>
          <w:lang w:val="lt-LT"/>
        </w:rPr>
      </w:pPr>
      <w:r>
        <w:rPr>
          <w:sz w:val="22"/>
          <w:szCs w:val="22"/>
          <w:lang w:val="lt-LT"/>
        </w:rPr>
        <w:t>toksinė epidermio nekrolizė (TEN), sunkesnė forma, sukelianti didelį odos lupimąsi;</w:t>
      </w:r>
    </w:p>
    <w:p w14:paraId="74F4AF25" w14:textId="77777777" w:rsidR="00506BE7" w:rsidRDefault="008E332A">
      <w:pPr>
        <w:pStyle w:val="Sraopastraipa"/>
        <w:widowControl w:val="0"/>
        <w:numPr>
          <w:ilvl w:val="0"/>
          <w:numId w:val="37"/>
        </w:numPr>
        <w:ind w:left="567" w:hanging="567"/>
        <w:rPr>
          <w:rFonts w:eastAsia="SimSun"/>
          <w:sz w:val="22"/>
          <w:szCs w:val="22"/>
          <w:lang w:val="lt-LT"/>
        </w:rPr>
      </w:pPr>
      <w:r>
        <w:rPr>
          <w:rFonts w:eastAsia="SimSun"/>
          <w:sz w:val="22"/>
          <w:szCs w:val="22"/>
          <w:lang w:val="lt-LT"/>
        </w:rPr>
        <w:t xml:space="preserve">reakcija į vaistą su eozinofilija ir sisteminiais simptomais (angl. </w:t>
      </w:r>
      <w:r>
        <w:rPr>
          <w:i/>
          <w:iCs/>
          <w:sz w:val="22"/>
          <w:szCs w:val="22"/>
          <w:lang w:val="lt-LT" w:bidi="en-GB"/>
        </w:rPr>
        <w:t>Drug Reaction with Eosinophilia and Systemic Symptoms</w:t>
      </w:r>
      <w:r>
        <w:rPr>
          <w:sz w:val="22"/>
          <w:szCs w:val="22"/>
          <w:lang w:val="lt-LT" w:bidi="en-GB"/>
        </w:rPr>
        <w:t xml:space="preserve">, </w:t>
      </w:r>
      <w:r>
        <w:rPr>
          <w:rFonts w:eastAsia="SimSun"/>
          <w:sz w:val="22"/>
          <w:szCs w:val="22"/>
          <w:lang w:val="lt-LT"/>
        </w:rPr>
        <w:t xml:space="preserve">DRESS), kai atsiranda  į gripą panašių simptomų su išbėrimu, karščiavimu, limfmazgių patinimu ir nenormaliais </w:t>
      </w:r>
      <w:r>
        <w:rPr>
          <w:sz w:val="22"/>
          <w:szCs w:val="22"/>
          <w:lang w:val="lt-LT"/>
        </w:rPr>
        <w:t>kraujo tyrimų rezultatais</w:t>
      </w:r>
      <w:r>
        <w:rPr>
          <w:rFonts w:eastAsia="SimSun"/>
          <w:sz w:val="22"/>
          <w:szCs w:val="22"/>
          <w:lang w:val="lt-LT"/>
        </w:rPr>
        <w:t xml:space="preserve"> (įskaitant baltųjų kraujo ląstelių kiekio padidėjimą [eozinofiliją] ir kepenų fermentų suaktyvėjimą);</w:t>
      </w:r>
    </w:p>
    <w:p w14:paraId="69F005B1" w14:textId="77777777" w:rsidR="00506BE7" w:rsidRDefault="008E332A">
      <w:pPr>
        <w:pStyle w:val="Sraopastraipa"/>
        <w:widowControl w:val="0"/>
        <w:numPr>
          <w:ilvl w:val="0"/>
          <w:numId w:val="37"/>
        </w:numPr>
        <w:ind w:left="567" w:hanging="567"/>
        <w:rPr>
          <w:sz w:val="22"/>
          <w:szCs w:val="22"/>
          <w:lang w:val="lt-LT"/>
        </w:rPr>
      </w:pPr>
      <w:r>
        <w:rPr>
          <w:sz w:val="22"/>
          <w:szCs w:val="22"/>
          <w:lang w:val="lt-LT"/>
        </w:rPr>
        <w:t>ūminė išplitusi egzanteminė pustuliozė (</w:t>
      </w:r>
      <w:r>
        <w:rPr>
          <w:i/>
          <w:iCs/>
          <w:sz w:val="22"/>
          <w:szCs w:val="22"/>
          <w:lang w:val="lt-LT"/>
        </w:rPr>
        <w:t>AGEP</w:t>
      </w:r>
      <w:r>
        <w:rPr>
          <w:sz w:val="22"/>
          <w:szCs w:val="22"/>
          <w:lang w:val="lt-LT"/>
        </w:rPr>
        <w:t>), t. y. pūliais užpildytos smulkios pūslelės;</w:t>
      </w:r>
    </w:p>
    <w:p w14:paraId="38174838" w14:textId="77777777" w:rsidR="00506BE7" w:rsidRDefault="008E332A">
      <w:pPr>
        <w:pStyle w:val="Sraopastraipa"/>
        <w:widowControl w:val="0"/>
        <w:numPr>
          <w:ilvl w:val="0"/>
          <w:numId w:val="37"/>
        </w:numPr>
        <w:ind w:left="567" w:hanging="567"/>
        <w:rPr>
          <w:rFonts w:eastAsia="SimSun"/>
          <w:sz w:val="22"/>
          <w:szCs w:val="22"/>
          <w:lang w:val="lt-LT"/>
        </w:rPr>
      </w:pPr>
      <w:r>
        <w:rPr>
          <w:sz w:val="22"/>
          <w:szCs w:val="22"/>
          <w:lang w:val="lt-LT"/>
        </w:rPr>
        <w:t>daugiaformė eritema (DE), t. y. odos išbėrimas su niežtinčiomis raudonomis netaisyklingomis dėmėmis</w:t>
      </w:r>
      <w:r>
        <w:rPr>
          <w:rFonts w:eastAsia="SimSun"/>
          <w:sz w:val="22"/>
          <w:szCs w:val="22"/>
          <w:lang w:val="lt-LT"/>
        </w:rPr>
        <w:t>.</w:t>
      </w:r>
    </w:p>
    <w:p w14:paraId="703A5BEA" w14:textId="77777777" w:rsidR="00506BE7" w:rsidRDefault="00506BE7">
      <w:pPr>
        <w:widowControl w:val="0"/>
        <w:spacing w:after="0"/>
        <w:rPr>
          <w:rFonts w:ascii="Times New Roman" w:eastAsia="SimSun" w:hAnsi="Times New Roman" w:cs="Times New Roman"/>
        </w:rPr>
      </w:pPr>
    </w:p>
    <w:p w14:paraId="09E51C78" w14:textId="77777777" w:rsidR="00506BE7" w:rsidRDefault="008E332A">
      <w:pPr>
        <w:widowControl w:val="0"/>
        <w:spacing w:after="0"/>
        <w:rPr>
          <w:rFonts w:ascii="Times New Roman" w:eastAsia="SimSun" w:hAnsi="Times New Roman" w:cs="Times New Roman"/>
        </w:rPr>
      </w:pPr>
      <w:r>
        <w:rPr>
          <w:rFonts w:ascii="Times New Roman" w:eastAsia="SimSun" w:hAnsi="Times New Roman" w:cs="Times New Roman"/>
        </w:rPr>
        <w:t>Jei Jums pasireikštų šių simptomų, nutraukite Kventiax vartojimą ir nedelsdami kreipkitės į savo gydytoją arba medicininės pagalbos</w:t>
      </w:r>
    </w:p>
    <w:p w14:paraId="3581CFD5" w14:textId="77777777" w:rsidR="00506BE7" w:rsidRDefault="00506BE7">
      <w:pPr>
        <w:widowControl w:val="0"/>
        <w:spacing w:after="0" w:line="240" w:lineRule="auto"/>
        <w:rPr>
          <w:rFonts w:ascii="Times New Roman" w:eastAsia="Calibri" w:hAnsi="Times New Roman" w:cs="Times New Roman"/>
        </w:rPr>
      </w:pPr>
    </w:p>
    <w:p w14:paraId="500EE69C"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Svorio prieaugis</w:t>
      </w:r>
    </w:p>
    <w:p w14:paraId="66B1CC68"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Būna atvejų, kai Kventiax vartojantys pacientai priauga svorio, todėl reikia reguliariai pasisverti ir kad Jūsų svorį stebėtų gydytojas.</w:t>
      </w:r>
    </w:p>
    <w:p w14:paraId="4DFB9489" w14:textId="77777777" w:rsidR="00506BE7" w:rsidRDefault="00506BE7">
      <w:pPr>
        <w:widowControl w:val="0"/>
        <w:spacing w:after="0" w:line="240" w:lineRule="auto"/>
        <w:rPr>
          <w:rFonts w:ascii="Times New Roman" w:eastAsia="Calibri" w:hAnsi="Times New Roman" w:cs="Times New Roman"/>
          <w:b/>
        </w:rPr>
      </w:pPr>
    </w:p>
    <w:p w14:paraId="477E350B"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Vaikams ir paaugliams</w:t>
      </w:r>
    </w:p>
    <w:p w14:paraId="4FC5C8B4"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Kventiax nėra skirtas vartoti vaikams ir jaunesniems nei 18 metų paaugliams.</w:t>
      </w:r>
    </w:p>
    <w:p w14:paraId="71B175D5" w14:textId="77777777" w:rsidR="00506BE7" w:rsidRDefault="00506BE7">
      <w:pPr>
        <w:widowControl w:val="0"/>
        <w:spacing w:after="0" w:line="240" w:lineRule="auto"/>
        <w:rPr>
          <w:rFonts w:ascii="Times New Roman" w:eastAsia="Calibri" w:hAnsi="Times New Roman" w:cs="Times New Roman"/>
        </w:rPr>
      </w:pPr>
    </w:p>
    <w:p w14:paraId="4002616B"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Kiti vaistai ir Kventiax</w:t>
      </w:r>
    </w:p>
    <w:p w14:paraId="36601539"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Jeigu vartojate arba neseniai vartojote kitų vaistų arba dėl to nesate tikri, apie tai pasakykite gydytojui.</w:t>
      </w:r>
    </w:p>
    <w:p w14:paraId="1F1AECE6" w14:textId="77777777" w:rsidR="00506BE7" w:rsidRDefault="00506BE7">
      <w:pPr>
        <w:widowControl w:val="0"/>
        <w:spacing w:after="0" w:line="240" w:lineRule="auto"/>
        <w:ind w:right="-2"/>
        <w:rPr>
          <w:rFonts w:ascii="Times New Roman" w:eastAsia="Calibri" w:hAnsi="Times New Roman" w:cs="Times New Roman"/>
        </w:rPr>
      </w:pPr>
    </w:p>
    <w:p w14:paraId="66FEE814" w14:textId="77777777" w:rsidR="00506BE7" w:rsidRDefault="008E332A">
      <w:pPr>
        <w:widowControl w:val="0"/>
        <w:spacing w:after="0" w:line="240" w:lineRule="auto"/>
        <w:ind w:right="-2"/>
        <w:rPr>
          <w:rFonts w:ascii="Times New Roman" w:eastAsia="Calibri" w:hAnsi="Times New Roman" w:cs="Times New Roman"/>
        </w:rPr>
      </w:pPr>
      <w:r>
        <w:rPr>
          <w:rFonts w:ascii="Times New Roman" w:eastAsia="Calibri" w:hAnsi="Times New Roman" w:cs="Times New Roman"/>
        </w:rPr>
        <w:t>Kventiax negalima vartoti kartu su:</w:t>
      </w:r>
    </w:p>
    <w:p w14:paraId="5C1A2DC4" w14:textId="77777777" w:rsidR="00506BE7" w:rsidRDefault="008E332A">
      <w:pPr>
        <w:widowControl w:val="0"/>
        <w:numPr>
          <w:ilvl w:val="0"/>
          <w:numId w:val="11"/>
        </w:numPr>
        <w:spacing w:after="0" w:line="240" w:lineRule="auto"/>
        <w:rPr>
          <w:rFonts w:ascii="Times New Roman" w:eastAsia="Calibri" w:hAnsi="Times New Roman" w:cs="Times New Roman"/>
        </w:rPr>
      </w:pPr>
      <w:r>
        <w:rPr>
          <w:rFonts w:ascii="Times New Roman" w:eastAsia="Calibri" w:hAnsi="Times New Roman" w:cs="Times New Roman"/>
        </w:rPr>
        <w:t>kai kuriais vaistais nuo ŽIV;</w:t>
      </w:r>
    </w:p>
    <w:p w14:paraId="735AA49F" w14:textId="77777777" w:rsidR="00506BE7" w:rsidRDefault="008E332A">
      <w:pPr>
        <w:widowControl w:val="0"/>
        <w:numPr>
          <w:ilvl w:val="0"/>
          <w:numId w:val="11"/>
        </w:numPr>
        <w:spacing w:after="0" w:line="240" w:lineRule="auto"/>
        <w:rPr>
          <w:rFonts w:ascii="Times New Roman" w:eastAsia="Calibri" w:hAnsi="Times New Roman" w:cs="Times New Roman"/>
        </w:rPr>
      </w:pPr>
      <w:r>
        <w:rPr>
          <w:rFonts w:ascii="Times New Roman" w:eastAsia="Calibri" w:hAnsi="Times New Roman" w:cs="Times New Roman"/>
        </w:rPr>
        <w:t>azolo grupės vaistais (nuo grybelio infekcijos);</w:t>
      </w:r>
    </w:p>
    <w:p w14:paraId="776A6198" w14:textId="77777777" w:rsidR="00506BE7" w:rsidRDefault="008E332A">
      <w:pPr>
        <w:widowControl w:val="0"/>
        <w:numPr>
          <w:ilvl w:val="0"/>
          <w:numId w:val="11"/>
        </w:numPr>
        <w:spacing w:after="0" w:line="240" w:lineRule="auto"/>
        <w:rPr>
          <w:rFonts w:ascii="Times New Roman" w:eastAsia="Calibri" w:hAnsi="Times New Roman" w:cs="Times New Roman"/>
        </w:rPr>
      </w:pPr>
      <w:r>
        <w:rPr>
          <w:rFonts w:ascii="Times New Roman" w:eastAsia="Calibri" w:hAnsi="Times New Roman" w:cs="Times New Roman"/>
        </w:rPr>
        <w:t>eritromicinu, klaritromicinu (vaistais nuo infekcijos);</w:t>
      </w:r>
    </w:p>
    <w:p w14:paraId="472EEB8B" w14:textId="77777777" w:rsidR="00506BE7" w:rsidRDefault="008E332A">
      <w:pPr>
        <w:widowControl w:val="0"/>
        <w:numPr>
          <w:ilvl w:val="0"/>
          <w:numId w:val="11"/>
        </w:numPr>
        <w:spacing w:after="0" w:line="240" w:lineRule="auto"/>
        <w:rPr>
          <w:rFonts w:ascii="Times New Roman" w:eastAsia="Calibri" w:hAnsi="Times New Roman" w:cs="Times New Roman"/>
        </w:rPr>
      </w:pPr>
      <w:r>
        <w:rPr>
          <w:rFonts w:ascii="Times New Roman" w:eastAsia="Calibri" w:hAnsi="Times New Roman" w:cs="Times New Roman"/>
        </w:rPr>
        <w:t>nefazodonu (vaistu nuo depresijos).</w:t>
      </w:r>
    </w:p>
    <w:p w14:paraId="6E0F1FEA" w14:textId="77777777" w:rsidR="00506BE7" w:rsidRDefault="00506BE7">
      <w:pPr>
        <w:widowControl w:val="0"/>
        <w:spacing w:after="0" w:line="240" w:lineRule="auto"/>
        <w:rPr>
          <w:rFonts w:ascii="Times New Roman" w:eastAsia="Calibri" w:hAnsi="Times New Roman" w:cs="Times New Roman"/>
        </w:rPr>
      </w:pPr>
    </w:p>
    <w:p w14:paraId="55484DD7"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Pasakykite gydytojui, jeigu vartojate kurį nors iš šių vaistų:</w:t>
      </w:r>
    </w:p>
    <w:p w14:paraId="51DF186E" w14:textId="77777777" w:rsidR="00506BE7" w:rsidRDefault="008E332A">
      <w:pPr>
        <w:widowControl w:val="0"/>
        <w:numPr>
          <w:ilvl w:val="0"/>
          <w:numId w:val="11"/>
        </w:numPr>
        <w:spacing w:after="0" w:line="240" w:lineRule="auto"/>
        <w:rPr>
          <w:rFonts w:ascii="Times New Roman" w:eastAsia="Calibri" w:hAnsi="Times New Roman" w:cs="Times New Roman"/>
        </w:rPr>
      </w:pPr>
      <w:r>
        <w:rPr>
          <w:rFonts w:ascii="Times New Roman" w:eastAsia="Calibri" w:hAnsi="Times New Roman" w:cs="Times New Roman"/>
        </w:rPr>
        <w:t>nuo epilepsijos, pvz., fenitoiną arba karbamazepiną;</w:t>
      </w:r>
    </w:p>
    <w:p w14:paraId="76B9204E" w14:textId="77777777" w:rsidR="00506BE7" w:rsidRDefault="008E332A">
      <w:pPr>
        <w:widowControl w:val="0"/>
        <w:numPr>
          <w:ilvl w:val="0"/>
          <w:numId w:val="11"/>
        </w:numPr>
        <w:spacing w:after="0" w:line="240" w:lineRule="auto"/>
        <w:rPr>
          <w:rFonts w:ascii="Times New Roman" w:eastAsia="Calibri" w:hAnsi="Times New Roman" w:cs="Times New Roman"/>
        </w:rPr>
      </w:pPr>
      <w:r>
        <w:rPr>
          <w:rFonts w:ascii="Times New Roman" w:eastAsia="Calibri" w:hAnsi="Times New Roman" w:cs="Times New Roman"/>
        </w:rPr>
        <w:t>nuo aukšto kraujospūdžio;</w:t>
      </w:r>
    </w:p>
    <w:p w14:paraId="37194334" w14:textId="77777777" w:rsidR="00506BE7" w:rsidRDefault="008E332A">
      <w:pPr>
        <w:widowControl w:val="0"/>
        <w:numPr>
          <w:ilvl w:val="0"/>
          <w:numId w:val="11"/>
        </w:numPr>
        <w:spacing w:after="0" w:line="240" w:lineRule="auto"/>
        <w:rPr>
          <w:rFonts w:ascii="Times New Roman" w:eastAsia="Calibri" w:hAnsi="Times New Roman" w:cs="Times New Roman"/>
        </w:rPr>
      </w:pPr>
      <w:r>
        <w:rPr>
          <w:rFonts w:ascii="Times New Roman" w:eastAsia="Calibri" w:hAnsi="Times New Roman" w:cs="Times New Roman"/>
        </w:rPr>
        <w:t>barbitūratų (migdomųjų);</w:t>
      </w:r>
    </w:p>
    <w:p w14:paraId="5F33E6E6" w14:textId="77777777" w:rsidR="00506BE7" w:rsidRDefault="008E332A">
      <w:pPr>
        <w:widowControl w:val="0"/>
        <w:numPr>
          <w:ilvl w:val="0"/>
          <w:numId w:val="11"/>
        </w:numPr>
        <w:spacing w:after="0" w:line="240" w:lineRule="auto"/>
        <w:rPr>
          <w:rFonts w:ascii="Times New Roman" w:eastAsia="Calibri" w:hAnsi="Times New Roman" w:cs="Times New Roman"/>
        </w:rPr>
      </w:pPr>
      <w:r>
        <w:rPr>
          <w:rFonts w:ascii="Times New Roman" w:eastAsia="Calibri" w:hAnsi="Times New Roman" w:cs="Times New Roman"/>
        </w:rPr>
        <w:t>tioridaziną arba ličio preparatą (kitų vaistų nuo psichozės);</w:t>
      </w:r>
    </w:p>
    <w:p w14:paraId="652DEA8E" w14:textId="77777777" w:rsidR="00506BE7" w:rsidRDefault="008E332A">
      <w:pPr>
        <w:widowControl w:val="0"/>
        <w:numPr>
          <w:ilvl w:val="0"/>
          <w:numId w:val="11"/>
        </w:numPr>
        <w:spacing w:after="0" w:line="240" w:lineRule="auto"/>
        <w:rPr>
          <w:rFonts w:ascii="Times New Roman" w:eastAsia="Calibri" w:hAnsi="Times New Roman" w:cs="Times New Roman"/>
        </w:rPr>
      </w:pPr>
      <w:r>
        <w:rPr>
          <w:rFonts w:ascii="Times New Roman" w:eastAsia="Calibri" w:hAnsi="Times New Roman" w:cs="Times New Roman"/>
        </w:rPr>
        <w:t>veikiančių širdies susitraukimus: galinčių sutrikdyti elektrolitų pusiausvyrą (sumažinti kalio arba magnio kiekį kraujyje), diuretikų (skatinančių išsiskirti šlapimą) arba kai kurių antibiotikų (vaistų nuo infekcijų);</w:t>
      </w:r>
    </w:p>
    <w:p w14:paraId="2D8C4418" w14:textId="77777777" w:rsidR="00506BE7" w:rsidRDefault="008E332A">
      <w:pPr>
        <w:widowControl w:val="0"/>
        <w:numPr>
          <w:ilvl w:val="0"/>
          <w:numId w:val="11"/>
        </w:numPr>
        <w:spacing w:after="0" w:line="240" w:lineRule="auto"/>
        <w:rPr>
          <w:rFonts w:ascii="Times New Roman" w:eastAsia="Calibri" w:hAnsi="Times New Roman" w:cs="Times New Roman"/>
        </w:rPr>
      </w:pPr>
      <w:r>
        <w:rPr>
          <w:rFonts w:ascii="Times New Roman" w:eastAsia="Calibri" w:hAnsi="Times New Roman" w:cs="Times New Roman"/>
        </w:rPr>
        <w:lastRenderedPageBreak/>
        <w:t>vaistų, galinčių sukelti vidurių užkietėjimą.</w:t>
      </w:r>
    </w:p>
    <w:p w14:paraId="791D25E1" w14:textId="77777777" w:rsidR="00506BE7" w:rsidRDefault="008E332A">
      <w:pPr>
        <w:widowControl w:val="0"/>
        <w:numPr>
          <w:ilvl w:val="0"/>
          <w:numId w:val="11"/>
        </w:numPr>
        <w:autoSpaceDE w:val="0"/>
        <w:autoSpaceDN w:val="0"/>
        <w:adjustRightInd w:val="0"/>
        <w:spacing w:after="0" w:line="240" w:lineRule="auto"/>
        <w:contextualSpacing/>
        <w:rPr>
          <w:rFonts w:ascii="Times New Roman" w:eastAsia="Calibri" w:hAnsi="Times New Roman" w:cs="Times New Roman"/>
        </w:rPr>
      </w:pPr>
      <w:r>
        <w:rPr>
          <w:rFonts w:ascii="Times New Roman" w:eastAsia="Calibri" w:hAnsi="Times New Roman" w:cs="Times New Roman"/>
        </w:rPr>
        <w:t>vaistų, vadinamų anticholinerginiais preparatais, veikiančių nervų ląstelių funkciją ir todėl vartojamų tam tikroms ligoms gydyti.</w:t>
      </w:r>
    </w:p>
    <w:p w14:paraId="6E432EC8" w14:textId="7A7E8CB9" w:rsidR="00506BE7" w:rsidRPr="00DA4B46" w:rsidRDefault="008E332A" w:rsidP="00DA4B46">
      <w:pPr>
        <w:pStyle w:val="Sraopastraipa"/>
        <w:numPr>
          <w:ilvl w:val="0"/>
          <w:numId w:val="11"/>
        </w:numPr>
        <w:rPr>
          <w:rFonts w:eastAsia="Calibri"/>
        </w:rPr>
      </w:pPr>
      <w:r>
        <w:rPr>
          <w:rFonts w:eastAsia="Calibri"/>
          <w:sz w:val="22"/>
          <w:szCs w:val="22"/>
          <w:lang w:val="lt-LT"/>
        </w:rPr>
        <w:t xml:space="preserve">Antidepresantų. Šie vaistai gali sąveikauti su Kventiax ir jums gali pasireikšti tokie simptomai kaip nevalingi, ritmiški raumenų, įskaitant akių judesius kontroliuojančius raumenis, susitraukimai, susijaudinimas, haliucinacijos, koma, gausus prakaitavimas, </w:t>
      </w:r>
      <w:r w:rsidR="00EB2BB5">
        <w:rPr>
          <w:rFonts w:eastAsia="Calibri"/>
          <w:sz w:val="22"/>
          <w:szCs w:val="22"/>
          <w:lang w:val="lt-LT"/>
        </w:rPr>
        <w:t>drebulys</w:t>
      </w:r>
      <w:r>
        <w:rPr>
          <w:rFonts w:eastAsia="Calibri"/>
          <w:sz w:val="22"/>
          <w:szCs w:val="22"/>
          <w:lang w:val="lt-LT"/>
        </w:rPr>
        <w:t>, refleksų sustiprėjimas, padidėjusi raumenų įtampa, kūno temperatūr</w:t>
      </w:r>
      <w:r w:rsidR="00975F37">
        <w:rPr>
          <w:rFonts w:eastAsia="Calibri"/>
          <w:sz w:val="22"/>
          <w:szCs w:val="22"/>
          <w:lang w:val="lt-LT"/>
        </w:rPr>
        <w:t>os pakilimas</w:t>
      </w:r>
      <w:r>
        <w:rPr>
          <w:rFonts w:eastAsia="Calibri"/>
          <w:sz w:val="22"/>
          <w:szCs w:val="22"/>
          <w:lang w:val="lt-LT"/>
        </w:rPr>
        <w:t xml:space="preserve"> virš 38</w:t>
      </w:r>
      <w:r w:rsidR="00975F37">
        <w:rPr>
          <w:rFonts w:eastAsia="Calibri"/>
          <w:sz w:val="22"/>
          <w:szCs w:val="22"/>
          <w:lang w:val="lt-LT"/>
        </w:rPr>
        <w:t> </w:t>
      </w:r>
      <w:r>
        <w:rPr>
          <w:rFonts w:eastAsia="Calibri"/>
          <w:sz w:val="22"/>
          <w:szCs w:val="22"/>
          <w:lang w:val="lt-LT"/>
        </w:rPr>
        <w:t>°C (serotonino sindromas). Pajutę tokius simptomus, kreipkitės į gydytoją.</w:t>
      </w:r>
    </w:p>
    <w:p w14:paraId="2266AD36" w14:textId="77777777" w:rsidR="00506BE7" w:rsidRDefault="00506BE7">
      <w:pPr>
        <w:widowControl w:val="0"/>
        <w:spacing w:after="0" w:line="240" w:lineRule="auto"/>
        <w:ind w:right="-2"/>
        <w:rPr>
          <w:rFonts w:ascii="Times New Roman" w:eastAsia="Calibri" w:hAnsi="Times New Roman" w:cs="Times New Roman"/>
        </w:rPr>
      </w:pPr>
    </w:p>
    <w:p w14:paraId="580FC283" w14:textId="77777777" w:rsidR="00506BE7" w:rsidRDefault="008E332A">
      <w:pPr>
        <w:widowControl w:val="0"/>
        <w:spacing w:after="0" w:line="240" w:lineRule="auto"/>
        <w:ind w:right="-2"/>
        <w:rPr>
          <w:rFonts w:ascii="Times New Roman" w:eastAsia="Calibri" w:hAnsi="Times New Roman" w:cs="Times New Roman"/>
        </w:rPr>
      </w:pPr>
      <w:r>
        <w:rPr>
          <w:rFonts w:ascii="Times New Roman" w:eastAsia="Calibri" w:hAnsi="Times New Roman" w:cs="Times New Roman"/>
        </w:rPr>
        <w:t>Prieš nutraukdami bet kurio vaisto vartojimą, pasikonsultuokite su gydytoju.</w:t>
      </w:r>
    </w:p>
    <w:p w14:paraId="6FA609E2" w14:textId="77777777" w:rsidR="00506BE7" w:rsidRDefault="00506BE7">
      <w:pPr>
        <w:widowControl w:val="0"/>
        <w:spacing w:after="0" w:line="240" w:lineRule="auto"/>
        <w:rPr>
          <w:rFonts w:ascii="Times New Roman" w:eastAsia="Calibri" w:hAnsi="Times New Roman" w:cs="Times New Roman"/>
        </w:rPr>
      </w:pPr>
    </w:p>
    <w:p w14:paraId="4FD60B54" w14:textId="77777777" w:rsidR="00506BE7" w:rsidRDefault="008E332A">
      <w:pPr>
        <w:widowControl w:val="0"/>
        <w:autoSpaceDE w:val="0"/>
        <w:autoSpaceDN w:val="0"/>
        <w:adjustRightInd w:val="0"/>
        <w:spacing w:after="0" w:line="240" w:lineRule="auto"/>
        <w:rPr>
          <w:rFonts w:ascii="Times New Roman" w:hAnsi="Times New Roman"/>
          <w:b/>
          <w:color w:val="000000"/>
          <w:lang w:val="sl-SI"/>
        </w:rPr>
      </w:pPr>
      <w:r>
        <w:rPr>
          <w:rFonts w:ascii="Times New Roman" w:eastAsia="Calibri" w:hAnsi="Times New Roman" w:cs="Times New Roman"/>
          <w:b/>
        </w:rPr>
        <w:t xml:space="preserve">Kventiax vartojimas su maistu,gėrimais </w:t>
      </w:r>
      <w:r>
        <w:rPr>
          <w:rFonts w:ascii="Times New Roman" w:eastAsia="Calibri" w:hAnsi="Times New Roman" w:cs="Times New Roman"/>
          <w:b/>
          <w:color w:val="000000"/>
          <w:lang w:val="sl-SI"/>
        </w:rPr>
        <w:t>ir alkoholiu</w:t>
      </w:r>
    </w:p>
    <w:p w14:paraId="617D6277" w14:textId="77777777" w:rsidR="00506BE7" w:rsidRDefault="008E332A">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Maistas gali turėti įtakos Kventiax poveikiui, todėl šias tabletes reikia gerti bent valandą prieš valgį arba prieš miegą.</w:t>
      </w:r>
    </w:p>
    <w:p w14:paraId="22375DFA" w14:textId="77777777" w:rsidR="00506BE7" w:rsidRDefault="008E332A">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Negerkite daug alkoholinių gėrimų, kadangi alkoholio ir Kventiax poveikis gali sumuotis ir dėl to pasireikšti mieguistumas.</w:t>
      </w:r>
    </w:p>
    <w:p w14:paraId="411D0521" w14:textId="77777777" w:rsidR="00506BE7" w:rsidRDefault="008E332A">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color w:val="000000"/>
          <w:lang w:val="sl-SI"/>
        </w:rPr>
      </w:pPr>
      <w:r>
        <w:rPr>
          <w:rFonts w:ascii="Times New Roman" w:eastAsia="Calibri" w:hAnsi="Times New Roman" w:cs="Times New Roman"/>
        </w:rPr>
        <w:t>Greipfrutų sultys gali turėti įtakos Kventiax poveikiui, todėl jų gerti negalima.</w:t>
      </w:r>
      <w:r>
        <w:rPr>
          <w:rFonts w:ascii="Times New Roman" w:hAnsi="Times New Roman"/>
          <w:color w:val="000000"/>
          <w:lang w:val="sl-SI"/>
        </w:rPr>
        <w:t xml:space="preserve"> </w:t>
      </w:r>
      <w:r>
        <w:rPr>
          <w:rFonts w:ascii="Times New Roman" w:eastAsia="Calibri" w:hAnsi="Times New Roman" w:cs="Times New Roman"/>
          <w:color w:val="000000"/>
          <w:lang w:val="sl-SI"/>
        </w:rPr>
        <w:t>Jos gali pakeisti šio vaisto veikimą.</w:t>
      </w:r>
    </w:p>
    <w:p w14:paraId="115A9D81" w14:textId="77777777" w:rsidR="00506BE7" w:rsidRDefault="00506BE7">
      <w:pPr>
        <w:widowControl w:val="0"/>
        <w:spacing w:after="0" w:line="240" w:lineRule="auto"/>
        <w:rPr>
          <w:rFonts w:ascii="Times New Roman" w:eastAsia="Calibri" w:hAnsi="Times New Roman" w:cs="Times New Roman"/>
        </w:rPr>
      </w:pPr>
    </w:p>
    <w:p w14:paraId="5C592186"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Nėštumas ir žindymo laikotarpis</w:t>
      </w:r>
    </w:p>
    <w:p w14:paraId="6267EC57" w14:textId="77777777" w:rsidR="00506BE7" w:rsidRDefault="008E332A">
      <w:pPr>
        <w:widowControl w:val="0"/>
        <w:overflowPunct w:val="0"/>
        <w:autoSpaceDE w:val="0"/>
        <w:autoSpaceDN w:val="0"/>
        <w:adjustRightInd w:val="0"/>
        <w:spacing w:after="0" w:line="240" w:lineRule="auto"/>
        <w:ind w:left="2" w:right="320"/>
        <w:rPr>
          <w:rFonts w:ascii="Times New Roman" w:eastAsia="Calibri" w:hAnsi="Times New Roman" w:cs="Times New Roman"/>
        </w:rPr>
      </w:pPr>
      <w:r>
        <w:rPr>
          <w:rFonts w:ascii="Times New Roman" w:eastAsia="Calibri" w:hAnsi="Times New Roman" w:cs="Times New Roman"/>
        </w:rPr>
        <w:t>Jeigu esate nėščia, žindote kūdikį, manote, kad galbūt esate nėščia arba planuojate pastoti, tai prieš vartodama Kventiax pasitarkite su gydytoju arba vaistininku.</w:t>
      </w:r>
    </w:p>
    <w:p w14:paraId="47E2BD91" w14:textId="77777777" w:rsidR="00506BE7" w:rsidRDefault="00506BE7">
      <w:pPr>
        <w:widowControl w:val="0"/>
        <w:overflowPunct w:val="0"/>
        <w:autoSpaceDE w:val="0"/>
        <w:autoSpaceDN w:val="0"/>
        <w:adjustRightInd w:val="0"/>
        <w:spacing w:after="0" w:line="240" w:lineRule="auto"/>
        <w:ind w:left="2" w:right="320"/>
        <w:rPr>
          <w:rFonts w:ascii="Times New Roman" w:eastAsia="Calibri" w:hAnsi="Times New Roman" w:cs="Times New Roman"/>
        </w:rPr>
      </w:pPr>
    </w:p>
    <w:p w14:paraId="608F3618" w14:textId="77777777" w:rsidR="00506BE7" w:rsidRDefault="008E332A">
      <w:pPr>
        <w:widowControl w:val="0"/>
        <w:overflowPunct w:val="0"/>
        <w:autoSpaceDE w:val="0"/>
        <w:autoSpaceDN w:val="0"/>
        <w:adjustRightInd w:val="0"/>
        <w:spacing w:after="0" w:line="240" w:lineRule="auto"/>
        <w:ind w:left="2" w:right="320"/>
        <w:rPr>
          <w:rFonts w:ascii="Times New Roman" w:eastAsia="Calibri" w:hAnsi="Times New Roman" w:cs="Times New Roman"/>
        </w:rPr>
      </w:pPr>
      <w:r>
        <w:rPr>
          <w:rFonts w:ascii="Times New Roman" w:eastAsia="Calibri" w:hAnsi="Times New Roman" w:cs="Times New Roman"/>
        </w:rPr>
        <w:t>Nepasitarus su gydytoju, nėštumo laikotarpiu Kventiax vartoti negalima. Žindymo laikotarpiu Kventiax vartoti negalima.</w:t>
      </w:r>
    </w:p>
    <w:p w14:paraId="711B2F6D" w14:textId="77777777" w:rsidR="00506BE7" w:rsidRDefault="00506BE7">
      <w:pPr>
        <w:widowControl w:val="0"/>
        <w:autoSpaceDE w:val="0"/>
        <w:autoSpaceDN w:val="0"/>
        <w:adjustRightInd w:val="0"/>
        <w:spacing w:after="0" w:line="240" w:lineRule="auto"/>
        <w:rPr>
          <w:rFonts w:ascii="Times New Roman" w:eastAsia="Calibri" w:hAnsi="Times New Roman" w:cs="Times New Roman"/>
        </w:rPr>
      </w:pPr>
    </w:p>
    <w:p w14:paraId="3AF75A57" w14:textId="77777777" w:rsidR="00506BE7" w:rsidRDefault="008E332A">
      <w:pPr>
        <w:widowControl w:val="0"/>
        <w:spacing w:after="0" w:line="240" w:lineRule="auto"/>
        <w:rPr>
          <w:rFonts w:ascii="Times New Roman" w:eastAsia="Calibri" w:hAnsi="Times New Roman" w:cs="Times New Roman"/>
          <w:shd w:val="clear" w:color="auto" w:fill="FFFFFF"/>
        </w:rPr>
      </w:pPr>
      <w:r>
        <w:rPr>
          <w:rFonts w:ascii="Times New Roman" w:eastAsia="Calibri" w:hAnsi="Times New Roman" w:cs="Times New Roman"/>
        </w:rPr>
        <w:t>Naujagimiams, kurių motinos paskutinį nėštumo trimestrą (paskutinius tris nėštumo mėnesius) vartojo Kventiax, gali pasireikšti simptomų, kurie gali būti susiję su tuo, kad šio vaisto nebepatenka į jų organizmą: tremoras, raumenų stingulys ir (arba) silpnumas, mieguistumas, sujaudinimas, sutrikęs kvėpavimas ir pasunkėjęs maitinimas. Jei Jūsų kūdikiui pasireikštų kuris nors iš išvardytų simptomų, gali prireikti kreiptis į gydytoją.</w:t>
      </w:r>
    </w:p>
    <w:p w14:paraId="3E518B41" w14:textId="77777777" w:rsidR="00506BE7" w:rsidRDefault="00506BE7">
      <w:pPr>
        <w:widowControl w:val="0"/>
        <w:spacing w:after="0" w:line="240" w:lineRule="auto"/>
        <w:rPr>
          <w:rFonts w:ascii="Times New Roman" w:eastAsia="Calibri" w:hAnsi="Times New Roman" w:cs="Times New Roman"/>
        </w:rPr>
      </w:pPr>
    </w:p>
    <w:p w14:paraId="595819AC"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Vairavimas ir mechanizmų valdymas</w:t>
      </w:r>
    </w:p>
    <w:p w14:paraId="23DDCC41"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Šios tabletės gali sukelti mieguistumą, todėl nevairuokite ir nedirbkite su technika, kol pajusite, kaip jos veikia Jus.</w:t>
      </w:r>
    </w:p>
    <w:p w14:paraId="0EF19B41" w14:textId="77777777" w:rsidR="00506BE7" w:rsidRDefault="00506BE7">
      <w:pPr>
        <w:widowControl w:val="0"/>
        <w:spacing w:after="0" w:line="240" w:lineRule="auto"/>
        <w:rPr>
          <w:rFonts w:ascii="Times New Roman" w:eastAsia="Calibri" w:hAnsi="Times New Roman" w:cs="Times New Roman"/>
        </w:rPr>
      </w:pPr>
    </w:p>
    <w:p w14:paraId="65DDC495"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Kventiax sudėtyje yra laktozės ir natrio</w:t>
      </w:r>
    </w:p>
    <w:p w14:paraId="07CB7C46" w14:textId="77777777" w:rsidR="00506BE7" w:rsidRDefault="008E332A">
      <w:pPr>
        <w:widowControl w:val="0"/>
        <w:numPr>
          <w:ilvl w:val="12"/>
          <w:numId w:val="0"/>
        </w:numPr>
        <w:spacing w:after="0" w:line="240" w:lineRule="auto"/>
        <w:rPr>
          <w:rFonts w:ascii="Times New Roman" w:eastAsia="Calibri" w:hAnsi="Times New Roman" w:cs="Times New Roman"/>
        </w:rPr>
      </w:pPr>
      <w:r>
        <w:rPr>
          <w:rFonts w:ascii="Times New Roman" w:eastAsia="Calibri" w:hAnsi="Times New Roman" w:cs="Times New Roman"/>
        </w:rPr>
        <w:t>Kventiax sudėtyje yra laktozės (tam tikro angliavandenio). Jeigu gydytojas Jums yra sakęs, kad netoleruojate kokių nors angliavandenių, kreipkitės į jį prieš pradėdami vartoti šį vaistą.</w:t>
      </w:r>
    </w:p>
    <w:p w14:paraId="246B2B60" w14:textId="77777777" w:rsidR="00506BE7" w:rsidRDefault="00506BE7">
      <w:pPr>
        <w:widowControl w:val="0"/>
        <w:spacing w:after="0" w:line="240" w:lineRule="auto"/>
        <w:rPr>
          <w:rFonts w:ascii="Times New Roman" w:eastAsia="Calibri" w:hAnsi="Times New Roman" w:cs="Times New Roman"/>
          <w:lang w:val="sl-SI"/>
        </w:rPr>
      </w:pPr>
    </w:p>
    <w:p w14:paraId="3E6BC037" w14:textId="77777777" w:rsidR="00506BE7" w:rsidRDefault="008E332A">
      <w:pPr>
        <w:widowControl w:val="0"/>
        <w:spacing w:after="0" w:line="240" w:lineRule="auto"/>
        <w:rPr>
          <w:rFonts w:ascii="Times New Roman" w:eastAsia="Times New Roman" w:hAnsi="Times New Roman" w:cs="Times New Roman"/>
          <w:bCs/>
          <w:lang w:eastAsia="sl-SI"/>
        </w:rPr>
      </w:pPr>
      <w:r>
        <w:rPr>
          <w:rFonts w:ascii="Times New Roman" w:eastAsia="Calibri" w:hAnsi="Times New Roman" w:cs="Times New Roman"/>
        </w:rPr>
        <w:t xml:space="preserve">50 mg pailginto atpalaidavimo </w:t>
      </w:r>
      <w:r>
        <w:rPr>
          <w:rFonts w:ascii="Times New Roman" w:eastAsia="Times New Roman" w:hAnsi="Times New Roman" w:cs="Times New Roman"/>
          <w:bCs/>
          <w:lang w:eastAsia="sl-SI"/>
        </w:rPr>
        <w:t>tabletės</w:t>
      </w:r>
    </w:p>
    <w:p w14:paraId="46B9DC9D"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snapToGrid w:val="0"/>
        </w:rPr>
        <w:t xml:space="preserve">Šio vaisto </w:t>
      </w:r>
      <w:r>
        <w:rPr>
          <w:rFonts w:ascii="Times New Roman" w:eastAsia="Calibri" w:hAnsi="Times New Roman" w:cs="Times New Roman"/>
        </w:rPr>
        <w:t xml:space="preserve">tabletėje yra 8,44 mg natrio </w:t>
      </w:r>
      <w:r>
        <w:rPr>
          <w:rFonts w:ascii="Times New Roman" w:eastAsia="Times New Roman" w:hAnsi="Times New Roman" w:cs="Times New Roman"/>
          <w:bCs/>
          <w:lang w:eastAsia="sl-SI"/>
        </w:rPr>
        <w:t>(valgomosios druskos sudedamosios dalies). Tai atitinka 0,42 % didžiausios rekomenduojamos natrio paros normos suaugusiesiems</w:t>
      </w:r>
      <w:r>
        <w:rPr>
          <w:rFonts w:ascii="Times New Roman" w:eastAsia="Calibri" w:hAnsi="Times New Roman" w:cs="Times New Roman"/>
        </w:rPr>
        <w:t>.</w:t>
      </w:r>
    </w:p>
    <w:p w14:paraId="63515CAF" w14:textId="77777777" w:rsidR="00506BE7" w:rsidRDefault="00506BE7">
      <w:pPr>
        <w:widowControl w:val="0"/>
        <w:numPr>
          <w:ilvl w:val="12"/>
          <w:numId w:val="0"/>
        </w:numPr>
        <w:spacing w:after="0" w:line="240" w:lineRule="auto"/>
        <w:rPr>
          <w:rFonts w:ascii="Times New Roman" w:eastAsia="Times New Roman" w:hAnsi="Times New Roman" w:cs="Times New Roman"/>
          <w:bCs/>
          <w:lang w:val="sl-SI" w:eastAsia="sl-SI"/>
        </w:rPr>
      </w:pPr>
    </w:p>
    <w:p w14:paraId="435D83C2" w14:textId="77777777" w:rsidR="00506BE7" w:rsidRDefault="008E332A">
      <w:pPr>
        <w:widowControl w:val="0"/>
        <w:numPr>
          <w:ilvl w:val="12"/>
          <w:numId w:val="0"/>
        </w:numPr>
        <w:spacing w:after="0" w:line="240" w:lineRule="auto"/>
        <w:rPr>
          <w:rFonts w:ascii="Times New Roman" w:eastAsia="Times New Roman" w:hAnsi="Times New Roman" w:cs="Times New Roman"/>
          <w:bCs/>
        </w:rPr>
      </w:pPr>
      <w:r>
        <w:rPr>
          <w:rFonts w:ascii="Times New Roman" w:eastAsia="Calibri" w:hAnsi="Times New Roman" w:cs="Times New Roman"/>
        </w:rPr>
        <w:t xml:space="preserve">150 mg pailginto atpalaidavimo </w:t>
      </w:r>
      <w:r>
        <w:rPr>
          <w:rFonts w:ascii="Times New Roman" w:eastAsia="Times New Roman" w:hAnsi="Times New Roman" w:cs="Times New Roman"/>
          <w:bCs/>
        </w:rPr>
        <w:t>tabletės</w:t>
      </w:r>
    </w:p>
    <w:p w14:paraId="75948FAD" w14:textId="77777777" w:rsidR="00506BE7" w:rsidRDefault="008E332A">
      <w:pPr>
        <w:widowControl w:val="0"/>
        <w:numPr>
          <w:ilvl w:val="12"/>
          <w:numId w:val="0"/>
        </w:numPr>
        <w:spacing w:after="0" w:line="240" w:lineRule="auto"/>
        <w:rPr>
          <w:rFonts w:ascii="Times New Roman" w:eastAsia="Calibri" w:hAnsi="Times New Roman" w:cs="Times New Roman"/>
        </w:rPr>
      </w:pPr>
      <w:r>
        <w:rPr>
          <w:rFonts w:ascii="Times New Roman" w:eastAsia="Calibri" w:hAnsi="Times New Roman" w:cs="Times New Roman"/>
          <w:snapToGrid w:val="0"/>
        </w:rPr>
        <w:t xml:space="preserve">Šio vaisto </w:t>
      </w:r>
      <w:r>
        <w:rPr>
          <w:rFonts w:ascii="Times New Roman" w:eastAsia="Calibri" w:hAnsi="Times New Roman" w:cs="Times New Roman"/>
        </w:rPr>
        <w:t>tabletėje yra 14,53 mg natrio</w:t>
      </w:r>
      <w:r>
        <w:rPr>
          <w:rFonts w:ascii="Times New Roman" w:eastAsia="Times New Roman" w:hAnsi="Times New Roman" w:cs="Times New Roman"/>
          <w:bCs/>
        </w:rPr>
        <w:t xml:space="preserve"> </w:t>
      </w:r>
      <w:r>
        <w:rPr>
          <w:rFonts w:ascii="Times New Roman" w:eastAsia="Times New Roman" w:hAnsi="Times New Roman" w:cs="Times New Roman"/>
          <w:bCs/>
          <w:lang w:eastAsia="sl-SI"/>
        </w:rPr>
        <w:t>(valgomosios druskos sudedamosios dalies). Tai atitinka 0,73 % didžiausios rekomenduojamos natrio paros normos suaugusiesiems</w:t>
      </w:r>
      <w:r>
        <w:rPr>
          <w:rFonts w:ascii="Times New Roman" w:eastAsia="Calibri" w:hAnsi="Times New Roman" w:cs="Times New Roman"/>
        </w:rPr>
        <w:t>.</w:t>
      </w:r>
    </w:p>
    <w:p w14:paraId="5F58D6C2" w14:textId="77777777" w:rsidR="00506BE7" w:rsidRDefault="00506BE7">
      <w:pPr>
        <w:widowControl w:val="0"/>
        <w:numPr>
          <w:ilvl w:val="12"/>
          <w:numId w:val="0"/>
        </w:numPr>
        <w:spacing w:after="0" w:line="240" w:lineRule="auto"/>
        <w:rPr>
          <w:rFonts w:ascii="Times New Roman" w:eastAsia="Times New Roman" w:hAnsi="Times New Roman" w:cs="Times New Roman"/>
          <w:bCs/>
        </w:rPr>
      </w:pPr>
    </w:p>
    <w:p w14:paraId="6E33B481" w14:textId="77777777" w:rsidR="00506BE7" w:rsidRDefault="008E332A">
      <w:pPr>
        <w:widowControl w:val="0"/>
        <w:numPr>
          <w:ilvl w:val="12"/>
          <w:numId w:val="0"/>
        </w:numPr>
        <w:spacing w:after="0" w:line="240" w:lineRule="auto"/>
        <w:rPr>
          <w:rFonts w:ascii="Times New Roman" w:eastAsia="Times New Roman" w:hAnsi="Times New Roman" w:cs="Times New Roman"/>
          <w:bCs/>
        </w:rPr>
      </w:pPr>
      <w:r>
        <w:rPr>
          <w:rFonts w:ascii="Times New Roman" w:eastAsia="Calibri" w:hAnsi="Times New Roman" w:cs="Times New Roman"/>
        </w:rPr>
        <w:t xml:space="preserve">200 mg pailginto atpalaidavimo </w:t>
      </w:r>
      <w:r>
        <w:rPr>
          <w:rFonts w:ascii="Times New Roman" w:eastAsia="Times New Roman" w:hAnsi="Times New Roman" w:cs="Times New Roman"/>
          <w:bCs/>
        </w:rPr>
        <w:t>tabletės</w:t>
      </w:r>
    </w:p>
    <w:p w14:paraId="50A0A582" w14:textId="77777777" w:rsidR="00506BE7" w:rsidRDefault="008E332A">
      <w:pPr>
        <w:widowControl w:val="0"/>
        <w:numPr>
          <w:ilvl w:val="12"/>
          <w:numId w:val="0"/>
        </w:numPr>
        <w:spacing w:after="0" w:line="240" w:lineRule="auto"/>
        <w:rPr>
          <w:rFonts w:ascii="Times New Roman" w:eastAsia="Calibri" w:hAnsi="Times New Roman" w:cs="Times New Roman"/>
        </w:rPr>
      </w:pPr>
      <w:r>
        <w:rPr>
          <w:rFonts w:ascii="Times New Roman" w:eastAsia="Calibri" w:hAnsi="Times New Roman" w:cs="Times New Roman"/>
          <w:snapToGrid w:val="0"/>
        </w:rPr>
        <w:t xml:space="preserve">Šio vaisto </w:t>
      </w:r>
      <w:r>
        <w:rPr>
          <w:rFonts w:ascii="Times New Roman" w:eastAsia="Calibri" w:hAnsi="Times New Roman" w:cs="Times New Roman"/>
        </w:rPr>
        <w:t>tabletėje yra 19,38 mg natrio</w:t>
      </w:r>
      <w:r>
        <w:rPr>
          <w:rFonts w:ascii="Times New Roman" w:eastAsia="Times New Roman" w:hAnsi="Times New Roman" w:cs="Times New Roman"/>
          <w:bCs/>
        </w:rPr>
        <w:t xml:space="preserve"> </w:t>
      </w:r>
      <w:r>
        <w:rPr>
          <w:rFonts w:ascii="Times New Roman" w:eastAsia="Times New Roman" w:hAnsi="Times New Roman" w:cs="Times New Roman"/>
          <w:bCs/>
          <w:lang w:eastAsia="sl-SI"/>
        </w:rPr>
        <w:t>(valgomosios druskos sudedamosios dalies). Tai atitinka 0,97 % didžiausios rekomenduojamos natrio paros normos suaugusiesiems</w:t>
      </w:r>
      <w:r>
        <w:rPr>
          <w:rFonts w:ascii="Times New Roman" w:eastAsia="Calibri" w:hAnsi="Times New Roman" w:cs="Times New Roman"/>
        </w:rPr>
        <w:t>.</w:t>
      </w:r>
    </w:p>
    <w:p w14:paraId="3DFA54C1" w14:textId="77777777" w:rsidR="00506BE7" w:rsidRDefault="00506BE7">
      <w:pPr>
        <w:widowControl w:val="0"/>
        <w:spacing w:after="0" w:line="240" w:lineRule="auto"/>
        <w:rPr>
          <w:rFonts w:ascii="Times New Roman" w:eastAsia="Times New Roman" w:hAnsi="Times New Roman" w:cs="Times New Roman"/>
          <w:bCs/>
          <w:lang w:val="sl-SI" w:eastAsia="sl-SI"/>
        </w:rPr>
      </w:pPr>
    </w:p>
    <w:p w14:paraId="47923280" w14:textId="77777777" w:rsidR="00506BE7" w:rsidRDefault="008E332A">
      <w:pPr>
        <w:widowControl w:val="0"/>
        <w:spacing w:after="0" w:line="240" w:lineRule="auto"/>
        <w:rPr>
          <w:rFonts w:ascii="Times New Roman" w:eastAsia="Times New Roman" w:hAnsi="Times New Roman" w:cs="Times New Roman"/>
          <w:bCs/>
          <w:lang w:eastAsia="sl-SI"/>
        </w:rPr>
      </w:pPr>
      <w:r>
        <w:rPr>
          <w:rFonts w:ascii="Times New Roman" w:eastAsia="Calibri" w:hAnsi="Times New Roman" w:cs="Times New Roman"/>
        </w:rPr>
        <w:t xml:space="preserve">300 mg pailginto atpalaidavimo </w:t>
      </w:r>
      <w:r>
        <w:rPr>
          <w:rFonts w:ascii="Times New Roman" w:eastAsia="Times New Roman" w:hAnsi="Times New Roman" w:cs="Times New Roman"/>
          <w:bCs/>
          <w:lang w:eastAsia="sl-SI"/>
        </w:rPr>
        <w:t>tabletės</w:t>
      </w:r>
    </w:p>
    <w:p w14:paraId="4EA82FCA" w14:textId="77777777" w:rsidR="00506BE7" w:rsidRDefault="008E332A">
      <w:pPr>
        <w:widowControl w:val="0"/>
        <w:spacing w:after="0" w:line="240" w:lineRule="auto"/>
        <w:rPr>
          <w:rFonts w:ascii="Times New Roman" w:eastAsia="Calibri" w:hAnsi="Times New Roman" w:cs="Times New Roman"/>
        </w:rPr>
      </w:pPr>
      <w:r>
        <w:rPr>
          <w:rFonts w:ascii="Times New Roman" w:eastAsia="Times New Roman" w:hAnsi="Times New Roman" w:cs="Times New Roman"/>
          <w:bCs/>
          <w:lang w:eastAsia="sl-SI"/>
        </w:rPr>
        <w:t xml:space="preserve">Šio vaisto </w:t>
      </w:r>
      <w:r>
        <w:rPr>
          <w:rFonts w:ascii="Times New Roman" w:eastAsia="Calibri" w:hAnsi="Times New Roman" w:cs="Times New Roman"/>
        </w:rPr>
        <w:t>tabletėje yra 29,06 mg natrio</w:t>
      </w:r>
      <w:r>
        <w:rPr>
          <w:rFonts w:ascii="Times New Roman" w:eastAsia="Times New Roman" w:hAnsi="Times New Roman" w:cs="Times New Roman"/>
          <w:bCs/>
          <w:lang w:eastAsia="sl-SI"/>
        </w:rPr>
        <w:t xml:space="preserve"> (valgomosios druskos sudedamosios dalies). Tai atitinka 1,45 % didžiausios rekomenduojamos natrio paros normos suaugusiesiems</w:t>
      </w:r>
      <w:r>
        <w:rPr>
          <w:rFonts w:ascii="Times New Roman" w:eastAsia="Calibri" w:hAnsi="Times New Roman" w:cs="Times New Roman"/>
        </w:rPr>
        <w:t>.</w:t>
      </w:r>
    </w:p>
    <w:p w14:paraId="253E49AD" w14:textId="77777777" w:rsidR="00506BE7" w:rsidRDefault="00506BE7">
      <w:pPr>
        <w:widowControl w:val="0"/>
        <w:spacing w:after="0" w:line="240" w:lineRule="auto"/>
        <w:rPr>
          <w:rFonts w:ascii="Times New Roman" w:eastAsia="Times New Roman" w:hAnsi="Times New Roman" w:cs="Times New Roman"/>
          <w:bCs/>
          <w:lang w:val="sl-SI" w:eastAsia="sl-SI"/>
        </w:rPr>
      </w:pPr>
    </w:p>
    <w:p w14:paraId="619D3DE6" w14:textId="77777777" w:rsidR="00506BE7" w:rsidRDefault="008E332A">
      <w:pPr>
        <w:widowControl w:val="0"/>
        <w:spacing w:after="0" w:line="240" w:lineRule="auto"/>
        <w:rPr>
          <w:rFonts w:ascii="Times New Roman" w:eastAsia="Times New Roman" w:hAnsi="Times New Roman" w:cs="Times New Roman"/>
          <w:bCs/>
          <w:lang w:val="sl-SI" w:eastAsia="sl-SI"/>
        </w:rPr>
      </w:pPr>
      <w:r>
        <w:rPr>
          <w:rFonts w:ascii="Times New Roman" w:eastAsia="Calibri" w:hAnsi="Times New Roman" w:cs="Times New Roman"/>
          <w:lang w:val="sl-SI"/>
        </w:rPr>
        <w:t xml:space="preserve">400 mg pailginto atpalaidavimo </w:t>
      </w:r>
      <w:r>
        <w:rPr>
          <w:rFonts w:ascii="Times New Roman" w:eastAsia="Times New Roman" w:hAnsi="Times New Roman" w:cs="Times New Roman"/>
          <w:bCs/>
          <w:lang w:val="sl-SI" w:eastAsia="sl-SI"/>
        </w:rPr>
        <w:t>tabletės</w:t>
      </w:r>
    </w:p>
    <w:p w14:paraId="685C8867" w14:textId="77777777" w:rsidR="00506BE7" w:rsidRDefault="008E332A">
      <w:pPr>
        <w:widowControl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lang w:val="sl-SI" w:eastAsia="sl-SI"/>
        </w:rPr>
        <w:lastRenderedPageBreak/>
        <w:t xml:space="preserve">Šio vaisto </w:t>
      </w:r>
      <w:r>
        <w:rPr>
          <w:rFonts w:ascii="Times New Roman" w:eastAsia="Calibri" w:hAnsi="Times New Roman" w:cs="Times New Roman"/>
          <w:lang w:val="sl-SI"/>
        </w:rPr>
        <w:t>tabletėje yra 23,46 mg natrio</w:t>
      </w:r>
      <w:r>
        <w:rPr>
          <w:rFonts w:ascii="Times New Roman" w:eastAsia="Times New Roman" w:hAnsi="Times New Roman" w:cs="Times New Roman"/>
          <w:bCs/>
          <w:lang w:val="sl-SI" w:eastAsia="sl-SI"/>
        </w:rPr>
        <w:t xml:space="preserve"> </w:t>
      </w:r>
      <w:r>
        <w:rPr>
          <w:rFonts w:ascii="Times New Roman" w:eastAsia="Times New Roman" w:hAnsi="Times New Roman" w:cs="Times New Roman"/>
          <w:bCs/>
          <w:lang w:eastAsia="sl-SI"/>
        </w:rPr>
        <w:t>(valgomosios druskos sudedamosios dalies). Tai atitinka 1,17 % didžiausios rekomenduojamos natrio paros normos suaugusiesiems</w:t>
      </w:r>
      <w:r>
        <w:rPr>
          <w:rFonts w:ascii="Times New Roman" w:eastAsia="Times New Roman" w:hAnsi="Times New Roman" w:cs="Times New Roman"/>
          <w:bCs/>
          <w:lang w:val="sl-SI" w:eastAsia="sl-SI"/>
        </w:rPr>
        <w:t>.</w:t>
      </w:r>
    </w:p>
    <w:p w14:paraId="40E9CE2E" w14:textId="77777777" w:rsidR="00506BE7" w:rsidRDefault="00506BE7">
      <w:pPr>
        <w:widowControl w:val="0"/>
        <w:autoSpaceDE w:val="0"/>
        <w:autoSpaceDN w:val="0"/>
        <w:adjustRightInd w:val="0"/>
        <w:spacing w:after="0" w:line="240" w:lineRule="auto"/>
        <w:ind w:left="2"/>
        <w:rPr>
          <w:rFonts w:ascii="Times New Roman" w:eastAsia="Calibri" w:hAnsi="Times New Roman" w:cs="Times New Roman"/>
        </w:rPr>
      </w:pPr>
    </w:p>
    <w:p w14:paraId="649790BA" w14:textId="77777777" w:rsidR="00506BE7" w:rsidRDefault="008E332A">
      <w:pPr>
        <w:widowControl w:val="0"/>
        <w:autoSpaceDE w:val="0"/>
        <w:autoSpaceDN w:val="0"/>
        <w:adjustRightInd w:val="0"/>
        <w:spacing w:after="0" w:line="240" w:lineRule="auto"/>
        <w:ind w:left="2"/>
        <w:rPr>
          <w:rFonts w:ascii="Times New Roman" w:eastAsia="Calibri" w:hAnsi="Times New Roman" w:cs="Times New Roman"/>
        </w:rPr>
      </w:pPr>
      <w:r>
        <w:rPr>
          <w:rFonts w:ascii="Times New Roman" w:eastAsia="Calibri" w:hAnsi="Times New Roman" w:cs="Times New Roman"/>
          <w:b/>
        </w:rPr>
        <w:t>Poveikis vaistų tyrimų šlapime duomenims</w:t>
      </w:r>
    </w:p>
    <w:p w14:paraId="25981D7E"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rPr>
        <w:t>Vartojant Kventiax, gali būti netikslūs vaistų šlapime tyrimų duomenys: kai kuriais metodais atlikti tyrimai gali rodyti metadono ar tam tikrų vaistų nuo depresijos, vadinamų tricikliniais antidepresantais, buvimą Jūsų šlapime, nors jų ir nevartojate. Tokiais atvejais galima tirti specifiškesniu metodu.</w:t>
      </w:r>
    </w:p>
    <w:p w14:paraId="57B03028" w14:textId="77777777" w:rsidR="00506BE7" w:rsidRDefault="00506BE7">
      <w:pPr>
        <w:widowControl w:val="0"/>
        <w:spacing w:after="0" w:line="240" w:lineRule="auto"/>
        <w:rPr>
          <w:rFonts w:ascii="Times New Roman" w:eastAsia="Calibri" w:hAnsi="Times New Roman" w:cs="Times New Roman"/>
        </w:rPr>
      </w:pPr>
    </w:p>
    <w:p w14:paraId="1D345004" w14:textId="77777777" w:rsidR="00506BE7" w:rsidRDefault="00506BE7">
      <w:pPr>
        <w:widowControl w:val="0"/>
        <w:spacing w:after="0" w:line="240" w:lineRule="auto"/>
        <w:rPr>
          <w:rFonts w:ascii="Times New Roman" w:eastAsia="Calibri" w:hAnsi="Times New Roman" w:cs="Times New Roman"/>
        </w:rPr>
      </w:pPr>
    </w:p>
    <w:p w14:paraId="7AEE68FD" w14:textId="77777777" w:rsidR="00506BE7" w:rsidRDefault="008E332A">
      <w:pPr>
        <w:widowControl w:val="0"/>
        <w:tabs>
          <w:tab w:val="left" w:pos="567"/>
        </w:tabs>
        <w:spacing w:after="0" w:line="240" w:lineRule="auto"/>
        <w:ind w:left="567" w:hanging="567"/>
        <w:outlineLvl w:val="1"/>
        <w:rPr>
          <w:rFonts w:ascii="Times New Roman" w:eastAsia="Calibri" w:hAnsi="Times New Roman" w:cs="Times New Roman"/>
          <w:b/>
        </w:rPr>
      </w:pPr>
      <w:bookmarkStart w:id="71" w:name="_Toc129243266"/>
      <w:bookmarkStart w:id="72" w:name="_Toc129243141"/>
      <w:r>
        <w:rPr>
          <w:rFonts w:ascii="Times New Roman" w:eastAsia="Calibri" w:hAnsi="Times New Roman" w:cs="Times New Roman"/>
          <w:b/>
        </w:rPr>
        <w:t>3.</w:t>
      </w:r>
      <w:r>
        <w:rPr>
          <w:rFonts w:ascii="Times New Roman" w:eastAsia="Calibri" w:hAnsi="Times New Roman" w:cs="Times New Roman"/>
          <w:b/>
        </w:rPr>
        <w:tab/>
        <w:t>Kaip vartoti Kventiax</w:t>
      </w:r>
      <w:bookmarkEnd w:id="71"/>
      <w:bookmarkEnd w:id="72"/>
    </w:p>
    <w:p w14:paraId="273EB350" w14:textId="77777777" w:rsidR="00506BE7" w:rsidRDefault="00506BE7">
      <w:pPr>
        <w:widowControl w:val="0"/>
        <w:spacing w:after="0" w:line="240" w:lineRule="auto"/>
        <w:rPr>
          <w:rFonts w:ascii="Times New Roman" w:eastAsia="Calibri" w:hAnsi="Times New Roman" w:cs="Times New Roman"/>
        </w:rPr>
      </w:pPr>
    </w:p>
    <w:p w14:paraId="2B71D237" w14:textId="77777777" w:rsidR="00506BE7" w:rsidRDefault="008E332A">
      <w:pPr>
        <w:widowControl w:val="0"/>
        <w:spacing w:after="0" w:line="240" w:lineRule="auto"/>
        <w:ind w:right="-2"/>
        <w:rPr>
          <w:rFonts w:ascii="Times New Roman" w:eastAsia="Calibri" w:hAnsi="Times New Roman" w:cs="Times New Roman"/>
        </w:rPr>
      </w:pPr>
      <w:r>
        <w:rPr>
          <w:rFonts w:ascii="Times New Roman" w:eastAsia="Calibri" w:hAnsi="Times New Roman" w:cs="Times New Roman"/>
        </w:rPr>
        <w:t>Visada vartokite šį vaistą tiksliai kaip nurodė gydytojas arba vaistininkas. Jeigu abejojate, kreipkitės į gydytoją arba vaistininką.</w:t>
      </w:r>
    </w:p>
    <w:p w14:paraId="489A4CC4" w14:textId="77777777" w:rsidR="00506BE7" w:rsidRDefault="00506BE7">
      <w:pPr>
        <w:widowControl w:val="0"/>
        <w:spacing w:after="0" w:line="240" w:lineRule="auto"/>
        <w:ind w:right="-2"/>
        <w:rPr>
          <w:rFonts w:ascii="Times New Roman" w:eastAsia="Calibri" w:hAnsi="Times New Roman" w:cs="Times New Roman"/>
        </w:rPr>
      </w:pPr>
    </w:p>
    <w:p w14:paraId="627FCB4D" w14:textId="77777777" w:rsidR="00506BE7" w:rsidRDefault="008E332A">
      <w:pPr>
        <w:widowControl w:val="0"/>
        <w:spacing w:after="0" w:line="240" w:lineRule="auto"/>
        <w:ind w:right="-2"/>
        <w:rPr>
          <w:rFonts w:ascii="Times New Roman" w:eastAsia="Calibri" w:hAnsi="Times New Roman" w:cs="Times New Roman"/>
        </w:rPr>
      </w:pPr>
      <w:r>
        <w:rPr>
          <w:rFonts w:ascii="Times New Roman" w:eastAsia="Calibri" w:hAnsi="Times New Roman" w:cs="Times New Roman"/>
        </w:rPr>
        <w:t>Pradinę dozę nurodys gydytojas. Palaikomoji dozė priklauso nuo Jūsų ligos ir poreikio, tačiau paprastai ji būna nuo 150 mg iki 800 mg per parą.</w:t>
      </w:r>
    </w:p>
    <w:p w14:paraId="5BA7297B" w14:textId="77777777" w:rsidR="00506BE7" w:rsidRDefault="008E332A">
      <w:pPr>
        <w:widowControl w:val="0"/>
        <w:numPr>
          <w:ilvl w:val="0"/>
          <w:numId w:val="13"/>
        </w:numPr>
        <w:tabs>
          <w:tab w:val="clear" w:pos="720"/>
        </w:tabs>
        <w:spacing w:after="0" w:line="240" w:lineRule="auto"/>
        <w:ind w:left="567" w:hanging="567"/>
        <w:rPr>
          <w:rFonts w:ascii="Times New Roman" w:eastAsia="Calibri" w:hAnsi="Times New Roman" w:cs="Times New Roman"/>
        </w:rPr>
      </w:pPr>
      <w:r>
        <w:rPr>
          <w:rFonts w:ascii="Times New Roman" w:eastAsia="Calibri" w:hAnsi="Times New Roman" w:cs="Times New Roman"/>
        </w:rPr>
        <w:t>Šių tablečių geriama 1 kartą per parą.</w:t>
      </w:r>
    </w:p>
    <w:p w14:paraId="36EF2BBA" w14:textId="77777777" w:rsidR="00506BE7" w:rsidRDefault="008E332A">
      <w:pPr>
        <w:widowControl w:val="0"/>
        <w:numPr>
          <w:ilvl w:val="0"/>
          <w:numId w:val="13"/>
        </w:numPr>
        <w:tabs>
          <w:tab w:val="clear" w:pos="720"/>
        </w:tabs>
        <w:spacing w:after="0" w:line="240" w:lineRule="auto"/>
        <w:ind w:left="567" w:hanging="567"/>
        <w:rPr>
          <w:rFonts w:ascii="Times New Roman" w:eastAsia="Calibri" w:hAnsi="Times New Roman" w:cs="Times New Roman"/>
        </w:rPr>
      </w:pPr>
      <w:r>
        <w:rPr>
          <w:rFonts w:ascii="Times New Roman" w:eastAsia="Calibri" w:hAnsi="Times New Roman" w:cs="Times New Roman"/>
        </w:rPr>
        <w:t>Tablečių negalima dalyti, kramtyti ar traiškyti.</w:t>
      </w:r>
    </w:p>
    <w:p w14:paraId="106D4275" w14:textId="77777777" w:rsidR="00506BE7" w:rsidRDefault="008E332A">
      <w:pPr>
        <w:widowControl w:val="0"/>
        <w:numPr>
          <w:ilvl w:val="0"/>
          <w:numId w:val="13"/>
        </w:numPr>
        <w:tabs>
          <w:tab w:val="clear" w:pos="720"/>
        </w:tabs>
        <w:spacing w:after="0" w:line="240" w:lineRule="auto"/>
        <w:ind w:left="567" w:hanging="567"/>
        <w:rPr>
          <w:rFonts w:ascii="Times New Roman" w:eastAsia="Calibri" w:hAnsi="Times New Roman" w:cs="Times New Roman"/>
        </w:rPr>
      </w:pPr>
      <w:r>
        <w:rPr>
          <w:rFonts w:ascii="Times New Roman" w:eastAsia="Calibri" w:hAnsi="Times New Roman" w:cs="Times New Roman"/>
        </w:rPr>
        <w:t>Tabletes nurykite nepažeistas, užgerdami vandeniu.</w:t>
      </w:r>
    </w:p>
    <w:p w14:paraId="4A9B4BB5" w14:textId="77777777" w:rsidR="00506BE7" w:rsidRDefault="008E332A">
      <w:pPr>
        <w:widowControl w:val="0"/>
        <w:numPr>
          <w:ilvl w:val="0"/>
          <w:numId w:val="13"/>
        </w:numPr>
        <w:tabs>
          <w:tab w:val="clear" w:pos="720"/>
        </w:tabs>
        <w:spacing w:after="0" w:line="240" w:lineRule="auto"/>
        <w:ind w:left="567" w:hanging="567"/>
        <w:rPr>
          <w:rFonts w:ascii="Times New Roman" w:eastAsia="Calibri" w:hAnsi="Times New Roman" w:cs="Times New Roman"/>
        </w:rPr>
      </w:pPr>
      <w:r>
        <w:rPr>
          <w:rFonts w:ascii="Times New Roman" w:eastAsia="Calibri" w:hAnsi="Times New Roman" w:cs="Times New Roman"/>
        </w:rPr>
        <w:t>Gerkite šias tabletes atskirai nuo maisto (likus bent valandai iki valgio arba prieš miegą), gydytojo nurodytu laiku.</w:t>
      </w:r>
    </w:p>
    <w:p w14:paraId="42B44A5A" w14:textId="77777777" w:rsidR="00506BE7" w:rsidRDefault="008E332A">
      <w:pPr>
        <w:widowControl w:val="0"/>
        <w:numPr>
          <w:ilvl w:val="0"/>
          <w:numId w:val="13"/>
        </w:numPr>
        <w:tabs>
          <w:tab w:val="clear" w:pos="720"/>
        </w:tabs>
        <w:spacing w:after="0" w:line="240" w:lineRule="auto"/>
        <w:ind w:left="567" w:hanging="567"/>
        <w:rPr>
          <w:rFonts w:ascii="Times New Roman" w:eastAsia="Calibri" w:hAnsi="Times New Roman" w:cs="Times New Roman"/>
        </w:rPr>
      </w:pPr>
      <w:r>
        <w:rPr>
          <w:rFonts w:ascii="Times New Roman" w:eastAsia="Calibri" w:hAnsi="Times New Roman" w:cs="Times New Roman"/>
        </w:rPr>
        <w:t>Kol vartojate Kventiax, negerkite greipfrutų sulčių, kadangi jos gali pakeisti šio vaisto veikimą.</w:t>
      </w:r>
    </w:p>
    <w:p w14:paraId="1995323E" w14:textId="77777777" w:rsidR="00506BE7" w:rsidRDefault="008E332A">
      <w:pPr>
        <w:widowControl w:val="0"/>
        <w:numPr>
          <w:ilvl w:val="0"/>
          <w:numId w:val="13"/>
        </w:numPr>
        <w:tabs>
          <w:tab w:val="clear" w:pos="720"/>
        </w:tabs>
        <w:spacing w:after="0" w:line="240" w:lineRule="auto"/>
        <w:ind w:left="567" w:hanging="567"/>
        <w:rPr>
          <w:rFonts w:ascii="Times New Roman" w:eastAsia="Calibri" w:hAnsi="Times New Roman" w:cs="Times New Roman"/>
        </w:rPr>
      </w:pPr>
      <w:r>
        <w:rPr>
          <w:rFonts w:ascii="Times New Roman" w:eastAsia="Calibri" w:hAnsi="Times New Roman" w:cs="Times New Roman"/>
        </w:rPr>
        <w:t>Nenutraukite šių tablečių vartojimo nepasitarę su gydytoju, net ir pasijutę geriau.</w:t>
      </w:r>
    </w:p>
    <w:p w14:paraId="0BB53C4F" w14:textId="77777777" w:rsidR="00506BE7" w:rsidRDefault="00506BE7">
      <w:pPr>
        <w:widowControl w:val="0"/>
        <w:spacing w:after="0" w:line="240" w:lineRule="auto"/>
        <w:ind w:right="-2"/>
        <w:rPr>
          <w:rFonts w:ascii="Times New Roman" w:eastAsia="Calibri" w:hAnsi="Times New Roman" w:cs="Times New Roman"/>
        </w:rPr>
      </w:pPr>
    </w:p>
    <w:p w14:paraId="42D756A0" w14:textId="77777777" w:rsidR="00506BE7" w:rsidRDefault="008E332A">
      <w:pPr>
        <w:widowControl w:val="0"/>
        <w:autoSpaceDE w:val="0"/>
        <w:autoSpaceDN w:val="0"/>
        <w:adjustRightInd w:val="0"/>
        <w:spacing w:after="0" w:line="240" w:lineRule="auto"/>
        <w:ind w:left="2"/>
        <w:rPr>
          <w:rFonts w:ascii="Times New Roman" w:eastAsia="Calibri" w:hAnsi="Times New Roman" w:cs="Times New Roman"/>
        </w:rPr>
      </w:pPr>
      <w:r>
        <w:rPr>
          <w:rFonts w:ascii="Times New Roman" w:eastAsia="Calibri" w:hAnsi="Times New Roman" w:cs="Times New Roman"/>
          <w:b/>
        </w:rPr>
        <w:t>Sutrikusi kepenų funkcija</w:t>
      </w:r>
    </w:p>
    <w:p w14:paraId="5A230D3E"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Jeigu sutrikusi Jūsų kepenų funkcija, gydytojas gali pakoreguoti vaisto dozę.</w:t>
      </w:r>
    </w:p>
    <w:p w14:paraId="0DBFEA8E" w14:textId="77777777" w:rsidR="00506BE7" w:rsidRDefault="00506BE7">
      <w:pPr>
        <w:widowControl w:val="0"/>
        <w:spacing w:after="0" w:line="240" w:lineRule="auto"/>
        <w:rPr>
          <w:rFonts w:ascii="Times New Roman" w:eastAsia="Calibri" w:hAnsi="Times New Roman" w:cs="Times New Roman"/>
          <w:b/>
        </w:rPr>
      </w:pPr>
    </w:p>
    <w:p w14:paraId="1695F3B3"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Senyviems žmonėms</w:t>
      </w:r>
    </w:p>
    <w:p w14:paraId="11B2D0A7"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Senyviems žmonėms gydytojas gali pakoreguoti dozę.</w:t>
      </w:r>
    </w:p>
    <w:p w14:paraId="13FB5A1B" w14:textId="77777777" w:rsidR="00506BE7" w:rsidRDefault="00506BE7">
      <w:pPr>
        <w:widowControl w:val="0"/>
        <w:spacing w:after="0" w:line="240" w:lineRule="auto"/>
        <w:rPr>
          <w:rFonts w:ascii="Times New Roman" w:eastAsia="Calibri" w:hAnsi="Times New Roman" w:cs="Times New Roman"/>
          <w:b/>
        </w:rPr>
      </w:pPr>
    </w:p>
    <w:p w14:paraId="2CBC8391"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Vartojimas vaikams ir paaugliams</w:t>
      </w:r>
    </w:p>
    <w:p w14:paraId="57102FA3" w14:textId="77777777" w:rsidR="00506BE7" w:rsidRDefault="008E332A">
      <w:pPr>
        <w:widowControl w:val="0"/>
        <w:spacing w:after="0" w:line="240" w:lineRule="auto"/>
        <w:ind w:right="-2"/>
        <w:rPr>
          <w:rFonts w:ascii="Times New Roman" w:eastAsia="Calibri" w:hAnsi="Times New Roman" w:cs="Times New Roman"/>
        </w:rPr>
      </w:pPr>
      <w:r>
        <w:rPr>
          <w:rFonts w:ascii="Times New Roman" w:eastAsia="Calibri" w:hAnsi="Times New Roman" w:cs="Times New Roman"/>
        </w:rPr>
        <w:t>Vaikams ir paaugliams iki 18 metų Kventiax vartoti negalima.</w:t>
      </w:r>
    </w:p>
    <w:p w14:paraId="23005184" w14:textId="77777777" w:rsidR="00506BE7" w:rsidRDefault="00506BE7">
      <w:pPr>
        <w:widowControl w:val="0"/>
        <w:spacing w:after="0" w:line="240" w:lineRule="auto"/>
        <w:rPr>
          <w:rFonts w:ascii="Times New Roman" w:eastAsia="Calibri" w:hAnsi="Times New Roman" w:cs="Times New Roman"/>
        </w:rPr>
      </w:pPr>
    </w:p>
    <w:p w14:paraId="5E43EB80"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Ką daryti pavartojus per didelę Kventiax dozę</w:t>
      </w:r>
    </w:p>
    <w:p w14:paraId="6EAE7054"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Išgėrę daugiau Kventiax tablečių negu nurodė gydytojas, galite pajusti mieguistumą, svaigulįir nenormalių širdies susitarimų. Nedelsdami kreipkitės į savo gydytoją arba artimiausią ligoninę. Pasiimkite Kventiax tabletes.</w:t>
      </w:r>
    </w:p>
    <w:p w14:paraId="351836C2" w14:textId="77777777" w:rsidR="00506BE7" w:rsidRDefault="00506BE7">
      <w:pPr>
        <w:widowControl w:val="0"/>
        <w:spacing w:after="0" w:line="240" w:lineRule="auto"/>
        <w:rPr>
          <w:rFonts w:ascii="Times New Roman" w:eastAsia="Calibri" w:hAnsi="Times New Roman" w:cs="Times New Roman"/>
        </w:rPr>
      </w:pPr>
    </w:p>
    <w:p w14:paraId="7CF98E35"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Pamiršus pavartoti Kventiax</w:t>
      </w:r>
    </w:p>
    <w:p w14:paraId="0CD19060"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Užmirštą dozę prisiminę išgerkite kiek įmanoma greičiau. Jeigu jau beveik laikas gerti kitą dozę, tai užmirštąją praleiskite, o kitą gerkite įprastu laiku. Negalima vartoti dvigubos dozės norint kompensuoti praleistą tabletę.</w:t>
      </w:r>
    </w:p>
    <w:p w14:paraId="5E9C75EF" w14:textId="77777777" w:rsidR="00506BE7" w:rsidRDefault="00506BE7">
      <w:pPr>
        <w:widowControl w:val="0"/>
        <w:spacing w:after="0" w:line="240" w:lineRule="auto"/>
        <w:rPr>
          <w:rFonts w:ascii="Times New Roman" w:eastAsia="Calibri" w:hAnsi="Times New Roman" w:cs="Times New Roman"/>
        </w:rPr>
      </w:pPr>
    </w:p>
    <w:p w14:paraId="33654178"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Nustojus vartoti Kventiax</w:t>
      </w:r>
    </w:p>
    <w:p w14:paraId="4E8D64CC" w14:textId="77777777" w:rsidR="00506BE7" w:rsidRDefault="008E332A">
      <w:pPr>
        <w:widowControl w:val="0"/>
        <w:numPr>
          <w:ilvl w:val="12"/>
          <w:numId w:val="0"/>
        </w:numPr>
        <w:spacing w:after="0" w:line="240" w:lineRule="auto"/>
        <w:rPr>
          <w:rFonts w:ascii="Times New Roman" w:eastAsia="Calibri" w:hAnsi="Times New Roman" w:cs="Times New Roman"/>
        </w:rPr>
      </w:pPr>
      <w:r>
        <w:rPr>
          <w:rFonts w:ascii="Times New Roman" w:eastAsia="Calibri" w:hAnsi="Times New Roman" w:cs="Times New Roman"/>
        </w:rPr>
        <w:t>Staiga nutraukus Kventiax vartojimą, gali pasireikšti nemiga, pykinimas, galvos skausmas, viduriavimas, vėmimas, svaigulys ar irzlumas.</w:t>
      </w:r>
    </w:p>
    <w:p w14:paraId="2160B589" w14:textId="77777777" w:rsidR="00506BE7" w:rsidRDefault="008E332A">
      <w:pPr>
        <w:widowControl w:val="0"/>
        <w:spacing w:after="0" w:line="240" w:lineRule="auto"/>
        <w:ind w:right="-2"/>
        <w:rPr>
          <w:rFonts w:ascii="Times New Roman" w:eastAsia="Calibri" w:hAnsi="Times New Roman" w:cs="Times New Roman"/>
        </w:rPr>
      </w:pPr>
      <w:r>
        <w:rPr>
          <w:rFonts w:ascii="Times New Roman" w:eastAsia="Calibri" w:hAnsi="Times New Roman" w:cs="Times New Roman"/>
        </w:rPr>
        <w:t>Prieš nutraukiant šio vaisto vartojimą, gydytojas gali patarti jo dozę mažinti palaipsniui.</w:t>
      </w:r>
    </w:p>
    <w:p w14:paraId="162110EE" w14:textId="77777777" w:rsidR="00506BE7" w:rsidRDefault="00506BE7">
      <w:pPr>
        <w:widowControl w:val="0"/>
        <w:numPr>
          <w:ilvl w:val="12"/>
          <w:numId w:val="0"/>
        </w:numPr>
        <w:spacing w:after="0" w:line="240" w:lineRule="auto"/>
        <w:ind w:right="-2"/>
        <w:rPr>
          <w:rFonts w:ascii="Times New Roman" w:eastAsia="Calibri" w:hAnsi="Times New Roman" w:cs="Times New Roman"/>
        </w:rPr>
      </w:pPr>
    </w:p>
    <w:p w14:paraId="0D932ADE"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Jeigu kiltų daugiau klausimų dėl šio vaisto vartojimo, kreipkitės į gydytoją arba vaistininką.</w:t>
      </w:r>
    </w:p>
    <w:p w14:paraId="61E04729" w14:textId="77777777" w:rsidR="00506BE7" w:rsidRDefault="00506BE7">
      <w:pPr>
        <w:widowControl w:val="0"/>
        <w:spacing w:after="0" w:line="240" w:lineRule="auto"/>
        <w:rPr>
          <w:rFonts w:ascii="Times New Roman" w:eastAsia="Calibri" w:hAnsi="Times New Roman" w:cs="Times New Roman"/>
        </w:rPr>
      </w:pPr>
    </w:p>
    <w:p w14:paraId="7416D8CB" w14:textId="77777777" w:rsidR="00506BE7" w:rsidRDefault="00506BE7">
      <w:pPr>
        <w:widowControl w:val="0"/>
        <w:spacing w:after="0" w:line="240" w:lineRule="auto"/>
        <w:rPr>
          <w:rFonts w:ascii="Times New Roman" w:eastAsia="Calibri" w:hAnsi="Times New Roman" w:cs="Times New Roman"/>
        </w:rPr>
      </w:pPr>
    </w:p>
    <w:p w14:paraId="2B87C8FA" w14:textId="77777777" w:rsidR="00506BE7" w:rsidRDefault="008E332A">
      <w:pPr>
        <w:widowControl w:val="0"/>
        <w:tabs>
          <w:tab w:val="left" w:pos="567"/>
        </w:tabs>
        <w:spacing w:after="0" w:line="240" w:lineRule="auto"/>
        <w:ind w:left="567" w:hanging="567"/>
        <w:outlineLvl w:val="1"/>
        <w:rPr>
          <w:rFonts w:ascii="Times New Roman" w:eastAsia="Calibri" w:hAnsi="Times New Roman" w:cs="Times New Roman"/>
          <w:b/>
        </w:rPr>
      </w:pPr>
      <w:bookmarkStart w:id="73" w:name="_Toc129243267"/>
      <w:bookmarkStart w:id="74" w:name="_Toc129243142"/>
      <w:r>
        <w:rPr>
          <w:rFonts w:ascii="Times New Roman" w:eastAsia="Calibri" w:hAnsi="Times New Roman" w:cs="Times New Roman"/>
          <w:b/>
        </w:rPr>
        <w:t>4.</w:t>
      </w:r>
      <w:r>
        <w:rPr>
          <w:rFonts w:ascii="Times New Roman" w:eastAsia="Calibri" w:hAnsi="Times New Roman" w:cs="Times New Roman"/>
          <w:b/>
        </w:rPr>
        <w:tab/>
        <w:t>Galimas šalutinis poveikis</w:t>
      </w:r>
      <w:bookmarkEnd w:id="73"/>
      <w:bookmarkEnd w:id="74"/>
    </w:p>
    <w:p w14:paraId="1335E196" w14:textId="77777777" w:rsidR="00506BE7" w:rsidRDefault="00506BE7">
      <w:pPr>
        <w:widowControl w:val="0"/>
        <w:spacing w:after="0" w:line="240" w:lineRule="auto"/>
        <w:rPr>
          <w:rFonts w:ascii="Times New Roman" w:eastAsia="Calibri" w:hAnsi="Times New Roman" w:cs="Times New Roman"/>
        </w:rPr>
      </w:pPr>
    </w:p>
    <w:p w14:paraId="151BE4E7"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Šis vaistas, kaip ir visi kiti, gali sukelti šalutinį poveikį, nors jis pasireiškia ne visiems žmonėms.</w:t>
      </w:r>
    </w:p>
    <w:p w14:paraId="6A29283D" w14:textId="77777777" w:rsidR="00506BE7" w:rsidRDefault="00506BE7">
      <w:pPr>
        <w:widowControl w:val="0"/>
        <w:spacing w:after="0" w:line="240" w:lineRule="auto"/>
        <w:rPr>
          <w:rFonts w:ascii="Times New Roman" w:eastAsia="Calibri" w:hAnsi="Times New Roman" w:cs="Times New Roman"/>
        </w:rPr>
      </w:pPr>
    </w:p>
    <w:p w14:paraId="47F9A073"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Labai dažni</w:t>
      </w:r>
      <w:r>
        <w:rPr>
          <w:rFonts w:ascii="Times New Roman" w:eastAsia="SimSun" w:hAnsi="Times New Roman" w:cs="Times New Roman"/>
          <w:b/>
          <w:bCs/>
        </w:rPr>
        <w:t xml:space="preserve"> šalutinio poveikio reiškiniai </w:t>
      </w:r>
      <w:r>
        <w:rPr>
          <w:rFonts w:ascii="Times New Roman" w:eastAsia="Calibri" w:hAnsi="Times New Roman" w:cs="Times New Roman"/>
          <w:b/>
        </w:rPr>
        <w:t>(gali pasireikšti ne rečiau kaip 1 iš 10 asmenų):</w:t>
      </w:r>
    </w:p>
    <w:p w14:paraId="4E8D3205" w14:textId="77777777" w:rsidR="00506BE7" w:rsidRDefault="008E332A">
      <w:pPr>
        <w:widowControl w:val="0"/>
        <w:numPr>
          <w:ilvl w:val="0"/>
          <w:numId w:val="14"/>
        </w:numPr>
        <w:spacing w:after="0" w:line="240" w:lineRule="auto"/>
        <w:ind w:left="567" w:hanging="567"/>
        <w:rPr>
          <w:rFonts w:ascii="Times New Roman" w:eastAsia="Calibri" w:hAnsi="Times New Roman" w:cs="Times New Roman"/>
        </w:rPr>
      </w:pPr>
      <w:r>
        <w:rPr>
          <w:rFonts w:ascii="Times New Roman" w:eastAsia="Calibri" w:hAnsi="Times New Roman" w:cs="Times New Roman"/>
        </w:rPr>
        <w:lastRenderedPageBreak/>
        <w:t>Svaigulys (dėl jo galite pargriūti), galvos skausmas, sausa burna.</w:t>
      </w:r>
    </w:p>
    <w:p w14:paraId="19C4C648" w14:textId="77777777" w:rsidR="00506BE7" w:rsidRDefault="008E332A">
      <w:pPr>
        <w:widowControl w:val="0"/>
        <w:numPr>
          <w:ilvl w:val="0"/>
          <w:numId w:val="14"/>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Mieguistumas (dėl jo taip pat galite pargriūti; toliau vartojant Kventiax, jis gali praeiti).</w:t>
      </w:r>
    </w:p>
    <w:p w14:paraId="2CF7712E" w14:textId="77777777" w:rsidR="00506BE7" w:rsidRDefault="008E332A">
      <w:pPr>
        <w:widowControl w:val="0"/>
        <w:numPr>
          <w:ilvl w:val="0"/>
          <w:numId w:val="14"/>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Nutraukimo simptomai (t.y. simptomai, kurių pasireiškia nutraukus Kventiax vartojimą): vėmimas, pykinimas, galvos skausmas, viduriavimas, nemiga ir irzlumas, svaigulys ir irzlumas (dėl to rekomenduojama šio vaisto dozę mažinti palaipsniui ir jo vartojimą nutraukti per 1</w:t>
      </w:r>
      <w:r>
        <w:rPr>
          <w:rFonts w:ascii="Times New Roman" w:eastAsia="Calibri" w:hAnsi="Times New Roman" w:cs="Times New Roman"/>
        </w:rPr>
        <w:noBreakHyphen/>
        <w:t>2 savaites).</w:t>
      </w:r>
    </w:p>
    <w:p w14:paraId="2BBDADF4" w14:textId="77777777" w:rsidR="00506BE7" w:rsidRDefault="008E332A">
      <w:pPr>
        <w:widowControl w:val="0"/>
        <w:numPr>
          <w:ilvl w:val="0"/>
          <w:numId w:val="14"/>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Svorio prieaugis.</w:t>
      </w:r>
    </w:p>
    <w:p w14:paraId="26C744FB" w14:textId="77777777" w:rsidR="00506BE7" w:rsidRDefault="008E332A">
      <w:pPr>
        <w:widowControl w:val="0"/>
        <w:numPr>
          <w:ilvl w:val="0"/>
          <w:numId w:val="14"/>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Nenormalūs raumenų judesiai: gali būti sunku pradėti judėti, atsirasti drebulys, nenustygimas, neskausmingas raumenų stingulys.</w:t>
      </w:r>
    </w:p>
    <w:p w14:paraId="45AE14C5" w14:textId="77777777" w:rsidR="00506BE7" w:rsidRDefault="008E332A">
      <w:pPr>
        <w:widowControl w:val="0"/>
        <w:numPr>
          <w:ilvl w:val="0"/>
          <w:numId w:val="14"/>
        </w:numPr>
        <w:overflowPunct w:val="0"/>
        <w:autoSpaceDE w:val="0"/>
        <w:autoSpaceDN w:val="0"/>
        <w:adjustRightInd w:val="0"/>
        <w:spacing w:after="0" w:line="240" w:lineRule="auto"/>
        <w:ind w:left="567" w:hanging="567"/>
        <w:jc w:val="both"/>
        <w:rPr>
          <w:rFonts w:ascii="Times New Roman" w:eastAsia="Calibri" w:hAnsi="Times New Roman" w:cs="Times New Roman"/>
        </w:rPr>
      </w:pPr>
      <w:r>
        <w:rPr>
          <w:rFonts w:ascii="Times New Roman" w:eastAsia="Calibri" w:hAnsi="Times New Roman" w:cs="Times New Roman"/>
        </w:rPr>
        <w:t>Pakitęs tam tikrų riebalų (trigliceridų ir bendrojo cholesterolio) kiekis.</w:t>
      </w:r>
    </w:p>
    <w:p w14:paraId="425F9D43" w14:textId="77777777" w:rsidR="00506BE7" w:rsidRDefault="00506BE7">
      <w:pPr>
        <w:widowControl w:val="0"/>
        <w:spacing w:after="0" w:line="240" w:lineRule="auto"/>
        <w:rPr>
          <w:rFonts w:ascii="Times New Roman" w:eastAsia="Calibri" w:hAnsi="Times New Roman" w:cs="Times New Roman"/>
        </w:rPr>
      </w:pPr>
    </w:p>
    <w:p w14:paraId="6920E90E"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Dažni</w:t>
      </w:r>
      <w:r>
        <w:rPr>
          <w:rFonts w:ascii="Times New Roman" w:eastAsia="SimSun" w:hAnsi="Times New Roman" w:cs="Times New Roman"/>
          <w:b/>
          <w:bCs/>
        </w:rPr>
        <w:t xml:space="preserve"> šalutinio poveikio reiškiniai </w:t>
      </w:r>
      <w:r>
        <w:rPr>
          <w:rFonts w:ascii="Times New Roman" w:eastAsia="Calibri" w:hAnsi="Times New Roman" w:cs="Times New Roman"/>
          <w:b/>
        </w:rPr>
        <w:t>(gali pasireikšti rečiau kaip 1 iš 10 asmenų):</w:t>
      </w:r>
    </w:p>
    <w:p w14:paraId="2E99B67F" w14:textId="77777777" w:rsidR="00506BE7" w:rsidRDefault="008E332A">
      <w:pPr>
        <w:widowControl w:val="0"/>
        <w:numPr>
          <w:ilvl w:val="0"/>
          <w:numId w:val="14"/>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Dažni širdies susitraukimai.</w:t>
      </w:r>
    </w:p>
    <w:p w14:paraId="59FAFC01" w14:textId="77777777" w:rsidR="00506BE7" w:rsidRDefault="008E332A">
      <w:pPr>
        <w:widowControl w:val="0"/>
        <w:numPr>
          <w:ilvl w:val="0"/>
          <w:numId w:val="14"/>
        </w:numPr>
        <w:spacing w:after="0" w:line="240" w:lineRule="auto"/>
        <w:ind w:left="567" w:hanging="567"/>
        <w:rPr>
          <w:rFonts w:ascii="Times New Roman" w:eastAsia="Calibri" w:hAnsi="Times New Roman" w:cs="Times New Roman"/>
        </w:rPr>
      </w:pPr>
      <w:r>
        <w:rPr>
          <w:rFonts w:ascii="Times New Roman" w:eastAsia="Calibri" w:hAnsi="Times New Roman" w:cs="Times New Roman"/>
          <w:color w:val="000000"/>
          <w:lang w:val="sl-SI"/>
        </w:rPr>
        <w:t>Širdies plakimo pojūtis, stiprus plakimas arba permušimai</w:t>
      </w:r>
      <w:r>
        <w:rPr>
          <w:rFonts w:ascii="Times New Roman" w:eastAsia="Calibri" w:hAnsi="Times New Roman" w:cs="Times New Roman"/>
        </w:rPr>
        <w:t>.</w:t>
      </w:r>
    </w:p>
    <w:p w14:paraId="0CA2925A" w14:textId="77777777" w:rsidR="00506BE7" w:rsidRDefault="008E332A">
      <w:pPr>
        <w:widowControl w:val="0"/>
        <w:numPr>
          <w:ilvl w:val="0"/>
          <w:numId w:val="14"/>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Vidurių užkietėjimas, skrandžio sutrikimai (nevirškinimas).</w:t>
      </w:r>
    </w:p>
    <w:p w14:paraId="53D52DF5" w14:textId="77777777" w:rsidR="00506BE7" w:rsidRDefault="008E332A">
      <w:pPr>
        <w:widowControl w:val="0"/>
        <w:numPr>
          <w:ilvl w:val="0"/>
          <w:numId w:val="14"/>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Silpnumas.</w:t>
      </w:r>
    </w:p>
    <w:p w14:paraId="3450F0BD" w14:textId="77777777" w:rsidR="00506BE7" w:rsidRDefault="008E332A">
      <w:pPr>
        <w:widowControl w:val="0"/>
        <w:numPr>
          <w:ilvl w:val="0"/>
          <w:numId w:val="14"/>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Rankų ar kojų patinimas.</w:t>
      </w:r>
    </w:p>
    <w:p w14:paraId="2030493F" w14:textId="77777777" w:rsidR="00506BE7" w:rsidRDefault="008E332A">
      <w:pPr>
        <w:widowControl w:val="0"/>
        <w:numPr>
          <w:ilvl w:val="0"/>
          <w:numId w:val="14"/>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Kraujospūdžio sumažėjimas atsistojant (dėl to gali svaigti galva, galite net nualpti ir pargriūti).</w:t>
      </w:r>
    </w:p>
    <w:p w14:paraId="7776AD68" w14:textId="77777777" w:rsidR="00506BE7" w:rsidRDefault="008E332A">
      <w:pPr>
        <w:widowControl w:val="0"/>
        <w:numPr>
          <w:ilvl w:val="0"/>
          <w:numId w:val="14"/>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Padidėjęs cukraus kiekis kraujyje.</w:t>
      </w:r>
    </w:p>
    <w:p w14:paraId="1EE75F7A" w14:textId="77777777" w:rsidR="00506BE7" w:rsidRDefault="008E332A">
      <w:pPr>
        <w:widowControl w:val="0"/>
        <w:numPr>
          <w:ilvl w:val="0"/>
          <w:numId w:val="14"/>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Neryškus matymas.</w:t>
      </w:r>
    </w:p>
    <w:p w14:paraId="2D4685FE" w14:textId="77777777" w:rsidR="00506BE7" w:rsidRDefault="008E332A">
      <w:pPr>
        <w:widowControl w:val="0"/>
        <w:numPr>
          <w:ilvl w:val="0"/>
          <w:numId w:val="14"/>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Sapnų sutrikimai, nakties košmarai.</w:t>
      </w:r>
    </w:p>
    <w:p w14:paraId="058F1D5F" w14:textId="77777777" w:rsidR="00506BE7" w:rsidRDefault="008E332A">
      <w:pPr>
        <w:widowControl w:val="0"/>
        <w:numPr>
          <w:ilvl w:val="0"/>
          <w:numId w:val="14"/>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Padidėjęs apetitas (alkis).</w:t>
      </w:r>
    </w:p>
    <w:p w14:paraId="5E666C8C" w14:textId="77777777" w:rsidR="00506BE7" w:rsidRDefault="008E332A">
      <w:pPr>
        <w:widowControl w:val="0"/>
        <w:numPr>
          <w:ilvl w:val="0"/>
          <w:numId w:val="14"/>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Irzlumas.</w:t>
      </w:r>
    </w:p>
    <w:p w14:paraId="1A5F290D" w14:textId="77777777" w:rsidR="00506BE7" w:rsidRDefault="008E332A">
      <w:pPr>
        <w:widowControl w:val="0"/>
        <w:numPr>
          <w:ilvl w:val="0"/>
          <w:numId w:val="14"/>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Sutrikusi kalba.</w:t>
      </w:r>
    </w:p>
    <w:p w14:paraId="4FB6AAAB" w14:textId="77777777" w:rsidR="00506BE7" w:rsidRDefault="008E332A">
      <w:pPr>
        <w:widowControl w:val="0"/>
        <w:numPr>
          <w:ilvl w:val="0"/>
          <w:numId w:val="14"/>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Mintys apie savižudybę ir depresijos pasunkėjimas.</w:t>
      </w:r>
    </w:p>
    <w:p w14:paraId="2DBE3EE2" w14:textId="77777777" w:rsidR="00506BE7" w:rsidRDefault="008E332A">
      <w:pPr>
        <w:widowControl w:val="0"/>
        <w:numPr>
          <w:ilvl w:val="0"/>
          <w:numId w:val="14"/>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Dusulys.</w:t>
      </w:r>
    </w:p>
    <w:p w14:paraId="767F38FE" w14:textId="77777777" w:rsidR="00506BE7" w:rsidRDefault="008E332A">
      <w:pPr>
        <w:widowControl w:val="0"/>
        <w:numPr>
          <w:ilvl w:val="0"/>
          <w:numId w:val="14"/>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Vėmimas (ypač senyviems žmonėms).</w:t>
      </w:r>
    </w:p>
    <w:p w14:paraId="09BA60C3" w14:textId="77777777" w:rsidR="00506BE7" w:rsidRDefault="008E332A">
      <w:pPr>
        <w:widowControl w:val="0"/>
        <w:numPr>
          <w:ilvl w:val="0"/>
          <w:numId w:val="14"/>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Karščiavimas.</w:t>
      </w:r>
    </w:p>
    <w:p w14:paraId="4E1ECF50" w14:textId="77777777" w:rsidR="00506BE7" w:rsidRDefault="008E332A">
      <w:pPr>
        <w:widowControl w:val="0"/>
        <w:numPr>
          <w:ilvl w:val="0"/>
          <w:numId w:val="14"/>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Pakitęs skydliaukės hormonų kiekis kraujyje.</w:t>
      </w:r>
    </w:p>
    <w:p w14:paraId="0F040BEE" w14:textId="77777777" w:rsidR="00506BE7" w:rsidRDefault="008E332A">
      <w:pPr>
        <w:widowControl w:val="0"/>
        <w:numPr>
          <w:ilvl w:val="0"/>
          <w:numId w:val="14"/>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Sumažėjęs tam tikrų kraujo ląstelių kiekis.</w:t>
      </w:r>
    </w:p>
    <w:p w14:paraId="294A511A" w14:textId="77777777" w:rsidR="00506BE7" w:rsidRDefault="008E332A">
      <w:pPr>
        <w:widowControl w:val="0"/>
        <w:numPr>
          <w:ilvl w:val="0"/>
          <w:numId w:val="14"/>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Padidėjęs kepenų fermentų kiekis kraujyje.</w:t>
      </w:r>
    </w:p>
    <w:p w14:paraId="2316094B" w14:textId="77777777" w:rsidR="00506BE7" w:rsidRDefault="008E332A">
      <w:pPr>
        <w:widowControl w:val="0"/>
        <w:numPr>
          <w:ilvl w:val="0"/>
          <w:numId w:val="14"/>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Padidėjęs hormono prolaktino kiekis kraujyje. Dėl jo retais atvejais gali:</w:t>
      </w:r>
    </w:p>
    <w:p w14:paraId="1F6F5A97" w14:textId="77777777" w:rsidR="00506BE7" w:rsidRDefault="008E332A">
      <w:pPr>
        <w:widowControl w:val="0"/>
        <w:numPr>
          <w:ilvl w:val="0"/>
          <w:numId w:val="15"/>
        </w:numPr>
        <w:spacing w:after="0" w:line="240" w:lineRule="auto"/>
        <w:ind w:left="1134" w:hanging="567"/>
        <w:contextualSpacing/>
        <w:rPr>
          <w:rFonts w:ascii="Times New Roman" w:eastAsia="Calibri" w:hAnsi="Times New Roman" w:cs="Times New Roman"/>
        </w:rPr>
      </w:pPr>
      <w:r>
        <w:rPr>
          <w:rFonts w:ascii="Times New Roman" w:eastAsia="Calibri" w:hAnsi="Times New Roman" w:cs="Times New Roman"/>
        </w:rPr>
        <w:t>Padidėti krūtys ir netikėtai išskirti pieno (vyrams ir moterims);</w:t>
      </w:r>
    </w:p>
    <w:p w14:paraId="0DF30C41" w14:textId="77777777" w:rsidR="00506BE7" w:rsidRDefault="008E332A">
      <w:pPr>
        <w:widowControl w:val="0"/>
        <w:numPr>
          <w:ilvl w:val="0"/>
          <w:numId w:val="15"/>
        </w:numPr>
        <w:spacing w:after="0" w:line="240" w:lineRule="auto"/>
        <w:ind w:left="1134" w:hanging="567"/>
        <w:contextualSpacing/>
        <w:rPr>
          <w:rFonts w:ascii="Times New Roman" w:eastAsia="Calibri" w:hAnsi="Times New Roman" w:cs="Times New Roman"/>
        </w:rPr>
      </w:pPr>
      <w:r>
        <w:rPr>
          <w:rFonts w:ascii="Times New Roman" w:eastAsia="Calibri" w:hAnsi="Times New Roman" w:cs="Times New Roman"/>
        </w:rPr>
        <w:t>Išnykti arba pasidaryti nereguliarios mėnesinės (moterims).</w:t>
      </w:r>
    </w:p>
    <w:p w14:paraId="4029D256" w14:textId="77777777" w:rsidR="00506BE7" w:rsidRDefault="00506BE7">
      <w:pPr>
        <w:widowControl w:val="0"/>
        <w:spacing w:after="0" w:line="240" w:lineRule="auto"/>
        <w:rPr>
          <w:rFonts w:ascii="Times New Roman" w:eastAsia="Calibri" w:hAnsi="Times New Roman" w:cs="Times New Roman"/>
        </w:rPr>
      </w:pPr>
    </w:p>
    <w:p w14:paraId="1F76F3FA"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Nedažni</w:t>
      </w:r>
      <w:r>
        <w:rPr>
          <w:rFonts w:ascii="Times New Roman" w:eastAsia="SimSun" w:hAnsi="Times New Roman" w:cs="Times New Roman"/>
          <w:b/>
          <w:bCs/>
        </w:rPr>
        <w:t xml:space="preserve"> šalutinio poveikio reiškiniai </w:t>
      </w:r>
      <w:r>
        <w:rPr>
          <w:rFonts w:ascii="Times New Roman" w:eastAsia="Calibri" w:hAnsi="Times New Roman" w:cs="Times New Roman"/>
          <w:b/>
        </w:rPr>
        <w:t>(gali pasireikšti rečiau kaip 1 iš 100 asmenų):</w:t>
      </w:r>
    </w:p>
    <w:p w14:paraId="317A8348" w14:textId="77777777" w:rsidR="00506BE7" w:rsidRDefault="008E332A">
      <w:pPr>
        <w:widowControl w:val="0"/>
        <w:numPr>
          <w:ilvl w:val="0"/>
          <w:numId w:val="16"/>
        </w:numPr>
        <w:spacing w:after="0" w:line="240" w:lineRule="auto"/>
        <w:ind w:left="567" w:hanging="567"/>
        <w:rPr>
          <w:rFonts w:ascii="Times New Roman" w:eastAsia="Calibri" w:hAnsi="Times New Roman" w:cs="Times New Roman"/>
        </w:rPr>
      </w:pPr>
      <w:r>
        <w:rPr>
          <w:rFonts w:ascii="Times New Roman" w:eastAsia="Calibri" w:hAnsi="Times New Roman" w:cs="Times New Roman"/>
          <w:color w:val="000000"/>
          <w:lang w:val="sl-SI"/>
        </w:rPr>
        <w:t xml:space="preserve">Priepuoliai ar </w:t>
      </w:r>
      <w:r>
        <w:rPr>
          <w:rFonts w:ascii="Times New Roman" w:eastAsia="Calibri" w:hAnsi="Times New Roman" w:cs="Times New Roman"/>
        </w:rPr>
        <w:t>traukuliai.</w:t>
      </w:r>
    </w:p>
    <w:p w14:paraId="440B233E" w14:textId="77777777" w:rsidR="00506BE7" w:rsidRDefault="008E332A">
      <w:pPr>
        <w:widowControl w:val="0"/>
        <w:numPr>
          <w:ilvl w:val="0"/>
          <w:numId w:val="1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Alerginės reakcijos </w:t>
      </w:r>
      <w:r>
        <w:rPr>
          <w:rFonts w:ascii="Times New Roman" w:eastAsia="Calibri" w:hAnsi="Times New Roman" w:cs="Times New Roman"/>
          <w:color w:val="000000"/>
          <w:lang w:val="sl-SI"/>
        </w:rPr>
        <w:t>galinčios pasireikšti iškilais patinimais (gumbais) ir odos bei srities aplink burną patinimu</w:t>
      </w:r>
      <w:r>
        <w:rPr>
          <w:rFonts w:ascii="Times New Roman" w:eastAsia="Calibri" w:hAnsi="Times New Roman" w:cs="Times New Roman"/>
        </w:rPr>
        <w:t>.</w:t>
      </w:r>
    </w:p>
    <w:p w14:paraId="7A53E34D" w14:textId="77777777" w:rsidR="00506BE7" w:rsidRDefault="008E332A">
      <w:pPr>
        <w:widowControl w:val="0"/>
        <w:numPr>
          <w:ilvl w:val="0"/>
          <w:numId w:val="1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Nemalonūs jutimai kojose (neramių kojų sindromas).</w:t>
      </w:r>
    </w:p>
    <w:p w14:paraId="7F4402BF" w14:textId="77777777" w:rsidR="00506BE7" w:rsidRDefault="008E332A">
      <w:pPr>
        <w:widowControl w:val="0"/>
        <w:numPr>
          <w:ilvl w:val="0"/>
          <w:numId w:val="16"/>
        </w:numPr>
        <w:spacing w:after="0" w:line="240" w:lineRule="auto"/>
        <w:ind w:left="567" w:hanging="567"/>
        <w:rPr>
          <w:rFonts w:ascii="Times New Roman" w:eastAsia="Calibri" w:hAnsi="Times New Roman" w:cs="Times New Roman"/>
          <w:b/>
        </w:rPr>
      </w:pPr>
      <w:r>
        <w:rPr>
          <w:rFonts w:ascii="Times New Roman" w:eastAsia="Calibri" w:hAnsi="Times New Roman" w:cs="Times New Roman"/>
        </w:rPr>
        <w:t>Pasunkėjęs rijimas.</w:t>
      </w:r>
    </w:p>
    <w:p w14:paraId="6F2A4A4D" w14:textId="77777777" w:rsidR="00506BE7" w:rsidRDefault="008E332A">
      <w:pPr>
        <w:widowControl w:val="0"/>
        <w:numPr>
          <w:ilvl w:val="0"/>
          <w:numId w:val="1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Nekontroliuojami judesiai, ypač veido ar liežuvio.</w:t>
      </w:r>
    </w:p>
    <w:p w14:paraId="447161FC" w14:textId="77777777" w:rsidR="00506BE7" w:rsidRDefault="008E332A">
      <w:pPr>
        <w:widowControl w:val="0"/>
        <w:numPr>
          <w:ilvl w:val="0"/>
          <w:numId w:val="1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Sutrikusi lytinė funkcija.</w:t>
      </w:r>
    </w:p>
    <w:p w14:paraId="4CC8DDAF" w14:textId="77777777" w:rsidR="00506BE7" w:rsidRDefault="008E332A">
      <w:pPr>
        <w:widowControl w:val="0"/>
        <w:numPr>
          <w:ilvl w:val="0"/>
          <w:numId w:val="1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Cukrinis diabetas.</w:t>
      </w:r>
    </w:p>
    <w:p w14:paraId="50ED53F2" w14:textId="77777777" w:rsidR="00506BE7" w:rsidRDefault="008E332A">
      <w:pPr>
        <w:widowControl w:val="0"/>
        <w:numPr>
          <w:ilvl w:val="0"/>
          <w:numId w:val="1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Pakitęs širdies elektrinis aktyvumas (pailgėjęs QT intervalas elektrokardiogramoje).</w:t>
      </w:r>
    </w:p>
    <w:p w14:paraId="3BBA4ECB" w14:textId="77777777" w:rsidR="00506BE7" w:rsidRDefault="008E332A">
      <w:pPr>
        <w:widowControl w:val="0"/>
        <w:numPr>
          <w:ilvl w:val="0"/>
          <w:numId w:val="1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Retesni už normalius širdies susitraukimai (jie gali suretėti pradedant gydymą bei būti susiję su kraujospūdžio sumažėjimu ir alpimu).</w:t>
      </w:r>
    </w:p>
    <w:p w14:paraId="756DA074" w14:textId="77777777" w:rsidR="00506BE7" w:rsidRDefault="008E332A">
      <w:pPr>
        <w:widowControl w:val="0"/>
        <w:numPr>
          <w:ilvl w:val="0"/>
          <w:numId w:val="1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Pasunkėjęs šlapinimasis</w:t>
      </w:r>
    </w:p>
    <w:p w14:paraId="09B172C3" w14:textId="77777777" w:rsidR="00506BE7" w:rsidRDefault="008E332A">
      <w:pPr>
        <w:widowControl w:val="0"/>
        <w:numPr>
          <w:ilvl w:val="0"/>
          <w:numId w:val="1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Alpimas (dėl to galite pargriūti).</w:t>
      </w:r>
    </w:p>
    <w:p w14:paraId="778C569D" w14:textId="77777777" w:rsidR="00506BE7" w:rsidRDefault="008E332A">
      <w:pPr>
        <w:widowControl w:val="0"/>
        <w:numPr>
          <w:ilvl w:val="0"/>
          <w:numId w:val="1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Užgulta nosis.</w:t>
      </w:r>
    </w:p>
    <w:p w14:paraId="5DE3B294" w14:textId="77777777" w:rsidR="00506BE7" w:rsidRDefault="008E332A">
      <w:pPr>
        <w:widowControl w:val="0"/>
        <w:numPr>
          <w:ilvl w:val="0"/>
          <w:numId w:val="1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Sumažėjęs raudonųjų kraujo ląstelių kiekis.</w:t>
      </w:r>
    </w:p>
    <w:p w14:paraId="0346C730" w14:textId="77777777" w:rsidR="00506BE7" w:rsidRDefault="008E332A">
      <w:pPr>
        <w:widowControl w:val="0"/>
        <w:numPr>
          <w:ilvl w:val="0"/>
          <w:numId w:val="1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Sumažėjęs natrio kiekis kraujyje.</w:t>
      </w:r>
    </w:p>
    <w:p w14:paraId="4D5433BC" w14:textId="77777777" w:rsidR="00506BE7" w:rsidRDefault="008E332A">
      <w:pPr>
        <w:widowControl w:val="0"/>
        <w:numPr>
          <w:ilvl w:val="0"/>
          <w:numId w:val="18"/>
        </w:num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Esamo cukrinio diabeto pasunkėjimas.</w:t>
      </w:r>
    </w:p>
    <w:p w14:paraId="38EE402A" w14:textId="7FA8E698" w:rsidR="0097013C" w:rsidRPr="0097013C" w:rsidRDefault="0097013C" w:rsidP="00171250">
      <w:pPr>
        <w:widowControl w:val="0"/>
        <w:numPr>
          <w:ilvl w:val="0"/>
          <w:numId w:val="40"/>
        </w:numPr>
        <w:tabs>
          <w:tab w:val="left" w:pos="567"/>
        </w:tabs>
        <w:spacing w:after="0" w:line="240" w:lineRule="auto"/>
        <w:ind w:left="567" w:hanging="567"/>
        <w:rPr>
          <w:rFonts w:ascii="Times New Roman" w:eastAsia="Calibri" w:hAnsi="Times New Roman" w:cs="Times New Roman"/>
        </w:rPr>
      </w:pPr>
      <w:r w:rsidRPr="0097013C">
        <w:rPr>
          <w:rFonts w:ascii="Times New Roman" w:eastAsia="Calibri" w:hAnsi="Times New Roman" w:cs="Times New Roman"/>
        </w:rPr>
        <w:t>Sumišimas.</w:t>
      </w:r>
    </w:p>
    <w:p w14:paraId="32518F16" w14:textId="77777777" w:rsidR="00506BE7" w:rsidRDefault="00506BE7">
      <w:pPr>
        <w:widowControl w:val="0"/>
        <w:spacing w:after="0" w:line="240" w:lineRule="auto"/>
        <w:rPr>
          <w:rFonts w:ascii="Times New Roman" w:eastAsia="Calibri" w:hAnsi="Times New Roman" w:cs="Times New Roman"/>
        </w:rPr>
      </w:pPr>
    </w:p>
    <w:p w14:paraId="7DEB1D06"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Reti</w:t>
      </w:r>
      <w:r>
        <w:rPr>
          <w:rFonts w:ascii="Times New Roman" w:eastAsia="SimSun" w:hAnsi="Times New Roman" w:cs="Times New Roman"/>
          <w:b/>
          <w:bCs/>
        </w:rPr>
        <w:t xml:space="preserve"> šalutinio poveikio reiškiniai </w:t>
      </w:r>
      <w:r>
        <w:rPr>
          <w:rFonts w:ascii="Times New Roman" w:eastAsia="Calibri" w:hAnsi="Times New Roman" w:cs="Times New Roman"/>
          <w:b/>
        </w:rPr>
        <w:t>(gali pasireikšti rečiau kaip 1 iš 1000 asmenų):</w:t>
      </w:r>
    </w:p>
    <w:p w14:paraId="3FC56DCF" w14:textId="77777777" w:rsidR="00506BE7" w:rsidRDefault="008E332A">
      <w:pPr>
        <w:widowControl w:val="0"/>
        <w:numPr>
          <w:ilvl w:val="0"/>
          <w:numId w:val="1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Karščiavimo, prakaitavimo, raumenų stingulio, didelio mieguistumo ar alpimo derinys </w:t>
      </w:r>
      <w:r>
        <w:rPr>
          <w:rFonts w:ascii="Times New Roman" w:eastAsia="Calibri" w:hAnsi="Times New Roman" w:cs="Times New Roman"/>
        </w:rPr>
        <w:lastRenderedPageBreak/>
        <w:t>(vadinamas piktybiniu neurolepsiniu sindromu).</w:t>
      </w:r>
    </w:p>
    <w:p w14:paraId="14127724" w14:textId="77777777" w:rsidR="00506BE7" w:rsidRDefault="008E332A">
      <w:pPr>
        <w:widowControl w:val="0"/>
        <w:numPr>
          <w:ilvl w:val="0"/>
          <w:numId w:val="1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Pageltusios akys ir oda (gelta).</w:t>
      </w:r>
    </w:p>
    <w:p w14:paraId="23716ADC" w14:textId="77777777" w:rsidR="00506BE7" w:rsidRDefault="008E332A">
      <w:pPr>
        <w:widowControl w:val="0"/>
        <w:numPr>
          <w:ilvl w:val="0"/>
          <w:numId w:val="1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Kepenų uždegimas (hepatitas).</w:t>
      </w:r>
    </w:p>
    <w:p w14:paraId="511D3809" w14:textId="77777777" w:rsidR="00506BE7" w:rsidRDefault="008E332A">
      <w:pPr>
        <w:widowControl w:val="0"/>
        <w:numPr>
          <w:ilvl w:val="0"/>
          <w:numId w:val="1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Ilgalaikė skausminga erekcija (priapizmas).</w:t>
      </w:r>
    </w:p>
    <w:p w14:paraId="68FBA15C" w14:textId="77777777" w:rsidR="00506BE7" w:rsidRDefault="008E332A">
      <w:pPr>
        <w:widowControl w:val="0"/>
        <w:numPr>
          <w:ilvl w:val="0"/>
          <w:numId w:val="1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Krūtų padidėjimas, netikėtas pieno išsiskyrimas (galaktorėja).</w:t>
      </w:r>
    </w:p>
    <w:p w14:paraId="186A3C70" w14:textId="77777777" w:rsidR="00506BE7" w:rsidRDefault="008E332A">
      <w:pPr>
        <w:widowControl w:val="0"/>
        <w:numPr>
          <w:ilvl w:val="0"/>
          <w:numId w:val="1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Menstruacijų sutrikimai</w:t>
      </w:r>
    </w:p>
    <w:p w14:paraId="3E9D4B63" w14:textId="77777777" w:rsidR="00506BE7" w:rsidRDefault="008E332A">
      <w:pPr>
        <w:widowControl w:val="0"/>
        <w:numPr>
          <w:ilvl w:val="0"/>
          <w:numId w:val="1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Kraujo krešuliai venose, ypač kojų (jų simptomai yra kojos patinimas, skausmas ir paraudimas), kurie gali kraujagyslėmis nukeliauti į plaučius, sukelti krūtinės skausmą ir apsunkinti kvėpavimą. Pastebėję kurį nors iš šių simptomų, nedelsdami kreipkitės į gydytoją.</w:t>
      </w:r>
    </w:p>
    <w:p w14:paraId="3361DF5F" w14:textId="77777777" w:rsidR="00506BE7" w:rsidRDefault="008E332A">
      <w:pPr>
        <w:widowControl w:val="0"/>
        <w:numPr>
          <w:ilvl w:val="0"/>
          <w:numId w:val="1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Vaikščiojimas, kalbėjimas, valgymas arba kita veikla miegant.</w:t>
      </w:r>
    </w:p>
    <w:p w14:paraId="4CC30126" w14:textId="77777777" w:rsidR="00506BE7" w:rsidRDefault="008E332A">
      <w:pPr>
        <w:widowControl w:val="0"/>
        <w:numPr>
          <w:ilvl w:val="0"/>
          <w:numId w:val="1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Sumažėjusi kūno temperatūra (hipotermija).</w:t>
      </w:r>
    </w:p>
    <w:p w14:paraId="700FED23" w14:textId="77777777" w:rsidR="00506BE7" w:rsidRDefault="008E332A">
      <w:pPr>
        <w:widowControl w:val="0"/>
        <w:numPr>
          <w:ilvl w:val="0"/>
          <w:numId w:val="1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Kasos uždegimas.</w:t>
      </w:r>
    </w:p>
    <w:p w14:paraId="2E094BDB" w14:textId="77777777" w:rsidR="00506BE7" w:rsidRDefault="008E332A">
      <w:pPr>
        <w:widowControl w:val="0"/>
        <w:numPr>
          <w:ilvl w:val="0"/>
          <w:numId w:val="1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Būklė, vadinama metaboliniu sindromu. Jai esant gali pasireikšti 3 ar daugiau šių sutrikimų derinys: padidėjęs pilvo srities riebalų kiekis, sumažėjęs „gerojo“ (DTL) cholesterolio kiekis, padidėjęs trigliceridais vadinamų riebalų kiekis kraujyje, padidėjęs kraujospūdis ir padidėjęs cukraus kiekis kraujyje.</w:t>
      </w:r>
    </w:p>
    <w:p w14:paraId="35AFD904" w14:textId="77777777" w:rsidR="00506BE7" w:rsidRDefault="008E332A">
      <w:pPr>
        <w:widowControl w:val="0"/>
        <w:numPr>
          <w:ilvl w:val="0"/>
          <w:numId w:val="1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Karščiavimo, panašių į gripo simptomų ir gerklės skausmo derinys arba kitokia infekcija, susijusi labai mažu baltųjų kraujo kūnelių kiekiu (ši būklė vadinama agranulocitoze).</w:t>
      </w:r>
    </w:p>
    <w:p w14:paraId="36253ABB" w14:textId="77777777" w:rsidR="00506BE7" w:rsidRDefault="008E332A">
      <w:pPr>
        <w:widowControl w:val="0"/>
        <w:numPr>
          <w:ilvl w:val="0"/>
          <w:numId w:val="1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Žarnų obstrukcija (užsikimšimas).</w:t>
      </w:r>
    </w:p>
    <w:p w14:paraId="4D4AEE53" w14:textId="77777777" w:rsidR="00506BE7" w:rsidRDefault="008E332A">
      <w:pPr>
        <w:widowControl w:val="0"/>
        <w:numPr>
          <w:ilvl w:val="0"/>
          <w:numId w:val="1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Padidėjęs kreatinfosfokinazės (raumenų gaminamos medžiagos) kiekis kraujyje.</w:t>
      </w:r>
    </w:p>
    <w:p w14:paraId="4EA5D08D" w14:textId="77777777" w:rsidR="00506BE7" w:rsidRDefault="00506BE7">
      <w:pPr>
        <w:widowControl w:val="0"/>
        <w:spacing w:after="0" w:line="240" w:lineRule="auto"/>
        <w:rPr>
          <w:rFonts w:ascii="Times New Roman" w:eastAsia="Calibri" w:hAnsi="Times New Roman" w:cs="Times New Roman"/>
        </w:rPr>
      </w:pPr>
    </w:p>
    <w:p w14:paraId="4A3E885D"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Labai reti</w:t>
      </w:r>
      <w:r>
        <w:rPr>
          <w:rFonts w:ascii="Times New Roman" w:eastAsia="SimSun" w:hAnsi="Times New Roman" w:cs="Times New Roman"/>
          <w:b/>
          <w:bCs/>
        </w:rPr>
        <w:t xml:space="preserve"> šalutinio poveikio reiškiniai </w:t>
      </w:r>
      <w:r>
        <w:rPr>
          <w:rFonts w:ascii="Times New Roman" w:eastAsia="Calibri" w:hAnsi="Times New Roman" w:cs="Times New Roman"/>
          <w:b/>
        </w:rPr>
        <w:t>(gali pasireikšti rečiau kaip 1 iš 10000 asmenų):</w:t>
      </w:r>
    </w:p>
    <w:p w14:paraId="5C023B24" w14:textId="77777777" w:rsidR="00506BE7" w:rsidRDefault="008E332A">
      <w:pPr>
        <w:widowControl w:val="0"/>
        <w:numPr>
          <w:ilvl w:val="0"/>
          <w:numId w:val="18"/>
        </w:num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Stiprus odos išbėrimas, pūslės arba raudonos dėmės odoje.</w:t>
      </w:r>
    </w:p>
    <w:p w14:paraId="5CA3A85F" w14:textId="77777777" w:rsidR="00506BE7" w:rsidRDefault="008E332A">
      <w:pPr>
        <w:widowControl w:val="0"/>
        <w:numPr>
          <w:ilvl w:val="0"/>
          <w:numId w:val="18"/>
        </w:num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Sunki alerginė reakcija (anafilaksija), dėl kurios gali pasunkėti kvėpavimas ir ištikti šokas.</w:t>
      </w:r>
    </w:p>
    <w:p w14:paraId="0D7F2B9E" w14:textId="77777777" w:rsidR="00506BE7" w:rsidRDefault="008E332A">
      <w:pPr>
        <w:widowControl w:val="0"/>
        <w:numPr>
          <w:ilvl w:val="0"/>
          <w:numId w:val="18"/>
        </w:num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Greitai pasireiškiantis odos patinimas (dažniausiai aplink akis, taip pat lūpų ir gerklės) (angioedema).</w:t>
      </w:r>
    </w:p>
    <w:p w14:paraId="62B8FD7A" w14:textId="77777777" w:rsidR="00506BE7" w:rsidRDefault="008E332A">
      <w:pPr>
        <w:widowControl w:val="0"/>
        <w:numPr>
          <w:ilvl w:val="0"/>
          <w:numId w:val="18"/>
        </w:num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Sunki būklė, pasireiškianti odos, burnos, akių ir lytinių organų pūslėmis (Stivenso-Džonsono (</w:t>
      </w:r>
      <w:r>
        <w:rPr>
          <w:rFonts w:ascii="Times New Roman" w:eastAsia="Calibri" w:hAnsi="Times New Roman" w:cs="Times New Roman"/>
          <w:i/>
        </w:rPr>
        <w:t>Stevens-Johnson</w:t>
      </w:r>
      <w:r>
        <w:rPr>
          <w:rFonts w:ascii="Times New Roman" w:eastAsia="Calibri" w:hAnsi="Times New Roman" w:cs="Times New Roman"/>
        </w:rPr>
        <w:t>) sindromas). Žr. 2 skyrių.</w:t>
      </w:r>
    </w:p>
    <w:p w14:paraId="6DE10A2F" w14:textId="77777777" w:rsidR="00506BE7" w:rsidRDefault="008E332A">
      <w:pPr>
        <w:widowControl w:val="0"/>
        <w:numPr>
          <w:ilvl w:val="0"/>
          <w:numId w:val="18"/>
        </w:num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Sutrikusi hormonų, kontroliuojančių šlapimo kiekį, sekrecija.</w:t>
      </w:r>
    </w:p>
    <w:p w14:paraId="6D50973F" w14:textId="77777777" w:rsidR="00506BE7" w:rsidRDefault="008E332A">
      <w:pPr>
        <w:widowControl w:val="0"/>
        <w:numPr>
          <w:ilvl w:val="0"/>
          <w:numId w:val="18"/>
        </w:num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Raumenų skaidulų pažeidimas ir raumenų skausmas (rabdomiolizė).</w:t>
      </w:r>
    </w:p>
    <w:p w14:paraId="47C73490" w14:textId="77777777" w:rsidR="00506BE7" w:rsidRDefault="00506BE7">
      <w:pPr>
        <w:widowControl w:val="0"/>
        <w:spacing w:after="0" w:line="240" w:lineRule="auto"/>
        <w:rPr>
          <w:rFonts w:ascii="Times New Roman" w:eastAsia="Calibri" w:hAnsi="Times New Roman" w:cs="Times New Roman"/>
        </w:rPr>
      </w:pPr>
    </w:p>
    <w:p w14:paraId="403848B6"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Šalutinio poveikio reiškiniai, kurių dažnis nežinomas (negali būti apskaičiuotas pagal turimus duomenis):</w:t>
      </w:r>
    </w:p>
    <w:p w14:paraId="4A4A4422" w14:textId="77777777" w:rsidR="00506BE7" w:rsidRDefault="008E332A">
      <w:pPr>
        <w:widowControl w:val="0"/>
        <w:numPr>
          <w:ilvl w:val="0"/>
          <w:numId w:val="38"/>
        </w:numPr>
        <w:tabs>
          <w:tab w:val="left" w:pos="567"/>
        </w:tabs>
        <w:autoSpaceDE w:val="0"/>
        <w:autoSpaceDN w:val="0"/>
        <w:adjustRightInd w:val="0"/>
        <w:spacing w:after="0" w:line="240" w:lineRule="auto"/>
        <w:ind w:left="567" w:hanging="567"/>
        <w:contextualSpacing/>
        <w:rPr>
          <w:rFonts w:ascii="Times New Roman" w:eastAsia="SimSun" w:hAnsi="Times New Roman" w:cs="Times New Roman"/>
        </w:rPr>
      </w:pPr>
      <w:r>
        <w:rPr>
          <w:rFonts w:ascii="Times New Roman" w:eastAsia="Calibri" w:hAnsi="Times New Roman" w:cs="Times New Roman"/>
        </w:rPr>
        <w:t>Odos išbėrimas įvairaus dydžio ir formos raudonomis dėmėmis (daugiaformė raudonė (</w:t>
      </w:r>
      <w:r>
        <w:rPr>
          <w:rFonts w:ascii="Times New Roman" w:eastAsia="Calibri" w:hAnsi="Times New Roman" w:cs="Times New Roman"/>
          <w:i/>
        </w:rPr>
        <w:t>erythema multiforme</w:t>
      </w:r>
      <w:r>
        <w:rPr>
          <w:rFonts w:ascii="Times New Roman" w:eastAsia="Calibri" w:hAnsi="Times New Roman" w:cs="Times New Roman"/>
        </w:rPr>
        <w:t>)).</w:t>
      </w:r>
      <w:r>
        <w:rPr>
          <w:rFonts w:ascii="Times New Roman" w:eastAsia="SimSun" w:hAnsi="Times New Roman" w:cs="Times New Roman"/>
        </w:rPr>
        <w:t xml:space="preserve"> Žr. 2 skyrių.</w:t>
      </w:r>
    </w:p>
    <w:p w14:paraId="1E24BA46" w14:textId="77777777" w:rsidR="00506BE7" w:rsidRDefault="008E332A">
      <w:pPr>
        <w:widowControl w:val="0"/>
        <w:numPr>
          <w:ilvl w:val="0"/>
          <w:numId w:val="38"/>
        </w:numPr>
        <w:tabs>
          <w:tab w:val="left" w:pos="567"/>
        </w:tabs>
        <w:autoSpaceDE w:val="0"/>
        <w:autoSpaceDN w:val="0"/>
        <w:adjustRightInd w:val="0"/>
        <w:spacing w:after="0" w:line="240" w:lineRule="auto"/>
        <w:ind w:left="567" w:hanging="567"/>
        <w:contextualSpacing/>
        <w:rPr>
          <w:rFonts w:ascii="Times New Roman" w:eastAsia="SimSun" w:hAnsi="Times New Roman" w:cs="Times New Roman"/>
        </w:rPr>
      </w:pPr>
      <w:r>
        <w:rPr>
          <w:rFonts w:ascii="Times New Roman" w:eastAsia="SimSun" w:hAnsi="Times New Roman" w:cs="Times New Roman"/>
        </w:rPr>
        <w:t>Greitai atsirandantys raudonos odos plotai, kuriuose yra daug smulkių pustulių (mažų pūslelių, užpildytų baltu ar geltonu skysčiu); tokia būklė yra vadinama ūmine išplitusia egzantemine pustulioze (</w:t>
      </w:r>
      <w:r>
        <w:rPr>
          <w:rFonts w:ascii="Times New Roman" w:eastAsia="SimSun" w:hAnsi="Times New Roman" w:cs="Times New Roman"/>
          <w:i/>
          <w:iCs/>
        </w:rPr>
        <w:t>AGEP</w:t>
      </w:r>
      <w:r>
        <w:rPr>
          <w:rFonts w:ascii="Times New Roman" w:eastAsia="SimSun" w:hAnsi="Times New Roman" w:cs="Times New Roman"/>
        </w:rPr>
        <w:t>). Žr. 2 skyrių.</w:t>
      </w:r>
    </w:p>
    <w:p w14:paraId="020AD4D1" w14:textId="77777777" w:rsidR="00506BE7" w:rsidRDefault="008E332A">
      <w:pPr>
        <w:widowControl w:val="0"/>
        <w:numPr>
          <w:ilvl w:val="0"/>
          <w:numId w:val="18"/>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Sunki, staigi alerginė reakcija, kurios simptomai yra karščiavimas, odos pūslės ir lupimasis (toksinė epidermio nekrolizė). Žr. 2 skyrių.</w:t>
      </w:r>
    </w:p>
    <w:p w14:paraId="7493110B" w14:textId="77777777" w:rsidR="00506BE7" w:rsidRDefault="008E332A">
      <w:pPr>
        <w:widowControl w:val="0"/>
        <w:numPr>
          <w:ilvl w:val="0"/>
          <w:numId w:val="18"/>
        </w:numPr>
        <w:spacing w:after="0" w:line="240" w:lineRule="auto"/>
        <w:ind w:left="567" w:hanging="567"/>
        <w:rPr>
          <w:rFonts w:ascii="Times New Roman" w:eastAsia="SimSun" w:hAnsi="Times New Roman" w:cs="Times New Roman"/>
        </w:rPr>
      </w:pPr>
      <w:r>
        <w:rPr>
          <w:rFonts w:ascii="Times New Roman" w:eastAsia="SimSun" w:hAnsi="Times New Roman" w:cs="Times New Roman"/>
        </w:rPr>
        <w:t xml:space="preserve">Reakcija į vaistą su eozinofilija ir sisteminiais simptomais (DRESS), kai atsiranda </w:t>
      </w:r>
      <w:r>
        <w:rPr>
          <w:rFonts w:ascii="Times New Roman" w:hAnsi="Times New Roman" w:cs="Times New Roman"/>
        </w:rPr>
        <w:t>į gripą panašių simptomų su išbėrimu, karščiavimu, limfmazgių patinimu ir nenormaliais kraujo tyrimų rezultatais (įskaitant baltųjų kraujo ląstelių kiekio padidėjimą [eozinofiliją] ir kepenų fermentų suaktyvėjimą)</w:t>
      </w:r>
      <w:r>
        <w:rPr>
          <w:rFonts w:ascii="Times New Roman" w:eastAsia="SimSun" w:hAnsi="Times New Roman" w:cs="Times New Roman"/>
        </w:rPr>
        <w:t>. Žr. 2 skyrių.</w:t>
      </w:r>
    </w:p>
    <w:p w14:paraId="4901B8E7" w14:textId="77777777" w:rsidR="00506BE7" w:rsidRDefault="008E332A">
      <w:pPr>
        <w:widowControl w:val="0"/>
        <w:numPr>
          <w:ilvl w:val="0"/>
          <w:numId w:val="18"/>
        </w:numPr>
        <w:spacing w:after="0" w:line="240" w:lineRule="auto"/>
        <w:ind w:left="567" w:hanging="567"/>
        <w:rPr>
          <w:rFonts w:ascii="Times New Roman" w:eastAsia="SimSun" w:hAnsi="Times New Roman" w:cs="Times New Roman"/>
        </w:rPr>
      </w:pPr>
      <w:r>
        <w:rPr>
          <w:rFonts w:ascii="Times New Roman" w:eastAsia="SimSun" w:hAnsi="Times New Roman" w:cs="Times New Roman"/>
        </w:rPr>
        <w:t>Nutraukimo simptomai (gali pasireikšti motinų, nėštumo metu vartojusių Kventiax, naujagimiams).</w:t>
      </w:r>
    </w:p>
    <w:p w14:paraId="621F41AB" w14:textId="77777777" w:rsidR="00506BE7" w:rsidRDefault="008E332A">
      <w:pPr>
        <w:widowControl w:val="0"/>
        <w:numPr>
          <w:ilvl w:val="0"/>
          <w:numId w:val="18"/>
        </w:numPr>
        <w:spacing w:after="0" w:line="240" w:lineRule="auto"/>
        <w:ind w:left="567" w:hanging="567"/>
        <w:rPr>
          <w:rFonts w:ascii="Times New Roman" w:eastAsia="SimSun" w:hAnsi="Times New Roman" w:cs="Times New Roman"/>
        </w:rPr>
      </w:pPr>
      <w:r>
        <w:rPr>
          <w:rFonts w:ascii="Times New Roman" w:eastAsia="SimSun" w:hAnsi="Times New Roman" w:cs="Times New Roman"/>
        </w:rPr>
        <w:t>Insultas.</w:t>
      </w:r>
    </w:p>
    <w:p w14:paraId="64272F76" w14:textId="77777777" w:rsidR="00506BE7" w:rsidRDefault="008E332A">
      <w:pPr>
        <w:widowControl w:val="0"/>
        <w:numPr>
          <w:ilvl w:val="0"/>
          <w:numId w:val="18"/>
        </w:numPr>
        <w:spacing w:after="0" w:line="240" w:lineRule="auto"/>
        <w:ind w:left="567" w:hanging="567"/>
        <w:rPr>
          <w:rFonts w:ascii="Times New Roman" w:eastAsia="SimSun" w:hAnsi="Times New Roman" w:cs="Times New Roman"/>
        </w:rPr>
      </w:pPr>
      <w:r>
        <w:rPr>
          <w:rFonts w:ascii="Times New Roman" w:eastAsia="SimSun" w:hAnsi="Times New Roman" w:cs="Times New Roman"/>
        </w:rPr>
        <w:t>Širdies raumens sutrikimas (kardiomiopatija).</w:t>
      </w:r>
    </w:p>
    <w:p w14:paraId="4E54A2C0" w14:textId="77777777" w:rsidR="00506BE7" w:rsidRDefault="008E332A">
      <w:pPr>
        <w:widowControl w:val="0"/>
        <w:numPr>
          <w:ilvl w:val="0"/>
          <w:numId w:val="18"/>
        </w:numPr>
        <w:spacing w:after="0" w:line="240" w:lineRule="auto"/>
        <w:ind w:left="567" w:hanging="567"/>
        <w:rPr>
          <w:rFonts w:ascii="Times New Roman" w:eastAsia="SimSun" w:hAnsi="Times New Roman" w:cs="Times New Roman"/>
        </w:rPr>
      </w:pPr>
      <w:r>
        <w:rPr>
          <w:rFonts w:ascii="Times New Roman" w:eastAsia="SimSun" w:hAnsi="Times New Roman" w:cs="Times New Roman"/>
        </w:rPr>
        <w:t>Širdies raumens uždegimas (miokarditas).</w:t>
      </w:r>
    </w:p>
    <w:p w14:paraId="1FF47445" w14:textId="77777777" w:rsidR="00506BE7" w:rsidRDefault="008E332A">
      <w:pPr>
        <w:widowControl w:val="0"/>
        <w:numPr>
          <w:ilvl w:val="0"/>
          <w:numId w:val="18"/>
        </w:numPr>
        <w:spacing w:after="0" w:line="240" w:lineRule="auto"/>
        <w:ind w:left="567" w:hanging="567"/>
        <w:rPr>
          <w:rFonts w:ascii="Times New Roman" w:eastAsia="SimSun" w:hAnsi="Times New Roman" w:cs="Times New Roman"/>
        </w:rPr>
      </w:pPr>
      <w:r>
        <w:rPr>
          <w:rFonts w:ascii="Times New Roman" w:eastAsia="SimSun" w:hAnsi="Times New Roman" w:cs="Times New Roman"/>
        </w:rPr>
        <w:t>Kraujagyslių uždegimas (vaskulitas), dažnai kartu su odos išbėrimu mažais raudonais ar violetiniais gumbais.</w:t>
      </w:r>
    </w:p>
    <w:p w14:paraId="001D50B7" w14:textId="77777777" w:rsidR="00506BE7" w:rsidRDefault="00506BE7">
      <w:pPr>
        <w:widowControl w:val="0"/>
        <w:spacing w:after="0" w:line="240" w:lineRule="auto"/>
        <w:rPr>
          <w:rFonts w:ascii="Times New Roman" w:eastAsia="Calibri" w:hAnsi="Times New Roman" w:cs="Times New Roman"/>
        </w:rPr>
      </w:pPr>
    </w:p>
    <w:p w14:paraId="7FAE2131"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Grupės, kuriai priklauso Kventiax, vaistai gali sukelti širdies ritmo sutrikimų, kurie gali būti sunkūs, dėl jų net gali ištikti mirtis.</w:t>
      </w:r>
    </w:p>
    <w:p w14:paraId="563C5527"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Kai kuris šalutinis poveikis nustatomas tik tiriant kraują – tai padidėjęs tam tikrų riebalų (trigliceridų ir bendrojo cholesterolio) ar cukraus kiekis kraujyje, pakitęs skydliaukės hormonų kiekis, padidėjęs kepenų fermentų kiekis, sumažėjęs tam tikrų kraujo ląstelių kiekisar raudonųjų kraujo kūnelių kiekis, </w:t>
      </w:r>
      <w:r>
        <w:rPr>
          <w:rFonts w:ascii="Times New Roman" w:eastAsia="Calibri" w:hAnsi="Times New Roman" w:cs="Times New Roman"/>
        </w:rPr>
        <w:lastRenderedPageBreak/>
        <w:t>padidėjęs kreatinfosfokinazės (raumenyse susidarančios medžiagos) kiekis, sumažėjęs natrio kiekis kraujyje, padidėjęs hormono prolaktino kiekis kraujyje. Padaugėjus hormono prolaktino, retais atvejais gali:</w:t>
      </w:r>
    </w:p>
    <w:p w14:paraId="639BA73C" w14:textId="77777777" w:rsidR="00506BE7" w:rsidRDefault="008E332A">
      <w:pPr>
        <w:widowControl w:val="0"/>
        <w:numPr>
          <w:ilvl w:val="0"/>
          <w:numId w:val="19"/>
        </w:numPr>
        <w:spacing w:after="0" w:line="240" w:lineRule="auto"/>
        <w:rPr>
          <w:rFonts w:ascii="Times New Roman" w:eastAsia="Calibri" w:hAnsi="Times New Roman" w:cs="Times New Roman"/>
        </w:rPr>
      </w:pPr>
      <w:r>
        <w:rPr>
          <w:rFonts w:ascii="Times New Roman" w:eastAsia="Calibri" w:hAnsi="Times New Roman" w:cs="Times New Roman"/>
        </w:rPr>
        <w:t>padidėti krūtys ir netikėtai išsiskirti pieno (vyrams ir moterims);</w:t>
      </w:r>
    </w:p>
    <w:p w14:paraId="656BA27A" w14:textId="77777777" w:rsidR="00506BE7" w:rsidRDefault="008E332A">
      <w:pPr>
        <w:widowControl w:val="0"/>
        <w:numPr>
          <w:ilvl w:val="0"/>
          <w:numId w:val="19"/>
        </w:numPr>
        <w:spacing w:after="0" w:line="240" w:lineRule="auto"/>
        <w:rPr>
          <w:rFonts w:ascii="Times New Roman" w:eastAsia="Calibri" w:hAnsi="Times New Roman" w:cs="Times New Roman"/>
        </w:rPr>
      </w:pPr>
      <w:r>
        <w:rPr>
          <w:rFonts w:ascii="Times New Roman" w:eastAsia="Calibri" w:hAnsi="Times New Roman" w:cs="Times New Roman"/>
        </w:rPr>
        <w:t>išnykti ar pasidaryti nereguliarios mėnesinės (moterims).</w:t>
      </w:r>
    </w:p>
    <w:p w14:paraId="6D4521EC" w14:textId="77777777" w:rsidR="00506BE7" w:rsidRDefault="00506BE7">
      <w:pPr>
        <w:widowControl w:val="0"/>
        <w:spacing w:after="0" w:line="240" w:lineRule="auto"/>
        <w:rPr>
          <w:rFonts w:ascii="Times New Roman" w:eastAsia="Calibri" w:hAnsi="Times New Roman" w:cs="Times New Roman"/>
        </w:rPr>
      </w:pPr>
    </w:p>
    <w:p w14:paraId="10334164"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Gydytojas gali paprašyti periodiškai daryti kraujo tyrimus.</w:t>
      </w:r>
    </w:p>
    <w:p w14:paraId="1960471D" w14:textId="77777777" w:rsidR="00506BE7" w:rsidRDefault="00506BE7">
      <w:pPr>
        <w:widowControl w:val="0"/>
        <w:spacing w:after="0" w:line="240" w:lineRule="auto"/>
        <w:rPr>
          <w:rFonts w:ascii="Times New Roman" w:eastAsia="Calibri" w:hAnsi="Times New Roman" w:cs="Times New Roman"/>
          <w:b/>
        </w:rPr>
      </w:pPr>
    </w:p>
    <w:p w14:paraId="1D94D657" w14:textId="14072408" w:rsidR="00506BE7" w:rsidRDefault="00975F37">
      <w:pPr>
        <w:widowControl w:val="0"/>
        <w:spacing w:after="0" w:line="240" w:lineRule="auto"/>
        <w:rPr>
          <w:rFonts w:ascii="Times New Roman" w:eastAsia="Calibri" w:hAnsi="Times New Roman" w:cs="Times New Roman"/>
          <w:b/>
        </w:rPr>
      </w:pPr>
      <w:r>
        <w:rPr>
          <w:rFonts w:ascii="Times New Roman" w:eastAsia="Calibri" w:hAnsi="Times New Roman" w:cs="Times New Roman"/>
          <w:b/>
        </w:rPr>
        <w:t>Kitas</w:t>
      </w:r>
      <w:r w:rsidR="008E332A">
        <w:rPr>
          <w:rFonts w:ascii="Times New Roman" w:eastAsia="Calibri" w:hAnsi="Times New Roman" w:cs="Times New Roman"/>
          <w:b/>
          <w:bCs/>
        </w:rPr>
        <w:t xml:space="preserve"> šalutinis poveikis, kuris gali pasireikšti </w:t>
      </w:r>
      <w:r w:rsidR="008E332A">
        <w:rPr>
          <w:rFonts w:ascii="Times New Roman" w:eastAsia="Calibri" w:hAnsi="Times New Roman" w:cs="Times New Roman"/>
          <w:b/>
        </w:rPr>
        <w:t>vaikams ir paaugliams</w:t>
      </w:r>
    </w:p>
    <w:p w14:paraId="71EF80EC"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Vaikams ir paaugliams gali pasireikšti toks pats šalutinis poveikis kaip suaugusiesiems.</w:t>
      </w:r>
    </w:p>
    <w:p w14:paraId="0C31DC38" w14:textId="77777777" w:rsidR="00506BE7" w:rsidRDefault="00506BE7">
      <w:pPr>
        <w:widowControl w:val="0"/>
        <w:spacing w:after="0" w:line="240" w:lineRule="auto"/>
        <w:rPr>
          <w:rFonts w:ascii="Times New Roman" w:eastAsia="Calibri" w:hAnsi="Times New Roman" w:cs="Times New Roman"/>
        </w:rPr>
      </w:pPr>
    </w:p>
    <w:p w14:paraId="6FD9F4D5"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Žemiau nurodytas šalutinis poveikis, kuris vaikams ir paaugliams pastebėtas dažniau negu suaugusiesiems, arba kurio suaugusiesiems nepastebėta.</w:t>
      </w:r>
    </w:p>
    <w:p w14:paraId="17927AD4" w14:textId="77777777" w:rsidR="00506BE7" w:rsidRDefault="00506BE7">
      <w:pPr>
        <w:widowControl w:val="0"/>
        <w:spacing w:after="0" w:line="240" w:lineRule="auto"/>
        <w:rPr>
          <w:rFonts w:ascii="Times New Roman" w:eastAsia="Calibri" w:hAnsi="Times New Roman" w:cs="Times New Roman"/>
        </w:rPr>
      </w:pPr>
    </w:p>
    <w:p w14:paraId="697EDCC6"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Labai dažni</w:t>
      </w:r>
      <w:r>
        <w:rPr>
          <w:rFonts w:ascii="Times New Roman" w:eastAsia="SimSun" w:hAnsi="Times New Roman" w:cs="Times New Roman"/>
          <w:b/>
          <w:bCs/>
        </w:rPr>
        <w:t xml:space="preserve"> šalutinio poveikio reiškiniai </w:t>
      </w:r>
      <w:r>
        <w:rPr>
          <w:rFonts w:ascii="Times New Roman" w:eastAsia="Calibri" w:hAnsi="Times New Roman" w:cs="Times New Roman"/>
          <w:b/>
        </w:rPr>
        <w:t>(gali pasireikšti ne rečiau kaip 1 iš 10 asmenų):</w:t>
      </w:r>
    </w:p>
    <w:p w14:paraId="42E875E4" w14:textId="77777777" w:rsidR="00506BE7" w:rsidRDefault="008E332A">
      <w:pPr>
        <w:widowControl w:val="0"/>
        <w:numPr>
          <w:ilvl w:val="0"/>
          <w:numId w:val="2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Padidėjęs hormono, vadinamo prolaktinu, kiekis kraujyje. Retais atvejais dėl to gali:</w:t>
      </w:r>
    </w:p>
    <w:p w14:paraId="6AFF7D1F" w14:textId="77777777" w:rsidR="00506BE7" w:rsidRDefault="008E332A">
      <w:pPr>
        <w:widowControl w:val="0"/>
        <w:numPr>
          <w:ilvl w:val="1"/>
          <w:numId w:val="21"/>
        </w:numPr>
        <w:tabs>
          <w:tab w:val="clear" w:pos="1440"/>
        </w:tabs>
        <w:spacing w:after="0" w:line="240" w:lineRule="auto"/>
        <w:ind w:left="1134" w:hanging="567"/>
        <w:rPr>
          <w:rFonts w:ascii="Times New Roman" w:eastAsia="Calibri" w:hAnsi="Times New Roman" w:cs="Times New Roman"/>
        </w:rPr>
      </w:pPr>
      <w:r>
        <w:rPr>
          <w:rFonts w:ascii="Times New Roman" w:eastAsia="Calibri" w:hAnsi="Times New Roman" w:cs="Times New Roman"/>
        </w:rPr>
        <w:t>padidėti krūtys ir netikėtai išsiskirti pieno (berniukams ir mergaitėms);</w:t>
      </w:r>
    </w:p>
    <w:p w14:paraId="66701189" w14:textId="77777777" w:rsidR="00506BE7" w:rsidRDefault="008E332A">
      <w:pPr>
        <w:widowControl w:val="0"/>
        <w:numPr>
          <w:ilvl w:val="1"/>
          <w:numId w:val="21"/>
        </w:numPr>
        <w:tabs>
          <w:tab w:val="clear" w:pos="1440"/>
        </w:tabs>
        <w:spacing w:after="0" w:line="240" w:lineRule="auto"/>
        <w:ind w:left="1134" w:hanging="567"/>
        <w:rPr>
          <w:rFonts w:ascii="Times New Roman" w:eastAsia="Calibri" w:hAnsi="Times New Roman" w:cs="Times New Roman"/>
        </w:rPr>
      </w:pPr>
      <w:r>
        <w:rPr>
          <w:rFonts w:ascii="Times New Roman" w:eastAsia="Calibri" w:hAnsi="Times New Roman" w:cs="Times New Roman"/>
        </w:rPr>
        <w:t>išnykti arba pasidaryti nereguliarios mėnesinės (mergaitėms).</w:t>
      </w:r>
    </w:p>
    <w:p w14:paraId="745D9799" w14:textId="77777777" w:rsidR="00506BE7" w:rsidRDefault="008E332A">
      <w:pPr>
        <w:widowControl w:val="0"/>
        <w:numPr>
          <w:ilvl w:val="0"/>
          <w:numId w:val="2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Padidėjęs apetitas.</w:t>
      </w:r>
    </w:p>
    <w:p w14:paraId="458DB8D3" w14:textId="77777777" w:rsidR="00506BE7" w:rsidRDefault="008E332A">
      <w:pPr>
        <w:widowControl w:val="0"/>
        <w:numPr>
          <w:ilvl w:val="0"/>
          <w:numId w:val="2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Vėmimas.</w:t>
      </w:r>
    </w:p>
    <w:p w14:paraId="68F85463" w14:textId="77777777" w:rsidR="00506BE7" w:rsidRDefault="008E332A">
      <w:pPr>
        <w:widowControl w:val="0"/>
        <w:numPr>
          <w:ilvl w:val="0"/>
          <w:numId w:val="2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Nenormalūs raumenų judesiai (būna sunku pradėti judesius, atsiranda drebulys, nenustygimas ar neskausmingas raumenų stingulys).</w:t>
      </w:r>
    </w:p>
    <w:p w14:paraId="19CA3CB9" w14:textId="77777777" w:rsidR="00506BE7" w:rsidRDefault="008E332A">
      <w:pPr>
        <w:widowControl w:val="0"/>
        <w:numPr>
          <w:ilvl w:val="0"/>
          <w:numId w:val="2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Padidėjęs kraujospūdis.</w:t>
      </w:r>
    </w:p>
    <w:p w14:paraId="7E88481D" w14:textId="77777777" w:rsidR="00506BE7" w:rsidRDefault="00506BE7">
      <w:pPr>
        <w:widowControl w:val="0"/>
        <w:spacing w:after="0" w:line="240" w:lineRule="auto"/>
        <w:rPr>
          <w:rFonts w:ascii="Times New Roman" w:eastAsia="Calibri" w:hAnsi="Times New Roman" w:cs="Times New Roman"/>
        </w:rPr>
      </w:pPr>
    </w:p>
    <w:p w14:paraId="4D43889B"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Dažni</w:t>
      </w:r>
      <w:r>
        <w:rPr>
          <w:rFonts w:ascii="Times New Roman" w:eastAsia="SimSun" w:hAnsi="Times New Roman" w:cs="Times New Roman"/>
          <w:b/>
          <w:bCs/>
        </w:rPr>
        <w:t xml:space="preserve"> šalutinio poveikio reiškiniai </w:t>
      </w:r>
      <w:r>
        <w:rPr>
          <w:rFonts w:ascii="Times New Roman" w:eastAsia="Calibri" w:hAnsi="Times New Roman" w:cs="Times New Roman"/>
          <w:b/>
        </w:rPr>
        <w:t>(gali pasireikšti rečiau kaip 1 iš 10 asmenų):</w:t>
      </w:r>
    </w:p>
    <w:p w14:paraId="32DC76C1" w14:textId="77777777" w:rsidR="00506BE7" w:rsidRDefault="008E332A">
      <w:pPr>
        <w:widowControl w:val="0"/>
        <w:numPr>
          <w:ilvl w:val="0"/>
          <w:numId w:val="2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Silpnumas, alpimas (dėl to galima pargriūti).</w:t>
      </w:r>
    </w:p>
    <w:p w14:paraId="4EC498CA" w14:textId="77777777" w:rsidR="00506BE7" w:rsidRDefault="008E332A">
      <w:pPr>
        <w:widowControl w:val="0"/>
        <w:numPr>
          <w:ilvl w:val="0"/>
          <w:numId w:val="2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Užgulta nosis.</w:t>
      </w:r>
    </w:p>
    <w:p w14:paraId="67264C94" w14:textId="77777777" w:rsidR="00506BE7" w:rsidRDefault="008E332A">
      <w:pPr>
        <w:widowControl w:val="0"/>
        <w:numPr>
          <w:ilvl w:val="0"/>
          <w:numId w:val="2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Susierzinimas.</w:t>
      </w:r>
    </w:p>
    <w:p w14:paraId="4354C9BE" w14:textId="77777777" w:rsidR="00506BE7" w:rsidRDefault="00506BE7">
      <w:pPr>
        <w:widowControl w:val="0"/>
        <w:spacing w:after="0" w:line="240" w:lineRule="auto"/>
        <w:rPr>
          <w:rFonts w:ascii="Times New Roman" w:eastAsia="Calibri" w:hAnsi="Times New Roman" w:cs="Times New Roman"/>
        </w:rPr>
      </w:pPr>
    </w:p>
    <w:p w14:paraId="26CC6128"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Pranešimas apie šalutinį poveikį</w:t>
      </w:r>
    </w:p>
    <w:p w14:paraId="70B09C1C" w14:textId="77777777" w:rsidR="008E332A" w:rsidRPr="008E332A" w:rsidRDefault="008E332A" w:rsidP="008E332A">
      <w:pPr>
        <w:tabs>
          <w:tab w:val="left" w:pos="567"/>
        </w:tabs>
        <w:spacing w:after="0" w:line="260" w:lineRule="exact"/>
        <w:ind w:right="-1"/>
        <w:rPr>
          <w:rFonts w:ascii="Times New Roman" w:eastAsia="Times New Roman" w:hAnsi="Times New Roman" w:cs="Times New Roman"/>
          <w:szCs w:val="20"/>
        </w:rPr>
      </w:pPr>
      <w:r w:rsidRPr="008E332A">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75" w:name="_Hlk173407583"/>
      <w:r w:rsidRPr="008E332A">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8E332A">
        <w:rPr>
          <w:rFonts w:ascii="Times New Roman" w:eastAsia="Times New Roman" w:hAnsi="Times New Roman" w:cs="Times New Roman"/>
          <w:color w:val="0000EE"/>
          <w:u w:val="single"/>
          <w:lang w:eastAsia="lt-LT"/>
        </w:rPr>
        <w:t>https://vvkt.lrv.lt/lt/</w:t>
      </w:r>
      <w:r w:rsidRPr="008E332A">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sidRPr="008E332A">
        <w:rPr>
          <w:rFonts w:ascii="Times New Roman" w:eastAsia="Times New Roman" w:hAnsi="Times New Roman" w:cs="Times New Roman"/>
          <w:szCs w:val="20"/>
        </w:rPr>
        <w:t>.</w:t>
      </w:r>
      <w:bookmarkEnd w:id="75"/>
    </w:p>
    <w:p w14:paraId="7221FCD5" w14:textId="77777777" w:rsidR="00506BE7" w:rsidRDefault="00506BE7">
      <w:pPr>
        <w:widowControl w:val="0"/>
        <w:spacing w:after="0" w:line="240" w:lineRule="auto"/>
        <w:rPr>
          <w:rFonts w:ascii="Times New Roman" w:eastAsia="Calibri" w:hAnsi="Times New Roman" w:cs="Times New Roman"/>
        </w:rPr>
      </w:pPr>
    </w:p>
    <w:p w14:paraId="1CED7410" w14:textId="77777777" w:rsidR="00506BE7" w:rsidRDefault="00506BE7">
      <w:pPr>
        <w:widowControl w:val="0"/>
        <w:spacing w:after="0" w:line="240" w:lineRule="auto"/>
        <w:rPr>
          <w:rFonts w:ascii="Times New Roman" w:eastAsia="Calibri" w:hAnsi="Times New Roman" w:cs="Times New Roman"/>
        </w:rPr>
      </w:pPr>
    </w:p>
    <w:p w14:paraId="5C8A46E1" w14:textId="77777777" w:rsidR="00506BE7" w:rsidRDefault="008E332A">
      <w:pPr>
        <w:widowControl w:val="0"/>
        <w:tabs>
          <w:tab w:val="left" w:pos="567"/>
        </w:tabs>
        <w:spacing w:after="0" w:line="240" w:lineRule="auto"/>
        <w:ind w:left="567" w:hanging="567"/>
        <w:outlineLvl w:val="1"/>
        <w:rPr>
          <w:rFonts w:ascii="Times New Roman" w:eastAsia="Calibri" w:hAnsi="Times New Roman" w:cs="Times New Roman"/>
          <w:b/>
        </w:rPr>
      </w:pPr>
      <w:bookmarkStart w:id="76" w:name="_Toc129243268"/>
      <w:bookmarkStart w:id="77" w:name="_Toc129243143"/>
      <w:r>
        <w:rPr>
          <w:rFonts w:ascii="Times New Roman" w:eastAsia="Calibri" w:hAnsi="Times New Roman" w:cs="Times New Roman"/>
          <w:b/>
        </w:rPr>
        <w:t>5.</w:t>
      </w:r>
      <w:r>
        <w:rPr>
          <w:rFonts w:ascii="Times New Roman" w:eastAsia="Calibri" w:hAnsi="Times New Roman" w:cs="Times New Roman"/>
          <w:b/>
        </w:rPr>
        <w:tab/>
        <w:t>Kaip laikyti Kventiax</w:t>
      </w:r>
      <w:bookmarkEnd w:id="76"/>
      <w:bookmarkEnd w:id="77"/>
    </w:p>
    <w:p w14:paraId="3FCE0100" w14:textId="77777777" w:rsidR="00506BE7" w:rsidRDefault="00506BE7">
      <w:pPr>
        <w:widowControl w:val="0"/>
        <w:spacing w:after="0" w:line="240" w:lineRule="auto"/>
        <w:rPr>
          <w:rFonts w:ascii="Times New Roman" w:eastAsia="Calibri" w:hAnsi="Times New Roman" w:cs="Times New Roman"/>
        </w:rPr>
      </w:pPr>
    </w:p>
    <w:p w14:paraId="5D093FFB" w14:textId="77777777" w:rsidR="00506BE7" w:rsidRDefault="008E332A">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Šį vaistą laikykite vaikams nepastebimoje ir nepasiekiamoje vietoje.</w:t>
      </w:r>
    </w:p>
    <w:p w14:paraId="46E85800" w14:textId="77777777" w:rsidR="00506BE7" w:rsidRDefault="00506BE7">
      <w:pPr>
        <w:widowControl w:val="0"/>
        <w:spacing w:after="0" w:line="240" w:lineRule="auto"/>
        <w:rPr>
          <w:rFonts w:ascii="Times New Roman" w:eastAsia="Calibri" w:hAnsi="Times New Roman" w:cs="Times New Roman"/>
        </w:rPr>
      </w:pPr>
    </w:p>
    <w:p w14:paraId="5A84CD58"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Ant lizdinės plokštelės ir dėžutės po </w:t>
      </w:r>
      <w:r>
        <w:rPr>
          <w:rFonts w:ascii="Times New Roman" w:eastAsia="Calibri" w:hAnsi="Times New Roman" w:cs="Times New Roman"/>
          <w:highlight w:val="lightGray"/>
        </w:rPr>
        <w:t>„Tinka iki“</w:t>
      </w:r>
      <w:r>
        <w:rPr>
          <w:rFonts w:ascii="Times New Roman" w:eastAsia="Calibri" w:hAnsi="Times New Roman" w:cs="Times New Roman"/>
        </w:rPr>
        <w:t>/„EXP“ nurodytam tinkamumo laikui pasibaigus, šio vaisto vartoti negalima. Vaistas tinkamas vartoti iki paskutinės nurodyto mėnesio dienos.</w:t>
      </w:r>
    </w:p>
    <w:p w14:paraId="33C67E8A" w14:textId="77777777" w:rsidR="00506BE7" w:rsidRDefault="00506BE7">
      <w:pPr>
        <w:widowControl w:val="0"/>
        <w:spacing w:after="0" w:line="240" w:lineRule="auto"/>
        <w:rPr>
          <w:rFonts w:ascii="Times New Roman" w:eastAsia="Calibri" w:hAnsi="Times New Roman" w:cs="Times New Roman"/>
        </w:rPr>
      </w:pPr>
    </w:p>
    <w:p w14:paraId="60F1383E"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Laikyti gamintojo pakuotėje, kad vaistas būtų apsaugotas nuo drėgmės.</w:t>
      </w:r>
    </w:p>
    <w:p w14:paraId="210780A3"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Šio vaisto laikymui specialių temperatūros sąlygų nereikalaujama.</w:t>
      </w:r>
    </w:p>
    <w:p w14:paraId="37DEA616" w14:textId="77777777" w:rsidR="00506BE7" w:rsidRDefault="00506BE7">
      <w:pPr>
        <w:widowControl w:val="0"/>
        <w:spacing w:after="0" w:line="240" w:lineRule="auto"/>
        <w:rPr>
          <w:rFonts w:ascii="Times New Roman" w:eastAsia="Calibri" w:hAnsi="Times New Roman" w:cs="Times New Roman"/>
        </w:rPr>
      </w:pPr>
    </w:p>
    <w:p w14:paraId="73966EA9"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6D202CF9" w14:textId="77777777" w:rsidR="00506BE7" w:rsidRDefault="00506BE7">
      <w:pPr>
        <w:widowControl w:val="0"/>
        <w:spacing w:after="0" w:line="240" w:lineRule="auto"/>
        <w:rPr>
          <w:rFonts w:ascii="Times New Roman" w:eastAsia="Calibri" w:hAnsi="Times New Roman" w:cs="Times New Roman"/>
        </w:rPr>
      </w:pPr>
    </w:p>
    <w:p w14:paraId="066A35BC" w14:textId="77777777" w:rsidR="00506BE7" w:rsidRDefault="00506BE7">
      <w:pPr>
        <w:widowControl w:val="0"/>
        <w:spacing w:after="0" w:line="240" w:lineRule="auto"/>
        <w:rPr>
          <w:rFonts w:ascii="Times New Roman" w:eastAsia="Calibri" w:hAnsi="Times New Roman" w:cs="Times New Roman"/>
        </w:rPr>
      </w:pPr>
    </w:p>
    <w:p w14:paraId="339C28B7" w14:textId="77777777" w:rsidR="00506BE7" w:rsidRDefault="008E332A">
      <w:pPr>
        <w:widowControl w:val="0"/>
        <w:tabs>
          <w:tab w:val="left" w:pos="567"/>
        </w:tabs>
        <w:spacing w:after="0" w:line="240" w:lineRule="auto"/>
        <w:ind w:left="567" w:hanging="567"/>
        <w:outlineLvl w:val="1"/>
        <w:rPr>
          <w:rFonts w:ascii="Times New Roman" w:eastAsia="Calibri" w:hAnsi="Times New Roman" w:cs="Times New Roman"/>
          <w:b/>
        </w:rPr>
      </w:pPr>
      <w:bookmarkStart w:id="78" w:name="_Toc129243269"/>
      <w:bookmarkStart w:id="79" w:name="_Toc129243144"/>
      <w:r>
        <w:rPr>
          <w:rFonts w:ascii="Times New Roman" w:eastAsia="Calibri" w:hAnsi="Times New Roman" w:cs="Times New Roman"/>
          <w:b/>
        </w:rPr>
        <w:t>6.</w:t>
      </w:r>
      <w:r>
        <w:rPr>
          <w:rFonts w:ascii="Times New Roman" w:eastAsia="Calibri" w:hAnsi="Times New Roman" w:cs="Times New Roman"/>
          <w:b/>
        </w:rPr>
        <w:tab/>
        <w:t>Pakuotės turinys ir kita informacija</w:t>
      </w:r>
      <w:bookmarkEnd w:id="78"/>
      <w:bookmarkEnd w:id="79"/>
    </w:p>
    <w:p w14:paraId="08D2CFE6" w14:textId="77777777" w:rsidR="00506BE7" w:rsidRDefault="00506BE7">
      <w:pPr>
        <w:widowControl w:val="0"/>
        <w:spacing w:after="0" w:line="240" w:lineRule="auto"/>
        <w:rPr>
          <w:rFonts w:ascii="Times New Roman" w:eastAsia="Calibri" w:hAnsi="Times New Roman" w:cs="Times New Roman"/>
        </w:rPr>
      </w:pPr>
    </w:p>
    <w:p w14:paraId="1A7E4EBF"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Kventiax sudėtis</w:t>
      </w:r>
    </w:p>
    <w:p w14:paraId="7A9FC4F5" w14:textId="77777777" w:rsidR="00506BE7" w:rsidRDefault="008E332A">
      <w:pPr>
        <w:widowControl w:val="0"/>
        <w:numPr>
          <w:ilvl w:val="0"/>
          <w:numId w:val="2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Veiklioji medžiaga yra kvetiapinas.</w:t>
      </w:r>
    </w:p>
    <w:p w14:paraId="5E53E775" w14:textId="77777777" w:rsidR="00506BE7" w:rsidRDefault="008E332A">
      <w:pPr>
        <w:widowControl w:val="0"/>
        <w:spacing w:after="0" w:line="240" w:lineRule="auto"/>
        <w:ind w:left="567"/>
        <w:rPr>
          <w:rFonts w:ascii="Times New Roman" w:eastAsia="Calibri" w:hAnsi="Times New Roman" w:cs="Times New Roman"/>
        </w:rPr>
      </w:pPr>
      <w:r>
        <w:rPr>
          <w:rFonts w:ascii="Times New Roman" w:eastAsia="Calibri" w:hAnsi="Times New Roman" w:cs="Times New Roman"/>
          <w:i/>
        </w:rPr>
        <w:t>50 </w:t>
      </w:r>
      <w:r>
        <w:rPr>
          <w:rFonts w:ascii="Times New Roman" w:eastAsia="Calibri" w:hAnsi="Times New Roman" w:cs="Times New Roman"/>
        </w:rPr>
        <w:t>mg pailginto atpalaidavimo tabletės</w:t>
      </w:r>
    </w:p>
    <w:p w14:paraId="53E36877" w14:textId="77777777" w:rsidR="00506BE7" w:rsidRDefault="008E332A">
      <w:pPr>
        <w:widowControl w:val="0"/>
        <w:spacing w:after="0" w:line="240" w:lineRule="auto"/>
        <w:ind w:left="567"/>
        <w:rPr>
          <w:rFonts w:ascii="Times New Roman" w:eastAsia="Calibri" w:hAnsi="Times New Roman" w:cs="Times New Roman"/>
        </w:rPr>
      </w:pPr>
      <w:r>
        <w:rPr>
          <w:rFonts w:ascii="Times New Roman" w:eastAsia="Calibri" w:hAnsi="Times New Roman" w:cs="Times New Roman"/>
        </w:rPr>
        <w:lastRenderedPageBreak/>
        <w:t>Kiekvienoje pailginto atpalaidavimo tabletėje yra 50 mg kvetiapino (kvetiapino hemifumarato pavidalu).</w:t>
      </w:r>
    </w:p>
    <w:p w14:paraId="562B8BD3" w14:textId="77777777" w:rsidR="00506BE7" w:rsidRDefault="008E332A">
      <w:pPr>
        <w:widowControl w:val="0"/>
        <w:spacing w:after="0" w:line="240" w:lineRule="auto"/>
        <w:ind w:left="567"/>
        <w:rPr>
          <w:rFonts w:ascii="Times New Roman" w:eastAsia="Calibri" w:hAnsi="Times New Roman" w:cs="Times New Roman"/>
        </w:rPr>
      </w:pPr>
      <w:r>
        <w:rPr>
          <w:rFonts w:ascii="Times New Roman" w:eastAsia="Calibri" w:hAnsi="Times New Roman" w:cs="Times New Roman"/>
          <w:i/>
        </w:rPr>
        <w:t>150</w:t>
      </w:r>
      <w:r>
        <w:rPr>
          <w:rFonts w:ascii="Times New Roman" w:eastAsia="Calibri" w:hAnsi="Times New Roman" w:cs="Times New Roman"/>
        </w:rPr>
        <w:t> mg pailginto atpalaidavimo tabletės</w:t>
      </w:r>
    </w:p>
    <w:p w14:paraId="5F9FFB63" w14:textId="77777777" w:rsidR="00506BE7" w:rsidRDefault="008E332A">
      <w:pPr>
        <w:widowControl w:val="0"/>
        <w:spacing w:after="0" w:line="240" w:lineRule="auto"/>
        <w:ind w:left="567"/>
        <w:rPr>
          <w:rFonts w:ascii="Times New Roman" w:eastAsia="Calibri" w:hAnsi="Times New Roman" w:cs="Times New Roman"/>
        </w:rPr>
      </w:pPr>
      <w:r>
        <w:rPr>
          <w:rFonts w:ascii="Times New Roman" w:eastAsia="Calibri" w:hAnsi="Times New Roman" w:cs="Times New Roman"/>
        </w:rPr>
        <w:t>Kiekvienoje pailginto atpalaidavimo tabletėje yra 150 mg kvetiapino (kvetiapino hemifumarato pavidalu).</w:t>
      </w:r>
    </w:p>
    <w:p w14:paraId="177BE7B9" w14:textId="77777777" w:rsidR="00506BE7" w:rsidRDefault="008E332A">
      <w:pPr>
        <w:widowControl w:val="0"/>
        <w:spacing w:after="0" w:line="240" w:lineRule="auto"/>
        <w:ind w:left="567"/>
        <w:rPr>
          <w:rFonts w:ascii="Times New Roman" w:eastAsia="Calibri" w:hAnsi="Times New Roman" w:cs="Times New Roman"/>
        </w:rPr>
      </w:pPr>
      <w:r>
        <w:rPr>
          <w:rFonts w:ascii="Times New Roman" w:eastAsia="Calibri" w:hAnsi="Times New Roman" w:cs="Times New Roman"/>
          <w:i/>
        </w:rPr>
        <w:t>200</w:t>
      </w:r>
      <w:r>
        <w:rPr>
          <w:rFonts w:ascii="Times New Roman" w:eastAsia="Calibri" w:hAnsi="Times New Roman" w:cs="Times New Roman"/>
        </w:rPr>
        <w:t> mg pailginto atpalaidavimo tabletės</w:t>
      </w:r>
    </w:p>
    <w:p w14:paraId="0775671F" w14:textId="77777777" w:rsidR="00506BE7" w:rsidRDefault="008E332A">
      <w:pPr>
        <w:widowControl w:val="0"/>
        <w:spacing w:after="0" w:line="240" w:lineRule="auto"/>
        <w:ind w:left="567"/>
        <w:contextualSpacing/>
        <w:rPr>
          <w:rFonts w:ascii="Times New Roman" w:eastAsia="Calibri" w:hAnsi="Times New Roman" w:cs="Times New Roman"/>
        </w:rPr>
      </w:pPr>
      <w:r>
        <w:rPr>
          <w:rFonts w:ascii="Times New Roman" w:eastAsia="Calibri" w:hAnsi="Times New Roman" w:cs="Times New Roman"/>
        </w:rPr>
        <w:t>Kiekvienoje pailginto atpalaidavimo tabletėje yra 200 mg kvetiapino (kvetiapino hemifumarato pavidalu).</w:t>
      </w:r>
    </w:p>
    <w:p w14:paraId="3E01CB9B" w14:textId="77777777" w:rsidR="00506BE7" w:rsidRDefault="008E332A">
      <w:pPr>
        <w:widowControl w:val="0"/>
        <w:spacing w:after="0" w:line="240" w:lineRule="auto"/>
        <w:ind w:left="567"/>
        <w:contextualSpacing/>
        <w:rPr>
          <w:rFonts w:ascii="Times New Roman" w:eastAsia="Calibri" w:hAnsi="Times New Roman" w:cs="Times New Roman"/>
          <w:i/>
        </w:rPr>
      </w:pPr>
      <w:r>
        <w:rPr>
          <w:rFonts w:ascii="Times New Roman" w:eastAsia="Calibri" w:hAnsi="Times New Roman" w:cs="Times New Roman"/>
          <w:i/>
        </w:rPr>
        <w:t>300</w:t>
      </w:r>
      <w:r>
        <w:rPr>
          <w:rFonts w:ascii="Times New Roman" w:eastAsia="Calibri" w:hAnsi="Times New Roman" w:cs="Times New Roman"/>
        </w:rPr>
        <w:t> </w:t>
      </w:r>
      <w:r>
        <w:rPr>
          <w:rFonts w:ascii="Times New Roman" w:eastAsia="Calibri" w:hAnsi="Times New Roman" w:cs="Times New Roman"/>
          <w:i/>
        </w:rPr>
        <w:t>mg pailginto atpalaidavimo tabletės</w:t>
      </w:r>
    </w:p>
    <w:p w14:paraId="65ECCDC0" w14:textId="77777777" w:rsidR="00506BE7" w:rsidRDefault="008E332A">
      <w:pPr>
        <w:widowControl w:val="0"/>
        <w:spacing w:after="0" w:line="240" w:lineRule="auto"/>
        <w:ind w:left="567"/>
        <w:rPr>
          <w:rFonts w:ascii="Times New Roman" w:eastAsia="Calibri" w:hAnsi="Times New Roman" w:cs="Times New Roman"/>
        </w:rPr>
      </w:pPr>
      <w:r>
        <w:rPr>
          <w:rFonts w:ascii="Times New Roman" w:eastAsia="Calibri" w:hAnsi="Times New Roman" w:cs="Times New Roman"/>
        </w:rPr>
        <w:t>Kiekvienoje pailginto atpalaidavimo tabletėje yra 300 mg kvetiapino (kvetiapino hemifumarato pavidalu).</w:t>
      </w:r>
    </w:p>
    <w:p w14:paraId="489E33CA" w14:textId="77777777" w:rsidR="00506BE7" w:rsidRDefault="008E332A">
      <w:pPr>
        <w:widowControl w:val="0"/>
        <w:spacing w:after="0" w:line="240" w:lineRule="auto"/>
        <w:ind w:left="567"/>
        <w:contextualSpacing/>
        <w:rPr>
          <w:rFonts w:ascii="Times New Roman" w:eastAsia="Calibri" w:hAnsi="Times New Roman" w:cs="Times New Roman"/>
          <w:i/>
          <w:lang w:val="sl-SI"/>
        </w:rPr>
      </w:pPr>
      <w:r>
        <w:rPr>
          <w:rFonts w:ascii="Times New Roman" w:eastAsia="Calibri" w:hAnsi="Times New Roman" w:cs="Times New Roman"/>
          <w:i/>
          <w:lang w:val="sl-SI"/>
        </w:rPr>
        <w:t>400</w:t>
      </w:r>
      <w:r>
        <w:rPr>
          <w:rFonts w:ascii="Times New Roman" w:eastAsia="Calibri" w:hAnsi="Times New Roman" w:cs="Times New Roman"/>
          <w:lang w:val="sl-SI"/>
        </w:rPr>
        <w:t> </w:t>
      </w:r>
      <w:r>
        <w:rPr>
          <w:rFonts w:ascii="Times New Roman" w:eastAsia="Calibri" w:hAnsi="Times New Roman" w:cs="Times New Roman"/>
          <w:i/>
          <w:lang w:val="sl-SI"/>
        </w:rPr>
        <w:t>mg pailginto atpalaidavimo tabletės</w:t>
      </w:r>
    </w:p>
    <w:p w14:paraId="78359B94" w14:textId="77777777" w:rsidR="00506BE7" w:rsidRDefault="008E332A">
      <w:pPr>
        <w:widowControl w:val="0"/>
        <w:spacing w:after="0" w:line="240" w:lineRule="auto"/>
        <w:ind w:left="567"/>
        <w:rPr>
          <w:rFonts w:ascii="Times New Roman" w:eastAsia="Calibri" w:hAnsi="Times New Roman" w:cs="Times New Roman"/>
          <w:lang w:val="sl-SI"/>
        </w:rPr>
      </w:pPr>
      <w:r>
        <w:rPr>
          <w:rFonts w:ascii="Times New Roman" w:eastAsia="Calibri" w:hAnsi="Times New Roman" w:cs="Times New Roman"/>
          <w:lang w:val="sl-SI"/>
        </w:rPr>
        <w:t>Kiekvienoje pailginto atpalaidavimo tabletėje yra 400 mg kvetiapino (kvetiapino hemifumarato pavidalu).</w:t>
      </w:r>
    </w:p>
    <w:p w14:paraId="3B9E7CBE" w14:textId="77777777" w:rsidR="00506BE7" w:rsidRDefault="008E332A">
      <w:pPr>
        <w:widowControl w:val="0"/>
        <w:numPr>
          <w:ilvl w:val="0"/>
          <w:numId w:val="2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Pagalbinės 50</w:t>
      </w:r>
      <w:r>
        <w:rPr>
          <w:rFonts w:ascii="Times New Roman" w:eastAsia="Calibri" w:hAnsi="Times New Roman" w:cs="Times New Roman"/>
          <w:lang w:val="sl-SI"/>
        </w:rPr>
        <w:t> mg ir 400</w:t>
      </w:r>
      <w:r>
        <w:rPr>
          <w:rFonts w:ascii="Times New Roman" w:eastAsia="Calibri" w:hAnsi="Times New Roman" w:cs="Times New Roman"/>
        </w:rPr>
        <w:t> mg pailginto atpalaidavimo tabletės medžiagos yra hipromeliozė, laktozė monohidratas, mikrokristalinė celiuliozė, natrio citratas dihidratas ir magnio stearatas tabletės šerdyje ir hipromeliozė, titano dioksidas (E171), ir makrogolis 400 tabletės dangale.</w:t>
      </w:r>
    </w:p>
    <w:p w14:paraId="4A246827" w14:textId="50F65B1B" w:rsidR="00506BE7" w:rsidRDefault="008E332A" w:rsidP="00DA4B46">
      <w:pPr>
        <w:widowControl w:val="0"/>
        <w:spacing w:after="0" w:line="240" w:lineRule="auto"/>
        <w:ind w:left="567"/>
        <w:rPr>
          <w:rFonts w:ascii="Times New Roman" w:eastAsia="Calibri" w:hAnsi="Times New Roman" w:cs="Times New Roman"/>
        </w:rPr>
      </w:pPr>
      <w:r>
        <w:rPr>
          <w:rFonts w:ascii="Times New Roman" w:eastAsia="Calibri" w:hAnsi="Times New Roman" w:cs="Times New Roman"/>
        </w:rPr>
        <w:t>Žr. 2 skyrių „Kventiax sudėtyje yra laktozės ir natrio“.</w:t>
      </w:r>
    </w:p>
    <w:p w14:paraId="71BC85EB" w14:textId="77777777" w:rsidR="00506BE7" w:rsidRDefault="008E332A">
      <w:pPr>
        <w:widowControl w:val="0"/>
        <w:numPr>
          <w:ilvl w:val="0"/>
          <w:numId w:val="2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Pagalbinės 150 mg pailginto atpalaidavimo tabletės medžiagos yra hipromeliozė, laktozė monohidratas, mikrokristalinė celiuliozė, dinatrio fosfatas dihidratas ir magnio stearatas tabletės šerdyje ir polivinilo alkoholis, titano dioksidas (E171), makrogolis 3000, talkas, raudonasis geležies oksidas (E172) ir geltonasis geležies oksidas (E172) tabletės dangale.</w:t>
      </w:r>
    </w:p>
    <w:p w14:paraId="686A7BD5" w14:textId="1611FC4B" w:rsidR="00506BE7" w:rsidRDefault="008E332A" w:rsidP="00DA4B46">
      <w:pPr>
        <w:widowControl w:val="0"/>
        <w:spacing w:after="0" w:line="240" w:lineRule="auto"/>
        <w:ind w:left="567"/>
        <w:rPr>
          <w:rFonts w:ascii="Times New Roman" w:eastAsia="Calibri" w:hAnsi="Times New Roman" w:cs="Times New Roman"/>
        </w:rPr>
      </w:pPr>
      <w:r>
        <w:rPr>
          <w:rFonts w:ascii="Times New Roman" w:eastAsia="Calibri" w:hAnsi="Times New Roman" w:cs="Times New Roman"/>
        </w:rPr>
        <w:t>Žr. 2 skyrių „Kventiax sudėtyje yra laktozės ir natrio“.</w:t>
      </w:r>
    </w:p>
    <w:p w14:paraId="581D9722" w14:textId="77777777" w:rsidR="00506BE7" w:rsidRDefault="008E332A">
      <w:pPr>
        <w:widowControl w:val="0"/>
        <w:numPr>
          <w:ilvl w:val="0"/>
          <w:numId w:val="2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Pagalbinės 200 mg ir 300 mg pailginto atpalaidavimo tabletės medžiagos yra hipromeliozė, laktozė monohidratas, mikrokristalinė celiuliozė, dinatrio fosfatas dihidratas ir magnio stearatas tabletės šerdyje ir polivinilo alkoholis, titano dioksidas (E171), makrogolis 3000, talkas ir geltonasis geležies oksidas (E172) tabletės dangale.</w:t>
      </w:r>
    </w:p>
    <w:p w14:paraId="023BDDC1" w14:textId="4B0888C9" w:rsidR="00506BE7" w:rsidRDefault="008E332A" w:rsidP="00DA4B46">
      <w:pPr>
        <w:widowControl w:val="0"/>
        <w:spacing w:after="0" w:line="240" w:lineRule="auto"/>
        <w:ind w:left="567"/>
        <w:rPr>
          <w:rFonts w:ascii="Times New Roman" w:eastAsia="Calibri" w:hAnsi="Times New Roman" w:cs="Times New Roman"/>
        </w:rPr>
      </w:pPr>
      <w:r>
        <w:rPr>
          <w:rFonts w:ascii="Times New Roman" w:eastAsia="Calibri" w:hAnsi="Times New Roman" w:cs="Times New Roman"/>
        </w:rPr>
        <w:t>Žr. 2 skyrių „Kventiax sudėtyje yra laktozės ir natrio“.</w:t>
      </w:r>
    </w:p>
    <w:p w14:paraId="4DB6E5E4" w14:textId="77777777" w:rsidR="00506BE7" w:rsidRDefault="00506BE7">
      <w:pPr>
        <w:widowControl w:val="0"/>
        <w:spacing w:after="0" w:line="240" w:lineRule="auto"/>
        <w:rPr>
          <w:rFonts w:ascii="Times New Roman" w:eastAsia="Calibri" w:hAnsi="Times New Roman" w:cs="Times New Roman"/>
        </w:rPr>
      </w:pPr>
    </w:p>
    <w:p w14:paraId="7C9E3F2F"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Kventiax išvaizda ir kiekis pakuotėje</w:t>
      </w:r>
    </w:p>
    <w:p w14:paraId="5DEAD95F"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50 mg pailginto atpalaidavimo tabletės yra baltos arba beveik baltos, kapsulės formos, truputį abipus išgaubtos, nuožulniais kraštais plėvele dengtos tabletės, kurių vienoje pusėje yra įspaustas skaičius „50“. Tabletės išmatavimai: ilgis – 16,2 mm ir storis – 4,0 – 5,2 mm.</w:t>
      </w:r>
    </w:p>
    <w:p w14:paraId="15A1EF8D"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150 mg pailginto atpalaidavimo tabletės yra rausvai oranžinės, apvalios, abipus išgaubtos, plėvele dengtos tabletės, nuožulniais kraštais. Tabletės išmatavimai: skersmuo – 10 mm ir storis – 4,6 – 6,0 mm.</w:t>
      </w:r>
    </w:p>
    <w:p w14:paraId="006FA621"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200 mg pailginto atpalaidavimo tabletės yra geltonai rudos, ovalios, abipus išgaubtos, plėvele dengtos tabletės. Tabletės išmatavimai: ilgis yra 16 mm ir storis yra 5,6 – 7,1 mm.</w:t>
      </w:r>
    </w:p>
    <w:p w14:paraId="5644F26A"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300 mg pailginto atpalaidavimo tabletės yra blyškiai rudai geltonos, kapsulės formos, abipus išgaubtos, plėvele dengtos tabletės. Tabletės išmatavimai: ilgis yra 19,1 mm ir storis yra 5,9 – 7,4 mm.</w:t>
      </w:r>
    </w:p>
    <w:p w14:paraId="2E14AFB7" w14:textId="77777777" w:rsidR="00506BE7" w:rsidRDefault="008E332A">
      <w:pPr>
        <w:widowControl w:val="0"/>
        <w:spacing w:after="0" w:line="240" w:lineRule="auto"/>
        <w:rPr>
          <w:rFonts w:ascii="Times New Roman" w:eastAsia="Calibri" w:hAnsi="Times New Roman" w:cs="Times New Roman"/>
          <w:lang w:val="sl-SI"/>
        </w:rPr>
      </w:pPr>
      <w:r>
        <w:rPr>
          <w:rFonts w:ascii="Times New Roman" w:eastAsia="Calibri" w:hAnsi="Times New Roman" w:cs="Times New Roman"/>
          <w:lang w:val="sl-SI"/>
        </w:rPr>
        <w:t>400 mg pailginto atpalaidavimo tabletės yra baltos arba beveik baltos, kapsulės formos, abipus išgaubtos, plėvele dengtos tabletės, kurių vienoje pusėje yra įspaustas skaičius „400“. Tablečių išmatavimai: ilgis yra 18,7 – 19,5 mm ir storis - 5,5 – 7,1 mm.</w:t>
      </w:r>
    </w:p>
    <w:p w14:paraId="6AA5D14D" w14:textId="77777777" w:rsidR="00506BE7" w:rsidRDefault="00506BE7">
      <w:pPr>
        <w:widowControl w:val="0"/>
        <w:spacing w:after="0" w:line="240" w:lineRule="auto"/>
        <w:rPr>
          <w:rFonts w:ascii="Times New Roman" w:eastAsia="Calibri" w:hAnsi="Times New Roman" w:cs="Times New Roman"/>
        </w:rPr>
      </w:pPr>
    </w:p>
    <w:p w14:paraId="765B5E4C"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Kventiax tiekiamas dėžutėmis po 10, 30, 50, 60, 90 arba 100 pailginto atpalaidavimo tablečių supakuotų į OPA/Al/PVC/Al lizdines plokšteles.</w:t>
      </w:r>
    </w:p>
    <w:p w14:paraId="2A3D75F5" w14:textId="77777777" w:rsidR="00506BE7" w:rsidRDefault="00506BE7">
      <w:pPr>
        <w:widowControl w:val="0"/>
        <w:spacing w:after="0" w:line="240" w:lineRule="auto"/>
        <w:rPr>
          <w:rFonts w:ascii="Times New Roman" w:eastAsia="Calibri" w:hAnsi="Times New Roman" w:cs="Times New Roman"/>
        </w:rPr>
      </w:pPr>
    </w:p>
    <w:p w14:paraId="12E304A9"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Gali būti tiekiamos ne visų dydžių pakuotės.</w:t>
      </w:r>
    </w:p>
    <w:p w14:paraId="2A3673E7" w14:textId="77777777" w:rsidR="00506BE7" w:rsidRDefault="00506BE7">
      <w:pPr>
        <w:widowControl w:val="0"/>
        <w:spacing w:after="0" w:line="240" w:lineRule="auto"/>
        <w:rPr>
          <w:rFonts w:ascii="Times New Roman" w:eastAsia="Calibri" w:hAnsi="Times New Roman" w:cs="Times New Roman"/>
          <w:b/>
        </w:rPr>
      </w:pPr>
    </w:p>
    <w:p w14:paraId="06093AB7"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Registruotojas ir gamintojas</w:t>
      </w:r>
    </w:p>
    <w:p w14:paraId="2B1E3122" w14:textId="77777777" w:rsidR="00506BE7" w:rsidRDefault="00506BE7">
      <w:pPr>
        <w:widowControl w:val="0"/>
        <w:spacing w:after="0" w:line="240" w:lineRule="auto"/>
        <w:jc w:val="both"/>
        <w:rPr>
          <w:rFonts w:ascii="Times New Roman" w:eastAsia="Calibri" w:hAnsi="Times New Roman" w:cs="Times New Roman"/>
          <w:u w:val="single"/>
        </w:rPr>
      </w:pPr>
    </w:p>
    <w:p w14:paraId="404FB719" w14:textId="77777777" w:rsidR="00506BE7" w:rsidRDefault="008E332A">
      <w:pPr>
        <w:widowControl w:val="0"/>
        <w:spacing w:after="0" w:line="240" w:lineRule="auto"/>
        <w:jc w:val="both"/>
        <w:rPr>
          <w:rFonts w:ascii="Times New Roman" w:eastAsia="Calibri" w:hAnsi="Times New Roman" w:cs="Times New Roman"/>
          <w:u w:val="single"/>
        </w:rPr>
      </w:pPr>
      <w:r>
        <w:rPr>
          <w:rFonts w:ascii="Times New Roman" w:eastAsia="Calibri" w:hAnsi="Times New Roman" w:cs="Times New Roman"/>
          <w:u w:val="single"/>
        </w:rPr>
        <w:t>Registruotojas</w:t>
      </w:r>
    </w:p>
    <w:p w14:paraId="4D301A70" w14:textId="77777777" w:rsidR="00506BE7" w:rsidRDefault="008E332A">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KRKA, d.d., Novo mesto</w:t>
      </w:r>
    </w:p>
    <w:p w14:paraId="49732B28" w14:textId="77777777" w:rsidR="00506BE7" w:rsidRDefault="008E332A">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Šmarješka cesta 6</w:t>
      </w:r>
    </w:p>
    <w:p w14:paraId="624B69A8" w14:textId="77777777" w:rsidR="00506BE7" w:rsidRDefault="008E332A">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8501 Novo mesto</w:t>
      </w:r>
    </w:p>
    <w:p w14:paraId="022140DB" w14:textId="77777777" w:rsidR="00506BE7" w:rsidRDefault="008E332A">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Slovėnija</w:t>
      </w:r>
    </w:p>
    <w:p w14:paraId="50C1B779" w14:textId="77777777" w:rsidR="00506BE7" w:rsidRDefault="00506BE7">
      <w:pPr>
        <w:widowControl w:val="0"/>
        <w:spacing w:after="0" w:line="240" w:lineRule="auto"/>
        <w:rPr>
          <w:rFonts w:ascii="Times New Roman" w:eastAsia="Calibri" w:hAnsi="Times New Roman" w:cs="Times New Roman"/>
        </w:rPr>
      </w:pPr>
    </w:p>
    <w:p w14:paraId="32A8735A" w14:textId="77777777" w:rsidR="00506BE7" w:rsidRDefault="008E332A">
      <w:pPr>
        <w:widowControl w:val="0"/>
        <w:spacing w:after="0" w:line="240" w:lineRule="auto"/>
        <w:jc w:val="both"/>
        <w:rPr>
          <w:rFonts w:ascii="Times New Roman" w:eastAsia="Calibri" w:hAnsi="Times New Roman" w:cs="Times New Roman"/>
          <w:u w:val="single"/>
        </w:rPr>
      </w:pPr>
      <w:r>
        <w:rPr>
          <w:rFonts w:ascii="Times New Roman" w:eastAsia="Calibri" w:hAnsi="Times New Roman" w:cs="Times New Roman"/>
          <w:u w:val="single"/>
        </w:rPr>
        <w:lastRenderedPageBreak/>
        <w:t>Gamintojas</w:t>
      </w:r>
    </w:p>
    <w:p w14:paraId="035E1EBD" w14:textId="77777777" w:rsidR="00506BE7" w:rsidRDefault="008E332A">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KRKA, d.d., Novo mesto</w:t>
      </w:r>
    </w:p>
    <w:p w14:paraId="4CCDE05F" w14:textId="77777777" w:rsidR="00506BE7" w:rsidRDefault="008E332A">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Šmarješka cesta 6</w:t>
      </w:r>
    </w:p>
    <w:p w14:paraId="112580B2" w14:textId="77777777" w:rsidR="00506BE7" w:rsidRDefault="008E332A">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8501 Novo mesto</w:t>
      </w:r>
    </w:p>
    <w:p w14:paraId="66C6DA85" w14:textId="77777777" w:rsidR="00506BE7" w:rsidRDefault="008E332A">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Slovėnija</w:t>
      </w:r>
    </w:p>
    <w:p w14:paraId="75BA0072" w14:textId="77777777" w:rsidR="00506BE7" w:rsidRDefault="00506BE7">
      <w:pPr>
        <w:widowControl w:val="0"/>
        <w:spacing w:after="0" w:line="240" w:lineRule="auto"/>
        <w:rPr>
          <w:rFonts w:ascii="Times New Roman" w:eastAsia="Calibri" w:hAnsi="Times New Roman" w:cs="Times New Roman"/>
        </w:rPr>
      </w:pPr>
    </w:p>
    <w:p w14:paraId="7BB01756"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arba</w:t>
      </w:r>
    </w:p>
    <w:p w14:paraId="2D7C3D3F" w14:textId="77777777" w:rsidR="00506BE7" w:rsidRDefault="00506BE7">
      <w:pPr>
        <w:widowControl w:val="0"/>
        <w:spacing w:after="0" w:line="240" w:lineRule="auto"/>
        <w:rPr>
          <w:rFonts w:ascii="Times New Roman" w:eastAsia="Calibri" w:hAnsi="Times New Roman" w:cs="Times New Roman"/>
        </w:rPr>
      </w:pPr>
    </w:p>
    <w:p w14:paraId="12466F3C"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TAD Pharma GmbH</w:t>
      </w:r>
    </w:p>
    <w:p w14:paraId="33260001"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Heinz-Lohmann-Straße 5</w:t>
      </w:r>
    </w:p>
    <w:p w14:paraId="53DAEA79"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27472 Cuxhaven</w:t>
      </w:r>
    </w:p>
    <w:p w14:paraId="10620212"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Vokietija</w:t>
      </w:r>
    </w:p>
    <w:p w14:paraId="1AF6256A" w14:textId="77777777" w:rsidR="00506BE7" w:rsidRDefault="00506BE7">
      <w:pPr>
        <w:widowControl w:val="0"/>
        <w:spacing w:after="0" w:line="240" w:lineRule="auto"/>
        <w:rPr>
          <w:rFonts w:ascii="Times New Roman" w:eastAsia="Calibri" w:hAnsi="Times New Roman" w:cs="Times New Roman"/>
        </w:rPr>
      </w:pPr>
    </w:p>
    <w:p w14:paraId="700601D0"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Jeigu apie šį vaistą norite sužinoti daugiau, kreipkitės į vietinį registruotojo atstovą.</w:t>
      </w:r>
    </w:p>
    <w:p w14:paraId="31806C25" w14:textId="77777777" w:rsidR="00506BE7" w:rsidRDefault="00506BE7">
      <w:pPr>
        <w:widowControl w:val="0"/>
        <w:spacing w:after="0" w:line="240" w:lineRule="auto"/>
        <w:rPr>
          <w:rFonts w:ascii="Times New Roman" w:eastAsia="Calibri" w:hAnsi="Times New Roman" w:cs="Times New Roman"/>
        </w:rPr>
      </w:pPr>
    </w:p>
    <w:tbl>
      <w:tblPr>
        <w:tblW w:w="4680" w:type="dxa"/>
        <w:tblInd w:w="-34" w:type="dxa"/>
        <w:tblLayout w:type="fixed"/>
        <w:tblLook w:val="04A0" w:firstRow="1" w:lastRow="0" w:firstColumn="1" w:lastColumn="0" w:noHBand="0" w:noVBand="1"/>
      </w:tblPr>
      <w:tblGrid>
        <w:gridCol w:w="4680"/>
      </w:tblGrid>
      <w:tr w:rsidR="00506BE7" w14:paraId="4DC32B4A" w14:textId="77777777">
        <w:tc>
          <w:tcPr>
            <w:tcW w:w="4678" w:type="dxa"/>
            <w:hideMark/>
          </w:tcPr>
          <w:p w14:paraId="26C18A5B"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UAB KRKA Lietuva</w:t>
            </w:r>
          </w:p>
          <w:p w14:paraId="69E58066"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Senasis Ukmergės kelias 4,</w:t>
            </w:r>
          </w:p>
          <w:p w14:paraId="247BC3DD"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Užubalių km., Vilniaus r.</w:t>
            </w:r>
          </w:p>
          <w:p w14:paraId="3B15C3F6"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LT - 14013</w:t>
            </w:r>
          </w:p>
          <w:p w14:paraId="4D0B8391" w14:textId="77777777" w:rsidR="00506BE7" w:rsidRDefault="008E332A">
            <w:pPr>
              <w:widowControl w:val="0"/>
              <w:spacing w:after="0" w:line="240" w:lineRule="auto"/>
              <w:rPr>
                <w:rFonts w:ascii="Times New Roman" w:eastAsia="Calibri" w:hAnsi="Times New Roman" w:cs="Times New Roman"/>
              </w:rPr>
            </w:pPr>
            <w:r>
              <w:rPr>
                <w:rFonts w:ascii="Times New Roman" w:eastAsia="Calibri" w:hAnsi="Times New Roman" w:cs="Times New Roman"/>
              </w:rPr>
              <w:t>Tel. + 370 5 236 27 40</w:t>
            </w:r>
          </w:p>
        </w:tc>
      </w:tr>
    </w:tbl>
    <w:p w14:paraId="53609903" w14:textId="77777777" w:rsidR="00506BE7" w:rsidRDefault="00506BE7">
      <w:pPr>
        <w:widowControl w:val="0"/>
        <w:spacing w:after="0" w:line="240" w:lineRule="auto"/>
        <w:rPr>
          <w:rFonts w:ascii="Times New Roman" w:eastAsia="Calibri" w:hAnsi="Times New Roman" w:cs="Times New Roman"/>
        </w:rPr>
      </w:pPr>
    </w:p>
    <w:p w14:paraId="3BDAEDD8" w14:textId="77777777" w:rsidR="00506BE7" w:rsidRDefault="008E332A">
      <w:pPr>
        <w:widowControl w:val="0"/>
        <w:spacing w:after="0" w:line="240" w:lineRule="auto"/>
        <w:rPr>
          <w:rFonts w:ascii="Times New Roman" w:eastAsia="Calibri" w:hAnsi="Times New Roman" w:cs="Times New Roman"/>
          <w:b/>
        </w:rPr>
      </w:pPr>
      <w:r>
        <w:rPr>
          <w:rFonts w:ascii="Times New Roman" w:eastAsia="Calibri" w:hAnsi="Times New Roman" w:cs="Times New Roman"/>
          <w:b/>
        </w:rPr>
        <w:t xml:space="preserve">Šis vaistas </w:t>
      </w:r>
      <w:r>
        <w:rPr>
          <w:rFonts w:ascii="Times New Roman" w:eastAsia="SimSun" w:hAnsi="Times New Roman" w:cs="Times New Roman"/>
          <w:b/>
        </w:rPr>
        <w:t xml:space="preserve">Europos ekonominės erdvės </w:t>
      </w:r>
      <w:r>
        <w:rPr>
          <w:rFonts w:ascii="Times New Roman" w:eastAsia="Calibri" w:hAnsi="Times New Roman" w:cs="Times New Roman"/>
          <w:b/>
        </w:rPr>
        <w:t>valstybėse narėse registruotas tokiais pavadinimais:</w:t>
      </w:r>
    </w:p>
    <w:tbl>
      <w:tblPr>
        <w:tblW w:w="8931" w:type="dxa"/>
        <w:tblInd w:w="108" w:type="dxa"/>
        <w:tblCellMar>
          <w:left w:w="0" w:type="dxa"/>
          <w:right w:w="0" w:type="dxa"/>
        </w:tblCellMar>
        <w:tblLook w:val="04A0" w:firstRow="1" w:lastRow="0" w:firstColumn="1" w:lastColumn="0" w:noHBand="0" w:noVBand="1"/>
      </w:tblPr>
      <w:tblGrid>
        <w:gridCol w:w="4962"/>
        <w:gridCol w:w="3969"/>
      </w:tblGrid>
      <w:tr w:rsidR="00506BE7" w14:paraId="6D85657C" w14:textId="77777777">
        <w:tc>
          <w:tcPr>
            <w:tcW w:w="49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8E34492" w14:textId="77777777" w:rsidR="00506BE7" w:rsidRDefault="008E332A">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Valstybės narės pavadinimas</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1CA6B5C" w14:textId="77777777" w:rsidR="00506BE7" w:rsidRDefault="008E332A">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Vaisto pavadinimas</w:t>
            </w:r>
          </w:p>
        </w:tc>
      </w:tr>
      <w:tr w:rsidR="00506BE7" w14:paraId="565390C9" w14:textId="77777777">
        <w:tc>
          <w:tcPr>
            <w:tcW w:w="4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9347AD" w14:textId="77777777" w:rsidR="00506BE7" w:rsidRDefault="008E332A">
            <w:pPr>
              <w:widowControl w:val="0"/>
              <w:numPr>
                <w:ilvl w:val="12"/>
                <w:numId w:val="0"/>
              </w:numPr>
              <w:spacing w:after="0" w:line="240" w:lineRule="auto"/>
              <w:ind w:right="-2"/>
              <w:rPr>
                <w:rFonts w:ascii="Times New Roman" w:eastAsia="Calibri" w:hAnsi="Times New Roman" w:cs="Times New Roman"/>
                <w:lang w:val="sl-SI"/>
              </w:rPr>
            </w:pPr>
            <w:r>
              <w:rPr>
                <w:rFonts w:ascii="Times New Roman" w:eastAsia="Calibri" w:hAnsi="Times New Roman" w:cs="Times New Roman"/>
                <w:lang w:val="sl-SI"/>
              </w:rPr>
              <w:t>Austrija</w:t>
            </w:r>
            <w:r>
              <w:rPr>
                <w:rFonts w:ascii="Times New Roman" w:eastAsia="Calibri" w:hAnsi="Times New Roman" w:cs="Times New Roman"/>
              </w:rPr>
              <w:t xml:space="preserve"> </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A31749C" w14:textId="77777777" w:rsidR="00506BE7" w:rsidRDefault="008E332A">
            <w:pPr>
              <w:widowControl w:val="0"/>
              <w:numPr>
                <w:ilvl w:val="12"/>
                <w:numId w:val="0"/>
              </w:numPr>
              <w:spacing w:after="0" w:line="240" w:lineRule="auto"/>
              <w:ind w:right="-2"/>
              <w:rPr>
                <w:rFonts w:ascii="Times New Roman" w:eastAsia="Calibri" w:hAnsi="Times New Roman" w:cs="Times New Roman"/>
                <w:lang w:val="sl-SI"/>
              </w:rPr>
            </w:pPr>
            <w:r>
              <w:rPr>
                <w:rFonts w:ascii="Times New Roman" w:eastAsia="Calibri" w:hAnsi="Times New Roman" w:cs="Times New Roman"/>
                <w:lang w:val="sl-SI"/>
              </w:rPr>
              <w:t>Quetiapin HCS</w:t>
            </w:r>
            <w:r>
              <w:rPr>
                <w:rFonts w:ascii="Times New Roman" w:eastAsia="Calibri" w:hAnsi="Times New Roman" w:cs="Times New Roman"/>
              </w:rPr>
              <w:t xml:space="preserve"> </w:t>
            </w:r>
          </w:p>
        </w:tc>
      </w:tr>
      <w:tr w:rsidR="00506BE7" w14:paraId="333077FF" w14:textId="77777777">
        <w:tc>
          <w:tcPr>
            <w:tcW w:w="4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E662A2" w14:textId="77777777" w:rsidR="00506BE7" w:rsidRDefault="008E332A">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Danija, Suomija, Švedija</w:t>
            </w:r>
            <w:r>
              <w:rPr>
                <w:rFonts w:ascii="Times New Roman" w:eastAsia="Times New Roman" w:hAnsi="Times New Roman" w:cs="Times New Roman"/>
              </w:rPr>
              <w:t>, Islandija</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4762C51B" w14:textId="77777777" w:rsidR="00506BE7" w:rsidRDefault="008E332A">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Quetiapin Krka</w:t>
            </w:r>
          </w:p>
        </w:tc>
      </w:tr>
      <w:tr w:rsidR="00506BE7" w14:paraId="0100E07F" w14:textId="77777777">
        <w:tc>
          <w:tcPr>
            <w:tcW w:w="4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784DA6" w14:textId="77777777" w:rsidR="00506BE7" w:rsidRDefault="008E332A">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Belgija</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5347B53E" w14:textId="77777777" w:rsidR="00506BE7" w:rsidRDefault="008E332A">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Quetiapine Krka</w:t>
            </w:r>
          </w:p>
        </w:tc>
      </w:tr>
      <w:tr w:rsidR="00506BE7" w14:paraId="1FA90CBE" w14:textId="77777777">
        <w:tc>
          <w:tcPr>
            <w:tcW w:w="4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B11ADE" w14:textId="77777777" w:rsidR="00506BE7" w:rsidRDefault="008E332A">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Bulgarija</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3A606901" w14:textId="77777777" w:rsidR="00506BE7" w:rsidRDefault="008E332A">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Квентиакс SR</w:t>
            </w:r>
          </w:p>
        </w:tc>
      </w:tr>
      <w:tr w:rsidR="00506BE7" w14:paraId="75B6805B" w14:textId="77777777">
        <w:tc>
          <w:tcPr>
            <w:tcW w:w="4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5A87D3" w14:textId="77777777" w:rsidR="00506BE7" w:rsidRDefault="008E332A">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Čekija</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33198956" w14:textId="77777777" w:rsidR="00506BE7" w:rsidRDefault="008E332A">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Kventiax Prolong</w:t>
            </w:r>
          </w:p>
        </w:tc>
      </w:tr>
      <w:tr w:rsidR="00506BE7" w14:paraId="1FD4D94B" w14:textId="77777777">
        <w:tc>
          <w:tcPr>
            <w:tcW w:w="4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671446" w14:textId="77777777" w:rsidR="00506BE7" w:rsidRDefault="008E332A">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Estija, Lenkija, Slovakija, Slovėnija</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0E81ACF5" w14:textId="77777777" w:rsidR="00506BE7" w:rsidRDefault="008E332A">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Kventiax SR</w:t>
            </w:r>
          </w:p>
        </w:tc>
      </w:tr>
      <w:tr w:rsidR="00506BE7" w14:paraId="404FB051" w14:textId="77777777">
        <w:tc>
          <w:tcPr>
            <w:tcW w:w="4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A0E51E" w14:textId="77777777" w:rsidR="00506BE7" w:rsidRDefault="008E332A">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Prancūzija</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0E8285B2" w14:textId="77777777" w:rsidR="00506BE7" w:rsidRDefault="008E332A">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lang w:val="da-DK"/>
              </w:rPr>
              <w:t>Quétiapine</w:t>
            </w:r>
            <w:r>
              <w:rPr>
                <w:rFonts w:ascii="Times New Roman" w:eastAsia="Calibri" w:hAnsi="Times New Roman" w:cs="Times New Roman"/>
              </w:rPr>
              <w:t xml:space="preserve"> Krka LP</w:t>
            </w:r>
          </w:p>
        </w:tc>
      </w:tr>
      <w:tr w:rsidR="00506BE7" w14:paraId="66845F12" w14:textId="77777777">
        <w:tc>
          <w:tcPr>
            <w:tcW w:w="4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2BE52C" w14:textId="77777777" w:rsidR="00506BE7" w:rsidRDefault="008E332A">
            <w:pPr>
              <w:widowControl w:val="0"/>
              <w:numPr>
                <w:ilvl w:val="12"/>
                <w:numId w:val="0"/>
              </w:numPr>
              <w:spacing w:after="0" w:line="240" w:lineRule="auto"/>
              <w:ind w:right="-2"/>
              <w:rPr>
                <w:rFonts w:ascii="Times New Roman" w:eastAsia="Calibri" w:hAnsi="Times New Roman" w:cs="Times New Roman"/>
                <w:lang w:val="sl-SI"/>
              </w:rPr>
            </w:pPr>
            <w:r>
              <w:rPr>
                <w:rFonts w:ascii="Times New Roman" w:eastAsia="Calibri" w:hAnsi="Times New Roman" w:cs="Times New Roman"/>
                <w:lang w:val="sl-SI"/>
              </w:rPr>
              <w:t>Graikija</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4B03A958" w14:textId="77777777" w:rsidR="00506BE7" w:rsidRDefault="008E332A">
            <w:pPr>
              <w:widowControl w:val="0"/>
              <w:numPr>
                <w:ilvl w:val="12"/>
                <w:numId w:val="0"/>
              </w:numPr>
              <w:spacing w:after="0" w:line="240" w:lineRule="auto"/>
              <w:ind w:right="-2"/>
              <w:rPr>
                <w:rFonts w:ascii="Times New Roman" w:eastAsia="Calibri" w:hAnsi="Times New Roman" w:cs="Times New Roman"/>
                <w:lang w:val="sl-SI"/>
              </w:rPr>
            </w:pPr>
            <w:r>
              <w:rPr>
                <w:rFonts w:ascii="Times New Roman" w:eastAsia="Calibri" w:hAnsi="Times New Roman" w:cs="Times New Roman"/>
                <w:lang w:val="sl-SI"/>
              </w:rPr>
              <w:t>Arezil XR</w:t>
            </w:r>
          </w:p>
        </w:tc>
      </w:tr>
      <w:tr w:rsidR="00506BE7" w14:paraId="21585324" w14:textId="77777777">
        <w:tc>
          <w:tcPr>
            <w:tcW w:w="4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F402807" w14:textId="77777777" w:rsidR="00506BE7" w:rsidRDefault="008E332A">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Airija</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5B4C835C" w14:textId="77777777" w:rsidR="00506BE7" w:rsidRDefault="008E332A">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Quentiax</w:t>
            </w:r>
            <w:r>
              <w:rPr>
                <w:rFonts w:ascii="Times New Roman" w:eastAsia="Calibri" w:hAnsi="Times New Roman" w:cs="Times New Roman"/>
                <w:b/>
              </w:rPr>
              <w:t xml:space="preserve"> </w:t>
            </w:r>
            <w:r>
              <w:rPr>
                <w:rFonts w:ascii="Times New Roman" w:eastAsia="Calibri" w:hAnsi="Times New Roman" w:cs="Times New Roman"/>
              </w:rPr>
              <w:t>SR</w:t>
            </w:r>
          </w:p>
        </w:tc>
      </w:tr>
      <w:tr w:rsidR="00506BE7" w14:paraId="5A9BBA3A" w14:textId="77777777">
        <w:tc>
          <w:tcPr>
            <w:tcW w:w="4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47A4313" w14:textId="77777777" w:rsidR="00506BE7" w:rsidRDefault="008E332A">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Vokietija</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16C162D" w14:textId="77777777" w:rsidR="00506BE7" w:rsidRDefault="008E332A">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Quetiapin TAD</w:t>
            </w:r>
          </w:p>
        </w:tc>
      </w:tr>
      <w:tr w:rsidR="00506BE7" w14:paraId="647F5C11" w14:textId="77777777">
        <w:tc>
          <w:tcPr>
            <w:tcW w:w="4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4422E8" w14:textId="77777777" w:rsidR="00506BE7" w:rsidRDefault="008E332A">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Italija</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07FBDDF9" w14:textId="77777777" w:rsidR="00506BE7" w:rsidRDefault="008E332A">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Quentiax</w:t>
            </w:r>
          </w:p>
        </w:tc>
      </w:tr>
      <w:tr w:rsidR="00506BE7" w14:paraId="77F8BD39" w14:textId="77777777">
        <w:tc>
          <w:tcPr>
            <w:tcW w:w="4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FBE460" w14:textId="77777777" w:rsidR="00506BE7" w:rsidRDefault="008E332A">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Latvija, Lietuva</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4E74F571" w14:textId="77777777" w:rsidR="00506BE7" w:rsidRDefault="008E332A">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Kventiax</w:t>
            </w:r>
          </w:p>
        </w:tc>
      </w:tr>
      <w:tr w:rsidR="00506BE7" w14:paraId="75513AA7" w14:textId="77777777">
        <w:tc>
          <w:tcPr>
            <w:tcW w:w="4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80375C" w14:textId="77777777" w:rsidR="00506BE7" w:rsidRDefault="008E332A">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Portugalija, Ispanija</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DD87D70" w14:textId="77777777" w:rsidR="00506BE7" w:rsidRDefault="008E332A">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Quetiapina Krka</w:t>
            </w:r>
          </w:p>
        </w:tc>
      </w:tr>
      <w:tr w:rsidR="00506BE7" w14:paraId="608CDCA5" w14:textId="77777777">
        <w:tc>
          <w:tcPr>
            <w:tcW w:w="4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441A5E" w14:textId="77777777" w:rsidR="00506BE7" w:rsidRDefault="008E332A">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Rumunija</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7B4722B" w14:textId="77777777" w:rsidR="00506BE7" w:rsidRDefault="008E332A">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Kventiax EP</w:t>
            </w:r>
          </w:p>
        </w:tc>
      </w:tr>
    </w:tbl>
    <w:p w14:paraId="16F99E0E" w14:textId="77777777" w:rsidR="00506BE7" w:rsidRDefault="00506BE7">
      <w:pPr>
        <w:widowControl w:val="0"/>
        <w:spacing w:after="0" w:line="240" w:lineRule="auto"/>
        <w:rPr>
          <w:rFonts w:ascii="Times New Roman" w:eastAsia="Calibri" w:hAnsi="Times New Roman" w:cs="Times New Roman"/>
        </w:rPr>
      </w:pPr>
    </w:p>
    <w:p w14:paraId="01313916" w14:textId="7BDBF99C" w:rsidR="00506BE7" w:rsidRDefault="008E332A">
      <w:pPr>
        <w:widowControl w:val="0"/>
        <w:spacing w:after="0" w:line="240" w:lineRule="auto"/>
        <w:rPr>
          <w:rFonts w:ascii="Times New Roman" w:eastAsia="Times New Roman" w:hAnsi="Times New Roman" w:cs="Times New Roman"/>
          <w:b/>
          <w:bCs/>
        </w:rPr>
      </w:pPr>
      <w:r>
        <w:rPr>
          <w:rFonts w:ascii="Times New Roman" w:eastAsia="Calibri" w:hAnsi="Times New Roman" w:cs="Times New Roman"/>
          <w:b/>
        </w:rPr>
        <w:t xml:space="preserve">Šis pakuotės lapelis paskutinį kartą peržiūrėtas </w:t>
      </w:r>
      <w:r w:rsidR="0021618A">
        <w:rPr>
          <w:rFonts w:ascii="Times New Roman" w:eastAsia="Times New Roman" w:hAnsi="Times New Roman"/>
          <w:b/>
          <w:bCs/>
        </w:rPr>
        <w:t>2025-04-13</w:t>
      </w:r>
      <w:r>
        <w:rPr>
          <w:rFonts w:ascii="Times New Roman" w:eastAsia="Times New Roman" w:hAnsi="Times New Roman" w:cs="Times New Roman"/>
          <w:b/>
          <w:bCs/>
        </w:rPr>
        <w:t>.</w:t>
      </w:r>
    </w:p>
    <w:p w14:paraId="5867A4BB" w14:textId="77777777" w:rsidR="00506BE7" w:rsidRDefault="00506BE7">
      <w:pPr>
        <w:widowControl w:val="0"/>
        <w:spacing w:after="0" w:line="240" w:lineRule="auto"/>
        <w:rPr>
          <w:rFonts w:ascii="Times New Roman" w:eastAsia="Calibri" w:hAnsi="Times New Roman" w:cs="Times New Roman"/>
          <w:b/>
        </w:rPr>
      </w:pPr>
    </w:p>
    <w:p w14:paraId="1B278C6E" w14:textId="77777777" w:rsidR="00506BE7" w:rsidRDefault="00506BE7">
      <w:pPr>
        <w:widowControl w:val="0"/>
        <w:spacing w:after="0" w:line="240" w:lineRule="auto"/>
        <w:rPr>
          <w:rFonts w:ascii="Times New Roman" w:eastAsia="Calibri" w:hAnsi="Times New Roman" w:cs="Times New Roman"/>
        </w:rPr>
      </w:pPr>
    </w:p>
    <w:p w14:paraId="57430584" w14:textId="08E2A787" w:rsidR="00506BE7" w:rsidRDefault="008E332A">
      <w:pPr>
        <w:widowControl w:val="0"/>
        <w:numPr>
          <w:ilvl w:val="12"/>
          <w:numId w:val="0"/>
        </w:numPr>
        <w:spacing w:after="0" w:line="240" w:lineRule="auto"/>
        <w:ind w:right="-2"/>
        <w:rPr>
          <w:rFonts w:ascii="Times New Roman" w:eastAsia="Calibri" w:hAnsi="Times New Roman" w:cs="Times New Roman"/>
          <w:lang w:val="sl-SI"/>
        </w:rPr>
      </w:pPr>
      <w:r>
        <w:rPr>
          <w:rFonts w:ascii="Times New Roman" w:eastAsia="Calibri" w:hAnsi="Times New Roman" w:cs="Times New Roman"/>
        </w:rPr>
        <w:t>Išsami informacija apie šį vaistą pateikiama Valstybinės vaistų kontrolės tarnybos prie Lietuvos Respublikos sveikatos apsaugos ministerijos tinklalapyje</w:t>
      </w:r>
      <w:r>
        <w:rPr>
          <w:rFonts w:ascii="Times New Roman" w:eastAsia="Calibri" w:hAnsi="Times New Roman" w:cs="Times New Roman"/>
          <w:i/>
        </w:rPr>
        <w:t xml:space="preserve"> </w:t>
      </w:r>
      <w:r w:rsidRPr="008E332A">
        <w:rPr>
          <w:rFonts w:ascii="Times New Roman" w:eastAsia="Times New Roman" w:hAnsi="Times New Roman" w:cs="Times New Roman"/>
          <w:color w:val="0000EE"/>
          <w:u w:val="single"/>
          <w:lang w:eastAsia="lt-LT"/>
        </w:rPr>
        <w:t>https://vvkt.lrv.lt/lt/.</w:t>
      </w:r>
      <w:r>
        <w:rPr>
          <w:rFonts w:ascii="Times New Roman" w:eastAsia="Calibri" w:hAnsi="Times New Roman" w:cs="Times New Roman"/>
        </w:rPr>
        <w:t>.</w:t>
      </w:r>
    </w:p>
    <w:p w14:paraId="41378394" w14:textId="77777777" w:rsidR="00506BE7" w:rsidRDefault="00506BE7">
      <w:pPr>
        <w:widowControl w:val="0"/>
        <w:spacing w:after="0" w:line="240" w:lineRule="auto"/>
        <w:ind w:left="567" w:hanging="567"/>
        <w:rPr>
          <w:rFonts w:ascii="Times New Roman" w:hAnsi="Times New Roman" w:cs="Times New Roman"/>
        </w:rPr>
      </w:pPr>
    </w:p>
    <w:sectPr w:rsidR="00506BE7">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EFA0B" w14:textId="77777777" w:rsidR="00DA4B46" w:rsidRDefault="00DA4B46">
      <w:pPr>
        <w:spacing w:after="0" w:line="240" w:lineRule="auto"/>
      </w:pPr>
      <w:r>
        <w:separator/>
      </w:r>
    </w:p>
  </w:endnote>
  <w:endnote w:type="continuationSeparator" w:id="0">
    <w:p w14:paraId="7EC876CE" w14:textId="77777777" w:rsidR="00DA4B46" w:rsidRDefault="00DA4B46">
      <w:pPr>
        <w:spacing w:after="0" w:line="240" w:lineRule="auto"/>
      </w:pPr>
      <w:r>
        <w:continuationSeparator/>
      </w:r>
    </w:p>
  </w:endnote>
  <w:endnote w:type="continuationNotice" w:id="1">
    <w:p w14:paraId="0FFD0D01" w14:textId="77777777" w:rsidR="00DA4B46" w:rsidRDefault="00DA4B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1D41B" w14:textId="77777777" w:rsidR="00506BE7" w:rsidRDefault="008E332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342CD3F" w14:textId="77777777" w:rsidR="00506BE7" w:rsidRDefault="00506BE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8C9BA" w14:textId="77777777" w:rsidR="00506BE7" w:rsidRDefault="00506BE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91649" w14:textId="77777777" w:rsidR="00506BE7" w:rsidRDefault="00506BE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75CA28" w14:textId="77777777" w:rsidR="00DA4B46" w:rsidRDefault="00DA4B46">
      <w:pPr>
        <w:spacing w:after="0" w:line="240" w:lineRule="auto"/>
      </w:pPr>
      <w:r>
        <w:separator/>
      </w:r>
    </w:p>
  </w:footnote>
  <w:footnote w:type="continuationSeparator" w:id="0">
    <w:p w14:paraId="75012C7C" w14:textId="77777777" w:rsidR="00DA4B46" w:rsidRDefault="00DA4B46">
      <w:pPr>
        <w:spacing w:after="0" w:line="240" w:lineRule="auto"/>
      </w:pPr>
      <w:r>
        <w:continuationSeparator/>
      </w:r>
    </w:p>
  </w:footnote>
  <w:footnote w:type="continuationNotice" w:id="1">
    <w:p w14:paraId="3171BFE6" w14:textId="77777777" w:rsidR="00DA4B46" w:rsidRDefault="00DA4B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A0AEE" w14:textId="77777777" w:rsidR="00506BE7" w:rsidRDefault="00506BE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75A62" w14:textId="77777777" w:rsidR="00506BE7" w:rsidRDefault="00506BE7">
    <w:pPr>
      <w:spacing w:line="20" w:lineRule="exact"/>
    </w:pPr>
  </w:p>
  <w:p w14:paraId="25C3476E" w14:textId="77777777" w:rsidR="00506BE7" w:rsidRDefault="00506BE7">
    <w:pPr>
      <w:pStyle w:val="Antrats"/>
    </w:pPr>
    <w:bookmarkStart w:id="80" w:name="TableTag1"/>
    <w:bookmarkEnd w:id="8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E6A43" w14:textId="77777777" w:rsidR="00506BE7" w:rsidRDefault="00506BE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350"/>
    <w:multiLevelType w:val="hybridMultilevel"/>
    <w:tmpl w:val="000022EE"/>
    <w:lvl w:ilvl="0" w:tplc="00004B40">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1E85BE4"/>
    <w:multiLevelType w:val="hybridMultilevel"/>
    <w:tmpl w:val="FACE4E6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905F4"/>
    <w:multiLevelType w:val="hybridMultilevel"/>
    <w:tmpl w:val="477A8762"/>
    <w:lvl w:ilvl="0" w:tplc="B13CE612">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6E0A48"/>
    <w:multiLevelType w:val="hybridMultilevel"/>
    <w:tmpl w:val="543E5BB4"/>
    <w:lvl w:ilvl="0" w:tplc="71B0FED2">
      <w:start w:val="1"/>
      <w:numFmt w:val="bullet"/>
      <w:lvlText w:val="-"/>
      <w:lvlJc w:val="left"/>
      <w:pPr>
        <w:ind w:left="1620" w:hanging="360"/>
      </w:pPr>
      <w:rPr>
        <w:rFonts w:hAnsi="Arial" w:hint="default"/>
      </w:rPr>
    </w:lvl>
    <w:lvl w:ilvl="1" w:tplc="04270003" w:tentative="1">
      <w:start w:val="1"/>
      <w:numFmt w:val="bullet"/>
      <w:lvlText w:val="o"/>
      <w:lvlJc w:val="left"/>
      <w:pPr>
        <w:ind w:left="2340" w:hanging="360"/>
      </w:pPr>
      <w:rPr>
        <w:rFonts w:ascii="Courier New" w:hAnsi="Courier New" w:cs="Courier New" w:hint="default"/>
      </w:rPr>
    </w:lvl>
    <w:lvl w:ilvl="2" w:tplc="04270005" w:tentative="1">
      <w:start w:val="1"/>
      <w:numFmt w:val="bullet"/>
      <w:lvlText w:val=""/>
      <w:lvlJc w:val="left"/>
      <w:pPr>
        <w:ind w:left="3060" w:hanging="360"/>
      </w:pPr>
      <w:rPr>
        <w:rFonts w:ascii="Wingdings" w:hAnsi="Wingdings" w:hint="default"/>
      </w:rPr>
    </w:lvl>
    <w:lvl w:ilvl="3" w:tplc="04270001" w:tentative="1">
      <w:start w:val="1"/>
      <w:numFmt w:val="bullet"/>
      <w:lvlText w:val=""/>
      <w:lvlJc w:val="left"/>
      <w:pPr>
        <w:ind w:left="3780" w:hanging="360"/>
      </w:pPr>
      <w:rPr>
        <w:rFonts w:ascii="Symbol" w:hAnsi="Symbol" w:hint="default"/>
      </w:rPr>
    </w:lvl>
    <w:lvl w:ilvl="4" w:tplc="04270003" w:tentative="1">
      <w:start w:val="1"/>
      <w:numFmt w:val="bullet"/>
      <w:lvlText w:val="o"/>
      <w:lvlJc w:val="left"/>
      <w:pPr>
        <w:ind w:left="4500" w:hanging="360"/>
      </w:pPr>
      <w:rPr>
        <w:rFonts w:ascii="Courier New" w:hAnsi="Courier New" w:cs="Courier New" w:hint="default"/>
      </w:rPr>
    </w:lvl>
    <w:lvl w:ilvl="5" w:tplc="04270005" w:tentative="1">
      <w:start w:val="1"/>
      <w:numFmt w:val="bullet"/>
      <w:lvlText w:val=""/>
      <w:lvlJc w:val="left"/>
      <w:pPr>
        <w:ind w:left="5220" w:hanging="360"/>
      </w:pPr>
      <w:rPr>
        <w:rFonts w:ascii="Wingdings" w:hAnsi="Wingdings" w:hint="default"/>
      </w:rPr>
    </w:lvl>
    <w:lvl w:ilvl="6" w:tplc="04270001" w:tentative="1">
      <w:start w:val="1"/>
      <w:numFmt w:val="bullet"/>
      <w:lvlText w:val=""/>
      <w:lvlJc w:val="left"/>
      <w:pPr>
        <w:ind w:left="5940" w:hanging="360"/>
      </w:pPr>
      <w:rPr>
        <w:rFonts w:ascii="Symbol" w:hAnsi="Symbol" w:hint="default"/>
      </w:rPr>
    </w:lvl>
    <w:lvl w:ilvl="7" w:tplc="04270003" w:tentative="1">
      <w:start w:val="1"/>
      <w:numFmt w:val="bullet"/>
      <w:lvlText w:val="o"/>
      <w:lvlJc w:val="left"/>
      <w:pPr>
        <w:ind w:left="6660" w:hanging="360"/>
      </w:pPr>
      <w:rPr>
        <w:rFonts w:ascii="Courier New" w:hAnsi="Courier New" w:cs="Courier New" w:hint="default"/>
      </w:rPr>
    </w:lvl>
    <w:lvl w:ilvl="8" w:tplc="04270005" w:tentative="1">
      <w:start w:val="1"/>
      <w:numFmt w:val="bullet"/>
      <w:lvlText w:val=""/>
      <w:lvlJc w:val="left"/>
      <w:pPr>
        <w:ind w:left="7380" w:hanging="360"/>
      </w:pPr>
      <w:rPr>
        <w:rFonts w:ascii="Wingdings" w:hAnsi="Wingdings" w:hint="default"/>
      </w:rPr>
    </w:lvl>
  </w:abstractNum>
  <w:abstractNum w:abstractNumId="4" w15:restartNumberingAfterBreak="0">
    <w:nsid w:val="07241797"/>
    <w:multiLevelType w:val="hybridMultilevel"/>
    <w:tmpl w:val="B28298F2"/>
    <w:lvl w:ilvl="0" w:tplc="7DA6AC90">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AB57678"/>
    <w:multiLevelType w:val="hybridMultilevel"/>
    <w:tmpl w:val="22D21D84"/>
    <w:lvl w:ilvl="0" w:tplc="0A1C3EA2">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B5B64D4"/>
    <w:multiLevelType w:val="hybridMultilevel"/>
    <w:tmpl w:val="DA487EF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 w15:restartNumberingAfterBreak="0">
    <w:nsid w:val="0F613DFA"/>
    <w:multiLevelType w:val="hybridMultilevel"/>
    <w:tmpl w:val="A21A6742"/>
    <w:lvl w:ilvl="0" w:tplc="04F80370">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129D3BBE"/>
    <w:multiLevelType w:val="hybridMultilevel"/>
    <w:tmpl w:val="74C659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3F67E69"/>
    <w:multiLevelType w:val="hybridMultilevel"/>
    <w:tmpl w:val="F24E5E02"/>
    <w:lvl w:ilvl="0" w:tplc="71E03B22">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8F11D4D"/>
    <w:multiLevelType w:val="hybridMultilevel"/>
    <w:tmpl w:val="98F2E472"/>
    <w:lvl w:ilvl="0" w:tplc="CAAE2B68">
      <w:start w:val="4"/>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9866C6A"/>
    <w:multiLevelType w:val="hybridMultilevel"/>
    <w:tmpl w:val="4000B1C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43031D"/>
    <w:multiLevelType w:val="hybridMultilevel"/>
    <w:tmpl w:val="2014FB8E"/>
    <w:lvl w:ilvl="0" w:tplc="200E42E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75530F3"/>
    <w:multiLevelType w:val="hybridMultilevel"/>
    <w:tmpl w:val="548E50B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D57A67"/>
    <w:multiLevelType w:val="hybridMultilevel"/>
    <w:tmpl w:val="33081EE2"/>
    <w:lvl w:ilvl="0" w:tplc="04F80370">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F91AF2"/>
    <w:multiLevelType w:val="hybridMultilevel"/>
    <w:tmpl w:val="E4D67344"/>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5157D1"/>
    <w:multiLevelType w:val="hybridMultilevel"/>
    <w:tmpl w:val="55A05394"/>
    <w:lvl w:ilvl="0" w:tplc="04F8037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8902FA9"/>
    <w:multiLevelType w:val="hybridMultilevel"/>
    <w:tmpl w:val="1FDEE1AC"/>
    <w:lvl w:ilvl="0" w:tplc="04F8037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C1111B4"/>
    <w:multiLevelType w:val="hybridMultilevel"/>
    <w:tmpl w:val="C08EB18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E10F20"/>
    <w:multiLevelType w:val="hybridMultilevel"/>
    <w:tmpl w:val="E97A937C"/>
    <w:lvl w:ilvl="0" w:tplc="04F80370">
      <w:start w:val="1"/>
      <w:numFmt w:val="bullet"/>
      <w:lvlText w:val="-"/>
      <w:lvlJc w:val="left"/>
      <w:pPr>
        <w:tabs>
          <w:tab w:val="num" w:pos="720"/>
        </w:tabs>
        <w:ind w:left="72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5F764B"/>
    <w:multiLevelType w:val="hybridMultilevel"/>
    <w:tmpl w:val="741E446A"/>
    <w:lvl w:ilvl="0" w:tplc="1F9E4F9C">
      <w:numFmt w:val="bullet"/>
      <w:pStyle w:val="BT-EMEASMCA"/>
      <w:lvlText w:val="-"/>
      <w:lvlJc w:val="left"/>
      <w:pPr>
        <w:ind w:left="1260" w:hanging="360"/>
      </w:pPr>
      <w:rPr>
        <w:rFonts w:ascii="Times New Roman" w:eastAsia="Times New Roman" w:hAnsi="Times New Roman" w:cs="Times New Roman" w:hint="default"/>
      </w:rPr>
    </w:lvl>
    <w:lvl w:ilvl="1" w:tplc="04270003">
      <w:start w:val="1"/>
      <w:numFmt w:val="bullet"/>
      <w:lvlText w:val="o"/>
      <w:lvlJc w:val="left"/>
      <w:pPr>
        <w:ind w:left="1980" w:hanging="360"/>
      </w:pPr>
      <w:rPr>
        <w:rFonts w:ascii="Courier New" w:hAnsi="Courier New" w:cs="Courier New" w:hint="default"/>
      </w:rPr>
    </w:lvl>
    <w:lvl w:ilvl="2" w:tplc="04270005">
      <w:start w:val="1"/>
      <w:numFmt w:val="bullet"/>
      <w:lvlText w:val=""/>
      <w:lvlJc w:val="left"/>
      <w:pPr>
        <w:ind w:left="2700" w:hanging="360"/>
      </w:pPr>
      <w:rPr>
        <w:rFonts w:ascii="Wingdings" w:hAnsi="Wingdings" w:hint="default"/>
      </w:rPr>
    </w:lvl>
    <w:lvl w:ilvl="3" w:tplc="04270001">
      <w:start w:val="1"/>
      <w:numFmt w:val="bullet"/>
      <w:lvlText w:val=""/>
      <w:lvlJc w:val="left"/>
      <w:pPr>
        <w:ind w:left="3420" w:hanging="360"/>
      </w:pPr>
      <w:rPr>
        <w:rFonts w:ascii="Symbol" w:hAnsi="Symbol" w:hint="default"/>
      </w:rPr>
    </w:lvl>
    <w:lvl w:ilvl="4" w:tplc="04270003">
      <w:start w:val="1"/>
      <w:numFmt w:val="bullet"/>
      <w:lvlText w:val="o"/>
      <w:lvlJc w:val="left"/>
      <w:pPr>
        <w:ind w:left="4140" w:hanging="360"/>
      </w:pPr>
      <w:rPr>
        <w:rFonts w:ascii="Courier New" w:hAnsi="Courier New" w:cs="Courier New" w:hint="default"/>
      </w:rPr>
    </w:lvl>
    <w:lvl w:ilvl="5" w:tplc="04270005">
      <w:start w:val="1"/>
      <w:numFmt w:val="bullet"/>
      <w:lvlText w:val=""/>
      <w:lvlJc w:val="left"/>
      <w:pPr>
        <w:ind w:left="4860" w:hanging="360"/>
      </w:pPr>
      <w:rPr>
        <w:rFonts w:ascii="Wingdings" w:hAnsi="Wingdings" w:hint="default"/>
      </w:rPr>
    </w:lvl>
    <w:lvl w:ilvl="6" w:tplc="04270001">
      <w:start w:val="1"/>
      <w:numFmt w:val="bullet"/>
      <w:lvlText w:val=""/>
      <w:lvlJc w:val="left"/>
      <w:pPr>
        <w:ind w:left="5580" w:hanging="360"/>
      </w:pPr>
      <w:rPr>
        <w:rFonts w:ascii="Symbol" w:hAnsi="Symbol" w:hint="default"/>
      </w:rPr>
    </w:lvl>
    <w:lvl w:ilvl="7" w:tplc="04270003">
      <w:start w:val="1"/>
      <w:numFmt w:val="bullet"/>
      <w:lvlText w:val="o"/>
      <w:lvlJc w:val="left"/>
      <w:pPr>
        <w:ind w:left="6300" w:hanging="360"/>
      </w:pPr>
      <w:rPr>
        <w:rFonts w:ascii="Courier New" w:hAnsi="Courier New" w:cs="Courier New" w:hint="default"/>
      </w:rPr>
    </w:lvl>
    <w:lvl w:ilvl="8" w:tplc="04270005">
      <w:start w:val="1"/>
      <w:numFmt w:val="bullet"/>
      <w:lvlText w:val=""/>
      <w:lvlJc w:val="left"/>
      <w:pPr>
        <w:ind w:left="7020" w:hanging="360"/>
      </w:pPr>
      <w:rPr>
        <w:rFonts w:ascii="Wingdings" w:hAnsi="Wingdings" w:hint="default"/>
      </w:rPr>
    </w:lvl>
  </w:abstractNum>
  <w:abstractNum w:abstractNumId="21" w15:restartNumberingAfterBreak="0">
    <w:nsid w:val="468A5E66"/>
    <w:multiLevelType w:val="hybridMultilevel"/>
    <w:tmpl w:val="761C9E0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A21AD9"/>
    <w:multiLevelType w:val="hybridMultilevel"/>
    <w:tmpl w:val="DE74B69C"/>
    <w:lvl w:ilvl="0" w:tplc="B8262522">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4CFD3CA3"/>
    <w:multiLevelType w:val="hybridMultilevel"/>
    <w:tmpl w:val="D86E6BEC"/>
    <w:lvl w:ilvl="0" w:tplc="7FD6CF86">
      <w:numFmt w:val="bullet"/>
      <w:lvlText w:val="‐"/>
      <w:lvlJc w:val="left"/>
      <w:pPr>
        <w:ind w:left="360" w:hanging="360"/>
      </w:pPr>
      <w:rPr>
        <w:rFonts w:ascii="Calibri" w:eastAsia="Calibri" w:hAnsi="Calibri" w:cs="Times New Roman" w:hint="default"/>
      </w:rPr>
    </w:lvl>
    <w:lvl w:ilvl="1" w:tplc="04080003">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4" w15:restartNumberingAfterBreak="0">
    <w:nsid w:val="5C3518E8"/>
    <w:multiLevelType w:val="hybridMultilevel"/>
    <w:tmpl w:val="4524EB7C"/>
    <w:lvl w:ilvl="0" w:tplc="04F80370">
      <w:start w:val="1"/>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25" w15:restartNumberingAfterBreak="0">
    <w:nsid w:val="5FCB3D56"/>
    <w:multiLevelType w:val="hybridMultilevel"/>
    <w:tmpl w:val="BCD6D516"/>
    <w:lvl w:ilvl="0" w:tplc="31CE185C">
      <w:start w:val="1"/>
      <w:numFmt w:val="bullet"/>
      <w:lvlText w:val=""/>
      <w:lvlJc w:val="left"/>
      <w:pPr>
        <w:tabs>
          <w:tab w:val="num" w:pos="567"/>
        </w:tabs>
        <w:ind w:left="567" w:hanging="567"/>
      </w:pPr>
      <w:rPr>
        <w:rFonts w:ascii="Symbol" w:hAnsi="Symbol" w:hint="default"/>
      </w:rPr>
    </w:lvl>
    <w:lvl w:ilvl="1" w:tplc="04F80370">
      <w:start w:val="1"/>
      <w:numFmt w:val="bullet"/>
      <w:lvlText w:val="-"/>
      <w:lvlJc w:val="left"/>
      <w:pPr>
        <w:tabs>
          <w:tab w:val="num" w:pos="1440"/>
        </w:tabs>
        <w:ind w:left="1440" w:hanging="360"/>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444107"/>
    <w:multiLevelType w:val="hybridMultilevel"/>
    <w:tmpl w:val="E54089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223263F"/>
    <w:multiLevelType w:val="hybridMultilevel"/>
    <w:tmpl w:val="CCCC6B9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0E112F"/>
    <w:multiLevelType w:val="hybridMultilevel"/>
    <w:tmpl w:val="D228EAEC"/>
    <w:lvl w:ilvl="0" w:tplc="7FD6CF86">
      <w:numFmt w:val="bullet"/>
      <w:lvlText w:val="‐"/>
      <w:lvlJc w:val="left"/>
      <w:pPr>
        <w:ind w:left="360" w:hanging="360"/>
      </w:pPr>
      <w:rPr>
        <w:rFonts w:ascii="Calibri" w:eastAsia="Calibri" w:hAnsi="Calibri" w:cs="Times New Roman"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6FC777A0"/>
    <w:multiLevelType w:val="hybridMultilevel"/>
    <w:tmpl w:val="0C94FA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4B04CD5"/>
    <w:multiLevelType w:val="hybridMultilevel"/>
    <w:tmpl w:val="A87896F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A351CD"/>
    <w:multiLevelType w:val="hybridMultilevel"/>
    <w:tmpl w:val="F83CAF98"/>
    <w:lvl w:ilvl="0" w:tplc="04F80370">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C842F2"/>
    <w:multiLevelType w:val="hybridMultilevel"/>
    <w:tmpl w:val="E092DD52"/>
    <w:lvl w:ilvl="0" w:tplc="04F8037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680513C"/>
    <w:multiLevelType w:val="hybridMultilevel"/>
    <w:tmpl w:val="71680734"/>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9A0348C"/>
    <w:multiLevelType w:val="hybridMultilevel"/>
    <w:tmpl w:val="1CBA63EA"/>
    <w:lvl w:ilvl="0" w:tplc="04F80370">
      <w:start w:val="1"/>
      <w:numFmt w:val="bullet"/>
      <w:lvlText w:val="-"/>
      <w:lvlJc w:val="left"/>
      <w:pPr>
        <w:tabs>
          <w:tab w:val="num" w:pos="567"/>
        </w:tabs>
        <w:ind w:left="567" w:hanging="567"/>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C092915"/>
    <w:multiLevelType w:val="hybridMultilevel"/>
    <w:tmpl w:val="69F0AB9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5E7B5E"/>
    <w:multiLevelType w:val="hybridMultilevel"/>
    <w:tmpl w:val="2A7C345E"/>
    <w:lvl w:ilvl="0" w:tplc="04F8037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CCE2CD3"/>
    <w:multiLevelType w:val="hybridMultilevel"/>
    <w:tmpl w:val="91B8C4F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13033C"/>
    <w:multiLevelType w:val="hybridMultilevel"/>
    <w:tmpl w:val="43580A6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0"/>
  </w:num>
  <w:num w:numId="3">
    <w:abstractNumId w:val="3"/>
  </w:num>
  <w:num w:numId="4">
    <w:abstractNumId w:val="17"/>
  </w:num>
  <w:num w:numId="5">
    <w:abstractNumId w:val="16"/>
  </w:num>
  <w:num w:numId="6">
    <w:abstractNumId w:val="1"/>
  </w:num>
  <w:num w:numId="7">
    <w:abstractNumId w:val="35"/>
  </w:num>
  <w:num w:numId="8">
    <w:abstractNumId w:val="37"/>
  </w:num>
  <w:num w:numId="9">
    <w:abstractNumId w:val="34"/>
  </w:num>
  <w:num w:numId="10">
    <w:abstractNumId w:val="15"/>
  </w:num>
  <w:num w:numId="11">
    <w:abstractNumId w:val="31"/>
  </w:num>
  <w:num w:numId="12">
    <w:abstractNumId w:val="21"/>
  </w:num>
  <w:num w:numId="13">
    <w:abstractNumId w:val="19"/>
  </w:num>
  <w:num w:numId="14">
    <w:abstractNumId w:val="27"/>
  </w:num>
  <w:num w:numId="15">
    <w:abstractNumId w:val="36"/>
  </w:num>
  <w:num w:numId="16">
    <w:abstractNumId w:val="13"/>
  </w:num>
  <w:num w:numId="17">
    <w:abstractNumId w:val="18"/>
  </w:num>
  <w:num w:numId="18">
    <w:abstractNumId w:val="30"/>
  </w:num>
  <w:num w:numId="19">
    <w:abstractNumId w:val="14"/>
  </w:num>
  <w:num w:numId="20">
    <w:abstractNumId w:val="7"/>
  </w:num>
  <w:num w:numId="21">
    <w:abstractNumId w:val="25"/>
  </w:num>
  <w:num w:numId="22">
    <w:abstractNumId w:val="11"/>
  </w:num>
  <w:num w:numId="23">
    <w:abstractNumId w:val="8"/>
  </w:num>
  <w:num w:numId="24">
    <w:abstractNumId w:val="29"/>
  </w:num>
  <w:num w:numId="25">
    <w:abstractNumId w:val="26"/>
  </w:num>
  <w:num w:numId="26">
    <w:abstractNumId w:val="32"/>
  </w:num>
  <w:num w:numId="27">
    <w:abstractNumId w:val="38"/>
  </w:num>
  <w:num w:numId="28">
    <w:abstractNumId w:val="6"/>
  </w:num>
  <w:num w:numId="29">
    <w:abstractNumId w:val="22"/>
  </w:num>
  <w:num w:numId="30">
    <w:abstractNumId w:val="23"/>
  </w:num>
  <w:num w:numId="31">
    <w:abstractNumId w:val="28"/>
  </w:num>
  <w:num w:numId="32">
    <w:abstractNumId w:val="12"/>
  </w:num>
  <w:num w:numId="33">
    <w:abstractNumId w:val="4"/>
  </w:num>
  <w:num w:numId="34">
    <w:abstractNumId w:val="5"/>
  </w:num>
  <w:num w:numId="35">
    <w:abstractNumId w:val="9"/>
  </w:num>
  <w:num w:numId="36">
    <w:abstractNumId w:val="10"/>
  </w:num>
  <w:num w:numId="37">
    <w:abstractNumId w:val="2"/>
  </w:num>
  <w:num w:numId="38">
    <w:abstractNumId w:val="24"/>
  </w:num>
  <w:num w:numId="39">
    <w:abstractNumId w:val="33"/>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BE7"/>
    <w:rsid w:val="000C0821"/>
    <w:rsid w:val="00171250"/>
    <w:rsid w:val="0021618A"/>
    <w:rsid w:val="00287E9E"/>
    <w:rsid w:val="00435B6E"/>
    <w:rsid w:val="004B3F24"/>
    <w:rsid w:val="00506BE7"/>
    <w:rsid w:val="005E0792"/>
    <w:rsid w:val="005F6077"/>
    <w:rsid w:val="008827FA"/>
    <w:rsid w:val="008E332A"/>
    <w:rsid w:val="009360C2"/>
    <w:rsid w:val="0097013C"/>
    <w:rsid w:val="00975F37"/>
    <w:rsid w:val="00CC0802"/>
    <w:rsid w:val="00D1612D"/>
    <w:rsid w:val="00DA4B46"/>
    <w:rsid w:val="00DF7916"/>
    <w:rsid w:val="00E0379B"/>
    <w:rsid w:val="00E71904"/>
    <w:rsid w:val="00E806CE"/>
    <w:rsid w:val="00EB2BB5"/>
    <w:rsid w:val="00ED6D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22299"/>
  <w15:chartTrackingRefBased/>
  <w15:docId w15:val="{54B7D048-5CF2-4B04-AA8A-F809EE8A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qFormat/>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qFormat/>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qFormat/>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5">
    <w:name w:val="heading 5"/>
    <w:basedOn w:val="prastasis"/>
    <w:next w:val="prastasis"/>
    <w:link w:val="Antrat5Diagrama"/>
    <w:semiHidden/>
    <w:unhideWhenUsed/>
    <w:qFormat/>
    <w:pPr>
      <w:spacing w:after="0" w:line="240" w:lineRule="auto"/>
      <w:outlineLvl w:val="4"/>
    </w:pPr>
    <w:rPr>
      <w:rFonts w:ascii="Times New Roman" w:eastAsia="Times New Roman" w:hAnsi="Times New Roman" w:cs="Times New Roman"/>
      <w:i/>
      <w:sz w:val="24"/>
      <w:szCs w:val="24"/>
      <w:lang w:val="en-GB"/>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semiHidden/>
    <w:rPr>
      <w:rFonts w:ascii="Times New Roman" w:eastAsia="Times New Roman" w:hAnsi="Times New Roman" w:cs="Times New Roman"/>
      <w:i/>
      <w:sz w:val="24"/>
      <w:szCs w:val="24"/>
      <w:lang w:val="en-GB"/>
    </w:rPr>
  </w:style>
  <w:style w:type="character" w:customStyle="1" w:styleId="Antrat6Diagrama">
    <w:name w:val="Antraštė 6 Diagrama"/>
    <w:basedOn w:val="Numatytasispastraiposriftas"/>
    <w:link w:val="Antrat6"/>
    <w:rPr>
      <w:rFonts w:ascii="Times New Roman" w:eastAsia="Times New Roman" w:hAnsi="Times New Roman" w:cs="Times New Roman"/>
      <w:b/>
      <w:sz w:val="24"/>
      <w:szCs w:val="20"/>
      <w:lang w:val="en-US" w:eastAsia="sl-SI"/>
    </w:rPr>
  </w:style>
  <w:style w:type="numbering" w:customStyle="1" w:styleId="Sraonra1">
    <w:name w:val="Sąrašo nėra1"/>
    <w:next w:val="Sraonra"/>
    <w:uiPriority w:val="99"/>
    <w:semiHidden/>
    <w:unhideWhenUsed/>
  </w:style>
  <w:style w:type="numbering" w:customStyle="1" w:styleId="Sraonra11">
    <w:name w:val="Sąrašo nėra11"/>
    <w:next w:val="Sraonra"/>
    <w:uiPriority w:val="99"/>
    <w:semiHidden/>
    <w:unhideWhenUsed/>
  </w:style>
  <w:style w:type="paragraph" w:styleId="Antrats">
    <w:name w:val="header"/>
    <w:basedOn w:val="prastasis"/>
    <w:link w:val="AntratsDiagrama"/>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Pr>
      <w:rFonts w:ascii="Times New Roman" w:eastAsia="Times New Roman" w:hAnsi="Times New Roman" w:cs="Times New Roman"/>
      <w:sz w:val="24"/>
      <w:szCs w:val="20"/>
      <w:lang w:val="sl-SI" w:eastAsia="sl-SI"/>
    </w:rPr>
  </w:style>
  <w:style w:type="table" w:styleId="Lentelstinklelis">
    <w:name w:val="Table Grid"/>
    <w:basedOn w:val="prastojilentel"/>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uiPriority w:val="99"/>
    <w:rPr>
      <w:rFonts w:ascii="Times New Roman" w:hAnsi="Times New Roman"/>
      <w:color w:val="auto"/>
      <w:sz w:val="24"/>
      <w:szCs w:val="24"/>
      <w:u w:val="single"/>
      <w:lang w:val="en-US"/>
    </w:rPr>
  </w:style>
  <w:style w:type="character" w:styleId="Perirtashipersaitas">
    <w:name w:val="FollowedHyperlink"/>
    <w:uiPriority w:val="99"/>
    <w:rPr>
      <w:color w:val="800080"/>
      <w:u w:val="single"/>
    </w:rPr>
  </w:style>
  <w:style w:type="paragraph" w:styleId="Paprastasistekstas">
    <w:name w:val="Plain Text"/>
    <w:basedOn w:val="prastasis"/>
    <w:link w:val="PaprastasistekstasDiagrama"/>
    <w:uiPriority w:val="99"/>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uiPriority w:val="99"/>
    <w:rPr>
      <w:rFonts w:ascii="Courier New" w:eastAsia="Times New Roman" w:hAnsi="Courier New" w:cs="Times New Roman"/>
      <w:sz w:val="20"/>
      <w:szCs w:val="20"/>
      <w:lang w:val="en-GB" w:eastAsia="sl-SI"/>
    </w:rPr>
  </w:style>
  <w:style w:type="paragraph" w:styleId="Antrat">
    <w:name w:val="caption"/>
    <w:basedOn w:val="prastasis"/>
    <w:next w:val="prastasis"/>
    <w:qFormat/>
    <w:pPr>
      <w:spacing w:after="0" w:line="240" w:lineRule="auto"/>
      <w:jc w:val="both"/>
    </w:pPr>
    <w:rPr>
      <w:rFonts w:ascii="Times New Roman" w:eastAsia="Times New Roman" w:hAnsi="Times New Roman" w:cs="Times New Roman"/>
      <w:sz w:val="24"/>
      <w:szCs w:val="20"/>
      <w:lang w:val="en-GB" w:eastAsia="sl-SI"/>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after="0" w:line="240" w:lineRule="auto"/>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pPr>
      <w:numPr>
        <w:ilvl w:val="12"/>
      </w:numPr>
      <w:tabs>
        <w:tab w:val="left" w:pos="8505"/>
      </w:tabs>
      <w:spacing w:after="0" w:line="240" w:lineRule="auto"/>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rPr>
      <w:rFonts w:ascii="Times New Roman" w:eastAsia="Times New Roman" w:hAnsi="Times New Roman" w:cs="Times New Roman"/>
      <w:sz w:val="24"/>
      <w:szCs w:val="20"/>
      <w:lang w:val="sl-SI" w:eastAsia="sl-SI"/>
    </w:rPr>
  </w:style>
  <w:style w:type="paragraph" w:customStyle="1" w:styleId="EMEAEnBodyText">
    <w:name w:val="EMEA En Body Text"/>
    <w:basedOn w:val="prastasis"/>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numbering" w:customStyle="1" w:styleId="Brezseznama1">
    <w:name w:val="Brez seznama1"/>
    <w:next w:val="Sraonra"/>
    <w:uiPriority w:val="99"/>
    <w:semiHidden/>
    <w:unhideWhenUsed/>
  </w:style>
  <w:style w:type="paragraph" w:styleId="Komentarotekstas">
    <w:name w:val="annotation text"/>
    <w:basedOn w:val="prastasis"/>
    <w:link w:val="KomentarotekstasDiagrama"/>
    <w:unhideWhenUsed/>
    <w:pPr>
      <w:spacing w:after="0" w:line="240" w:lineRule="auto"/>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rPr>
      <w:rFonts w:ascii="Times New Roman" w:eastAsia="Times New Roman" w:hAnsi="Times New Roman" w:cs="Times New Roman"/>
      <w:sz w:val="20"/>
      <w:szCs w:val="20"/>
      <w:lang w:val="en-GB"/>
    </w:rPr>
  </w:style>
  <w:style w:type="paragraph" w:styleId="Pavadinimas">
    <w:name w:val="Title"/>
    <w:basedOn w:val="prastasis"/>
    <w:link w:val="PavadinimasDiagrama"/>
    <w:autoRedefine/>
    <w:uiPriority w:val="99"/>
    <w:qFormat/>
    <w:pPr>
      <w:spacing w:after="0" w:line="240" w:lineRule="auto"/>
      <w:jc w:val="center"/>
      <w:outlineLvl w:val="0"/>
    </w:pPr>
    <w:rPr>
      <w:rFonts w:ascii="Times New Roman" w:eastAsia="Times New Roman" w:hAnsi="Times New Roman" w:cs="Times New Roman"/>
      <w:b/>
      <w:kern w:val="28"/>
      <w:szCs w:val="20"/>
    </w:rPr>
  </w:style>
  <w:style w:type="character" w:customStyle="1" w:styleId="PavadinimasDiagrama">
    <w:name w:val="Pavadinimas Diagrama"/>
    <w:basedOn w:val="Numatytasispastraiposriftas"/>
    <w:link w:val="Pavadinimas"/>
    <w:uiPriority w:val="99"/>
    <w:rPr>
      <w:rFonts w:ascii="Times New Roman" w:eastAsia="Times New Roman" w:hAnsi="Times New Roman" w:cs="Times New Roman"/>
      <w:b/>
      <w:kern w:val="28"/>
      <w:szCs w:val="20"/>
    </w:rPr>
  </w:style>
  <w:style w:type="paragraph" w:styleId="Pagrindiniotekstotrauka3">
    <w:name w:val="Body Text Indent 3"/>
    <w:basedOn w:val="prastasis"/>
    <w:link w:val="Pagrindiniotekstotrauka3Diagrama"/>
    <w:unhideWhenUsed/>
    <w:pPr>
      <w:spacing w:after="120" w:line="240" w:lineRule="auto"/>
      <w:ind w:left="283"/>
    </w:pPr>
    <w:rPr>
      <w:rFonts w:ascii="Times New Roman" w:eastAsia="Times New Roman" w:hAnsi="Times New Roman" w:cs="Times New Roman"/>
      <w:sz w:val="16"/>
      <w:szCs w:val="16"/>
      <w:lang w:val="en-GB"/>
    </w:rPr>
  </w:style>
  <w:style w:type="character" w:customStyle="1" w:styleId="Pagrindiniotekstotrauka3Diagrama">
    <w:name w:val="Pagrindinio teksto įtrauka 3 Diagrama"/>
    <w:basedOn w:val="Numatytasispastraiposriftas"/>
    <w:link w:val="Pagrindiniotekstotrauka3"/>
    <w:rPr>
      <w:rFonts w:ascii="Times New Roman" w:eastAsia="Times New Roman" w:hAnsi="Times New Roman" w:cs="Times New Roman"/>
      <w:sz w:val="16"/>
      <w:szCs w:val="16"/>
      <w:lang w:val="en-GB"/>
    </w:rPr>
  </w:style>
  <w:style w:type="paragraph" w:styleId="Komentarotema">
    <w:name w:val="annotation subject"/>
    <w:basedOn w:val="Komentarotekstas"/>
    <w:next w:val="Komentarotekstas"/>
    <w:link w:val="KomentarotemaDiagrama"/>
    <w:unhideWhenUsed/>
    <w:rPr>
      <w:b/>
      <w:bCs/>
    </w:rPr>
  </w:style>
  <w:style w:type="character" w:customStyle="1" w:styleId="KomentarotemaDiagrama">
    <w:name w:val="Komentaro tema Diagrama"/>
    <w:basedOn w:val="KomentarotekstasDiagrama"/>
    <w:link w:val="Komentarotema"/>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nhideWhenUsed/>
    <w:pPr>
      <w:spacing w:after="0" w:line="240" w:lineRule="auto"/>
    </w:pPr>
    <w:rPr>
      <w:rFonts w:ascii="Tahoma" w:eastAsia="Times New Roman" w:hAnsi="Tahoma" w:cs="Tahoma"/>
      <w:sz w:val="16"/>
      <w:szCs w:val="16"/>
      <w:lang w:val="en-GB"/>
    </w:rPr>
  </w:style>
  <w:style w:type="character" w:customStyle="1" w:styleId="DebesliotekstasDiagrama">
    <w:name w:val="Debesėlio tekstas Diagrama"/>
    <w:basedOn w:val="Numatytasispastraiposriftas"/>
    <w:link w:val="Debesliotekstas"/>
    <w:rPr>
      <w:rFonts w:ascii="Tahoma" w:eastAsia="Times New Roman" w:hAnsi="Tahoma" w:cs="Tahoma"/>
      <w:sz w:val="16"/>
      <w:szCs w:val="16"/>
      <w:lang w:val="en-GB"/>
    </w:rPr>
  </w:style>
  <w:style w:type="paragraph" w:customStyle="1" w:styleId="PI-1EMEASMCA">
    <w:name w:val="PI-1 EMEA_SMCA"/>
    <w:basedOn w:val="Antrat2"/>
    <w:autoRedefine/>
    <w:pPr>
      <w:keepNext w:val="0"/>
      <w:tabs>
        <w:tab w:val="clear" w:pos="4300"/>
        <w:tab w:val="clear" w:pos="5940"/>
        <w:tab w:val="clear" w:pos="8180"/>
        <w:tab w:val="left" w:pos="567"/>
      </w:tabs>
      <w:spacing w:line="240" w:lineRule="auto"/>
      <w:ind w:left="567" w:hanging="567"/>
    </w:pPr>
    <w:rPr>
      <w:rFonts w:ascii="Times New Roman Bold" w:hAnsi="Times New Roman Bold"/>
      <w:sz w:val="22"/>
      <w:szCs w:val="22"/>
      <w:u w:val="none"/>
      <w:lang w:val="lt-LT" w:eastAsia="en-US"/>
    </w:rPr>
  </w:style>
  <w:style w:type="character" w:customStyle="1" w:styleId="BTEMEASMCAChar">
    <w:name w:val="BT EMEA_SMCA Char"/>
    <w:link w:val="BTEMEASMCA"/>
    <w:uiPriority w:val="99"/>
    <w:locked/>
    <w:rPr>
      <w:bCs/>
    </w:rPr>
  </w:style>
  <w:style w:type="paragraph" w:customStyle="1" w:styleId="BTEMEASMCA">
    <w:name w:val="BT EMEA_SMCA"/>
    <w:basedOn w:val="prastasis"/>
    <w:link w:val="BTEMEASMCAChar"/>
    <w:autoRedefine/>
    <w:uiPriority w:val="99"/>
    <w:pPr>
      <w:spacing w:after="0" w:line="240" w:lineRule="auto"/>
    </w:pPr>
    <w:rPr>
      <w:bCs/>
    </w:rPr>
  </w:style>
  <w:style w:type="paragraph" w:customStyle="1" w:styleId="Sarkain3">
    <w:name w:val="Sarkain3"/>
    <w:basedOn w:val="prastasis"/>
    <w:pPr>
      <w:spacing w:before="240" w:after="360" w:line="240" w:lineRule="auto"/>
      <w:ind w:left="851"/>
    </w:pPr>
    <w:rPr>
      <w:rFonts w:ascii="Times New Roman" w:eastAsia="Times New Roman" w:hAnsi="Times New Roman" w:cs="Times New Roman"/>
      <w:sz w:val="24"/>
      <w:szCs w:val="20"/>
      <w:lang w:val="fi-FI" w:eastAsia="lt-LT"/>
    </w:rPr>
  </w:style>
  <w:style w:type="paragraph" w:customStyle="1" w:styleId="PI-2EMEASMCA">
    <w:name w:val="PI-2 EMEA_SMCA"/>
    <w:basedOn w:val="Antrat3"/>
    <w:autoRedefine/>
    <w:pPr>
      <w:keepNext w:val="0"/>
      <w:keepLines/>
      <w:tabs>
        <w:tab w:val="clear" w:pos="6760"/>
        <w:tab w:val="left" w:pos="567"/>
      </w:tabs>
      <w:spacing w:line="240" w:lineRule="auto"/>
      <w:ind w:left="567" w:hanging="567"/>
    </w:pPr>
    <w:rPr>
      <w:b w:val="0"/>
      <w:kern w:val="28"/>
      <w:szCs w:val="24"/>
      <w:lang w:val="lt-LT" w:eastAsia="en-US"/>
    </w:rPr>
  </w:style>
  <w:style w:type="paragraph" w:customStyle="1" w:styleId="A-TableText">
    <w:name w:val="A-Table Text"/>
    <w:uiPriority w:val="99"/>
    <w:pPr>
      <w:overflowPunct w:val="0"/>
      <w:autoSpaceDE w:val="0"/>
      <w:autoSpaceDN w:val="0"/>
      <w:adjustRightInd w:val="0"/>
      <w:spacing w:before="60" w:after="60" w:line="240" w:lineRule="auto"/>
    </w:pPr>
    <w:rPr>
      <w:rFonts w:ascii="Times New Roman" w:eastAsia="Times New Roman" w:hAnsi="Times New Roman" w:cs="Times New Roman"/>
      <w:lang w:val="en-GB"/>
    </w:rPr>
  </w:style>
  <w:style w:type="paragraph" w:customStyle="1" w:styleId="A-TableHeader">
    <w:name w:val="A-Table Header"/>
    <w:next w:val="A-TableText"/>
    <w:pPr>
      <w:keepNext/>
      <w:overflowPunct w:val="0"/>
      <w:autoSpaceDE w:val="0"/>
      <w:autoSpaceDN w:val="0"/>
      <w:adjustRightInd w:val="0"/>
      <w:spacing w:before="60" w:after="60" w:line="240" w:lineRule="auto"/>
    </w:pPr>
    <w:rPr>
      <w:rFonts w:ascii="Times New Roman" w:eastAsia="Times New Roman" w:hAnsi="Times New Roman" w:cs="Times New Roman"/>
      <w:b/>
      <w:bCs/>
      <w:lang w:val="en-GB"/>
    </w:rPr>
  </w:style>
  <w:style w:type="paragraph" w:customStyle="1" w:styleId="ListParagraph1">
    <w:name w:val="List Paragraph1"/>
    <w:basedOn w:val="prastasis"/>
    <w:qFormat/>
    <w:pPr>
      <w:spacing w:after="0" w:line="240" w:lineRule="auto"/>
      <w:ind w:left="1304"/>
    </w:pPr>
    <w:rPr>
      <w:rFonts w:ascii="Times New Roman" w:eastAsia="Times New Roman" w:hAnsi="Times New Roman" w:cs="Times New Roman"/>
      <w:sz w:val="24"/>
      <w:szCs w:val="24"/>
      <w:lang w:val="en-GB"/>
    </w:rPr>
  </w:style>
  <w:style w:type="paragraph" w:customStyle="1" w:styleId="PI-1labEMEASMCA">
    <w:name w:val="PI-1_lab EMEA_SMCA"/>
    <w:basedOn w:val="prastasis"/>
    <w:autoRedefine/>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paragraph" w:customStyle="1" w:styleId="TTEMEASMCA">
    <w:name w:val="TT EMEA_SMCA"/>
    <w:basedOn w:val="Antrat1"/>
    <w:autoRedefine/>
    <w:pPr>
      <w:keepNext w:val="0"/>
      <w:tabs>
        <w:tab w:val="left" w:pos="567"/>
      </w:tabs>
      <w:spacing w:before="0" w:after="0"/>
      <w:jc w:val="center"/>
    </w:pPr>
    <w:rPr>
      <w:rFonts w:ascii="Times New Roman" w:hAnsi="Times New Roman" w:cs="Times New Roman"/>
      <w:kern w:val="0"/>
      <w:sz w:val="22"/>
      <w:szCs w:val="22"/>
      <w:lang w:val="lt-LT" w:eastAsia="en-US"/>
    </w:rPr>
  </w:style>
  <w:style w:type="paragraph" w:customStyle="1" w:styleId="BTAnIIEMEASMCA">
    <w:name w:val="BT(AnII) EMEA_SMCA"/>
    <w:basedOn w:val="Debesliotekstas"/>
    <w:autoRedefine/>
    <w:pPr>
      <w:tabs>
        <w:tab w:val="left" w:pos="1701"/>
      </w:tabs>
      <w:ind w:left="1701" w:hanging="621"/>
      <w:jc w:val="both"/>
    </w:pPr>
    <w:rPr>
      <w:rFonts w:ascii="Times New Roman" w:hAnsi="Times New Roman"/>
      <w:b/>
      <w:sz w:val="22"/>
      <w:szCs w:val="22"/>
    </w:rPr>
  </w:style>
  <w:style w:type="paragraph" w:customStyle="1" w:styleId="BTbEMEASMCA">
    <w:name w:val="BT(b) EMEA_SMCA"/>
    <w:basedOn w:val="BTEMEASMCA"/>
    <w:autoRedefine/>
    <w:rPr>
      <w:b/>
    </w:rPr>
  </w:style>
  <w:style w:type="paragraph" w:customStyle="1" w:styleId="BT-EMEASMCA">
    <w:name w:val="BT- EMEA_SMCA"/>
    <w:basedOn w:val="BTEMEASMCA"/>
    <w:autoRedefine/>
    <w:pPr>
      <w:numPr>
        <w:numId w:val="1"/>
      </w:numPr>
      <w:tabs>
        <w:tab w:val="num" w:pos="360"/>
        <w:tab w:val="left" w:pos="540"/>
        <w:tab w:val="num" w:pos="567"/>
      </w:tabs>
      <w:ind w:left="567" w:hanging="567"/>
    </w:pPr>
  </w:style>
  <w:style w:type="paragraph" w:customStyle="1" w:styleId="PI-3EMEASMCA">
    <w:name w:val="PI-3 EMEA_SMCA"/>
    <w:basedOn w:val="prastasis"/>
    <w:autoRedefine/>
    <w:pPr>
      <w:spacing w:after="0" w:line="220" w:lineRule="exact"/>
    </w:pPr>
    <w:rPr>
      <w:rFonts w:ascii="Times New Roman" w:eastAsia="Times New Roman" w:hAnsi="Times New Roman" w:cs="Times New Roman"/>
      <w:b/>
      <w:bCs/>
    </w:rPr>
  </w:style>
  <w:style w:type="paragraph" w:customStyle="1" w:styleId="Revision1">
    <w:name w:val="Revision1"/>
    <w:uiPriority w:val="99"/>
    <w:semiHidden/>
    <w:pPr>
      <w:spacing w:after="0" w:line="240" w:lineRule="auto"/>
    </w:pPr>
    <w:rPr>
      <w:rFonts w:ascii="Times New Roman" w:eastAsia="Times New Roman" w:hAnsi="Times New Roman" w:cs="Times New Roman"/>
      <w:sz w:val="24"/>
      <w:szCs w:val="24"/>
      <w:lang w:val="en-GB"/>
    </w:rPr>
  </w:style>
  <w:style w:type="character" w:styleId="Komentaronuoroda">
    <w:name w:val="annotation reference"/>
    <w:unhideWhenUsed/>
    <w:rPr>
      <w:sz w:val="16"/>
      <w:szCs w:val="16"/>
    </w:rPr>
  </w:style>
  <w:style w:type="character" w:customStyle="1" w:styleId="apple-style-span">
    <w:name w:val="apple-style-span"/>
  </w:style>
  <w:style w:type="paragraph" w:styleId="Sraopastraipa">
    <w:name w:val="List Paragraph"/>
    <w:basedOn w:val="prastasis"/>
    <w:uiPriority w:val="34"/>
    <w:qFormat/>
    <w:pPr>
      <w:spacing w:after="0" w:line="240" w:lineRule="auto"/>
      <w:ind w:left="720"/>
      <w:contextualSpacing/>
    </w:pPr>
    <w:rPr>
      <w:rFonts w:ascii="Times New Roman" w:eastAsia="Times New Roman" w:hAnsi="Times New Roman" w:cs="Times New Roman"/>
      <w:sz w:val="24"/>
      <w:szCs w:val="24"/>
      <w:lang w:val="en-GB"/>
    </w:rPr>
  </w:style>
  <w:style w:type="table" w:customStyle="1" w:styleId="Tabelamrea1">
    <w:name w:val="Tabela – mreža1"/>
    <w:basedOn w:val="prastojilentel"/>
    <w:next w:val="Lentelstinklelis"/>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pPr>
      <w:spacing w:after="0" w:line="240" w:lineRule="auto"/>
    </w:pPr>
    <w:rPr>
      <w:rFonts w:ascii="Times New Roman" w:eastAsia="Times New Roman" w:hAnsi="Times New Roman" w:cs="Times New Roman"/>
      <w:sz w:val="24"/>
      <w:szCs w:val="24"/>
      <w:lang w:val="en-GB"/>
    </w:rPr>
  </w:style>
  <w:style w:type="character" w:customStyle="1" w:styleId="hps">
    <w:name w:val="hps"/>
  </w:style>
  <w:style w:type="character" w:styleId="Emfaz">
    <w:name w:val="Emphasis"/>
    <w:basedOn w:val="Numatytasispastraiposriftas"/>
    <w:uiPriority w:val="20"/>
    <w:qFormat/>
    <w:rPr>
      <w:i/>
      <w:iCs/>
    </w:rPr>
  </w:style>
  <w:style w:type="paragraph" w:styleId="Pataisymai">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869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C133F-316B-4464-AF8D-1F6D1F1E8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73389</Words>
  <Characters>41832</Characters>
  <Application>Microsoft Office Word</Application>
  <DocSecurity>4</DocSecurity>
  <Lines>348</Lines>
  <Paragraphs>229</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
  <LinksUpToDate>false</LinksUpToDate>
  <CharactersWithSpaces>114992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dc:creator>
  <cp:keywords/>
  <dc:description/>
  <cp:lastModifiedBy>Albina Burkauskaitė</cp:lastModifiedBy>
  <cp:revision>2</cp:revision>
  <dcterms:created xsi:type="dcterms:W3CDTF">2025-06-25T11:38:00Z</dcterms:created>
  <dcterms:modified xsi:type="dcterms:W3CDTF">2025-06-25T11:38:00Z</dcterms:modified>
</cp:coreProperties>
</file>