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787" w:rsidRPr="00C24C19" w:rsidRDefault="00F52787" w:rsidP="00F52787">
      <w:pPr>
        <w:pStyle w:val="BTEMEASMCA"/>
      </w:pPr>
      <w:bookmarkStart w:id="0" w:name="_GoBack"/>
      <w:bookmarkEnd w:id="0"/>
    </w:p>
    <w:p w:rsidR="00F52787" w:rsidRPr="00C24C19" w:rsidRDefault="00F52787" w:rsidP="00F52787">
      <w:pPr>
        <w:pStyle w:val="BTEMEASMCA"/>
      </w:pPr>
    </w:p>
    <w:p w:rsidR="00F52787" w:rsidRPr="00C24C19" w:rsidRDefault="00F52787" w:rsidP="00F52787">
      <w:pPr>
        <w:pStyle w:val="BTEMEASMCA"/>
      </w:pPr>
    </w:p>
    <w:p w:rsidR="00F52787" w:rsidRPr="00C24C19" w:rsidRDefault="00F52787" w:rsidP="00F52787">
      <w:pPr>
        <w:pStyle w:val="BTEMEASMCA"/>
      </w:pPr>
    </w:p>
    <w:p w:rsidR="00F52787" w:rsidRPr="00C24C19" w:rsidRDefault="00F52787" w:rsidP="00F52787">
      <w:pPr>
        <w:pStyle w:val="BTEMEASMCA"/>
      </w:pPr>
    </w:p>
    <w:p w:rsidR="00F52787" w:rsidRPr="00C24C19" w:rsidRDefault="00F52787" w:rsidP="00F52787">
      <w:pPr>
        <w:pStyle w:val="BTEMEASMCA"/>
      </w:pPr>
    </w:p>
    <w:p w:rsidR="00F52787" w:rsidRPr="00C24C19" w:rsidRDefault="00F52787" w:rsidP="00F52787">
      <w:pPr>
        <w:pStyle w:val="BTEMEASMCA"/>
      </w:pPr>
    </w:p>
    <w:p w:rsidR="00F52787" w:rsidRPr="00C24C19" w:rsidRDefault="00F52787" w:rsidP="00F52787">
      <w:pPr>
        <w:pStyle w:val="BTEMEASMCA"/>
      </w:pPr>
    </w:p>
    <w:p w:rsidR="00F52787" w:rsidRPr="00C24C19" w:rsidRDefault="00F52787" w:rsidP="00F52787">
      <w:pPr>
        <w:pStyle w:val="BTEMEASMCA"/>
      </w:pPr>
    </w:p>
    <w:p w:rsidR="00F52787" w:rsidRPr="00C24C19" w:rsidRDefault="00F52787" w:rsidP="00F52787">
      <w:pPr>
        <w:pStyle w:val="BTEMEASMCA"/>
      </w:pPr>
    </w:p>
    <w:p w:rsidR="00F52787" w:rsidRPr="00C24C19" w:rsidRDefault="00F52787" w:rsidP="00F52787">
      <w:pPr>
        <w:pStyle w:val="BTEMEASMCA"/>
      </w:pPr>
    </w:p>
    <w:p w:rsidR="00F52787" w:rsidRDefault="00F52787" w:rsidP="00F52787">
      <w:pPr>
        <w:pStyle w:val="BTEMEASMCA"/>
      </w:pPr>
    </w:p>
    <w:p w:rsidR="00670023" w:rsidRDefault="00670023" w:rsidP="00F52787">
      <w:pPr>
        <w:pStyle w:val="BTEMEASMCA"/>
      </w:pPr>
    </w:p>
    <w:p w:rsidR="00670023" w:rsidRDefault="00670023" w:rsidP="00F52787">
      <w:pPr>
        <w:pStyle w:val="BTEMEASMCA"/>
      </w:pPr>
    </w:p>
    <w:p w:rsidR="00670023" w:rsidRDefault="00670023" w:rsidP="00F52787">
      <w:pPr>
        <w:pStyle w:val="BTEMEASMCA"/>
      </w:pPr>
    </w:p>
    <w:p w:rsidR="00670023" w:rsidRPr="00C24C19" w:rsidRDefault="00670023" w:rsidP="00F52787">
      <w:pPr>
        <w:pStyle w:val="BTEMEASMCA"/>
      </w:pPr>
    </w:p>
    <w:p w:rsidR="00F52787" w:rsidRPr="00C24C19" w:rsidRDefault="00F52787" w:rsidP="00F52787">
      <w:pPr>
        <w:pStyle w:val="BTEMEASMCA"/>
      </w:pPr>
    </w:p>
    <w:p w:rsidR="00F52787" w:rsidRPr="00C24C19" w:rsidRDefault="00F52787" w:rsidP="00F52787">
      <w:pPr>
        <w:pStyle w:val="BTEMEASMCA"/>
      </w:pPr>
    </w:p>
    <w:p w:rsidR="00F52787" w:rsidRPr="00C24C19" w:rsidRDefault="00F52787" w:rsidP="00F52787">
      <w:pPr>
        <w:pStyle w:val="BTEMEASMCA"/>
      </w:pPr>
    </w:p>
    <w:p w:rsidR="00F52787" w:rsidRPr="00C24C19" w:rsidRDefault="00F52787" w:rsidP="00F52787">
      <w:pPr>
        <w:pStyle w:val="BTEMEASMCA"/>
      </w:pPr>
    </w:p>
    <w:p w:rsidR="00F52787" w:rsidRPr="00C24C19" w:rsidRDefault="00F52787" w:rsidP="00F52787">
      <w:pPr>
        <w:pStyle w:val="BTEMEASMCA"/>
      </w:pPr>
    </w:p>
    <w:p w:rsidR="00F52787" w:rsidRPr="00C24C19" w:rsidRDefault="00F52787" w:rsidP="00F52787">
      <w:pPr>
        <w:pStyle w:val="BTEMEASMCA"/>
      </w:pPr>
    </w:p>
    <w:p w:rsidR="00F52787" w:rsidRPr="00C24C19" w:rsidRDefault="00F52787" w:rsidP="00F52787">
      <w:pPr>
        <w:pStyle w:val="BTEMEASMCA"/>
      </w:pPr>
    </w:p>
    <w:p w:rsidR="00F52787" w:rsidRPr="00C24C19" w:rsidRDefault="00F52787" w:rsidP="00F52787">
      <w:pPr>
        <w:pStyle w:val="BTEMEASMCA"/>
      </w:pPr>
    </w:p>
    <w:p w:rsidR="00F52787" w:rsidRPr="00C24C19" w:rsidRDefault="00F52787" w:rsidP="00F52787">
      <w:pPr>
        <w:pStyle w:val="TTEMEASMCA"/>
        <w:rPr>
          <w:lang w:val="lt-LT"/>
        </w:rPr>
      </w:pPr>
      <w:r w:rsidRPr="00C24C19">
        <w:rPr>
          <w:lang w:val="lt-LT"/>
        </w:rPr>
        <w:t>A. ŽENKLINIMAS</w:t>
      </w:r>
    </w:p>
    <w:p w:rsidR="00F52787" w:rsidRPr="00C24C19" w:rsidRDefault="00F52787" w:rsidP="00F52787">
      <w:pPr>
        <w:pStyle w:val="BTEMEASMCA"/>
      </w:pPr>
      <w:r w:rsidRPr="00C24C19">
        <w:br w:type="page"/>
      </w:r>
    </w:p>
    <w:p w:rsidR="00F52787" w:rsidRPr="00C24C19" w:rsidRDefault="00F52787" w:rsidP="00F52787">
      <w:pPr>
        <w:pStyle w:val="PI-1labEMEASMCA"/>
      </w:pPr>
      <w:r w:rsidRPr="00C24C19">
        <w:lastRenderedPageBreak/>
        <w:t>INFORMACIJA ANT IŠORINĖS PAKUOTĖS</w:t>
      </w:r>
    </w:p>
    <w:p w:rsidR="00F52787" w:rsidRPr="00C24C19" w:rsidRDefault="00F52787" w:rsidP="00F52787">
      <w:pPr>
        <w:pStyle w:val="PI-1labEMEASMCA"/>
      </w:pPr>
    </w:p>
    <w:p w:rsidR="00F52787" w:rsidRPr="00C24C19" w:rsidRDefault="00F52787" w:rsidP="00F52787">
      <w:pPr>
        <w:pStyle w:val="PI-1labEMEASMCA"/>
        <w:rPr>
          <w:bCs/>
          <w:lang w:val="pt-BR"/>
        </w:rPr>
      </w:pPr>
      <w:r w:rsidRPr="00C24C19">
        <w:t>KARTONO DĖŽUTĖ</w:t>
      </w:r>
    </w:p>
    <w:p w:rsidR="00F52787" w:rsidRDefault="00F52787" w:rsidP="00F52787">
      <w:pPr>
        <w:pStyle w:val="BTEMEASMCA"/>
      </w:pPr>
    </w:p>
    <w:p w:rsidR="00F52787" w:rsidRPr="00C24C19" w:rsidRDefault="00F52787" w:rsidP="00F52787">
      <w:pPr>
        <w:pStyle w:val="BTEMEASMCA"/>
      </w:pPr>
    </w:p>
    <w:p w:rsidR="00F52787" w:rsidRPr="00C24C19" w:rsidRDefault="00F52787" w:rsidP="00F52787">
      <w:pPr>
        <w:pStyle w:val="PI-1labEMEASMCA"/>
      </w:pPr>
      <w:r w:rsidRPr="00C24C19">
        <w:t>1.</w:t>
      </w:r>
      <w:r w:rsidRPr="00C24C19">
        <w:tab/>
        <w:t>VAISTINIO PREPARATO PAVADINIMAS</w:t>
      </w:r>
    </w:p>
    <w:p w:rsidR="00F52787" w:rsidRPr="00C24C19" w:rsidRDefault="00F52787" w:rsidP="00F52787">
      <w:pPr>
        <w:pStyle w:val="BTEMEASMCA"/>
      </w:pPr>
    </w:p>
    <w:p w:rsidR="00F52787" w:rsidRPr="00C24C19" w:rsidRDefault="00F52787" w:rsidP="00F52787">
      <w:pPr>
        <w:tabs>
          <w:tab w:val="left" w:pos="567"/>
        </w:tabs>
        <w:jc w:val="both"/>
        <w:rPr>
          <w:szCs w:val="22"/>
        </w:rPr>
      </w:pPr>
      <w:proofErr w:type="spellStart"/>
      <w:r>
        <w:rPr>
          <w:szCs w:val="22"/>
        </w:rPr>
        <w:t>Cefort</w:t>
      </w:r>
      <w:proofErr w:type="spellEnd"/>
      <w:r w:rsidRPr="00C24C19">
        <w:rPr>
          <w:szCs w:val="22"/>
        </w:rPr>
        <w:t xml:space="preserve"> 1g milteliai injekciniam ar infuziniam tirpalui</w:t>
      </w:r>
    </w:p>
    <w:p w:rsidR="00F52787" w:rsidRPr="00C24C19" w:rsidRDefault="00F52787" w:rsidP="00F52787">
      <w:pPr>
        <w:pStyle w:val="BTEMEASMCA"/>
      </w:pPr>
    </w:p>
    <w:p w:rsidR="00F52787" w:rsidRPr="00C24C19" w:rsidRDefault="00F52787" w:rsidP="00F52787">
      <w:pPr>
        <w:pStyle w:val="BTEMEASMCA"/>
      </w:pPr>
      <w:r w:rsidRPr="00C24C19">
        <w:t>Ceftriaksonas</w:t>
      </w:r>
    </w:p>
    <w:p w:rsidR="00F52787" w:rsidRPr="00C24C19" w:rsidRDefault="00F52787" w:rsidP="00F52787">
      <w:pPr>
        <w:pStyle w:val="BTEMEASMCA"/>
      </w:pPr>
    </w:p>
    <w:p w:rsidR="00F52787" w:rsidRPr="00C24C19" w:rsidRDefault="00F52787" w:rsidP="00F52787">
      <w:pPr>
        <w:pStyle w:val="BTEMEASMCA"/>
      </w:pPr>
    </w:p>
    <w:p w:rsidR="00F52787" w:rsidRPr="00C24C19" w:rsidRDefault="00F52787" w:rsidP="00F52787">
      <w:pPr>
        <w:pStyle w:val="PI-1labEMEASMCA"/>
      </w:pPr>
      <w:r w:rsidRPr="00C24C19">
        <w:t>2.</w:t>
      </w:r>
      <w:r w:rsidRPr="00C24C19">
        <w:tab/>
      </w:r>
      <w:r w:rsidR="00076B34" w:rsidRPr="00A25924">
        <w:t>VEIKLIOJI (-IOS) MEDŽIAGA (-OS) IR JOS (-Ų) KIEKIS (-IAI)</w:t>
      </w:r>
    </w:p>
    <w:p w:rsidR="00F52787" w:rsidRPr="00C24C19" w:rsidRDefault="00F52787" w:rsidP="00F52787">
      <w:pPr>
        <w:pStyle w:val="BTEMEASMCA"/>
      </w:pPr>
    </w:p>
    <w:p w:rsidR="00F52787" w:rsidRPr="00C24C19" w:rsidRDefault="00F52787" w:rsidP="00F52787">
      <w:pPr>
        <w:autoSpaceDE w:val="0"/>
        <w:autoSpaceDN w:val="0"/>
        <w:adjustRightInd w:val="0"/>
        <w:ind w:left="0" w:firstLine="0"/>
        <w:rPr>
          <w:rFonts w:ascii="TimesNewRoman" w:hAnsi="TimesNewRoman" w:cs="TimesNewRoman"/>
          <w:szCs w:val="22"/>
        </w:rPr>
      </w:pPr>
      <w:r>
        <w:rPr>
          <w:rFonts w:ascii="TimesNewRoman" w:hAnsi="TimesNewRoman" w:cs="TimesNewRoman"/>
          <w:szCs w:val="22"/>
        </w:rPr>
        <w:t>Kiekv</w:t>
      </w:r>
      <w:r w:rsidRPr="00C24C19">
        <w:rPr>
          <w:rFonts w:ascii="TimesNewRoman" w:hAnsi="TimesNewRoman" w:cs="TimesNewRoman"/>
          <w:szCs w:val="22"/>
        </w:rPr>
        <w:t xml:space="preserve">iename </w:t>
      </w:r>
      <w:r>
        <w:rPr>
          <w:rFonts w:ascii="TimesNewRoman" w:hAnsi="TimesNewRoman" w:cs="TimesNewRoman"/>
          <w:szCs w:val="22"/>
        </w:rPr>
        <w:t>flakone</w:t>
      </w:r>
      <w:r w:rsidRPr="00C24C19">
        <w:rPr>
          <w:rFonts w:ascii="TimesNewRoman" w:hAnsi="TimesNewRoman" w:cs="TimesNewRoman"/>
          <w:szCs w:val="22"/>
        </w:rPr>
        <w:t xml:space="preserve"> yra 1</w:t>
      </w:r>
      <w:r>
        <w:rPr>
          <w:rFonts w:ascii="TimesNewRoman" w:hAnsi="TimesNewRoman" w:cs="TimesNewRoman"/>
          <w:szCs w:val="22"/>
        </w:rPr>
        <w:t> </w:t>
      </w:r>
      <w:r w:rsidRPr="00C24C19">
        <w:rPr>
          <w:rFonts w:ascii="TimesNewRoman" w:hAnsi="TimesNewRoman" w:cs="TimesNewRoman"/>
          <w:szCs w:val="22"/>
        </w:rPr>
        <w:t xml:space="preserve">g </w:t>
      </w:r>
      <w:proofErr w:type="spellStart"/>
      <w:r w:rsidRPr="00C24C19">
        <w:rPr>
          <w:rFonts w:ascii="TimesNewRoman" w:hAnsi="TimesNewRoman" w:cs="TimesNewRoman"/>
          <w:szCs w:val="22"/>
        </w:rPr>
        <w:t>ceftriaksono</w:t>
      </w:r>
      <w:proofErr w:type="spellEnd"/>
      <w:r w:rsidRPr="00C24C19">
        <w:rPr>
          <w:rFonts w:ascii="TimesNewRoman" w:hAnsi="TimesNewRoman" w:cs="TimesNewRoman"/>
          <w:szCs w:val="22"/>
        </w:rPr>
        <w:t xml:space="preserve"> (natrio druskos pavidalu).</w:t>
      </w:r>
    </w:p>
    <w:p w:rsidR="00F52787" w:rsidRPr="00C24C19" w:rsidRDefault="00F52787" w:rsidP="00F52787">
      <w:pPr>
        <w:pStyle w:val="BTEMEASMCA"/>
      </w:pPr>
    </w:p>
    <w:p w:rsidR="00F52787" w:rsidRPr="00C24C19" w:rsidRDefault="00F52787" w:rsidP="00F52787">
      <w:pPr>
        <w:pStyle w:val="BTEMEASMCA"/>
      </w:pPr>
    </w:p>
    <w:p w:rsidR="00F52787" w:rsidRPr="00C24C19" w:rsidRDefault="00F52787" w:rsidP="00F52787">
      <w:pPr>
        <w:pStyle w:val="PI-1labEMEASMCA"/>
      </w:pPr>
      <w:r w:rsidRPr="00C24C19">
        <w:t>3.</w:t>
      </w:r>
      <w:r w:rsidRPr="00C24C19">
        <w:tab/>
        <w:t>PAGALBINIŲ MEDŽIAGŲ SĄRAŠAS</w:t>
      </w:r>
    </w:p>
    <w:p w:rsidR="00F52787" w:rsidRPr="00C24C19" w:rsidRDefault="00F52787" w:rsidP="00F52787">
      <w:pPr>
        <w:pStyle w:val="BTEMEASMCA"/>
      </w:pPr>
    </w:p>
    <w:p w:rsidR="00F52787" w:rsidRPr="00C24C19" w:rsidRDefault="00F52787" w:rsidP="00F52787">
      <w:pPr>
        <w:pStyle w:val="BTEMEASMCA"/>
      </w:pPr>
    </w:p>
    <w:p w:rsidR="00F52787" w:rsidRPr="00C24C19" w:rsidRDefault="00F52787" w:rsidP="00F52787">
      <w:pPr>
        <w:pStyle w:val="PI-1labEMEASMCA"/>
      </w:pPr>
      <w:r w:rsidRPr="00C24C19">
        <w:t>4.</w:t>
      </w:r>
      <w:r w:rsidRPr="00C24C19">
        <w:tab/>
        <w:t>FARMACINĖ FORMA IR KIEKIS PAKUOTĖJE</w:t>
      </w:r>
    </w:p>
    <w:p w:rsidR="00F52787" w:rsidRPr="00C24C19" w:rsidRDefault="00F52787" w:rsidP="00F52787">
      <w:pPr>
        <w:pStyle w:val="BTEMEASMCA"/>
      </w:pPr>
    </w:p>
    <w:p w:rsidR="00F52787" w:rsidRPr="00C24C19" w:rsidRDefault="00F52787" w:rsidP="00F52787">
      <w:pPr>
        <w:pStyle w:val="BTEMEASMCA"/>
        <w:rPr>
          <w:lang w:val="pt-BR"/>
        </w:rPr>
      </w:pPr>
      <w:r w:rsidRPr="00C24C19">
        <w:t xml:space="preserve">Milteliai injekciniam </w:t>
      </w:r>
      <w:r w:rsidRPr="009E79C3">
        <w:t xml:space="preserve">ar infuziniam </w:t>
      </w:r>
      <w:r w:rsidRPr="00C24C19">
        <w:t>tirpalui</w:t>
      </w:r>
    </w:p>
    <w:p w:rsidR="00F52787" w:rsidRPr="00C24C19" w:rsidRDefault="00F52787" w:rsidP="00F52787">
      <w:pPr>
        <w:pStyle w:val="BTEMEASMCA"/>
      </w:pPr>
      <w:r w:rsidRPr="00C24C19">
        <w:rPr>
          <w:lang w:val="pt-BR"/>
        </w:rPr>
        <w:t>1</w:t>
      </w:r>
      <w:r>
        <w:rPr>
          <w:lang w:val="pt-BR"/>
        </w:rPr>
        <w:t>0</w:t>
      </w:r>
      <w:r>
        <w:t xml:space="preserve"> flakonų</w:t>
      </w:r>
    </w:p>
    <w:p w:rsidR="00F52787" w:rsidRPr="00C24C19" w:rsidRDefault="00F52787" w:rsidP="00F52787">
      <w:pPr>
        <w:pStyle w:val="BTEMEASMCA"/>
      </w:pPr>
    </w:p>
    <w:p w:rsidR="00F52787" w:rsidRPr="00C24C19" w:rsidRDefault="00F52787" w:rsidP="00F52787">
      <w:pPr>
        <w:pStyle w:val="BTEMEASMCA"/>
      </w:pPr>
    </w:p>
    <w:p w:rsidR="00F52787" w:rsidRPr="00C24C19" w:rsidRDefault="00F52787" w:rsidP="00F52787">
      <w:pPr>
        <w:pStyle w:val="PI-1labEMEASMCA"/>
      </w:pPr>
      <w:r w:rsidRPr="00C24C19">
        <w:t>5.</w:t>
      </w:r>
      <w:r w:rsidRPr="00C24C19">
        <w:tab/>
        <w:t>VARTOJIMO METODAS IR BŪDAS (-AI)</w:t>
      </w:r>
    </w:p>
    <w:p w:rsidR="00F52787" w:rsidRDefault="00F52787" w:rsidP="00F52787">
      <w:pPr>
        <w:pStyle w:val="BTEMEASMCA"/>
      </w:pPr>
    </w:p>
    <w:p w:rsidR="005E2817" w:rsidRPr="001C52DA" w:rsidRDefault="005E2817" w:rsidP="005E2817">
      <w:pPr>
        <w:tabs>
          <w:tab w:val="left" w:pos="567"/>
        </w:tabs>
        <w:spacing w:line="260" w:lineRule="exact"/>
      </w:pPr>
      <w:r w:rsidRPr="001C52DA">
        <w:t>Leisti į raumenis arba į veną.</w:t>
      </w:r>
    </w:p>
    <w:p w:rsidR="005E2817" w:rsidRPr="001C52DA" w:rsidRDefault="005E2817" w:rsidP="005E2817">
      <w:pPr>
        <w:tabs>
          <w:tab w:val="left" w:pos="567"/>
        </w:tabs>
        <w:spacing w:line="260" w:lineRule="exact"/>
      </w:pPr>
      <w:r w:rsidRPr="001C52DA">
        <w:t>Prieš vartojimą perskaitykite pakuotės lapelį.</w:t>
      </w:r>
    </w:p>
    <w:p w:rsidR="00F52787" w:rsidRPr="00C24C19" w:rsidRDefault="00F52787" w:rsidP="00F52787">
      <w:pPr>
        <w:pStyle w:val="BTEMEASMCA"/>
      </w:pPr>
    </w:p>
    <w:p w:rsidR="00F52787" w:rsidRPr="00C24C19" w:rsidRDefault="00F52787" w:rsidP="00F52787">
      <w:pPr>
        <w:pStyle w:val="PI-1labEMEASMCA"/>
      </w:pPr>
      <w:r w:rsidRPr="00C24C19">
        <w:t>6.</w:t>
      </w:r>
      <w:r w:rsidRPr="00C24C19">
        <w:tab/>
        <w:t xml:space="preserve">SPECIALUS ĮSPĖJIMAS, KAD VAISTINĮ PREPARATĄ BŪTINA LAIKYTI VAIKAMS </w:t>
      </w:r>
      <w:r>
        <w:t xml:space="preserve">NEPASTEBIMOJE IR </w:t>
      </w:r>
      <w:r w:rsidRPr="00C24C19">
        <w:t>NEPASIEKIAMOJE VIETOJE</w:t>
      </w:r>
    </w:p>
    <w:p w:rsidR="00F52787" w:rsidRPr="00C24C19" w:rsidRDefault="00F52787" w:rsidP="00F52787">
      <w:pPr>
        <w:pStyle w:val="BTEMEASMCA"/>
      </w:pPr>
    </w:p>
    <w:p w:rsidR="00F52787" w:rsidRPr="00C24C19" w:rsidRDefault="00F52787" w:rsidP="00F52787">
      <w:pPr>
        <w:pStyle w:val="BTEMEASMCA"/>
      </w:pPr>
      <w:r w:rsidRPr="00C24C19">
        <w:t xml:space="preserve">Laikyti vaikams </w:t>
      </w:r>
      <w:r>
        <w:t xml:space="preserve">nepastebimoje ir </w:t>
      </w:r>
      <w:r w:rsidRPr="00C24C19">
        <w:t>nepasiekiamoje vietoje.</w:t>
      </w:r>
    </w:p>
    <w:p w:rsidR="00F52787" w:rsidRPr="00C24C19" w:rsidRDefault="00F52787" w:rsidP="00F52787">
      <w:pPr>
        <w:pStyle w:val="BTEMEASMCA"/>
      </w:pPr>
    </w:p>
    <w:p w:rsidR="00F52787" w:rsidRPr="00C24C19" w:rsidRDefault="00F52787" w:rsidP="00F52787">
      <w:pPr>
        <w:pStyle w:val="BTEMEASMCA"/>
      </w:pPr>
    </w:p>
    <w:p w:rsidR="00F52787" w:rsidRPr="00C24C19" w:rsidRDefault="00F52787" w:rsidP="00F52787">
      <w:pPr>
        <w:pStyle w:val="PI-1labEMEASMCA"/>
      </w:pPr>
      <w:r w:rsidRPr="00C24C19">
        <w:t>7.</w:t>
      </w:r>
      <w:r w:rsidRPr="00C24C19">
        <w:tab/>
        <w:t>KITAS (-I) SPECIALUS (-ŪS) ĮSPĖJIMAS (-AI) (JEI REIKIA)</w:t>
      </w:r>
    </w:p>
    <w:p w:rsidR="00F52787" w:rsidRDefault="00F52787" w:rsidP="00F52787">
      <w:pPr>
        <w:pStyle w:val="BTEMEASMCA"/>
      </w:pPr>
    </w:p>
    <w:p w:rsidR="005E2817" w:rsidRPr="005E2817" w:rsidRDefault="005E2817" w:rsidP="005E2817">
      <w:pPr>
        <w:spacing w:line="261" w:lineRule="atLeast"/>
        <w:ind w:left="0" w:firstLine="0"/>
        <w:rPr>
          <w:rFonts w:eastAsia="Calibri"/>
          <w:szCs w:val="22"/>
          <w:lang w:eastAsia="en-US"/>
        </w:rPr>
      </w:pPr>
      <w:r w:rsidRPr="005E2817">
        <w:rPr>
          <w:rFonts w:eastAsia="Calibri"/>
          <w:szCs w:val="22"/>
          <w:lang w:eastAsia="en-US"/>
        </w:rPr>
        <w:t>Vienkartiniam vartojimui.</w:t>
      </w:r>
    </w:p>
    <w:p w:rsidR="005E2817" w:rsidRPr="005E2817" w:rsidRDefault="005E2817" w:rsidP="005E2817">
      <w:pPr>
        <w:spacing w:line="261" w:lineRule="atLeast"/>
        <w:ind w:left="0" w:firstLine="0"/>
        <w:rPr>
          <w:rFonts w:eastAsia="Calibri"/>
          <w:szCs w:val="22"/>
          <w:lang w:eastAsia="en-US"/>
        </w:rPr>
      </w:pPr>
    </w:p>
    <w:p w:rsidR="005E2817" w:rsidRPr="005E2817" w:rsidRDefault="005E2817" w:rsidP="005E2817">
      <w:pPr>
        <w:spacing w:line="261" w:lineRule="atLeast"/>
        <w:ind w:left="0" w:firstLine="0"/>
        <w:rPr>
          <w:rFonts w:eastAsia="Calibri"/>
          <w:szCs w:val="22"/>
          <w:lang w:eastAsia="en-US"/>
        </w:rPr>
      </w:pPr>
      <w:r w:rsidRPr="005E2817">
        <w:rPr>
          <w:rFonts w:eastAsia="Calibri"/>
          <w:szCs w:val="22"/>
          <w:lang w:eastAsia="en-US"/>
        </w:rPr>
        <w:t xml:space="preserve">Negalima maišyti su tirpalais, kurių sudėtyje yra kalcio, įskaitant </w:t>
      </w:r>
      <w:proofErr w:type="spellStart"/>
      <w:r w:rsidRPr="005E2817">
        <w:rPr>
          <w:rFonts w:eastAsia="Calibri"/>
          <w:szCs w:val="22"/>
          <w:lang w:eastAsia="en-US"/>
        </w:rPr>
        <w:t>Ringerio</w:t>
      </w:r>
      <w:proofErr w:type="spellEnd"/>
      <w:r w:rsidRPr="005E2817">
        <w:rPr>
          <w:rFonts w:eastAsia="Calibri"/>
          <w:szCs w:val="22"/>
          <w:lang w:eastAsia="en-US"/>
        </w:rPr>
        <w:t xml:space="preserve">, </w:t>
      </w:r>
      <w:proofErr w:type="spellStart"/>
      <w:r w:rsidRPr="005E2817">
        <w:rPr>
          <w:rFonts w:eastAsia="Calibri"/>
          <w:szCs w:val="22"/>
          <w:lang w:eastAsia="en-US"/>
        </w:rPr>
        <w:t>Hartmano</w:t>
      </w:r>
      <w:proofErr w:type="spellEnd"/>
      <w:r w:rsidRPr="005E2817">
        <w:rPr>
          <w:rFonts w:eastAsia="Calibri"/>
          <w:szCs w:val="22"/>
          <w:lang w:eastAsia="en-US"/>
        </w:rPr>
        <w:t xml:space="preserve"> ar bendrojo </w:t>
      </w:r>
      <w:proofErr w:type="spellStart"/>
      <w:r w:rsidRPr="005E2817">
        <w:rPr>
          <w:rFonts w:eastAsia="Calibri"/>
          <w:szCs w:val="22"/>
          <w:lang w:eastAsia="en-US"/>
        </w:rPr>
        <w:t>parenterinio</w:t>
      </w:r>
      <w:proofErr w:type="spellEnd"/>
      <w:r w:rsidRPr="005E2817">
        <w:rPr>
          <w:rFonts w:eastAsia="Calibri"/>
          <w:szCs w:val="22"/>
          <w:lang w:eastAsia="en-US"/>
        </w:rPr>
        <w:t xml:space="preserve"> maitinimo tirpalus.</w:t>
      </w:r>
    </w:p>
    <w:p w:rsidR="005E2817" w:rsidRPr="005E2817" w:rsidRDefault="005E2817" w:rsidP="005E2817">
      <w:pPr>
        <w:spacing w:line="261" w:lineRule="atLeast"/>
        <w:ind w:left="0" w:firstLine="0"/>
        <w:rPr>
          <w:rFonts w:eastAsia="Calibri"/>
          <w:szCs w:val="22"/>
          <w:lang w:eastAsia="en-US"/>
        </w:rPr>
      </w:pPr>
      <w:r w:rsidRPr="005E2817">
        <w:rPr>
          <w:rFonts w:eastAsia="Calibri"/>
          <w:szCs w:val="22"/>
          <w:lang w:eastAsia="en-US"/>
        </w:rPr>
        <w:t xml:space="preserve">Su </w:t>
      </w:r>
      <w:proofErr w:type="spellStart"/>
      <w:r w:rsidRPr="005E2817">
        <w:rPr>
          <w:rFonts w:eastAsia="Calibri"/>
          <w:szCs w:val="22"/>
          <w:lang w:eastAsia="en-US"/>
        </w:rPr>
        <w:t>lidokainu</w:t>
      </w:r>
      <w:proofErr w:type="spellEnd"/>
      <w:r w:rsidRPr="005E2817">
        <w:rPr>
          <w:rFonts w:eastAsia="Calibri"/>
          <w:szCs w:val="22"/>
          <w:lang w:eastAsia="en-US"/>
        </w:rPr>
        <w:t xml:space="preserve"> paruoštų tirpalų į veną leisti negalima.</w:t>
      </w:r>
    </w:p>
    <w:p w:rsidR="00F52787" w:rsidRPr="00C24C19" w:rsidRDefault="00F52787" w:rsidP="00F52787">
      <w:pPr>
        <w:pStyle w:val="BTEMEASMCA"/>
      </w:pPr>
    </w:p>
    <w:p w:rsidR="00F52787" w:rsidRPr="00C24C19" w:rsidRDefault="00F52787" w:rsidP="00F52787">
      <w:pPr>
        <w:pStyle w:val="PI-1labEMEASMCA"/>
      </w:pPr>
      <w:r w:rsidRPr="00C24C19">
        <w:t>8.</w:t>
      </w:r>
      <w:r w:rsidRPr="00C24C19">
        <w:tab/>
        <w:t>TINKAMUMO LAIKAS</w:t>
      </w:r>
    </w:p>
    <w:p w:rsidR="00F52787" w:rsidRPr="00C24C19" w:rsidRDefault="00F52787" w:rsidP="00F52787">
      <w:pPr>
        <w:pStyle w:val="BTEMEASMCA"/>
      </w:pPr>
    </w:p>
    <w:p w:rsidR="00F52787" w:rsidRDefault="00F52787" w:rsidP="00F52787">
      <w:pPr>
        <w:pStyle w:val="BTEMEASMCA"/>
      </w:pPr>
      <w:r w:rsidRPr="00C24C19">
        <w:t>Tinka iki {MMMM-mm}</w:t>
      </w:r>
    </w:p>
    <w:p w:rsidR="005E2817" w:rsidRPr="00C24C19" w:rsidRDefault="005E2817" w:rsidP="00F52787">
      <w:pPr>
        <w:pStyle w:val="BTEMEASMCA"/>
      </w:pPr>
    </w:p>
    <w:p w:rsidR="00F52787" w:rsidRPr="00C24C19" w:rsidRDefault="005E2817" w:rsidP="00F52787">
      <w:pPr>
        <w:pStyle w:val="BTEMEASMCA"/>
      </w:pPr>
      <w:r w:rsidRPr="00DE3700">
        <w:rPr>
          <w:color w:val="00000A"/>
        </w:rPr>
        <w:t>Po atidarymo vartoti nedelsiant.</w:t>
      </w:r>
    </w:p>
    <w:p w:rsidR="00F52787" w:rsidRPr="00C24C19" w:rsidRDefault="00F52787" w:rsidP="00F52787">
      <w:pPr>
        <w:pStyle w:val="BTEMEASMCA"/>
      </w:pPr>
    </w:p>
    <w:p w:rsidR="00F52787" w:rsidRPr="00C24C19" w:rsidRDefault="00F52787" w:rsidP="00F52787">
      <w:pPr>
        <w:pStyle w:val="PI-1labEMEASMCA"/>
      </w:pPr>
      <w:r w:rsidRPr="00C24C19">
        <w:t>9.</w:t>
      </w:r>
      <w:r w:rsidRPr="00C24C19">
        <w:tab/>
        <w:t>SPECIALIOS LAIKYMO SĄLYGOS</w:t>
      </w:r>
    </w:p>
    <w:p w:rsidR="00F52787" w:rsidRPr="00C24C19" w:rsidRDefault="00F52787" w:rsidP="00F52787">
      <w:pPr>
        <w:pStyle w:val="BTEMEASMCA"/>
      </w:pPr>
    </w:p>
    <w:p w:rsidR="00F52787" w:rsidRPr="00C24C19" w:rsidRDefault="00F52787" w:rsidP="00F52787">
      <w:pPr>
        <w:tabs>
          <w:tab w:val="left" w:pos="567"/>
        </w:tabs>
        <w:rPr>
          <w:szCs w:val="22"/>
        </w:rPr>
      </w:pPr>
      <w:r w:rsidRPr="00C24C19">
        <w:rPr>
          <w:szCs w:val="22"/>
        </w:rPr>
        <w:t xml:space="preserve">Laikyti ne aukštesnėje kaip 25 </w:t>
      </w:r>
      <w:r w:rsidRPr="00C24C19">
        <w:rPr>
          <w:szCs w:val="22"/>
        </w:rPr>
        <w:sym w:font="Symbol" w:char="F0B0"/>
      </w:r>
      <w:r w:rsidRPr="00C24C19">
        <w:rPr>
          <w:szCs w:val="22"/>
        </w:rPr>
        <w:t xml:space="preserve">C </w:t>
      </w:r>
      <w:r w:rsidR="00076B34">
        <w:rPr>
          <w:szCs w:val="22"/>
        </w:rPr>
        <w:t>temperatūroje, gamintojo pakuotėje.</w:t>
      </w:r>
    </w:p>
    <w:p w:rsidR="00F52787" w:rsidRPr="00C24C19" w:rsidRDefault="00F52787" w:rsidP="00F52787">
      <w:pPr>
        <w:tabs>
          <w:tab w:val="left" w:pos="567"/>
        </w:tabs>
        <w:rPr>
          <w:szCs w:val="22"/>
        </w:rPr>
      </w:pPr>
    </w:p>
    <w:p w:rsidR="00F52787" w:rsidRPr="00C24C19" w:rsidRDefault="00F52787" w:rsidP="00F52787">
      <w:pPr>
        <w:pStyle w:val="BTEMEASMCA"/>
      </w:pPr>
    </w:p>
    <w:p w:rsidR="00F52787" w:rsidRPr="00C24C19" w:rsidRDefault="00F52787" w:rsidP="00F52787">
      <w:pPr>
        <w:pStyle w:val="PI-1labEMEASMCA"/>
      </w:pPr>
      <w:r w:rsidRPr="00C24C19">
        <w:t>10.</w:t>
      </w:r>
      <w:r w:rsidRPr="00C24C19">
        <w:tab/>
        <w:t xml:space="preserve">SPECIALIOS ATSARGUMO PRIEMONĖS DĖL NESUVARTOTO </w:t>
      </w:r>
      <w:r w:rsidRPr="00C24C19">
        <w:rPr>
          <w:bCs/>
        </w:rPr>
        <w:t xml:space="preserve">VAISTINIO PREPARATO AR JO ATLIEKŲ </w:t>
      </w:r>
      <w:r w:rsidRPr="00C24C19">
        <w:t>TVARKYMO (JEI REIKIA)</w:t>
      </w:r>
    </w:p>
    <w:p w:rsidR="00F52787" w:rsidRPr="00C24C19" w:rsidRDefault="00F52787" w:rsidP="00F52787">
      <w:pPr>
        <w:pStyle w:val="BTEMEASMCA"/>
      </w:pPr>
    </w:p>
    <w:p w:rsidR="00F52787" w:rsidRPr="00C24C19" w:rsidRDefault="00F52787" w:rsidP="00F52787">
      <w:pPr>
        <w:pStyle w:val="BTEMEASMCA"/>
      </w:pPr>
    </w:p>
    <w:p w:rsidR="00F52787" w:rsidRPr="00C24C19" w:rsidRDefault="00F52787" w:rsidP="00F52787">
      <w:pPr>
        <w:pStyle w:val="PI-1labEMEASMCA"/>
      </w:pPr>
      <w:r w:rsidRPr="00C24C19">
        <w:t>11.</w:t>
      </w:r>
      <w:r w:rsidRPr="00C24C19">
        <w:tab/>
      </w:r>
      <w:r w:rsidR="00076B34" w:rsidRPr="00A25924">
        <w:t>LYGIAGRETUS IMPORTUOTOJAS</w:t>
      </w:r>
    </w:p>
    <w:p w:rsidR="00F52787" w:rsidRPr="00C24C19" w:rsidRDefault="00F52787" w:rsidP="00F52787">
      <w:pPr>
        <w:pStyle w:val="BTEMEASMCA"/>
      </w:pPr>
    </w:p>
    <w:p w:rsidR="00076B34" w:rsidRPr="00064055" w:rsidRDefault="00076B34" w:rsidP="00076B34">
      <w:pPr>
        <w:rPr>
          <w:szCs w:val="22"/>
        </w:rPr>
      </w:pPr>
      <w:r w:rsidRPr="00154857">
        <w:rPr>
          <w:szCs w:val="22"/>
        </w:rPr>
        <w:t>Lygiagre</w:t>
      </w:r>
      <w:r>
        <w:rPr>
          <w:szCs w:val="22"/>
        </w:rPr>
        <w:t>tus importuotojas: UAB „</w:t>
      </w:r>
      <w:proofErr w:type="spellStart"/>
      <w:r>
        <w:rPr>
          <w:szCs w:val="22"/>
        </w:rPr>
        <w:t>Adeofarma</w:t>
      </w:r>
      <w:proofErr w:type="spellEnd"/>
      <w:r w:rsidRPr="00154857">
        <w:rPr>
          <w:szCs w:val="22"/>
        </w:rPr>
        <w:t>“</w:t>
      </w:r>
    </w:p>
    <w:p w:rsidR="00F52787" w:rsidRPr="00C24C19" w:rsidRDefault="00F52787" w:rsidP="00F52787">
      <w:pPr>
        <w:pStyle w:val="BTEMEASMCA"/>
      </w:pPr>
    </w:p>
    <w:p w:rsidR="00F52787" w:rsidRPr="00C24C19" w:rsidRDefault="00F52787" w:rsidP="00F52787">
      <w:pPr>
        <w:pStyle w:val="BTEMEASMCA"/>
      </w:pPr>
    </w:p>
    <w:p w:rsidR="00F52787" w:rsidRPr="00C24C19" w:rsidRDefault="00F52787" w:rsidP="00F52787">
      <w:pPr>
        <w:pStyle w:val="PI-1labEMEASMCA"/>
      </w:pPr>
      <w:r w:rsidRPr="00C24C19">
        <w:t>12.</w:t>
      </w:r>
      <w:r w:rsidRPr="00C24C19">
        <w:tab/>
      </w:r>
      <w:r w:rsidR="00076B34" w:rsidRPr="00076B34">
        <w:t>LYGIAGRETAUS IMPORTO LEIDIMO NUMERIS</w:t>
      </w:r>
      <w:r w:rsidR="00076B34">
        <w:t xml:space="preserve"> </w:t>
      </w:r>
      <w:r w:rsidR="00076B34" w:rsidRPr="00C24C19">
        <w:t>(-</w:t>
      </w:r>
      <w:r w:rsidR="00076B34">
        <w:t>I</w:t>
      </w:r>
      <w:r w:rsidR="00076B34" w:rsidRPr="00C24C19">
        <w:t>AI)</w:t>
      </w:r>
    </w:p>
    <w:p w:rsidR="00F52787" w:rsidRPr="00C24C19" w:rsidRDefault="00F52787" w:rsidP="00F52787">
      <w:pPr>
        <w:pStyle w:val="BTEMEASMCA"/>
      </w:pPr>
    </w:p>
    <w:p w:rsidR="00F52787" w:rsidRPr="00C24C19" w:rsidRDefault="00670023" w:rsidP="00F52787">
      <w:pPr>
        <w:pStyle w:val="BTEMEASMCA"/>
      </w:pPr>
      <w:r w:rsidRPr="00E63FC3">
        <w:t>LT/L/17/0465/001</w:t>
      </w:r>
    </w:p>
    <w:p w:rsidR="00F52787" w:rsidRPr="00C24C19" w:rsidRDefault="00F52787" w:rsidP="00F52787">
      <w:pPr>
        <w:pStyle w:val="BTEMEASMCA"/>
      </w:pPr>
    </w:p>
    <w:p w:rsidR="00F52787" w:rsidRPr="00C24C19" w:rsidRDefault="00F52787" w:rsidP="00F52787">
      <w:pPr>
        <w:pStyle w:val="PI-1labEMEASMCA"/>
      </w:pPr>
      <w:r w:rsidRPr="00C24C19">
        <w:t>13.</w:t>
      </w:r>
      <w:r w:rsidRPr="00C24C19">
        <w:tab/>
        <w:t>SERIJOS NUMERIS</w:t>
      </w:r>
    </w:p>
    <w:p w:rsidR="00F52787" w:rsidRPr="00C24C19" w:rsidRDefault="00F52787" w:rsidP="00F52787">
      <w:pPr>
        <w:pStyle w:val="BTEMEASMCA"/>
      </w:pPr>
    </w:p>
    <w:p w:rsidR="00F52787" w:rsidRPr="00C24C19" w:rsidRDefault="00F52787" w:rsidP="00F52787">
      <w:pPr>
        <w:pStyle w:val="BTEMEASMCA"/>
      </w:pPr>
      <w:r w:rsidRPr="00C24C19">
        <w:t>Serija</w:t>
      </w:r>
    </w:p>
    <w:p w:rsidR="00F52787" w:rsidRPr="00C24C19" w:rsidRDefault="00F52787" w:rsidP="00F52787">
      <w:pPr>
        <w:pStyle w:val="BTEMEASMCA"/>
      </w:pPr>
    </w:p>
    <w:p w:rsidR="00F52787" w:rsidRPr="00C24C19" w:rsidRDefault="00F52787" w:rsidP="00F52787">
      <w:pPr>
        <w:pStyle w:val="BTEMEASMCA"/>
      </w:pPr>
    </w:p>
    <w:p w:rsidR="00F52787" w:rsidRPr="00C24C19" w:rsidRDefault="00F52787" w:rsidP="00F52787">
      <w:pPr>
        <w:pStyle w:val="PI-1labEMEASMCA"/>
      </w:pPr>
      <w:r w:rsidRPr="00C24C19">
        <w:t>14.</w:t>
      </w:r>
      <w:r w:rsidRPr="00C24C19">
        <w:tab/>
        <w:t>PARDAVIMO (IŠDAVIMO) TVARKA</w:t>
      </w:r>
    </w:p>
    <w:p w:rsidR="00F52787" w:rsidRPr="00C24C19" w:rsidRDefault="00F52787" w:rsidP="00F52787">
      <w:pPr>
        <w:pStyle w:val="BTEMEASMCA"/>
      </w:pPr>
    </w:p>
    <w:p w:rsidR="00F52787" w:rsidRPr="00C24C19" w:rsidRDefault="00F52787" w:rsidP="00F52787">
      <w:pPr>
        <w:pStyle w:val="BTEMEASMCA"/>
      </w:pPr>
      <w:r w:rsidRPr="00C24C19">
        <w:t>Receptinis vaistinis preparatas</w:t>
      </w:r>
    </w:p>
    <w:p w:rsidR="00F52787" w:rsidRPr="00C24C19" w:rsidRDefault="00F52787" w:rsidP="00F52787">
      <w:pPr>
        <w:pStyle w:val="BTEMEASMCA"/>
      </w:pPr>
    </w:p>
    <w:p w:rsidR="00F52787" w:rsidRPr="00C24C19" w:rsidRDefault="00F52787" w:rsidP="00F52787">
      <w:pPr>
        <w:pStyle w:val="BTEMEASMCA"/>
      </w:pPr>
    </w:p>
    <w:p w:rsidR="00F52787" w:rsidRPr="00C24C19" w:rsidRDefault="00F52787" w:rsidP="00F52787">
      <w:pPr>
        <w:pStyle w:val="PI-1labEMEASMCA"/>
      </w:pPr>
      <w:r w:rsidRPr="00C24C19">
        <w:t>15.</w:t>
      </w:r>
      <w:r w:rsidRPr="00C24C19">
        <w:tab/>
        <w:t>VARTOJIMO INSTRUKCIJA</w:t>
      </w:r>
    </w:p>
    <w:p w:rsidR="00F52787" w:rsidRPr="00C24C19" w:rsidRDefault="00F52787" w:rsidP="00F52787">
      <w:pPr>
        <w:pStyle w:val="BTEMEASMCA"/>
      </w:pPr>
    </w:p>
    <w:p w:rsidR="00F52787" w:rsidRPr="00C24C19" w:rsidRDefault="00F52787" w:rsidP="00F52787">
      <w:pPr>
        <w:pStyle w:val="BTEMEASMCA"/>
      </w:pPr>
    </w:p>
    <w:p w:rsidR="00F52787" w:rsidRPr="00C24C19" w:rsidRDefault="00F52787" w:rsidP="00F52787">
      <w:pPr>
        <w:pStyle w:val="PI-1labEMEASMCA"/>
      </w:pPr>
      <w:r w:rsidRPr="00C24C19">
        <w:t>16.</w:t>
      </w:r>
      <w:r w:rsidRPr="00C24C19">
        <w:tab/>
        <w:t>INFORMACIJA BRAILIO RAŠTU</w:t>
      </w:r>
    </w:p>
    <w:p w:rsidR="00F52787" w:rsidRPr="00C24C19" w:rsidRDefault="00F52787" w:rsidP="00F52787">
      <w:pPr>
        <w:pStyle w:val="BTEMEASMCA"/>
      </w:pPr>
    </w:p>
    <w:p w:rsidR="00076B34" w:rsidRDefault="00076B34" w:rsidP="00076B34">
      <w:pPr>
        <w:rPr>
          <w:szCs w:val="22"/>
        </w:rPr>
      </w:pPr>
      <w:r w:rsidRPr="008D58A9">
        <w:rPr>
          <w:szCs w:val="22"/>
          <w:highlight w:val="lightGray"/>
        </w:rPr>
        <w:t>Priimtas pagrindimas informacijos Brailio raštu nepateikti.</w:t>
      </w:r>
    </w:p>
    <w:p w:rsidR="00076B34" w:rsidRDefault="00076B34" w:rsidP="00076B34">
      <w:pPr>
        <w:rPr>
          <w:szCs w:val="22"/>
        </w:rPr>
      </w:pPr>
    </w:p>
    <w:p w:rsidR="00076B34" w:rsidRPr="008D58A9" w:rsidRDefault="00076B34" w:rsidP="00076B34">
      <w:pPr>
        <w:rPr>
          <w:szCs w:val="22"/>
        </w:rPr>
      </w:pPr>
    </w:p>
    <w:p w:rsidR="00076B34" w:rsidRDefault="00076B34" w:rsidP="00076B34">
      <w:pPr>
        <w:rPr>
          <w:b/>
          <w:szCs w:val="22"/>
        </w:rPr>
      </w:pPr>
      <w:r>
        <w:rPr>
          <w:b/>
          <w:szCs w:val="22"/>
        </w:rPr>
        <w:t>Gamintojas:</w:t>
      </w:r>
    </w:p>
    <w:p w:rsidR="00076B34" w:rsidRDefault="00076B34" w:rsidP="00076B34">
      <w:pPr>
        <w:rPr>
          <w:b/>
          <w:szCs w:val="22"/>
        </w:rPr>
      </w:pPr>
    </w:p>
    <w:p w:rsidR="00076B34" w:rsidRDefault="00076B34" w:rsidP="00076B34">
      <w:pPr>
        <w:rPr>
          <w:szCs w:val="22"/>
        </w:rPr>
      </w:pPr>
      <w:proofErr w:type="spellStart"/>
      <w:r>
        <w:rPr>
          <w:szCs w:val="22"/>
        </w:rPr>
        <w:t>Antibiotice</w:t>
      </w:r>
      <w:proofErr w:type="spellEnd"/>
      <w:r>
        <w:rPr>
          <w:szCs w:val="22"/>
        </w:rPr>
        <w:t xml:space="preserve"> SA</w:t>
      </w:r>
      <w:r w:rsidRPr="008D58A9">
        <w:rPr>
          <w:szCs w:val="22"/>
        </w:rPr>
        <w:t xml:space="preserve"> </w:t>
      </w:r>
    </w:p>
    <w:p w:rsidR="00076B34" w:rsidRPr="008D58A9" w:rsidRDefault="00076B34" w:rsidP="00076B34">
      <w:pPr>
        <w:rPr>
          <w:szCs w:val="22"/>
        </w:rPr>
      </w:pPr>
      <w:proofErr w:type="spellStart"/>
      <w:r>
        <w:t>Str.Valea</w:t>
      </w:r>
      <w:proofErr w:type="spellEnd"/>
      <w:r>
        <w:t xml:space="preserve"> </w:t>
      </w:r>
      <w:proofErr w:type="spellStart"/>
      <w:r>
        <w:t>Lupui</w:t>
      </w:r>
      <w:proofErr w:type="spellEnd"/>
      <w:r>
        <w:t xml:space="preserve">, Nr.1,707410 </w:t>
      </w:r>
      <w:proofErr w:type="spellStart"/>
      <w:r>
        <w:t>lasi</w:t>
      </w:r>
      <w:proofErr w:type="spellEnd"/>
      <w:r w:rsidRPr="008D58A9">
        <w:rPr>
          <w:szCs w:val="22"/>
        </w:rPr>
        <w:t xml:space="preserve"> 1000 </w:t>
      </w:r>
      <w:proofErr w:type="spellStart"/>
      <w:r w:rsidRPr="008D58A9">
        <w:rPr>
          <w:szCs w:val="22"/>
        </w:rPr>
        <w:t>Ljubljana</w:t>
      </w:r>
      <w:proofErr w:type="spellEnd"/>
    </w:p>
    <w:p w:rsidR="00076B34" w:rsidRPr="008D58A9" w:rsidRDefault="00076B34" w:rsidP="00076B34">
      <w:pPr>
        <w:rPr>
          <w:b/>
          <w:szCs w:val="22"/>
        </w:rPr>
      </w:pPr>
      <w:r>
        <w:rPr>
          <w:szCs w:val="22"/>
        </w:rPr>
        <w:t>Rumunija</w:t>
      </w:r>
    </w:p>
    <w:p w:rsidR="00076B34" w:rsidRPr="008D58A9" w:rsidRDefault="00076B34" w:rsidP="00076B34">
      <w:pPr>
        <w:rPr>
          <w:szCs w:val="22"/>
        </w:rPr>
      </w:pPr>
    </w:p>
    <w:p w:rsidR="00076B34" w:rsidRPr="008D58A9" w:rsidRDefault="00076B34" w:rsidP="00076B34">
      <w:pPr>
        <w:rPr>
          <w:szCs w:val="22"/>
        </w:rPr>
      </w:pPr>
    </w:p>
    <w:p w:rsidR="00076B34" w:rsidRPr="00154857" w:rsidRDefault="00076B34" w:rsidP="00076B34">
      <w:pPr>
        <w:rPr>
          <w:noProof/>
          <w:szCs w:val="22"/>
        </w:rPr>
      </w:pPr>
      <w:r>
        <w:rPr>
          <w:noProof/>
          <w:szCs w:val="22"/>
        </w:rPr>
        <w:t xml:space="preserve">Perpakavo: </w:t>
      </w:r>
      <w:r w:rsidR="00670023">
        <w:rPr>
          <w:noProof/>
          <w:szCs w:val="22"/>
        </w:rPr>
        <w:t>UAB ,,</w:t>
      </w:r>
      <w:r>
        <w:rPr>
          <w:noProof/>
          <w:szCs w:val="22"/>
        </w:rPr>
        <w:t>Entafarma</w:t>
      </w:r>
      <w:r w:rsidRPr="00154857">
        <w:rPr>
          <w:noProof/>
          <w:szCs w:val="22"/>
        </w:rPr>
        <w:t>”.</w:t>
      </w:r>
    </w:p>
    <w:p w:rsidR="00076B34" w:rsidRPr="00154857" w:rsidRDefault="00076B34" w:rsidP="00076B34">
      <w:pPr>
        <w:rPr>
          <w:noProof/>
          <w:szCs w:val="22"/>
        </w:rPr>
      </w:pPr>
    </w:p>
    <w:p w:rsidR="00076B34" w:rsidRDefault="00076B34" w:rsidP="00076B34">
      <w:pPr>
        <w:rPr>
          <w:noProof/>
          <w:szCs w:val="22"/>
        </w:rPr>
      </w:pPr>
      <w:r w:rsidRPr="00154857">
        <w:rPr>
          <w:noProof/>
          <w:szCs w:val="22"/>
        </w:rPr>
        <w:t>Perpak. serija:</w:t>
      </w:r>
    </w:p>
    <w:p w:rsidR="00076B34" w:rsidRDefault="00076B34" w:rsidP="00076B34">
      <w:pPr>
        <w:rPr>
          <w:noProof/>
          <w:szCs w:val="22"/>
        </w:rPr>
      </w:pPr>
    </w:p>
    <w:p w:rsidR="00076B34" w:rsidRDefault="00076B34" w:rsidP="00076B34">
      <w:pPr>
        <w:rPr>
          <w:noProof/>
          <w:szCs w:val="22"/>
        </w:rPr>
      </w:pPr>
    </w:p>
    <w:p w:rsidR="00F52787" w:rsidRPr="00825843" w:rsidRDefault="00670023" w:rsidP="003B2C9B">
      <w:pPr>
        <w:rPr>
          <w:i/>
          <w:szCs w:val="22"/>
        </w:rPr>
      </w:pPr>
      <w:r>
        <w:rPr>
          <w:i/>
          <w:noProof/>
          <w:szCs w:val="22"/>
        </w:rPr>
        <w:t xml:space="preserve">           </w:t>
      </w:r>
      <w:r w:rsidR="00825843" w:rsidRPr="00825843">
        <w:rPr>
          <w:i/>
        </w:rPr>
        <w:t xml:space="preserve">Lygiagrečiai importuojamas vaistinis preparatas nuo referencinio skiriasi </w:t>
      </w:r>
      <w:proofErr w:type="spellStart"/>
      <w:r w:rsidR="00825843" w:rsidRPr="00825843">
        <w:rPr>
          <w:i/>
        </w:rPr>
        <w:t>dozuočių</w:t>
      </w:r>
      <w:proofErr w:type="spellEnd"/>
      <w:r w:rsidR="00825843" w:rsidRPr="00825843">
        <w:rPr>
          <w:i/>
        </w:rPr>
        <w:t xml:space="preserve"> skaičiumi</w:t>
      </w:r>
      <w:r>
        <w:rPr>
          <w:i/>
        </w:rPr>
        <w:t xml:space="preserve"> pakuotėje ir laikymo sąlygomis:</w:t>
      </w:r>
      <w:r w:rsidR="00825843" w:rsidRPr="00825843">
        <w:rPr>
          <w:i/>
        </w:rPr>
        <w:t xml:space="preserve"> lygiagrečiai importuojamo </w:t>
      </w:r>
      <w:r w:rsidR="00825843" w:rsidRPr="00825843">
        <w:rPr>
          <w:i/>
        </w:rPr>
        <w:lastRenderedPageBreak/>
        <w:t>vaistinio preparato yra 10 flakonų, o referencinio vais</w:t>
      </w:r>
      <w:r>
        <w:rPr>
          <w:i/>
        </w:rPr>
        <w:t>tinio preparato - 5 flakonai dėžutėje, lygia</w:t>
      </w:r>
      <w:r w:rsidR="00825843" w:rsidRPr="00825843">
        <w:rPr>
          <w:i/>
        </w:rPr>
        <w:t>grečiai importuojamas preparatas turi būti laikomas ne aukštesnėje kaip 25 °C temperatūroje, gamintojo p</w:t>
      </w:r>
      <w:r>
        <w:rPr>
          <w:i/>
        </w:rPr>
        <w:t>akuotėje, o referenciniam vaistiniam</w:t>
      </w:r>
      <w:r w:rsidR="00825843" w:rsidRPr="00825843">
        <w:rPr>
          <w:i/>
        </w:rPr>
        <w:t xml:space="preserve"> preparatui specialių laikymo sąlygų nenurodoma, flakonus </w:t>
      </w:r>
      <w:r w:rsidR="00825843" w:rsidRPr="00825843">
        <w:rPr>
          <w:i/>
          <w:szCs w:val="22"/>
        </w:rPr>
        <w:t>laikyti išorinėje dėžutėje, kad preparatas būtų apsaugotas nuo šviesos.</w:t>
      </w:r>
    </w:p>
    <w:p w:rsidR="00F52787" w:rsidRDefault="00F52787" w:rsidP="00F52787">
      <w:pPr>
        <w:tabs>
          <w:tab w:val="left" w:pos="567"/>
        </w:tabs>
        <w:jc w:val="center"/>
        <w:rPr>
          <w:b/>
          <w:szCs w:val="22"/>
        </w:rPr>
      </w:pPr>
    </w:p>
    <w:p w:rsidR="00F52787" w:rsidRDefault="00F52787" w:rsidP="00F52787">
      <w:pPr>
        <w:tabs>
          <w:tab w:val="left" w:pos="567"/>
        </w:tabs>
        <w:jc w:val="center"/>
        <w:rPr>
          <w:b/>
          <w:szCs w:val="22"/>
        </w:rPr>
      </w:pPr>
    </w:p>
    <w:p w:rsidR="00F52787" w:rsidRDefault="00F52787" w:rsidP="00F52787">
      <w:pPr>
        <w:tabs>
          <w:tab w:val="left" w:pos="567"/>
        </w:tabs>
        <w:jc w:val="center"/>
        <w:rPr>
          <w:b/>
          <w:szCs w:val="22"/>
        </w:rPr>
      </w:pPr>
    </w:p>
    <w:p w:rsidR="00F52787" w:rsidRPr="00C24C19" w:rsidRDefault="00F52787" w:rsidP="00F52787">
      <w:pPr>
        <w:tabs>
          <w:tab w:val="left" w:pos="567"/>
        </w:tabs>
        <w:jc w:val="center"/>
        <w:rPr>
          <w:b/>
          <w:szCs w:val="22"/>
        </w:rPr>
      </w:pPr>
    </w:p>
    <w:p w:rsidR="00F52787" w:rsidRDefault="00F52787" w:rsidP="00F52787">
      <w:pPr>
        <w:tabs>
          <w:tab w:val="left" w:pos="567"/>
        </w:tabs>
        <w:jc w:val="center"/>
        <w:rPr>
          <w:b/>
          <w:szCs w:val="22"/>
        </w:rPr>
      </w:pPr>
    </w:p>
    <w:p w:rsidR="00670023" w:rsidRDefault="00670023" w:rsidP="00F52787">
      <w:pPr>
        <w:tabs>
          <w:tab w:val="left" w:pos="567"/>
        </w:tabs>
        <w:jc w:val="center"/>
        <w:rPr>
          <w:b/>
          <w:szCs w:val="22"/>
        </w:rPr>
      </w:pPr>
    </w:p>
    <w:p w:rsidR="00670023" w:rsidRDefault="00670023" w:rsidP="00F52787">
      <w:pPr>
        <w:tabs>
          <w:tab w:val="left" w:pos="567"/>
        </w:tabs>
        <w:jc w:val="center"/>
        <w:rPr>
          <w:b/>
          <w:szCs w:val="22"/>
        </w:rPr>
      </w:pPr>
    </w:p>
    <w:p w:rsidR="00670023" w:rsidRDefault="00670023" w:rsidP="00F52787">
      <w:pPr>
        <w:tabs>
          <w:tab w:val="left" w:pos="567"/>
        </w:tabs>
        <w:jc w:val="center"/>
        <w:rPr>
          <w:b/>
          <w:szCs w:val="22"/>
        </w:rPr>
      </w:pPr>
    </w:p>
    <w:p w:rsidR="00670023" w:rsidRDefault="00670023" w:rsidP="00F52787">
      <w:pPr>
        <w:tabs>
          <w:tab w:val="left" w:pos="567"/>
        </w:tabs>
        <w:jc w:val="center"/>
        <w:rPr>
          <w:b/>
          <w:szCs w:val="22"/>
        </w:rPr>
      </w:pPr>
    </w:p>
    <w:p w:rsidR="00670023" w:rsidRDefault="00670023" w:rsidP="00F52787">
      <w:pPr>
        <w:tabs>
          <w:tab w:val="left" w:pos="567"/>
        </w:tabs>
        <w:jc w:val="center"/>
        <w:rPr>
          <w:b/>
          <w:szCs w:val="22"/>
        </w:rPr>
      </w:pPr>
    </w:p>
    <w:p w:rsidR="00670023" w:rsidRDefault="00670023" w:rsidP="00F52787">
      <w:pPr>
        <w:tabs>
          <w:tab w:val="left" w:pos="567"/>
        </w:tabs>
        <w:jc w:val="center"/>
        <w:rPr>
          <w:b/>
          <w:szCs w:val="22"/>
        </w:rPr>
      </w:pPr>
    </w:p>
    <w:p w:rsidR="00670023" w:rsidRDefault="00670023" w:rsidP="00F52787">
      <w:pPr>
        <w:tabs>
          <w:tab w:val="left" w:pos="567"/>
        </w:tabs>
        <w:jc w:val="center"/>
        <w:rPr>
          <w:b/>
          <w:szCs w:val="22"/>
        </w:rPr>
      </w:pPr>
    </w:p>
    <w:p w:rsidR="00670023" w:rsidRDefault="00670023" w:rsidP="00F52787">
      <w:pPr>
        <w:tabs>
          <w:tab w:val="left" w:pos="567"/>
        </w:tabs>
        <w:jc w:val="center"/>
        <w:rPr>
          <w:b/>
          <w:szCs w:val="22"/>
        </w:rPr>
      </w:pPr>
    </w:p>
    <w:p w:rsidR="00670023" w:rsidRDefault="00670023" w:rsidP="00F52787">
      <w:pPr>
        <w:tabs>
          <w:tab w:val="left" w:pos="567"/>
        </w:tabs>
        <w:jc w:val="center"/>
        <w:rPr>
          <w:b/>
          <w:szCs w:val="22"/>
        </w:rPr>
      </w:pPr>
    </w:p>
    <w:p w:rsidR="00670023" w:rsidRDefault="00670023" w:rsidP="00F52787">
      <w:pPr>
        <w:tabs>
          <w:tab w:val="left" w:pos="567"/>
        </w:tabs>
        <w:jc w:val="center"/>
        <w:rPr>
          <w:b/>
          <w:szCs w:val="22"/>
        </w:rPr>
      </w:pPr>
    </w:p>
    <w:p w:rsidR="00670023" w:rsidRDefault="00670023" w:rsidP="00F52787">
      <w:pPr>
        <w:tabs>
          <w:tab w:val="left" w:pos="567"/>
        </w:tabs>
        <w:jc w:val="center"/>
        <w:rPr>
          <w:b/>
          <w:szCs w:val="22"/>
        </w:rPr>
      </w:pPr>
    </w:p>
    <w:p w:rsidR="00670023" w:rsidRDefault="00670023" w:rsidP="00F52787">
      <w:pPr>
        <w:tabs>
          <w:tab w:val="left" w:pos="567"/>
        </w:tabs>
        <w:jc w:val="center"/>
        <w:rPr>
          <w:b/>
          <w:szCs w:val="22"/>
        </w:rPr>
      </w:pPr>
    </w:p>
    <w:p w:rsidR="00670023" w:rsidRDefault="00670023" w:rsidP="00F52787">
      <w:pPr>
        <w:tabs>
          <w:tab w:val="left" w:pos="567"/>
        </w:tabs>
        <w:jc w:val="center"/>
        <w:rPr>
          <w:b/>
          <w:szCs w:val="22"/>
        </w:rPr>
      </w:pPr>
    </w:p>
    <w:p w:rsidR="00670023" w:rsidRDefault="00670023" w:rsidP="00F52787">
      <w:pPr>
        <w:tabs>
          <w:tab w:val="left" w:pos="567"/>
        </w:tabs>
        <w:jc w:val="center"/>
        <w:rPr>
          <w:b/>
          <w:szCs w:val="22"/>
        </w:rPr>
      </w:pPr>
    </w:p>
    <w:p w:rsidR="00670023" w:rsidRDefault="00670023" w:rsidP="00F52787">
      <w:pPr>
        <w:tabs>
          <w:tab w:val="left" w:pos="567"/>
        </w:tabs>
        <w:jc w:val="center"/>
        <w:rPr>
          <w:b/>
          <w:szCs w:val="22"/>
        </w:rPr>
      </w:pPr>
    </w:p>
    <w:p w:rsidR="00670023" w:rsidRDefault="00670023" w:rsidP="00F52787">
      <w:pPr>
        <w:tabs>
          <w:tab w:val="left" w:pos="567"/>
        </w:tabs>
        <w:jc w:val="center"/>
        <w:rPr>
          <w:b/>
          <w:szCs w:val="22"/>
        </w:rPr>
      </w:pPr>
    </w:p>
    <w:p w:rsidR="00670023" w:rsidRDefault="00670023" w:rsidP="00F52787">
      <w:pPr>
        <w:tabs>
          <w:tab w:val="left" w:pos="567"/>
        </w:tabs>
        <w:jc w:val="center"/>
        <w:rPr>
          <w:b/>
          <w:szCs w:val="22"/>
        </w:rPr>
      </w:pPr>
    </w:p>
    <w:p w:rsidR="00670023" w:rsidRDefault="00670023" w:rsidP="00F52787">
      <w:pPr>
        <w:tabs>
          <w:tab w:val="left" w:pos="567"/>
        </w:tabs>
        <w:jc w:val="center"/>
        <w:rPr>
          <w:b/>
          <w:szCs w:val="22"/>
        </w:rPr>
      </w:pPr>
    </w:p>
    <w:p w:rsidR="00670023" w:rsidRDefault="00670023" w:rsidP="00F52787">
      <w:pPr>
        <w:tabs>
          <w:tab w:val="left" w:pos="567"/>
        </w:tabs>
        <w:jc w:val="center"/>
        <w:rPr>
          <w:b/>
          <w:szCs w:val="22"/>
        </w:rPr>
      </w:pPr>
    </w:p>
    <w:p w:rsidR="00670023" w:rsidRDefault="00670023" w:rsidP="00F52787">
      <w:pPr>
        <w:tabs>
          <w:tab w:val="left" w:pos="567"/>
        </w:tabs>
        <w:jc w:val="center"/>
        <w:rPr>
          <w:b/>
          <w:szCs w:val="22"/>
        </w:rPr>
      </w:pPr>
    </w:p>
    <w:p w:rsidR="00670023" w:rsidRDefault="00670023" w:rsidP="00F52787">
      <w:pPr>
        <w:tabs>
          <w:tab w:val="left" w:pos="567"/>
        </w:tabs>
        <w:jc w:val="center"/>
        <w:rPr>
          <w:b/>
          <w:szCs w:val="22"/>
        </w:rPr>
      </w:pPr>
    </w:p>
    <w:p w:rsidR="003B2C9B" w:rsidRDefault="003B2C9B" w:rsidP="00F52787">
      <w:pPr>
        <w:tabs>
          <w:tab w:val="left" w:pos="567"/>
        </w:tabs>
        <w:jc w:val="center"/>
        <w:rPr>
          <w:b/>
          <w:szCs w:val="22"/>
        </w:rPr>
      </w:pPr>
    </w:p>
    <w:p w:rsidR="003B2C9B" w:rsidRDefault="003B2C9B" w:rsidP="00F52787">
      <w:pPr>
        <w:tabs>
          <w:tab w:val="left" w:pos="567"/>
        </w:tabs>
        <w:jc w:val="center"/>
        <w:rPr>
          <w:b/>
          <w:szCs w:val="22"/>
        </w:rPr>
      </w:pPr>
    </w:p>
    <w:p w:rsidR="00F52787" w:rsidRPr="00C24C19" w:rsidRDefault="00F52787" w:rsidP="00F52787">
      <w:pPr>
        <w:tabs>
          <w:tab w:val="left" w:pos="567"/>
        </w:tabs>
        <w:jc w:val="center"/>
        <w:rPr>
          <w:b/>
          <w:szCs w:val="22"/>
        </w:rPr>
      </w:pPr>
      <w:r w:rsidRPr="00C24C19">
        <w:rPr>
          <w:b/>
          <w:szCs w:val="22"/>
        </w:rPr>
        <w:t>B. PAKUOTĖS LAPELIS</w:t>
      </w:r>
    </w:p>
    <w:p w:rsidR="00F52787" w:rsidRPr="00C24C19" w:rsidRDefault="00F52787" w:rsidP="00F52787">
      <w:pPr>
        <w:pStyle w:val="TTEMEASMCA"/>
        <w:rPr>
          <w:lang w:val="lt-LT"/>
        </w:rPr>
      </w:pPr>
      <w:r w:rsidRPr="00C24C19">
        <w:rPr>
          <w:b w:val="0"/>
          <w:lang w:val="pt-BR"/>
        </w:rPr>
        <w:br w:type="page"/>
      </w:r>
      <w:r w:rsidRPr="00C24C19">
        <w:rPr>
          <w:lang w:val="lt-LT"/>
        </w:rPr>
        <w:lastRenderedPageBreak/>
        <w:t>P</w:t>
      </w:r>
      <w:r w:rsidRPr="00C24C19">
        <w:rPr>
          <w:caps w:val="0"/>
          <w:lang w:val="lt-LT"/>
        </w:rPr>
        <w:t>akuotės lapelis: informacija vartotojui</w:t>
      </w:r>
    </w:p>
    <w:p w:rsidR="00F52787" w:rsidRPr="00C24C19" w:rsidRDefault="00F52787" w:rsidP="00F52787">
      <w:pPr>
        <w:tabs>
          <w:tab w:val="left" w:pos="567"/>
        </w:tabs>
        <w:jc w:val="center"/>
      </w:pPr>
    </w:p>
    <w:p w:rsidR="00F52787" w:rsidRPr="006013DF" w:rsidRDefault="007239AC" w:rsidP="00F52787">
      <w:pPr>
        <w:tabs>
          <w:tab w:val="left" w:pos="567"/>
        </w:tabs>
        <w:jc w:val="center"/>
        <w:rPr>
          <w:b/>
        </w:rPr>
      </w:pPr>
      <w:proofErr w:type="spellStart"/>
      <w:r>
        <w:rPr>
          <w:b/>
        </w:rPr>
        <w:t>Cefort</w:t>
      </w:r>
      <w:proofErr w:type="spellEnd"/>
      <w:r w:rsidR="00F52787" w:rsidRPr="006013DF">
        <w:rPr>
          <w:b/>
        </w:rPr>
        <w:t xml:space="preserve"> 1 g milteliai injekciniam </w:t>
      </w:r>
      <w:r w:rsidR="00F52787" w:rsidRPr="006013DF">
        <w:rPr>
          <w:b/>
          <w:szCs w:val="22"/>
        </w:rPr>
        <w:t xml:space="preserve">ar infuziniam </w:t>
      </w:r>
      <w:r w:rsidR="00F52787" w:rsidRPr="006013DF">
        <w:rPr>
          <w:b/>
        </w:rPr>
        <w:t>tirpalui</w:t>
      </w:r>
    </w:p>
    <w:p w:rsidR="00F52787" w:rsidRPr="00C24C19" w:rsidRDefault="00F52787" w:rsidP="00F52787">
      <w:pPr>
        <w:tabs>
          <w:tab w:val="left" w:pos="567"/>
        </w:tabs>
        <w:jc w:val="center"/>
      </w:pPr>
      <w:proofErr w:type="spellStart"/>
      <w:r w:rsidRPr="00C24C19">
        <w:t>Ceftriaksonas</w:t>
      </w:r>
      <w:proofErr w:type="spellEnd"/>
    </w:p>
    <w:p w:rsidR="00F52787" w:rsidRDefault="00F52787" w:rsidP="00F52787">
      <w:pPr>
        <w:pStyle w:val="BTEMEASMCA"/>
      </w:pPr>
    </w:p>
    <w:p w:rsidR="005E2817" w:rsidRPr="005A4BA8" w:rsidRDefault="005E2817" w:rsidP="005E2817">
      <w:pPr>
        <w:suppressAutoHyphens/>
        <w:ind w:left="142" w:hanging="142"/>
      </w:pPr>
      <w:r w:rsidRPr="005A4BA8">
        <w:rPr>
          <w:b/>
        </w:rPr>
        <w:t>Atidžiai perskaitykite visą šį lapelį, prieš pradėdami vartoti vaistą, nes jame pateikiama Jums svarbi informacija.</w:t>
      </w:r>
    </w:p>
    <w:p w:rsidR="005E2817" w:rsidRPr="005A4BA8" w:rsidRDefault="005E2817" w:rsidP="005E2817">
      <w:pPr>
        <w:numPr>
          <w:ilvl w:val="0"/>
          <w:numId w:val="3"/>
        </w:numPr>
        <w:tabs>
          <w:tab w:val="left" w:pos="567"/>
        </w:tabs>
        <w:ind w:left="567" w:right="-2" w:hanging="567"/>
      </w:pPr>
      <w:r w:rsidRPr="005A4BA8">
        <w:t xml:space="preserve">Neišmeskite šio lapelio, nes vėl gali prireikti jį perskaityti. </w:t>
      </w:r>
    </w:p>
    <w:p w:rsidR="005E2817" w:rsidRPr="005A4BA8" w:rsidRDefault="005E2817" w:rsidP="005E2817">
      <w:pPr>
        <w:numPr>
          <w:ilvl w:val="0"/>
          <w:numId w:val="3"/>
        </w:numPr>
        <w:tabs>
          <w:tab w:val="left" w:pos="567"/>
        </w:tabs>
        <w:ind w:left="567" w:right="-2" w:hanging="567"/>
      </w:pPr>
      <w:r w:rsidRPr="005A4BA8">
        <w:t>Jeigu kiltų daugiau klausimų, kreipkitės į gydytoją arba vaistininką.</w:t>
      </w:r>
    </w:p>
    <w:p w:rsidR="005E2817" w:rsidRPr="005A4BA8" w:rsidRDefault="005E2817" w:rsidP="005E2817">
      <w:pPr>
        <w:numPr>
          <w:ilvl w:val="0"/>
          <w:numId w:val="3"/>
        </w:numPr>
        <w:tabs>
          <w:tab w:val="left" w:pos="567"/>
        </w:tabs>
        <w:ind w:left="567" w:right="-2" w:hanging="567"/>
      </w:pPr>
      <w:r w:rsidRPr="005A4BA8">
        <w:t>Šis vaistas skirtas tik Jums, todėl kitiems žmonėms jo duoti negalima. Vaistas gali jiems pakenkti (net tiems, kurių ligos požymiai yra tokie patys kaip Jūsų).</w:t>
      </w:r>
      <w:r w:rsidRPr="005A4BA8">
        <w:rPr>
          <w:color w:val="008000"/>
        </w:rPr>
        <w:t xml:space="preserve"> </w:t>
      </w:r>
    </w:p>
    <w:p w:rsidR="00F52787" w:rsidRDefault="005E2817" w:rsidP="005E2817">
      <w:pPr>
        <w:pStyle w:val="BTEMEASMCA"/>
      </w:pPr>
      <w:r w:rsidRPr="005A4BA8">
        <w:t>Jeigu pasireiškė šalutinis poveikis (net jeigu jis šiame lapelyje nenurodytas), kreipkitės į gydytoją  arba vaistininką. Žr. 4 skyrių.</w:t>
      </w:r>
    </w:p>
    <w:p w:rsidR="00F52787" w:rsidRPr="00C24C19" w:rsidRDefault="00F52787" w:rsidP="00F52787">
      <w:pPr>
        <w:pStyle w:val="BTEMEASMCA"/>
      </w:pPr>
    </w:p>
    <w:p w:rsidR="00434379" w:rsidRPr="005A4BA8" w:rsidRDefault="00434379" w:rsidP="00434379">
      <w:pPr>
        <w:keepNext/>
        <w:tabs>
          <w:tab w:val="left" w:pos="567"/>
        </w:tabs>
        <w:spacing w:line="260" w:lineRule="exact"/>
        <w:jc w:val="both"/>
        <w:outlineLvl w:val="3"/>
        <w:rPr>
          <w:b/>
        </w:rPr>
      </w:pPr>
      <w:r w:rsidRPr="005A4BA8">
        <w:rPr>
          <w:b/>
        </w:rPr>
        <w:t>Apie ką rašoma šiame lapelyje?</w:t>
      </w:r>
    </w:p>
    <w:p w:rsidR="00434379" w:rsidRPr="005A4BA8" w:rsidRDefault="00434379" w:rsidP="00434379">
      <w:pPr>
        <w:numPr>
          <w:ilvl w:val="12"/>
          <w:numId w:val="0"/>
        </w:numPr>
        <w:ind w:left="284" w:right="-2"/>
      </w:pPr>
    </w:p>
    <w:p w:rsidR="00434379" w:rsidRPr="005A4BA8" w:rsidRDefault="00434379" w:rsidP="00434379">
      <w:pPr>
        <w:numPr>
          <w:ilvl w:val="12"/>
          <w:numId w:val="0"/>
        </w:numPr>
        <w:ind w:left="284" w:right="-2"/>
      </w:pPr>
      <w:r w:rsidRPr="005A4BA8">
        <w:t>1.</w:t>
      </w:r>
      <w:r w:rsidRPr="005A4BA8">
        <w:tab/>
        <w:t xml:space="preserve">Kas yra </w:t>
      </w:r>
      <w:proofErr w:type="spellStart"/>
      <w:r>
        <w:rPr>
          <w:snapToGrid w:val="0"/>
        </w:rPr>
        <w:t>Cefort</w:t>
      </w:r>
      <w:proofErr w:type="spellEnd"/>
      <w:r w:rsidRPr="005A4BA8">
        <w:t xml:space="preserve">  ir kam jis vartojamas </w:t>
      </w:r>
    </w:p>
    <w:p w:rsidR="00434379" w:rsidRPr="005A4BA8" w:rsidRDefault="00434379" w:rsidP="00434379">
      <w:pPr>
        <w:numPr>
          <w:ilvl w:val="12"/>
          <w:numId w:val="0"/>
        </w:numPr>
        <w:ind w:left="284" w:right="-2"/>
      </w:pPr>
      <w:r w:rsidRPr="005A4BA8">
        <w:t>2.</w:t>
      </w:r>
      <w:r w:rsidRPr="005A4BA8">
        <w:tab/>
        <w:t xml:space="preserve">Kas žinotina prieš vartojant </w:t>
      </w:r>
      <w:proofErr w:type="spellStart"/>
      <w:r>
        <w:rPr>
          <w:snapToGrid w:val="0"/>
        </w:rPr>
        <w:t>Cefort</w:t>
      </w:r>
      <w:proofErr w:type="spellEnd"/>
      <w:r w:rsidRPr="005A4BA8">
        <w:t xml:space="preserve">   </w:t>
      </w:r>
    </w:p>
    <w:p w:rsidR="00434379" w:rsidRPr="005A4BA8" w:rsidRDefault="00434379" w:rsidP="00434379">
      <w:pPr>
        <w:numPr>
          <w:ilvl w:val="12"/>
          <w:numId w:val="0"/>
        </w:numPr>
        <w:ind w:left="284" w:right="-2"/>
      </w:pPr>
      <w:r w:rsidRPr="005A4BA8">
        <w:t>3.</w:t>
      </w:r>
      <w:r w:rsidRPr="005A4BA8">
        <w:tab/>
        <w:t xml:space="preserve">Kaip vartoti </w:t>
      </w:r>
      <w:proofErr w:type="spellStart"/>
      <w:r>
        <w:rPr>
          <w:snapToGrid w:val="0"/>
        </w:rPr>
        <w:t>Cefort</w:t>
      </w:r>
      <w:proofErr w:type="spellEnd"/>
      <w:r w:rsidRPr="005A4BA8">
        <w:t xml:space="preserve"> </w:t>
      </w:r>
    </w:p>
    <w:p w:rsidR="00434379" w:rsidRPr="005A4BA8" w:rsidRDefault="00434379" w:rsidP="00434379">
      <w:pPr>
        <w:numPr>
          <w:ilvl w:val="12"/>
          <w:numId w:val="0"/>
        </w:numPr>
        <w:ind w:left="284" w:right="-2"/>
      </w:pPr>
      <w:r w:rsidRPr="005A4BA8">
        <w:t>4.</w:t>
      </w:r>
      <w:r w:rsidRPr="005A4BA8">
        <w:tab/>
        <w:t xml:space="preserve">Galimas šalutinis poveikis </w:t>
      </w:r>
    </w:p>
    <w:p w:rsidR="00434379" w:rsidRPr="005A4BA8" w:rsidRDefault="00434379" w:rsidP="00434379">
      <w:pPr>
        <w:numPr>
          <w:ilvl w:val="12"/>
          <w:numId w:val="0"/>
        </w:numPr>
        <w:tabs>
          <w:tab w:val="left" w:pos="709"/>
        </w:tabs>
        <w:ind w:left="284" w:right="-2"/>
      </w:pPr>
      <w:r w:rsidRPr="005A4BA8">
        <w:t>5.</w:t>
      </w:r>
      <w:r w:rsidRPr="005A4BA8">
        <w:tab/>
      </w:r>
      <w:r w:rsidRPr="005A4BA8">
        <w:tab/>
        <w:t xml:space="preserve">Kaip laikyti </w:t>
      </w:r>
      <w:proofErr w:type="spellStart"/>
      <w:r>
        <w:rPr>
          <w:snapToGrid w:val="0"/>
        </w:rPr>
        <w:t>Cefort</w:t>
      </w:r>
      <w:proofErr w:type="spellEnd"/>
      <w:r w:rsidRPr="005A4BA8">
        <w:t xml:space="preserve"> </w:t>
      </w:r>
    </w:p>
    <w:p w:rsidR="00434379" w:rsidRPr="005A4BA8" w:rsidRDefault="00434379" w:rsidP="00434379">
      <w:pPr>
        <w:numPr>
          <w:ilvl w:val="12"/>
          <w:numId w:val="0"/>
        </w:numPr>
        <w:ind w:left="284" w:right="-2"/>
      </w:pPr>
      <w:r w:rsidRPr="005A4BA8">
        <w:t>6.</w:t>
      </w:r>
      <w:r w:rsidRPr="005A4BA8">
        <w:tab/>
        <w:t>Pakuotės turinys ir kita informacija</w:t>
      </w:r>
    </w:p>
    <w:p w:rsidR="00434379" w:rsidRPr="005A4BA8" w:rsidRDefault="00434379" w:rsidP="00434379">
      <w:pPr>
        <w:numPr>
          <w:ilvl w:val="12"/>
          <w:numId w:val="0"/>
        </w:numPr>
        <w:ind w:right="-2"/>
      </w:pPr>
    </w:p>
    <w:p w:rsidR="00434379" w:rsidRPr="005A4BA8" w:rsidRDefault="00434379" w:rsidP="00434379">
      <w:pPr>
        <w:numPr>
          <w:ilvl w:val="12"/>
          <w:numId w:val="0"/>
        </w:numPr>
        <w:ind w:right="-2"/>
      </w:pPr>
    </w:p>
    <w:p w:rsidR="00434379" w:rsidRPr="005A4BA8" w:rsidRDefault="00434379" w:rsidP="00434379">
      <w:pPr>
        <w:keepNext/>
        <w:tabs>
          <w:tab w:val="left" w:pos="567"/>
        </w:tabs>
        <w:spacing w:line="260" w:lineRule="exact"/>
        <w:jc w:val="both"/>
        <w:outlineLvl w:val="3"/>
        <w:rPr>
          <w:b/>
        </w:rPr>
      </w:pPr>
      <w:r w:rsidRPr="005A4BA8">
        <w:rPr>
          <w:b/>
        </w:rPr>
        <w:t>1.</w:t>
      </w:r>
      <w:r w:rsidRPr="005A4BA8">
        <w:rPr>
          <w:b/>
        </w:rPr>
        <w:tab/>
        <w:t xml:space="preserve">Kas yra </w:t>
      </w:r>
      <w:proofErr w:type="spellStart"/>
      <w:r>
        <w:rPr>
          <w:b/>
          <w:bCs/>
          <w:snapToGrid w:val="0"/>
        </w:rPr>
        <w:t>Cefort</w:t>
      </w:r>
      <w:proofErr w:type="spellEnd"/>
      <w:r w:rsidRPr="005A4BA8">
        <w:rPr>
          <w:b/>
        </w:rPr>
        <w:t xml:space="preserve">  ir kam jis vartojamas</w:t>
      </w:r>
    </w:p>
    <w:p w:rsidR="00434379" w:rsidRPr="005A4BA8" w:rsidRDefault="00434379" w:rsidP="00434379">
      <w:pPr>
        <w:numPr>
          <w:ilvl w:val="12"/>
          <w:numId w:val="0"/>
        </w:numPr>
        <w:ind w:right="-2"/>
      </w:pPr>
    </w:p>
    <w:p w:rsidR="00434379" w:rsidRPr="005A4BA8" w:rsidRDefault="00434379" w:rsidP="00434379">
      <w:pPr>
        <w:rPr>
          <w:color w:val="00000A"/>
        </w:rPr>
      </w:pPr>
      <w:proofErr w:type="spellStart"/>
      <w:r>
        <w:rPr>
          <w:color w:val="00000A"/>
        </w:rPr>
        <w:t>Cefort</w:t>
      </w:r>
      <w:proofErr w:type="spellEnd"/>
      <w:r w:rsidRPr="005A4BA8">
        <w:rPr>
          <w:color w:val="00000A"/>
        </w:rPr>
        <w:t xml:space="preserve"> yra antibiotikas, skiriamas suaugusiesiems ir vaikams (įskaitant naujagimius). Jis veikia naikindamas infekciją sukeliančias bakterijas. Jis priklauso antibiotikų grupei, kuri vadinama </w:t>
      </w:r>
      <w:proofErr w:type="spellStart"/>
      <w:r w:rsidRPr="005A4BA8">
        <w:rPr>
          <w:color w:val="00000A"/>
        </w:rPr>
        <w:t>cefalosporinais</w:t>
      </w:r>
      <w:proofErr w:type="spellEnd"/>
      <w:r w:rsidRPr="005A4BA8">
        <w:rPr>
          <w:color w:val="00000A"/>
        </w:rPr>
        <w:t>.</w:t>
      </w:r>
    </w:p>
    <w:p w:rsidR="00434379" w:rsidRPr="005A4BA8" w:rsidRDefault="00434379" w:rsidP="00434379">
      <w:pPr>
        <w:rPr>
          <w:color w:val="00000A"/>
        </w:rPr>
      </w:pPr>
    </w:p>
    <w:p w:rsidR="00434379" w:rsidRPr="005A4BA8" w:rsidRDefault="00434379" w:rsidP="00434379">
      <w:pPr>
        <w:rPr>
          <w:color w:val="00000A"/>
        </w:rPr>
      </w:pPr>
      <w:proofErr w:type="spellStart"/>
      <w:r>
        <w:rPr>
          <w:color w:val="00000A"/>
        </w:rPr>
        <w:t>Cefort</w:t>
      </w:r>
      <w:proofErr w:type="spellEnd"/>
      <w:r w:rsidRPr="005A4BA8">
        <w:rPr>
          <w:color w:val="00000A"/>
        </w:rPr>
        <w:t xml:space="preserve"> vartojamas gydymui jei yra:</w:t>
      </w:r>
    </w:p>
    <w:p w:rsidR="00434379" w:rsidRPr="005A4BA8" w:rsidRDefault="00434379" w:rsidP="00434379">
      <w:pPr>
        <w:rPr>
          <w:color w:val="00000A"/>
        </w:rPr>
      </w:pPr>
      <w:r w:rsidRPr="005A4BA8">
        <w:rPr>
          <w:color w:val="00000A"/>
        </w:rPr>
        <w:t xml:space="preserve">• smegenų infekcija (meningitas); </w:t>
      </w:r>
    </w:p>
    <w:p w:rsidR="00434379" w:rsidRPr="005A4BA8" w:rsidRDefault="00434379" w:rsidP="00434379">
      <w:pPr>
        <w:rPr>
          <w:color w:val="00000A"/>
        </w:rPr>
      </w:pPr>
      <w:r w:rsidRPr="005A4BA8">
        <w:rPr>
          <w:color w:val="00000A"/>
        </w:rPr>
        <w:t xml:space="preserve">• plaučių infekcija; </w:t>
      </w:r>
    </w:p>
    <w:p w:rsidR="00434379" w:rsidRPr="005A4BA8" w:rsidRDefault="00434379" w:rsidP="00434379">
      <w:pPr>
        <w:rPr>
          <w:color w:val="00000A"/>
        </w:rPr>
      </w:pPr>
      <w:r w:rsidRPr="005A4BA8">
        <w:rPr>
          <w:color w:val="00000A"/>
        </w:rPr>
        <w:t xml:space="preserve">• vidurinės ausies infekcija; </w:t>
      </w:r>
    </w:p>
    <w:p w:rsidR="00434379" w:rsidRPr="005A4BA8" w:rsidRDefault="00434379" w:rsidP="00434379">
      <w:pPr>
        <w:rPr>
          <w:color w:val="00000A"/>
        </w:rPr>
      </w:pPr>
      <w:r w:rsidRPr="005A4BA8">
        <w:rPr>
          <w:color w:val="00000A"/>
        </w:rPr>
        <w:t xml:space="preserve">• pilvo ertmės ir pilvo sienos infekcija (peritonitas); </w:t>
      </w:r>
    </w:p>
    <w:p w:rsidR="00434379" w:rsidRPr="005A4BA8" w:rsidRDefault="00434379" w:rsidP="00434379">
      <w:pPr>
        <w:rPr>
          <w:color w:val="00000A"/>
        </w:rPr>
      </w:pPr>
      <w:r w:rsidRPr="005A4BA8">
        <w:rPr>
          <w:color w:val="00000A"/>
        </w:rPr>
        <w:t xml:space="preserve">• šlapimo takų ir inkstų infekcija; </w:t>
      </w:r>
    </w:p>
    <w:p w:rsidR="00434379" w:rsidRPr="005A4BA8" w:rsidRDefault="00434379" w:rsidP="00434379">
      <w:pPr>
        <w:rPr>
          <w:color w:val="00000A"/>
        </w:rPr>
      </w:pPr>
      <w:r w:rsidRPr="005A4BA8">
        <w:rPr>
          <w:color w:val="00000A"/>
        </w:rPr>
        <w:t xml:space="preserve">• kaulų ir sąnarių infekcija; </w:t>
      </w:r>
    </w:p>
    <w:p w:rsidR="00434379" w:rsidRPr="005A4BA8" w:rsidRDefault="00434379" w:rsidP="00434379">
      <w:pPr>
        <w:rPr>
          <w:color w:val="00000A"/>
        </w:rPr>
      </w:pPr>
      <w:r w:rsidRPr="005A4BA8">
        <w:rPr>
          <w:color w:val="00000A"/>
        </w:rPr>
        <w:t xml:space="preserve">• odos ir minkštųjų audinių infekcija; </w:t>
      </w:r>
    </w:p>
    <w:p w:rsidR="00434379" w:rsidRPr="005A4BA8" w:rsidRDefault="00434379" w:rsidP="00434379">
      <w:pPr>
        <w:rPr>
          <w:color w:val="00000A"/>
        </w:rPr>
      </w:pPr>
      <w:r w:rsidRPr="005A4BA8">
        <w:rPr>
          <w:color w:val="00000A"/>
        </w:rPr>
        <w:t xml:space="preserve">• kraujo infekcija; </w:t>
      </w:r>
    </w:p>
    <w:p w:rsidR="00434379" w:rsidRPr="005A4BA8" w:rsidRDefault="00434379" w:rsidP="00434379">
      <w:pPr>
        <w:rPr>
          <w:color w:val="00000A"/>
        </w:rPr>
      </w:pPr>
      <w:r w:rsidRPr="005A4BA8">
        <w:rPr>
          <w:color w:val="00000A"/>
        </w:rPr>
        <w:t xml:space="preserve">• širdies infekcija. </w:t>
      </w:r>
    </w:p>
    <w:p w:rsidR="00434379" w:rsidRPr="005A4BA8" w:rsidRDefault="00434379" w:rsidP="00434379">
      <w:pPr>
        <w:rPr>
          <w:color w:val="00000A"/>
        </w:rPr>
      </w:pPr>
    </w:p>
    <w:p w:rsidR="00434379" w:rsidRPr="005A4BA8" w:rsidRDefault="00434379" w:rsidP="00434379">
      <w:pPr>
        <w:rPr>
          <w:color w:val="00000A"/>
        </w:rPr>
      </w:pPr>
      <w:r w:rsidRPr="005A4BA8">
        <w:rPr>
          <w:color w:val="00000A"/>
        </w:rPr>
        <w:t xml:space="preserve">Vaistas gali būti skiriamas: </w:t>
      </w:r>
    </w:p>
    <w:p w:rsidR="00434379" w:rsidRPr="005A4BA8" w:rsidRDefault="00434379" w:rsidP="00434379">
      <w:pPr>
        <w:rPr>
          <w:color w:val="00000A"/>
        </w:rPr>
      </w:pPr>
      <w:r w:rsidRPr="005A4BA8">
        <w:rPr>
          <w:color w:val="00000A"/>
        </w:rPr>
        <w:t xml:space="preserve">• gydyti tam tikras lytiškai plintančias infekcijas (gonorėją ir sifilį); </w:t>
      </w:r>
    </w:p>
    <w:p w:rsidR="00434379" w:rsidRPr="005A4BA8" w:rsidRDefault="00434379" w:rsidP="00434379">
      <w:pPr>
        <w:rPr>
          <w:color w:val="00000A"/>
        </w:rPr>
      </w:pPr>
      <w:r w:rsidRPr="005A4BA8">
        <w:rPr>
          <w:color w:val="00000A"/>
        </w:rPr>
        <w:t>• gydyti pacientus, kuriems yra sumažėjęs baltųjų kraujo ląstelių skaičius (</w:t>
      </w:r>
      <w:proofErr w:type="spellStart"/>
      <w:r w:rsidRPr="005A4BA8">
        <w:rPr>
          <w:color w:val="00000A"/>
        </w:rPr>
        <w:t>neutropenija</w:t>
      </w:r>
      <w:proofErr w:type="spellEnd"/>
      <w:r w:rsidRPr="005A4BA8">
        <w:rPr>
          <w:color w:val="00000A"/>
        </w:rPr>
        <w:t xml:space="preserve">) ir kurie karščiuoja dėl bakterinės infekcijos; </w:t>
      </w:r>
    </w:p>
    <w:p w:rsidR="00434379" w:rsidRPr="005A4BA8" w:rsidRDefault="00434379" w:rsidP="00434379">
      <w:pPr>
        <w:rPr>
          <w:color w:val="00000A"/>
        </w:rPr>
      </w:pPr>
      <w:r w:rsidRPr="005A4BA8">
        <w:rPr>
          <w:color w:val="00000A"/>
        </w:rPr>
        <w:t xml:space="preserve">• gydyti krūtinės ląstos infekcijas lėtiniu bronchitu sergantiems suaugusiems žmonėms; </w:t>
      </w:r>
    </w:p>
    <w:p w:rsidR="00434379" w:rsidRPr="005A4BA8" w:rsidRDefault="00434379" w:rsidP="00434379">
      <w:pPr>
        <w:rPr>
          <w:color w:val="00000A"/>
        </w:rPr>
      </w:pPr>
      <w:r w:rsidRPr="005A4BA8">
        <w:rPr>
          <w:color w:val="00000A"/>
        </w:rPr>
        <w:t xml:space="preserve">• gydyti </w:t>
      </w:r>
      <w:proofErr w:type="spellStart"/>
      <w:r w:rsidRPr="005A4BA8">
        <w:rPr>
          <w:color w:val="00000A"/>
        </w:rPr>
        <w:t>Laimo</w:t>
      </w:r>
      <w:proofErr w:type="spellEnd"/>
      <w:r w:rsidRPr="005A4BA8">
        <w:rPr>
          <w:color w:val="00000A"/>
        </w:rPr>
        <w:t xml:space="preserve"> ligą (sukeltą erkės įkandimo) suaugusiems žmonėms ir vaikams, įskaitant naujagimius nuo 15 parų amžiaus; </w:t>
      </w:r>
    </w:p>
    <w:p w:rsidR="00434379" w:rsidRPr="005A4BA8" w:rsidRDefault="00434379" w:rsidP="00434379">
      <w:pPr>
        <w:rPr>
          <w:color w:val="00000A"/>
        </w:rPr>
      </w:pPr>
      <w:r w:rsidRPr="005A4BA8">
        <w:rPr>
          <w:color w:val="00000A"/>
        </w:rPr>
        <w:t>• siekiant išvengti infekcijos operacijos metu.</w:t>
      </w:r>
    </w:p>
    <w:p w:rsidR="00434379" w:rsidRPr="005A4BA8" w:rsidRDefault="00434379" w:rsidP="00434379">
      <w:pPr>
        <w:rPr>
          <w:color w:val="00000A"/>
        </w:rPr>
      </w:pPr>
    </w:p>
    <w:p w:rsidR="00434379" w:rsidRPr="005A4BA8" w:rsidRDefault="00434379" w:rsidP="00434379">
      <w:pPr>
        <w:rPr>
          <w:color w:val="00000A"/>
        </w:rPr>
      </w:pPr>
    </w:p>
    <w:p w:rsidR="00434379" w:rsidRPr="005A4BA8" w:rsidRDefault="00434379" w:rsidP="00434379">
      <w:pPr>
        <w:keepNext/>
        <w:tabs>
          <w:tab w:val="left" w:pos="567"/>
        </w:tabs>
        <w:spacing w:line="260" w:lineRule="exact"/>
        <w:jc w:val="both"/>
        <w:outlineLvl w:val="3"/>
        <w:rPr>
          <w:b/>
        </w:rPr>
      </w:pPr>
      <w:r w:rsidRPr="005A4BA8">
        <w:rPr>
          <w:b/>
        </w:rPr>
        <w:t>2.</w:t>
      </w:r>
      <w:r w:rsidRPr="005A4BA8">
        <w:rPr>
          <w:b/>
        </w:rPr>
        <w:tab/>
        <w:t xml:space="preserve">Kas žinotina prieš vartojant </w:t>
      </w:r>
      <w:proofErr w:type="spellStart"/>
      <w:r>
        <w:rPr>
          <w:b/>
          <w:bCs/>
          <w:snapToGrid w:val="0"/>
        </w:rPr>
        <w:t>Cefort</w:t>
      </w:r>
      <w:proofErr w:type="spellEnd"/>
      <w:r w:rsidRPr="005A4BA8">
        <w:rPr>
          <w:b/>
        </w:rPr>
        <w:t xml:space="preserve">   </w:t>
      </w:r>
    </w:p>
    <w:p w:rsidR="00434379" w:rsidRPr="005A4BA8" w:rsidRDefault="00434379" w:rsidP="00434379">
      <w:pPr>
        <w:numPr>
          <w:ilvl w:val="12"/>
          <w:numId w:val="0"/>
        </w:numPr>
        <w:ind w:right="-2"/>
      </w:pPr>
    </w:p>
    <w:p w:rsidR="00434379" w:rsidRPr="005A4BA8" w:rsidRDefault="00434379" w:rsidP="00434379">
      <w:pPr>
        <w:keepNext/>
        <w:tabs>
          <w:tab w:val="left" w:pos="567"/>
        </w:tabs>
        <w:spacing w:line="260" w:lineRule="exact"/>
        <w:jc w:val="both"/>
        <w:outlineLvl w:val="3"/>
        <w:rPr>
          <w:b/>
        </w:rPr>
      </w:pPr>
      <w:proofErr w:type="spellStart"/>
      <w:r>
        <w:rPr>
          <w:b/>
          <w:bCs/>
          <w:snapToGrid w:val="0"/>
        </w:rPr>
        <w:lastRenderedPageBreak/>
        <w:t>Cefort</w:t>
      </w:r>
      <w:proofErr w:type="spellEnd"/>
      <w:r w:rsidRPr="005A4BA8">
        <w:rPr>
          <w:b/>
        </w:rPr>
        <w:t xml:space="preserve"> vartoti negalima:</w:t>
      </w:r>
    </w:p>
    <w:p w:rsidR="00434379" w:rsidRPr="005A4BA8" w:rsidRDefault="00434379" w:rsidP="00434379">
      <w:pPr>
        <w:ind w:left="360"/>
        <w:rPr>
          <w:color w:val="00000A"/>
        </w:rPr>
      </w:pPr>
      <w:r w:rsidRPr="005A4BA8">
        <w:rPr>
          <w:color w:val="00000A"/>
        </w:rPr>
        <w:t xml:space="preserve">• jeigu yra alergija </w:t>
      </w:r>
      <w:proofErr w:type="spellStart"/>
      <w:r w:rsidRPr="005A4BA8">
        <w:rPr>
          <w:color w:val="00000A"/>
        </w:rPr>
        <w:t>ceftriaksonui</w:t>
      </w:r>
      <w:proofErr w:type="spellEnd"/>
      <w:r w:rsidRPr="005A4BA8">
        <w:rPr>
          <w:color w:val="00000A"/>
        </w:rPr>
        <w:t xml:space="preserve"> arba bet kuriai pagalbinei šio vaisto medžiagai (jos išvardytos 6 skyriuje); </w:t>
      </w:r>
    </w:p>
    <w:p w:rsidR="00434379" w:rsidRPr="005A4BA8" w:rsidRDefault="00434379" w:rsidP="00434379">
      <w:pPr>
        <w:ind w:left="360"/>
        <w:rPr>
          <w:color w:val="00000A"/>
        </w:rPr>
      </w:pPr>
      <w:r w:rsidRPr="005A4BA8">
        <w:rPr>
          <w:color w:val="00000A"/>
        </w:rPr>
        <w:t xml:space="preserve">• jei esate patyrę staigią ar sunkią alerginę reakciją dėl penicilino ar panašių antibiotikų vartojimo (pvz., </w:t>
      </w:r>
      <w:proofErr w:type="spellStart"/>
      <w:r w:rsidRPr="005A4BA8">
        <w:rPr>
          <w:color w:val="00000A"/>
        </w:rPr>
        <w:t>cefalosporinų</w:t>
      </w:r>
      <w:proofErr w:type="spellEnd"/>
      <w:r w:rsidRPr="005A4BA8">
        <w:rPr>
          <w:color w:val="00000A"/>
        </w:rPr>
        <w:t xml:space="preserve">, </w:t>
      </w:r>
      <w:proofErr w:type="spellStart"/>
      <w:r w:rsidRPr="005A4BA8">
        <w:rPr>
          <w:color w:val="00000A"/>
        </w:rPr>
        <w:t>karbapenemų</w:t>
      </w:r>
      <w:proofErr w:type="spellEnd"/>
      <w:r w:rsidRPr="005A4BA8">
        <w:rPr>
          <w:color w:val="00000A"/>
        </w:rPr>
        <w:t xml:space="preserve"> ar </w:t>
      </w:r>
      <w:proofErr w:type="spellStart"/>
      <w:r w:rsidRPr="005A4BA8">
        <w:rPr>
          <w:color w:val="00000A"/>
        </w:rPr>
        <w:t>monobaktamų</w:t>
      </w:r>
      <w:proofErr w:type="spellEnd"/>
      <w:r w:rsidRPr="005A4BA8">
        <w:rPr>
          <w:color w:val="00000A"/>
        </w:rPr>
        <w:t xml:space="preserve">). Tai apima tokius simptomus: staigus ryklės ar veido patinimas, dėl kurio gali būti sunku kvėpuoti ar ryti, staigus plaštakų, pėdų ir kulkšnių patinimas ir greitai plintantis sunkus bėrimas; </w:t>
      </w:r>
    </w:p>
    <w:p w:rsidR="00434379" w:rsidRPr="005A4BA8" w:rsidRDefault="00434379" w:rsidP="00434379">
      <w:pPr>
        <w:ind w:left="360"/>
        <w:rPr>
          <w:color w:val="00000A"/>
        </w:rPr>
      </w:pPr>
      <w:r w:rsidRPr="005A4BA8">
        <w:rPr>
          <w:color w:val="00000A"/>
        </w:rPr>
        <w:t xml:space="preserve">• esate alergiški </w:t>
      </w:r>
      <w:proofErr w:type="spellStart"/>
      <w:r w:rsidRPr="005A4BA8">
        <w:rPr>
          <w:color w:val="00000A"/>
        </w:rPr>
        <w:t>lidokainui</w:t>
      </w:r>
      <w:proofErr w:type="spellEnd"/>
      <w:r w:rsidRPr="005A4BA8">
        <w:rPr>
          <w:color w:val="00000A"/>
        </w:rPr>
        <w:t xml:space="preserve"> ir </w:t>
      </w:r>
      <w:proofErr w:type="spellStart"/>
      <w:r>
        <w:rPr>
          <w:color w:val="00000A"/>
        </w:rPr>
        <w:t>Cefort</w:t>
      </w:r>
      <w:proofErr w:type="spellEnd"/>
      <w:r w:rsidRPr="005A4BA8">
        <w:rPr>
          <w:color w:val="00000A"/>
        </w:rPr>
        <w:t xml:space="preserve"> bus vartojamas kaip injekcija į raumenį.</w:t>
      </w:r>
    </w:p>
    <w:p w:rsidR="00434379" w:rsidRPr="005A4BA8" w:rsidRDefault="00434379" w:rsidP="00434379">
      <w:pPr>
        <w:ind w:left="360"/>
        <w:rPr>
          <w:color w:val="00000A"/>
        </w:rPr>
      </w:pPr>
    </w:p>
    <w:p w:rsidR="00434379" w:rsidRPr="005A4BA8" w:rsidRDefault="00434379" w:rsidP="00434379">
      <w:pPr>
        <w:rPr>
          <w:b/>
          <w:color w:val="00000A"/>
        </w:rPr>
      </w:pPr>
      <w:proofErr w:type="spellStart"/>
      <w:r>
        <w:rPr>
          <w:b/>
          <w:color w:val="00000A"/>
        </w:rPr>
        <w:t>Cefort</w:t>
      </w:r>
      <w:proofErr w:type="spellEnd"/>
      <w:r w:rsidRPr="005A4BA8">
        <w:rPr>
          <w:b/>
          <w:color w:val="00000A"/>
        </w:rPr>
        <w:t xml:space="preserve"> vartoti naujagimiams draudžiama, jei: </w:t>
      </w:r>
    </w:p>
    <w:p w:rsidR="00434379" w:rsidRPr="005A4BA8" w:rsidRDefault="00434379" w:rsidP="00434379">
      <w:pPr>
        <w:rPr>
          <w:color w:val="00000A"/>
        </w:rPr>
      </w:pPr>
      <w:r w:rsidRPr="005A4BA8">
        <w:rPr>
          <w:color w:val="00000A"/>
        </w:rPr>
        <w:t xml:space="preserve">• naujagimis neišnešiotas; </w:t>
      </w:r>
    </w:p>
    <w:p w:rsidR="00434379" w:rsidRPr="005A4BA8" w:rsidRDefault="00434379" w:rsidP="00434379">
      <w:pPr>
        <w:rPr>
          <w:color w:val="00000A"/>
        </w:rPr>
      </w:pPr>
      <w:r w:rsidRPr="005A4BA8">
        <w:rPr>
          <w:color w:val="00000A"/>
        </w:rPr>
        <w:t xml:space="preserve">• naujagimiui (iki 28 parų amžiaus) yra tam tikrų kraujo sistemos sutrikimų ar gelta (pageltusi oda ar akių odena (baltymas) arba jam į veną bus skiriamas kalcio turintis preparatas. </w:t>
      </w:r>
    </w:p>
    <w:p w:rsidR="00434379" w:rsidRPr="005A4BA8" w:rsidRDefault="00434379" w:rsidP="00434379">
      <w:pPr>
        <w:rPr>
          <w:color w:val="00000A"/>
        </w:rPr>
      </w:pPr>
    </w:p>
    <w:p w:rsidR="00434379" w:rsidRPr="005A4BA8" w:rsidRDefault="00434379" w:rsidP="00434379">
      <w:pPr>
        <w:rPr>
          <w:color w:val="00000A"/>
        </w:rPr>
      </w:pPr>
      <w:r w:rsidRPr="005A4BA8">
        <w:rPr>
          <w:b/>
          <w:color w:val="00000A"/>
        </w:rPr>
        <w:t>Įspėjimai ir atsargumo priemonės</w:t>
      </w:r>
      <w:r w:rsidRPr="005A4BA8">
        <w:rPr>
          <w:color w:val="00000A"/>
        </w:rPr>
        <w:t xml:space="preserve"> </w:t>
      </w:r>
    </w:p>
    <w:p w:rsidR="00434379" w:rsidRPr="005A4BA8" w:rsidRDefault="00434379" w:rsidP="00434379">
      <w:pPr>
        <w:rPr>
          <w:color w:val="00000A"/>
        </w:rPr>
      </w:pPr>
      <w:r w:rsidRPr="005A4BA8">
        <w:rPr>
          <w:color w:val="00000A"/>
        </w:rPr>
        <w:t xml:space="preserve">Jei jums skiriama </w:t>
      </w:r>
      <w:proofErr w:type="spellStart"/>
      <w:r>
        <w:rPr>
          <w:color w:val="00000A"/>
        </w:rPr>
        <w:t>Cefort</w:t>
      </w:r>
      <w:proofErr w:type="spellEnd"/>
      <w:r w:rsidRPr="005A4BA8">
        <w:rPr>
          <w:color w:val="00000A"/>
        </w:rPr>
        <w:t xml:space="preserve">, pasitarkite su gydytoju, vaistininku arba slaugytoja, jeigu: </w:t>
      </w:r>
    </w:p>
    <w:p w:rsidR="00434379" w:rsidRPr="00F573C3" w:rsidRDefault="00434379" w:rsidP="00434379">
      <w:pPr>
        <w:rPr>
          <w:color w:val="00000A"/>
        </w:rPr>
      </w:pPr>
      <w:r w:rsidRPr="00F573C3">
        <w:rPr>
          <w:color w:val="00000A"/>
        </w:rPr>
        <w:t xml:space="preserve">• neseniai vartojote ar planuojate vartoti kalcio turinčių preparatų; </w:t>
      </w:r>
    </w:p>
    <w:p w:rsidR="00434379" w:rsidRPr="00F573C3" w:rsidRDefault="00434379" w:rsidP="00434379">
      <w:pPr>
        <w:rPr>
          <w:color w:val="00000A"/>
        </w:rPr>
      </w:pPr>
      <w:r w:rsidRPr="00F573C3">
        <w:rPr>
          <w:color w:val="00000A"/>
        </w:rPr>
        <w:t xml:space="preserve">• neseniai po antibiotikų vartojimo viduriavote; jums buvo žarnų veiklos sutrikimų ar ligų, pvz., sirgote kolitu (žarnų uždegimu); </w:t>
      </w:r>
    </w:p>
    <w:p w:rsidR="00434379" w:rsidRPr="00F573C3" w:rsidRDefault="00434379" w:rsidP="00434379">
      <w:pPr>
        <w:rPr>
          <w:color w:val="00000A"/>
        </w:rPr>
      </w:pPr>
      <w:r w:rsidRPr="00F573C3">
        <w:rPr>
          <w:color w:val="00000A"/>
        </w:rPr>
        <w:t xml:space="preserve">• yra sutrikusi kepenų ar inkstų veikla; </w:t>
      </w:r>
    </w:p>
    <w:p w:rsidR="00434379" w:rsidRPr="00F573C3" w:rsidRDefault="00434379" w:rsidP="00434379">
      <w:pPr>
        <w:rPr>
          <w:color w:val="00000A"/>
        </w:rPr>
      </w:pPr>
      <w:r w:rsidRPr="00F573C3">
        <w:rPr>
          <w:color w:val="00000A"/>
        </w:rPr>
        <w:t xml:space="preserve">• jūsų tulžies pūslėje ar inkstuose yra akmenų; </w:t>
      </w:r>
    </w:p>
    <w:p w:rsidR="00434379" w:rsidRPr="00F573C3" w:rsidRDefault="00434379" w:rsidP="00434379">
      <w:pPr>
        <w:rPr>
          <w:color w:val="00000A"/>
        </w:rPr>
      </w:pPr>
      <w:r w:rsidRPr="00F573C3">
        <w:rPr>
          <w:color w:val="00000A"/>
        </w:rPr>
        <w:t xml:space="preserve">• sergate kitomis ligomis, pvz., hemolizine anemija (raudonųjų kraujo ląstelių sumažėjimas, dėl ko jūsų oda gali šiek tiek pagelsti, atsirasti silpnumas ar dusulys); </w:t>
      </w:r>
    </w:p>
    <w:p w:rsidR="00434379" w:rsidRPr="00F573C3" w:rsidRDefault="00434379" w:rsidP="00434379">
      <w:pPr>
        <w:rPr>
          <w:color w:val="00000A"/>
        </w:rPr>
      </w:pPr>
      <w:r w:rsidRPr="00F573C3">
        <w:rPr>
          <w:color w:val="00000A"/>
        </w:rPr>
        <w:t xml:space="preserve">• laikotės dietos, su mažu natrio kiekiu maiste. </w:t>
      </w:r>
    </w:p>
    <w:p w:rsidR="00434379" w:rsidRPr="00F573C3" w:rsidRDefault="00434379" w:rsidP="00434379">
      <w:pPr>
        <w:rPr>
          <w:color w:val="00000A"/>
        </w:rPr>
      </w:pPr>
    </w:p>
    <w:p w:rsidR="00434379" w:rsidRPr="00F573C3" w:rsidRDefault="00434379" w:rsidP="00434379">
      <w:pPr>
        <w:rPr>
          <w:i/>
          <w:color w:val="00000A"/>
        </w:rPr>
      </w:pPr>
      <w:r w:rsidRPr="00F573C3">
        <w:rPr>
          <w:i/>
          <w:color w:val="00000A"/>
        </w:rPr>
        <w:t xml:space="preserve">Jei reikia atlikti kraujo ar šlapimo tyrimą </w:t>
      </w:r>
    </w:p>
    <w:p w:rsidR="00434379" w:rsidRPr="00F573C3" w:rsidRDefault="00434379" w:rsidP="00434379">
      <w:pPr>
        <w:rPr>
          <w:color w:val="00000A"/>
        </w:rPr>
      </w:pPr>
      <w:r w:rsidRPr="00F573C3">
        <w:rPr>
          <w:color w:val="00000A"/>
        </w:rPr>
        <w:t xml:space="preserve">Jei jums ilgą laiką skiriama </w:t>
      </w:r>
      <w:proofErr w:type="spellStart"/>
      <w:r>
        <w:rPr>
          <w:color w:val="00000A"/>
        </w:rPr>
        <w:t>Cefort</w:t>
      </w:r>
      <w:proofErr w:type="spellEnd"/>
      <w:r w:rsidRPr="00F573C3">
        <w:rPr>
          <w:color w:val="00000A"/>
        </w:rPr>
        <w:t xml:space="preserve">, reikia reguliariai atlikti kraujo tyrimus. </w:t>
      </w:r>
      <w:proofErr w:type="spellStart"/>
      <w:r>
        <w:rPr>
          <w:color w:val="00000A"/>
        </w:rPr>
        <w:t>Cefort</w:t>
      </w:r>
      <w:proofErr w:type="spellEnd"/>
      <w:r w:rsidRPr="00F573C3">
        <w:rPr>
          <w:color w:val="00000A"/>
        </w:rPr>
        <w:t xml:space="preserve"> gali keisti kai kurių gliukozės koncentracijos tyrimų šlapime ir kraujo tyrimo, vadinamo </w:t>
      </w:r>
      <w:proofErr w:type="spellStart"/>
      <w:r w:rsidRPr="00F573C3">
        <w:rPr>
          <w:color w:val="00000A"/>
        </w:rPr>
        <w:t>Kumbso</w:t>
      </w:r>
      <w:proofErr w:type="spellEnd"/>
      <w:r w:rsidRPr="00F573C3">
        <w:rPr>
          <w:color w:val="00000A"/>
        </w:rPr>
        <w:t xml:space="preserve"> mėginių, rezultatus. Jei jums atliekami tyrimai: </w:t>
      </w:r>
    </w:p>
    <w:p w:rsidR="00434379" w:rsidRPr="00F573C3" w:rsidRDefault="00434379" w:rsidP="00434379">
      <w:pPr>
        <w:rPr>
          <w:color w:val="00000A"/>
        </w:rPr>
      </w:pPr>
      <w:r w:rsidRPr="00F573C3">
        <w:rPr>
          <w:color w:val="00000A"/>
        </w:rPr>
        <w:t xml:space="preserve">• informuokite mėginį imantį asmenį, kad vartojote </w:t>
      </w:r>
      <w:proofErr w:type="spellStart"/>
      <w:r>
        <w:rPr>
          <w:color w:val="00000A"/>
        </w:rPr>
        <w:t>Cefort</w:t>
      </w:r>
      <w:proofErr w:type="spellEnd"/>
      <w:r w:rsidRPr="00F573C3">
        <w:rPr>
          <w:color w:val="00000A"/>
        </w:rPr>
        <w:t>.</w:t>
      </w:r>
    </w:p>
    <w:p w:rsidR="00434379" w:rsidRPr="00F573C3" w:rsidRDefault="00434379" w:rsidP="00434379">
      <w:pPr>
        <w:rPr>
          <w:color w:val="00000A"/>
        </w:rPr>
      </w:pPr>
    </w:p>
    <w:p w:rsidR="00434379" w:rsidRPr="00F573C3" w:rsidRDefault="00434379" w:rsidP="00434379">
      <w:pPr>
        <w:rPr>
          <w:b/>
          <w:color w:val="00000A"/>
        </w:rPr>
      </w:pPr>
      <w:r w:rsidRPr="00F573C3">
        <w:rPr>
          <w:b/>
          <w:color w:val="00000A"/>
        </w:rPr>
        <w:t>Vaikams</w:t>
      </w:r>
    </w:p>
    <w:p w:rsidR="00434379" w:rsidRPr="00F573C3" w:rsidRDefault="00434379" w:rsidP="00434379">
      <w:pPr>
        <w:rPr>
          <w:color w:val="00000A"/>
        </w:rPr>
      </w:pPr>
      <w:r w:rsidRPr="00F573C3">
        <w:rPr>
          <w:color w:val="00000A"/>
        </w:rPr>
        <w:t xml:space="preserve">Prieš vaikui skiriant </w:t>
      </w:r>
      <w:proofErr w:type="spellStart"/>
      <w:r>
        <w:rPr>
          <w:color w:val="00000A"/>
        </w:rPr>
        <w:t>Cefort</w:t>
      </w:r>
      <w:proofErr w:type="spellEnd"/>
      <w:r w:rsidRPr="00F573C3">
        <w:rPr>
          <w:color w:val="00000A"/>
        </w:rPr>
        <w:t>, pasitarkite su gydytojui, vaistininku ar slaugytoju, jei:</w:t>
      </w:r>
    </w:p>
    <w:p w:rsidR="00434379" w:rsidRPr="00F573C3" w:rsidRDefault="00434379" w:rsidP="00434379">
      <w:pPr>
        <w:numPr>
          <w:ilvl w:val="0"/>
          <w:numId w:val="9"/>
        </w:numPr>
        <w:tabs>
          <w:tab w:val="left" w:pos="567"/>
        </w:tabs>
        <w:rPr>
          <w:color w:val="00000A"/>
        </w:rPr>
      </w:pPr>
      <w:r w:rsidRPr="00F573C3">
        <w:rPr>
          <w:color w:val="00000A"/>
        </w:rPr>
        <w:t>jam ar jai neseniai į veną buvo skirtas ar bus skiriamas kalcio turintis preparatas.</w:t>
      </w:r>
    </w:p>
    <w:p w:rsidR="00434379" w:rsidRPr="00F573C3" w:rsidRDefault="00434379" w:rsidP="00434379">
      <w:pPr>
        <w:rPr>
          <w:color w:val="00000A"/>
        </w:rPr>
      </w:pPr>
    </w:p>
    <w:p w:rsidR="00434379" w:rsidRPr="00D30C59" w:rsidRDefault="00434379" w:rsidP="00434379">
      <w:pPr>
        <w:keepNext/>
        <w:tabs>
          <w:tab w:val="left" w:pos="567"/>
        </w:tabs>
        <w:spacing w:line="260" w:lineRule="exact"/>
        <w:jc w:val="both"/>
        <w:outlineLvl w:val="3"/>
        <w:rPr>
          <w:b/>
        </w:rPr>
      </w:pPr>
      <w:r w:rsidRPr="00D30C59">
        <w:rPr>
          <w:b/>
        </w:rPr>
        <w:t xml:space="preserve">Kiti vaistai ir </w:t>
      </w:r>
      <w:proofErr w:type="spellStart"/>
      <w:r>
        <w:rPr>
          <w:b/>
          <w:bCs/>
          <w:snapToGrid w:val="0"/>
        </w:rPr>
        <w:t>Cefort</w:t>
      </w:r>
      <w:proofErr w:type="spellEnd"/>
      <w:r w:rsidRPr="00D30C59">
        <w:rPr>
          <w:b/>
        </w:rPr>
        <w:t xml:space="preserve"> </w:t>
      </w:r>
    </w:p>
    <w:p w:rsidR="00434379" w:rsidRPr="00D30C59" w:rsidRDefault="00434379" w:rsidP="00434379">
      <w:pPr>
        <w:tabs>
          <w:tab w:val="left" w:pos="5040"/>
        </w:tabs>
        <w:rPr>
          <w:color w:val="00000A"/>
        </w:rPr>
      </w:pPr>
      <w:r w:rsidRPr="00D30C59">
        <w:rPr>
          <w:color w:val="00000A"/>
        </w:rPr>
        <w:t xml:space="preserve">Jeigu vartojate, neseniai vartojote ar ketinate vartoti kitų vaistų, pasakykite tai gydytojui. </w:t>
      </w:r>
    </w:p>
    <w:p w:rsidR="00434379" w:rsidRPr="00D30C59" w:rsidRDefault="00434379" w:rsidP="00434379">
      <w:pPr>
        <w:rPr>
          <w:color w:val="00000A"/>
        </w:rPr>
      </w:pPr>
    </w:p>
    <w:p w:rsidR="00434379" w:rsidRPr="00D30C59" w:rsidRDefault="00434379" w:rsidP="00434379">
      <w:pPr>
        <w:rPr>
          <w:color w:val="00000A"/>
        </w:rPr>
      </w:pPr>
      <w:r w:rsidRPr="00D30C59">
        <w:rPr>
          <w:color w:val="00000A"/>
        </w:rPr>
        <w:t xml:space="preserve">Svarbiausia informuokite gydytoją ar vaistininką, jei vartojate bet kuriuos iš šių </w:t>
      </w:r>
      <w:proofErr w:type="spellStart"/>
      <w:r w:rsidRPr="00D30C59">
        <w:rPr>
          <w:color w:val="00000A"/>
        </w:rPr>
        <w:t>prepratų</w:t>
      </w:r>
      <w:proofErr w:type="spellEnd"/>
      <w:r w:rsidRPr="00D30C59">
        <w:rPr>
          <w:color w:val="00000A"/>
        </w:rPr>
        <w:t>:</w:t>
      </w:r>
    </w:p>
    <w:p w:rsidR="00434379" w:rsidRPr="00D30C59" w:rsidRDefault="00434379" w:rsidP="00434379">
      <w:pPr>
        <w:numPr>
          <w:ilvl w:val="0"/>
          <w:numId w:val="9"/>
        </w:numPr>
        <w:tabs>
          <w:tab w:val="left" w:pos="567"/>
        </w:tabs>
        <w:rPr>
          <w:color w:val="00000A"/>
        </w:rPr>
      </w:pPr>
      <w:r w:rsidRPr="00D30C59">
        <w:rPr>
          <w:color w:val="00000A"/>
        </w:rPr>
        <w:t xml:space="preserve">antibiotikus, vadinamus </w:t>
      </w:r>
      <w:proofErr w:type="spellStart"/>
      <w:r w:rsidRPr="00D30C59">
        <w:rPr>
          <w:color w:val="00000A"/>
        </w:rPr>
        <w:t>aminoglikozidais</w:t>
      </w:r>
      <w:proofErr w:type="spellEnd"/>
      <w:r w:rsidRPr="00D30C59">
        <w:rPr>
          <w:color w:val="00000A"/>
        </w:rPr>
        <w:t>;</w:t>
      </w:r>
    </w:p>
    <w:p w:rsidR="00434379" w:rsidRPr="00D30C59" w:rsidRDefault="00434379" w:rsidP="00434379">
      <w:pPr>
        <w:numPr>
          <w:ilvl w:val="0"/>
          <w:numId w:val="9"/>
        </w:numPr>
        <w:tabs>
          <w:tab w:val="left" w:pos="567"/>
        </w:tabs>
        <w:rPr>
          <w:color w:val="00000A"/>
        </w:rPr>
      </w:pPr>
      <w:r w:rsidRPr="00D30C59">
        <w:rPr>
          <w:color w:val="00000A"/>
        </w:rPr>
        <w:t xml:space="preserve">antibiotiką, vadinamą </w:t>
      </w:r>
      <w:proofErr w:type="spellStart"/>
      <w:r w:rsidRPr="00D30C59">
        <w:rPr>
          <w:color w:val="00000A"/>
        </w:rPr>
        <w:t>chloramfenikoliu</w:t>
      </w:r>
      <w:proofErr w:type="spellEnd"/>
      <w:r w:rsidRPr="00D30C59">
        <w:rPr>
          <w:color w:val="00000A"/>
        </w:rPr>
        <w:t xml:space="preserve"> (vartojamas gydant infekcijas, ypač akių).</w:t>
      </w:r>
    </w:p>
    <w:p w:rsidR="00434379" w:rsidRPr="00D30C59" w:rsidRDefault="00434379" w:rsidP="00434379">
      <w:pPr>
        <w:keepNext/>
        <w:tabs>
          <w:tab w:val="left" w:pos="567"/>
        </w:tabs>
        <w:spacing w:line="260" w:lineRule="exact"/>
        <w:jc w:val="both"/>
        <w:outlineLvl w:val="3"/>
        <w:rPr>
          <w:b/>
        </w:rPr>
      </w:pPr>
    </w:p>
    <w:p w:rsidR="00434379" w:rsidRPr="00D30C59" w:rsidRDefault="00434379" w:rsidP="00434379">
      <w:pPr>
        <w:keepNext/>
        <w:tabs>
          <w:tab w:val="left" w:pos="567"/>
        </w:tabs>
        <w:spacing w:line="260" w:lineRule="exact"/>
        <w:jc w:val="both"/>
        <w:outlineLvl w:val="3"/>
        <w:rPr>
          <w:b/>
        </w:rPr>
      </w:pPr>
      <w:r w:rsidRPr="00D30C59">
        <w:rPr>
          <w:b/>
        </w:rPr>
        <w:t xml:space="preserve">Nėštumas ir žindymo laikotarpis </w:t>
      </w:r>
    </w:p>
    <w:p w:rsidR="00434379" w:rsidRPr="00D30C59" w:rsidRDefault="00434379" w:rsidP="00434379">
      <w:pPr>
        <w:numPr>
          <w:ilvl w:val="12"/>
          <w:numId w:val="0"/>
        </w:numPr>
      </w:pPr>
      <w:r w:rsidRPr="00D30C59">
        <w:t>Jeigu esate nėščia, žindote kūdikį, manote, kad galbūt esate nėščia, arba planuojate pastoti, tai prieš vartodama šį vaistą, pasitarkite su gydytoju arba vaistininku.</w:t>
      </w:r>
    </w:p>
    <w:p w:rsidR="00434379" w:rsidRPr="00D30C59" w:rsidRDefault="00434379" w:rsidP="00434379">
      <w:pPr>
        <w:numPr>
          <w:ilvl w:val="12"/>
          <w:numId w:val="0"/>
        </w:numPr>
      </w:pPr>
    </w:p>
    <w:p w:rsidR="00434379" w:rsidRPr="00D30C59" w:rsidRDefault="00434379" w:rsidP="00434379">
      <w:pPr>
        <w:numPr>
          <w:ilvl w:val="12"/>
          <w:numId w:val="0"/>
        </w:numPr>
      </w:pPr>
      <w:r w:rsidRPr="00D30C59">
        <w:t xml:space="preserve">Gydytojas įvertins Jūsų gydymo </w:t>
      </w:r>
      <w:proofErr w:type="spellStart"/>
      <w:r>
        <w:rPr>
          <w:snapToGrid w:val="0"/>
        </w:rPr>
        <w:t>Cefort</w:t>
      </w:r>
      <w:proofErr w:type="spellEnd"/>
      <w:r w:rsidRPr="00D30C59">
        <w:t xml:space="preserve"> naudą ir riziką kūdikiui.</w:t>
      </w:r>
    </w:p>
    <w:p w:rsidR="00434379" w:rsidRPr="00D30C59" w:rsidRDefault="00434379" w:rsidP="00434379">
      <w:pPr>
        <w:numPr>
          <w:ilvl w:val="12"/>
          <w:numId w:val="0"/>
        </w:numPr>
      </w:pPr>
    </w:p>
    <w:p w:rsidR="00434379" w:rsidRPr="00D30C59" w:rsidRDefault="00434379" w:rsidP="00434379">
      <w:pPr>
        <w:keepNext/>
        <w:tabs>
          <w:tab w:val="left" w:pos="567"/>
        </w:tabs>
        <w:spacing w:line="260" w:lineRule="exact"/>
        <w:jc w:val="both"/>
        <w:outlineLvl w:val="3"/>
        <w:rPr>
          <w:b/>
        </w:rPr>
      </w:pPr>
      <w:r w:rsidRPr="00D30C59">
        <w:rPr>
          <w:b/>
        </w:rPr>
        <w:lastRenderedPageBreak/>
        <w:t>Vairavimas ir mechanizmų valdymas</w:t>
      </w:r>
    </w:p>
    <w:p w:rsidR="00434379" w:rsidRPr="00D30C59" w:rsidRDefault="00434379" w:rsidP="00434379">
      <w:pPr>
        <w:numPr>
          <w:ilvl w:val="12"/>
          <w:numId w:val="0"/>
        </w:numPr>
        <w:ind w:right="-2"/>
      </w:pPr>
      <w:proofErr w:type="spellStart"/>
      <w:r>
        <w:rPr>
          <w:snapToGrid w:val="0"/>
        </w:rPr>
        <w:t>Cefort</w:t>
      </w:r>
      <w:proofErr w:type="spellEnd"/>
      <w:r w:rsidRPr="00D30C59">
        <w:t xml:space="preserve"> gali sukelti svaigimą. Jei jaučiatės apsvaigę, nevairuokite ir nenaudokite įrankių ar mechanizmų. Jei pasireiškia šie simptomai, pasitarkite su gydytoju.</w:t>
      </w:r>
    </w:p>
    <w:p w:rsidR="00434379" w:rsidRPr="00D30C59" w:rsidRDefault="00434379" w:rsidP="00434379">
      <w:pPr>
        <w:numPr>
          <w:ilvl w:val="12"/>
          <w:numId w:val="0"/>
        </w:numPr>
        <w:ind w:right="-2"/>
      </w:pPr>
    </w:p>
    <w:p w:rsidR="00434379" w:rsidRPr="00D30C59" w:rsidRDefault="00434379" w:rsidP="00434379">
      <w:proofErr w:type="spellStart"/>
      <w:r>
        <w:rPr>
          <w:b/>
          <w:bCs/>
        </w:rPr>
        <w:t>Cefort</w:t>
      </w:r>
      <w:proofErr w:type="spellEnd"/>
      <w:r w:rsidRPr="00D30C59">
        <w:rPr>
          <w:b/>
        </w:rPr>
        <w:t xml:space="preserve">  sudėtyje yra natrio</w:t>
      </w:r>
    </w:p>
    <w:p w:rsidR="00434379" w:rsidRPr="00D30C59" w:rsidRDefault="00434379" w:rsidP="00434379">
      <w:r w:rsidRPr="00D30C59">
        <w:t xml:space="preserve">Viename </w:t>
      </w:r>
      <w:proofErr w:type="spellStart"/>
      <w:r>
        <w:t>Cefort</w:t>
      </w:r>
      <w:proofErr w:type="spellEnd"/>
      <w:r w:rsidRPr="00D30C59">
        <w:t xml:space="preserve">  grame yra maždaug 3,6 </w:t>
      </w:r>
      <w:proofErr w:type="spellStart"/>
      <w:r w:rsidRPr="00D30C59">
        <w:t>mmol</w:t>
      </w:r>
      <w:proofErr w:type="spellEnd"/>
      <w:r w:rsidRPr="00D30C59">
        <w:t xml:space="preserve"> (82,8 mg) natrio. Būtina atsižvelgti, jei kontroliuojamas natrio kiekis maiste.</w:t>
      </w:r>
    </w:p>
    <w:p w:rsidR="00434379" w:rsidRPr="00D30C59" w:rsidRDefault="00434379" w:rsidP="00434379"/>
    <w:p w:rsidR="00434379" w:rsidRPr="00D30C59" w:rsidRDefault="00434379" w:rsidP="00434379"/>
    <w:p w:rsidR="00434379" w:rsidRPr="00D30C59" w:rsidRDefault="00434379" w:rsidP="00434379">
      <w:pPr>
        <w:keepNext/>
        <w:keepLines/>
        <w:tabs>
          <w:tab w:val="left" w:pos="567"/>
        </w:tabs>
        <w:outlineLvl w:val="2"/>
        <w:rPr>
          <w:b/>
        </w:rPr>
      </w:pPr>
      <w:r w:rsidRPr="00D30C59">
        <w:rPr>
          <w:b/>
        </w:rPr>
        <w:t>3.</w:t>
      </w:r>
      <w:r w:rsidRPr="00D30C59">
        <w:rPr>
          <w:b/>
        </w:rPr>
        <w:tab/>
        <w:t xml:space="preserve">Kaip vartoti </w:t>
      </w:r>
      <w:proofErr w:type="spellStart"/>
      <w:r>
        <w:rPr>
          <w:b/>
          <w:bCs/>
          <w:snapToGrid w:val="0"/>
        </w:rPr>
        <w:t>Cefort</w:t>
      </w:r>
      <w:proofErr w:type="spellEnd"/>
      <w:r w:rsidRPr="00D30C59">
        <w:rPr>
          <w:b/>
        </w:rPr>
        <w:t xml:space="preserve"> </w:t>
      </w:r>
    </w:p>
    <w:p w:rsidR="00434379" w:rsidRPr="00D30C59" w:rsidRDefault="00434379" w:rsidP="00434379">
      <w:pPr>
        <w:numPr>
          <w:ilvl w:val="12"/>
          <w:numId w:val="0"/>
        </w:numPr>
        <w:ind w:right="-2"/>
      </w:pPr>
    </w:p>
    <w:p w:rsidR="00434379" w:rsidRPr="00872B12" w:rsidRDefault="00434379" w:rsidP="00434379">
      <w:pPr>
        <w:rPr>
          <w:color w:val="00000A"/>
        </w:rPr>
      </w:pPr>
      <w:proofErr w:type="spellStart"/>
      <w:r>
        <w:rPr>
          <w:color w:val="00000A"/>
        </w:rPr>
        <w:t>Cefort</w:t>
      </w:r>
      <w:proofErr w:type="spellEnd"/>
      <w:r w:rsidRPr="00872B12">
        <w:rPr>
          <w:color w:val="00000A"/>
        </w:rPr>
        <w:t xml:space="preserve"> paprastai skiria gydytojas arba slaugytoja. Jis gali būti skiriamas lašeline (infuzija į veną) arba injekcija tiesiogiai į veną ar raumenį. </w:t>
      </w:r>
      <w:proofErr w:type="spellStart"/>
      <w:r>
        <w:rPr>
          <w:color w:val="00000A"/>
        </w:rPr>
        <w:t>Cefort</w:t>
      </w:r>
      <w:proofErr w:type="spellEnd"/>
      <w:r w:rsidRPr="00872B12">
        <w:rPr>
          <w:color w:val="00000A"/>
        </w:rPr>
        <w:t xml:space="preserve"> paruošia gydytojas, vaistininkas arba slaugytoja. Vaistas nėra maišomas ar skiriamas kartu su injekcijomis, kurių sudėtyje yra kalcio. </w:t>
      </w:r>
    </w:p>
    <w:p w:rsidR="00434379" w:rsidRPr="00872B12" w:rsidRDefault="00434379" w:rsidP="00434379">
      <w:pPr>
        <w:rPr>
          <w:color w:val="00000A"/>
        </w:rPr>
      </w:pPr>
    </w:p>
    <w:p w:rsidR="00434379" w:rsidRPr="00872B12" w:rsidRDefault="00434379" w:rsidP="00434379">
      <w:pPr>
        <w:rPr>
          <w:i/>
          <w:color w:val="00000A"/>
        </w:rPr>
      </w:pPr>
      <w:r w:rsidRPr="00872B12">
        <w:rPr>
          <w:i/>
          <w:color w:val="00000A"/>
        </w:rPr>
        <w:t xml:space="preserve">Įprastinė dozė </w:t>
      </w:r>
    </w:p>
    <w:p w:rsidR="00434379" w:rsidRPr="00872B12" w:rsidRDefault="00434379" w:rsidP="00434379">
      <w:pPr>
        <w:rPr>
          <w:color w:val="00000A"/>
        </w:rPr>
      </w:pPr>
      <w:r w:rsidRPr="00872B12">
        <w:rPr>
          <w:color w:val="00000A"/>
        </w:rPr>
        <w:t xml:space="preserve">Gydytojas nustatys jums tinkamą </w:t>
      </w:r>
      <w:proofErr w:type="spellStart"/>
      <w:r>
        <w:rPr>
          <w:color w:val="00000A"/>
        </w:rPr>
        <w:t>Cefort</w:t>
      </w:r>
      <w:proofErr w:type="spellEnd"/>
      <w:r w:rsidRPr="00872B12">
        <w:rPr>
          <w:color w:val="00000A"/>
        </w:rPr>
        <w:t xml:space="preserve"> dozę. Dozė priklauso nuo infekcijos sunkumo ir tipo; nuo to, ar vartojate kitų antibiotikų; nuo svorio ir amžiaus; nuo inkstų ir kepenų funkcijos. Dienų ar savaičių skaičius, kurį bus skiriamas </w:t>
      </w:r>
      <w:proofErr w:type="spellStart"/>
      <w:r>
        <w:rPr>
          <w:color w:val="00000A"/>
        </w:rPr>
        <w:t>Cefort</w:t>
      </w:r>
      <w:proofErr w:type="spellEnd"/>
      <w:r w:rsidRPr="00872B12">
        <w:rPr>
          <w:color w:val="00000A"/>
        </w:rPr>
        <w:t>, priklauso nuo infekcijos, kuria sergate, rūšies.</w:t>
      </w:r>
    </w:p>
    <w:p w:rsidR="00434379" w:rsidRPr="00872B12" w:rsidRDefault="00434379" w:rsidP="00434379">
      <w:pPr>
        <w:rPr>
          <w:color w:val="00000A"/>
        </w:rPr>
      </w:pPr>
    </w:p>
    <w:p w:rsidR="00434379" w:rsidRPr="00872B12" w:rsidRDefault="00434379" w:rsidP="00434379">
      <w:pPr>
        <w:rPr>
          <w:i/>
          <w:color w:val="00000A"/>
        </w:rPr>
      </w:pPr>
      <w:r w:rsidRPr="00872B12">
        <w:rPr>
          <w:i/>
          <w:color w:val="00000A"/>
        </w:rPr>
        <w:t>Suaugusieji, senyvo amžiaus žmonės ir 12-os metų amžiaus ar vyresni vaikai, sveriantys 50 kg arba daugiau:</w:t>
      </w:r>
    </w:p>
    <w:p w:rsidR="00434379" w:rsidRPr="00872B12" w:rsidRDefault="00434379" w:rsidP="00434379">
      <w:pPr>
        <w:numPr>
          <w:ilvl w:val="0"/>
          <w:numId w:val="11"/>
        </w:numPr>
        <w:tabs>
          <w:tab w:val="left" w:pos="567"/>
        </w:tabs>
        <w:rPr>
          <w:color w:val="00000A"/>
        </w:rPr>
      </w:pPr>
      <w:r w:rsidRPr="00872B12">
        <w:rPr>
          <w:color w:val="00000A"/>
        </w:rPr>
        <w:t>1–2 g per parą priklausomai nuo infekcijos sunkumo ir tipo. Jei sergate sunkia infekcija, gydytojas skirs didesnę dozę (iki 4 g kartą per parą). Jeigu Jūsų paros dozė yra didesnė nei 2 g, ją galima suvartoti kaip vieną dozę arba per du kartus</w:t>
      </w:r>
      <w:r w:rsidRPr="00872B12" w:rsidDel="002011CC">
        <w:rPr>
          <w:color w:val="00000A"/>
        </w:rPr>
        <w:t xml:space="preserve"> </w:t>
      </w:r>
    </w:p>
    <w:p w:rsidR="00434379" w:rsidRPr="00872B12" w:rsidRDefault="00434379" w:rsidP="00434379">
      <w:pPr>
        <w:ind w:left="720"/>
        <w:rPr>
          <w:color w:val="00000A"/>
        </w:rPr>
      </w:pPr>
    </w:p>
    <w:p w:rsidR="00434379" w:rsidRPr="00872B12" w:rsidRDefault="00434379" w:rsidP="00434379">
      <w:pPr>
        <w:rPr>
          <w:color w:val="00000A"/>
        </w:rPr>
      </w:pPr>
      <w:r w:rsidRPr="00872B12">
        <w:rPr>
          <w:i/>
          <w:color w:val="00000A"/>
          <w:sz w:val="24"/>
        </w:rPr>
        <w:t>Naujagimiai, kūdikiai ir vaikai (nuo 15 parų iki 12 metų amžiaus), sveriantys mažiau nei 50 kg:</w:t>
      </w:r>
    </w:p>
    <w:p w:rsidR="00434379" w:rsidRPr="00872B12" w:rsidRDefault="00434379" w:rsidP="00434379">
      <w:pPr>
        <w:ind w:left="284"/>
        <w:rPr>
          <w:color w:val="00000A"/>
        </w:rPr>
      </w:pPr>
      <w:r w:rsidRPr="00872B12">
        <w:rPr>
          <w:color w:val="00000A"/>
        </w:rPr>
        <w:t xml:space="preserve">•       50–80 mg </w:t>
      </w:r>
      <w:proofErr w:type="spellStart"/>
      <w:r>
        <w:rPr>
          <w:color w:val="00000A"/>
        </w:rPr>
        <w:t>Cefort</w:t>
      </w:r>
      <w:proofErr w:type="spellEnd"/>
      <w:r w:rsidRPr="00872B12">
        <w:rPr>
          <w:color w:val="00000A"/>
        </w:rPr>
        <w:t xml:space="preserve"> kiekvienam kilogramui vaiko kūno masės kartą per parą priklausomai nuo infekcijos sunkumo ir tipo. Jei sergate sunkia infekcija, gydytojas skirs didesnę dozę (iki 100 mg kiekvienam kilogramui kūno masės, iš viso iki 4 g kartą per parą). Jeigu Jūsų paros dozė yra didesnė nei 2 g, ją galima suvartoti kaip vieną dozę arba per du kartus.</w:t>
      </w:r>
    </w:p>
    <w:p w:rsidR="00434379" w:rsidRPr="00872B12" w:rsidRDefault="00434379" w:rsidP="00434379">
      <w:pPr>
        <w:ind w:left="284"/>
        <w:rPr>
          <w:color w:val="00000A"/>
        </w:rPr>
      </w:pPr>
      <w:r w:rsidRPr="00872B12">
        <w:rPr>
          <w:color w:val="00000A"/>
        </w:rPr>
        <w:t>•       50 kg ir daugiau sveriantiems vaikams turi būti skiriama įprastinė suaugusio žmogaus dozė.</w:t>
      </w:r>
      <w:r w:rsidRPr="00872B12" w:rsidDel="009011BF">
        <w:rPr>
          <w:color w:val="00000A"/>
        </w:rPr>
        <w:t xml:space="preserve"> </w:t>
      </w:r>
    </w:p>
    <w:p w:rsidR="00434379" w:rsidRPr="00872B12" w:rsidRDefault="00434379" w:rsidP="00434379">
      <w:pPr>
        <w:ind w:left="284"/>
        <w:rPr>
          <w:color w:val="00000A"/>
        </w:rPr>
      </w:pPr>
    </w:p>
    <w:p w:rsidR="00434379" w:rsidRPr="00872B12" w:rsidRDefault="00434379" w:rsidP="00434379">
      <w:pPr>
        <w:rPr>
          <w:i/>
          <w:color w:val="00000A"/>
        </w:rPr>
      </w:pPr>
      <w:r w:rsidRPr="00872B12">
        <w:rPr>
          <w:i/>
          <w:color w:val="00000A"/>
        </w:rPr>
        <w:t>Naujagimiai (0-14 parų amžiaus)</w:t>
      </w:r>
    </w:p>
    <w:p w:rsidR="00434379" w:rsidRPr="00872B12" w:rsidRDefault="00434379" w:rsidP="00434379">
      <w:pPr>
        <w:numPr>
          <w:ilvl w:val="0"/>
          <w:numId w:val="12"/>
        </w:numPr>
        <w:tabs>
          <w:tab w:val="left" w:pos="567"/>
        </w:tabs>
        <w:rPr>
          <w:i/>
          <w:color w:val="00000A"/>
        </w:rPr>
      </w:pPr>
      <w:r w:rsidRPr="00872B12">
        <w:rPr>
          <w:color w:val="00000A"/>
        </w:rPr>
        <w:t xml:space="preserve">20–50 mg </w:t>
      </w:r>
      <w:proofErr w:type="spellStart"/>
      <w:r>
        <w:rPr>
          <w:color w:val="00000A"/>
        </w:rPr>
        <w:t>Cefort</w:t>
      </w:r>
      <w:proofErr w:type="spellEnd"/>
      <w:r w:rsidRPr="00872B12">
        <w:rPr>
          <w:color w:val="00000A"/>
        </w:rPr>
        <w:t xml:space="preserve"> kiekvienam kilogramui naujagimio kūno masės kartą per parą priklausomai nuo infekcijos sunkumo ir tipo. </w:t>
      </w:r>
    </w:p>
    <w:p w:rsidR="00434379" w:rsidRPr="00872B12" w:rsidRDefault="00434379" w:rsidP="00434379">
      <w:pPr>
        <w:numPr>
          <w:ilvl w:val="0"/>
          <w:numId w:val="12"/>
        </w:numPr>
        <w:tabs>
          <w:tab w:val="left" w:pos="567"/>
        </w:tabs>
        <w:rPr>
          <w:i/>
          <w:color w:val="00000A"/>
        </w:rPr>
      </w:pPr>
      <w:r w:rsidRPr="00872B12">
        <w:rPr>
          <w:color w:val="00000A"/>
        </w:rPr>
        <w:t xml:space="preserve">Didžiausia paros dozė negali viršyti 50 mg kiekvienam kilogramui naujagimio kūno masės. </w:t>
      </w:r>
    </w:p>
    <w:p w:rsidR="00434379" w:rsidRPr="00872B12" w:rsidRDefault="00434379" w:rsidP="00434379">
      <w:pPr>
        <w:rPr>
          <w:color w:val="00000A"/>
        </w:rPr>
      </w:pPr>
    </w:p>
    <w:p w:rsidR="00434379" w:rsidRPr="00872B12" w:rsidRDefault="00434379" w:rsidP="00434379">
      <w:pPr>
        <w:rPr>
          <w:i/>
          <w:color w:val="00000A"/>
        </w:rPr>
      </w:pPr>
      <w:r w:rsidRPr="00872B12">
        <w:rPr>
          <w:i/>
          <w:color w:val="00000A"/>
        </w:rPr>
        <w:t>Sergantiems inkstų ar kepenų ligomis</w:t>
      </w:r>
    </w:p>
    <w:p w:rsidR="00434379" w:rsidRPr="00A37BEC" w:rsidRDefault="00434379" w:rsidP="00434379">
      <w:pPr>
        <w:keepNext/>
        <w:tabs>
          <w:tab w:val="left" w:pos="567"/>
        </w:tabs>
        <w:spacing w:line="260" w:lineRule="exact"/>
        <w:outlineLvl w:val="3"/>
        <w:rPr>
          <w:color w:val="00000A"/>
        </w:rPr>
      </w:pPr>
      <w:r w:rsidRPr="00B42B9A">
        <w:rPr>
          <w:color w:val="00000A"/>
        </w:rPr>
        <w:t xml:space="preserve">Jums gali būti skiriama kitokia nei įprastinė dozė. Jūsų gydytojas nuspręs, kokio kiekio </w:t>
      </w:r>
      <w:proofErr w:type="spellStart"/>
      <w:r>
        <w:rPr>
          <w:color w:val="00000A"/>
        </w:rPr>
        <w:t>Cefort</w:t>
      </w:r>
      <w:proofErr w:type="spellEnd"/>
      <w:r w:rsidRPr="00B42B9A">
        <w:rPr>
          <w:color w:val="00000A"/>
        </w:rPr>
        <w:t xml:space="preserve"> reikia, ir atidžiai stebės gydymo procesą, tai priklauso </w:t>
      </w:r>
      <w:r w:rsidRPr="00A37BEC">
        <w:rPr>
          <w:color w:val="00000A"/>
        </w:rPr>
        <w:t>nuo kepenų ir inkstų ligos sunkumo.</w:t>
      </w:r>
    </w:p>
    <w:p w:rsidR="00434379" w:rsidRPr="00872B12" w:rsidRDefault="00434379" w:rsidP="00434379">
      <w:pPr>
        <w:keepNext/>
        <w:tabs>
          <w:tab w:val="left" w:pos="567"/>
        </w:tabs>
        <w:spacing w:line="260" w:lineRule="exact"/>
        <w:outlineLvl w:val="3"/>
        <w:rPr>
          <w:b/>
        </w:rPr>
      </w:pPr>
    </w:p>
    <w:p w:rsidR="00434379" w:rsidRPr="00872B12" w:rsidRDefault="00434379" w:rsidP="00434379">
      <w:pPr>
        <w:rPr>
          <w:color w:val="00000A"/>
        </w:rPr>
      </w:pPr>
      <w:r w:rsidRPr="00872B12">
        <w:rPr>
          <w:b/>
          <w:color w:val="00000A"/>
        </w:rPr>
        <w:t xml:space="preserve">Ką daryti pavartojus per didelę </w:t>
      </w:r>
      <w:proofErr w:type="spellStart"/>
      <w:r>
        <w:rPr>
          <w:b/>
          <w:bCs/>
          <w:color w:val="00000A"/>
        </w:rPr>
        <w:t>Cefort</w:t>
      </w:r>
      <w:proofErr w:type="spellEnd"/>
      <w:r w:rsidRPr="00872B12">
        <w:rPr>
          <w:b/>
          <w:color w:val="00000A"/>
        </w:rPr>
        <w:t xml:space="preserve"> dozę?</w:t>
      </w:r>
    </w:p>
    <w:p w:rsidR="00434379" w:rsidRPr="00872B12" w:rsidRDefault="00434379" w:rsidP="00434379">
      <w:pPr>
        <w:spacing w:line="221" w:lineRule="atLeast"/>
        <w:rPr>
          <w:color w:val="00000A"/>
        </w:rPr>
      </w:pPr>
      <w:r w:rsidRPr="00872B12">
        <w:rPr>
          <w:color w:val="00000A"/>
        </w:rPr>
        <w:t xml:space="preserve">Jei dėl klaidos gavote didesnį vaisto kiekį, nei buvo išrašyta, iš karto susisiekite su gydytoju arba artimiausios ligoninės personalu. </w:t>
      </w:r>
    </w:p>
    <w:p w:rsidR="00434379" w:rsidRPr="00872B12" w:rsidRDefault="00434379" w:rsidP="00434379">
      <w:pPr>
        <w:spacing w:line="221" w:lineRule="atLeast"/>
        <w:rPr>
          <w:color w:val="00000A"/>
        </w:rPr>
      </w:pPr>
    </w:p>
    <w:p w:rsidR="00434379" w:rsidRPr="00872B12" w:rsidRDefault="00434379" w:rsidP="00434379">
      <w:pPr>
        <w:spacing w:line="221" w:lineRule="atLeast"/>
        <w:rPr>
          <w:color w:val="00000A"/>
        </w:rPr>
      </w:pPr>
      <w:r w:rsidRPr="00872B12">
        <w:rPr>
          <w:b/>
          <w:color w:val="00000A"/>
        </w:rPr>
        <w:t xml:space="preserve">Pamiršus pavartoti </w:t>
      </w:r>
      <w:proofErr w:type="spellStart"/>
      <w:r>
        <w:rPr>
          <w:b/>
          <w:bCs/>
          <w:color w:val="00000A"/>
        </w:rPr>
        <w:t>Cefort</w:t>
      </w:r>
      <w:proofErr w:type="spellEnd"/>
      <w:r w:rsidRPr="00872B12">
        <w:rPr>
          <w:b/>
          <w:color w:val="00000A"/>
        </w:rPr>
        <w:t xml:space="preserve"> </w:t>
      </w:r>
    </w:p>
    <w:p w:rsidR="00434379" w:rsidRPr="00872B12" w:rsidRDefault="00434379" w:rsidP="00434379">
      <w:pPr>
        <w:numPr>
          <w:ilvl w:val="12"/>
          <w:numId w:val="0"/>
        </w:numPr>
        <w:ind w:right="-2"/>
      </w:pPr>
      <w:r w:rsidRPr="00872B12">
        <w:t>Jei užmiršote sušvirkšti injekciją, padarykite tai kuo greičiau. Tačiau jei netrukus bus laikas kitai injekcijai, praleiskite injekciją, kurią užmiršote sušvirkšti. Negalima vartoti dvigubos dozės (dviejų injekcijų tuo pačiu metu) norint kompensuoti praleistą dozę.</w:t>
      </w:r>
    </w:p>
    <w:p w:rsidR="00434379" w:rsidRPr="00872B12" w:rsidRDefault="00434379" w:rsidP="00434379">
      <w:pPr>
        <w:numPr>
          <w:ilvl w:val="12"/>
          <w:numId w:val="0"/>
        </w:numPr>
        <w:ind w:right="-2"/>
      </w:pPr>
    </w:p>
    <w:p w:rsidR="00434379" w:rsidRPr="00872B12" w:rsidRDefault="00434379" w:rsidP="00434379">
      <w:pPr>
        <w:keepNext/>
        <w:tabs>
          <w:tab w:val="left" w:pos="567"/>
        </w:tabs>
        <w:spacing w:line="260" w:lineRule="exact"/>
        <w:outlineLvl w:val="3"/>
        <w:rPr>
          <w:b/>
        </w:rPr>
      </w:pPr>
      <w:r w:rsidRPr="00872B12">
        <w:rPr>
          <w:b/>
        </w:rPr>
        <w:t xml:space="preserve">Nustojus vartoti </w:t>
      </w:r>
      <w:proofErr w:type="spellStart"/>
      <w:r>
        <w:rPr>
          <w:b/>
          <w:bCs/>
          <w:snapToGrid w:val="0"/>
        </w:rPr>
        <w:t>Cefort</w:t>
      </w:r>
      <w:proofErr w:type="spellEnd"/>
      <w:r w:rsidRPr="00872B12">
        <w:rPr>
          <w:b/>
        </w:rPr>
        <w:t xml:space="preserve"> </w:t>
      </w:r>
    </w:p>
    <w:p w:rsidR="00434379" w:rsidRPr="00872B12" w:rsidRDefault="00434379" w:rsidP="00434379">
      <w:pPr>
        <w:numPr>
          <w:ilvl w:val="12"/>
          <w:numId w:val="0"/>
        </w:numPr>
        <w:ind w:right="-29"/>
      </w:pPr>
      <w:r w:rsidRPr="00872B12">
        <w:t xml:space="preserve">Nenutraukite gydymo </w:t>
      </w:r>
      <w:proofErr w:type="spellStart"/>
      <w:r>
        <w:rPr>
          <w:snapToGrid w:val="0"/>
        </w:rPr>
        <w:t>Cefort</w:t>
      </w:r>
      <w:proofErr w:type="spellEnd"/>
      <w:r w:rsidRPr="00872B12">
        <w:t xml:space="preserve"> tol, kol to nenurodys gydytojas.</w:t>
      </w:r>
    </w:p>
    <w:p w:rsidR="00434379" w:rsidRPr="00872B12" w:rsidRDefault="00434379" w:rsidP="00434379">
      <w:pPr>
        <w:numPr>
          <w:ilvl w:val="12"/>
          <w:numId w:val="0"/>
        </w:numPr>
        <w:ind w:right="-29"/>
      </w:pPr>
      <w:r w:rsidRPr="00872B12">
        <w:t>Jei turite daugiau klausimų dėl šio vaisto vartojimo, kreipkitės į gydytoją arba slaugytoją.</w:t>
      </w:r>
    </w:p>
    <w:p w:rsidR="00434379" w:rsidRPr="00872B12" w:rsidRDefault="00434379" w:rsidP="00434379">
      <w:pPr>
        <w:numPr>
          <w:ilvl w:val="12"/>
          <w:numId w:val="0"/>
        </w:numPr>
        <w:ind w:right="-29"/>
      </w:pPr>
    </w:p>
    <w:p w:rsidR="00434379" w:rsidRPr="00872B12" w:rsidRDefault="00434379" w:rsidP="00434379">
      <w:pPr>
        <w:numPr>
          <w:ilvl w:val="12"/>
          <w:numId w:val="0"/>
        </w:numPr>
        <w:ind w:right="-29"/>
      </w:pPr>
    </w:p>
    <w:p w:rsidR="00434379" w:rsidRPr="00872B12" w:rsidRDefault="00434379" w:rsidP="00434379">
      <w:pPr>
        <w:keepNext/>
        <w:keepLines/>
        <w:tabs>
          <w:tab w:val="left" w:pos="567"/>
        </w:tabs>
        <w:outlineLvl w:val="2"/>
        <w:rPr>
          <w:b/>
        </w:rPr>
      </w:pPr>
      <w:r w:rsidRPr="00872B12">
        <w:rPr>
          <w:b/>
        </w:rPr>
        <w:t>4.</w:t>
      </w:r>
      <w:r w:rsidRPr="00872B12">
        <w:rPr>
          <w:b/>
        </w:rPr>
        <w:tab/>
        <w:t>Galimas šalutinis poveikis</w:t>
      </w:r>
    </w:p>
    <w:p w:rsidR="00434379" w:rsidRPr="00872B12" w:rsidRDefault="00434379" w:rsidP="00434379">
      <w:pPr>
        <w:numPr>
          <w:ilvl w:val="12"/>
          <w:numId w:val="0"/>
        </w:numPr>
      </w:pPr>
    </w:p>
    <w:p w:rsidR="00434379" w:rsidRPr="00872B12" w:rsidRDefault="00434379" w:rsidP="00434379">
      <w:pPr>
        <w:numPr>
          <w:ilvl w:val="12"/>
          <w:numId w:val="0"/>
        </w:numPr>
        <w:ind w:right="-29"/>
      </w:pPr>
      <w:r w:rsidRPr="00872B12">
        <w:t>Šis vaistas, kaip ir visi kiti, gali sukelti šalutinį poveikį, nors jis pasireiškia ne visiems žmonėms.</w:t>
      </w:r>
    </w:p>
    <w:p w:rsidR="00434379" w:rsidRPr="00872B12" w:rsidRDefault="00434379" w:rsidP="00434379">
      <w:pPr>
        <w:numPr>
          <w:ilvl w:val="12"/>
          <w:numId w:val="0"/>
        </w:numPr>
        <w:ind w:right="-29"/>
      </w:pPr>
    </w:p>
    <w:p w:rsidR="00434379" w:rsidRPr="00872B12" w:rsidRDefault="00434379" w:rsidP="00434379">
      <w:pPr>
        <w:numPr>
          <w:ilvl w:val="12"/>
          <w:numId w:val="0"/>
        </w:numPr>
        <w:ind w:right="-29"/>
      </w:pPr>
      <w:r w:rsidRPr="00872B12">
        <w:t>Vartojant šį vaistą gali pasireikšti toks šalutinis poveikis.</w:t>
      </w:r>
    </w:p>
    <w:p w:rsidR="00434379" w:rsidRPr="00872B12" w:rsidRDefault="00434379" w:rsidP="00434379">
      <w:pPr>
        <w:numPr>
          <w:ilvl w:val="12"/>
          <w:numId w:val="0"/>
        </w:numPr>
        <w:ind w:right="-29"/>
      </w:pPr>
    </w:p>
    <w:p w:rsidR="00434379" w:rsidRPr="00872B12" w:rsidRDefault="00434379" w:rsidP="00434379">
      <w:pPr>
        <w:rPr>
          <w:color w:val="00000A"/>
        </w:rPr>
      </w:pPr>
      <w:r w:rsidRPr="00872B12">
        <w:rPr>
          <w:b/>
          <w:color w:val="00000A"/>
        </w:rPr>
        <w:t xml:space="preserve">Sunkios alerginės reakcijos </w:t>
      </w:r>
      <w:r w:rsidRPr="00872B12">
        <w:rPr>
          <w:color w:val="00000A"/>
        </w:rPr>
        <w:t xml:space="preserve">(dažnis nežinomas, negali būti apskaičiuotas pagal turimus duomenis). </w:t>
      </w:r>
    </w:p>
    <w:p w:rsidR="00434379" w:rsidRPr="00872B12" w:rsidRDefault="00434379" w:rsidP="00434379">
      <w:pPr>
        <w:rPr>
          <w:color w:val="00000A"/>
        </w:rPr>
      </w:pPr>
      <w:r w:rsidRPr="00872B12">
        <w:rPr>
          <w:color w:val="00000A"/>
        </w:rPr>
        <w:t>Jei jums pasireiškė alerginė reakcija, nedelsiant praneškite gydytojui.</w:t>
      </w:r>
    </w:p>
    <w:p w:rsidR="00434379" w:rsidRPr="00872B12" w:rsidRDefault="00434379" w:rsidP="00434379">
      <w:pPr>
        <w:rPr>
          <w:color w:val="00000A"/>
        </w:rPr>
      </w:pPr>
      <w:r w:rsidRPr="00872B12">
        <w:rPr>
          <w:color w:val="00000A"/>
        </w:rPr>
        <w:t>Tai apima tokius simptomus:</w:t>
      </w:r>
    </w:p>
    <w:p w:rsidR="00434379" w:rsidRPr="00872B12" w:rsidRDefault="00434379" w:rsidP="00434379">
      <w:pPr>
        <w:numPr>
          <w:ilvl w:val="0"/>
          <w:numId w:val="4"/>
        </w:numPr>
        <w:tabs>
          <w:tab w:val="left" w:pos="567"/>
        </w:tabs>
        <w:rPr>
          <w:color w:val="00000A"/>
        </w:rPr>
      </w:pPr>
      <w:r w:rsidRPr="00872B12">
        <w:rPr>
          <w:color w:val="00000A"/>
        </w:rPr>
        <w:t>staigus veido, gerklės, lūpų ar burnos patinimas. Dėl to gali pasidaryti sunku kvėpuoti ar ryti.</w:t>
      </w:r>
    </w:p>
    <w:p w:rsidR="00434379" w:rsidRPr="00872B12" w:rsidRDefault="00434379" w:rsidP="00434379">
      <w:pPr>
        <w:numPr>
          <w:ilvl w:val="0"/>
          <w:numId w:val="4"/>
        </w:numPr>
        <w:tabs>
          <w:tab w:val="left" w:pos="567"/>
        </w:tabs>
        <w:rPr>
          <w:color w:val="00000A"/>
        </w:rPr>
      </w:pPr>
      <w:r w:rsidRPr="00872B12">
        <w:rPr>
          <w:color w:val="00000A"/>
        </w:rPr>
        <w:t>staigus plaštakų, pėdų ir kulkšnių patinimas.</w:t>
      </w:r>
    </w:p>
    <w:p w:rsidR="00434379" w:rsidRPr="00872B12" w:rsidRDefault="00434379" w:rsidP="00434379">
      <w:pPr>
        <w:rPr>
          <w:color w:val="00000A"/>
        </w:rPr>
      </w:pPr>
    </w:p>
    <w:p w:rsidR="00434379" w:rsidRPr="00872B12" w:rsidRDefault="00434379" w:rsidP="00434379">
      <w:pPr>
        <w:rPr>
          <w:color w:val="00000A"/>
        </w:rPr>
      </w:pPr>
      <w:r w:rsidRPr="00872B12">
        <w:rPr>
          <w:b/>
          <w:color w:val="00000A"/>
        </w:rPr>
        <w:t xml:space="preserve">Sunkūs odos bėrimai </w:t>
      </w:r>
      <w:r w:rsidRPr="00872B12">
        <w:rPr>
          <w:color w:val="00000A"/>
        </w:rPr>
        <w:t>(dažnis nežinomas, negali būti apskaičiuotas pagal turimus duomenis).</w:t>
      </w:r>
    </w:p>
    <w:p w:rsidR="00434379" w:rsidRPr="00872B12" w:rsidRDefault="00434379" w:rsidP="00434379">
      <w:pPr>
        <w:rPr>
          <w:color w:val="00000A"/>
        </w:rPr>
      </w:pPr>
      <w:r w:rsidRPr="00872B12">
        <w:rPr>
          <w:color w:val="00000A"/>
        </w:rPr>
        <w:t>Jeigu pasireiškė sunkus odos bėrimas, nedelsiant kreipkitės į gydytoją.</w:t>
      </w:r>
    </w:p>
    <w:p w:rsidR="00434379" w:rsidRPr="00872B12" w:rsidRDefault="00434379" w:rsidP="00434379">
      <w:pPr>
        <w:rPr>
          <w:color w:val="00000A"/>
        </w:rPr>
      </w:pPr>
      <w:r w:rsidRPr="00872B12">
        <w:rPr>
          <w:color w:val="00000A"/>
        </w:rPr>
        <w:t>Tai apima tokius simptomus:</w:t>
      </w:r>
    </w:p>
    <w:p w:rsidR="00434379" w:rsidRPr="00872B12" w:rsidRDefault="00434379" w:rsidP="00434379">
      <w:pPr>
        <w:numPr>
          <w:ilvl w:val="0"/>
          <w:numId w:val="5"/>
        </w:numPr>
        <w:tabs>
          <w:tab w:val="left" w:pos="567"/>
        </w:tabs>
        <w:rPr>
          <w:color w:val="00000A"/>
        </w:rPr>
      </w:pPr>
      <w:r w:rsidRPr="00872B12">
        <w:rPr>
          <w:color w:val="00000A"/>
        </w:rPr>
        <w:t>greitai plintantis sunkus bėrimas su odos pūslių formavimusi arba lupimusi bei galimas pūslių formavimasis burnoje.</w:t>
      </w:r>
    </w:p>
    <w:p w:rsidR="00434379" w:rsidRPr="00872B12" w:rsidRDefault="00434379" w:rsidP="00434379">
      <w:pPr>
        <w:rPr>
          <w:color w:val="00000A"/>
        </w:rPr>
      </w:pPr>
    </w:p>
    <w:p w:rsidR="00434379" w:rsidRPr="00872B12" w:rsidRDefault="00434379" w:rsidP="00434379">
      <w:pPr>
        <w:rPr>
          <w:color w:val="00000A"/>
        </w:rPr>
      </w:pPr>
      <w:r w:rsidRPr="00872B12">
        <w:rPr>
          <w:color w:val="00000A"/>
        </w:rPr>
        <w:t>Kiti galimi šalutiniai poveikiai:</w:t>
      </w:r>
    </w:p>
    <w:p w:rsidR="00434379" w:rsidRPr="00872B12" w:rsidRDefault="00434379" w:rsidP="00434379">
      <w:pPr>
        <w:rPr>
          <w:color w:val="00000A"/>
        </w:rPr>
      </w:pPr>
    </w:p>
    <w:p w:rsidR="00434379" w:rsidRPr="00872B12" w:rsidRDefault="00434379" w:rsidP="00434379">
      <w:pPr>
        <w:rPr>
          <w:color w:val="00000A"/>
        </w:rPr>
      </w:pPr>
      <w:r w:rsidRPr="00872B12">
        <w:rPr>
          <w:b/>
          <w:color w:val="00000A"/>
        </w:rPr>
        <w:t>Labai dažni (pastebėti daugiau negu 1 iš 10 gydytų pacientų)</w:t>
      </w:r>
    </w:p>
    <w:p w:rsidR="00434379" w:rsidRPr="00872B12" w:rsidRDefault="00434379" w:rsidP="00434379">
      <w:pPr>
        <w:numPr>
          <w:ilvl w:val="0"/>
          <w:numId w:val="6"/>
        </w:numPr>
        <w:tabs>
          <w:tab w:val="left" w:pos="567"/>
        </w:tabs>
        <w:rPr>
          <w:color w:val="00000A"/>
        </w:rPr>
      </w:pPr>
      <w:r w:rsidRPr="00872B12">
        <w:rPr>
          <w:color w:val="00000A"/>
        </w:rPr>
        <w:t>Baltųjų kraujo ląstelių (</w:t>
      </w:r>
      <w:proofErr w:type="spellStart"/>
      <w:r w:rsidRPr="00872B12">
        <w:rPr>
          <w:color w:val="00000A"/>
        </w:rPr>
        <w:t>pvz</w:t>
      </w:r>
      <w:proofErr w:type="spellEnd"/>
      <w:r w:rsidRPr="00872B12">
        <w:rPr>
          <w:color w:val="00000A"/>
        </w:rPr>
        <w:t xml:space="preserve">, leukocitų skaičiaus sumažėjimas ir </w:t>
      </w:r>
      <w:proofErr w:type="spellStart"/>
      <w:r w:rsidRPr="00872B12">
        <w:rPr>
          <w:color w:val="00000A"/>
        </w:rPr>
        <w:t>eozinofilų</w:t>
      </w:r>
      <w:proofErr w:type="spellEnd"/>
      <w:r w:rsidRPr="00872B12">
        <w:rPr>
          <w:color w:val="00000A"/>
        </w:rPr>
        <w:t xml:space="preserve"> skaičiaus padidėjimas) ir kraujo plokštelių (trombocitų skaičiaus sumažėjimas) pokyčiai.</w:t>
      </w:r>
    </w:p>
    <w:p w:rsidR="00434379" w:rsidRPr="00872B12" w:rsidRDefault="00434379" w:rsidP="00434379">
      <w:pPr>
        <w:numPr>
          <w:ilvl w:val="0"/>
          <w:numId w:val="6"/>
        </w:numPr>
        <w:tabs>
          <w:tab w:val="left" w:pos="567"/>
        </w:tabs>
        <w:rPr>
          <w:color w:val="00000A"/>
        </w:rPr>
      </w:pPr>
      <w:r w:rsidRPr="00872B12">
        <w:rPr>
          <w:color w:val="00000A"/>
        </w:rPr>
        <w:t>Tuštinimasis beformėmis išmatomis ar viduriavimas.</w:t>
      </w:r>
    </w:p>
    <w:p w:rsidR="00434379" w:rsidRPr="00872B12" w:rsidRDefault="00434379" w:rsidP="00434379">
      <w:pPr>
        <w:numPr>
          <w:ilvl w:val="0"/>
          <w:numId w:val="6"/>
        </w:numPr>
        <w:tabs>
          <w:tab w:val="left" w:pos="567"/>
        </w:tabs>
        <w:rPr>
          <w:color w:val="00000A"/>
        </w:rPr>
      </w:pPr>
      <w:r w:rsidRPr="00872B12">
        <w:rPr>
          <w:color w:val="00000A"/>
        </w:rPr>
        <w:t>Kraujo tyrimų, kurie rodo kepenų funkciją, pokyčiai.</w:t>
      </w:r>
    </w:p>
    <w:p w:rsidR="00434379" w:rsidRPr="00872B12" w:rsidRDefault="00434379" w:rsidP="00434379">
      <w:pPr>
        <w:numPr>
          <w:ilvl w:val="0"/>
          <w:numId w:val="6"/>
        </w:numPr>
        <w:tabs>
          <w:tab w:val="left" w:pos="567"/>
        </w:tabs>
        <w:rPr>
          <w:color w:val="00000A"/>
        </w:rPr>
      </w:pPr>
      <w:r w:rsidRPr="00872B12">
        <w:rPr>
          <w:color w:val="00000A"/>
        </w:rPr>
        <w:t>Bėrimas.</w:t>
      </w:r>
    </w:p>
    <w:p w:rsidR="00434379" w:rsidRPr="00872B12" w:rsidRDefault="00434379" w:rsidP="00434379">
      <w:pPr>
        <w:rPr>
          <w:color w:val="00000A"/>
        </w:rPr>
      </w:pPr>
    </w:p>
    <w:p w:rsidR="00434379" w:rsidRPr="00872B12" w:rsidRDefault="00434379" w:rsidP="00434379">
      <w:pPr>
        <w:rPr>
          <w:color w:val="00000A"/>
        </w:rPr>
      </w:pPr>
      <w:r w:rsidRPr="00872B12">
        <w:rPr>
          <w:b/>
          <w:color w:val="00000A"/>
        </w:rPr>
        <w:t>Nedažni (pastebėti mažiau negu 1 iš 100 gydytų pacientų)</w:t>
      </w:r>
    </w:p>
    <w:p w:rsidR="00434379" w:rsidRPr="00872B12" w:rsidRDefault="00434379" w:rsidP="00434379">
      <w:pPr>
        <w:numPr>
          <w:ilvl w:val="0"/>
          <w:numId w:val="7"/>
        </w:numPr>
        <w:tabs>
          <w:tab w:val="left" w:pos="567"/>
        </w:tabs>
        <w:rPr>
          <w:color w:val="00000A"/>
        </w:rPr>
      </w:pPr>
      <w:r w:rsidRPr="00872B12">
        <w:rPr>
          <w:color w:val="00000A"/>
        </w:rPr>
        <w:t>Grybelinės infekcijos (pvz., pienligė).</w:t>
      </w:r>
    </w:p>
    <w:p w:rsidR="00434379" w:rsidRPr="00872B12" w:rsidRDefault="00434379" w:rsidP="00434379">
      <w:pPr>
        <w:numPr>
          <w:ilvl w:val="0"/>
          <w:numId w:val="7"/>
        </w:numPr>
        <w:tabs>
          <w:tab w:val="left" w:pos="567"/>
        </w:tabs>
        <w:rPr>
          <w:color w:val="00000A"/>
        </w:rPr>
      </w:pPr>
      <w:r w:rsidRPr="00872B12">
        <w:rPr>
          <w:color w:val="00000A"/>
        </w:rPr>
        <w:t>Baltųjų kraujo ląstelių skaičiaus sumažėjimas (</w:t>
      </w:r>
      <w:proofErr w:type="spellStart"/>
      <w:r w:rsidRPr="00872B12">
        <w:rPr>
          <w:color w:val="00000A"/>
        </w:rPr>
        <w:t>granuliocitopenija</w:t>
      </w:r>
      <w:proofErr w:type="spellEnd"/>
      <w:r w:rsidRPr="00872B12">
        <w:rPr>
          <w:color w:val="00000A"/>
        </w:rPr>
        <w:t>).</w:t>
      </w:r>
    </w:p>
    <w:p w:rsidR="00434379" w:rsidRPr="00872B12" w:rsidRDefault="00434379" w:rsidP="00434379">
      <w:pPr>
        <w:numPr>
          <w:ilvl w:val="0"/>
          <w:numId w:val="7"/>
        </w:numPr>
        <w:tabs>
          <w:tab w:val="left" w:pos="567"/>
        </w:tabs>
        <w:rPr>
          <w:color w:val="00000A"/>
        </w:rPr>
      </w:pPr>
      <w:r w:rsidRPr="00872B12">
        <w:rPr>
          <w:color w:val="00000A"/>
        </w:rPr>
        <w:t>Raudonųjų kraujo ląstelių skaičiaus sumažėjimas (anemija).</w:t>
      </w:r>
    </w:p>
    <w:p w:rsidR="00434379" w:rsidRPr="00872B12" w:rsidRDefault="00434379" w:rsidP="00434379">
      <w:pPr>
        <w:numPr>
          <w:ilvl w:val="0"/>
          <w:numId w:val="7"/>
        </w:numPr>
        <w:tabs>
          <w:tab w:val="left" w:pos="567"/>
        </w:tabs>
        <w:rPr>
          <w:color w:val="00000A"/>
        </w:rPr>
      </w:pPr>
      <w:r w:rsidRPr="00872B12">
        <w:rPr>
          <w:color w:val="00000A"/>
        </w:rPr>
        <w:t xml:space="preserve">Kraujo krešėjimo sutrikimai. Tai apima tokius simptomus: lengvai atsirandančios </w:t>
      </w:r>
      <w:proofErr w:type="spellStart"/>
      <w:r w:rsidRPr="00872B12">
        <w:rPr>
          <w:color w:val="00000A"/>
        </w:rPr>
        <w:t>kraujosrūvos</w:t>
      </w:r>
      <w:proofErr w:type="spellEnd"/>
      <w:r w:rsidRPr="00872B12">
        <w:rPr>
          <w:color w:val="00000A"/>
        </w:rPr>
        <w:t xml:space="preserve"> ir sąnarių skausmas bei patinimas.</w:t>
      </w:r>
    </w:p>
    <w:p w:rsidR="00434379" w:rsidRPr="00872B12" w:rsidRDefault="00434379" w:rsidP="00434379">
      <w:pPr>
        <w:numPr>
          <w:ilvl w:val="0"/>
          <w:numId w:val="7"/>
        </w:numPr>
        <w:tabs>
          <w:tab w:val="left" w:pos="567"/>
        </w:tabs>
        <w:rPr>
          <w:color w:val="00000A"/>
        </w:rPr>
      </w:pPr>
      <w:r w:rsidRPr="00872B12">
        <w:rPr>
          <w:color w:val="00000A"/>
        </w:rPr>
        <w:t>Galvos skausmas.</w:t>
      </w:r>
    </w:p>
    <w:p w:rsidR="00434379" w:rsidRPr="00872B12" w:rsidRDefault="00434379" w:rsidP="00434379">
      <w:pPr>
        <w:numPr>
          <w:ilvl w:val="0"/>
          <w:numId w:val="7"/>
        </w:numPr>
        <w:tabs>
          <w:tab w:val="left" w:pos="567"/>
        </w:tabs>
        <w:rPr>
          <w:color w:val="00000A"/>
        </w:rPr>
      </w:pPr>
      <w:r w:rsidRPr="00872B12">
        <w:rPr>
          <w:color w:val="00000A"/>
        </w:rPr>
        <w:t>Svaigimas.</w:t>
      </w:r>
    </w:p>
    <w:p w:rsidR="00434379" w:rsidRPr="00872B12" w:rsidRDefault="00434379" w:rsidP="00434379">
      <w:pPr>
        <w:numPr>
          <w:ilvl w:val="0"/>
          <w:numId w:val="7"/>
        </w:numPr>
        <w:tabs>
          <w:tab w:val="left" w:pos="567"/>
        </w:tabs>
        <w:rPr>
          <w:color w:val="00000A"/>
        </w:rPr>
      </w:pPr>
      <w:r w:rsidRPr="00872B12">
        <w:rPr>
          <w:color w:val="00000A"/>
        </w:rPr>
        <w:t>Bloga savijauta.</w:t>
      </w:r>
    </w:p>
    <w:p w:rsidR="00434379" w:rsidRPr="00872B12" w:rsidRDefault="00434379" w:rsidP="00434379">
      <w:pPr>
        <w:numPr>
          <w:ilvl w:val="0"/>
          <w:numId w:val="7"/>
        </w:numPr>
        <w:tabs>
          <w:tab w:val="left" w:pos="567"/>
        </w:tabs>
        <w:rPr>
          <w:color w:val="00000A"/>
        </w:rPr>
      </w:pPr>
      <w:r w:rsidRPr="00872B12">
        <w:rPr>
          <w:color w:val="00000A"/>
        </w:rPr>
        <w:lastRenderedPageBreak/>
        <w:t>Niežulys.</w:t>
      </w:r>
    </w:p>
    <w:p w:rsidR="00434379" w:rsidRPr="00872B12" w:rsidRDefault="00434379" w:rsidP="00434379">
      <w:pPr>
        <w:numPr>
          <w:ilvl w:val="0"/>
          <w:numId w:val="7"/>
        </w:numPr>
        <w:tabs>
          <w:tab w:val="left" w:pos="567"/>
        </w:tabs>
        <w:rPr>
          <w:color w:val="00000A"/>
        </w:rPr>
      </w:pPr>
      <w:r w:rsidRPr="00872B12">
        <w:rPr>
          <w:color w:val="00000A"/>
        </w:rPr>
        <w:t xml:space="preserve">Skausmas ir deginimo jausmas venoje, į kurią buvo skirta </w:t>
      </w:r>
      <w:proofErr w:type="spellStart"/>
      <w:r>
        <w:rPr>
          <w:color w:val="00000A"/>
        </w:rPr>
        <w:t>Cefort</w:t>
      </w:r>
      <w:proofErr w:type="spellEnd"/>
      <w:r w:rsidRPr="00872B12">
        <w:rPr>
          <w:color w:val="00000A"/>
        </w:rPr>
        <w:t>, skausmas injekcijos vietoje.</w:t>
      </w:r>
    </w:p>
    <w:p w:rsidR="00434379" w:rsidRPr="00872B12" w:rsidRDefault="00434379" w:rsidP="00434379">
      <w:pPr>
        <w:numPr>
          <w:ilvl w:val="0"/>
          <w:numId w:val="7"/>
        </w:numPr>
        <w:tabs>
          <w:tab w:val="left" w:pos="567"/>
        </w:tabs>
        <w:rPr>
          <w:color w:val="00000A"/>
        </w:rPr>
      </w:pPr>
      <w:r w:rsidRPr="00872B12">
        <w:rPr>
          <w:color w:val="00000A"/>
        </w:rPr>
        <w:t>Karščiavimas.</w:t>
      </w:r>
    </w:p>
    <w:p w:rsidR="00434379" w:rsidRPr="00872B12" w:rsidRDefault="00434379" w:rsidP="00434379">
      <w:pPr>
        <w:numPr>
          <w:ilvl w:val="0"/>
          <w:numId w:val="7"/>
        </w:numPr>
        <w:tabs>
          <w:tab w:val="left" w:pos="567"/>
        </w:tabs>
        <w:rPr>
          <w:color w:val="00000A"/>
        </w:rPr>
      </w:pPr>
      <w:r w:rsidRPr="00872B12">
        <w:rPr>
          <w:color w:val="00000A"/>
        </w:rPr>
        <w:t xml:space="preserve">Nenormalūs inkstų funkcijos tyrimų rezultatai (padidėjusi </w:t>
      </w:r>
      <w:proofErr w:type="spellStart"/>
      <w:r w:rsidRPr="00872B12">
        <w:rPr>
          <w:color w:val="00000A"/>
        </w:rPr>
        <w:t>kreatinino</w:t>
      </w:r>
      <w:proofErr w:type="spellEnd"/>
      <w:r w:rsidRPr="00872B12">
        <w:rPr>
          <w:color w:val="00000A"/>
        </w:rPr>
        <w:t xml:space="preserve"> koncentracija serume).</w:t>
      </w:r>
    </w:p>
    <w:p w:rsidR="00434379" w:rsidRPr="00872B12" w:rsidRDefault="00434379" w:rsidP="00434379">
      <w:pPr>
        <w:rPr>
          <w:color w:val="00000A"/>
        </w:rPr>
      </w:pPr>
    </w:p>
    <w:p w:rsidR="00434379" w:rsidRPr="00872B12" w:rsidRDefault="00434379" w:rsidP="00434379">
      <w:pPr>
        <w:rPr>
          <w:color w:val="00000A"/>
        </w:rPr>
      </w:pPr>
      <w:r w:rsidRPr="00872B12">
        <w:rPr>
          <w:b/>
          <w:color w:val="00000A"/>
        </w:rPr>
        <w:t>Reti (pastebėti mažiau negu 1 iš 1000 gydytų pacientų)</w:t>
      </w:r>
    </w:p>
    <w:p w:rsidR="00434379" w:rsidRPr="00872B12" w:rsidRDefault="00434379" w:rsidP="00434379">
      <w:pPr>
        <w:numPr>
          <w:ilvl w:val="0"/>
          <w:numId w:val="10"/>
        </w:numPr>
        <w:tabs>
          <w:tab w:val="left" w:pos="567"/>
        </w:tabs>
        <w:rPr>
          <w:color w:val="00000A"/>
        </w:rPr>
      </w:pPr>
      <w:r w:rsidRPr="00872B12">
        <w:rPr>
          <w:color w:val="00000A"/>
        </w:rPr>
        <w:t>Storosios žarnos uždegimas. Tai apima tokius simptomus: viduriavimas, dažnai su kraujo ar gleivių priemaiša, pilvo skausmas ir karščiavimas.</w:t>
      </w:r>
    </w:p>
    <w:p w:rsidR="00434379" w:rsidRPr="00872B12" w:rsidRDefault="00434379" w:rsidP="00434379">
      <w:pPr>
        <w:numPr>
          <w:ilvl w:val="0"/>
          <w:numId w:val="10"/>
        </w:numPr>
        <w:tabs>
          <w:tab w:val="left" w:pos="567"/>
        </w:tabs>
        <w:rPr>
          <w:color w:val="00000A"/>
        </w:rPr>
      </w:pPr>
      <w:r w:rsidRPr="00872B12">
        <w:rPr>
          <w:color w:val="00000A"/>
        </w:rPr>
        <w:t>Sunkumas kvėpuoti (bronchų spazmas).</w:t>
      </w:r>
    </w:p>
    <w:p w:rsidR="00434379" w:rsidRPr="00872B12" w:rsidRDefault="00434379" w:rsidP="00434379">
      <w:pPr>
        <w:numPr>
          <w:ilvl w:val="0"/>
          <w:numId w:val="10"/>
        </w:numPr>
        <w:tabs>
          <w:tab w:val="left" w:pos="567"/>
        </w:tabs>
        <w:rPr>
          <w:color w:val="00000A"/>
        </w:rPr>
      </w:pPr>
      <w:r w:rsidRPr="00872B12">
        <w:rPr>
          <w:color w:val="00000A"/>
        </w:rPr>
        <w:t>Iškilęs bėrimas (dilgėlinė), kuris gali dengti didelį kūno plotą, niežėjimas ir patinimas.</w:t>
      </w:r>
    </w:p>
    <w:p w:rsidR="00434379" w:rsidRPr="00872B12" w:rsidRDefault="00434379" w:rsidP="00434379">
      <w:pPr>
        <w:numPr>
          <w:ilvl w:val="0"/>
          <w:numId w:val="10"/>
        </w:numPr>
        <w:tabs>
          <w:tab w:val="left" w:pos="567"/>
        </w:tabs>
        <w:rPr>
          <w:color w:val="00000A"/>
        </w:rPr>
      </w:pPr>
      <w:r w:rsidRPr="00872B12">
        <w:rPr>
          <w:color w:val="00000A"/>
        </w:rPr>
        <w:t>Kraujas ar gliukozė šlapime.</w:t>
      </w:r>
    </w:p>
    <w:p w:rsidR="00434379" w:rsidRPr="00872B12" w:rsidRDefault="00434379" w:rsidP="00434379">
      <w:pPr>
        <w:numPr>
          <w:ilvl w:val="0"/>
          <w:numId w:val="10"/>
        </w:numPr>
        <w:tabs>
          <w:tab w:val="left" w:pos="567"/>
        </w:tabs>
        <w:rPr>
          <w:color w:val="00000A"/>
        </w:rPr>
      </w:pPr>
      <w:r w:rsidRPr="00872B12">
        <w:rPr>
          <w:color w:val="00000A"/>
        </w:rPr>
        <w:t>Edema (skysčio kaupimasis).</w:t>
      </w:r>
    </w:p>
    <w:p w:rsidR="00434379" w:rsidRPr="00872B12" w:rsidRDefault="00434379" w:rsidP="00434379">
      <w:pPr>
        <w:numPr>
          <w:ilvl w:val="0"/>
          <w:numId w:val="10"/>
        </w:numPr>
        <w:tabs>
          <w:tab w:val="left" w:pos="567"/>
        </w:tabs>
        <w:rPr>
          <w:color w:val="00000A"/>
        </w:rPr>
      </w:pPr>
      <w:proofErr w:type="spellStart"/>
      <w:r w:rsidRPr="00872B12">
        <w:rPr>
          <w:color w:val="00000A"/>
        </w:rPr>
        <w:t>Šaltkrėtis</w:t>
      </w:r>
      <w:proofErr w:type="spellEnd"/>
      <w:r w:rsidRPr="00872B12">
        <w:rPr>
          <w:color w:val="00000A"/>
        </w:rPr>
        <w:t>.</w:t>
      </w:r>
    </w:p>
    <w:p w:rsidR="00434379" w:rsidRPr="00872B12" w:rsidRDefault="00434379" w:rsidP="00434379">
      <w:pPr>
        <w:ind w:left="720"/>
        <w:rPr>
          <w:color w:val="00000A"/>
        </w:rPr>
      </w:pPr>
    </w:p>
    <w:p w:rsidR="00434379" w:rsidRPr="00872B12" w:rsidRDefault="00434379" w:rsidP="00434379">
      <w:pPr>
        <w:rPr>
          <w:b/>
          <w:color w:val="00000A"/>
        </w:rPr>
      </w:pPr>
      <w:r w:rsidRPr="00872B12">
        <w:rPr>
          <w:b/>
          <w:color w:val="00000A"/>
        </w:rPr>
        <w:t>Dažnis nežinomas (negali būti apskaičiuotas pagal turimus duomenis)</w:t>
      </w:r>
    </w:p>
    <w:p w:rsidR="00434379" w:rsidRPr="00872B12" w:rsidRDefault="00434379" w:rsidP="00434379">
      <w:pPr>
        <w:numPr>
          <w:ilvl w:val="0"/>
          <w:numId w:val="8"/>
        </w:numPr>
        <w:tabs>
          <w:tab w:val="left" w:pos="567"/>
        </w:tabs>
        <w:rPr>
          <w:color w:val="00000A"/>
        </w:rPr>
      </w:pPr>
      <w:r w:rsidRPr="00872B12">
        <w:rPr>
          <w:color w:val="00000A"/>
        </w:rPr>
        <w:t>Antrinė infekcija, galinti nereaguoti į gydymą anksčiau paskirtu antibiotiku.</w:t>
      </w:r>
    </w:p>
    <w:p w:rsidR="00434379" w:rsidRPr="00872B12" w:rsidRDefault="00434379" w:rsidP="00434379">
      <w:pPr>
        <w:numPr>
          <w:ilvl w:val="0"/>
          <w:numId w:val="8"/>
        </w:numPr>
        <w:tabs>
          <w:tab w:val="left" w:pos="567"/>
        </w:tabs>
        <w:rPr>
          <w:color w:val="00000A"/>
        </w:rPr>
      </w:pPr>
      <w:r w:rsidRPr="00872B12">
        <w:rPr>
          <w:color w:val="00000A"/>
        </w:rPr>
        <w:t>Anemijos forma, kuriai esant yra raudonosios kraujo ląstelės (hemolizinė anemija).</w:t>
      </w:r>
    </w:p>
    <w:p w:rsidR="00434379" w:rsidRPr="00872B12" w:rsidRDefault="00434379" w:rsidP="00434379">
      <w:pPr>
        <w:numPr>
          <w:ilvl w:val="0"/>
          <w:numId w:val="8"/>
        </w:numPr>
        <w:tabs>
          <w:tab w:val="left" w:pos="567"/>
        </w:tabs>
        <w:rPr>
          <w:color w:val="00000A"/>
        </w:rPr>
      </w:pPr>
      <w:r w:rsidRPr="00872B12">
        <w:rPr>
          <w:color w:val="00000A"/>
        </w:rPr>
        <w:t>Didelis baltųjų kraujo ląstelių skaičiaus sumažėjimas (</w:t>
      </w:r>
      <w:proofErr w:type="spellStart"/>
      <w:r w:rsidRPr="00872B12">
        <w:rPr>
          <w:color w:val="00000A"/>
        </w:rPr>
        <w:t>agranuliocitozė</w:t>
      </w:r>
      <w:proofErr w:type="spellEnd"/>
      <w:r w:rsidRPr="00872B12">
        <w:rPr>
          <w:color w:val="00000A"/>
        </w:rPr>
        <w:t>).</w:t>
      </w:r>
    </w:p>
    <w:p w:rsidR="00434379" w:rsidRPr="00872B12" w:rsidRDefault="00434379" w:rsidP="00434379">
      <w:pPr>
        <w:numPr>
          <w:ilvl w:val="0"/>
          <w:numId w:val="8"/>
        </w:numPr>
        <w:tabs>
          <w:tab w:val="left" w:pos="567"/>
        </w:tabs>
        <w:rPr>
          <w:color w:val="00000A"/>
        </w:rPr>
      </w:pPr>
      <w:r w:rsidRPr="00872B12">
        <w:rPr>
          <w:color w:val="00000A"/>
        </w:rPr>
        <w:t>Traukuliai.</w:t>
      </w:r>
    </w:p>
    <w:p w:rsidR="00434379" w:rsidRPr="00872B12" w:rsidRDefault="00434379" w:rsidP="00434379">
      <w:pPr>
        <w:numPr>
          <w:ilvl w:val="0"/>
          <w:numId w:val="8"/>
        </w:numPr>
        <w:tabs>
          <w:tab w:val="left" w:pos="567"/>
        </w:tabs>
        <w:rPr>
          <w:color w:val="00000A"/>
        </w:rPr>
      </w:pPr>
      <w:r w:rsidRPr="00872B12">
        <w:rPr>
          <w:color w:val="00000A"/>
        </w:rPr>
        <w:t>Svaigimas (sukimosi pojūtis).</w:t>
      </w:r>
    </w:p>
    <w:p w:rsidR="00434379" w:rsidRPr="00872B12" w:rsidRDefault="00434379" w:rsidP="00434379">
      <w:pPr>
        <w:numPr>
          <w:ilvl w:val="0"/>
          <w:numId w:val="8"/>
        </w:numPr>
        <w:tabs>
          <w:tab w:val="left" w:pos="567"/>
        </w:tabs>
        <w:rPr>
          <w:color w:val="00000A"/>
        </w:rPr>
      </w:pPr>
      <w:r w:rsidRPr="00872B12">
        <w:rPr>
          <w:color w:val="00000A"/>
        </w:rPr>
        <w:t>Kasos uždegimas (pankreatitas). Tai apima tokius simptomus: stiprus pilvo skausmas, plintantis į nugarą.</w:t>
      </w:r>
    </w:p>
    <w:p w:rsidR="00434379" w:rsidRPr="00872B12" w:rsidRDefault="00434379" w:rsidP="00434379">
      <w:pPr>
        <w:numPr>
          <w:ilvl w:val="0"/>
          <w:numId w:val="8"/>
        </w:numPr>
        <w:tabs>
          <w:tab w:val="left" w:pos="567"/>
        </w:tabs>
        <w:rPr>
          <w:color w:val="00000A"/>
        </w:rPr>
      </w:pPr>
      <w:r w:rsidRPr="00872B12">
        <w:rPr>
          <w:color w:val="00000A"/>
        </w:rPr>
        <w:t>Burnos gleivinės uždegimas (stomatitas).</w:t>
      </w:r>
    </w:p>
    <w:p w:rsidR="00434379" w:rsidRPr="00872B12" w:rsidRDefault="00434379" w:rsidP="00434379">
      <w:pPr>
        <w:numPr>
          <w:ilvl w:val="0"/>
          <w:numId w:val="8"/>
        </w:numPr>
        <w:tabs>
          <w:tab w:val="left" w:pos="567"/>
        </w:tabs>
        <w:rPr>
          <w:color w:val="00000A"/>
        </w:rPr>
      </w:pPr>
      <w:r w:rsidRPr="00872B12">
        <w:rPr>
          <w:color w:val="00000A"/>
        </w:rPr>
        <w:t>Liežuvio uždegimas (glositas). Tai apima tokius simptomus: liežuvio patinimas, paraudimas ir skausmas.</w:t>
      </w:r>
    </w:p>
    <w:p w:rsidR="00434379" w:rsidRPr="00872B12" w:rsidRDefault="00434379" w:rsidP="00434379">
      <w:pPr>
        <w:numPr>
          <w:ilvl w:val="0"/>
          <w:numId w:val="8"/>
        </w:numPr>
        <w:tabs>
          <w:tab w:val="left" w:pos="567"/>
        </w:tabs>
        <w:rPr>
          <w:color w:val="00000A"/>
        </w:rPr>
      </w:pPr>
      <w:r w:rsidRPr="00872B12">
        <w:rPr>
          <w:color w:val="00000A"/>
        </w:rPr>
        <w:t>Tulžies pūslės veiklos sutrikimai, kurie gali sukelti skausmą ar blogą savijautą.</w:t>
      </w:r>
    </w:p>
    <w:p w:rsidR="00434379" w:rsidRPr="00872B12" w:rsidRDefault="00434379" w:rsidP="00434379">
      <w:pPr>
        <w:numPr>
          <w:ilvl w:val="0"/>
          <w:numId w:val="8"/>
        </w:numPr>
        <w:tabs>
          <w:tab w:val="left" w:pos="567"/>
        </w:tabs>
        <w:rPr>
          <w:color w:val="00000A"/>
        </w:rPr>
      </w:pPr>
      <w:r w:rsidRPr="00872B12">
        <w:rPr>
          <w:color w:val="00000A"/>
        </w:rPr>
        <w:t>Neurologinis sutrikimas, galintis atsirasti naujagimiams, kuriems pasireiškė sunki branduolių gelta (</w:t>
      </w:r>
      <w:proofErr w:type="spellStart"/>
      <w:r w:rsidRPr="00872B12">
        <w:rPr>
          <w:i/>
          <w:color w:val="00000A"/>
        </w:rPr>
        <w:t>kernicterus</w:t>
      </w:r>
      <w:proofErr w:type="spellEnd"/>
      <w:r w:rsidRPr="00872B12">
        <w:rPr>
          <w:i/>
          <w:color w:val="00000A"/>
        </w:rPr>
        <w:t>).</w:t>
      </w:r>
    </w:p>
    <w:p w:rsidR="00434379" w:rsidRPr="00872B12" w:rsidRDefault="00434379" w:rsidP="00434379">
      <w:pPr>
        <w:numPr>
          <w:ilvl w:val="0"/>
          <w:numId w:val="8"/>
        </w:numPr>
        <w:tabs>
          <w:tab w:val="left" w:pos="567"/>
        </w:tabs>
        <w:rPr>
          <w:color w:val="00000A"/>
        </w:rPr>
      </w:pPr>
      <w:r w:rsidRPr="00872B12">
        <w:rPr>
          <w:color w:val="00000A"/>
        </w:rPr>
        <w:t xml:space="preserve">Inkstų sutrikimai, kuriuos sukėlė kalcio </w:t>
      </w:r>
      <w:proofErr w:type="spellStart"/>
      <w:r w:rsidRPr="00872B12">
        <w:rPr>
          <w:color w:val="00000A"/>
        </w:rPr>
        <w:t>ceftriaksono</w:t>
      </w:r>
      <w:proofErr w:type="spellEnd"/>
      <w:r w:rsidRPr="00872B12">
        <w:rPr>
          <w:color w:val="00000A"/>
        </w:rPr>
        <w:t xml:space="preserve"> druskų nuosėdos. Gali būti jaučiamas skausmas šlapinantis ar sumažėjęs šlapimo kiekis.</w:t>
      </w:r>
    </w:p>
    <w:p w:rsidR="00434379" w:rsidRPr="00872B12" w:rsidRDefault="00434379" w:rsidP="00434379">
      <w:pPr>
        <w:numPr>
          <w:ilvl w:val="0"/>
          <w:numId w:val="8"/>
        </w:numPr>
        <w:tabs>
          <w:tab w:val="left" w:pos="567"/>
        </w:tabs>
        <w:rPr>
          <w:color w:val="00000A"/>
        </w:rPr>
      </w:pPr>
      <w:r w:rsidRPr="00872B12">
        <w:rPr>
          <w:color w:val="00000A"/>
        </w:rPr>
        <w:t xml:space="preserve">Klaidingai teigiamas </w:t>
      </w:r>
      <w:proofErr w:type="spellStart"/>
      <w:r w:rsidRPr="00872B12">
        <w:rPr>
          <w:color w:val="00000A"/>
        </w:rPr>
        <w:t>Kumbso</w:t>
      </w:r>
      <w:proofErr w:type="spellEnd"/>
      <w:r w:rsidRPr="00872B12">
        <w:rPr>
          <w:color w:val="00000A"/>
        </w:rPr>
        <w:t xml:space="preserve"> testo rezultatas (kai kuriems kraujo sutrikimams tirti naudojamas testas).</w:t>
      </w:r>
    </w:p>
    <w:p w:rsidR="00434379" w:rsidRPr="00872B12" w:rsidRDefault="00434379" w:rsidP="00434379">
      <w:pPr>
        <w:numPr>
          <w:ilvl w:val="0"/>
          <w:numId w:val="8"/>
        </w:numPr>
        <w:tabs>
          <w:tab w:val="left" w:pos="567"/>
        </w:tabs>
        <w:rPr>
          <w:color w:val="00000A"/>
        </w:rPr>
      </w:pPr>
      <w:r w:rsidRPr="00872B12">
        <w:rPr>
          <w:color w:val="00000A"/>
        </w:rPr>
        <w:t xml:space="preserve">Klaidingai teigiami </w:t>
      </w:r>
      <w:proofErr w:type="spellStart"/>
      <w:r w:rsidRPr="00872B12">
        <w:rPr>
          <w:color w:val="00000A"/>
        </w:rPr>
        <w:t>galaktozemijos</w:t>
      </w:r>
      <w:proofErr w:type="spellEnd"/>
      <w:r w:rsidRPr="00872B12">
        <w:rPr>
          <w:color w:val="00000A"/>
        </w:rPr>
        <w:t xml:space="preserve"> (per didelio angliavandenio </w:t>
      </w:r>
      <w:proofErr w:type="spellStart"/>
      <w:r w:rsidRPr="00872B12">
        <w:rPr>
          <w:color w:val="00000A"/>
        </w:rPr>
        <w:t>galaktozės</w:t>
      </w:r>
      <w:proofErr w:type="spellEnd"/>
      <w:r w:rsidRPr="00872B12">
        <w:rPr>
          <w:color w:val="00000A"/>
        </w:rPr>
        <w:t xml:space="preserve"> kiekio kraujyje susidarymo) tyrimo duomenys.</w:t>
      </w:r>
    </w:p>
    <w:p w:rsidR="00434379" w:rsidRPr="00872B12" w:rsidRDefault="00434379" w:rsidP="00434379">
      <w:pPr>
        <w:numPr>
          <w:ilvl w:val="0"/>
          <w:numId w:val="8"/>
        </w:numPr>
        <w:tabs>
          <w:tab w:val="left" w:pos="567"/>
        </w:tabs>
        <w:rPr>
          <w:color w:val="00000A"/>
        </w:rPr>
      </w:pPr>
      <w:proofErr w:type="spellStart"/>
      <w:r>
        <w:rPr>
          <w:color w:val="00000A"/>
        </w:rPr>
        <w:t>Cefort</w:t>
      </w:r>
      <w:proofErr w:type="spellEnd"/>
      <w:r w:rsidRPr="00872B12">
        <w:rPr>
          <w:color w:val="00000A"/>
        </w:rPr>
        <w:t xml:space="preserve"> gali veikti kai kurių rūšių gliukozės kiekio serume nustatymo tyrimus – pasitarkite su gydytoju. </w:t>
      </w:r>
    </w:p>
    <w:p w:rsidR="00434379" w:rsidRPr="00872B12" w:rsidRDefault="00434379" w:rsidP="00434379">
      <w:pPr>
        <w:ind w:left="360"/>
        <w:rPr>
          <w:color w:val="00000A"/>
        </w:rPr>
      </w:pPr>
    </w:p>
    <w:p w:rsidR="00434379" w:rsidRPr="00872B12" w:rsidRDefault="00434379" w:rsidP="00434379">
      <w:pPr>
        <w:rPr>
          <w:color w:val="00000A"/>
        </w:rPr>
      </w:pPr>
    </w:p>
    <w:p w:rsidR="00434379" w:rsidRPr="00872B12" w:rsidRDefault="00434379" w:rsidP="00434379">
      <w:pPr>
        <w:tabs>
          <w:tab w:val="left" w:pos="567"/>
        </w:tabs>
        <w:rPr>
          <w:b/>
        </w:rPr>
      </w:pPr>
      <w:r w:rsidRPr="00872B12">
        <w:rPr>
          <w:b/>
        </w:rPr>
        <w:t>Pranešimas apie šalutinį poveikį</w:t>
      </w:r>
    </w:p>
    <w:p w:rsidR="00434379" w:rsidRPr="00872B12" w:rsidRDefault="00434379" w:rsidP="00434379">
      <w:pPr>
        <w:tabs>
          <w:tab w:val="left" w:pos="567"/>
        </w:tabs>
        <w:spacing w:line="260" w:lineRule="exact"/>
      </w:pPr>
      <w:r w:rsidRPr="00872B12">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7" w:history="1">
        <w:r w:rsidRPr="00872B12">
          <w:rPr>
            <w:color w:val="0000FF"/>
            <w:u w:val="single"/>
          </w:rPr>
          <w:t>www.vvkt.lt</w:t>
        </w:r>
      </w:hyperlink>
      <w:r w:rsidRPr="00872B12">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8" w:history="1">
        <w:r w:rsidRPr="00872B12">
          <w:rPr>
            <w:color w:val="0000FF"/>
            <w:u w:val="single"/>
          </w:rPr>
          <w:t>NepageidaujamaR@vvkt.lt</w:t>
        </w:r>
      </w:hyperlink>
      <w:r w:rsidRPr="00872B12">
        <w:t xml:space="preserve">, taip pat per Valstybinės vaistų </w:t>
      </w:r>
      <w:r w:rsidRPr="00872B12">
        <w:lastRenderedPageBreak/>
        <w:t xml:space="preserve">kontrolės tarnybos prie Lietuvos Respublikos sveikatos apsaugos ministerijos interneto svetainę (adresu </w:t>
      </w:r>
      <w:hyperlink r:id="rId9" w:history="1">
        <w:r w:rsidRPr="00872B12">
          <w:rPr>
            <w:color w:val="0000FF"/>
            <w:u w:val="single"/>
          </w:rPr>
          <w:t>http://www.vvkt.lt</w:t>
        </w:r>
      </w:hyperlink>
      <w:r w:rsidRPr="00872B12">
        <w:t>). Pranešdami apie šalutinį poveikį galite mums padėti gauti daugiau informacijos apie šio vaisto saugumą.</w:t>
      </w:r>
    </w:p>
    <w:p w:rsidR="00434379" w:rsidRPr="00872B12" w:rsidRDefault="00434379" w:rsidP="00434379">
      <w:pPr>
        <w:tabs>
          <w:tab w:val="left" w:pos="567"/>
        </w:tabs>
        <w:spacing w:line="260" w:lineRule="exact"/>
      </w:pPr>
    </w:p>
    <w:p w:rsidR="00434379" w:rsidRPr="00872B12" w:rsidRDefault="00434379" w:rsidP="00434379">
      <w:pPr>
        <w:tabs>
          <w:tab w:val="left" w:pos="567"/>
        </w:tabs>
        <w:spacing w:line="260" w:lineRule="exact"/>
      </w:pPr>
    </w:p>
    <w:p w:rsidR="00434379" w:rsidRPr="00872B12" w:rsidRDefault="00434379" w:rsidP="00434379">
      <w:pPr>
        <w:keepNext/>
        <w:keepLines/>
        <w:tabs>
          <w:tab w:val="left" w:pos="567"/>
        </w:tabs>
        <w:outlineLvl w:val="2"/>
        <w:rPr>
          <w:b/>
        </w:rPr>
      </w:pPr>
      <w:r w:rsidRPr="00872B12">
        <w:rPr>
          <w:b/>
        </w:rPr>
        <w:t>5.</w:t>
      </w:r>
      <w:r w:rsidRPr="00872B12">
        <w:rPr>
          <w:b/>
        </w:rPr>
        <w:tab/>
        <w:t xml:space="preserve">Kaip laikyti </w:t>
      </w:r>
      <w:proofErr w:type="spellStart"/>
      <w:r>
        <w:rPr>
          <w:b/>
          <w:bCs/>
          <w:snapToGrid w:val="0"/>
        </w:rPr>
        <w:t>Cefort</w:t>
      </w:r>
      <w:proofErr w:type="spellEnd"/>
      <w:r w:rsidRPr="00872B12">
        <w:rPr>
          <w:b/>
        </w:rPr>
        <w:t xml:space="preserve"> </w:t>
      </w:r>
    </w:p>
    <w:p w:rsidR="00434379" w:rsidRPr="00872B12" w:rsidRDefault="00434379" w:rsidP="00434379">
      <w:pPr>
        <w:numPr>
          <w:ilvl w:val="12"/>
          <w:numId w:val="0"/>
        </w:numPr>
        <w:ind w:right="-2"/>
      </w:pPr>
    </w:p>
    <w:p w:rsidR="00434379" w:rsidRPr="00872B12" w:rsidRDefault="00434379" w:rsidP="00434379">
      <w:pPr>
        <w:rPr>
          <w:color w:val="00000A"/>
        </w:rPr>
      </w:pPr>
      <w:r w:rsidRPr="00872B12">
        <w:rPr>
          <w:color w:val="00000A"/>
        </w:rPr>
        <w:t>Šį vaistą laikykite vaikams nepastebimoje ir nepasiekiamoje vietoje.</w:t>
      </w:r>
    </w:p>
    <w:p w:rsidR="00434379" w:rsidRPr="00872B12" w:rsidRDefault="00434379" w:rsidP="00434379">
      <w:pPr>
        <w:rPr>
          <w:color w:val="00000A"/>
        </w:rPr>
      </w:pPr>
      <w:r w:rsidRPr="000A6BB7">
        <w:rPr>
          <w:szCs w:val="22"/>
        </w:rPr>
        <w:t>Laikyti ne aukštesnėje kaip 25 °C temperatūroje</w:t>
      </w:r>
      <w:r>
        <w:rPr>
          <w:szCs w:val="22"/>
        </w:rPr>
        <w:t>,</w:t>
      </w:r>
      <w:r w:rsidRPr="00E67D77">
        <w:rPr>
          <w:szCs w:val="22"/>
          <w:lang w:val="en-US"/>
        </w:rPr>
        <w:t xml:space="preserve"> </w:t>
      </w:r>
      <w:proofErr w:type="spellStart"/>
      <w:r>
        <w:rPr>
          <w:szCs w:val="22"/>
          <w:lang w:val="en-US"/>
        </w:rPr>
        <w:t>gamintojo</w:t>
      </w:r>
      <w:proofErr w:type="spellEnd"/>
      <w:r>
        <w:rPr>
          <w:szCs w:val="22"/>
        </w:rPr>
        <w:t xml:space="preserve"> pakuotėje.</w:t>
      </w:r>
    </w:p>
    <w:p w:rsidR="00434379" w:rsidRPr="00872B12" w:rsidRDefault="00434379" w:rsidP="00434379">
      <w:pPr>
        <w:spacing w:line="288" w:lineRule="auto"/>
        <w:rPr>
          <w:color w:val="00000A"/>
        </w:rPr>
      </w:pPr>
      <w:r w:rsidRPr="00872B12">
        <w:rPr>
          <w:color w:val="00000A"/>
        </w:rPr>
        <w:t xml:space="preserve">Atidarius buteliuką, preparatą vartoti nedelsiant. </w:t>
      </w:r>
    </w:p>
    <w:p w:rsidR="00434379" w:rsidRPr="00872B12" w:rsidRDefault="00434379" w:rsidP="00434379">
      <w:pPr>
        <w:spacing w:line="288" w:lineRule="auto"/>
        <w:rPr>
          <w:color w:val="00000A"/>
        </w:rPr>
      </w:pPr>
      <w:r w:rsidRPr="00872B12">
        <w:rPr>
          <w:color w:val="00000A"/>
        </w:rPr>
        <w:t>Paruoštą tirpalą vartoti nedelsiant. Vartoti tik skaidrų tirpalą.</w:t>
      </w:r>
    </w:p>
    <w:p w:rsidR="00434379" w:rsidRPr="00872B12" w:rsidRDefault="00434379" w:rsidP="00434379">
      <w:pPr>
        <w:spacing w:line="288" w:lineRule="auto"/>
        <w:rPr>
          <w:color w:val="00000A"/>
        </w:rPr>
      </w:pPr>
      <w:r w:rsidRPr="00872B12">
        <w:rPr>
          <w:color w:val="00000A"/>
        </w:rPr>
        <w:t>Likusią nesuvartotą injekcinio ar infuzinio tirpalo dalį išpilti.</w:t>
      </w:r>
    </w:p>
    <w:p w:rsidR="00434379" w:rsidRPr="00872B12" w:rsidRDefault="00434379" w:rsidP="00434379">
      <w:pPr>
        <w:rPr>
          <w:color w:val="00000A"/>
        </w:rPr>
      </w:pPr>
    </w:p>
    <w:p w:rsidR="00434379" w:rsidRPr="00872B12" w:rsidRDefault="00434379" w:rsidP="00434379">
      <w:pPr>
        <w:rPr>
          <w:color w:val="00000A"/>
        </w:rPr>
      </w:pPr>
      <w:r w:rsidRPr="00872B12">
        <w:rPr>
          <w:color w:val="00000A"/>
        </w:rPr>
        <w:t>Ant dėžutės ir flakono po „Tinka iki“ nurodytam tinkamumo laikui pasibaigus, šio vaisto vartoti negalima. Vaistas tinkamas vartoti iki paskutinės nurodyto mėnesio dienos.</w:t>
      </w:r>
    </w:p>
    <w:p w:rsidR="00434379" w:rsidRPr="00872B12" w:rsidRDefault="00434379" w:rsidP="00434379">
      <w:pPr>
        <w:rPr>
          <w:color w:val="00000A"/>
        </w:rPr>
      </w:pPr>
    </w:p>
    <w:p w:rsidR="00434379" w:rsidRPr="00872B12" w:rsidRDefault="00434379" w:rsidP="00434379">
      <w:pPr>
        <w:rPr>
          <w:color w:val="00000A"/>
        </w:rPr>
      </w:pPr>
      <w:r w:rsidRPr="00872B12">
        <w:rPr>
          <w:color w:val="00000A"/>
        </w:rPr>
        <w:t>Vaistų negalima išmesti į kanalizaciją arba su buitinėmis atliekomis. Kaip išmesti nereikalingus vaistus, klauskite vaistininko. Šios priemonės padės apsaugoti aplinką.</w:t>
      </w:r>
    </w:p>
    <w:p w:rsidR="00434379" w:rsidRPr="00872B12" w:rsidRDefault="00434379" w:rsidP="00434379">
      <w:pPr>
        <w:numPr>
          <w:ilvl w:val="12"/>
          <w:numId w:val="0"/>
        </w:numPr>
        <w:ind w:right="-2"/>
      </w:pPr>
    </w:p>
    <w:p w:rsidR="00434379" w:rsidRPr="00872B12" w:rsidRDefault="00434379" w:rsidP="00434379">
      <w:pPr>
        <w:numPr>
          <w:ilvl w:val="12"/>
          <w:numId w:val="0"/>
        </w:numPr>
        <w:ind w:right="-2"/>
      </w:pPr>
    </w:p>
    <w:p w:rsidR="00434379" w:rsidRPr="00872B12" w:rsidRDefault="00434379" w:rsidP="00434379">
      <w:pPr>
        <w:keepNext/>
        <w:keepLines/>
        <w:tabs>
          <w:tab w:val="left" w:pos="567"/>
        </w:tabs>
        <w:outlineLvl w:val="2"/>
        <w:rPr>
          <w:b/>
        </w:rPr>
      </w:pPr>
      <w:r w:rsidRPr="00872B12">
        <w:rPr>
          <w:b/>
        </w:rPr>
        <w:t>6.</w:t>
      </w:r>
      <w:r w:rsidRPr="00B42B9A">
        <w:tab/>
      </w:r>
      <w:r w:rsidRPr="00872B12">
        <w:rPr>
          <w:b/>
        </w:rPr>
        <w:t>Pakuotės turinys ir kita informacija</w:t>
      </w:r>
    </w:p>
    <w:p w:rsidR="00434379" w:rsidRPr="00872B12" w:rsidRDefault="00434379" w:rsidP="00434379">
      <w:pPr>
        <w:numPr>
          <w:ilvl w:val="12"/>
          <w:numId w:val="0"/>
        </w:numPr>
      </w:pPr>
    </w:p>
    <w:p w:rsidR="00434379" w:rsidRPr="00872B12" w:rsidRDefault="00434379" w:rsidP="00434379">
      <w:pPr>
        <w:keepNext/>
        <w:tabs>
          <w:tab w:val="left" w:pos="567"/>
        </w:tabs>
        <w:spacing w:line="260" w:lineRule="exact"/>
        <w:jc w:val="both"/>
        <w:outlineLvl w:val="3"/>
        <w:rPr>
          <w:b/>
        </w:rPr>
      </w:pPr>
      <w:proofErr w:type="spellStart"/>
      <w:r>
        <w:rPr>
          <w:b/>
          <w:bCs/>
          <w:snapToGrid w:val="0"/>
        </w:rPr>
        <w:t>Cefort</w:t>
      </w:r>
      <w:proofErr w:type="spellEnd"/>
      <w:r w:rsidRPr="00872B12">
        <w:rPr>
          <w:b/>
        </w:rPr>
        <w:t xml:space="preserve"> sudėtis </w:t>
      </w:r>
    </w:p>
    <w:p w:rsidR="00434379" w:rsidRPr="00872B12" w:rsidRDefault="00434379" w:rsidP="00434379">
      <w:pPr>
        <w:numPr>
          <w:ilvl w:val="0"/>
          <w:numId w:val="3"/>
        </w:numPr>
        <w:tabs>
          <w:tab w:val="left" w:pos="567"/>
        </w:tabs>
        <w:ind w:left="567" w:right="-2" w:hanging="567"/>
      </w:pPr>
      <w:r w:rsidRPr="00872B12">
        <w:t xml:space="preserve">Veiklioji medžiaga yra </w:t>
      </w:r>
      <w:proofErr w:type="spellStart"/>
      <w:r w:rsidRPr="00872B12">
        <w:t>ceftriaksonas</w:t>
      </w:r>
      <w:proofErr w:type="spellEnd"/>
      <w:r w:rsidRPr="00872B12">
        <w:t xml:space="preserve">. Viename flakone yra 1 g </w:t>
      </w:r>
      <w:proofErr w:type="spellStart"/>
      <w:r w:rsidRPr="00872B12">
        <w:t>ceftriaksono</w:t>
      </w:r>
      <w:proofErr w:type="spellEnd"/>
      <w:r w:rsidRPr="00872B12">
        <w:t xml:space="preserve"> (natrio druskos pavidalu).</w:t>
      </w:r>
    </w:p>
    <w:p w:rsidR="00434379" w:rsidRPr="00872B12" w:rsidRDefault="00434379" w:rsidP="00434379">
      <w:pPr>
        <w:numPr>
          <w:ilvl w:val="0"/>
          <w:numId w:val="3"/>
        </w:numPr>
        <w:tabs>
          <w:tab w:val="left" w:pos="567"/>
        </w:tabs>
        <w:ind w:left="567" w:right="-2" w:hanging="567"/>
      </w:pPr>
      <w:r w:rsidRPr="00872B12">
        <w:t xml:space="preserve">Pagalbinių medžiagų nėra. </w:t>
      </w:r>
    </w:p>
    <w:p w:rsidR="00434379" w:rsidRPr="00872B12" w:rsidRDefault="00434379" w:rsidP="00434379">
      <w:pPr>
        <w:ind w:right="-2"/>
      </w:pPr>
    </w:p>
    <w:p w:rsidR="00434379" w:rsidRPr="00872B12" w:rsidRDefault="00434379" w:rsidP="00434379">
      <w:pPr>
        <w:keepNext/>
        <w:tabs>
          <w:tab w:val="left" w:pos="567"/>
        </w:tabs>
        <w:spacing w:line="260" w:lineRule="exact"/>
        <w:jc w:val="both"/>
        <w:outlineLvl w:val="3"/>
        <w:rPr>
          <w:b/>
        </w:rPr>
      </w:pPr>
      <w:proofErr w:type="spellStart"/>
      <w:r>
        <w:rPr>
          <w:b/>
          <w:bCs/>
          <w:snapToGrid w:val="0"/>
        </w:rPr>
        <w:t>Cefort</w:t>
      </w:r>
      <w:proofErr w:type="spellEnd"/>
      <w:r w:rsidRPr="00872B12">
        <w:rPr>
          <w:b/>
        </w:rPr>
        <w:t xml:space="preserve">  išvaizda ir kiekis pakuotėje</w:t>
      </w:r>
    </w:p>
    <w:p w:rsidR="00434379" w:rsidRPr="00872B12" w:rsidRDefault="00434379" w:rsidP="00434379">
      <w:pPr>
        <w:rPr>
          <w:color w:val="00000A"/>
        </w:rPr>
      </w:pPr>
      <w:proofErr w:type="spellStart"/>
      <w:r>
        <w:rPr>
          <w:color w:val="00000A"/>
        </w:rPr>
        <w:t>Cefort</w:t>
      </w:r>
      <w:proofErr w:type="spellEnd"/>
      <w:r w:rsidRPr="00872B12">
        <w:rPr>
          <w:color w:val="00000A"/>
        </w:rPr>
        <w:t xml:space="preserve">  yra beveik balti ar gelsvi kristaliniai milteliai. </w:t>
      </w:r>
    </w:p>
    <w:p w:rsidR="00434379" w:rsidRPr="00872B12" w:rsidRDefault="00434379" w:rsidP="00434379">
      <w:proofErr w:type="spellStart"/>
      <w:r>
        <w:rPr>
          <w:color w:val="00000A"/>
        </w:rPr>
        <w:t>Cefort</w:t>
      </w:r>
      <w:proofErr w:type="spellEnd"/>
      <w:r w:rsidRPr="00872B12">
        <w:rPr>
          <w:color w:val="00000A"/>
        </w:rPr>
        <w:t xml:space="preserve">  tiekiamas III tipo stiklo flakonais, kurių kiekviename yra 1 g sterilių miltelių injekciniam ar infuziniam tirpalui. Kiekvienas flakonas užkimštas gumos kamšteliu su sandarinamuoju aliumininiu dangteliu. Flakonai supakuoti į kartono dėžutes, kurių kiekvienoje yra </w:t>
      </w:r>
      <w:r>
        <w:t>10 flakonų</w:t>
      </w:r>
      <w:r w:rsidRPr="00872B12">
        <w:t>.</w:t>
      </w:r>
    </w:p>
    <w:p w:rsidR="00434379" w:rsidRDefault="00434379" w:rsidP="00434379">
      <w:pPr>
        <w:numPr>
          <w:ilvl w:val="12"/>
          <w:numId w:val="0"/>
        </w:numPr>
        <w:ind w:right="-2"/>
      </w:pPr>
    </w:p>
    <w:p w:rsidR="00670023" w:rsidRDefault="00670023" w:rsidP="00434379">
      <w:pPr>
        <w:numPr>
          <w:ilvl w:val="12"/>
          <w:numId w:val="0"/>
        </w:numPr>
        <w:ind w:right="-2"/>
        <w:rPr>
          <w:b/>
        </w:rPr>
      </w:pPr>
    </w:p>
    <w:p w:rsidR="00434379" w:rsidRPr="008D58A9" w:rsidRDefault="00434379" w:rsidP="00434379">
      <w:pPr>
        <w:pStyle w:val="PI-3EMEASMCA"/>
        <w:tabs>
          <w:tab w:val="left" w:pos="567"/>
        </w:tabs>
        <w:spacing w:line="240" w:lineRule="auto"/>
      </w:pPr>
      <w:r>
        <w:t>Registruotojas ir gamintojas</w:t>
      </w:r>
    </w:p>
    <w:p w:rsidR="00434379" w:rsidRDefault="00434379" w:rsidP="00434379">
      <w:pPr>
        <w:rPr>
          <w:szCs w:val="22"/>
        </w:rPr>
      </w:pPr>
      <w:proofErr w:type="spellStart"/>
      <w:r>
        <w:rPr>
          <w:szCs w:val="22"/>
        </w:rPr>
        <w:t>Antibiotice</w:t>
      </w:r>
      <w:proofErr w:type="spellEnd"/>
      <w:r>
        <w:rPr>
          <w:szCs w:val="22"/>
        </w:rPr>
        <w:t xml:space="preserve"> SA</w:t>
      </w:r>
      <w:r w:rsidRPr="008D58A9">
        <w:rPr>
          <w:szCs w:val="22"/>
        </w:rPr>
        <w:t xml:space="preserve"> </w:t>
      </w:r>
    </w:p>
    <w:p w:rsidR="00434379" w:rsidRPr="008D58A9" w:rsidRDefault="00434379" w:rsidP="00434379">
      <w:pPr>
        <w:rPr>
          <w:szCs w:val="22"/>
        </w:rPr>
      </w:pPr>
      <w:proofErr w:type="spellStart"/>
      <w:r>
        <w:t>Str.Valea</w:t>
      </w:r>
      <w:proofErr w:type="spellEnd"/>
      <w:r>
        <w:t xml:space="preserve"> </w:t>
      </w:r>
      <w:proofErr w:type="spellStart"/>
      <w:r>
        <w:t>Lupui</w:t>
      </w:r>
      <w:proofErr w:type="spellEnd"/>
      <w:r>
        <w:t xml:space="preserve">, Nr.1,707410 </w:t>
      </w:r>
      <w:proofErr w:type="spellStart"/>
      <w:r>
        <w:t>lasi</w:t>
      </w:r>
      <w:proofErr w:type="spellEnd"/>
      <w:r w:rsidRPr="008D58A9">
        <w:rPr>
          <w:szCs w:val="22"/>
        </w:rPr>
        <w:t xml:space="preserve"> 1000 </w:t>
      </w:r>
      <w:proofErr w:type="spellStart"/>
      <w:r w:rsidRPr="008D58A9">
        <w:rPr>
          <w:szCs w:val="22"/>
        </w:rPr>
        <w:t>Ljubljana</w:t>
      </w:r>
      <w:proofErr w:type="spellEnd"/>
    </w:p>
    <w:p w:rsidR="00434379" w:rsidRDefault="00434379" w:rsidP="00434379">
      <w:pPr>
        <w:tabs>
          <w:tab w:val="left" w:pos="567"/>
        </w:tabs>
        <w:rPr>
          <w:szCs w:val="22"/>
        </w:rPr>
      </w:pPr>
      <w:r>
        <w:rPr>
          <w:szCs w:val="22"/>
        </w:rPr>
        <w:t>Rumunija</w:t>
      </w:r>
    </w:p>
    <w:p w:rsidR="006A54A2" w:rsidRDefault="006A54A2" w:rsidP="00434379">
      <w:pPr>
        <w:tabs>
          <w:tab w:val="left" w:pos="567"/>
        </w:tabs>
        <w:rPr>
          <w:szCs w:val="22"/>
        </w:rPr>
      </w:pPr>
    </w:p>
    <w:p w:rsidR="006A54A2" w:rsidRDefault="006A54A2" w:rsidP="00434379">
      <w:pPr>
        <w:tabs>
          <w:tab w:val="left" w:pos="567"/>
        </w:tabs>
        <w:rPr>
          <w:szCs w:val="22"/>
        </w:rPr>
      </w:pPr>
    </w:p>
    <w:p w:rsidR="006A54A2" w:rsidRDefault="006A54A2" w:rsidP="00434379">
      <w:pPr>
        <w:tabs>
          <w:tab w:val="left" w:pos="567"/>
        </w:tabs>
        <w:rPr>
          <w:szCs w:val="22"/>
        </w:rPr>
      </w:pPr>
    </w:p>
    <w:p w:rsidR="006A54A2" w:rsidRPr="006A54A2" w:rsidRDefault="00670023" w:rsidP="006A54A2">
      <w:pPr>
        <w:tabs>
          <w:tab w:val="left" w:pos="567"/>
        </w:tabs>
        <w:rPr>
          <w:i/>
        </w:rPr>
      </w:pPr>
      <w:r>
        <w:rPr>
          <w:i/>
        </w:rPr>
        <w:t xml:space="preserve">          </w:t>
      </w:r>
      <w:r w:rsidRPr="00825843">
        <w:rPr>
          <w:i/>
        </w:rPr>
        <w:t xml:space="preserve">Lygiagrečiai importuojamas vaistinis preparatas nuo referencinio skiriasi </w:t>
      </w:r>
      <w:proofErr w:type="spellStart"/>
      <w:r w:rsidRPr="00825843">
        <w:rPr>
          <w:i/>
        </w:rPr>
        <w:t>dozuočių</w:t>
      </w:r>
      <w:proofErr w:type="spellEnd"/>
      <w:r w:rsidRPr="00825843">
        <w:rPr>
          <w:i/>
        </w:rPr>
        <w:t xml:space="preserve"> skaičiumi</w:t>
      </w:r>
      <w:r>
        <w:rPr>
          <w:i/>
        </w:rPr>
        <w:t xml:space="preserve"> pakuotėje ir laikymo sąlygomis:</w:t>
      </w:r>
      <w:r w:rsidRPr="00825843">
        <w:rPr>
          <w:i/>
        </w:rPr>
        <w:t xml:space="preserve"> lygiagrečiai importuojamo vaistinio preparato yra 10 flakonų, o referencinio vais</w:t>
      </w:r>
      <w:r>
        <w:rPr>
          <w:i/>
        </w:rPr>
        <w:t>tinio preparato - 5 flakonai dėžutėje, lygia</w:t>
      </w:r>
      <w:r w:rsidRPr="00825843">
        <w:rPr>
          <w:i/>
        </w:rPr>
        <w:t>grečiai importuojamas preparatas turi būti laikomas ne aukštesnėje kaip 25 °C temperatūroje, gamintojo p</w:t>
      </w:r>
      <w:r>
        <w:rPr>
          <w:i/>
        </w:rPr>
        <w:t>akuotėje, o referenciniam vaistiniam</w:t>
      </w:r>
      <w:r w:rsidRPr="00825843">
        <w:rPr>
          <w:i/>
        </w:rPr>
        <w:t xml:space="preserve"> preparatui specialių laikymo sąlygų nenurodoma, flakonus </w:t>
      </w:r>
      <w:r w:rsidRPr="00825843">
        <w:rPr>
          <w:i/>
          <w:szCs w:val="22"/>
        </w:rPr>
        <w:t>laikyti išorinėje dėžutėje, kad preparatas būtų apsaugotas nuo šviesos.</w:t>
      </w:r>
    </w:p>
    <w:p w:rsidR="006A54A2" w:rsidRDefault="006A54A2" w:rsidP="00434379">
      <w:pPr>
        <w:tabs>
          <w:tab w:val="left" w:pos="567"/>
        </w:tabs>
        <w:rPr>
          <w:szCs w:val="22"/>
        </w:rPr>
      </w:pPr>
    </w:p>
    <w:p w:rsidR="00434379" w:rsidRPr="00C24C19" w:rsidRDefault="00434379" w:rsidP="00434379">
      <w:pPr>
        <w:tabs>
          <w:tab w:val="left" w:pos="567"/>
        </w:tabs>
      </w:pPr>
    </w:p>
    <w:p w:rsidR="00434379" w:rsidRDefault="00434379" w:rsidP="006A54A2">
      <w:pPr>
        <w:ind w:left="0" w:right="-2" w:firstLine="0"/>
        <w:rPr>
          <w:b/>
        </w:rPr>
      </w:pPr>
      <w:r w:rsidRPr="006A54A2">
        <w:rPr>
          <w:b/>
          <w:bCs/>
        </w:rPr>
        <w:t>Šis pakuotės lapelis</w:t>
      </w:r>
      <w:r w:rsidRPr="006A54A2">
        <w:rPr>
          <w:b/>
        </w:rPr>
        <w:t xml:space="preserve"> paskutinį kartą peržiūrėtas 2017</w:t>
      </w:r>
      <w:r w:rsidR="00670023">
        <w:rPr>
          <w:b/>
        </w:rPr>
        <w:t>-02-20.</w:t>
      </w:r>
    </w:p>
    <w:p w:rsidR="006A54A2" w:rsidRDefault="006A54A2" w:rsidP="006A54A2">
      <w:pPr>
        <w:ind w:left="0" w:right="-2" w:firstLine="0"/>
        <w:rPr>
          <w:b/>
        </w:rPr>
      </w:pPr>
    </w:p>
    <w:p w:rsidR="006A54A2" w:rsidRPr="00872B12" w:rsidRDefault="006A54A2" w:rsidP="006A54A2">
      <w:pPr>
        <w:numPr>
          <w:ilvl w:val="12"/>
          <w:numId w:val="0"/>
        </w:numPr>
        <w:tabs>
          <w:tab w:val="left" w:pos="567"/>
        </w:tabs>
        <w:ind w:right="-2"/>
      </w:pPr>
      <w:r w:rsidRPr="00872B12">
        <w:t>Išsami informacija apie šį vaistą pateikiama Valstybinės vaistų kontrolės tarnybos prie Lietuvos Respublikos sveikatos apsaugos ministerijos tinklalapyje</w:t>
      </w:r>
      <w:r w:rsidRPr="00872B12">
        <w:rPr>
          <w:i/>
        </w:rPr>
        <w:t xml:space="preserve"> </w:t>
      </w:r>
      <w:hyperlink r:id="rId10" w:history="1">
        <w:r w:rsidRPr="00872B12">
          <w:rPr>
            <w:color w:val="0000FF"/>
            <w:u w:val="single"/>
          </w:rPr>
          <w:t>http://www.vvkt.lt/</w:t>
        </w:r>
      </w:hyperlink>
      <w:r w:rsidRPr="00872B12">
        <w:t>.</w:t>
      </w:r>
    </w:p>
    <w:p w:rsidR="00434379" w:rsidRPr="00670023" w:rsidRDefault="006A54A2" w:rsidP="00670023">
      <w:pPr>
        <w:numPr>
          <w:ilvl w:val="12"/>
          <w:numId w:val="0"/>
        </w:numPr>
        <w:ind w:right="-2"/>
      </w:pPr>
      <w:r w:rsidRPr="00872B12">
        <w:t>---------------------------------------------------------------------------------------------------------------------------</w:t>
      </w:r>
    </w:p>
    <w:p w:rsidR="00434379" w:rsidRPr="00872B12" w:rsidRDefault="00434379" w:rsidP="00434379">
      <w:pPr>
        <w:numPr>
          <w:ilvl w:val="12"/>
          <w:numId w:val="0"/>
        </w:numPr>
        <w:tabs>
          <w:tab w:val="left" w:pos="567"/>
          <w:tab w:val="left" w:pos="2657"/>
        </w:tabs>
        <w:ind w:right="-28"/>
      </w:pPr>
    </w:p>
    <w:p w:rsidR="00434379" w:rsidRPr="00872B12" w:rsidRDefault="00434379" w:rsidP="00434379">
      <w:pPr>
        <w:numPr>
          <w:ilvl w:val="12"/>
          <w:numId w:val="0"/>
        </w:numPr>
        <w:tabs>
          <w:tab w:val="left" w:pos="567"/>
          <w:tab w:val="left" w:pos="2657"/>
        </w:tabs>
        <w:ind w:left="-37" w:right="-28"/>
        <w:rPr>
          <w:i/>
          <w:color w:val="008000"/>
        </w:rPr>
      </w:pPr>
      <w:r w:rsidRPr="00872B12">
        <w:t>Toliau pateikta informacija skirta tik sveikatos priežiūros specialistams.</w:t>
      </w:r>
    </w:p>
    <w:p w:rsidR="00434379" w:rsidRPr="00872B12" w:rsidRDefault="00434379" w:rsidP="00434379">
      <w:pPr>
        <w:tabs>
          <w:tab w:val="left" w:pos="567"/>
        </w:tabs>
        <w:spacing w:line="260" w:lineRule="exact"/>
        <w:rPr>
          <w:i/>
        </w:rPr>
      </w:pPr>
    </w:p>
    <w:p w:rsidR="00434379" w:rsidRPr="00872B12" w:rsidRDefault="00434379" w:rsidP="00434379">
      <w:pPr>
        <w:rPr>
          <w:i/>
          <w:color w:val="00000A"/>
        </w:rPr>
      </w:pPr>
      <w:r w:rsidRPr="00872B12">
        <w:rPr>
          <w:i/>
          <w:color w:val="00000A"/>
        </w:rPr>
        <w:t xml:space="preserve">Infuzinio ir injekcinio tirpalų ruošimas </w:t>
      </w:r>
    </w:p>
    <w:p w:rsidR="00434379" w:rsidRPr="00872B12" w:rsidRDefault="00434379" w:rsidP="00434379">
      <w:pPr>
        <w:rPr>
          <w:color w:val="00000A"/>
        </w:rPr>
      </w:pPr>
      <w:r w:rsidRPr="00872B12">
        <w:rPr>
          <w:color w:val="00000A"/>
        </w:rPr>
        <w:t>Rekomenduojama vartoti ką tik paruoštą tirpalą. Paruoštas tirpalas stabilus išlieka bent 6 valandas  ne aukštesnėje kaip 25° C temperatūroje arba 24 valandas šaldytuve (2°C - 8°C) temperatūroje.</w:t>
      </w:r>
    </w:p>
    <w:p w:rsidR="00434379" w:rsidRPr="00872B12" w:rsidRDefault="00434379" w:rsidP="00434379">
      <w:pPr>
        <w:rPr>
          <w:color w:val="00000A"/>
        </w:rPr>
      </w:pPr>
    </w:p>
    <w:p w:rsidR="00434379" w:rsidRPr="00872B12" w:rsidRDefault="00434379" w:rsidP="00434379">
      <w:pPr>
        <w:rPr>
          <w:color w:val="00000A"/>
        </w:rPr>
      </w:pPr>
      <w:proofErr w:type="spellStart"/>
      <w:r>
        <w:rPr>
          <w:color w:val="00000A"/>
        </w:rPr>
        <w:t>Cefort</w:t>
      </w:r>
      <w:proofErr w:type="spellEnd"/>
      <w:r w:rsidRPr="00872B12">
        <w:rPr>
          <w:color w:val="00000A"/>
        </w:rPr>
        <w:t xml:space="preserve"> miltelių injekciniam ar infuziniam tirpalui negalima maišyti su jokiu kitu vaistiniu preparatu, išskyrus </w:t>
      </w:r>
      <w:r w:rsidRPr="00872B12">
        <w:rPr>
          <w:color w:val="000000"/>
        </w:rPr>
        <w:t xml:space="preserve">1,06 % </w:t>
      </w:r>
      <w:proofErr w:type="spellStart"/>
      <w:r w:rsidRPr="00872B12">
        <w:rPr>
          <w:color w:val="000000"/>
        </w:rPr>
        <w:t>lidokaino</w:t>
      </w:r>
      <w:proofErr w:type="spellEnd"/>
      <w:r w:rsidRPr="00872B12">
        <w:rPr>
          <w:color w:val="000000"/>
        </w:rPr>
        <w:t xml:space="preserve"> hidrochlorido injekcinio tirpalo (tik vartojimui į raumenis).</w:t>
      </w:r>
    </w:p>
    <w:p w:rsidR="00434379" w:rsidRPr="00872B12" w:rsidRDefault="00434379" w:rsidP="00434379">
      <w:pPr>
        <w:rPr>
          <w:color w:val="00000A"/>
        </w:rPr>
      </w:pPr>
    </w:p>
    <w:p w:rsidR="00434379" w:rsidRPr="00872B12" w:rsidRDefault="00434379" w:rsidP="00434379">
      <w:pPr>
        <w:rPr>
          <w:i/>
          <w:color w:val="00000A"/>
        </w:rPr>
      </w:pPr>
      <w:r w:rsidRPr="00872B12">
        <w:rPr>
          <w:i/>
          <w:color w:val="00000A"/>
        </w:rPr>
        <w:t>Injekcija į raumenis</w:t>
      </w:r>
    </w:p>
    <w:p w:rsidR="00434379" w:rsidRPr="00872B12" w:rsidRDefault="00434379" w:rsidP="00434379">
      <w:pPr>
        <w:tabs>
          <w:tab w:val="left" w:pos="567"/>
        </w:tabs>
        <w:suppressAutoHyphens/>
        <w:rPr>
          <w:color w:val="000000"/>
        </w:rPr>
      </w:pPr>
      <w:proofErr w:type="spellStart"/>
      <w:r>
        <w:rPr>
          <w:color w:val="000000"/>
        </w:rPr>
        <w:t>Cefort</w:t>
      </w:r>
      <w:proofErr w:type="spellEnd"/>
      <w:r w:rsidRPr="00872B12">
        <w:rPr>
          <w:color w:val="000000"/>
        </w:rPr>
        <w:t xml:space="preserve"> 1 g ištirpinamas 3,5 ml 1,06 % </w:t>
      </w:r>
      <w:proofErr w:type="spellStart"/>
      <w:r w:rsidRPr="00872B12">
        <w:rPr>
          <w:color w:val="000000"/>
        </w:rPr>
        <w:t>lidokaino</w:t>
      </w:r>
      <w:proofErr w:type="spellEnd"/>
      <w:r w:rsidRPr="00872B12">
        <w:rPr>
          <w:color w:val="000000"/>
        </w:rPr>
        <w:t xml:space="preserve"> hidrochlorido injekcinio tirpalo.</w:t>
      </w:r>
    </w:p>
    <w:p w:rsidR="00434379" w:rsidRPr="00872B12" w:rsidRDefault="00434379" w:rsidP="00434379">
      <w:pPr>
        <w:rPr>
          <w:color w:val="00000A"/>
        </w:rPr>
      </w:pPr>
      <w:r w:rsidRPr="00872B12">
        <w:rPr>
          <w:color w:val="00000A"/>
        </w:rPr>
        <w:t xml:space="preserve">Tirpalą reikia suleisti giliai į raumenis. Jei dozė yra didesnė kaip 1 g, ją reikia padalyti ir suleisti į kelias vietas. </w:t>
      </w:r>
    </w:p>
    <w:p w:rsidR="00434379" w:rsidRPr="00872B12" w:rsidRDefault="00434379" w:rsidP="00434379">
      <w:pPr>
        <w:rPr>
          <w:color w:val="00000A"/>
        </w:rPr>
      </w:pPr>
      <w:r w:rsidRPr="00872B12">
        <w:rPr>
          <w:color w:val="00000A"/>
        </w:rPr>
        <w:t xml:space="preserve">Su </w:t>
      </w:r>
      <w:proofErr w:type="spellStart"/>
      <w:r w:rsidRPr="00872B12">
        <w:rPr>
          <w:color w:val="00000A"/>
        </w:rPr>
        <w:t>lidokainu</w:t>
      </w:r>
      <w:proofErr w:type="spellEnd"/>
      <w:r w:rsidRPr="00872B12">
        <w:rPr>
          <w:color w:val="00000A"/>
        </w:rPr>
        <w:t xml:space="preserve"> paruoštų tirpalų į veną leisti negalima.</w:t>
      </w:r>
    </w:p>
    <w:p w:rsidR="00434379" w:rsidRPr="00872B12" w:rsidRDefault="00434379" w:rsidP="00434379">
      <w:pPr>
        <w:rPr>
          <w:color w:val="00000A"/>
        </w:rPr>
      </w:pPr>
    </w:p>
    <w:p w:rsidR="00434379" w:rsidRPr="00872B12" w:rsidRDefault="00434379" w:rsidP="00434379">
      <w:pPr>
        <w:rPr>
          <w:color w:val="00000A"/>
        </w:rPr>
      </w:pPr>
      <w:r w:rsidRPr="00872B12">
        <w:rPr>
          <w:i/>
          <w:color w:val="00000A"/>
        </w:rPr>
        <w:t>Injekcija į veną</w:t>
      </w:r>
    </w:p>
    <w:p w:rsidR="00434379" w:rsidRPr="00872B12" w:rsidRDefault="00434379" w:rsidP="00434379">
      <w:pPr>
        <w:rPr>
          <w:color w:val="00000A"/>
        </w:rPr>
      </w:pPr>
      <w:r w:rsidRPr="00872B12">
        <w:rPr>
          <w:color w:val="00000A"/>
        </w:rPr>
        <w:t xml:space="preserve">1 g </w:t>
      </w:r>
      <w:proofErr w:type="spellStart"/>
      <w:r>
        <w:rPr>
          <w:color w:val="00000A"/>
        </w:rPr>
        <w:t>Cefort</w:t>
      </w:r>
      <w:proofErr w:type="spellEnd"/>
      <w:r w:rsidRPr="00872B12">
        <w:rPr>
          <w:color w:val="00000A"/>
        </w:rPr>
        <w:t xml:space="preserve"> ištirpinamas 10 ml injekcinio vandens.</w:t>
      </w:r>
    </w:p>
    <w:p w:rsidR="00434379" w:rsidRPr="00872B12" w:rsidRDefault="00434379" w:rsidP="00434379">
      <w:pPr>
        <w:rPr>
          <w:color w:val="00000A"/>
        </w:rPr>
      </w:pPr>
      <w:r w:rsidRPr="00872B12">
        <w:rPr>
          <w:color w:val="00000A"/>
        </w:rPr>
        <w:t xml:space="preserve">Tirpalas turi būti suleistas per mažiausiai 5 minutes tiesiai į veną arba per intraveninės infuzijos vamzdelį. </w:t>
      </w:r>
    </w:p>
    <w:p w:rsidR="00434379" w:rsidRPr="00872B12" w:rsidRDefault="00434379" w:rsidP="00434379">
      <w:pPr>
        <w:rPr>
          <w:color w:val="00000A"/>
        </w:rPr>
      </w:pPr>
    </w:p>
    <w:p w:rsidR="00434379" w:rsidRPr="00872B12" w:rsidRDefault="00434379" w:rsidP="00434379">
      <w:pPr>
        <w:rPr>
          <w:color w:val="00000A"/>
        </w:rPr>
      </w:pPr>
      <w:r w:rsidRPr="00872B12">
        <w:rPr>
          <w:i/>
          <w:color w:val="00000A"/>
        </w:rPr>
        <w:t>Infuzija į veną</w:t>
      </w:r>
    </w:p>
    <w:p w:rsidR="00434379" w:rsidRPr="00872B12" w:rsidRDefault="00434379" w:rsidP="00434379">
      <w:pPr>
        <w:rPr>
          <w:color w:val="00000A"/>
        </w:rPr>
      </w:pPr>
      <w:proofErr w:type="spellStart"/>
      <w:r>
        <w:rPr>
          <w:color w:val="000000"/>
        </w:rPr>
        <w:t>Cefort</w:t>
      </w:r>
      <w:proofErr w:type="spellEnd"/>
      <w:r w:rsidRPr="00872B12">
        <w:rPr>
          <w:color w:val="000000"/>
        </w:rPr>
        <w:t xml:space="preserve"> 1 g ištirpinamas 20 ml 0,9 % natrio chlorido, 5% arba 10% gliukozės, 0,45 % natrio chlorido ir 2,5 % gliukozės, tirpalo. </w:t>
      </w:r>
      <w:r w:rsidRPr="00872B12">
        <w:rPr>
          <w:color w:val="00000A"/>
        </w:rPr>
        <w:t>Infuzija turi trukti ne mažiau kaip 30 minučių.</w:t>
      </w:r>
    </w:p>
    <w:p w:rsidR="00434379" w:rsidRPr="00872B12" w:rsidRDefault="00434379" w:rsidP="00434379">
      <w:pPr>
        <w:tabs>
          <w:tab w:val="left" w:pos="567"/>
        </w:tabs>
        <w:suppressAutoHyphens/>
        <w:rPr>
          <w:color w:val="000000"/>
        </w:rPr>
      </w:pPr>
    </w:p>
    <w:p w:rsidR="00434379" w:rsidRPr="00872B12" w:rsidRDefault="00434379" w:rsidP="00434379">
      <w:pPr>
        <w:tabs>
          <w:tab w:val="left" w:pos="567"/>
        </w:tabs>
        <w:suppressAutoHyphens/>
        <w:rPr>
          <w:color w:val="000000"/>
        </w:rPr>
      </w:pPr>
      <w:proofErr w:type="spellStart"/>
      <w:r w:rsidRPr="00872B12">
        <w:rPr>
          <w:color w:val="000000"/>
        </w:rPr>
        <w:t>Ceftriaksono</w:t>
      </w:r>
      <w:proofErr w:type="spellEnd"/>
      <w:r w:rsidRPr="00872B12">
        <w:rPr>
          <w:color w:val="000000"/>
        </w:rPr>
        <w:t xml:space="preserve"> koncentracija injekciniame tirpale apie 100 mg/ml.</w:t>
      </w:r>
    </w:p>
    <w:p w:rsidR="00434379" w:rsidRPr="00872B12" w:rsidRDefault="00434379" w:rsidP="00434379">
      <w:pPr>
        <w:tabs>
          <w:tab w:val="left" w:pos="567"/>
        </w:tabs>
        <w:suppressAutoHyphens/>
        <w:rPr>
          <w:color w:val="000000"/>
        </w:rPr>
      </w:pPr>
      <w:proofErr w:type="spellStart"/>
      <w:r w:rsidRPr="00872B12">
        <w:rPr>
          <w:color w:val="000000"/>
        </w:rPr>
        <w:t>Ceftriaksono</w:t>
      </w:r>
      <w:proofErr w:type="spellEnd"/>
      <w:r w:rsidRPr="00872B12">
        <w:rPr>
          <w:color w:val="000000"/>
        </w:rPr>
        <w:t xml:space="preserve"> koncentracija infuziniame tirpale apie 50 mg/ml.</w:t>
      </w:r>
    </w:p>
    <w:p w:rsidR="00434379" w:rsidRPr="00872B12" w:rsidRDefault="00434379" w:rsidP="00434379">
      <w:pPr>
        <w:rPr>
          <w:color w:val="00000A"/>
        </w:rPr>
      </w:pPr>
    </w:p>
    <w:p w:rsidR="00434379" w:rsidRPr="00872B12" w:rsidRDefault="00434379" w:rsidP="00434379">
      <w:pPr>
        <w:rPr>
          <w:color w:val="00000A"/>
        </w:rPr>
      </w:pPr>
      <w:r w:rsidRPr="00872B12">
        <w:rPr>
          <w:color w:val="00000A"/>
        </w:rPr>
        <w:t xml:space="preserve">Įleiskite rekomenduojamą kiekį tirpiklio ir švelniai kratykite flakono turinį, kol milteliai visiškai ištirps. Paruoštas injekcinis ar infuzinis tirpalas yra šviesiai geltonos spalvos ir skaidrus. </w:t>
      </w:r>
    </w:p>
    <w:p w:rsidR="00434379" w:rsidRPr="00872B12" w:rsidRDefault="00434379" w:rsidP="00434379">
      <w:pPr>
        <w:rPr>
          <w:color w:val="00000A"/>
        </w:rPr>
      </w:pPr>
      <w:r w:rsidRPr="00872B12">
        <w:rPr>
          <w:color w:val="00000A"/>
        </w:rPr>
        <w:t xml:space="preserve">Paruoštą tirpalą reikia apžiūrėti. Galima vartoti tik skaidrų, be matomų dalelių tirpalą. </w:t>
      </w:r>
    </w:p>
    <w:p w:rsidR="00434379" w:rsidRPr="00872B12" w:rsidRDefault="00434379" w:rsidP="00434379">
      <w:pPr>
        <w:rPr>
          <w:color w:val="00000A"/>
        </w:rPr>
      </w:pPr>
    </w:p>
    <w:p w:rsidR="00434379" w:rsidRPr="00872B12" w:rsidRDefault="00434379" w:rsidP="00434379">
      <w:pPr>
        <w:rPr>
          <w:color w:val="00000A"/>
        </w:rPr>
      </w:pPr>
      <w:r w:rsidRPr="00872B12">
        <w:rPr>
          <w:color w:val="00000A"/>
        </w:rPr>
        <w:t xml:space="preserve">Tik vienkartiniam vartojimui. Tirpalo likutį išmesti. </w:t>
      </w:r>
    </w:p>
    <w:p w:rsidR="00434379" w:rsidRPr="00872B12" w:rsidRDefault="00434379" w:rsidP="00434379">
      <w:pPr>
        <w:rPr>
          <w:color w:val="00000A"/>
        </w:rPr>
      </w:pPr>
    </w:p>
    <w:p w:rsidR="00434379" w:rsidRPr="00872B12" w:rsidRDefault="00434379" w:rsidP="00434379">
      <w:pPr>
        <w:rPr>
          <w:color w:val="00000A"/>
          <w:u w:val="single"/>
        </w:rPr>
      </w:pPr>
      <w:r w:rsidRPr="00872B12">
        <w:rPr>
          <w:color w:val="00000A"/>
          <w:u w:val="single"/>
        </w:rPr>
        <w:t>Nesuderinamumas</w:t>
      </w:r>
    </w:p>
    <w:p w:rsidR="00434379" w:rsidRPr="00872B12" w:rsidRDefault="00434379" w:rsidP="00434379">
      <w:r w:rsidRPr="00872B12">
        <w:t xml:space="preserve">Pagal mokslinės literatūros šaltinius, </w:t>
      </w:r>
      <w:proofErr w:type="spellStart"/>
      <w:r w:rsidRPr="00872B12">
        <w:t>ceftriaksonas</w:t>
      </w:r>
      <w:proofErr w:type="spellEnd"/>
      <w:r w:rsidRPr="00872B12">
        <w:t xml:space="preserve"> yra nesuderinamas su </w:t>
      </w:r>
      <w:proofErr w:type="spellStart"/>
      <w:r w:rsidRPr="00872B12">
        <w:t>amsakrinu</w:t>
      </w:r>
      <w:proofErr w:type="spellEnd"/>
      <w:r w:rsidRPr="00872B12">
        <w:t xml:space="preserve">, </w:t>
      </w:r>
      <w:proofErr w:type="spellStart"/>
      <w:r w:rsidRPr="00872B12">
        <w:t>vankomicinu</w:t>
      </w:r>
      <w:proofErr w:type="spellEnd"/>
      <w:r w:rsidRPr="00872B12">
        <w:t xml:space="preserve">, </w:t>
      </w:r>
      <w:proofErr w:type="spellStart"/>
      <w:r w:rsidRPr="00872B12">
        <w:t>flukonazolu</w:t>
      </w:r>
      <w:proofErr w:type="spellEnd"/>
      <w:r w:rsidRPr="00872B12">
        <w:t xml:space="preserve"> ir </w:t>
      </w:r>
      <w:proofErr w:type="spellStart"/>
      <w:r w:rsidRPr="00872B12">
        <w:t>aminoglikozidais</w:t>
      </w:r>
      <w:proofErr w:type="spellEnd"/>
      <w:r w:rsidRPr="00872B12">
        <w:t xml:space="preserve">. </w:t>
      </w:r>
    </w:p>
    <w:p w:rsidR="00434379" w:rsidRPr="00872B12" w:rsidRDefault="00434379" w:rsidP="00434379"/>
    <w:p w:rsidR="00F52787" w:rsidRPr="00C24C19" w:rsidRDefault="00434379" w:rsidP="00434379">
      <w:pPr>
        <w:autoSpaceDE w:val="0"/>
        <w:autoSpaceDN w:val="0"/>
        <w:adjustRightInd w:val="0"/>
        <w:ind w:left="0" w:firstLine="0"/>
        <w:rPr>
          <w:rFonts w:ascii="TimesNewRoman" w:hAnsi="TimesNewRoman" w:cs="TimesNewRoman"/>
          <w:szCs w:val="22"/>
        </w:rPr>
      </w:pPr>
      <w:r w:rsidRPr="00872B12">
        <w:t xml:space="preserve">Skiriant į veną, tam tikri kalcio turintys skiedikliai (pvz., </w:t>
      </w:r>
      <w:proofErr w:type="spellStart"/>
      <w:r w:rsidRPr="00872B12">
        <w:t>Ringerio</w:t>
      </w:r>
      <w:proofErr w:type="spellEnd"/>
      <w:r w:rsidRPr="00872B12">
        <w:t xml:space="preserve"> tirpalas, </w:t>
      </w:r>
      <w:proofErr w:type="spellStart"/>
      <w:r w:rsidRPr="00872B12">
        <w:t>Hartmano</w:t>
      </w:r>
      <w:proofErr w:type="spellEnd"/>
      <w:r w:rsidRPr="00872B12">
        <w:t xml:space="preserve"> tirpalas) neturi būti naudojami siekiant paruošti </w:t>
      </w:r>
      <w:proofErr w:type="spellStart"/>
      <w:r w:rsidRPr="00872B12">
        <w:t>ceftriaksono</w:t>
      </w:r>
      <w:proofErr w:type="spellEnd"/>
      <w:r w:rsidRPr="00872B12">
        <w:t xml:space="preserve"> tirpalą flakone arba pras</w:t>
      </w:r>
      <w:r w:rsidRPr="00872B12">
        <w:lastRenderedPageBreak/>
        <w:t xml:space="preserve">kiesti paruoštą tirpalą, nes gali susiformuoti nuosėdos. </w:t>
      </w:r>
      <w:proofErr w:type="spellStart"/>
      <w:r w:rsidRPr="00872B12">
        <w:t>Ceftriaksoną</w:t>
      </w:r>
      <w:proofErr w:type="spellEnd"/>
      <w:r w:rsidRPr="00872B12">
        <w:t xml:space="preserve"> draudžiama maišyti ar vartoti vienu metu su kalcio turinčiais tirpalais, įskaitant visiško </w:t>
      </w:r>
      <w:proofErr w:type="spellStart"/>
      <w:r w:rsidRPr="00872B12">
        <w:t>parenterinio</w:t>
      </w:r>
      <w:proofErr w:type="spellEnd"/>
      <w:r w:rsidRPr="00872B12">
        <w:t xml:space="preserve"> maitinimo tirpalus.</w:t>
      </w:r>
    </w:p>
    <w:p w:rsidR="00F52787" w:rsidRDefault="00F52787" w:rsidP="00434379">
      <w:pPr>
        <w:tabs>
          <w:tab w:val="left" w:pos="567"/>
        </w:tabs>
        <w:ind w:left="0" w:firstLine="0"/>
      </w:pPr>
    </w:p>
    <w:p w:rsidR="00F52787" w:rsidRPr="00C24C19" w:rsidRDefault="00F52787" w:rsidP="00F52787">
      <w:pPr>
        <w:tabs>
          <w:tab w:val="left" w:pos="567"/>
        </w:tabs>
      </w:pPr>
    </w:p>
    <w:p w:rsidR="00F52787" w:rsidRPr="006013DF" w:rsidRDefault="007239AC" w:rsidP="00F52787">
      <w:pPr>
        <w:autoSpaceDE w:val="0"/>
        <w:autoSpaceDN w:val="0"/>
        <w:adjustRightInd w:val="0"/>
        <w:rPr>
          <w:b/>
          <w:bCs/>
          <w:szCs w:val="22"/>
        </w:rPr>
      </w:pPr>
      <w:proofErr w:type="spellStart"/>
      <w:r>
        <w:rPr>
          <w:b/>
          <w:bCs/>
          <w:szCs w:val="22"/>
        </w:rPr>
        <w:t>Cefort</w:t>
      </w:r>
      <w:proofErr w:type="spellEnd"/>
      <w:r w:rsidR="00F52787" w:rsidRPr="006013DF">
        <w:rPr>
          <w:b/>
          <w:bCs/>
          <w:szCs w:val="22"/>
        </w:rPr>
        <w:t xml:space="preserve"> vartojimo metodas ir būdas</w:t>
      </w:r>
    </w:p>
    <w:p w:rsidR="00F52787" w:rsidRPr="00C24C19" w:rsidRDefault="00F52787" w:rsidP="00F52787">
      <w:pPr>
        <w:autoSpaceDE w:val="0"/>
        <w:autoSpaceDN w:val="0"/>
        <w:adjustRightInd w:val="0"/>
        <w:rPr>
          <w:rFonts w:ascii="TimesNewRoman,Italic" w:hAnsi="TimesNewRoman,Italic" w:cs="TimesNewRoman,Italic"/>
          <w:i/>
          <w:iCs/>
          <w:szCs w:val="22"/>
        </w:rPr>
      </w:pPr>
    </w:p>
    <w:p w:rsidR="00F52787" w:rsidRPr="00C24C19" w:rsidRDefault="00F52787" w:rsidP="00F52787">
      <w:pPr>
        <w:autoSpaceDE w:val="0"/>
        <w:autoSpaceDN w:val="0"/>
        <w:adjustRightInd w:val="0"/>
        <w:ind w:left="0" w:firstLine="0"/>
        <w:rPr>
          <w:rFonts w:ascii="TimesNewRoman" w:hAnsi="TimesNewRoman" w:cs="TimesNewRoman"/>
          <w:szCs w:val="22"/>
          <w:u w:val="single"/>
        </w:rPr>
      </w:pPr>
      <w:r w:rsidRPr="00C24C19">
        <w:rPr>
          <w:rFonts w:ascii="TimesNewRoman" w:hAnsi="TimesNewRoman" w:cs="TimesNewRoman"/>
          <w:szCs w:val="22"/>
          <w:u w:val="single"/>
        </w:rPr>
        <w:t>Vartojimo ir darbo su vaistiniu preparatu instrukcija</w:t>
      </w:r>
    </w:p>
    <w:p w:rsidR="00F52787" w:rsidRPr="00C24C19" w:rsidRDefault="00F52787" w:rsidP="00F52787">
      <w:pPr>
        <w:autoSpaceDE w:val="0"/>
        <w:autoSpaceDN w:val="0"/>
        <w:adjustRightInd w:val="0"/>
        <w:ind w:left="0" w:firstLine="0"/>
        <w:rPr>
          <w:rFonts w:ascii="TimesNewRoman,Italic" w:hAnsi="TimesNewRoman,Italic" w:cs="TimesNewRoman,Italic"/>
          <w:i/>
          <w:iCs/>
          <w:szCs w:val="22"/>
        </w:rPr>
      </w:pPr>
      <w:r w:rsidRPr="00C24C19">
        <w:rPr>
          <w:rFonts w:ascii="TimesNewRoman,Italic" w:hAnsi="TimesNewRoman,Italic" w:cs="TimesNewRoman,Italic"/>
          <w:i/>
          <w:iCs/>
          <w:szCs w:val="22"/>
        </w:rPr>
        <w:t>Injekcija į veną</w:t>
      </w:r>
    </w:p>
    <w:p w:rsidR="00F52787" w:rsidRPr="00C24C19" w:rsidRDefault="007239AC" w:rsidP="00F52787">
      <w:pPr>
        <w:autoSpaceDE w:val="0"/>
        <w:autoSpaceDN w:val="0"/>
        <w:adjustRightInd w:val="0"/>
        <w:ind w:left="0" w:firstLine="0"/>
        <w:rPr>
          <w:rFonts w:ascii="TimesNewRoman" w:hAnsi="TimesNewRoman" w:cs="TimesNewRoman"/>
          <w:szCs w:val="22"/>
        </w:rPr>
      </w:pPr>
      <w:proofErr w:type="spellStart"/>
      <w:r>
        <w:rPr>
          <w:szCs w:val="22"/>
        </w:rPr>
        <w:t>Cefort</w:t>
      </w:r>
      <w:proofErr w:type="spellEnd"/>
      <w:r w:rsidR="00F52787" w:rsidRPr="00C24C19">
        <w:rPr>
          <w:szCs w:val="22"/>
        </w:rPr>
        <w:t xml:space="preserve"> </w:t>
      </w:r>
      <w:r w:rsidR="00F52787" w:rsidRPr="00C24C19">
        <w:rPr>
          <w:rFonts w:ascii="TimesNewRoman" w:hAnsi="TimesNewRoman" w:cs="TimesNewRoman"/>
          <w:szCs w:val="22"/>
        </w:rPr>
        <w:t>1</w:t>
      </w:r>
      <w:r w:rsidR="00F52787">
        <w:rPr>
          <w:rFonts w:ascii="TimesNewRoman" w:hAnsi="TimesNewRoman" w:cs="TimesNewRoman"/>
          <w:szCs w:val="22"/>
        </w:rPr>
        <w:t> </w:t>
      </w:r>
      <w:r w:rsidR="00F52787" w:rsidRPr="00C24C19">
        <w:rPr>
          <w:rFonts w:ascii="TimesNewRoman" w:hAnsi="TimesNewRoman" w:cs="TimesNewRoman"/>
          <w:szCs w:val="22"/>
        </w:rPr>
        <w:t>g reikia ištirpinti 10</w:t>
      </w:r>
      <w:r w:rsidR="00F52787">
        <w:rPr>
          <w:rFonts w:ascii="TimesNewRoman" w:hAnsi="TimesNewRoman" w:cs="TimesNewRoman"/>
          <w:szCs w:val="22"/>
        </w:rPr>
        <w:t> </w:t>
      </w:r>
      <w:r w:rsidR="00F52787" w:rsidRPr="00C24C19">
        <w:rPr>
          <w:rFonts w:ascii="TimesNewRoman" w:hAnsi="TimesNewRoman" w:cs="TimesNewRoman"/>
          <w:szCs w:val="22"/>
        </w:rPr>
        <w:t>ml injekcinio vandens. Tokiu būdu pagaminama 10,8 ml injekcinio tirpalo, kurio koncentracija yra 93 mg/ml.</w:t>
      </w:r>
    </w:p>
    <w:p w:rsidR="00F52787" w:rsidRPr="00C24C19" w:rsidRDefault="00F52787" w:rsidP="00F52787">
      <w:pPr>
        <w:autoSpaceDE w:val="0"/>
        <w:autoSpaceDN w:val="0"/>
        <w:adjustRightInd w:val="0"/>
        <w:ind w:left="0" w:firstLine="0"/>
        <w:rPr>
          <w:rFonts w:ascii="TimesNewRoman" w:hAnsi="TimesNewRoman" w:cs="TimesNewRoman"/>
          <w:szCs w:val="22"/>
        </w:rPr>
      </w:pPr>
      <w:r w:rsidRPr="00C24C19">
        <w:rPr>
          <w:rFonts w:ascii="TimesNewRoman" w:hAnsi="TimesNewRoman" w:cs="TimesNewRoman"/>
          <w:szCs w:val="22"/>
        </w:rPr>
        <w:t>Injekcijos tiesiai į veną ar intraveninės infuzijos vamzdelį trukmė turi būti ne trumpesnė kaip 2</w:t>
      </w:r>
      <w:r>
        <w:rPr>
          <w:rFonts w:ascii="TimesNewRoman" w:hAnsi="TimesNewRoman" w:cs="TimesNewRoman"/>
          <w:szCs w:val="22"/>
        </w:rPr>
        <w:t>–</w:t>
      </w:r>
      <w:r w:rsidRPr="00C24C19">
        <w:rPr>
          <w:rFonts w:ascii="TimesNewRoman" w:hAnsi="TimesNewRoman" w:cs="TimesNewRoman"/>
          <w:szCs w:val="22"/>
        </w:rPr>
        <w:t>4 minutės (žr. 4.2 skyrių).</w:t>
      </w:r>
    </w:p>
    <w:p w:rsidR="00F52787" w:rsidRPr="00C24C19" w:rsidRDefault="00F52787" w:rsidP="00F52787">
      <w:pPr>
        <w:autoSpaceDE w:val="0"/>
        <w:autoSpaceDN w:val="0"/>
        <w:adjustRightInd w:val="0"/>
        <w:ind w:left="0" w:firstLine="0"/>
        <w:rPr>
          <w:rFonts w:ascii="TimesNewRoman,Italic" w:hAnsi="TimesNewRoman,Italic" w:cs="TimesNewRoman,Italic"/>
          <w:i/>
          <w:iCs/>
          <w:szCs w:val="22"/>
        </w:rPr>
      </w:pPr>
    </w:p>
    <w:p w:rsidR="00F52787" w:rsidRPr="00C24C19" w:rsidRDefault="00F52787" w:rsidP="00F52787">
      <w:pPr>
        <w:autoSpaceDE w:val="0"/>
        <w:autoSpaceDN w:val="0"/>
        <w:adjustRightInd w:val="0"/>
        <w:ind w:left="0" w:firstLine="0"/>
        <w:rPr>
          <w:rFonts w:ascii="TimesNewRoman,Italic" w:hAnsi="TimesNewRoman,Italic" w:cs="TimesNewRoman,Italic"/>
          <w:i/>
          <w:iCs/>
          <w:szCs w:val="22"/>
        </w:rPr>
      </w:pPr>
      <w:r w:rsidRPr="00C24C19">
        <w:rPr>
          <w:rFonts w:ascii="TimesNewRoman,Italic" w:hAnsi="TimesNewRoman,Italic" w:cs="TimesNewRoman,Italic"/>
          <w:i/>
          <w:iCs/>
          <w:szCs w:val="22"/>
        </w:rPr>
        <w:t>Infuzija į veną</w:t>
      </w:r>
    </w:p>
    <w:p w:rsidR="00F52787" w:rsidRPr="00C24C19" w:rsidRDefault="007239AC" w:rsidP="00F52787">
      <w:pPr>
        <w:autoSpaceDE w:val="0"/>
        <w:autoSpaceDN w:val="0"/>
        <w:adjustRightInd w:val="0"/>
        <w:ind w:left="0" w:firstLine="0"/>
        <w:rPr>
          <w:rFonts w:ascii="TimesNewRoman" w:hAnsi="TimesNewRoman" w:cs="TimesNewRoman"/>
          <w:szCs w:val="22"/>
        </w:rPr>
      </w:pPr>
      <w:proofErr w:type="spellStart"/>
      <w:r>
        <w:rPr>
          <w:szCs w:val="22"/>
        </w:rPr>
        <w:t>Cefort</w:t>
      </w:r>
      <w:proofErr w:type="spellEnd"/>
      <w:r w:rsidR="00F52787" w:rsidRPr="00C24C19">
        <w:rPr>
          <w:szCs w:val="22"/>
        </w:rPr>
        <w:t xml:space="preserve"> </w:t>
      </w:r>
      <w:r w:rsidR="00F52787" w:rsidRPr="00C24C19">
        <w:rPr>
          <w:rFonts w:ascii="TimesNewRoman" w:hAnsi="TimesNewRoman" w:cs="TimesNewRoman"/>
          <w:szCs w:val="22"/>
        </w:rPr>
        <w:t>1</w:t>
      </w:r>
      <w:r w:rsidR="00F52787">
        <w:rPr>
          <w:rFonts w:ascii="TimesNewRoman" w:hAnsi="TimesNewRoman" w:cs="TimesNewRoman"/>
          <w:szCs w:val="22"/>
        </w:rPr>
        <w:t> </w:t>
      </w:r>
      <w:r w:rsidR="00F52787" w:rsidRPr="00C24C19">
        <w:rPr>
          <w:rFonts w:ascii="TimesNewRoman" w:hAnsi="TimesNewRoman" w:cs="TimesNewRoman"/>
          <w:szCs w:val="22"/>
        </w:rPr>
        <w:t xml:space="preserve">g reikia ištirpinti viename iš toliau išvardytų tirpalų, kurių sudėtyje nėra kalcio: 0,9% natrio chlorido tirpale, 0,45% natrio chlorido ir 2,5% gliukozės tirpale, 5% arba 10% gliukozės tirpale, 6% </w:t>
      </w:r>
      <w:proofErr w:type="spellStart"/>
      <w:r w:rsidR="00F52787" w:rsidRPr="00C24C19">
        <w:rPr>
          <w:rFonts w:ascii="TimesNewRoman" w:hAnsi="TimesNewRoman" w:cs="TimesNewRoman"/>
          <w:szCs w:val="22"/>
        </w:rPr>
        <w:t>dekstrano</w:t>
      </w:r>
      <w:proofErr w:type="spellEnd"/>
      <w:r w:rsidR="00F52787" w:rsidRPr="00C24C19">
        <w:rPr>
          <w:rFonts w:ascii="TimesNewRoman" w:hAnsi="TimesNewRoman" w:cs="TimesNewRoman"/>
          <w:szCs w:val="22"/>
        </w:rPr>
        <w:t xml:space="preserve"> 5% gliukozės tirpale, 6-10% </w:t>
      </w:r>
      <w:proofErr w:type="spellStart"/>
      <w:r w:rsidR="00F52787" w:rsidRPr="00C24C19">
        <w:rPr>
          <w:rFonts w:ascii="TimesNewRoman" w:hAnsi="TimesNewRoman" w:cs="TimesNewRoman"/>
          <w:szCs w:val="22"/>
        </w:rPr>
        <w:t>hidroksietilkrakmolo</w:t>
      </w:r>
      <w:proofErr w:type="spellEnd"/>
      <w:r w:rsidR="00F52787" w:rsidRPr="00C24C19">
        <w:rPr>
          <w:rFonts w:ascii="TimesNewRoman" w:hAnsi="TimesNewRoman" w:cs="TimesNewRoman"/>
          <w:szCs w:val="22"/>
        </w:rPr>
        <w:t xml:space="preserve"> infuziniame tirpale. Be to, žr. 6.2 skyriuje pateiktą informaciją.</w:t>
      </w:r>
    </w:p>
    <w:p w:rsidR="00F52787" w:rsidRPr="00C24C19" w:rsidRDefault="00F52787" w:rsidP="00F52787">
      <w:pPr>
        <w:autoSpaceDE w:val="0"/>
        <w:autoSpaceDN w:val="0"/>
        <w:adjustRightInd w:val="0"/>
        <w:ind w:left="0" w:firstLine="0"/>
        <w:rPr>
          <w:rFonts w:ascii="TimesNewRoman" w:hAnsi="TimesNewRoman" w:cs="TimesNewRoman"/>
          <w:szCs w:val="22"/>
        </w:rPr>
      </w:pPr>
    </w:p>
    <w:p w:rsidR="00F52787" w:rsidRPr="00C24C19" w:rsidRDefault="00F52787" w:rsidP="00F52787">
      <w:pPr>
        <w:autoSpaceDE w:val="0"/>
        <w:autoSpaceDN w:val="0"/>
        <w:adjustRightInd w:val="0"/>
        <w:ind w:left="0" w:firstLine="0"/>
        <w:rPr>
          <w:rFonts w:ascii="TimesNewRoman" w:hAnsi="TimesNewRoman" w:cs="TimesNewRoman"/>
          <w:szCs w:val="22"/>
        </w:rPr>
      </w:pPr>
      <w:r w:rsidRPr="00C24C19">
        <w:rPr>
          <w:rFonts w:ascii="TimesNewRoman" w:hAnsi="TimesNewRoman" w:cs="TimesNewRoman"/>
          <w:szCs w:val="22"/>
        </w:rPr>
        <w:t>Reikalingas infuzinio tirpalo tūris yra ruošiamas dviem etapais:</w:t>
      </w:r>
    </w:p>
    <w:p w:rsidR="00F52787" w:rsidRPr="00C24C19" w:rsidRDefault="00F52787" w:rsidP="00F52787">
      <w:pPr>
        <w:autoSpaceDE w:val="0"/>
        <w:autoSpaceDN w:val="0"/>
        <w:adjustRightInd w:val="0"/>
        <w:ind w:left="0" w:firstLine="0"/>
        <w:rPr>
          <w:rFonts w:ascii="TimesNewRoman" w:hAnsi="TimesNewRoman" w:cs="TimesNewRoman"/>
          <w:szCs w:val="22"/>
        </w:rPr>
      </w:pPr>
      <w:r w:rsidRPr="00C24C19">
        <w:rPr>
          <w:rFonts w:ascii="TimesNewRoman" w:hAnsi="TimesNewRoman" w:cs="TimesNewRoman"/>
          <w:szCs w:val="22"/>
        </w:rPr>
        <w:t xml:space="preserve">1. </w:t>
      </w:r>
      <w:proofErr w:type="spellStart"/>
      <w:r w:rsidR="007239AC">
        <w:rPr>
          <w:szCs w:val="22"/>
        </w:rPr>
        <w:t>Cefort</w:t>
      </w:r>
      <w:proofErr w:type="spellEnd"/>
      <w:r w:rsidRPr="00C24C19">
        <w:rPr>
          <w:szCs w:val="22"/>
        </w:rPr>
        <w:t xml:space="preserve"> </w:t>
      </w:r>
      <w:r w:rsidRPr="00C24C19">
        <w:rPr>
          <w:rFonts w:ascii="TimesNewRoman" w:hAnsi="TimesNewRoman" w:cs="TimesNewRoman"/>
          <w:szCs w:val="22"/>
        </w:rPr>
        <w:t>1</w:t>
      </w:r>
      <w:r>
        <w:rPr>
          <w:rFonts w:ascii="TimesNewRoman" w:hAnsi="TimesNewRoman" w:cs="TimesNewRoman"/>
          <w:szCs w:val="22"/>
        </w:rPr>
        <w:t> </w:t>
      </w:r>
      <w:r w:rsidRPr="00C24C19">
        <w:rPr>
          <w:rFonts w:ascii="TimesNewRoman" w:hAnsi="TimesNewRoman" w:cs="TimesNewRoman"/>
          <w:szCs w:val="22"/>
        </w:rPr>
        <w:t xml:space="preserve">g miltelius infuziniam tirpalui </w:t>
      </w:r>
      <w:r w:rsidRPr="000349D3">
        <w:rPr>
          <w:rFonts w:ascii="TimesNewRoman" w:hAnsi="TimesNewRoman" w:cs="TimesNewRoman"/>
          <w:szCs w:val="22"/>
        </w:rPr>
        <w:t>buteliuke</w:t>
      </w:r>
      <w:r w:rsidRPr="00C24C19">
        <w:rPr>
          <w:rFonts w:ascii="TimesNewRoman" w:hAnsi="TimesNewRoman" w:cs="TimesNewRoman"/>
          <w:szCs w:val="22"/>
        </w:rPr>
        <w:t xml:space="preserve"> reikia ištirpinti 10</w:t>
      </w:r>
      <w:r>
        <w:rPr>
          <w:rFonts w:ascii="TimesNewRoman" w:hAnsi="TimesNewRoman" w:cs="TimesNewRoman"/>
          <w:szCs w:val="22"/>
        </w:rPr>
        <w:t> </w:t>
      </w:r>
      <w:r w:rsidRPr="00C24C19">
        <w:rPr>
          <w:rFonts w:ascii="TimesNewRoman" w:hAnsi="TimesNewRoman" w:cs="TimesNewRoman"/>
          <w:szCs w:val="22"/>
        </w:rPr>
        <w:t xml:space="preserve">ml vieno iš suderinamų tirpalų, vartojamų į veną. Po to </w:t>
      </w:r>
      <w:r>
        <w:rPr>
          <w:rFonts w:ascii="TimesNewRoman" w:hAnsi="TimesNewRoman" w:cs="TimesNewRoman"/>
          <w:szCs w:val="22"/>
        </w:rPr>
        <w:t>gautą</w:t>
      </w:r>
      <w:r w:rsidRPr="00C24C19">
        <w:rPr>
          <w:rFonts w:ascii="TimesNewRoman" w:hAnsi="TimesNewRoman" w:cs="TimesNewRoman"/>
          <w:szCs w:val="22"/>
        </w:rPr>
        <w:t xml:space="preserve"> tirpalą reikia perkelti į tinkamą infuzinį maiš</w:t>
      </w:r>
      <w:r>
        <w:rPr>
          <w:rFonts w:ascii="TimesNewRoman" w:hAnsi="TimesNewRoman" w:cs="TimesNewRoman"/>
          <w:szCs w:val="22"/>
        </w:rPr>
        <w:t>elį</w:t>
      </w:r>
      <w:r w:rsidRPr="00C24C19">
        <w:rPr>
          <w:rFonts w:ascii="TimesNewRoman" w:hAnsi="TimesNewRoman" w:cs="TimesNewRoman"/>
          <w:szCs w:val="22"/>
        </w:rPr>
        <w:t xml:space="preserve">. Būtina laikytis kontroliuojamų ir </w:t>
      </w:r>
      <w:proofErr w:type="spellStart"/>
      <w:r w:rsidRPr="00C24C19">
        <w:rPr>
          <w:rFonts w:ascii="TimesNewRoman" w:hAnsi="TimesNewRoman" w:cs="TimesNewRoman"/>
          <w:szCs w:val="22"/>
        </w:rPr>
        <w:t>validuotų</w:t>
      </w:r>
      <w:proofErr w:type="spellEnd"/>
      <w:r w:rsidRPr="00C24C19">
        <w:rPr>
          <w:rFonts w:ascii="TimesNewRoman" w:hAnsi="TimesNewRoman" w:cs="TimesNewRoman"/>
          <w:szCs w:val="22"/>
        </w:rPr>
        <w:t xml:space="preserve"> </w:t>
      </w:r>
      <w:proofErr w:type="spellStart"/>
      <w:r w:rsidRPr="00C24C19">
        <w:rPr>
          <w:rFonts w:ascii="TimesNewRoman" w:hAnsi="TimesNewRoman" w:cs="TimesNewRoman"/>
          <w:szCs w:val="22"/>
        </w:rPr>
        <w:t>aseptikos</w:t>
      </w:r>
      <w:proofErr w:type="spellEnd"/>
      <w:r w:rsidRPr="00C24C19">
        <w:rPr>
          <w:rFonts w:ascii="TimesNewRoman" w:hAnsi="TimesNewRoman" w:cs="TimesNewRoman"/>
          <w:szCs w:val="22"/>
        </w:rPr>
        <w:t xml:space="preserve"> reikalavimų.</w:t>
      </w:r>
    </w:p>
    <w:p w:rsidR="00F52787" w:rsidRPr="00C24C19" w:rsidRDefault="00F52787" w:rsidP="00F52787">
      <w:pPr>
        <w:autoSpaceDE w:val="0"/>
        <w:autoSpaceDN w:val="0"/>
        <w:adjustRightInd w:val="0"/>
        <w:ind w:left="0" w:firstLine="0"/>
        <w:rPr>
          <w:rFonts w:ascii="TimesNewRoman" w:hAnsi="TimesNewRoman" w:cs="TimesNewRoman"/>
          <w:szCs w:val="22"/>
        </w:rPr>
      </w:pPr>
      <w:r w:rsidRPr="00C24C19">
        <w:rPr>
          <w:rFonts w:ascii="TimesNewRoman" w:hAnsi="TimesNewRoman" w:cs="TimesNewRoman"/>
          <w:szCs w:val="22"/>
        </w:rPr>
        <w:t xml:space="preserve">2. </w:t>
      </w:r>
      <w:r>
        <w:rPr>
          <w:rFonts w:ascii="TimesNewRoman" w:hAnsi="TimesNewRoman" w:cs="TimesNewRoman"/>
          <w:szCs w:val="22"/>
        </w:rPr>
        <w:t xml:space="preserve">Gautą </w:t>
      </w:r>
      <w:r w:rsidRPr="00C24C19">
        <w:rPr>
          <w:rFonts w:ascii="TimesNewRoman" w:hAnsi="TimesNewRoman" w:cs="TimesNewRoman"/>
          <w:szCs w:val="22"/>
        </w:rPr>
        <w:t xml:space="preserve">tirpalą reikia </w:t>
      </w:r>
      <w:r>
        <w:rPr>
          <w:rFonts w:ascii="TimesNewRoman" w:hAnsi="TimesNewRoman" w:cs="TimesNewRoman"/>
          <w:szCs w:val="22"/>
        </w:rPr>
        <w:t>pra</w:t>
      </w:r>
      <w:r w:rsidRPr="00C24C19">
        <w:rPr>
          <w:rFonts w:ascii="TimesNewRoman" w:hAnsi="TimesNewRoman" w:cs="TimesNewRoman"/>
          <w:szCs w:val="22"/>
        </w:rPr>
        <w:t>skiesti 9</w:t>
      </w:r>
      <w:r>
        <w:rPr>
          <w:rFonts w:ascii="TimesNewRoman" w:hAnsi="TimesNewRoman" w:cs="TimesNewRoman"/>
          <w:szCs w:val="22"/>
        </w:rPr>
        <w:t> </w:t>
      </w:r>
      <w:r w:rsidRPr="00C24C19">
        <w:rPr>
          <w:rFonts w:ascii="TimesNewRoman" w:hAnsi="TimesNewRoman" w:cs="TimesNewRoman"/>
          <w:szCs w:val="22"/>
        </w:rPr>
        <w:t>ml ar daugiau skiediklio, kad galutinis tirpalo tūris būtų 20,5</w:t>
      </w:r>
      <w:r>
        <w:rPr>
          <w:rFonts w:ascii="TimesNewRoman" w:hAnsi="TimesNewRoman" w:cs="TimesNewRoman"/>
          <w:szCs w:val="22"/>
        </w:rPr>
        <w:t> </w:t>
      </w:r>
      <w:r w:rsidRPr="00C24C19">
        <w:rPr>
          <w:rFonts w:ascii="TimesNewRoman" w:hAnsi="TimesNewRoman" w:cs="TimesNewRoman"/>
          <w:szCs w:val="22"/>
        </w:rPr>
        <w:t>ml ir koncentracija 49</w:t>
      </w:r>
      <w:r>
        <w:rPr>
          <w:rFonts w:ascii="TimesNewRoman" w:hAnsi="TimesNewRoman" w:cs="TimesNewRoman"/>
          <w:szCs w:val="22"/>
        </w:rPr>
        <w:t> </w:t>
      </w:r>
      <w:r w:rsidRPr="00C24C19">
        <w:rPr>
          <w:rFonts w:ascii="TimesNewRoman" w:hAnsi="TimesNewRoman" w:cs="TimesNewRoman"/>
          <w:szCs w:val="22"/>
        </w:rPr>
        <w:t>mg/ml.</w:t>
      </w:r>
    </w:p>
    <w:p w:rsidR="00F52787" w:rsidRPr="00C24C19" w:rsidRDefault="00F52787" w:rsidP="00F52787">
      <w:pPr>
        <w:autoSpaceDE w:val="0"/>
        <w:autoSpaceDN w:val="0"/>
        <w:adjustRightInd w:val="0"/>
        <w:ind w:left="0" w:firstLine="0"/>
        <w:rPr>
          <w:rFonts w:ascii="TimesNewRoman" w:hAnsi="TimesNewRoman" w:cs="TimesNewRoman"/>
          <w:szCs w:val="22"/>
        </w:rPr>
      </w:pPr>
      <w:r w:rsidRPr="00C24C19">
        <w:rPr>
          <w:rFonts w:ascii="TimesNewRoman" w:hAnsi="TimesNewRoman" w:cs="TimesNewRoman"/>
          <w:szCs w:val="22"/>
        </w:rPr>
        <w:t xml:space="preserve">Paruoštą infuzinį tirpalą, </w:t>
      </w:r>
      <w:proofErr w:type="spellStart"/>
      <w:r w:rsidRPr="00C24C19">
        <w:rPr>
          <w:rFonts w:ascii="TimesNewRoman" w:hAnsi="TimesNewRoman" w:cs="TimesNewRoman"/>
          <w:szCs w:val="22"/>
        </w:rPr>
        <w:t>t.y</w:t>
      </w:r>
      <w:proofErr w:type="spellEnd"/>
      <w:r w:rsidRPr="00C24C19">
        <w:rPr>
          <w:rFonts w:ascii="TimesNewRoman" w:hAnsi="TimesNewRoman" w:cs="TimesNewRoman"/>
          <w:szCs w:val="22"/>
        </w:rPr>
        <w:t>. 20,5</w:t>
      </w:r>
      <w:r>
        <w:rPr>
          <w:rFonts w:ascii="TimesNewRoman" w:hAnsi="TimesNewRoman" w:cs="TimesNewRoman"/>
          <w:szCs w:val="22"/>
        </w:rPr>
        <w:t> </w:t>
      </w:r>
      <w:r w:rsidRPr="00C24C19">
        <w:rPr>
          <w:rFonts w:ascii="TimesNewRoman" w:hAnsi="TimesNewRoman" w:cs="TimesNewRoman"/>
          <w:szCs w:val="22"/>
        </w:rPr>
        <w:t xml:space="preserve">ml reikia nedelsiant sulašinti trumpalaikės </w:t>
      </w:r>
      <w:proofErr w:type="spellStart"/>
      <w:r w:rsidRPr="00C24C19">
        <w:rPr>
          <w:rFonts w:ascii="TimesNewRoman" w:hAnsi="TimesNewRoman" w:cs="TimesNewRoman"/>
          <w:szCs w:val="22"/>
        </w:rPr>
        <w:t>infūzijos</w:t>
      </w:r>
      <w:proofErr w:type="spellEnd"/>
      <w:r w:rsidRPr="00C24C19">
        <w:rPr>
          <w:rFonts w:ascii="TimesNewRoman" w:hAnsi="TimesNewRoman" w:cs="TimesNewRoman"/>
          <w:szCs w:val="22"/>
        </w:rPr>
        <w:t xml:space="preserve"> būdu į veną.</w:t>
      </w:r>
    </w:p>
    <w:p w:rsidR="00F52787" w:rsidRPr="00C24C19" w:rsidRDefault="00F52787" w:rsidP="00F52787">
      <w:pPr>
        <w:autoSpaceDE w:val="0"/>
        <w:autoSpaceDN w:val="0"/>
        <w:adjustRightInd w:val="0"/>
        <w:ind w:left="0" w:firstLine="0"/>
        <w:rPr>
          <w:rFonts w:ascii="TimesNewRoman" w:hAnsi="TimesNewRoman" w:cs="TimesNewRoman"/>
          <w:szCs w:val="22"/>
        </w:rPr>
      </w:pPr>
      <w:r w:rsidRPr="00C24C19">
        <w:rPr>
          <w:rFonts w:ascii="TimesNewRoman" w:hAnsi="TimesNewRoman" w:cs="TimesNewRoman"/>
          <w:szCs w:val="22"/>
        </w:rPr>
        <w:t>Mažesnis kiekis mažesnei dozei, nustatytai remiantis mg/kg kūno svorio, apskaičiuojamas pagal proporciją.</w:t>
      </w:r>
    </w:p>
    <w:p w:rsidR="00F52787" w:rsidRPr="00C24C19" w:rsidRDefault="00F52787" w:rsidP="00F52787">
      <w:pPr>
        <w:autoSpaceDE w:val="0"/>
        <w:autoSpaceDN w:val="0"/>
        <w:adjustRightInd w:val="0"/>
        <w:ind w:left="0" w:firstLine="0"/>
        <w:rPr>
          <w:rFonts w:ascii="TimesNewRoman,Italic" w:hAnsi="TimesNewRoman,Italic" w:cs="TimesNewRoman,Italic"/>
          <w:i/>
          <w:iCs/>
          <w:szCs w:val="22"/>
        </w:rPr>
      </w:pPr>
    </w:p>
    <w:p w:rsidR="00F52787" w:rsidRPr="00C24C19" w:rsidRDefault="00F52787" w:rsidP="00F52787">
      <w:pPr>
        <w:autoSpaceDE w:val="0"/>
        <w:autoSpaceDN w:val="0"/>
        <w:adjustRightInd w:val="0"/>
        <w:ind w:left="0" w:firstLine="0"/>
        <w:rPr>
          <w:rFonts w:ascii="TimesNewRoman,Italic" w:hAnsi="TimesNewRoman,Italic" w:cs="TimesNewRoman,Italic"/>
          <w:i/>
          <w:iCs/>
          <w:szCs w:val="22"/>
        </w:rPr>
      </w:pPr>
      <w:r w:rsidRPr="00C24C19">
        <w:rPr>
          <w:rFonts w:ascii="TimesNewRoman,Italic" w:hAnsi="TimesNewRoman,Italic" w:cs="TimesNewRoman,Italic"/>
          <w:i/>
          <w:iCs/>
          <w:szCs w:val="22"/>
        </w:rPr>
        <w:t>Injekcija į raumenis</w:t>
      </w:r>
    </w:p>
    <w:p w:rsidR="00F52787" w:rsidRPr="00C24C19" w:rsidRDefault="007239AC" w:rsidP="00F52787">
      <w:pPr>
        <w:autoSpaceDE w:val="0"/>
        <w:autoSpaceDN w:val="0"/>
        <w:adjustRightInd w:val="0"/>
        <w:ind w:left="0" w:firstLine="0"/>
        <w:rPr>
          <w:rFonts w:ascii="TimesNewRoman" w:hAnsi="TimesNewRoman" w:cs="TimesNewRoman"/>
          <w:szCs w:val="22"/>
        </w:rPr>
      </w:pPr>
      <w:proofErr w:type="spellStart"/>
      <w:r>
        <w:rPr>
          <w:szCs w:val="22"/>
        </w:rPr>
        <w:t>Cefort</w:t>
      </w:r>
      <w:proofErr w:type="spellEnd"/>
      <w:r w:rsidR="00F52787" w:rsidRPr="00C24C19">
        <w:rPr>
          <w:szCs w:val="22"/>
        </w:rPr>
        <w:t xml:space="preserve"> </w:t>
      </w:r>
      <w:r w:rsidR="00F52787" w:rsidRPr="00C24C19">
        <w:rPr>
          <w:rFonts w:ascii="TimesNewRoman" w:hAnsi="TimesNewRoman" w:cs="TimesNewRoman"/>
          <w:szCs w:val="22"/>
        </w:rPr>
        <w:t>1</w:t>
      </w:r>
      <w:r w:rsidR="00F52787">
        <w:rPr>
          <w:rFonts w:ascii="TimesNewRoman" w:hAnsi="TimesNewRoman" w:cs="TimesNewRoman"/>
          <w:szCs w:val="22"/>
        </w:rPr>
        <w:t> </w:t>
      </w:r>
      <w:r w:rsidR="00F52787" w:rsidRPr="00C24C19">
        <w:rPr>
          <w:rFonts w:ascii="TimesNewRoman" w:hAnsi="TimesNewRoman" w:cs="TimesNewRoman"/>
          <w:szCs w:val="22"/>
        </w:rPr>
        <w:t xml:space="preserve">g miltelius injekciniam </w:t>
      </w:r>
      <w:r w:rsidR="00F52787">
        <w:rPr>
          <w:rFonts w:ascii="TimesNewRoman" w:hAnsi="TimesNewRoman" w:cs="TimesNewRoman"/>
          <w:szCs w:val="22"/>
        </w:rPr>
        <w:t xml:space="preserve">tirpalui </w:t>
      </w:r>
      <w:r w:rsidR="00F52787" w:rsidRPr="00C24C19">
        <w:rPr>
          <w:rFonts w:ascii="TimesNewRoman" w:hAnsi="TimesNewRoman" w:cs="TimesNewRoman"/>
          <w:szCs w:val="22"/>
        </w:rPr>
        <w:t>reikia ištirpinti 3,5</w:t>
      </w:r>
      <w:r w:rsidR="00F52787">
        <w:rPr>
          <w:rFonts w:ascii="TimesNewRoman" w:hAnsi="TimesNewRoman" w:cs="TimesNewRoman"/>
          <w:szCs w:val="22"/>
        </w:rPr>
        <w:t> </w:t>
      </w:r>
      <w:r w:rsidR="00F52787" w:rsidRPr="00C24C19">
        <w:rPr>
          <w:rFonts w:ascii="TimesNewRoman" w:hAnsi="TimesNewRoman" w:cs="TimesNewRoman"/>
          <w:szCs w:val="22"/>
        </w:rPr>
        <w:t>ml 1</w:t>
      </w:r>
      <w:r w:rsidR="00F52787">
        <w:rPr>
          <w:rFonts w:ascii="TimesNewRoman" w:hAnsi="TimesNewRoman" w:cs="TimesNewRoman"/>
          <w:szCs w:val="22"/>
        </w:rPr>
        <w:t> </w:t>
      </w:r>
      <w:r w:rsidR="00F52787" w:rsidRPr="00C24C19">
        <w:rPr>
          <w:rFonts w:ascii="TimesNewRoman" w:hAnsi="TimesNewRoman" w:cs="TimesNewRoman"/>
          <w:szCs w:val="22"/>
        </w:rPr>
        <w:t xml:space="preserve">% </w:t>
      </w:r>
      <w:proofErr w:type="spellStart"/>
      <w:r w:rsidR="00F52787" w:rsidRPr="00C24C19">
        <w:rPr>
          <w:rFonts w:ascii="TimesNewRoman" w:hAnsi="TimesNewRoman" w:cs="TimesNewRoman"/>
          <w:szCs w:val="22"/>
        </w:rPr>
        <w:t>lidokaino</w:t>
      </w:r>
      <w:proofErr w:type="spellEnd"/>
      <w:r w:rsidR="00F52787" w:rsidRPr="00C24C19">
        <w:rPr>
          <w:rFonts w:ascii="TimesNewRoman" w:hAnsi="TimesNewRoman" w:cs="TimesNewRoman"/>
          <w:szCs w:val="22"/>
        </w:rPr>
        <w:t xml:space="preserve"> hidrochlorido tirpalo. Tokiu būdu pagaminama 4,2</w:t>
      </w:r>
      <w:r w:rsidR="00F52787">
        <w:rPr>
          <w:rFonts w:ascii="TimesNewRoman" w:hAnsi="TimesNewRoman" w:cs="TimesNewRoman"/>
          <w:szCs w:val="22"/>
        </w:rPr>
        <w:t> </w:t>
      </w:r>
      <w:r w:rsidR="00F52787" w:rsidRPr="00C24C19">
        <w:rPr>
          <w:rFonts w:ascii="TimesNewRoman" w:hAnsi="TimesNewRoman" w:cs="TimesNewRoman"/>
          <w:szCs w:val="22"/>
        </w:rPr>
        <w:t>ml injekcinio tirpalo, kurio koncentracija yra 238</w:t>
      </w:r>
      <w:r w:rsidR="00F52787">
        <w:rPr>
          <w:rFonts w:ascii="TimesNewRoman" w:hAnsi="TimesNewRoman" w:cs="TimesNewRoman"/>
          <w:szCs w:val="22"/>
        </w:rPr>
        <w:t> </w:t>
      </w:r>
      <w:r w:rsidR="00F52787" w:rsidRPr="00C24C19">
        <w:rPr>
          <w:rFonts w:ascii="TimesNewRoman" w:hAnsi="TimesNewRoman" w:cs="TimesNewRoman"/>
          <w:szCs w:val="22"/>
        </w:rPr>
        <w:t xml:space="preserve">mg/ml. Jį reikia </w:t>
      </w:r>
      <w:proofErr w:type="spellStart"/>
      <w:r w:rsidR="00F52787" w:rsidRPr="00C24C19">
        <w:rPr>
          <w:rFonts w:ascii="TimesNewRoman" w:hAnsi="TimesNewRoman" w:cs="TimesNewRoman"/>
          <w:szCs w:val="22"/>
        </w:rPr>
        <w:t>injekuoti</w:t>
      </w:r>
      <w:proofErr w:type="spellEnd"/>
      <w:r w:rsidR="00F52787" w:rsidRPr="00C24C19">
        <w:rPr>
          <w:rFonts w:ascii="TimesNewRoman" w:hAnsi="TimesNewRoman" w:cs="TimesNewRoman"/>
          <w:szCs w:val="22"/>
        </w:rPr>
        <w:t xml:space="preserve"> giliai į raumenis. Didesnę negu 1</w:t>
      </w:r>
      <w:r w:rsidR="00F52787">
        <w:rPr>
          <w:rFonts w:ascii="TimesNewRoman" w:hAnsi="TimesNewRoman" w:cs="TimesNewRoman"/>
          <w:szCs w:val="22"/>
        </w:rPr>
        <w:t> </w:t>
      </w:r>
      <w:r w:rsidR="00F52787" w:rsidRPr="00C24C19">
        <w:rPr>
          <w:rFonts w:ascii="TimesNewRoman" w:hAnsi="TimesNewRoman" w:cs="TimesNewRoman"/>
          <w:szCs w:val="22"/>
        </w:rPr>
        <w:t xml:space="preserve">g dozę reikia padalyti ir suleisti į kelias vietas. Į vieną kūno pusę galima </w:t>
      </w:r>
      <w:r w:rsidR="00F52787">
        <w:rPr>
          <w:rFonts w:ascii="TimesNewRoman" w:hAnsi="TimesNewRoman" w:cs="TimesNewRoman"/>
          <w:szCs w:val="22"/>
        </w:rPr>
        <w:t>leisti</w:t>
      </w:r>
      <w:r w:rsidR="00F52787" w:rsidRPr="00C24C19">
        <w:rPr>
          <w:rFonts w:ascii="TimesNewRoman" w:hAnsi="TimesNewRoman" w:cs="TimesNewRoman"/>
          <w:szCs w:val="22"/>
        </w:rPr>
        <w:t xml:space="preserve"> ne daugiau kaip 1</w:t>
      </w:r>
      <w:r w:rsidR="00F52787">
        <w:rPr>
          <w:rFonts w:ascii="TimesNewRoman" w:hAnsi="TimesNewRoman" w:cs="TimesNewRoman"/>
          <w:szCs w:val="22"/>
        </w:rPr>
        <w:t> </w:t>
      </w:r>
      <w:r w:rsidR="00F52787" w:rsidRPr="00C24C19">
        <w:rPr>
          <w:rFonts w:ascii="TimesNewRoman" w:hAnsi="TimesNewRoman" w:cs="TimesNewRoman"/>
          <w:szCs w:val="22"/>
        </w:rPr>
        <w:t xml:space="preserve">g </w:t>
      </w:r>
      <w:proofErr w:type="spellStart"/>
      <w:r w:rsidR="00F52787" w:rsidRPr="00C24C19">
        <w:rPr>
          <w:rFonts w:ascii="TimesNewRoman" w:hAnsi="TimesNewRoman" w:cs="TimesNewRoman"/>
          <w:szCs w:val="22"/>
        </w:rPr>
        <w:t>ceftriaksono</w:t>
      </w:r>
      <w:proofErr w:type="spellEnd"/>
      <w:r w:rsidR="00F52787" w:rsidRPr="00C24C19">
        <w:rPr>
          <w:rFonts w:ascii="TimesNewRoman" w:hAnsi="TimesNewRoman" w:cs="TimesNewRoman"/>
          <w:szCs w:val="22"/>
        </w:rPr>
        <w:t xml:space="preserve"> (žr.4.2 skyrių).</w:t>
      </w:r>
    </w:p>
    <w:p w:rsidR="00F52787" w:rsidRPr="00C24C19" w:rsidRDefault="00F52787" w:rsidP="00F52787">
      <w:pPr>
        <w:autoSpaceDE w:val="0"/>
        <w:autoSpaceDN w:val="0"/>
        <w:adjustRightInd w:val="0"/>
        <w:ind w:left="0" w:firstLine="0"/>
        <w:rPr>
          <w:rFonts w:ascii="TimesNewRoman" w:hAnsi="TimesNewRoman" w:cs="TimesNewRoman"/>
          <w:szCs w:val="22"/>
          <w:u w:val="single"/>
        </w:rPr>
      </w:pPr>
      <w:r w:rsidRPr="00C24C19">
        <w:rPr>
          <w:rFonts w:ascii="TimesNewRoman" w:hAnsi="TimesNewRoman" w:cs="TimesNewRoman"/>
          <w:szCs w:val="22"/>
          <w:u w:val="single"/>
        </w:rPr>
        <w:t xml:space="preserve">Tirpalo, kurio sudėtyje yra </w:t>
      </w:r>
      <w:proofErr w:type="spellStart"/>
      <w:r w:rsidRPr="00C24C19">
        <w:rPr>
          <w:rFonts w:ascii="TimesNewRoman" w:hAnsi="TimesNewRoman" w:cs="TimesNewRoman"/>
          <w:szCs w:val="22"/>
          <w:u w:val="single"/>
        </w:rPr>
        <w:t>lidokaino</w:t>
      </w:r>
      <w:proofErr w:type="spellEnd"/>
      <w:r w:rsidRPr="00C24C19">
        <w:rPr>
          <w:rFonts w:ascii="TimesNewRoman" w:hAnsi="TimesNewRoman" w:cs="TimesNewRoman"/>
          <w:szCs w:val="22"/>
          <w:u w:val="single"/>
        </w:rPr>
        <w:t xml:space="preserve">, </w:t>
      </w:r>
      <w:proofErr w:type="spellStart"/>
      <w:r w:rsidRPr="00C24C19">
        <w:rPr>
          <w:rFonts w:ascii="TimesNewRoman" w:hAnsi="TimesNewRoman" w:cs="TimesNewRoman"/>
          <w:szCs w:val="22"/>
          <w:u w:val="single"/>
        </w:rPr>
        <w:t>injekuoti</w:t>
      </w:r>
      <w:proofErr w:type="spellEnd"/>
      <w:r w:rsidRPr="00C24C19">
        <w:rPr>
          <w:rFonts w:ascii="TimesNewRoman" w:hAnsi="TimesNewRoman" w:cs="TimesNewRoman"/>
          <w:szCs w:val="22"/>
          <w:u w:val="single"/>
        </w:rPr>
        <w:t xml:space="preserve"> į veną draudžiama.</w:t>
      </w:r>
    </w:p>
    <w:p w:rsidR="00F52787" w:rsidRPr="00C24C19" w:rsidRDefault="00F52787" w:rsidP="00F52787">
      <w:pPr>
        <w:autoSpaceDE w:val="0"/>
        <w:autoSpaceDN w:val="0"/>
        <w:adjustRightInd w:val="0"/>
        <w:ind w:left="0" w:firstLine="0"/>
        <w:rPr>
          <w:rFonts w:ascii="TimesNewRoman" w:hAnsi="TimesNewRoman" w:cs="TimesNewRoman"/>
          <w:szCs w:val="22"/>
        </w:rPr>
      </w:pPr>
    </w:p>
    <w:p w:rsidR="00F52787" w:rsidRPr="00C24C19" w:rsidRDefault="00F52787" w:rsidP="00F52787">
      <w:pPr>
        <w:autoSpaceDE w:val="0"/>
        <w:autoSpaceDN w:val="0"/>
        <w:adjustRightInd w:val="0"/>
        <w:ind w:left="0" w:firstLine="0"/>
        <w:rPr>
          <w:rFonts w:ascii="TimesNewRoman" w:hAnsi="TimesNewRoman" w:cs="TimesNewRoman"/>
          <w:szCs w:val="22"/>
        </w:rPr>
      </w:pPr>
      <w:proofErr w:type="spellStart"/>
      <w:r w:rsidRPr="00C24C19">
        <w:rPr>
          <w:rFonts w:ascii="TimesNewRoman" w:hAnsi="TimesNewRoman" w:cs="TimesNewRoman"/>
          <w:szCs w:val="22"/>
        </w:rPr>
        <w:t>Ceftriaksono</w:t>
      </w:r>
      <w:proofErr w:type="spellEnd"/>
      <w:r w:rsidRPr="00C24C19">
        <w:rPr>
          <w:rFonts w:ascii="TimesNewRoman" w:hAnsi="TimesNewRoman" w:cs="TimesNewRoman"/>
          <w:szCs w:val="22"/>
        </w:rPr>
        <w:t xml:space="preserve"> </w:t>
      </w:r>
      <w:proofErr w:type="spellStart"/>
      <w:r w:rsidRPr="00C24C19">
        <w:rPr>
          <w:rFonts w:ascii="TimesNewRoman" w:hAnsi="TimesNewRoman" w:cs="TimesNewRoman"/>
          <w:szCs w:val="22"/>
        </w:rPr>
        <w:t>injekuojant</w:t>
      </w:r>
      <w:proofErr w:type="spellEnd"/>
      <w:r w:rsidRPr="00C24C19">
        <w:rPr>
          <w:rFonts w:ascii="TimesNewRoman" w:hAnsi="TimesNewRoman" w:cs="TimesNewRoman"/>
          <w:szCs w:val="22"/>
        </w:rPr>
        <w:t xml:space="preserve"> į raumenis, jo negalima maišyti viename švirkšte su jokiu vaistiniu preparatu, išskyrus 1</w:t>
      </w:r>
      <w:r>
        <w:rPr>
          <w:rFonts w:ascii="TimesNewRoman" w:hAnsi="TimesNewRoman" w:cs="TimesNewRoman"/>
          <w:szCs w:val="22"/>
        </w:rPr>
        <w:t xml:space="preserve"> </w:t>
      </w:r>
      <w:r w:rsidRPr="00C24C19">
        <w:rPr>
          <w:rFonts w:ascii="TimesNewRoman" w:hAnsi="TimesNewRoman" w:cs="TimesNewRoman"/>
          <w:szCs w:val="22"/>
        </w:rPr>
        <w:t xml:space="preserve">% </w:t>
      </w:r>
      <w:proofErr w:type="spellStart"/>
      <w:r w:rsidRPr="00C24C19">
        <w:rPr>
          <w:rFonts w:ascii="TimesNewRoman" w:hAnsi="TimesNewRoman" w:cs="TimesNewRoman"/>
          <w:szCs w:val="22"/>
        </w:rPr>
        <w:t>lidokaino</w:t>
      </w:r>
      <w:proofErr w:type="spellEnd"/>
      <w:r w:rsidRPr="00C24C19">
        <w:rPr>
          <w:rFonts w:ascii="TimesNewRoman" w:hAnsi="TimesNewRoman" w:cs="TimesNewRoman"/>
          <w:szCs w:val="22"/>
        </w:rPr>
        <w:t xml:space="preserve"> hidrochlorido tirpalą.</w:t>
      </w:r>
    </w:p>
    <w:p w:rsidR="00F52787" w:rsidRPr="00C24C19" w:rsidRDefault="00F52787" w:rsidP="00F52787">
      <w:pPr>
        <w:autoSpaceDE w:val="0"/>
        <w:autoSpaceDN w:val="0"/>
        <w:adjustRightInd w:val="0"/>
        <w:ind w:left="0" w:firstLine="0"/>
        <w:rPr>
          <w:rFonts w:ascii="TimesNewRoman" w:hAnsi="TimesNewRoman" w:cs="TimesNewRoman"/>
          <w:szCs w:val="22"/>
        </w:rPr>
      </w:pPr>
      <w:r w:rsidRPr="00C24C19">
        <w:rPr>
          <w:rFonts w:ascii="TimesNewRoman" w:hAnsi="TimesNewRoman" w:cs="TimesNewRoman"/>
          <w:szCs w:val="22"/>
        </w:rPr>
        <w:t xml:space="preserve">Kad </w:t>
      </w:r>
      <w:proofErr w:type="spellStart"/>
      <w:r w:rsidRPr="00C24C19">
        <w:rPr>
          <w:rFonts w:ascii="TimesNewRoman" w:hAnsi="TimesNewRoman" w:cs="TimesNewRoman"/>
          <w:szCs w:val="22"/>
        </w:rPr>
        <w:t>ceftriaksonas</w:t>
      </w:r>
      <w:proofErr w:type="spellEnd"/>
      <w:r w:rsidRPr="00C24C19">
        <w:rPr>
          <w:rFonts w:ascii="TimesNewRoman" w:hAnsi="TimesNewRoman" w:cs="TimesNewRoman"/>
          <w:szCs w:val="22"/>
        </w:rPr>
        <w:t xml:space="preserve"> visiškai ištirptų, ruošiamą injekcinį tirpalą reikia p</w:t>
      </w:r>
      <w:r>
        <w:rPr>
          <w:rFonts w:ascii="TimesNewRoman" w:hAnsi="TimesNewRoman" w:cs="TimesNewRoman"/>
          <w:szCs w:val="22"/>
        </w:rPr>
        <w:t>akratyti</w:t>
      </w:r>
      <w:r w:rsidRPr="00C24C19">
        <w:rPr>
          <w:rFonts w:ascii="TimesNewRoman" w:hAnsi="TimesNewRoman" w:cs="TimesNewRoman"/>
          <w:szCs w:val="22"/>
        </w:rPr>
        <w:t xml:space="preserve"> iki 60 sekundžių.</w:t>
      </w:r>
    </w:p>
    <w:p w:rsidR="00F52787" w:rsidRPr="00C24C19" w:rsidRDefault="00F52787" w:rsidP="00F52787">
      <w:pPr>
        <w:autoSpaceDE w:val="0"/>
        <w:autoSpaceDN w:val="0"/>
        <w:adjustRightInd w:val="0"/>
        <w:ind w:left="0" w:firstLine="0"/>
        <w:rPr>
          <w:rFonts w:ascii="TimesNewRoman" w:hAnsi="TimesNewRoman" w:cs="TimesNewRoman"/>
          <w:szCs w:val="22"/>
        </w:rPr>
      </w:pPr>
    </w:p>
    <w:p w:rsidR="00F52787" w:rsidRPr="00C24C19" w:rsidRDefault="00F52787" w:rsidP="00F52787">
      <w:pPr>
        <w:autoSpaceDE w:val="0"/>
        <w:autoSpaceDN w:val="0"/>
        <w:adjustRightInd w:val="0"/>
        <w:ind w:left="0" w:firstLine="0"/>
        <w:rPr>
          <w:rFonts w:ascii="TimesNewRoman" w:hAnsi="TimesNewRoman" w:cs="TimesNewRoman"/>
          <w:szCs w:val="22"/>
        </w:rPr>
      </w:pPr>
      <w:r w:rsidRPr="00C24C19">
        <w:rPr>
          <w:rFonts w:ascii="TimesNewRoman" w:hAnsi="TimesNewRoman" w:cs="TimesNewRoman"/>
          <w:szCs w:val="22"/>
        </w:rPr>
        <w:t>Paruoštas injekcinis tirpalas yra šviesiai geltonos ar gintarinės spalvos.</w:t>
      </w:r>
    </w:p>
    <w:p w:rsidR="00F52787" w:rsidRPr="00C24C19" w:rsidRDefault="00F52787" w:rsidP="00F52787">
      <w:pPr>
        <w:autoSpaceDE w:val="0"/>
        <w:autoSpaceDN w:val="0"/>
        <w:adjustRightInd w:val="0"/>
        <w:ind w:left="0" w:firstLine="0"/>
        <w:rPr>
          <w:rFonts w:ascii="TimesNewRoman" w:hAnsi="TimesNewRoman" w:cs="TimesNewRoman"/>
          <w:szCs w:val="22"/>
        </w:rPr>
      </w:pPr>
      <w:r w:rsidRPr="00C24C19">
        <w:rPr>
          <w:rFonts w:ascii="TimesNewRoman" w:hAnsi="TimesNewRoman" w:cs="TimesNewRoman"/>
          <w:szCs w:val="22"/>
        </w:rPr>
        <w:t>Paruoštą tirpalą reikia patikrinti vizualiai. Galima vartoti tik skaidrų, be matomų dalelių tirpalą.</w:t>
      </w:r>
    </w:p>
    <w:p w:rsidR="00F52787" w:rsidRPr="00C24C19" w:rsidRDefault="00F52787" w:rsidP="00F52787">
      <w:pPr>
        <w:tabs>
          <w:tab w:val="left" w:pos="567"/>
        </w:tabs>
        <w:rPr>
          <w:szCs w:val="22"/>
        </w:rPr>
      </w:pPr>
      <w:r w:rsidRPr="00C24C19">
        <w:rPr>
          <w:rFonts w:ascii="TimesNewRoman" w:hAnsi="TimesNewRoman" w:cs="TimesNewRoman"/>
          <w:szCs w:val="22"/>
        </w:rPr>
        <w:t xml:space="preserve">Paruoštas </w:t>
      </w:r>
      <w:r>
        <w:rPr>
          <w:rFonts w:ascii="TimesNewRoman" w:hAnsi="TimesNewRoman" w:cs="TimesNewRoman"/>
          <w:szCs w:val="22"/>
        </w:rPr>
        <w:t>tirpalas</w:t>
      </w:r>
      <w:r w:rsidRPr="00C24C19">
        <w:rPr>
          <w:rFonts w:ascii="TimesNewRoman" w:hAnsi="TimesNewRoman" w:cs="TimesNewRoman"/>
          <w:szCs w:val="22"/>
        </w:rPr>
        <w:t xml:space="preserve"> tinka vartoti tik vieną kartą, todėl likusį nesuvartotą tirpalą reikia išpilti.</w:t>
      </w:r>
    </w:p>
    <w:p w:rsidR="00F52787" w:rsidRDefault="00F52787" w:rsidP="00F52787">
      <w:pPr>
        <w:autoSpaceDE w:val="0"/>
        <w:autoSpaceDN w:val="0"/>
        <w:adjustRightInd w:val="0"/>
        <w:ind w:left="0" w:firstLine="0"/>
      </w:pPr>
    </w:p>
    <w:p w:rsidR="006873BB" w:rsidRDefault="006873BB"/>
    <w:sectPr w:rsidR="006873BB" w:rsidSect="007408BF">
      <w:headerReference w:type="even" r:id="rId11"/>
      <w:headerReference w:type="default" r:id="rId12"/>
      <w:footerReference w:type="even" r:id="rId13"/>
      <w:footerReference w:type="default" r:id="rId14"/>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4ABB" w:rsidRDefault="00404ABB">
      <w:r>
        <w:separator/>
      </w:r>
    </w:p>
  </w:endnote>
  <w:endnote w:type="continuationSeparator" w:id="0">
    <w:p w:rsidR="00404ABB" w:rsidRDefault="00404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NewRoman,Italic">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609" w:rsidRDefault="006D4478" w:rsidP="007408B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83609" w:rsidRDefault="00DB3674" w:rsidP="007408BF">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609" w:rsidRDefault="006D4478" w:rsidP="007408B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B3674">
      <w:rPr>
        <w:rStyle w:val="Puslapionumeris"/>
        <w:noProof/>
      </w:rPr>
      <w:t>4</w:t>
    </w:r>
    <w:r>
      <w:rPr>
        <w:rStyle w:val="Puslapionumeris"/>
      </w:rPr>
      <w:fldChar w:fldCharType="end"/>
    </w:r>
  </w:p>
  <w:p w:rsidR="00E83609" w:rsidRDefault="00DB3674" w:rsidP="007408BF">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4ABB" w:rsidRDefault="00404ABB">
      <w:r>
        <w:separator/>
      </w:r>
    </w:p>
  </w:footnote>
  <w:footnote w:type="continuationSeparator" w:id="0">
    <w:p w:rsidR="00404ABB" w:rsidRDefault="00404A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609" w:rsidRDefault="006D4478">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27</w:t>
    </w:r>
    <w:r>
      <w:rPr>
        <w:rStyle w:val="Puslapionumeris"/>
      </w:rPr>
      <w:fldChar w:fldCharType="end"/>
    </w:r>
  </w:p>
  <w:p w:rsidR="00E83609" w:rsidRDefault="00DB3674">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609" w:rsidRDefault="00DB3674">
    <w:pPr>
      <w:pStyle w:val="Antrat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B59164B"/>
    <w:multiLevelType w:val="hybridMultilevel"/>
    <w:tmpl w:val="E214DF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1315B6"/>
    <w:multiLevelType w:val="hybridMultilevel"/>
    <w:tmpl w:val="2DF22106"/>
    <w:lvl w:ilvl="0" w:tplc="F1AE20D6">
      <w:start w:val="1"/>
      <w:numFmt w:val="bullet"/>
      <w:lvlText w:val=""/>
      <w:lvlJc w:val="left"/>
      <w:pPr>
        <w:ind w:left="720" w:hanging="360"/>
      </w:pPr>
      <w:rPr>
        <w:rFonts w:ascii="Symbol" w:eastAsia="Times New Roman" w:hAnsi="Symbol" w:cs="TimesNew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3E0468"/>
    <w:multiLevelType w:val="multilevel"/>
    <w:tmpl w:val="7012C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212283"/>
    <w:multiLevelType w:val="hybridMultilevel"/>
    <w:tmpl w:val="5FF0F6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8D66ACD"/>
    <w:multiLevelType w:val="multilevel"/>
    <w:tmpl w:val="0FD6E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DE116E"/>
    <w:multiLevelType w:val="hybridMultilevel"/>
    <w:tmpl w:val="AEE4E2F4"/>
    <w:lvl w:ilvl="0" w:tplc="FFFFFFFF">
      <w:start w:val="1"/>
      <w:numFmt w:val="bullet"/>
      <w:lvlText w:val="-"/>
      <w:legacy w:legacy="1" w:legacySpace="0" w:legacyIndent="360"/>
      <w:lvlJc w:val="left"/>
      <w:pPr>
        <w:ind w:left="360" w:hanging="360"/>
      </w:p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C17841"/>
    <w:multiLevelType w:val="multilevel"/>
    <w:tmpl w:val="7152F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1F4B15"/>
    <w:multiLevelType w:val="hybridMultilevel"/>
    <w:tmpl w:val="C7BE5B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2095B77"/>
    <w:multiLevelType w:val="hybridMultilevel"/>
    <w:tmpl w:val="BDA627E0"/>
    <w:lvl w:ilvl="0" w:tplc="19E82870">
      <w:start w:val="3"/>
      <w:numFmt w:val="bullet"/>
      <w:lvlText w:val="•"/>
      <w:lvlJc w:val="left"/>
      <w:pPr>
        <w:ind w:left="502" w:hanging="360"/>
      </w:pPr>
      <w:rPr>
        <w:rFonts w:ascii="Times New Roman" w:eastAsia="Times New Roman" w:hAnsi="Times New Roman" w:cs="Times New Roman" w:hint="default"/>
        <w:i w:val="0"/>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10" w15:restartNumberingAfterBreak="0">
    <w:nsid w:val="5CEC024F"/>
    <w:multiLevelType w:val="multilevel"/>
    <w:tmpl w:val="8766D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4607B2"/>
    <w:multiLevelType w:val="multilevel"/>
    <w:tmpl w:val="C31E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0"/>
    <w:lvlOverride w:ilvl="0">
      <w:lvl w:ilvl="0">
        <w:start w:val="1"/>
        <w:numFmt w:val="bullet"/>
        <w:lvlText w:val="-"/>
        <w:lvlJc w:val="left"/>
        <w:pPr>
          <w:ind w:left="360" w:hanging="360"/>
        </w:pPr>
      </w:lvl>
    </w:lvlOverride>
  </w:num>
  <w:num w:numId="4">
    <w:abstractNumId w:val="5"/>
  </w:num>
  <w:num w:numId="5">
    <w:abstractNumId w:val="7"/>
  </w:num>
  <w:num w:numId="6">
    <w:abstractNumId w:val="10"/>
  </w:num>
  <w:num w:numId="7">
    <w:abstractNumId w:val="3"/>
  </w:num>
  <w:num w:numId="8">
    <w:abstractNumId w:val="11"/>
  </w:num>
  <w:num w:numId="9">
    <w:abstractNumId w:val="8"/>
  </w:num>
  <w:num w:numId="10">
    <w:abstractNumId w:val="1"/>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Z9qFDXmdBFqjw90v7/glHmPKaN7zGyAhwg43IjqUFXmEzvDxbqOnESk7h9puGqzL6Zh+9drvC4Z7pP1TNecOWg==" w:salt="uh/zYpae+X1+ht0wZz/+kA=="/>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337"/>
    <w:rsid w:val="00076B34"/>
    <w:rsid w:val="001E0337"/>
    <w:rsid w:val="002D7B07"/>
    <w:rsid w:val="003453AC"/>
    <w:rsid w:val="003B2C9B"/>
    <w:rsid w:val="00404ABB"/>
    <w:rsid w:val="00434379"/>
    <w:rsid w:val="00490C4E"/>
    <w:rsid w:val="00521F7B"/>
    <w:rsid w:val="00567A79"/>
    <w:rsid w:val="005B361E"/>
    <w:rsid w:val="005E2817"/>
    <w:rsid w:val="005E5893"/>
    <w:rsid w:val="00670023"/>
    <w:rsid w:val="006873BB"/>
    <w:rsid w:val="006A54A2"/>
    <w:rsid w:val="006C036B"/>
    <w:rsid w:val="006D4478"/>
    <w:rsid w:val="007239AC"/>
    <w:rsid w:val="00825843"/>
    <w:rsid w:val="00882BEA"/>
    <w:rsid w:val="00A4433F"/>
    <w:rsid w:val="00C471F3"/>
    <w:rsid w:val="00D07CD9"/>
    <w:rsid w:val="00DA5BE3"/>
    <w:rsid w:val="00DB3674"/>
    <w:rsid w:val="00F527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1B619A-E8A9-45AE-AC2F-09A0DB6FC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52787"/>
    <w:pPr>
      <w:spacing w:after="0" w:line="240" w:lineRule="auto"/>
      <w:ind w:left="567" w:hanging="567"/>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uiPriority w:val="9"/>
    <w:qFormat/>
    <w:rsid w:val="00F5278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F5278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9">
    <w:name w:val="heading 9"/>
    <w:basedOn w:val="prastasis"/>
    <w:next w:val="prastasis"/>
    <w:link w:val="Antrat9Diagrama"/>
    <w:uiPriority w:val="9"/>
    <w:semiHidden/>
    <w:unhideWhenUsed/>
    <w:qFormat/>
    <w:rsid w:val="005E281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rsid w:val="00F52787"/>
  </w:style>
  <w:style w:type="paragraph" w:styleId="Antrats">
    <w:name w:val="header"/>
    <w:basedOn w:val="prastasis"/>
    <w:link w:val="AntratsDiagrama"/>
    <w:rsid w:val="00F52787"/>
    <w:pPr>
      <w:tabs>
        <w:tab w:val="center" w:pos="4153"/>
        <w:tab w:val="right" w:pos="8306"/>
      </w:tabs>
    </w:pPr>
  </w:style>
  <w:style w:type="character" w:customStyle="1" w:styleId="AntratsDiagrama">
    <w:name w:val="Antraštės Diagrama"/>
    <w:basedOn w:val="Numatytasispastraiposriftas"/>
    <w:link w:val="Antrats"/>
    <w:rsid w:val="00F52787"/>
    <w:rPr>
      <w:rFonts w:ascii="Times New Roman" w:eastAsia="Times New Roman" w:hAnsi="Times New Roman" w:cs="Times New Roman"/>
      <w:szCs w:val="20"/>
      <w:lang w:eastAsia="lt-LT"/>
    </w:rPr>
  </w:style>
  <w:style w:type="paragraph" w:styleId="Pagrindinistekstas">
    <w:name w:val="Body Text"/>
    <w:basedOn w:val="prastasis"/>
    <w:link w:val="PagrindinistekstasDiagrama"/>
    <w:rsid w:val="00F52787"/>
    <w:pPr>
      <w:spacing w:after="120"/>
    </w:pPr>
  </w:style>
  <w:style w:type="character" w:customStyle="1" w:styleId="PagrindinistekstasDiagrama">
    <w:name w:val="Pagrindinis tekstas Diagrama"/>
    <w:basedOn w:val="Numatytasispastraiposriftas"/>
    <w:link w:val="Pagrindinistekstas"/>
    <w:rsid w:val="00F52787"/>
    <w:rPr>
      <w:rFonts w:ascii="Times New Roman" w:eastAsia="Times New Roman" w:hAnsi="Times New Roman" w:cs="Times New Roman"/>
      <w:szCs w:val="20"/>
      <w:lang w:eastAsia="lt-LT"/>
    </w:rPr>
  </w:style>
  <w:style w:type="paragraph" w:customStyle="1" w:styleId="PI-1EMEASMCA">
    <w:name w:val="PI-1 EMEA_SMCA"/>
    <w:basedOn w:val="Antrat2"/>
    <w:autoRedefine/>
    <w:rsid w:val="00F52787"/>
    <w:pPr>
      <w:keepLines w:val="0"/>
      <w:tabs>
        <w:tab w:val="left" w:pos="567"/>
      </w:tabs>
      <w:spacing w:before="0"/>
    </w:pPr>
    <w:rPr>
      <w:rFonts w:ascii="Times New Roman" w:eastAsia="Times New Roman" w:hAnsi="Times New Roman" w:cs="Times New Roman"/>
      <w:bCs w:val="0"/>
      <w:color w:val="auto"/>
      <w:sz w:val="22"/>
      <w:szCs w:val="22"/>
      <w:lang w:eastAsia="en-US"/>
    </w:rPr>
  </w:style>
  <w:style w:type="paragraph" w:customStyle="1" w:styleId="PI-1labEMEASMCA">
    <w:name w:val="PI-1_lab EMEA_SMCA"/>
    <w:basedOn w:val="prastasis"/>
    <w:link w:val="PI-1labEMEASMCAChar"/>
    <w:autoRedefine/>
    <w:rsid w:val="00F52787"/>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rsid w:val="00F52787"/>
    <w:rPr>
      <w:rFonts w:ascii="Times New Roman" w:eastAsia="Times New Roman" w:hAnsi="Times New Roman" w:cs="Times New Roman"/>
      <w:b/>
      <w:noProof/>
    </w:rPr>
  </w:style>
  <w:style w:type="paragraph" w:customStyle="1" w:styleId="BTEMEASMCA">
    <w:name w:val="BT EMEA_SMCA"/>
    <w:basedOn w:val="prastasis"/>
    <w:link w:val="BTEMEASMCAChar"/>
    <w:autoRedefine/>
    <w:rsid w:val="00F52787"/>
    <w:pPr>
      <w:ind w:left="0" w:firstLine="0"/>
    </w:pPr>
    <w:rPr>
      <w:noProof/>
      <w:szCs w:val="22"/>
      <w:lang w:eastAsia="en-US"/>
    </w:rPr>
  </w:style>
  <w:style w:type="paragraph" w:customStyle="1" w:styleId="TTEMEASMCA">
    <w:name w:val="TT EMEA_SMCA"/>
    <w:basedOn w:val="Antrat1"/>
    <w:link w:val="TTEMEASMCAChar"/>
    <w:autoRedefine/>
    <w:rsid w:val="00F52787"/>
    <w:pPr>
      <w:keepNext w:val="0"/>
      <w:keepLines w:val="0"/>
      <w:tabs>
        <w:tab w:val="left" w:pos="567"/>
      </w:tabs>
      <w:spacing w:before="0"/>
      <w:jc w:val="center"/>
    </w:pPr>
    <w:rPr>
      <w:rFonts w:ascii="Times New Roman" w:eastAsia="Times New Roman" w:hAnsi="Times New Roman" w:cs="Times New Roman"/>
      <w:bCs w:val="0"/>
      <w:caps/>
      <w:color w:val="auto"/>
      <w:sz w:val="22"/>
      <w:szCs w:val="22"/>
      <w:lang w:val="en-US" w:eastAsia="en-US"/>
    </w:rPr>
  </w:style>
  <w:style w:type="character" w:customStyle="1" w:styleId="TTEMEASMCAChar">
    <w:name w:val="TT EMEA_SMCA Char"/>
    <w:link w:val="TTEMEASMCA"/>
    <w:rsid w:val="00F52787"/>
    <w:rPr>
      <w:rFonts w:ascii="Times New Roman" w:eastAsia="Times New Roman" w:hAnsi="Times New Roman" w:cs="Times New Roman"/>
      <w:b/>
      <w:caps/>
      <w:lang w:val="en-US"/>
    </w:rPr>
  </w:style>
  <w:style w:type="character" w:customStyle="1" w:styleId="BTEMEASMCAChar">
    <w:name w:val="BT EMEA_SMCA Char"/>
    <w:link w:val="BTEMEASMCA"/>
    <w:rsid w:val="00F52787"/>
    <w:rPr>
      <w:rFonts w:ascii="Times New Roman" w:eastAsia="Times New Roman" w:hAnsi="Times New Roman" w:cs="Times New Roman"/>
      <w:noProof/>
    </w:rPr>
  </w:style>
  <w:style w:type="paragraph" w:customStyle="1" w:styleId="BTbEMEASMCA">
    <w:name w:val="BT(b) EMEA_SMCA"/>
    <w:basedOn w:val="BTEMEASMCA"/>
    <w:autoRedefine/>
    <w:rsid w:val="00A4433F"/>
    <w:rPr>
      <w:i/>
    </w:rPr>
  </w:style>
  <w:style w:type="paragraph" w:customStyle="1" w:styleId="PI-3EMEASMCA">
    <w:name w:val="PI-3 EMEA_SMCA"/>
    <w:basedOn w:val="prastasis"/>
    <w:link w:val="PI-3EMEASMCAChar"/>
    <w:autoRedefine/>
    <w:rsid w:val="00F52787"/>
    <w:pPr>
      <w:spacing w:line="220" w:lineRule="exact"/>
    </w:pPr>
    <w:rPr>
      <w:b/>
      <w:bCs/>
      <w:szCs w:val="22"/>
      <w:lang w:eastAsia="en-US"/>
    </w:rPr>
  </w:style>
  <w:style w:type="paragraph" w:styleId="Porat">
    <w:name w:val="footer"/>
    <w:basedOn w:val="prastasis"/>
    <w:link w:val="PoratDiagrama"/>
    <w:rsid w:val="00F52787"/>
    <w:pPr>
      <w:tabs>
        <w:tab w:val="center" w:pos="4819"/>
        <w:tab w:val="right" w:pos="9638"/>
      </w:tabs>
    </w:pPr>
  </w:style>
  <w:style w:type="character" w:customStyle="1" w:styleId="PoratDiagrama">
    <w:name w:val="Poraštė Diagrama"/>
    <w:basedOn w:val="Numatytasispastraiposriftas"/>
    <w:link w:val="Porat"/>
    <w:rsid w:val="00F52787"/>
    <w:rPr>
      <w:rFonts w:ascii="Times New Roman" w:eastAsia="Times New Roman" w:hAnsi="Times New Roman" w:cs="Times New Roman"/>
      <w:szCs w:val="20"/>
      <w:lang w:eastAsia="lt-LT"/>
    </w:rPr>
  </w:style>
  <w:style w:type="paragraph" w:styleId="Sraopastraipa">
    <w:name w:val="List Paragraph"/>
    <w:basedOn w:val="prastasis"/>
    <w:uiPriority w:val="34"/>
    <w:qFormat/>
    <w:rsid w:val="00F52787"/>
    <w:pPr>
      <w:ind w:left="720"/>
      <w:contextualSpacing/>
    </w:pPr>
  </w:style>
  <w:style w:type="character" w:customStyle="1" w:styleId="Antrat2Diagrama">
    <w:name w:val="Antraštė 2 Diagrama"/>
    <w:basedOn w:val="Numatytasispastraiposriftas"/>
    <w:link w:val="Antrat2"/>
    <w:uiPriority w:val="9"/>
    <w:semiHidden/>
    <w:rsid w:val="00F52787"/>
    <w:rPr>
      <w:rFonts w:asciiTheme="majorHAnsi" w:eastAsiaTheme="majorEastAsia" w:hAnsiTheme="majorHAnsi" w:cstheme="majorBidi"/>
      <w:b/>
      <w:bCs/>
      <w:color w:val="4F81BD" w:themeColor="accent1"/>
      <w:sz w:val="26"/>
      <w:szCs w:val="26"/>
      <w:lang w:eastAsia="lt-LT"/>
    </w:rPr>
  </w:style>
  <w:style w:type="character" w:customStyle="1" w:styleId="Antrat1Diagrama">
    <w:name w:val="Antraštė 1 Diagrama"/>
    <w:basedOn w:val="Numatytasispastraiposriftas"/>
    <w:link w:val="Antrat1"/>
    <w:uiPriority w:val="9"/>
    <w:rsid w:val="00F52787"/>
    <w:rPr>
      <w:rFonts w:asciiTheme="majorHAnsi" w:eastAsiaTheme="majorEastAsia" w:hAnsiTheme="majorHAnsi" w:cstheme="majorBidi"/>
      <w:b/>
      <w:bCs/>
      <w:color w:val="365F91" w:themeColor="accent1" w:themeShade="BF"/>
      <w:sz w:val="28"/>
      <w:szCs w:val="28"/>
      <w:lang w:eastAsia="lt-LT"/>
    </w:rPr>
  </w:style>
  <w:style w:type="character" w:customStyle="1" w:styleId="PI-3EMEASMCAChar">
    <w:name w:val="PI-3 EMEA_SMCA Char"/>
    <w:link w:val="PI-3EMEASMCA"/>
    <w:rsid w:val="007239AC"/>
    <w:rPr>
      <w:rFonts w:ascii="Times New Roman" w:eastAsia="Times New Roman" w:hAnsi="Times New Roman" w:cs="Times New Roman"/>
      <w:b/>
      <w:bCs/>
    </w:rPr>
  </w:style>
  <w:style w:type="paragraph" w:styleId="Debesliotekstas">
    <w:name w:val="Balloon Text"/>
    <w:basedOn w:val="prastasis"/>
    <w:link w:val="DebesliotekstasDiagrama"/>
    <w:uiPriority w:val="99"/>
    <w:semiHidden/>
    <w:unhideWhenUsed/>
    <w:rsid w:val="006D447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D4478"/>
    <w:rPr>
      <w:rFonts w:ascii="Tahoma" w:eastAsia="Times New Roman" w:hAnsi="Tahoma" w:cs="Tahoma"/>
      <w:sz w:val="16"/>
      <w:szCs w:val="16"/>
      <w:lang w:eastAsia="lt-LT"/>
    </w:rPr>
  </w:style>
  <w:style w:type="character" w:customStyle="1" w:styleId="Antrat9Diagrama">
    <w:name w:val="Antraštė 9 Diagrama"/>
    <w:basedOn w:val="Numatytasispastraiposriftas"/>
    <w:link w:val="Antrat9"/>
    <w:uiPriority w:val="99"/>
    <w:rsid w:val="005E2817"/>
    <w:rPr>
      <w:rFonts w:asciiTheme="majorHAnsi" w:eastAsiaTheme="majorEastAsia" w:hAnsiTheme="majorHAnsi" w:cstheme="majorBidi"/>
      <w:i/>
      <w:iCs/>
      <w:color w:val="272727" w:themeColor="text1" w:themeTint="D8"/>
      <w:sz w:val="21"/>
      <w:szCs w:val="21"/>
      <w:lang w:eastAsia="lt-LT"/>
    </w:rPr>
  </w:style>
  <w:style w:type="character" w:styleId="Hipersaitas">
    <w:name w:val="Hyperlink"/>
    <w:uiPriority w:val="99"/>
    <w:rsid w:val="004343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13595</Words>
  <Characters>7750</Characters>
  <Application>Microsoft Office Word</Application>
  <DocSecurity>8</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Venskus</dc:creator>
  <cp:lastModifiedBy>Birutė Valkauskaitė</cp:lastModifiedBy>
  <cp:revision>3</cp:revision>
  <cp:lastPrinted>2016-05-30T08:48:00Z</cp:lastPrinted>
  <dcterms:created xsi:type="dcterms:W3CDTF">2017-02-21T13:23:00Z</dcterms:created>
  <dcterms:modified xsi:type="dcterms:W3CDTF">2017-02-21T13:23:00Z</dcterms:modified>
</cp:coreProperties>
</file>