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9461E51" w14:textId="77777777" w:rsidR="00A34B5C" w:rsidRPr="00A34B5C" w:rsidRDefault="00A34B5C" w:rsidP="00A34B5C">
      <w:pPr>
        <w:spacing w:after="0" w:line="240" w:lineRule="auto"/>
        <w:rPr>
          <w:rFonts w:ascii="Times New Roman" w:eastAsia="Calibri" w:hAnsi="Times New Roman" w:cs="Times New Roman"/>
          <w:lang w:val="lt-LT"/>
        </w:rPr>
      </w:pPr>
      <w:bookmarkStart w:id="0" w:name="_GoBack"/>
      <w:bookmarkEnd w:id="0"/>
    </w:p>
    <w:p w14:paraId="2205F819"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5A0B956C"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09702EDF"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2FC2E44C"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62BD15CB"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0AF9F2F4"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31EA24D4"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7E93969A"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7F059DFC"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158AB91F"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05EC9562"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602B9024"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0245901F"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41B69CF9"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15B0E0A4"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3DA6B870"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3FFE77C1"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20450381"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12A41DEB"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3D1C80BC"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09838743"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15E8DC73"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215DE9B7" w14:textId="77777777" w:rsidR="00A34B5C" w:rsidRDefault="00A34B5C" w:rsidP="00DB0E71">
      <w:pPr>
        <w:pStyle w:val="Antrat1"/>
        <w:spacing w:before="0" w:after="0" w:line="240" w:lineRule="auto"/>
        <w:ind w:left="360" w:hanging="360"/>
        <w:jc w:val="center"/>
        <w:rPr>
          <w:lang w:val="lt-LT"/>
        </w:rPr>
      </w:pPr>
      <w:r w:rsidRPr="00B27E7B">
        <w:t>I PRIEDAS</w:t>
      </w:r>
    </w:p>
    <w:p w14:paraId="2ADBE554" w14:textId="77777777" w:rsidR="00DB0E71" w:rsidRPr="00B27E7B" w:rsidRDefault="00DB0E71" w:rsidP="00B27E7B">
      <w:pPr>
        <w:rPr>
          <w:lang w:val="lt-LT"/>
        </w:rPr>
      </w:pPr>
    </w:p>
    <w:p w14:paraId="50F984CE" w14:textId="77777777" w:rsidR="00A34B5C" w:rsidRPr="00C9198E" w:rsidRDefault="00A34B5C" w:rsidP="00B27E7B">
      <w:pPr>
        <w:pStyle w:val="Antrat1"/>
        <w:spacing w:before="0" w:after="0" w:line="240" w:lineRule="auto"/>
        <w:ind w:left="360" w:hanging="360"/>
        <w:jc w:val="center"/>
      </w:pPr>
      <w:r w:rsidRPr="00C9198E">
        <w:t>PREPARATO CHARAKTERISTIKŲ SANTRAUKA</w:t>
      </w:r>
    </w:p>
    <w:p w14:paraId="0F68C302" w14:textId="77777777" w:rsidR="00A34B5C" w:rsidRPr="00A34B5C" w:rsidRDefault="00A34B5C" w:rsidP="00A34B5C">
      <w:p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br w:type="page"/>
      </w:r>
      <w:r w:rsidRPr="00A34B5C">
        <w:rPr>
          <w:rFonts w:ascii="Times New Roman" w:eastAsia="Calibri" w:hAnsi="Times New Roman" w:cs="Times New Roman"/>
          <w:lang w:val="lt-LT"/>
        </w:rPr>
        <w:lastRenderedPageBreak/>
        <w:t>Leponex gali sukelti agranulocitozę. Jo skirti tik pacientams:</w:t>
      </w:r>
    </w:p>
    <w:p w14:paraId="410DD3FB" w14:textId="77777777" w:rsidR="00A34B5C" w:rsidRPr="00A34B5C" w:rsidRDefault="00A34B5C" w:rsidP="00A34B5C">
      <w:pPr>
        <w:numPr>
          <w:ilvl w:val="0"/>
          <w:numId w:val="1"/>
        </w:num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sergantiems šizofrenija, kuriems gydymas antipsichoziniais vaistiniais preparatais buvo neefektyvus arba jie jų netoleravo, ar sergantiems Parkinsono liga su psichoze, kuriems kitoks gydymas buvo neefektyvus (žr. 4.1 skyrių),</w:t>
      </w:r>
    </w:p>
    <w:p w14:paraId="4A8A1D20" w14:textId="77777777" w:rsidR="00A34B5C" w:rsidRPr="00A34B5C" w:rsidRDefault="00A34B5C" w:rsidP="00A34B5C">
      <w:pPr>
        <w:numPr>
          <w:ilvl w:val="0"/>
          <w:numId w:val="1"/>
        </w:num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kurių pradinis leukocitų kiekis yra normalus (leukocitų ≥ 3500/mm</w:t>
      </w:r>
      <w:r w:rsidRPr="00A34B5C">
        <w:rPr>
          <w:rFonts w:ascii="Times New Roman" w:eastAsia="Calibri" w:hAnsi="Times New Roman" w:cs="Times New Roman"/>
          <w:vertAlign w:val="superscript"/>
          <w:lang w:val="lt-LT"/>
        </w:rPr>
        <w:t>3</w:t>
      </w:r>
      <w:r w:rsidRPr="00A34B5C">
        <w:rPr>
          <w:rFonts w:ascii="Times New Roman" w:eastAsia="Calibri" w:hAnsi="Times New Roman" w:cs="Times New Roman"/>
          <w:lang w:val="lt-LT"/>
        </w:rPr>
        <w:t xml:space="preserve"> (≥ 3,5x10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/l) ir absoliutus neutrofilų kiekis (ANK) ≥ 2000/mm</w:t>
      </w:r>
      <w:r w:rsidRPr="00A34B5C">
        <w:rPr>
          <w:rFonts w:ascii="Times New Roman" w:eastAsia="Calibri" w:hAnsi="Times New Roman" w:cs="Times New Roman"/>
          <w:vertAlign w:val="superscript"/>
          <w:lang w:val="lt-LT"/>
        </w:rPr>
        <w:t>3</w:t>
      </w:r>
      <w:r w:rsidRPr="00A34B5C">
        <w:rPr>
          <w:rFonts w:ascii="Times New Roman" w:eastAsia="Calibri" w:hAnsi="Times New Roman" w:cs="Times New Roman"/>
          <w:lang w:val="lt-LT"/>
        </w:rPr>
        <w:t xml:space="preserve"> (≥ 2,0x10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/l) ir</w:t>
      </w:r>
    </w:p>
    <w:p w14:paraId="2F8C1F68" w14:textId="77777777" w:rsidR="00A34B5C" w:rsidRPr="00A34B5C" w:rsidRDefault="00A34B5C" w:rsidP="00A34B5C">
      <w:pPr>
        <w:numPr>
          <w:ilvl w:val="0"/>
          <w:numId w:val="1"/>
        </w:num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kuriems reguliariai galima nustatyti leukocitų (baltųjų kraujo ląstelių, BKL) ir absoliutų neutrofilų kiekį (ANK), t. y. kas savaitę pirmąsias gydymo 18 savaičių, paskui per visą gydymą ne rečiau kaip kas 4 savaites ir dar 4 savaites baigus gydyti Leponex (žr. 4.4 skyrių).</w:t>
      </w:r>
    </w:p>
    <w:p w14:paraId="2D9D96E6" w14:textId="77777777" w:rsidR="00A34B5C" w:rsidRPr="00A34B5C" w:rsidRDefault="00A34B5C" w:rsidP="00A34B5C">
      <w:p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lang w:val="lt-LT"/>
        </w:rPr>
      </w:pPr>
    </w:p>
    <w:p w14:paraId="11B2BF4A" w14:textId="77777777" w:rsidR="00A34B5C" w:rsidRPr="00A34B5C" w:rsidRDefault="00A34B5C" w:rsidP="00A34B5C">
      <w:p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Vaistinį preparatą išrašantis gydytojas visą laiką privalo laikytis būtinų saugumo priemonių. Kiekvienos konsultacijos metu Leponex gydomam pacientui privaloma priminti, kad jis, susirgęs bet kuria infekcija, nedelsdamas kreiptųsi į gydytoją. Ypač svarbu atkreipti dėmesį į požymius, panašius į gripo, pvz., karščiavimą, gerklės skausmą, ar kitus infekcijos simptomus, kurie gali rodyti pasireiškusią neutropeniją (žr. 4.4 skyrių).</w:t>
      </w:r>
    </w:p>
    <w:p w14:paraId="1161232C" w14:textId="77777777" w:rsidR="00A34B5C" w:rsidRPr="00A34B5C" w:rsidRDefault="00A34B5C" w:rsidP="00A34B5C">
      <w:p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lang w:val="lt-LT"/>
        </w:rPr>
      </w:pPr>
    </w:p>
    <w:p w14:paraId="568F05AE" w14:textId="77777777" w:rsidR="00A34B5C" w:rsidRPr="00A34B5C" w:rsidRDefault="00A34B5C" w:rsidP="00A34B5C">
      <w:p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Leponex galima išduoti tik medikams prižiūrint ir laikantis oficialių rekomendacijų (žr. 4.4 skyrių).</w:t>
      </w:r>
    </w:p>
    <w:p w14:paraId="47D9D4FA" w14:textId="77777777" w:rsidR="00A34B5C" w:rsidRPr="00A34B5C" w:rsidRDefault="00A34B5C" w:rsidP="00A34B5C">
      <w:p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lang w:val="lt-LT"/>
        </w:rPr>
      </w:pPr>
    </w:p>
    <w:p w14:paraId="0ACC62D3" w14:textId="77777777" w:rsidR="00A34B5C" w:rsidRPr="00A34B5C" w:rsidRDefault="00A34B5C" w:rsidP="00A34B5C">
      <w:p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u w:val="single"/>
          <w:lang w:val="lt-LT"/>
        </w:rPr>
      </w:pPr>
      <w:r w:rsidRPr="00A34B5C">
        <w:rPr>
          <w:rFonts w:ascii="Times New Roman" w:eastAsia="Calibri" w:hAnsi="Times New Roman" w:cs="Times New Roman"/>
          <w:u w:val="single"/>
          <w:lang w:val="lt-LT"/>
        </w:rPr>
        <w:t>Miokarditas</w:t>
      </w:r>
    </w:p>
    <w:p w14:paraId="5DF7F09F" w14:textId="77777777" w:rsidR="00A34B5C" w:rsidRPr="00A34B5C" w:rsidRDefault="00A34B5C" w:rsidP="00A34B5C">
      <w:p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Klozapinas yra susijęs su padidėjusia miokardito, kuris retkarčiais baigiasi mirtimi, rizika. Didžiausia miokardito rizika būna pirmaisiais 2 gydymo mėnesiais. Retai stebėta mirčių dėl kardiomiopatijos(žr. 4.4 skyrių).</w:t>
      </w:r>
    </w:p>
    <w:p w14:paraId="0BD6F7E7" w14:textId="77777777" w:rsidR="00A34B5C" w:rsidRPr="00A34B5C" w:rsidRDefault="00A34B5C" w:rsidP="00A34B5C">
      <w:p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lang w:val="lt-LT"/>
        </w:rPr>
      </w:pPr>
    </w:p>
    <w:p w14:paraId="50F12139" w14:textId="77777777" w:rsidR="00A34B5C" w:rsidRPr="00A34B5C" w:rsidRDefault="00A34B5C" w:rsidP="00A34B5C">
      <w:p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Miokarditą ir kardiomiopatiją reikia įtarti pacientams, kuriems yra nuolatinė tachikardija ramybės būsenoje ypač pirmaisiais 2 gydymo mėnesiais, ir (arba) širdies plakimas, aritmija, krūtinės skausmas ir kiti širdies nepakankamumo požymiai (pvz., nepaaiškinamas nuovargis, dusulys, tachipnėja) ar požymių, primenančių miokardo infarktą (žr. 4.4 skyrių).</w:t>
      </w:r>
    </w:p>
    <w:p w14:paraId="4D946C69" w14:textId="77777777" w:rsidR="00A34B5C" w:rsidRPr="00A34B5C" w:rsidRDefault="00A34B5C" w:rsidP="00A34B5C">
      <w:p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lang w:val="lt-LT"/>
        </w:rPr>
      </w:pPr>
    </w:p>
    <w:p w14:paraId="520FD6C7" w14:textId="77777777" w:rsidR="00A34B5C" w:rsidRPr="00A34B5C" w:rsidRDefault="00A34B5C" w:rsidP="00A34B5C">
      <w:p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Įtarus miokarditą ar kardiomiopatiją, gydymą Leponex būtina iš karto nutraukti, o pacientą nedelsiant siųsti kardiologo konsultacijai (žr. 4.4 skyrių).</w:t>
      </w:r>
    </w:p>
    <w:p w14:paraId="44AF79F1" w14:textId="77777777" w:rsidR="00A34B5C" w:rsidRPr="00A34B5C" w:rsidRDefault="00A34B5C" w:rsidP="00A34B5C">
      <w:p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lang w:val="lt-LT"/>
        </w:rPr>
      </w:pPr>
    </w:p>
    <w:p w14:paraId="1AE5F0BD" w14:textId="77777777" w:rsidR="00A34B5C" w:rsidRPr="00A34B5C" w:rsidRDefault="00A34B5C" w:rsidP="00A34B5C">
      <w:p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Klozapino pacientams, kuriems jis buvo sukėlęs miokarditą ar kardiomiopatiją, daugiau skirti negalima (žr. 4.3 ir 4.4 skyrius).</w:t>
      </w:r>
    </w:p>
    <w:p w14:paraId="02514281" w14:textId="77777777" w:rsidR="00A34B5C" w:rsidRPr="00A34B5C" w:rsidRDefault="00A34B5C" w:rsidP="00A34B5C">
      <w:pPr>
        <w:spacing w:after="0" w:line="240" w:lineRule="auto"/>
        <w:rPr>
          <w:rFonts w:ascii="Times New Roman" w:eastAsia="Calibri" w:hAnsi="Times New Roman" w:cs="Times New Roman"/>
          <w:lang w:val="lt-LT"/>
        </w:rPr>
      </w:pPr>
    </w:p>
    <w:p w14:paraId="0270F90D" w14:textId="77777777" w:rsidR="00A34B5C" w:rsidRPr="00A34B5C" w:rsidRDefault="00A34B5C" w:rsidP="00A34B5C">
      <w:pPr>
        <w:spacing w:after="0" w:line="240" w:lineRule="auto"/>
        <w:rPr>
          <w:rFonts w:ascii="Times New Roman" w:eastAsia="Calibri" w:hAnsi="Times New Roman" w:cs="Times New Roman"/>
          <w:b/>
          <w:lang w:val="lt-LT"/>
        </w:rPr>
      </w:pPr>
    </w:p>
    <w:p w14:paraId="430F2551" w14:textId="77777777" w:rsidR="00A34B5C" w:rsidRPr="00B27E7B" w:rsidRDefault="00A34B5C" w:rsidP="00B27E7B">
      <w:pPr>
        <w:pStyle w:val="Antrat1"/>
        <w:tabs>
          <w:tab w:val="clear" w:pos="567"/>
        </w:tabs>
        <w:spacing w:before="0" w:after="0" w:line="240" w:lineRule="auto"/>
        <w:ind w:left="540" w:hanging="540"/>
        <w:rPr>
          <w:b w:val="0"/>
        </w:rPr>
      </w:pPr>
      <w:r w:rsidRPr="00B27E7B">
        <w:rPr>
          <w:sz w:val="22"/>
        </w:rPr>
        <w:t>1.</w:t>
      </w:r>
      <w:r w:rsidRPr="00B27E7B">
        <w:rPr>
          <w:sz w:val="22"/>
        </w:rPr>
        <w:tab/>
        <w:t>VAISTINIO PREPARATO PAVADINIMAS</w:t>
      </w:r>
    </w:p>
    <w:p w14:paraId="37176ABD"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1866B073"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Leponex 25 mg tabletės</w:t>
      </w:r>
    </w:p>
    <w:p w14:paraId="368BF2CF"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Leponex 100 mg tabletės</w:t>
      </w:r>
    </w:p>
    <w:p w14:paraId="31EED088"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31C2C960" w14:textId="77777777" w:rsidR="00A34B5C" w:rsidRPr="00A34B5C" w:rsidRDefault="00A34B5C" w:rsidP="00A34B5C">
      <w:pPr>
        <w:spacing w:after="0" w:line="240" w:lineRule="auto"/>
        <w:rPr>
          <w:rFonts w:ascii="Times New Roman" w:eastAsia="Calibri" w:hAnsi="Times New Roman" w:cs="Times New Roman"/>
          <w:lang w:val="lt-LT"/>
        </w:rPr>
      </w:pPr>
    </w:p>
    <w:p w14:paraId="18B424CB" w14:textId="77777777" w:rsidR="00A34B5C" w:rsidRPr="00B27E7B" w:rsidRDefault="00A34B5C" w:rsidP="00B27E7B">
      <w:pPr>
        <w:pStyle w:val="Antrat1"/>
        <w:tabs>
          <w:tab w:val="clear" w:pos="567"/>
        </w:tabs>
        <w:spacing w:before="0" w:after="0" w:line="240" w:lineRule="auto"/>
        <w:ind w:left="540" w:hanging="540"/>
        <w:rPr>
          <w:b w:val="0"/>
          <w:caps w:val="0"/>
        </w:rPr>
      </w:pPr>
      <w:r w:rsidRPr="00B27E7B">
        <w:rPr>
          <w:sz w:val="22"/>
        </w:rPr>
        <w:t>2.</w:t>
      </w:r>
      <w:r w:rsidRPr="00B27E7B">
        <w:rPr>
          <w:sz w:val="22"/>
        </w:rPr>
        <w:tab/>
        <w:t>kokybinė ir kiekybinė sudėtis</w:t>
      </w:r>
    </w:p>
    <w:p w14:paraId="51F44D12"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243D96C3"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Vienoje tabletėje yra 25 mg ar 100 mg klozapino.</w:t>
      </w:r>
    </w:p>
    <w:p w14:paraId="69CD8DE7"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0DC9D9AC"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u w:val="single"/>
          <w:lang w:val="lt-LT"/>
        </w:rPr>
        <w:t>Pagalbinė medžiaga, kurios poveikis žinomas</w:t>
      </w:r>
      <w:r w:rsidRPr="00A34B5C">
        <w:rPr>
          <w:rFonts w:ascii="Times New Roman" w:eastAsia="Calibri" w:hAnsi="Times New Roman" w:cs="Times New Roman"/>
          <w:lang w:val="lt-LT"/>
        </w:rPr>
        <w:t>: vienoje tabletėje yra 48 mg laktozės monohidrato.</w:t>
      </w:r>
    </w:p>
    <w:p w14:paraId="13B04D8A"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6D9B677E"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Visos pagalbinės medžiagos išvardytos 6.1 skyriuje.</w:t>
      </w:r>
    </w:p>
    <w:p w14:paraId="7DDE4E19"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546702B4"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0EDF8358" w14:textId="77777777" w:rsidR="00A34B5C" w:rsidRPr="00B27E7B" w:rsidRDefault="00A34B5C" w:rsidP="00B27E7B">
      <w:pPr>
        <w:pStyle w:val="Antrat1"/>
        <w:tabs>
          <w:tab w:val="clear" w:pos="567"/>
        </w:tabs>
        <w:spacing w:before="0" w:after="0" w:line="240" w:lineRule="auto"/>
        <w:ind w:left="540" w:hanging="540"/>
        <w:rPr>
          <w:b w:val="0"/>
          <w:caps w:val="0"/>
        </w:rPr>
      </w:pPr>
      <w:r w:rsidRPr="00B27E7B">
        <w:rPr>
          <w:sz w:val="22"/>
        </w:rPr>
        <w:t>3.</w:t>
      </w:r>
      <w:r w:rsidRPr="00B27E7B">
        <w:rPr>
          <w:sz w:val="22"/>
        </w:rPr>
        <w:tab/>
        <w:t>FARMACINĖ forma</w:t>
      </w:r>
    </w:p>
    <w:p w14:paraId="2FBE732E"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385565A2"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Tabletė</w:t>
      </w:r>
    </w:p>
    <w:p w14:paraId="3F28BAFD"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25 mg tabletės yra geltonos, plokščios ir apvalios</w:t>
      </w:r>
      <w:r w:rsidR="00D1364D">
        <w:rPr>
          <w:rFonts w:ascii="Times New Roman" w:eastAsia="Calibri" w:hAnsi="Times New Roman" w:cs="Times New Roman"/>
          <w:lang w:val="lt-LT"/>
        </w:rPr>
        <w:t>,</w:t>
      </w:r>
      <w:r w:rsidR="00D1364D" w:rsidRPr="00D1364D">
        <w:rPr>
          <w:rFonts w:ascii="Times New Roman" w:eastAsia="Calibri" w:hAnsi="Times New Roman" w:cs="Times New Roman"/>
          <w:lang w:val="lt-LT"/>
        </w:rPr>
        <w:t xml:space="preserve"> </w:t>
      </w:r>
      <w:r w:rsidR="00D1364D">
        <w:rPr>
          <w:rFonts w:ascii="Times New Roman" w:eastAsia="Calibri" w:hAnsi="Times New Roman" w:cs="Times New Roman"/>
          <w:lang w:val="lt-LT"/>
        </w:rPr>
        <w:t>nuožulniais kraštais</w:t>
      </w:r>
      <w:r w:rsidRPr="00A34B5C">
        <w:rPr>
          <w:rFonts w:ascii="Times New Roman" w:eastAsia="Calibri" w:hAnsi="Times New Roman" w:cs="Times New Roman"/>
          <w:lang w:val="lt-LT"/>
        </w:rPr>
        <w:t>, kurių vienoje pusėje yra vagelė ir raidės „L/O“, kitoje žymė „CLOZ“.</w:t>
      </w:r>
    </w:p>
    <w:p w14:paraId="189A4C29"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100 mg tabletės yra geltonos, plokščios ir apvalios,</w:t>
      </w:r>
      <w:r w:rsidR="00D1364D" w:rsidRPr="00D1364D">
        <w:rPr>
          <w:rFonts w:ascii="Times New Roman" w:eastAsia="Calibri" w:hAnsi="Times New Roman" w:cs="Times New Roman"/>
          <w:lang w:val="lt-LT"/>
        </w:rPr>
        <w:t xml:space="preserve"> </w:t>
      </w:r>
      <w:r w:rsidR="00D1364D">
        <w:rPr>
          <w:rFonts w:ascii="Times New Roman" w:eastAsia="Calibri" w:hAnsi="Times New Roman" w:cs="Times New Roman"/>
          <w:lang w:val="lt-LT"/>
        </w:rPr>
        <w:t>nuožulniais kraštais,</w:t>
      </w:r>
      <w:r w:rsidR="00D1364D" w:rsidRPr="00A34B5C">
        <w:rPr>
          <w:rFonts w:ascii="Times New Roman" w:eastAsia="Calibri" w:hAnsi="Times New Roman" w:cs="Times New Roman"/>
          <w:lang w:val="lt-LT"/>
        </w:rPr>
        <w:t xml:space="preserve"> </w:t>
      </w:r>
      <w:r w:rsidRPr="00A34B5C">
        <w:rPr>
          <w:rFonts w:ascii="Times New Roman" w:eastAsia="Calibri" w:hAnsi="Times New Roman" w:cs="Times New Roman"/>
          <w:lang w:val="lt-LT"/>
        </w:rPr>
        <w:t xml:space="preserve"> kurių vienoje pusėje yra vagelė ir raidės „Z/A“, kitoje – žymė „CLOZ“.</w:t>
      </w:r>
    </w:p>
    <w:p w14:paraId="726888F9"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lastRenderedPageBreak/>
        <w:t>25 mg ir 100 mg tabletes galima padalyti į lygias dozes.</w:t>
      </w:r>
    </w:p>
    <w:p w14:paraId="2F5BAE9F" w14:textId="77777777" w:rsidR="00A34B5C" w:rsidRPr="00A34B5C" w:rsidRDefault="00A34B5C" w:rsidP="00A34B5C">
      <w:pPr>
        <w:spacing w:after="0" w:line="240" w:lineRule="auto"/>
        <w:rPr>
          <w:rFonts w:ascii="Times New Roman" w:eastAsia="Calibri" w:hAnsi="Times New Roman" w:cs="Times New Roman"/>
          <w:lang w:val="lt-LT"/>
        </w:rPr>
      </w:pPr>
    </w:p>
    <w:p w14:paraId="6B46CE78"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166BC117" w14:textId="77777777" w:rsidR="00A34B5C" w:rsidRPr="00B27E7B" w:rsidRDefault="00A34B5C" w:rsidP="00B27E7B">
      <w:pPr>
        <w:pStyle w:val="Antrat1"/>
        <w:tabs>
          <w:tab w:val="clear" w:pos="567"/>
        </w:tabs>
        <w:spacing w:before="0" w:after="0" w:line="240" w:lineRule="auto"/>
        <w:ind w:left="540" w:hanging="540"/>
        <w:rPr>
          <w:b w:val="0"/>
          <w:caps w:val="0"/>
        </w:rPr>
      </w:pPr>
      <w:r w:rsidRPr="00B27E7B">
        <w:rPr>
          <w:sz w:val="22"/>
        </w:rPr>
        <w:t>4.</w:t>
      </w:r>
      <w:r w:rsidRPr="00B27E7B">
        <w:rPr>
          <w:sz w:val="22"/>
        </w:rPr>
        <w:tab/>
        <w:t>klinikinĖ informacija</w:t>
      </w:r>
    </w:p>
    <w:p w14:paraId="3EDB4D9F"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7E3DA46D" w14:textId="77777777" w:rsidR="00A34B5C" w:rsidRPr="00DB0E71" w:rsidRDefault="00A34B5C" w:rsidP="00B27E7B">
      <w:pPr>
        <w:widowControl w:val="0"/>
        <w:autoSpaceDE w:val="0"/>
        <w:autoSpaceDN w:val="0"/>
        <w:spacing w:after="0" w:line="240" w:lineRule="auto"/>
        <w:ind w:left="540" w:hanging="540"/>
        <w:outlineLvl w:val="1"/>
        <w:rPr>
          <w:rFonts w:ascii="Times New Roman" w:eastAsia="Times New Roman" w:hAnsi="Times New Roman" w:cs="Times New Roman"/>
          <w:b/>
          <w:bCs/>
          <w:lang w:val="lt-LT"/>
        </w:rPr>
      </w:pPr>
      <w:r w:rsidRPr="00DB0E71">
        <w:rPr>
          <w:rFonts w:ascii="Times New Roman" w:eastAsia="Times New Roman" w:hAnsi="Times New Roman" w:cs="Times New Roman"/>
          <w:b/>
          <w:bCs/>
          <w:lang w:val="lt-LT"/>
        </w:rPr>
        <w:t>4.1</w:t>
      </w:r>
      <w:r w:rsidRPr="00DB0E71">
        <w:rPr>
          <w:rFonts w:ascii="Times New Roman" w:eastAsia="Times New Roman" w:hAnsi="Times New Roman" w:cs="Times New Roman"/>
          <w:b/>
          <w:bCs/>
          <w:lang w:val="lt-LT"/>
        </w:rPr>
        <w:tab/>
        <w:t>Terapinės indikacijos</w:t>
      </w:r>
    </w:p>
    <w:p w14:paraId="1DD9D75F" w14:textId="77777777" w:rsidR="00A34B5C" w:rsidRPr="00A34B5C" w:rsidRDefault="00A34B5C" w:rsidP="00A34B5C">
      <w:pPr>
        <w:spacing w:after="0" w:line="240" w:lineRule="auto"/>
        <w:rPr>
          <w:rFonts w:ascii="Times New Roman" w:eastAsia="Calibri" w:hAnsi="Times New Roman" w:cs="Times New Roman"/>
          <w:lang w:val="lt-LT"/>
        </w:rPr>
      </w:pPr>
    </w:p>
    <w:p w14:paraId="49280F09" w14:textId="77777777" w:rsidR="00CB146E" w:rsidRPr="0035481C" w:rsidRDefault="00CB146E" w:rsidP="00A34B5C">
      <w:pPr>
        <w:spacing w:after="0" w:line="240" w:lineRule="auto"/>
        <w:rPr>
          <w:rFonts w:ascii="Times New Roman" w:eastAsia="Calibri" w:hAnsi="Times New Roman" w:cs="Times New Roman"/>
          <w:i/>
          <w:lang w:val="lt-LT"/>
        </w:rPr>
      </w:pPr>
      <w:r w:rsidRPr="0035481C">
        <w:rPr>
          <w:rFonts w:ascii="Times New Roman" w:eastAsia="Calibri" w:hAnsi="Times New Roman" w:cs="Times New Roman"/>
          <w:i/>
          <w:u w:val="single"/>
          <w:lang w:val="lt-LT"/>
        </w:rPr>
        <w:t>Atsparios šizofrenijos gydymas</w:t>
      </w:r>
    </w:p>
    <w:p w14:paraId="20D5969A"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Atsparios gydymui šizofrenijos ir šizofrenija sergančių pacientų, kuriems pasireiškia sunkios, negydomos neurologinės nepageidaujamos reakcijos, sukeltos kitų antipsichozinių vaistinių preparatų, įskaitant netipinius neuroleptikus, gydymas.</w:t>
      </w:r>
    </w:p>
    <w:p w14:paraId="3CFF4C9D" w14:textId="77777777" w:rsidR="00A34B5C" w:rsidRPr="00A34B5C" w:rsidRDefault="00A34B5C" w:rsidP="00A34B5C">
      <w:pPr>
        <w:spacing w:after="0" w:line="240" w:lineRule="auto"/>
        <w:rPr>
          <w:rFonts w:ascii="Times New Roman" w:eastAsia="Calibri" w:hAnsi="Times New Roman" w:cs="Times New Roman"/>
          <w:lang w:val="lt-LT"/>
        </w:rPr>
      </w:pPr>
    </w:p>
    <w:p w14:paraId="292B057E" w14:textId="77777777" w:rsid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Atspari gydymui liga nustatoma tada, kai negaunama patenkinamo klinikinio pagerėjimo pakankamą laikotarpį vartojant adekvačias mažiausiai dviejų skirtingų antipsichozinių vaistinių preparatų, įskaitant netipinius antipsichozinius vaistinius preparatus, dozes.</w:t>
      </w:r>
    </w:p>
    <w:p w14:paraId="727E802C" w14:textId="77777777" w:rsidR="009326BC" w:rsidRPr="00A34B5C" w:rsidRDefault="009326BC" w:rsidP="00A34B5C">
      <w:pPr>
        <w:spacing w:after="0" w:line="240" w:lineRule="auto"/>
        <w:rPr>
          <w:rFonts w:ascii="Times New Roman" w:eastAsia="Calibri" w:hAnsi="Times New Roman" w:cs="Times New Roman"/>
          <w:lang w:val="lt-LT"/>
        </w:rPr>
      </w:pPr>
    </w:p>
    <w:p w14:paraId="7A080A2C" w14:textId="77777777" w:rsidR="00CB146E" w:rsidRPr="0035481C" w:rsidRDefault="00CB146E" w:rsidP="00A34B5C">
      <w:pPr>
        <w:spacing w:after="0" w:line="240" w:lineRule="auto"/>
        <w:rPr>
          <w:rFonts w:ascii="Times New Roman" w:eastAsia="Calibri" w:hAnsi="Times New Roman" w:cs="Times New Roman"/>
          <w:i/>
          <w:u w:val="single"/>
          <w:lang w:val="lt-LT"/>
        </w:rPr>
      </w:pPr>
      <w:r w:rsidRPr="0035481C">
        <w:rPr>
          <w:rFonts w:ascii="Times New Roman" w:eastAsia="Calibri" w:hAnsi="Times New Roman" w:cs="Times New Roman"/>
          <w:i/>
          <w:u w:val="single"/>
          <w:lang w:val="lt-LT"/>
        </w:rPr>
        <w:t>Psichikos sutrikimai, pasireiškiantys sergant Parkinsono liga</w:t>
      </w:r>
    </w:p>
    <w:p w14:paraId="217B334C" w14:textId="77777777" w:rsid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Leponex taip pat skiriama psichikos sutrikimams, pasireiškiantiems sergant Parkinsono liga, gydyti, kai standartinis gydymas yra nesėkmingas.</w:t>
      </w:r>
    </w:p>
    <w:p w14:paraId="0E6BA116"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520F7E7D" w14:textId="77777777" w:rsidR="00A34B5C" w:rsidRPr="00DB0E71" w:rsidRDefault="00A34B5C" w:rsidP="00B27E7B">
      <w:pPr>
        <w:widowControl w:val="0"/>
        <w:autoSpaceDE w:val="0"/>
        <w:autoSpaceDN w:val="0"/>
        <w:spacing w:after="0" w:line="240" w:lineRule="auto"/>
        <w:ind w:left="540" w:hanging="540"/>
        <w:outlineLvl w:val="1"/>
        <w:rPr>
          <w:rFonts w:ascii="Times New Roman" w:eastAsia="Times New Roman" w:hAnsi="Times New Roman" w:cs="Times New Roman"/>
          <w:b/>
          <w:bCs/>
          <w:lang w:val="lt-LT"/>
        </w:rPr>
      </w:pPr>
      <w:r w:rsidRPr="00DB0E71">
        <w:rPr>
          <w:rFonts w:ascii="Times New Roman" w:eastAsia="Times New Roman" w:hAnsi="Times New Roman" w:cs="Times New Roman"/>
          <w:b/>
          <w:bCs/>
          <w:lang w:val="lt-LT"/>
        </w:rPr>
        <w:t>4.2</w:t>
      </w:r>
      <w:r w:rsidRPr="00DB0E71">
        <w:rPr>
          <w:rFonts w:ascii="Times New Roman" w:eastAsia="Times New Roman" w:hAnsi="Times New Roman" w:cs="Times New Roman"/>
          <w:b/>
          <w:bCs/>
          <w:lang w:val="lt-LT"/>
        </w:rPr>
        <w:tab/>
        <w:t>Dozavimas ir vartojimo metodas</w:t>
      </w:r>
    </w:p>
    <w:p w14:paraId="377475C6"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09D70A25" w14:textId="77777777" w:rsidR="00A34B5C" w:rsidRPr="00A34B5C" w:rsidRDefault="00A34B5C" w:rsidP="00A34B5C">
      <w:pPr>
        <w:spacing w:after="0" w:line="240" w:lineRule="auto"/>
        <w:ind w:left="567" w:hanging="567"/>
        <w:rPr>
          <w:rFonts w:ascii="Times New Roman" w:eastAsia="Calibri" w:hAnsi="Times New Roman" w:cs="Times New Roman"/>
          <w:u w:val="single"/>
          <w:lang w:val="lt-LT"/>
        </w:rPr>
      </w:pPr>
      <w:r w:rsidRPr="00A34B5C">
        <w:rPr>
          <w:rFonts w:ascii="Times New Roman" w:eastAsia="Calibri" w:hAnsi="Times New Roman" w:cs="Times New Roman"/>
          <w:u w:val="single"/>
          <w:lang w:val="lt-LT"/>
        </w:rPr>
        <w:t>Dozavimas</w:t>
      </w:r>
    </w:p>
    <w:p w14:paraId="19ACDF6C"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Dozę reikia parinkti individualiai. Kiekvienam pacientui reikia skirti mažiausią efektyvią dozę. Siekiant sumažinti hipotenzijos, traukulių ar slopinimo pasireiškimo riziką, vaistinio preparato dozę reikia didinti atsargiai arba vartoti per kelis kartus.</w:t>
      </w:r>
    </w:p>
    <w:p w14:paraId="1803EBA2"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69735E92"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Gydyti Leponex galima pradėti tik pacientus, kurių baltųjų kraujo ląstelių (BKL) yra ≥ 3 500/mm</w:t>
      </w:r>
      <w:r w:rsidRPr="00A34B5C">
        <w:rPr>
          <w:rFonts w:ascii="Times New Roman" w:eastAsia="Calibri" w:hAnsi="Times New Roman" w:cs="Times New Roman"/>
          <w:vertAlign w:val="superscript"/>
          <w:lang w:val="lt-LT"/>
        </w:rPr>
        <w:t>3</w:t>
      </w:r>
      <w:r w:rsidRPr="00A34B5C">
        <w:rPr>
          <w:rFonts w:ascii="Times New Roman" w:eastAsia="Calibri" w:hAnsi="Times New Roman" w:cs="Times New Roman"/>
          <w:lang w:val="lt-LT"/>
        </w:rPr>
        <w:t xml:space="preserve"> (3,5x10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/l) ir absoliutus neutrofilų kiekis (ANK) yra ≥ 2 000/mm</w:t>
      </w:r>
      <w:r w:rsidRPr="00A34B5C">
        <w:rPr>
          <w:rFonts w:ascii="Times New Roman" w:eastAsia="Calibri" w:hAnsi="Times New Roman" w:cs="Times New Roman"/>
          <w:vertAlign w:val="superscript"/>
          <w:lang w:val="lt-LT"/>
        </w:rPr>
        <w:t>3</w:t>
      </w:r>
      <w:r w:rsidRPr="00A34B5C">
        <w:rPr>
          <w:rFonts w:ascii="Times New Roman" w:eastAsia="Calibri" w:hAnsi="Times New Roman" w:cs="Times New Roman"/>
          <w:lang w:val="lt-LT"/>
        </w:rPr>
        <w:t xml:space="preserve"> (2,0x10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/l) standartizuotos normos ribose.</w:t>
      </w:r>
    </w:p>
    <w:p w14:paraId="09FFF423" w14:textId="77777777" w:rsidR="00A34B5C" w:rsidRPr="00A34B5C" w:rsidRDefault="00A34B5C" w:rsidP="00A34B5C">
      <w:pPr>
        <w:spacing w:after="0" w:line="240" w:lineRule="auto"/>
        <w:rPr>
          <w:rFonts w:ascii="Times New Roman" w:eastAsia="Calibri" w:hAnsi="Times New Roman" w:cs="Times New Roman"/>
          <w:lang w:val="lt-LT"/>
        </w:rPr>
      </w:pPr>
    </w:p>
    <w:p w14:paraId="3B45A82D"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Dozę reikia koreguoti pacientams, kurie vartoja vaistinių preparatų, farmakodinamiškai ir farmakokinetiškai sąveikaujančių su Leponex, pvz., benzodiazepinų ar selektyvių serotonino reabsorbcijos inhibitorių (žr. 4.5 skyrių).</w:t>
      </w:r>
    </w:p>
    <w:p w14:paraId="7A51886E" w14:textId="77777777" w:rsidR="00A34B5C" w:rsidRPr="00A34B5C" w:rsidRDefault="00A34B5C" w:rsidP="00A34B5C">
      <w:pPr>
        <w:spacing w:after="0" w:line="240" w:lineRule="auto"/>
        <w:rPr>
          <w:rFonts w:ascii="Times New Roman" w:eastAsia="Calibri" w:hAnsi="Times New Roman" w:cs="Times New Roman"/>
          <w:lang w:val="lt-LT"/>
        </w:rPr>
      </w:pPr>
    </w:p>
    <w:p w14:paraId="24EBEC1C" w14:textId="77777777" w:rsidR="00A34B5C" w:rsidRPr="00A34B5C" w:rsidRDefault="00A34B5C" w:rsidP="00A34B5C">
      <w:pPr>
        <w:spacing w:after="0" w:line="240" w:lineRule="auto"/>
        <w:rPr>
          <w:rFonts w:ascii="Times New Roman" w:eastAsia="Calibri" w:hAnsi="Times New Roman" w:cs="Times New Roman"/>
          <w:i/>
          <w:u w:val="single"/>
          <w:lang w:val="lt-LT"/>
        </w:rPr>
      </w:pPr>
      <w:r w:rsidRPr="00A34B5C">
        <w:rPr>
          <w:rFonts w:ascii="Times New Roman" w:eastAsia="Calibri" w:hAnsi="Times New Roman" w:cs="Times New Roman"/>
          <w:i/>
          <w:u w:val="single"/>
          <w:lang w:val="lt-LT"/>
        </w:rPr>
        <w:t>Anksčiau vartoto antipsichozinio gydymo keitimas Leponex</w:t>
      </w:r>
    </w:p>
    <w:p w14:paraId="09CDA34D"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Paprastai nerekomenduojama Leponex vartoti kartu su kitais antipsichoziniais vaistiniais preparatais. Kai Leponex skiriama pacientui, jau gydomam geriamaisiais antipsichoziniais vaistiniais preparatais, rekomenduojama pirmiausia sumažinti kitų antipsichozinių vaistinių preparatų dozę ar nutraukti jų vartojimą laipsniškai mažinant dozę. Remdamasis klinikine situacija gydytojas turėtų nuspręsti, ar prieš pradedant skirti Leponex nutraukti kitų antipsichozinių vaistinių preparatų vartojimą.</w:t>
      </w:r>
    </w:p>
    <w:p w14:paraId="30FE6C22" w14:textId="77777777" w:rsidR="00A34B5C" w:rsidRPr="00A34B5C" w:rsidRDefault="00A34B5C" w:rsidP="00A34B5C">
      <w:pPr>
        <w:spacing w:after="0" w:line="240" w:lineRule="auto"/>
        <w:rPr>
          <w:rFonts w:ascii="Times New Roman" w:eastAsia="Calibri" w:hAnsi="Times New Roman" w:cs="Times New Roman"/>
          <w:lang w:val="lt-LT"/>
        </w:rPr>
      </w:pPr>
    </w:p>
    <w:p w14:paraId="2B871FCE" w14:textId="77777777" w:rsidR="00A34B5C" w:rsidRPr="00A34B5C" w:rsidRDefault="00A34B5C" w:rsidP="00A34B5C">
      <w:pPr>
        <w:spacing w:after="0" w:line="240" w:lineRule="auto"/>
        <w:rPr>
          <w:rFonts w:ascii="Times New Roman" w:eastAsia="Calibri" w:hAnsi="Times New Roman" w:cs="Times New Roman"/>
          <w:i/>
          <w:u w:val="single"/>
          <w:lang w:val="lt-LT"/>
        </w:rPr>
      </w:pPr>
      <w:r w:rsidRPr="00A34B5C">
        <w:rPr>
          <w:rFonts w:ascii="Times New Roman" w:eastAsia="Calibri" w:hAnsi="Times New Roman" w:cs="Times New Roman"/>
          <w:i/>
          <w:u w:val="single"/>
          <w:lang w:val="lt-LT"/>
        </w:rPr>
        <w:t>Pacientams, kuriems yra gydymui atspari šizofrenija</w:t>
      </w:r>
    </w:p>
    <w:p w14:paraId="79DBF84D" w14:textId="77777777" w:rsidR="00A34B5C" w:rsidRPr="00A34B5C" w:rsidRDefault="00A34B5C" w:rsidP="00A34B5C">
      <w:pPr>
        <w:spacing w:after="0" w:line="240" w:lineRule="auto"/>
        <w:rPr>
          <w:rFonts w:ascii="Times New Roman" w:eastAsia="Calibri" w:hAnsi="Times New Roman" w:cs="Times New Roman"/>
          <w:lang w:val="lt-LT"/>
        </w:rPr>
      </w:pPr>
    </w:p>
    <w:p w14:paraId="06D19358"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Pradinis gydymas</w:t>
      </w:r>
    </w:p>
    <w:p w14:paraId="310E43B4"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Po 12,5 mg vieną ar du kartus pirmąją dieną, paskui po 25 mg vieną ar du kartus antrąją dieną. Jei vaistinis preparatas gerai toleruojamas, paros dozę galima lėtai didinti po 25</w:t>
      </w:r>
      <w:r w:rsidRPr="00A34B5C">
        <w:rPr>
          <w:rFonts w:ascii="Times New Roman" w:eastAsia="Calibri" w:hAnsi="Times New Roman" w:cs="Times New Roman"/>
          <w:lang w:val="lt-LT"/>
        </w:rPr>
        <w:noBreakHyphen/>
        <w:t>50 mg, kad per 2</w:t>
      </w:r>
      <w:r w:rsidRPr="00A34B5C">
        <w:rPr>
          <w:rFonts w:ascii="Times New Roman" w:eastAsia="Calibri" w:hAnsi="Times New Roman" w:cs="Times New Roman"/>
          <w:lang w:val="lt-LT"/>
        </w:rPr>
        <w:noBreakHyphen/>
        <w:t>3 savaites būtų pasiekta 300 mg paros dozė. Paskui, jei reikia, paros dozę galima toliau didinti po 50</w:t>
      </w:r>
      <w:r w:rsidRPr="00A34B5C">
        <w:rPr>
          <w:rFonts w:ascii="Times New Roman" w:eastAsia="Calibri" w:hAnsi="Times New Roman" w:cs="Times New Roman"/>
          <w:lang w:val="lt-LT"/>
        </w:rPr>
        <w:noBreakHyphen/>
        <w:t>100 mg kas pusę savaitės arba, geriau, kas savaitę.</w:t>
      </w:r>
    </w:p>
    <w:p w14:paraId="0B4814BB" w14:textId="77777777" w:rsidR="00A34B5C" w:rsidRPr="00A34B5C" w:rsidRDefault="00A34B5C" w:rsidP="00A34B5C">
      <w:pPr>
        <w:spacing w:after="0" w:line="240" w:lineRule="auto"/>
        <w:rPr>
          <w:rFonts w:ascii="Times New Roman" w:eastAsia="Calibri" w:hAnsi="Times New Roman" w:cs="Times New Roman"/>
          <w:lang w:val="lt-LT"/>
        </w:rPr>
      </w:pPr>
    </w:p>
    <w:p w14:paraId="674FF038"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Gydomosios dozės ribos</w:t>
      </w:r>
    </w:p>
    <w:p w14:paraId="00BF8D95"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Daugumai pacientų antipsichozinio poveikio galima tikėtis skiriant 200</w:t>
      </w:r>
      <w:r w:rsidRPr="00A34B5C">
        <w:rPr>
          <w:rFonts w:ascii="Times New Roman" w:eastAsia="Calibri" w:hAnsi="Times New Roman" w:cs="Times New Roman"/>
          <w:lang w:val="lt-LT"/>
        </w:rPr>
        <w:noBreakHyphen/>
        <w:t>450 mg paros dozę, kuri padalijus suvartojama per kelis kartus. Bendrąją paros dozę galima dalyti į nelygias dalis, didesnę dozę suvartoti prieš miegą.</w:t>
      </w:r>
    </w:p>
    <w:p w14:paraId="4FA73C8F" w14:textId="77777777" w:rsidR="00A34B5C" w:rsidRPr="00A34B5C" w:rsidRDefault="00A34B5C" w:rsidP="00A34B5C">
      <w:pPr>
        <w:spacing w:after="0" w:line="240" w:lineRule="auto"/>
        <w:rPr>
          <w:rFonts w:ascii="Times New Roman" w:eastAsia="Calibri" w:hAnsi="Times New Roman" w:cs="Times New Roman"/>
          <w:lang w:val="lt-LT"/>
        </w:rPr>
      </w:pPr>
    </w:p>
    <w:p w14:paraId="5DCB12F7"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Didžiausia dozė</w:t>
      </w:r>
    </w:p>
    <w:p w14:paraId="52A36AF1"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lastRenderedPageBreak/>
        <w:t>Visiškam gydomajam poveikiui pasiekti kai kuriems pacientams gali prireikti didesnės dozės. Tuomet dozę, gerai apsvarsčius, galima didinti (ne daugiau kaip po 100 mg) iki 900 mg per parą. Tačiau reikia nepamiršti, kad nepageidaujamų reakcijų (ypač traukulių) būna dažniau, kai vartojama didesnė kaip 450 mg paros dozė.</w:t>
      </w:r>
    </w:p>
    <w:p w14:paraId="624A77E4" w14:textId="77777777" w:rsidR="00A34B5C" w:rsidRPr="00A34B5C" w:rsidRDefault="00A34B5C" w:rsidP="00A34B5C">
      <w:pPr>
        <w:spacing w:after="0" w:line="240" w:lineRule="auto"/>
        <w:rPr>
          <w:rFonts w:ascii="Times New Roman" w:eastAsia="Calibri" w:hAnsi="Times New Roman" w:cs="Times New Roman"/>
          <w:lang w:val="lt-LT"/>
        </w:rPr>
      </w:pPr>
    </w:p>
    <w:p w14:paraId="5DE64596"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Palaikomoji dozė</w:t>
      </w:r>
    </w:p>
    <w:p w14:paraId="66086A93"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Pasiekus didžiausią gydomąjį poveikį, daugeliui pacientų šiam poveikiui palaikyti pakanka mažesnės dozės. Todėl rekomenduojama atsargiai mažinti dozę. Gydyti reikia mažiausiai 6 mėnesius. Ne didesnę kaip 200 mg paros dozę galima vartoti vieną kartą per parą vakare.</w:t>
      </w:r>
    </w:p>
    <w:p w14:paraId="6BED767F" w14:textId="77777777" w:rsidR="00A34B5C" w:rsidRPr="00A34B5C" w:rsidRDefault="00A34B5C" w:rsidP="00A34B5C">
      <w:pPr>
        <w:spacing w:after="0" w:line="240" w:lineRule="auto"/>
        <w:rPr>
          <w:rFonts w:ascii="Times New Roman" w:eastAsia="Calibri" w:hAnsi="Times New Roman" w:cs="Times New Roman"/>
          <w:lang w:val="lt-LT"/>
        </w:rPr>
      </w:pPr>
    </w:p>
    <w:p w14:paraId="0FE7D1F6"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Gydymo pabaiga</w:t>
      </w:r>
    </w:p>
    <w:p w14:paraId="4B6E8C87"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Planuojant baigti gydymą Leponex, rekomenduojama laipsniškai mažinti dozę per 1</w:t>
      </w:r>
      <w:r w:rsidRPr="00A34B5C">
        <w:rPr>
          <w:rFonts w:ascii="Times New Roman" w:eastAsia="Calibri" w:hAnsi="Times New Roman" w:cs="Times New Roman"/>
          <w:lang w:val="lt-LT"/>
        </w:rPr>
        <w:noBreakHyphen/>
        <w:t>2 savaites. Jei gydymą būtina nutraukti nedelsiant, pacientą reikia atidžiai stebėti dėl galinčių atsinaujinti psichozės ir su cholinergine reakcija susijusių požymių (žr. 4.4 skyrių).</w:t>
      </w:r>
    </w:p>
    <w:p w14:paraId="6B11FFCA" w14:textId="77777777" w:rsidR="00A34B5C" w:rsidRPr="00A34B5C" w:rsidRDefault="00A34B5C" w:rsidP="00A34B5C">
      <w:pPr>
        <w:spacing w:after="0" w:line="240" w:lineRule="auto"/>
        <w:rPr>
          <w:rFonts w:ascii="Times New Roman" w:eastAsia="Calibri" w:hAnsi="Times New Roman" w:cs="Times New Roman"/>
          <w:lang w:val="lt-LT"/>
        </w:rPr>
      </w:pPr>
    </w:p>
    <w:p w14:paraId="2C8EE60A"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Gydymo atnaujinimas</w:t>
      </w:r>
    </w:p>
    <w:p w14:paraId="011BD8A4"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Pacientams, kuriems po paskutiniosios Leponex dozės praėjo daugiau kaip 2 dienos, gydymą reikia atnaujinti 12,5 mg doze, vartojama vieną ar du kartus per parą pirmąją dieną. Jei ši dozė gerai toleruojama, ją galima toliau didinti iki gydomosios greičiau negu rekomenduojama gydymo pradžioje. Tačiau visiems pacientams, kuriems anksčiau pradėjus vartoti vaistinį preparatą buvo sustojęs kvėpavimas ar širdies veikla (žr. 4.4 skyrių), tačiau paskui sėkmingai buvo nustatyta gydomoji dozė, kartotinai parinkti dozę reikia ypač atsargiai.</w:t>
      </w:r>
    </w:p>
    <w:p w14:paraId="2452B83D" w14:textId="77777777" w:rsidR="00A34B5C" w:rsidRPr="00A34B5C" w:rsidRDefault="00A34B5C" w:rsidP="00A34B5C">
      <w:pPr>
        <w:spacing w:after="0" w:line="240" w:lineRule="auto"/>
        <w:rPr>
          <w:rFonts w:ascii="Times New Roman" w:eastAsia="Calibri" w:hAnsi="Times New Roman" w:cs="Times New Roman"/>
          <w:lang w:val="lt-LT"/>
        </w:rPr>
      </w:pPr>
    </w:p>
    <w:p w14:paraId="1472B988" w14:textId="77777777" w:rsidR="00A34B5C" w:rsidRPr="00A34B5C" w:rsidRDefault="00A34B5C" w:rsidP="00A34B5C">
      <w:pPr>
        <w:spacing w:after="0" w:line="240" w:lineRule="auto"/>
        <w:rPr>
          <w:rFonts w:ascii="Times New Roman" w:eastAsia="Calibri" w:hAnsi="Times New Roman" w:cs="Times New Roman"/>
          <w:i/>
          <w:u w:val="single"/>
          <w:lang w:val="lt-LT"/>
        </w:rPr>
      </w:pPr>
      <w:r w:rsidRPr="00A34B5C">
        <w:rPr>
          <w:rFonts w:ascii="Times New Roman" w:eastAsia="Calibri" w:hAnsi="Times New Roman" w:cs="Times New Roman"/>
          <w:i/>
          <w:u w:val="single"/>
          <w:lang w:val="lt-LT"/>
        </w:rPr>
        <w:t>Psichikos sutrikimai, pasireiškiantys sergant Parkinsono liga, kai standartinis gydymas neefektyvus</w:t>
      </w:r>
    </w:p>
    <w:p w14:paraId="10444C52" w14:textId="77777777" w:rsidR="00A34B5C" w:rsidRPr="00A34B5C" w:rsidRDefault="00A34B5C" w:rsidP="00A34B5C">
      <w:pPr>
        <w:spacing w:after="0" w:line="240" w:lineRule="auto"/>
        <w:rPr>
          <w:rFonts w:ascii="Times New Roman" w:eastAsia="Calibri" w:hAnsi="Times New Roman" w:cs="Times New Roman"/>
          <w:lang w:val="lt-LT"/>
        </w:rPr>
      </w:pPr>
    </w:p>
    <w:p w14:paraId="2730A092"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Pradinis gydymas</w:t>
      </w:r>
    </w:p>
    <w:p w14:paraId="0F8CDAC5"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Pradinė dozė turi būti ne didesnė kaip 12,5 mg per parą, ji vartojama vakare. Toliau dozę galima didinti po 12,5 mg, bet ne dažniau kaip du kartus per savaitę, daugiausiai iki 50 mg dozės, kurią galima pasiekti ne greičiau kaip iki antrosios savaitės pabaigos. Bendrąją paros dozę geriausiai suvartoti per vieną kartą vakare.</w:t>
      </w:r>
    </w:p>
    <w:p w14:paraId="29B16B9B" w14:textId="77777777" w:rsidR="00A34B5C" w:rsidRPr="00A34B5C" w:rsidRDefault="00A34B5C" w:rsidP="00A34B5C">
      <w:pPr>
        <w:spacing w:after="0" w:line="240" w:lineRule="auto"/>
        <w:rPr>
          <w:rFonts w:ascii="Times New Roman" w:eastAsia="Calibri" w:hAnsi="Times New Roman" w:cs="Times New Roman"/>
          <w:lang w:val="lt-LT"/>
        </w:rPr>
      </w:pPr>
    </w:p>
    <w:p w14:paraId="1679E5B3"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Gydomosios dozės ribos</w:t>
      </w:r>
    </w:p>
    <w:p w14:paraId="5D6DD1B0"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Paprastai vidutinė efektyvi dozė yra 25</w:t>
      </w:r>
      <w:r w:rsidRPr="00A34B5C">
        <w:rPr>
          <w:rFonts w:ascii="Times New Roman" w:eastAsia="Calibri" w:hAnsi="Times New Roman" w:cs="Times New Roman"/>
          <w:lang w:val="lt-LT"/>
        </w:rPr>
        <w:noBreakHyphen/>
        <w:t>37,5 mg per parą. Jeigu 50 mg dozė, vartota mažiausiai vieną savaitę, nesukelia patenkinamo gydomojo poveikio, ją atsargiai galima didinti po 12,5 mg per savaitę.</w:t>
      </w:r>
    </w:p>
    <w:p w14:paraId="59124456" w14:textId="77777777" w:rsidR="00A34B5C" w:rsidRPr="00A34B5C" w:rsidRDefault="00A34B5C" w:rsidP="00A34B5C">
      <w:pPr>
        <w:spacing w:after="0" w:line="240" w:lineRule="auto"/>
        <w:rPr>
          <w:rFonts w:ascii="Times New Roman" w:eastAsia="Calibri" w:hAnsi="Times New Roman" w:cs="Times New Roman"/>
          <w:lang w:val="lt-LT"/>
        </w:rPr>
      </w:pPr>
    </w:p>
    <w:p w14:paraId="2CD46EE9"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Didžiausia dozė</w:t>
      </w:r>
    </w:p>
    <w:p w14:paraId="6CAFA80C"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Didesnę kaip 50 mg paros dozę galima skirti tik išimtiniais atvejais, tačiau didesnės kaip 100 mg (didžiausios) paros dozės skirti negalima. </w:t>
      </w:r>
    </w:p>
    <w:p w14:paraId="29CED889" w14:textId="77777777" w:rsidR="00A34B5C" w:rsidRPr="00A34B5C" w:rsidRDefault="00A34B5C" w:rsidP="00A34B5C">
      <w:pPr>
        <w:spacing w:after="0" w:line="240" w:lineRule="auto"/>
        <w:rPr>
          <w:rFonts w:ascii="Times New Roman" w:eastAsia="Calibri" w:hAnsi="Times New Roman" w:cs="Times New Roman"/>
          <w:lang w:val="lt-LT"/>
        </w:rPr>
      </w:pPr>
    </w:p>
    <w:p w14:paraId="7F55C320"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Dozės didinimą reikia riboti ar atidėti, jeigu pasireiškia ortostatinė hipotenzija, pernelyg didelis raminamasis poveikis ar sumišimas. Pirmosiomis gydymo savaitėmis būtina matuoti kraujospūdį.</w:t>
      </w:r>
    </w:p>
    <w:p w14:paraId="182BAE25" w14:textId="77777777" w:rsidR="00A34B5C" w:rsidRPr="00A34B5C" w:rsidRDefault="00A34B5C" w:rsidP="00A34B5C">
      <w:pPr>
        <w:spacing w:after="0" w:line="240" w:lineRule="auto"/>
        <w:rPr>
          <w:rFonts w:ascii="Times New Roman" w:eastAsia="Calibri" w:hAnsi="Times New Roman" w:cs="Times New Roman"/>
          <w:lang w:val="lt-LT"/>
        </w:rPr>
      </w:pPr>
    </w:p>
    <w:p w14:paraId="5EC47D4F"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Palaikomoji dozė</w:t>
      </w:r>
    </w:p>
    <w:p w14:paraId="33081E8F"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Kai ne mažiau kaip 2 savaites yra visiška psichozės požymių remisija, galima stiprinti antiparkinsoninį gydymą, jeigu reikia, dėl motorikos būklės. Jeigu dėl to vėl atsinaujina psichozės požymiai, Leponex dozę galima didinti po 12,5 mg per savaitę iki didžiausios 100 mg paros dozės, suvartojamos per vieną ar du kartus.</w:t>
      </w:r>
    </w:p>
    <w:p w14:paraId="59892C23" w14:textId="77777777" w:rsidR="00A34B5C" w:rsidRPr="00A34B5C" w:rsidRDefault="00A34B5C" w:rsidP="00A34B5C">
      <w:pPr>
        <w:spacing w:after="0" w:line="240" w:lineRule="auto"/>
        <w:rPr>
          <w:rFonts w:ascii="Times New Roman" w:eastAsia="Calibri" w:hAnsi="Times New Roman" w:cs="Times New Roman"/>
          <w:lang w:val="lt-LT"/>
        </w:rPr>
      </w:pPr>
    </w:p>
    <w:p w14:paraId="7E6F32E5"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Gydymo pabaiga</w:t>
      </w:r>
    </w:p>
    <w:p w14:paraId="0B0088E2"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Baigiant gydymą rekomenduojama laipsniškai mažinti dozę po 12,5 mg mažiausiai per vieną savaitę (geriau per dvi savaites).</w:t>
      </w:r>
    </w:p>
    <w:p w14:paraId="2E900C29" w14:textId="77777777" w:rsidR="00A34B5C" w:rsidRPr="00A34B5C" w:rsidRDefault="00A34B5C" w:rsidP="00A34B5C">
      <w:pPr>
        <w:spacing w:after="0" w:line="240" w:lineRule="auto"/>
        <w:rPr>
          <w:rFonts w:ascii="Times New Roman" w:eastAsia="Calibri" w:hAnsi="Times New Roman" w:cs="Times New Roman"/>
          <w:lang w:val="lt-LT"/>
        </w:rPr>
      </w:pPr>
    </w:p>
    <w:p w14:paraId="672F545D"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Pasireiškus neutropenijai ar agranulocitozei, gydymą nedelsiant nutraukti (žr. 4.4 skyrių). Tokio paciento psichikos būklę būtina atidžiai stebėti, nes požymiai gali greitai atsinaujinti.</w:t>
      </w:r>
    </w:p>
    <w:p w14:paraId="1DC45AF7" w14:textId="77777777" w:rsidR="00A34B5C" w:rsidRPr="00A34B5C" w:rsidRDefault="00A34B5C" w:rsidP="00A34B5C">
      <w:pPr>
        <w:spacing w:after="0" w:line="240" w:lineRule="auto"/>
        <w:rPr>
          <w:rFonts w:ascii="Times New Roman" w:eastAsia="Calibri" w:hAnsi="Times New Roman" w:cs="Times New Roman"/>
          <w:lang w:val="lt-LT"/>
        </w:rPr>
      </w:pPr>
    </w:p>
    <w:p w14:paraId="10E26DC8" w14:textId="77777777" w:rsidR="00A34B5C" w:rsidRPr="00A34B5C" w:rsidRDefault="00A34B5C" w:rsidP="00A34B5C">
      <w:pPr>
        <w:keepNext/>
        <w:spacing w:after="0" w:line="240" w:lineRule="auto"/>
        <w:rPr>
          <w:rFonts w:ascii="Times New Roman" w:eastAsia="Calibri" w:hAnsi="Times New Roman" w:cs="Times New Roman"/>
          <w:i/>
          <w:u w:val="single"/>
          <w:lang w:val="lt-LT"/>
        </w:rPr>
      </w:pPr>
      <w:r w:rsidRPr="00A34B5C">
        <w:rPr>
          <w:rFonts w:ascii="Times New Roman" w:eastAsia="Calibri" w:hAnsi="Times New Roman" w:cs="Times New Roman"/>
          <w:i/>
          <w:u w:val="single"/>
          <w:lang w:val="lt-LT"/>
        </w:rPr>
        <w:lastRenderedPageBreak/>
        <w:t>Ypatingos pacientų populiacijos</w:t>
      </w:r>
    </w:p>
    <w:p w14:paraId="599A4009" w14:textId="77777777" w:rsidR="00A34B5C" w:rsidRPr="00A34B5C" w:rsidRDefault="00A34B5C" w:rsidP="00A34B5C">
      <w:pPr>
        <w:keepNext/>
        <w:spacing w:after="0" w:line="240" w:lineRule="auto"/>
        <w:rPr>
          <w:rFonts w:ascii="Times New Roman" w:eastAsia="Calibri" w:hAnsi="Times New Roman" w:cs="Times New Roman"/>
          <w:lang w:val="lt-LT"/>
        </w:rPr>
      </w:pPr>
    </w:p>
    <w:p w14:paraId="0D9783D2" w14:textId="77777777" w:rsidR="00A34B5C" w:rsidRPr="00A34B5C" w:rsidRDefault="00A34B5C" w:rsidP="00A34B5C">
      <w:pPr>
        <w:spacing w:after="0" w:line="240" w:lineRule="auto"/>
        <w:rPr>
          <w:rFonts w:ascii="Times New Roman" w:eastAsia="Calibri" w:hAnsi="Times New Roman" w:cs="Times New Roman"/>
          <w:b/>
          <w:i/>
          <w:lang w:val="lt-LT"/>
        </w:rPr>
      </w:pPr>
      <w:r w:rsidRPr="00A34B5C">
        <w:rPr>
          <w:rFonts w:ascii="Times New Roman" w:eastAsia="Calibri" w:hAnsi="Times New Roman" w:cs="Times New Roman"/>
          <w:i/>
          <w:lang w:val="lt-LT"/>
        </w:rPr>
        <w:t>Pacientams, kurių kepenų funkcija sutrikusi</w:t>
      </w:r>
      <w:r w:rsidRPr="00A34B5C" w:rsidDel="0094160C">
        <w:rPr>
          <w:rFonts w:ascii="Times New Roman" w:eastAsia="Calibri" w:hAnsi="Times New Roman" w:cs="Times New Roman"/>
          <w:b/>
          <w:i/>
          <w:lang w:val="lt-LT"/>
        </w:rPr>
        <w:t xml:space="preserve"> </w:t>
      </w:r>
    </w:p>
    <w:p w14:paraId="08A8CE02"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Pacientams, kuriems sutrikusi kepenų veikla, Leponex reikia skirti atsargiai, ir jiems reikia reguliariai tirti kepenų funkcijos rodiklius (žr. 4.4 skyrių).</w:t>
      </w:r>
    </w:p>
    <w:p w14:paraId="4EF3D77A" w14:textId="77777777" w:rsidR="00A34B5C" w:rsidRPr="00A34B5C" w:rsidRDefault="00A34B5C" w:rsidP="00A34B5C">
      <w:pPr>
        <w:spacing w:after="0" w:line="240" w:lineRule="auto"/>
        <w:rPr>
          <w:rFonts w:ascii="Times New Roman" w:eastAsia="Calibri" w:hAnsi="Times New Roman" w:cs="Times New Roman"/>
          <w:lang w:val="lt-LT"/>
        </w:rPr>
      </w:pPr>
    </w:p>
    <w:p w14:paraId="7B9E385C"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Vaikų populiacija</w:t>
      </w:r>
    </w:p>
    <w:p w14:paraId="7FE527D7"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Tyrimų, kuriuose būtų dalyvavę vaikai, neatlikta. Leponex saugumas ir veiksmingumas vaikams ir paaugliams neištirti. Kol nėra gauta daugiau duomenų, nerekomenduojama skirti šio amžiaus grupėje.</w:t>
      </w:r>
    </w:p>
    <w:p w14:paraId="15365E37" w14:textId="77777777" w:rsidR="00A34B5C" w:rsidRPr="00A34B5C" w:rsidRDefault="00A34B5C" w:rsidP="00A34B5C">
      <w:pPr>
        <w:spacing w:after="0" w:line="240" w:lineRule="auto"/>
        <w:rPr>
          <w:rFonts w:ascii="Times New Roman" w:eastAsia="Calibri" w:hAnsi="Times New Roman" w:cs="Times New Roman"/>
          <w:lang w:val="lt-LT"/>
        </w:rPr>
      </w:pPr>
    </w:p>
    <w:p w14:paraId="61C9283D" w14:textId="77777777" w:rsidR="00A34B5C" w:rsidRPr="00A34B5C" w:rsidRDefault="00A34B5C" w:rsidP="00A34B5C">
      <w:pPr>
        <w:spacing w:after="0" w:line="240" w:lineRule="auto"/>
        <w:rPr>
          <w:rFonts w:ascii="Times New Roman" w:eastAsia="Calibri" w:hAnsi="Times New Roman" w:cs="Times New Roman"/>
          <w:u w:val="single"/>
          <w:lang w:val="lt-LT"/>
        </w:rPr>
      </w:pPr>
      <w:r w:rsidRPr="00A34B5C">
        <w:rPr>
          <w:rFonts w:ascii="Times New Roman" w:eastAsia="Calibri" w:hAnsi="Times New Roman" w:cs="Times New Roman"/>
          <w:u w:val="single"/>
          <w:lang w:val="lt-LT"/>
        </w:rPr>
        <w:t>60 metų amžiaus ir vyresniems pacientams</w:t>
      </w:r>
    </w:p>
    <w:p w14:paraId="7D199834"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60 metų amžiaus ir vyresnius pacientus rekomenduojama pradėti gydyti ypač maža doze (12,5 mg vieną kartą pirmąją dieną), paskui dozę didinti ne daugiau kaip po 25 mg per parą.</w:t>
      </w:r>
    </w:p>
    <w:p w14:paraId="59F1003F" w14:textId="77777777" w:rsidR="00A34B5C" w:rsidRPr="00A34B5C" w:rsidRDefault="00A34B5C" w:rsidP="00A34B5C">
      <w:pPr>
        <w:spacing w:after="0" w:line="240" w:lineRule="auto"/>
        <w:rPr>
          <w:rFonts w:ascii="Times New Roman" w:eastAsia="Calibri" w:hAnsi="Times New Roman" w:cs="Times New Roman"/>
          <w:u w:val="single"/>
          <w:lang w:val="lt-LT"/>
        </w:rPr>
      </w:pPr>
      <w:bookmarkStart w:id="1" w:name="_814743Renal_impairment_47_hepatic"/>
      <w:bookmarkStart w:id="2" w:name="_1015121Use_in_children_Pediatrics"/>
      <w:bookmarkStart w:id="3" w:name="_1115296Use_in_the_elderly_Geriatr"/>
      <w:bookmarkEnd w:id="1"/>
      <w:bookmarkEnd w:id="2"/>
      <w:bookmarkEnd w:id="3"/>
    </w:p>
    <w:p w14:paraId="0DA34662" w14:textId="77777777" w:rsidR="00A34B5C" w:rsidRPr="00A34B5C" w:rsidRDefault="00A34B5C" w:rsidP="00A34B5C">
      <w:pPr>
        <w:spacing w:after="0" w:line="240" w:lineRule="auto"/>
        <w:rPr>
          <w:rFonts w:ascii="Times New Roman" w:eastAsia="Calibri" w:hAnsi="Times New Roman" w:cs="Times New Roman"/>
          <w:u w:val="single"/>
          <w:lang w:val="lt-LT"/>
        </w:rPr>
      </w:pPr>
      <w:r w:rsidRPr="00A34B5C">
        <w:rPr>
          <w:rFonts w:ascii="Times New Roman" w:eastAsia="Calibri" w:hAnsi="Times New Roman" w:cs="Times New Roman"/>
          <w:u w:val="single"/>
          <w:lang w:val="lt-LT"/>
        </w:rPr>
        <w:t>Vartojimo metodas</w:t>
      </w:r>
    </w:p>
    <w:p w14:paraId="4BCFDABE"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Leponex reikia vartoti per burną.</w:t>
      </w:r>
    </w:p>
    <w:p w14:paraId="00078D42" w14:textId="77777777" w:rsidR="00A34B5C" w:rsidRPr="00A34B5C" w:rsidRDefault="00A34B5C" w:rsidP="00A34B5C">
      <w:pPr>
        <w:spacing w:after="0" w:line="240" w:lineRule="auto"/>
        <w:rPr>
          <w:rFonts w:ascii="Times New Roman" w:eastAsia="Calibri" w:hAnsi="Times New Roman" w:cs="Times New Roman"/>
          <w:lang w:val="lt-LT"/>
        </w:rPr>
      </w:pPr>
    </w:p>
    <w:p w14:paraId="3CC2D579" w14:textId="77777777" w:rsidR="00A34B5C" w:rsidRPr="00DB0E71" w:rsidRDefault="00A34B5C" w:rsidP="00B27E7B">
      <w:pPr>
        <w:widowControl w:val="0"/>
        <w:autoSpaceDE w:val="0"/>
        <w:autoSpaceDN w:val="0"/>
        <w:spacing w:after="0" w:line="240" w:lineRule="auto"/>
        <w:ind w:left="540" w:hanging="540"/>
        <w:outlineLvl w:val="1"/>
        <w:rPr>
          <w:rFonts w:ascii="Times New Roman" w:eastAsia="Times New Roman" w:hAnsi="Times New Roman" w:cs="Times New Roman"/>
          <w:b/>
          <w:bCs/>
          <w:lang w:val="lt-LT"/>
        </w:rPr>
      </w:pPr>
      <w:r w:rsidRPr="00DB0E71">
        <w:rPr>
          <w:rFonts w:ascii="Times New Roman" w:eastAsia="Times New Roman" w:hAnsi="Times New Roman" w:cs="Times New Roman"/>
          <w:b/>
          <w:bCs/>
          <w:lang w:val="lt-LT"/>
        </w:rPr>
        <w:t>4.3</w:t>
      </w:r>
      <w:r w:rsidRPr="00DB0E71">
        <w:rPr>
          <w:rFonts w:ascii="Times New Roman" w:eastAsia="Times New Roman" w:hAnsi="Times New Roman" w:cs="Times New Roman"/>
          <w:b/>
          <w:bCs/>
          <w:lang w:val="lt-LT"/>
        </w:rPr>
        <w:tab/>
        <w:t>Kontraindikacijos</w:t>
      </w:r>
    </w:p>
    <w:p w14:paraId="19845B27"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05A9A044" w14:textId="77777777" w:rsidR="00A34B5C" w:rsidRPr="00A34B5C" w:rsidRDefault="00A34B5C" w:rsidP="00A34B5C">
      <w:pPr>
        <w:numPr>
          <w:ilvl w:val="0"/>
          <w:numId w:val="2"/>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Padidėjęs jautrumas veikliajai arba bet kuriai 6.1 skyriuje nurodytai pagalbinei medžiagai. </w:t>
      </w:r>
    </w:p>
    <w:p w14:paraId="577613EA" w14:textId="77777777" w:rsidR="00A34B5C" w:rsidRPr="00A34B5C" w:rsidRDefault="00A34B5C" w:rsidP="00A34B5C">
      <w:pPr>
        <w:numPr>
          <w:ilvl w:val="0"/>
          <w:numId w:val="2"/>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Pacientams, kuriems nėra galimybės reguliariai tirti kraują.</w:t>
      </w:r>
    </w:p>
    <w:p w14:paraId="67E6CF39" w14:textId="77777777" w:rsidR="00A34B5C" w:rsidRPr="00A34B5C" w:rsidRDefault="00A34B5C" w:rsidP="00A34B5C">
      <w:pPr>
        <w:numPr>
          <w:ilvl w:val="0"/>
          <w:numId w:val="2"/>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Anksčiau buvusi toksinė ar idiosinkrazinė granulocitopenija ar agranulocitozė (išskyrus sukeltą ankstesnės chemoterapijos).</w:t>
      </w:r>
    </w:p>
    <w:p w14:paraId="1CA8A808" w14:textId="77777777" w:rsidR="00A34B5C" w:rsidRPr="00A34B5C" w:rsidRDefault="00A34B5C" w:rsidP="00A34B5C">
      <w:pPr>
        <w:numPr>
          <w:ilvl w:val="0"/>
          <w:numId w:val="2"/>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Anksčiau buvusi Leponex sukelta agranulocitozė.</w:t>
      </w:r>
    </w:p>
    <w:p w14:paraId="0D430B15" w14:textId="77777777" w:rsidR="00A34B5C" w:rsidRPr="00A34B5C" w:rsidRDefault="00A34B5C" w:rsidP="00A34B5C">
      <w:pPr>
        <w:numPr>
          <w:ilvl w:val="0"/>
          <w:numId w:val="2"/>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Gydymo Leponex negalima pradėti kartu su medžiagomis, galinčiomis sukelti agranulocitozę; kartu nevartoti depo antipsichozinių vaistinių preparatų.</w:t>
      </w:r>
    </w:p>
    <w:p w14:paraId="600CE5BD" w14:textId="77777777" w:rsidR="00A34B5C" w:rsidRPr="00A34B5C" w:rsidRDefault="00A34B5C" w:rsidP="00A34B5C">
      <w:pPr>
        <w:numPr>
          <w:ilvl w:val="0"/>
          <w:numId w:val="2"/>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Susilpnėjusi kaulų čiulpų funkcija.</w:t>
      </w:r>
    </w:p>
    <w:p w14:paraId="69D67DF1" w14:textId="77777777" w:rsidR="00A34B5C" w:rsidRPr="00A34B5C" w:rsidRDefault="00A34B5C" w:rsidP="00A34B5C">
      <w:pPr>
        <w:numPr>
          <w:ilvl w:val="0"/>
          <w:numId w:val="3"/>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Nekontroliuojama epilepsija.</w:t>
      </w:r>
    </w:p>
    <w:p w14:paraId="64AA712C" w14:textId="77777777" w:rsidR="00A34B5C" w:rsidRPr="00A34B5C" w:rsidRDefault="00A34B5C" w:rsidP="00A34B5C">
      <w:pPr>
        <w:numPr>
          <w:ilvl w:val="0"/>
          <w:numId w:val="3"/>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Alkoholinė ir kita toksinė psichozė, intoksikacija vaistiniais preparatais, koma.</w:t>
      </w:r>
    </w:p>
    <w:p w14:paraId="79C49107" w14:textId="77777777" w:rsidR="00A34B5C" w:rsidRPr="00A34B5C" w:rsidRDefault="00A34B5C" w:rsidP="00A34B5C">
      <w:pPr>
        <w:numPr>
          <w:ilvl w:val="0"/>
          <w:numId w:val="3"/>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Kraujotakos kolapsas ir (arba) bet kokios kilmės CNS slopinimas.</w:t>
      </w:r>
    </w:p>
    <w:p w14:paraId="04FCB6E7" w14:textId="77777777" w:rsidR="00A34B5C" w:rsidRPr="00A34B5C" w:rsidRDefault="00A34B5C" w:rsidP="00A34B5C">
      <w:pPr>
        <w:numPr>
          <w:ilvl w:val="0"/>
          <w:numId w:val="3"/>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Sunkus inkstų ar širdies sutrikimas (pvz., miokarditas).</w:t>
      </w:r>
    </w:p>
    <w:p w14:paraId="6E016B0C" w14:textId="77777777" w:rsidR="00A34B5C" w:rsidRPr="00A34B5C" w:rsidRDefault="00A34B5C" w:rsidP="00A34B5C">
      <w:pPr>
        <w:numPr>
          <w:ilvl w:val="0"/>
          <w:numId w:val="3"/>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Aktyvi kepenų liga, pasireiškianti pykinimu, anoreksija ar gelta, progresuojanti kepenų liga ar kepenų nepakankamumas.</w:t>
      </w:r>
    </w:p>
    <w:p w14:paraId="47748EDD" w14:textId="77777777" w:rsidR="00A34B5C" w:rsidRPr="00A34B5C" w:rsidRDefault="00A34B5C" w:rsidP="00A34B5C">
      <w:pPr>
        <w:numPr>
          <w:ilvl w:val="0"/>
          <w:numId w:val="3"/>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Paralyžinis žarnų nepraeinamumas.</w:t>
      </w:r>
    </w:p>
    <w:p w14:paraId="5D999684" w14:textId="77777777" w:rsidR="00A34B5C" w:rsidRPr="00A34B5C" w:rsidRDefault="00A34B5C" w:rsidP="00A34B5C">
      <w:pPr>
        <w:spacing w:after="0" w:line="240" w:lineRule="auto"/>
        <w:rPr>
          <w:rFonts w:ascii="Times New Roman" w:eastAsia="Calibri" w:hAnsi="Times New Roman" w:cs="Times New Roman"/>
          <w:lang w:val="lt-LT"/>
        </w:rPr>
      </w:pPr>
    </w:p>
    <w:p w14:paraId="683024CF" w14:textId="77777777" w:rsidR="00A34B5C" w:rsidRPr="00DB0E71" w:rsidRDefault="00A34B5C" w:rsidP="00B27E7B">
      <w:pPr>
        <w:widowControl w:val="0"/>
        <w:autoSpaceDE w:val="0"/>
        <w:autoSpaceDN w:val="0"/>
        <w:spacing w:after="0" w:line="240" w:lineRule="auto"/>
        <w:ind w:left="540" w:hanging="540"/>
        <w:outlineLvl w:val="1"/>
        <w:rPr>
          <w:rFonts w:ascii="Times New Roman" w:eastAsia="Times New Roman" w:hAnsi="Times New Roman" w:cs="Times New Roman"/>
          <w:b/>
          <w:bCs/>
          <w:lang w:val="lt-LT"/>
        </w:rPr>
      </w:pPr>
      <w:r w:rsidRPr="00DB0E71">
        <w:rPr>
          <w:rFonts w:ascii="Times New Roman" w:eastAsia="Times New Roman" w:hAnsi="Times New Roman" w:cs="Times New Roman"/>
          <w:b/>
          <w:bCs/>
          <w:lang w:val="lt-LT"/>
        </w:rPr>
        <w:t>4.4</w:t>
      </w:r>
      <w:r w:rsidRPr="00DB0E71">
        <w:rPr>
          <w:rFonts w:ascii="Times New Roman" w:eastAsia="Times New Roman" w:hAnsi="Times New Roman" w:cs="Times New Roman"/>
          <w:b/>
          <w:bCs/>
          <w:lang w:val="lt-LT"/>
        </w:rPr>
        <w:tab/>
        <w:t>Specialūs įspėjimai ir atsargumo priemonės</w:t>
      </w:r>
    </w:p>
    <w:p w14:paraId="1A0117C1" w14:textId="77777777" w:rsidR="00A34B5C" w:rsidRPr="00A34B5C" w:rsidRDefault="00A34B5C" w:rsidP="00A34B5C">
      <w:pPr>
        <w:spacing w:after="0" w:line="240" w:lineRule="auto"/>
        <w:rPr>
          <w:rFonts w:ascii="Times New Roman" w:eastAsia="Calibri" w:hAnsi="Times New Roman" w:cs="Times New Roman"/>
          <w:lang w:val="lt-LT"/>
        </w:rPr>
      </w:pPr>
    </w:p>
    <w:p w14:paraId="36F918F0"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Agranulocitozė</w:t>
      </w:r>
    </w:p>
    <w:p w14:paraId="0D3E7027"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Leponex gali sukelti agranulocitozę. Agranulocitozės dažnis ir asmenų, kuriems ji pasireiškia, mirtingumas labai sumažėjo, kai buvo pradėta stebėti baltųjų kraujo ląstelių</w:t>
      </w:r>
      <w:r w:rsidRPr="00A34B5C">
        <w:rPr>
          <w:rFonts w:ascii="Times New Roman" w:eastAsia="Calibri" w:hAnsi="Times New Roman" w:cs="Times New Roman"/>
          <w:b/>
          <w:lang w:val="lt-LT"/>
        </w:rPr>
        <w:t xml:space="preserve"> (</w:t>
      </w:r>
      <w:r w:rsidRPr="00A34B5C">
        <w:rPr>
          <w:rFonts w:ascii="Times New Roman" w:eastAsia="Calibri" w:hAnsi="Times New Roman" w:cs="Times New Roman"/>
          <w:lang w:val="lt-LT"/>
        </w:rPr>
        <w:t>BKL) ir absoliutus neutrofilų kiekiai</w:t>
      </w:r>
      <w:r w:rsidRPr="00A34B5C">
        <w:rPr>
          <w:rFonts w:ascii="Times New Roman" w:eastAsia="Calibri" w:hAnsi="Times New Roman" w:cs="Times New Roman"/>
          <w:b/>
          <w:lang w:val="lt-LT"/>
        </w:rPr>
        <w:t xml:space="preserve"> (</w:t>
      </w:r>
      <w:r w:rsidRPr="00A34B5C">
        <w:rPr>
          <w:rFonts w:ascii="Times New Roman" w:eastAsia="Calibri" w:hAnsi="Times New Roman" w:cs="Times New Roman"/>
          <w:lang w:val="lt-LT"/>
        </w:rPr>
        <w:t>ANK). Todėl toliau nurodytos atsargumo priemonės yra privalomos, jas reikia vykdyti, laikantis oficialių rekomendacijų.</w:t>
      </w:r>
    </w:p>
    <w:p w14:paraId="2F614E27" w14:textId="77777777" w:rsidR="00A34B5C" w:rsidRPr="00A34B5C" w:rsidRDefault="00A34B5C" w:rsidP="00A34B5C">
      <w:pPr>
        <w:spacing w:after="0" w:line="240" w:lineRule="auto"/>
        <w:rPr>
          <w:rFonts w:ascii="Times New Roman" w:eastAsia="Calibri" w:hAnsi="Times New Roman" w:cs="Times New Roman"/>
          <w:lang w:val="lt-LT"/>
        </w:rPr>
      </w:pPr>
    </w:p>
    <w:p w14:paraId="42FFFAAB"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Dėl su Leponex vartojimu susijusios rizikos, jo skiriama tik tiems pacientams, kuriems yra 4.1 skyriuje nurodytų indikacijų, ir:</w:t>
      </w:r>
    </w:p>
    <w:p w14:paraId="71405D6A" w14:textId="77777777" w:rsidR="00A34B5C" w:rsidRPr="00A34B5C" w:rsidRDefault="00A34B5C" w:rsidP="00A34B5C">
      <w:pPr>
        <w:numPr>
          <w:ilvl w:val="0"/>
          <w:numId w:val="4"/>
        </w:numPr>
        <w:tabs>
          <w:tab w:val="num" w:pos="540"/>
        </w:tabs>
        <w:spacing w:after="0" w:line="240" w:lineRule="auto"/>
        <w:ind w:left="540" w:hanging="540"/>
        <w:rPr>
          <w:rFonts w:ascii="Times New Roman" w:eastAsia="Calibri" w:hAnsi="Times New Roman" w:cs="Times New Roman"/>
          <w:lang w:val="lt-LT"/>
        </w:rPr>
      </w:pPr>
      <w:r w:rsidRPr="00A34B5C">
        <w:rPr>
          <w:rFonts w:ascii="Times New Roman" w:eastAsia="Calibri" w:hAnsi="Times New Roman" w:cs="Times New Roman"/>
          <w:lang w:val="lt-LT"/>
        </w:rPr>
        <w:t>kurių leukocitų kiekis (BKL) ≥ 3500/mm</w:t>
      </w:r>
      <w:r w:rsidRPr="00A34B5C">
        <w:rPr>
          <w:rFonts w:ascii="Times New Roman" w:eastAsia="Calibri" w:hAnsi="Times New Roman" w:cs="Times New Roman"/>
          <w:vertAlign w:val="superscript"/>
          <w:lang w:val="lt-LT"/>
        </w:rPr>
        <w:t>3</w:t>
      </w:r>
      <w:r w:rsidRPr="00A34B5C">
        <w:rPr>
          <w:rFonts w:ascii="Times New Roman" w:eastAsia="Calibri" w:hAnsi="Times New Roman" w:cs="Times New Roman"/>
          <w:lang w:val="lt-LT"/>
        </w:rPr>
        <w:t xml:space="preserve"> (≥ 3,5x10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/l) ir ANK ≥ 2000/mm</w:t>
      </w:r>
      <w:r w:rsidRPr="00A34B5C">
        <w:rPr>
          <w:rFonts w:ascii="Times New Roman" w:eastAsia="Calibri" w:hAnsi="Times New Roman" w:cs="Times New Roman"/>
          <w:vertAlign w:val="superscript"/>
          <w:lang w:val="lt-LT"/>
        </w:rPr>
        <w:t>3</w:t>
      </w:r>
      <w:r w:rsidRPr="00A34B5C">
        <w:rPr>
          <w:rFonts w:ascii="Times New Roman" w:eastAsia="Calibri" w:hAnsi="Times New Roman" w:cs="Times New Roman"/>
          <w:lang w:val="lt-LT"/>
        </w:rPr>
        <w:t xml:space="preserve"> (≥ 2,0x10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/l) prieš gydymą yra normalus, ir</w:t>
      </w:r>
    </w:p>
    <w:p w14:paraId="4D4CAFE8" w14:textId="77777777" w:rsidR="00A34B5C" w:rsidRPr="00A34B5C" w:rsidRDefault="00A34B5C" w:rsidP="00A34B5C">
      <w:pPr>
        <w:numPr>
          <w:ilvl w:val="0"/>
          <w:numId w:val="4"/>
        </w:numPr>
        <w:tabs>
          <w:tab w:val="num" w:pos="540"/>
        </w:tabs>
        <w:spacing w:after="0" w:line="240" w:lineRule="auto"/>
        <w:ind w:left="540" w:hanging="540"/>
        <w:rPr>
          <w:rFonts w:ascii="Times New Roman" w:eastAsia="Calibri" w:hAnsi="Times New Roman" w:cs="Times New Roman"/>
          <w:lang w:val="lt-LT"/>
        </w:rPr>
      </w:pPr>
      <w:r w:rsidRPr="00A34B5C">
        <w:rPr>
          <w:rFonts w:ascii="Times New Roman" w:eastAsia="Calibri" w:hAnsi="Times New Roman" w:cs="Times New Roman"/>
          <w:lang w:val="lt-LT"/>
        </w:rPr>
        <w:t>kuriems reguliariai bus galima nustatyti BKL ir ANK per pirmąsias 18 savaičių kas savaitę ir paskui bent kas 4 savaites. Stebėti būtina visą gydymo laikotarpį ir dar 4 savaites baigus gydyti Leponex.</w:t>
      </w:r>
    </w:p>
    <w:p w14:paraId="12052FA0" w14:textId="77777777" w:rsidR="00A34B5C" w:rsidRPr="00A34B5C" w:rsidRDefault="00A34B5C" w:rsidP="00A34B5C">
      <w:pPr>
        <w:spacing w:after="0" w:line="240" w:lineRule="auto"/>
        <w:rPr>
          <w:rFonts w:ascii="Times New Roman" w:eastAsia="Calibri" w:hAnsi="Times New Roman" w:cs="Times New Roman"/>
          <w:lang w:val="lt-LT"/>
        </w:rPr>
      </w:pPr>
    </w:p>
    <w:p w14:paraId="6C00C685"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Prieš skiriant klozapino, pacientui būtina atlikti kraujo tyrimą (žr. „agranulocitozė“), surinkti anamnezę ir fiziškai ištirti. Pacientus, kurie anksčiau sirgo širdies ligomis, ar kuriems fiziškai tiriant nustatoma širdies sutrikimų, reikia nukreipti specialisto konsultacijai ir tyrimui (tai gali būti EKG). Tokį pacientą pradėti gydyti tik tada, kai laukiama nauda ryškiai didesnė už riziką (žr. 4.3 skyrių). Gydantysis gydytojas prieš gydymą turėtų užrašyti EKG.</w:t>
      </w:r>
    </w:p>
    <w:p w14:paraId="74CCBB66" w14:textId="77777777" w:rsidR="00A34B5C" w:rsidRPr="00A34B5C" w:rsidRDefault="00A34B5C" w:rsidP="00A34B5C">
      <w:pPr>
        <w:spacing w:after="0" w:line="240" w:lineRule="auto"/>
        <w:rPr>
          <w:rFonts w:ascii="Times New Roman" w:eastAsia="Calibri" w:hAnsi="Times New Roman" w:cs="Times New Roman"/>
          <w:lang w:val="lt-LT"/>
        </w:rPr>
      </w:pPr>
    </w:p>
    <w:p w14:paraId="6D3E2539"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lastRenderedPageBreak/>
        <w:t>Vaistinį preparatą išrašantis gydytojas privalo griežtai laikytis būtinų saugumo priemonių, remiantis oficialiomis rekomendacijomis.</w:t>
      </w:r>
    </w:p>
    <w:p w14:paraId="0426EE93"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lang w:val="lt-LT"/>
        </w:rPr>
      </w:pPr>
    </w:p>
    <w:p w14:paraId="649B4269"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Prieš skirdamas gydymą, gydytojas, panaudodamas savo žinias, turi įsitikinti, kad pacientui anksčiau nebuvo nepageidaujamų hematologinių reakcijų klozapinui, dėl kurių gydymą reikėjo nutraukti. </w:t>
      </w:r>
    </w:p>
    <w:p w14:paraId="334F9B26"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lang w:val="lt-LT"/>
        </w:rPr>
      </w:pPr>
    </w:p>
    <w:p w14:paraId="0FFFD4F4"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Leponex vartojimą būtina nedelsiant nutraukti, jeigu BKL yra mažiau kaip 3000/mm</w:t>
      </w:r>
      <w:r w:rsidRPr="00A34B5C">
        <w:rPr>
          <w:rFonts w:ascii="Times New Roman" w:eastAsia="Calibri" w:hAnsi="Times New Roman" w:cs="Times New Roman"/>
          <w:vertAlign w:val="superscript"/>
          <w:lang w:val="lt-LT"/>
        </w:rPr>
        <w:t>3</w:t>
      </w:r>
      <w:r w:rsidRPr="00A34B5C">
        <w:rPr>
          <w:rFonts w:ascii="Times New Roman" w:eastAsia="Calibri" w:hAnsi="Times New Roman" w:cs="Times New Roman"/>
          <w:lang w:val="lt-LT"/>
        </w:rPr>
        <w:t xml:space="preserve"> (3,0x10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/l) ar ANK mažiau kaip 1500/mm</w:t>
      </w:r>
      <w:r w:rsidRPr="00A34B5C">
        <w:rPr>
          <w:rFonts w:ascii="Times New Roman" w:eastAsia="Calibri" w:hAnsi="Times New Roman" w:cs="Times New Roman"/>
          <w:vertAlign w:val="superscript"/>
          <w:lang w:val="lt-LT"/>
        </w:rPr>
        <w:t>3</w:t>
      </w:r>
      <w:r w:rsidRPr="00A34B5C">
        <w:rPr>
          <w:rFonts w:ascii="Times New Roman" w:eastAsia="Calibri" w:hAnsi="Times New Roman" w:cs="Times New Roman"/>
          <w:lang w:val="lt-LT"/>
        </w:rPr>
        <w:t xml:space="preserve"> (1,5x10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/l) bet kuriuo gydymo šiuo vaistiniu preparatu laiku. Pacientams, kuriems gydymas Leponex buvo nutrauktas dėl sumažėjusio BKL ar ANK, atnaujinti gydymą šiuo vaistiniu preparatu draudžiama.</w:t>
      </w:r>
    </w:p>
    <w:p w14:paraId="64994771"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lang w:val="lt-LT"/>
        </w:rPr>
      </w:pPr>
    </w:p>
    <w:p w14:paraId="675699BB"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Kiekvieno apsilankymo metu Leponex gydomam pacientui būtina priminti, kad jis, pasireiškus bet kokios rūšies infekcijos simptomams, nedelsdamas kreiptųsi į gydytoją. Ypač reikia atkreipti dėmesį į požymius, panašius į gripo, pvz., karščiavimą, gerklės skausmą, ir kitas infekcijos apraiškas, kurios gali būti dėl neutropenijos. Pacientus ir juos prižiūrinčius asmenis reikia informuoti, kad, pasireiškus šių požymių, nedelsiant būtina tirti kraują. Vaistinį preparatą skiriantiems gydytojams rekomenduojama laikyti visų pacientų kraujo tyrimo rezultatus ir imtis būtinų priemonių, kad tokie pacientai ateityje būtų apsaugoti nuo atsitiktinio gydymo atnaujinimo. </w:t>
      </w:r>
    </w:p>
    <w:p w14:paraId="0054996B"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lang w:val="lt-LT"/>
        </w:rPr>
      </w:pPr>
    </w:p>
    <w:p w14:paraId="488E425C"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Pacientus, kuriems yra pirminis kaulų čiulpų sutrikimas, gydyti galima tik tada, kai nauda yra didesnė už riziką. Prieš gydymą Leponex jų sveikatos būklę turi įvertinti hematologas. </w:t>
      </w:r>
    </w:p>
    <w:p w14:paraId="1494AEE0"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lang w:val="lt-LT"/>
        </w:rPr>
      </w:pPr>
    </w:p>
    <w:p w14:paraId="27057502"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Ar Leponex skirti pacientams, kurių BKL kiekis sumažėjęs dėl gerybinės etninės neutropenijos, reikia spręsti individualiai. Juos gydyti Leponex galima pradėti tik suderinus su hematologu.</w:t>
      </w:r>
    </w:p>
    <w:p w14:paraId="176698F5"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5606B091" w14:textId="77777777" w:rsidR="00A34B5C" w:rsidRPr="00A34B5C" w:rsidRDefault="00A34B5C" w:rsidP="00A34B5C">
      <w:pPr>
        <w:spacing w:after="0" w:line="240" w:lineRule="auto"/>
        <w:ind w:left="567" w:hanging="567"/>
        <w:rPr>
          <w:rFonts w:ascii="Times New Roman" w:eastAsia="Calibri" w:hAnsi="Times New Roman" w:cs="Times New Roman"/>
          <w:i/>
          <w:lang w:val="lt-LT"/>
        </w:rPr>
      </w:pPr>
      <w:r w:rsidRPr="00A34B5C">
        <w:rPr>
          <w:rFonts w:ascii="Times New Roman" w:eastAsia="Calibri" w:hAnsi="Times New Roman" w:cs="Times New Roman"/>
          <w:i/>
          <w:lang w:val="lt-LT"/>
        </w:rPr>
        <w:t>Baltųjų kraujo ląstelių (BKL) kiekio ir absoliutaus neutrofilų kiekio (ANK) stebėjimas</w:t>
      </w:r>
    </w:p>
    <w:p w14:paraId="59B0820A"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Per 10 dienų prieš gydymą Leponex būtina nustatyti BKL kiekį ir atlikti diferencinį kraujo tyrimą, kad Leponex būtų skiriama tik tiems pacientams, kurių BKL ir ANK rodikliai yra normalūs (BKL ≥ 3500/mm</w:t>
      </w:r>
      <w:r w:rsidRPr="00A34B5C">
        <w:rPr>
          <w:rFonts w:ascii="Times New Roman" w:eastAsia="Calibri" w:hAnsi="Times New Roman" w:cs="Times New Roman"/>
          <w:vertAlign w:val="superscript"/>
          <w:lang w:val="lt-LT"/>
        </w:rPr>
        <w:t>3</w:t>
      </w:r>
      <w:r w:rsidRPr="00A34B5C">
        <w:rPr>
          <w:rFonts w:ascii="Times New Roman" w:eastAsia="Calibri" w:hAnsi="Times New Roman" w:cs="Times New Roman"/>
          <w:lang w:val="lt-LT"/>
        </w:rPr>
        <w:t xml:space="preserve"> (≥ 3,5x10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/l), o ANK ≥ 2000/mm</w:t>
      </w:r>
      <w:r w:rsidRPr="00A34B5C">
        <w:rPr>
          <w:rFonts w:ascii="Times New Roman" w:eastAsia="Calibri" w:hAnsi="Times New Roman" w:cs="Times New Roman"/>
          <w:vertAlign w:val="superscript"/>
          <w:lang w:val="lt-LT"/>
        </w:rPr>
        <w:t>3</w:t>
      </w:r>
      <w:r w:rsidRPr="00A34B5C">
        <w:rPr>
          <w:rFonts w:ascii="Times New Roman" w:eastAsia="Calibri" w:hAnsi="Times New Roman" w:cs="Times New Roman"/>
          <w:lang w:val="lt-LT"/>
        </w:rPr>
        <w:t xml:space="preserve"> (≥ 2,0x10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/l). Pradėjusiųjų vartoti Leponex BKL kiekį ir ANK reikia nustatyti kas savaitę pirmąsias 18 savaičių, o paskui ne rečiau kaip kas keturias savaites.</w:t>
      </w:r>
    </w:p>
    <w:p w14:paraId="6379B1E4" w14:textId="77777777" w:rsidR="00A34B5C" w:rsidRPr="00A34B5C" w:rsidRDefault="00A34B5C" w:rsidP="00A34B5C">
      <w:pPr>
        <w:spacing w:after="0" w:line="240" w:lineRule="auto"/>
        <w:rPr>
          <w:rFonts w:ascii="Times New Roman" w:eastAsia="Calibri" w:hAnsi="Times New Roman" w:cs="Times New Roman"/>
          <w:lang w:val="lt-LT"/>
        </w:rPr>
      </w:pPr>
    </w:p>
    <w:p w14:paraId="4EAA661F"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Stebėti būtina per visą gydymo Leponex laikotarpį ir 4 savaites po jo arba tol, kol grįš į pradinį lygį hematologiniai rodikliai (žr. „Mažas BKL ir (arba) ANK kiekis“). Kiekvieno apsilankymo metu pacientui būtina priminti, kad jis nedelsdamas kreiptųsi į gydytoją, pastebėjęs bet kokių pradinių infekcijos požymių. Ypač reikia atkreipti dėmesį į požymius, panašius į gripo, pvz., karščiavimą, gerklės skausmą, ar ir kitas infekcijos apraiškas, kurios gali būti dėl neutropenijos. Visiems pacientams, kuriems atsiranda bet koks infekcijos požymis, nedelsiant būtina nustatyti BKL kiekį ir atlikti diferencinį kraujo tyrimą. </w:t>
      </w:r>
    </w:p>
    <w:p w14:paraId="7A1C9B7C" w14:textId="77777777" w:rsidR="00A34B5C" w:rsidRPr="00A34B5C" w:rsidRDefault="00A34B5C" w:rsidP="00A34B5C">
      <w:pPr>
        <w:spacing w:after="0" w:line="240" w:lineRule="auto"/>
        <w:rPr>
          <w:rFonts w:ascii="Times New Roman" w:eastAsia="Calibri" w:hAnsi="Times New Roman" w:cs="Times New Roman"/>
          <w:lang w:val="lt-LT"/>
        </w:rPr>
      </w:pPr>
    </w:p>
    <w:p w14:paraId="3685D74A"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Mažas BKL ir (arba) ANK kiekis</w:t>
      </w:r>
    </w:p>
    <w:p w14:paraId="47A0F372"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Jeigu gydant Leponex BKL kiekis sumažėja ir būna nuo 3500/mm</w:t>
      </w:r>
      <w:r w:rsidRPr="00A34B5C">
        <w:rPr>
          <w:rFonts w:ascii="Times New Roman" w:eastAsia="Calibri" w:hAnsi="Times New Roman" w:cs="Times New Roman"/>
          <w:vertAlign w:val="superscript"/>
          <w:lang w:val="lt-LT"/>
        </w:rPr>
        <w:t>3</w:t>
      </w:r>
      <w:r w:rsidRPr="00A34B5C">
        <w:rPr>
          <w:rFonts w:ascii="Times New Roman" w:eastAsia="Calibri" w:hAnsi="Times New Roman" w:cs="Times New Roman"/>
          <w:lang w:val="lt-LT"/>
        </w:rPr>
        <w:t xml:space="preserve"> (3,5x10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/l) iki 3000/mm</w:t>
      </w:r>
      <w:r w:rsidRPr="00A34B5C">
        <w:rPr>
          <w:rFonts w:ascii="Times New Roman" w:eastAsia="Calibri" w:hAnsi="Times New Roman" w:cs="Times New Roman"/>
          <w:vertAlign w:val="superscript"/>
          <w:lang w:val="lt-LT"/>
        </w:rPr>
        <w:t>3</w:t>
      </w:r>
      <w:r w:rsidRPr="00A34B5C">
        <w:rPr>
          <w:rFonts w:ascii="Times New Roman" w:eastAsia="Calibri" w:hAnsi="Times New Roman" w:cs="Times New Roman"/>
          <w:lang w:val="lt-LT"/>
        </w:rPr>
        <w:t xml:space="preserve"> (3,0x10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/l) ar ANK nuo 2000/mm</w:t>
      </w:r>
      <w:r w:rsidRPr="00A34B5C">
        <w:rPr>
          <w:rFonts w:ascii="Times New Roman" w:eastAsia="Calibri" w:hAnsi="Times New Roman" w:cs="Times New Roman"/>
          <w:vertAlign w:val="superscript"/>
          <w:lang w:val="lt-LT"/>
        </w:rPr>
        <w:t>3</w:t>
      </w:r>
      <w:r w:rsidRPr="00A34B5C">
        <w:rPr>
          <w:rFonts w:ascii="Times New Roman" w:eastAsia="Calibri" w:hAnsi="Times New Roman" w:cs="Times New Roman"/>
          <w:lang w:val="lt-LT"/>
        </w:rPr>
        <w:t xml:space="preserve"> (2,0x10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/l) iki 1500/mm</w:t>
      </w:r>
      <w:r w:rsidRPr="00A34B5C">
        <w:rPr>
          <w:rFonts w:ascii="Times New Roman" w:eastAsia="Calibri" w:hAnsi="Times New Roman" w:cs="Times New Roman"/>
          <w:vertAlign w:val="superscript"/>
          <w:lang w:val="lt-LT"/>
        </w:rPr>
        <w:t>3</w:t>
      </w:r>
      <w:r w:rsidRPr="00A34B5C">
        <w:rPr>
          <w:rFonts w:ascii="Times New Roman" w:eastAsia="Calibri" w:hAnsi="Times New Roman" w:cs="Times New Roman"/>
          <w:lang w:val="lt-LT"/>
        </w:rPr>
        <w:t xml:space="preserve"> (1,5x10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/l), kraują tirti būtina mažiausiai du kartus per savaitę, kol paciento BKL ir ANK stabilizuosis ir bus atitinkamai 3000</w:t>
      </w:r>
      <w:r w:rsidRPr="00A34B5C">
        <w:rPr>
          <w:rFonts w:ascii="Times New Roman" w:eastAsia="Calibri" w:hAnsi="Times New Roman" w:cs="Times New Roman"/>
          <w:lang w:val="lt-LT"/>
        </w:rPr>
        <w:noBreakHyphen/>
        <w:t>3500/mm</w:t>
      </w:r>
      <w:r w:rsidRPr="00A34B5C">
        <w:rPr>
          <w:rFonts w:ascii="Times New Roman" w:eastAsia="Calibri" w:hAnsi="Times New Roman" w:cs="Times New Roman"/>
          <w:vertAlign w:val="superscript"/>
          <w:lang w:val="lt-LT"/>
        </w:rPr>
        <w:t>3</w:t>
      </w:r>
      <w:r w:rsidRPr="00A34B5C">
        <w:rPr>
          <w:rFonts w:ascii="Times New Roman" w:eastAsia="Calibri" w:hAnsi="Times New Roman" w:cs="Times New Roman"/>
          <w:lang w:val="lt-LT"/>
        </w:rPr>
        <w:t xml:space="preserve"> (3,0</w:t>
      </w:r>
      <w:r w:rsidRPr="00A34B5C">
        <w:rPr>
          <w:rFonts w:ascii="Times New Roman" w:eastAsia="Calibri" w:hAnsi="Times New Roman" w:cs="Times New Roman"/>
          <w:lang w:val="lt-LT"/>
        </w:rPr>
        <w:noBreakHyphen/>
        <w:t>3,5x10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/l) ir 1500</w:t>
      </w:r>
      <w:r w:rsidRPr="00A34B5C">
        <w:rPr>
          <w:rFonts w:ascii="Times New Roman" w:eastAsia="Calibri" w:hAnsi="Times New Roman" w:cs="Times New Roman"/>
          <w:lang w:val="lt-LT"/>
        </w:rPr>
        <w:noBreakHyphen/>
        <w:t>2000/mm</w:t>
      </w:r>
      <w:r w:rsidRPr="00A34B5C">
        <w:rPr>
          <w:rFonts w:ascii="Times New Roman" w:eastAsia="Calibri" w:hAnsi="Times New Roman" w:cs="Times New Roman"/>
          <w:vertAlign w:val="superscript"/>
          <w:lang w:val="lt-LT"/>
        </w:rPr>
        <w:t>3</w:t>
      </w:r>
      <w:r w:rsidRPr="00A34B5C">
        <w:rPr>
          <w:rFonts w:ascii="Times New Roman" w:eastAsia="Calibri" w:hAnsi="Times New Roman" w:cs="Times New Roman"/>
          <w:lang w:val="lt-LT"/>
        </w:rPr>
        <w:t xml:space="preserve"> (1,5</w:t>
      </w:r>
      <w:r w:rsidRPr="00A34B5C">
        <w:rPr>
          <w:rFonts w:ascii="Times New Roman" w:eastAsia="Calibri" w:hAnsi="Times New Roman" w:cs="Times New Roman"/>
          <w:lang w:val="lt-LT"/>
        </w:rPr>
        <w:noBreakHyphen/>
        <w:t>2,0x10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/l) ribose ar daugiau.</w:t>
      </w:r>
    </w:p>
    <w:p w14:paraId="04A833C9" w14:textId="77777777" w:rsidR="00A34B5C" w:rsidRPr="00A34B5C" w:rsidRDefault="00A34B5C" w:rsidP="00A34B5C">
      <w:pPr>
        <w:spacing w:after="0" w:line="240" w:lineRule="auto"/>
        <w:rPr>
          <w:rFonts w:ascii="Times New Roman" w:eastAsia="Calibri" w:hAnsi="Times New Roman" w:cs="Times New Roman"/>
          <w:lang w:val="lt-LT"/>
        </w:rPr>
      </w:pPr>
    </w:p>
    <w:p w14:paraId="43D7518E"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Gydymą Leponex būtina nedelsiant nutraukti, jeigu BKL pasidaro mažiau kaip 3000/mm</w:t>
      </w:r>
      <w:r w:rsidRPr="00A34B5C">
        <w:rPr>
          <w:rFonts w:ascii="Times New Roman" w:eastAsia="Calibri" w:hAnsi="Times New Roman" w:cs="Times New Roman"/>
          <w:vertAlign w:val="superscript"/>
          <w:lang w:val="lt-LT"/>
        </w:rPr>
        <w:t>3</w:t>
      </w:r>
      <w:r w:rsidRPr="00A34B5C">
        <w:rPr>
          <w:rFonts w:ascii="Times New Roman" w:eastAsia="Calibri" w:hAnsi="Times New Roman" w:cs="Times New Roman"/>
          <w:lang w:val="lt-LT"/>
        </w:rPr>
        <w:t xml:space="preserve"> (3,0x10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/l) ar ANK mažiau kaip 1500/mm</w:t>
      </w:r>
      <w:r w:rsidRPr="00A34B5C">
        <w:rPr>
          <w:rFonts w:ascii="Times New Roman" w:eastAsia="Calibri" w:hAnsi="Times New Roman" w:cs="Times New Roman"/>
          <w:vertAlign w:val="superscript"/>
          <w:lang w:val="lt-LT"/>
        </w:rPr>
        <w:t>3</w:t>
      </w:r>
      <w:r w:rsidRPr="00A34B5C">
        <w:rPr>
          <w:rFonts w:ascii="Times New Roman" w:eastAsia="Calibri" w:hAnsi="Times New Roman" w:cs="Times New Roman"/>
          <w:lang w:val="lt-LT"/>
        </w:rPr>
        <w:t xml:space="preserve"> (1,5x10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/l). Paskui pacientui būtina kasdien nustatyti BKL kiekį bei atlikti diferencinį kraujo tyrimą ir jį atidžiai stebėti dėl į gripą panašių požymių ar kitų požymių, leidžiančių įtarti infekciją. Rekomenduojama hematologinius rodmenis patvirtinti atliekant du kraujo tyrimus dvi dienas iš eilės; tačiau gydymą Leponex reikia nutraukti po pirmojo kraujo tyrimo.</w:t>
      </w:r>
    </w:p>
    <w:p w14:paraId="36607C85" w14:textId="77777777" w:rsidR="00A34B5C" w:rsidRPr="00A34B5C" w:rsidRDefault="00A34B5C" w:rsidP="00A34B5C">
      <w:pPr>
        <w:spacing w:after="0" w:line="240" w:lineRule="auto"/>
        <w:rPr>
          <w:rFonts w:ascii="Times New Roman" w:eastAsia="Calibri" w:hAnsi="Times New Roman" w:cs="Times New Roman"/>
          <w:lang w:val="lt-LT"/>
        </w:rPr>
      </w:pPr>
    </w:p>
    <w:p w14:paraId="2E95BC2E"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Nutraukus gydymą Leponex, kraują būtina tirti tol, kol hematologinė būklė visiškai atsistato.</w:t>
      </w:r>
    </w:p>
    <w:p w14:paraId="4160FD96" w14:textId="77777777" w:rsidR="00A34B5C" w:rsidRPr="00A34B5C" w:rsidRDefault="00A34B5C" w:rsidP="00A34B5C">
      <w:pPr>
        <w:spacing w:after="0" w:line="240" w:lineRule="auto"/>
        <w:rPr>
          <w:rFonts w:ascii="Times New Roman" w:eastAsia="Calibri" w:hAnsi="Times New Roman" w:cs="Times New Roman"/>
          <w:lang w:val="lt-LT"/>
        </w:rPr>
      </w:pPr>
    </w:p>
    <w:p w14:paraId="40ED4B45" w14:textId="77777777" w:rsidR="00A34B5C" w:rsidRPr="00A34B5C" w:rsidRDefault="00A34B5C" w:rsidP="00A34B5C">
      <w:pPr>
        <w:spacing w:after="0" w:line="240" w:lineRule="auto"/>
        <w:rPr>
          <w:rFonts w:ascii="Times New Roman" w:eastAsia="Calibri" w:hAnsi="Times New Roman" w:cs="Times New Roman"/>
          <w:b/>
          <w:bCs/>
          <w:lang w:val="lt-LT"/>
        </w:rPr>
      </w:pPr>
      <w:r w:rsidRPr="00A34B5C">
        <w:rPr>
          <w:rFonts w:ascii="Times New Roman" w:eastAsia="Calibri" w:hAnsi="Times New Roman" w:cs="Times New Roman"/>
          <w:b/>
          <w:bCs/>
          <w:lang w:val="lt-LT"/>
        </w:rPr>
        <w:t>1 lentelė</w:t>
      </w:r>
    </w:p>
    <w:p w14:paraId="6A6D5F7E" w14:textId="77777777" w:rsidR="00A34B5C" w:rsidRPr="00A34B5C" w:rsidRDefault="00A34B5C" w:rsidP="00A34B5C">
      <w:pPr>
        <w:spacing w:after="0" w:line="240" w:lineRule="auto"/>
        <w:rPr>
          <w:rFonts w:ascii="Times New Roman" w:eastAsia="Calibri" w:hAnsi="Times New Roman" w:cs="Times New Roman"/>
          <w:b/>
          <w:bCs/>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23"/>
        <w:gridCol w:w="2292"/>
        <w:gridCol w:w="4545"/>
      </w:tblGrid>
      <w:tr w:rsidR="00A34B5C" w:rsidRPr="00A34B5C" w14:paraId="33AD0EBA" w14:textId="77777777" w:rsidTr="004436EA">
        <w:trPr>
          <w:cantSplit/>
        </w:trPr>
        <w:tc>
          <w:tcPr>
            <w:tcW w:w="4608" w:type="dxa"/>
            <w:gridSpan w:val="2"/>
          </w:tcPr>
          <w:p w14:paraId="00F56548" w14:textId="77777777" w:rsidR="00A34B5C" w:rsidRPr="00A34B5C" w:rsidRDefault="00A34B5C" w:rsidP="00A34B5C">
            <w:pPr>
              <w:spacing w:after="0" w:line="240" w:lineRule="auto"/>
              <w:jc w:val="center"/>
              <w:rPr>
                <w:rFonts w:ascii="Times New Roman" w:eastAsia="Calibri" w:hAnsi="Times New Roman" w:cs="Times New Roman"/>
                <w:lang w:val="lt-LT"/>
              </w:rPr>
            </w:pPr>
            <w:r w:rsidRPr="00A34B5C">
              <w:rPr>
                <w:rFonts w:ascii="Times New Roman" w:eastAsia="Calibri" w:hAnsi="Times New Roman" w:cs="Times New Roman"/>
                <w:lang w:val="lt-LT"/>
              </w:rPr>
              <w:t>Kraujo ląstelių skaičius</w:t>
            </w:r>
          </w:p>
        </w:tc>
        <w:tc>
          <w:tcPr>
            <w:tcW w:w="4678" w:type="dxa"/>
            <w:vMerge w:val="restart"/>
          </w:tcPr>
          <w:p w14:paraId="613B1BF9"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Būtini veiksmai</w:t>
            </w:r>
          </w:p>
        </w:tc>
      </w:tr>
      <w:tr w:rsidR="00A34B5C" w:rsidRPr="00A34B5C" w14:paraId="38A5F44D" w14:textId="77777777" w:rsidTr="004436EA">
        <w:trPr>
          <w:cantSplit/>
        </w:trPr>
        <w:tc>
          <w:tcPr>
            <w:tcW w:w="2268" w:type="dxa"/>
          </w:tcPr>
          <w:p w14:paraId="111AD0C3" w14:textId="77777777" w:rsidR="00A34B5C" w:rsidRPr="00A34B5C" w:rsidRDefault="00A34B5C" w:rsidP="00A34B5C">
            <w:pPr>
              <w:spacing w:after="0" w:line="240" w:lineRule="auto"/>
              <w:jc w:val="center"/>
              <w:rPr>
                <w:rFonts w:ascii="Times New Roman" w:eastAsia="Calibri" w:hAnsi="Times New Roman" w:cs="Times New Roman"/>
                <w:lang w:val="lt-LT"/>
              </w:rPr>
            </w:pPr>
            <w:r w:rsidRPr="00A34B5C">
              <w:rPr>
                <w:rFonts w:ascii="Times New Roman" w:eastAsia="Calibri" w:hAnsi="Times New Roman" w:cs="Times New Roman"/>
                <w:lang w:val="lt-LT"/>
              </w:rPr>
              <w:t>BKL/mm</w:t>
            </w:r>
            <w:r w:rsidRPr="00A34B5C">
              <w:rPr>
                <w:rFonts w:ascii="Times New Roman" w:eastAsia="Calibri" w:hAnsi="Times New Roman" w:cs="Times New Roman"/>
                <w:vertAlign w:val="superscript"/>
                <w:lang w:val="lt-LT"/>
              </w:rPr>
              <w:t>3</w:t>
            </w:r>
            <w:r w:rsidRPr="00A34B5C">
              <w:rPr>
                <w:rFonts w:ascii="Times New Roman" w:eastAsia="Calibri" w:hAnsi="Times New Roman" w:cs="Times New Roman"/>
                <w:lang w:val="lt-LT"/>
              </w:rPr>
              <w:t xml:space="preserve"> (/l)</w:t>
            </w:r>
          </w:p>
        </w:tc>
        <w:tc>
          <w:tcPr>
            <w:tcW w:w="2340" w:type="dxa"/>
          </w:tcPr>
          <w:p w14:paraId="4CC77E7D" w14:textId="77777777" w:rsidR="00A34B5C" w:rsidRPr="00A34B5C" w:rsidRDefault="00A34B5C" w:rsidP="00A34B5C">
            <w:pPr>
              <w:spacing w:after="0" w:line="240" w:lineRule="auto"/>
              <w:jc w:val="center"/>
              <w:rPr>
                <w:rFonts w:ascii="Times New Roman" w:eastAsia="Calibri" w:hAnsi="Times New Roman" w:cs="Times New Roman"/>
                <w:lang w:val="lt-LT"/>
              </w:rPr>
            </w:pPr>
            <w:r w:rsidRPr="00A34B5C">
              <w:rPr>
                <w:rFonts w:ascii="Times New Roman" w:eastAsia="Calibri" w:hAnsi="Times New Roman" w:cs="Times New Roman"/>
                <w:lang w:val="lt-LT"/>
              </w:rPr>
              <w:t>ANK/mm</w:t>
            </w:r>
            <w:r w:rsidRPr="00A34B5C">
              <w:rPr>
                <w:rFonts w:ascii="Times New Roman" w:eastAsia="Calibri" w:hAnsi="Times New Roman" w:cs="Times New Roman"/>
                <w:vertAlign w:val="superscript"/>
                <w:lang w:val="lt-LT"/>
              </w:rPr>
              <w:t>3</w:t>
            </w:r>
            <w:r w:rsidRPr="00A34B5C">
              <w:rPr>
                <w:rFonts w:ascii="Times New Roman" w:eastAsia="Calibri" w:hAnsi="Times New Roman" w:cs="Times New Roman"/>
                <w:lang w:val="lt-LT"/>
              </w:rPr>
              <w:t xml:space="preserve"> (/l)</w:t>
            </w:r>
          </w:p>
        </w:tc>
        <w:tc>
          <w:tcPr>
            <w:tcW w:w="4678" w:type="dxa"/>
            <w:vMerge/>
          </w:tcPr>
          <w:p w14:paraId="1C4C5D5A" w14:textId="77777777" w:rsidR="00A34B5C" w:rsidRPr="00A34B5C" w:rsidRDefault="00A34B5C" w:rsidP="00A34B5C">
            <w:pPr>
              <w:spacing w:after="0" w:line="240" w:lineRule="auto"/>
              <w:rPr>
                <w:rFonts w:ascii="Times New Roman" w:eastAsia="Calibri" w:hAnsi="Times New Roman" w:cs="Times New Roman"/>
                <w:lang w:val="lt-LT"/>
              </w:rPr>
            </w:pPr>
          </w:p>
        </w:tc>
      </w:tr>
      <w:tr w:rsidR="00A34B5C" w:rsidRPr="00A34B5C" w14:paraId="53BEC0A2" w14:textId="77777777" w:rsidTr="004436EA">
        <w:tc>
          <w:tcPr>
            <w:tcW w:w="2268" w:type="dxa"/>
          </w:tcPr>
          <w:p w14:paraId="519A0710" w14:textId="77777777" w:rsidR="00A34B5C" w:rsidRPr="00A34B5C" w:rsidRDefault="00A34B5C" w:rsidP="00A34B5C">
            <w:pPr>
              <w:spacing w:after="0" w:line="240" w:lineRule="auto"/>
              <w:jc w:val="center"/>
              <w:rPr>
                <w:rFonts w:ascii="Times New Roman" w:eastAsia="Calibri" w:hAnsi="Times New Roman" w:cs="Times New Roman"/>
                <w:lang w:val="lt-LT"/>
              </w:rPr>
            </w:pPr>
            <w:r w:rsidRPr="00A34B5C">
              <w:rPr>
                <w:rFonts w:ascii="Times New Roman" w:eastAsia="Calibri" w:hAnsi="Times New Roman" w:cs="Times New Roman"/>
                <w:lang w:val="lt-LT"/>
              </w:rPr>
              <w:lastRenderedPageBreak/>
              <w:t>≥ 3500 (≥ 3,5x10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w:t>
            </w:r>
          </w:p>
        </w:tc>
        <w:tc>
          <w:tcPr>
            <w:tcW w:w="2340" w:type="dxa"/>
          </w:tcPr>
          <w:p w14:paraId="1D0DC988" w14:textId="77777777" w:rsidR="00A34B5C" w:rsidRPr="00A34B5C" w:rsidRDefault="00A34B5C" w:rsidP="00A34B5C">
            <w:pPr>
              <w:spacing w:after="0" w:line="240" w:lineRule="auto"/>
              <w:jc w:val="center"/>
              <w:rPr>
                <w:rFonts w:ascii="Times New Roman" w:eastAsia="Calibri" w:hAnsi="Times New Roman" w:cs="Times New Roman"/>
                <w:lang w:val="lt-LT"/>
              </w:rPr>
            </w:pPr>
            <w:r w:rsidRPr="00A34B5C">
              <w:rPr>
                <w:rFonts w:ascii="Times New Roman" w:eastAsia="Calibri" w:hAnsi="Times New Roman" w:cs="Times New Roman"/>
                <w:lang w:val="lt-LT"/>
              </w:rPr>
              <w:t>≥ 2000 (≥ 2,0x10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w:t>
            </w:r>
          </w:p>
        </w:tc>
        <w:tc>
          <w:tcPr>
            <w:tcW w:w="4678" w:type="dxa"/>
          </w:tcPr>
          <w:p w14:paraId="34F91C48"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Toliau gydyti Leponex</w:t>
            </w:r>
          </w:p>
        </w:tc>
      </w:tr>
      <w:tr w:rsidR="00A34B5C" w:rsidRPr="0049380B" w14:paraId="5D5F403C" w14:textId="77777777" w:rsidTr="004436EA">
        <w:tc>
          <w:tcPr>
            <w:tcW w:w="2268" w:type="dxa"/>
          </w:tcPr>
          <w:p w14:paraId="57F0F5D2" w14:textId="77777777" w:rsidR="00A34B5C" w:rsidRPr="00A34B5C" w:rsidRDefault="00A34B5C" w:rsidP="00A34B5C">
            <w:pPr>
              <w:spacing w:after="0" w:line="240" w:lineRule="auto"/>
              <w:jc w:val="center"/>
              <w:rPr>
                <w:rFonts w:ascii="Times New Roman" w:eastAsia="Calibri" w:hAnsi="Times New Roman" w:cs="Times New Roman"/>
                <w:lang w:val="lt-LT"/>
              </w:rPr>
            </w:pPr>
            <w:r w:rsidRPr="00A34B5C">
              <w:rPr>
                <w:rFonts w:ascii="Times New Roman" w:eastAsia="Calibri" w:hAnsi="Times New Roman" w:cs="Times New Roman"/>
                <w:lang w:val="lt-LT"/>
              </w:rPr>
              <w:t>Tarp ≥ 3000 ir &lt; 3500 (≥ 3,0x10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 xml:space="preserve"> ir &lt; 3,5x10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w:t>
            </w:r>
          </w:p>
        </w:tc>
        <w:tc>
          <w:tcPr>
            <w:tcW w:w="2340" w:type="dxa"/>
          </w:tcPr>
          <w:p w14:paraId="52135380" w14:textId="77777777" w:rsidR="00A34B5C" w:rsidRPr="00A34B5C" w:rsidRDefault="00A34B5C" w:rsidP="00A34B5C">
            <w:pPr>
              <w:spacing w:after="0" w:line="240" w:lineRule="auto"/>
              <w:jc w:val="center"/>
              <w:rPr>
                <w:rFonts w:ascii="Times New Roman" w:eastAsia="Calibri" w:hAnsi="Times New Roman" w:cs="Times New Roman"/>
                <w:lang w:val="lt-LT"/>
              </w:rPr>
            </w:pPr>
            <w:r w:rsidRPr="00A34B5C">
              <w:rPr>
                <w:rFonts w:ascii="Times New Roman" w:eastAsia="Calibri" w:hAnsi="Times New Roman" w:cs="Times New Roman"/>
                <w:lang w:val="lt-LT"/>
              </w:rPr>
              <w:t>Tarp ≥ 1500 ir &lt; 2000 (≥ 1,5x10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 xml:space="preserve"> ir &lt; 2,0x10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w:t>
            </w:r>
          </w:p>
        </w:tc>
        <w:tc>
          <w:tcPr>
            <w:tcW w:w="4678" w:type="dxa"/>
          </w:tcPr>
          <w:p w14:paraId="4A774A03"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Toliau gydyti Leponex, tirti kraują du kartus per savaitę, kol ląstelių kiekis stabilizuosis ar padidės</w:t>
            </w:r>
          </w:p>
        </w:tc>
      </w:tr>
      <w:tr w:rsidR="00A34B5C" w:rsidRPr="00A34B5C" w14:paraId="46CDB73E" w14:textId="77777777" w:rsidTr="004436EA">
        <w:tc>
          <w:tcPr>
            <w:tcW w:w="2268" w:type="dxa"/>
          </w:tcPr>
          <w:p w14:paraId="2A303443" w14:textId="77777777" w:rsidR="00A34B5C" w:rsidRPr="00A34B5C" w:rsidRDefault="00A34B5C" w:rsidP="00A34B5C">
            <w:pPr>
              <w:spacing w:after="0" w:line="240" w:lineRule="auto"/>
              <w:jc w:val="center"/>
              <w:rPr>
                <w:rFonts w:ascii="Times New Roman" w:eastAsia="Calibri" w:hAnsi="Times New Roman" w:cs="Times New Roman"/>
                <w:lang w:val="lt-LT"/>
              </w:rPr>
            </w:pPr>
            <w:r w:rsidRPr="00A34B5C">
              <w:rPr>
                <w:rFonts w:ascii="Times New Roman" w:eastAsia="Calibri" w:hAnsi="Times New Roman" w:cs="Times New Roman"/>
                <w:lang w:val="lt-LT"/>
              </w:rPr>
              <w:t>&lt;3000 (&lt;3,0x10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w:t>
            </w:r>
          </w:p>
        </w:tc>
        <w:tc>
          <w:tcPr>
            <w:tcW w:w="2340" w:type="dxa"/>
          </w:tcPr>
          <w:p w14:paraId="1651A87D" w14:textId="77777777" w:rsidR="00A34B5C" w:rsidRPr="00A34B5C" w:rsidRDefault="00A34B5C" w:rsidP="00A34B5C">
            <w:pPr>
              <w:spacing w:after="0" w:line="240" w:lineRule="auto"/>
              <w:jc w:val="center"/>
              <w:rPr>
                <w:rFonts w:ascii="Times New Roman" w:eastAsia="Calibri" w:hAnsi="Times New Roman" w:cs="Times New Roman"/>
                <w:lang w:val="lt-LT"/>
              </w:rPr>
            </w:pPr>
            <w:r w:rsidRPr="00A34B5C">
              <w:rPr>
                <w:rFonts w:ascii="Times New Roman" w:eastAsia="Calibri" w:hAnsi="Times New Roman" w:cs="Times New Roman"/>
                <w:lang w:val="lt-LT"/>
              </w:rPr>
              <w:t>&lt;1500 (&lt;1,5x10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w:t>
            </w:r>
          </w:p>
        </w:tc>
        <w:tc>
          <w:tcPr>
            <w:tcW w:w="4678" w:type="dxa"/>
          </w:tcPr>
          <w:p w14:paraId="55B97516"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Nedelsiant nutraukti gydymą Leponex, kraują tirti kasdien, kol išnyks hematologiniai pokyčiai, stebėti dėl infekcijos. Gydymo neatnaujinti.</w:t>
            </w:r>
          </w:p>
        </w:tc>
      </w:tr>
    </w:tbl>
    <w:p w14:paraId="5CFB8EBA" w14:textId="77777777" w:rsidR="00A34B5C" w:rsidRPr="00A34B5C" w:rsidRDefault="00A34B5C" w:rsidP="00A34B5C">
      <w:pPr>
        <w:spacing w:after="0" w:line="240" w:lineRule="auto"/>
        <w:rPr>
          <w:rFonts w:ascii="Times New Roman" w:eastAsia="Calibri" w:hAnsi="Times New Roman" w:cs="Times New Roman"/>
          <w:lang w:val="lt-LT"/>
        </w:rPr>
      </w:pPr>
    </w:p>
    <w:p w14:paraId="399F612B"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Jeigu gydymas Leponex nutrauktas, o BKL toliau mažėja ir pasidaro mažiau kaip 2000/mm</w:t>
      </w:r>
      <w:r w:rsidRPr="00A34B5C">
        <w:rPr>
          <w:rFonts w:ascii="Times New Roman" w:eastAsia="Calibri" w:hAnsi="Times New Roman" w:cs="Times New Roman"/>
          <w:vertAlign w:val="superscript"/>
          <w:lang w:val="lt-LT"/>
        </w:rPr>
        <w:t>3</w:t>
      </w:r>
      <w:r w:rsidRPr="00A34B5C">
        <w:rPr>
          <w:rFonts w:ascii="Times New Roman" w:eastAsia="Calibri" w:hAnsi="Times New Roman" w:cs="Times New Roman"/>
          <w:lang w:val="lt-LT"/>
        </w:rPr>
        <w:t xml:space="preserve"> (2,0x10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/l) ar ANK mažiau kaip 1000/mm</w:t>
      </w:r>
      <w:r w:rsidRPr="00A34B5C">
        <w:rPr>
          <w:rFonts w:ascii="Times New Roman" w:eastAsia="Calibri" w:hAnsi="Times New Roman" w:cs="Times New Roman"/>
          <w:vertAlign w:val="superscript"/>
          <w:lang w:val="lt-LT"/>
        </w:rPr>
        <w:t>3</w:t>
      </w:r>
      <w:r w:rsidRPr="00A34B5C">
        <w:rPr>
          <w:rFonts w:ascii="Times New Roman" w:eastAsia="Calibri" w:hAnsi="Times New Roman" w:cs="Times New Roman"/>
          <w:lang w:val="lt-LT"/>
        </w:rPr>
        <w:t xml:space="preserve"> (1,0x10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/l), gydymui turi vadovauti patyręs hematologas.</w:t>
      </w:r>
    </w:p>
    <w:p w14:paraId="325F822B" w14:textId="77777777" w:rsidR="00A34B5C" w:rsidRPr="00A34B5C" w:rsidRDefault="00A34B5C" w:rsidP="00A34B5C">
      <w:pPr>
        <w:spacing w:after="0" w:line="240" w:lineRule="auto"/>
        <w:rPr>
          <w:rFonts w:ascii="Times New Roman" w:eastAsia="Calibri" w:hAnsi="Times New Roman" w:cs="Times New Roman"/>
          <w:lang w:val="lt-LT"/>
        </w:rPr>
      </w:pPr>
    </w:p>
    <w:p w14:paraId="15117368"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Gydymo nutraukimas dėl hematologinių priežasčių</w:t>
      </w:r>
    </w:p>
    <w:p w14:paraId="598510B5"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Pacientams, kuriems gydymas Leponex buvo nutrauktas dėl sumažėjusių BKL ar ANK (žr. aukščiau), atnaujinti gydymą šiuo vaistiniu preparatu draudžiama.</w:t>
      </w:r>
    </w:p>
    <w:p w14:paraId="60DEC4DF" w14:textId="77777777" w:rsidR="00A34B5C" w:rsidRPr="00A34B5C" w:rsidRDefault="00A34B5C" w:rsidP="00A34B5C">
      <w:pPr>
        <w:spacing w:after="0" w:line="240" w:lineRule="auto"/>
        <w:rPr>
          <w:rFonts w:ascii="Times New Roman" w:eastAsia="Calibri" w:hAnsi="Times New Roman" w:cs="Times New Roman"/>
          <w:lang w:val="lt-LT"/>
        </w:rPr>
      </w:pPr>
    </w:p>
    <w:p w14:paraId="5D338609"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Vaistinį preparatą skiriančiam gydytojui rekomenduojama laikyti visų pacientų kraujo tyrimų duomenis ir padaryti viską, kad ateityje jų gydymas atsitiktinai nebūtų atnaujintas.</w:t>
      </w:r>
    </w:p>
    <w:p w14:paraId="1CA9FE1C" w14:textId="77777777" w:rsidR="00A34B5C" w:rsidRPr="00A34B5C" w:rsidRDefault="00A34B5C" w:rsidP="00A34B5C">
      <w:pPr>
        <w:spacing w:after="0" w:line="240" w:lineRule="auto"/>
        <w:rPr>
          <w:rFonts w:ascii="Times New Roman" w:eastAsia="Calibri" w:hAnsi="Times New Roman" w:cs="Times New Roman"/>
          <w:lang w:val="lt-LT"/>
        </w:rPr>
      </w:pPr>
    </w:p>
    <w:p w14:paraId="40862ECB"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Gydymo nutraukimas dėl kitų priežasčių</w:t>
      </w:r>
    </w:p>
    <w:p w14:paraId="76BE0B8B"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Pacientams, kurie Leponex vartojo ilgiau kaip 18 mėnesių ir kurių gydymas buvo nutrauktas ilgiau kaip 3 dienas, bet trumpiau kaip 4 savaites, būtina papildomai dar 6 savaites kas savaitę tirti BKL ir ANK. Jei hematologinių sutrikimų nenustatoma, kraują tirti ne rečiau kaip kas 4 savaites. Jei gydymas Leponex nutraukiamas ilgiau kaip 4 savaitėms, kraują tirti kas savaitę kitas 18 gydymo savaičių, taip pat reikia iš naujo parinkti dozę (žr. 4.2 skyrių).</w:t>
      </w:r>
    </w:p>
    <w:p w14:paraId="73CDBF9D" w14:textId="77777777" w:rsidR="00A34B5C" w:rsidRDefault="00A34B5C" w:rsidP="00A34B5C">
      <w:pPr>
        <w:spacing w:after="0" w:line="240" w:lineRule="auto"/>
        <w:rPr>
          <w:rFonts w:ascii="Times New Roman" w:eastAsia="Calibri" w:hAnsi="Times New Roman" w:cs="Times New Roman"/>
          <w:lang w:val="lt-LT"/>
        </w:rPr>
      </w:pPr>
    </w:p>
    <w:p w14:paraId="373CEE6F" w14:textId="77777777" w:rsidR="00A85A3B" w:rsidRPr="0035481C" w:rsidRDefault="00A85A3B" w:rsidP="00A34B5C">
      <w:pPr>
        <w:spacing w:after="0" w:line="240" w:lineRule="auto"/>
        <w:rPr>
          <w:rFonts w:ascii="Times New Roman" w:eastAsia="Calibri" w:hAnsi="Times New Roman" w:cs="Times New Roman"/>
          <w:u w:val="single"/>
          <w:lang w:val="lt-LT"/>
        </w:rPr>
      </w:pPr>
      <w:r w:rsidRPr="00A85A3B">
        <w:rPr>
          <w:rFonts w:ascii="Times New Roman" w:eastAsia="Calibri" w:hAnsi="Times New Roman" w:cs="Times New Roman"/>
          <w:u w:val="single"/>
          <w:lang w:val="lt-LT"/>
        </w:rPr>
        <w:t>Kiti įspėjimai</w:t>
      </w:r>
    </w:p>
    <w:p w14:paraId="3793F0AA" w14:textId="77777777" w:rsidR="00A85A3B" w:rsidRDefault="00A85A3B" w:rsidP="00A34B5C">
      <w:pPr>
        <w:spacing w:after="0" w:line="240" w:lineRule="auto"/>
        <w:rPr>
          <w:rFonts w:ascii="Times New Roman" w:eastAsia="Calibri" w:hAnsi="Times New Roman" w:cs="Times New Roman"/>
          <w:i/>
          <w:lang w:val="lt-LT"/>
        </w:rPr>
      </w:pPr>
    </w:p>
    <w:p w14:paraId="41848984"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Šio vaistinio preparato sudėtyje yra laktozės. Šio vaistinio preparato negalima skirti pacientams, kuriems yra retas paveldimas galaktozės netoleravimas, </w:t>
      </w:r>
      <w:r w:rsidRPr="00A34B5C">
        <w:rPr>
          <w:rFonts w:ascii="Times New Roman" w:eastAsia="Calibri" w:hAnsi="Times New Roman" w:cs="Times New Roman"/>
          <w:i/>
          <w:lang w:val="lt-LT"/>
        </w:rPr>
        <w:t>Lapp</w:t>
      </w:r>
      <w:r w:rsidRPr="00A34B5C">
        <w:rPr>
          <w:rFonts w:ascii="Times New Roman" w:eastAsia="Calibri" w:hAnsi="Times New Roman" w:cs="Times New Roman"/>
          <w:lang w:val="lt-LT"/>
        </w:rPr>
        <w:t xml:space="preserve"> laktazės stygius arba gliukozės ir galaktozės malabsorbcija.</w:t>
      </w:r>
    </w:p>
    <w:p w14:paraId="149C6C0A" w14:textId="77777777" w:rsidR="00A34B5C" w:rsidRPr="00A34B5C" w:rsidRDefault="00A34B5C" w:rsidP="00A34B5C">
      <w:pPr>
        <w:spacing w:after="0" w:line="240" w:lineRule="auto"/>
        <w:rPr>
          <w:rFonts w:ascii="Times New Roman" w:eastAsia="Calibri" w:hAnsi="Times New Roman" w:cs="Times New Roman"/>
          <w:lang w:val="lt-LT"/>
        </w:rPr>
      </w:pPr>
    </w:p>
    <w:p w14:paraId="4FE9825D"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Eozinofilija</w:t>
      </w:r>
    </w:p>
    <w:p w14:paraId="4C3B159B"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Pasireiškus eozinofilijai (kai eozinofilų kiekis tampa didesnis kaip 3000/mm</w:t>
      </w:r>
      <w:r w:rsidRPr="00A34B5C">
        <w:rPr>
          <w:rFonts w:ascii="Times New Roman" w:eastAsia="Calibri" w:hAnsi="Times New Roman" w:cs="Times New Roman"/>
          <w:vertAlign w:val="superscript"/>
          <w:lang w:val="lt-LT"/>
        </w:rPr>
        <w:t>3</w:t>
      </w:r>
      <w:r w:rsidRPr="00A34B5C">
        <w:rPr>
          <w:rFonts w:ascii="Times New Roman" w:eastAsia="Calibri" w:hAnsi="Times New Roman" w:cs="Times New Roman"/>
          <w:lang w:val="lt-LT"/>
        </w:rPr>
        <w:t xml:space="preserve"> (3,0x10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/l)), gydymą Leponex rekomenduojama nutraukti, jį galima atnaujinti tik tada, kai eozinofilų pasidaro mažiau kaip 1000/mm</w:t>
      </w:r>
      <w:r w:rsidRPr="00A34B5C">
        <w:rPr>
          <w:rFonts w:ascii="Times New Roman" w:eastAsia="Calibri" w:hAnsi="Times New Roman" w:cs="Times New Roman"/>
          <w:vertAlign w:val="superscript"/>
          <w:lang w:val="lt-LT"/>
        </w:rPr>
        <w:t>3</w:t>
      </w:r>
      <w:r w:rsidRPr="00A34B5C">
        <w:rPr>
          <w:rFonts w:ascii="Times New Roman" w:eastAsia="Calibri" w:hAnsi="Times New Roman" w:cs="Times New Roman"/>
          <w:lang w:val="lt-LT"/>
        </w:rPr>
        <w:t xml:space="preserve"> (1,0x10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/l).</w:t>
      </w:r>
    </w:p>
    <w:p w14:paraId="11B8C3C3" w14:textId="77777777" w:rsidR="00A34B5C" w:rsidRPr="00A34B5C" w:rsidRDefault="00A34B5C" w:rsidP="00A34B5C">
      <w:pPr>
        <w:spacing w:after="0" w:line="240" w:lineRule="auto"/>
        <w:rPr>
          <w:rFonts w:ascii="Times New Roman" w:eastAsia="Calibri" w:hAnsi="Times New Roman" w:cs="Times New Roman"/>
          <w:lang w:val="lt-LT"/>
        </w:rPr>
      </w:pPr>
    </w:p>
    <w:p w14:paraId="783ACB41"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Trombocitopenija</w:t>
      </w:r>
    </w:p>
    <w:p w14:paraId="02947E65"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Pasireiškus trombocitopenijai (kai trombocitų būna mažiau kaip 50 000/mm</w:t>
      </w:r>
      <w:r w:rsidRPr="00A34B5C">
        <w:rPr>
          <w:rFonts w:ascii="Times New Roman" w:eastAsia="Calibri" w:hAnsi="Times New Roman" w:cs="Times New Roman"/>
          <w:vertAlign w:val="superscript"/>
          <w:lang w:val="lt-LT"/>
        </w:rPr>
        <w:t>3</w:t>
      </w:r>
      <w:r w:rsidRPr="00A34B5C">
        <w:rPr>
          <w:rFonts w:ascii="Times New Roman" w:eastAsia="Calibri" w:hAnsi="Times New Roman" w:cs="Times New Roman"/>
          <w:lang w:val="lt-LT"/>
        </w:rPr>
        <w:t xml:space="preserve"> (50x10</w:t>
      </w:r>
      <w:r w:rsidRPr="00A34B5C">
        <w:rPr>
          <w:rFonts w:ascii="Times New Roman" w:eastAsia="Calibri" w:hAnsi="Times New Roman" w:cs="Times New Roman"/>
          <w:vertAlign w:val="superscript"/>
          <w:lang w:val="lt-LT"/>
        </w:rPr>
        <w:t>9</w:t>
      </w:r>
      <w:r w:rsidRPr="00A34B5C">
        <w:rPr>
          <w:rFonts w:ascii="Times New Roman" w:eastAsia="Calibri" w:hAnsi="Times New Roman" w:cs="Times New Roman"/>
          <w:lang w:val="lt-LT"/>
        </w:rPr>
        <w:t>/l), rekomenduojama gydymą Leponex nutraukti.</w:t>
      </w:r>
    </w:p>
    <w:p w14:paraId="15C18CE2" w14:textId="77777777" w:rsidR="00A34B5C" w:rsidRPr="00A34B5C" w:rsidRDefault="00A34B5C" w:rsidP="00A34B5C">
      <w:pPr>
        <w:spacing w:after="0" w:line="240" w:lineRule="auto"/>
        <w:rPr>
          <w:rFonts w:ascii="Times New Roman" w:eastAsia="Calibri" w:hAnsi="Times New Roman" w:cs="Times New Roman"/>
          <w:lang w:val="lt-LT"/>
        </w:rPr>
      </w:pPr>
    </w:p>
    <w:p w14:paraId="3D4689AE"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Širdies ir kraujagyslių sutrikimai</w:t>
      </w:r>
    </w:p>
    <w:p w14:paraId="561C9EF1"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Gydant Leponex gali būti</w:t>
      </w:r>
      <w:r w:rsidRPr="00A34B5C">
        <w:rPr>
          <w:rFonts w:ascii="Times New Roman" w:eastAsia="Calibri" w:hAnsi="Times New Roman" w:cs="Times New Roman"/>
          <w:b/>
          <w:lang w:val="lt-LT"/>
        </w:rPr>
        <w:t xml:space="preserve"> </w:t>
      </w:r>
      <w:r w:rsidRPr="00A34B5C">
        <w:rPr>
          <w:rFonts w:ascii="Times New Roman" w:eastAsia="Calibri" w:hAnsi="Times New Roman" w:cs="Times New Roman"/>
          <w:lang w:val="lt-LT"/>
        </w:rPr>
        <w:t>ortostatinė hipotenzija su sinkope ar be jos. Retkarčiais kolapsas gali būti ryškus, net gali sustoti širdis ir (arba) kvėpavimas. Tai labiau tikėtina, kai kartu vartojama benzodiazepinų ar kitų psichotropinių vaistinių preparatų (žr. 4.5 skyrių), taip pat titruojant pirminę dozę, kai ji greitai didinama; labai retai toks poveikis gali būti net po pirmosios dozės. Todėl pradėjusį vartoti Leponex pacientą privalo atidžiai prižiūrėti medikai. Parkinsono liga sergantiems pacientams per pirmąsias gydymo savaites būtina stebėti kraujospūdį, matuojamą stovint ir gulint.</w:t>
      </w:r>
    </w:p>
    <w:p w14:paraId="230A6F60" w14:textId="77777777" w:rsidR="00A34B5C" w:rsidRPr="00A34B5C" w:rsidRDefault="00A34B5C" w:rsidP="00A34B5C">
      <w:pPr>
        <w:spacing w:after="0" w:line="240" w:lineRule="auto"/>
        <w:rPr>
          <w:rFonts w:ascii="Times New Roman" w:eastAsia="Calibri" w:hAnsi="Times New Roman" w:cs="Times New Roman"/>
          <w:lang w:val="lt-LT"/>
        </w:rPr>
      </w:pPr>
    </w:p>
    <w:p w14:paraId="625F77F6"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Saugumo duomenų bazės analizė rodo, kad Leponex vartojimas yra susijęs su padidėjusia miokardito rizika, ypač per pirmuosius du (bet ne tik) gydymo mėnesius. Kai kurie miokardito atvejai baigėsi mirtimi. Gauta pranešimų apie perikarditą ir (arba) skystį perikarde ir kardiomiopatiją, susijusius su Leponex vartojimu; šiuose pranešimuose taip pat yra duomenų apie mirties atvejus. Miokarditą ar kardiomiopatiją reikią įtarti pacientams, kuriems nuolat ramybės būsenoje būna tachikardija, ypač per pirmuosius du gydymo mėnesius, ir (arba) širdies plakimas, aritmija, krūtinės skausmas ir kitų širdies nepakankamumo požymių (pvz., nepaaiškinamas nuovargis, dusulys, padažnėjęs kvėpavimas) ar miokardo infarktą primenančių požymių. Be to, gali būti kitų požymių, pavyzdžiui, panašių į gripą. </w:t>
      </w:r>
      <w:r w:rsidRPr="00A34B5C">
        <w:rPr>
          <w:rFonts w:ascii="Times New Roman" w:eastAsia="Calibri" w:hAnsi="Times New Roman" w:cs="Times New Roman"/>
          <w:lang w:val="lt-LT"/>
        </w:rPr>
        <w:lastRenderedPageBreak/>
        <w:t>Įtarus miokarditą ar kardiomiopatiją, gydymą Leponex reikia nedelsiant nutraukti, o pacientą siųsti kardiologo konsultacijai.</w:t>
      </w:r>
    </w:p>
    <w:p w14:paraId="0389FA27" w14:textId="77777777" w:rsidR="00A34B5C" w:rsidRPr="00A34B5C" w:rsidRDefault="00A34B5C" w:rsidP="00A34B5C">
      <w:pPr>
        <w:spacing w:after="0" w:line="240" w:lineRule="auto"/>
        <w:rPr>
          <w:rFonts w:ascii="Times New Roman" w:eastAsia="Calibri" w:hAnsi="Times New Roman" w:cs="Times New Roman"/>
          <w:lang w:val="lt-LT"/>
        </w:rPr>
      </w:pPr>
    </w:p>
    <w:p w14:paraId="5F4E5F37"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Pacientams, kuriems gydymo Leponex metu nustatyta kardiomiopatija, gali atsirasti mitralinio vožtuvo nepakankamumas. Gauta pranešimų apie mitralinio vožtuvo nepakankamumo atvejus, esant kardiomiopatijai, susijusiai su gydymu Leponex. Šiais mitralinio vožtuvo nepakankamumo atvejais dvimatės echokardiografijos (2D kardioEcho) metu stebėta lengva arba vidutinio sunkumo regurgitacija per mitralinį vožtuvą (žr. 4.8 skyrių).</w:t>
      </w:r>
    </w:p>
    <w:p w14:paraId="5CA7B1E5" w14:textId="77777777" w:rsidR="00A34B5C" w:rsidRPr="00A34B5C" w:rsidRDefault="00A34B5C" w:rsidP="00A34B5C">
      <w:pPr>
        <w:spacing w:after="0" w:line="240" w:lineRule="auto"/>
        <w:rPr>
          <w:rFonts w:ascii="Times New Roman" w:eastAsia="Calibri" w:hAnsi="Times New Roman" w:cs="Times New Roman"/>
          <w:lang w:val="lt-LT"/>
        </w:rPr>
      </w:pPr>
    </w:p>
    <w:p w14:paraId="28609421" w14:textId="77777777" w:rsidR="00A34B5C" w:rsidRPr="00A34B5C" w:rsidRDefault="00A34B5C" w:rsidP="00A34B5C">
      <w:pPr>
        <w:spacing w:after="0" w:line="240" w:lineRule="auto"/>
        <w:rPr>
          <w:rFonts w:ascii="Times New Roman" w:eastAsia="Calibri" w:hAnsi="Times New Roman" w:cs="Times New Roman"/>
          <w:color w:val="1F497D"/>
          <w:lang w:val="lt-LT"/>
        </w:rPr>
      </w:pPr>
      <w:r w:rsidRPr="00A34B5C">
        <w:rPr>
          <w:rFonts w:ascii="Times New Roman" w:eastAsia="Calibri" w:hAnsi="Times New Roman" w:cs="Times New Roman"/>
          <w:lang w:val="lt-LT"/>
        </w:rPr>
        <w:t>Pacientams, kuriems klozapinas sukėlė miokarditą ar kardiomiopatiją, gydymo Leponex atnaujinti negalima.</w:t>
      </w:r>
    </w:p>
    <w:p w14:paraId="1C1F8C15" w14:textId="77777777" w:rsidR="00A34B5C" w:rsidRPr="00A34B5C" w:rsidRDefault="00A34B5C" w:rsidP="00A34B5C">
      <w:pPr>
        <w:spacing w:after="0" w:line="240" w:lineRule="auto"/>
        <w:rPr>
          <w:rFonts w:ascii="Times New Roman" w:eastAsia="Calibri" w:hAnsi="Times New Roman" w:cs="Times New Roman"/>
          <w:lang w:val="lt-LT"/>
        </w:rPr>
      </w:pPr>
    </w:p>
    <w:p w14:paraId="014DD028"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Miokardo infarktas</w:t>
      </w:r>
    </w:p>
    <w:p w14:paraId="21374FCC"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Vaistiniam preparatui patekus į rinką, gauta pranešimų apie miokardo infarkto pasireiškimo atvejus</w:t>
      </w:r>
      <w:r w:rsidR="008F1EBD">
        <w:rPr>
          <w:rFonts w:ascii="Times New Roman" w:eastAsia="Calibri" w:hAnsi="Times New Roman" w:cs="Times New Roman"/>
          <w:lang w:val="lt-LT"/>
        </w:rPr>
        <w:t xml:space="preserve">, </w:t>
      </w:r>
      <w:r w:rsidRPr="00A34B5C">
        <w:rPr>
          <w:rFonts w:ascii="Times New Roman" w:eastAsia="Calibri" w:hAnsi="Times New Roman" w:cs="Times New Roman"/>
          <w:lang w:val="lt-LT"/>
        </w:rPr>
        <w:t xml:space="preserve"> </w:t>
      </w:r>
      <w:r w:rsidR="008F1EBD" w:rsidRPr="008F1EBD">
        <w:rPr>
          <w:rFonts w:ascii="Times New Roman" w:eastAsia="Calibri" w:hAnsi="Times New Roman" w:cs="Times New Roman"/>
          <w:lang w:val="lt-LT"/>
        </w:rPr>
        <w:t>taip pat ir mirtinus</w:t>
      </w:r>
      <w:r w:rsidRPr="00A34B5C">
        <w:rPr>
          <w:rFonts w:ascii="Times New Roman" w:eastAsia="Calibri" w:hAnsi="Times New Roman" w:cs="Times New Roman"/>
          <w:lang w:val="lt-LT"/>
        </w:rPr>
        <w:t>. Daugeliu šių atvejų priežastinio ryšio su vaistinio preparato vartojimu vertinimas buvo sudėtingas, kadangi pacientai jau anksčiau sirgo sunkiomis širdies ligomis ir galėjo būti tikėtinų kitų priežasčių.</w:t>
      </w:r>
    </w:p>
    <w:p w14:paraId="61FD009A" w14:textId="77777777" w:rsidR="00A34B5C" w:rsidRPr="00A34B5C" w:rsidRDefault="00A34B5C" w:rsidP="00A34B5C">
      <w:pPr>
        <w:spacing w:after="0" w:line="240" w:lineRule="auto"/>
        <w:rPr>
          <w:rFonts w:ascii="Times New Roman" w:eastAsia="Calibri" w:hAnsi="Times New Roman" w:cs="Times New Roman"/>
          <w:lang w:val="lt-LT"/>
        </w:rPr>
      </w:pPr>
    </w:p>
    <w:p w14:paraId="420D01D4"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QT intervalo pailgėjimas</w:t>
      </w:r>
    </w:p>
    <w:p w14:paraId="080BF723" w14:textId="77777777" w:rsidR="00A34B5C" w:rsidRPr="00A34B5C" w:rsidRDefault="00A34B5C" w:rsidP="00A34B5C">
      <w:pPr>
        <w:autoSpaceDE w:val="0"/>
        <w:autoSpaceDN w:val="0"/>
        <w:adjustRightInd w:val="0"/>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Klozapinu, kaip ir kitokiais vaistiniais preparatais nuo psichozės, rekomenduojama atsargiai gydyti ligonius, kurie serga širdies ir kraujagyslių liga ar kurių kraujo giminaičiams buvo pailgėjęs QT intervalas. </w:t>
      </w:r>
    </w:p>
    <w:p w14:paraId="4E14BA61" w14:textId="77777777" w:rsidR="00A34B5C" w:rsidRPr="00A34B5C" w:rsidRDefault="00A34B5C" w:rsidP="00A34B5C">
      <w:pPr>
        <w:autoSpaceDE w:val="0"/>
        <w:autoSpaceDN w:val="0"/>
        <w:adjustRightInd w:val="0"/>
        <w:spacing w:after="0" w:line="240" w:lineRule="auto"/>
        <w:rPr>
          <w:rFonts w:ascii="Times New Roman" w:eastAsia="Calibri" w:hAnsi="Times New Roman" w:cs="Times New Roman"/>
          <w:lang w:val="lt-LT"/>
        </w:rPr>
      </w:pPr>
    </w:p>
    <w:p w14:paraId="0C3EEBB7" w14:textId="77777777" w:rsidR="00A34B5C" w:rsidRPr="00A34B5C" w:rsidRDefault="00A34B5C" w:rsidP="00A34B5C">
      <w:pPr>
        <w:autoSpaceDE w:val="0"/>
        <w:autoSpaceDN w:val="0"/>
        <w:adjustRightInd w:val="0"/>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Klozapino, kaip ir kitokių vaistinių preparatų nuo psichozės, vartoti kartu su kitais QTc intervalą ilginančiais vaistiniais preparatais būtina atsargiai.</w:t>
      </w:r>
    </w:p>
    <w:p w14:paraId="64E5821A" w14:textId="77777777" w:rsidR="00A34B5C" w:rsidRPr="00A34B5C" w:rsidRDefault="00A34B5C" w:rsidP="00A34B5C">
      <w:pPr>
        <w:spacing w:after="0" w:line="240" w:lineRule="auto"/>
        <w:rPr>
          <w:rFonts w:ascii="Times New Roman" w:eastAsia="Calibri" w:hAnsi="Times New Roman" w:cs="Times New Roman"/>
          <w:lang w:val="lt-LT"/>
        </w:rPr>
      </w:pPr>
    </w:p>
    <w:p w14:paraId="53BD093E"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Su galvos smegenų kraujotakos sutrikimu susiję nepageidaujami reiškiniai</w:t>
      </w:r>
    </w:p>
    <w:p w14:paraId="16187BA6" w14:textId="77777777" w:rsidR="00A34B5C" w:rsidRPr="00A34B5C" w:rsidRDefault="00A34B5C" w:rsidP="00A34B5C">
      <w:pPr>
        <w:autoSpaceDE w:val="0"/>
        <w:autoSpaceDN w:val="0"/>
        <w:adjustRightInd w:val="0"/>
        <w:spacing w:after="0" w:line="240" w:lineRule="auto"/>
        <w:rPr>
          <w:rFonts w:ascii="Times New Roman" w:eastAsia="Calibri" w:hAnsi="Times New Roman" w:cs="Times New Roman"/>
          <w:iCs/>
          <w:color w:val="000000"/>
          <w:lang w:val="lt-LT"/>
        </w:rPr>
      </w:pPr>
      <w:r w:rsidRPr="00A34B5C">
        <w:rPr>
          <w:rFonts w:ascii="Times New Roman" w:eastAsia="Calibri" w:hAnsi="Times New Roman" w:cs="Times New Roman"/>
          <w:iCs/>
          <w:color w:val="000000"/>
          <w:lang w:val="lt-LT"/>
        </w:rPr>
        <w:t>Atsitiktinių imčių placebu kontroliuotų tyrimų, kuriose dalyvavę demencija sirgę pacientai vartojo kai kurių netipinių vaistinių preparatų nuo psichozės, metu nustatyta, kad su smegenų kraujagyslių sutrikimais susijusių nepageidaujamų reiškinių rizika padidėja 3 kartus. Tokio rizikos padidėjimo mechanizmas nežinomas. Rizikos padidėjimo negalima paneigti ir tuo atveju, jei vartojama kitokio vaistinio preparato nuo psichozės ar gydomi kitokiomis ligomis sergantys žmonės.</w:t>
      </w:r>
    </w:p>
    <w:p w14:paraId="444C46E7" w14:textId="77777777" w:rsidR="00A34B5C" w:rsidRPr="00A34B5C" w:rsidRDefault="00A34B5C" w:rsidP="00A34B5C">
      <w:pPr>
        <w:spacing w:after="0" w:line="240" w:lineRule="auto"/>
        <w:rPr>
          <w:rFonts w:ascii="Times New Roman" w:eastAsia="Calibri" w:hAnsi="Times New Roman" w:cs="Times New Roman"/>
          <w:lang w:val="lt-LT"/>
        </w:rPr>
      </w:pPr>
    </w:p>
    <w:p w14:paraId="3D48DD37"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Tromboembolijos rizika</w:t>
      </w:r>
    </w:p>
    <w:p w14:paraId="2F5B63E5"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Gydymas Leponex gali būti susijęs su tromboembolija, todėl reikia vengti pacientų imobilizacijos. </w:t>
      </w:r>
    </w:p>
    <w:p w14:paraId="601404A8"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Vartojusiems antipsichotinius vaistinius preparatus buvo pastebėti venų tromboembolijos (VTE) atvejai. Kadangi antipsichotikais gydomi pacientai dažnai turi įgytų VTE rizikos veiksnių, todėl reikia nustatyti visus galimus rizikos veiksnius prieš pradedant gydymą ir gydymo Leponex metu bei imtis profilaktikos priemonių.</w:t>
      </w:r>
    </w:p>
    <w:p w14:paraId="7B039145" w14:textId="77777777" w:rsidR="00A34B5C" w:rsidRPr="00A34B5C" w:rsidRDefault="00A34B5C" w:rsidP="00A34B5C">
      <w:pPr>
        <w:spacing w:after="0" w:line="240" w:lineRule="auto"/>
        <w:rPr>
          <w:rFonts w:ascii="Times New Roman" w:eastAsia="Calibri" w:hAnsi="Times New Roman" w:cs="Times New Roman"/>
          <w:lang w:val="lt-LT"/>
        </w:rPr>
      </w:pPr>
    </w:p>
    <w:p w14:paraId="52E90804"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Traukuliai</w:t>
      </w:r>
    </w:p>
    <w:p w14:paraId="50E55659"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Epilepsija sergančius pacientus, gydomus Leponex, būtina atidžiai stebėti, nes pasitaikė nuo dozės priklausomų traukulių. Tokiu atveju dozę reikia mažinti (žr. 4.2 skyrių) ir prireikus skirti prieštraukulinį gydymą.</w:t>
      </w:r>
    </w:p>
    <w:p w14:paraId="092E6675" w14:textId="77777777" w:rsidR="00A34B5C" w:rsidRPr="00A34B5C" w:rsidRDefault="00A34B5C" w:rsidP="00A34B5C">
      <w:pPr>
        <w:spacing w:after="0" w:line="240" w:lineRule="auto"/>
        <w:rPr>
          <w:rFonts w:ascii="Times New Roman" w:eastAsia="Calibri" w:hAnsi="Times New Roman" w:cs="Times New Roman"/>
          <w:lang w:val="lt-LT"/>
        </w:rPr>
      </w:pPr>
    </w:p>
    <w:p w14:paraId="541D4CFA"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Anticholinerginis poveikis</w:t>
      </w:r>
    </w:p>
    <w:p w14:paraId="031EEEB0" w14:textId="77777777" w:rsid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Leponex būdingas anticholinerginis poveikis, dėl kurio gali pasireikšti įvairių nepageidaujamų reakcijų. Todėl rekomenduojama atidžiai stebėti pacientus, kuriems yra padidėjusi prostata ir uždarojo kampo glaukoma. Tikriausiai dėl anticholinerginių Leponex savybių vaistinis preparatas buvo susijęs su įvairaus laipsnio žarnų peristaltikos sutrikimais – nuo vidurių užkietėjimo iki žarnų obstrukcijos</w:t>
      </w:r>
      <w:r w:rsidR="008F1EBD">
        <w:rPr>
          <w:rFonts w:ascii="Times New Roman" w:eastAsia="Calibri" w:hAnsi="Times New Roman" w:cs="Times New Roman"/>
          <w:lang w:val="lt-LT"/>
        </w:rPr>
        <w:t>, išmatų kamščio,</w:t>
      </w:r>
      <w:r w:rsidRPr="00A34B5C">
        <w:rPr>
          <w:rFonts w:ascii="Times New Roman" w:eastAsia="Calibri" w:hAnsi="Times New Roman" w:cs="Times New Roman"/>
          <w:lang w:val="lt-LT"/>
        </w:rPr>
        <w:t xml:space="preserve"> paralyžinio žarnų nepraeinamumo</w:t>
      </w:r>
      <w:r w:rsidR="008F1EBD">
        <w:rPr>
          <w:rFonts w:ascii="Times New Roman" w:eastAsia="Calibri" w:hAnsi="Times New Roman" w:cs="Times New Roman"/>
          <w:lang w:val="lt-LT"/>
        </w:rPr>
        <w:t xml:space="preserve">, </w:t>
      </w:r>
      <w:r w:rsidR="008F1EBD" w:rsidRPr="008F1EBD">
        <w:rPr>
          <w:rFonts w:ascii="Times New Roman" w:eastAsia="Calibri" w:hAnsi="Times New Roman" w:cs="Times New Roman"/>
          <w:lang w:val="lt-LT"/>
        </w:rPr>
        <w:t>didelės gaubtinės žarnos ir žarnyno infarkto ir (arba) išemijos</w:t>
      </w:r>
      <w:r w:rsidRPr="00A34B5C">
        <w:rPr>
          <w:rFonts w:ascii="Times New Roman" w:eastAsia="Calibri" w:hAnsi="Times New Roman" w:cs="Times New Roman"/>
          <w:lang w:val="lt-LT"/>
        </w:rPr>
        <w:t xml:space="preserve"> (žr. 4.8 skyrių). Retkarčiais šie atvejai gali baigtis mirtimi. Ypatingų atsargumo priemonių reikia pacientams, kurie kartu vartoja vaistinių preparatų, galinčių sukelti vidurių užkietėjimą (ypač tų, kurie veikia anticholinergiškai, pvz., kai kurių vaistinių preparatų nuo psichozės, depresijos ir parkinsonizmo), sirgusių storosios žarnos ligomis ar turėjusių apatinės pilvo dalies chirurginių operacijų, nes tai gali pasunkinti būklę. Gyvybiškai svarbu diagnozuoti vidurių užkietėjimą ir aktyviai jį gydyti. </w:t>
      </w:r>
    </w:p>
    <w:p w14:paraId="54B77D93" w14:textId="77777777" w:rsidR="00EE6BC4" w:rsidRDefault="00EE6BC4" w:rsidP="00EE6BC4">
      <w:pPr>
        <w:spacing w:after="0" w:line="240" w:lineRule="auto"/>
        <w:rPr>
          <w:rFonts w:ascii="Times New Roman" w:eastAsia="Calibri" w:hAnsi="Times New Roman" w:cs="Times New Roman"/>
          <w:i/>
          <w:lang w:val="lt-LT"/>
        </w:rPr>
      </w:pPr>
    </w:p>
    <w:p w14:paraId="1E594D9E" w14:textId="77777777" w:rsidR="00EE6BC4" w:rsidRPr="00EE6BC4" w:rsidRDefault="00EE6BC4" w:rsidP="00EE6BC4">
      <w:pPr>
        <w:spacing w:after="0" w:line="240" w:lineRule="auto"/>
        <w:rPr>
          <w:rFonts w:ascii="Times New Roman" w:eastAsia="Calibri" w:hAnsi="Times New Roman" w:cs="Times New Roman"/>
          <w:lang w:val="lt-LT"/>
        </w:rPr>
      </w:pPr>
      <w:r w:rsidRPr="00EE6BC4">
        <w:rPr>
          <w:rFonts w:ascii="Times New Roman" w:eastAsia="Calibri" w:hAnsi="Times New Roman" w:cs="Times New Roman"/>
          <w:i/>
          <w:lang w:val="lt-LT"/>
        </w:rPr>
        <w:t>Griuvimai</w:t>
      </w:r>
    </w:p>
    <w:p w14:paraId="63036F60" w14:textId="77777777" w:rsidR="00EE6BC4" w:rsidRPr="00A34B5C" w:rsidRDefault="00EE6BC4" w:rsidP="00A34B5C">
      <w:pPr>
        <w:spacing w:after="0" w:line="240" w:lineRule="auto"/>
        <w:rPr>
          <w:rFonts w:ascii="Times New Roman" w:eastAsia="Calibri" w:hAnsi="Times New Roman" w:cs="Times New Roman"/>
          <w:lang w:val="lt-LT"/>
        </w:rPr>
      </w:pPr>
      <w:r w:rsidRPr="00EE6BC4">
        <w:rPr>
          <w:rFonts w:ascii="Times New Roman" w:eastAsia="Calibri" w:hAnsi="Times New Roman" w:cs="Times New Roman"/>
          <w:lang w:val="lt-LT"/>
        </w:rPr>
        <w:t>Leponex gali sukelti traukulius, mieguistumą, ortostatinę hipotenziją, motorinį ir sensorinį nestabilumą, dėl kurių asmuo gali pargriūti ir patirti lūžius ar kitaip susižeisti. Įvertinkite pacientų riziką pargriūti, pirmą kartą skirdami antipsichotinį gydymą pacientams, sergantiems ligomis, sutrikimais ar vartojantiems vaistus, kurie gali sustiprinti šį poveikį, ir šią riziką pakartotinai vertinkite pacientams, kuriems gydymas antipsichotikais taikomas ilgą laiką.</w:t>
      </w:r>
    </w:p>
    <w:p w14:paraId="15D4B2EF" w14:textId="77777777" w:rsidR="00A34B5C" w:rsidRPr="00A34B5C" w:rsidRDefault="00A34B5C" w:rsidP="00A34B5C">
      <w:pPr>
        <w:spacing w:after="0" w:line="240" w:lineRule="auto"/>
        <w:rPr>
          <w:rFonts w:ascii="Times New Roman" w:eastAsia="Calibri" w:hAnsi="Times New Roman" w:cs="Times New Roman"/>
          <w:lang w:val="lt-LT"/>
        </w:rPr>
      </w:pPr>
    </w:p>
    <w:p w14:paraId="1BE1345F"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Karščiavimas</w:t>
      </w:r>
    </w:p>
    <w:p w14:paraId="29A2E72C" w14:textId="77777777" w:rsidR="00A85A3B" w:rsidRPr="00A85A3B" w:rsidRDefault="00A34B5C" w:rsidP="00A85A3B">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Leponex gydomiems pacientams laikinai gali būti didesnė kaip 38°C temperatūra. Dažniausiai tai būna per pirmąsias 3 gydymo savaites. Paprastai šis karščiavimas yra gerybinis. Kartais jis gali būti susijęs su padidėjusiu ar sumažėjusiu BKL kiekiu. Karščiuojančius pacientus būtina kruopščiai ištirti, kad būtų galima paneigti infekcijos ar agranulocitozės galimybę. Pakilus aukštai temperatūrai, nereikia pamiršti piktybinio neurolepsinio sindromo (PNS) galimybės.</w:t>
      </w:r>
      <w:r w:rsidR="00A85A3B" w:rsidRPr="00A85A3B">
        <w:rPr>
          <w:rFonts w:ascii="Times New Roman" w:eastAsia="Calibri" w:hAnsi="Times New Roman" w:cs="Times New Roman"/>
          <w:lang w:val="lt-LT"/>
        </w:rPr>
        <w:t xml:space="preserve"> Jei PNS diagnozė patvirtinama, reikia nedelsiant nutraukti Leponex vartojimą ir imtis tinkamų medicininių priemonių.</w:t>
      </w:r>
    </w:p>
    <w:p w14:paraId="698B4179" w14:textId="77777777" w:rsidR="00A34B5C" w:rsidRPr="00A34B5C" w:rsidRDefault="00A34B5C" w:rsidP="00A34B5C">
      <w:pPr>
        <w:spacing w:after="0" w:line="240" w:lineRule="auto"/>
        <w:rPr>
          <w:rFonts w:ascii="Times New Roman" w:eastAsia="Calibri" w:hAnsi="Times New Roman" w:cs="Times New Roman"/>
          <w:lang w:val="lt-LT"/>
        </w:rPr>
      </w:pPr>
    </w:p>
    <w:p w14:paraId="1E5BAB88" w14:textId="77777777" w:rsidR="00A34B5C" w:rsidRPr="00A34B5C" w:rsidRDefault="00A34B5C" w:rsidP="00A34B5C">
      <w:pPr>
        <w:spacing w:after="0" w:line="240" w:lineRule="auto"/>
        <w:rPr>
          <w:rFonts w:ascii="Times New Roman" w:eastAsia="Calibri" w:hAnsi="Times New Roman" w:cs="Times New Roman"/>
          <w:lang w:val="lt-LT"/>
        </w:rPr>
      </w:pPr>
    </w:p>
    <w:p w14:paraId="3DD03B73"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Medžiagų apykaitos pokyčiai</w:t>
      </w:r>
    </w:p>
    <w:p w14:paraId="788589B5"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Leponex, kaip ir kitų atipinių antipsichozinių vaistinių preparatų, vartojimas buvo susijęs su medžiagų apykaitos pokyčių pasireiškimu, kurie gali didinti širdies ir kraujagyslių bei galvos smegenų kraujotakos sutrikimų atsiradimo riziką. Šie medžiagų apykaitos pokyčiai gali pasireikšti kaip hiperglikemija, dislipidemija ir padidėjęs kūno svoris. Nors bet kurių atipinių antipsichozinių vaistinių preparatų vartojimas gali sukelti kokių nors medžiagų apykaitos pokyčių, kiekvienas šios grupės vaistinis preparatas pasižymi specifinėmis rizikos savybėmis.</w:t>
      </w:r>
    </w:p>
    <w:p w14:paraId="3600EA47" w14:textId="77777777" w:rsidR="00A34B5C" w:rsidRPr="00A34B5C" w:rsidRDefault="00A34B5C" w:rsidP="00A34B5C">
      <w:pPr>
        <w:spacing w:after="0" w:line="240" w:lineRule="auto"/>
        <w:rPr>
          <w:rFonts w:ascii="Times New Roman" w:eastAsia="Calibri" w:hAnsi="Times New Roman" w:cs="Times New Roman"/>
          <w:lang w:val="lt-LT"/>
        </w:rPr>
      </w:pPr>
    </w:p>
    <w:p w14:paraId="5C2873A4"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Hiperglikemija</w:t>
      </w:r>
    </w:p>
    <w:p w14:paraId="16E95038"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Gydant klozapinu, retai gali sutrikti gliukozės toleravimas ir (arba) prasidėti ar paūmėti cukrinis diabetas. Šios galimos asociacijos mechanizmas dar nenustatytas. Labai retai pacientams, kuriems jau buvo hiperglikemija, stebėta sunki hiperglikemija su ketoacidoze, kai kurie iš šių atvejų baigėsi mirtimi. Tolesnio stebėjimo duomenimis įrodyta, kad, nutraukus klozapino vartojimą, sutrikęs gliukozės toleravimas dažniausiai pagerėja, o atnaujinus klozapino vartojimą, jis vėl pablogėja. Cukriniu diabetu sergančių pacientų, kuriems pradedama skirti atipinių antipsichozinių vaistinių preparatų, būklę reikia reguliariai stebėti dėl galimos pablogėjusios glikemijos kontrolės. Pacientams, kuriems yra cukrinio diabeto atsiradimo rizikos veiksnių (pvz., nutukimas, šeiminė diabeto anamnezė) ir kuriems pradedama skirti atipinių antipsichozinių vaistinių preparatų, gydymo pradžioje ir reguliariai gydymo metu reikia tirti gliukozės koncentraciją kraujyje nevalgius. Leponex vartojantiems pacientams, kuriems pasireiškia hiperglikemijos simptomų, pvz., polidipsija, poliurija, polifagija ar silpnumas, reikia atlikti tyrimus dėl diabeto paūmėjimo</w:t>
      </w:r>
      <w:r w:rsidRPr="00A34B5C">
        <w:rPr>
          <w:rFonts w:ascii="Times New Roman" w:eastAsia="Calibri" w:hAnsi="Times New Roman" w:cs="Times New Roman"/>
          <w:color w:val="000000"/>
          <w:lang w:val="lt-LT"/>
        </w:rPr>
        <w:t>. P</w:t>
      </w:r>
      <w:r w:rsidRPr="00A34B5C">
        <w:rPr>
          <w:rFonts w:ascii="Times New Roman" w:eastAsia="Calibri" w:hAnsi="Times New Roman" w:cs="Times New Roman"/>
          <w:lang w:val="lt-LT"/>
        </w:rPr>
        <w:t>acientams, kuriems pasireiškia hiperglikemijos simptomų</w:t>
      </w:r>
      <w:r w:rsidRPr="00A34B5C">
        <w:rPr>
          <w:rFonts w:ascii="Times New Roman" w:eastAsia="Calibri" w:hAnsi="Times New Roman" w:cs="Times New Roman"/>
          <w:color w:val="000000"/>
          <w:lang w:val="lt-LT"/>
        </w:rPr>
        <w:t xml:space="preserve"> a</w:t>
      </w:r>
      <w:r w:rsidRPr="00A34B5C">
        <w:rPr>
          <w:rFonts w:ascii="Times New Roman" w:eastAsia="Calibri" w:hAnsi="Times New Roman" w:cs="Times New Roman"/>
          <w:lang w:val="lt-LT"/>
        </w:rPr>
        <w:t>tipinių antipsichozinių vaistinių preparatų vartojimo metu, reikia tirti gliukozės koncentraciją kraujyje nevalgius</w:t>
      </w:r>
      <w:r w:rsidRPr="00A34B5C">
        <w:rPr>
          <w:rFonts w:ascii="Times New Roman" w:eastAsia="Calibri" w:hAnsi="Times New Roman" w:cs="Times New Roman"/>
          <w:color w:val="000000"/>
          <w:lang w:val="lt-LT"/>
        </w:rPr>
        <w:t xml:space="preserve">. Kai kuriais atvejais nutraukus </w:t>
      </w:r>
      <w:r w:rsidRPr="00A34B5C">
        <w:rPr>
          <w:rFonts w:ascii="Times New Roman" w:eastAsia="Calibri" w:hAnsi="Times New Roman" w:cs="Times New Roman"/>
          <w:lang w:val="lt-LT"/>
        </w:rPr>
        <w:t>atipinių antipsichozinių vaistinių preparatų</w:t>
      </w:r>
      <w:r w:rsidRPr="00A34B5C">
        <w:rPr>
          <w:rFonts w:ascii="Times New Roman" w:eastAsia="Calibri" w:hAnsi="Times New Roman" w:cs="Times New Roman"/>
          <w:color w:val="000000"/>
          <w:lang w:val="lt-LT"/>
        </w:rPr>
        <w:t xml:space="preserve"> vartojimą, </w:t>
      </w:r>
      <w:r w:rsidRPr="00A34B5C">
        <w:rPr>
          <w:rFonts w:ascii="Times New Roman" w:eastAsia="Calibri" w:hAnsi="Times New Roman" w:cs="Times New Roman"/>
          <w:lang w:val="lt-LT"/>
        </w:rPr>
        <w:t>hiperglikemija išnyko, tačiau kai kuriems pacientams reikėjo tęsti gydymą nuo diabeto net ir nutraukus įtariamo vaistinio preparato vartojimą</w:t>
      </w:r>
      <w:r w:rsidRPr="00A34B5C">
        <w:rPr>
          <w:rFonts w:ascii="Times New Roman" w:eastAsia="Calibri" w:hAnsi="Times New Roman" w:cs="Times New Roman"/>
          <w:color w:val="000000"/>
          <w:lang w:val="lt-LT"/>
        </w:rPr>
        <w:t xml:space="preserve">. </w:t>
      </w:r>
      <w:r w:rsidRPr="00A34B5C">
        <w:rPr>
          <w:rFonts w:ascii="Times New Roman" w:eastAsia="Calibri" w:hAnsi="Times New Roman" w:cs="Times New Roman"/>
          <w:lang w:val="lt-LT"/>
        </w:rPr>
        <w:t>Todėl pacientams, kuriems aktyvus hiperglikemijos gydymas neefektyvus, klozapino vartojimą reikia nutraukti.</w:t>
      </w:r>
    </w:p>
    <w:p w14:paraId="0FB72E91" w14:textId="77777777" w:rsidR="00A34B5C" w:rsidRPr="00A34B5C" w:rsidRDefault="00A34B5C" w:rsidP="00A34B5C">
      <w:pPr>
        <w:spacing w:after="0" w:line="240" w:lineRule="auto"/>
        <w:rPr>
          <w:rFonts w:ascii="Times New Roman" w:eastAsia="Calibri" w:hAnsi="Times New Roman" w:cs="Times New Roman"/>
          <w:lang w:val="lt-LT"/>
        </w:rPr>
      </w:pPr>
    </w:p>
    <w:p w14:paraId="01822953" w14:textId="77777777" w:rsidR="00A34B5C" w:rsidRPr="00A34B5C" w:rsidRDefault="00A34B5C" w:rsidP="00A34B5C">
      <w:pPr>
        <w:keepNext/>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Dislipidemija</w:t>
      </w:r>
    </w:p>
    <w:p w14:paraId="797814EA"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Leponex, kaip ir kitų atipinių antipsichozinių vaistinių preparatų, vartojantiems pacientams pastebėta nepageidaujamų lipidų koncentracijos pokyčių. Rekomenduojama stebėti klozapino vartojančių pacientų klinikinę būklę, taip pat prieš pradedant gydymą ir vėliau reguliariai tirti lipidų koncentraciją.</w:t>
      </w:r>
    </w:p>
    <w:p w14:paraId="0EC744F5" w14:textId="77777777" w:rsidR="00A34B5C" w:rsidRPr="00A34B5C" w:rsidRDefault="00A34B5C" w:rsidP="00A34B5C">
      <w:pPr>
        <w:spacing w:after="0" w:line="240" w:lineRule="auto"/>
        <w:rPr>
          <w:rFonts w:ascii="Times New Roman" w:eastAsia="Calibri" w:hAnsi="Times New Roman" w:cs="Times New Roman"/>
          <w:lang w:val="lt-LT"/>
        </w:rPr>
      </w:pPr>
    </w:p>
    <w:p w14:paraId="0DAD11E5" w14:textId="77777777" w:rsidR="00A34B5C" w:rsidRPr="00A34B5C" w:rsidRDefault="00A34B5C" w:rsidP="00A34B5C">
      <w:pPr>
        <w:keepNext/>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Padidėjęs kūno svoris</w:t>
      </w:r>
    </w:p>
    <w:p w14:paraId="43943C15"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Pastebėta, kad Leponex, kaip ir kitų atipinių antipsichozinių vaistinių preparatų, vartojantiems pacientams didėja kūno svoris. Šiems pacientams rekomenduojama stebėti kūno svorį.</w:t>
      </w:r>
    </w:p>
    <w:p w14:paraId="28D1CCD2" w14:textId="77777777" w:rsidR="00A34B5C" w:rsidRPr="00A34B5C" w:rsidRDefault="00A34B5C" w:rsidP="00A34B5C">
      <w:pPr>
        <w:spacing w:after="0" w:line="240" w:lineRule="auto"/>
        <w:rPr>
          <w:rFonts w:ascii="Times New Roman" w:eastAsia="Calibri" w:hAnsi="Times New Roman" w:cs="Times New Roman"/>
          <w:lang w:val="lt-LT"/>
        </w:rPr>
      </w:pPr>
    </w:p>
    <w:p w14:paraId="13AB49F1"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Atoveiksmis ir vartojimo nutraukimo reiškiniai</w:t>
      </w:r>
    </w:p>
    <w:p w14:paraId="2D405820"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Jeigu būtina staiga nutraukti Leponex vartojimą (pvz., pasireiškus leukopenijai), pacientų būklę būtina atidžiai stebėti dėl psichikos sutrikimo simptomų atsinaujinimo ir cholinerginio atoveiksmio simptomų (pvz., gausaus prakaitavimo, galvos skausmo, pykinimo, vėmimo ir viduriavimo) pasireiškimo.</w:t>
      </w:r>
    </w:p>
    <w:p w14:paraId="18819899" w14:textId="77777777" w:rsidR="00A34B5C" w:rsidRPr="00A34B5C" w:rsidRDefault="00A34B5C" w:rsidP="00A34B5C">
      <w:pPr>
        <w:spacing w:after="0" w:line="240" w:lineRule="auto"/>
        <w:rPr>
          <w:rFonts w:ascii="Times New Roman" w:eastAsia="Calibri" w:hAnsi="Times New Roman" w:cs="Times New Roman"/>
          <w:b/>
          <w:lang w:val="lt-LT"/>
        </w:rPr>
      </w:pPr>
    </w:p>
    <w:p w14:paraId="3EC7D84F" w14:textId="77777777" w:rsidR="00A34B5C" w:rsidRPr="00A34B5C" w:rsidRDefault="00A34B5C" w:rsidP="00A34B5C">
      <w:pPr>
        <w:spacing w:after="0" w:line="240" w:lineRule="auto"/>
        <w:rPr>
          <w:rFonts w:ascii="Times New Roman" w:eastAsia="Calibri" w:hAnsi="Times New Roman" w:cs="Times New Roman"/>
          <w:b/>
          <w:lang w:val="lt-LT"/>
        </w:rPr>
      </w:pPr>
      <w:r w:rsidRPr="00A34B5C">
        <w:rPr>
          <w:rFonts w:ascii="Times New Roman" w:eastAsia="Calibri" w:hAnsi="Times New Roman" w:cs="Times New Roman"/>
          <w:iCs/>
          <w:lang w:val="lt-LT"/>
        </w:rPr>
        <w:t>Ypatingos pacientų populiacijos</w:t>
      </w:r>
      <w:r w:rsidRPr="00A34B5C" w:rsidDel="005D44B4">
        <w:rPr>
          <w:rFonts w:ascii="Times New Roman" w:eastAsia="Calibri" w:hAnsi="Times New Roman" w:cs="Times New Roman"/>
          <w:b/>
          <w:lang w:val="lt-LT"/>
        </w:rPr>
        <w:t xml:space="preserve"> </w:t>
      </w:r>
    </w:p>
    <w:p w14:paraId="13C2276B" w14:textId="77777777" w:rsidR="00A34B5C" w:rsidRPr="00A34B5C" w:rsidRDefault="00A34B5C" w:rsidP="00A34B5C">
      <w:pPr>
        <w:spacing w:after="0" w:line="240" w:lineRule="auto"/>
        <w:rPr>
          <w:rFonts w:ascii="Times New Roman" w:eastAsia="Calibri" w:hAnsi="Times New Roman" w:cs="Times New Roman"/>
          <w:b/>
          <w:lang w:val="lt-LT"/>
        </w:rPr>
      </w:pPr>
      <w:r w:rsidRPr="00A34B5C">
        <w:rPr>
          <w:rFonts w:ascii="Times New Roman" w:eastAsia="Calibri" w:hAnsi="Times New Roman" w:cs="Times New Roman"/>
          <w:iCs/>
          <w:u w:val="single"/>
          <w:lang w:val="lt-LT"/>
        </w:rPr>
        <w:t>Pacientams, kurių kepenų funkcija sutrikusi</w:t>
      </w:r>
      <w:r w:rsidRPr="00A34B5C" w:rsidDel="005D44B4">
        <w:rPr>
          <w:rFonts w:ascii="Times New Roman" w:eastAsia="Calibri" w:hAnsi="Times New Roman" w:cs="Times New Roman"/>
          <w:b/>
          <w:lang w:val="lt-LT"/>
        </w:rPr>
        <w:t xml:space="preserve"> </w:t>
      </w:r>
    </w:p>
    <w:p w14:paraId="1A6EE9BF"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Pacientai, kuriems stabiliai sutrikusi kepenų funkcija, gali vartoti Leponex, tačiau jiems reikia reguliariai tirti kepenų funkciją. Kepenų funkcijos tyrimus būtina nedelsiant atlikti pacientams, kuriems gydymo Leponex metu pasireiškė galimo kepenų funkcijos sutrikimo požymių, pvz., pykinimas, vėmimas ir (arba) anoreksija. Jeigu rodmenys padidėjo kliniškai reikšmingai (t. y., daugiau kaip 3 kartus buvo didesni už viršutinę normos ribą) ar išryškėjo gelta, gydymą Leponex reikia nutraukti. Gydymą galima atnaujinti (žr. „Gydymo atnaujinimas“ 4.2 skyriuje) tik tada, kai kepenų funkcijos tyrimų rodikliai sunormalėja. Atnaujinus gydymą Leponex, kepenų funkciją reikia atidžiai stebėti.</w:t>
      </w:r>
    </w:p>
    <w:p w14:paraId="2C0A0EDE" w14:textId="77777777" w:rsidR="00A34B5C" w:rsidRPr="00A34B5C" w:rsidRDefault="00A34B5C" w:rsidP="00A34B5C">
      <w:pPr>
        <w:spacing w:after="0" w:line="240" w:lineRule="auto"/>
        <w:rPr>
          <w:rFonts w:ascii="Times New Roman" w:eastAsia="Calibri" w:hAnsi="Times New Roman" w:cs="Times New Roman"/>
          <w:b/>
          <w:lang w:val="lt-LT"/>
        </w:rPr>
      </w:pPr>
    </w:p>
    <w:p w14:paraId="18E92342" w14:textId="77777777" w:rsidR="00A34B5C" w:rsidRPr="00A34B5C" w:rsidRDefault="00A34B5C" w:rsidP="00A34B5C">
      <w:pPr>
        <w:spacing w:after="0" w:line="240" w:lineRule="auto"/>
        <w:rPr>
          <w:rFonts w:ascii="Times New Roman" w:eastAsia="Calibri" w:hAnsi="Times New Roman" w:cs="Times New Roman"/>
          <w:u w:val="single"/>
          <w:lang w:val="lt-LT"/>
        </w:rPr>
      </w:pPr>
      <w:r w:rsidRPr="00A34B5C">
        <w:rPr>
          <w:rFonts w:ascii="Times New Roman" w:eastAsia="Calibri" w:hAnsi="Times New Roman" w:cs="Times New Roman"/>
          <w:u w:val="single"/>
          <w:lang w:val="lt-LT"/>
        </w:rPr>
        <w:t>60 metų amžiaus ir vyresniems pacientams</w:t>
      </w:r>
    </w:p>
    <w:p w14:paraId="42FA4ED4"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60 metų amžiaus ir vyresnius pacientus rekomenduojama pradėti gydyti mažesne doze (žr. 4.2 skyrių). </w:t>
      </w:r>
    </w:p>
    <w:p w14:paraId="17AEE92B" w14:textId="77777777" w:rsidR="00A34B5C" w:rsidRPr="00A34B5C" w:rsidRDefault="00A34B5C" w:rsidP="00A34B5C">
      <w:pPr>
        <w:spacing w:after="0" w:line="240" w:lineRule="auto"/>
        <w:rPr>
          <w:rFonts w:ascii="Times New Roman" w:eastAsia="Calibri" w:hAnsi="Times New Roman" w:cs="Times New Roman"/>
          <w:lang w:val="lt-LT"/>
        </w:rPr>
      </w:pPr>
    </w:p>
    <w:p w14:paraId="2C33DB68"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Jiems, gydomiems Leponex, gali pasireikšti ortostatinė hipotenzija, taip pat gauta pranešimų apie tachikardiją, kuri gali būti ilgalaikė. 60 metų ir vyresni pacientai, ypač tie, kurių širdies ir kraujagyslių funkcija sutrikusi, gali būti jautresni šiam poveikiui.</w:t>
      </w:r>
    </w:p>
    <w:p w14:paraId="5C74F4E1" w14:textId="77777777" w:rsidR="00A34B5C" w:rsidRPr="00A34B5C" w:rsidRDefault="00A34B5C" w:rsidP="00A34B5C">
      <w:pPr>
        <w:spacing w:after="0" w:line="240" w:lineRule="auto"/>
        <w:rPr>
          <w:rFonts w:ascii="Times New Roman" w:eastAsia="Calibri" w:hAnsi="Times New Roman" w:cs="Times New Roman"/>
          <w:lang w:val="lt-LT"/>
        </w:rPr>
      </w:pPr>
    </w:p>
    <w:p w14:paraId="0DE33C40"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60 metų ir vyresni žmonės taip pat gali būti ypač jautrūs anticholinerginiam Leponex poveikiui, t. y., šlapimo susilaikymui ir vidurių užkietėjimui. </w:t>
      </w:r>
    </w:p>
    <w:p w14:paraId="618B14ED"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2FAEB259" w14:textId="77777777" w:rsidR="00A34B5C" w:rsidRPr="00A34B5C" w:rsidRDefault="00A34B5C" w:rsidP="00A34B5C">
      <w:pPr>
        <w:spacing w:after="0" w:line="240" w:lineRule="auto"/>
        <w:ind w:left="567" w:hanging="567"/>
        <w:rPr>
          <w:rFonts w:ascii="Times New Roman" w:eastAsia="Calibri" w:hAnsi="Times New Roman" w:cs="Times New Roman"/>
          <w:i/>
          <w:lang w:val="lt-LT"/>
        </w:rPr>
      </w:pPr>
      <w:r w:rsidRPr="00A34B5C">
        <w:rPr>
          <w:rFonts w:ascii="Times New Roman" w:eastAsia="Calibri" w:hAnsi="Times New Roman" w:cs="Times New Roman"/>
          <w:i/>
          <w:lang w:val="lt-LT"/>
        </w:rPr>
        <w:t>Padidėjusi mirties rizika vyresniems</w:t>
      </w:r>
      <w:r w:rsidRPr="00A34B5C" w:rsidDel="00CF538B">
        <w:rPr>
          <w:rFonts w:ascii="Times New Roman" w:eastAsia="Calibri" w:hAnsi="Times New Roman" w:cs="Times New Roman"/>
          <w:i/>
          <w:lang w:val="lt-LT"/>
        </w:rPr>
        <w:t xml:space="preserve"> </w:t>
      </w:r>
      <w:r w:rsidRPr="00A34B5C">
        <w:rPr>
          <w:rFonts w:ascii="Times New Roman" w:eastAsia="Calibri" w:hAnsi="Times New Roman" w:cs="Times New Roman"/>
          <w:i/>
          <w:lang w:val="lt-LT"/>
        </w:rPr>
        <w:t>žmonėms, kurie serga su demencija susijusia psichoze</w:t>
      </w:r>
    </w:p>
    <w:p w14:paraId="5BFCC989"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Dviejų stebėjimo tyrimų duomenys parodė, kad didėja vyresnių žmonių, kuriems yra su demencija susijusi psichozė ir kurie</w:t>
      </w:r>
      <w:r w:rsidRPr="00A34B5C">
        <w:rPr>
          <w:rFonts w:ascii="Times New Roman" w:eastAsia="Calibri" w:hAnsi="Times New Roman" w:cs="Times New Roman"/>
          <w:iCs/>
          <w:color w:val="000000"/>
          <w:lang w:val="lt-LT"/>
        </w:rPr>
        <w:t xml:space="preserve"> vartoja vaistinių preparatų nuo psichozės, mirties rizika, lyginant su tais pacientais, kurie nebuvo gydyti. Nėra pakankamai duomenų, apibrėžiančių tikslų rizikos dydį, ir nežinomos šios rizikos padidėjimo priežastys</w:t>
      </w:r>
      <w:r w:rsidRPr="00A34B5C">
        <w:rPr>
          <w:rFonts w:ascii="Times New Roman" w:eastAsia="Calibri" w:hAnsi="Times New Roman" w:cs="Times New Roman"/>
          <w:lang w:val="lt-LT"/>
        </w:rPr>
        <w:t xml:space="preserve">. </w:t>
      </w:r>
    </w:p>
    <w:p w14:paraId="0BCC785F" w14:textId="77777777" w:rsidR="00A34B5C" w:rsidRPr="00A34B5C" w:rsidRDefault="00A34B5C" w:rsidP="00A34B5C">
      <w:pPr>
        <w:spacing w:after="0" w:line="240" w:lineRule="auto"/>
        <w:rPr>
          <w:rFonts w:ascii="Times New Roman" w:eastAsia="Calibri" w:hAnsi="Times New Roman" w:cs="Times New Roman"/>
          <w:iCs/>
          <w:color w:val="000000"/>
          <w:lang w:val="lt-LT"/>
        </w:rPr>
      </w:pPr>
      <w:r w:rsidRPr="00A34B5C">
        <w:rPr>
          <w:rFonts w:ascii="Times New Roman" w:eastAsia="Calibri" w:hAnsi="Times New Roman" w:cs="Times New Roman"/>
          <w:lang w:val="lt-LT"/>
        </w:rPr>
        <w:t>Nepatariama Leponex gydyti su demencija susijusių elgsenos sutrikimų.</w:t>
      </w:r>
    </w:p>
    <w:p w14:paraId="3E3281B2" w14:textId="77777777" w:rsidR="00A34B5C" w:rsidRPr="00A34B5C" w:rsidRDefault="00A34B5C" w:rsidP="00A34B5C">
      <w:pPr>
        <w:spacing w:after="0" w:line="240" w:lineRule="auto"/>
        <w:ind w:left="567" w:hanging="567"/>
        <w:rPr>
          <w:rFonts w:ascii="Times New Roman" w:eastAsia="Calibri" w:hAnsi="Times New Roman" w:cs="Times New Roman"/>
          <w:lang w:val="lt-LT"/>
        </w:rPr>
      </w:pPr>
      <w:bookmarkStart w:id="4" w:name="_15233682Dyslipidemia"/>
      <w:bookmarkStart w:id="5" w:name="_15834258Table_64549Changes_in_lip"/>
      <w:bookmarkStart w:id="6" w:name="_2043080First_dose_effect44_rRebou"/>
      <w:bookmarkEnd w:id="4"/>
      <w:bookmarkEnd w:id="5"/>
      <w:bookmarkEnd w:id="6"/>
    </w:p>
    <w:p w14:paraId="32A65172" w14:textId="77777777" w:rsidR="00A34B5C" w:rsidRPr="00DB0E71" w:rsidRDefault="00A34B5C" w:rsidP="00B27E7B">
      <w:pPr>
        <w:widowControl w:val="0"/>
        <w:autoSpaceDE w:val="0"/>
        <w:autoSpaceDN w:val="0"/>
        <w:spacing w:after="0" w:line="240" w:lineRule="auto"/>
        <w:ind w:left="540" w:hanging="540"/>
        <w:outlineLvl w:val="1"/>
        <w:rPr>
          <w:rFonts w:ascii="Times New Roman" w:eastAsia="Times New Roman" w:hAnsi="Times New Roman" w:cs="Times New Roman"/>
          <w:b/>
          <w:bCs/>
          <w:lang w:val="lt-LT"/>
        </w:rPr>
      </w:pPr>
      <w:r w:rsidRPr="00DB0E71">
        <w:rPr>
          <w:rFonts w:ascii="Times New Roman" w:eastAsia="Times New Roman" w:hAnsi="Times New Roman" w:cs="Times New Roman"/>
          <w:b/>
          <w:bCs/>
          <w:lang w:val="lt-LT"/>
        </w:rPr>
        <w:t>4.5</w:t>
      </w:r>
      <w:r w:rsidRPr="00DB0E71">
        <w:rPr>
          <w:rFonts w:ascii="Times New Roman" w:eastAsia="Times New Roman" w:hAnsi="Times New Roman" w:cs="Times New Roman"/>
          <w:b/>
          <w:bCs/>
          <w:lang w:val="lt-LT"/>
        </w:rPr>
        <w:tab/>
        <w:t>Sąveika su kitais vaistiniais preparatais ir kitokia sąveika</w:t>
      </w:r>
    </w:p>
    <w:p w14:paraId="318F5CB4"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63E43A82" w14:textId="77777777" w:rsidR="00A34B5C" w:rsidRPr="00A34B5C" w:rsidRDefault="00A34B5C" w:rsidP="00A34B5C">
      <w:pPr>
        <w:spacing w:after="0" w:line="240" w:lineRule="auto"/>
        <w:ind w:left="567" w:hanging="567"/>
        <w:rPr>
          <w:rFonts w:ascii="Times New Roman" w:eastAsia="Calibri" w:hAnsi="Times New Roman" w:cs="Times New Roman"/>
          <w:i/>
          <w:lang w:val="lt-LT"/>
        </w:rPr>
      </w:pPr>
      <w:r w:rsidRPr="00A34B5C">
        <w:rPr>
          <w:rFonts w:ascii="Times New Roman" w:eastAsia="Calibri" w:hAnsi="Times New Roman" w:cs="Times New Roman"/>
          <w:i/>
          <w:lang w:val="lt-LT"/>
        </w:rPr>
        <w:t>Kartu vartoti draudžiama</w:t>
      </w:r>
    </w:p>
    <w:p w14:paraId="45A57441"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Kartu su Leponex draudžiama vartoti medžiagų, galinčių slopinti kaulų čiulpų funkciją (žr. 4.3 skyrių).</w:t>
      </w:r>
    </w:p>
    <w:p w14:paraId="7769B215" w14:textId="77777777" w:rsidR="00A34B5C" w:rsidRPr="00A34B5C" w:rsidRDefault="00A34B5C" w:rsidP="00A34B5C">
      <w:pPr>
        <w:spacing w:after="0" w:line="240" w:lineRule="auto"/>
        <w:rPr>
          <w:rFonts w:ascii="Times New Roman" w:eastAsia="Calibri" w:hAnsi="Times New Roman" w:cs="Times New Roman"/>
          <w:lang w:val="lt-LT"/>
        </w:rPr>
      </w:pPr>
    </w:p>
    <w:p w14:paraId="2CE1D2FB"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Ilgai veikiančių depo antipsichozinių vaistinių preparatų (galinčių veikti mielosupresiškai) draudžiama vartoti kartu su Leponex, nes jų negalima greitai pašalinti iš organizmo, kai šito prireikia, pvz., pasireiškus neutropenijai (žr. 4.3 skyrių).</w:t>
      </w:r>
    </w:p>
    <w:p w14:paraId="6E67AAB1" w14:textId="77777777" w:rsidR="00A34B5C" w:rsidRPr="00A34B5C" w:rsidRDefault="00A34B5C" w:rsidP="00A34B5C">
      <w:pPr>
        <w:spacing w:after="0" w:line="240" w:lineRule="auto"/>
        <w:rPr>
          <w:rFonts w:ascii="Times New Roman" w:eastAsia="Calibri" w:hAnsi="Times New Roman" w:cs="Times New Roman"/>
          <w:lang w:val="lt-LT"/>
        </w:rPr>
      </w:pPr>
    </w:p>
    <w:p w14:paraId="1A0C3B65"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Kartu su Leponex negalima vartoti alkoholio, nes gali sustiprėti raminamasis poveikis.</w:t>
      </w:r>
    </w:p>
    <w:p w14:paraId="624F452A" w14:textId="77777777" w:rsidR="00A34B5C" w:rsidRPr="00A34B5C" w:rsidRDefault="00A34B5C" w:rsidP="00A34B5C">
      <w:pPr>
        <w:spacing w:after="0" w:line="240" w:lineRule="auto"/>
        <w:rPr>
          <w:rFonts w:ascii="Times New Roman" w:eastAsia="Calibri" w:hAnsi="Times New Roman" w:cs="Times New Roman"/>
          <w:lang w:val="lt-LT"/>
        </w:rPr>
      </w:pPr>
    </w:p>
    <w:p w14:paraId="161D544C"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Atsargumo priemonės, įskaitant ir dozės korekciją</w:t>
      </w:r>
    </w:p>
    <w:p w14:paraId="7E379AA2"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Leponex gali stiprinti CNS slopinamųjų vaistinių preparatų, pvz., narkotikų, antihistamininių ir benzodiazepinų, poveikį. Ypatingų atsargumo priemonių reikia Leponex pradėjusiems vartoti pacientams, kurie yra gydomi benzodiazepinais ar kitais psichotropiniais vaistiniais preparatais. Šiems pacientams gali būti padidėjusi kraujotakos kolapso, kuris retkarčiais gali būti sunkus ir sukelti širdies ir (arba) kvėpavimo sustojimą, riziką. Neaišku, ar širdies ir kvėpavimo sutrikimo galima išvengti koreguojant dozę.</w:t>
      </w:r>
    </w:p>
    <w:p w14:paraId="36342D71" w14:textId="77777777" w:rsidR="00A34B5C" w:rsidRPr="00A34B5C" w:rsidRDefault="00A34B5C" w:rsidP="00A34B5C">
      <w:pPr>
        <w:spacing w:after="0" w:line="240" w:lineRule="auto"/>
        <w:rPr>
          <w:rFonts w:ascii="Times New Roman" w:eastAsia="Calibri" w:hAnsi="Times New Roman" w:cs="Times New Roman"/>
          <w:lang w:val="lt-LT"/>
        </w:rPr>
      </w:pPr>
    </w:p>
    <w:p w14:paraId="0AC013CF"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Dėl galimo suminio poveikio reikia laikytis atsargumo priemonių, kai kartu vartojama medžiagų, kurioms būdingas anticholinerginis, kraujospūdį mažinantis ir kvėpavimą slopinantis poveikis. </w:t>
      </w:r>
    </w:p>
    <w:p w14:paraId="05C491D1" w14:textId="77777777" w:rsidR="00A34B5C" w:rsidRPr="00A34B5C" w:rsidRDefault="00A34B5C" w:rsidP="00A34B5C">
      <w:pPr>
        <w:spacing w:after="0" w:line="240" w:lineRule="auto"/>
        <w:rPr>
          <w:rFonts w:ascii="Times New Roman" w:eastAsia="Calibri" w:hAnsi="Times New Roman" w:cs="Times New Roman"/>
          <w:lang w:val="lt-LT"/>
        </w:rPr>
      </w:pPr>
    </w:p>
    <w:p w14:paraId="611AB971"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Dėl anti alfa-adrenerginio poveikio Leponex gali sumažinti kraujospūdį didinantį norepinefrino ar kitų, daugiausiai alfa-adrenerginių, vaistinių preparatų poveikį ir panaikinti epinefrino vazokonstrikcinį poveikį.</w:t>
      </w:r>
    </w:p>
    <w:p w14:paraId="59491EEF" w14:textId="77777777" w:rsidR="00A34B5C" w:rsidRPr="00A34B5C" w:rsidRDefault="00A34B5C" w:rsidP="00A34B5C">
      <w:pPr>
        <w:spacing w:after="0" w:line="240" w:lineRule="auto"/>
        <w:rPr>
          <w:rFonts w:ascii="Times New Roman" w:eastAsia="Calibri" w:hAnsi="Times New Roman" w:cs="Times New Roman"/>
          <w:lang w:val="lt-LT"/>
        </w:rPr>
      </w:pPr>
    </w:p>
    <w:p w14:paraId="65348C77"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lastRenderedPageBreak/>
        <w:t xml:space="preserve">Kartu vartojamos medžiagos, slopinančios kai kurių citochromo P450 izofermentų aktyvumą, gali didinti klozapino koncentraciją kraujyje, todėl gali prireikti mažinti pastarųjų dozę, kad būtų išvengta nepageidaujamų reakcijų. Tai ypač svarbu, kai vartojama CYP1A2 inhibitorių, pvz., kofeino (žr. žemiau), perazino ir selektyvių serotonino reabsorbcijos inhibitorių, tokių kaip fluvoksaminas ir (prieštaringiau) paroksetinas. Kai kurie kiti serotonino reabsorbcijos inhibitoriai, pvz., fluoksetinas ir sertralinas, yra CYP 2D6 inhibitoriai, todėl svarbi farmakokinetinė sąveika su klozapinu mažai tikėtina. Taip pat mažai tikėtina sąveika su CYP3A4 inhibitoriais, pvz., azolo grupės priešgrybeliniais vaistiniais preparatais, cimetidinu, eritromicinu ir proteazės inhibitoriais, nors pranešimų gauta ir apie juos. Hormoniniai kontraceptikai (įskaitant estrogenų ir progesterono derinius arba tik progesteroną) yra CYP1A2, CYP3A4 ir CYP2C19 inhibitoriai. Todėl pradėjus ar nutraukus hormoninių kontraceptikų vartojimą, gali reikėti individualiai koreguoti klozapino dozę. </w:t>
      </w:r>
    </w:p>
    <w:p w14:paraId="2BFDA2AC" w14:textId="77777777" w:rsidR="00A34B5C" w:rsidRPr="00A34B5C" w:rsidRDefault="00A34B5C" w:rsidP="00A34B5C">
      <w:pPr>
        <w:spacing w:after="0" w:line="240" w:lineRule="auto"/>
        <w:rPr>
          <w:rFonts w:ascii="Times New Roman" w:eastAsia="Calibri" w:hAnsi="Times New Roman" w:cs="Times New Roman"/>
          <w:lang w:val="lt-LT"/>
        </w:rPr>
      </w:pPr>
    </w:p>
    <w:p w14:paraId="3C567A79"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Klozapino koncentraciją kraujo plazmoje didina kofeino vartojimas, maždaug 50 proc. ji sumažėja 5 dienas nevartojant kofeino. Todėl klozapino dozę kartais tenka keisti pasikeitus kavos gėrimo įpročiams. Staiga nustojus rūkyti, klozapino koncentracija gali padidėti ir padaugėti nepageidaujamų reakcijų.</w:t>
      </w:r>
    </w:p>
    <w:p w14:paraId="5CA55390" w14:textId="77777777" w:rsidR="00A34B5C" w:rsidRDefault="00A34B5C" w:rsidP="00A34B5C">
      <w:pPr>
        <w:spacing w:after="0" w:line="240" w:lineRule="auto"/>
        <w:rPr>
          <w:rFonts w:ascii="Times New Roman" w:eastAsia="Calibri" w:hAnsi="Times New Roman" w:cs="Times New Roman"/>
          <w:lang w:val="lt-LT"/>
        </w:rPr>
      </w:pPr>
    </w:p>
    <w:p w14:paraId="4D83B2D3" w14:textId="77777777" w:rsidR="00A85A3B" w:rsidRPr="00A85A3B" w:rsidRDefault="00A85A3B" w:rsidP="00A85A3B">
      <w:pPr>
        <w:spacing w:after="0" w:line="240" w:lineRule="auto"/>
        <w:rPr>
          <w:rFonts w:ascii="Times New Roman" w:eastAsia="Calibri" w:hAnsi="Times New Roman" w:cs="Times New Roman"/>
          <w:lang w:val="lt-LT"/>
        </w:rPr>
      </w:pPr>
      <w:r w:rsidRPr="00A85A3B">
        <w:rPr>
          <w:rFonts w:ascii="Times New Roman" w:eastAsia="Calibri" w:hAnsi="Times New Roman" w:cs="Times New Roman"/>
          <w:lang w:val="lt-LT"/>
        </w:rPr>
        <w:t>Buvo gauta pranešimų apie citalopramo ir klozapino sąveiką, dėl kurios gali padidėti su klozapinu susijusių nepageidaujamų reiškinių rizika. Šios sąveikos priežastys nėra aiškios.</w:t>
      </w:r>
    </w:p>
    <w:p w14:paraId="507017A0" w14:textId="77777777" w:rsidR="00A85A3B" w:rsidRPr="00A34B5C" w:rsidRDefault="00A85A3B" w:rsidP="00A34B5C">
      <w:pPr>
        <w:spacing w:after="0" w:line="240" w:lineRule="auto"/>
        <w:rPr>
          <w:rFonts w:ascii="Times New Roman" w:eastAsia="Calibri" w:hAnsi="Times New Roman" w:cs="Times New Roman"/>
          <w:lang w:val="lt-LT"/>
        </w:rPr>
      </w:pPr>
    </w:p>
    <w:p w14:paraId="77474032"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Kartu vartojamos medžiagos, galinčios indukuoti citochromo P450 fermentus, gali sumažinti klozapino koncentraciją kraujo plazmoje ir jo efektyvumą. Medžiagoms, aktyvinančioms citochromo P450 fermentus ir sąveikaujančioms su klozapinu, priskiriami, pvz., karbamazepinas (negalima vartoti kartu su klozapinu dėl mielosupresinio poveikio galimybės), fenitoinas ir rifampicinas.</w:t>
      </w:r>
    </w:p>
    <w:p w14:paraId="0376ADA9" w14:textId="77777777" w:rsidR="00A34B5C" w:rsidRDefault="00A34B5C" w:rsidP="00A34B5C">
      <w:pPr>
        <w:spacing w:after="0" w:line="240" w:lineRule="auto"/>
        <w:rPr>
          <w:rFonts w:ascii="Times New Roman" w:eastAsia="Calibri" w:hAnsi="Times New Roman" w:cs="Times New Roman"/>
          <w:lang w:val="lt-LT"/>
        </w:rPr>
      </w:pPr>
    </w:p>
    <w:p w14:paraId="7AF0EAA8" w14:textId="77777777" w:rsidR="00A85A3B" w:rsidRPr="00A85A3B" w:rsidRDefault="00A85A3B" w:rsidP="00A85A3B">
      <w:pPr>
        <w:spacing w:after="0" w:line="240" w:lineRule="auto"/>
        <w:rPr>
          <w:rFonts w:ascii="Times New Roman" w:eastAsia="Calibri" w:hAnsi="Times New Roman" w:cs="Times New Roman"/>
          <w:lang w:val="lt-LT"/>
        </w:rPr>
      </w:pPr>
      <w:r w:rsidRPr="00A85A3B">
        <w:rPr>
          <w:rFonts w:ascii="Times New Roman" w:eastAsia="Calibri" w:hAnsi="Times New Roman" w:cs="Times New Roman"/>
          <w:lang w:val="lt-LT"/>
        </w:rPr>
        <w:t>Žinomi CYP1A2 induktoriai, pvz., omeprazol</w:t>
      </w:r>
      <w:r w:rsidR="00583F32">
        <w:rPr>
          <w:rFonts w:ascii="Times New Roman" w:eastAsia="Calibri" w:hAnsi="Times New Roman" w:cs="Times New Roman"/>
          <w:lang w:val="lt-LT"/>
        </w:rPr>
        <w:t>i</w:t>
      </w:r>
      <w:r w:rsidRPr="00A85A3B">
        <w:rPr>
          <w:rFonts w:ascii="Times New Roman" w:eastAsia="Calibri" w:hAnsi="Times New Roman" w:cs="Times New Roman"/>
          <w:lang w:val="lt-LT"/>
        </w:rPr>
        <w:t>s, gali sumažinti klozapino kiekį kraujyje. Kai skiriamas šių dviejų medžiagų derinys, reikia atkreipti dėmesį į tai, kad gali sumažėti klozapino veiksmingumas.</w:t>
      </w:r>
    </w:p>
    <w:p w14:paraId="07672D10" w14:textId="77777777" w:rsidR="00A85A3B" w:rsidRPr="00A34B5C" w:rsidRDefault="00A85A3B" w:rsidP="00A34B5C">
      <w:pPr>
        <w:spacing w:after="0" w:line="240" w:lineRule="auto"/>
        <w:rPr>
          <w:rFonts w:ascii="Times New Roman" w:eastAsia="Calibri" w:hAnsi="Times New Roman" w:cs="Times New Roman"/>
          <w:lang w:val="lt-LT"/>
        </w:rPr>
      </w:pPr>
    </w:p>
    <w:p w14:paraId="1C38865F"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Kita</w:t>
      </w:r>
    </w:p>
    <w:p w14:paraId="3F87AFE5"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Kartu vartojant ličio ar kitų CNS veikiančių medžiagų, gali padidėti piktybinio neurolepsinio sindromo (PNS) rizika. </w:t>
      </w:r>
    </w:p>
    <w:p w14:paraId="5373C5AC" w14:textId="77777777" w:rsidR="00A34B5C" w:rsidRPr="00A34B5C" w:rsidRDefault="00A34B5C" w:rsidP="00A34B5C">
      <w:pPr>
        <w:spacing w:after="0" w:line="240" w:lineRule="auto"/>
        <w:rPr>
          <w:rFonts w:ascii="Times New Roman" w:eastAsia="Calibri" w:hAnsi="Times New Roman" w:cs="Times New Roman"/>
          <w:lang w:val="lt-LT"/>
        </w:rPr>
      </w:pPr>
    </w:p>
    <w:p w14:paraId="1B733D64"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Gauta retų, bet rimtų pranešimų apie traukulius, taip pat prasidėjusius epilepsija nesergantiems pacientams, ir apie pavienius kliedesių atvejus, kai Leponex buvo vartota kartu su valproine rūgštimi. Šiuos poveikius gali sąlygoti farmakodinaminė sąveika, kurios mechanizmas nenustatytas.</w:t>
      </w:r>
    </w:p>
    <w:p w14:paraId="2F06DA01" w14:textId="77777777" w:rsidR="00A34B5C" w:rsidRPr="00A34B5C" w:rsidRDefault="00A34B5C" w:rsidP="00A34B5C">
      <w:pPr>
        <w:spacing w:after="0" w:line="240" w:lineRule="auto"/>
        <w:rPr>
          <w:rFonts w:ascii="Times New Roman" w:eastAsia="Calibri" w:hAnsi="Times New Roman" w:cs="Times New Roman"/>
          <w:lang w:val="lt-LT"/>
        </w:rPr>
      </w:pPr>
    </w:p>
    <w:p w14:paraId="34E62671"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Atsargumo priemonių reikia laikytis pacientams, kartu vartojantiems kitų medžiagų, kurie yra citochromo P450 izofermentų inhibitoriai ar induktoriai. Iki šiol nestebėta kliniškai reikšmingos sąveikos su tricikliais antidepresantais, fenotiazinais ir I</w:t>
      </w:r>
      <w:r w:rsidRPr="00A34B5C">
        <w:rPr>
          <w:rFonts w:ascii="Times New Roman" w:eastAsia="Calibri" w:hAnsi="Times New Roman" w:cs="Times New Roman"/>
          <w:vertAlign w:val="subscript"/>
          <w:lang w:val="lt-LT"/>
        </w:rPr>
        <w:t>C</w:t>
      </w:r>
      <w:r w:rsidRPr="00A34B5C">
        <w:rPr>
          <w:rFonts w:ascii="Times New Roman" w:eastAsia="Calibri" w:hAnsi="Times New Roman" w:cs="Times New Roman"/>
          <w:lang w:val="lt-LT"/>
        </w:rPr>
        <w:t xml:space="preserve"> klasės antiaritminiais vaistiniais preparatais, kurie jungiasi su citochromu P450 2D6. </w:t>
      </w:r>
    </w:p>
    <w:p w14:paraId="7C5D7ADD" w14:textId="77777777" w:rsidR="00A34B5C" w:rsidRPr="00A34B5C" w:rsidRDefault="00A34B5C" w:rsidP="00A34B5C">
      <w:pPr>
        <w:spacing w:after="0" w:line="240" w:lineRule="auto"/>
        <w:rPr>
          <w:rFonts w:ascii="Times New Roman" w:eastAsia="Calibri" w:hAnsi="Times New Roman" w:cs="Times New Roman"/>
          <w:lang w:val="lt-LT"/>
        </w:rPr>
      </w:pPr>
    </w:p>
    <w:p w14:paraId="293F6ADF" w14:textId="77777777" w:rsidR="00A34B5C" w:rsidRPr="00A34B5C" w:rsidRDefault="00A34B5C" w:rsidP="00A34B5C">
      <w:pPr>
        <w:autoSpaceDE w:val="0"/>
        <w:autoSpaceDN w:val="0"/>
        <w:adjustRightInd w:val="0"/>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Klozapino, kaip ir kitokių vaistinių preparatų nuo psichozės, vartoti kartu kitais QTc intervalą ilginančiais ar elektrolitų pusiausvyros sutrikimus sukeliančiais vaistiniais preparatais būtina atsargiai.</w:t>
      </w:r>
    </w:p>
    <w:p w14:paraId="00F3A6C9" w14:textId="77777777" w:rsidR="00A34B5C" w:rsidRPr="00A34B5C" w:rsidRDefault="00A34B5C" w:rsidP="00A34B5C">
      <w:pPr>
        <w:spacing w:after="0" w:line="240" w:lineRule="auto"/>
        <w:rPr>
          <w:rFonts w:ascii="Times New Roman" w:eastAsia="Calibri" w:hAnsi="Times New Roman" w:cs="Times New Roman"/>
          <w:lang w:val="lt-LT"/>
        </w:rPr>
      </w:pPr>
    </w:p>
    <w:p w14:paraId="1E522239"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Svarbiausios klozapino sąveikos apibendrinimas pateiktas 2 lentelėje žemiau (sąrašas nėra išsamus).</w:t>
      </w:r>
    </w:p>
    <w:p w14:paraId="4FF796D6" w14:textId="77777777" w:rsidR="00A34B5C" w:rsidRPr="00A34B5C" w:rsidRDefault="00A34B5C" w:rsidP="00A34B5C">
      <w:pPr>
        <w:spacing w:after="0" w:line="240" w:lineRule="auto"/>
        <w:rPr>
          <w:rFonts w:ascii="Times New Roman" w:eastAsia="Calibri" w:hAnsi="Times New Roman" w:cs="Times New Roman"/>
          <w:lang w:val="lt-LT"/>
        </w:rPr>
      </w:pPr>
    </w:p>
    <w:p w14:paraId="68626293"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b/>
          <w:bCs/>
          <w:lang w:val="lt-LT"/>
        </w:rPr>
        <w:t>2</w:t>
      </w:r>
      <w:r w:rsidRPr="00A34B5C">
        <w:rPr>
          <w:rFonts w:ascii="Times New Roman" w:eastAsia="Calibri" w:hAnsi="Times New Roman" w:cs="Times New Roman"/>
          <w:b/>
          <w:lang w:val="lt-LT"/>
        </w:rPr>
        <w:t> lentelė.</w:t>
      </w:r>
      <w:r w:rsidRPr="00A34B5C">
        <w:rPr>
          <w:rFonts w:ascii="Times New Roman" w:eastAsia="Calibri" w:hAnsi="Times New Roman" w:cs="Times New Roman"/>
          <w:lang w:val="lt-LT"/>
        </w:rPr>
        <w:t xml:space="preserve"> Informacija apie svarbiausią vaistinių preparatų sąveiką su Leponex</w:t>
      </w:r>
    </w:p>
    <w:p w14:paraId="216C86DC" w14:textId="77777777" w:rsidR="00A34B5C" w:rsidRPr="00A34B5C" w:rsidRDefault="00A34B5C" w:rsidP="00A34B5C">
      <w:pPr>
        <w:spacing w:after="0" w:line="240" w:lineRule="auto"/>
        <w:rPr>
          <w:rFonts w:ascii="Times New Roman" w:eastAsia="Calibri" w:hAnsi="Times New Roman" w:cs="Times New Roman"/>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17"/>
        <w:gridCol w:w="3025"/>
        <w:gridCol w:w="3018"/>
      </w:tblGrid>
      <w:tr w:rsidR="00A34B5C" w:rsidRPr="00A34B5C" w14:paraId="699D4482" w14:textId="77777777" w:rsidTr="004436EA">
        <w:tc>
          <w:tcPr>
            <w:tcW w:w="3095" w:type="dxa"/>
          </w:tcPr>
          <w:p w14:paraId="5B7E5726"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Vaistinis preparatas</w:t>
            </w:r>
          </w:p>
        </w:tc>
        <w:tc>
          <w:tcPr>
            <w:tcW w:w="3095" w:type="dxa"/>
          </w:tcPr>
          <w:p w14:paraId="18E2339C"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Sąveika</w:t>
            </w:r>
          </w:p>
        </w:tc>
        <w:tc>
          <w:tcPr>
            <w:tcW w:w="3096" w:type="dxa"/>
          </w:tcPr>
          <w:p w14:paraId="38E2A33E"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Paaiškinimas</w:t>
            </w:r>
          </w:p>
        </w:tc>
      </w:tr>
      <w:tr w:rsidR="00A34B5C" w:rsidRPr="0049380B" w14:paraId="160DB915" w14:textId="77777777" w:rsidTr="004436EA">
        <w:tc>
          <w:tcPr>
            <w:tcW w:w="3095" w:type="dxa"/>
          </w:tcPr>
          <w:p w14:paraId="515A17E7"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Vaistiniai preparatai, slopinantys kaulų čiulpus (pvz., karbamazepinas, chloramfenikolis), sulfonamidai (pvz., kotrimoksazolis), pirazolono grupės analgetikai (pvz., fenilbutazonas), penicilaminas, </w:t>
            </w:r>
            <w:r w:rsidRPr="00A34B5C">
              <w:rPr>
                <w:rFonts w:ascii="Times New Roman" w:eastAsia="Calibri" w:hAnsi="Times New Roman" w:cs="Times New Roman"/>
                <w:lang w:val="lt-LT"/>
              </w:rPr>
              <w:lastRenderedPageBreak/>
              <w:t>citotoksiniai vaistiniai preparatai ir ilgai veikiantys depo injekciniai antipsichoziniai vaistiniai preparatai</w:t>
            </w:r>
          </w:p>
        </w:tc>
        <w:tc>
          <w:tcPr>
            <w:tcW w:w="3095" w:type="dxa"/>
          </w:tcPr>
          <w:p w14:paraId="0853C93F"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lastRenderedPageBreak/>
              <w:t>Dėl sąveikos didėja kaulų čiulpų slopinimo rizika ir (arba) stiprėja slopinimas.</w:t>
            </w:r>
          </w:p>
        </w:tc>
        <w:tc>
          <w:tcPr>
            <w:tcW w:w="3096" w:type="dxa"/>
          </w:tcPr>
          <w:p w14:paraId="115C1E93"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Leponex draudžiama vartoti kartu su kitais vaistiniais preparatais, kurie gali slopinti kaulų čiulpų funkciją (žr. 4.3 skyrių).</w:t>
            </w:r>
          </w:p>
        </w:tc>
      </w:tr>
      <w:tr w:rsidR="00A34B5C" w:rsidRPr="0049380B" w14:paraId="1EBEE994" w14:textId="77777777" w:rsidTr="004436EA">
        <w:tc>
          <w:tcPr>
            <w:tcW w:w="3095" w:type="dxa"/>
          </w:tcPr>
          <w:p w14:paraId="27821FA4"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Benzodiazepinai</w:t>
            </w:r>
          </w:p>
        </w:tc>
        <w:tc>
          <w:tcPr>
            <w:tcW w:w="3095" w:type="dxa"/>
          </w:tcPr>
          <w:p w14:paraId="46049538"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Kartu vartojant, gali padidėti kraujotakos kolapso, kuris gali sukelti širdies ir (arba) kvėpavimo sustojimą, riziką.</w:t>
            </w:r>
          </w:p>
        </w:tc>
        <w:tc>
          <w:tcPr>
            <w:tcW w:w="3096" w:type="dxa"/>
          </w:tcPr>
          <w:p w14:paraId="38DD597D"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Reakcija būna retai, todėl, vartojant šiuos vaistinius preparatus kartu, rekomenduojama laikytis atsargumo priemonių. Gauti duomenys rodo, kad kvėpavimo slopinimas ir kolapsas dažniausiai pasireiškia pradėjus vartoti šį derinį arba kai Leponex pridedama prie vartojamo benzodiazepino.</w:t>
            </w:r>
          </w:p>
        </w:tc>
      </w:tr>
      <w:tr w:rsidR="00A34B5C" w:rsidRPr="0049380B" w14:paraId="36C9BAA1" w14:textId="77777777" w:rsidTr="004436EA">
        <w:tc>
          <w:tcPr>
            <w:tcW w:w="3095" w:type="dxa"/>
          </w:tcPr>
          <w:p w14:paraId="1D138C17"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Anticholinerginiai vaistiniai preparatai</w:t>
            </w:r>
          </w:p>
        </w:tc>
        <w:tc>
          <w:tcPr>
            <w:tcW w:w="3095" w:type="dxa"/>
          </w:tcPr>
          <w:p w14:paraId="11F2001C"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Leponex stiprina šių vaistinių preparatų veikimą dėl savo anticholinerginio poveikio.</w:t>
            </w:r>
          </w:p>
        </w:tc>
        <w:tc>
          <w:tcPr>
            <w:tcW w:w="3096" w:type="dxa"/>
          </w:tcPr>
          <w:p w14:paraId="0BFAFD07"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Pacientą stebėti dėl anticholinerginių nepageidaujamų reakcijų, pvz., vidurių užkietėjimo, ypač tada, kai vaistinio preparato skiriama hipersalivacijai kontroliuoti.</w:t>
            </w:r>
          </w:p>
        </w:tc>
      </w:tr>
      <w:tr w:rsidR="00A34B5C" w:rsidRPr="0049380B" w14:paraId="2EBE027F" w14:textId="77777777" w:rsidTr="004436EA">
        <w:tc>
          <w:tcPr>
            <w:tcW w:w="3095" w:type="dxa"/>
          </w:tcPr>
          <w:p w14:paraId="74097818"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Antihipertenziniai vaistiniai preparatai</w:t>
            </w:r>
          </w:p>
        </w:tc>
        <w:tc>
          <w:tcPr>
            <w:tcW w:w="3095" w:type="dxa"/>
          </w:tcPr>
          <w:p w14:paraId="2A51271B"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Leponex gali stiprinti šių vaistinių preparatų hipotenzinį poveikį dėl antagonizmo simpatomimetiniam veikimui.</w:t>
            </w:r>
          </w:p>
        </w:tc>
        <w:tc>
          <w:tcPr>
            <w:tcW w:w="3096" w:type="dxa"/>
          </w:tcPr>
          <w:p w14:paraId="0656105A"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Jei Leponex vartojama kartu su antihipertenziniais vaistiniais preparatais, reikia laikytis atsargumo priemonių. Pacientus reikia įspėti apie hipotenzijos riziką, ypač per pirminį dozės titravimo laikotarpį.</w:t>
            </w:r>
          </w:p>
        </w:tc>
      </w:tr>
      <w:tr w:rsidR="00A34B5C" w:rsidRPr="0049380B" w14:paraId="447E3B0F" w14:textId="77777777" w:rsidTr="004436EA">
        <w:tc>
          <w:tcPr>
            <w:tcW w:w="3095" w:type="dxa"/>
          </w:tcPr>
          <w:p w14:paraId="4A7285A6"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Alkoholis, MAOI, CNS slopinamieji vaistiniai preparatai, įskaitant narkotikus ir benzodiazepinus</w:t>
            </w:r>
          </w:p>
        </w:tc>
        <w:tc>
          <w:tcPr>
            <w:tcW w:w="3095" w:type="dxa"/>
          </w:tcPr>
          <w:p w14:paraId="267DFE08"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Sustiprėjęs centrinis poveikis. Sustiprėjęs CNS slopinimas ir sutrikusi pažintinė ir motorinė funkcija, kai šių medžiagų vartojama kartu.</w:t>
            </w:r>
          </w:p>
        </w:tc>
        <w:tc>
          <w:tcPr>
            <w:tcW w:w="3096" w:type="dxa"/>
          </w:tcPr>
          <w:p w14:paraId="4A8752BF"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Rekomenduojama laikytis atsargumo priemonių, kai Leponex vartojama kartu su kitais CNS veikiančiais vaistiniais preparatais. Pacientą reikia įspėti apie galimą stipresnį raminamąjį poveikį bei nurodyti nevairuoti ir nevaldyti mechanizmų.</w:t>
            </w:r>
          </w:p>
        </w:tc>
      </w:tr>
      <w:tr w:rsidR="00A34B5C" w:rsidRPr="0049380B" w14:paraId="7A39D3D3" w14:textId="77777777" w:rsidTr="004436EA">
        <w:tc>
          <w:tcPr>
            <w:tcW w:w="3095" w:type="dxa"/>
          </w:tcPr>
          <w:p w14:paraId="39AC87D7"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Medžiagos, kurios gerai jungiasi su baltymais (pvz., varfarinas ir digoksinas)</w:t>
            </w:r>
          </w:p>
        </w:tc>
        <w:tc>
          <w:tcPr>
            <w:tcW w:w="3095" w:type="dxa"/>
          </w:tcPr>
          <w:p w14:paraId="2AE41155"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Leponex gali padidinti šių medžiagų koncentraciją kraujo plazmoje, išstumdamas juos iš junginio su plazmos baltymais.</w:t>
            </w:r>
          </w:p>
        </w:tc>
        <w:tc>
          <w:tcPr>
            <w:tcW w:w="3096" w:type="dxa"/>
          </w:tcPr>
          <w:p w14:paraId="0A79B5A3"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Pacientus reikia stebėti dėl galimų nepageidaujamų reakcijų, susijusių su šių medžiagų vartojimu, ir prireikus koreguoti su baltymais gerai besijungiančių medžiagų dozę.</w:t>
            </w:r>
          </w:p>
        </w:tc>
      </w:tr>
      <w:tr w:rsidR="00A34B5C" w:rsidRPr="0049380B" w14:paraId="7E0E8DD3" w14:textId="77777777" w:rsidTr="004436EA">
        <w:tc>
          <w:tcPr>
            <w:tcW w:w="3095" w:type="dxa"/>
          </w:tcPr>
          <w:p w14:paraId="17804CE7"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Fenitoinas</w:t>
            </w:r>
          </w:p>
        </w:tc>
        <w:tc>
          <w:tcPr>
            <w:tcW w:w="3095" w:type="dxa"/>
          </w:tcPr>
          <w:p w14:paraId="3012E826"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Pridėjus fenitoino prie jau vartojamo Leponex, gali sumažėti klozapino koncentracija kraujo plazmoje.</w:t>
            </w:r>
          </w:p>
        </w:tc>
        <w:tc>
          <w:tcPr>
            <w:tcW w:w="3096" w:type="dxa"/>
          </w:tcPr>
          <w:p w14:paraId="6060D66A"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Jei reikia vartoti fenitoino, pacientą būtina atidžiai stebėti dėl paūmėjusių ar atsinaujinusių psichozės požymių.</w:t>
            </w:r>
          </w:p>
        </w:tc>
      </w:tr>
      <w:tr w:rsidR="00A34B5C" w:rsidRPr="00A34B5C" w14:paraId="44E79014" w14:textId="77777777" w:rsidTr="004436EA">
        <w:tc>
          <w:tcPr>
            <w:tcW w:w="3095" w:type="dxa"/>
          </w:tcPr>
          <w:p w14:paraId="0F63D862"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Litis</w:t>
            </w:r>
          </w:p>
        </w:tc>
        <w:tc>
          <w:tcPr>
            <w:tcW w:w="3095" w:type="dxa"/>
          </w:tcPr>
          <w:p w14:paraId="0470DD7B"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Kartu vartojant šių vaistinių preparatų, gali didėti piktybinio neurolepsinio sindromo (PNS) rizika.</w:t>
            </w:r>
          </w:p>
        </w:tc>
        <w:tc>
          <w:tcPr>
            <w:tcW w:w="3096" w:type="dxa"/>
          </w:tcPr>
          <w:p w14:paraId="78ED5BCC"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Stebėti dėl PNS požymių.</w:t>
            </w:r>
          </w:p>
        </w:tc>
      </w:tr>
      <w:tr w:rsidR="00A34B5C" w:rsidRPr="0049380B" w14:paraId="74211958" w14:textId="77777777" w:rsidTr="004436EA">
        <w:tc>
          <w:tcPr>
            <w:tcW w:w="3095" w:type="dxa"/>
          </w:tcPr>
          <w:p w14:paraId="028F298F"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iCs/>
                <w:lang w:val="lt-LT"/>
              </w:rPr>
              <w:lastRenderedPageBreak/>
              <w:t>CYP1A2 skatinančios medžiagos (pvz., omeprazolas)</w:t>
            </w:r>
          </w:p>
        </w:tc>
        <w:tc>
          <w:tcPr>
            <w:tcW w:w="3095" w:type="dxa"/>
          </w:tcPr>
          <w:p w14:paraId="493A01B4"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iCs/>
                <w:lang w:val="lt-LT"/>
              </w:rPr>
              <w:t>Jei šių vaistinių preparatų vartojama kartu, gali mažėti klozapino koncentracija.</w:t>
            </w:r>
          </w:p>
        </w:tc>
        <w:tc>
          <w:tcPr>
            <w:tcW w:w="3096" w:type="dxa"/>
          </w:tcPr>
          <w:p w14:paraId="51603D6B"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Turėti omenyje, kad gali sumažėti klozapino efektyvumas.</w:t>
            </w:r>
          </w:p>
        </w:tc>
      </w:tr>
      <w:tr w:rsidR="00A34B5C" w:rsidRPr="00A34B5C" w14:paraId="48F5058B" w14:textId="77777777" w:rsidTr="004436EA">
        <w:tc>
          <w:tcPr>
            <w:tcW w:w="3095" w:type="dxa"/>
          </w:tcPr>
          <w:p w14:paraId="34D63F41"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iCs/>
                <w:lang w:val="lt-LT"/>
              </w:rPr>
              <w:t>CYP1A2 slopinančios medžiagos, pvz., fluvoksaminas, kofeinas, ciprofloksacinas,</w:t>
            </w:r>
            <w:r w:rsidRPr="00A34B5C">
              <w:rPr>
                <w:rFonts w:ascii="Times New Roman" w:eastAsia="Calibri" w:hAnsi="Times New Roman" w:cs="Times New Roman"/>
                <w:lang w:val="lt-LT"/>
              </w:rPr>
              <w:t xml:space="preserve"> </w:t>
            </w:r>
            <w:r w:rsidRPr="00A34B5C">
              <w:rPr>
                <w:rFonts w:ascii="Times New Roman" w:eastAsia="Calibri" w:hAnsi="Times New Roman" w:cs="Times New Roman"/>
                <w:iCs/>
                <w:lang w:val="lt-LT"/>
              </w:rPr>
              <w:t>perazinas ar geriamieji kontraceptikai (CYP1A2, CYP3A4, CYP2C19)</w:t>
            </w:r>
          </w:p>
        </w:tc>
        <w:tc>
          <w:tcPr>
            <w:tcW w:w="3095" w:type="dxa"/>
          </w:tcPr>
          <w:p w14:paraId="1A4564E0"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iCs/>
                <w:lang w:val="lt-LT"/>
              </w:rPr>
              <w:t>Jei šių vaistinių preparatų vartojama kartu, gali didėti klozapino koncentracija.</w:t>
            </w:r>
          </w:p>
        </w:tc>
        <w:tc>
          <w:tcPr>
            <w:tcW w:w="3096" w:type="dxa"/>
          </w:tcPr>
          <w:p w14:paraId="733BAB0E" w14:textId="77777777" w:rsidR="00A34B5C" w:rsidRPr="00A34B5C" w:rsidRDefault="00A34B5C" w:rsidP="00A34B5C">
            <w:pPr>
              <w:spacing w:after="0" w:line="240" w:lineRule="auto"/>
              <w:rPr>
                <w:rFonts w:ascii="Times New Roman" w:eastAsia="Calibri" w:hAnsi="Times New Roman" w:cs="Times New Roman"/>
                <w:iCs/>
                <w:lang w:val="lt-LT"/>
              </w:rPr>
            </w:pPr>
            <w:r w:rsidRPr="00A34B5C">
              <w:rPr>
                <w:rFonts w:ascii="Times New Roman" w:eastAsia="Calibri" w:hAnsi="Times New Roman" w:cs="Times New Roman"/>
                <w:iCs/>
                <w:lang w:val="lt-LT"/>
              </w:rPr>
              <w:t>Gali sustiprėti nepageidaujamas poveikis. Nutraukti gydymą kartu vartojamais CYP1A2 ar CYP3A4 slopinančiais vaistiniais preparatais irgi reikia atsargiai, kadangi tokiu atveju klozapino koncentracija gali mažėti.</w:t>
            </w:r>
          </w:p>
          <w:p w14:paraId="531E3571" w14:textId="77777777" w:rsidR="00A34B5C" w:rsidRPr="00A34B5C" w:rsidRDefault="00A34B5C" w:rsidP="00A34B5C">
            <w:pPr>
              <w:spacing w:after="0" w:line="240" w:lineRule="auto"/>
              <w:rPr>
                <w:rFonts w:ascii="Times New Roman" w:eastAsia="Calibri" w:hAnsi="Times New Roman" w:cs="Times New Roman"/>
                <w:iCs/>
                <w:lang w:val="lt-LT"/>
              </w:rPr>
            </w:pPr>
            <w:r w:rsidRPr="00A34B5C">
              <w:rPr>
                <w:rFonts w:ascii="Times New Roman" w:eastAsia="Calibri" w:hAnsi="Times New Roman" w:cs="Times New Roman"/>
                <w:iCs/>
                <w:lang w:val="lt-LT"/>
              </w:rPr>
              <w:t>CYP2C19 slopinimo poveikis gali būti minimalus.</w:t>
            </w:r>
          </w:p>
        </w:tc>
      </w:tr>
    </w:tbl>
    <w:p w14:paraId="7AE288FF" w14:textId="77777777" w:rsidR="00A34B5C" w:rsidRPr="00A34B5C" w:rsidRDefault="00A34B5C" w:rsidP="00A34B5C">
      <w:pPr>
        <w:spacing w:after="0" w:line="240" w:lineRule="auto"/>
        <w:rPr>
          <w:rFonts w:ascii="Times New Roman" w:eastAsia="Calibri" w:hAnsi="Times New Roman" w:cs="Times New Roman"/>
          <w:lang w:val="lt-LT"/>
        </w:rPr>
      </w:pPr>
    </w:p>
    <w:p w14:paraId="5FAEA73B" w14:textId="77777777" w:rsidR="00A34B5C" w:rsidRPr="00DB0E71" w:rsidRDefault="00A34B5C" w:rsidP="00B27E7B">
      <w:pPr>
        <w:widowControl w:val="0"/>
        <w:autoSpaceDE w:val="0"/>
        <w:autoSpaceDN w:val="0"/>
        <w:spacing w:after="0" w:line="240" w:lineRule="auto"/>
        <w:ind w:left="540" w:hanging="540"/>
        <w:outlineLvl w:val="1"/>
        <w:rPr>
          <w:rFonts w:ascii="Times New Roman" w:eastAsia="Times New Roman" w:hAnsi="Times New Roman" w:cs="Times New Roman"/>
          <w:b/>
          <w:bCs/>
          <w:lang w:val="lt-LT"/>
        </w:rPr>
      </w:pPr>
      <w:r w:rsidRPr="00DB0E71">
        <w:rPr>
          <w:rFonts w:ascii="Times New Roman" w:eastAsia="Times New Roman" w:hAnsi="Times New Roman" w:cs="Times New Roman"/>
          <w:b/>
          <w:bCs/>
          <w:lang w:val="lt-LT"/>
        </w:rPr>
        <w:t>4.6</w:t>
      </w:r>
      <w:r w:rsidRPr="00DB0E71">
        <w:rPr>
          <w:rFonts w:ascii="Times New Roman" w:eastAsia="Times New Roman" w:hAnsi="Times New Roman" w:cs="Times New Roman"/>
          <w:b/>
          <w:bCs/>
          <w:lang w:val="lt-LT"/>
        </w:rPr>
        <w:tab/>
        <w:t>Vaisingumas, nėštumo ir žindymo laikotarpis</w:t>
      </w:r>
      <w:r w:rsidRPr="00B27E7B">
        <w:rPr>
          <w:rFonts w:ascii="Times New Roman" w:hAnsi="Times New Roman"/>
          <w:b/>
          <w:lang w:val="lt-LT"/>
        </w:rPr>
        <w:t xml:space="preserve"> </w:t>
      </w:r>
    </w:p>
    <w:p w14:paraId="4A52615E" w14:textId="77777777" w:rsidR="00A34B5C" w:rsidRPr="00A34B5C" w:rsidRDefault="00A34B5C" w:rsidP="00A34B5C">
      <w:pPr>
        <w:spacing w:after="0" w:line="240" w:lineRule="auto"/>
        <w:rPr>
          <w:rFonts w:ascii="Times New Roman" w:eastAsia="Calibri" w:hAnsi="Times New Roman" w:cs="Times New Roman"/>
          <w:lang w:val="lt-LT"/>
        </w:rPr>
      </w:pPr>
    </w:p>
    <w:p w14:paraId="556E324E" w14:textId="77777777" w:rsidR="00A34B5C" w:rsidRPr="00A34B5C" w:rsidRDefault="00A34B5C" w:rsidP="00A34B5C">
      <w:pPr>
        <w:spacing w:after="0" w:line="240" w:lineRule="auto"/>
        <w:rPr>
          <w:rFonts w:ascii="Times New Roman" w:eastAsia="Calibri" w:hAnsi="Times New Roman" w:cs="Times New Roman"/>
          <w:u w:val="single"/>
          <w:lang w:val="lt-LT"/>
        </w:rPr>
      </w:pPr>
      <w:r w:rsidRPr="00A34B5C">
        <w:rPr>
          <w:rFonts w:ascii="Times New Roman" w:eastAsia="Calibri" w:hAnsi="Times New Roman" w:cs="Times New Roman"/>
          <w:u w:val="single"/>
          <w:lang w:val="lt-LT"/>
        </w:rPr>
        <w:t>Nėštumas</w:t>
      </w:r>
    </w:p>
    <w:p w14:paraId="7F8CCE65"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Yra mažai klinikinių duomenų apie klozapino vartojimą nėštumo metu. Tyrimų su gyvūnais metu nenustatyta tiesioginio arba netiesioginio žalingo poveikio vaisingumui, embriono ir (arba) vaisiaus vystymuisi, atsivedimui arba atsivestų jauniklių vystymuisi (žr. 5.3 skyrių). Skirti vaistinio preparato  nėščioms moterims reikia atsargiai.</w:t>
      </w:r>
    </w:p>
    <w:p w14:paraId="57D706C1" w14:textId="77777777" w:rsidR="00A85A3B" w:rsidRDefault="00A85A3B" w:rsidP="00A34B5C">
      <w:pPr>
        <w:spacing w:after="0" w:line="240" w:lineRule="auto"/>
        <w:rPr>
          <w:rFonts w:ascii="Times New Roman" w:eastAsia="Calibri" w:hAnsi="Times New Roman" w:cs="Times New Roman"/>
          <w:lang w:val="lt-LT"/>
        </w:rPr>
      </w:pPr>
    </w:p>
    <w:p w14:paraId="6F2B02EF" w14:textId="77777777" w:rsidR="00A34B5C" w:rsidRDefault="00A85A3B" w:rsidP="00A34B5C">
      <w:pPr>
        <w:spacing w:after="0" w:line="240" w:lineRule="auto"/>
        <w:rPr>
          <w:rFonts w:ascii="Times New Roman" w:eastAsia="Calibri" w:hAnsi="Times New Roman" w:cs="Times New Roman"/>
          <w:lang w:val="lt-LT"/>
        </w:rPr>
      </w:pPr>
      <w:r w:rsidRPr="00A85A3B">
        <w:rPr>
          <w:rFonts w:ascii="Times New Roman" w:eastAsia="Calibri" w:hAnsi="Times New Roman" w:cs="Times New Roman"/>
          <w:lang w:val="lt-LT"/>
        </w:rPr>
        <w:t>Naujagimiams, kurių motinos trečiąjį nėštumo trimestrą vartojo antipsichotinius vaistinius preparatus (įskaitant Leponex), po gimimo yra galima</w:t>
      </w:r>
      <w:r w:rsidR="00570F79">
        <w:rPr>
          <w:rFonts w:ascii="Times New Roman" w:eastAsia="Calibri" w:hAnsi="Times New Roman" w:cs="Times New Roman"/>
          <w:lang w:val="lt-LT"/>
        </w:rPr>
        <w:t xml:space="preserve"> padidėjusi</w:t>
      </w:r>
      <w:r w:rsidRPr="00A85A3B">
        <w:rPr>
          <w:rFonts w:ascii="Times New Roman" w:eastAsia="Calibri" w:hAnsi="Times New Roman" w:cs="Times New Roman"/>
          <w:lang w:val="lt-LT"/>
        </w:rPr>
        <w:t xml:space="preserve"> nepageidaujamų reakcijų, įskaitant įvairaus sunkumo ir trukmės ekstrapiramidinius ir (arba) nutraukimo simptomus, rizika. Buvo gauta pranešimų apie sujaudinimą, hipertoniją, hipotoniją, drebulį, mieguistumą, respiracinį distresą ar maitinimosi sutrikimą. Todėl naujagimius reikia atidžiai stebėti.</w:t>
      </w:r>
    </w:p>
    <w:p w14:paraId="601C8F72" w14:textId="77777777" w:rsidR="00A85A3B" w:rsidRPr="00A34B5C" w:rsidRDefault="00A85A3B" w:rsidP="00A34B5C">
      <w:pPr>
        <w:spacing w:after="0" w:line="240" w:lineRule="auto"/>
        <w:rPr>
          <w:rFonts w:ascii="Times New Roman" w:eastAsia="Calibri" w:hAnsi="Times New Roman" w:cs="Times New Roman"/>
          <w:lang w:val="lt-LT"/>
        </w:rPr>
      </w:pPr>
    </w:p>
    <w:p w14:paraId="42B7F5BC" w14:textId="77777777" w:rsidR="00A34B5C" w:rsidRPr="00A34B5C" w:rsidRDefault="00A34B5C" w:rsidP="00A34B5C">
      <w:pPr>
        <w:spacing w:after="0" w:line="240" w:lineRule="auto"/>
        <w:rPr>
          <w:rFonts w:ascii="Times New Roman" w:eastAsia="Calibri" w:hAnsi="Times New Roman" w:cs="Times New Roman"/>
          <w:u w:val="single"/>
          <w:lang w:val="lt-LT"/>
        </w:rPr>
      </w:pPr>
      <w:r w:rsidRPr="00A34B5C">
        <w:rPr>
          <w:rFonts w:ascii="Times New Roman" w:eastAsia="Calibri" w:hAnsi="Times New Roman" w:cs="Times New Roman"/>
          <w:u w:val="single"/>
          <w:lang w:val="lt-LT"/>
        </w:rPr>
        <w:t>Žindymas</w:t>
      </w:r>
    </w:p>
    <w:p w14:paraId="265B07AA"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Tyrimai su gyvūnais rodo, kad klozapino išsiskiria į pieną ir jis veikia žindančius jauniklius. Todėl moterims, vartojančioms Leponex, žindyti negalima.</w:t>
      </w:r>
    </w:p>
    <w:p w14:paraId="0D41BA7C" w14:textId="77777777" w:rsidR="00A34B5C" w:rsidRPr="00A34B5C" w:rsidRDefault="00A34B5C" w:rsidP="00A34B5C">
      <w:pPr>
        <w:spacing w:after="0" w:line="240" w:lineRule="auto"/>
        <w:rPr>
          <w:rFonts w:ascii="Times New Roman" w:eastAsia="Calibri" w:hAnsi="Times New Roman" w:cs="Times New Roman"/>
          <w:lang w:val="lt-LT"/>
        </w:rPr>
      </w:pPr>
    </w:p>
    <w:p w14:paraId="2D9BE397" w14:textId="77777777" w:rsidR="00A34B5C" w:rsidRPr="00A34B5C" w:rsidRDefault="00A34B5C" w:rsidP="00A34B5C">
      <w:pPr>
        <w:spacing w:after="0" w:line="240" w:lineRule="auto"/>
        <w:rPr>
          <w:rFonts w:ascii="Times New Roman" w:eastAsia="Calibri" w:hAnsi="Times New Roman" w:cs="Times New Roman"/>
          <w:u w:val="single"/>
          <w:lang w:val="lt-LT"/>
        </w:rPr>
      </w:pPr>
      <w:r w:rsidRPr="00A34B5C">
        <w:rPr>
          <w:rFonts w:ascii="Times New Roman" w:eastAsia="Calibri" w:hAnsi="Times New Roman" w:cs="Times New Roman"/>
          <w:u w:val="single"/>
          <w:lang w:val="lt-LT"/>
        </w:rPr>
        <w:t>Vaisingumas</w:t>
      </w:r>
    </w:p>
    <w:p w14:paraId="5076E8B4"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Turimi negausūs duomenys apie klozapino poveikį žmonių vaisingumui yra negalutiniai. Vartojama iki 40 mg/kg kūno svorio klozapino dozė žiurkių patinų ir patelių vaisingumo nepaveikė, atitinkanti 6,4 mg/kg kūno svorio dozę žmogui arba maždaug vieną trečiąją didžiausios leistinos suaugusio žmogaus dozės.</w:t>
      </w:r>
    </w:p>
    <w:p w14:paraId="7CCA1ADA" w14:textId="77777777" w:rsidR="00A34B5C" w:rsidRPr="00A34B5C" w:rsidRDefault="00A34B5C" w:rsidP="00A34B5C">
      <w:pPr>
        <w:spacing w:after="0" w:line="240" w:lineRule="auto"/>
        <w:rPr>
          <w:rFonts w:ascii="Times New Roman" w:eastAsia="Calibri" w:hAnsi="Times New Roman" w:cs="Times New Roman"/>
          <w:lang w:val="lt-LT"/>
        </w:rPr>
      </w:pPr>
    </w:p>
    <w:p w14:paraId="707518C0" w14:textId="77777777" w:rsidR="00A34B5C" w:rsidRPr="00A34B5C" w:rsidRDefault="00A34B5C" w:rsidP="00A34B5C">
      <w:pPr>
        <w:spacing w:after="0" w:line="240" w:lineRule="auto"/>
        <w:rPr>
          <w:rFonts w:ascii="Times New Roman" w:eastAsia="Calibri" w:hAnsi="Times New Roman" w:cs="Times New Roman"/>
          <w:u w:val="single"/>
          <w:lang w:val="lt-LT"/>
        </w:rPr>
      </w:pPr>
      <w:r w:rsidRPr="00A34B5C">
        <w:rPr>
          <w:rFonts w:ascii="Times New Roman" w:eastAsia="Calibri" w:hAnsi="Times New Roman" w:cs="Times New Roman"/>
          <w:u w:val="single"/>
          <w:lang w:val="lt-LT"/>
        </w:rPr>
        <w:t>Vaisingos moterys</w:t>
      </w:r>
    </w:p>
    <w:p w14:paraId="57436BD2"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Kitus antipsichozinius vaistinius preparatus pakeitus Leponex, gali atsinaujinti normalios mėnesinės. Todėl vaisingo amžiaus moterims būtina vartoti adekvačias kontraceptines priemones.</w:t>
      </w:r>
    </w:p>
    <w:p w14:paraId="508C2AAF" w14:textId="77777777" w:rsidR="00A34B5C" w:rsidRPr="00A34B5C" w:rsidRDefault="00A34B5C" w:rsidP="00A34B5C">
      <w:pPr>
        <w:spacing w:after="0" w:line="240" w:lineRule="auto"/>
        <w:rPr>
          <w:rFonts w:ascii="Times New Roman" w:eastAsia="Calibri" w:hAnsi="Times New Roman" w:cs="Times New Roman"/>
          <w:lang w:val="lt-LT"/>
        </w:rPr>
      </w:pPr>
    </w:p>
    <w:p w14:paraId="2C4E5BC9" w14:textId="77777777" w:rsidR="00A34B5C" w:rsidRPr="00DB0E71" w:rsidRDefault="00A34B5C" w:rsidP="00B27E7B">
      <w:pPr>
        <w:widowControl w:val="0"/>
        <w:autoSpaceDE w:val="0"/>
        <w:autoSpaceDN w:val="0"/>
        <w:spacing w:after="0" w:line="240" w:lineRule="auto"/>
        <w:ind w:left="540" w:hanging="540"/>
        <w:outlineLvl w:val="1"/>
        <w:rPr>
          <w:rFonts w:ascii="Times New Roman" w:eastAsia="Times New Roman" w:hAnsi="Times New Roman" w:cs="Times New Roman"/>
          <w:b/>
          <w:bCs/>
          <w:lang w:val="lt-LT"/>
        </w:rPr>
      </w:pPr>
      <w:r w:rsidRPr="00DB0E71">
        <w:rPr>
          <w:rFonts w:ascii="Times New Roman" w:eastAsia="Times New Roman" w:hAnsi="Times New Roman" w:cs="Times New Roman"/>
          <w:b/>
          <w:bCs/>
          <w:lang w:val="lt-LT"/>
        </w:rPr>
        <w:t>4.7</w:t>
      </w:r>
      <w:r w:rsidRPr="00DB0E71">
        <w:rPr>
          <w:rFonts w:ascii="Times New Roman" w:eastAsia="Times New Roman" w:hAnsi="Times New Roman" w:cs="Times New Roman"/>
          <w:b/>
          <w:bCs/>
          <w:lang w:val="lt-LT"/>
        </w:rPr>
        <w:tab/>
        <w:t>Poveikis gebėjimui vairuoti ir valdyti mechanizmus</w:t>
      </w:r>
    </w:p>
    <w:p w14:paraId="5523EA30"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5DDC07CE"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Leponex gali sukelti raminamąjį poveikį ir sumažinti traukulių slenkstį, todėl reikia vengti vairuoti ar valdyti mechanizmus, ypač pirmosiomis gydymo savaitėmis.</w:t>
      </w:r>
    </w:p>
    <w:p w14:paraId="5D2457E7"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564D329A" w14:textId="77777777" w:rsidR="00A34B5C" w:rsidRPr="00DB0E71" w:rsidRDefault="00A34B5C" w:rsidP="00B27E7B">
      <w:pPr>
        <w:widowControl w:val="0"/>
        <w:autoSpaceDE w:val="0"/>
        <w:autoSpaceDN w:val="0"/>
        <w:spacing w:after="0" w:line="240" w:lineRule="auto"/>
        <w:ind w:left="540" w:hanging="540"/>
        <w:outlineLvl w:val="1"/>
        <w:rPr>
          <w:rFonts w:ascii="Times New Roman" w:eastAsia="Times New Roman" w:hAnsi="Times New Roman" w:cs="Times New Roman"/>
          <w:b/>
          <w:bCs/>
          <w:lang w:val="lt-LT"/>
        </w:rPr>
      </w:pPr>
      <w:r w:rsidRPr="00DB0E71">
        <w:rPr>
          <w:rFonts w:ascii="Times New Roman" w:eastAsia="Times New Roman" w:hAnsi="Times New Roman" w:cs="Times New Roman"/>
          <w:b/>
          <w:bCs/>
          <w:lang w:val="lt-LT"/>
        </w:rPr>
        <w:t>4.8</w:t>
      </w:r>
      <w:r w:rsidRPr="00DB0E71">
        <w:rPr>
          <w:rFonts w:ascii="Times New Roman" w:eastAsia="Times New Roman" w:hAnsi="Times New Roman" w:cs="Times New Roman"/>
          <w:b/>
          <w:bCs/>
          <w:lang w:val="lt-LT"/>
        </w:rPr>
        <w:tab/>
        <w:t>Nepageidaujamas poveikis</w:t>
      </w:r>
    </w:p>
    <w:p w14:paraId="6A9B172F" w14:textId="77777777" w:rsidR="00A34B5C" w:rsidRPr="00A34B5C" w:rsidRDefault="00A34B5C" w:rsidP="00A34B5C">
      <w:pPr>
        <w:spacing w:after="0" w:line="240" w:lineRule="auto"/>
        <w:ind w:left="567" w:hanging="567"/>
        <w:rPr>
          <w:rFonts w:ascii="Times New Roman" w:eastAsia="Calibri" w:hAnsi="Times New Roman" w:cs="Times New Roman"/>
          <w:b/>
          <w:lang w:val="lt-LT"/>
        </w:rPr>
      </w:pPr>
    </w:p>
    <w:p w14:paraId="5AD54CBA" w14:textId="286CFE44" w:rsidR="00A34B5C" w:rsidRPr="00A34B5C" w:rsidRDefault="00A34B5C" w:rsidP="00A34B5C">
      <w:pPr>
        <w:spacing w:after="0" w:line="240" w:lineRule="auto"/>
        <w:rPr>
          <w:rFonts w:ascii="Times New Roman" w:eastAsia="Calibri" w:hAnsi="Times New Roman" w:cs="Times New Roman"/>
          <w:u w:val="single"/>
          <w:lang w:val="lt-LT"/>
        </w:rPr>
      </w:pPr>
      <w:r w:rsidRPr="00A34B5C">
        <w:rPr>
          <w:rFonts w:ascii="Times New Roman" w:eastAsia="Calibri" w:hAnsi="Times New Roman" w:cs="Times New Roman"/>
          <w:u w:val="single"/>
          <w:lang w:val="lt-LT"/>
        </w:rPr>
        <w:t xml:space="preserve">Saugumo </w:t>
      </w:r>
      <w:r w:rsidR="007338B8">
        <w:rPr>
          <w:rFonts w:ascii="Times New Roman" w:eastAsia="Calibri" w:hAnsi="Times New Roman" w:cs="Times New Roman"/>
          <w:u w:val="single"/>
          <w:lang w:val="lt-LT"/>
        </w:rPr>
        <w:t>duome</w:t>
      </w:r>
      <w:r w:rsidR="005A692D">
        <w:rPr>
          <w:rFonts w:ascii="Times New Roman" w:eastAsia="Calibri" w:hAnsi="Times New Roman" w:cs="Times New Roman"/>
          <w:u w:val="single"/>
          <w:lang w:val="lt-LT"/>
        </w:rPr>
        <w:t>n</w:t>
      </w:r>
      <w:r w:rsidR="007338B8">
        <w:rPr>
          <w:rFonts w:ascii="Times New Roman" w:eastAsia="Calibri" w:hAnsi="Times New Roman" w:cs="Times New Roman"/>
          <w:u w:val="single"/>
          <w:lang w:val="lt-LT"/>
        </w:rPr>
        <w:t>ų</w:t>
      </w:r>
      <w:r w:rsidRPr="00A34B5C">
        <w:rPr>
          <w:rFonts w:ascii="Times New Roman" w:eastAsia="Calibri" w:hAnsi="Times New Roman" w:cs="Times New Roman"/>
          <w:u w:val="single"/>
          <w:lang w:val="lt-LT"/>
        </w:rPr>
        <w:t xml:space="preserve"> santrauka</w:t>
      </w:r>
    </w:p>
    <w:p w14:paraId="43ED4F91"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Daugelio klozapino nepageidaujamų reakcijų pobūdį galima numatyti atsižvelgiant į jo farmakologines savybes. Svarbi išimtis yra jo polinkis sukelti agranulocitozę (žr. 4.4 skyrių). Dėl šios rizikos vaistinio preparato skiriama tik atspariai šizofrenijai ir psichozei, pasireiškusiai Parkinsono liga sergantiems pacientams, gydyti, kai kitoks gydymas neefektyvus. Kraujo rodmenų stebėjimas yra būtina pacientų, vartojančių klozapiną, priežiūros dalis. Tačiau gydytojas turi žinoti ir apie kitas </w:t>
      </w:r>
      <w:r w:rsidRPr="00A34B5C">
        <w:rPr>
          <w:rFonts w:ascii="Times New Roman" w:eastAsia="Calibri" w:hAnsi="Times New Roman" w:cs="Times New Roman"/>
          <w:lang w:val="lt-LT"/>
        </w:rPr>
        <w:lastRenderedPageBreak/>
        <w:t>sunkias nepageidaujamas reakcijas, kurias galima diagnozuoti ankstyvojoje stadijoje tik atidžiai stebint ir apklausiant pacientą. Taip elgiantis, galima išvengti sergamumo ir mirštamumo.</w:t>
      </w:r>
    </w:p>
    <w:p w14:paraId="021238E8"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Sunkiausios klozapino vartojimo metu pasireiškusios nepageidaujamos reakcijos buvo agranulocitozė, traukuliai, širdies ir kraujagyslių sutrikimai bei karščiavimas (žr. 4.4 skyrių). Dažniausiai pasireiškiantis nepageidaujamas poveikis yra mieguistumas ar slopinimas, galvos svaigimas, tachikardija, vidurių užkietėjimas ir sustiprėjęs seilėtekis.</w:t>
      </w:r>
    </w:p>
    <w:p w14:paraId="101DDDD9" w14:textId="77777777" w:rsidR="00A34B5C" w:rsidRPr="00A34B5C" w:rsidRDefault="00A34B5C" w:rsidP="00A34B5C">
      <w:pPr>
        <w:spacing w:after="0" w:line="240" w:lineRule="auto"/>
        <w:rPr>
          <w:rFonts w:ascii="Times New Roman" w:eastAsia="Calibri" w:hAnsi="Times New Roman" w:cs="Times New Roman"/>
          <w:lang w:val="lt-LT"/>
        </w:rPr>
      </w:pPr>
    </w:p>
    <w:p w14:paraId="64D47ED6"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Klinikinių tyrimų metu gauti duomenys parodė, kad dėl nepageidaujamo poveikio klozapino vartojimą nutraukė labai įvairi vaistinio preparato vartojusių pacientų dalis (nuo 7,1 proc. iki 15,6 proc.), įskaitant tik tuos atvejus, kai nepageidaujamo poveikio pasireiškimą buvo galima pagrįstai susieti su klozapino vartojimu. Dažnesnis nepageidaujamas poveikis, dėl kurio pasireiškimo pacientai nutraukė vaistinio preparato vartojimą, buvo leukopenija, mieguistumas, galvos svaigimas ir psichozės tipo sutrikimas.</w:t>
      </w:r>
    </w:p>
    <w:p w14:paraId="4712C0A4" w14:textId="77777777" w:rsidR="00A34B5C" w:rsidRPr="00A34B5C" w:rsidRDefault="00A34B5C" w:rsidP="00A34B5C">
      <w:pPr>
        <w:spacing w:after="0" w:line="240" w:lineRule="auto"/>
        <w:rPr>
          <w:rFonts w:ascii="Times New Roman" w:eastAsia="Calibri" w:hAnsi="Times New Roman" w:cs="Times New Roman"/>
          <w:lang w:val="lt-LT"/>
        </w:rPr>
      </w:pPr>
    </w:p>
    <w:p w14:paraId="357538CF"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Kraujo ir limfinės sistemos sutrikimai</w:t>
      </w:r>
    </w:p>
    <w:p w14:paraId="6D111FE2"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Gydymas Leponex gali sukelti granulocitopeniją ir agranulocitozę. Paprastai šie pokyčiai išnyksta nutraukus gydymą, tačiau dėl agranulocitozės gali prasidėti sepsis ir ištikti mirtis. Norint išvengti gyvybei pavojingos agranulocitozės, būtina nedelsiant nutraukti gydymą, todėl būtina stebėti BKL kiekį (žr. 4.4 skyrių). 3 lentelėje apibendrintas apytikris agranulocitozės dažnis kiekvienam Leponex gydymo laikotarpiui.</w:t>
      </w:r>
    </w:p>
    <w:p w14:paraId="45011444" w14:textId="77777777" w:rsidR="00A34B5C" w:rsidRPr="00A34B5C" w:rsidRDefault="00A34B5C" w:rsidP="00A34B5C">
      <w:pPr>
        <w:spacing w:after="0" w:line="240" w:lineRule="auto"/>
        <w:rPr>
          <w:rFonts w:ascii="Times New Roman" w:eastAsia="Calibri" w:hAnsi="Times New Roman" w:cs="Times New Roman"/>
          <w:lang w:val="lt-LT"/>
        </w:rPr>
      </w:pPr>
    </w:p>
    <w:p w14:paraId="55735596" w14:textId="77777777" w:rsidR="00A34B5C" w:rsidRPr="00A34B5C" w:rsidRDefault="00A34B5C" w:rsidP="00A34B5C">
      <w:pPr>
        <w:spacing w:after="0" w:line="240" w:lineRule="auto"/>
        <w:rPr>
          <w:rFonts w:ascii="Times New Roman" w:eastAsia="Calibri" w:hAnsi="Times New Roman" w:cs="Times New Roman"/>
          <w:vertAlign w:val="superscript"/>
          <w:lang w:val="lt-LT"/>
        </w:rPr>
      </w:pPr>
      <w:r w:rsidRPr="00A34B5C">
        <w:rPr>
          <w:rFonts w:ascii="Times New Roman" w:eastAsia="Calibri" w:hAnsi="Times New Roman" w:cs="Times New Roman"/>
          <w:b/>
          <w:bCs/>
          <w:lang w:val="lt-LT"/>
        </w:rPr>
        <w:t>3</w:t>
      </w:r>
      <w:r w:rsidRPr="00A34B5C">
        <w:rPr>
          <w:rFonts w:ascii="Times New Roman" w:eastAsia="Calibri" w:hAnsi="Times New Roman" w:cs="Times New Roman"/>
          <w:b/>
          <w:lang w:val="lt-LT"/>
        </w:rPr>
        <w:t> lentelė.</w:t>
      </w:r>
      <w:r w:rsidRPr="00A34B5C">
        <w:rPr>
          <w:rFonts w:ascii="Times New Roman" w:eastAsia="Calibri" w:hAnsi="Times New Roman" w:cs="Times New Roman"/>
          <w:lang w:val="lt-LT"/>
        </w:rPr>
        <w:t xml:space="preserve"> Apytikris agranulocitozės dažnis</w:t>
      </w:r>
      <w:r w:rsidRPr="00A34B5C">
        <w:rPr>
          <w:rFonts w:ascii="Times New Roman" w:eastAsia="Calibri" w:hAnsi="Times New Roman" w:cs="Times New Roman"/>
          <w:vertAlign w:val="superscript"/>
          <w:lang w:val="lt-LT"/>
        </w:rPr>
        <w:t>1</w:t>
      </w:r>
    </w:p>
    <w:p w14:paraId="44A73003" w14:textId="77777777" w:rsidR="00A34B5C" w:rsidRPr="00A34B5C" w:rsidRDefault="00A34B5C" w:rsidP="00A34B5C">
      <w:pPr>
        <w:spacing w:after="0" w:line="240" w:lineRule="auto"/>
        <w:rPr>
          <w:rFonts w:ascii="Times New Roman" w:eastAsia="Calibri" w:hAnsi="Times New Roman" w:cs="Times New Roman"/>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27"/>
        <w:gridCol w:w="4533"/>
      </w:tblGrid>
      <w:tr w:rsidR="00A34B5C" w:rsidRPr="00A34B5C" w14:paraId="56006FDD" w14:textId="77777777" w:rsidTr="004436EA">
        <w:tc>
          <w:tcPr>
            <w:tcW w:w="4643" w:type="dxa"/>
          </w:tcPr>
          <w:p w14:paraId="5CE9B8BB"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Gydymo laikotarpiai</w:t>
            </w:r>
          </w:p>
        </w:tc>
        <w:tc>
          <w:tcPr>
            <w:tcW w:w="4643" w:type="dxa"/>
          </w:tcPr>
          <w:p w14:paraId="0D60CF61"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Agranulocitozės dažnis 100 000 asmenų savaičių </w:t>
            </w:r>
          </w:p>
        </w:tc>
      </w:tr>
      <w:tr w:rsidR="00A34B5C" w:rsidRPr="00A34B5C" w14:paraId="09E40295" w14:textId="77777777" w:rsidTr="004436EA">
        <w:tc>
          <w:tcPr>
            <w:tcW w:w="4643" w:type="dxa"/>
          </w:tcPr>
          <w:p w14:paraId="69D050E4"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0</w:t>
            </w:r>
            <w:r w:rsidRPr="00A34B5C">
              <w:rPr>
                <w:rFonts w:ascii="Times New Roman" w:eastAsia="Calibri" w:hAnsi="Times New Roman" w:cs="Times New Roman"/>
                <w:lang w:val="lt-LT"/>
              </w:rPr>
              <w:noBreakHyphen/>
              <w:t>18 savaičių</w:t>
            </w:r>
          </w:p>
        </w:tc>
        <w:tc>
          <w:tcPr>
            <w:tcW w:w="4643" w:type="dxa"/>
          </w:tcPr>
          <w:p w14:paraId="77BC3256"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32,0</w:t>
            </w:r>
          </w:p>
        </w:tc>
      </w:tr>
      <w:tr w:rsidR="00A34B5C" w:rsidRPr="00A34B5C" w14:paraId="1D6BF536" w14:textId="77777777" w:rsidTr="004436EA">
        <w:tc>
          <w:tcPr>
            <w:tcW w:w="4643" w:type="dxa"/>
          </w:tcPr>
          <w:p w14:paraId="0B43D2FE"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19</w:t>
            </w:r>
            <w:r w:rsidRPr="00A34B5C">
              <w:rPr>
                <w:rFonts w:ascii="Times New Roman" w:eastAsia="Calibri" w:hAnsi="Times New Roman" w:cs="Times New Roman"/>
                <w:lang w:val="lt-LT"/>
              </w:rPr>
              <w:noBreakHyphen/>
              <w:t>52 savaitės</w:t>
            </w:r>
          </w:p>
        </w:tc>
        <w:tc>
          <w:tcPr>
            <w:tcW w:w="4643" w:type="dxa"/>
          </w:tcPr>
          <w:p w14:paraId="44020AFA"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2,3</w:t>
            </w:r>
          </w:p>
        </w:tc>
      </w:tr>
      <w:tr w:rsidR="00A34B5C" w:rsidRPr="00A34B5C" w14:paraId="1C4AA7CC" w14:textId="77777777" w:rsidTr="004436EA">
        <w:tc>
          <w:tcPr>
            <w:tcW w:w="4643" w:type="dxa"/>
          </w:tcPr>
          <w:p w14:paraId="51AACAAB"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53 savaitės ir ilgiau</w:t>
            </w:r>
          </w:p>
        </w:tc>
        <w:tc>
          <w:tcPr>
            <w:tcW w:w="4643" w:type="dxa"/>
          </w:tcPr>
          <w:p w14:paraId="202DE8DA"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1,8</w:t>
            </w:r>
          </w:p>
        </w:tc>
      </w:tr>
    </w:tbl>
    <w:p w14:paraId="77140437"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vertAlign w:val="superscript"/>
          <w:lang w:val="lt-LT"/>
        </w:rPr>
        <w:t>1</w:t>
      </w:r>
      <w:r w:rsidRPr="00A34B5C">
        <w:rPr>
          <w:rFonts w:ascii="Times New Roman" w:eastAsia="Calibri" w:hAnsi="Times New Roman" w:cs="Times New Roman"/>
          <w:lang w:val="lt-LT"/>
        </w:rPr>
        <w:t xml:space="preserve"> JK Leponex pacientų stebėjimo tarnybos registro 1989</w:t>
      </w:r>
      <w:r w:rsidRPr="00A34B5C">
        <w:rPr>
          <w:rFonts w:ascii="Times New Roman" w:eastAsia="Calibri" w:hAnsi="Times New Roman" w:cs="Times New Roman"/>
          <w:lang w:val="lt-LT"/>
        </w:rPr>
        <w:noBreakHyphen/>
        <w:t>2001 metų duomenys.</w:t>
      </w:r>
    </w:p>
    <w:p w14:paraId="55F29A48" w14:textId="77777777" w:rsidR="00A34B5C" w:rsidRPr="00A34B5C" w:rsidRDefault="00A34B5C" w:rsidP="00A34B5C">
      <w:pPr>
        <w:spacing w:after="0" w:line="240" w:lineRule="auto"/>
        <w:rPr>
          <w:rFonts w:ascii="Times New Roman" w:eastAsia="Calibri" w:hAnsi="Times New Roman" w:cs="Times New Roman"/>
          <w:lang w:val="lt-LT"/>
        </w:rPr>
      </w:pPr>
    </w:p>
    <w:p w14:paraId="57159000"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vertAlign w:val="superscript"/>
          <w:lang w:val="lt-LT"/>
        </w:rPr>
        <w:t>2</w:t>
      </w:r>
      <w:r w:rsidRPr="00A34B5C">
        <w:rPr>
          <w:rFonts w:ascii="Times New Roman" w:eastAsia="Calibri" w:hAnsi="Times New Roman" w:cs="Times New Roman"/>
          <w:lang w:val="lt-LT"/>
        </w:rPr>
        <w:t xml:space="preserve"> Asmuo-laikas yra suma atskirų laiko vienetų, kai įregistruotas pacientas gydytas Leponex prieš pasireiškiant agranulocitozei. Pavyzdžiui, 100 000 asmenų savaičių gaunama, kai stebėta 1 000 pacientų, kurie buvo įtraukti į registrą 100 savaičių (100x1000=100 000) ar 200 pacientų, kurie buvo įtraukti į registrą 500 savaičių (200x500=100 000) prieš agranulocitozės pasireiškimą.</w:t>
      </w:r>
    </w:p>
    <w:p w14:paraId="714233A7" w14:textId="77777777" w:rsidR="00A34B5C" w:rsidRPr="00A34B5C" w:rsidRDefault="00A34B5C" w:rsidP="00A34B5C">
      <w:pPr>
        <w:spacing w:after="0" w:line="240" w:lineRule="auto"/>
        <w:rPr>
          <w:rFonts w:ascii="Times New Roman" w:eastAsia="Calibri" w:hAnsi="Times New Roman" w:cs="Times New Roman"/>
          <w:lang w:val="lt-LT"/>
        </w:rPr>
      </w:pPr>
    </w:p>
    <w:p w14:paraId="13C47DD7"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Pagal JK Leponex pacientų stebėjimo tarnybos registro duomenis suvestinis agranulocitozės dažnis (0</w:t>
      </w:r>
      <w:r w:rsidRPr="00A34B5C">
        <w:rPr>
          <w:rFonts w:ascii="Times New Roman" w:eastAsia="Calibri" w:hAnsi="Times New Roman" w:cs="Times New Roman"/>
          <w:lang w:val="lt-LT"/>
        </w:rPr>
        <w:noBreakHyphen/>
        <w:t xml:space="preserve">11,6 metų tarp 1989 ir 2001 m.) yra 0,78 proc. Dažniausiai (maždaug 70 proc.) tai atsitinka per pirmąsias 18 savaičių. </w:t>
      </w:r>
    </w:p>
    <w:p w14:paraId="741C516E"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p>
    <w:p w14:paraId="7D6CEF3B" w14:textId="5E2CFABD" w:rsidR="00A34B5C" w:rsidRPr="00A34B5C" w:rsidRDefault="00A34B5C" w:rsidP="00A34B5C">
      <w:pPr>
        <w:tabs>
          <w:tab w:val="left" w:pos="5940"/>
        </w:tabs>
        <w:spacing w:after="0" w:line="240" w:lineRule="auto"/>
        <w:rPr>
          <w:rFonts w:ascii="Times New Roman" w:eastAsia="Calibri" w:hAnsi="Times New Roman" w:cs="Times New Roman"/>
          <w:b/>
          <w:lang w:val="lt-LT"/>
        </w:rPr>
      </w:pPr>
      <w:r w:rsidRPr="00A34B5C">
        <w:rPr>
          <w:rFonts w:ascii="Times New Roman" w:eastAsia="Calibri" w:hAnsi="Times New Roman" w:cs="Times New Roman"/>
          <w:lang w:val="lt-LT"/>
        </w:rPr>
        <w:t>Nepageidaujamo poveikio dažnis apibūdinamas taip: labai dažnas (≥ 1/10), dažnas (nuo ≥ 1/100 iki &lt; 1/10), nedažnas (nuo ≥ 1/1</w:t>
      </w:r>
      <w:r w:rsidR="007338B8">
        <w:rPr>
          <w:rFonts w:ascii="Times New Roman" w:eastAsia="Calibri" w:hAnsi="Times New Roman" w:cs="Times New Roman"/>
          <w:lang w:val="lt-LT"/>
        </w:rPr>
        <w:t> </w:t>
      </w:r>
      <w:r w:rsidRPr="00A34B5C">
        <w:rPr>
          <w:rFonts w:ascii="Times New Roman" w:eastAsia="Calibri" w:hAnsi="Times New Roman" w:cs="Times New Roman"/>
          <w:lang w:val="lt-LT"/>
        </w:rPr>
        <w:t>000 iki &lt; 1/100), retas (nuo ≥ 1/10</w:t>
      </w:r>
      <w:r w:rsidR="007338B8">
        <w:rPr>
          <w:rFonts w:ascii="Times New Roman" w:eastAsia="Calibri" w:hAnsi="Times New Roman" w:cs="Times New Roman"/>
          <w:lang w:val="lt-LT"/>
        </w:rPr>
        <w:t> </w:t>
      </w:r>
      <w:r w:rsidRPr="00A34B5C">
        <w:rPr>
          <w:rFonts w:ascii="Times New Roman" w:eastAsia="Calibri" w:hAnsi="Times New Roman" w:cs="Times New Roman"/>
          <w:lang w:val="lt-LT"/>
        </w:rPr>
        <w:t>000 iki &lt; 1/1</w:t>
      </w:r>
      <w:r w:rsidR="007338B8">
        <w:rPr>
          <w:rFonts w:ascii="Times New Roman" w:eastAsia="Calibri" w:hAnsi="Times New Roman" w:cs="Times New Roman"/>
          <w:lang w:val="lt-LT"/>
        </w:rPr>
        <w:t> </w:t>
      </w:r>
      <w:r w:rsidRPr="00A34B5C">
        <w:rPr>
          <w:rFonts w:ascii="Times New Roman" w:eastAsia="Calibri" w:hAnsi="Times New Roman" w:cs="Times New Roman"/>
          <w:lang w:val="lt-LT"/>
        </w:rPr>
        <w:t>000), labai retas (&lt; 1/10</w:t>
      </w:r>
      <w:r w:rsidR="007338B8">
        <w:rPr>
          <w:rFonts w:ascii="Times New Roman" w:eastAsia="Calibri" w:hAnsi="Times New Roman" w:cs="Times New Roman"/>
          <w:lang w:val="lt-LT"/>
        </w:rPr>
        <w:t> </w:t>
      </w:r>
      <w:r w:rsidRPr="00A34B5C">
        <w:rPr>
          <w:rFonts w:ascii="Times New Roman" w:eastAsia="Calibri" w:hAnsi="Times New Roman" w:cs="Times New Roman"/>
          <w:lang w:val="lt-LT"/>
        </w:rPr>
        <w:t>000) ir nežinomas (negali būti apskaičiuotas pagal turimus duomenis).</w:t>
      </w:r>
    </w:p>
    <w:p w14:paraId="57229774" w14:textId="77777777" w:rsidR="00A34B5C" w:rsidRPr="00A34B5C" w:rsidRDefault="00A34B5C" w:rsidP="00A34B5C">
      <w:pPr>
        <w:tabs>
          <w:tab w:val="left" w:pos="5940"/>
        </w:tabs>
        <w:spacing w:after="0" w:line="240" w:lineRule="auto"/>
        <w:rPr>
          <w:rFonts w:ascii="Times New Roman" w:eastAsia="Calibri" w:hAnsi="Times New Roman" w:cs="Times New Roman"/>
          <w:b/>
          <w:lang w:val="lt-LT"/>
        </w:rPr>
      </w:pPr>
    </w:p>
    <w:p w14:paraId="65192211" w14:textId="77777777" w:rsidR="00A34B5C" w:rsidRPr="00A34B5C" w:rsidRDefault="00A34B5C" w:rsidP="00A34B5C">
      <w:pPr>
        <w:tabs>
          <w:tab w:val="left" w:pos="5940"/>
        </w:tabs>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Metabolizmo ir mitybos sutrikimai</w:t>
      </w:r>
    </w:p>
    <w:p w14:paraId="103CD9B8"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r w:rsidRPr="00A34B5C">
        <w:rPr>
          <w:rFonts w:ascii="Times New Roman" w:eastAsia="Calibri" w:hAnsi="Times New Roman" w:cs="Times New Roman"/>
          <w:i/>
          <w:lang w:val="lt-LT"/>
        </w:rPr>
        <w:t>Retas</w:t>
      </w:r>
      <w:r w:rsidRPr="00A34B5C">
        <w:rPr>
          <w:rFonts w:ascii="Times New Roman" w:eastAsia="Calibri" w:hAnsi="Times New Roman" w:cs="Times New Roman"/>
          <w:lang w:val="lt-LT"/>
        </w:rPr>
        <w:t xml:space="preserve">. Sutrikusi gliukozės tolerancija ir (arba) naujai prasidėjęs arba paūmėjęs cukrinis diabetas. </w:t>
      </w:r>
    </w:p>
    <w:p w14:paraId="09791EC5"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r w:rsidRPr="00A34B5C">
        <w:rPr>
          <w:rFonts w:ascii="Times New Roman" w:eastAsia="Calibri" w:hAnsi="Times New Roman" w:cs="Times New Roman"/>
          <w:i/>
          <w:lang w:val="lt-LT"/>
        </w:rPr>
        <w:t>Labai retas</w:t>
      </w:r>
      <w:r w:rsidRPr="00A34B5C">
        <w:rPr>
          <w:rFonts w:ascii="Times New Roman" w:eastAsia="Calibri" w:hAnsi="Times New Roman" w:cs="Times New Roman"/>
          <w:lang w:val="lt-LT"/>
        </w:rPr>
        <w:t>. Pacientams, gydomiems Leponex ir anksčiau nepatyrusiems hiperglikemijos, stebėta sunki hiperglikemija, retkarčiais sukelianti ketoacidozę ar hiperosmosinę komą. Daugumai pacientų, nutraukusių gydymą Leponex, gliukozės koncentracija normalizavosi, o keliems hiperglikemija pasikartojo, kai gydymas buvo atnaujintas. Nors daugumai pacientų buvo nuo insulino nepriklausomo cukrinio diabeto rizikos veiksnių, hiperglikemija taip pat aprašyta asmenims, kuriems rizikos veiksnių nenustatyta (žr. 4.4 skyrių).</w:t>
      </w:r>
    </w:p>
    <w:p w14:paraId="069E2484"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p>
    <w:p w14:paraId="7BEB9139" w14:textId="77777777" w:rsidR="00A34B5C" w:rsidRPr="00A34B5C" w:rsidRDefault="00A34B5C" w:rsidP="00A34B5C">
      <w:pPr>
        <w:tabs>
          <w:tab w:val="left" w:pos="5940"/>
        </w:tabs>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Nervų sistemos sutrikimai</w:t>
      </w:r>
    </w:p>
    <w:p w14:paraId="172F3D88"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r w:rsidRPr="00A34B5C">
        <w:rPr>
          <w:rFonts w:ascii="Times New Roman" w:eastAsia="Calibri" w:hAnsi="Times New Roman" w:cs="Times New Roman"/>
          <w:i/>
          <w:lang w:val="lt-LT"/>
        </w:rPr>
        <w:t>Labai dažnas</w:t>
      </w:r>
      <w:r w:rsidRPr="00A34B5C">
        <w:rPr>
          <w:rFonts w:ascii="Times New Roman" w:eastAsia="Calibri" w:hAnsi="Times New Roman" w:cs="Times New Roman"/>
          <w:lang w:val="lt-LT"/>
        </w:rPr>
        <w:t>. Mieguistumas, raminimas ir galvos svaigimas.</w:t>
      </w:r>
    </w:p>
    <w:p w14:paraId="0A584DC5"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r w:rsidRPr="00A34B5C">
        <w:rPr>
          <w:rFonts w:ascii="Times New Roman" w:eastAsia="Calibri" w:hAnsi="Times New Roman" w:cs="Times New Roman"/>
          <w:i/>
          <w:lang w:val="lt-LT"/>
        </w:rPr>
        <w:t>Retas</w:t>
      </w:r>
      <w:r w:rsidRPr="00A34B5C">
        <w:rPr>
          <w:rFonts w:ascii="Times New Roman" w:eastAsia="Calibri" w:hAnsi="Times New Roman" w:cs="Times New Roman"/>
          <w:lang w:val="lt-LT"/>
        </w:rPr>
        <w:t>. Kliedesiai.</w:t>
      </w:r>
    </w:p>
    <w:p w14:paraId="78AC3D5A"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r w:rsidRPr="00A34B5C">
        <w:rPr>
          <w:rFonts w:ascii="Times New Roman" w:eastAsia="Calibri" w:hAnsi="Times New Roman" w:cs="Times New Roman"/>
          <w:i/>
          <w:lang w:val="lt-LT"/>
        </w:rPr>
        <w:t>Labai retas</w:t>
      </w:r>
      <w:r w:rsidRPr="00A34B5C">
        <w:rPr>
          <w:rFonts w:ascii="Times New Roman" w:eastAsia="Calibri" w:hAnsi="Times New Roman" w:cs="Times New Roman"/>
          <w:lang w:val="lt-LT"/>
        </w:rPr>
        <w:t xml:space="preserve">. Vėlyvoji diskinezija. Leponex vartojusiems pacientams, kurie buvo gydyti kitais antipsichoziniais vaistiniais preparatais, stebėta vėlyvoji diskinezija. Asmenų, kuriems vėlyvoji </w:t>
      </w:r>
      <w:r w:rsidRPr="00A34B5C">
        <w:rPr>
          <w:rFonts w:ascii="Times New Roman" w:eastAsia="Calibri" w:hAnsi="Times New Roman" w:cs="Times New Roman"/>
          <w:lang w:val="lt-LT"/>
        </w:rPr>
        <w:lastRenderedPageBreak/>
        <w:t>diskinezija prasidėjo vartojant kitus antipsichozinius vaistinius preparatus, būklė pagerėjo gydant Leponex.</w:t>
      </w:r>
    </w:p>
    <w:p w14:paraId="02BAAE25"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p>
    <w:p w14:paraId="4EB76C13"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Leponex gali sukelti EEG pokyčių, įskaitant pikų ir bangų kompleksus. Jis (priklausomai nuo dozės) mažina traukulių slenkstį ir gali sukelti miokloninius trūkčiojimus ar generalizuotus traukulius. Šių požymių būna dažniau greitai didinant dozę ir epilepsija sergantiems pacientams. Tokiu atveju dozę reikia sumažinti ir prireikus pradėti gydyti vaistiniais preparatais nuo traukulių. Negalima skirti karbamazepino, nes jis gali slopinti kaulų čiulpų funkciją, o skiriant kitų prieštraukulinių vaistinių preparatų, reikia įvertinti farmakokinetinės sąveikos galimybę. </w:t>
      </w:r>
    </w:p>
    <w:p w14:paraId="6DB9FC4E"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p>
    <w:p w14:paraId="1311204B" w14:textId="77777777" w:rsidR="00A34B5C" w:rsidRPr="00A34B5C" w:rsidRDefault="00A34B5C" w:rsidP="00A34B5C">
      <w:pPr>
        <w:tabs>
          <w:tab w:val="left" w:pos="5940"/>
        </w:tabs>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Širdies sutrikimai</w:t>
      </w:r>
    </w:p>
    <w:p w14:paraId="13109CB7"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Gali pasireikšti tachikardija ir padėties hipotenzija su sinkope ar be jos, ypač pirmosiomis gydymo savaitėmis. Hipotenzijos paplitimas ir sunkumas priklauso nuo dozės titravimo greičio ir dydžio. Vartojusiems Leponex stebėtas kraujotakos kolapsas – ryški hipotenzija, ypač susijusi su agresyviu dozės titravimu, su galimomis sunkiomis širdies ar kvėpavimo sustojimo pasekmėmis.</w:t>
      </w:r>
    </w:p>
    <w:p w14:paraId="7F58C62F"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p>
    <w:p w14:paraId="0BB7F1A3"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Nedidelei Leponex gydytų pacientų daliai atsirado EKG pokyčių, panašių į sukeliamus kitų antipsichozinių vaistinių preparatų, įskaitant nusileidusį S-T segmentą ir suplokštėjusį ar atvirkščią T dantelį, kurie normalizuojasi nebevartojant Leponex. Šių pokyčių klinikinė reikšmė nežinoma. Tačiau tokių pokyčių stebėta pacientams, sergantiems miokarditu, apie kurį reikėtų pagalvoti.</w:t>
      </w:r>
    </w:p>
    <w:p w14:paraId="2ABDB7BC"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p>
    <w:p w14:paraId="4B3E5FA5"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Gauta pranešimų apie pavienius širdies aritmijos, perikardito ir (arba) skysčio perikarde ir miokardito atvejus, kai kurie iš jų baigėsi mirtimi. Dažniausiai miokarditas pasireiškė per pirmuosius 2 gydymo Leponex mėnesius. Kardiomiopatija paprastai pasireiškia vėliau gydymo metu.</w:t>
      </w:r>
    </w:p>
    <w:p w14:paraId="32E80732"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p>
    <w:p w14:paraId="0A68E33B"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Kartu su kai kuriais miokardito (maždaug 14 proc.) ir perikardito ir (arba) skysčio perikarde atvejais pranešta apie eozinofiliją, tačiau nežinoma, ar eozinofilija yra patikimas miokardito ir perikardito pranašas.</w:t>
      </w:r>
    </w:p>
    <w:p w14:paraId="74E20EA5"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p>
    <w:p w14:paraId="1F58C355"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Miokardito ar kardiomiopatijos požymiai yra nuolatinė tachikardija ramybės būsenoje, širdies plakimas, aritmija, krūtinės skausmas ir širdies nepakankamumo požymiai (pvz., nepaaiškinamas nuovargis, dusulys, tachipnėja) ar požymiai, būdingi miokardo infarktui. Be to, kartu gali būti į gripą panašių simptomų.</w:t>
      </w:r>
    </w:p>
    <w:p w14:paraId="2B4A633B"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p>
    <w:p w14:paraId="5FCD8F9F"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Žinoma atvejų, kai pacientus, kuriems yra psichikos sutrikimų ir kurie gydomi įprastiniais antipsichoziniais vaistiniais preparatais, taip pat negydomus, ištinka staigi, nepaaiškinama mirtis. Tokia mirtis labai retai ištinka Leponex vartojančius pacientus.</w:t>
      </w:r>
    </w:p>
    <w:p w14:paraId="6C0BA1A6"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p>
    <w:p w14:paraId="154543CF" w14:textId="77777777" w:rsidR="00A34B5C" w:rsidRPr="00A34B5C" w:rsidRDefault="00A34B5C" w:rsidP="00A34B5C">
      <w:pPr>
        <w:tabs>
          <w:tab w:val="left" w:pos="5940"/>
        </w:tabs>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Kraujagyslių sutrikimai</w:t>
      </w:r>
    </w:p>
    <w:p w14:paraId="1D472242"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r w:rsidRPr="00A34B5C">
        <w:rPr>
          <w:rFonts w:ascii="Times New Roman" w:eastAsia="Calibri" w:hAnsi="Times New Roman" w:cs="Times New Roman"/>
          <w:i/>
          <w:lang w:val="lt-LT"/>
        </w:rPr>
        <w:t>Retas</w:t>
      </w:r>
      <w:r w:rsidRPr="00A34B5C">
        <w:rPr>
          <w:rFonts w:ascii="Times New Roman" w:eastAsia="Calibri" w:hAnsi="Times New Roman" w:cs="Times New Roman"/>
          <w:lang w:val="lt-LT"/>
        </w:rPr>
        <w:t>. Tromboembolija.</w:t>
      </w:r>
    </w:p>
    <w:p w14:paraId="4CFA1172"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p>
    <w:p w14:paraId="307C2997" w14:textId="77777777" w:rsidR="00A34B5C" w:rsidRPr="00A34B5C" w:rsidRDefault="00A34B5C" w:rsidP="00A34B5C">
      <w:pPr>
        <w:tabs>
          <w:tab w:val="left" w:pos="5940"/>
        </w:tabs>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Kvėpavimo sistemos, krūtinės ląstos ir tarpuplaučio sutrikimai</w:t>
      </w:r>
    </w:p>
    <w:p w14:paraId="26546444"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r w:rsidRPr="00A34B5C">
        <w:rPr>
          <w:rFonts w:ascii="Times New Roman" w:eastAsia="Calibri" w:hAnsi="Times New Roman" w:cs="Times New Roman"/>
          <w:i/>
          <w:lang w:val="lt-LT"/>
        </w:rPr>
        <w:t>Labai retas</w:t>
      </w:r>
      <w:r w:rsidRPr="00A34B5C">
        <w:rPr>
          <w:rFonts w:ascii="Times New Roman" w:eastAsia="Calibri" w:hAnsi="Times New Roman" w:cs="Times New Roman"/>
          <w:lang w:val="lt-LT"/>
        </w:rPr>
        <w:t xml:space="preserve">. Kvėpavimo slopinimas ar sustojimas su kraujotakos kolapsu ar be jo (žr. 4.4 ir 4.5 skyrius). </w:t>
      </w:r>
    </w:p>
    <w:p w14:paraId="0E975973"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p>
    <w:p w14:paraId="5F4F54F6" w14:textId="77777777" w:rsidR="00A34B5C" w:rsidRPr="00A34B5C" w:rsidRDefault="00A34B5C" w:rsidP="00A34B5C">
      <w:pPr>
        <w:tabs>
          <w:tab w:val="left" w:pos="5940"/>
        </w:tabs>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Virškinimo trakto sutrikimai</w:t>
      </w:r>
    </w:p>
    <w:p w14:paraId="017B4673"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r w:rsidRPr="00A34B5C">
        <w:rPr>
          <w:rFonts w:ascii="Times New Roman" w:eastAsia="Calibri" w:hAnsi="Times New Roman" w:cs="Times New Roman"/>
          <w:i/>
          <w:lang w:val="lt-LT"/>
        </w:rPr>
        <w:t>Labai dažnas</w:t>
      </w:r>
      <w:r w:rsidRPr="00A34B5C">
        <w:rPr>
          <w:rFonts w:ascii="Times New Roman" w:eastAsia="Calibri" w:hAnsi="Times New Roman" w:cs="Times New Roman"/>
          <w:lang w:val="lt-LT"/>
        </w:rPr>
        <w:t xml:space="preserve">. Vidurių užkietėjimas, padidėjęs seilėtekis. </w:t>
      </w:r>
    </w:p>
    <w:p w14:paraId="714A5E86"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r w:rsidRPr="00A34B5C">
        <w:rPr>
          <w:rFonts w:ascii="Times New Roman" w:eastAsia="Calibri" w:hAnsi="Times New Roman" w:cs="Times New Roman"/>
          <w:i/>
          <w:lang w:val="lt-LT"/>
        </w:rPr>
        <w:t>Dažnas</w:t>
      </w:r>
      <w:r w:rsidRPr="00A34B5C">
        <w:rPr>
          <w:rFonts w:ascii="Times New Roman" w:eastAsia="Calibri" w:hAnsi="Times New Roman" w:cs="Times New Roman"/>
          <w:lang w:val="lt-LT"/>
        </w:rPr>
        <w:t xml:space="preserve">. Pykinimas, vėmimas. </w:t>
      </w:r>
    </w:p>
    <w:p w14:paraId="4D193616"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r w:rsidRPr="00A34B5C">
        <w:rPr>
          <w:rFonts w:ascii="Times New Roman" w:eastAsia="Calibri" w:hAnsi="Times New Roman" w:cs="Times New Roman"/>
          <w:i/>
          <w:lang w:val="lt-LT"/>
        </w:rPr>
        <w:t>Retas</w:t>
      </w:r>
      <w:r w:rsidRPr="00A34B5C">
        <w:rPr>
          <w:rFonts w:ascii="Times New Roman" w:eastAsia="Calibri" w:hAnsi="Times New Roman" w:cs="Times New Roman"/>
          <w:lang w:val="lt-LT"/>
        </w:rPr>
        <w:t>. Disfagija. Dėl disfagijos ar ūminio perdozavimo gali įvykti suvalgyto maisto aspiracija.</w:t>
      </w:r>
    </w:p>
    <w:p w14:paraId="5B3CD5AA"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r w:rsidRPr="00A34B5C">
        <w:rPr>
          <w:rFonts w:ascii="Times New Roman" w:eastAsia="Calibri" w:hAnsi="Times New Roman" w:cs="Times New Roman"/>
          <w:i/>
          <w:lang w:val="lt-LT"/>
        </w:rPr>
        <w:t>Labai retas</w:t>
      </w:r>
      <w:r w:rsidRPr="00A34B5C">
        <w:rPr>
          <w:rFonts w:ascii="Times New Roman" w:eastAsia="Calibri" w:hAnsi="Times New Roman" w:cs="Times New Roman"/>
          <w:lang w:val="lt-LT"/>
        </w:rPr>
        <w:t xml:space="preserve">. Žarnų nepraeinamumas (žr. 4.4 skyrių). </w:t>
      </w:r>
    </w:p>
    <w:p w14:paraId="47DDB545" w14:textId="77777777" w:rsidR="00A34B5C" w:rsidRPr="00A34B5C" w:rsidRDefault="00A34B5C" w:rsidP="00A34B5C">
      <w:pPr>
        <w:tabs>
          <w:tab w:val="left" w:pos="5940"/>
        </w:tabs>
        <w:spacing w:after="0" w:line="240" w:lineRule="auto"/>
        <w:rPr>
          <w:rFonts w:ascii="Times New Roman" w:eastAsia="Calibri" w:hAnsi="Times New Roman" w:cs="Times New Roman"/>
          <w:lang w:val="lt-LT"/>
        </w:rPr>
      </w:pPr>
    </w:p>
    <w:p w14:paraId="1F800218" w14:textId="77777777" w:rsidR="00A34B5C" w:rsidRPr="00A34B5C" w:rsidRDefault="00A34B5C" w:rsidP="00A34B5C">
      <w:pPr>
        <w:tabs>
          <w:tab w:val="left" w:pos="5940"/>
        </w:tabs>
        <w:spacing w:after="0" w:line="240" w:lineRule="auto"/>
        <w:rPr>
          <w:rFonts w:ascii="Times New Roman" w:eastAsia="Calibri" w:hAnsi="Times New Roman" w:cs="Times New Roman"/>
          <w:i/>
          <w:lang w:val="lt-LT"/>
        </w:rPr>
      </w:pPr>
      <w:r w:rsidRPr="00A34B5C">
        <w:rPr>
          <w:rFonts w:ascii="Times New Roman" w:eastAsia="Calibri" w:hAnsi="Times New Roman" w:cs="Times New Roman"/>
          <w:i/>
          <w:noProof/>
          <w:lang w:val="pl-PL"/>
        </w:rPr>
        <w:t>Kepenų, tulžies pūslės ir latakų sutrikimai</w:t>
      </w:r>
    </w:p>
    <w:p w14:paraId="0CDD0706"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Stebėtas laikinas, besimptomis kepenų fermentų aktyvumo padidėjimas. </w:t>
      </w:r>
    </w:p>
    <w:p w14:paraId="16631C6B"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i/>
          <w:lang w:val="lt-LT"/>
        </w:rPr>
        <w:t>Retas</w:t>
      </w:r>
      <w:r w:rsidRPr="00A34B5C">
        <w:rPr>
          <w:rFonts w:ascii="Times New Roman" w:eastAsia="Calibri" w:hAnsi="Times New Roman" w:cs="Times New Roman"/>
          <w:lang w:val="lt-LT"/>
        </w:rPr>
        <w:t xml:space="preserve">. Hepatitas, cholestazinė gelta, ūminis pankreatitas. </w:t>
      </w:r>
    </w:p>
    <w:p w14:paraId="7345E0ED"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i/>
          <w:lang w:val="lt-LT"/>
        </w:rPr>
        <w:t>Labai retas</w:t>
      </w:r>
      <w:r w:rsidRPr="00A34B5C">
        <w:rPr>
          <w:rFonts w:ascii="Times New Roman" w:eastAsia="Calibri" w:hAnsi="Times New Roman" w:cs="Times New Roman"/>
          <w:lang w:val="lt-LT"/>
        </w:rPr>
        <w:t xml:space="preserve">. Žaibinė kepenų nekrozė. Išryškėjus geltai, Leponex vartojimą reikia nutraukti (žr. 4.4 skyrių). </w:t>
      </w:r>
    </w:p>
    <w:p w14:paraId="5AD2DCCE" w14:textId="77777777" w:rsidR="00A34B5C" w:rsidRPr="00A34B5C" w:rsidRDefault="00A34B5C" w:rsidP="00A34B5C">
      <w:pPr>
        <w:spacing w:after="0" w:line="240" w:lineRule="auto"/>
        <w:rPr>
          <w:rFonts w:ascii="Times New Roman" w:eastAsia="Calibri" w:hAnsi="Times New Roman" w:cs="Times New Roman"/>
          <w:lang w:val="lt-LT"/>
        </w:rPr>
      </w:pPr>
    </w:p>
    <w:p w14:paraId="666DBCA6"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lastRenderedPageBreak/>
        <w:t>Inkstų ir šlapimo takų sutrikimai</w:t>
      </w:r>
    </w:p>
    <w:p w14:paraId="1AEB2923"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Pavieniams Leponex gydomiems pacientams stebėtas ūminis intersticinis nefritas.</w:t>
      </w:r>
    </w:p>
    <w:p w14:paraId="4A95EEB8" w14:textId="77777777" w:rsidR="00A34B5C" w:rsidRPr="00A34B5C" w:rsidRDefault="00A34B5C" w:rsidP="00A34B5C">
      <w:pPr>
        <w:spacing w:after="0" w:line="240" w:lineRule="auto"/>
        <w:rPr>
          <w:rFonts w:ascii="Times New Roman" w:eastAsia="Calibri" w:hAnsi="Times New Roman" w:cs="Times New Roman"/>
          <w:lang w:val="lt-LT"/>
        </w:rPr>
      </w:pPr>
    </w:p>
    <w:p w14:paraId="74F3DBDD" w14:textId="77777777" w:rsidR="00A34B5C" w:rsidRPr="00A34B5C" w:rsidRDefault="00A34B5C" w:rsidP="00A34B5C">
      <w:pPr>
        <w:spacing w:after="0" w:line="240" w:lineRule="auto"/>
        <w:rPr>
          <w:rFonts w:ascii="Times New Roman" w:eastAsia="Calibri" w:hAnsi="Times New Roman" w:cs="Times New Roman"/>
          <w:i/>
          <w:noProof/>
          <w:lang w:val="pl-PL"/>
        </w:rPr>
      </w:pPr>
      <w:r w:rsidRPr="00A34B5C">
        <w:rPr>
          <w:rFonts w:ascii="Times New Roman" w:eastAsia="Calibri" w:hAnsi="Times New Roman" w:cs="Times New Roman"/>
          <w:i/>
          <w:noProof/>
          <w:lang w:val="pl-PL"/>
        </w:rPr>
        <w:t>Lytinės sistemos ir krūties sutrikimai</w:t>
      </w:r>
    </w:p>
    <w:p w14:paraId="4A469104"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i/>
          <w:lang w:val="lt-LT"/>
        </w:rPr>
        <w:t>Labai retas</w:t>
      </w:r>
      <w:r w:rsidRPr="00A34B5C">
        <w:rPr>
          <w:rFonts w:ascii="Times New Roman" w:eastAsia="Calibri" w:hAnsi="Times New Roman" w:cs="Times New Roman"/>
          <w:lang w:val="lt-LT"/>
        </w:rPr>
        <w:t>. Priapizmas.</w:t>
      </w:r>
    </w:p>
    <w:p w14:paraId="1036174E" w14:textId="77777777" w:rsidR="00A34B5C" w:rsidRPr="00A34B5C" w:rsidRDefault="00A34B5C" w:rsidP="00A34B5C">
      <w:pPr>
        <w:spacing w:after="0" w:line="240" w:lineRule="auto"/>
        <w:rPr>
          <w:rFonts w:ascii="Times New Roman" w:eastAsia="Calibri" w:hAnsi="Times New Roman" w:cs="Times New Roman"/>
          <w:lang w:val="lt-LT"/>
        </w:rPr>
      </w:pPr>
    </w:p>
    <w:p w14:paraId="0628BE71" w14:textId="77777777" w:rsidR="00A34B5C" w:rsidRPr="00A34B5C" w:rsidRDefault="00A34B5C" w:rsidP="00A34B5C">
      <w:pPr>
        <w:spacing w:after="0" w:line="240" w:lineRule="auto"/>
        <w:rPr>
          <w:rFonts w:ascii="Times New Roman" w:eastAsia="Calibri" w:hAnsi="Times New Roman" w:cs="Times New Roman"/>
          <w:i/>
          <w:lang w:val="lt-LT"/>
        </w:rPr>
      </w:pPr>
      <w:r w:rsidRPr="00A34B5C">
        <w:rPr>
          <w:rFonts w:ascii="Times New Roman" w:eastAsia="Calibri" w:hAnsi="Times New Roman" w:cs="Times New Roman"/>
          <w:i/>
          <w:lang w:val="lt-LT"/>
        </w:rPr>
        <w:t>Bendrieji sutrikimai ir vartojimo vietos pažeidimai</w:t>
      </w:r>
    </w:p>
    <w:p w14:paraId="641EA3E1"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Piktybinis neurolepsinis sindromas (PNS) stebėtas pacientams, vartojantiems vien Leponex ar kartu su ličiu ar kitais CNS veikiančiais vaistiniais preparatais.</w:t>
      </w:r>
    </w:p>
    <w:p w14:paraId="0681DCBD" w14:textId="77777777" w:rsidR="00A34B5C" w:rsidRDefault="00A34B5C" w:rsidP="00A34B5C">
      <w:pPr>
        <w:spacing w:after="0" w:line="240" w:lineRule="auto"/>
        <w:rPr>
          <w:rFonts w:ascii="Times New Roman" w:eastAsia="Calibri" w:hAnsi="Times New Roman" w:cs="Times New Roman"/>
          <w:lang w:val="lt-LT"/>
        </w:rPr>
      </w:pPr>
    </w:p>
    <w:p w14:paraId="3EFDE4A6" w14:textId="77777777" w:rsidR="00A85A3B" w:rsidRPr="00A85A3B" w:rsidRDefault="00A85A3B" w:rsidP="00A85A3B">
      <w:pPr>
        <w:spacing w:after="0" w:line="240" w:lineRule="auto"/>
        <w:rPr>
          <w:rFonts w:ascii="Times New Roman" w:eastAsia="Calibri" w:hAnsi="Times New Roman" w:cs="Times New Roman"/>
          <w:lang w:val="lt-LT"/>
        </w:rPr>
      </w:pPr>
      <w:r w:rsidRPr="00A85A3B">
        <w:rPr>
          <w:rFonts w:ascii="Times New Roman" w:eastAsia="Calibri" w:hAnsi="Times New Roman" w:cs="Times New Roman"/>
          <w:lang w:val="lt-LT"/>
        </w:rPr>
        <w:t>Buvo pranešimų apie ūmines nutraukimo reakcijas (žr. 4.4 skyrių).</w:t>
      </w:r>
    </w:p>
    <w:p w14:paraId="2D3991AB" w14:textId="77777777" w:rsidR="00A85A3B" w:rsidRPr="00A34B5C" w:rsidRDefault="00A85A3B" w:rsidP="00A34B5C">
      <w:pPr>
        <w:spacing w:after="0" w:line="240" w:lineRule="auto"/>
        <w:rPr>
          <w:rFonts w:ascii="Times New Roman" w:eastAsia="Calibri" w:hAnsi="Times New Roman" w:cs="Times New Roman"/>
          <w:lang w:val="lt-LT"/>
        </w:rPr>
      </w:pPr>
    </w:p>
    <w:p w14:paraId="14960D0A" w14:textId="77777777" w:rsidR="00A34B5C" w:rsidRPr="00A34B5C" w:rsidRDefault="00A34B5C" w:rsidP="00A34B5C">
      <w:pPr>
        <w:spacing w:after="0" w:line="240" w:lineRule="auto"/>
        <w:rPr>
          <w:rFonts w:ascii="Times New Roman" w:eastAsia="Calibri" w:hAnsi="Times New Roman" w:cs="Times New Roman"/>
          <w:u w:val="single"/>
          <w:lang w:val="lt-LT"/>
        </w:rPr>
      </w:pPr>
      <w:r w:rsidRPr="00A34B5C">
        <w:rPr>
          <w:rFonts w:ascii="Times New Roman" w:eastAsia="Calibri" w:hAnsi="Times New Roman" w:cs="Times New Roman"/>
          <w:u w:val="single"/>
          <w:lang w:val="lt-LT"/>
        </w:rPr>
        <w:t>Nepageidaujamų reakcijų santrauka lentelėje</w:t>
      </w:r>
    </w:p>
    <w:p w14:paraId="5B7EE9C9"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Žemiau (4 lentelėje) apibendrintos nepageidaujamos reakcijos, apie kurias buvo pranešta savanoriškai ir klinikinių tyrimų metu.</w:t>
      </w:r>
    </w:p>
    <w:p w14:paraId="2EDBA3DB" w14:textId="77777777" w:rsidR="00A34B5C" w:rsidRPr="00A34B5C" w:rsidRDefault="00A34B5C" w:rsidP="00A34B5C">
      <w:pPr>
        <w:spacing w:after="0" w:line="240" w:lineRule="auto"/>
        <w:rPr>
          <w:rFonts w:ascii="Times New Roman" w:eastAsia="Calibri" w:hAnsi="Times New Roman" w:cs="Times New Roman"/>
          <w:lang w:val="lt-LT"/>
        </w:rPr>
      </w:pPr>
    </w:p>
    <w:p w14:paraId="3B29C840" w14:textId="33B29C4B" w:rsidR="00A34B5C" w:rsidRPr="00A34B5C" w:rsidRDefault="00A34B5C" w:rsidP="00A34B5C">
      <w:pPr>
        <w:spacing w:after="0" w:line="240" w:lineRule="auto"/>
        <w:rPr>
          <w:rFonts w:ascii="Times New Roman" w:eastAsia="Calibri" w:hAnsi="Times New Roman" w:cs="Times New Roman"/>
          <w:bCs/>
          <w:noProof/>
          <w:lang w:val="pl-PL"/>
        </w:rPr>
      </w:pPr>
      <w:r w:rsidRPr="00A34B5C">
        <w:rPr>
          <w:rFonts w:ascii="Times New Roman" w:eastAsia="Calibri" w:hAnsi="Times New Roman" w:cs="Times New Roman"/>
          <w:lang w:val="lt-LT"/>
        </w:rPr>
        <w:t>Nepageidaujamos reakcijos išvardytos pagal MedDRA klasifikacijos organų sistemų klases (žr. 4 lentelę). Kiekvienoje organų sistemų klasėje nepageidaujamos reakcijos suskirstytos pagal dažnį naudojant tokį nepageidaujamo poveikio apibūdinimą: labai dažn</w:t>
      </w:r>
      <w:r w:rsidR="007338B8">
        <w:rPr>
          <w:rFonts w:ascii="Times New Roman" w:eastAsia="Calibri" w:hAnsi="Times New Roman" w:cs="Times New Roman"/>
          <w:lang w:val="lt-LT"/>
        </w:rPr>
        <w:t>as</w:t>
      </w:r>
      <w:r w:rsidRPr="00A34B5C">
        <w:rPr>
          <w:rFonts w:ascii="Times New Roman" w:eastAsia="Calibri" w:hAnsi="Times New Roman" w:cs="Times New Roman"/>
          <w:lang w:val="lt-LT"/>
        </w:rPr>
        <w:t xml:space="preserve"> </w:t>
      </w:r>
      <w:r w:rsidRPr="00A34B5C">
        <w:rPr>
          <w:rFonts w:ascii="Times New Roman" w:eastAsia="Calibri" w:hAnsi="Times New Roman" w:cs="Times New Roman"/>
          <w:noProof/>
          <w:lang w:val="pl-PL"/>
        </w:rPr>
        <w:t>(≥1/10), dažn</w:t>
      </w:r>
      <w:r w:rsidR="007338B8">
        <w:rPr>
          <w:rFonts w:ascii="Times New Roman" w:eastAsia="Calibri" w:hAnsi="Times New Roman" w:cs="Times New Roman"/>
          <w:noProof/>
          <w:lang w:val="pl-PL"/>
        </w:rPr>
        <w:t>as</w:t>
      </w:r>
      <w:r w:rsidRPr="00A34B5C">
        <w:rPr>
          <w:rFonts w:ascii="Times New Roman" w:eastAsia="Calibri" w:hAnsi="Times New Roman" w:cs="Times New Roman"/>
          <w:noProof/>
          <w:lang w:val="pl-PL"/>
        </w:rPr>
        <w:t xml:space="preserve"> (nuo ≥1/100 iki &lt;1/10), nedažn</w:t>
      </w:r>
      <w:r w:rsidR="007338B8">
        <w:rPr>
          <w:rFonts w:ascii="Times New Roman" w:eastAsia="Calibri" w:hAnsi="Times New Roman" w:cs="Times New Roman"/>
          <w:noProof/>
          <w:lang w:val="pl-PL"/>
        </w:rPr>
        <w:t>as</w:t>
      </w:r>
      <w:r w:rsidRPr="00A34B5C">
        <w:rPr>
          <w:rFonts w:ascii="Times New Roman" w:eastAsia="Calibri" w:hAnsi="Times New Roman" w:cs="Times New Roman"/>
          <w:noProof/>
          <w:lang w:val="pl-PL"/>
        </w:rPr>
        <w:t xml:space="preserve"> (nuo ≥1/1</w:t>
      </w:r>
      <w:r w:rsidR="007338B8">
        <w:rPr>
          <w:rFonts w:ascii="Times New Roman" w:eastAsia="Calibri" w:hAnsi="Times New Roman" w:cs="Times New Roman"/>
          <w:noProof/>
          <w:lang w:val="pl-PL"/>
        </w:rPr>
        <w:t> </w:t>
      </w:r>
      <w:r w:rsidRPr="00A34B5C">
        <w:rPr>
          <w:rFonts w:ascii="Times New Roman" w:eastAsia="Calibri" w:hAnsi="Times New Roman" w:cs="Times New Roman"/>
          <w:noProof/>
          <w:lang w:val="pl-PL"/>
        </w:rPr>
        <w:t>000 iki &lt;1/100), ret</w:t>
      </w:r>
      <w:r w:rsidR="007338B8">
        <w:rPr>
          <w:rFonts w:ascii="Times New Roman" w:eastAsia="Calibri" w:hAnsi="Times New Roman" w:cs="Times New Roman"/>
          <w:noProof/>
          <w:lang w:val="pl-PL"/>
        </w:rPr>
        <w:t>as</w:t>
      </w:r>
      <w:r w:rsidRPr="00A34B5C">
        <w:rPr>
          <w:rFonts w:ascii="Times New Roman" w:eastAsia="Calibri" w:hAnsi="Times New Roman" w:cs="Times New Roman"/>
          <w:noProof/>
          <w:lang w:val="pl-PL"/>
        </w:rPr>
        <w:t xml:space="preserve"> (nuo ≥1/10</w:t>
      </w:r>
      <w:r w:rsidR="007338B8">
        <w:rPr>
          <w:rFonts w:ascii="Times New Roman" w:eastAsia="Calibri" w:hAnsi="Times New Roman" w:cs="Times New Roman"/>
          <w:noProof/>
          <w:lang w:val="pl-PL"/>
        </w:rPr>
        <w:t> </w:t>
      </w:r>
      <w:r w:rsidRPr="00A34B5C">
        <w:rPr>
          <w:rFonts w:ascii="Times New Roman" w:eastAsia="Calibri" w:hAnsi="Times New Roman" w:cs="Times New Roman"/>
          <w:noProof/>
          <w:lang w:val="pl-PL"/>
        </w:rPr>
        <w:t>000 iki &lt;1/1</w:t>
      </w:r>
      <w:r w:rsidR="007338B8">
        <w:rPr>
          <w:rFonts w:ascii="Times New Roman" w:eastAsia="Calibri" w:hAnsi="Times New Roman" w:cs="Times New Roman"/>
          <w:noProof/>
          <w:lang w:val="pl-PL"/>
        </w:rPr>
        <w:t> </w:t>
      </w:r>
      <w:r w:rsidRPr="00A34B5C">
        <w:rPr>
          <w:rFonts w:ascii="Times New Roman" w:eastAsia="Calibri" w:hAnsi="Times New Roman" w:cs="Times New Roman"/>
          <w:noProof/>
          <w:lang w:val="pl-PL"/>
        </w:rPr>
        <w:t>000), l</w:t>
      </w:r>
      <w:r w:rsidRPr="00A34B5C">
        <w:rPr>
          <w:rFonts w:ascii="Times New Roman" w:eastAsia="Calibri" w:hAnsi="Times New Roman" w:cs="Times New Roman"/>
          <w:bCs/>
          <w:noProof/>
          <w:lang w:val="pl-PL"/>
        </w:rPr>
        <w:t>abai ret</w:t>
      </w:r>
      <w:r w:rsidR="007338B8">
        <w:rPr>
          <w:rFonts w:ascii="Times New Roman" w:eastAsia="Calibri" w:hAnsi="Times New Roman" w:cs="Times New Roman"/>
          <w:bCs/>
          <w:noProof/>
          <w:lang w:val="pl-PL"/>
        </w:rPr>
        <w:t>as</w:t>
      </w:r>
      <w:r w:rsidRPr="00A34B5C">
        <w:rPr>
          <w:rFonts w:ascii="Times New Roman" w:eastAsia="Calibri" w:hAnsi="Times New Roman" w:cs="Times New Roman"/>
          <w:bCs/>
          <w:noProof/>
          <w:lang w:val="pl-PL"/>
        </w:rPr>
        <w:t xml:space="preserve"> (&lt;1/10</w:t>
      </w:r>
      <w:r w:rsidR="007338B8">
        <w:rPr>
          <w:rFonts w:ascii="Times New Roman" w:eastAsia="Calibri" w:hAnsi="Times New Roman" w:cs="Times New Roman"/>
          <w:bCs/>
          <w:noProof/>
          <w:lang w:val="pl-PL"/>
        </w:rPr>
        <w:t> </w:t>
      </w:r>
      <w:r w:rsidRPr="00A34B5C">
        <w:rPr>
          <w:rFonts w:ascii="Times New Roman" w:eastAsia="Calibri" w:hAnsi="Times New Roman" w:cs="Times New Roman"/>
          <w:bCs/>
          <w:noProof/>
          <w:lang w:val="pl-PL"/>
        </w:rPr>
        <w:t xml:space="preserve">000), dažnis nežinomas (negali būti </w:t>
      </w:r>
      <w:r w:rsidR="007338B8">
        <w:rPr>
          <w:rFonts w:ascii="Times New Roman" w:eastAsia="Calibri" w:hAnsi="Times New Roman" w:cs="Times New Roman"/>
          <w:bCs/>
          <w:noProof/>
          <w:lang w:val="pl-PL"/>
        </w:rPr>
        <w:t>apskaičiuotas</w:t>
      </w:r>
      <w:r w:rsidRPr="00A34B5C">
        <w:rPr>
          <w:rFonts w:ascii="Times New Roman" w:eastAsia="Calibri" w:hAnsi="Times New Roman" w:cs="Times New Roman"/>
          <w:bCs/>
          <w:noProof/>
          <w:lang w:val="pl-PL"/>
        </w:rPr>
        <w:t xml:space="preserve"> pagal turimus duomenis). Kiekvienoje dažnio grupėje nepageidaujamos reakcijos išvardytos mažėjančio sunkumo tvarka.  </w:t>
      </w:r>
    </w:p>
    <w:p w14:paraId="4CF401DC" w14:textId="77777777" w:rsidR="00A34B5C" w:rsidRPr="00A34B5C" w:rsidRDefault="00A34B5C" w:rsidP="00A34B5C">
      <w:pPr>
        <w:spacing w:after="0" w:line="240" w:lineRule="auto"/>
        <w:rPr>
          <w:rFonts w:ascii="Times New Roman" w:eastAsia="Calibri" w:hAnsi="Times New Roman" w:cs="Times New Roman"/>
          <w:bCs/>
          <w:noProof/>
          <w:lang w:val="pl-PL"/>
        </w:rPr>
      </w:pPr>
    </w:p>
    <w:p w14:paraId="47F8411E" w14:textId="77777777" w:rsidR="00A34B5C" w:rsidRPr="00A34B5C" w:rsidRDefault="00A34B5C" w:rsidP="00A34B5C">
      <w:pPr>
        <w:keepNext/>
        <w:spacing w:after="0" w:line="240" w:lineRule="auto"/>
        <w:rPr>
          <w:rFonts w:ascii="Times New Roman" w:eastAsia="Calibri" w:hAnsi="Times New Roman" w:cs="Times New Roman"/>
          <w:b/>
          <w:lang w:val="lt-LT"/>
        </w:rPr>
      </w:pPr>
      <w:r w:rsidRPr="00A34B5C">
        <w:rPr>
          <w:rFonts w:ascii="Times New Roman" w:eastAsia="Calibri" w:hAnsi="Times New Roman" w:cs="Times New Roman"/>
          <w:b/>
          <w:bCs/>
          <w:lang w:val="lt-LT"/>
        </w:rPr>
        <w:t>4</w:t>
      </w:r>
      <w:r w:rsidRPr="00A34B5C">
        <w:rPr>
          <w:rFonts w:ascii="Times New Roman" w:eastAsia="Calibri" w:hAnsi="Times New Roman" w:cs="Times New Roman"/>
          <w:b/>
          <w:lang w:val="lt-LT"/>
        </w:rPr>
        <w:t> lentelė. Nepageidaujamų reiškinių, kuriuos reikėjo gydyti, dažnis pagal spontaninius ir klinikinių tyrimų pranešimus</w:t>
      </w:r>
    </w:p>
    <w:p w14:paraId="19E700D4" w14:textId="77777777" w:rsidR="00A34B5C" w:rsidRPr="00A34B5C" w:rsidRDefault="00A34B5C" w:rsidP="00A34B5C">
      <w:pPr>
        <w:spacing w:after="0" w:line="240" w:lineRule="auto"/>
        <w:rPr>
          <w:rFonts w:ascii="Times New Roman" w:eastAsia="Calibri" w:hAnsi="Times New Roman" w:cs="Times New Roman"/>
          <w:bCs/>
          <w:noProof/>
          <w:lang w:val="pl-PL"/>
        </w:rPr>
      </w:pPr>
    </w:p>
    <w:p w14:paraId="4E179231" w14:textId="77777777" w:rsidR="00A34B5C" w:rsidRPr="00A34B5C" w:rsidRDefault="00A34B5C" w:rsidP="00A34B5C">
      <w:pPr>
        <w:spacing w:after="0" w:line="240" w:lineRule="auto"/>
        <w:rPr>
          <w:rFonts w:ascii="Times New Roman" w:eastAsia="Calibri" w:hAnsi="Times New Roman" w:cs="Times New Roman"/>
          <w:bCs/>
          <w:noProof/>
          <w:lang w:val="pl-PL"/>
        </w:rPr>
      </w:pPr>
    </w:p>
    <w:p w14:paraId="79503F15" w14:textId="77777777" w:rsidR="00A34B5C" w:rsidRPr="00A34B5C" w:rsidRDefault="00A34B5C" w:rsidP="00A34B5C">
      <w:pPr>
        <w:spacing w:after="0" w:line="240" w:lineRule="auto"/>
        <w:rPr>
          <w:rFonts w:ascii="Times New Roman" w:eastAsia="Calibri" w:hAnsi="Times New Roman" w:cs="Times New Roman"/>
          <w:bCs/>
          <w:noProof/>
          <w:lang w:val="pl-PL"/>
        </w:rPr>
      </w:pPr>
    </w:p>
    <w:p w14:paraId="16910E4E" w14:textId="77777777" w:rsidR="00A34B5C" w:rsidRPr="00A34B5C" w:rsidRDefault="00A34B5C" w:rsidP="00A34B5C">
      <w:pPr>
        <w:spacing w:after="0" w:line="240" w:lineRule="auto"/>
        <w:rPr>
          <w:rFonts w:ascii="Times New Roman" w:eastAsia="Calibri" w:hAnsi="Times New Roman" w:cs="Times New Roman"/>
          <w:bCs/>
          <w:noProof/>
          <w:lang w:val="pl-PL"/>
        </w:rPr>
      </w:pPr>
    </w:p>
    <w:p w14:paraId="55DE7B9C" w14:textId="77777777" w:rsidR="00A34B5C" w:rsidRPr="00A34B5C" w:rsidRDefault="00A34B5C" w:rsidP="00A34B5C">
      <w:pPr>
        <w:spacing w:after="0" w:line="240" w:lineRule="auto"/>
        <w:rPr>
          <w:rFonts w:ascii="Times New Roman" w:eastAsia="Calibri" w:hAnsi="Times New Roman" w:cs="Times New Roman"/>
          <w:bCs/>
          <w:noProof/>
          <w:lang w:val="pl-PL"/>
        </w:rPr>
      </w:pPr>
    </w:p>
    <w:p w14:paraId="5338EF21" w14:textId="77777777" w:rsidR="00A34B5C" w:rsidRPr="00A34B5C" w:rsidRDefault="00A34B5C" w:rsidP="00A34B5C">
      <w:pPr>
        <w:spacing w:after="0" w:line="240" w:lineRule="auto"/>
        <w:rPr>
          <w:rFonts w:ascii="Times New Roman" w:eastAsia="Calibri" w:hAnsi="Times New Roman" w:cs="Times New Roman"/>
          <w:bCs/>
          <w:noProof/>
          <w:lang w:val="pl-PL"/>
        </w:rPr>
      </w:pPr>
    </w:p>
    <w:tbl>
      <w:tblPr>
        <w:tblW w:w="9072"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567"/>
        <w:gridCol w:w="1985"/>
        <w:gridCol w:w="6520"/>
      </w:tblGrid>
      <w:tr w:rsidR="00A34B5C" w:rsidRPr="00A34B5C" w14:paraId="4847A187" w14:textId="77777777" w:rsidTr="0035481C">
        <w:tc>
          <w:tcPr>
            <w:tcW w:w="9072" w:type="dxa"/>
            <w:gridSpan w:val="3"/>
          </w:tcPr>
          <w:p w14:paraId="4A3AAE90"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b/>
                <w:lang w:val="lt-LT"/>
              </w:rPr>
            </w:pPr>
            <w:r w:rsidRPr="007338B8">
              <w:rPr>
                <w:rFonts w:ascii="Times New Roman" w:eastAsia="Calibri" w:hAnsi="Times New Roman" w:cs="Times New Roman"/>
                <w:b/>
                <w:bCs/>
                <w:iCs/>
                <w:lang w:val="lt-LT"/>
              </w:rPr>
              <w:lastRenderedPageBreak/>
              <w:t>Infekcijos ir infestacijos</w:t>
            </w:r>
          </w:p>
        </w:tc>
      </w:tr>
      <w:tr w:rsidR="00A34B5C" w:rsidRPr="00A34B5C" w14:paraId="4E45515D" w14:textId="77777777" w:rsidTr="0035481C">
        <w:tc>
          <w:tcPr>
            <w:tcW w:w="567" w:type="dxa"/>
          </w:tcPr>
          <w:p w14:paraId="7F0CA25D"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22BDC053"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Nežinomas</w:t>
            </w:r>
          </w:p>
        </w:tc>
        <w:tc>
          <w:tcPr>
            <w:tcW w:w="6520" w:type="dxa"/>
          </w:tcPr>
          <w:p w14:paraId="6487F16A"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Sepsis*</w:t>
            </w:r>
          </w:p>
        </w:tc>
      </w:tr>
      <w:tr w:rsidR="00A34B5C" w:rsidRPr="00A34B5C" w14:paraId="7F371B0D" w14:textId="77777777" w:rsidTr="0035481C">
        <w:tc>
          <w:tcPr>
            <w:tcW w:w="9072" w:type="dxa"/>
            <w:gridSpan w:val="3"/>
          </w:tcPr>
          <w:p w14:paraId="544F3F2A"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b/>
                <w:lang w:val="lt-LT"/>
              </w:rPr>
            </w:pPr>
            <w:r w:rsidRPr="007338B8">
              <w:rPr>
                <w:rFonts w:ascii="Times New Roman" w:eastAsia="Calibri" w:hAnsi="Times New Roman" w:cs="Times New Roman"/>
                <w:b/>
                <w:bCs/>
                <w:iCs/>
                <w:lang w:val="lt-LT"/>
              </w:rPr>
              <w:t>Kraujo ir limfinės sistemos sutrikimai</w:t>
            </w:r>
          </w:p>
        </w:tc>
      </w:tr>
      <w:tr w:rsidR="00A34B5C" w:rsidRPr="00A34B5C" w14:paraId="035F49FF" w14:textId="77777777" w:rsidTr="0035481C">
        <w:tc>
          <w:tcPr>
            <w:tcW w:w="567" w:type="dxa"/>
          </w:tcPr>
          <w:p w14:paraId="0015B80A"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5C4203EA" w14:textId="6622BA51"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7338B8">
              <w:rPr>
                <w:rFonts w:ascii="Times New Roman" w:eastAsia="Calibri" w:hAnsi="Times New Roman" w:cs="Times New Roman"/>
                <w:lang w:val="lt-LT"/>
              </w:rPr>
              <w:t>Dažn</w:t>
            </w:r>
            <w:r w:rsidR="007338B8" w:rsidRPr="007338B8">
              <w:rPr>
                <w:rFonts w:ascii="Times New Roman" w:eastAsia="Calibri" w:hAnsi="Times New Roman" w:cs="Times New Roman"/>
                <w:lang w:val="lt-LT"/>
              </w:rPr>
              <w:t>as</w:t>
            </w:r>
          </w:p>
        </w:tc>
        <w:tc>
          <w:tcPr>
            <w:tcW w:w="6520" w:type="dxa"/>
          </w:tcPr>
          <w:p w14:paraId="6B9D0F42"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Leukopenija, neutropenija, eozinofilija, leukocitozė</w:t>
            </w:r>
          </w:p>
        </w:tc>
      </w:tr>
      <w:tr w:rsidR="00A34B5C" w:rsidRPr="00A34B5C" w14:paraId="7EBBFC53" w14:textId="77777777" w:rsidTr="0035481C">
        <w:tc>
          <w:tcPr>
            <w:tcW w:w="567" w:type="dxa"/>
          </w:tcPr>
          <w:p w14:paraId="79A66837"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7FF9091A" w14:textId="5D52A3CB"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7338B8">
              <w:rPr>
                <w:rFonts w:ascii="Times New Roman" w:eastAsia="Calibri" w:hAnsi="Times New Roman" w:cs="Times New Roman"/>
                <w:lang w:val="lt-LT"/>
              </w:rPr>
              <w:t>Nedažn</w:t>
            </w:r>
            <w:r w:rsidR="007338B8" w:rsidRPr="007338B8">
              <w:rPr>
                <w:rFonts w:ascii="Times New Roman" w:eastAsia="Calibri" w:hAnsi="Times New Roman" w:cs="Times New Roman"/>
                <w:lang w:val="lt-LT"/>
              </w:rPr>
              <w:t>as</w:t>
            </w:r>
          </w:p>
        </w:tc>
        <w:tc>
          <w:tcPr>
            <w:tcW w:w="6520" w:type="dxa"/>
          </w:tcPr>
          <w:p w14:paraId="0FDF25DB"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B27E7B">
              <w:rPr>
                <w:rFonts w:ascii="Times New Roman" w:hAnsi="Times New Roman"/>
                <w:lang w:val="lt-LT"/>
              </w:rPr>
              <w:t>Agranulocitozė</w:t>
            </w:r>
          </w:p>
        </w:tc>
      </w:tr>
      <w:tr w:rsidR="00A34B5C" w:rsidRPr="00A34B5C" w14:paraId="5EB949D2" w14:textId="77777777" w:rsidTr="0035481C">
        <w:tc>
          <w:tcPr>
            <w:tcW w:w="567" w:type="dxa"/>
          </w:tcPr>
          <w:p w14:paraId="0CCBFE15"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08DF1DE9" w14:textId="466291F1"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7338B8">
              <w:rPr>
                <w:rFonts w:ascii="Times New Roman" w:eastAsia="Calibri" w:hAnsi="Times New Roman" w:cs="Times New Roman"/>
                <w:lang w:val="lt-LT"/>
              </w:rPr>
              <w:t>Ret</w:t>
            </w:r>
            <w:r w:rsidR="007338B8" w:rsidRPr="007338B8">
              <w:rPr>
                <w:rFonts w:ascii="Times New Roman" w:eastAsia="Calibri" w:hAnsi="Times New Roman" w:cs="Times New Roman"/>
                <w:lang w:val="lt-LT"/>
              </w:rPr>
              <w:t>as</w:t>
            </w:r>
          </w:p>
        </w:tc>
        <w:tc>
          <w:tcPr>
            <w:tcW w:w="6520" w:type="dxa"/>
          </w:tcPr>
          <w:p w14:paraId="728B228C"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7338B8">
              <w:rPr>
                <w:rFonts w:ascii="Times New Roman" w:eastAsia="Calibri" w:hAnsi="Times New Roman" w:cs="Times New Roman"/>
                <w:bCs/>
                <w:lang w:val="lt-LT"/>
              </w:rPr>
              <w:t>Anemija</w:t>
            </w:r>
          </w:p>
        </w:tc>
      </w:tr>
      <w:tr w:rsidR="00A34B5C" w:rsidRPr="00A34B5C" w14:paraId="51EA4F9D" w14:textId="77777777" w:rsidTr="0035481C">
        <w:tc>
          <w:tcPr>
            <w:tcW w:w="567" w:type="dxa"/>
          </w:tcPr>
          <w:p w14:paraId="0551EBF6"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32D5FAB5" w14:textId="4E85934E"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 xml:space="preserve">Labai </w:t>
            </w:r>
            <w:r w:rsidRPr="007338B8">
              <w:rPr>
                <w:rFonts w:ascii="Times New Roman" w:eastAsia="Calibri" w:hAnsi="Times New Roman" w:cs="Times New Roman"/>
                <w:lang w:val="lt-LT"/>
              </w:rPr>
              <w:t>ret</w:t>
            </w:r>
            <w:r w:rsidR="007338B8" w:rsidRPr="007338B8">
              <w:rPr>
                <w:rFonts w:ascii="Times New Roman" w:eastAsia="Calibri" w:hAnsi="Times New Roman" w:cs="Times New Roman"/>
                <w:lang w:val="lt-LT"/>
              </w:rPr>
              <w:t>as</w:t>
            </w:r>
          </w:p>
        </w:tc>
        <w:tc>
          <w:tcPr>
            <w:tcW w:w="6520" w:type="dxa"/>
          </w:tcPr>
          <w:p w14:paraId="55FFD063"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B27E7B">
              <w:rPr>
                <w:rFonts w:ascii="Times New Roman" w:hAnsi="Times New Roman"/>
                <w:lang w:val="lt-LT"/>
              </w:rPr>
              <w:t>Trombocitopenija, trombocitemija</w:t>
            </w:r>
          </w:p>
        </w:tc>
      </w:tr>
      <w:tr w:rsidR="00A34B5C" w:rsidRPr="00A34B5C" w14:paraId="1C97028C" w14:textId="77777777" w:rsidTr="0035481C">
        <w:tc>
          <w:tcPr>
            <w:tcW w:w="9072" w:type="dxa"/>
            <w:gridSpan w:val="3"/>
          </w:tcPr>
          <w:p w14:paraId="24FD1839"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b/>
                <w:lang w:val="lt-LT"/>
              </w:rPr>
            </w:pPr>
            <w:r w:rsidRPr="00B27E7B">
              <w:rPr>
                <w:rFonts w:ascii="Times New Roman" w:hAnsi="Times New Roman"/>
                <w:b/>
                <w:lang w:val="lt-LT"/>
              </w:rPr>
              <w:t>Imuninės sistemos sutrikimai</w:t>
            </w:r>
          </w:p>
        </w:tc>
      </w:tr>
      <w:tr w:rsidR="00A34B5C" w:rsidRPr="00A34B5C" w14:paraId="3FAB03F4" w14:textId="77777777" w:rsidTr="0035481C">
        <w:tc>
          <w:tcPr>
            <w:tcW w:w="567" w:type="dxa"/>
          </w:tcPr>
          <w:p w14:paraId="68498568"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678FCABC"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Nežinomas</w:t>
            </w:r>
          </w:p>
        </w:tc>
        <w:tc>
          <w:tcPr>
            <w:tcW w:w="6520" w:type="dxa"/>
          </w:tcPr>
          <w:p w14:paraId="126173FA" w14:textId="7570FF7C"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noProof/>
                <w:lang w:val="lt-LT"/>
              </w:rPr>
            </w:pPr>
            <w:r w:rsidRPr="007338B8">
              <w:rPr>
                <w:rFonts w:ascii="Times New Roman" w:eastAsia="Calibri" w:hAnsi="Times New Roman" w:cs="Times New Roman"/>
                <w:bCs/>
                <w:noProof/>
                <w:lang w:val="lt-LT"/>
              </w:rPr>
              <w:t>Angioneurozinė edema*, leukocitoklastinis vaskulitas</w:t>
            </w:r>
            <w:r w:rsidRPr="00B27E7B">
              <w:rPr>
                <w:rFonts w:ascii="Times New Roman" w:hAnsi="Times New Roman"/>
                <w:lang w:val="lt-LT"/>
              </w:rPr>
              <w:t>*</w:t>
            </w:r>
            <w:r w:rsidR="001D3552" w:rsidRPr="007338B8">
              <w:rPr>
                <w:rFonts w:ascii="Times New Roman" w:eastAsia="Calibri" w:hAnsi="Times New Roman" w:cs="Times New Roman"/>
                <w:lang w:val="lt-LT"/>
              </w:rPr>
              <w:t xml:space="preserve">, </w:t>
            </w:r>
            <w:r w:rsidR="001D3552" w:rsidRPr="00B27E7B">
              <w:rPr>
                <w:rFonts w:ascii="Times New Roman" w:hAnsi="Times New Roman"/>
                <w:lang w:val="lt-LT"/>
              </w:rPr>
              <w:t xml:space="preserve">vaistinio preparato sukeltas </w:t>
            </w:r>
            <w:r w:rsidR="001D3552" w:rsidRPr="007338B8">
              <w:rPr>
                <w:rFonts w:ascii="Times New Roman" w:eastAsia="Calibri" w:hAnsi="Times New Roman" w:cs="Times New Roman"/>
                <w:lang w:val="lt-LT"/>
              </w:rPr>
              <w:t>išbėrimas su eozinofilija ir sisteminiais simptomais (DRESS)*</w:t>
            </w:r>
          </w:p>
        </w:tc>
      </w:tr>
      <w:tr w:rsidR="00A34B5C" w:rsidRPr="00A34B5C" w14:paraId="4D621C52" w14:textId="77777777" w:rsidTr="0035481C">
        <w:tc>
          <w:tcPr>
            <w:tcW w:w="9072" w:type="dxa"/>
            <w:gridSpan w:val="3"/>
          </w:tcPr>
          <w:p w14:paraId="1EC38215"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b/>
                <w:lang w:val="lt-LT"/>
              </w:rPr>
            </w:pPr>
            <w:r w:rsidRPr="00B27E7B">
              <w:rPr>
                <w:rFonts w:ascii="Times New Roman" w:hAnsi="Times New Roman"/>
                <w:b/>
                <w:lang w:val="lt-LT"/>
              </w:rPr>
              <w:t>Endokrininiai sutrikimai</w:t>
            </w:r>
          </w:p>
        </w:tc>
      </w:tr>
      <w:tr w:rsidR="00A34B5C" w:rsidRPr="00A34B5C" w14:paraId="6B3D3F20" w14:textId="77777777" w:rsidTr="0035481C">
        <w:tc>
          <w:tcPr>
            <w:tcW w:w="567" w:type="dxa"/>
          </w:tcPr>
          <w:p w14:paraId="47E55493"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43EA5CA0"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Dažnis nežinomas</w:t>
            </w:r>
          </w:p>
        </w:tc>
        <w:tc>
          <w:tcPr>
            <w:tcW w:w="6520" w:type="dxa"/>
          </w:tcPr>
          <w:p w14:paraId="10F03C12"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Pseudofeochromocitoma*</w:t>
            </w:r>
          </w:p>
        </w:tc>
      </w:tr>
      <w:tr w:rsidR="00A34B5C" w:rsidRPr="00A34B5C" w14:paraId="7DEC28F4" w14:textId="77777777" w:rsidTr="0035481C">
        <w:tc>
          <w:tcPr>
            <w:tcW w:w="9072" w:type="dxa"/>
            <w:gridSpan w:val="3"/>
          </w:tcPr>
          <w:p w14:paraId="27AB9E7F"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b/>
                <w:lang w:val="lt-LT"/>
              </w:rPr>
              <w:t>Metabolizmo ir mitybos sutrikimai</w:t>
            </w:r>
          </w:p>
        </w:tc>
      </w:tr>
      <w:tr w:rsidR="00A34B5C" w:rsidRPr="00A34B5C" w14:paraId="33545D09" w14:textId="77777777" w:rsidTr="0035481C">
        <w:tc>
          <w:tcPr>
            <w:tcW w:w="567" w:type="dxa"/>
          </w:tcPr>
          <w:p w14:paraId="67EC0908"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6523636D" w14:textId="0B062452"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7338B8">
              <w:rPr>
                <w:rFonts w:ascii="Times New Roman" w:eastAsia="Calibri" w:hAnsi="Times New Roman" w:cs="Times New Roman"/>
                <w:lang w:val="lt-LT"/>
              </w:rPr>
              <w:t>Dažn</w:t>
            </w:r>
            <w:r w:rsidR="007338B8" w:rsidRPr="007338B8">
              <w:rPr>
                <w:rFonts w:ascii="Times New Roman" w:eastAsia="Calibri" w:hAnsi="Times New Roman" w:cs="Times New Roman"/>
                <w:lang w:val="lt-LT"/>
              </w:rPr>
              <w:t>as</w:t>
            </w:r>
          </w:p>
        </w:tc>
        <w:tc>
          <w:tcPr>
            <w:tcW w:w="6520" w:type="dxa"/>
          </w:tcPr>
          <w:p w14:paraId="19AA3F8A"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Padidėjęs kūno svoris</w:t>
            </w:r>
          </w:p>
        </w:tc>
      </w:tr>
      <w:tr w:rsidR="00A34B5C" w:rsidRPr="00A34B5C" w14:paraId="620D5859" w14:textId="77777777" w:rsidTr="0035481C">
        <w:tc>
          <w:tcPr>
            <w:tcW w:w="567" w:type="dxa"/>
          </w:tcPr>
          <w:p w14:paraId="4681FC2F"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03B46FB8" w14:textId="05AC236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7338B8">
              <w:rPr>
                <w:rFonts w:ascii="Times New Roman" w:eastAsia="Calibri" w:hAnsi="Times New Roman" w:cs="Times New Roman"/>
                <w:lang w:val="lt-LT"/>
              </w:rPr>
              <w:t>Ret</w:t>
            </w:r>
            <w:r w:rsidR="007338B8" w:rsidRPr="007338B8">
              <w:rPr>
                <w:rFonts w:ascii="Times New Roman" w:eastAsia="Calibri" w:hAnsi="Times New Roman" w:cs="Times New Roman"/>
                <w:lang w:val="lt-LT"/>
              </w:rPr>
              <w:t>as</w:t>
            </w:r>
          </w:p>
        </w:tc>
        <w:tc>
          <w:tcPr>
            <w:tcW w:w="6520" w:type="dxa"/>
          </w:tcPr>
          <w:p w14:paraId="3C2E94C0"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Cukrinis diabetas, sutrikusi gliukozės tolerancija</w:t>
            </w:r>
            <w:r w:rsidR="00EE6BC4" w:rsidRPr="00B27E7B">
              <w:rPr>
                <w:rFonts w:ascii="Times New Roman" w:hAnsi="Times New Roman"/>
                <w:lang w:val="lt-LT"/>
              </w:rPr>
              <w:t>, nutukimas*</w:t>
            </w:r>
          </w:p>
        </w:tc>
      </w:tr>
      <w:tr w:rsidR="00A34B5C" w:rsidRPr="00A34B5C" w14:paraId="14762CA1" w14:textId="77777777" w:rsidTr="0035481C">
        <w:tc>
          <w:tcPr>
            <w:tcW w:w="567" w:type="dxa"/>
          </w:tcPr>
          <w:p w14:paraId="35033CED"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58452DD5" w14:textId="37D6D014"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 xml:space="preserve">Labai </w:t>
            </w:r>
            <w:r w:rsidRPr="007338B8">
              <w:rPr>
                <w:rFonts w:ascii="Times New Roman" w:eastAsia="Calibri" w:hAnsi="Times New Roman" w:cs="Times New Roman"/>
                <w:lang w:val="lt-LT"/>
              </w:rPr>
              <w:t>ret</w:t>
            </w:r>
            <w:r w:rsidR="007338B8" w:rsidRPr="007338B8">
              <w:rPr>
                <w:rFonts w:ascii="Times New Roman" w:eastAsia="Calibri" w:hAnsi="Times New Roman" w:cs="Times New Roman"/>
                <w:lang w:val="lt-LT"/>
              </w:rPr>
              <w:t>as</w:t>
            </w:r>
          </w:p>
        </w:tc>
        <w:tc>
          <w:tcPr>
            <w:tcW w:w="6520" w:type="dxa"/>
          </w:tcPr>
          <w:p w14:paraId="70FC2722"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7338B8">
              <w:rPr>
                <w:rFonts w:ascii="Times New Roman" w:eastAsia="Calibri" w:hAnsi="Times New Roman" w:cs="Times New Roman"/>
                <w:bCs/>
                <w:noProof/>
                <w:lang w:val="lt-LT"/>
              </w:rPr>
              <w:t>Hiperosmosinė koma, ketoacidozė, sunki hiperglikemija, hipercholesterolemija, hipertrigliceridemija</w:t>
            </w:r>
          </w:p>
        </w:tc>
      </w:tr>
      <w:tr w:rsidR="00A34B5C" w:rsidRPr="00A34B5C" w14:paraId="1359BAB2" w14:textId="77777777" w:rsidTr="0035481C">
        <w:tc>
          <w:tcPr>
            <w:tcW w:w="9072" w:type="dxa"/>
            <w:gridSpan w:val="3"/>
          </w:tcPr>
          <w:p w14:paraId="149AD7E9"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7338B8">
              <w:rPr>
                <w:rFonts w:ascii="Times New Roman" w:eastAsia="Calibri" w:hAnsi="Times New Roman" w:cs="Times New Roman"/>
                <w:b/>
                <w:bCs/>
                <w:iCs/>
                <w:lang w:val="lt-LT"/>
              </w:rPr>
              <w:t>Psichikos sutrikimai</w:t>
            </w:r>
          </w:p>
        </w:tc>
      </w:tr>
      <w:tr w:rsidR="00A34B5C" w:rsidRPr="00A34B5C" w14:paraId="2CA75480" w14:textId="77777777" w:rsidTr="0035481C">
        <w:tc>
          <w:tcPr>
            <w:tcW w:w="567" w:type="dxa"/>
          </w:tcPr>
          <w:p w14:paraId="745C0937"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09DA78EC" w14:textId="693682FF"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7338B8">
              <w:rPr>
                <w:rFonts w:ascii="Times New Roman" w:eastAsia="Calibri" w:hAnsi="Times New Roman" w:cs="Times New Roman"/>
                <w:lang w:val="lt-LT"/>
              </w:rPr>
              <w:t>Dažn</w:t>
            </w:r>
            <w:r w:rsidR="007338B8" w:rsidRPr="007338B8">
              <w:rPr>
                <w:rFonts w:ascii="Times New Roman" w:eastAsia="Calibri" w:hAnsi="Times New Roman" w:cs="Times New Roman"/>
                <w:lang w:val="lt-LT"/>
              </w:rPr>
              <w:t>as</w:t>
            </w:r>
          </w:p>
        </w:tc>
        <w:tc>
          <w:tcPr>
            <w:tcW w:w="6520" w:type="dxa"/>
          </w:tcPr>
          <w:p w14:paraId="1D5DA59E"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Dizartrija</w:t>
            </w:r>
          </w:p>
        </w:tc>
      </w:tr>
      <w:tr w:rsidR="00A34B5C" w:rsidRPr="00A34B5C" w14:paraId="7ADCB88F" w14:textId="77777777" w:rsidTr="0035481C">
        <w:tc>
          <w:tcPr>
            <w:tcW w:w="567" w:type="dxa"/>
          </w:tcPr>
          <w:p w14:paraId="2A616B86"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7666AFEB" w14:textId="6B4C5A82"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7338B8">
              <w:rPr>
                <w:rFonts w:ascii="Times New Roman" w:eastAsia="Calibri" w:hAnsi="Times New Roman" w:cs="Times New Roman"/>
                <w:lang w:val="lt-LT"/>
              </w:rPr>
              <w:t>Nedažn</w:t>
            </w:r>
            <w:r w:rsidR="007338B8" w:rsidRPr="007338B8">
              <w:rPr>
                <w:rFonts w:ascii="Times New Roman" w:eastAsia="Calibri" w:hAnsi="Times New Roman" w:cs="Times New Roman"/>
                <w:lang w:val="lt-LT"/>
              </w:rPr>
              <w:t>as</w:t>
            </w:r>
            <w:r w:rsidRPr="00B27E7B">
              <w:rPr>
                <w:rFonts w:ascii="Times New Roman" w:hAnsi="Times New Roman"/>
                <w:lang w:val="lt-LT"/>
              </w:rPr>
              <w:t xml:space="preserve"> </w:t>
            </w:r>
          </w:p>
        </w:tc>
        <w:tc>
          <w:tcPr>
            <w:tcW w:w="6520" w:type="dxa"/>
          </w:tcPr>
          <w:p w14:paraId="5C77CC12"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Disfemija</w:t>
            </w:r>
          </w:p>
        </w:tc>
      </w:tr>
      <w:tr w:rsidR="00A34B5C" w:rsidRPr="00A34B5C" w14:paraId="7F1B63D6" w14:textId="77777777" w:rsidTr="0035481C">
        <w:tc>
          <w:tcPr>
            <w:tcW w:w="567" w:type="dxa"/>
          </w:tcPr>
          <w:p w14:paraId="00A146FB"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462CB691" w14:textId="6B392050"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7338B8">
              <w:rPr>
                <w:rFonts w:ascii="Times New Roman" w:eastAsia="Calibri" w:hAnsi="Times New Roman" w:cs="Times New Roman"/>
                <w:lang w:val="lt-LT"/>
              </w:rPr>
              <w:t>Ret</w:t>
            </w:r>
            <w:r w:rsidR="007338B8" w:rsidRPr="007338B8">
              <w:rPr>
                <w:rFonts w:ascii="Times New Roman" w:eastAsia="Calibri" w:hAnsi="Times New Roman" w:cs="Times New Roman"/>
                <w:lang w:val="lt-LT"/>
              </w:rPr>
              <w:t>as</w:t>
            </w:r>
          </w:p>
        </w:tc>
        <w:tc>
          <w:tcPr>
            <w:tcW w:w="6520" w:type="dxa"/>
          </w:tcPr>
          <w:p w14:paraId="3C64B909"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Nuovargis, ažitacija</w:t>
            </w:r>
          </w:p>
        </w:tc>
      </w:tr>
      <w:tr w:rsidR="00A34B5C" w:rsidRPr="00A34B5C" w14:paraId="096C632B" w14:textId="77777777" w:rsidTr="0035481C">
        <w:tc>
          <w:tcPr>
            <w:tcW w:w="9072" w:type="dxa"/>
            <w:gridSpan w:val="3"/>
          </w:tcPr>
          <w:p w14:paraId="58D1F337"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b/>
                <w:lang w:val="lt-LT"/>
              </w:rPr>
            </w:pPr>
            <w:r w:rsidRPr="007338B8">
              <w:rPr>
                <w:rFonts w:ascii="Times New Roman" w:eastAsia="Calibri" w:hAnsi="Times New Roman" w:cs="Times New Roman"/>
                <w:b/>
                <w:bCs/>
                <w:iCs/>
                <w:lang w:val="lt-LT"/>
              </w:rPr>
              <w:t>Nervų sistemos sutrikimai</w:t>
            </w:r>
          </w:p>
        </w:tc>
      </w:tr>
      <w:tr w:rsidR="00A34B5C" w:rsidRPr="00A34B5C" w14:paraId="5FA5018B" w14:textId="77777777" w:rsidTr="0035481C">
        <w:tc>
          <w:tcPr>
            <w:tcW w:w="567" w:type="dxa"/>
          </w:tcPr>
          <w:p w14:paraId="1E252876"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128E076B" w14:textId="09999D45"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 xml:space="preserve">Labai </w:t>
            </w:r>
            <w:r w:rsidRPr="007338B8">
              <w:rPr>
                <w:rFonts w:ascii="Times New Roman" w:eastAsia="Calibri" w:hAnsi="Times New Roman" w:cs="Times New Roman"/>
                <w:lang w:val="lt-LT"/>
              </w:rPr>
              <w:t>dažn</w:t>
            </w:r>
            <w:r w:rsidR="007338B8" w:rsidRPr="007338B8">
              <w:rPr>
                <w:rFonts w:ascii="Times New Roman" w:eastAsia="Calibri" w:hAnsi="Times New Roman" w:cs="Times New Roman"/>
                <w:lang w:val="lt-LT"/>
              </w:rPr>
              <w:t>as</w:t>
            </w:r>
          </w:p>
        </w:tc>
        <w:tc>
          <w:tcPr>
            <w:tcW w:w="6520" w:type="dxa"/>
          </w:tcPr>
          <w:p w14:paraId="6DBF5176"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Mieguistumas, slopinimas, galvos svaigimas</w:t>
            </w:r>
          </w:p>
        </w:tc>
      </w:tr>
      <w:tr w:rsidR="00A34B5C" w:rsidRPr="00A34B5C" w14:paraId="388DF6F9" w14:textId="77777777" w:rsidTr="0035481C">
        <w:tc>
          <w:tcPr>
            <w:tcW w:w="567" w:type="dxa"/>
          </w:tcPr>
          <w:p w14:paraId="58391E11"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22435396" w14:textId="65330B73"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7338B8">
              <w:rPr>
                <w:rFonts w:ascii="Times New Roman" w:eastAsia="Calibri" w:hAnsi="Times New Roman" w:cs="Times New Roman"/>
                <w:lang w:val="lt-LT"/>
              </w:rPr>
              <w:t>Dažn</w:t>
            </w:r>
            <w:r w:rsidR="007338B8" w:rsidRPr="007338B8">
              <w:rPr>
                <w:rFonts w:ascii="Times New Roman" w:eastAsia="Calibri" w:hAnsi="Times New Roman" w:cs="Times New Roman"/>
                <w:lang w:val="lt-LT"/>
              </w:rPr>
              <w:t>as</w:t>
            </w:r>
          </w:p>
        </w:tc>
        <w:tc>
          <w:tcPr>
            <w:tcW w:w="6520" w:type="dxa"/>
          </w:tcPr>
          <w:p w14:paraId="0BEA5A11"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Traukuliai, konvulsijos, miokloniniai trūkčiojimai, ekstrapiramidiniai simptomai, akatizija, tremoras, rigidiškumas, galvos skausmas</w:t>
            </w:r>
          </w:p>
        </w:tc>
      </w:tr>
      <w:tr w:rsidR="00A34B5C" w:rsidRPr="00A34B5C" w14:paraId="6F6C843C" w14:textId="77777777" w:rsidTr="0035481C">
        <w:tc>
          <w:tcPr>
            <w:tcW w:w="567" w:type="dxa"/>
          </w:tcPr>
          <w:p w14:paraId="39487C29"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2CCFF23C" w14:textId="724B1B22"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7338B8">
              <w:rPr>
                <w:rFonts w:ascii="Times New Roman" w:eastAsia="Calibri" w:hAnsi="Times New Roman" w:cs="Times New Roman"/>
                <w:lang w:val="lt-LT"/>
              </w:rPr>
              <w:t>Nedažn</w:t>
            </w:r>
            <w:r w:rsidR="007338B8" w:rsidRPr="007338B8">
              <w:rPr>
                <w:rFonts w:ascii="Times New Roman" w:eastAsia="Calibri" w:hAnsi="Times New Roman" w:cs="Times New Roman"/>
                <w:lang w:val="lt-LT"/>
              </w:rPr>
              <w:t>as</w:t>
            </w:r>
          </w:p>
        </w:tc>
        <w:tc>
          <w:tcPr>
            <w:tcW w:w="6520" w:type="dxa"/>
          </w:tcPr>
          <w:p w14:paraId="408CAA42"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Piktybinis neurolepsinis sindromas</w:t>
            </w:r>
          </w:p>
        </w:tc>
      </w:tr>
      <w:tr w:rsidR="00A34B5C" w:rsidRPr="00A34B5C" w14:paraId="2F4DCBFD" w14:textId="77777777" w:rsidTr="0035481C">
        <w:tc>
          <w:tcPr>
            <w:tcW w:w="567" w:type="dxa"/>
          </w:tcPr>
          <w:p w14:paraId="3119DEF8"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488B9C98" w14:textId="465CD7D2"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7338B8">
              <w:rPr>
                <w:rFonts w:ascii="Times New Roman" w:eastAsia="Calibri" w:hAnsi="Times New Roman" w:cs="Times New Roman"/>
                <w:lang w:val="lt-LT"/>
              </w:rPr>
              <w:t>Ret</w:t>
            </w:r>
            <w:r w:rsidR="007338B8" w:rsidRPr="007338B8">
              <w:rPr>
                <w:rFonts w:ascii="Times New Roman" w:eastAsia="Calibri" w:hAnsi="Times New Roman" w:cs="Times New Roman"/>
                <w:lang w:val="lt-LT"/>
              </w:rPr>
              <w:t>as</w:t>
            </w:r>
          </w:p>
        </w:tc>
        <w:tc>
          <w:tcPr>
            <w:tcW w:w="6520" w:type="dxa"/>
          </w:tcPr>
          <w:p w14:paraId="2F035E84"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Sumišimas, delyras</w:t>
            </w:r>
          </w:p>
        </w:tc>
      </w:tr>
      <w:tr w:rsidR="00A34B5C" w:rsidRPr="00A34B5C" w14:paraId="64463517" w14:textId="77777777" w:rsidTr="0035481C">
        <w:tc>
          <w:tcPr>
            <w:tcW w:w="567" w:type="dxa"/>
          </w:tcPr>
          <w:p w14:paraId="5697812D"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0D437424" w14:textId="72D05F7D"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 xml:space="preserve">Labai </w:t>
            </w:r>
            <w:r w:rsidRPr="007338B8">
              <w:rPr>
                <w:rFonts w:ascii="Times New Roman" w:eastAsia="Calibri" w:hAnsi="Times New Roman" w:cs="Times New Roman"/>
                <w:lang w:val="lt-LT"/>
              </w:rPr>
              <w:t>ret</w:t>
            </w:r>
            <w:r w:rsidR="007338B8" w:rsidRPr="007338B8">
              <w:rPr>
                <w:rFonts w:ascii="Times New Roman" w:eastAsia="Calibri" w:hAnsi="Times New Roman" w:cs="Times New Roman"/>
                <w:lang w:val="lt-LT"/>
              </w:rPr>
              <w:t>as</w:t>
            </w:r>
          </w:p>
        </w:tc>
        <w:tc>
          <w:tcPr>
            <w:tcW w:w="6520" w:type="dxa"/>
          </w:tcPr>
          <w:p w14:paraId="6FCB45EB"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Vėlyvoji diskinezija, obsesiniai kompulsiniai simptomai</w:t>
            </w:r>
          </w:p>
        </w:tc>
      </w:tr>
      <w:tr w:rsidR="00A34B5C" w:rsidRPr="00A34B5C" w14:paraId="30C007CA" w14:textId="77777777" w:rsidTr="0035481C">
        <w:tc>
          <w:tcPr>
            <w:tcW w:w="567" w:type="dxa"/>
          </w:tcPr>
          <w:p w14:paraId="746FA2C5"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79C46396"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Dažnis nežinomas</w:t>
            </w:r>
          </w:p>
        </w:tc>
        <w:tc>
          <w:tcPr>
            <w:tcW w:w="6520" w:type="dxa"/>
          </w:tcPr>
          <w:p w14:paraId="7E2D73CA"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7338B8">
              <w:rPr>
                <w:rFonts w:ascii="Times New Roman" w:eastAsia="Calibri" w:hAnsi="Times New Roman" w:cs="Times New Roman"/>
                <w:lang w:val="lt-LT"/>
              </w:rPr>
              <w:t xml:space="preserve">Cholinerginis sindromas*, EEG pokyčiai*, </w:t>
            </w:r>
            <w:r w:rsidRPr="007338B8">
              <w:rPr>
                <w:rFonts w:ascii="Times New Roman" w:eastAsia="Calibri" w:hAnsi="Times New Roman" w:cs="Times New Roman"/>
                <w:i/>
                <w:lang w:val="lt-LT"/>
              </w:rPr>
              <w:t>pleurothotonus</w:t>
            </w:r>
            <w:r w:rsidRPr="007338B8">
              <w:rPr>
                <w:rFonts w:ascii="Times New Roman" w:eastAsia="Calibri" w:hAnsi="Times New Roman" w:cs="Times New Roman"/>
                <w:lang w:val="lt-LT"/>
              </w:rPr>
              <w:t>*</w:t>
            </w:r>
            <w:r w:rsidR="00DA764E" w:rsidRPr="007338B8">
              <w:rPr>
                <w:rFonts w:ascii="Times New Roman" w:eastAsia="Calibri" w:hAnsi="Times New Roman" w:cs="Times New Roman"/>
                <w:lang w:val="lt-LT"/>
              </w:rPr>
              <w:t>, neramių kojų sindromas*</w:t>
            </w:r>
          </w:p>
        </w:tc>
      </w:tr>
      <w:tr w:rsidR="00A34B5C" w:rsidRPr="00A34B5C" w14:paraId="263B9384" w14:textId="77777777" w:rsidTr="0035481C">
        <w:tc>
          <w:tcPr>
            <w:tcW w:w="9072" w:type="dxa"/>
            <w:gridSpan w:val="3"/>
          </w:tcPr>
          <w:p w14:paraId="51F7B084" w14:textId="77777777"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b/>
                <w:bCs/>
                <w:iCs/>
                <w:lang w:val="lt-LT"/>
              </w:rPr>
            </w:pPr>
            <w:r w:rsidRPr="007338B8">
              <w:rPr>
                <w:rFonts w:ascii="Times New Roman" w:eastAsia="Calibri" w:hAnsi="Times New Roman" w:cs="Times New Roman"/>
                <w:b/>
                <w:bCs/>
                <w:iCs/>
                <w:lang w:val="lt-LT"/>
              </w:rPr>
              <w:t>Akių sutrikimai</w:t>
            </w:r>
          </w:p>
        </w:tc>
      </w:tr>
      <w:tr w:rsidR="00A34B5C" w:rsidRPr="00A34B5C" w14:paraId="0DF25BFE" w14:textId="77777777" w:rsidTr="0035481C">
        <w:tc>
          <w:tcPr>
            <w:tcW w:w="567" w:type="dxa"/>
          </w:tcPr>
          <w:p w14:paraId="56970771"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7B0567BE" w14:textId="3EEC3433"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7338B8">
              <w:rPr>
                <w:rFonts w:ascii="Times New Roman" w:eastAsia="Calibri" w:hAnsi="Times New Roman" w:cs="Times New Roman"/>
                <w:lang w:val="lt-LT"/>
              </w:rPr>
              <w:t>Dažn</w:t>
            </w:r>
            <w:r w:rsidR="007338B8" w:rsidRPr="007338B8">
              <w:rPr>
                <w:rFonts w:ascii="Times New Roman" w:eastAsia="Calibri" w:hAnsi="Times New Roman" w:cs="Times New Roman"/>
                <w:lang w:val="lt-LT"/>
              </w:rPr>
              <w:t>as</w:t>
            </w:r>
          </w:p>
        </w:tc>
        <w:tc>
          <w:tcPr>
            <w:tcW w:w="6520" w:type="dxa"/>
          </w:tcPr>
          <w:p w14:paraId="1969E13B"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Neryškus matymas</w:t>
            </w:r>
          </w:p>
        </w:tc>
      </w:tr>
      <w:tr w:rsidR="00A34B5C" w:rsidRPr="00A34B5C" w14:paraId="4DB3E283" w14:textId="77777777" w:rsidTr="0035481C">
        <w:tc>
          <w:tcPr>
            <w:tcW w:w="9072" w:type="dxa"/>
            <w:gridSpan w:val="3"/>
          </w:tcPr>
          <w:p w14:paraId="25BFE4A9"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7338B8">
              <w:rPr>
                <w:rFonts w:ascii="Times New Roman" w:eastAsia="Calibri" w:hAnsi="Times New Roman" w:cs="Times New Roman"/>
                <w:b/>
                <w:bCs/>
                <w:iCs/>
                <w:lang w:val="lt-LT"/>
              </w:rPr>
              <w:t>Širdies sutrikimai</w:t>
            </w:r>
          </w:p>
        </w:tc>
      </w:tr>
      <w:tr w:rsidR="00A34B5C" w:rsidRPr="00A34B5C" w14:paraId="44AF8765" w14:textId="77777777" w:rsidTr="0035481C">
        <w:tc>
          <w:tcPr>
            <w:tcW w:w="567" w:type="dxa"/>
          </w:tcPr>
          <w:p w14:paraId="0905A17F"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381139D0" w14:textId="069B50B0"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 xml:space="preserve">Labai </w:t>
            </w:r>
            <w:r w:rsidRPr="007338B8">
              <w:rPr>
                <w:rFonts w:ascii="Times New Roman" w:eastAsia="Calibri" w:hAnsi="Times New Roman" w:cs="Times New Roman"/>
                <w:lang w:val="lt-LT"/>
              </w:rPr>
              <w:t>dažn</w:t>
            </w:r>
            <w:r w:rsidR="007338B8" w:rsidRPr="007338B8">
              <w:rPr>
                <w:rFonts w:ascii="Times New Roman" w:eastAsia="Calibri" w:hAnsi="Times New Roman" w:cs="Times New Roman"/>
                <w:lang w:val="lt-LT"/>
              </w:rPr>
              <w:t>as</w:t>
            </w:r>
          </w:p>
        </w:tc>
        <w:tc>
          <w:tcPr>
            <w:tcW w:w="6520" w:type="dxa"/>
          </w:tcPr>
          <w:p w14:paraId="07E3AEA4"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Tachikardija</w:t>
            </w:r>
          </w:p>
        </w:tc>
      </w:tr>
      <w:tr w:rsidR="00A34B5C" w:rsidRPr="00A34B5C" w14:paraId="5A5E220C" w14:textId="77777777" w:rsidTr="0035481C">
        <w:tc>
          <w:tcPr>
            <w:tcW w:w="567" w:type="dxa"/>
          </w:tcPr>
          <w:p w14:paraId="1CEA01EA"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585827C7" w14:textId="0F732058"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7338B8">
              <w:rPr>
                <w:rFonts w:ascii="Times New Roman" w:eastAsia="Calibri" w:hAnsi="Times New Roman" w:cs="Times New Roman"/>
                <w:lang w:val="lt-LT"/>
              </w:rPr>
              <w:t>Dažn</w:t>
            </w:r>
            <w:r w:rsidR="007338B8" w:rsidRPr="007338B8">
              <w:rPr>
                <w:rFonts w:ascii="Times New Roman" w:eastAsia="Calibri" w:hAnsi="Times New Roman" w:cs="Times New Roman"/>
                <w:lang w:val="lt-LT"/>
              </w:rPr>
              <w:t>as</w:t>
            </w:r>
          </w:p>
        </w:tc>
        <w:tc>
          <w:tcPr>
            <w:tcW w:w="6520" w:type="dxa"/>
          </w:tcPr>
          <w:p w14:paraId="48FAD8DB"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EKG pokyčiai</w:t>
            </w:r>
          </w:p>
        </w:tc>
      </w:tr>
      <w:tr w:rsidR="00A34B5C" w:rsidRPr="00A34B5C" w14:paraId="06AAADDD" w14:textId="77777777" w:rsidTr="0035481C">
        <w:tc>
          <w:tcPr>
            <w:tcW w:w="567" w:type="dxa"/>
          </w:tcPr>
          <w:p w14:paraId="684D140D"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700733ED" w14:textId="666ACBE8"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r w:rsidRPr="007338B8">
              <w:rPr>
                <w:rFonts w:ascii="Times New Roman" w:eastAsia="Calibri" w:hAnsi="Times New Roman" w:cs="Times New Roman"/>
                <w:lang w:val="lt-LT"/>
              </w:rPr>
              <w:t>Ret</w:t>
            </w:r>
            <w:r w:rsidR="007338B8" w:rsidRPr="007338B8">
              <w:rPr>
                <w:rFonts w:ascii="Times New Roman" w:eastAsia="Calibri" w:hAnsi="Times New Roman" w:cs="Times New Roman"/>
                <w:lang w:val="lt-LT"/>
              </w:rPr>
              <w:t>as</w:t>
            </w:r>
          </w:p>
          <w:p w14:paraId="5F5FF8F1"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6520" w:type="dxa"/>
          </w:tcPr>
          <w:p w14:paraId="7FDE1A7A"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Kraujotakos kolapsas, aritmijos, miokarditas, perikarditas, skystis perikarde</w:t>
            </w:r>
          </w:p>
        </w:tc>
      </w:tr>
      <w:tr w:rsidR="00A34B5C" w:rsidRPr="00A34B5C" w14:paraId="0CECF325" w14:textId="77777777" w:rsidTr="0035481C">
        <w:tc>
          <w:tcPr>
            <w:tcW w:w="567" w:type="dxa"/>
          </w:tcPr>
          <w:p w14:paraId="5CDCAE5B"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1919C64F" w14:textId="4D2FA795"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 xml:space="preserve">Labai </w:t>
            </w:r>
            <w:r w:rsidRPr="007338B8">
              <w:rPr>
                <w:rFonts w:ascii="Times New Roman" w:eastAsia="Calibri" w:hAnsi="Times New Roman" w:cs="Times New Roman"/>
                <w:lang w:val="lt-LT"/>
              </w:rPr>
              <w:t>ret</w:t>
            </w:r>
            <w:r w:rsidR="007338B8" w:rsidRPr="007338B8">
              <w:rPr>
                <w:rFonts w:ascii="Times New Roman" w:eastAsia="Calibri" w:hAnsi="Times New Roman" w:cs="Times New Roman"/>
                <w:lang w:val="lt-LT"/>
              </w:rPr>
              <w:t>as</w:t>
            </w:r>
          </w:p>
        </w:tc>
        <w:tc>
          <w:tcPr>
            <w:tcW w:w="6520" w:type="dxa"/>
          </w:tcPr>
          <w:p w14:paraId="0CD971BC"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Kardiomiopatija, širdies sustojimas</w:t>
            </w:r>
          </w:p>
        </w:tc>
      </w:tr>
      <w:tr w:rsidR="00A34B5C" w:rsidRPr="00A34B5C" w14:paraId="40328874" w14:textId="77777777" w:rsidTr="0035481C">
        <w:tc>
          <w:tcPr>
            <w:tcW w:w="567" w:type="dxa"/>
          </w:tcPr>
          <w:p w14:paraId="79388E9B"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09C3CB0B"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Dažnis nežinomas</w:t>
            </w:r>
          </w:p>
        </w:tc>
        <w:tc>
          <w:tcPr>
            <w:tcW w:w="6520" w:type="dxa"/>
          </w:tcPr>
          <w:p w14:paraId="37512CDA" w14:textId="77777777" w:rsidR="00A34B5C" w:rsidRPr="00B27E7B" w:rsidRDefault="00A34B5C" w:rsidP="001D3552">
            <w:pPr>
              <w:keepNext/>
              <w:widowControl w:val="0"/>
              <w:tabs>
                <w:tab w:val="left" w:pos="284"/>
              </w:tabs>
              <w:adjustRightInd w:val="0"/>
              <w:spacing w:after="0" w:line="240" w:lineRule="auto"/>
              <w:textAlignment w:val="baseline"/>
              <w:rPr>
                <w:rFonts w:ascii="Times New Roman" w:hAnsi="Times New Roman"/>
                <w:lang w:val="lt-LT"/>
              </w:rPr>
            </w:pPr>
            <w:r w:rsidRPr="007338B8">
              <w:rPr>
                <w:rFonts w:ascii="Times New Roman" w:eastAsia="Calibri" w:hAnsi="Times New Roman" w:cs="Times New Roman"/>
                <w:lang w:val="lt-LT"/>
              </w:rPr>
              <w:t>Miokardo infarktas</w:t>
            </w:r>
            <w:r w:rsidR="00D3301A" w:rsidRPr="007338B8">
              <w:rPr>
                <w:rFonts w:ascii="Times New Roman" w:eastAsia="Calibri" w:hAnsi="Times New Roman" w:cs="Times New Roman"/>
                <w:lang w:val="lt-LT"/>
              </w:rPr>
              <w:t>*</w:t>
            </w:r>
            <w:r w:rsidR="00D3301A" w:rsidRPr="007338B8">
              <w:rPr>
                <w:rFonts w:ascii="Times New Roman" w:eastAsia="Calibri" w:hAnsi="Times New Roman" w:cs="Times New Roman"/>
                <w:vertAlign w:val="superscript"/>
                <w:lang w:val="lt-LT"/>
              </w:rPr>
              <w:t>,</w:t>
            </w:r>
            <w:r w:rsidR="001D3552" w:rsidRPr="00B27E7B">
              <w:rPr>
                <w:rFonts w:ascii="Times New Roman" w:hAnsi="Times New Roman"/>
                <w:lang w:val="lt-LT"/>
              </w:rPr>
              <w:t>*</w:t>
            </w:r>
            <w:r w:rsidRPr="007338B8">
              <w:rPr>
                <w:rFonts w:ascii="Times New Roman" w:eastAsia="Calibri" w:hAnsi="Times New Roman" w:cs="Times New Roman"/>
                <w:lang w:val="lt-LT"/>
              </w:rPr>
              <w:t xml:space="preserve">*, </w:t>
            </w:r>
            <w:r w:rsidR="00EE6BC4" w:rsidRPr="007338B8">
              <w:rPr>
                <w:rFonts w:ascii="Times New Roman" w:eastAsia="Calibri" w:hAnsi="Times New Roman" w:cs="Times New Roman"/>
                <w:lang w:val="lt-LT"/>
              </w:rPr>
              <w:t>miokarditas</w:t>
            </w:r>
            <w:r w:rsidR="00D3301A" w:rsidRPr="007338B8">
              <w:rPr>
                <w:rFonts w:ascii="Times New Roman" w:eastAsia="Calibri" w:hAnsi="Times New Roman" w:cs="Times New Roman"/>
                <w:lang w:val="lt-LT"/>
              </w:rPr>
              <w:t>*,</w:t>
            </w:r>
            <w:r w:rsidR="001D3552" w:rsidRPr="007338B8">
              <w:rPr>
                <w:rFonts w:ascii="Times New Roman" w:eastAsia="Calibri" w:hAnsi="Times New Roman" w:cs="Times New Roman"/>
                <w:lang w:val="lt-LT"/>
              </w:rPr>
              <w:t>*</w:t>
            </w:r>
            <w:r w:rsidR="00EE6BC4" w:rsidRPr="007338B8">
              <w:rPr>
                <w:rFonts w:ascii="Times New Roman" w:eastAsia="Calibri" w:hAnsi="Times New Roman" w:cs="Times New Roman"/>
                <w:lang w:val="lt-LT"/>
              </w:rPr>
              <w:t xml:space="preserve">*, </w:t>
            </w:r>
            <w:r w:rsidRPr="007338B8">
              <w:rPr>
                <w:rFonts w:ascii="Times New Roman" w:eastAsia="Calibri" w:hAnsi="Times New Roman" w:cs="Times New Roman"/>
                <w:lang w:val="lt-LT"/>
              </w:rPr>
              <w:t>krūtinės ląstos skausmas ar krūtinės angina*,</w:t>
            </w:r>
            <w:r w:rsidRPr="00B27E7B">
              <w:rPr>
                <w:rFonts w:ascii="Times New Roman" w:hAnsi="Times New Roman"/>
                <w:color w:val="B5072D"/>
                <w:spacing w:val="1"/>
                <w:lang w:val="lt-LT"/>
              </w:rPr>
              <w:t xml:space="preserve"> </w:t>
            </w:r>
            <w:r w:rsidRPr="007338B8">
              <w:rPr>
                <w:rFonts w:ascii="Times New Roman" w:eastAsia="Calibri" w:hAnsi="Times New Roman" w:cs="Times New Roman"/>
                <w:lang w:val="lt-LT"/>
              </w:rPr>
              <w:t>prieširdžių virpėjimas*, palpitacijos*, mitralinio vožtuvo nepakankamumas, susijęs su klozapino sukelta kardiomiopatija*</w:t>
            </w:r>
          </w:p>
        </w:tc>
      </w:tr>
      <w:tr w:rsidR="00A34B5C" w:rsidRPr="00A34B5C" w14:paraId="1EB1751E" w14:textId="77777777" w:rsidTr="0035481C">
        <w:tc>
          <w:tcPr>
            <w:tcW w:w="9072" w:type="dxa"/>
            <w:gridSpan w:val="3"/>
          </w:tcPr>
          <w:p w14:paraId="6DA99B23"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7338B8">
              <w:rPr>
                <w:rFonts w:ascii="Times New Roman" w:eastAsia="Calibri" w:hAnsi="Times New Roman" w:cs="Times New Roman"/>
                <w:b/>
                <w:bCs/>
                <w:iCs/>
                <w:lang w:val="lt-LT"/>
              </w:rPr>
              <w:t>Kraujagyslių sutrikimai</w:t>
            </w:r>
          </w:p>
        </w:tc>
      </w:tr>
      <w:tr w:rsidR="00A34B5C" w:rsidRPr="00A34B5C" w14:paraId="484C416A" w14:textId="77777777" w:rsidTr="0035481C">
        <w:tc>
          <w:tcPr>
            <w:tcW w:w="567" w:type="dxa"/>
          </w:tcPr>
          <w:p w14:paraId="18E6CCDA"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694D8F93" w14:textId="383CE45C"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7338B8">
              <w:rPr>
                <w:rFonts w:ascii="Times New Roman" w:eastAsia="Calibri" w:hAnsi="Times New Roman" w:cs="Times New Roman"/>
                <w:lang w:val="lt-LT"/>
              </w:rPr>
              <w:t>Dažn</w:t>
            </w:r>
            <w:r w:rsidR="007338B8" w:rsidRPr="007338B8">
              <w:rPr>
                <w:rFonts w:ascii="Times New Roman" w:eastAsia="Calibri" w:hAnsi="Times New Roman" w:cs="Times New Roman"/>
                <w:lang w:val="lt-LT"/>
              </w:rPr>
              <w:t>as</w:t>
            </w:r>
          </w:p>
        </w:tc>
        <w:tc>
          <w:tcPr>
            <w:tcW w:w="6520" w:type="dxa"/>
          </w:tcPr>
          <w:p w14:paraId="5F89E613"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7338B8">
              <w:rPr>
                <w:rFonts w:ascii="Times New Roman" w:eastAsia="Calibri" w:hAnsi="Times New Roman" w:cs="Times New Roman"/>
                <w:lang w:val="lt-LT"/>
              </w:rPr>
              <w:t>Sinkopė, ortostatinė hipotenzija, hipertenzija</w:t>
            </w:r>
          </w:p>
        </w:tc>
      </w:tr>
      <w:tr w:rsidR="00A34B5C" w:rsidRPr="00A34B5C" w14:paraId="57092E23" w14:textId="77777777" w:rsidTr="0035481C">
        <w:tc>
          <w:tcPr>
            <w:tcW w:w="567" w:type="dxa"/>
          </w:tcPr>
          <w:p w14:paraId="30766988"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49BB6112" w14:textId="1311601C"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7338B8">
              <w:rPr>
                <w:rFonts w:ascii="Times New Roman" w:eastAsia="Calibri" w:hAnsi="Times New Roman" w:cs="Times New Roman"/>
                <w:lang w:val="lt-LT"/>
              </w:rPr>
              <w:t>Ret</w:t>
            </w:r>
            <w:r w:rsidR="007338B8" w:rsidRPr="007338B8">
              <w:rPr>
                <w:rFonts w:ascii="Times New Roman" w:eastAsia="Calibri" w:hAnsi="Times New Roman" w:cs="Times New Roman"/>
                <w:lang w:val="lt-LT"/>
              </w:rPr>
              <w:t>as</w:t>
            </w:r>
          </w:p>
        </w:tc>
        <w:tc>
          <w:tcPr>
            <w:tcW w:w="6520" w:type="dxa"/>
          </w:tcPr>
          <w:p w14:paraId="3487C123"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7338B8">
              <w:rPr>
                <w:rFonts w:ascii="Times New Roman" w:eastAsia="Calibri" w:hAnsi="Times New Roman" w:cs="Times New Roman"/>
                <w:bCs/>
                <w:noProof/>
                <w:lang w:val="lt-LT"/>
              </w:rPr>
              <w:t>Tromboembolija</w:t>
            </w:r>
          </w:p>
        </w:tc>
      </w:tr>
      <w:tr w:rsidR="00A34B5C" w:rsidRPr="00A34B5C" w14:paraId="1BF1E019" w14:textId="77777777" w:rsidTr="0035481C">
        <w:tc>
          <w:tcPr>
            <w:tcW w:w="567" w:type="dxa"/>
          </w:tcPr>
          <w:p w14:paraId="163BC710"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0E507C32"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Dažnis nežinomas</w:t>
            </w:r>
          </w:p>
        </w:tc>
        <w:tc>
          <w:tcPr>
            <w:tcW w:w="6520" w:type="dxa"/>
          </w:tcPr>
          <w:p w14:paraId="40B9334D"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7338B8">
              <w:rPr>
                <w:rFonts w:ascii="Times New Roman" w:eastAsia="Calibri" w:hAnsi="Times New Roman" w:cs="Times New Roman"/>
                <w:bCs/>
                <w:noProof/>
                <w:lang w:val="lt-LT"/>
              </w:rPr>
              <w:t>Hipotenzija</w:t>
            </w:r>
            <w:r w:rsidRPr="007338B8">
              <w:rPr>
                <w:rFonts w:ascii="Times New Roman" w:eastAsia="Calibri" w:hAnsi="Times New Roman" w:cs="Times New Roman"/>
                <w:bCs/>
                <w:noProof/>
                <w:u w:val="single"/>
                <w:lang w:val="lt-LT"/>
              </w:rPr>
              <w:t>*,</w:t>
            </w:r>
            <w:r w:rsidRPr="007338B8">
              <w:rPr>
                <w:rFonts w:ascii="Times New Roman" w:eastAsia="Calibri" w:hAnsi="Times New Roman" w:cs="Times New Roman"/>
                <w:bCs/>
                <w:noProof/>
                <w:lang w:val="lt-LT"/>
              </w:rPr>
              <w:t xml:space="preserve"> venų tromboembolija</w:t>
            </w:r>
          </w:p>
        </w:tc>
      </w:tr>
      <w:tr w:rsidR="00A34B5C" w:rsidRPr="00A34B5C" w14:paraId="08FC53D3" w14:textId="77777777" w:rsidTr="0035481C">
        <w:tc>
          <w:tcPr>
            <w:tcW w:w="9072" w:type="dxa"/>
            <w:gridSpan w:val="3"/>
          </w:tcPr>
          <w:p w14:paraId="292EF1BB"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b/>
                <w:lang w:val="lt-LT"/>
              </w:rPr>
            </w:pPr>
            <w:r w:rsidRPr="007338B8">
              <w:rPr>
                <w:rFonts w:ascii="Times New Roman" w:eastAsia="Calibri" w:hAnsi="Times New Roman" w:cs="Times New Roman"/>
                <w:b/>
                <w:bCs/>
                <w:iCs/>
                <w:lang w:val="lt-LT"/>
              </w:rPr>
              <w:t>Kvėpavimo sistemos, krūtinės ląstos ir tarpuplaučio sutrikimai</w:t>
            </w:r>
          </w:p>
        </w:tc>
      </w:tr>
      <w:tr w:rsidR="00A34B5C" w:rsidRPr="0049380B" w14:paraId="72B4A078" w14:textId="77777777" w:rsidTr="0035481C">
        <w:tc>
          <w:tcPr>
            <w:tcW w:w="567" w:type="dxa"/>
          </w:tcPr>
          <w:p w14:paraId="532884AB"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547664BE" w14:textId="1CA0DEFA"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7338B8">
              <w:rPr>
                <w:rFonts w:ascii="Times New Roman" w:eastAsia="Calibri" w:hAnsi="Times New Roman" w:cs="Times New Roman"/>
                <w:lang w:val="lt-LT"/>
              </w:rPr>
              <w:t>Ret</w:t>
            </w:r>
            <w:r w:rsidR="007338B8" w:rsidRPr="007338B8">
              <w:rPr>
                <w:rFonts w:ascii="Times New Roman" w:eastAsia="Calibri" w:hAnsi="Times New Roman" w:cs="Times New Roman"/>
                <w:lang w:val="lt-LT"/>
              </w:rPr>
              <w:t>as</w:t>
            </w:r>
          </w:p>
        </w:tc>
        <w:tc>
          <w:tcPr>
            <w:tcW w:w="6520" w:type="dxa"/>
          </w:tcPr>
          <w:p w14:paraId="5D03B7F2"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Suvalgyto maisto aspiracija, pneumonija ir apatinių kvėpavimo takų infekcija, kuri gali būti mirtina</w:t>
            </w:r>
            <w:r w:rsidR="00EE6BC4" w:rsidRPr="00B27E7B">
              <w:rPr>
                <w:rFonts w:ascii="Times New Roman" w:hAnsi="Times New Roman"/>
                <w:lang w:val="lt-LT"/>
              </w:rPr>
              <w:t>, miego apnėjos sindromas*</w:t>
            </w:r>
          </w:p>
        </w:tc>
      </w:tr>
      <w:tr w:rsidR="00A34B5C" w:rsidRPr="00A34B5C" w14:paraId="18D7BC2A" w14:textId="77777777" w:rsidTr="0035481C">
        <w:tc>
          <w:tcPr>
            <w:tcW w:w="567" w:type="dxa"/>
          </w:tcPr>
          <w:p w14:paraId="167D0878"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55BA9439" w14:textId="6296D743"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 xml:space="preserve">Labai </w:t>
            </w:r>
            <w:r w:rsidRPr="007338B8">
              <w:rPr>
                <w:rFonts w:ascii="Times New Roman" w:eastAsia="Calibri" w:hAnsi="Times New Roman" w:cs="Times New Roman"/>
                <w:lang w:val="lt-LT"/>
              </w:rPr>
              <w:t>ret</w:t>
            </w:r>
            <w:r w:rsidR="007338B8" w:rsidRPr="007338B8">
              <w:rPr>
                <w:rFonts w:ascii="Times New Roman" w:eastAsia="Calibri" w:hAnsi="Times New Roman" w:cs="Times New Roman"/>
                <w:lang w:val="lt-LT"/>
              </w:rPr>
              <w:t>as</w:t>
            </w:r>
          </w:p>
        </w:tc>
        <w:tc>
          <w:tcPr>
            <w:tcW w:w="6520" w:type="dxa"/>
          </w:tcPr>
          <w:p w14:paraId="71D5241F"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Kvėpavimo slopinimas, sustojimas</w:t>
            </w:r>
          </w:p>
        </w:tc>
      </w:tr>
      <w:tr w:rsidR="00A34B5C" w:rsidRPr="00A34B5C" w14:paraId="385C3356" w14:textId="77777777" w:rsidTr="0035481C">
        <w:tc>
          <w:tcPr>
            <w:tcW w:w="567" w:type="dxa"/>
          </w:tcPr>
          <w:p w14:paraId="275A5753"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4FD4CA3E"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Dažnis nežinomas</w:t>
            </w:r>
          </w:p>
        </w:tc>
        <w:tc>
          <w:tcPr>
            <w:tcW w:w="6520" w:type="dxa"/>
          </w:tcPr>
          <w:p w14:paraId="315F841E" w14:textId="77777777" w:rsidR="00A34B5C" w:rsidRPr="00B27E7B" w:rsidRDefault="00EE6BC4" w:rsidP="00A34B5C">
            <w:pPr>
              <w:keepNext/>
              <w:widowControl w:val="0"/>
              <w:tabs>
                <w:tab w:val="left" w:pos="284"/>
              </w:tabs>
              <w:adjustRightInd w:val="0"/>
              <w:spacing w:after="0" w:line="240" w:lineRule="auto"/>
              <w:textAlignment w:val="baseline"/>
              <w:rPr>
                <w:rFonts w:ascii="Times New Roman" w:hAnsi="Times New Roman"/>
                <w:lang w:val="lt-LT"/>
              </w:rPr>
            </w:pPr>
            <w:r w:rsidRPr="007338B8">
              <w:rPr>
                <w:rFonts w:ascii="Times New Roman" w:eastAsia="Calibri" w:hAnsi="Times New Roman" w:cs="Times New Roman"/>
                <w:lang w:val="lt-LT"/>
              </w:rPr>
              <w:t>Skystis pleuroje*, n</w:t>
            </w:r>
            <w:r w:rsidR="00A34B5C" w:rsidRPr="007338B8">
              <w:rPr>
                <w:rFonts w:ascii="Times New Roman" w:eastAsia="Calibri" w:hAnsi="Times New Roman" w:cs="Times New Roman"/>
                <w:lang w:val="lt-LT"/>
              </w:rPr>
              <w:t>osies užgulimas</w:t>
            </w:r>
          </w:p>
        </w:tc>
      </w:tr>
      <w:tr w:rsidR="00A34B5C" w:rsidRPr="00A34B5C" w14:paraId="25B91D56" w14:textId="77777777" w:rsidTr="0035481C">
        <w:tc>
          <w:tcPr>
            <w:tcW w:w="9072" w:type="dxa"/>
            <w:gridSpan w:val="3"/>
          </w:tcPr>
          <w:p w14:paraId="442A4C2C"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b/>
                <w:lang w:val="lt-LT"/>
              </w:rPr>
            </w:pPr>
            <w:r w:rsidRPr="007338B8">
              <w:rPr>
                <w:rFonts w:ascii="Times New Roman" w:eastAsia="Calibri" w:hAnsi="Times New Roman" w:cs="Times New Roman"/>
                <w:b/>
                <w:bCs/>
                <w:iCs/>
                <w:lang w:val="lt-LT"/>
              </w:rPr>
              <w:t>Virškinimo trakto sutrikimai</w:t>
            </w:r>
          </w:p>
        </w:tc>
      </w:tr>
      <w:tr w:rsidR="00A34B5C" w:rsidRPr="00A34B5C" w14:paraId="28E6A258" w14:textId="77777777" w:rsidTr="0035481C">
        <w:tc>
          <w:tcPr>
            <w:tcW w:w="567" w:type="dxa"/>
          </w:tcPr>
          <w:p w14:paraId="49A72E8E"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2DB1CDE9" w14:textId="4FCD1941"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 xml:space="preserve">Labai </w:t>
            </w:r>
            <w:r w:rsidRPr="007338B8">
              <w:rPr>
                <w:rFonts w:ascii="Times New Roman" w:eastAsia="Calibri" w:hAnsi="Times New Roman" w:cs="Times New Roman"/>
                <w:lang w:val="lt-LT"/>
              </w:rPr>
              <w:t>dažn</w:t>
            </w:r>
            <w:r w:rsidR="007338B8" w:rsidRPr="007338B8">
              <w:rPr>
                <w:rFonts w:ascii="Times New Roman" w:eastAsia="Calibri" w:hAnsi="Times New Roman" w:cs="Times New Roman"/>
                <w:lang w:val="lt-LT"/>
              </w:rPr>
              <w:t>as</w:t>
            </w:r>
          </w:p>
        </w:tc>
        <w:tc>
          <w:tcPr>
            <w:tcW w:w="6520" w:type="dxa"/>
          </w:tcPr>
          <w:p w14:paraId="193532B2"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Vidurių užkietėjimas, padidėjęs seilėtekis</w:t>
            </w:r>
          </w:p>
        </w:tc>
      </w:tr>
      <w:tr w:rsidR="00A34B5C" w:rsidRPr="00A34B5C" w14:paraId="598F4E46" w14:textId="77777777" w:rsidTr="0035481C">
        <w:tc>
          <w:tcPr>
            <w:tcW w:w="567" w:type="dxa"/>
          </w:tcPr>
          <w:p w14:paraId="32EECEFB"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0E8731D4" w14:textId="0A4EAC62"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7338B8">
              <w:rPr>
                <w:rFonts w:ascii="Times New Roman" w:eastAsia="Calibri" w:hAnsi="Times New Roman" w:cs="Times New Roman"/>
                <w:lang w:val="lt-LT"/>
              </w:rPr>
              <w:t>Dažn</w:t>
            </w:r>
            <w:r w:rsidR="007338B8" w:rsidRPr="007338B8">
              <w:rPr>
                <w:rFonts w:ascii="Times New Roman" w:eastAsia="Calibri" w:hAnsi="Times New Roman" w:cs="Times New Roman"/>
                <w:lang w:val="lt-LT"/>
              </w:rPr>
              <w:t>as</w:t>
            </w:r>
          </w:p>
        </w:tc>
        <w:tc>
          <w:tcPr>
            <w:tcW w:w="6520" w:type="dxa"/>
          </w:tcPr>
          <w:p w14:paraId="738F3FCB"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Pykinimas, vėmimas, anoreksija, sausa burna</w:t>
            </w:r>
          </w:p>
        </w:tc>
      </w:tr>
      <w:tr w:rsidR="00A34B5C" w:rsidRPr="00A34B5C" w14:paraId="51E8962B" w14:textId="77777777" w:rsidTr="0035481C">
        <w:tc>
          <w:tcPr>
            <w:tcW w:w="567" w:type="dxa"/>
          </w:tcPr>
          <w:p w14:paraId="69BAB343"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3A7BF765" w14:textId="0737CFF2"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7338B8">
              <w:rPr>
                <w:rFonts w:ascii="Times New Roman" w:eastAsia="Calibri" w:hAnsi="Times New Roman" w:cs="Times New Roman"/>
                <w:lang w:val="lt-LT"/>
              </w:rPr>
              <w:t>Ret</w:t>
            </w:r>
            <w:r w:rsidR="007338B8" w:rsidRPr="007338B8">
              <w:rPr>
                <w:rFonts w:ascii="Times New Roman" w:eastAsia="Calibri" w:hAnsi="Times New Roman" w:cs="Times New Roman"/>
                <w:lang w:val="lt-LT"/>
              </w:rPr>
              <w:t>as</w:t>
            </w:r>
          </w:p>
        </w:tc>
        <w:tc>
          <w:tcPr>
            <w:tcW w:w="6520" w:type="dxa"/>
          </w:tcPr>
          <w:p w14:paraId="40CEA04E"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Disfagija</w:t>
            </w:r>
          </w:p>
        </w:tc>
      </w:tr>
      <w:tr w:rsidR="00A34B5C" w:rsidRPr="0049380B" w14:paraId="461EB8EA" w14:textId="77777777" w:rsidTr="0035481C">
        <w:tc>
          <w:tcPr>
            <w:tcW w:w="567" w:type="dxa"/>
          </w:tcPr>
          <w:p w14:paraId="62D5D48C"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4047F266" w14:textId="03312E11"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 xml:space="preserve">Labai </w:t>
            </w:r>
            <w:r w:rsidRPr="007338B8">
              <w:rPr>
                <w:rFonts w:ascii="Times New Roman" w:eastAsia="Calibri" w:hAnsi="Times New Roman" w:cs="Times New Roman"/>
                <w:lang w:val="lt-LT"/>
              </w:rPr>
              <w:t>ret</w:t>
            </w:r>
            <w:r w:rsidR="007338B8" w:rsidRPr="007338B8">
              <w:rPr>
                <w:rFonts w:ascii="Times New Roman" w:eastAsia="Calibri" w:hAnsi="Times New Roman" w:cs="Times New Roman"/>
                <w:lang w:val="lt-LT"/>
              </w:rPr>
              <w:t>as</w:t>
            </w:r>
          </w:p>
        </w:tc>
        <w:tc>
          <w:tcPr>
            <w:tcW w:w="6520" w:type="dxa"/>
          </w:tcPr>
          <w:p w14:paraId="232B1058" w14:textId="77777777" w:rsidR="00A34B5C" w:rsidRPr="00B27E7B" w:rsidRDefault="00A34B5C"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Žarnų obstrukcija, paralyžinis žarnų nepraeinamumas, užkimšimas išmatomis, padidėjusios paausinės liaukos</w:t>
            </w:r>
          </w:p>
        </w:tc>
      </w:tr>
      <w:tr w:rsidR="00A34B5C" w:rsidRPr="00A34B5C" w14:paraId="74B516B4" w14:textId="77777777" w:rsidTr="0035481C">
        <w:tc>
          <w:tcPr>
            <w:tcW w:w="567" w:type="dxa"/>
          </w:tcPr>
          <w:p w14:paraId="23A8C4A6"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p>
        </w:tc>
        <w:tc>
          <w:tcPr>
            <w:tcW w:w="1985" w:type="dxa"/>
          </w:tcPr>
          <w:p w14:paraId="1C8CCD67"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Dažnis nežinomas</w:t>
            </w:r>
          </w:p>
        </w:tc>
        <w:tc>
          <w:tcPr>
            <w:tcW w:w="6520" w:type="dxa"/>
          </w:tcPr>
          <w:p w14:paraId="60B0ABA1" w14:textId="77777777" w:rsidR="00A34B5C" w:rsidRPr="00B27E7B" w:rsidRDefault="00EE6BC4" w:rsidP="001D3552">
            <w:pPr>
              <w:keepNext/>
              <w:widowControl w:val="0"/>
              <w:tabs>
                <w:tab w:val="left" w:pos="284"/>
              </w:tabs>
              <w:adjustRightInd w:val="0"/>
              <w:spacing w:after="0" w:line="240" w:lineRule="auto"/>
              <w:textAlignment w:val="baseline"/>
              <w:rPr>
                <w:rFonts w:ascii="Times New Roman" w:hAnsi="Times New Roman"/>
                <w:lang w:val="lt-LT"/>
              </w:rPr>
            </w:pPr>
            <w:r w:rsidRPr="007338B8">
              <w:rPr>
                <w:rFonts w:ascii="Times New Roman" w:eastAsia="Calibri" w:hAnsi="Times New Roman" w:cs="Times New Roman"/>
                <w:lang w:val="lt-LT"/>
              </w:rPr>
              <w:t>Didelė gaubtinė žarna</w:t>
            </w:r>
            <w:r w:rsidR="0049380B" w:rsidRPr="007338B8">
              <w:rPr>
                <w:rFonts w:ascii="Times New Roman" w:eastAsia="Calibri" w:hAnsi="Times New Roman" w:cs="Times New Roman"/>
                <w:lang w:val="lt-LT"/>
              </w:rPr>
              <w:t>*</w:t>
            </w:r>
            <w:r w:rsidR="0049380B" w:rsidRPr="007338B8">
              <w:rPr>
                <w:rFonts w:ascii="Times New Roman" w:eastAsia="Calibri" w:hAnsi="Times New Roman" w:cs="Times New Roman"/>
                <w:vertAlign w:val="superscript"/>
                <w:lang w:val="lt-LT"/>
              </w:rPr>
              <w:t>,</w:t>
            </w:r>
            <w:r w:rsidR="001D3552" w:rsidRPr="007338B8">
              <w:rPr>
                <w:rFonts w:ascii="Times New Roman" w:eastAsia="Calibri" w:hAnsi="Times New Roman" w:cs="Times New Roman"/>
                <w:lang w:val="lt-LT"/>
              </w:rPr>
              <w:t>*</w:t>
            </w:r>
            <w:r w:rsidRPr="007338B8">
              <w:rPr>
                <w:rFonts w:ascii="Times New Roman" w:eastAsia="Calibri" w:hAnsi="Times New Roman" w:cs="Times New Roman"/>
                <w:lang w:val="lt-LT"/>
              </w:rPr>
              <w:t>*, žarnyno infarktas ir (arba) išemija</w:t>
            </w:r>
            <w:r w:rsidR="0049380B" w:rsidRPr="007338B8">
              <w:rPr>
                <w:rFonts w:ascii="Times New Roman" w:eastAsia="Calibri" w:hAnsi="Times New Roman" w:cs="Times New Roman"/>
                <w:lang w:val="lt-LT"/>
              </w:rPr>
              <w:t>*</w:t>
            </w:r>
            <w:r w:rsidR="0049380B" w:rsidRPr="007338B8">
              <w:rPr>
                <w:rFonts w:ascii="Times New Roman" w:eastAsia="Calibri" w:hAnsi="Times New Roman" w:cs="Times New Roman"/>
                <w:vertAlign w:val="superscript"/>
                <w:lang w:val="lt-LT"/>
              </w:rPr>
              <w:t>,</w:t>
            </w:r>
            <w:r w:rsidR="001D3552" w:rsidRPr="007338B8">
              <w:rPr>
                <w:rFonts w:ascii="Times New Roman" w:eastAsia="Calibri" w:hAnsi="Times New Roman" w:cs="Times New Roman"/>
                <w:lang w:val="lt-LT"/>
              </w:rPr>
              <w:t>*</w:t>
            </w:r>
            <w:r w:rsidRPr="007338B8">
              <w:rPr>
                <w:rFonts w:ascii="Times New Roman" w:eastAsia="Calibri" w:hAnsi="Times New Roman" w:cs="Times New Roman"/>
                <w:lang w:val="lt-LT"/>
              </w:rPr>
              <w:t>*,</w:t>
            </w:r>
            <w:r w:rsidR="001D3552" w:rsidRPr="007338B8">
              <w:rPr>
                <w:rFonts w:ascii="Times New Roman" w:eastAsia="Calibri" w:hAnsi="Times New Roman" w:cs="Times New Roman"/>
                <w:lang w:val="lt-LT"/>
              </w:rPr>
              <w:t xml:space="preserve"> žarnyno nekrozė</w:t>
            </w:r>
            <w:r w:rsidR="0049380B" w:rsidRPr="007338B8">
              <w:rPr>
                <w:rFonts w:ascii="Times New Roman" w:eastAsia="Calibri" w:hAnsi="Times New Roman" w:cs="Times New Roman"/>
                <w:lang w:val="lt-LT"/>
              </w:rPr>
              <w:t>*</w:t>
            </w:r>
            <w:r w:rsidR="0049380B" w:rsidRPr="007338B8">
              <w:rPr>
                <w:rFonts w:ascii="Times New Roman" w:eastAsia="Calibri" w:hAnsi="Times New Roman" w:cs="Times New Roman"/>
                <w:vertAlign w:val="superscript"/>
                <w:lang w:val="lt-LT"/>
              </w:rPr>
              <w:t>,</w:t>
            </w:r>
            <w:r w:rsidR="001D3552" w:rsidRPr="007338B8">
              <w:rPr>
                <w:rFonts w:ascii="Times New Roman" w:eastAsia="Calibri" w:hAnsi="Times New Roman" w:cs="Times New Roman"/>
                <w:lang w:val="lt-LT"/>
              </w:rPr>
              <w:t>**, žarnyno išopėjimas</w:t>
            </w:r>
            <w:r w:rsidR="0049380B" w:rsidRPr="007338B8">
              <w:rPr>
                <w:rFonts w:ascii="Times New Roman" w:eastAsia="Calibri" w:hAnsi="Times New Roman" w:cs="Times New Roman"/>
                <w:lang w:val="lt-LT"/>
              </w:rPr>
              <w:t>*</w:t>
            </w:r>
            <w:r w:rsidR="0049380B" w:rsidRPr="007338B8">
              <w:rPr>
                <w:rFonts w:ascii="Times New Roman" w:eastAsia="Calibri" w:hAnsi="Times New Roman" w:cs="Times New Roman"/>
                <w:vertAlign w:val="superscript"/>
                <w:lang w:val="lt-LT"/>
              </w:rPr>
              <w:t>,</w:t>
            </w:r>
            <w:r w:rsidR="001D3552" w:rsidRPr="007338B8">
              <w:rPr>
                <w:rFonts w:ascii="Times New Roman" w:eastAsia="Calibri" w:hAnsi="Times New Roman" w:cs="Times New Roman"/>
                <w:lang w:val="lt-LT"/>
              </w:rPr>
              <w:t>** ir perforacija</w:t>
            </w:r>
            <w:r w:rsidR="0049380B" w:rsidRPr="007338B8">
              <w:rPr>
                <w:rFonts w:ascii="Times New Roman" w:eastAsia="Calibri" w:hAnsi="Times New Roman" w:cs="Times New Roman"/>
                <w:lang w:val="lt-LT"/>
              </w:rPr>
              <w:t>*</w:t>
            </w:r>
            <w:r w:rsidR="0049380B" w:rsidRPr="007338B8">
              <w:rPr>
                <w:rFonts w:ascii="Times New Roman" w:eastAsia="Calibri" w:hAnsi="Times New Roman" w:cs="Times New Roman"/>
                <w:vertAlign w:val="superscript"/>
                <w:lang w:val="lt-LT"/>
              </w:rPr>
              <w:t>,</w:t>
            </w:r>
            <w:r w:rsidR="001D3552" w:rsidRPr="007338B8">
              <w:rPr>
                <w:rFonts w:ascii="Times New Roman" w:eastAsia="Calibri" w:hAnsi="Times New Roman" w:cs="Times New Roman"/>
                <w:lang w:val="lt-LT"/>
              </w:rPr>
              <w:t>**,</w:t>
            </w:r>
            <w:r w:rsidRPr="007338B8">
              <w:rPr>
                <w:rFonts w:ascii="Times New Roman" w:eastAsia="Calibri" w:hAnsi="Times New Roman" w:cs="Times New Roman"/>
                <w:lang w:val="lt-LT"/>
              </w:rPr>
              <w:t xml:space="preserve"> v</w:t>
            </w:r>
            <w:r w:rsidR="00A34B5C" w:rsidRPr="007338B8">
              <w:rPr>
                <w:rFonts w:ascii="Times New Roman" w:eastAsia="Calibri" w:hAnsi="Times New Roman" w:cs="Times New Roman"/>
                <w:lang w:val="lt-LT"/>
              </w:rPr>
              <w:t>iduriavimas*, diskomforto jausmas pilve, rėmuo, dispepsija*, kolitas*</w:t>
            </w:r>
          </w:p>
        </w:tc>
      </w:tr>
      <w:tr w:rsidR="00A34B5C" w:rsidRPr="00A34B5C" w14:paraId="21C3F9BB" w14:textId="77777777" w:rsidTr="0035481C">
        <w:tc>
          <w:tcPr>
            <w:tcW w:w="9072" w:type="dxa"/>
            <w:gridSpan w:val="3"/>
          </w:tcPr>
          <w:p w14:paraId="6234E1B6" w14:textId="77777777"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b/>
                <w:bCs/>
                <w:iCs/>
                <w:snapToGrid w:val="0"/>
                <w:lang w:val="lt-LT"/>
              </w:rPr>
            </w:pPr>
            <w:r w:rsidRPr="007338B8">
              <w:rPr>
                <w:rFonts w:ascii="Times New Roman" w:eastAsia="Calibri" w:hAnsi="Times New Roman" w:cs="Times New Roman"/>
                <w:b/>
                <w:bCs/>
                <w:iCs/>
                <w:lang w:val="lt-LT"/>
              </w:rPr>
              <w:t xml:space="preserve">Kepenų, tulžies </w:t>
            </w:r>
            <w:r w:rsidRPr="007338B8">
              <w:rPr>
                <w:rFonts w:ascii="Times New Roman" w:eastAsia="Calibri" w:hAnsi="Times New Roman" w:cs="Times New Roman"/>
                <w:b/>
                <w:bCs/>
                <w:iCs/>
                <w:noProof/>
                <w:lang w:val="lt-LT"/>
              </w:rPr>
              <w:t xml:space="preserve">pūslės ir latakų </w:t>
            </w:r>
            <w:r w:rsidRPr="007338B8">
              <w:rPr>
                <w:rFonts w:ascii="Times New Roman" w:eastAsia="Calibri" w:hAnsi="Times New Roman" w:cs="Times New Roman"/>
                <w:b/>
                <w:bCs/>
                <w:iCs/>
                <w:lang w:val="lt-LT"/>
              </w:rPr>
              <w:t>sutrikimai</w:t>
            </w:r>
          </w:p>
        </w:tc>
      </w:tr>
      <w:tr w:rsidR="00A34B5C" w:rsidRPr="00A34B5C" w14:paraId="0188334A" w14:textId="77777777" w:rsidTr="0035481C">
        <w:tc>
          <w:tcPr>
            <w:tcW w:w="567" w:type="dxa"/>
          </w:tcPr>
          <w:p w14:paraId="76504303" w14:textId="77777777"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p>
        </w:tc>
        <w:tc>
          <w:tcPr>
            <w:tcW w:w="1985" w:type="dxa"/>
          </w:tcPr>
          <w:p w14:paraId="0027C042" w14:textId="10C0E9AB"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r w:rsidRPr="007338B8">
              <w:rPr>
                <w:rFonts w:ascii="Times New Roman" w:eastAsia="Calibri" w:hAnsi="Times New Roman" w:cs="Times New Roman"/>
                <w:lang w:val="lt-LT"/>
              </w:rPr>
              <w:t>Dažn</w:t>
            </w:r>
            <w:r w:rsidR="007338B8" w:rsidRPr="007338B8">
              <w:rPr>
                <w:rFonts w:ascii="Times New Roman" w:eastAsia="Calibri" w:hAnsi="Times New Roman" w:cs="Times New Roman"/>
                <w:lang w:val="lt-LT"/>
              </w:rPr>
              <w:t>as</w:t>
            </w:r>
          </w:p>
        </w:tc>
        <w:tc>
          <w:tcPr>
            <w:tcW w:w="6520" w:type="dxa"/>
          </w:tcPr>
          <w:p w14:paraId="10074253"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B27E7B">
              <w:rPr>
                <w:rFonts w:ascii="Times New Roman" w:hAnsi="Times New Roman"/>
                <w:lang w:val="lt-LT"/>
              </w:rPr>
              <w:t>Padidėjęs kepenų fermentų aktyvumas</w:t>
            </w:r>
          </w:p>
        </w:tc>
      </w:tr>
      <w:tr w:rsidR="00A34B5C" w:rsidRPr="00A34B5C" w14:paraId="16B4FED8" w14:textId="77777777" w:rsidTr="0035481C">
        <w:tc>
          <w:tcPr>
            <w:tcW w:w="567" w:type="dxa"/>
          </w:tcPr>
          <w:p w14:paraId="61244427" w14:textId="77777777"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p>
        </w:tc>
        <w:tc>
          <w:tcPr>
            <w:tcW w:w="1985" w:type="dxa"/>
          </w:tcPr>
          <w:p w14:paraId="475766E3" w14:textId="53D0EE09"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r w:rsidRPr="007338B8">
              <w:rPr>
                <w:rFonts w:ascii="Times New Roman" w:eastAsia="Calibri" w:hAnsi="Times New Roman" w:cs="Times New Roman"/>
                <w:lang w:val="lt-LT"/>
              </w:rPr>
              <w:t>Ret</w:t>
            </w:r>
            <w:r w:rsidR="007338B8" w:rsidRPr="007338B8">
              <w:rPr>
                <w:rFonts w:ascii="Times New Roman" w:eastAsia="Calibri" w:hAnsi="Times New Roman" w:cs="Times New Roman"/>
                <w:lang w:val="lt-LT"/>
              </w:rPr>
              <w:t>as</w:t>
            </w:r>
          </w:p>
        </w:tc>
        <w:tc>
          <w:tcPr>
            <w:tcW w:w="6520" w:type="dxa"/>
          </w:tcPr>
          <w:p w14:paraId="7F12FE5C"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B27E7B">
              <w:rPr>
                <w:rFonts w:ascii="Times New Roman" w:hAnsi="Times New Roman"/>
                <w:lang w:val="lt-LT"/>
              </w:rPr>
              <w:t>Pankreatitas, hepatitas, cholestazinė gelta</w:t>
            </w:r>
          </w:p>
        </w:tc>
      </w:tr>
      <w:tr w:rsidR="00A34B5C" w:rsidRPr="00A34B5C" w14:paraId="7DFF4DDE" w14:textId="77777777" w:rsidTr="0035481C">
        <w:tc>
          <w:tcPr>
            <w:tcW w:w="567" w:type="dxa"/>
          </w:tcPr>
          <w:p w14:paraId="38A15BD7" w14:textId="77777777"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p>
        </w:tc>
        <w:tc>
          <w:tcPr>
            <w:tcW w:w="1985" w:type="dxa"/>
          </w:tcPr>
          <w:p w14:paraId="214D29DD" w14:textId="1148A07F"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r w:rsidRPr="00B27E7B">
              <w:rPr>
                <w:rFonts w:ascii="Times New Roman" w:hAnsi="Times New Roman"/>
                <w:lang w:val="lt-LT"/>
              </w:rPr>
              <w:t xml:space="preserve">Labai </w:t>
            </w:r>
            <w:r w:rsidRPr="007338B8">
              <w:rPr>
                <w:rFonts w:ascii="Times New Roman" w:eastAsia="Calibri" w:hAnsi="Times New Roman" w:cs="Times New Roman"/>
                <w:lang w:val="lt-LT"/>
              </w:rPr>
              <w:t>ret</w:t>
            </w:r>
            <w:r w:rsidR="007338B8" w:rsidRPr="007338B8">
              <w:rPr>
                <w:rFonts w:ascii="Times New Roman" w:eastAsia="Calibri" w:hAnsi="Times New Roman" w:cs="Times New Roman"/>
                <w:lang w:val="lt-LT"/>
              </w:rPr>
              <w:t>as</w:t>
            </w:r>
          </w:p>
        </w:tc>
        <w:tc>
          <w:tcPr>
            <w:tcW w:w="6520" w:type="dxa"/>
          </w:tcPr>
          <w:p w14:paraId="284BC633"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B27E7B">
              <w:rPr>
                <w:rFonts w:ascii="Times New Roman" w:hAnsi="Times New Roman"/>
                <w:lang w:val="lt-LT"/>
              </w:rPr>
              <w:t>Žaibiškoji kepenų nekrozė</w:t>
            </w:r>
          </w:p>
        </w:tc>
      </w:tr>
      <w:tr w:rsidR="00A34B5C" w:rsidRPr="0049380B" w14:paraId="31C59C27" w14:textId="77777777" w:rsidTr="0035481C">
        <w:tc>
          <w:tcPr>
            <w:tcW w:w="567" w:type="dxa"/>
          </w:tcPr>
          <w:p w14:paraId="465B3875" w14:textId="77777777"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p>
        </w:tc>
        <w:tc>
          <w:tcPr>
            <w:tcW w:w="1985" w:type="dxa"/>
          </w:tcPr>
          <w:p w14:paraId="3491AF41" w14:textId="77777777"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r w:rsidRPr="007338B8">
              <w:rPr>
                <w:rFonts w:ascii="Times New Roman" w:eastAsia="Calibri" w:hAnsi="Times New Roman" w:cs="Times New Roman"/>
                <w:lang w:val="lt-LT"/>
              </w:rPr>
              <w:t>Dažnis nežinomas</w:t>
            </w:r>
          </w:p>
        </w:tc>
        <w:tc>
          <w:tcPr>
            <w:tcW w:w="6520" w:type="dxa"/>
          </w:tcPr>
          <w:p w14:paraId="53FD26C8"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7338B8">
              <w:rPr>
                <w:rFonts w:ascii="Times New Roman" w:eastAsia="Calibri" w:hAnsi="Times New Roman" w:cs="Times New Roman"/>
                <w:lang w:val="lt-LT"/>
              </w:rPr>
              <w:t>Kepenų steatozė</w:t>
            </w:r>
            <w:r w:rsidRPr="007338B8">
              <w:rPr>
                <w:rFonts w:ascii="Times New Roman" w:eastAsia="Calibri" w:hAnsi="Times New Roman" w:cs="Times New Roman"/>
                <w:vertAlign w:val="superscript"/>
                <w:lang w:val="lt-LT"/>
              </w:rPr>
              <w:t>*</w:t>
            </w:r>
            <w:r w:rsidRPr="007338B8">
              <w:rPr>
                <w:rFonts w:ascii="Times New Roman" w:eastAsia="Calibri" w:hAnsi="Times New Roman" w:cs="Times New Roman"/>
                <w:lang w:val="lt-LT"/>
              </w:rPr>
              <w:t>, kepenų nekrozė</w:t>
            </w:r>
            <w:r w:rsidRPr="007338B8">
              <w:rPr>
                <w:rFonts w:ascii="Times New Roman" w:eastAsia="Calibri" w:hAnsi="Times New Roman" w:cs="Times New Roman"/>
                <w:vertAlign w:val="superscript"/>
                <w:lang w:val="lt-LT"/>
              </w:rPr>
              <w:t>*</w:t>
            </w:r>
            <w:r w:rsidRPr="007338B8">
              <w:rPr>
                <w:rFonts w:ascii="Times New Roman" w:eastAsia="Calibri" w:hAnsi="Times New Roman" w:cs="Times New Roman"/>
                <w:lang w:val="lt-LT"/>
              </w:rPr>
              <w:t>, toksinis poveikis kepenims</w:t>
            </w:r>
            <w:r w:rsidRPr="007338B8">
              <w:rPr>
                <w:rFonts w:ascii="Times New Roman" w:eastAsia="Calibri" w:hAnsi="Times New Roman" w:cs="Times New Roman"/>
                <w:vertAlign w:val="superscript"/>
                <w:lang w:val="lt-LT"/>
              </w:rPr>
              <w:t>*</w:t>
            </w:r>
            <w:r w:rsidRPr="007338B8">
              <w:rPr>
                <w:rFonts w:ascii="Times New Roman" w:eastAsia="Calibri" w:hAnsi="Times New Roman" w:cs="Times New Roman"/>
                <w:lang w:val="lt-LT"/>
              </w:rPr>
              <w:t>, kepenų fibrozė</w:t>
            </w:r>
            <w:r w:rsidRPr="007338B8">
              <w:rPr>
                <w:rFonts w:ascii="Times New Roman" w:eastAsia="Calibri" w:hAnsi="Times New Roman" w:cs="Times New Roman"/>
                <w:vertAlign w:val="superscript"/>
                <w:lang w:val="lt-LT"/>
              </w:rPr>
              <w:t>*</w:t>
            </w:r>
            <w:r w:rsidRPr="007338B8">
              <w:rPr>
                <w:rFonts w:ascii="Times New Roman" w:eastAsia="Calibri" w:hAnsi="Times New Roman" w:cs="Times New Roman"/>
                <w:lang w:val="lt-LT"/>
              </w:rPr>
              <w:t>, kepenų cirozė</w:t>
            </w:r>
            <w:r w:rsidRPr="007338B8">
              <w:rPr>
                <w:rFonts w:ascii="Times New Roman" w:eastAsia="Calibri" w:hAnsi="Times New Roman" w:cs="Times New Roman"/>
                <w:vertAlign w:val="superscript"/>
                <w:lang w:val="lt-LT"/>
              </w:rPr>
              <w:t>*</w:t>
            </w:r>
            <w:r w:rsidRPr="007338B8">
              <w:rPr>
                <w:rFonts w:ascii="Times New Roman" w:eastAsia="Calibri" w:hAnsi="Times New Roman" w:cs="Times New Roman"/>
                <w:lang w:val="lt-LT"/>
              </w:rPr>
              <w:t>, kepenų veiklos sutrikimai, įskaitant tokius reiškinius, kurie sukelia pavojų gyvybei lemiančias pasekmes, pavyzdžiui, kepenų pažeidimą (kepenų, cholestazinį arba mišrų sutrikimą), kepenų nepakankamumą, kuris gali lemti mirtį, ir kepenų transplantaciją</w:t>
            </w:r>
            <w:r w:rsidRPr="007338B8">
              <w:rPr>
                <w:rFonts w:ascii="Times New Roman" w:eastAsia="Calibri" w:hAnsi="Times New Roman" w:cs="Times New Roman"/>
                <w:vertAlign w:val="superscript"/>
                <w:lang w:val="lt-LT"/>
              </w:rPr>
              <w:t>*</w:t>
            </w:r>
            <w:r w:rsidRPr="007338B8">
              <w:rPr>
                <w:rFonts w:ascii="Times New Roman" w:eastAsia="Calibri" w:hAnsi="Times New Roman" w:cs="Times New Roman"/>
                <w:lang w:val="lt-LT"/>
              </w:rPr>
              <w:t>.</w:t>
            </w:r>
          </w:p>
        </w:tc>
      </w:tr>
      <w:tr w:rsidR="00A34B5C" w:rsidRPr="00A34B5C" w14:paraId="0F4A55EF" w14:textId="77777777" w:rsidTr="0035481C">
        <w:tc>
          <w:tcPr>
            <w:tcW w:w="9072" w:type="dxa"/>
            <w:gridSpan w:val="3"/>
          </w:tcPr>
          <w:p w14:paraId="05044150"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7338B8">
              <w:rPr>
                <w:rFonts w:ascii="Times New Roman" w:eastAsia="Calibri" w:hAnsi="Times New Roman" w:cs="Times New Roman"/>
                <w:b/>
                <w:bCs/>
                <w:iCs/>
                <w:lang w:val="lt-LT"/>
              </w:rPr>
              <w:t>Odos ir poodinio audinio sutrikimai</w:t>
            </w:r>
          </w:p>
        </w:tc>
      </w:tr>
      <w:tr w:rsidR="00A34B5C" w:rsidRPr="00A34B5C" w14:paraId="4DCE5BB0" w14:textId="77777777" w:rsidTr="0035481C">
        <w:tc>
          <w:tcPr>
            <w:tcW w:w="567" w:type="dxa"/>
          </w:tcPr>
          <w:p w14:paraId="31CF6A52" w14:textId="77777777"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p>
        </w:tc>
        <w:tc>
          <w:tcPr>
            <w:tcW w:w="1985" w:type="dxa"/>
          </w:tcPr>
          <w:p w14:paraId="7D2EA3FA" w14:textId="2A41D7B8"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r w:rsidRPr="00B27E7B">
              <w:rPr>
                <w:rFonts w:ascii="Times New Roman" w:hAnsi="Times New Roman"/>
                <w:lang w:val="lt-LT"/>
              </w:rPr>
              <w:t xml:space="preserve">Labai </w:t>
            </w:r>
            <w:r w:rsidRPr="007338B8">
              <w:rPr>
                <w:rFonts w:ascii="Times New Roman" w:eastAsia="Calibri" w:hAnsi="Times New Roman" w:cs="Times New Roman"/>
                <w:lang w:val="lt-LT"/>
              </w:rPr>
              <w:t>ret</w:t>
            </w:r>
            <w:r w:rsidR="007338B8" w:rsidRPr="007338B8">
              <w:rPr>
                <w:rFonts w:ascii="Times New Roman" w:eastAsia="Calibri" w:hAnsi="Times New Roman" w:cs="Times New Roman"/>
                <w:lang w:val="lt-LT"/>
              </w:rPr>
              <w:t>as</w:t>
            </w:r>
          </w:p>
        </w:tc>
        <w:tc>
          <w:tcPr>
            <w:tcW w:w="6520" w:type="dxa"/>
          </w:tcPr>
          <w:p w14:paraId="0155A602"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B27E7B">
              <w:rPr>
                <w:rFonts w:ascii="Times New Roman" w:hAnsi="Times New Roman"/>
                <w:lang w:val="lt-LT"/>
              </w:rPr>
              <w:t>Odos reakcijos</w:t>
            </w:r>
          </w:p>
        </w:tc>
      </w:tr>
      <w:tr w:rsidR="00A34B5C" w:rsidRPr="00A34B5C" w14:paraId="78E5D657" w14:textId="77777777" w:rsidTr="0035481C">
        <w:tc>
          <w:tcPr>
            <w:tcW w:w="567" w:type="dxa"/>
          </w:tcPr>
          <w:p w14:paraId="00A05B4A" w14:textId="77777777"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p>
        </w:tc>
        <w:tc>
          <w:tcPr>
            <w:tcW w:w="1985" w:type="dxa"/>
          </w:tcPr>
          <w:p w14:paraId="22DAD77D" w14:textId="77777777"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r w:rsidRPr="007338B8">
              <w:rPr>
                <w:rFonts w:ascii="Times New Roman" w:eastAsia="Calibri" w:hAnsi="Times New Roman" w:cs="Times New Roman"/>
                <w:lang w:val="lt-LT"/>
              </w:rPr>
              <w:t>Dažnis nežinomas</w:t>
            </w:r>
          </w:p>
        </w:tc>
        <w:tc>
          <w:tcPr>
            <w:tcW w:w="6520" w:type="dxa"/>
          </w:tcPr>
          <w:p w14:paraId="40899354"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7338B8">
              <w:rPr>
                <w:rFonts w:ascii="Times New Roman" w:eastAsia="Calibri" w:hAnsi="Times New Roman" w:cs="Times New Roman"/>
                <w:bCs/>
                <w:noProof/>
                <w:lang w:val="lt-LT"/>
              </w:rPr>
              <w:t>Pigmentacijos sutrikimai*</w:t>
            </w:r>
          </w:p>
        </w:tc>
      </w:tr>
      <w:tr w:rsidR="00A34B5C" w:rsidRPr="00A34B5C" w14:paraId="1575CD04" w14:textId="77777777" w:rsidTr="0035481C">
        <w:tc>
          <w:tcPr>
            <w:tcW w:w="9072" w:type="dxa"/>
            <w:gridSpan w:val="3"/>
          </w:tcPr>
          <w:p w14:paraId="245CC171"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7338B8">
              <w:rPr>
                <w:rFonts w:ascii="Times New Roman" w:eastAsia="Calibri" w:hAnsi="Times New Roman" w:cs="Times New Roman"/>
                <w:b/>
                <w:bCs/>
                <w:iCs/>
                <w:lang w:val="lt-LT"/>
              </w:rPr>
              <w:t>Skeleto, raumenų ir jungiamojo audinio sutrikimai</w:t>
            </w:r>
          </w:p>
        </w:tc>
      </w:tr>
      <w:tr w:rsidR="00A34B5C" w:rsidRPr="00A34B5C" w14:paraId="0AFC6B56" w14:textId="77777777" w:rsidTr="0035481C">
        <w:tc>
          <w:tcPr>
            <w:tcW w:w="567" w:type="dxa"/>
          </w:tcPr>
          <w:p w14:paraId="6346D86F" w14:textId="77777777"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p>
        </w:tc>
        <w:tc>
          <w:tcPr>
            <w:tcW w:w="1985" w:type="dxa"/>
          </w:tcPr>
          <w:p w14:paraId="2FEA0D31"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Dažnis nežinomas</w:t>
            </w:r>
          </w:p>
        </w:tc>
        <w:tc>
          <w:tcPr>
            <w:tcW w:w="6520" w:type="dxa"/>
          </w:tcPr>
          <w:p w14:paraId="4108D5BC" w14:textId="77777777" w:rsidR="00A34B5C" w:rsidRPr="007338B8" w:rsidRDefault="00EE6BC4"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7338B8">
              <w:rPr>
                <w:rFonts w:ascii="Times New Roman" w:eastAsia="Calibri" w:hAnsi="Times New Roman" w:cs="Times New Roman"/>
                <w:lang w:val="lt-LT"/>
              </w:rPr>
              <w:t>Rabdomiolizė*, r</w:t>
            </w:r>
            <w:r w:rsidR="00A34B5C" w:rsidRPr="007338B8">
              <w:rPr>
                <w:rFonts w:ascii="Times New Roman" w:eastAsia="Calibri" w:hAnsi="Times New Roman" w:cs="Times New Roman"/>
                <w:lang w:val="lt-LT"/>
              </w:rPr>
              <w:t>aumenų silpnumas*, raumenų spazmai*, raumenų skausmas*, sisteminė raudonoji vilkligė*</w:t>
            </w:r>
          </w:p>
        </w:tc>
      </w:tr>
      <w:tr w:rsidR="00A34B5C" w:rsidRPr="00A34B5C" w14:paraId="0FAA883C" w14:textId="77777777" w:rsidTr="0035481C">
        <w:tc>
          <w:tcPr>
            <w:tcW w:w="9072" w:type="dxa"/>
            <w:gridSpan w:val="3"/>
          </w:tcPr>
          <w:p w14:paraId="10AE7426"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7338B8">
              <w:rPr>
                <w:rFonts w:ascii="Times New Roman" w:eastAsia="Calibri" w:hAnsi="Times New Roman" w:cs="Times New Roman"/>
                <w:b/>
                <w:bCs/>
                <w:iCs/>
                <w:lang w:val="lt-LT"/>
              </w:rPr>
              <w:t>Inkstų ir šlapimo takų sutrikimai</w:t>
            </w:r>
          </w:p>
        </w:tc>
      </w:tr>
      <w:tr w:rsidR="00A34B5C" w:rsidRPr="00A34B5C" w14:paraId="37FE9350" w14:textId="77777777" w:rsidTr="0035481C">
        <w:tc>
          <w:tcPr>
            <w:tcW w:w="567" w:type="dxa"/>
          </w:tcPr>
          <w:p w14:paraId="1C3922A4" w14:textId="77777777"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p>
        </w:tc>
        <w:tc>
          <w:tcPr>
            <w:tcW w:w="1985" w:type="dxa"/>
          </w:tcPr>
          <w:p w14:paraId="56F2B3EF" w14:textId="77777777"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r w:rsidRPr="00B27E7B">
              <w:rPr>
                <w:rFonts w:ascii="Times New Roman" w:hAnsi="Times New Roman"/>
                <w:lang w:val="lt-LT"/>
              </w:rPr>
              <w:t>Dažni</w:t>
            </w:r>
          </w:p>
        </w:tc>
        <w:tc>
          <w:tcPr>
            <w:tcW w:w="6520" w:type="dxa"/>
          </w:tcPr>
          <w:p w14:paraId="37EDC72B"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B27E7B">
              <w:rPr>
                <w:rFonts w:ascii="Times New Roman" w:hAnsi="Times New Roman"/>
                <w:lang w:val="lt-LT"/>
              </w:rPr>
              <w:t>Šlapimo susilaikymas, šlapimo nelaikymas</w:t>
            </w:r>
          </w:p>
        </w:tc>
      </w:tr>
      <w:tr w:rsidR="00A34B5C" w:rsidRPr="00A34B5C" w14:paraId="49134989" w14:textId="77777777" w:rsidTr="0035481C">
        <w:tc>
          <w:tcPr>
            <w:tcW w:w="567" w:type="dxa"/>
          </w:tcPr>
          <w:p w14:paraId="3C6643F9" w14:textId="77777777"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p>
        </w:tc>
        <w:tc>
          <w:tcPr>
            <w:tcW w:w="1985" w:type="dxa"/>
          </w:tcPr>
          <w:p w14:paraId="3A4A6E1D" w14:textId="3AFD6E6F"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 xml:space="preserve">Labai </w:t>
            </w:r>
            <w:r w:rsidRPr="007338B8">
              <w:rPr>
                <w:rFonts w:ascii="Times New Roman" w:eastAsia="Calibri" w:hAnsi="Times New Roman" w:cs="Times New Roman"/>
                <w:lang w:val="lt-LT"/>
              </w:rPr>
              <w:t>ret</w:t>
            </w:r>
            <w:r w:rsidR="007338B8">
              <w:rPr>
                <w:rFonts w:ascii="Times New Roman" w:eastAsia="Calibri" w:hAnsi="Times New Roman" w:cs="Times New Roman"/>
                <w:lang w:val="lt-LT"/>
              </w:rPr>
              <w:t>as</w:t>
            </w:r>
          </w:p>
        </w:tc>
        <w:tc>
          <w:tcPr>
            <w:tcW w:w="6520" w:type="dxa"/>
          </w:tcPr>
          <w:p w14:paraId="546F3363" w14:textId="77777777" w:rsidR="00A34B5C" w:rsidRPr="007338B8" w:rsidRDefault="001D3552" w:rsidP="001D3552">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B27E7B">
              <w:rPr>
                <w:rFonts w:ascii="Times New Roman" w:hAnsi="Times New Roman"/>
                <w:lang w:val="lt-LT"/>
              </w:rPr>
              <w:t>Kanal</w:t>
            </w:r>
            <w:r w:rsidRPr="007338B8">
              <w:rPr>
                <w:rFonts w:ascii="Times New Roman" w:eastAsia="Calibri" w:hAnsi="Times New Roman" w:cs="Times New Roman"/>
                <w:bCs/>
                <w:noProof/>
                <w:lang w:val="lt-LT"/>
              </w:rPr>
              <w:t xml:space="preserve">ėlių ir </w:t>
            </w:r>
            <w:r w:rsidRPr="00B27E7B">
              <w:rPr>
                <w:rFonts w:ascii="Times New Roman" w:hAnsi="Times New Roman"/>
                <w:lang w:val="lt-LT"/>
              </w:rPr>
              <w:t>i</w:t>
            </w:r>
            <w:r w:rsidR="00A34B5C" w:rsidRPr="00B27E7B">
              <w:rPr>
                <w:rFonts w:ascii="Times New Roman" w:hAnsi="Times New Roman"/>
                <w:lang w:val="lt-LT"/>
              </w:rPr>
              <w:t>ntersticini</w:t>
            </w:r>
            <w:r w:rsidRPr="00B27E7B">
              <w:rPr>
                <w:rFonts w:ascii="Times New Roman" w:hAnsi="Times New Roman"/>
                <w:lang w:val="lt-LT"/>
              </w:rPr>
              <w:t>o audinio</w:t>
            </w:r>
            <w:r w:rsidR="00A34B5C" w:rsidRPr="00B27E7B">
              <w:rPr>
                <w:rFonts w:ascii="Times New Roman" w:hAnsi="Times New Roman"/>
                <w:lang w:val="lt-LT"/>
              </w:rPr>
              <w:t xml:space="preserve"> nefritas</w:t>
            </w:r>
          </w:p>
        </w:tc>
      </w:tr>
      <w:tr w:rsidR="00A34B5C" w:rsidRPr="00A34B5C" w14:paraId="0DE34148" w14:textId="77777777" w:rsidTr="0035481C">
        <w:tc>
          <w:tcPr>
            <w:tcW w:w="567" w:type="dxa"/>
          </w:tcPr>
          <w:p w14:paraId="03F8EE2E" w14:textId="77777777"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p>
        </w:tc>
        <w:tc>
          <w:tcPr>
            <w:tcW w:w="1985" w:type="dxa"/>
          </w:tcPr>
          <w:p w14:paraId="7FD61347" w14:textId="77777777"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Dažnis nežinomas</w:t>
            </w:r>
          </w:p>
        </w:tc>
        <w:tc>
          <w:tcPr>
            <w:tcW w:w="6520" w:type="dxa"/>
          </w:tcPr>
          <w:p w14:paraId="52AE9050"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lang w:val="lt-LT"/>
              </w:rPr>
            </w:pPr>
            <w:r w:rsidRPr="007338B8">
              <w:rPr>
                <w:rFonts w:ascii="Times New Roman" w:eastAsia="Calibri" w:hAnsi="Times New Roman" w:cs="Times New Roman"/>
                <w:lang w:val="lt-LT"/>
              </w:rPr>
              <w:t>Inkstų nepakankamumas*, naktinė enurezė*</w:t>
            </w:r>
          </w:p>
        </w:tc>
      </w:tr>
      <w:tr w:rsidR="001C7DED" w:rsidRPr="00A34B5C" w14:paraId="1B113CC3" w14:textId="77777777" w:rsidTr="0035481C">
        <w:tc>
          <w:tcPr>
            <w:tcW w:w="9072" w:type="dxa"/>
            <w:gridSpan w:val="3"/>
          </w:tcPr>
          <w:p w14:paraId="624C1011" w14:textId="77777777" w:rsidR="001C7DED" w:rsidRPr="007338B8" w:rsidRDefault="001C7DED"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7338B8">
              <w:rPr>
                <w:rFonts w:ascii="Times New Roman" w:eastAsia="Calibri" w:hAnsi="Times New Roman" w:cs="Times New Roman"/>
                <w:b/>
                <w:bCs/>
                <w:lang w:val="lt-LT"/>
              </w:rPr>
              <w:t>Būklės nėštumo, pogimdyminiu ir perinataliniu laikotarpiu</w:t>
            </w:r>
          </w:p>
        </w:tc>
      </w:tr>
      <w:tr w:rsidR="001C7DED" w:rsidRPr="00A34B5C" w14:paraId="1D2B9B1F" w14:textId="77777777" w:rsidTr="0035481C">
        <w:tc>
          <w:tcPr>
            <w:tcW w:w="567" w:type="dxa"/>
          </w:tcPr>
          <w:p w14:paraId="7F54BD7B" w14:textId="77777777" w:rsidR="001C7DED" w:rsidRPr="007338B8" w:rsidRDefault="001C7DED"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p>
        </w:tc>
        <w:tc>
          <w:tcPr>
            <w:tcW w:w="1985" w:type="dxa"/>
          </w:tcPr>
          <w:p w14:paraId="70F6242C" w14:textId="77777777" w:rsidR="001C7DED" w:rsidRPr="00B27E7B" w:rsidRDefault="001C7DED"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Dažnis nežinomas</w:t>
            </w:r>
          </w:p>
        </w:tc>
        <w:tc>
          <w:tcPr>
            <w:tcW w:w="6520" w:type="dxa"/>
          </w:tcPr>
          <w:p w14:paraId="2DD69C01" w14:textId="77777777" w:rsidR="001C7DED" w:rsidRPr="007338B8" w:rsidRDefault="001C7DED"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7338B8">
              <w:rPr>
                <w:rFonts w:ascii="Times New Roman" w:eastAsia="Calibri" w:hAnsi="Times New Roman" w:cs="Times New Roman"/>
                <w:bCs/>
                <w:lang w:val="lt-LT"/>
              </w:rPr>
              <w:t>Vaistinio preparato nutraukimo sindromas naujagimiams (žr. 4.6 skyrių)</w:t>
            </w:r>
          </w:p>
        </w:tc>
      </w:tr>
      <w:tr w:rsidR="00A34B5C" w:rsidRPr="00A34B5C" w14:paraId="4356D6A2" w14:textId="77777777" w:rsidTr="0035481C">
        <w:tc>
          <w:tcPr>
            <w:tcW w:w="9072" w:type="dxa"/>
            <w:gridSpan w:val="3"/>
          </w:tcPr>
          <w:p w14:paraId="2CEAB60D"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B27E7B">
              <w:rPr>
                <w:rFonts w:ascii="Times New Roman" w:hAnsi="Times New Roman"/>
                <w:b/>
                <w:lang w:val="lt-LT"/>
              </w:rPr>
              <w:t>Lytinės sistemos ir krūties sutrikimai</w:t>
            </w:r>
          </w:p>
        </w:tc>
      </w:tr>
      <w:tr w:rsidR="00A34B5C" w:rsidRPr="00A34B5C" w14:paraId="498CD5FA" w14:textId="77777777" w:rsidTr="0035481C">
        <w:tc>
          <w:tcPr>
            <w:tcW w:w="567" w:type="dxa"/>
          </w:tcPr>
          <w:p w14:paraId="7574CA62" w14:textId="77777777"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p>
        </w:tc>
        <w:tc>
          <w:tcPr>
            <w:tcW w:w="1985" w:type="dxa"/>
          </w:tcPr>
          <w:p w14:paraId="1C850106" w14:textId="278261D5"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r w:rsidRPr="00B27E7B">
              <w:rPr>
                <w:rFonts w:ascii="Times New Roman" w:hAnsi="Times New Roman"/>
                <w:lang w:val="lt-LT"/>
              </w:rPr>
              <w:t xml:space="preserve">Labai </w:t>
            </w:r>
            <w:r w:rsidRPr="007338B8">
              <w:rPr>
                <w:rFonts w:ascii="Times New Roman" w:eastAsia="Calibri" w:hAnsi="Times New Roman" w:cs="Times New Roman"/>
                <w:lang w:val="lt-LT"/>
              </w:rPr>
              <w:t>ret</w:t>
            </w:r>
            <w:r w:rsidR="007338B8">
              <w:rPr>
                <w:rFonts w:ascii="Times New Roman" w:eastAsia="Calibri" w:hAnsi="Times New Roman" w:cs="Times New Roman"/>
                <w:lang w:val="lt-LT"/>
              </w:rPr>
              <w:t>as</w:t>
            </w:r>
          </w:p>
        </w:tc>
        <w:tc>
          <w:tcPr>
            <w:tcW w:w="6520" w:type="dxa"/>
          </w:tcPr>
          <w:p w14:paraId="3584FA8D"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B27E7B">
              <w:rPr>
                <w:rFonts w:ascii="Times New Roman" w:hAnsi="Times New Roman"/>
                <w:lang w:val="lt-LT"/>
              </w:rPr>
              <w:t>Priapizmas</w:t>
            </w:r>
          </w:p>
        </w:tc>
      </w:tr>
      <w:tr w:rsidR="00A34B5C" w:rsidRPr="00A34B5C" w14:paraId="118D45AD" w14:textId="77777777" w:rsidTr="0035481C">
        <w:tc>
          <w:tcPr>
            <w:tcW w:w="567" w:type="dxa"/>
          </w:tcPr>
          <w:p w14:paraId="3AF9C118" w14:textId="77777777"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p>
        </w:tc>
        <w:tc>
          <w:tcPr>
            <w:tcW w:w="1985" w:type="dxa"/>
          </w:tcPr>
          <w:p w14:paraId="1A71976E" w14:textId="77777777"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r w:rsidRPr="00B27E7B">
              <w:rPr>
                <w:rFonts w:ascii="Times New Roman" w:hAnsi="Times New Roman"/>
                <w:lang w:val="lt-LT"/>
              </w:rPr>
              <w:t>Dažnis nežinomas</w:t>
            </w:r>
          </w:p>
        </w:tc>
        <w:tc>
          <w:tcPr>
            <w:tcW w:w="6520" w:type="dxa"/>
          </w:tcPr>
          <w:p w14:paraId="12CB050C"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7338B8">
              <w:rPr>
                <w:rFonts w:ascii="Times New Roman" w:eastAsia="Calibri" w:hAnsi="Times New Roman" w:cs="Times New Roman"/>
                <w:bCs/>
                <w:lang w:val="lt-LT"/>
              </w:rPr>
              <w:t>Retrogradinė ejakuliacija*</w:t>
            </w:r>
          </w:p>
        </w:tc>
      </w:tr>
      <w:tr w:rsidR="00A34B5C" w:rsidRPr="00A34B5C" w14:paraId="41256130" w14:textId="77777777" w:rsidTr="0035481C">
        <w:tc>
          <w:tcPr>
            <w:tcW w:w="9072" w:type="dxa"/>
            <w:gridSpan w:val="3"/>
          </w:tcPr>
          <w:p w14:paraId="73B6A6AE"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7338B8">
              <w:rPr>
                <w:rFonts w:ascii="Times New Roman" w:eastAsia="Calibri" w:hAnsi="Times New Roman" w:cs="Times New Roman"/>
                <w:b/>
                <w:bCs/>
                <w:iCs/>
                <w:lang w:val="lt-LT"/>
              </w:rPr>
              <w:t>Bendrieji sutrikimai ir vartojimo vietos pažeidimai</w:t>
            </w:r>
          </w:p>
        </w:tc>
      </w:tr>
      <w:tr w:rsidR="00A34B5C" w:rsidRPr="00A34B5C" w14:paraId="1867F622" w14:textId="77777777" w:rsidTr="0035481C">
        <w:tc>
          <w:tcPr>
            <w:tcW w:w="567" w:type="dxa"/>
          </w:tcPr>
          <w:p w14:paraId="520E5191" w14:textId="77777777"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p>
        </w:tc>
        <w:tc>
          <w:tcPr>
            <w:tcW w:w="1985" w:type="dxa"/>
          </w:tcPr>
          <w:p w14:paraId="0A5C0D6F" w14:textId="4FEFE31F"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7338B8">
              <w:rPr>
                <w:rFonts w:ascii="Times New Roman" w:eastAsia="Calibri" w:hAnsi="Times New Roman" w:cs="Times New Roman"/>
                <w:lang w:val="lt-LT"/>
              </w:rPr>
              <w:t>Dažn</w:t>
            </w:r>
            <w:r w:rsidR="007338B8">
              <w:rPr>
                <w:rFonts w:ascii="Times New Roman" w:eastAsia="Calibri" w:hAnsi="Times New Roman" w:cs="Times New Roman"/>
                <w:lang w:val="lt-LT"/>
              </w:rPr>
              <w:t>as</w:t>
            </w:r>
          </w:p>
        </w:tc>
        <w:tc>
          <w:tcPr>
            <w:tcW w:w="6520" w:type="dxa"/>
          </w:tcPr>
          <w:p w14:paraId="087C0211"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B27E7B">
              <w:rPr>
                <w:rFonts w:ascii="Times New Roman" w:hAnsi="Times New Roman"/>
                <w:lang w:val="lt-LT"/>
              </w:rPr>
              <w:t>Gerybinė hipertermija, sutrikęs prakaitavimo, temperatūros reguliavimas, nuovargis</w:t>
            </w:r>
          </w:p>
        </w:tc>
      </w:tr>
      <w:tr w:rsidR="00A34B5C" w:rsidRPr="00A34B5C" w14:paraId="5B81C6B2" w14:textId="77777777" w:rsidTr="0035481C">
        <w:tc>
          <w:tcPr>
            <w:tcW w:w="567" w:type="dxa"/>
          </w:tcPr>
          <w:p w14:paraId="675A336B" w14:textId="77777777"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p>
        </w:tc>
        <w:tc>
          <w:tcPr>
            <w:tcW w:w="1985" w:type="dxa"/>
          </w:tcPr>
          <w:p w14:paraId="0A736B23" w14:textId="40E905B0"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 xml:space="preserve">Labai </w:t>
            </w:r>
            <w:r w:rsidRPr="007338B8">
              <w:rPr>
                <w:rFonts w:ascii="Times New Roman" w:eastAsia="Calibri" w:hAnsi="Times New Roman" w:cs="Times New Roman"/>
                <w:lang w:val="lt-LT"/>
              </w:rPr>
              <w:t>ret</w:t>
            </w:r>
            <w:r w:rsidR="007338B8">
              <w:rPr>
                <w:rFonts w:ascii="Times New Roman" w:eastAsia="Calibri" w:hAnsi="Times New Roman" w:cs="Times New Roman"/>
                <w:lang w:val="lt-LT"/>
              </w:rPr>
              <w:t>as</w:t>
            </w:r>
          </w:p>
        </w:tc>
        <w:tc>
          <w:tcPr>
            <w:tcW w:w="6520" w:type="dxa"/>
          </w:tcPr>
          <w:p w14:paraId="08E1DA56"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B27E7B">
              <w:rPr>
                <w:rFonts w:ascii="Times New Roman" w:hAnsi="Times New Roman"/>
                <w:lang w:val="lt-LT"/>
              </w:rPr>
              <w:t>Staigi nepaaiškinama mirtis</w:t>
            </w:r>
          </w:p>
        </w:tc>
      </w:tr>
      <w:tr w:rsidR="00EE6BC4" w:rsidRPr="00A34B5C" w14:paraId="0D147DF5" w14:textId="77777777" w:rsidTr="0035481C">
        <w:tc>
          <w:tcPr>
            <w:tcW w:w="567" w:type="dxa"/>
          </w:tcPr>
          <w:p w14:paraId="1CB07003" w14:textId="77777777" w:rsidR="00EE6BC4" w:rsidRPr="007338B8" w:rsidRDefault="00EE6BC4"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p>
        </w:tc>
        <w:tc>
          <w:tcPr>
            <w:tcW w:w="1985" w:type="dxa"/>
          </w:tcPr>
          <w:p w14:paraId="37C5D24C" w14:textId="77777777" w:rsidR="00EE6BC4" w:rsidRPr="00B27E7B" w:rsidRDefault="00EE6BC4"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B27E7B">
              <w:rPr>
                <w:rFonts w:ascii="Times New Roman" w:hAnsi="Times New Roman"/>
                <w:lang w:val="lt-LT"/>
              </w:rPr>
              <w:t>Dažnis nežinomas</w:t>
            </w:r>
          </w:p>
        </w:tc>
        <w:tc>
          <w:tcPr>
            <w:tcW w:w="6520" w:type="dxa"/>
          </w:tcPr>
          <w:p w14:paraId="3B2171B8" w14:textId="77777777" w:rsidR="00EE6BC4" w:rsidRPr="00B27E7B" w:rsidRDefault="00EE6BC4" w:rsidP="00A34B5C">
            <w:pPr>
              <w:keepNext/>
              <w:widowControl w:val="0"/>
              <w:tabs>
                <w:tab w:val="left" w:pos="284"/>
              </w:tabs>
              <w:adjustRightInd w:val="0"/>
              <w:spacing w:after="0" w:line="240" w:lineRule="auto"/>
              <w:textAlignment w:val="baseline"/>
              <w:rPr>
                <w:rFonts w:ascii="Times New Roman" w:hAnsi="Times New Roman"/>
                <w:lang w:val="lt-LT"/>
              </w:rPr>
            </w:pPr>
            <w:r w:rsidRPr="007338B8">
              <w:rPr>
                <w:rFonts w:ascii="Times New Roman" w:eastAsia="Calibri" w:hAnsi="Times New Roman" w:cs="Times New Roman"/>
                <w:bCs/>
                <w:noProof/>
                <w:lang w:val="lt-LT"/>
              </w:rPr>
              <w:t>Poliserozitas*</w:t>
            </w:r>
          </w:p>
        </w:tc>
      </w:tr>
      <w:tr w:rsidR="00A34B5C" w:rsidRPr="00A34B5C" w14:paraId="7AFCDE0A" w14:textId="77777777" w:rsidTr="0035481C">
        <w:tc>
          <w:tcPr>
            <w:tcW w:w="9072" w:type="dxa"/>
            <w:gridSpan w:val="3"/>
          </w:tcPr>
          <w:p w14:paraId="6630D8DF"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7338B8">
              <w:rPr>
                <w:rFonts w:ascii="Times New Roman" w:eastAsia="Calibri" w:hAnsi="Times New Roman" w:cs="Times New Roman"/>
                <w:b/>
                <w:bCs/>
                <w:iCs/>
                <w:lang w:val="lt-LT"/>
              </w:rPr>
              <w:t>Tyrimai</w:t>
            </w:r>
          </w:p>
        </w:tc>
      </w:tr>
      <w:tr w:rsidR="00A34B5C" w:rsidRPr="00A34B5C" w14:paraId="17814D08" w14:textId="77777777" w:rsidTr="0035481C">
        <w:tc>
          <w:tcPr>
            <w:tcW w:w="567" w:type="dxa"/>
          </w:tcPr>
          <w:p w14:paraId="51DF2F93" w14:textId="77777777" w:rsidR="00A34B5C" w:rsidRPr="007338B8" w:rsidRDefault="00A34B5C"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p>
        </w:tc>
        <w:tc>
          <w:tcPr>
            <w:tcW w:w="1985" w:type="dxa"/>
          </w:tcPr>
          <w:p w14:paraId="7A3103AC" w14:textId="468BFA38" w:rsidR="00A34B5C" w:rsidRPr="00B27E7B" w:rsidRDefault="00A34B5C"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7338B8">
              <w:rPr>
                <w:rFonts w:ascii="Times New Roman" w:eastAsia="Calibri" w:hAnsi="Times New Roman" w:cs="Times New Roman"/>
                <w:lang w:val="lt-LT"/>
              </w:rPr>
              <w:t>Ret</w:t>
            </w:r>
            <w:r w:rsidR="007338B8">
              <w:rPr>
                <w:rFonts w:ascii="Times New Roman" w:eastAsia="Calibri" w:hAnsi="Times New Roman" w:cs="Times New Roman"/>
                <w:lang w:val="lt-LT"/>
              </w:rPr>
              <w:t>as</w:t>
            </w:r>
          </w:p>
        </w:tc>
        <w:tc>
          <w:tcPr>
            <w:tcW w:w="6520" w:type="dxa"/>
          </w:tcPr>
          <w:p w14:paraId="4566E58E" w14:textId="77777777" w:rsidR="00A34B5C" w:rsidRPr="007338B8" w:rsidRDefault="00A34B5C" w:rsidP="00A34B5C">
            <w:pPr>
              <w:keepNext/>
              <w:widowControl w:val="0"/>
              <w:tabs>
                <w:tab w:val="left" w:pos="284"/>
              </w:tabs>
              <w:adjustRightInd w:val="0"/>
              <w:spacing w:after="0" w:line="240" w:lineRule="auto"/>
              <w:textAlignment w:val="baseline"/>
              <w:rPr>
                <w:rFonts w:ascii="Times New Roman" w:eastAsia="Calibri" w:hAnsi="Times New Roman" w:cs="Times New Roman"/>
                <w:bCs/>
                <w:lang w:val="lt-LT"/>
              </w:rPr>
            </w:pPr>
            <w:r w:rsidRPr="00B27E7B">
              <w:rPr>
                <w:rFonts w:ascii="Times New Roman" w:hAnsi="Times New Roman"/>
                <w:lang w:val="lt-LT"/>
              </w:rPr>
              <w:t>Padidėjusi KFK (kreatininfosfokinazės) koncentracija</w:t>
            </w:r>
          </w:p>
        </w:tc>
      </w:tr>
      <w:tr w:rsidR="00653F5D" w:rsidRPr="00A34B5C" w14:paraId="60BDF554" w14:textId="77777777" w:rsidTr="0035481C">
        <w:tc>
          <w:tcPr>
            <w:tcW w:w="9072" w:type="dxa"/>
            <w:gridSpan w:val="3"/>
          </w:tcPr>
          <w:p w14:paraId="5674FA94" w14:textId="77777777" w:rsidR="00653F5D" w:rsidRPr="00B27E7B" w:rsidRDefault="00653F5D" w:rsidP="00A34B5C">
            <w:pPr>
              <w:keepNext/>
              <w:widowControl w:val="0"/>
              <w:tabs>
                <w:tab w:val="left" w:pos="284"/>
              </w:tabs>
              <w:adjustRightInd w:val="0"/>
              <w:spacing w:after="0" w:line="240" w:lineRule="auto"/>
              <w:textAlignment w:val="baseline"/>
              <w:rPr>
                <w:rFonts w:ascii="Times New Roman" w:hAnsi="Times New Roman"/>
                <w:lang w:val="lt-LT"/>
              </w:rPr>
            </w:pPr>
            <w:r w:rsidRPr="007338B8">
              <w:rPr>
                <w:rFonts w:ascii="Times New Roman" w:eastAsia="Calibri" w:hAnsi="Times New Roman" w:cs="Times New Roman"/>
                <w:b/>
                <w:bCs/>
                <w:noProof/>
                <w:lang w:val="lt-LT"/>
              </w:rPr>
              <w:t>Sužalojimai, apsinuodijimai ir procedūrų komplikacijos</w:t>
            </w:r>
          </w:p>
        </w:tc>
      </w:tr>
      <w:tr w:rsidR="00653F5D" w:rsidRPr="00A34B5C" w14:paraId="1B3A79A4" w14:textId="77777777" w:rsidTr="0035481C">
        <w:tc>
          <w:tcPr>
            <w:tcW w:w="567" w:type="dxa"/>
          </w:tcPr>
          <w:p w14:paraId="72797121" w14:textId="77777777" w:rsidR="00653F5D" w:rsidRPr="007338B8" w:rsidRDefault="00653F5D" w:rsidP="00A34B5C">
            <w:pPr>
              <w:keepNext/>
              <w:widowControl w:val="0"/>
              <w:tabs>
                <w:tab w:val="left" w:pos="284"/>
              </w:tabs>
              <w:adjustRightInd w:val="0"/>
              <w:spacing w:after="0" w:line="240" w:lineRule="auto"/>
              <w:jc w:val="both"/>
              <w:textAlignment w:val="baseline"/>
              <w:rPr>
                <w:rFonts w:ascii="Times New Roman" w:eastAsia="Calibri" w:hAnsi="Times New Roman" w:cs="Times New Roman"/>
                <w:lang w:val="lt-LT"/>
              </w:rPr>
            </w:pPr>
          </w:p>
        </w:tc>
        <w:tc>
          <w:tcPr>
            <w:tcW w:w="1985" w:type="dxa"/>
          </w:tcPr>
          <w:p w14:paraId="37F5E21F" w14:textId="030B028D" w:rsidR="00653F5D" w:rsidRPr="00B27E7B" w:rsidRDefault="00653F5D" w:rsidP="00A34B5C">
            <w:pPr>
              <w:keepNext/>
              <w:widowControl w:val="0"/>
              <w:tabs>
                <w:tab w:val="left" w:pos="284"/>
              </w:tabs>
              <w:adjustRightInd w:val="0"/>
              <w:spacing w:after="0" w:line="240" w:lineRule="auto"/>
              <w:jc w:val="both"/>
              <w:textAlignment w:val="baseline"/>
              <w:rPr>
                <w:rFonts w:ascii="Times New Roman" w:hAnsi="Times New Roman"/>
                <w:lang w:val="lt-LT"/>
              </w:rPr>
            </w:pPr>
            <w:r w:rsidRPr="007338B8">
              <w:rPr>
                <w:rFonts w:ascii="Times New Roman" w:eastAsia="Calibri" w:hAnsi="Times New Roman" w:cs="Times New Roman"/>
                <w:lang w:val="lt-LT"/>
              </w:rPr>
              <w:t>Nedažn</w:t>
            </w:r>
            <w:r w:rsidR="007338B8">
              <w:rPr>
                <w:rFonts w:ascii="Times New Roman" w:eastAsia="Calibri" w:hAnsi="Times New Roman" w:cs="Times New Roman"/>
                <w:lang w:val="lt-LT"/>
              </w:rPr>
              <w:t>as</w:t>
            </w:r>
          </w:p>
        </w:tc>
        <w:tc>
          <w:tcPr>
            <w:tcW w:w="6520" w:type="dxa"/>
          </w:tcPr>
          <w:p w14:paraId="6EF07EB9" w14:textId="77777777" w:rsidR="00653F5D" w:rsidRPr="00B27E7B" w:rsidRDefault="00653F5D" w:rsidP="00A34B5C">
            <w:pPr>
              <w:keepNext/>
              <w:widowControl w:val="0"/>
              <w:tabs>
                <w:tab w:val="left" w:pos="284"/>
              </w:tabs>
              <w:adjustRightInd w:val="0"/>
              <w:spacing w:after="0" w:line="240" w:lineRule="auto"/>
              <w:textAlignment w:val="baseline"/>
              <w:rPr>
                <w:rFonts w:ascii="Times New Roman" w:hAnsi="Times New Roman"/>
                <w:lang w:val="lt-LT"/>
              </w:rPr>
            </w:pPr>
            <w:r w:rsidRPr="00B27E7B">
              <w:rPr>
                <w:rFonts w:ascii="Times New Roman" w:hAnsi="Times New Roman"/>
                <w:lang w:val="lt-LT"/>
              </w:rPr>
              <w:t>Griuvimai (susiję su klozapino sukeltais traukuliais, mieguistumu, ortostatine hipotenzija, motoriniu ir sensoriniu nestabilumu)*</w:t>
            </w:r>
          </w:p>
        </w:tc>
      </w:tr>
    </w:tbl>
    <w:p w14:paraId="2D595AED" w14:textId="77777777" w:rsidR="00A34B5C" w:rsidRDefault="00A34B5C" w:rsidP="00A34B5C">
      <w:pPr>
        <w:autoSpaceDE w:val="0"/>
        <w:autoSpaceDN w:val="0"/>
        <w:adjustRightInd w:val="0"/>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*Apie šias nepageidaujamas reakcijas sužinota vaist</w:t>
      </w:r>
      <w:r w:rsidR="00653F5D">
        <w:rPr>
          <w:rFonts w:ascii="Times New Roman" w:eastAsia="Calibri" w:hAnsi="Times New Roman" w:cs="Times New Roman"/>
          <w:lang w:val="lt-LT"/>
        </w:rPr>
        <w:t>iniam preparat</w:t>
      </w:r>
      <w:r w:rsidRPr="00A34B5C">
        <w:rPr>
          <w:rFonts w:ascii="Times New Roman" w:eastAsia="Calibri" w:hAnsi="Times New Roman" w:cs="Times New Roman"/>
          <w:lang w:val="lt-LT"/>
        </w:rPr>
        <w:t>ui patekus į rinką pagal spontaninių atvejų pranešimus bei literatūroje aprašytus atvejus.</w:t>
      </w:r>
    </w:p>
    <w:p w14:paraId="58020179" w14:textId="77777777" w:rsidR="001D3552" w:rsidRPr="00A34B5C" w:rsidRDefault="001D3552" w:rsidP="001D3552">
      <w:pPr>
        <w:autoSpaceDE w:val="0"/>
        <w:autoSpaceDN w:val="0"/>
        <w:adjustRightInd w:val="0"/>
        <w:spacing w:after="0" w:line="240" w:lineRule="auto"/>
        <w:rPr>
          <w:rFonts w:ascii="Times New Roman" w:eastAsia="Calibri" w:hAnsi="Times New Roman" w:cs="Times New Roman"/>
          <w:lang w:val="lt-LT"/>
        </w:rPr>
      </w:pPr>
      <w:r>
        <w:rPr>
          <w:rFonts w:ascii="Times New Roman" w:eastAsia="Calibri" w:hAnsi="Times New Roman" w:cs="Times New Roman"/>
          <w:lang w:val="lt-LT"/>
        </w:rPr>
        <w:t>**Šios nepageidaujamos reakcijos į vaistinį preparatą kartais buvo mirtinos.</w:t>
      </w:r>
    </w:p>
    <w:p w14:paraId="5FFF74D1" w14:textId="77777777" w:rsidR="00A34B5C" w:rsidRPr="00A34B5C" w:rsidRDefault="00A34B5C" w:rsidP="00A34B5C">
      <w:pPr>
        <w:spacing w:after="0" w:line="240" w:lineRule="auto"/>
        <w:rPr>
          <w:rFonts w:ascii="Times New Roman" w:eastAsia="Calibri" w:hAnsi="Times New Roman" w:cs="Times New Roman"/>
          <w:lang w:val="lt-LT"/>
        </w:rPr>
      </w:pPr>
    </w:p>
    <w:p w14:paraId="66316B69" w14:textId="77777777" w:rsidR="00A34B5C" w:rsidRPr="00A34B5C" w:rsidRDefault="00A34B5C" w:rsidP="00A34B5C">
      <w:pPr>
        <w:autoSpaceDE w:val="0"/>
        <w:autoSpaceDN w:val="0"/>
        <w:adjustRightInd w:val="0"/>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Buvo retų QT pailgėjimo, kuris gali būti susijęs su paroksizmine polimorfine skilvelių tachikardija, atvejų, tačiau ar tokį sutrikimą sukėlė klozapinas, tiksliai nenustatyta.</w:t>
      </w:r>
    </w:p>
    <w:p w14:paraId="10F29428" w14:textId="77777777" w:rsidR="00A34B5C" w:rsidRPr="00A34B5C" w:rsidRDefault="00A34B5C" w:rsidP="00A34B5C">
      <w:pPr>
        <w:spacing w:after="0" w:line="240" w:lineRule="auto"/>
        <w:ind w:left="567" w:hanging="567"/>
        <w:rPr>
          <w:rFonts w:ascii="Times New Roman" w:eastAsia="Calibri" w:hAnsi="Times New Roman" w:cs="Times New Roman"/>
          <w:b/>
          <w:lang w:val="lt-LT"/>
        </w:rPr>
      </w:pPr>
    </w:p>
    <w:p w14:paraId="452A836B" w14:textId="77777777" w:rsidR="00A34B5C" w:rsidRPr="00A34B5C" w:rsidRDefault="00A34B5C" w:rsidP="00A34B5C">
      <w:pPr>
        <w:autoSpaceDE w:val="0"/>
        <w:autoSpaceDN w:val="0"/>
        <w:adjustRightInd w:val="0"/>
        <w:spacing w:after="0" w:line="240" w:lineRule="auto"/>
        <w:jc w:val="both"/>
        <w:rPr>
          <w:rFonts w:ascii="Times New Roman" w:eastAsia="Calibri" w:hAnsi="Times New Roman" w:cs="Times New Roman"/>
          <w:u w:val="single"/>
          <w:lang w:val="lt-LT"/>
        </w:rPr>
      </w:pPr>
      <w:r w:rsidRPr="00A34B5C">
        <w:rPr>
          <w:rFonts w:ascii="Times New Roman" w:eastAsia="Calibri" w:hAnsi="Times New Roman" w:cs="Times New Roman"/>
          <w:noProof/>
          <w:u w:val="single"/>
          <w:lang w:val="lt-LT"/>
        </w:rPr>
        <w:t>Pranešimas apie įtariamas nepageidaujamas reakcijas</w:t>
      </w:r>
    </w:p>
    <w:p w14:paraId="0B008541" w14:textId="3B60A8BE" w:rsidR="00A34B5C" w:rsidRPr="00A34B5C" w:rsidRDefault="00A34B5C" w:rsidP="00A34B5C">
      <w:pPr>
        <w:autoSpaceDE w:val="0"/>
        <w:autoSpaceDN w:val="0"/>
        <w:adjustRightInd w:val="0"/>
        <w:spacing w:after="0" w:line="240" w:lineRule="auto"/>
        <w:rPr>
          <w:rFonts w:ascii="Times New Roman" w:eastAsia="Calibri" w:hAnsi="Times New Roman" w:cs="Times New Roman"/>
          <w:noProof/>
          <w:lang w:val="lt-LT"/>
        </w:rPr>
      </w:pPr>
      <w:r w:rsidRPr="00A34B5C">
        <w:rPr>
          <w:rFonts w:ascii="Times New Roman" w:eastAsia="Times New Roman" w:hAnsi="Times New Roman" w:cs="Times New Roman"/>
          <w:lang w:val="lt-LT"/>
        </w:rPr>
        <w:t xml:space="preserve">Svarbu pranešti apie įtariamas nepageidaujamas reakcijas, pastebėtas po vaistinio preparato registracijos, nes tai leidžia nuolat stebėti vaistinio preparato naudos ir rizikos santykį. Sveikatos priežiūros </w:t>
      </w:r>
      <w:r w:rsidR="007338B8" w:rsidRPr="007338B8">
        <w:rPr>
          <w:rFonts w:ascii="Times New Roman" w:eastAsia="Times New Roman" w:hAnsi="Times New Roman" w:cs="Times New Roman"/>
          <w:lang w:val="lt-LT"/>
        </w:rPr>
        <w:t>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NepageidaujamaR@vvkt.lt).</w:t>
      </w:r>
    </w:p>
    <w:p w14:paraId="2E04B8E0" w14:textId="77777777" w:rsidR="00A34B5C" w:rsidRPr="00A34B5C" w:rsidRDefault="00A34B5C" w:rsidP="00A34B5C">
      <w:pPr>
        <w:spacing w:after="0" w:line="240" w:lineRule="auto"/>
        <w:ind w:left="567" w:hanging="567"/>
        <w:rPr>
          <w:rFonts w:ascii="Times New Roman" w:eastAsia="Calibri" w:hAnsi="Times New Roman" w:cs="Times New Roman"/>
          <w:b/>
          <w:lang w:val="lt-LT"/>
        </w:rPr>
      </w:pPr>
    </w:p>
    <w:p w14:paraId="06352DF0" w14:textId="77777777" w:rsidR="00A34B5C" w:rsidRPr="00DB0E71" w:rsidRDefault="00A34B5C" w:rsidP="00B27E7B">
      <w:pPr>
        <w:widowControl w:val="0"/>
        <w:autoSpaceDE w:val="0"/>
        <w:autoSpaceDN w:val="0"/>
        <w:spacing w:after="0" w:line="240" w:lineRule="auto"/>
        <w:ind w:left="540" w:hanging="540"/>
        <w:outlineLvl w:val="1"/>
        <w:rPr>
          <w:rFonts w:ascii="Times New Roman" w:eastAsia="Times New Roman" w:hAnsi="Times New Roman" w:cs="Times New Roman"/>
          <w:b/>
          <w:bCs/>
          <w:lang w:val="lt-LT"/>
        </w:rPr>
      </w:pPr>
      <w:r w:rsidRPr="00DB0E71">
        <w:rPr>
          <w:rFonts w:ascii="Times New Roman" w:eastAsia="Times New Roman" w:hAnsi="Times New Roman" w:cs="Times New Roman"/>
          <w:b/>
          <w:bCs/>
          <w:lang w:val="lt-LT"/>
        </w:rPr>
        <w:t>4.9</w:t>
      </w:r>
      <w:r w:rsidRPr="00DB0E71">
        <w:rPr>
          <w:rFonts w:ascii="Times New Roman" w:eastAsia="Times New Roman" w:hAnsi="Times New Roman" w:cs="Times New Roman"/>
          <w:b/>
          <w:bCs/>
          <w:lang w:val="lt-LT"/>
        </w:rPr>
        <w:tab/>
        <w:t>Perdozavimas</w:t>
      </w:r>
    </w:p>
    <w:p w14:paraId="41300B62"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6B31751B"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Dabartinis mirtingumas dėl tyčinių ar netyčinių apsinuodijimų Leponex, kai yra informacijos apie baigtis, yra apie 12 proc. Dauguma mirčių buvo susijusios su širdies nepakankamumu ar pneumonija, kurią sukėlė aspiracija, kai vartotos didesnės kaip 2000 mg dozės. Yra duomenų apie pacientus, kurie pasveiko po perdozavimo, pavartoję didesnę kaip 10 000 mg dozę. Tačiau keliems suaugusiems asmenims, ypač tiems, kurie anksčiau nevartojo Leponex, 400 mg dozė sukėlė gyvybei gresiančią komą ir vienam – mirtį. Mažiems vaikams 50</w:t>
      </w:r>
      <w:r w:rsidRPr="00A34B5C">
        <w:rPr>
          <w:rFonts w:ascii="Times New Roman" w:eastAsia="Calibri" w:hAnsi="Times New Roman" w:cs="Times New Roman"/>
          <w:lang w:val="lt-LT"/>
        </w:rPr>
        <w:noBreakHyphen/>
        <w:t>200 mg dozė sukėlė stiprų raminimą ar komą, be mirties atvejų.</w:t>
      </w:r>
    </w:p>
    <w:p w14:paraId="63668A16" w14:textId="77777777" w:rsidR="00A34B5C" w:rsidRPr="00A34B5C" w:rsidRDefault="00A34B5C" w:rsidP="00A34B5C">
      <w:pPr>
        <w:spacing w:after="0" w:line="240" w:lineRule="auto"/>
        <w:rPr>
          <w:rFonts w:ascii="Times New Roman" w:eastAsia="Calibri" w:hAnsi="Times New Roman" w:cs="Times New Roman"/>
          <w:lang w:val="lt-LT"/>
        </w:rPr>
      </w:pPr>
    </w:p>
    <w:p w14:paraId="6FCC62CE"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Požymiai ir simptomai</w:t>
      </w:r>
    </w:p>
    <w:p w14:paraId="0EF7597F"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Mieguistumas, letargija, arefleksija, koma, sumišimas, haliucinacijos, susijaudinimas, delyras, ekstrapiramidiniai požymiai, hiperrefleksija, traukuliai; padidėjęs saulėtekis, midriazė, neryškus matymas, termolabilumas; hipotenzija, kolapsas, tachikardija, širdies aritmijos; aspiracinė pneumonija, dusulys, kvėpavimo slopinimas ar nepakankamumas. </w:t>
      </w:r>
    </w:p>
    <w:p w14:paraId="42311CE7" w14:textId="77777777" w:rsidR="00A34B5C" w:rsidRPr="00A34B5C" w:rsidRDefault="00A34B5C" w:rsidP="00A34B5C">
      <w:pPr>
        <w:spacing w:after="0" w:line="240" w:lineRule="auto"/>
        <w:rPr>
          <w:rFonts w:ascii="Times New Roman" w:eastAsia="Calibri" w:hAnsi="Times New Roman" w:cs="Times New Roman"/>
          <w:lang w:val="lt-LT"/>
        </w:rPr>
      </w:pPr>
    </w:p>
    <w:p w14:paraId="712E937F" w14:textId="77777777" w:rsidR="00A34B5C" w:rsidRPr="00A34B5C" w:rsidRDefault="00A34B5C" w:rsidP="00A34B5C">
      <w:pPr>
        <w:keepNext/>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Gydymas</w:t>
      </w:r>
    </w:p>
    <w:p w14:paraId="22DD5737"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Specifinio Leponex priešnuodžio nėra. Skrandžio plovimas ir (arba) aktyvintos anglies vartojimas per 6 valandas po vaistinio preparato išgėrimo. Mažai tikėtina, kad peritoninė dializė ar hemodializė būtų efektyvi. Simptominis gydymas, nuolat stebint širdies veiklą, kvėpavimą, elektrolitų ir rūgščių bei šarmų pusiausvyrą. Hipotenzijai gydyti nevartoti epinefrino, nes gali pasireikšti atvirkštinis jo poveikis.</w:t>
      </w:r>
    </w:p>
    <w:p w14:paraId="206797FF" w14:textId="77777777" w:rsidR="00A34B5C" w:rsidRPr="00A34B5C" w:rsidRDefault="00A34B5C" w:rsidP="00A34B5C">
      <w:pPr>
        <w:spacing w:after="0" w:line="240" w:lineRule="auto"/>
        <w:rPr>
          <w:rFonts w:ascii="Times New Roman" w:eastAsia="Calibri" w:hAnsi="Times New Roman" w:cs="Times New Roman"/>
          <w:lang w:val="lt-LT"/>
        </w:rPr>
      </w:pPr>
    </w:p>
    <w:p w14:paraId="413EE243"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Mažiausiai 5 dienas būtina atidi medikų priežiūra, nes gali būti vėlyvųjų reakcijų.</w:t>
      </w:r>
    </w:p>
    <w:p w14:paraId="247AE8E7" w14:textId="77777777" w:rsidR="00A34B5C" w:rsidRPr="00A34B5C" w:rsidRDefault="00A34B5C" w:rsidP="00A34B5C">
      <w:pPr>
        <w:spacing w:after="0" w:line="240" w:lineRule="auto"/>
        <w:rPr>
          <w:rFonts w:ascii="Times New Roman" w:eastAsia="Calibri" w:hAnsi="Times New Roman" w:cs="Times New Roman"/>
          <w:lang w:val="lt-LT"/>
        </w:rPr>
      </w:pPr>
    </w:p>
    <w:p w14:paraId="1A45A11D"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7C429C0A" w14:textId="0636656E" w:rsidR="00A34B5C" w:rsidRPr="00B27E7B" w:rsidRDefault="00A34B5C" w:rsidP="00B27E7B">
      <w:pPr>
        <w:pStyle w:val="Antrat1"/>
        <w:tabs>
          <w:tab w:val="clear" w:pos="567"/>
        </w:tabs>
        <w:spacing w:before="0" w:after="0" w:line="240" w:lineRule="auto"/>
        <w:ind w:left="540" w:hanging="540"/>
        <w:rPr>
          <w:b w:val="0"/>
          <w:caps w:val="0"/>
        </w:rPr>
      </w:pPr>
      <w:r w:rsidRPr="00B27E7B">
        <w:rPr>
          <w:sz w:val="22"/>
        </w:rPr>
        <w:t>5.</w:t>
      </w:r>
      <w:r w:rsidRPr="00B27E7B">
        <w:rPr>
          <w:sz w:val="22"/>
        </w:rPr>
        <w:tab/>
        <w:t xml:space="preserve">FARMAKOLOGINĖS </w:t>
      </w:r>
      <w:r w:rsidR="00DB0E71" w:rsidRPr="00DB0E71">
        <w:rPr>
          <w:sz w:val="22"/>
          <w:szCs w:val="22"/>
        </w:rPr>
        <w:t>SAVYBĖS</w:t>
      </w:r>
    </w:p>
    <w:p w14:paraId="226928EA"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37536775" w14:textId="77777777" w:rsidR="00A34B5C" w:rsidRPr="00DB0E71" w:rsidRDefault="00A34B5C" w:rsidP="00B27E7B">
      <w:pPr>
        <w:widowControl w:val="0"/>
        <w:autoSpaceDE w:val="0"/>
        <w:autoSpaceDN w:val="0"/>
        <w:spacing w:after="0" w:line="240" w:lineRule="auto"/>
        <w:ind w:left="540" w:hanging="540"/>
        <w:outlineLvl w:val="1"/>
        <w:rPr>
          <w:rFonts w:ascii="Times New Roman" w:eastAsia="Times New Roman" w:hAnsi="Times New Roman" w:cs="Times New Roman"/>
          <w:b/>
          <w:bCs/>
          <w:lang w:val="lt-LT"/>
        </w:rPr>
      </w:pPr>
      <w:r w:rsidRPr="00DB0E71">
        <w:rPr>
          <w:rFonts w:ascii="Times New Roman" w:eastAsia="Times New Roman" w:hAnsi="Times New Roman" w:cs="Times New Roman"/>
          <w:b/>
          <w:bCs/>
          <w:lang w:val="lt-LT"/>
        </w:rPr>
        <w:t>5.1</w:t>
      </w:r>
      <w:r w:rsidRPr="00DB0E71">
        <w:rPr>
          <w:rFonts w:ascii="Times New Roman" w:eastAsia="Times New Roman" w:hAnsi="Times New Roman" w:cs="Times New Roman"/>
          <w:b/>
          <w:bCs/>
          <w:lang w:val="lt-LT"/>
        </w:rPr>
        <w:tab/>
        <w:t>Farmakodinaminės savybės</w:t>
      </w:r>
    </w:p>
    <w:p w14:paraId="15B4D42A"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553C0EDF"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Farmakoterapinė grupė – antipsichoziniai vaistai; diazepinai, oksazepinai ir tiazepinai, ATC kodas – N05A H02.</w:t>
      </w:r>
    </w:p>
    <w:p w14:paraId="7C136304"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0ECA80C6"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Veikimo mechanizmas</w:t>
      </w:r>
    </w:p>
    <w:p w14:paraId="09BAEA33"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Nustatyta, kad Leponex yra antipsichozinis vaistinis preparatas, kuris skiriasi nuo klasikinių antipsichozinių vaistinių preparatų.</w:t>
      </w:r>
    </w:p>
    <w:p w14:paraId="62B757D4"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2EB14DC9"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Farmakologinių eksperimentų metu klozapinas nesukelia katalepsijos ir neslopina apomorfino ar amfetamino sukelto stereotipinio elgesio. Jis tik silpnai slopina dopamino receptorius D</w:t>
      </w:r>
      <w:r w:rsidRPr="00A34B5C">
        <w:rPr>
          <w:rFonts w:ascii="Times New Roman" w:eastAsia="Calibri" w:hAnsi="Times New Roman" w:cs="Times New Roman"/>
          <w:vertAlign w:val="subscript"/>
          <w:lang w:val="lt-LT"/>
        </w:rPr>
        <w:t>1</w:t>
      </w:r>
      <w:r w:rsidRPr="00A34B5C">
        <w:rPr>
          <w:rFonts w:ascii="Times New Roman" w:eastAsia="Calibri" w:hAnsi="Times New Roman" w:cs="Times New Roman"/>
          <w:lang w:val="lt-LT"/>
        </w:rPr>
        <w:t>, D</w:t>
      </w:r>
      <w:r w:rsidRPr="00A34B5C">
        <w:rPr>
          <w:rFonts w:ascii="Times New Roman" w:eastAsia="Calibri" w:hAnsi="Times New Roman" w:cs="Times New Roman"/>
          <w:vertAlign w:val="subscript"/>
          <w:lang w:val="lt-LT"/>
        </w:rPr>
        <w:t>2</w:t>
      </w:r>
      <w:r w:rsidRPr="00A34B5C">
        <w:rPr>
          <w:rFonts w:ascii="Times New Roman" w:eastAsia="Calibri" w:hAnsi="Times New Roman" w:cs="Times New Roman"/>
          <w:lang w:val="lt-LT"/>
        </w:rPr>
        <w:t>, D</w:t>
      </w:r>
      <w:r w:rsidRPr="00A34B5C">
        <w:rPr>
          <w:rFonts w:ascii="Times New Roman" w:eastAsia="Calibri" w:hAnsi="Times New Roman" w:cs="Times New Roman"/>
          <w:vertAlign w:val="subscript"/>
          <w:lang w:val="lt-LT"/>
        </w:rPr>
        <w:t>3</w:t>
      </w:r>
      <w:r w:rsidRPr="00A34B5C">
        <w:rPr>
          <w:rFonts w:ascii="Times New Roman" w:eastAsia="Calibri" w:hAnsi="Times New Roman" w:cs="Times New Roman"/>
          <w:lang w:val="lt-LT"/>
        </w:rPr>
        <w:t xml:space="preserve"> ir D</w:t>
      </w:r>
      <w:r w:rsidRPr="00A34B5C">
        <w:rPr>
          <w:rFonts w:ascii="Times New Roman" w:eastAsia="Calibri" w:hAnsi="Times New Roman" w:cs="Times New Roman"/>
          <w:vertAlign w:val="subscript"/>
          <w:lang w:val="lt-LT"/>
        </w:rPr>
        <w:t>5</w:t>
      </w:r>
      <w:r w:rsidRPr="00A34B5C">
        <w:rPr>
          <w:rFonts w:ascii="Times New Roman" w:eastAsia="Calibri" w:hAnsi="Times New Roman" w:cs="Times New Roman"/>
          <w:lang w:val="lt-LT"/>
        </w:rPr>
        <w:t>, tačiau stipriai slopina D</w:t>
      </w:r>
      <w:r w:rsidRPr="00A34B5C">
        <w:rPr>
          <w:rFonts w:ascii="Times New Roman" w:eastAsia="Calibri" w:hAnsi="Times New Roman" w:cs="Times New Roman"/>
          <w:vertAlign w:val="subscript"/>
          <w:lang w:val="lt-LT"/>
        </w:rPr>
        <w:t>4</w:t>
      </w:r>
      <w:r w:rsidRPr="00A34B5C">
        <w:rPr>
          <w:rFonts w:ascii="Times New Roman" w:eastAsia="Calibri" w:hAnsi="Times New Roman" w:cs="Times New Roman"/>
          <w:lang w:val="lt-LT"/>
        </w:rPr>
        <w:t xml:space="preserve"> receptorius.</w:t>
      </w:r>
    </w:p>
    <w:p w14:paraId="6301F5D4" w14:textId="77777777" w:rsidR="00A34B5C" w:rsidRPr="00A34B5C" w:rsidRDefault="00A34B5C" w:rsidP="00A34B5C">
      <w:pPr>
        <w:spacing w:after="0" w:line="240" w:lineRule="auto"/>
        <w:rPr>
          <w:rFonts w:ascii="Times New Roman" w:eastAsia="Calibri" w:hAnsi="Times New Roman" w:cs="Times New Roman"/>
          <w:lang w:val="lt-LT"/>
        </w:rPr>
      </w:pPr>
    </w:p>
    <w:p w14:paraId="5D40AFBD"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Farmakodinaminis poveikis</w:t>
      </w:r>
    </w:p>
    <w:p w14:paraId="15A2CAD1"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Klozapinui būdinga stiprus anti alfa adrenerginis, anticholinerginis, antihistamininis ir sujaudinimo reakcijų slopinamasis poveikis. Taip pat jam būdingos antiserotoninerginės savybės. </w:t>
      </w:r>
    </w:p>
    <w:p w14:paraId="214B6FA5" w14:textId="77777777" w:rsidR="00A34B5C" w:rsidRPr="00A34B5C" w:rsidRDefault="00A34B5C" w:rsidP="00A34B5C">
      <w:pPr>
        <w:spacing w:after="0" w:line="240" w:lineRule="auto"/>
        <w:rPr>
          <w:rFonts w:ascii="Times New Roman" w:eastAsia="Calibri" w:hAnsi="Times New Roman" w:cs="Times New Roman"/>
          <w:lang w:val="lt-LT"/>
        </w:rPr>
      </w:pPr>
    </w:p>
    <w:p w14:paraId="6606DDDD"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Klinikinis veiksmingumas ir saugumas</w:t>
      </w:r>
    </w:p>
    <w:p w14:paraId="307A47B8"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Kliniškai klozapinas sukelia greitą ir ryškų raminimą bei antipsichozinį poveikį šizofrenija sergantiems pacientams, kurie buvo atsparūs gydymui kitokiais vaistiniais preparatais. Daugiausiai trumpalaikių tyrimų metu įrodyta, kad tokiems pacientams klozapinas efektyviai slopina ir teigiamus, ir neigiamus šizofrenijos požymius. Atviro klinikinio tyrimo, kuriame dalyvavo 319 gydymui atsparių pacientų, gydytų 12 mėnesių, metu kliniškai reikšmingas pagerėjimas nustatytas 37 proc. per pirmąsias gydymo savaites ir dar 44 proc. – baigiantis 12 mėnesiui. Pagerėjimas buvo apibūdinamas 20 proc. sumažėjusiu nuo pradinio lygmens </w:t>
      </w:r>
      <w:r w:rsidRPr="00A34B5C">
        <w:rPr>
          <w:rFonts w:ascii="Times New Roman" w:eastAsia="Calibri" w:hAnsi="Times New Roman" w:cs="Times New Roman"/>
          <w:i/>
          <w:lang w:val="lt-LT"/>
        </w:rPr>
        <w:t>Brief Psychiatric Rating Scale Score</w:t>
      </w:r>
      <w:r w:rsidRPr="00A34B5C">
        <w:rPr>
          <w:rFonts w:ascii="Times New Roman" w:eastAsia="Calibri" w:hAnsi="Times New Roman" w:cs="Times New Roman"/>
          <w:lang w:val="lt-LT"/>
        </w:rPr>
        <w:t xml:space="preserve"> rodmeniu. Be to, kai kuriais aspektais pagerėjo pažintinė funkcija.</w:t>
      </w:r>
    </w:p>
    <w:p w14:paraId="5E1E2EEA" w14:textId="77777777" w:rsidR="00A34B5C" w:rsidRPr="00A34B5C" w:rsidRDefault="00A34B5C" w:rsidP="00A34B5C">
      <w:pPr>
        <w:spacing w:after="0" w:line="240" w:lineRule="auto"/>
        <w:rPr>
          <w:rFonts w:ascii="Times New Roman" w:eastAsia="Calibri" w:hAnsi="Times New Roman" w:cs="Times New Roman"/>
          <w:lang w:val="lt-LT"/>
        </w:rPr>
      </w:pPr>
    </w:p>
    <w:p w14:paraId="46FAB561"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lastRenderedPageBreak/>
        <w:t xml:space="preserve">Lyginant su klasikiniais antipsichoziniais vaistiniais preparatais, klozapinas sukelia mažiau pagrindinių ekstrapiramidinių reakcijų, pvz., ūminę distoniją, į parkinsonizmą panašius nepageidaujamus reiškinius ir akatiziją. Priešingai klasikiniams antipsichoziniams vaistiniams preparatams, klozapinas mažai padidina prolaktino koncentraciją arba jos visai nepadidina, todėl nesukelia nepageidaujamų reakcijų, pvz., ginekomastijos, amenorėjos, galaktorėjos ir impotencijos. </w:t>
      </w:r>
    </w:p>
    <w:p w14:paraId="1B0D1312" w14:textId="77777777" w:rsidR="00A34B5C" w:rsidRPr="00A34B5C" w:rsidRDefault="00A34B5C" w:rsidP="00A34B5C">
      <w:pPr>
        <w:spacing w:after="0" w:line="240" w:lineRule="auto"/>
        <w:rPr>
          <w:rFonts w:ascii="Times New Roman" w:eastAsia="Calibri" w:hAnsi="Times New Roman" w:cs="Times New Roman"/>
          <w:lang w:val="lt-LT"/>
        </w:rPr>
      </w:pPr>
    </w:p>
    <w:p w14:paraId="5FA1624B"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Nepageidaujama klozapino sukeliama reakcija, kartais sunki, yra granulocitopenija ir agranulocitozė, kurių dažnis yra atitinkamai 3 proc. ir 0,7 proc. Dėl jų rizikos klozapino galima skirti tik pacientams, kurie yra atsparūs gydymui, ar Parkinsono liga sergantiems pacientams, kuriems yra psichikos sutrikimų bei kitoks gydymas neefektyvus (žr. 4.1 skyrių) ir kuriems reguliariai galima tirti kraują (žr. 4.4 ir 4.8 skyrius).</w:t>
      </w:r>
    </w:p>
    <w:p w14:paraId="4D44BF65" w14:textId="77777777" w:rsidR="00A34B5C" w:rsidRPr="00A34B5C" w:rsidRDefault="00A34B5C" w:rsidP="00A34B5C">
      <w:pPr>
        <w:spacing w:after="0" w:line="240" w:lineRule="auto"/>
        <w:rPr>
          <w:rFonts w:ascii="Times New Roman" w:eastAsia="Calibri" w:hAnsi="Times New Roman" w:cs="Times New Roman"/>
          <w:lang w:val="lt-LT"/>
        </w:rPr>
      </w:pPr>
      <w:bookmarkStart w:id="7" w:name="_11774946Clinical_studies_in_treat"/>
      <w:bookmarkStart w:id="8" w:name="_11875013Clozapine_study_16"/>
      <w:bookmarkStart w:id="9" w:name="_5379186Clozapine_study_30"/>
      <w:bookmarkStart w:id="10" w:name="_12088049Clinical_studies_in_psych"/>
      <w:bookmarkEnd w:id="7"/>
      <w:bookmarkEnd w:id="8"/>
      <w:bookmarkEnd w:id="9"/>
      <w:bookmarkEnd w:id="10"/>
    </w:p>
    <w:p w14:paraId="616F71F6" w14:textId="77777777" w:rsidR="00A34B5C" w:rsidRPr="00DB0E71" w:rsidRDefault="00A34B5C" w:rsidP="00B27E7B">
      <w:pPr>
        <w:widowControl w:val="0"/>
        <w:autoSpaceDE w:val="0"/>
        <w:autoSpaceDN w:val="0"/>
        <w:spacing w:after="0" w:line="240" w:lineRule="auto"/>
        <w:ind w:left="540" w:hanging="540"/>
        <w:outlineLvl w:val="1"/>
        <w:rPr>
          <w:rFonts w:ascii="Times New Roman" w:eastAsia="Times New Roman" w:hAnsi="Times New Roman" w:cs="Times New Roman"/>
          <w:b/>
          <w:bCs/>
          <w:lang w:val="lt-LT"/>
        </w:rPr>
      </w:pPr>
      <w:r w:rsidRPr="00DB0E71">
        <w:rPr>
          <w:rFonts w:ascii="Times New Roman" w:eastAsia="Times New Roman" w:hAnsi="Times New Roman" w:cs="Times New Roman"/>
          <w:b/>
          <w:bCs/>
          <w:lang w:val="lt-LT"/>
        </w:rPr>
        <w:t>5.2</w:t>
      </w:r>
      <w:r w:rsidRPr="00DB0E71">
        <w:rPr>
          <w:rFonts w:ascii="Times New Roman" w:eastAsia="Times New Roman" w:hAnsi="Times New Roman" w:cs="Times New Roman"/>
          <w:b/>
          <w:bCs/>
          <w:lang w:val="lt-LT"/>
        </w:rPr>
        <w:tab/>
        <w:t xml:space="preserve">Farmakokinetinės savybės </w:t>
      </w:r>
    </w:p>
    <w:p w14:paraId="0B73D644" w14:textId="77777777" w:rsidR="00A34B5C" w:rsidRPr="00A34B5C" w:rsidRDefault="00A34B5C" w:rsidP="00A34B5C">
      <w:pPr>
        <w:spacing w:after="0" w:line="240" w:lineRule="auto"/>
        <w:rPr>
          <w:rFonts w:ascii="Times New Roman" w:eastAsia="Calibri" w:hAnsi="Times New Roman" w:cs="Times New Roman"/>
          <w:lang w:val="lt-LT"/>
        </w:rPr>
      </w:pPr>
    </w:p>
    <w:p w14:paraId="75EFB7C1"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Absorbcija</w:t>
      </w:r>
    </w:p>
    <w:p w14:paraId="08696B24"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Absorbuojasi 90</w:t>
      </w:r>
      <w:r w:rsidRPr="00A34B5C">
        <w:rPr>
          <w:rFonts w:ascii="Times New Roman" w:eastAsia="Calibri" w:hAnsi="Times New Roman" w:cs="Times New Roman"/>
          <w:lang w:val="lt-LT"/>
        </w:rPr>
        <w:noBreakHyphen/>
        <w:t>95 proc. išgerto Leponex. Maistas neveikia nei absorbcijos greičio, nei apimties.</w:t>
      </w:r>
    </w:p>
    <w:p w14:paraId="4F3FF9A7" w14:textId="77777777" w:rsidR="00A34B5C" w:rsidRPr="00A34B5C" w:rsidRDefault="00A34B5C" w:rsidP="00A34B5C">
      <w:pPr>
        <w:spacing w:after="0" w:line="240" w:lineRule="auto"/>
        <w:rPr>
          <w:rFonts w:ascii="Times New Roman" w:eastAsia="Calibri" w:hAnsi="Times New Roman" w:cs="Times New Roman"/>
          <w:lang w:val="lt-LT"/>
        </w:rPr>
      </w:pPr>
    </w:p>
    <w:p w14:paraId="645950A2"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Leponex būdingas vidutinis pirmojo pasažo metabolizmas, absoliutus bioprieinamumas yra nuo 50 proc. iki 60 proc. </w:t>
      </w:r>
    </w:p>
    <w:p w14:paraId="5177564E" w14:textId="77777777" w:rsidR="00A34B5C" w:rsidRPr="00A34B5C" w:rsidRDefault="00A34B5C" w:rsidP="00A34B5C">
      <w:pPr>
        <w:spacing w:after="0" w:line="240" w:lineRule="auto"/>
        <w:rPr>
          <w:rFonts w:ascii="Times New Roman" w:eastAsia="Calibri" w:hAnsi="Times New Roman" w:cs="Times New Roman"/>
          <w:lang w:val="lt-LT"/>
        </w:rPr>
      </w:pPr>
    </w:p>
    <w:p w14:paraId="6A36C70C"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Pasiskirstymas</w:t>
      </w:r>
    </w:p>
    <w:p w14:paraId="527F19F5"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Kai esti pastovi vaistinio preparato koncentracija kraujo plazmoje, skiriant vaistinį preparatą du kartus per parą, didžiausia koncentracija kraujyje būna vidutiniškai po 2,1 valandos (ribos – 0,4</w:t>
      </w:r>
      <w:r w:rsidRPr="00A34B5C">
        <w:rPr>
          <w:rFonts w:ascii="Times New Roman" w:eastAsia="Calibri" w:hAnsi="Times New Roman" w:cs="Times New Roman"/>
          <w:lang w:val="lt-LT"/>
        </w:rPr>
        <w:noBreakHyphen/>
        <w:t>4,2 valandos), o pasiskirstymo tūris – 1,6 l/kg. Maždaug 95 proc. Leponex jungiasi su kraujo plazmos baltymais.</w:t>
      </w:r>
    </w:p>
    <w:p w14:paraId="7113BCD8" w14:textId="77777777" w:rsidR="00A34B5C" w:rsidRPr="00A34B5C" w:rsidRDefault="00A34B5C" w:rsidP="00A34B5C">
      <w:pPr>
        <w:spacing w:after="0" w:line="240" w:lineRule="auto"/>
        <w:rPr>
          <w:rFonts w:ascii="Times New Roman" w:eastAsia="Calibri" w:hAnsi="Times New Roman" w:cs="Times New Roman"/>
          <w:lang w:val="lt-LT"/>
        </w:rPr>
      </w:pPr>
    </w:p>
    <w:p w14:paraId="1D409971"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Biotransformacija</w:t>
      </w:r>
    </w:p>
    <w:p w14:paraId="524B37FA"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Leponex prieš išsiskirdamas beveik visiškai metabolizuojamas CYP1A2 ir CYP3A4, ir tam tikru lygiu CYP2C19 ir CYP2D6. Nustatyta, kad iš pagrindinių metabolitų tik demetilmetabolitas yra aktyvus. Jo farmakologinis poveikis yra panašus į klozapino, bet daug silpnesnis ir trumpesnis. </w:t>
      </w:r>
    </w:p>
    <w:p w14:paraId="2AAF46F1" w14:textId="77777777" w:rsidR="00A34B5C" w:rsidRPr="00A34B5C" w:rsidRDefault="00A34B5C" w:rsidP="00A34B5C">
      <w:pPr>
        <w:spacing w:after="0" w:line="240" w:lineRule="auto"/>
        <w:rPr>
          <w:rFonts w:ascii="Times New Roman" w:eastAsia="Calibri" w:hAnsi="Times New Roman" w:cs="Times New Roman"/>
          <w:lang w:val="lt-LT"/>
        </w:rPr>
      </w:pPr>
    </w:p>
    <w:p w14:paraId="21414C37"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Eliminacija</w:t>
      </w:r>
    </w:p>
    <w:p w14:paraId="6115AA74"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Vaistinio preparato eliminacija yra dvifazė, vidutinis galutinis pusinės eliminacijos periodas – 12 valandų (ribos – 6 </w:t>
      </w:r>
      <w:r w:rsidRPr="00A34B5C">
        <w:rPr>
          <w:rFonts w:ascii="Times New Roman" w:eastAsia="Calibri" w:hAnsi="Times New Roman" w:cs="Times New Roman"/>
          <w:lang w:val="lt-LT"/>
        </w:rPr>
        <w:noBreakHyphen/>
        <w:t xml:space="preserve"> 26 val.). Po vienkartinės 75 mg dozės pavartojimo vidutinis galutinis pusinės eliminacijos periodas buvo 7,9 val. Jis padidėja iki 14,2 val., kai pasiekiama pastovi koncentracija kraujo plazmoje, vartojant po 75 mg vaistinio preparato per parą mažiausiai 7 dienas.</w:t>
      </w:r>
    </w:p>
    <w:p w14:paraId="17390121" w14:textId="77777777" w:rsidR="00A34B5C" w:rsidRPr="00A34B5C" w:rsidRDefault="00A34B5C" w:rsidP="00A34B5C">
      <w:pPr>
        <w:spacing w:after="0" w:line="240" w:lineRule="auto"/>
        <w:rPr>
          <w:rFonts w:ascii="Times New Roman" w:eastAsia="Calibri" w:hAnsi="Times New Roman" w:cs="Times New Roman"/>
          <w:lang w:val="lt-LT"/>
        </w:rPr>
      </w:pPr>
    </w:p>
    <w:p w14:paraId="00ED126E"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Šlapime ir išmatose nustatoma tik pėdsakų nepakitusio vaistinio preparato, maždaug 50 proc. suvartotos dozės išsiskiria metabolitų pavidalu su šlapimu ir 30 proc. – su išmatomis. </w:t>
      </w:r>
    </w:p>
    <w:p w14:paraId="21E8A55C" w14:textId="77777777" w:rsidR="00A34B5C" w:rsidRPr="00A34B5C" w:rsidRDefault="00A34B5C" w:rsidP="00A34B5C">
      <w:pPr>
        <w:spacing w:after="0" w:line="240" w:lineRule="auto"/>
        <w:rPr>
          <w:rFonts w:ascii="Times New Roman" w:eastAsia="Calibri" w:hAnsi="Times New Roman" w:cs="Times New Roman"/>
          <w:lang w:val="lt-LT"/>
        </w:rPr>
      </w:pPr>
    </w:p>
    <w:p w14:paraId="751C7204"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Tiesinis / netiesinis pobūdis</w:t>
      </w:r>
    </w:p>
    <w:p w14:paraId="5F4F069D"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Nustatyta, kad nuo 37,5 mg iki 75 mg ir 150 mg padidinta dozė, vartojama du kartus per parą, kai yra pastovi koncentracija kraujo plazmoje, sukelia tiesinį, nuo dozės priklausomą ploto po koncentracijos kitimo laiko atžvilgiu kreive (AUC), didžiausios ir mažiausios koncentracijos kraujo plazmoje padidėjimą</w:t>
      </w:r>
    </w:p>
    <w:p w14:paraId="75BDA0B4" w14:textId="77777777" w:rsidR="00A34B5C" w:rsidRPr="00A34B5C" w:rsidRDefault="00A34B5C" w:rsidP="00A34B5C">
      <w:pPr>
        <w:spacing w:after="0" w:line="240" w:lineRule="auto"/>
        <w:rPr>
          <w:rFonts w:ascii="Times New Roman" w:eastAsia="Calibri" w:hAnsi="Times New Roman" w:cs="Times New Roman"/>
          <w:lang w:val="lt-LT"/>
        </w:rPr>
      </w:pPr>
    </w:p>
    <w:p w14:paraId="06CB1A45" w14:textId="77777777" w:rsidR="00A34B5C" w:rsidRPr="00DB0E71" w:rsidRDefault="00A34B5C" w:rsidP="00B27E7B">
      <w:pPr>
        <w:widowControl w:val="0"/>
        <w:autoSpaceDE w:val="0"/>
        <w:autoSpaceDN w:val="0"/>
        <w:spacing w:after="0" w:line="240" w:lineRule="auto"/>
        <w:ind w:left="540" w:hanging="540"/>
        <w:outlineLvl w:val="1"/>
        <w:rPr>
          <w:rFonts w:ascii="Times New Roman" w:eastAsia="Times New Roman" w:hAnsi="Times New Roman" w:cs="Times New Roman"/>
          <w:b/>
          <w:bCs/>
          <w:lang w:val="lt-LT"/>
        </w:rPr>
      </w:pPr>
      <w:r w:rsidRPr="00DB0E71">
        <w:rPr>
          <w:rFonts w:ascii="Times New Roman" w:eastAsia="Times New Roman" w:hAnsi="Times New Roman" w:cs="Times New Roman"/>
          <w:b/>
          <w:bCs/>
          <w:lang w:val="lt-LT"/>
        </w:rPr>
        <w:t>5.3</w:t>
      </w:r>
      <w:r w:rsidRPr="00DB0E71">
        <w:rPr>
          <w:rFonts w:ascii="Times New Roman" w:eastAsia="Times New Roman" w:hAnsi="Times New Roman" w:cs="Times New Roman"/>
          <w:b/>
          <w:bCs/>
          <w:lang w:val="lt-LT"/>
        </w:rPr>
        <w:tab/>
        <w:t>Ikiklinikinių saugumo tyrimų duomenys</w:t>
      </w:r>
    </w:p>
    <w:p w14:paraId="38BB8CBA"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0E12963D"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Įprastinių ikiklinikinių farmakologinių saugumo, toksinio kartotinių dozių poveikio, genotoksinio bei kancerogeninio poveikio tyrimų duomenimis specifinio pavojaus žmogui vaistinis preparatas nekelia (apie reprodukcinį toksiškumą žr. 4.6 skyrių).</w:t>
      </w:r>
    </w:p>
    <w:p w14:paraId="7A1A4D64" w14:textId="77777777" w:rsidR="00A34B5C" w:rsidRPr="00A34B5C" w:rsidRDefault="00A34B5C" w:rsidP="00A34B5C">
      <w:pPr>
        <w:spacing w:after="0" w:line="240" w:lineRule="auto"/>
        <w:ind w:left="567" w:hanging="567"/>
        <w:rPr>
          <w:rFonts w:ascii="Times New Roman" w:eastAsia="Calibri" w:hAnsi="Times New Roman" w:cs="Times New Roman"/>
          <w:lang w:val="lt-LT"/>
        </w:rPr>
      </w:pPr>
      <w:bookmarkStart w:id="11" w:name="_12293113Mutagenicity"/>
      <w:bookmarkStart w:id="12" w:name="_12493945Reproductive_toxicity_911"/>
      <w:bookmarkEnd w:id="11"/>
      <w:bookmarkEnd w:id="12"/>
    </w:p>
    <w:p w14:paraId="5E17EE1C"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5716A0E1" w14:textId="77777777" w:rsidR="00A34B5C" w:rsidRPr="00B27E7B" w:rsidRDefault="00A34B5C" w:rsidP="00B27E7B">
      <w:pPr>
        <w:pStyle w:val="Antrat1"/>
        <w:tabs>
          <w:tab w:val="clear" w:pos="567"/>
        </w:tabs>
        <w:spacing w:before="0" w:after="0" w:line="240" w:lineRule="auto"/>
        <w:ind w:left="540" w:hanging="540"/>
        <w:rPr>
          <w:b w:val="0"/>
          <w:caps w:val="0"/>
        </w:rPr>
      </w:pPr>
      <w:r w:rsidRPr="00B27E7B">
        <w:rPr>
          <w:sz w:val="22"/>
        </w:rPr>
        <w:t>6.</w:t>
      </w:r>
      <w:r w:rsidRPr="00B27E7B">
        <w:rPr>
          <w:sz w:val="22"/>
        </w:rPr>
        <w:tab/>
        <w:t>farmacinė informacija</w:t>
      </w:r>
    </w:p>
    <w:p w14:paraId="1A26C97B"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5D0C432E" w14:textId="77777777" w:rsidR="00A34B5C" w:rsidRPr="00B27E7B" w:rsidRDefault="00A34B5C" w:rsidP="00B27E7B">
      <w:pPr>
        <w:widowControl w:val="0"/>
        <w:autoSpaceDE w:val="0"/>
        <w:autoSpaceDN w:val="0"/>
        <w:spacing w:after="0" w:line="240" w:lineRule="auto"/>
        <w:ind w:left="540" w:hanging="540"/>
        <w:outlineLvl w:val="1"/>
        <w:rPr>
          <w:rFonts w:ascii="Times New Roman" w:hAnsi="Times New Roman"/>
          <w:b/>
          <w:lang w:val="lt-LT"/>
        </w:rPr>
      </w:pPr>
      <w:r w:rsidRPr="00DB0E71">
        <w:rPr>
          <w:rFonts w:ascii="Times New Roman" w:eastAsia="Times New Roman" w:hAnsi="Times New Roman" w:cs="Times New Roman"/>
          <w:b/>
          <w:bCs/>
          <w:lang w:val="lt-LT"/>
        </w:rPr>
        <w:t>6.1</w:t>
      </w:r>
      <w:r w:rsidRPr="00DB0E71">
        <w:rPr>
          <w:rFonts w:ascii="Times New Roman" w:eastAsia="Times New Roman" w:hAnsi="Times New Roman" w:cs="Times New Roman"/>
          <w:b/>
          <w:bCs/>
          <w:lang w:val="lt-LT"/>
        </w:rPr>
        <w:tab/>
        <w:t>Pagalbinių medžiagų sąrašas</w:t>
      </w:r>
    </w:p>
    <w:p w14:paraId="3A7A3133" w14:textId="77777777" w:rsidR="00A34B5C" w:rsidRPr="00A34B5C" w:rsidRDefault="00A34B5C" w:rsidP="00A34B5C">
      <w:pPr>
        <w:spacing w:after="0" w:line="240" w:lineRule="auto"/>
        <w:rPr>
          <w:rFonts w:ascii="Times New Roman" w:eastAsia="Calibri" w:hAnsi="Times New Roman" w:cs="Times New Roman"/>
          <w:lang w:val="lt-LT"/>
        </w:rPr>
      </w:pPr>
    </w:p>
    <w:p w14:paraId="7CBE442B"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lastRenderedPageBreak/>
        <w:t>Magnio stearatas</w:t>
      </w:r>
    </w:p>
    <w:p w14:paraId="2A4A333D"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Koloidinis bevandenis silicio dioksidas</w:t>
      </w:r>
    </w:p>
    <w:p w14:paraId="7B9C6A52"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Povidonas K30</w:t>
      </w:r>
    </w:p>
    <w:p w14:paraId="3AA7D0B6"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Talkas</w:t>
      </w:r>
    </w:p>
    <w:p w14:paraId="52FEB8F2"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Kukurūzų krakmolas</w:t>
      </w:r>
    </w:p>
    <w:p w14:paraId="110A0C29"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Laktozė monohidratas</w:t>
      </w:r>
    </w:p>
    <w:p w14:paraId="4981381E" w14:textId="77777777" w:rsidR="00A34B5C" w:rsidRPr="00A34B5C" w:rsidRDefault="00A34B5C" w:rsidP="00A34B5C">
      <w:pPr>
        <w:spacing w:after="0" w:line="240" w:lineRule="auto"/>
        <w:rPr>
          <w:rFonts w:ascii="Times New Roman" w:eastAsia="Calibri" w:hAnsi="Times New Roman" w:cs="Times New Roman"/>
          <w:lang w:val="lt-LT"/>
        </w:rPr>
      </w:pPr>
    </w:p>
    <w:p w14:paraId="7D52ABB7" w14:textId="77777777" w:rsidR="00A34B5C" w:rsidRPr="00B27E7B" w:rsidRDefault="00A34B5C" w:rsidP="00B27E7B">
      <w:pPr>
        <w:widowControl w:val="0"/>
        <w:autoSpaceDE w:val="0"/>
        <w:autoSpaceDN w:val="0"/>
        <w:spacing w:after="0" w:line="240" w:lineRule="auto"/>
        <w:ind w:left="540" w:hanging="540"/>
        <w:outlineLvl w:val="1"/>
        <w:rPr>
          <w:rFonts w:ascii="Times New Roman" w:hAnsi="Times New Roman"/>
          <w:b/>
          <w:lang w:val="lt-LT"/>
        </w:rPr>
      </w:pPr>
      <w:r w:rsidRPr="00DB0E71">
        <w:rPr>
          <w:rFonts w:ascii="Times New Roman" w:eastAsia="Times New Roman" w:hAnsi="Times New Roman" w:cs="Times New Roman"/>
          <w:b/>
          <w:bCs/>
          <w:lang w:val="lt-LT"/>
        </w:rPr>
        <w:t>6.2</w:t>
      </w:r>
      <w:r w:rsidRPr="00DB0E71">
        <w:rPr>
          <w:rFonts w:ascii="Times New Roman" w:eastAsia="Times New Roman" w:hAnsi="Times New Roman" w:cs="Times New Roman"/>
          <w:b/>
          <w:bCs/>
          <w:lang w:val="lt-LT"/>
        </w:rPr>
        <w:tab/>
        <w:t>Nesuderinamumas</w:t>
      </w:r>
    </w:p>
    <w:p w14:paraId="67927CFF" w14:textId="77777777" w:rsidR="00A34B5C" w:rsidRPr="00A34B5C" w:rsidRDefault="00A34B5C" w:rsidP="00A34B5C">
      <w:pPr>
        <w:spacing w:after="0" w:line="240" w:lineRule="auto"/>
        <w:rPr>
          <w:rFonts w:ascii="Times New Roman" w:eastAsia="Calibri" w:hAnsi="Times New Roman" w:cs="Times New Roman"/>
          <w:lang w:val="lt-LT"/>
        </w:rPr>
      </w:pPr>
    </w:p>
    <w:p w14:paraId="79D223AA"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Duomenys nebūtini.</w:t>
      </w:r>
    </w:p>
    <w:p w14:paraId="0DAF3995"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1640B052" w14:textId="77777777" w:rsidR="00A34B5C" w:rsidRPr="00B27E7B" w:rsidRDefault="00A34B5C" w:rsidP="00B27E7B">
      <w:pPr>
        <w:widowControl w:val="0"/>
        <w:autoSpaceDE w:val="0"/>
        <w:autoSpaceDN w:val="0"/>
        <w:spacing w:after="0" w:line="240" w:lineRule="auto"/>
        <w:ind w:left="540" w:hanging="540"/>
        <w:outlineLvl w:val="1"/>
        <w:rPr>
          <w:rFonts w:ascii="Times New Roman" w:hAnsi="Times New Roman"/>
          <w:b/>
          <w:lang w:val="lt-LT"/>
        </w:rPr>
      </w:pPr>
      <w:r w:rsidRPr="00DB0E71">
        <w:rPr>
          <w:rFonts w:ascii="Times New Roman" w:eastAsia="Times New Roman" w:hAnsi="Times New Roman" w:cs="Times New Roman"/>
          <w:b/>
          <w:bCs/>
          <w:lang w:val="lt-LT"/>
        </w:rPr>
        <w:t>6.3</w:t>
      </w:r>
      <w:r w:rsidRPr="00DB0E71">
        <w:rPr>
          <w:rFonts w:ascii="Times New Roman" w:eastAsia="Times New Roman" w:hAnsi="Times New Roman" w:cs="Times New Roman"/>
          <w:b/>
          <w:bCs/>
          <w:lang w:val="lt-LT"/>
        </w:rPr>
        <w:tab/>
        <w:t>Tinkamumo laikas</w:t>
      </w:r>
    </w:p>
    <w:p w14:paraId="4AB8ED31"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33703B81"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3 metai.</w:t>
      </w:r>
    </w:p>
    <w:p w14:paraId="73A7A15F"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00E6ADBB" w14:textId="77777777" w:rsidR="00A34B5C" w:rsidRPr="00B27E7B" w:rsidRDefault="00A34B5C" w:rsidP="00B27E7B">
      <w:pPr>
        <w:widowControl w:val="0"/>
        <w:autoSpaceDE w:val="0"/>
        <w:autoSpaceDN w:val="0"/>
        <w:spacing w:after="0" w:line="240" w:lineRule="auto"/>
        <w:ind w:left="540" w:hanging="540"/>
        <w:outlineLvl w:val="1"/>
        <w:rPr>
          <w:rFonts w:ascii="Times New Roman" w:hAnsi="Times New Roman"/>
          <w:b/>
          <w:lang w:val="lt-LT"/>
        </w:rPr>
      </w:pPr>
      <w:r w:rsidRPr="00DB0E71">
        <w:rPr>
          <w:rFonts w:ascii="Times New Roman" w:eastAsia="Times New Roman" w:hAnsi="Times New Roman" w:cs="Times New Roman"/>
          <w:b/>
          <w:bCs/>
          <w:lang w:val="lt-LT"/>
        </w:rPr>
        <w:t>6.4</w:t>
      </w:r>
      <w:r w:rsidRPr="00DB0E71">
        <w:rPr>
          <w:rFonts w:ascii="Times New Roman" w:eastAsia="Times New Roman" w:hAnsi="Times New Roman" w:cs="Times New Roman"/>
          <w:b/>
          <w:bCs/>
          <w:lang w:val="lt-LT"/>
        </w:rPr>
        <w:tab/>
        <w:t>Specialios laikymo sąlygos</w:t>
      </w:r>
    </w:p>
    <w:p w14:paraId="2CA387EC" w14:textId="77777777" w:rsidR="00A34B5C" w:rsidRPr="00A34B5C" w:rsidRDefault="00A34B5C" w:rsidP="00A34B5C">
      <w:pPr>
        <w:spacing w:after="0" w:line="240" w:lineRule="auto"/>
        <w:jc w:val="both"/>
        <w:rPr>
          <w:rFonts w:ascii="Times New Roman" w:eastAsia="Calibri" w:hAnsi="Times New Roman" w:cs="Times New Roman"/>
          <w:lang w:val="lt-LT"/>
        </w:rPr>
      </w:pPr>
    </w:p>
    <w:p w14:paraId="18A229ED"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Šiam vaistiniam preparatui specialių laikymo sąlygų nereikia.</w:t>
      </w:r>
    </w:p>
    <w:p w14:paraId="202F2920" w14:textId="77777777" w:rsidR="00A34B5C" w:rsidRPr="00A34B5C" w:rsidRDefault="00A34B5C" w:rsidP="00A34B5C">
      <w:pPr>
        <w:spacing w:after="0" w:line="240" w:lineRule="auto"/>
        <w:rPr>
          <w:rFonts w:ascii="Times New Roman" w:eastAsia="Calibri" w:hAnsi="Times New Roman" w:cs="Times New Roman"/>
          <w:lang w:val="lt-LT"/>
        </w:rPr>
      </w:pPr>
    </w:p>
    <w:p w14:paraId="4C497F69" w14:textId="77777777" w:rsidR="00A34B5C" w:rsidRPr="00DB0E71" w:rsidRDefault="00A34B5C" w:rsidP="00B27E7B">
      <w:pPr>
        <w:widowControl w:val="0"/>
        <w:autoSpaceDE w:val="0"/>
        <w:autoSpaceDN w:val="0"/>
        <w:spacing w:after="0" w:line="240" w:lineRule="auto"/>
        <w:ind w:left="540" w:hanging="540"/>
        <w:outlineLvl w:val="1"/>
        <w:rPr>
          <w:rFonts w:ascii="Times New Roman" w:eastAsia="Times New Roman" w:hAnsi="Times New Roman" w:cs="Times New Roman"/>
          <w:b/>
          <w:bCs/>
          <w:lang w:val="lt-LT"/>
        </w:rPr>
      </w:pPr>
      <w:r w:rsidRPr="00DB0E71">
        <w:rPr>
          <w:rFonts w:ascii="Times New Roman" w:eastAsia="Times New Roman" w:hAnsi="Times New Roman" w:cs="Times New Roman"/>
          <w:b/>
          <w:bCs/>
          <w:lang w:val="lt-LT"/>
        </w:rPr>
        <w:t>6.5</w:t>
      </w:r>
      <w:r w:rsidRPr="00DB0E71">
        <w:rPr>
          <w:rFonts w:ascii="Times New Roman" w:eastAsia="Times New Roman" w:hAnsi="Times New Roman" w:cs="Times New Roman"/>
          <w:b/>
          <w:bCs/>
          <w:lang w:val="lt-LT"/>
        </w:rPr>
        <w:tab/>
        <w:t>Talpyklės pobūdis ir jos</w:t>
      </w:r>
      <w:r w:rsidRPr="00B27E7B">
        <w:rPr>
          <w:rFonts w:ascii="Times New Roman" w:hAnsi="Times New Roman"/>
          <w:b/>
          <w:lang w:val="lt-LT"/>
        </w:rPr>
        <w:t xml:space="preserve"> </w:t>
      </w:r>
      <w:r w:rsidRPr="00DB0E71">
        <w:rPr>
          <w:rFonts w:ascii="Times New Roman" w:eastAsia="Times New Roman" w:hAnsi="Times New Roman" w:cs="Times New Roman"/>
          <w:b/>
          <w:bCs/>
          <w:lang w:val="lt-LT"/>
        </w:rPr>
        <w:t>turinys</w:t>
      </w:r>
    </w:p>
    <w:p w14:paraId="3AA9CBFB"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1F031C79"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PVC/PE/PVDC (bespalvės) lizdinės plokštelės, vienoje pusėje padengtos aliuminio folija.</w:t>
      </w:r>
    </w:p>
    <w:p w14:paraId="556821F3"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PVC/PVDC lizdinės plokštelės, vienoje pusėje padengtos aliuminio folija.</w:t>
      </w:r>
    </w:p>
    <w:p w14:paraId="16EB58DF"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Pakuotėje yra 50 tablečių.</w:t>
      </w:r>
    </w:p>
    <w:p w14:paraId="5DBD2493"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3C30F2C5" w14:textId="77777777" w:rsidR="00A34B5C" w:rsidRPr="00B27E7B" w:rsidRDefault="00A34B5C" w:rsidP="00B27E7B">
      <w:pPr>
        <w:widowControl w:val="0"/>
        <w:autoSpaceDE w:val="0"/>
        <w:autoSpaceDN w:val="0"/>
        <w:spacing w:after="0" w:line="240" w:lineRule="auto"/>
        <w:ind w:left="540" w:hanging="540"/>
        <w:outlineLvl w:val="1"/>
        <w:rPr>
          <w:rFonts w:ascii="Times New Roman" w:hAnsi="Times New Roman"/>
          <w:b/>
          <w:lang w:val="lt-LT"/>
        </w:rPr>
      </w:pPr>
      <w:r w:rsidRPr="00DB0E71">
        <w:rPr>
          <w:rFonts w:ascii="Times New Roman" w:eastAsia="Times New Roman" w:hAnsi="Times New Roman" w:cs="Times New Roman"/>
          <w:b/>
          <w:bCs/>
          <w:lang w:val="lt-LT"/>
        </w:rPr>
        <w:t>6.6</w:t>
      </w:r>
      <w:r w:rsidRPr="00DB0E71">
        <w:rPr>
          <w:rFonts w:ascii="Times New Roman" w:eastAsia="Times New Roman" w:hAnsi="Times New Roman" w:cs="Times New Roman"/>
          <w:b/>
          <w:bCs/>
          <w:lang w:val="lt-LT"/>
        </w:rPr>
        <w:tab/>
        <w:t xml:space="preserve">Specialūs reikalavimai atliekoms tvarkyti </w:t>
      </w:r>
    </w:p>
    <w:p w14:paraId="3CDE4177"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35823A2A"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Nesuvartotą vaistinį preparatą ar atliekas reikia tvarkyti laikantis vietinių reikalavimų.</w:t>
      </w:r>
    </w:p>
    <w:p w14:paraId="5FFE1F1E"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32FCB524"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23BDE77E" w14:textId="77777777" w:rsidR="00A34B5C" w:rsidRPr="00B27E7B" w:rsidRDefault="00A34B5C" w:rsidP="00B27E7B">
      <w:pPr>
        <w:pStyle w:val="Antrat1"/>
        <w:tabs>
          <w:tab w:val="clear" w:pos="567"/>
        </w:tabs>
        <w:spacing w:before="0" w:after="0" w:line="240" w:lineRule="auto"/>
        <w:ind w:left="540" w:hanging="540"/>
      </w:pPr>
      <w:r w:rsidRPr="00B27E7B">
        <w:rPr>
          <w:sz w:val="22"/>
        </w:rPr>
        <w:t>7.</w:t>
      </w:r>
      <w:r w:rsidRPr="00B27E7B">
        <w:rPr>
          <w:sz w:val="22"/>
        </w:rPr>
        <w:tab/>
        <w:t>REGISTRUOTOJAS</w:t>
      </w:r>
    </w:p>
    <w:p w14:paraId="47669634" w14:textId="77777777" w:rsidR="00A34B5C" w:rsidRPr="00A34B5C" w:rsidRDefault="00A34B5C" w:rsidP="00A34B5C">
      <w:pPr>
        <w:tabs>
          <w:tab w:val="left" w:pos="567"/>
          <w:tab w:val="center" w:pos="4536"/>
          <w:tab w:val="center" w:pos="8930"/>
        </w:tabs>
        <w:spacing w:after="0" w:line="240" w:lineRule="auto"/>
        <w:rPr>
          <w:rFonts w:ascii="Times New Roman" w:eastAsia="Calibri" w:hAnsi="Times New Roman" w:cs="Times New Roman"/>
          <w:lang w:val="cs-CZ"/>
        </w:rPr>
      </w:pPr>
    </w:p>
    <w:p w14:paraId="459D2308" w14:textId="1ECA6F83" w:rsidR="00A34B5C" w:rsidRPr="00A34B5C" w:rsidRDefault="0038259C" w:rsidP="00A34B5C">
      <w:pPr>
        <w:tabs>
          <w:tab w:val="left" w:pos="567"/>
          <w:tab w:val="center" w:pos="4536"/>
          <w:tab w:val="center" w:pos="8930"/>
        </w:tabs>
        <w:spacing w:after="0" w:line="240" w:lineRule="auto"/>
        <w:rPr>
          <w:rFonts w:ascii="Times New Roman" w:eastAsia="Calibri" w:hAnsi="Times New Roman" w:cs="Times New Roman"/>
          <w:color w:val="000000"/>
          <w:lang w:val="cs-CZ"/>
        </w:rPr>
      </w:pPr>
      <w:r>
        <w:rPr>
          <w:rFonts w:ascii="Times New Roman" w:eastAsia="Calibri" w:hAnsi="Times New Roman" w:cs="Times New Roman"/>
          <w:color w:val="000000"/>
          <w:lang w:val="cs-CZ"/>
        </w:rPr>
        <w:t>Viatris</w:t>
      </w:r>
      <w:r w:rsidR="008B3749" w:rsidRPr="008B3749">
        <w:rPr>
          <w:rFonts w:ascii="Times New Roman" w:eastAsia="Calibri" w:hAnsi="Times New Roman" w:cs="Times New Roman"/>
          <w:color w:val="000000"/>
          <w:lang w:val="cs-CZ"/>
        </w:rPr>
        <w:t xml:space="preserve"> </w:t>
      </w:r>
      <w:r w:rsidR="00A34B5C" w:rsidRPr="00A34B5C">
        <w:rPr>
          <w:rFonts w:ascii="Times New Roman" w:eastAsia="Calibri" w:hAnsi="Times New Roman" w:cs="Times New Roman"/>
          <w:color w:val="000000"/>
          <w:lang w:val="cs-CZ"/>
        </w:rPr>
        <w:t>SIA</w:t>
      </w:r>
    </w:p>
    <w:p w14:paraId="3855B117" w14:textId="77777777" w:rsidR="00A34B5C" w:rsidRPr="00A34B5C" w:rsidRDefault="00A34B5C" w:rsidP="00A34B5C">
      <w:pPr>
        <w:tabs>
          <w:tab w:val="left" w:pos="567"/>
          <w:tab w:val="center" w:pos="4536"/>
          <w:tab w:val="center" w:pos="8930"/>
        </w:tabs>
        <w:spacing w:after="0" w:line="240" w:lineRule="auto"/>
        <w:rPr>
          <w:rFonts w:ascii="Times New Roman" w:eastAsia="Calibri" w:hAnsi="Times New Roman" w:cs="Times New Roman"/>
          <w:color w:val="000000"/>
          <w:lang w:val="cs-CZ"/>
        </w:rPr>
      </w:pPr>
      <w:r w:rsidRPr="00A34B5C">
        <w:rPr>
          <w:rFonts w:ascii="Times New Roman" w:eastAsia="Calibri" w:hAnsi="Times New Roman" w:cs="Times New Roman"/>
          <w:color w:val="000000"/>
          <w:lang w:val="cs-CZ"/>
        </w:rPr>
        <w:t>M</w:t>
      </w:r>
      <w:r w:rsidRPr="00A34B5C">
        <w:rPr>
          <w:rFonts w:ascii="Times New Roman" w:eastAsia="Calibri" w:hAnsi="Times New Roman" w:cs="Times New Roman" w:hint="eastAsia"/>
          <w:color w:val="000000"/>
          <w:lang w:val="cs-CZ"/>
        </w:rPr>
        <w:t>ū</w:t>
      </w:r>
      <w:r w:rsidRPr="00A34B5C">
        <w:rPr>
          <w:rFonts w:ascii="Times New Roman" w:eastAsia="Calibri" w:hAnsi="Times New Roman" w:cs="Times New Roman"/>
          <w:color w:val="000000"/>
          <w:lang w:val="cs-CZ"/>
        </w:rPr>
        <w:t>kusalas 101</w:t>
      </w:r>
    </w:p>
    <w:p w14:paraId="4A778843" w14:textId="77777777" w:rsidR="00A34B5C" w:rsidRPr="00A34B5C" w:rsidRDefault="00A34B5C" w:rsidP="00A34B5C">
      <w:pPr>
        <w:tabs>
          <w:tab w:val="left" w:pos="567"/>
          <w:tab w:val="center" w:pos="4536"/>
          <w:tab w:val="center" w:pos="8930"/>
        </w:tabs>
        <w:spacing w:after="0" w:line="240" w:lineRule="auto"/>
        <w:rPr>
          <w:rFonts w:ascii="Times New Roman" w:eastAsia="Calibri" w:hAnsi="Times New Roman" w:cs="Times New Roman"/>
          <w:color w:val="000000"/>
          <w:lang w:val="cs-CZ"/>
        </w:rPr>
      </w:pPr>
      <w:r w:rsidRPr="00A34B5C">
        <w:rPr>
          <w:rFonts w:ascii="Times New Roman" w:eastAsia="Calibri" w:hAnsi="Times New Roman" w:cs="Times New Roman"/>
          <w:color w:val="000000"/>
          <w:lang w:val="cs-CZ"/>
        </w:rPr>
        <w:t>R</w:t>
      </w:r>
      <w:r w:rsidRPr="00A34B5C">
        <w:rPr>
          <w:rFonts w:ascii="Times New Roman" w:eastAsia="Calibri" w:hAnsi="Times New Roman" w:cs="Times New Roman" w:hint="eastAsia"/>
          <w:color w:val="000000"/>
          <w:lang w:val="cs-CZ"/>
        </w:rPr>
        <w:t>ī</w:t>
      </w:r>
      <w:r w:rsidRPr="00A34B5C">
        <w:rPr>
          <w:rFonts w:ascii="Times New Roman" w:eastAsia="Calibri" w:hAnsi="Times New Roman" w:cs="Times New Roman"/>
          <w:color w:val="000000"/>
          <w:lang w:val="cs-CZ"/>
        </w:rPr>
        <w:t>ga, LV 1004</w:t>
      </w:r>
    </w:p>
    <w:p w14:paraId="66B34210"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color w:val="000000"/>
          <w:lang w:val="cs-CZ"/>
        </w:rPr>
        <w:t>Latvija</w:t>
      </w:r>
    </w:p>
    <w:p w14:paraId="05FA43D8"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 </w:t>
      </w:r>
    </w:p>
    <w:p w14:paraId="6D097BC0"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1FDD5D21" w14:textId="77777777" w:rsidR="00A34B5C" w:rsidRPr="00B27E7B" w:rsidRDefault="00A34B5C" w:rsidP="00B27E7B">
      <w:pPr>
        <w:pStyle w:val="Antrat1"/>
        <w:tabs>
          <w:tab w:val="clear" w:pos="567"/>
        </w:tabs>
        <w:spacing w:before="0" w:after="0" w:line="240" w:lineRule="auto"/>
        <w:ind w:left="540" w:hanging="540"/>
        <w:rPr>
          <w:b w:val="0"/>
          <w:caps w:val="0"/>
        </w:rPr>
      </w:pPr>
      <w:r w:rsidRPr="00B27E7B">
        <w:rPr>
          <w:sz w:val="22"/>
        </w:rPr>
        <w:t>8.</w:t>
      </w:r>
      <w:r w:rsidRPr="00B27E7B">
        <w:rPr>
          <w:sz w:val="22"/>
        </w:rPr>
        <w:tab/>
        <w:t>REGISTRACIJOS PAŽYMĖJIMO numeris (-IAI)</w:t>
      </w:r>
    </w:p>
    <w:p w14:paraId="0A4A6F84"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64A4DB17"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Leponex 25 mg tabletės – LT/1/94/0949/001</w:t>
      </w:r>
    </w:p>
    <w:p w14:paraId="2375EDC7"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Leponex 100 mg tabletės – LT/1/94/0949/002</w:t>
      </w:r>
    </w:p>
    <w:p w14:paraId="7E2FBEC2"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08B62605"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4EDD45F0" w14:textId="77777777" w:rsidR="00A34B5C" w:rsidRPr="00B27E7B" w:rsidRDefault="00A34B5C" w:rsidP="00B27E7B">
      <w:pPr>
        <w:pStyle w:val="Antrat1"/>
        <w:tabs>
          <w:tab w:val="clear" w:pos="567"/>
        </w:tabs>
        <w:spacing w:before="0" w:after="0" w:line="240" w:lineRule="auto"/>
        <w:ind w:left="540" w:hanging="540"/>
        <w:rPr>
          <w:b w:val="0"/>
          <w:caps w:val="0"/>
        </w:rPr>
      </w:pPr>
      <w:r w:rsidRPr="00B27E7B">
        <w:rPr>
          <w:sz w:val="22"/>
        </w:rPr>
        <w:t>9.</w:t>
      </w:r>
      <w:r w:rsidRPr="00B27E7B">
        <w:rPr>
          <w:sz w:val="22"/>
        </w:rPr>
        <w:tab/>
        <w:t>REGISTRAVIMO / PERREGISTRAVIMO data</w:t>
      </w:r>
    </w:p>
    <w:p w14:paraId="19D0E3E7"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7DC3D4FA"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Registravimo data 1994 m. kovo 31 d.</w:t>
      </w:r>
    </w:p>
    <w:p w14:paraId="5CCE86A3"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Paskutinio perregistravimo data 2007 m. gruodžio 20 d.</w:t>
      </w:r>
    </w:p>
    <w:p w14:paraId="7A0FF2F4"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50E86F61"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0005B615" w14:textId="77777777" w:rsidR="00A34B5C" w:rsidRPr="00B27E7B" w:rsidRDefault="00A34B5C" w:rsidP="00B27E7B">
      <w:pPr>
        <w:pStyle w:val="Antrat1"/>
        <w:tabs>
          <w:tab w:val="clear" w:pos="567"/>
        </w:tabs>
        <w:spacing w:before="0" w:after="0" w:line="240" w:lineRule="auto"/>
        <w:ind w:left="540" w:hanging="540"/>
        <w:rPr>
          <w:b w:val="0"/>
          <w:caps w:val="0"/>
        </w:rPr>
      </w:pPr>
      <w:r w:rsidRPr="00B27E7B">
        <w:rPr>
          <w:sz w:val="22"/>
        </w:rPr>
        <w:t>10.</w:t>
      </w:r>
      <w:r w:rsidRPr="00B27E7B">
        <w:rPr>
          <w:sz w:val="22"/>
        </w:rPr>
        <w:tab/>
        <w:t>teksto peržiūros data</w:t>
      </w:r>
    </w:p>
    <w:p w14:paraId="7626EEEF"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4EA94694" w14:textId="5724BD58" w:rsidR="00462860" w:rsidRPr="00986BF4" w:rsidRDefault="00C9198E" w:rsidP="00462860">
      <w:pPr>
        <w:tabs>
          <w:tab w:val="left" w:pos="567"/>
        </w:tabs>
        <w:spacing w:after="0"/>
        <w:rPr>
          <w:rFonts w:ascii="Times New Roman" w:hAnsi="Times New Roman" w:cs="Times New Roman"/>
        </w:rPr>
      </w:pPr>
      <w:r>
        <w:rPr>
          <w:rFonts w:ascii="Times New Roman" w:hAnsi="Times New Roman" w:cs="Times New Roman"/>
        </w:rPr>
        <w:t>20</w:t>
      </w:r>
      <w:r w:rsidR="005269A9">
        <w:rPr>
          <w:rFonts w:ascii="Times New Roman" w:hAnsi="Times New Roman" w:cs="Times New Roman"/>
        </w:rPr>
        <w:t>23 m. rugsėjo 1 d.</w:t>
      </w:r>
    </w:p>
    <w:p w14:paraId="4F0577DA" w14:textId="77777777" w:rsidR="00A34B5C" w:rsidRPr="00A34B5C" w:rsidRDefault="00A34B5C" w:rsidP="00A34B5C">
      <w:pPr>
        <w:spacing w:after="0" w:line="240" w:lineRule="auto"/>
        <w:rPr>
          <w:rFonts w:ascii="Times New Roman" w:eastAsia="Calibri" w:hAnsi="Times New Roman" w:cs="Times New Roman"/>
          <w:lang w:val="lt-LT"/>
        </w:rPr>
      </w:pPr>
    </w:p>
    <w:p w14:paraId="1FD3C91A" w14:textId="35642925" w:rsidR="00A34B5C" w:rsidRPr="00A34B5C" w:rsidRDefault="00A34B5C" w:rsidP="00A34B5C">
      <w:pPr>
        <w:tabs>
          <w:tab w:val="left" w:pos="5954"/>
          <w:tab w:val="left" w:pos="6237"/>
          <w:tab w:val="left" w:pos="6663"/>
          <w:tab w:val="left" w:pos="6946"/>
        </w:tabs>
        <w:spacing w:after="0" w:line="240" w:lineRule="auto"/>
        <w:rPr>
          <w:rFonts w:ascii="Times New Roman" w:eastAsia="SimSun" w:hAnsi="Times New Roman" w:cs="Times New Roman"/>
          <w:lang w:val="lt-LT"/>
        </w:rPr>
      </w:pPr>
      <w:r w:rsidRPr="00A34B5C">
        <w:rPr>
          <w:rFonts w:ascii="Times New Roman" w:eastAsia="SimSun" w:hAnsi="Times New Roman" w:cs="Times New Roman"/>
          <w:noProof/>
          <w:lang w:val="lt-LT"/>
        </w:rPr>
        <w:t>Išsami informacija apie šį vaistinį preparatą pateikiama Valstybinės vaistų kontrolės tarnybos prie Lietuvos Respublikos sveikatos apsaugos ministerijos tinklalapyje</w:t>
      </w:r>
      <w:r w:rsidRPr="00A34B5C">
        <w:rPr>
          <w:rFonts w:ascii="Times New Roman" w:eastAsia="SimSun" w:hAnsi="Times New Roman" w:cs="Times New Roman"/>
          <w:i/>
          <w:noProof/>
          <w:lang w:val="lt-LT"/>
        </w:rPr>
        <w:t xml:space="preserve"> </w:t>
      </w:r>
      <w:hyperlink r:id="rId10" w:history="1">
        <w:r w:rsidRPr="00A34B5C">
          <w:rPr>
            <w:rFonts w:ascii="Times New Roman" w:eastAsia="SimSun" w:hAnsi="Times New Roman" w:cs="Times New Roman"/>
            <w:noProof/>
            <w:color w:val="0000FF"/>
            <w:u w:val="single"/>
            <w:lang w:val="lt-LT"/>
          </w:rPr>
          <w:t>http://www.</w:t>
        </w:r>
        <w:r w:rsidRPr="00A34B5C">
          <w:rPr>
            <w:rFonts w:ascii="Times New Roman" w:eastAsia="SimSun" w:hAnsi="Times New Roman" w:cs="Times New Roman"/>
            <w:color w:val="0000FF"/>
            <w:u w:val="single"/>
            <w:lang w:val="lt-LT"/>
          </w:rPr>
          <w:t>vvkt.lt</w:t>
        </w:r>
      </w:hyperlink>
    </w:p>
    <w:p w14:paraId="1AD6BB4C" w14:textId="77777777" w:rsidR="00DB0E71" w:rsidRDefault="00DB0E71">
      <w:pPr>
        <w:rPr>
          <w:rFonts w:ascii="Times New Roman" w:eastAsia="SimSun" w:hAnsi="Times New Roman" w:cs="Times New Roman"/>
          <w:sz w:val="20"/>
          <w:szCs w:val="20"/>
          <w:lang w:val="lt-LT"/>
        </w:rPr>
      </w:pPr>
      <w:r>
        <w:rPr>
          <w:rFonts w:ascii="Times New Roman" w:eastAsia="SimSun" w:hAnsi="Times New Roman" w:cs="Times New Roman"/>
          <w:sz w:val="20"/>
          <w:szCs w:val="20"/>
          <w:lang w:val="lt-LT"/>
        </w:rPr>
        <w:br w:type="page"/>
      </w:r>
    </w:p>
    <w:p w14:paraId="3ADC05B6" w14:textId="77777777" w:rsidR="00A34B5C" w:rsidRPr="00A34B5C" w:rsidRDefault="00A34B5C" w:rsidP="00A34B5C">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lang w:val="lt-LT"/>
        </w:rPr>
      </w:pPr>
    </w:p>
    <w:p w14:paraId="25D3EC50" w14:textId="77777777" w:rsidR="00A34B5C" w:rsidRPr="00A34B5C" w:rsidRDefault="00A34B5C" w:rsidP="00A34B5C">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lang w:val="lt-LT"/>
        </w:rPr>
      </w:pPr>
    </w:p>
    <w:p w14:paraId="4E1D80B2" w14:textId="77777777" w:rsidR="00A34B5C" w:rsidRPr="00A34B5C" w:rsidRDefault="00A34B5C" w:rsidP="00B27E7B">
      <w:pPr>
        <w:tabs>
          <w:tab w:val="left" w:pos="5954"/>
          <w:tab w:val="left" w:pos="6237"/>
          <w:tab w:val="left" w:pos="6663"/>
          <w:tab w:val="left" w:pos="6946"/>
        </w:tabs>
        <w:spacing w:after="0" w:line="240" w:lineRule="auto"/>
        <w:rPr>
          <w:rFonts w:ascii="Times New Roman" w:eastAsia="SimSun" w:hAnsi="Times New Roman" w:cs="Times New Roman"/>
          <w:sz w:val="20"/>
          <w:szCs w:val="20"/>
          <w:lang w:val="lt-LT"/>
        </w:rPr>
      </w:pPr>
    </w:p>
    <w:p w14:paraId="5CDEF904" w14:textId="77777777" w:rsidR="00A34B5C" w:rsidRPr="00A34B5C" w:rsidRDefault="00A34B5C" w:rsidP="00A34B5C">
      <w:pPr>
        <w:spacing w:after="0" w:line="240" w:lineRule="auto"/>
        <w:rPr>
          <w:rFonts w:ascii="Times New Roman" w:eastAsia="Calibri" w:hAnsi="Times New Roman" w:cs="Times New Roman"/>
          <w:lang w:val="lt-LT"/>
        </w:rPr>
      </w:pPr>
    </w:p>
    <w:p w14:paraId="7103EBD0" w14:textId="77777777" w:rsidR="00A34B5C" w:rsidRPr="00A34B5C" w:rsidRDefault="00A34B5C" w:rsidP="00A34B5C">
      <w:pPr>
        <w:spacing w:after="0" w:line="240" w:lineRule="auto"/>
        <w:rPr>
          <w:rFonts w:ascii="Times New Roman" w:eastAsia="Calibri" w:hAnsi="Times New Roman" w:cs="Times New Roman"/>
          <w:lang w:val="lt-LT"/>
        </w:rPr>
      </w:pPr>
    </w:p>
    <w:p w14:paraId="3E7A70D7" w14:textId="77777777" w:rsidR="00A34B5C" w:rsidRPr="00A34B5C" w:rsidRDefault="00A34B5C" w:rsidP="00A34B5C">
      <w:pPr>
        <w:spacing w:after="0" w:line="240" w:lineRule="auto"/>
        <w:rPr>
          <w:rFonts w:ascii="Times New Roman" w:eastAsia="Calibri" w:hAnsi="Times New Roman" w:cs="Times New Roman"/>
          <w:lang w:val="lt-LT"/>
        </w:rPr>
      </w:pPr>
    </w:p>
    <w:p w14:paraId="7A47BFB2" w14:textId="77777777" w:rsidR="00A34B5C" w:rsidRPr="00A34B5C" w:rsidRDefault="00A34B5C" w:rsidP="00A34B5C">
      <w:pPr>
        <w:spacing w:after="0" w:line="240" w:lineRule="auto"/>
        <w:rPr>
          <w:rFonts w:ascii="Times New Roman" w:eastAsia="Calibri" w:hAnsi="Times New Roman" w:cs="Times New Roman"/>
          <w:lang w:val="lt-LT"/>
        </w:rPr>
      </w:pPr>
    </w:p>
    <w:p w14:paraId="2D91F678" w14:textId="77777777" w:rsidR="00A34B5C" w:rsidRPr="00A34B5C" w:rsidRDefault="00A34B5C" w:rsidP="00A34B5C">
      <w:pPr>
        <w:spacing w:after="0" w:line="240" w:lineRule="auto"/>
        <w:rPr>
          <w:rFonts w:ascii="Times New Roman" w:eastAsia="Calibri" w:hAnsi="Times New Roman" w:cs="Times New Roman"/>
          <w:lang w:val="lt-LT"/>
        </w:rPr>
      </w:pPr>
    </w:p>
    <w:p w14:paraId="53A91529"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189DAF3F"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7458C632"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0CB862DB"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18B5143F"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75D68090"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410EFFAF"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7773C1A6"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2ED8FEC8"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55B313B3"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52079A16"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08AF1297"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3F68E11B"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35908FC4"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05E82C92"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370292C3" w14:textId="77777777" w:rsidR="00A34B5C" w:rsidRPr="00B27E7B" w:rsidRDefault="00A34B5C" w:rsidP="00B27E7B">
      <w:pPr>
        <w:pStyle w:val="Antrat1"/>
        <w:tabs>
          <w:tab w:val="clear" w:pos="567"/>
        </w:tabs>
        <w:spacing w:before="0" w:after="0" w:line="240" w:lineRule="auto"/>
        <w:ind w:left="540" w:hanging="540"/>
        <w:jc w:val="center"/>
        <w:rPr>
          <w:b w:val="0"/>
        </w:rPr>
      </w:pPr>
      <w:r w:rsidRPr="00B27E7B">
        <w:rPr>
          <w:sz w:val="22"/>
        </w:rPr>
        <w:t>II PRIEDAS</w:t>
      </w:r>
    </w:p>
    <w:p w14:paraId="78C525BE"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3E45E13C" w14:textId="77777777" w:rsidR="00A34B5C" w:rsidRPr="00A34B5C" w:rsidRDefault="00A34B5C" w:rsidP="00A34B5C">
      <w:pPr>
        <w:spacing w:after="0" w:line="240" w:lineRule="auto"/>
        <w:jc w:val="center"/>
        <w:rPr>
          <w:rFonts w:ascii="Times New Roman" w:eastAsia="Calibri" w:hAnsi="Times New Roman" w:cs="Times New Roman"/>
          <w:b/>
          <w:lang w:val="lt-LT"/>
        </w:rPr>
      </w:pPr>
      <w:r w:rsidRPr="00A34B5C">
        <w:rPr>
          <w:rFonts w:ascii="Times New Roman" w:eastAsia="Calibri" w:hAnsi="Times New Roman" w:cs="Times New Roman"/>
          <w:b/>
          <w:lang w:val="lt-LT"/>
        </w:rPr>
        <w:t>REGISTRACIJOS SĄLYGOS</w:t>
      </w:r>
    </w:p>
    <w:p w14:paraId="19DE9457" w14:textId="77777777" w:rsidR="00A34B5C" w:rsidRPr="00A34B5C" w:rsidRDefault="00A34B5C" w:rsidP="00A34B5C">
      <w:pPr>
        <w:spacing w:after="0" w:line="240" w:lineRule="auto"/>
        <w:jc w:val="center"/>
        <w:rPr>
          <w:rFonts w:ascii="Times New Roman" w:eastAsia="Calibri" w:hAnsi="Times New Roman" w:cs="Times New Roman"/>
          <w:b/>
          <w:lang w:val="lt-LT"/>
        </w:rPr>
      </w:pPr>
    </w:p>
    <w:p w14:paraId="0AED8368" w14:textId="77777777" w:rsidR="00A34B5C" w:rsidRPr="00A34B5C" w:rsidRDefault="00A34B5C" w:rsidP="00A34B5C">
      <w:pPr>
        <w:spacing w:after="0" w:line="240" w:lineRule="auto"/>
        <w:rPr>
          <w:rFonts w:ascii="Times New Roman" w:eastAsia="Calibri" w:hAnsi="Times New Roman" w:cs="Times New Roman"/>
          <w:b/>
          <w:lang w:val="lt-LT"/>
        </w:rPr>
      </w:pPr>
    </w:p>
    <w:p w14:paraId="54D6F04A" w14:textId="77777777" w:rsidR="00A34B5C" w:rsidRPr="00A34B5C" w:rsidRDefault="00A34B5C" w:rsidP="00A34B5C">
      <w:pPr>
        <w:numPr>
          <w:ilvl w:val="0"/>
          <w:numId w:val="15"/>
        </w:numPr>
        <w:tabs>
          <w:tab w:val="left" w:pos="1701"/>
        </w:tabs>
        <w:spacing w:after="0" w:line="240" w:lineRule="auto"/>
        <w:rPr>
          <w:rFonts w:ascii="Times New Roman" w:eastAsia="Times New Roman" w:hAnsi="Times New Roman" w:cs="Times New Roman"/>
          <w:b/>
          <w:lang w:val="lt-LT"/>
        </w:rPr>
      </w:pPr>
      <w:r w:rsidRPr="00A34B5C">
        <w:rPr>
          <w:rFonts w:ascii="Times New Roman" w:eastAsia="Times New Roman" w:hAnsi="Times New Roman" w:cs="Times New Roman"/>
          <w:b/>
          <w:lang w:val="lt-LT"/>
        </w:rPr>
        <w:t>GAMINTOJAS (-AI), ATSAKINGAS (-I) UŽ SERIJŲ IŠLEIDIMĄ</w:t>
      </w:r>
    </w:p>
    <w:p w14:paraId="54CD39F9" w14:textId="77777777" w:rsidR="00A34B5C" w:rsidRPr="00A34B5C" w:rsidRDefault="00A34B5C" w:rsidP="00A34B5C">
      <w:pPr>
        <w:spacing w:after="0" w:line="240" w:lineRule="auto"/>
        <w:jc w:val="both"/>
        <w:rPr>
          <w:rFonts w:ascii="Times New Roman" w:eastAsia="Times New Roman" w:hAnsi="Times New Roman" w:cs="Times New Roman"/>
        </w:rPr>
      </w:pPr>
    </w:p>
    <w:p w14:paraId="6035DF4B" w14:textId="77777777" w:rsidR="00A34B5C" w:rsidRPr="00A34B5C" w:rsidRDefault="00A34B5C" w:rsidP="00A34B5C">
      <w:pPr>
        <w:tabs>
          <w:tab w:val="left" w:pos="1701"/>
        </w:tabs>
        <w:spacing w:after="0" w:line="240" w:lineRule="auto"/>
        <w:ind w:left="1701" w:hanging="567"/>
        <w:rPr>
          <w:rFonts w:ascii="Times New Roman" w:eastAsia="Times New Roman" w:hAnsi="Times New Roman" w:cs="Times New Roman"/>
          <w:b/>
          <w:lang w:val="lt-LT"/>
        </w:rPr>
      </w:pPr>
      <w:r w:rsidRPr="00A34B5C">
        <w:rPr>
          <w:rFonts w:ascii="Times New Roman" w:eastAsia="Times New Roman" w:hAnsi="Times New Roman" w:cs="Times New Roman"/>
          <w:b/>
          <w:lang w:val="lt-LT"/>
        </w:rPr>
        <w:t>B.</w:t>
      </w:r>
      <w:r w:rsidRPr="00A34B5C">
        <w:rPr>
          <w:rFonts w:ascii="Times New Roman" w:eastAsia="Times New Roman" w:hAnsi="Times New Roman" w:cs="Times New Roman"/>
          <w:b/>
          <w:lang w:val="lt-LT"/>
        </w:rPr>
        <w:tab/>
        <w:t>TIEKIMO IR VARTOJIMO SĄLYGOS AR APRIBOJIMAI</w:t>
      </w:r>
    </w:p>
    <w:p w14:paraId="0DC43849" w14:textId="77777777" w:rsidR="00A34B5C" w:rsidRPr="00A34B5C" w:rsidRDefault="00A34B5C" w:rsidP="00A34B5C">
      <w:pPr>
        <w:spacing w:after="0" w:line="240" w:lineRule="auto"/>
        <w:jc w:val="both"/>
        <w:rPr>
          <w:rFonts w:ascii="Times New Roman" w:eastAsia="Times New Roman" w:hAnsi="Times New Roman" w:cs="Times New Roman"/>
          <w:lang w:val="pt-BR"/>
        </w:rPr>
      </w:pPr>
    </w:p>
    <w:p w14:paraId="3BAFFB8C" w14:textId="77777777" w:rsidR="00A34B5C" w:rsidRPr="00A34B5C" w:rsidRDefault="00A34B5C" w:rsidP="00A34B5C">
      <w:pPr>
        <w:spacing w:after="0" w:line="240" w:lineRule="auto"/>
        <w:rPr>
          <w:rFonts w:ascii="Times New Roman" w:eastAsia="Calibri" w:hAnsi="Times New Roman" w:cs="Times New Roman"/>
          <w:lang w:val="lt-LT"/>
        </w:rPr>
      </w:pPr>
    </w:p>
    <w:p w14:paraId="6951F815" w14:textId="77777777" w:rsidR="00A34B5C" w:rsidRPr="00A34B5C" w:rsidRDefault="00A34B5C" w:rsidP="00A34B5C">
      <w:pPr>
        <w:spacing w:after="0" w:line="240" w:lineRule="auto"/>
        <w:rPr>
          <w:rFonts w:ascii="Times New Roman" w:eastAsia="Calibri" w:hAnsi="Times New Roman" w:cs="Times New Roman"/>
          <w:lang w:val="lt-LT"/>
        </w:rPr>
      </w:pPr>
    </w:p>
    <w:p w14:paraId="08A72FC0" w14:textId="77777777" w:rsidR="00A34B5C" w:rsidRPr="00B27E7B" w:rsidRDefault="00A34B5C" w:rsidP="00B27E7B">
      <w:pPr>
        <w:pStyle w:val="Antrat1"/>
        <w:tabs>
          <w:tab w:val="clear" w:pos="567"/>
        </w:tabs>
        <w:spacing w:before="0" w:after="0" w:line="240" w:lineRule="auto"/>
        <w:ind w:left="540" w:hanging="540"/>
        <w:rPr>
          <w:b w:val="0"/>
        </w:rPr>
      </w:pPr>
      <w:r w:rsidRPr="00C9198E">
        <w:rPr>
          <w:lang w:val="lt-LT"/>
        </w:rPr>
        <w:br w:type="page"/>
      </w:r>
      <w:r w:rsidRPr="00B27E7B">
        <w:rPr>
          <w:sz w:val="22"/>
        </w:rPr>
        <w:lastRenderedPageBreak/>
        <w:t>A.</w:t>
      </w:r>
      <w:r w:rsidRPr="00B27E7B">
        <w:rPr>
          <w:sz w:val="22"/>
        </w:rPr>
        <w:tab/>
        <w:t>GAMINTOJAS (-AI), ATSAKINGAS (-I) UŽ SERIJŲ IŠLEIDIMĄ</w:t>
      </w:r>
    </w:p>
    <w:p w14:paraId="10DF7E5E" w14:textId="77777777" w:rsidR="00A34B5C" w:rsidRPr="00A34B5C" w:rsidRDefault="00A34B5C" w:rsidP="00A34B5C">
      <w:pPr>
        <w:spacing w:after="0" w:line="240" w:lineRule="auto"/>
        <w:rPr>
          <w:rFonts w:ascii="Times New Roman" w:eastAsia="Calibri" w:hAnsi="Times New Roman" w:cs="Times New Roman"/>
          <w:b/>
          <w:lang w:val="lt-LT"/>
        </w:rPr>
      </w:pPr>
    </w:p>
    <w:p w14:paraId="68FF96AA" w14:textId="77777777" w:rsidR="00A34B5C" w:rsidRPr="00A34B5C" w:rsidRDefault="00A34B5C" w:rsidP="00A34B5C">
      <w:pPr>
        <w:spacing w:after="0" w:line="240" w:lineRule="auto"/>
        <w:rPr>
          <w:rFonts w:ascii="Times New Roman" w:eastAsia="Calibri" w:hAnsi="Times New Roman" w:cs="Times New Roman"/>
          <w:u w:val="single"/>
          <w:lang w:val="lt-LT"/>
        </w:rPr>
      </w:pPr>
      <w:r w:rsidRPr="00A34B5C">
        <w:rPr>
          <w:rFonts w:ascii="Times New Roman" w:eastAsia="Calibri" w:hAnsi="Times New Roman" w:cs="Times New Roman"/>
          <w:u w:val="single"/>
          <w:lang w:val="lt-LT"/>
        </w:rPr>
        <w:t>Gamintojo, atsakingo už serijų išleidimą, pavadinimas ir adresas</w:t>
      </w:r>
    </w:p>
    <w:p w14:paraId="3043F2A4" w14:textId="77777777" w:rsidR="00A34B5C" w:rsidRPr="00A34B5C" w:rsidRDefault="00A34B5C" w:rsidP="00A34B5C">
      <w:pPr>
        <w:spacing w:after="0" w:line="240" w:lineRule="auto"/>
        <w:rPr>
          <w:rFonts w:ascii="Times New Roman" w:eastAsia="Calibri" w:hAnsi="Times New Roman" w:cs="Times New Roman"/>
          <w:lang w:val="lt-LT"/>
        </w:rPr>
      </w:pPr>
    </w:p>
    <w:p w14:paraId="39C05339"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Mylan Hungary Kft. </w:t>
      </w:r>
    </w:p>
    <w:p w14:paraId="22457CCA"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Mylan utca 1. </w:t>
      </w:r>
    </w:p>
    <w:p w14:paraId="5ED10502"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Komárom, 2900 </w:t>
      </w:r>
    </w:p>
    <w:p w14:paraId="13B9FD57"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Vengrija</w:t>
      </w:r>
    </w:p>
    <w:p w14:paraId="61389D63" w14:textId="77777777" w:rsidR="00A34B5C" w:rsidRPr="00A34B5C" w:rsidRDefault="00A34B5C" w:rsidP="00A34B5C">
      <w:pPr>
        <w:spacing w:after="0" w:line="240" w:lineRule="auto"/>
        <w:rPr>
          <w:rFonts w:ascii="Times New Roman" w:eastAsia="Calibri" w:hAnsi="Times New Roman" w:cs="Times New Roman"/>
          <w:lang w:val="lt-LT"/>
        </w:rPr>
      </w:pPr>
    </w:p>
    <w:p w14:paraId="53FAD44D"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McDermott Laboratories Limited T/A Gerard Laboratories T/A Mylan Dublin</w:t>
      </w:r>
    </w:p>
    <w:p w14:paraId="58AF790B"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Unit 35/36 Baldoyle Industrial Estate</w:t>
      </w:r>
    </w:p>
    <w:p w14:paraId="5EC38A7D"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Grange Road</w:t>
      </w:r>
    </w:p>
    <w:p w14:paraId="0EA4C20B"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Dublin 13</w:t>
      </w:r>
    </w:p>
    <w:p w14:paraId="61B4D14C"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Airija</w:t>
      </w:r>
    </w:p>
    <w:p w14:paraId="70CE3E60" w14:textId="77777777" w:rsidR="00A34B5C" w:rsidRDefault="00A34B5C" w:rsidP="00A34B5C">
      <w:pPr>
        <w:spacing w:after="0" w:line="240" w:lineRule="auto"/>
        <w:rPr>
          <w:rFonts w:ascii="Times New Roman" w:eastAsia="Calibri" w:hAnsi="Times New Roman" w:cs="Times New Roman"/>
          <w:lang w:val="lt-LT"/>
        </w:rPr>
      </w:pPr>
    </w:p>
    <w:p w14:paraId="333BED0D" w14:textId="77777777" w:rsidR="0042753D" w:rsidRPr="0042753D" w:rsidRDefault="0042753D" w:rsidP="0042753D">
      <w:pPr>
        <w:spacing w:after="0" w:line="240" w:lineRule="auto"/>
        <w:ind w:left="567" w:hanging="567"/>
        <w:rPr>
          <w:rFonts w:ascii="Times New Roman" w:eastAsia="Calibri" w:hAnsi="Times New Roman" w:cs="Times New Roman"/>
          <w:highlight w:val="lightGray"/>
          <w:lang w:val="lt-LT"/>
        </w:rPr>
      </w:pPr>
      <w:r w:rsidRPr="0042753D">
        <w:rPr>
          <w:rFonts w:ascii="Times New Roman" w:eastAsia="Calibri" w:hAnsi="Times New Roman" w:cs="Times New Roman"/>
          <w:highlight w:val="lightGray"/>
          <w:lang w:val="lt-LT"/>
        </w:rPr>
        <w:t>Madaus GmbH</w:t>
      </w:r>
    </w:p>
    <w:p w14:paraId="1D01CF16" w14:textId="77777777" w:rsidR="0042753D" w:rsidRPr="0042753D" w:rsidRDefault="0042753D" w:rsidP="0042753D">
      <w:pPr>
        <w:spacing w:after="0" w:line="240" w:lineRule="auto"/>
        <w:ind w:left="567" w:hanging="567"/>
        <w:rPr>
          <w:rFonts w:ascii="Times New Roman" w:eastAsia="Calibri" w:hAnsi="Times New Roman" w:cs="Times New Roman"/>
          <w:highlight w:val="lightGray"/>
          <w:lang w:val="lt-LT"/>
        </w:rPr>
      </w:pPr>
      <w:r w:rsidRPr="0042753D">
        <w:rPr>
          <w:rFonts w:ascii="Times New Roman" w:eastAsia="Calibri" w:hAnsi="Times New Roman" w:cs="Times New Roman"/>
          <w:highlight w:val="lightGray"/>
          <w:lang w:val="lt-LT"/>
        </w:rPr>
        <w:t>Lütticher Straße 5</w:t>
      </w:r>
    </w:p>
    <w:p w14:paraId="69723DC8" w14:textId="77777777" w:rsidR="0042753D" w:rsidRPr="0042753D" w:rsidRDefault="0042753D" w:rsidP="0042753D">
      <w:pPr>
        <w:spacing w:after="0" w:line="240" w:lineRule="auto"/>
        <w:ind w:left="567" w:hanging="567"/>
        <w:rPr>
          <w:rFonts w:ascii="Times New Roman" w:eastAsia="Calibri" w:hAnsi="Times New Roman" w:cs="Times New Roman"/>
          <w:highlight w:val="lightGray"/>
          <w:lang w:val="lt-LT"/>
        </w:rPr>
      </w:pPr>
      <w:r w:rsidRPr="0042753D">
        <w:rPr>
          <w:rFonts w:ascii="Times New Roman" w:eastAsia="Calibri" w:hAnsi="Times New Roman" w:cs="Times New Roman"/>
          <w:highlight w:val="lightGray"/>
          <w:lang w:val="lt-LT"/>
        </w:rPr>
        <w:t>53842 Troisdorf</w:t>
      </w:r>
    </w:p>
    <w:p w14:paraId="5EB903BC" w14:textId="77777777" w:rsidR="0042753D" w:rsidRDefault="0042753D" w:rsidP="0042753D">
      <w:pPr>
        <w:spacing w:after="0" w:line="240" w:lineRule="auto"/>
        <w:ind w:left="567" w:hanging="567"/>
        <w:rPr>
          <w:rFonts w:ascii="Times New Roman" w:eastAsia="Calibri" w:hAnsi="Times New Roman" w:cs="Times New Roman"/>
          <w:lang w:val="lt-LT"/>
        </w:rPr>
      </w:pPr>
      <w:r w:rsidRPr="0042753D">
        <w:rPr>
          <w:rFonts w:ascii="Times New Roman" w:eastAsia="Calibri" w:hAnsi="Times New Roman" w:cs="Times New Roman"/>
          <w:highlight w:val="lightGray"/>
          <w:lang w:val="lt-LT"/>
        </w:rPr>
        <w:t>Vokietija</w:t>
      </w:r>
    </w:p>
    <w:p w14:paraId="7AD13A94" w14:textId="77777777" w:rsidR="0042753D" w:rsidRPr="00A34B5C" w:rsidRDefault="0042753D" w:rsidP="00A34B5C">
      <w:pPr>
        <w:spacing w:after="0" w:line="240" w:lineRule="auto"/>
        <w:rPr>
          <w:rFonts w:ascii="Times New Roman" w:eastAsia="Calibri" w:hAnsi="Times New Roman" w:cs="Times New Roman"/>
          <w:lang w:val="lt-LT"/>
        </w:rPr>
      </w:pPr>
    </w:p>
    <w:p w14:paraId="47C14690"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Su pakuote pateikiamame lapelyje nurodomas gamintojo, atsakingo už konkrečios serijos išleidimą, pavadinimas ir adresas.</w:t>
      </w:r>
    </w:p>
    <w:p w14:paraId="5CBCD375" w14:textId="77777777" w:rsidR="00A34B5C" w:rsidRPr="00A34B5C" w:rsidRDefault="00A34B5C" w:rsidP="00A34B5C">
      <w:pPr>
        <w:spacing w:after="0" w:line="240" w:lineRule="auto"/>
        <w:rPr>
          <w:rFonts w:ascii="Times New Roman" w:eastAsia="Calibri" w:hAnsi="Times New Roman" w:cs="Times New Roman"/>
          <w:u w:val="single"/>
          <w:lang w:val="lt-LT"/>
        </w:rPr>
      </w:pPr>
    </w:p>
    <w:p w14:paraId="530924D7" w14:textId="77777777" w:rsidR="00A34B5C" w:rsidRPr="00A34B5C" w:rsidRDefault="00A34B5C" w:rsidP="00A34B5C">
      <w:pPr>
        <w:spacing w:after="0" w:line="240" w:lineRule="auto"/>
        <w:rPr>
          <w:rFonts w:ascii="Times New Roman" w:eastAsia="Calibri" w:hAnsi="Times New Roman" w:cs="Times New Roman"/>
          <w:u w:val="single"/>
          <w:lang w:val="lt-LT"/>
        </w:rPr>
      </w:pPr>
    </w:p>
    <w:p w14:paraId="20D7372E" w14:textId="77777777" w:rsidR="00A34B5C" w:rsidRPr="00B27E7B" w:rsidRDefault="00A34B5C" w:rsidP="00B27E7B">
      <w:pPr>
        <w:pStyle w:val="Antrat1"/>
        <w:tabs>
          <w:tab w:val="clear" w:pos="567"/>
        </w:tabs>
        <w:spacing w:before="0" w:after="0" w:line="240" w:lineRule="auto"/>
        <w:ind w:left="540" w:hanging="540"/>
        <w:rPr>
          <w:b w:val="0"/>
        </w:rPr>
      </w:pPr>
      <w:r w:rsidRPr="00B27E7B">
        <w:rPr>
          <w:sz w:val="22"/>
        </w:rPr>
        <w:t>B.</w:t>
      </w:r>
      <w:r w:rsidRPr="00B27E7B">
        <w:rPr>
          <w:sz w:val="22"/>
        </w:rPr>
        <w:tab/>
        <w:t>TIEKIMO IR VARTOJIMO SĄLYGOS AR APRIBOJIMAI</w:t>
      </w:r>
      <w:r w:rsidRPr="00B27E7B" w:rsidDel="00101352">
        <w:rPr>
          <w:sz w:val="22"/>
        </w:rPr>
        <w:t xml:space="preserve"> </w:t>
      </w:r>
    </w:p>
    <w:p w14:paraId="7B6CA8D6" w14:textId="77777777" w:rsidR="00A34B5C" w:rsidRPr="00A34B5C" w:rsidRDefault="00A34B5C" w:rsidP="00A34B5C">
      <w:pPr>
        <w:spacing w:after="0" w:line="240" w:lineRule="auto"/>
        <w:rPr>
          <w:rFonts w:ascii="Times New Roman" w:eastAsia="Calibri" w:hAnsi="Times New Roman" w:cs="Times New Roman"/>
          <w:b/>
          <w:lang w:val="es-ES"/>
        </w:rPr>
      </w:pPr>
    </w:p>
    <w:p w14:paraId="129624BD" w14:textId="77777777" w:rsidR="00A34B5C" w:rsidRPr="00A34B5C" w:rsidRDefault="00A34B5C" w:rsidP="00A34B5C">
      <w:pPr>
        <w:spacing w:after="0" w:line="240" w:lineRule="auto"/>
        <w:rPr>
          <w:rFonts w:ascii="Times New Roman" w:eastAsia="Calibri" w:hAnsi="Times New Roman" w:cs="Times New Roman"/>
          <w:lang w:val="pt-BR"/>
        </w:rPr>
      </w:pPr>
      <w:r w:rsidRPr="00A34B5C">
        <w:rPr>
          <w:rFonts w:ascii="Times New Roman" w:eastAsia="Calibri" w:hAnsi="Times New Roman" w:cs="Times New Roman"/>
          <w:lang w:val="pt-BR"/>
        </w:rPr>
        <w:t>Receptinis vaistinis preparatas</w:t>
      </w:r>
    </w:p>
    <w:p w14:paraId="250C180A" w14:textId="77777777" w:rsidR="00A34B5C" w:rsidRPr="00A34B5C" w:rsidRDefault="00A34B5C" w:rsidP="00A34B5C">
      <w:pPr>
        <w:spacing w:after="0" w:line="240" w:lineRule="auto"/>
        <w:ind w:left="360"/>
        <w:jc w:val="both"/>
        <w:rPr>
          <w:rFonts w:ascii="Times New Roman" w:eastAsia="Calibri" w:hAnsi="Times New Roman" w:cs="Times New Roman"/>
          <w:b/>
          <w:lang w:val="pt-BR"/>
        </w:rPr>
      </w:pPr>
    </w:p>
    <w:p w14:paraId="5C030602" w14:textId="77777777" w:rsidR="00A34B5C" w:rsidRPr="00A34B5C" w:rsidRDefault="00A34B5C" w:rsidP="00A34B5C">
      <w:pPr>
        <w:spacing w:after="0" w:line="240" w:lineRule="auto"/>
        <w:ind w:firstLine="720"/>
        <w:rPr>
          <w:rFonts w:ascii="Times New Roman" w:eastAsia="Calibri" w:hAnsi="Times New Roman" w:cs="Times New Roman"/>
          <w:lang w:val="lt-LT"/>
        </w:rPr>
      </w:pPr>
      <w:r w:rsidRPr="00A34B5C">
        <w:rPr>
          <w:rFonts w:ascii="Times New Roman" w:eastAsia="Calibri" w:hAnsi="Times New Roman" w:cs="Times New Roman"/>
          <w:b/>
          <w:lang w:val="pt-BR"/>
        </w:rPr>
        <w:br w:type="page"/>
      </w:r>
    </w:p>
    <w:p w14:paraId="7B0A546A"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5655509B"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22022BF1"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485C8A07"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21280157"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16C8356F"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19B69A19"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0D428275"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4B938005"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74A31E86"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30D6EB4C"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400D9CC0"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654338EE"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5EEBF1BA"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1CA562A9"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0FC6AB10"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539D4B18"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5456C018"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1F143389"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6509C7F0"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434832BB"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43CF0307"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77B40E3D" w14:textId="77777777" w:rsidR="00A34B5C" w:rsidRPr="00A34B5C" w:rsidRDefault="00A34B5C" w:rsidP="00A34B5C">
      <w:pPr>
        <w:spacing w:after="0" w:line="240" w:lineRule="auto"/>
        <w:ind w:firstLine="720"/>
        <w:jc w:val="center"/>
        <w:rPr>
          <w:rFonts w:ascii="Times New Roman" w:eastAsia="Calibri" w:hAnsi="Times New Roman" w:cs="Times New Roman"/>
          <w:b/>
          <w:lang w:val="lt-LT"/>
        </w:rPr>
      </w:pPr>
    </w:p>
    <w:p w14:paraId="51932D2D" w14:textId="77777777" w:rsidR="00A34B5C" w:rsidRPr="00B27E7B" w:rsidRDefault="00A34B5C" w:rsidP="00B27E7B">
      <w:pPr>
        <w:pStyle w:val="Antrat1"/>
        <w:tabs>
          <w:tab w:val="clear" w:pos="567"/>
        </w:tabs>
        <w:spacing w:before="0" w:after="0" w:line="240" w:lineRule="auto"/>
        <w:ind w:left="540" w:hanging="540"/>
        <w:jc w:val="center"/>
        <w:rPr>
          <w:b w:val="0"/>
        </w:rPr>
      </w:pPr>
      <w:r w:rsidRPr="00B27E7B">
        <w:rPr>
          <w:sz w:val="22"/>
        </w:rPr>
        <w:t>III PRIEDAS</w:t>
      </w:r>
    </w:p>
    <w:p w14:paraId="1638EA4C" w14:textId="77777777" w:rsidR="00A34B5C" w:rsidRPr="00A34B5C" w:rsidRDefault="00A34B5C" w:rsidP="00A34B5C">
      <w:pPr>
        <w:spacing w:after="0" w:line="240" w:lineRule="auto"/>
        <w:ind w:firstLine="720"/>
        <w:jc w:val="center"/>
        <w:rPr>
          <w:rFonts w:ascii="Times New Roman" w:eastAsia="Calibri" w:hAnsi="Times New Roman" w:cs="Times New Roman"/>
          <w:b/>
          <w:lang w:val="lt-LT"/>
        </w:rPr>
      </w:pPr>
    </w:p>
    <w:p w14:paraId="20811C02" w14:textId="77777777" w:rsidR="00A34B5C" w:rsidRPr="00A34B5C" w:rsidRDefault="00A34B5C" w:rsidP="00A34B5C">
      <w:pPr>
        <w:spacing w:after="0" w:line="240" w:lineRule="auto"/>
        <w:ind w:firstLine="720"/>
        <w:jc w:val="center"/>
        <w:rPr>
          <w:rFonts w:ascii="Times New Roman" w:eastAsia="Calibri" w:hAnsi="Times New Roman" w:cs="Times New Roman"/>
          <w:b/>
          <w:lang w:val="lt-LT"/>
        </w:rPr>
      </w:pPr>
      <w:r w:rsidRPr="00A34B5C">
        <w:rPr>
          <w:rFonts w:ascii="Times New Roman" w:eastAsia="Calibri" w:hAnsi="Times New Roman" w:cs="Times New Roman"/>
          <w:b/>
          <w:lang w:val="lt-LT"/>
        </w:rPr>
        <w:t>ŽENKLINIMAS IR PAKUOTĖS LAPELIS</w:t>
      </w:r>
    </w:p>
    <w:p w14:paraId="141C4DA0" w14:textId="77777777" w:rsidR="00A34B5C" w:rsidRPr="00A34B5C" w:rsidRDefault="00A34B5C" w:rsidP="00A34B5C">
      <w:pPr>
        <w:spacing w:after="0" w:line="240" w:lineRule="auto"/>
        <w:ind w:firstLine="720"/>
        <w:rPr>
          <w:rFonts w:ascii="Times New Roman" w:eastAsia="Calibri" w:hAnsi="Times New Roman" w:cs="Times New Roman"/>
          <w:lang w:val="lt-LT"/>
        </w:rPr>
      </w:pPr>
      <w:r w:rsidRPr="00A34B5C">
        <w:rPr>
          <w:rFonts w:ascii="Times New Roman" w:eastAsia="Calibri" w:hAnsi="Times New Roman" w:cs="Times New Roman"/>
          <w:lang w:val="lt-LT"/>
        </w:rPr>
        <w:br w:type="page"/>
      </w:r>
    </w:p>
    <w:p w14:paraId="1CDA9EE3"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0A0E20F1"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5B12730C"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6DD487B8"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0D67A16C"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5BA85E36"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65331D60"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74FACAF5"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54490619"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107BD8E8"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7A3CFE5D"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10F73DEF"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780FAEF2"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0CB771CE"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749590EC"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28E5AA91"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0DCD47D5"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174970FA"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777FDBF1"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7F25A46F"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62222823"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536AC39F" w14:textId="77777777" w:rsidR="00A34B5C" w:rsidRPr="00A34B5C" w:rsidRDefault="00A34B5C" w:rsidP="00A34B5C">
      <w:pPr>
        <w:spacing w:after="0" w:line="240" w:lineRule="auto"/>
        <w:ind w:firstLine="720"/>
        <w:rPr>
          <w:rFonts w:ascii="Times New Roman" w:eastAsia="Calibri" w:hAnsi="Times New Roman" w:cs="Times New Roman"/>
          <w:lang w:val="lt-LT"/>
        </w:rPr>
      </w:pPr>
    </w:p>
    <w:p w14:paraId="41DF7CBC" w14:textId="77777777" w:rsidR="00A34B5C" w:rsidRPr="00A34B5C" w:rsidRDefault="00A34B5C" w:rsidP="00A34B5C">
      <w:pPr>
        <w:spacing w:after="0" w:line="240" w:lineRule="auto"/>
        <w:ind w:firstLine="720"/>
        <w:jc w:val="center"/>
        <w:rPr>
          <w:rFonts w:ascii="Times New Roman" w:eastAsia="Calibri" w:hAnsi="Times New Roman" w:cs="Times New Roman"/>
          <w:b/>
          <w:lang w:val="lt-LT"/>
        </w:rPr>
      </w:pPr>
    </w:p>
    <w:p w14:paraId="35C10733" w14:textId="77777777" w:rsidR="00A34B5C" w:rsidRPr="00B27E7B" w:rsidRDefault="00A34B5C" w:rsidP="00B27E7B">
      <w:pPr>
        <w:pStyle w:val="Antrat1"/>
        <w:tabs>
          <w:tab w:val="clear" w:pos="567"/>
        </w:tabs>
        <w:spacing w:before="0" w:after="0" w:line="240" w:lineRule="auto"/>
        <w:ind w:left="540" w:hanging="540"/>
        <w:jc w:val="center"/>
        <w:rPr>
          <w:b w:val="0"/>
        </w:rPr>
      </w:pPr>
      <w:r w:rsidRPr="00B27E7B">
        <w:rPr>
          <w:sz w:val="22"/>
        </w:rPr>
        <w:t>A. ŽENKLINIMAS</w:t>
      </w:r>
    </w:p>
    <w:p w14:paraId="493DED45"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lang w:val="lt-LT"/>
        </w:rPr>
        <w:br w:type="page"/>
      </w:r>
      <w:r w:rsidRPr="00A34B5C">
        <w:rPr>
          <w:rFonts w:ascii="Times New Roman" w:eastAsia="Calibri" w:hAnsi="Times New Roman" w:cs="Times New Roman"/>
          <w:b/>
          <w:caps/>
          <w:lang w:val="lt-LT"/>
        </w:rPr>
        <w:lastRenderedPageBreak/>
        <w:t xml:space="preserve">Informacija ant </w:t>
      </w:r>
      <w:r w:rsidRPr="00A34B5C">
        <w:rPr>
          <w:rFonts w:ascii="Times New Roman" w:eastAsia="Calibri" w:hAnsi="Times New Roman" w:cs="Times New Roman"/>
          <w:b/>
          <w:lang w:val="lt-LT"/>
        </w:rPr>
        <w:t>IŠORINĖS</w:t>
      </w:r>
      <w:r w:rsidRPr="00A34B5C">
        <w:rPr>
          <w:rFonts w:ascii="Times New Roman" w:eastAsia="Calibri" w:hAnsi="Times New Roman" w:cs="Times New Roman"/>
          <w:lang w:val="lt-LT"/>
        </w:rPr>
        <w:t xml:space="preserve"> </w:t>
      </w:r>
      <w:r w:rsidRPr="00A34B5C">
        <w:rPr>
          <w:rFonts w:ascii="Times New Roman" w:eastAsia="Calibri" w:hAnsi="Times New Roman" w:cs="Times New Roman"/>
          <w:b/>
          <w:caps/>
          <w:lang w:val="lt-LT"/>
        </w:rPr>
        <w:t>pakuotės</w:t>
      </w:r>
    </w:p>
    <w:p w14:paraId="67C43D51"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lang w:val="lt-LT"/>
        </w:rPr>
      </w:pPr>
    </w:p>
    <w:p w14:paraId="6E7130AD"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b/>
          <w:caps/>
          <w:lang w:val="lt-LT"/>
        </w:rPr>
        <w:t>dėžutė</w:t>
      </w:r>
    </w:p>
    <w:p w14:paraId="07655E67"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56E34B24"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68C686FB"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b/>
          <w:caps/>
          <w:lang w:val="lt-LT"/>
        </w:rPr>
        <w:t>1.</w:t>
      </w:r>
      <w:r w:rsidRPr="00A34B5C">
        <w:rPr>
          <w:rFonts w:ascii="Times New Roman" w:eastAsia="Calibri" w:hAnsi="Times New Roman" w:cs="Times New Roman"/>
          <w:b/>
          <w:caps/>
          <w:lang w:val="lt-LT"/>
        </w:rPr>
        <w:tab/>
        <w:t>vaistinio preparato pavadinimas</w:t>
      </w:r>
    </w:p>
    <w:p w14:paraId="23354266"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4D40F628"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Leponex 25 mg tabletės</w:t>
      </w:r>
    </w:p>
    <w:p w14:paraId="503031B9"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highlight w:val="lightGray"/>
          <w:lang w:val="lt-LT"/>
        </w:rPr>
        <w:t>Leponex 100 mg tabletės</w:t>
      </w:r>
    </w:p>
    <w:p w14:paraId="63F07433" w14:textId="30425FFA" w:rsidR="00A34B5C" w:rsidRPr="00A34B5C" w:rsidRDefault="00C9198E" w:rsidP="00A34B5C">
      <w:pPr>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c</w:t>
      </w:r>
      <w:r w:rsidRPr="00A34B5C">
        <w:rPr>
          <w:rFonts w:ascii="Times New Roman" w:eastAsia="Calibri" w:hAnsi="Times New Roman" w:cs="Times New Roman"/>
          <w:lang w:val="lt-LT"/>
        </w:rPr>
        <w:t>lozapinum</w:t>
      </w:r>
    </w:p>
    <w:p w14:paraId="1AA6BB3F" w14:textId="77777777" w:rsidR="00A34B5C" w:rsidRPr="00A34B5C" w:rsidRDefault="00A34B5C" w:rsidP="00A34B5C">
      <w:pPr>
        <w:spacing w:after="0" w:line="240" w:lineRule="auto"/>
        <w:rPr>
          <w:rFonts w:ascii="Times New Roman" w:eastAsia="Calibri" w:hAnsi="Times New Roman" w:cs="Times New Roman"/>
          <w:lang w:val="lt-LT"/>
        </w:rPr>
      </w:pPr>
    </w:p>
    <w:p w14:paraId="096A16E3" w14:textId="77777777" w:rsidR="00A34B5C" w:rsidRPr="00A34B5C" w:rsidRDefault="00A34B5C" w:rsidP="00A34B5C">
      <w:pPr>
        <w:spacing w:after="0" w:line="240" w:lineRule="auto"/>
        <w:rPr>
          <w:rFonts w:ascii="Times New Roman" w:eastAsia="Calibri" w:hAnsi="Times New Roman" w:cs="Times New Roman"/>
          <w:lang w:val="lt-LT"/>
        </w:rPr>
      </w:pPr>
    </w:p>
    <w:p w14:paraId="45FCC261"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b/>
          <w:caps/>
          <w:lang w:val="lt-LT"/>
        </w:rPr>
        <w:t>2.</w:t>
      </w:r>
      <w:r w:rsidRPr="00A34B5C">
        <w:rPr>
          <w:rFonts w:ascii="Times New Roman" w:eastAsia="Calibri" w:hAnsi="Times New Roman" w:cs="Times New Roman"/>
          <w:b/>
          <w:caps/>
          <w:lang w:val="lt-LT"/>
        </w:rPr>
        <w:tab/>
        <w:t xml:space="preserve">veikliOJI medžiagA ir JOS kiekis </w:t>
      </w:r>
    </w:p>
    <w:p w14:paraId="0CB9DAC2"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5109FDF2"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Vienoje tabletėje yra 25 mg klozapino.</w:t>
      </w:r>
    </w:p>
    <w:p w14:paraId="076012F8"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highlight w:val="lightGray"/>
          <w:lang w:val="lt-LT"/>
        </w:rPr>
        <w:t>Vienoje tabletėje yra 100 mg klozapino.</w:t>
      </w:r>
    </w:p>
    <w:p w14:paraId="0BC476B5"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0B0AC397"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36FE366C"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b/>
          <w:caps/>
          <w:lang w:val="lt-LT"/>
        </w:rPr>
        <w:t>3.</w:t>
      </w:r>
      <w:r w:rsidRPr="00A34B5C">
        <w:rPr>
          <w:rFonts w:ascii="Times New Roman" w:eastAsia="Calibri" w:hAnsi="Times New Roman" w:cs="Times New Roman"/>
          <w:b/>
          <w:caps/>
          <w:lang w:val="lt-LT"/>
        </w:rPr>
        <w:tab/>
        <w:t>pagalbinių medžiagų sąrašas</w:t>
      </w:r>
    </w:p>
    <w:p w14:paraId="517A9A69"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67828B6E"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Sudėtyje yra laktozės.</w:t>
      </w:r>
      <w:r w:rsidR="00653F5D" w:rsidRPr="00653F5D">
        <w:rPr>
          <w:rFonts w:ascii="Times New Roman" w:eastAsia="Calibri" w:hAnsi="Times New Roman" w:cs="Times New Roman"/>
          <w:lang w:val="lt-LT"/>
        </w:rPr>
        <w:t xml:space="preserve"> </w:t>
      </w:r>
      <w:r w:rsidR="00653F5D" w:rsidRPr="0035481C">
        <w:rPr>
          <w:rFonts w:ascii="Times New Roman" w:eastAsia="Calibri" w:hAnsi="Times New Roman" w:cs="Times New Roman"/>
          <w:highlight w:val="lightGray"/>
          <w:lang w:val="lt-LT"/>
        </w:rPr>
        <w:t>Daugiau informacijos pateikiama pakuotės lapelyje.</w:t>
      </w:r>
    </w:p>
    <w:p w14:paraId="162BDA46"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2B6164B5"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52612CD9"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b/>
          <w:caps/>
          <w:lang w:val="lt-LT"/>
        </w:rPr>
        <w:t>4.</w:t>
      </w:r>
      <w:r w:rsidRPr="00A34B5C">
        <w:rPr>
          <w:rFonts w:ascii="Times New Roman" w:eastAsia="Calibri" w:hAnsi="Times New Roman" w:cs="Times New Roman"/>
          <w:b/>
          <w:caps/>
          <w:lang w:val="lt-LT"/>
        </w:rPr>
        <w:tab/>
        <w:t>Farmacinė forma ir KIEKIS PAKUOTĖJE</w:t>
      </w:r>
    </w:p>
    <w:p w14:paraId="75026A67"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78B8EEFF"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50 tablečių </w:t>
      </w:r>
    </w:p>
    <w:p w14:paraId="69B596F5"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766D2B9D"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552F147A"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b/>
          <w:caps/>
          <w:lang w:val="lt-LT"/>
        </w:rPr>
        <w:t>5.</w:t>
      </w:r>
      <w:r w:rsidRPr="00A34B5C">
        <w:rPr>
          <w:rFonts w:ascii="Times New Roman" w:eastAsia="Calibri" w:hAnsi="Times New Roman" w:cs="Times New Roman"/>
          <w:b/>
          <w:caps/>
          <w:lang w:val="lt-LT"/>
        </w:rPr>
        <w:tab/>
        <w:t>vartojimo METODAS IR būdas (-AI)</w:t>
      </w:r>
    </w:p>
    <w:p w14:paraId="0A3182A3"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286D536D"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Vartoti per burną.</w:t>
      </w:r>
    </w:p>
    <w:p w14:paraId="05263685"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Prieš vartojimą perskaitykite pakuotės lapelį.</w:t>
      </w:r>
    </w:p>
    <w:p w14:paraId="26064F74" w14:textId="77777777" w:rsidR="00A34B5C" w:rsidRPr="00A34B5C" w:rsidRDefault="00A34B5C" w:rsidP="00A34B5C">
      <w:pPr>
        <w:spacing w:after="0" w:line="240" w:lineRule="auto"/>
        <w:rPr>
          <w:rFonts w:ascii="Times New Roman" w:eastAsia="Calibri" w:hAnsi="Times New Roman" w:cs="Times New Roman"/>
          <w:lang w:val="lt-LT"/>
        </w:rPr>
      </w:pPr>
    </w:p>
    <w:p w14:paraId="5B22E563" w14:textId="77777777" w:rsidR="00A34B5C" w:rsidRPr="00A34B5C" w:rsidRDefault="00A34B5C" w:rsidP="00A34B5C">
      <w:pPr>
        <w:spacing w:after="0" w:line="240" w:lineRule="auto"/>
        <w:rPr>
          <w:rFonts w:ascii="Times New Roman" w:eastAsia="Calibri" w:hAnsi="Times New Roman" w:cs="Times New Roman"/>
          <w:lang w:val="lt-LT"/>
        </w:rPr>
      </w:pPr>
    </w:p>
    <w:p w14:paraId="64C6F568"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720" w:hanging="720"/>
        <w:rPr>
          <w:rFonts w:ascii="Times New Roman" w:eastAsia="Calibri" w:hAnsi="Times New Roman" w:cs="Times New Roman"/>
          <w:b/>
          <w:caps/>
          <w:lang w:val="lt-LT"/>
        </w:rPr>
      </w:pPr>
      <w:r w:rsidRPr="00A34B5C">
        <w:rPr>
          <w:rFonts w:ascii="Times New Roman" w:eastAsia="Calibri" w:hAnsi="Times New Roman" w:cs="Times New Roman"/>
          <w:b/>
          <w:caps/>
          <w:lang w:val="lt-LT"/>
        </w:rPr>
        <w:t>6.</w:t>
      </w:r>
      <w:r w:rsidRPr="00A34B5C">
        <w:rPr>
          <w:rFonts w:ascii="Times New Roman" w:eastAsia="Calibri" w:hAnsi="Times New Roman" w:cs="Times New Roman"/>
          <w:b/>
          <w:caps/>
          <w:lang w:val="lt-LT"/>
        </w:rPr>
        <w:tab/>
        <w:t>SPECIALUS Įspėjimas</w:t>
      </w:r>
      <w:r w:rsidRPr="00A34B5C">
        <w:rPr>
          <w:rFonts w:ascii="Times New Roman" w:eastAsia="Calibri" w:hAnsi="Times New Roman" w:cs="Times New Roman"/>
          <w:lang w:val="lt-LT"/>
        </w:rPr>
        <w:t xml:space="preserve">, </w:t>
      </w:r>
      <w:r w:rsidRPr="00A34B5C">
        <w:rPr>
          <w:rFonts w:ascii="Times New Roman" w:eastAsia="Calibri" w:hAnsi="Times New Roman" w:cs="Times New Roman"/>
          <w:b/>
          <w:lang w:val="lt-LT"/>
        </w:rPr>
        <w:t xml:space="preserve">KAD VAISTINĮ PREPARATĄ BŪTINA LAIKYTI </w:t>
      </w:r>
      <w:r w:rsidRPr="00A34B5C">
        <w:rPr>
          <w:rFonts w:ascii="Times New Roman" w:eastAsia="Calibri" w:hAnsi="Times New Roman" w:cs="Times New Roman"/>
          <w:b/>
          <w:caps/>
          <w:lang w:val="lt-LT"/>
        </w:rPr>
        <w:t>vaikams nepastebimoje ir nepasiekiamoje</w:t>
      </w:r>
      <w:r w:rsidRPr="00A34B5C" w:rsidDel="009D54B9">
        <w:rPr>
          <w:rFonts w:ascii="Times New Roman" w:eastAsia="Calibri" w:hAnsi="Times New Roman" w:cs="Times New Roman"/>
          <w:b/>
          <w:caps/>
          <w:lang w:val="lt-LT"/>
        </w:rPr>
        <w:t xml:space="preserve"> </w:t>
      </w:r>
      <w:r w:rsidRPr="00A34B5C">
        <w:rPr>
          <w:rFonts w:ascii="Times New Roman" w:eastAsia="Calibri" w:hAnsi="Times New Roman" w:cs="Times New Roman"/>
          <w:b/>
          <w:caps/>
          <w:lang w:val="lt-LT"/>
        </w:rPr>
        <w:t>vietoje</w:t>
      </w:r>
    </w:p>
    <w:p w14:paraId="3FC18CF2"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7F48E48B"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Laikyti vaikams nepastebimoje ir nepasiekiamoje vietoje.</w:t>
      </w:r>
    </w:p>
    <w:p w14:paraId="2A74B763"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5AAC136D"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16721ADC"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b/>
          <w:caps/>
          <w:lang w:val="lt-LT"/>
        </w:rPr>
        <w:t>7.</w:t>
      </w:r>
      <w:r w:rsidRPr="00A34B5C">
        <w:rPr>
          <w:rFonts w:ascii="Times New Roman" w:eastAsia="Calibri" w:hAnsi="Times New Roman" w:cs="Times New Roman"/>
          <w:b/>
          <w:caps/>
          <w:lang w:val="lt-LT"/>
        </w:rPr>
        <w:tab/>
        <w:t>kitas (-I) specialus (-ŪS) Įspėjimas (-AI) (jei reikia)</w:t>
      </w:r>
    </w:p>
    <w:p w14:paraId="327D30BB" w14:textId="77777777" w:rsidR="00A34B5C" w:rsidRPr="00A34B5C" w:rsidRDefault="00A34B5C" w:rsidP="00A34B5C">
      <w:pPr>
        <w:spacing w:after="0" w:line="240" w:lineRule="auto"/>
        <w:rPr>
          <w:rFonts w:ascii="Times New Roman" w:eastAsia="Calibri" w:hAnsi="Times New Roman" w:cs="Times New Roman"/>
          <w:lang w:val="lt-LT"/>
        </w:rPr>
      </w:pPr>
    </w:p>
    <w:p w14:paraId="07C3425D"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Vaistas gali sukelti mieguistumą. Todėl nevairuokite transporto priemonių ir nedirbkite su įrenginiais.</w:t>
      </w:r>
    </w:p>
    <w:p w14:paraId="68D5A7C0"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679152E7"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4D26662C"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b/>
          <w:caps/>
          <w:lang w:val="lt-LT"/>
        </w:rPr>
        <w:t>8.</w:t>
      </w:r>
      <w:r w:rsidRPr="00A34B5C">
        <w:rPr>
          <w:rFonts w:ascii="Times New Roman" w:eastAsia="Calibri" w:hAnsi="Times New Roman" w:cs="Times New Roman"/>
          <w:b/>
          <w:caps/>
          <w:lang w:val="lt-LT"/>
        </w:rPr>
        <w:tab/>
        <w:t>tinkamumo laikas</w:t>
      </w:r>
    </w:p>
    <w:p w14:paraId="552A824C"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5AD56F0E" w14:textId="77777777" w:rsidR="00A34B5C" w:rsidRPr="00A34B5C" w:rsidRDefault="001733A6" w:rsidP="00A34B5C">
      <w:pPr>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EXP</w:t>
      </w:r>
      <w:r w:rsidR="00A34B5C" w:rsidRPr="00A34B5C">
        <w:rPr>
          <w:rFonts w:ascii="Times New Roman" w:eastAsia="Calibri" w:hAnsi="Times New Roman" w:cs="Times New Roman"/>
          <w:lang w:val="lt-LT"/>
        </w:rPr>
        <w:t xml:space="preserve"> {mm MMMM}</w:t>
      </w:r>
    </w:p>
    <w:p w14:paraId="491256EF"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5F9DE969"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48105223"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b/>
          <w:caps/>
          <w:lang w:val="lt-LT"/>
        </w:rPr>
        <w:t>9.</w:t>
      </w:r>
      <w:r w:rsidRPr="00A34B5C">
        <w:rPr>
          <w:rFonts w:ascii="Times New Roman" w:eastAsia="Calibri" w:hAnsi="Times New Roman" w:cs="Times New Roman"/>
          <w:b/>
          <w:caps/>
          <w:lang w:val="lt-LT"/>
        </w:rPr>
        <w:tab/>
        <w:t>SPECIALIOS laikymo sąlygos</w:t>
      </w:r>
    </w:p>
    <w:p w14:paraId="352BDF42"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6F20B8F2"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5564112D"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b/>
          <w:caps/>
          <w:lang w:val="lt-LT"/>
        </w:rPr>
        <w:lastRenderedPageBreak/>
        <w:t>10.</w:t>
      </w:r>
      <w:r w:rsidRPr="00A34B5C">
        <w:rPr>
          <w:rFonts w:ascii="Times New Roman" w:eastAsia="Calibri" w:hAnsi="Times New Roman" w:cs="Times New Roman"/>
          <w:b/>
          <w:caps/>
          <w:lang w:val="lt-LT"/>
        </w:rPr>
        <w:tab/>
        <w:t>specialios atsargumo priemonės DĖL NESUVARTOTO VAISTINIO PREPARATO AR JO ATLIEKŲ tVARKYMO (jei reikia)</w:t>
      </w:r>
    </w:p>
    <w:p w14:paraId="7AF3CF86"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766D4242"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5893E479"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b/>
          <w:caps/>
          <w:lang w:val="lt-LT"/>
        </w:rPr>
        <w:t>11.</w:t>
      </w:r>
      <w:r w:rsidRPr="00A34B5C">
        <w:rPr>
          <w:rFonts w:ascii="Times New Roman" w:eastAsia="Calibri" w:hAnsi="Times New Roman" w:cs="Times New Roman"/>
          <w:b/>
          <w:caps/>
          <w:lang w:val="lt-LT"/>
        </w:rPr>
        <w:tab/>
        <w:t>REGISTRUOTOJO pavadinimas ir adresas</w:t>
      </w:r>
    </w:p>
    <w:p w14:paraId="3CB0D198"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666593AD" w14:textId="3780C11F" w:rsidR="00A34B5C" w:rsidRPr="00A34B5C" w:rsidRDefault="0038259C" w:rsidP="00A34B5C">
      <w:pPr>
        <w:tabs>
          <w:tab w:val="left" w:pos="567"/>
          <w:tab w:val="center" w:pos="4536"/>
          <w:tab w:val="center" w:pos="8930"/>
        </w:tabs>
        <w:spacing w:after="0" w:line="240" w:lineRule="auto"/>
        <w:rPr>
          <w:rFonts w:ascii="Times New Roman" w:eastAsia="Calibri" w:hAnsi="Times New Roman" w:cs="Times New Roman"/>
          <w:color w:val="000000"/>
          <w:lang w:val="cs-CZ"/>
        </w:rPr>
      </w:pPr>
      <w:r>
        <w:rPr>
          <w:rFonts w:ascii="Times New Roman" w:eastAsia="Calibri" w:hAnsi="Times New Roman" w:cs="Times New Roman"/>
          <w:color w:val="000000"/>
          <w:lang w:val="cs-CZ"/>
        </w:rPr>
        <w:t>Viatris</w:t>
      </w:r>
      <w:r w:rsidR="00A34B5C" w:rsidRPr="00A34B5C">
        <w:rPr>
          <w:rFonts w:ascii="Times New Roman" w:eastAsia="Calibri" w:hAnsi="Times New Roman" w:cs="Times New Roman"/>
          <w:color w:val="000000"/>
          <w:lang w:val="cs-CZ"/>
        </w:rPr>
        <w:t xml:space="preserve"> SIA</w:t>
      </w:r>
    </w:p>
    <w:p w14:paraId="61DF3D6B" w14:textId="77777777" w:rsidR="00A34B5C" w:rsidRPr="00A34B5C" w:rsidRDefault="00A34B5C" w:rsidP="00A34B5C">
      <w:pPr>
        <w:tabs>
          <w:tab w:val="left" w:pos="567"/>
          <w:tab w:val="center" w:pos="4536"/>
          <w:tab w:val="center" w:pos="8930"/>
        </w:tabs>
        <w:spacing w:after="0" w:line="240" w:lineRule="auto"/>
        <w:rPr>
          <w:rFonts w:ascii="Times New Roman" w:eastAsia="Calibri" w:hAnsi="Times New Roman" w:cs="Times New Roman"/>
          <w:color w:val="000000"/>
          <w:lang w:val="cs-CZ"/>
        </w:rPr>
      </w:pPr>
      <w:r w:rsidRPr="00A34B5C">
        <w:rPr>
          <w:rFonts w:ascii="Times New Roman" w:eastAsia="Calibri" w:hAnsi="Times New Roman" w:cs="Times New Roman"/>
          <w:color w:val="000000"/>
          <w:lang w:val="cs-CZ"/>
        </w:rPr>
        <w:t>M</w:t>
      </w:r>
      <w:r w:rsidRPr="00A34B5C">
        <w:rPr>
          <w:rFonts w:ascii="Times New Roman" w:eastAsia="Calibri" w:hAnsi="Times New Roman" w:cs="Times New Roman" w:hint="eastAsia"/>
          <w:color w:val="000000"/>
          <w:lang w:val="cs-CZ"/>
        </w:rPr>
        <w:t>ū</w:t>
      </w:r>
      <w:r w:rsidRPr="00A34B5C">
        <w:rPr>
          <w:rFonts w:ascii="Times New Roman" w:eastAsia="Calibri" w:hAnsi="Times New Roman" w:cs="Times New Roman"/>
          <w:color w:val="000000"/>
          <w:lang w:val="cs-CZ"/>
        </w:rPr>
        <w:t>kusalas 101</w:t>
      </w:r>
    </w:p>
    <w:p w14:paraId="4C442F73" w14:textId="77777777" w:rsidR="00A34B5C" w:rsidRPr="00A34B5C" w:rsidRDefault="00A34B5C" w:rsidP="00A34B5C">
      <w:pPr>
        <w:tabs>
          <w:tab w:val="left" w:pos="567"/>
          <w:tab w:val="center" w:pos="4536"/>
          <w:tab w:val="center" w:pos="8930"/>
        </w:tabs>
        <w:spacing w:after="0" w:line="240" w:lineRule="auto"/>
        <w:rPr>
          <w:rFonts w:ascii="Times New Roman" w:eastAsia="Calibri" w:hAnsi="Times New Roman" w:cs="Times New Roman"/>
          <w:color w:val="000000"/>
          <w:lang w:val="cs-CZ"/>
        </w:rPr>
      </w:pPr>
      <w:r w:rsidRPr="00A34B5C">
        <w:rPr>
          <w:rFonts w:ascii="Times New Roman" w:eastAsia="Calibri" w:hAnsi="Times New Roman" w:cs="Times New Roman"/>
          <w:color w:val="000000"/>
          <w:lang w:val="cs-CZ"/>
        </w:rPr>
        <w:t>R</w:t>
      </w:r>
      <w:r w:rsidRPr="00A34B5C">
        <w:rPr>
          <w:rFonts w:ascii="Times New Roman" w:eastAsia="Calibri" w:hAnsi="Times New Roman" w:cs="Times New Roman" w:hint="eastAsia"/>
          <w:color w:val="000000"/>
          <w:lang w:val="cs-CZ"/>
        </w:rPr>
        <w:t>ī</w:t>
      </w:r>
      <w:r w:rsidRPr="00A34B5C">
        <w:rPr>
          <w:rFonts w:ascii="Times New Roman" w:eastAsia="Calibri" w:hAnsi="Times New Roman" w:cs="Times New Roman"/>
          <w:color w:val="000000"/>
          <w:lang w:val="cs-CZ"/>
        </w:rPr>
        <w:t>ga, LV 1004</w:t>
      </w:r>
    </w:p>
    <w:p w14:paraId="6EDD3919" w14:textId="77777777" w:rsidR="00A34B5C" w:rsidRPr="00A34B5C" w:rsidRDefault="00A34B5C" w:rsidP="00A34B5C">
      <w:pPr>
        <w:tabs>
          <w:tab w:val="left" w:pos="567"/>
        </w:tabs>
        <w:spacing w:after="0" w:line="260" w:lineRule="exact"/>
        <w:rPr>
          <w:rFonts w:ascii="Times New Roman" w:eastAsia="Calibri" w:hAnsi="Times New Roman" w:cs="Times New Roman"/>
          <w:lang w:val="lt-LT"/>
        </w:rPr>
      </w:pPr>
      <w:r w:rsidRPr="00A34B5C">
        <w:rPr>
          <w:rFonts w:ascii="Times New Roman" w:eastAsia="Calibri" w:hAnsi="Times New Roman" w:cs="Times New Roman"/>
          <w:color w:val="000000"/>
          <w:lang w:val="cs-CZ"/>
        </w:rPr>
        <w:t>Latvija</w:t>
      </w:r>
    </w:p>
    <w:p w14:paraId="37E46A9F"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50DB1706"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000F230A"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b/>
          <w:caps/>
          <w:lang w:val="lt-LT"/>
        </w:rPr>
        <w:t>12.</w:t>
      </w:r>
      <w:r w:rsidRPr="00A34B5C">
        <w:rPr>
          <w:rFonts w:ascii="Times New Roman" w:eastAsia="Calibri" w:hAnsi="Times New Roman" w:cs="Times New Roman"/>
          <w:b/>
          <w:caps/>
          <w:lang w:val="lt-LT"/>
        </w:rPr>
        <w:tab/>
        <w:t>REGISTRACIJOS PAŽYMĖJIMO numeris (-IAI)</w:t>
      </w:r>
    </w:p>
    <w:p w14:paraId="5FBFF2A6"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61CCB71A"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highlight w:val="lightGray"/>
          <w:lang w:val="lt-LT"/>
        </w:rPr>
        <w:t>25 mg -</w:t>
      </w:r>
      <w:r w:rsidRPr="00A34B5C">
        <w:rPr>
          <w:rFonts w:ascii="Times New Roman" w:eastAsia="Calibri" w:hAnsi="Times New Roman" w:cs="Times New Roman"/>
          <w:lang w:val="lt-LT"/>
        </w:rPr>
        <w:t xml:space="preserve"> LT/1/94/0949/001</w:t>
      </w:r>
    </w:p>
    <w:p w14:paraId="05993E09"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highlight w:val="lightGray"/>
          <w:lang w:val="lt-LT"/>
        </w:rPr>
        <w:t>100 mg - LT/1/94/0949/002</w:t>
      </w:r>
    </w:p>
    <w:p w14:paraId="62ED8DB9"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4E62E3B9"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42C7112A"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b/>
          <w:caps/>
          <w:lang w:val="lt-LT"/>
        </w:rPr>
        <w:t>13.</w:t>
      </w:r>
      <w:r w:rsidRPr="00A34B5C">
        <w:rPr>
          <w:rFonts w:ascii="Times New Roman" w:eastAsia="Calibri" w:hAnsi="Times New Roman" w:cs="Times New Roman"/>
          <w:b/>
          <w:caps/>
          <w:lang w:val="lt-LT"/>
        </w:rPr>
        <w:tab/>
        <w:t>serijos numeris</w:t>
      </w:r>
    </w:p>
    <w:p w14:paraId="69EA53BE"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5D9B97E8" w14:textId="77777777" w:rsidR="00A34B5C" w:rsidRPr="00A34B5C" w:rsidRDefault="001733A6" w:rsidP="00A34B5C">
      <w:pPr>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Lot</w:t>
      </w:r>
      <w:r w:rsidR="00A34B5C" w:rsidRPr="00A34B5C">
        <w:rPr>
          <w:rFonts w:ascii="Times New Roman" w:eastAsia="Calibri" w:hAnsi="Times New Roman" w:cs="Times New Roman"/>
          <w:lang w:val="lt-LT"/>
        </w:rPr>
        <w:t xml:space="preserve"> {numeris}</w:t>
      </w:r>
    </w:p>
    <w:p w14:paraId="351F9119"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170E428D"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191BE63B"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b/>
          <w:caps/>
          <w:lang w:val="lt-LT"/>
        </w:rPr>
        <w:t>14.</w:t>
      </w:r>
      <w:r w:rsidRPr="00A34B5C">
        <w:rPr>
          <w:rFonts w:ascii="Times New Roman" w:eastAsia="Calibri" w:hAnsi="Times New Roman" w:cs="Times New Roman"/>
          <w:b/>
          <w:caps/>
          <w:lang w:val="lt-LT"/>
        </w:rPr>
        <w:tab/>
        <w:t>PARDAVIMO (IŠDAVIMO) tvarka</w:t>
      </w:r>
    </w:p>
    <w:p w14:paraId="5E5C1217"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0D2EE017"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Receptinis vaistas.</w:t>
      </w:r>
    </w:p>
    <w:p w14:paraId="5A577CC3" w14:textId="77777777" w:rsidR="00A34B5C" w:rsidRPr="00A34B5C" w:rsidRDefault="00A34B5C" w:rsidP="00A34B5C">
      <w:pPr>
        <w:spacing w:after="0" w:line="240" w:lineRule="auto"/>
        <w:rPr>
          <w:rFonts w:ascii="Times New Roman" w:eastAsia="Calibri" w:hAnsi="Times New Roman" w:cs="Times New Roman"/>
          <w:lang w:val="lt-LT"/>
        </w:rPr>
      </w:pPr>
    </w:p>
    <w:p w14:paraId="695A3DB2"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45FDD558"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b/>
          <w:caps/>
          <w:lang w:val="lt-LT"/>
        </w:rPr>
        <w:t>15.</w:t>
      </w:r>
      <w:r w:rsidRPr="00A34B5C">
        <w:rPr>
          <w:rFonts w:ascii="Times New Roman" w:eastAsia="Calibri" w:hAnsi="Times New Roman" w:cs="Times New Roman"/>
          <w:b/>
          <w:caps/>
          <w:lang w:val="lt-LT"/>
        </w:rPr>
        <w:tab/>
        <w:t>vartojimo instrukcijA</w:t>
      </w:r>
    </w:p>
    <w:p w14:paraId="35EE583A"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13BB78F2"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1A1BA785"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b/>
          <w:caps/>
          <w:lang w:val="lt-LT"/>
        </w:rPr>
        <w:t>16.</w:t>
      </w:r>
      <w:r w:rsidRPr="00A34B5C">
        <w:rPr>
          <w:rFonts w:ascii="Times New Roman" w:eastAsia="Calibri" w:hAnsi="Times New Roman" w:cs="Times New Roman"/>
          <w:b/>
          <w:caps/>
          <w:lang w:val="lt-LT"/>
        </w:rPr>
        <w:tab/>
        <w:t>INFORMACIJA BRAILIO RAŠTU</w:t>
      </w:r>
    </w:p>
    <w:p w14:paraId="31F6575C" w14:textId="77777777" w:rsidR="00A34B5C" w:rsidRPr="00A34B5C" w:rsidRDefault="00A34B5C" w:rsidP="00A34B5C">
      <w:pPr>
        <w:spacing w:after="0" w:line="240" w:lineRule="auto"/>
        <w:rPr>
          <w:rFonts w:ascii="Times New Roman" w:eastAsia="Calibri" w:hAnsi="Times New Roman" w:cs="Times New Roman"/>
          <w:lang w:val="lt-LT"/>
        </w:rPr>
      </w:pPr>
    </w:p>
    <w:p w14:paraId="5282272F"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Leponex 25 mg</w:t>
      </w:r>
    </w:p>
    <w:p w14:paraId="662609D8"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highlight w:val="lightGray"/>
          <w:lang w:val="lt-LT"/>
        </w:rPr>
        <w:t>Leponex 100 mg</w:t>
      </w:r>
    </w:p>
    <w:p w14:paraId="5C548027" w14:textId="77777777" w:rsidR="00A34B5C" w:rsidRDefault="00A34B5C" w:rsidP="00A34B5C">
      <w:pPr>
        <w:spacing w:after="0" w:line="240" w:lineRule="auto"/>
        <w:rPr>
          <w:rFonts w:ascii="Times New Roman" w:eastAsia="Calibri" w:hAnsi="Times New Roman" w:cs="Times New Roman"/>
          <w:lang w:val="lt-LT"/>
        </w:rPr>
      </w:pPr>
    </w:p>
    <w:p w14:paraId="30C54C75" w14:textId="77777777" w:rsidR="00DA764E" w:rsidRPr="00A34B5C" w:rsidRDefault="00DA764E" w:rsidP="00A34B5C">
      <w:pPr>
        <w:spacing w:after="0" w:line="240" w:lineRule="auto"/>
        <w:rPr>
          <w:rFonts w:ascii="Times New Roman" w:eastAsia="Calibri" w:hAnsi="Times New Roman" w:cs="Times New Roman"/>
          <w:lang w:val="lt-LT"/>
        </w:rPr>
      </w:pPr>
    </w:p>
    <w:p w14:paraId="1C12FAC0" w14:textId="77777777" w:rsidR="00DA764E" w:rsidRPr="00B27E7B" w:rsidRDefault="00DA764E" w:rsidP="00B27E7B">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lang w:val="lt-LT"/>
        </w:rPr>
      </w:pPr>
      <w:r w:rsidRPr="00B27E7B">
        <w:rPr>
          <w:rFonts w:ascii="Times New Roman" w:hAnsi="Times New Roman"/>
          <w:b/>
          <w:caps/>
          <w:lang w:val="lt-LT"/>
        </w:rPr>
        <w:t>17.</w:t>
      </w:r>
      <w:r w:rsidRPr="00B27E7B">
        <w:rPr>
          <w:rFonts w:ascii="Times New Roman" w:hAnsi="Times New Roman"/>
          <w:b/>
          <w:caps/>
          <w:lang w:val="lt-LT"/>
        </w:rPr>
        <w:tab/>
        <w:t>UNIKALUS IDENTIFIKATORIUS – 2D BRŪKŠNINIS KODAS</w:t>
      </w:r>
    </w:p>
    <w:p w14:paraId="1F2A4DDA" w14:textId="77777777" w:rsidR="00DA764E" w:rsidRPr="00DA764E" w:rsidRDefault="00DA764E" w:rsidP="00DA764E">
      <w:pPr>
        <w:tabs>
          <w:tab w:val="left" w:pos="567"/>
        </w:tabs>
        <w:spacing w:after="0" w:line="260" w:lineRule="exact"/>
        <w:rPr>
          <w:rFonts w:ascii="Times New Roman" w:eastAsia="Times New Roman" w:hAnsi="Times New Roman" w:cs="Times New Roman"/>
          <w:noProof/>
          <w:snapToGrid w:val="0"/>
          <w:szCs w:val="20"/>
          <w:lang w:val="en-GB"/>
        </w:rPr>
      </w:pPr>
    </w:p>
    <w:p w14:paraId="34F95D37" w14:textId="77777777" w:rsidR="00DA764E" w:rsidRPr="00DA764E" w:rsidRDefault="00DA764E" w:rsidP="00DA764E">
      <w:pPr>
        <w:tabs>
          <w:tab w:val="left" w:pos="567"/>
        </w:tabs>
        <w:spacing w:after="0" w:line="260" w:lineRule="exact"/>
        <w:rPr>
          <w:rFonts w:ascii="Times New Roman" w:eastAsia="Times New Roman" w:hAnsi="Times New Roman" w:cs="Times New Roman"/>
          <w:noProof/>
          <w:snapToGrid w:val="0"/>
          <w:shd w:val="clear" w:color="auto" w:fill="CCCCCC"/>
          <w:lang w:val="en-GB"/>
        </w:rPr>
      </w:pPr>
      <w:r w:rsidRPr="00DA764E">
        <w:rPr>
          <w:rFonts w:ascii="Times New Roman" w:eastAsia="Times New Roman" w:hAnsi="Times New Roman" w:cs="Times New Roman"/>
          <w:noProof/>
          <w:snapToGrid w:val="0"/>
          <w:szCs w:val="20"/>
          <w:highlight w:val="lightGray"/>
          <w:lang w:val="en-GB"/>
        </w:rPr>
        <w:t>2D brūkšninis kodas su nurod</w:t>
      </w:r>
      <w:r>
        <w:rPr>
          <w:rFonts w:ascii="Times New Roman" w:eastAsia="Times New Roman" w:hAnsi="Times New Roman" w:cs="Times New Roman"/>
          <w:noProof/>
          <w:snapToGrid w:val="0"/>
          <w:szCs w:val="20"/>
          <w:highlight w:val="lightGray"/>
          <w:lang w:val="en-GB"/>
        </w:rPr>
        <w:t>ytu unikaliu identifikatoriumi.</w:t>
      </w:r>
    </w:p>
    <w:p w14:paraId="5D79E996" w14:textId="77777777" w:rsidR="00DA764E" w:rsidRPr="00DA764E" w:rsidRDefault="00DA764E" w:rsidP="00DA764E">
      <w:pPr>
        <w:tabs>
          <w:tab w:val="left" w:pos="567"/>
        </w:tabs>
        <w:spacing w:after="0" w:line="260" w:lineRule="exact"/>
        <w:rPr>
          <w:rFonts w:ascii="Times New Roman" w:eastAsia="Times New Roman" w:hAnsi="Times New Roman" w:cs="Times New Roman"/>
          <w:noProof/>
          <w:snapToGrid w:val="0"/>
          <w:szCs w:val="20"/>
          <w:lang w:val="en-GB"/>
        </w:rPr>
      </w:pPr>
    </w:p>
    <w:p w14:paraId="2902FAD5" w14:textId="77777777" w:rsidR="00DA764E" w:rsidRPr="00DA764E" w:rsidRDefault="00DA764E" w:rsidP="00DA764E">
      <w:pPr>
        <w:tabs>
          <w:tab w:val="left" w:pos="567"/>
        </w:tabs>
        <w:spacing w:after="0" w:line="260" w:lineRule="exact"/>
        <w:rPr>
          <w:rFonts w:ascii="Times New Roman" w:eastAsia="Times New Roman" w:hAnsi="Times New Roman" w:cs="Times New Roman"/>
          <w:noProof/>
          <w:snapToGrid w:val="0"/>
          <w:szCs w:val="20"/>
          <w:lang w:val="en-GB"/>
        </w:rPr>
      </w:pPr>
    </w:p>
    <w:p w14:paraId="725D80F6" w14:textId="77777777" w:rsidR="00DA764E" w:rsidRPr="00B27E7B" w:rsidRDefault="00DA764E" w:rsidP="00B27E7B">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lang w:val="lt-LT"/>
        </w:rPr>
      </w:pPr>
      <w:r w:rsidRPr="00B27E7B">
        <w:rPr>
          <w:rFonts w:ascii="Times New Roman" w:hAnsi="Times New Roman"/>
          <w:b/>
          <w:caps/>
          <w:lang w:val="lt-LT"/>
        </w:rPr>
        <w:t>18.</w:t>
      </w:r>
      <w:r w:rsidRPr="00B27E7B">
        <w:rPr>
          <w:rFonts w:ascii="Times New Roman" w:hAnsi="Times New Roman"/>
          <w:b/>
          <w:caps/>
          <w:lang w:val="lt-LT"/>
        </w:rPr>
        <w:tab/>
        <w:t>UNIKALUS IDENTIFIKATORIUS – ŽMONĖMS SUPRANTAMI DUOMENYS</w:t>
      </w:r>
    </w:p>
    <w:p w14:paraId="0829576E" w14:textId="77777777" w:rsidR="00DA764E" w:rsidRPr="00DA764E" w:rsidRDefault="00DA764E" w:rsidP="00DA764E">
      <w:pPr>
        <w:tabs>
          <w:tab w:val="left" w:pos="567"/>
        </w:tabs>
        <w:spacing w:after="0" w:line="260" w:lineRule="exact"/>
        <w:rPr>
          <w:rFonts w:ascii="Times New Roman" w:eastAsia="Times New Roman" w:hAnsi="Times New Roman" w:cs="Times New Roman"/>
          <w:noProof/>
          <w:snapToGrid w:val="0"/>
          <w:szCs w:val="20"/>
          <w:lang w:val="en-GB"/>
        </w:rPr>
      </w:pPr>
    </w:p>
    <w:p w14:paraId="350BC664" w14:textId="77777777" w:rsidR="00DA764E" w:rsidRPr="00DA764E" w:rsidRDefault="00DA764E" w:rsidP="00DA764E">
      <w:pPr>
        <w:tabs>
          <w:tab w:val="left" w:pos="567"/>
        </w:tabs>
        <w:spacing w:after="0" w:line="260" w:lineRule="exact"/>
        <w:rPr>
          <w:rFonts w:ascii="Times New Roman" w:eastAsia="Times New Roman" w:hAnsi="Times New Roman" w:cs="Times New Roman"/>
          <w:snapToGrid w:val="0"/>
          <w:color w:val="008000"/>
          <w:lang w:val="en-GB"/>
        </w:rPr>
      </w:pPr>
      <w:r>
        <w:rPr>
          <w:rFonts w:ascii="Times New Roman" w:eastAsia="Times New Roman" w:hAnsi="Times New Roman" w:cs="Times New Roman"/>
          <w:snapToGrid w:val="0"/>
          <w:szCs w:val="20"/>
          <w:lang w:val="en-GB"/>
        </w:rPr>
        <w:t>PC: {numeris}</w:t>
      </w:r>
    </w:p>
    <w:p w14:paraId="1FC6C358" w14:textId="77777777" w:rsidR="00DA764E" w:rsidRPr="00DA764E" w:rsidRDefault="00DA764E" w:rsidP="00DA764E">
      <w:pPr>
        <w:tabs>
          <w:tab w:val="left" w:pos="567"/>
        </w:tabs>
        <w:spacing w:after="0" w:line="260" w:lineRule="exact"/>
        <w:rPr>
          <w:rFonts w:ascii="Times New Roman" w:eastAsia="Times New Roman" w:hAnsi="Times New Roman" w:cs="Times New Roman"/>
          <w:snapToGrid w:val="0"/>
          <w:lang w:val="en-GB"/>
        </w:rPr>
      </w:pPr>
      <w:r w:rsidRPr="00DA764E">
        <w:rPr>
          <w:rFonts w:ascii="Times New Roman" w:eastAsia="Times New Roman" w:hAnsi="Times New Roman" w:cs="Times New Roman"/>
          <w:snapToGrid w:val="0"/>
          <w:szCs w:val="20"/>
          <w:lang w:val="en-GB"/>
        </w:rPr>
        <w:t xml:space="preserve">SN: {numeris} </w:t>
      </w:r>
    </w:p>
    <w:p w14:paraId="2740D8B8" w14:textId="77777777" w:rsidR="00DA764E" w:rsidRPr="00DA764E" w:rsidRDefault="00DA764E" w:rsidP="00DA764E">
      <w:pPr>
        <w:tabs>
          <w:tab w:val="left" w:pos="567"/>
        </w:tabs>
        <w:spacing w:after="0" w:line="260" w:lineRule="exact"/>
        <w:rPr>
          <w:rFonts w:ascii="Times New Roman" w:eastAsia="Times New Roman" w:hAnsi="Times New Roman" w:cs="Times New Roman"/>
          <w:snapToGrid w:val="0"/>
          <w:lang w:val="en-GB"/>
        </w:rPr>
      </w:pPr>
      <w:r w:rsidRPr="00DA764E">
        <w:rPr>
          <w:rFonts w:ascii="Times New Roman" w:eastAsia="Times New Roman" w:hAnsi="Times New Roman" w:cs="Times New Roman"/>
          <w:snapToGrid w:val="0"/>
          <w:szCs w:val="20"/>
          <w:highlight w:val="lightGray"/>
          <w:lang w:val="en-GB"/>
        </w:rPr>
        <w:t>NN: {numeris}</w:t>
      </w:r>
    </w:p>
    <w:p w14:paraId="7DC6C4D6"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caps/>
          <w:lang w:val="lt-LT"/>
        </w:rPr>
      </w:pPr>
      <w:r w:rsidRPr="00A34B5C">
        <w:rPr>
          <w:rFonts w:ascii="Times New Roman" w:eastAsia="Calibri" w:hAnsi="Times New Roman" w:cs="Times New Roman"/>
          <w:lang w:val="lt-LT"/>
        </w:rPr>
        <w:br w:type="page"/>
      </w:r>
      <w:r w:rsidRPr="00A34B5C">
        <w:rPr>
          <w:rFonts w:ascii="Times New Roman" w:eastAsia="Calibri" w:hAnsi="Times New Roman" w:cs="Times New Roman"/>
          <w:b/>
          <w:caps/>
          <w:lang w:val="lt-LT"/>
        </w:rPr>
        <w:lastRenderedPageBreak/>
        <w:t xml:space="preserve">mINIMALI Informacija ant LIZDINIŲ PLOKŠTELIŲ ARBA DVISLUOKSNIŲ JUOSTELIŲ </w:t>
      </w:r>
    </w:p>
    <w:p w14:paraId="4D7A3636"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caps/>
          <w:lang w:val="lt-LT"/>
        </w:rPr>
      </w:pPr>
    </w:p>
    <w:p w14:paraId="647E81D1"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lang w:val="lt-LT"/>
        </w:rPr>
      </w:pPr>
      <w:r w:rsidRPr="00A34B5C">
        <w:rPr>
          <w:rFonts w:ascii="Times New Roman" w:eastAsia="Calibri" w:hAnsi="Times New Roman" w:cs="Times New Roman"/>
          <w:b/>
          <w:lang w:val="lt-LT"/>
        </w:rPr>
        <w:t>LIZDINĖ PLOKŠTELĖ</w:t>
      </w:r>
    </w:p>
    <w:p w14:paraId="644724B6"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185848A4"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0DE76BFC"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b/>
          <w:caps/>
          <w:lang w:val="lt-LT"/>
        </w:rPr>
        <w:t>1.</w:t>
      </w:r>
      <w:r w:rsidRPr="00A34B5C">
        <w:rPr>
          <w:rFonts w:ascii="Times New Roman" w:eastAsia="Calibri" w:hAnsi="Times New Roman" w:cs="Times New Roman"/>
          <w:b/>
          <w:caps/>
          <w:lang w:val="lt-LT"/>
        </w:rPr>
        <w:tab/>
        <w:t>vaistinio preparato pavadinimas</w:t>
      </w:r>
    </w:p>
    <w:p w14:paraId="02266310"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15B31F5A"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Leponex 25 mg tabletės</w:t>
      </w:r>
    </w:p>
    <w:p w14:paraId="13C67E91"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highlight w:val="lightGray"/>
          <w:lang w:val="lt-LT"/>
        </w:rPr>
        <w:t>Leponex 100 mg tabletės</w:t>
      </w:r>
    </w:p>
    <w:p w14:paraId="40F23400" w14:textId="7D68D6A7" w:rsidR="00A34B5C" w:rsidRPr="00A34B5C" w:rsidRDefault="00C9198E" w:rsidP="00A34B5C">
      <w:pPr>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c</w:t>
      </w:r>
      <w:r w:rsidRPr="00A34B5C">
        <w:rPr>
          <w:rFonts w:ascii="Times New Roman" w:eastAsia="Calibri" w:hAnsi="Times New Roman" w:cs="Times New Roman"/>
          <w:lang w:val="lt-LT"/>
        </w:rPr>
        <w:t>lozapinum</w:t>
      </w:r>
    </w:p>
    <w:p w14:paraId="26C1CE1A" w14:textId="77777777" w:rsidR="00A34B5C" w:rsidRPr="00A34B5C" w:rsidRDefault="00A34B5C" w:rsidP="00A34B5C">
      <w:pPr>
        <w:spacing w:after="0" w:line="240" w:lineRule="auto"/>
        <w:rPr>
          <w:rFonts w:ascii="Times New Roman" w:eastAsia="Calibri" w:hAnsi="Times New Roman" w:cs="Times New Roman"/>
          <w:lang w:val="lt-LT"/>
        </w:rPr>
      </w:pPr>
    </w:p>
    <w:p w14:paraId="740C76B6" w14:textId="77777777" w:rsidR="00A34B5C" w:rsidRPr="00A34B5C" w:rsidRDefault="00A34B5C" w:rsidP="00A34B5C">
      <w:pPr>
        <w:spacing w:after="0" w:line="240" w:lineRule="auto"/>
        <w:rPr>
          <w:rFonts w:ascii="Times New Roman" w:eastAsia="Calibri" w:hAnsi="Times New Roman" w:cs="Times New Roman"/>
          <w:lang w:val="lt-LT"/>
        </w:rPr>
      </w:pPr>
    </w:p>
    <w:p w14:paraId="1D3317F5"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b/>
          <w:caps/>
          <w:lang w:val="lt-LT"/>
        </w:rPr>
        <w:t>2.</w:t>
      </w:r>
      <w:r w:rsidRPr="00A34B5C">
        <w:rPr>
          <w:rFonts w:ascii="Times New Roman" w:eastAsia="Calibri" w:hAnsi="Times New Roman" w:cs="Times New Roman"/>
          <w:b/>
          <w:caps/>
          <w:lang w:val="lt-LT"/>
        </w:rPr>
        <w:tab/>
        <w:t xml:space="preserve">REGISTRUOtOJO PAVADINIMAS </w:t>
      </w:r>
    </w:p>
    <w:p w14:paraId="4C2AE4F3"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249E1B0A" w14:textId="617D882B" w:rsidR="00A34B5C" w:rsidRPr="00A34B5C" w:rsidRDefault="0038259C" w:rsidP="00A34B5C">
      <w:pPr>
        <w:tabs>
          <w:tab w:val="left" w:pos="567"/>
          <w:tab w:val="center" w:pos="4536"/>
          <w:tab w:val="center" w:pos="8930"/>
        </w:tabs>
        <w:spacing w:after="0" w:line="240" w:lineRule="auto"/>
        <w:rPr>
          <w:rFonts w:ascii="Times New Roman" w:eastAsia="Calibri" w:hAnsi="Times New Roman" w:cs="Times New Roman"/>
          <w:lang w:val="cs-CZ"/>
        </w:rPr>
      </w:pPr>
      <w:r>
        <w:rPr>
          <w:rFonts w:ascii="Times New Roman" w:eastAsia="Calibri" w:hAnsi="Times New Roman" w:cs="Times New Roman"/>
          <w:lang w:val="pt-PT"/>
        </w:rPr>
        <w:t>Viatris</w:t>
      </w:r>
      <w:r w:rsidR="008B3749" w:rsidRPr="008B3749">
        <w:rPr>
          <w:rFonts w:ascii="Times New Roman" w:eastAsia="Calibri" w:hAnsi="Times New Roman" w:cs="Times New Roman"/>
          <w:lang w:val="pt-PT"/>
        </w:rPr>
        <w:t xml:space="preserve"> </w:t>
      </w:r>
      <w:r w:rsidR="00A34B5C" w:rsidRPr="00A34B5C">
        <w:rPr>
          <w:rFonts w:ascii="Times New Roman" w:eastAsia="Calibri" w:hAnsi="Times New Roman" w:cs="Times New Roman"/>
          <w:lang w:val="pt-PT"/>
        </w:rPr>
        <w:t>SIA</w:t>
      </w:r>
    </w:p>
    <w:p w14:paraId="60802386"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2EDFC42A"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59755C18"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b/>
          <w:caps/>
          <w:lang w:val="lt-LT"/>
        </w:rPr>
        <w:t>3.</w:t>
      </w:r>
      <w:r w:rsidRPr="00A34B5C">
        <w:rPr>
          <w:rFonts w:ascii="Times New Roman" w:eastAsia="Calibri" w:hAnsi="Times New Roman" w:cs="Times New Roman"/>
          <w:b/>
          <w:caps/>
          <w:lang w:val="lt-LT"/>
        </w:rPr>
        <w:tab/>
        <w:t>TINKAMUMO LAIKAS</w:t>
      </w:r>
    </w:p>
    <w:p w14:paraId="065AE096"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67668221"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EXP {mm MMMM}</w:t>
      </w:r>
    </w:p>
    <w:p w14:paraId="629B0933"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70BCC1DD"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14664169"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b/>
          <w:caps/>
          <w:lang w:val="lt-LT"/>
        </w:rPr>
        <w:t>4.</w:t>
      </w:r>
      <w:r w:rsidRPr="00A34B5C">
        <w:rPr>
          <w:rFonts w:ascii="Times New Roman" w:eastAsia="Calibri" w:hAnsi="Times New Roman" w:cs="Times New Roman"/>
          <w:b/>
          <w:caps/>
          <w:lang w:val="lt-LT"/>
        </w:rPr>
        <w:tab/>
        <w:t>SERIJOS NUMERIS</w:t>
      </w:r>
    </w:p>
    <w:p w14:paraId="31E81204"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2F07F820"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Lot {numeris}</w:t>
      </w:r>
    </w:p>
    <w:p w14:paraId="5FC6A0D7"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6215414E" w14:textId="77777777" w:rsidR="00A34B5C" w:rsidRPr="00A34B5C" w:rsidRDefault="00A34B5C" w:rsidP="00A34B5C">
      <w:pPr>
        <w:spacing w:after="0" w:line="240" w:lineRule="auto"/>
        <w:ind w:left="567" w:hanging="567"/>
        <w:rPr>
          <w:rFonts w:ascii="Times New Roman" w:eastAsia="Calibri" w:hAnsi="Times New Roman" w:cs="Times New Roman"/>
          <w:caps/>
          <w:lang w:val="lt-LT"/>
        </w:rPr>
      </w:pPr>
    </w:p>
    <w:p w14:paraId="64772812" w14:textId="77777777" w:rsidR="00A34B5C" w:rsidRPr="00A34B5C"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A34B5C">
        <w:rPr>
          <w:rFonts w:ascii="Times New Roman" w:eastAsia="Calibri" w:hAnsi="Times New Roman" w:cs="Times New Roman"/>
          <w:b/>
          <w:caps/>
          <w:lang w:val="lt-LT"/>
        </w:rPr>
        <w:t>5.</w:t>
      </w:r>
      <w:r w:rsidRPr="00A34B5C">
        <w:rPr>
          <w:rFonts w:ascii="Times New Roman" w:eastAsia="Calibri" w:hAnsi="Times New Roman" w:cs="Times New Roman"/>
          <w:b/>
          <w:caps/>
          <w:lang w:val="lt-LT"/>
        </w:rPr>
        <w:tab/>
        <w:t>kita</w:t>
      </w:r>
    </w:p>
    <w:p w14:paraId="4A493978" w14:textId="77777777" w:rsidR="00A34B5C" w:rsidRPr="00A34B5C" w:rsidRDefault="00A34B5C" w:rsidP="00A34B5C">
      <w:pPr>
        <w:spacing w:after="0" w:line="240" w:lineRule="auto"/>
        <w:rPr>
          <w:rFonts w:ascii="Times New Roman" w:eastAsia="Calibri" w:hAnsi="Times New Roman" w:cs="Times New Roman"/>
          <w:lang w:val="lt-LT"/>
        </w:rPr>
      </w:pPr>
    </w:p>
    <w:p w14:paraId="762E7EE4" w14:textId="77777777" w:rsidR="00A34B5C" w:rsidRPr="00A34B5C" w:rsidRDefault="00A34B5C" w:rsidP="00A34B5C">
      <w:pPr>
        <w:spacing w:after="0" w:line="240" w:lineRule="auto"/>
        <w:rPr>
          <w:rFonts w:ascii="Times New Roman" w:eastAsia="Calibri" w:hAnsi="Times New Roman" w:cs="Times New Roman"/>
          <w:lang w:val="lt-LT"/>
        </w:rPr>
      </w:pPr>
    </w:p>
    <w:p w14:paraId="70C6E9E9"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r w:rsidRPr="00A34B5C">
        <w:rPr>
          <w:rFonts w:ascii="Times New Roman" w:eastAsia="Calibri" w:hAnsi="Times New Roman" w:cs="Times New Roman"/>
          <w:lang w:val="lt-LT"/>
        </w:rPr>
        <w:br w:type="page"/>
      </w:r>
    </w:p>
    <w:p w14:paraId="1A087DDE"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52D1689E"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46A74D5D"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1B4FCC11"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5F547580"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462C9AB9"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38388246"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6AEA93D0"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44359157"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56159D55"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1641A0D8"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6EC44593"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7AAE00B3"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005DCD3D"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29975A87"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2E78BDD2"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6916DBCE"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2CFB68B8"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43ED307D"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7D69F67C"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6521F366"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62836FBD"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67627DC6"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48800625"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7278A4E3" w14:textId="77777777" w:rsidR="00A34B5C" w:rsidRPr="00B27E7B" w:rsidRDefault="00A34B5C" w:rsidP="00B27E7B">
      <w:pPr>
        <w:pStyle w:val="Antrat1"/>
        <w:tabs>
          <w:tab w:val="clear" w:pos="567"/>
        </w:tabs>
        <w:spacing w:before="0" w:after="0" w:line="240" w:lineRule="auto"/>
        <w:ind w:left="540" w:hanging="540"/>
        <w:jc w:val="center"/>
        <w:rPr>
          <w:b w:val="0"/>
          <w:caps w:val="0"/>
        </w:rPr>
      </w:pPr>
      <w:r w:rsidRPr="00B27E7B">
        <w:rPr>
          <w:sz w:val="22"/>
        </w:rPr>
        <w:t>B. PAKUOTĖS lapelis</w:t>
      </w:r>
    </w:p>
    <w:p w14:paraId="195A8470"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r w:rsidRPr="00A34B5C">
        <w:rPr>
          <w:rFonts w:ascii="Times New Roman" w:eastAsia="Calibri" w:hAnsi="Times New Roman" w:cs="Times New Roman"/>
          <w:lang w:val="lt-LT"/>
        </w:rPr>
        <w:br w:type="page"/>
      </w:r>
      <w:r w:rsidRPr="00A34B5C">
        <w:rPr>
          <w:rFonts w:ascii="Times New Roman" w:eastAsia="Calibri" w:hAnsi="Times New Roman" w:cs="Times New Roman"/>
          <w:b/>
          <w:iCs/>
          <w:lang w:val="lt-LT"/>
        </w:rPr>
        <w:lastRenderedPageBreak/>
        <w:t>Pakuotės lapelis: informacija pacientui</w:t>
      </w:r>
    </w:p>
    <w:p w14:paraId="40978CC9" w14:textId="77777777" w:rsidR="00A34B5C" w:rsidRPr="00A34B5C" w:rsidRDefault="00A34B5C" w:rsidP="00A34B5C">
      <w:pPr>
        <w:spacing w:after="0" w:line="240" w:lineRule="auto"/>
        <w:ind w:left="567" w:hanging="567"/>
        <w:jc w:val="center"/>
        <w:rPr>
          <w:rFonts w:ascii="Times New Roman" w:eastAsia="Calibri" w:hAnsi="Times New Roman" w:cs="Times New Roman"/>
          <w:b/>
          <w:caps/>
          <w:lang w:val="lt-LT"/>
        </w:rPr>
      </w:pPr>
    </w:p>
    <w:p w14:paraId="1100DB88" w14:textId="77777777" w:rsidR="00A34B5C" w:rsidRPr="00A34B5C" w:rsidRDefault="00A34B5C" w:rsidP="00A34B5C">
      <w:pPr>
        <w:spacing w:after="0" w:line="240" w:lineRule="auto"/>
        <w:ind w:left="567" w:hanging="567"/>
        <w:jc w:val="center"/>
        <w:rPr>
          <w:rFonts w:ascii="Times New Roman" w:eastAsia="Calibri" w:hAnsi="Times New Roman" w:cs="Times New Roman"/>
          <w:b/>
          <w:lang w:val="lt-LT"/>
        </w:rPr>
      </w:pPr>
      <w:r w:rsidRPr="00A34B5C">
        <w:rPr>
          <w:rFonts w:ascii="Times New Roman" w:eastAsia="Calibri" w:hAnsi="Times New Roman" w:cs="Times New Roman"/>
          <w:b/>
          <w:lang w:val="lt-LT"/>
        </w:rPr>
        <w:t>Leponex 25 mg tabletės</w:t>
      </w:r>
    </w:p>
    <w:p w14:paraId="68F2A215" w14:textId="77777777" w:rsidR="00A34B5C" w:rsidRPr="00A34B5C" w:rsidRDefault="00A34B5C" w:rsidP="00A34B5C">
      <w:pPr>
        <w:spacing w:after="0" w:line="240" w:lineRule="auto"/>
        <w:ind w:left="567" w:hanging="567"/>
        <w:jc w:val="center"/>
        <w:rPr>
          <w:rFonts w:ascii="Times New Roman" w:eastAsia="Calibri" w:hAnsi="Times New Roman" w:cs="Times New Roman"/>
          <w:b/>
          <w:lang w:val="lt-LT"/>
        </w:rPr>
      </w:pPr>
      <w:r w:rsidRPr="00A34B5C">
        <w:rPr>
          <w:rFonts w:ascii="Times New Roman" w:eastAsia="Calibri" w:hAnsi="Times New Roman" w:cs="Times New Roman"/>
          <w:b/>
          <w:lang w:val="lt-LT"/>
        </w:rPr>
        <w:t>Leponex 100 mg tabletės</w:t>
      </w:r>
    </w:p>
    <w:p w14:paraId="3F40E9E1" w14:textId="39FFC6E5" w:rsidR="00A34B5C" w:rsidRPr="00A34B5C" w:rsidRDefault="00C9198E" w:rsidP="00A34B5C">
      <w:pPr>
        <w:spacing w:after="0" w:line="240" w:lineRule="auto"/>
        <w:ind w:left="567" w:hanging="567"/>
        <w:jc w:val="center"/>
        <w:rPr>
          <w:rFonts w:ascii="Times New Roman" w:eastAsia="Calibri" w:hAnsi="Times New Roman" w:cs="Times New Roman"/>
          <w:lang w:val="lt-LT"/>
        </w:rPr>
      </w:pPr>
      <w:r>
        <w:rPr>
          <w:rFonts w:ascii="Times New Roman" w:eastAsia="Calibri" w:hAnsi="Times New Roman" w:cs="Times New Roman"/>
          <w:lang w:val="lt-LT"/>
        </w:rPr>
        <w:t>k</w:t>
      </w:r>
      <w:r w:rsidRPr="00A34B5C">
        <w:rPr>
          <w:rFonts w:ascii="Times New Roman" w:eastAsia="Calibri" w:hAnsi="Times New Roman" w:cs="Times New Roman"/>
          <w:lang w:val="lt-LT"/>
        </w:rPr>
        <w:t>lozapinas</w:t>
      </w:r>
      <w:r>
        <w:rPr>
          <w:rFonts w:ascii="Times New Roman" w:eastAsia="Calibri" w:hAnsi="Times New Roman" w:cs="Times New Roman"/>
          <w:lang w:val="lt-LT"/>
        </w:rPr>
        <w:t xml:space="preserve"> </w:t>
      </w:r>
      <w:r w:rsidR="002F15B9">
        <w:rPr>
          <w:rFonts w:ascii="Times New Roman" w:eastAsia="Calibri" w:hAnsi="Times New Roman" w:cs="Times New Roman"/>
          <w:lang w:val="lt-LT"/>
        </w:rPr>
        <w:t>(clozapinum)</w:t>
      </w:r>
    </w:p>
    <w:p w14:paraId="385925F2"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4F117A26" w14:textId="77777777" w:rsidR="00A34B5C" w:rsidRPr="00A34B5C" w:rsidRDefault="00A34B5C" w:rsidP="00A34B5C">
      <w:pPr>
        <w:suppressAutoHyphens/>
        <w:spacing w:after="0" w:line="240" w:lineRule="auto"/>
        <w:rPr>
          <w:rFonts w:ascii="Times New Roman" w:eastAsia="Calibri" w:hAnsi="Times New Roman" w:cs="Times New Roman"/>
          <w:b/>
          <w:lang w:val="lt-LT"/>
        </w:rPr>
      </w:pPr>
      <w:r w:rsidRPr="00A34B5C">
        <w:rPr>
          <w:rFonts w:ascii="Times New Roman" w:eastAsia="Calibri" w:hAnsi="Times New Roman" w:cs="Times New Roman"/>
          <w:b/>
          <w:lang w:val="lt-LT"/>
        </w:rPr>
        <w:t>Atidžiai perskaitykite visą šį lapelį, prieš pradėdami vartoti vaistą, nes jame pateikiama Jums svarbi informacija.</w:t>
      </w:r>
    </w:p>
    <w:p w14:paraId="6C87D759"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w:t>
      </w:r>
      <w:r w:rsidRPr="00A34B5C">
        <w:rPr>
          <w:rFonts w:ascii="Times New Roman" w:eastAsia="Calibri" w:hAnsi="Times New Roman" w:cs="Times New Roman"/>
          <w:lang w:val="lt-LT"/>
        </w:rPr>
        <w:tab/>
        <w:t>Neišmeskite šio lapelio, nes vėl gali prireikti jį perskaityti.</w:t>
      </w:r>
    </w:p>
    <w:p w14:paraId="325D5F7A"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w:t>
      </w:r>
      <w:r w:rsidRPr="00A34B5C">
        <w:rPr>
          <w:rFonts w:ascii="Times New Roman" w:eastAsia="Calibri" w:hAnsi="Times New Roman" w:cs="Times New Roman"/>
          <w:lang w:val="lt-LT"/>
        </w:rPr>
        <w:tab/>
        <w:t>Jeigu kiltų daugiau klausimų, kreipkitės į gydytoją arba vaistininką.</w:t>
      </w:r>
    </w:p>
    <w:p w14:paraId="4324A5C2"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w:t>
      </w:r>
      <w:r w:rsidRPr="00A34B5C">
        <w:rPr>
          <w:rFonts w:ascii="Times New Roman" w:eastAsia="Calibri" w:hAnsi="Times New Roman" w:cs="Times New Roman"/>
          <w:lang w:val="lt-LT"/>
        </w:rPr>
        <w:tab/>
        <w:t>Šis vaistas skirtas tik Jums, todėl kitiems žmonėms jo duoti negalima. Vaistas gali jiems pakenkti (net tiems, kurių ligos požymiai yra tokie patys kaip Jūsų).</w:t>
      </w:r>
    </w:p>
    <w:p w14:paraId="6FF7E687"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w:t>
      </w:r>
      <w:r w:rsidRPr="00A34B5C">
        <w:rPr>
          <w:rFonts w:ascii="Times New Roman" w:eastAsia="Calibri" w:hAnsi="Times New Roman" w:cs="Times New Roman"/>
          <w:lang w:val="lt-LT"/>
        </w:rPr>
        <w:tab/>
        <w:t xml:space="preserve">Jeigu pasireiškė šalutinis poveikis (net jeigu jis šiame lapelyje nenurodytas), kreipkitės į gydytoją arba vaistininką. </w:t>
      </w:r>
      <w:r w:rsidRPr="00A34B5C">
        <w:rPr>
          <w:rFonts w:ascii="Times New Roman" w:eastAsia="Calibri" w:hAnsi="Times New Roman" w:cs="Times New Roman"/>
          <w:noProof/>
          <w:lang w:val="lt-LT"/>
        </w:rPr>
        <w:t>Žr. 4 skyrių.</w:t>
      </w:r>
    </w:p>
    <w:p w14:paraId="1453CE32"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6E19FF18" w14:textId="77777777" w:rsidR="00A34B5C" w:rsidRPr="00A34B5C" w:rsidRDefault="00A34B5C" w:rsidP="00A34B5C">
      <w:pPr>
        <w:spacing w:after="0" w:line="240" w:lineRule="auto"/>
        <w:ind w:left="567" w:hanging="567"/>
        <w:rPr>
          <w:rFonts w:ascii="Times New Roman" w:eastAsia="Calibri" w:hAnsi="Times New Roman" w:cs="Times New Roman"/>
          <w:b/>
          <w:lang w:val="lt-LT"/>
        </w:rPr>
      </w:pPr>
      <w:r w:rsidRPr="00A34B5C">
        <w:rPr>
          <w:rFonts w:ascii="Times New Roman" w:eastAsia="Calibri" w:hAnsi="Times New Roman" w:cs="Times New Roman"/>
          <w:b/>
          <w:lang w:val="lt-LT"/>
        </w:rPr>
        <w:t>Apie ką rašoma šiame lapelyje?</w:t>
      </w:r>
    </w:p>
    <w:p w14:paraId="765C3EFD"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1.</w:t>
      </w:r>
      <w:r w:rsidRPr="00A34B5C">
        <w:rPr>
          <w:rFonts w:ascii="Times New Roman" w:eastAsia="Calibri" w:hAnsi="Times New Roman" w:cs="Times New Roman"/>
          <w:lang w:val="lt-LT"/>
        </w:rPr>
        <w:tab/>
        <w:t>Kas yra Leponex ir kam jis vartojamas</w:t>
      </w:r>
    </w:p>
    <w:p w14:paraId="4BE9791A"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2.</w:t>
      </w:r>
      <w:r w:rsidRPr="00A34B5C">
        <w:rPr>
          <w:rFonts w:ascii="Times New Roman" w:eastAsia="Calibri" w:hAnsi="Times New Roman" w:cs="Times New Roman"/>
          <w:lang w:val="lt-LT"/>
        </w:rPr>
        <w:tab/>
        <w:t>Kas žinotina prieš vartojant Leponex</w:t>
      </w:r>
    </w:p>
    <w:p w14:paraId="56D7CAC3"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3.</w:t>
      </w:r>
      <w:r w:rsidRPr="00A34B5C">
        <w:rPr>
          <w:rFonts w:ascii="Times New Roman" w:eastAsia="Calibri" w:hAnsi="Times New Roman" w:cs="Times New Roman"/>
          <w:lang w:val="lt-LT"/>
        </w:rPr>
        <w:tab/>
        <w:t>Kaip vartoti Leponex</w:t>
      </w:r>
    </w:p>
    <w:p w14:paraId="2F8A7F65"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4.</w:t>
      </w:r>
      <w:r w:rsidRPr="00A34B5C">
        <w:rPr>
          <w:rFonts w:ascii="Times New Roman" w:eastAsia="Calibri" w:hAnsi="Times New Roman" w:cs="Times New Roman"/>
          <w:lang w:val="lt-LT"/>
        </w:rPr>
        <w:tab/>
        <w:t>Galimas šalutinis poveikis</w:t>
      </w:r>
    </w:p>
    <w:p w14:paraId="6F461663"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5.</w:t>
      </w:r>
      <w:r w:rsidRPr="00A34B5C">
        <w:rPr>
          <w:rFonts w:ascii="Times New Roman" w:eastAsia="Calibri" w:hAnsi="Times New Roman" w:cs="Times New Roman"/>
          <w:lang w:val="lt-LT"/>
        </w:rPr>
        <w:tab/>
        <w:t xml:space="preserve">Kaip laikyti Leponex </w:t>
      </w:r>
    </w:p>
    <w:p w14:paraId="6ED5C5DA"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6.</w:t>
      </w:r>
      <w:r w:rsidRPr="00A34B5C">
        <w:rPr>
          <w:rFonts w:ascii="Times New Roman" w:eastAsia="Calibri" w:hAnsi="Times New Roman" w:cs="Times New Roman"/>
          <w:lang w:val="lt-LT"/>
        </w:rPr>
        <w:tab/>
        <w:t>Pakuotės turinys ir kita informacija</w:t>
      </w:r>
    </w:p>
    <w:p w14:paraId="1A143FFF"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15E7E099"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7BA00194" w14:textId="77777777" w:rsidR="00A34B5C" w:rsidRPr="00B27E7B" w:rsidRDefault="00A34B5C" w:rsidP="00B27E7B">
      <w:pPr>
        <w:widowControl w:val="0"/>
        <w:autoSpaceDE w:val="0"/>
        <w:autoSpaceDN w:val="0"/>
        <w:spacing w:after="0" w:line="240" w:lineRule="auto"/>
        <w:ind w:left="540" w:hanging="540"/>
        <w:outlineLvl w:val="1"/>
        <w:rPr>
          <w:rFonts w:ascii="Times New Roman" w:hAnsi="Times New Roman"/>
          <w:b/>
          <w:lang w:val="lt-LT"/>
        </w:rPr>
      </w:pPr>
      <w:r w:rsidRPr="00DB0E71">
        <w:rPr>
          <w:rFonts w:ascii="Times New Roman" w:eastAsia="Times New Roman" w:hAnsi="Times New Roman" w:cs="Times New Roman"/>
          <w:b/>
          <w:bCs/>
          <w:lang w:val="lt-LT"/>
        </w:rPr>
        <w:t>1.</w:t>
      </w:r>
      <w:r w:rsidRPr="00DB0E71">
        <w:rPr>
          <w:rFonts w:ascii="Times New Roman" w:eastAsia="Times New Roman" w:hAnsi="Times New Roman" w:cs="Times New Roman"/>
          <w:b/>
          <w:bCs/>
          <w:lang w:val="lt-LT"/>
        </w:rPr>
        <w:tab/>
        <w:t>Kas yra Leponex ir kam jis vartojamas</w:t>
      </w:r>
      <w:r w:rsidRPr="00DB0E71" w:rsidDel="00101352">
        <w:rPr>
          <w:rFonts w:ascii="Times New Roman" w:eastAsia="Times New Roman" w:hAnsi="Times New Roman" w:cs="Times New Roman"/>
          <w:b/>
          <w:bCs/>
          <w:lang w:val="lt-LT"/>
        </w:rPr>
        <w:t xml:space="preserve"> </w:t>
      </w:r>
    </w:p>
    <w:p w14:paraId="44698D37" w14:textId="77777777" w:rsidR="00A34B5C" w:rsidRPr="00A34B5C" w:rsidRDefault="00A34B5C" w:rsidP="00A34B5C">
      <w:pPr>
        <w:spacing w:after="0" w:line="240" w:lineRule="auto"/>
        <w:rPr>
          <w:rFonts w:ascii="Times New Roman" w:eastAsia="Calibri" w:hAnsi="Times New Roman" w:cs="Times New Roman"/>
          <w:lang w:val="lt-LT"/>
        </w:rPr>
      </w:pPr>
    </w:p>
    <w:p w14:paraId="205B59F7" w14:textId="77777777" w:rsidR="00A34B5C" w:rsidRPr="00A34B5C" w:rsidRDefault="00A34B5C" w:rsidP="00A34B5C">
      <w:pPr>
        <w:numPr>
          <w:ilvl w:val="12"/>
          <w:numId w:val="0"/>
        </w:numPr>
        <w:tabs>
          <w:tab w:val="left" w:pos="720"/>
        </w:tabs>
        <w:spacing w:after="0" w:line="240" w:lineRule="auto"/>
        <w:ind w:right="-2"/>
        <w:rPr>
          <w:rFonts w:ascii="Times New Roman" w:eastAsia="Calibri" w:hAnsi="Times New Roman" w:cs="Times New Roman"/>
          <w:noProof/>
          <w:lang w:val="lt-LT"/>
        </w:rPr>
      </w:pPr>
      <w:r w:rsidRPr="00A34B5C">
        <w:rPr>
          <w:rFonts w:ascii="Times New Roman" w:eastAsia="Calibri" w:hAnsi="Times New Roman" w:cs="Times New Roman"/>
          <w:noProof/>
          <w:lang w:val="lt-LT"/>
        </w:rPr>
        <w:t>Leponex priklauso vaistų nuo psichozės grupei. Šiais vaistais gydomi specifiniai psichikos sutrikimai, pvz., psichozė.</w:t>
      </w:r>
    </w:p>
    <w:p w14:paraId="6B970A2E"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Leponex skiriama žmonėms, sergantiems šizofrenija, kuriems kiti vaistai nepadėjo. Šiuo vaistu gydomi žmonės, kurie jau vartojo mažiausiai du kitus antipsichozinius vaistus, įskaitant vieną iš naujesnių atipinių antipsichozinių vaistų, skirtų šizofrenijai gydyti, ir šie buvo neefektyvūs, arba tie, kurie netoleruoja kitų antipsichozinių vaistų dėl nepageidaujamo poveikio. </w:t>
      </w:r>
    </w:p>
    <w:p w14:paraId="1C6E826C"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Leponex taip pat skiriama Parkinsono liga sergantiems pacientams, kuriems yra psichikos sutrikimų ir kitoks gydymas nepadeda.</w:t>
      </w:r>
    </w:p>
    <w:p w14:paraId="568E1883" w14:textId="77777777" w:rsidR="00A34B5C" w:rsidRPr="00A34B5C" w:rsidRDefault="00A34B5C" w:rsidP="00A34B5C">
      <w:pPr>
        <w:spacing w:after="0" w:line="240" w:lineRule="auto"/>
        <w:rPr>
          <w:rFonts w:ascii="Times New Roman" w:eastAsia="Calibri" w:hAnsi="Times New Roman" w:cs="Times New Roman"/>
          <w:lang w:val="lt-LT"/>
        </w:rPr>
      </w:pPr>
    </w:p>
    <w:p w14:paraId="244F4B09"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10FE4BE6" w14:textId="77777777" w:rsidR="00A34B5C" w:rsidRPr="00B27E7B" w:rsidRDefault="00A34B5C" w:rsidP="00B27E7B">
      <w:pPr>
        <w:widowControl w:val="0"/>
        <w:autoSpaceDE w:val="0"/>
        <w:autoSpaceDN w:val="0"/>
        <w:spacing w:after="0" w:line="240" w:lineRule="auto"/>
        <w:ind w:left="540" w:hanging="540"/>
        <w:outlineLvl w:val="1"/>
        <w:rPr>
          <w:rFonts w:ascii="Times New Roman" w:hAnsi="Times New Roman"/>
          <w:b/>
          <w:lang w:val="lt-LT"/>
        </w:rPr>
      </w:pPr>
      <w:r w:rsidRPr="00DB0E71">
        <w:rPr>
          <w:rFonts w:ascii="Times New Roman" w:eastAsia="Times New Roman" w:hAnsi="Times New Roman" w:cs="Times New Roman"/>
          <w:b/>
          <w:bCs/>
          <w:lang w:val="lt-LT"/>
        </w:rPr>
        <w:t>2.</w:t>
      </w:r>
      <w:r w:rsidRPr="00DB0E71">
        <w:rPr>
          <w:rFonts w:ascii="Times New Roman" w:eastAsia="Times New Roman" w:hAnsi="Times New Roman" w:cs="Times New Roman"/>
          <w:b/>
          <w:bCs/>
          <w:lang w:val="lt-LT"/>
        </w:rPr>
        <w:tab/>
        <w:t>Kas žinotina prieš vartojant</w:t>
      </w:r>
      <w:r w:rsidRPr="00B27E7B">
        <w:rPr>
          <w:rFonts w:ascii="Times New Roman" w:hAnsi="Times New Roman"/>
          <w:b/>
          <w:lang w:val="lt-LT"/>
        </w:rPr>
        <w:t xml:space="preserve"> </w:t>
      </w:r>
      <w:r w:rsidRPr="00DB0E71">
        <w:rPr>
          <w:rFonts w:ascii="Times New Roman" w:eastAsia="Times New Roman" w:hAnsi="Times New Roman" w:cs="Times New Roman"/>
          <w:b/>
          <w:bCs/>
          <w:lang w:val="lt-LT"/>
        </w:rPr>
        <w:t>Leponex</w:t>
      </w:r>
    </w:p>
    <w:p w14:paraId="06B26FCE"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0677DCA0" w14:textId="12D2ADC2" w:rsidR="00A34B5C" w:rsidRPr="00A34B5C" w:rsidRDefault="00A34B5C" w:rsidP="00A34B5C">
      <w:pPr>
        <w:spacing w:after="0" w:line="240" w:lineRule="auto"/>
        <w:ind w:left="567" w:hanging="567"/>
        <w:rPr>
          <w:rFonts w:ascii="Times New Roman" w:eastAsia="Calibri" w:hAnsi="Times New Roman" w:cs="Times New Roman"/>
          <w:b/>
          <w:bCs/>
          <w:lang w:val="lt-LT"/>
        </w:rPr>
      </w:pPr>
      <w:r w:rsidRPr="00A34B5C">
        <w:rPr>
          <w:rFonts w:ascii="Times New Roman" w:eastAsia="Calibri" w:hAnsi="Times New Roman" w:cs="Times New Roman"/>
          <w:b/>
          <w:bCs/>
          <w:lang w:val="lt-LT"/>
        </w:rPr>
        <w:t xml:space="preserve">Leponex vartoti </w:t>
      </w:r>
      <w:r w:rsidR="002F15B9">
        <w:rPr>
          <w:rFonts w:ascii="Times New Roman" w:eastAsia="Calibri" w:hAnsi="Times New Roman" w:cs="Times New Roman"/>
          <w:b/>
          <w:bCs/>
          <w:lang w:val="lt-LT"/>
        </w:rPr>
        <w:t>draudžiama</w:t>
      </w:r>
      <w:r w:rsidRPr="00A34B5C">
        <w:rPr>
          <w:rFonts w:ascii="Times New Roman" w:eastAsia="Calibri" w:hAnsi="Times New Roman" w:cs="Times New Roman"/>
          <w:b/>
          <w:bCs/>
          <w:lang w:val="lt-LT"/>
        </w:rPr>
        <w:t>:</w:t>
      </w:r>
    </w:p>
    <w:p w14:paraId="3F578EBD" w14:textId="37609536" w:rsidR="00A34B5C" w:rsidRPr="00A34B5C" w:rsidRDefault="002F15B9"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w:t>
      </w:r>
      <w:r w:rsidR="00A34B5C" w:rsidRPr="00A34B5C">
        <w:rPr>
          <w:rFonts w:ascii="Times New Roman" w:eastAsia="Calibri" w:hAnsi="Times New Roman" w:cs="Times New Roman"/>
          <w:lang w:val="lt-LT"/>
        </w:rPr>
        <w:t xml:space="preserve">yra alergija (padidėjęs jautrumas) klozapinui arba bet kuriai pagalbinei </w:t>
      </w:r>
      <w:r>
        <w:rPr>
          <w:rFonts w:ascii="Times New Roman" w:eastAsia="Calibri" w:hAnsi="Times New Roman" w:cs="Times New Roman"/>
          <w:lang w:val="lt-LT"/>
        </w:rPr>
        <w:t>šio vaisto</w:t>
      </w:r>
      <w:r w:rsidR="00A34B5C" w:rsidRPr="00A34B5C">
        <w:rPr>
          <w:rFonts w:ascii="Times New Roman" w:eastAsia="Calibri" w:hAnsi="Times New Roman" w:cs="Times New Roman"/>
          <w:lang w:val="lt-LT"/>
        </w:rPr>
        <w:t xml:space="preserve"> medžiagai (jos išvardytos 6 skyriuje);</w:t>
      </w:r>
    </w:p>
    <w:p w14:paraId="1D0BAD5F" w14:textId="77777777" w:rsidR="00A34B5C" w:rsidRP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negalite reguliariai atlikti kraujo tyrimų;</w:t>
      </w:r>
    </w:p>
    <w:p w14:paraId="6406DEA4" w14:textId="77777777" w:rsidR="00A34B5C" w:rsidRP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Jums anksčiau buvo nustatytas sumažėjęs baltųjų kraujo kūnelių skaičius (pvz., leukopenija ar agranulocitozė), ypač po gydymo vaistais, išskyrus atvejus po gydymo chemoterapija;</w:t>
      </w:r>
    </w:p>
    <w:p w14:paraId="76981E34" w14:textId="77777777" w:rsidR="00A34B5C" w:rsidRP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anksčiau vartojote Leponex ir nutraukėte gydymą dėl sunkių šalutinių poveikių (pvz., agranulocitozės ar širdies sutrikimų);</w:t>
      </w:r>
    </w:p>
    <w:p w14:paraId="44CBAEEC" w14:textId="27DDC585" w:rsidR="00A34B5C" w:rsidRP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gydotės ar esate gydęsi ilgai veikiančiais depo injekciniais antipsichoziniais vaistais;</w:t>
      </w:r>
    </w:p>
    <w:p w14:paraId="55025B4A" w14:textId="77777777" w:rsidR="00A34B5C" w:rsidRP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sergate ar sirgote kaulų čiulpų liga;</w:t>
      </w:r>
    </w:p>
    <w:p w14:paraId="567511A1" w14:textId="77777777" w:rsidR="00A34B5C" w:rsidRP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sergate nekontroliuojama epilepsija (būna traukulių ar apopleksijos smūgių);</w:t>
      </w:r>
    </w:p>
    <w:p w14:paraId="64322EF8" w14:textId="77777777" w:rsidR="00A34B5C" w:rsidRP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turite ūmių psichikos problemų dėl piktnaudžiavimo alkoholiu ar vaistais (pvz., narkotikais);</w:t>
      </w:r>
    </w:p>
    <w:p w14:paraId="7440C5FE" w14:textId="77777777" w:rsidR="00A34B5C" w:rsidRP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Jus vargina sąmonės sutrikimai ir nuolatinis mieguistumas;</w:t>
      </w:r>
    </w:p>
    <w:p w14:paraId="73F8A2AC" w14:textId="77777777" w:rsidR="00A34B5C" w:rsidRP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Jums yra kraujagyslių funkcijos nepakankamumas, kurį gali sukelti sunkus šokas;</w:t>
      </w:r>
    </w:p>
    <w:p w14:paraId="24859500" w14:textId="77777777" w:rsidR="00A34B5C" w:rsidRP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sergate bet kuria sunkia inkstų liga;</w:t>
      </w:r>
    </w:p>
    <w:p w14:paraId="33B1E5DC" w14:textId="77777777" w:rsidR="00A34B5C" w:rsidRP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sergate miokarditu (širdies raumens uždegimas);</w:t>
      </w:r>
    </w:p>
    <w:p w14:paraId="4ACBFFFD" w14:textId="77777777" w:rsidR="00A34B5C" w:rsidRP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sergate bet kuria sunkia širdies liga;</w:t>
      </w:r>
    </w:p>
    <w:p w14:paraId="0F28694D" w14:textId="77777777" w:rsidR="00A34B5C" w:rsidRP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Jums yra kepenų ligos simptomų, tokių kaip gelta (pageltusi oda ir akys), nuovargis ir sumažėjęs apetitas;</w:t>
      </w:r>
    </w:p>
    <w:p w14:paraId="1C5C6107" w14:textId="77777777" w:rsidR="00A34B5C" w:rsidRP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lastRenderedPageBreak/>
        <w:t>sergate bet kuria kita sunkia kepenų liga;</w:t>
      </w:r>
    </w:p>
    <w:p w14:paraId="1F0309E9" w14:textId="77777777" w:rsidR="00A34B5C" w:rsidRP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sergate paralyžiniu žarnyno nepraeinamumu (vargina sunkus vidurių užkietėjimas);</w:t>
      </w:r>
    </w:p>
    <w:p w14:paraId="529FE43E" w14:textId="77777777" w:rsidR="00A34B5C" w:rsidRP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vartojate vaistus, kurie slopina kaulų čiulpų veiklą;</w:t>
      </w:r>
    </w:p>
    <w:p w14:paraId="5B040BFE" w14:textId="77777777" w:rsidR="00A34B5C" w:rsidRP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vartojate vaistus, mažinančius baltųjų kraujo kūnelių kiekį kraujyje.</w:t>
      </w:r>
    </w:p>
    <w:p w14:paraId="454CF793" w14:textId="77777777" w:rsidR="00A34B5C" w:rsidRPr="00A34B5C" w:rsidRDefault="00A34B5C" w:rsidP="00A34B5C">
      <w:pPr>
        <w:spacing w:after="0" w:line="240" w:lineRule="auto"/>
        <w:rPr>
          <w:rFonts w:ascii="Times New Roman" w:eastAsia="Calibri" w:hAnsi="Times New Roman" w:cs="Times New Roman"/>
          <w:lang w:val="lt-LT"/>
        </w:rPr>
      </w:pPr>
    </w:p>
    <w:p w14:paraId="34C29640"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Jei Jums tinka nors vienas iš išvardintų teiginių, pasakykite gydytojui ir nevartokite Leponex be gydytojo nurodymo.</w:t>
      </w:r>
    </w:p>
    <w:p w14:paraId="280AD28B" w14:textId="77777777" w:rsidR="00A34B5C" w:rsidRPr="00A34B5C" w:rsidRDefault="00A34B5C" w:rsidP="00A34B5C">
      <w:pPr>
        <w:spacing w:after="0" w:line="240" w:lineRule="auto"/>
        <w:rPr>
          <w:rFonts w:ascii="Times New Roman" w:eastAsia="Calibri" w:hAnsi="Times New Roman" w:cs="Times New Roman"/>
          <w:lang w:val="lt-LT"/>
        </w:rPr>
      </w:pPr>
    </w:p>
    <w:p w14:paraId="423BE84D" w14:textId="77777777" w:rsidR="00A34B5C" w:rsidRPr="00A34B5C" w:rsidRDefault="00A34B5C" w:rsidP="00A34B5C">
      <w:pPr>
        <w:spacing w:after="0" w:line="240" w:lineRule="auto"/>
        <w:ind w:left="567" w:hanging="567"/>
        <w:rPr>
          <w:rFonts w:ascii="Times New Roman" w:eastAsia="Calibri" w:hAnsi="Times New Roman" w:cs="Times New Roman"/>
          <w:b/>
          <w:lang w:val="lt-LT"/>
        </w:rPr>
      </w:pPr>
      <w:r w:rsidRPr="00A34B5C">
        <w:rPr>
          <w:rFonts w:ascii="Times New Roman" w:eastAsia="Calibri" w:hAnsi="Times New Roman" w:cs="Times New Roman"/>
          <w:b/>
          <w:lang w:val="lt-LT"/>
        </w:rPr>
        <w:t>Įspėjimai ir atsargumo priemonės</w:t>
      </w:r>
    </w:p>
    <w:p w14:paraId="0F4BA898"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Pasitarkite su gydytoju, prieš pradėdami vartoti Leponex.</w:t>
      </w:r>
    </w:p>
    <w:p w14:paraId="648F81CB" w14:textId="77777777" w:rsidR="00A34B5C" w:rsidRPr="00A34B5C" w:rsidRDefault="00A34B5C" w:rsidP="00A34B5C">
      <w:pPr>
        <w:spacing w:after="0" w:line="240" w:lineRule="auto"/>
        <w:ind w:left="567" w:hanging="567"/>
        <w:rPr>
          <w:rFonts w:ascii="Times New Roman" w:eastAsia="Calibri" w:hAnsi="Times New Roman" w:cs="Times New Roman"/>
          <w:b/>
          <w:noProof/>
          <w:lang w:val="lt-LT"/>
        </w:rPr>
      </w:pPr>
    </w:p>
    <w:p w14:paraId="707339E3" w14:textId="0F491921" w:rsidR="00A34B5C" w:rsidRPr="00A34B5C" w:rsidRDefault="00A34B5C" w:rsidP="00A34B5C">
      <w:pPr>
        <w:spacing w:after="0" w:line="240" w:lineRule="auto"/>
        <w:rPr>
          <w:rFonts w:ascii="Times New Roman" w:eastAsia="Calibri" w:hAnsi="Times New Roman" w:cs="Times New Roman"/>
          <w:b/>
          <w:bCs/>
          <w:lang w:val="lt-LT"/>
        </w:rPr>
      </w:pPr>
      <w:r w:rsidRPr="00A34B5C">
        <w:rPr>
          <w:rFonts w:ascii="Times New Roman" w:eastAsia="Calibri" w:hAnsi="Times New Roman" w:cs="Times New Roman"/>
          <w:b/>
          <w:bCs/>
          <w:lang w:val="lt-LT"/>
        </w:rPr>
        <w:t>Atsargumo priemonės, paminėtos šiame skyriuje, yra labai svarbios. Jūs privalote jų laikytis, siekdami sumažinti riziką sunkiems gyvybei gr</w:t>
      </w:r>
      <w:r w:rsidR="009D128C">
        <w:rPr>
          <w:rFonts w:ascii="Times New Roman" w:eastAsia="Calibri" w:hAnsi="Times New Roman" w:cs="Times New Roman"/>
          <w:b/>
          <w:bCs/>
          <w:lang w:val="lt-LT"/>
        </w:rPr>
        <w:t>e</w:t>
      </w:r>
      <w:r w:rsidRPr="00A34B5C">
        <w:rPr>
          <w:rFonts w:ascii="Times New Roman" w:eastAsia="Calibri" w:hAnsi="Times New Roman" w:cs="Times New Roman"/>
          <w:b/>
          <w:bCs/>
          <w:lang w:val="lt-LT"/>
        </w:rPr>
        <w:t>siantiems šalutiniams poveikiams.</w:t>
      </w:r>
    </w:p>
    <w:p w14:paraId="0F809DF2"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543816B8" w14:textId="77777777" w:rsidR="00A34B5C" w:rsidRPr="00A34B5C" w:rsidRDefault="00A34B5C" w:rsidP="00B27E7B">
      <w:pPr>
        <w:spacing w:after="0" w:line="240" w:lineRule="auto"/>
        <w:rPr>
          <w:rFonts w:ascii="Times New Roman" w:eastAsia="Calibri" w:hAnsi="Times New Roman" w:cs="Times New Roman"/>
          <w:lang w:val="lt-LT"/>
        </w:rPr>
      </w:pPr>
      <w:r w:rsidRPr="00A34B5C">
        <w:rPr>
          <w:rFonts w:ascii="Times New Roman" w:eastAsia="Calibri" w:hAnsi="Times New Roman" w:cs="Times New Roman"/>
          <w:bCs/>
          <w:lang w:val="lt-LT"/>
        </w:rPr>
        <w:t xml:space="preserve">Prieš pradedant gydymą Leponex, </w:t>
      </w:r>
      <w:r w:rsidRPr="00A34B5C">
        <w:rPr>
          <w:rFonts w:ascii="Times New Roman" w:eastAsia="Calibri" w:hAnsi="Times New Roman" w:cs="Times New Roman"/>
          <w:lang w:val="lt-LT"/>
        </w:rPr>
        <w:t>pasakykite gydytojui</w:t>
      </w:r>
      <w:r w:rsidR="001C7DED" w:rsidRPr="001C7DED">
        <w:rPr>
          <w:rFonts w:ascii="Times New Roman" w:eastAsia="Calibri" w:hAnsi="Times New Roman" w:cs="Times New Roman"/>
          <w:lang w:val="lt-LT"/>
        </w:rPr>
        <w:t>, jei Jums yra ar anksčiau yra buv</w:t>
      </w:r>
      <w:r w:rsidR="00570F79">
        <w:rPr>
          <w:rFonts w:ascii="Times New Roman" w:eastAsia="Calibri" w:hAnsi="Times New Roman" w:cs="Times New Roman"/>
          <w:lang w:val="lt-LT"/>
        </w:rPr>
        <w:t>usios</w:t>
      </w:r>
      <w:r w:rsidR="001C7DED" w:rsidRPr="001C7DED">
        <w:rPr>
          <w:rFonts w:ascii="Times New Roman" w:eastAsia="Calibri" w:hAnsi="Times New Roman" w:cs="Times New Roman"/>
          <w:lang w:val="lt-LT"/>
        </w:rPr>
        <w:t xml:space="preserve"> </w:t>
      </w:r>
      <w:r w:rsidR="00570F79">
        <w:rPr>
          <w:rFonts w:ascii="Times New Roman" w:eastAsia="Calibri" w:hAnsi="Times New Roman" w:cs="Times New Roman"/>
          <w:lang w:val="lt-LT"/>
        </w:rPr>
        <w:t xml:space="preserve">šios </w:t>
      </w:r>
      <w:r w:rsidR="001C7DED" w:rsidRPr="001C7DED">
        <w:rPr>
          <w:rFonts w:ascii="Times New Roman" w:eastAsia="Calibri" w:hAnsi="Times New Roman" w:cs="Times New Roman"/>
          <w:lang w:val="lt-LT"/>
        </w:rPr>
        <w:t>būkl</w:t>
      </w:r>
      <w:r w:rsidR="00570F79">
        <w:rPr>
          <w:rFonts w:ascii="Times New Roman" w:eastAsia="Calibri" w:hAnsi="Times New Roman" w:cs="Times New Roman"/>
          <w:lang w:val="lt-LT"/>
        </w:rPr>
        <w:t>ės</w:t>
      </w:r>
      <w:r w:rsidRPr="00A34B5C">
        <w:rPr>
          <w:rFonts w:ascii="Times New Roman" w:eastAsia="Calibri" w:hAnsi="Times New Roman" w:cs="Times New Roman"/>
          <w:lang w:val="lt-LT"/>
        </w:rPr>
        <w:t>:</w:t>
      </w:r>
    </w:p>
    <w:p w14:paraId="06CC6777" w14:textId="77777777" w:rsidR="00A34B5C" w:rsidRPr="00A34B5C" w:rsidRDefault="00A34B5C" w:rsidP="00A34B5C">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kraujo krešulys</w:t>
      </w:r>
      <w:r w:rsidR="00570F79">
        <w:rPr>
          <w:rFonts w:ascii="Times New Roman" w:eastAsia="Calibri" w:hAnsi="Times New Roman" w:cs="Times New Roman"/>
          <w:lang w:val="lt-LT"/>
        </w:rPr>
        <w:t xml:space="preserve"> šeimos ar asmeninėje ligos istorijoje</w:t>
      </w:r>
      <w:r w:rsidRPr="00A34B5C">
        <w:rPr>
          <w:rFonts w:ascii="Times New Roman" w:eastAsia="Calibri" w:hAnsi="Times New Roman" w:cs="Times New Roman"/>
          <w:lang w:val="lt-LT"/>
        </w:rPr>
        <w:t>, kadangi vaistai, tokie kaip šis, yra susiję su krešulių formavimusi;</w:t>
      </w:r>
    </w:p>
    <w:p w14:paraId="6AA9F2CE" w14:textId="77777777" w:rsidR="00A34B5C" w:rsidRPr="00A34B5C" w:rsidRDefault="00A34B5C" w:rsidP="00A34B5C">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glaukoma (padidėjęs akispūdis);</w:t>
      </w:r>
    </w:p>
    <w:p w14:paraId="14D4B9FB" w14:textId="77777777" w:rsidR="00A34B5C" w:rsidRPr="00A34B5C" w:rsidRDefault="00570F79" w:rsidP="00A34B5C">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cukrinis</w:t>
      </w:r>
      <w:r w:rsidRPr="00A34B5C">
        <w:rPr>
          <w:rFonts w:ascii="Times New Roman" w:eastAsia="Calibri" w:hAnsi="Times New Roman" w:cs="Times New Roman"/>
          <w:lang w:val="lt-LT"/>
        </w:rPr>
        <w:t xml:space="preserve"> diabet</w:t>
      </w:r>
      <w:r>
        <w:rPr>
          <w:rFonts w:ascii="Times New Roman" w:eastAsia="Calibri" w:hAnsi="Times New Roman" w:cs="Times New Roman"/>
          <w:lang w:val="lt-LT"/>
        </w:rPr>
        <w:t>as</w:t>
      </w:r>
      <w:r w:rsidR="00A34B5C" w:rsidRPr="00A34B5C">
        <w:rPr>
          <w:rFonts w:ascii="Times New Roman" w:eastAsia="Calibri" w:hAnsi="Times New Roman" w:cs="Times New Roman"/>
          <w:lang w:val="lt-LT"/>
        </w:rPr>
        <w:t xml:space="preserve">. Padidėjęs (kartais reikšmingai) cukraus kiekis kraujyje </w:t>
      </w:r>
      <w:r>
        <w:rPr>
          <w:rFonts w:ascii="Times New Roman" w:eastAsia="Calibri" w:hAnsi="Times New Roman" w:cs="Times New Roman"/>
          <w:lang w:val="lt-LT"/>
        </w:rPr>
        <w:t>nustatytas</w:t>
      </w:r>
      <w:r w:rsidRPr="00A34B5C">
        <w:rPr>
          <w:rFonts w:ascii="Times New Roman" w:eastAsia="Calibri" w:hAnsi="Times New Roman" w:cs="Times New Roman"/>
          <w:lang w:val="lt-LT"/>
        </w:rPr>
        <w:t xml:space="preserve"> </w:t>
      </w:r>
      <w:r w:rsidR="00A34B5C" w:rsidRPr="00A34B5C">
        <w:rPr>
          <w:rFonts w:ascii="Times New Roman" w:eastAsia="Calibri" w:hAnsi="Times New Roman" w:cs="Times New Roman"/>
          <w:lang w:val="lt-LT"/>
        </w:rPr>
        <w:t>sirgusiems ir nesirgusiems diabetu pacientams (žr. 4 skyrių);</w:t>
      </w:r>
    </w:p>
    <w:p w14:paraId="3FEF904D" w14:textId="77777777" w:rsidR="00A34B5C" w:rsidRPr="00A34B5C" w:rsidRDefault="00A34B5C" w:rsidP="00A34B5C">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prostatos </w:t>
      </w:r>
      <w:r w:rsidR="00570F79" w:rsidRPr="00A34B5C">
        <w:rPr>
          <w:rFonts w:ascii="Times New Roman" w:eastAsia="Calibri" w:hAnsi="Times New Roman" w:cs="Times New Roman"/>
          <w:lang w:val="lt-LT"/>
        </w:rPr>
        <w:t>sutrikim</w:t>
      </w:r>
      <w:r w:rsidR="00570F79">
        <w:rPr>
          <w:rFonts w:ascii="Times New Roman" w:eastAsia="Calibri" w:hAnsi="Times New Roman" w:cs="Times New Roman"/>
          <w:lang w:val="lt-LT"/>
        </w:rPr>
        <w:t>ai</w:t>
      </w:r>
      <w:r w:rsidR="00570F79" w:rsidRPr="00A34B5C">
        <w:rPr>
          <w:rFonts w:ascii="Times New Roman" w:eastAsia="Calibri" w:hAnsi="Times New Roman" w:cs="Times New Roman"/>
          <w:lang w:val="lt-LT"/>
        </w:rPr>
        <w:t xml:space="preserve"> </w:t>
      </w:r>
      <w:r w:rsidRPr="00A34B5C">
        <w:rPr>
          <w:rFonts w:ascii="Times New Roman" w:eastAsia="Calibri" w:hAnsi="Times New Roman" w:cs="Times New Roman"/>
          <w:lang w:val="lt-LT"/>
        </w:rPr>
        <w:t xml:space="preserve">ar </w:t>
      </w:r>
      <w:r w:rsidR="00570F79" w:rsidRPr="00A34B5C">
        <w:rPr>
          <w:rFonts w:ascii="Times New Roman" w:eastAsia="Calibri" w:hAnsi="Times New Roman" w:cs="Times New Roman"/>
          <w:lang w:val="lt-LT"/>
        </w:rPr>
        <w:t>sutrik</w:t>
      </w:r>
      <w:r w:rsidR="00570F79">
        <w:rPr>
          <w:rFonts w:ascii="Times New Roman" w:eastAsia="Calibri" w:hAnsi="Times New Roman" w:cs="Times New Roman"/>
          <w:lang w:val="lt-LT"/>
        </w:rPr>
        <w:t>ęs</w:t>
      </w:r>
      <w:r w:rsidR="00570F79" w:rsidRPr="00A34B5C">
        <w:rPr>
          <w:rFonts w:ascii="Times New Roman" w:eastAsia="Calibri" w:hAnsi="Times New Roman" w:cs="Times New Roman"/>
          <w:lang w:val="lt-LT"/>
        </w:rPr>
        <w:t xml:space="preserve"> </w:t>
      </w:r>
      <w:r w:rsidRPr="00A34B5C">
        <w:rPr>
          <w:rFonts w:ascii="Times New Roman" w:eastAsia="Calibri" w:hAnsi="Times New Roman" w:cs="Times New Roman"/>
          <w:lang w:val="lt-LT"/>
        </w:rPr>
        <w:t>šlapini</w:t>
      </w:r>
      <w:r w:rsidR="00570F79">
        <w:rPr>
          <w:rFonts w:ascii="Times New Roman" w:eastAsia="Calibri" w:hAnsi="Times New Roman" w:cs="Times New Roman"/>
          <w:lang w:val="lt-LT"/>
        </w:rPr>
        <w:t>masis</w:t>
      </w:r>
      <w:r w:rsidRPr="00A34B5C">
        <w:rPr>
          <w:rFonts w:ascii="Times New Roman" w:eastAsia="Calibri" w:hAnsi="Times New Roman" w:cs="Times New Roman"/>
          <w:lang w:val="lt-LT"/>
        </w:rPr>
        <w:t>;</w:t>
      </w:r>
    </w:p>
    <w:p w14:paraId="647FA3B3" w14:textId="77777777" w:rsidR="00A34B5C" w:rsidRPr="00A34B5C" w:rsidRDefault="00A34B5C" w:rsidP="00A34B5C">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bet kuri širdies, inkstų ar kepenų liga;</w:t>
      </w:r>
    </w:p>
    <w:p w14:paraId="0FB8000B" w14:textId="77777777" w:rsidR="00A34B5C" w:rsidRPr="00A34B5C" w:rsidRDefault="00A34B5C" w:rsidP="00A34B5C">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lėtini</w:t>
      </w:r>
      <w:r w:rsidR="00570F79">
        <w:rPr>
          <w:rFonts w:ascii="Times New Roman" w:eastAsia="Calibri" w:hAnsi="Times New Roman" w:cs="Times New Roman"/>
          <w:lang w:val="lt-LT"/>
        </w:rPr>
        <w:t>s</w:t>
      </w:r>
      <w:r w:rsidRPr="00A34B5C">
        <w:rPr>
          <w:rFonts w:ascii="Times New Roman" w:eastAsia="Calibri" w:hAnsi="Times New Roman" w:cs="Times New Roman"/>
          <w:lang w:val="lt-LT"/>
        </w:rPr>
        <w:t xml:space="preserve"> vidurių užkietėjim</w:t>
      </w:r>
      <w:r w:rsidR="00570F79">
        <w:rPr>
          <w:rFonts w:ascii="Times New Roman" w:eastAsia="Calibri" w:hAnsi="Times New Roman" w:cs="Times New Roman"/>
          <w:lang w:val="lt-LT"/>
        </w:rPr>
        <w:t>as</w:t>
      </w:r>
      <w:r w:rsidRPr="00A34B5C">
        <w:rPr>
          <w:rFonts w:ascii="Times New Roman" w:eastAsia="Calibri" w:hAnsi="Times New Roman" w:cs="Times New Roman"/>
          <w:lang w:val="lt-LT"/>
        </w:rPr>
        <w:t xml:space="preserve"> ar vaistų, kurie sukelia vidurių užkietėjimą (tokie kaip anticholinerginiai vaistai)</w:t>
      </w:r>
      <w:r w:rsidR="00570F79">
        <w:rPr>
          <w:rFonts w:ascii="Times New Roman" w:eastAsia="Calibri" w:hAnsi="Times New Roman" w:cs="Times New Roman"/>
          <w:lang w:val="lt-LT"/>
        </w:rPr>
        <w:t>, vartojimas</w:t>
      </w:r>
      <w:r w:rsidRPr="00A34B5C">
        <w:rPr>
          <w:rFonts w:ascii="Times New Roman" w:eastAsia="Calibri" w:hAnsi="Times New Roman" w:cs="Times New Roman"/>
          <w:lang w:val="lt-LT"/>
        </w:rPr>
        <w:t>;</w:t>
      </w:r>
    </w:p>
    <w:p w14:paraId="20E65CB2" w14:textId="77777777" w:rsidR="00A34B5C" w:rsidRPr="00A34B5C" w:rsidRDefault="00A34B5C" w:rsidP="00A34B5C">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galaktozės </w:t>
      </w:r>
      <w:r w:rsidR="00570F79" w:rsidRPr="00A34B5C">
        <w:rPr>
          <w:rFonts w:ascii="Times New Roman" w:eastAsia="Calibri" w:hAnsi="Times New Roman" w:cs="Times New Roman"/>
          <w:lang w:val="lt-LT"/>
        </w:rPr>
        <w:t>netoleravim</w:t>
      </w:r>
      <w:r w:rsidR="00570F79">
        <w:rPr>
          <w:rFonts w:ascii="Times New Roman" w:eastAsia="Calibri" w:hAnsi="Times New Roman" w:cs="Times New Roman"/>
          <w:lang w:val="lt-LT"/>
        </w:rPr>
        <w:t>as</w:t>
      </w:r>
      <w:r w:rsidRPr="00A34B5C">
        <w:rPr>
          <w:rFonts w:ascii="Times New Roman" w:eastAsia="Calibri" w:hAnsi="Times New Roman" w:cs="Times New Roman"/>
          <w:lang w:val="lt-LT"/>
        </w:rPr>
        <w:t xml:space="preserve">, Lapp laktazės </w:t>
      </w:r>
      <w:r w:rsidR="00570F79" w:rsidRPr="00A34B5C">
        <w:rPr>
          <w:rFonts w:ascii="Times New Roman" w:eastAsia="Calibri" w:hAnsi="Times New Roman" w:cs="Times New Roman"/>
          <w:lang w:val="lt-LT"/>
        </w:rPr>
        <w:t>nepakankamum</w:t>
      </w:r>
      <w:r w:rsidR="00570F79">
        <w:rPr>
          <w:rFonts w:ascii="Times New Roman" w:eastAsia="Calibri" w:hAnsi="Times New Roman" w:cs="Times New Roman"/>
          <w:lang w:val="lt-LT"/>
        </w:rPr>
        <w:t>as</w:t>
      </w:r>
      <w:r w:rsidR="00570F79" w:rsidRPr="00A34B5C">
        <w:rPr>
          <w:rFonts w:ascii="Times New Roman" w:eastAsia="Calibri" w:hAnsi="Times New Roman" w:cs="Times New Roman"/>
          <w:lang w:val="lt-LT"/>
        </w:rPr>
        <w:t xml:space="preserve"> </w:t>
      </w:r>
      <w:r w:rsidRPr="00A34B5C">
        <w:rPr>
          <w:rFonts w:ascii="Times New Roman" w:eastAsia="Calibri" w:hAnsi="Times New Roman" w:cs="Times New Roman"/>
          <w:lang w:val="lt-LT"/>
        </w:rPr>
        <w:t xml:space="preserve">ar gliukozės-galaktozės įsiurbimo </w:t>
      </w:r>
      <w:r w:rsidR="00570F79" w:rsidRPr="00A34B5C">
        <w:rPr>
          <w:rFonts w:ascii="Times New Roman" w:eastAsia="Calibri" w:hAnsi="Times New Roman" w:cs="Times New Roman"/>
          <w:lang w:val="lt-LT"/>
        </w:rPr>
        <w:t>sutrikim</w:t>
      </w:r>
      <w:r w:rsidR="00570F79">
        <w:rPr>
          <w:rFonts w:ascii="Times New Roman" w:eastAsia="Calibri" w:hAnsi="Times New Roman" w:cs="Times New Roman"/>
          <w:lang w:val="lt-LT"/>
        </w:rPr>
        <w:t>as</w:t>
      </w:r>
      <w:r w:rsidRPr="00A34B5C">
        <w:rPr>
          <w:rFonts w:ascii="Times New Roman" w:eastAsia="Calibri" w:hAnsi="Times New Roman" w:cs="Times New Roman"/>
          <w:lang w:val="lt-LT"/>
        </w:rPr>
        <w:t>;</w:t>
      </w:r>
    </w:p>
    <w:p w14:paraId="407EE311" w14:textId="77777777" w:rsidR="00A34B5C" w:rsidRPr="00A34B5C" w:rsidRDefault="00A34B5C" w:rsidP="00A34B5C">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nekontroliuojama epilepsija;</w:t>
      </w:r>
    </w:p>
    <w:p w14:paraId="5ED9EB2D" w14:textId="77777777" w:rsidR="00A34B5C" w:rsidRPr="00A34B5C" w:rsidRDefault="00A34B5C" w:rsidP="00A34B5C">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storosios žarnos ligos;</w:t>
      </w:r>
    </w:p>
    <w:p w14:paraId="691FFBAE" w14:textId="77777777" w:rsidR="00A34B5C" w:rsidRPr="00A34B5C" w:rsidRDefault="00A34B5C" w:rsidP="00A34B5C">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buvo atlikta pilvo operacija;</w:t>
      </w:r>
    </w:p>
    <w:p w14:paraId="0B07365A" w14:textId="77777777" w:rsidR="00A34B5C" w:rsidRPr="00A34B5C" w:rsidRDefault="00A34B5C" w:rsidP="00A34B5C">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sirgote širdies liga arba Jūsų šeimoje yra sergančiųjų sutrikusio širdies laidumo liga, vadinama „pailgėjusiu QT intervalu“;</w:t>
      </w:r>
    </w:p>
    <w:p w14:paraId="2EBCE301" w14:textId="77777777" w:rsidR="00A34B5C" w:rsidRPr="00A34B5C" w:rsidRDefault="00570F79" w:rsidP="00A34B5C">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padidėjusi</w:t>
      </w:r>
      <w:r w:rsidR="00A34B5C" w:rsidRPr="00A34B5C">
        <w:rPr>
          <w:rFonts w:ascii="Times New Roman" w:eastAsia="Calibri" w:hAnsi="Times New Roman" w:cs="Times New Roman"/>
          <w:lang w:val="lt-LT"/>
        </w:rPr>
        <w:t xml:space="preserve"> insult</w:t>
      </w:r>
      <w:r w:rsidR="001C7DED">
        <w:rPr>
          <w:rFonts w:ascii="Times New Roman" w:eastAsia="Calibri" w:hAnsi="Times New Roman" w:cs="Times New Roman"/>
          <w:lang w:val="lt-LT"/>
        </w:rPr>
        <w:t>o pasireiškimo rizika</w:t>
      </w:r>
      <w:r w:rsidR="00A34B5C" w:rsidRPr="00A34B5C">
        <w:rPr>
          <w:rFonts w:ascii="Times New Roman" w:eastAsia="Calibri" w:hAnsi="Times New Roman" w:cs="Times New Roman"/>
          <w:lang w:val="lt-LT"/>
        </w:rPr>
        <w:t xml:space="preserve">, pavyzdžiui, turite </w:t>
      </w:r>
      <w:r>
        <w:rPr>
          <w:rFonts w:ascii="Times New Roman" w:eastAsia="Calibri" w:hAnsi="Times New Roman" w:cs="Times New Roman"/>
          <w:lang w:val="lt-LT"/>
        </w:rPr>
        <w:t>padidėjusį</w:t>
      </w:r>
      <w:r w:rsidRPr="00A34B5C">
        <w:rPr>
          <w:rFonts w:ascii="Times New Roman" w:eastAsia="Calibri" w:hAnsi="Times New Roman" w:cs="Times New Roman"/>
          <w:lang w:val="lt-LT"/>
        </w:rPr>
        <w:t xml:space="preserve"> </w:t>
      </w:r>
      <w:r w:rsidR="00A34B5C" w:rsidRPr="00A34B5C">
        <w:rPr>
          <w:rFonts w:ascii="Times New Roman" w:eastAsia="Calibri" w:hAnsi="Times New Roman" w:cs="Times New Roman"/>
          <w:lang w:val="lt-LT"/>
        </w:rPr>
        <w:t xml:space="preserve">kraujospūdį, </w:t>
      </w:r>
      <w:r>
        <w:rPr>
          <w:rFonts w:ascii="Times New Roman" w:eastAsia="Calibri" w:hAnsi="Times New Roman" w:cs="Times New Roman"/>
          <w:lang w:val="lt-LT"/>
        </w:rPr>
        <w:t>yra</w:t>
      </w:r>
      <w:r w:rsidRPr="00A34B5C">
        <w:rPr>
          <w:rFonts w:ascii="Times New Roman" w:eastAsia="Calibri" w:hAnsi="Times New Roman" w:cs="Times New Roman"/>
          <w:lang w:val="lt-LT"/>
        </w:rPr>
        <w:t xml:space="preserve"> </w:t>
      </w:r>
      <w:r w:rsidR="00A34B5C" w:rsidRPr="00A34B5C">
        <w:rPr>
          <w:rFonts w:ascii="Times New Roman" w:eastAsia="Calibri" w:hAnsi="Times New Roman" w:cs="Times New Roman"/>
          <w:lang w:val="lt-LT"/>
        </w:rPr>
        <w:t xml:space="preserve">širdies ar galvos kraujagyslių </w:t>
      </w:r>
      <w:r>
        <w:rPr>
          <w:rFonts w:ascii="Times New Roman" w:eastAsia="Calibri" w:hAnsi="Times New Roman" w:cs="Times New Roman"/>
          <w:lang w:val="lt-LT"/>
        </w:rPr>
        <w:t>sutrikimų</w:t>
      </w:r>
      <w:r w:rsidR="00A34B5C" w:rsidRPr="00A34B5C">
        <w:rPr>
          <w:rFonts w:ascii="Times New Roman" w:eastAsia="Calibri" w:hAnsi="Times New Roman" w:cs="Times New Roman"/>
          <w:lang w:val="lt-LT"/>
        </w:rPr>
        <w:t>.</w:t>
      </w:r>
    </w:p>
    <w:p w14:paraId="1F5D5BB5" w14:textId="77777777" w:rsidR="00A34B5C" w:rsidRPr="00A34B5C" w:rsidRDefault="00A34B5C" w:rsidP="00A34B5C">
      <w:pPr>
        <w:spacing w:after="0" w:line="240" w:lineRule="auto"/>
        <w:rPr>
          <w:rFonts w:ascii="Times New Roman" w:eastAsia="Calibri" w:hAnsi="Times New Roman" w:cs="Times New Roman"/>
          <w:lang w:val="lt-LT"/>
        </w:rPr>
      </w:pPr>
    </w:p>
    <w:p w14:paraId="5B93E706" w14:textId="77777777" w:rsidR="00A34B5C" w:rsidRPr="00A34B5C" w:rsidRDefault="00A34B5C" w:rsidP="00A34B5C">
      <w:p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Nedelsiant pasakykite gydytojui prieš vartojant kitą Leponex tabletę</w:t>
      </w:r>
      <w:r w:rsidR="001C7DED">
        <w:rPr>
          <w:rFonts w:ascii="Times New Roman" w:eastAsia="Calibri" w:hAnsi="Times New Roman" w:cs="Times New Roman"/>
          <w:bCs/>
          <w:lang w:val="lt-LT"/>
        </w:rPr>
        <w:t>, jei</w:t>
      </w:r>
      <w:r w:rsidRPr="00A34B5C">
        <w:rPr>
          <w:rFonts w:ascii="Times New Roman" w:eastAsia="Calibri" w:hAnsi="Times New Roman" w:cs="Times New Roman"/>
          <w:bCs/>
          <w:lang w:val="lt-LT"/>
        </w:rPr>
        <w:t>:</w:t>
      </w:r>
    </w:p>
    <w:p w14:paraId="5412BAD4"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pasireiškė</w:t>
      </w:r>
      <w:r w:rsidRPr="00A34B5C">
        <w:rPr>
          <w:rFonts w:ascii="Times New Roman" w:eastAsia="Calibri" w:hAnsi="Times New Roman" w:cs="Times New Roman"/>
          <w:b/>
          <w:bCs/>
          <w:lang w:val="lt-LT"/>
        </w:rPr>
        <w:t xml:space="preserve"> </w:t>
      </w:r>
      <w:r w:rsidRPr="00A34B5C">
        <w:rPr>
          <w:rFonts w:ascii="Times New Roman" w:eastAsia="Calibri" w:hAnsi="Times New Roman" w:cs="Times New Roman"/>
          <w:bCs/>
          <w:lang w:val="lt-LT"/>
        </w:rPr>
        <w:t>peršalimo simptomai, karščiavimas, gripo simptomai, gerklės skausmas ar bet kuri kita infekcija</w:t>
      </w:r>
      <w:r w:rsidRPr="00A34B5C">
        <w:rPr>
          <w:rFonts w:ascii="Times New Roman" w:eastAsia="Calibri" w:hAnsi="Times New Roman" w:cs="Times New Roman"/>
          <w:lang w:val="lt-LT"/>
        </w:rPr>
        <w:t>. Jums reikės skubiai atlikti kraujo tyrimą, kuris nustatys, ar šiuos simptomus sukėlė vaisto vartojimas;</w:t>
      </w:r>
    </w:p>
    <w:p w14:paraId="6D963533"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 xml:space="preserve">staiga pakilo kūno temperatūra, atsirado raumenų sąstingis, kurie vėliau gali sukelti sąmonės praradimą (piktybinis neurolepsinis sindromas); </w:t>
      </w:r>
    </w:p>
    <w:p w14:paraId="3683CBBB"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bCs/>
          <w:lang w:val="lt-LT"/>
        </w:rPr>
      </w:pPr>
      <w:r w:rsidRPr="00A34B5C">
        <w:rPr>
          <w:rFonts w:ascii="Times New Roman" w:eastAsia="Calibri" w:hAnsi="Times New Roman" w:cs="Times New Roman"/>
          <w:lang w:val="lt-LT"/>
        </w:rPr>
        <w:t xml:space="preserve">pasireiškė </w:t>
      </w:r>
      <w:r w:rsidRPr="00A34B5C">
        <w:rPr>
          <w:rFonts w:ascii="Times New Roman" w:eastAsia="Calibri" w:hAnsi="Times New Roman" w:cs="Times New Roman"/>
          <w:bCs/>
          <w:lang w:val="lt-LT"/>
        </w:rPr>
        <w:t>greitas ir nereguliarus širdies plakimas</w:t>
      </w:r>
      <w:r w:rsidRPr="00A34B5C">
        <w:rPr>
          <w:rFonts w:ascii="Times New Roman" w:eastAsia="Calibri" w:hAnsi="Times New Roman" w:cs="Times New Roman"/>
          <w:lang w:val="lt-LT"/>
        </w:rPr>
        <w:t xml:space="preserve">, net ir ramybės būsenoje, </w:t>
      </w:r>
      <w:r w:rsidRPr="00A34B5C">
        <w:rPr>
          <w:rFonts w:ascii="Times New Roman" w:eastAsia="Calibri" w:hAnsi="Times New Roman" w:cs="Times New Roman"/>
          <w:bCs/>
          <w:lang w:val="lt-LT"/>
        </w:rPr>
        <w:t>širdies virpėjimai, kvėpavimo sutrikimas, krūtinės skausmas ar nepaaiškinamas nuovargis. Gydytojas turės patikrinti Jūsų šir</w:t>
      </w:r>
      <w:r w:rsidRPr="00A34B5C">
        <w:rPr>
          <w:rFonts w:ascii="Times New Roman" w:eastAsia="Calibri" w:hAnsi="Times New Roman" w:cs="Times New Roman"/>
          <w:lang w:val="lt-LT"/>
        </w:rPr>
        <w:t xml:space="preserve">dį ir, jei reikės, skubiai </w:t>
      </w:r>
      <w:r w:rsidRPr="00A34B5C">
        <w:rPr>
          <w:rFonts w:ascii="Times New Roman" w:eastAsia="Calibri" w:hAnsi="Times New Roman" w:cs="Times New Roman"/>
          <w:bCs/>
          <w:lang w:val="lt-LT"/>
        </w:rPr>
        <w:t>nusiųsti pas kardiologą;</w:t>
      </w:r>
    </w:p>
    <w:p w14:paraId="792B957A"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bCs/>
          <w:lang w:val="lt-LT"/>
        </w:rPr>
        <w:t xml:space="preserve">pasireiškė pykinimas (jaučiate šleikštulį), vėmimas </w:t>
      </w:r>
      <w:r w:rsidRPr="00A34B5C">
        <w:rPr>
          <w:rFonts w:ascii="Times New Roman" w:eastAsia="Calibri" w:hAnsi="Times New Roman" w:cs="Times New Roman"/>
          <w:lang w:val="lt-LT"/>
        </w:rPr>
        <w:t xml:space="preserve">ir (arba) </w:t>
      </w:r>
      <w:r w:rsidRPr="00A34B5C">
        <w:rPr>
          <w:rFonts w:ascii="Times New Roman" w:eastAsia="Calibri" w:hAnsi="Times New Roman" w:cs="Times New Roman"/>
          <w:bCs/>
          <w:lang w:val="lt-LT"/>
        </w:rPr>
        <w:t>praradote</w:t>
      </w:r>
      <w:r w:rsidRPr="00A34B5C">
        <w:rPr>
          <w:rFonts w:ascii="Times New Roman" w:eastAsia="Calibri" w:hAnsi="Times New Roman" w:cs="Times New Roman"/>
          <w:b/>
          <w:bCs/>
          <w:lang w:val="lt-LT"/>
        </w:rPr>
        <w:t xml:space="preserve"> </w:t>
      </w:r>
      <w:r w:rsidRPr="00A34B5C">
        <w:rPr>
          <w:rFonts w:ascii="Times New Roman" w:eastAsia="Calibri" w:hAnsi="Times New Roman" w:cs="Times New Roman"/>
          <w:bCs/>
          <w:lang w:val="lt-LT"/>
        </w:rPr>
        <w:t>apetitą</w:t>
      </w:r>
      <w:r w:rsidRPr="00A34B5C">
        <w:rPr>
          <w:rFonts w:ascii="Times New Roman" w:eastAsia="Calibri" w:hAnsi="Times New Roman" w:cs="Times New Roman"/>
          <w:lang w:val="lt-LT"/>
        </w:rPr>
        <w:t>. Gydytojui gali prireikti patikrinti Jūsų kepenų funkciją.</w:t>
      </w:r>
    </w:p>
    <w:p w14:paraId="181273A4" w14:textId="77777777" w:rsidR="00A34B5C" w:rsidRPr="00A34B5C" w:rsidRDefault="00246EB4"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yra sunkus</w:t>
      </w:r>
      <w:r w:rsidR="00A34B5C" w:rsidRPr="00A34B5C">
        <w:rPr>
          <w:rFonts w:ascii="Times New Roman" w:eastAsia="Calibri" w:hAnsi="Times New Roman" w:cs="Times New Roman"/>
          <w:lang w:val="lt-LT"/>
        </w:rPr>
        <w:t xml:space="preserve"> </w:t>
      </w:r>
      <w:r w:rsidR="00A34B5C" w:rsidRPr="00A34B5C">
        <w:rPr>
          <w:rFonts w:ascii="Times New Roman" w:eastAsia="Calibri" w:hAnsi="Times New Roman" w:cs="Times New Roman"/>
          <w:bCs/>
          <w:lang w:val="lt-LT"/>
        </w:rPr>
        <w:t>vidurių užkietėjimas</w:t>
      </w:r>
      <w:r w:rsidR="00A34B5C" w:rsidRPr="00A34B5C">
        <w:rPr>
          <w:rFonts w:ascii="Times New Roman" w:eastAsia="Calibri" w:hAnsi="Times New Roman" w:cs="Times New Roman"/>
          <w:lang w:val="lt-LT"/>
        </w:rPr>
        <w:t xml:space="preserve">. </w:t>
      </w:r>
    </w:p>
    <w:p w14:paraId="16EB1A0C" w14:textId="77777777" w:rsidR="00A34B5C" w:rsidRPr="00A34B5C" w:rsidRDefault="00A34B5C" w:rsidP="00A34B5C">
      <w:pPr>
        <w:tabs>
          <w:tab w:val="num" w:pos="930"/>
        </w:tabs>
        <w:spacing w:after="0" w:line="240" w:lineRule="auto"/>
        <w:rPr>
          <w:rFonts w:ascii="Times New Roman" w:eastAsia="Calibri" w:hAnsi="Times New Roman" w:cs="Times New Roman"/>
          <w:lang w:val="lt-LT"/>
        </w:rPr>
      </w:pPr>
    </w:p>
    <w:p w14:paraId="5452EC11"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Vartojant Leponex gali išsivystyti širdies pažeidimas kartu arba be vožtuvo nesandarumo.</w:t>
      </w:r>
    </w:p>
    <w:p w14:paraId="0C371A60" w14:textId="77777777" w:rsidR="00A34B5C" w:rsidRPr="00A34B5C" w:rsidRDefault="00A34B5C" w:rsidP="00A34B5C">
      <w:pPr>
        <w:spacing w:after="0" w:line="240" w:lineRule="auto"/>
        <w:rPr>
          <w:rFonts w:ascii="Times New Roman" w:eastAsia="Calibri" w:hAnsi="Times New Roman" w:cs="Times New Roman"/>
          <w:lang w:val="lt-LT"/>
        </w:rPr>
      </w:pPr>
    </w:p>
    <w:p w14:paraId="38FB9251" w14:textId="77777777" w:rsidR="00A34B5C" w:rsidRPr="00A34B5C" w:rsidRDefault="00A34B5C" w:rsidP="00A34B5C">
      <w:pPr>
        <w:keepNext/>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Sveikatos patikrinimai ir kraujo tyrimai</w:t>
      </w:r>
    </w:p>
    <w:p w14:paraId="2629052B"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Prieš gydymo Leponex pradžią gydytojas susipažins su Jūsų sveikatos istorija ir atliks kraujo tyrimus, kad įsitikintų, jog baltųjų kraujo ląstelių kiekis yra normalus. Šis tyrimas yra labai svarbus, kadangi baltosios kraujo ląstelės būtinos organizmo kovai su infekcija.</w:t>
      </w:r>
    </w:p>
    <w:p w14:paraId="0EB81100" w14:textId="77777777" w:rsidR="00A34B5C" w:rsidRPr="00A34B5C" w:rsidRDefault="00A34B5C" w:rsidP="00A34B5C">
      <w:p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Įsitikinkite, kad Jums reguliariai atliekami kraujo tyrimai prieš pradedant gydymą Leponex, gydymo metu ir po jo.</w:t>
      </w:r>
    </w:p>
    <w:p w14:paraId="4670E053" w14:textId="77777777" w:rsidR="00A34B5C" w:rsidRP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lastRenderedPageBreak/>
        <w:t>Gydytojas Jums tiksliai pasakys kada ir kur atlikti tyrimus. Leponex galima vartoti tik esant normaliam kraujo ląstelių kiekiui.</w:t>
      </w:r>
    </w:p>
    <w:p w14:paraId="735ABA3F" w14:textId="77777777" w:rsidR="00A34B5C" w:rsidRP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Leponex gali sukelti ryškų baltųjų kraujo ląstelių sumažėjimą (agranulocitozė). Tik reguliarūs kraujo tyrimai gydytojui parodys, ar Jums gresia agranulocitozė.</w:t>
      </w:r>
    </w:p>
    <w:p w14:paraId="7AA80AE1" w14:textId="77777777" w:rsidR="00A34B5C" w:rsidRP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Per pirmąsias 18 gydymo savaičių kraujo tyrimus reikia atlikti kartą per savaitę. Vėliau mažiausiai kartą per mėnesį.</w:t>
      </w:r>
    </w:p>
    <w:p w14:paraId="1BB64DA8" w14:textId="77777777" w:rsidR="00A34B5C" w:rsidRP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Jei baltųjų kraujo ląstelių kiekis kraujyje sumažėja, Jums skubiai reikia nutraukti gydymą Leponex. Vėliau jų kiekis turėtų tapti normalus.</w:t>
      </w:r>
    </w:p>
    <w:p w14:paraId="3BCDD982" w14:textId="77777777" w:rsidR="00A34B5C" w:rsidRPr="00A34B5C"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Jums reikės atlikti kraujo tyrimus dar 4 savaites po gydymo Leponex.</w:t>
      </w:r>
    </w:p>
    <w:p w14:paraId="631E21E6"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Prieš gydymo pradžią gydytojas taip pat atliks Jūsų fizinį ištyrimą. Be to, atsižvelgdamas į Jūsų būklę, gydytojas gali atlikti elektrokardiogramą (EKG), kad patikrintų širdies veiklą, tačiau tik tuo atveju, jei tai yra būtina ar dėl kitų specialių priežasčių.</w:t>
      </w:r>
    </w:p>
    <w:p w14:paraId="16074DF2" w14:textId="77777777" w:rsidR="00A34B5C" w:rsidRPr="00A34B5C" w:rsidRDefault="00A34B5C" w:rsidP="00A34B5C">
      <w:pPr>
        <w:spacing w:after="0" w:line="240" w:lineRule="auto"/>
        <w:rPr>
          <w:rFonts w:ascii="Times New Roman" w:eastAsia="Calibri" w:hAnsi="Times New Roman" w:cs="Times New Roman"/>
          <w:lang w:val="lt-LT"/>
        </w:rPr>
      </w:pPr>
    </w:p>
    <w:p w14:paraId="31460B24"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Vartojant Leponex gali išsivystyti širdies raumens liga, pasireiškianti širdies nepakankamumu, kartu su vožtuvo nesandarumu ar be jo. Gydytojas gali tai nustatyti atlikęs echoskopinį širdies tyrimą</w:t>
      </w:r>
    </w:p>
    <w:p w14:paraId="67262FD4" w14:textId="77777777" w:rsidR="00A34B5C" w:rsidRPr="00A34B5C" w:rsidRDefault="00A34B5C" w:rsidP="00A34B5C">
      <w:pPr>
        <w:numPr>
          <w:ilvl w:val="12"/>
          <w:numId w:val="0"/>
        </w:numPr>
        <w:spacing w:after="0" w:line="240" w:lineRule="auto"/>
        <w:rPr>
          <w:rFonts w:ascii="Times New Roman" w:eastAsia="Calibri" w:hAnsi="Times New Roman" w:cs="Times New Roman"/>
          <w:lang w:val="lt-LT"/>
        </w:rPr>
      </w:pPr>
    </w:p>
    <w:p w14:paraId="3F05CA5B" w14:textId="77777777" w:rsidR="00A34B5C" w:rsidRPr="00A34B5C" w:rsidRDefault="00A34B5C" w:rsidP="00A34B5C">
      <w:pPr>
        <w:numPr>
          <w:ilvl w:val="12"/>
          <w:numId w:val="0"/>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Jeigu Jūsų kraujyje padidėjęs cukraus kiekis (sergate diabetu), gydytojas gali reguliariai Jums tirti cukraus kiekį kraujyje. Vartojant Leponex, gali pakisti lipidų kiekis kraujyje. Vartojant Leponex, gali padidėti kūno svoris. Jūsų gydytojas gali stebėti Jūsų kūno svorį ir tirti lipidų kiekį kraujyje.</w:t>
      </w:r>
    </w:p>
    <w:p w14:paraId="5C30E5F1" w14:textId="77777777" w:rsidR="00A34B5C" w:rsidRPr="00A34B5C" w:rsidRDefault="00A34B5C" w:rsidP="00A34B5C">
      <w:pPr>
        <w:numPr>
          <w:ilvl w:val="12"/>
          <w:numId w:val="0"/>
        </w:numPr>
        <w:spacing w:after="0" w:line="240" w:lineRule="auto"/>
        <w:rPr>
          <w:rFonts w:ascii="Times New Roman" w:eastAsia="Calibri" w:hAnsi="Times New Roman" w:cs="Times New Roman"/>
          <w:lang w:val="lt-LT"/>
        </w:rPr>
      </w:pPr>
    </w:p>
    <w:p w14:paraId="5AF22312" w14:textId="77777777" w:rsidR="00A34B5C" w:rsidRPr="00A34B5C" w:rsidRDefault="00A34B5C" w:rsidP="00A34B5C">
      <w:pPr>
        <w:numPr>
          <w:ilvl w:val="12"/>
          <w:numId w:val="0"/>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Jei </w:t>
      </w:r>
      <w:r w:rsidR="00653F5D">
        <w:rPr>
          <w:rFonts w:ascii="Times New Roman" w:eastAsia="Calibri" w:hAnsi="Times New Roman" w:cs="Times New Roman"/>
          <w:lang w:val="lt-LT"/>
        </w:rPr>
        <w:t>jau</w:t>
      </w:r>
      <w:r w:rsidRPr="00A34B5C">
        <w:rPr>
          <w:rFonts w:ascii="Times New Roman" w:eastAsia="Calibri" w:hAnsi="Times New Roman" w:cs="Times New Roman"/>
          <w:lang w:val="lt-LT"/>
        </w:rPr>
        <w:t xml:space="preserve"> jaučiate apsvaigimą, galvos sukimąsi ar silpnumą</w:t>
      </w:r>
      <w:r w:rsidR="00653F5D" w:rsidRPr="00653F5D">
        <w:rPr>
          <w:rFonts w:ascii="Times New Roman" w:eastAsia="Calibri" w:hAnsi="Times New Roman" w:cs="Times New Roman"/>
          <w:lang w:val="lt-LT"/>
        </w:rPr>
        <w:t xml:space="preserve"> arba taip imate jaustis </w:t>
      </w:r>
      <w:r w:rsidR="005C7BA1">
        <w:rPr>
          <w:rFonts w:ascii="Times New Roman" w:eastAsia="Calibri" w:hAnsi="Times New Roman" w:cs="Times New Roman"/>
          <w:lang w:val="lt-LT"/>
        </w:rPr>
        <w:t>pavartoję</w:t>
      </w:r>
      <w:r w:rsidR="00653F5D" w:rsidRPr="00653F5D">
        <w:rPr>
          <w:rFonts w:ascii="Times New Roman" w:eastAsia="Calibri" w:hAnsi="Times New Roman" w:cs="Times New Roman"/>
          <w:lang w:val="lt-LT"/>
        </w:rPr>
        <w:t xml:space="preserve"> Leponex</w:t>
      </w:r>
      <w:r w:rsidRPr="00A34B5C">
        <w:rPr>
          <w:rFonts w:ascii="Times New Roman" w:eastAsia="Calibri" w:hAnsi="Times New Roman" w:cs="Times New Roman"/>
          <w:lang w:val="lt-LT"/>
        </w:rPr>
        <w:t>, stenkitės atsargiai pakilti iš sėdimos ar gulimos padėties</w:t>
      </w:r>
      <w:r w:rsidR="00653F5D" w:rsidRPr="00653F5D">
        <w:rPr>
          <w:rFonts w:ascii="Times New Roman" w:eastAsia="Calibri" w:hAnsi="Times New Roman" w:cs="Times New Roman"/>
          <w:lang w:val="lt-LT"/>
        </w:rPr>
        <w:t xml:space="preserve"> nes yra padidėjusi galimybė </w:t>
      </w:r>
      <w:r w:rsidR="005C7BA1">
        <w:rPr>
          <w:rFonts w:ascii="Times New Roman" w:eastAsia="Calibri" w:hAnsi="Times New Roman" w:cs="Times New Roman"/>
          <w:lang w:val="lt-LT"/>
        </w:rPr>
        <w:t>nu</w:t>
      </w:r>
      <w:r w:rsidR="00653F5D" w:rsidRPr="00653F5D">
        <w:rPr>
          <w:rFonts w:ascii="Times New Roman" w:eastAsia="Calibri" w:hAnsi="Times New Roman" w:cs="Times New Roman"/>
          <w:lang w:val="lt-LT"/>
        </w:rPr>
        <w:t>griūti</w:t>
      </w:r>
      <w:r w:rsidRPr="00A34B5C">
        <w:rPr>
          <w:rFonts w:ascii="Times New Roman" w:eastAsia="Calibri" w:hAnsi="Times New Roman" w:cs="Times New Roman"/>
          <w:lang w:val="lt-LT"/>
        </w:rPr>
        <w:t>.</w:t>
      </w:r>
    </w:p>
    <w:p w14:paraId="16383F2F" w14:textId="77777777" w:rsidR="00A34B5C" w:rsidRPr="00A34B5C" w:rsidRDefault="00A34B5C" w:rsidP="00A34B5C">
      <w:pPr>
        <w:numPr>
          <w:ilvl w:val="12"/>
          <w:numId w:val="0"/>
        </w:numPr>
        <w:spacing w:after="0" w:line="240" w:lineRule="auto"/>
        <w:rPr>
          <w:rFonts w:ascii="Times New Roman" w:eastAsia="Calibri" w:hAnsi="Times New Roman" w:cs="Times New Roman"/>
          <w:lang w:val="lt-LT"/>
        </w:rPr>
      </w:pPr>
    </w:p>
    <w:p w14:paraId="06DCB928" w14:textId="77777777" w:rsidR="00A34B5C" w:rsidRPr="00A34B5C" w:rsidRDefault="00A34B5C" w:rsidP="00A34B5C">
      <w:pPr>
        <w:numPr>
          <w:ilvl w:val="12"/>
          <w:numId w:val="0"/>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Jei Jums planuojama atlikti operaciją ar dėl kokių nors priežasčių negalite ilgai vaikščioti, pasitarkite su gydytoju dėl Leponex vartojimo. Jums gali būti trombozės rizika (pavyzdžiui, kraujo krešulių susidarymas venose).</w:t>
      </w:r>
    </w:p>
    <w:p w14:paraId="5CB7E728" w14:textId="77777777" w:rsidR="00A34B5C" w:rsidRPr="00A34B5C" w:rsidRDefault="00A34B5C" w:rsidP="00A34B5C">
      <w:pPr>
        <w:numPr>
          <w:ilvl w:val="12"/>
          <w:numId w:val="0"/>
        </w:numPr>
        <w:spacing w:after="0" w:line="240" w:lineRule="auto"/>
        <w:rPr>
          <w:rFonts w:ascii="Times New Roman" w:eastAsia="Calibri" w:hAnsi="Times New Roman" w:cs="Times New Roman"/>
          <w:lang w:val="lt-LT"/>
        </w:rPr>
      </w:pPr>
    </w:p>
    <w:p w14:paraId="162BC925" w14:textId="43E214CA" w:rsidR="00A34B5C" w:rsidRPr="00A34B5C" w:rsidRDefault="00A34B5C" w:rsidP="00A34B5C">
      <w:pPr>
        <w:numPr>
          <w:ilvl w:val="12"/>
          <w:numId w:val="0"/>
        </w:numPr>
        <w:spacing w:after="0" w:line="240" w:lineRule="auto"/>
        <w:rPr>
          <w:rFonts w:ascii="Times New Roman" w:eastAsia="Calibri" w:hAnsi="Times New Roman" w:cs="Times New Roman"/>
          <w:b/>
          <w:bCs/>
          <w:lang w:val="lt-LT"/>
        </w:rPr>
      </w:pPr>
      <w:r w:rsidRPr="00A34B5C">
        <w:rPr>
          <w:rFonts w:ascii="Times New Roman" w:eastAsia="Calibri" w:hAnsi="Times New Roman" w:cs="Times New Roman"/>
          <w:b/>
          <w:bCs/>
          <w:lang w:val="lt-LT"/>
        </w:rPr>
        <w:t>Vaikams ir paaugliams</w:t>
      </w:r>
      <w:r w:rsidR="002F15B9">
        <w:rPr>
          <w:rFonts w:ascii="Times New Roman" w:eastAsia="Calibri" w:hAnsi="Times New Roman" w:cs="Times New Roman"/>
          <w:b/>
          <w:bCs/>
          <w:lang w:val="lt-LT"/>
        </w:rPr>
        <w:t>,</w:t>
      </w:r>
      <w:r w:rsidRPr="00A34B5C">
        <w:rPr>
          <w:rFonts w:ascii="Times New Roman" w:eastAsia="Calibri" w:hAnsi="Times New Roman" w:cs="Times New Roman"/>
          <w:b/>
          <w:bCs/>
          <w:lang w:val="lt-LT"/>
        </w:rPr>
        <w:t xml:space="preserve"> jaunesniems kaip 16 metų</w:t>
      </w:r>
    </w:p>
    <w:p w14:paraId="28D03B3A" w14:textId="77777777" w:rsidR="00A34B5C" w:rsidRPr="00A34B5C" w:rsidRDefault="00A34B5C" w:rsidP="00A34B5C">
      <w:pPr>
        <w:numPr>
          <w:ilvl w:val="12"/>
          <w:numId w:val="0"/>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Leponex negalima vartoti, jei esate jaunesnis nei 16 metų amžiaus, nes nėra pakankamai duomenų apie vaisto vartojimą šioje amžiaus grupėje.</w:t>
      </w:r>
    </w:p>
    <w:p w14:paraId="577CEF0B" w14:textId="77777777" w:rsidR="00A34B5C" w:rsidRPr="00A34B5C" w:rsidRDefault="00A34B5C" w:rsidP="00A34B5C">
      <w:pPr>
        <w:numPr>
          <w:ilvl w:val="12"/>
          <w:numId w:val="0"/>
        </w:numPr>
        <w:spacing w:after="0" w:line="240" w:lineRule="auto"/>
        <w:rPr>
          <w:rFonts w:ascii="Times New Roman" w:eastAsia="Calibri" w:hAnsi="Times New Roman" w:cs="Times New Roman"/>
          <w:lang w:val="lt-LT"/>
        </w:rPr>
      </w:pPr>
    </w:p>
    <w:p w14:paraId="6EEB6411" w14:textId="77777777" w:rsidR="00A34B5C" w:rsidRPr="00B27E7B" w:rsidRDefault="00A34B5C" w:rsidP="00A34B5C">
      <w:pPr>
        <w:numPr>
          <w:ilvl w:val="12"/>
          <w:numId w:val="0"/>
        </w:numPr>
        <w:spacing w:after="0" w:line="240" w:lineRule="auto"/>
        <w:rPr>
          <w:rFonts w:ascii="Times New Roman" w:hAnsi="Times New Roman"/>
          <w:b/>
          <w:lang w:val="lt-LT"/>
        </w:rPr>
      </w:pPr>
      <w:r w:rsidRPr="00B27E7B">
        <w:rPr>
          <w:rFonts w:ascii="Times New Roman" w:hAnsi="Times New Roman"/>
          <w:b/>
          <w:lang w:val="lt-LT"/>
        </w:rPr>
        <w:t>Senyviems pacientams (60 metų amžiaus ir vyresniems)</w:t>
      </w:r>
    </w:p>
    <w:p w14:paraId="576ACFAB" w14:textId="77777777" w:rsidR="00A34B5C" w:rsidRPr="00A34B5C" w:rsidRDefault="00A34B5C" w:rsidP="00A34B5C">
      <w:pPr>
        <w:numPr>
          <w:ilvl w:val="12"/>
          <w:numId w:val="0"/>
        </w:numPr>
        <w:spacing w:after="0" w:line="240" w:lineRule="auto"/>
        <w:rPr>
          <w:rFonts w:ascii="Times New Roman" w:eastAsia="Calibri" w:hAnsi="Times New Roman" w:cs="Times New Roman"/>
          <w:b/>
          <w:bCs/>
          <w:lang w:val="lt-LT"/>
        </w:rPr>
      </w:pPr>
      <w:r w:rsidRPr="00A34B5C">
        <w:rPr>
          <w:rFonts w:ascii="Times New Roman" w:eastAsia="Calibri" w:hAnsi="Times New Roman" w:cs="Times New Roman"/>
          <w:lang w:val="lt-LT" w:bidi="th-TH"/>
        </w:rPr>
        <w:t>Senyviems žmonėms (60 metų amžiaus ir vyresniems) Leponex vartojimo laikotarpiu tam tikro šalutinio poveikio rizika gali būti didesnė. Toks poveikis yra alpulys ar svaigulys keičiant kūno padėtį, galvos svaigimas, dažnas širdies plakimas, sunkesnis šlapinimasis ir vidurių užkietėjimas.</w:t>
      </w:r>
    </w:p>
    <w:p w14:paraId="37ADB7C0" w14:textId="77777777" w:rsidR="00A34B5C" w:rsidRPr="00A34B5C" w:rsidRDefault="00A34B5C" w:rsidP="00A34B5C">
      <w:pPr>
        <w:numPr>
          <w:ilvl w:val="12"/>
          <w:numId w:val="0"/>
        </w:numPr>
        <w:spacing w:after="0" w:line="240" w:lineRule="auto"/>
        <w:ind w:left="567" w:hanging="567"/>
        <w:rPr>
          <w:rFonts w:ascii="Times New Roman" w:eastAsia="Calibri" w:hAnsi="Times New Roman" w:cs="Times New Roman"/>
          <w:lang w:val="lt-LT"/>
        </w:rPr>
      </w:pPr>
    </w:p>
    <w:p w14:paraId="1E6F186B" w14:textId="77777777" w:rsidR="00A34B5C" w:rsidRPr="00A34B5C" w:rsidRDefault="00A34B5C" w:rsidP="00A34B5C">
      <w:pPr>
        <w:numPr>
          <w:ilvl w:val="12"/>
          <w:numId w:val="0"/>
        </w:numPr>
        <w:spacing w:after="0" w:line="240" w:lineRule="auto"/>
        <w:rPr>
          <w:rFonts w:ascii="Times New Roman" w:eastAsia="Calibri" w:hAnsi="Times New Roman" w:cs="Times New Roman"/>
          <w:b/>
          <w:lang w:val="lt-LT"/>
        </w:rPr>
      </w:pPr>
      <w:r w:rsidRPr="00A34B5C">
        <w:rPr>
          <w:rFonts w:ascii="Times New Roman" w:eastAsia="Calibri" w:hAnsi="Times New Roman" w:cs="Times New Roman"/>
          <w:b/>
          <w:lang w:val="lt-LT"/>
        </w:rPr>
        <w:t>Kiti vaistai ir Leponex</w:t>
      </w:r>
    </w:p>
    <w:p w14:paraId="27088848" w14:textId="77777777" w:rsidR="00A34B5C" w:rsidRPr="00A34B5C" w:rsidRDefault="00A34B5C" w:rsidP="00A34B5C">
      <w:pPr>
        <w:numPr>
          <w:ilvl w:val="12"/>
          <w:numId w:val="0"/>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Jeigu vartojate arba neseniai vartojote kitų vaistų arba dėl to nesate tikri, apie tai pasakykite gydytojui arba vaistininkui.</w:t>
      </w:r>
    </w:p>
    <w:p w14:paraId="0D60E99B" w14:textId="77777777" w:rsidR="00A34B5C" w:rsidRPr="00A34B5C" w:rsidRDefault="00A34B5C" w:rsidP="00A34B5C">
      <w:pPr>
        <w:numPr>
          <w:ilvl w:val="12"/>
          <w:numId w:val="0"/>
        </w:numPr>
        <w:spacing w:after="0" w:line="240" w:lineRule="auto"/>
        <w:rPr>
          <w:rFonts w:ascii="Times New Roman" w:eastAsia="Calibri" w:hAnsi="Times New Roman" w:cs="Times New Roman"/>
          <w:lang w:val="lt-LT"/>
        </w:rPr>
      </w:pPr>
    </w:p>
    <w:p w14:paraId="59EEA2AB" w14:textId="77777777" w:rsidR="00A34B5C" w:rsidRPr="00A34B5C" w:rsidRDefault="00A34B5C" w:rsidP="00A34B5C">
      <w:pPr>
        <w:numPr>
          <w:ilvl w:val="12"/>
          <w:numId w:val="0"/>
        </w:num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Nevartokite Leponex kartu su vaistais, kurie stabdo tinkamą kaulų čiulpų veiklą ir (arba) mažina organizmo gaminamą kraujo ląstelių kiekį kraujyje, tokiais kaip:</w:t>
      </w:r>
    </w:p>
    <w:p w14:paraId="32E35F47"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karbamazepinas, vaistai epilepsijai gydyti;</w:t>
      </w:r>
    </w:p>
    <w:p w14:paraId="57CAE282"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antibiotikai: chloramfenikolis; sulfonamidai, tokie kaip kotrimoksazolis;</w:t>
      </w:r>
    </w:p>
    <w:p w14:paraId="1D608C84"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vaistai skausmui malšinti: pirazolono grupės analgetikai, tokie kaip fenilbutazonas;</w:t>
      </w:r>
    </w:p>
    <w:p w14:paraId="1BFB5E06"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penicilaminas, vaistas vartojamas reumatiniams sąnarių uždegimams gydyti;</w:t>
      </w:r>
    </w:p>
    <w:p w14:paraId="1552DD41"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citotoksiniai preparatai, naudojami chemoterapijos metu;</w:t>
      </w:r>
    </w:p>
    <w:p w14:paraId="26FECE9F"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ilgai veikiantys depo injekciniai antipsichoziniai vaistai.</w:t>
      </w:r>
    </w:p>
    <w:p w14:paraId="18497298"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Šie vaistai didina riziką susirgti agranulocitoze (baltųjų kraujo ląstelių nebuvimas).</w:t>
      </w:r>
    </w:p>
    <w:p w14:paraId="54BDF9F9" w14:textId="77777777" w:rsidR="00A34B5C" w:rsidRPr="00A34B5C" w:rsidRDefault="00A34B5C" w:rsidP="00A34B5C">
      <w:pPr>
        <w:numPr>
          <w:ilvl w:val="12"/>
          <w:numId w:val="0"/>
        </w:numPr>
        <w:spacing w:after="0" w:line="240" w:lineRule="auto"/>
        <w:ind w:left="567" w:hanging="567"/>
        <w:rPr>
          <w:rFonts w:ascii="Times New Roman" w:eastAsia="Calibri" w:hAnsi="Times New Roman" w:cs="Times New Roman"/>
          <w:lang w:val="lt-LT"/>
        </w:rPr>
      </w:pPr>
    </w:p>
    <w:p w14:paraId="172BAD9C" w14:textId="77777777" w:rsidR="00A34B5C" w:rsidRPr="00A34B5C" w:rsidRDefault="00A34B5C" w:rsidP="00A34B5C">
      <w:pPr>
        <w:numPr>
          <w:ilvl w:val="12"/>
          <w:numId w:val="0"/>
        </w:num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Pasakykite gydytojui, jei Jūs planuojate, vartojate (net jei gydymo kursas eina į pabaigą) arba neseniai nustojote vartoti bet kurį iš šių vaistų:</w:t>
      </w:r>
    </w:p>
    <w:p w14:paraId="01AFFF96"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vaistų depresijai gydyti, pvz., ličio, fluvoksamino, triciklių antidepresantų, MAO inhibitorių, citalopramo, paroksetino, fluoksetino ir sertralino;</w:t>
      </w:r>
    </w:p>
    <w:p w14:paraId="57ECBCA9"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antipsichozinių vaistų, skirtų psichinių ligų gydymui, tokių kaip perazinas;</w:t>
      </w:r>
    </w:p>
    <w:p w14:paraId="300E8ED1"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benzodiazepinų ir kitų vaistų, skirtų nerimo ir miego sutrikimams gydyti;</w:t>
      </w:r>
    </w:p>
    <w:p w14:paraId="3989B63A"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narkotikų ir kitų vaistų, galinčių veikti Jūsų kvėpavimą;</w:t>
      </w:r>
    </w:p>
    <w:p w14:paraId="7320A1CA"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lastRenderedPageBreak/>
        <w:t>vaistų epilepsijai gydyti, pvz., fenitoinų ir natrio valproatų;</w:t>
      </w:r>
    </w:p>
    <w:p w14:paraId="45EBB09A"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vaistų aukšto ir žemo kraujospūdžio gydymui, tokių kaip adrenalinas ir noradrenalinas;</w:t>
      </w:r>
    </w:p>
    <w:p w14:paraId="7DE2E546"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varfarino, vaisto, skirto užkirsti kelią kraujo krešulių susidarymui;</w:t>
      </w:r>
    </w:p>
    <w:p w14:paraId="0482ACC3"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antihistamininių vaistų, skirtų peršalimams ir alergijoms, pvz., šienligės gydymui;</w:t>
      </w:r>
    </w:p>
    <w:p w14:paraId="242A71E9"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anticholinerginių vaistų, skirtų skrandžio dieglių mažinimui, spazmams ir blogumui kelionės metu;</w:t>
      </w:r>
    </w:p>
    <w:p w14:paraId="0B60AC8C"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vaistų Parkinsono ligai gydyti;</w:t>
      </w:r>
    </w:p>
    <w:p w14:paraId="16C8337B"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digoksino, skirto širdies ligoms gydyti;</w:t>
      </w:r>
    </w:p>
    <w:p w14:paraId="196BA724"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vaistų greitam ir nereguliariam širdies ritmui gydyti;</w:t>
      </w:r>
    </w:p>
    <w:p w14:paraId="51F7BF0F"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kai kurie vaistų, skirti skrandžio opoms gydyti, tokių kaip omeprazolas ar cimetidinas;</w:t>
      </w:r>
    </w:p>
    <w:p w14:paraId="28697805"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kai kurie antibiotikų, tokių kaip eritromicinas ir rifampicinas;</w:t>
      </w:r>
    </w:p>
    <w:p w14:paraId="712E1BEC"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kai kurie vaistų grybelinių infekcijų gydymui (pvz., ketokonazolas) arba virusinėms infekcijoms (pvz., proteazės inhibitoriai, skirti ŽIV infekcijų gydymui);</w:t>
      </w:r>
    </w:p>
    <w:p w14:paraId="10F23136"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atropino, kurio gali būti akių lašuose ar vaistuose, skirtuose kosuliui ir peršalimui gydyti;</w:t>
      </w:r>
    </w:p>
    <w:p w14:paraId="36569D7D"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adrenalino, skiriamo kritinėse situacijose;</w:t>
      </w:r>
    </w:p>
    <w:p w14:paraId="33E49915" w14:textId="77777777" w:rsidR="00A34B5C" w:rsidRPr="00A34B5C"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hormoninių kontraceptikų.</w:t>
      </w:r>
    </w:p>
    <w:p w14:paraId="63D177D8" w14:textId="77777777" w:rsidR="00A34B5C" w:rsidRPr="00A34B5C" w:rsidRDefault="00A34B5C" w:rsidP="00A34B5C">
      <w:pPr>
        <w:spacing w:after="0" w:line="240" w:lineRule="auto"/>
        <w:rPr>
          <w:rFonts w:ascii="Times New Roman" w:eastAsia="Calibri" w:hAnsi="Times New Roman" w:cs="Times New Roman"/>
          <w:lang w:val="lt-LT"/>
        </w:rPr>
      </w:pPr>
    </w:p>
    <w:p w14:paraId="75EF82AA"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Šis sąrašas nėra galutinis. Gydytojas ar vaistininkas suteiks Jums daugiau informacijos, kuriuos vaistus reikėtų vartoti atsargiai, o kurių reikėtų vengti, jei vartojate Leponex. Jie taip pat pasakys, ar Jūsų vartojami vaistai priklauso išvardintiesiems.</w:t>
      </w:r>
    </w:p>
    <w:p w14:paraId="0074B4DD" w14:textId="77777777" w:rsidR="00A34B5C" w:rsidRPr="00A34B5C" w:rsidRDefault="00A34B5C" w:rsidP="00A34B5C">
      <w:pPr>
        <w:spacing w:after="0" w:line="240" w:lineRule="auto"/>
        <w:rPr>
          <w:rFonts w:ascii="Times New Roman" w:eastAsia="Calibri" w:hAnsi="Times New Roman" w:cs="Times New Roman"/>
          <w:lang w:val="lt-LT"/>
        </w:rPr>
      </w:pPr>
    </w:p>
    <w:p w14:paraId="184B3491" w14:textId="77777777" w:rsidR="00A34B5C" w:rsidRPr="00A34B5C" w:rsidRDefault="00A34B5C" w:rsidP="00A34B5C">
      <w:pPr>
        <w:spacing w:after="0" w:line="240" w:lineRule="auto"/>
        <w:rPr>
          <w:rFonts w:ascii="Times New Roman" w:eastAsia="Calibri" w:hAnsi="Times New Roman" w:cs="Times New Roman"/>
          <w:b/>
          <w:bCs/>
          <w:lang w:val="lt-LT"/>
        </w:rPr>
      </w:pPr>
      <w:r w:rsidRPr="00A34B5C">
        <w:rPr>
          <w:rFonts w:ascii="Times New Roman" w:eastAsia="Calibri" w:hAnsi="Times New Roman" w:cs="Times New Roman"/>
          <w:b/>
          <w:bCs/>
          <w:lang w:val="lt-LT"/>
        </w:rPr>
        <w:t>Leponex vartojimas su maistu, gėrimais ir alkoholiu</w:t>
      </w:r>
    </w:p>
    <w:p w14:paraId="182C4D96"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Vartojant Leponex, negalima gerti alkoholinių gėrimų. Pasakykite gydytojui, jei rūkote ar dažnai geriate kofeino turinčių gėrimų (kavos, arbatos, kolos). Leponex poveikis gali keistis, jei nustojate rūkyti ar pradedate vartoti kitokį kofeino turinčių gėrimų kiekį.</w:t>
      </w:r>
    </w:p>
    <w:p w14:paraId="76A9273A" w14:textId="77777777" w:rsidR="00A34B5C" w:rsidRPr="00A34B5C" w:rsidRDefault="00A34B5C" w:rsidP="00A34B5C">
      <w:pPr>
        <w:spacing w:after="0" w:line="240" w:lineRule="auto"/>
        <w:rPr>
          <w:rFonts w:ascii="Times New Roman" w:eastAsia="Calibri" w:hAnsi="Times New Roman" w:cs="Times New Roman"/>
          <w:lang w:val="lt-LT"/>
        </w:rPr>
      </w:pPr>
    </w:p>
    <w:p w14:paraId="5252D950" w14:textId="77777777" w:rsidR="00A34B5C" w:rsidRPr="00A34B5C" w:rsidRDefault="00A34B5C" w:rsidP="00A34B5C">
      <w:pPr>
        <w:spacing w:after="0" w:line="240" w:lineRule="auto"/>
        <w:rPr>
          <w:rFonts w:ascii="Times New Roman" w:eastAsia="Calibri" w:hAnsi="Times New Roman" w:cs="Times New Roman"/>
          <w:b/>
          <w:bCs/>
          <w:lang w:val="lt-LT"/>
        </w:rPr>
      </w:pPr>
      <w:r w:rsidRPr="00A34B5C">
        <w:rPr>
          <w:rFonts w:ascii="Times New Roman" w:eastAsia="Calibri" w:hAnsi="Times New Roman" w:cs="Times New Roman"/>
          <w:b/>
          <w:bCs/>
          <w:lang w:val="lt-LT"/>
        </w:rPr>
        <w:t>Nėštumas, žindymo laikotarpis ir vaisingumas</w:t>
      </w:r>
    </w:p>
    <w:p w14:paraId="4F67B03F"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Jei esate nėščia, žindote kūdikį, manote, kad galbūt esate nėščia, arba planuojate pastoti, tai prieš vartodama šį vaistą, pasitarkite su gydytoju. Gydytojas su Jumis aptars Leponex naudą ir galimą riziką. </w:t>
      </w:r>
    </w:p>
    <w:p w14:paraId="57E14716" w14:textId="77777777" w:rsidR="00A34B5C" w:rsidRPr="00A34B5C" w:rsidRDefault="00A34B5C" w:rsidP="00A34B5C">
      <w:pPr>
        <w:spacing w:after="0" w:line="240" w:lineRule="auto"/>
        <w:rPr>
          <w:rFonts w:ascii="Times New Roman" w:eastAsia="Calibri" w:hAnsi="Times New Roman" w:cs="Times New Roman"/>
          <w:lang w:val="lt-LT"/>
        </w:rPr>
      </w:pPr>
    </w:p>
    <w:p w14:paraId="78710DE6"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Jei pastojote Leponex gydymo laikotarpiu, nedelsiant pasakykite apie tai gydytojui. Nėštumo metu vaistą vartoti galima tik paskyrus gydytojui.</w:t>
      </w:r>
    </w:p>
    <w:p w14:paraId="242F3AE0" w14:textId="77777777" w:rsidR="00A34B5C" w:rsidRDefault="00A34B5C" w:rsidP="00A34B5C">
      <w:pPr>
        <w:spacing w:after="0" w:line="240" w:lineRule="auto"/>
        <w:rPr>
          <w:rFonts w:ascii="Times New Roman" w:eastAsia="Calibri" w:hAnsi="Times New Roman" w:cs="Times New Roman"/>
          <w:lang w:val="lt-LT"/>
        </w:rPr>
      </w:pPr>
    </w:p>
    <w:p w14:paraId="42F262D7" w14:textId="77777777" w:rsidR="00246EB4" w:rsidRPr="00246EB4" w:rsidRDefault="00246EB4" w:rsidP="00246EB4">
      <w:pPr>
        <w:spacing w:after="0" w:line="240" w:lineRule="auto"/>
        <w:rPr>
          <w:rFonts w:ascii="Times New Roman" w:eastAsia="Calibri" w:hAnsi="Times New Roman" w:cs="Times New Roman"/>
          <w:lang w:val="lt-LT"/>
        </w:rPr>
      </w:pPr>
      <w:r w:rsidRPr="00246EB4">
        <w:rPr>
          <w:rFonts w:ascii="Times New Roman" w:eastAsia="Calibri" w:hAnsi="Times New Roman" w:cs="Times New Roman"/>
          <w:lang w:val="lt-LT"/>
        </w:rPr>
        <w:t>Naujagimiams, kurių motinos trečiąjį nėštumo trimestrą (tris paskutiniuosius nėštumo mėnesius) vartojo Leponex, gali pasireikšti toliau išvardyti simptomai: drebėjimas, raumenų sustingimas ir (arba) silpnumas, mieguistumas, sujaudinimas, kvėpavimo problemos ir maitinimosi sunkumai. Jei Jūsų kūdikiui pasireiškė kuris nors iš šių simptomų, Jums gali tekti kreiptis į gydytoją.</w:t>
      </w:r>
    </w:p>
    <w:p w14:paraId="67C6A62C" w14:textId="77777777" w:rsidR="00246EB4" w:rsidRPr="00A34B5C" w:rsidRDefault="00246EB4" w:rsidP="00A34B5C">
      <w:pPr>
        <w:spacing w:after="0" w:line="240" w:lineRule="auto"/>
        <w:rPr>
          <w:rFonts w:ascii="Times New Roman" w:eastAsia="Calibri" w:hAnsi="Times New Roman" w:cs="Times New Roman"/>
          <w:lang w:val="lt-LT"/>
        </w:rPr>
      </w:pPr>
    </w:p>
    <w:p w14:paraId="4AE1DE8B"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Moterims, vartojančioms vaistų, skirtų psichikos ligų gydymui, gali sutrikti menstruacijų ciklas. Jums pradėjus vartoti Leponex, jis vėl turėtų susitvarkyti, todėl gydymo metu labai svarbu naudoti patikimas kontracepcijos priemones.</w:t>
      </w:r>
    </w:p>
    <w:p w14:paraId="56235E4D" w14:textId="77777777" w:rsidR="00A34B5C" w:rsidRPr="00A34B5C" w:rsidRDefault="00A34B5C" w:rsidP="00A34B5C">
      <w:pPr>
        <w:spacing w:after="0" w:line="240" w:lineRule="auto"/>
        <w:rPr>
          <w:rFonts w:ascii="Times New Roman" w:eastAsia="Calibri" w:hAnsi="Times New Roman" w:cs="Times New Roman"/>
          <w:lang w:val="lt-LT"/>
        </w:rPr>
      </w:pPr>
    </w:p>
    <w:p w14:paraId="25E587B7"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Vartojančioms Leponex moterims žindyti negalima, nes klozapino patenka į motinos pieną ir gali pakenkti kūdikiui.</w:t>
      </w:r>
    </w:p>
    <w:p w14:paraId="719445DA" w14:textId="77777777" w:rsidR="00A34B5C" w:rsidRPr="00A34B5C" w:rsidRDefault="00A34B5C" w:rsidP="00A34B5C">
      <w:pPr>
        <w:spacing w:after="0" w:line="240" w:lineRule="auto"/>
        <w:rPr>
          <w:rFonts w:ascii="Times New Roman" w:eastAsia="Calibri" w:hAnsi="Times New Roman" w:cs="Times New Roman"/>
          <w:lang w:val="lt-LT"/>
        </w:rPr>
      </w:pPr>
    </w:p>
    <w:p w14:paraId="6048BC3F" w14:textId="77777777" w:rsidR="00A34B5C" w:rsidRPr="00A34B5C" w:rsidRDefault="00A34B5C" w:rsidP="00A34B5C">
      <w:pPr>
        <w:numPr>
          <w:ilvl w:val="12"/>
          <w:numId w:val="0"/>
        </w:num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b/>
          <w:lang w:val="lt-LT"/>
        </w:rPr>
        <w:t>Vairavimas ir mechanizmų valdymas</w:t>
      </w:r>
    </w:p>
    <w:p w14:paraId="616AA70F" w14:textId="77777777" w:rsidR="00A34B5C" w:rsidRPr="00A34B5C" w:rsidRDefault="00A34B5C" w:rsidP="00A34B5C">
      <w:pPr>
        <w:numPr>
          <w:ilvl w:val="12"/>
          <w:numId w:val="0"/>
        </w:num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Leponex gali sukelti nuovargį, mieguistumą ir priepuolius, ypač gydymo pradžioje. Jei Jums pasireiškė šie simptomai, negalima vairuoti ir valdyti mechanizmų.</w:t>
      </w:r>
    </w:p>
    <w:p w14:paraId="5397D30C" w14:textId="77777777" w:rsidR="00A34B5C" w:rsidRPr="00A34B5C" w:rsidRDefault="00A34B5C" w:rsidP="00A34B5C">
      <w:pPr>
        <w:numPr>
          <w:ilvl w:val="12"/>
          <w:numId w:val="0"/>
        </w:numPr>
        <w:spacing w:after="0" w:line="240" w:lineRule="auto"/>
        <w:ind w:left="567" w:hanging="567"/>
        <w:rPr>
          <w:rFonts w:ascii="Times New Roman" w:eastAsia="Calibri" w:hAnsi="Times New Roman" w:cs="Times New Roman"/>
          <w:lang w:val="lt-LT"/>
        </w:rPr>
      </w:pPr>
    </w:p>
    <w:p w14:paraId="02886315" w14:textId="77777777" w:rsidR="00A34B5C" w:rsidRPr="00A34B5C" w:rsidRDefault="00A34B5C" w:rsidP="00A34B5C">
      <w:pPr>
        <w:spacing w:after="0" w:line="220" w:lineRule="exact"/>
        <w:rPr>
          <w:rFonts w:ascii="Times New Roman" w:eastAsia="Calibri" w:hAnsi="Times New Roman" w:cs="Times New Roman"/>
          <w:b/>
          <w:bCs/>
          <w:lang w:val="lt-LT"/>
        </w:rPr>
      </w:pPr>
      <w:r w:rsidRPr="00A34B5C">
        <w:rPr>
          <w:rFonts w:ascii="Times New Roman" w:eastAsia="Calibri" w:hAnsi="Times New Roman" w:cs="Times New Roman"/>
          <w:b/>
          <w:bCs/>
          <w:lang w:val="lt-LT"/>
        </w:rPr>
        <w:t>Leponex sudėtyje yra laktozės</w:t>
      </w:r>
    </w:p>
    <w:p w14:paraId="454DC970" w14:textId="77777777" w:rsidR="00A34B5C" w:rsidRPr="00A34B5C" w:rsidRDefault="00A34B5C" w:rsidP="00A34B5C">
      <w:pPr>
        <w:numPr>
          <w:ilvl w:val="12"/>
          <w:numId w:val="0"/>
        </w:numPr>
        <w:spacing w:after="0" w:line="240" w:lineRule="auto"/>
        <w:ind w:right="-2"/>
        <w:rPr>
          <w:rFonts w:ascii="Times New Roman" w:eastAsia="Calibri" w:hAnsi="Times New Roman" w:cs="Times New Roman"/>
          <w:lang w:val="lt-LT"/>
        </w:rPr>
      </w:pPr>
      <w:r w:rsidRPr="00A34B5C">
        <w:rPr>
          <w:rFonts w:ascii="Times New Roman" w:eastAsia="Calibri" w:hAnsi="Times New Roman" w:cs="Times New Roman"/>
          <w:lang w:val="lt-LT"/>
        </w:rPr>
        <w:t>Jeigu gydytojas Jums yra sakęs, kad netoleruojate kokių nors angliavandenių, kreipkitės į jį prieš pradėdami vartoti Leponex.</w:t>
      </w:r>
    </w:p>
    <w:p w14:paraId="543598FE" w14:textId="77777777" w:rsidR="00A34B5C" w:rsidRPr="00A34B5C" w:rsidRDefault="00A34B5C" w:rsidP="00A34B5C">
      <w:pPr>
        <w:numPr>
          <w:ilvl w:val="12"/>
          <w:numId w:val="0"/>
        </w:numPr>
        <w:spacing w:after="0" w:line="240" w:lineRule="auto"/>
        <w:ind w:left="567" w:hanging="567"/>
        <w:rPr>
          <w:rFonts w:ascii="Times New Roman" w:eastAsia="Calibri" w:hAnsi="Times New Roman" w:cs="Times New Roman"/>
          <w:lang w:val="lt-LT"/>
        </w:rPr>
      </w:pPr>
    </w:p>
    <w:p w14:paraId="273B27CF"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2372FA61" w14:textId="77777777" w:rsidR="00A34B5C" w:rsidRPr="00B27E7B" w:rsidRDefault="00A34B5C" w:rsidP="00B27E7B">
      <w:pPr>
        <w:widowControl w:val="0"/>
        <w:autoSpaceDE w:val="0"/>
        <w:autoSpaceDN w:val="0"/>
        <w:spacing w:after="0" w:line="240" w:lineRule="auto"/>
        <w:ind w:left="540" w:hanging="540"/>
        <w:outlineLvl w:val="1"/>
        <w:rPr>
          <w:rFonts w:ascii="Times New Roman" w:hAnsi="Times New Roman"/>
          <w:b/>
          <w:lang w:val="lt-LT"/>
        </w:rPr>
      </w:pPr>
      <w:r w:rsidRPr="00DB0E71">
        <w:rPr>
          <w:rFonts w:ascii="Times New Roman" w:eastAsia="Times New Roman" w:hAnsi="Times New Roman" w:cs="Times New Roman"/>
          <w:b/>
          <w:bCs/>
          <w:lang w:val="lt-LT"/>
        </w:rPr>
        <w:t>3.</w:t>
      </w:r>
      <w:r w:rsidRPr="00DB0E71">
        <w:rPr>
          <w:rFonts w:ascii="Times New Roman" w:eastAsia="Times New Roman" w:hAnsi="Times New Roman" w:cs="Times New Roman"/>
          <w:b/>
          <w:bCs/>
          <w:lang w:val="lt-LT"/>
        </w:rPr>
        <w:tab/>
        <w:t>Kaip vartoti</w:t>
      </w:r>
      <w:r w:rsidRPr="00B27E7B">
        <w:rPr>
          <w:rFonts w:ascii="Times New Roman" w:hAnsi="Times New Roman"/>
          <w:b/>
          <w:lang w:val="lt-LT"/>
        </w:rPr>
        <w:t xml:space="preserve"> </w:t>
      </w:r>
      <w:r w:rsidRPr="00DB0E71">
        <w:rPr>
          <w:rFonts w:ascii="Times New Roman" w:eastAsia="Times New Roman" w:hAnsi="Times New Roman" w:cs="Times New Roman"/>
          <w:b/>
          <w:bCs/>
          <w:lang w:val="lt-LT"/>
        </w:rPr>
        <w:t>Leponex</w:t>
      </w:r>
    </w:p>
    <w:p w14:paraId="0CFC2E56"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418A5D94"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lastRenderedPageBreak/>
        <w:t xml:space="preserve">Visada vartokite šį vaistą tiksliai kaip nurodė gydytojas. Jeigu abejojate, kreipkitės į gydytoją arba vaistininką. </w:t>
      </w:r>
    </w:p>
    <w:p w14:paraId="7434C36A"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 xml:space="preserve">Privalote griežtai laikytis nurodymų, kaip ir kada vartoti vaistą, taip pat svarbu, kad nekeistumėte dozės ir nenutrauktumėte Leponex vartojimo, jeigu kitaip nenurodė gydytojas. Jei Jūs esate </w:t>
      </w:r>
      <w:r w:rsidRPr="00A34B5C">
        <w:rPr>
          <w:rFonts w:ascii="Times New Roman" w:eastAsia="Calibri" w:hAnsi="Times New Roman" w:cs="Times New Roman"/>
          <w:lang w:val="lt-LT" w:bidi="th-TH"/>
        </w:rPr>
        <w:t>60 metų amžiaus ar vyresni</w:t>
      </w:r>
      <w:r w:rsidRPr="00A34B5C">
        <w:rPr>
          <w:rFonts w:ascii="Times New Roman" w:eastAsia="Calibri" w:hAnsi="Times New Roman" w:cs="Times New Roman"/>
          <w:lang w:val="lt-LT"/>
        </w:rPr>
        <w:t>, gydytojas gali pradėti gydymą mažesne vaisto doze ir palaipsniui ją didinti, siekiant išvengti nepageidaujamų poveikių (žr. 2 skyrių).</w:t>
      </w:r>
    </w:p>
    <w:p w14:paraId="2739B2BE" w14:textId="77777777" w:rsidR="00A34B5C" w:rsidRPr="00A34B5C" w:rsidRDefault="00A34B5C" w:rsidP="00A34B5C">
      <w:pPr>
        <w:spacing w:after="0" w:line="240" w:lineRule="auto"/>
        <w:rPr>
          <w:rFonts w:ascii="Times New Roman" w:eastAsia="Calibri" w:hAnsi="Times New Roman" w:cs="Times New Roman"/>
          <w:lang w:val="lt-LT"/>
        </w:rPr>
      </w:pPr>
    </w:p>
    <w:p w14:paraId="6B8AF8F7" w14:textId="77777777" w:rsidR="00A34B5C" w:rsidRPr="00B27E7B" w:rsidRDefault="00A34B5C" w:rsidP="00A34B5C">
      <w:pPr>
        <w:spacing w:after="0" w:line="240" w:lineRule="auto"/>
        <w:rPr>
          <w:rFonts w:ascii="Times New Roman" w:hAnsi="Times New Roman"/>
          <w:b/>
          <w:lang w:val="lt-LT"/>
        </w:rPr>
      </w:pPr>
      <w:r w:rsidRPr="00B27E7B">
        <w:rPr>
          <w:rFonts w:ascii="Times New Roman" w:hAnsi="Times New Roman"/>
          <w:b/>
          <w:lang w:val="lt-LT"/>
        </w:rPr>
        <w:t>Šizofrenijos gydymas</w:t>
      </w:r>
    </w:p>
    <w:p w14:paraId="4D7E02AE"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Dažniausiai gydyti pradedama nuo 12,5 mg (pusės 25 mg tabletės) vieną ar du kartus pirmąją dieną. Antrą parą reikia gerti 25 mg vieną ar du kartus per parą. Jeigu vaistas toleruojamas gerai, gydytojas per kitas 2</w:t>
      </w:r>
      <w:r w:rsidRPr="00A34B5C">
        <w:rPr>
          <w:rFonts w:ascii="Times New Roman" w:eastAsia="Calibri" w:hAnsi="Times New Roman" w:cs="Times New Roman"/>
          <w:lang w:val="lt-LT"/>
        </w:rPr>
        <w:noBreakHyphen/>
        <w:t>3 savaites paros dozę gali laipsniškai didinti 25</w:t>
      </w:r>
      <w:r w:rsidRPr="00A34B5C">
        <w:rPr>
          <w:rFonts w:ascii="Times New Roman" w:eastAsia="Calibri" w:hAnsi="Times New Roman" w:cs="Times New Roman"/>
          <w:lang w:val="lt-LT"/>
        </w:rPr>
        <w:noBreakHyphen/>
        <w:t>50 mg, tačiau paros dozė negali būti didesnė kaip 300 mg. Vėliau, jei reikia, paros dozę kas pusę savaitės arba (pageidautina) kas savaitę galima didinti 50</w:t>
      </w:r>
      <w:r w:rsidRPr="00A34B5C">
        <w:rPr>
          <w:rFonts w:ascii="Times New Roman" w:eastAsia="Calibri" w:hAnsi="Times New Roman" w:cs="Times New Roman"/>
          <w:lang w:val="lt-LT"/>
        </w:rPr>
        <w:noBreakHyphen/>
        <w:t xml:space="preserve">100 mg. </w:t>
      </w:r>
    </w:p>
    <w:p w14:paraId="7639BD3A" w14:textId="77777777" w:rsidR="00A34B5C" w:rsidRPr="00A34B5C" w:rsidRDefault="00A34B5C" w:rsidP="00A34B5C">
      <w:pPr>
        <w:spacing w:after="0" w:line="240" w:lineRule="auto"/>
        <w:rPr>
          <w:rFonts w:ascii="Times New Roman" w:eastAsia="Calibri" w:hAnsi="Times New Roman" w:cs="Times New Roman"/>
          <w:lang w:val="lt-LT"/>
        </w:rPr>
      </w:pPr>
    </w:p>
    <w:p w14:paraId="201D491E"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Įprastinė veiksminga Leponex dozė yra 200</w:t>
      </w:r>
      <w:r w:rsidRPr="00A34B5C">
        <w:rPr>
          <w:rFonts w:ascii="Times New Roman" w:eastAsia="Calibri" w:hAnsi="Times New Roman" w:cs="Times New Roman"/>
          <w:lang w:val="lt-LT"/>
        </w:rPr>
        <w:noBreakHyphen/>
        <w:t>450 mg per parą. Padalyta paros dozė išgeriama per kelis kartus. Kai kuriems žmonėms gali prireikti didžiausios 900 mg dozės per parą. Jei vartojate didesnę nei 450 mg dozę per parą, gali padidėti šalutinių poveikių (ypač priepuolių) rizika. Paprastai padalyta paros dozė suvartojama ryte ir vakare, tačiau gydytojas Jums tiksliai pasakys kaip Jums vartoti vaisto paros dozę. Jei vaisto vartojate tik 200 mg dozę per parą, ją galite išgerti kaip vienetinę dozę vakare. Jei Leponex vartojama tam tikrą laikotarpį ir poveikis yra geras, gydytojas gali bandyti mažinti dozę. Leponex gydoma mažiausiai šešis mėnesius.</w:t>
      </w:r>
    </w:p>
    <w:p w14:paraId="1E8ABEDF" w14:textId="77777777" w:rsidR="00A34B5C" w:rsidRPr="00A34B5C" w:rsidRDefault="00A34B5C" w:rsidP="00A34B5C">
      <w:pPr>
        <w:spacing w:after="0" w:line="240" w:lineRule="auto"/>
        <w:rPr>
          <w:rFonts w:ascii="Times New Roman" w:eastAsia="Calibri" w:hAnsi="Times New Roman" w:cs="Times New Roman"/>
          <w:lang w:val="lt-LT"/>
        </w:rPr>
      </w:pPr>
    </w:p>
    <w:p w14:paraId="4BC9229D" w14:textId="77777777" w:rsidR="00A34B5C" w:rsidRPr="00B27E7B" w:rsidRDefault="00A34B5C" w:rsidP="00A34B5C">
      <w:pPr>
        <w:spacing w:after="0" w:line="240" w:lineRule="auto"/>
        <w:rPr>
          <w:rFonts w:ascii="Times New Roman" w:hAnsi="Times New Roman"/>
          <w:b/>
          <w:lang w:val="lt-LT"/>
        </w:rPr>
      </w:pPr>
      <w:r w:rsidRPr="00B27E7B">
        <w:rPr>
          <w:rFonts w:ascii="Times New Roman" w:hAnsi="Times New Roman"/>
          <w:b/>
          <w:lang w:val="lt-LT"/>
        </w:rPr>
        <w:t>Parkinsono liga sergančių pacientų sunkių psichikos sutrikimų gydymas</w:t>
      </w:r>
    </w:p>
    <w:p w14:paraId="7E41C450"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Dažniausiai gydyti pradedama nuo 12,5 mg (pusės 25 mg) tabletės, geriamos vakare, paskui dozė laipsniškai didinama po 12,5 mg ne dažniau kaip du kartus per savaitę. Antrosios gydymo savaitės pabaigoje dozė negali būti didesnė kaip 50 mg. Jei padidinus vaisto dozę Jums pasireiškė alpimas, svaigimas ar sumišimas, tolesnis dozės didinimas turi būti sustabdytas arba atidėtas. Siekiant išvengti šių simptomų, pirmąją gydymo savaitę Jums bus matuojamas kraujospūdis.</w:t>
      </w:r>
    </w:p>
    <w:p w14:paraId="3C1524C1" w14:textId="77777777" w:rsidR="00A34B5C" w:rsidRPr="00A34B5C" w:rsidRDefault="00A34B5C" w:rsidP="00A34B5C">
      <w:pPr>
        <w:spacing w:after="0" w:line="240" w:lineRule="auto"/>
        <w:rPr>
          <w:rFonts w:ascii="Times New Roman" w:eastAsia="Calibri" w:hAnsi="Times New Roman" w:cs="Times New Roman"/>
          <w:lang w:val="lt-LT"/>
        </w:rPr>
      </w:pPr>
    </w:p>
    <w:p w14:paraId="122FC4FA"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Įprastinė veiksminga dozė yra 25</w:t>
      </w:r>
      <w:r w:rsidRPr="00A34B5C">
        <w:rPr>
          <w:rFonts w:ascii="Times New Roman" w:eastAsia="Calibri" w:hAnsi="Times New Roman" w:cs="Times New Roman"/>
          <w:lang w:val="lt-LT"/>
        </w:rPr>
        <w:noBreakHyphen/>
        <w:t>37,5 mg per parą, paprastai ji geriama vieną kartą vakare. Didesnė kaip 50 mg dozė per parą gali būti skiriama tik išskirtiniais atvejais. Kai kuriems žmonėms gali prireikti didžiausios 100 mg dozės per parą.</w:t>
      </w:r>
    </w:p>
    <w:p w14:paraId="4DA45B86" w14:textId="77777777" w:rsidR="00A34B5C" w:rsidRPr="00A34B5C" w:rsidRDefault="00A34B5C" w:rsidP="00A34B5C">
      <w:pPr>
        <w:spacing w:after="0" w:line="240" w:lineRule="auto"/>
        <w:rPr>
          <w:rFonts w:ascii="Times New Roman" w:eastAsia="Calibri" w:hAnsi="Times New Roman" w:cs="Times New Roman"/>
          <w:lang w:val="lt-LT"/>
        </w:rPr>
      </w:pPr>
    </w:p>
    <w:p w14:paraId="35580011"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Tabletes nurykite užgerdami vandeniu.</w:t>
      </w:r>
    </w:p>
    <w:p w14:paraId="0C076498" w14:textId="77777777" w:rsidR="00A34B5C" w:rsidRPr="00A34B5C" w:rsidRDefault="00A34B5C" w:rsidP="00A34B5C">
      <w:pPr>
        <w:spacing w:after="0" w:line="240" w:lineRule="auto"/>
        <w:rPr>
          <w:rFonts w:ascii="Times New Roman" w:eastAsia="Calibri" w:hAnsi="Times New Roman" w:cs="Times New Roman"/>
          <w:lang w:val="lt-LT"/>
        </w:rPr>
      </w:pPr>
    </w:p>
    <w:p w14:paraId="12AADB96" w14:textId="0255B8AB" w:rsidR="00A34B5C" w:rsidRPr="00A34B5C" w:rsidRDefault="00A34B5C" w:rsidP="00A34B5C">
      <w:pPr>
        <w:spacing w:after="0" w:line="240" w:lineRule="auto"/>
        <w:ind w:left="567" w:hanging="567"/>
        <w:rPr>
          <w:rFonts w:ascii="Times New Roman" w:eastAsia="Calibri" w:hAnsi="Times New Roman" w:cs="Times New Roman"/>
          <w:b/>
          <w:lang w:val="lt-LT"/>
        </w:rPr>
      </w:pPr>
      <w:r w:rsidRPr="00A34B5C">
        <w:rPr>
          <w:rFonts w:ascii="Times New Roman" w:eastAsia="Calibri" w:hAnsi="Times New Roman" w:cs="Times New Roman"/>
          <w:b/>
          <w:lang w:val="lt-LT"/>
        </w:rPr>
        <w:t>Ką daryti pavartojus per didelę Leponex dozę</w:t>
      </w:r>
    </w:p>
    <w:p w14:paraId="3FB6BE18"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Jei Jūs ar kas nors kitas išgėrė per daug vaisto, nedelsdami kreipkitės į gydytoją ar artimiausią skubiosios pagalbos skyrių.</w:t>
      </w:r>
    </w:p>
    <w:p w14:paraId="60A765D3"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Vaisto perdozavimo simptomai: mieguistumas, nuovargis, energijos trūkumas, sąmonės praradimas, koma, sumišimas, haliucinacijos, sujaudinimas, nerišli kalba, sustingusios galūnės, drebančios rankos, apopleksijos smūgiai (priepuoliai), padidėjęs seilėtekis, išsiplėtę akių vyzdžiai, neryškus matymas, žemas kraujospūdis, kolapsas, greitas ar nereguliarus širdies plakimas, paviršutiniškas ar pasunkėjęs kvėpavimas.</w:t>
      </w:r>
    </w:p>
    <w:p w14:paraId="10FA37F5" w14:textId="77777777" w:rsidR="00A34B5C" w:rsidRPr="00A34B5C" w:rsidRDefault="00A34B5C" w:rsidP="00A34B5C">
      <w:pPr>
        <w:spacing w:after="0" w:line="240" w:lineRule="auto"/>
        <w:rPr>
          <w:rFonts w:ascii="Times New Roman" w:eastAsia="Calibri" w:hAnsi="Times New Roman" w:cs="Times New Roman"/>
          <w:lang w:val="lt-LT"/>
        </w:rPr>
      </w:pPr>
    </w:p>
    <w:p w14:paraId="6A415F7C" w14:textId="77777777" w:rsidR="00A34B5C" w:rsidRPr="00A34B5C" w:rsidRDefault="00A34B5C" w:rsidP="00A34B5C">
      <w:pPr>
        <w:spacing w:after="0" w:line="240" w:lineRule="auto"/>
        <w:ind w:left="567" w:hanging="567"/>
        <w:rPr>
          <w:rFonts w:ascii="Times New Roman" w:eastAsia="Calibri" w:hAnsi="Times New Roman" w:cs="Times New Roman"/>
          <w:b/>
          <w:lang w:val="lt-LT"/>
        </w:rPr>
      </w:pPr>
      <w:r w:rsidRPr="00A34B5C">
        <w:rPr>
          <w:rFonts w:ascii="Times New Roman" w:eastAsia="Calibri" w:hAnsi="Times New Roman" w:cs="Times New Roman"/>
          <w:b/>
          <w:lang w:val="lt-LT"/>
        </w:rPr>
        <w:t xml:space="preserve">Pamiršus pavartoti Leponex </w:t>
      </w:r>
    </w:p>
    <w:p w14:paraId="68F8FBB3"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Jei pamiršote išgerti dozę, kitą išgerkite iš karto prisiminę. Jei jau laikas vartoti kitą dozę, pamirštosios negerkite, o kitą gerkite nustatytu laiku. Negalima vartoti dvigubos dozės norint kompensuoti praleistą dozę. Svarbu prisiminti, kad, nepavartoję Leponex ilgiau kaip 48 valandas, kuo greičiau turite kreiptis į gydytoją.</w:t>
      </w:r>
    </w:p>
    <w:p w14:paraId="32DCF232" w14:textId="77777777" w:rsidR="00A34B5C" w:rsidRPr="00A34B5C" w:rsidRDefault="00A34B5C" w:rsidP="00A34B5C">
      <w:pPr>
        <w:spacing w:after="0" w:line="240" w:lineRule="auto"/>
        <w:rPr>
          <w:rFonts w:ascii="Times New Roman" w:eastAsia="Calibri" w:hAnsi="Times New Roman" w:cs="Times New Roman"/>
          <w:b/>
          <w:lang w:val="lt-LT"/>
        </w:rPr>
      </w:pPr>
    </w:p>
    <w:p w14:paraId="61443EC8" w14:textId="77777777" w:rsidR="00A34B5C" w:rsidRPr="00A34B5C" w:rsidRDefault="00A34B5C" w:rsidP="00A34B5C">
      <w:pPr>
        <w:spacing w:after="0" w:line="240" w:lineRule="auto"/>
        <w:rPr>
          <w:rFonts w:ascii="Times New Roman" w:eastAsia="Calibri" w:hAnsi="Times New Roman" w:cs="Times New Roman"/>
          <w:b/>
          <w:bCs/>
          <w:lang w:val="lt-LT"/>
        </w:rPr>
      </w:pPr>
      <w:r w:rsidRPr="00A34B5C">
        <w:rPr>
          <w:rFonts w:ascii="Times New Roman" w:eastAsia="Calibri" w:hAnsi="Times New Roman" w:cs="Times New Roman"/>
          <w:b/>
          <w:bCs/>
          <w:lang w:val="lt-LT"/>
        </w:rPr>
        <w:t>Nustojus vartoti Leponex</w:t>
      </w:r>
    </w:p>
    <w:p w14:paraId="12295799"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Negalima nutraukti gydymo Leponex be gydytojo sutikimo, nes gali pasireikšti vaisto nutraukimo reakcijos, tokios kaip prakaitavimas, galvos skausmas, pykinimas (šleikštulys), vėmimas ir viduriavimas.</w:t>
      </w:r>
    </w:p>
    <w:p w14:paraId="5712535C"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Jeigu Jums pasireiškė bet kuris iš anksčiau nurodytų požymių, nedelsdami pasakykite gydytojui, kadangi tinkamai negydant gali pasireikšti ir sunkesnių šalutinių reiškinių.</w:t>
      </w:r>
    </w:p>
    <w:p w14:paraId="7514D4E6"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lastRenderedPageBreak/>
        <w:t xml:space="preserve">Visi anksčiau buvę požymiai gali atsinaujinti. Norint nutraukti gydymą, rekomenduojama vaisto dozę laipsniškai mažinti po 12,5 mg per vieną ar dvi savaites. Gydytojas Jums patars kaip sumažinti Jūsų dienos dozę. Gydytojas turės patikrinti Jūsų sveikatos būklę, jei staiga nustojote vartoti Leponex. Jei gydytojas nuspęs atnaujinti gydymą Leponex ir po paskutinės </w:t>
      </w:r>
      <w:r w:rsidRPr="00A34B5C">
        <w:rPr>
          <w:rFonts w:ascii="Times New Roman" w:eastAsia="Calibri" w:hAnsi="Times New Roman" w:cs="Times New Roman"/>
          <w:spacing w:val="-3"/>
          <w:lang w:val="lt-LT"/>
        </w:rPr>
        <w:t>Leponex</w:t>
      </w:r>
      <w:r w:rsidRPr="00A34B5C">
        <w:rPr>
          <w:rFonts w:ascii="Times New Roman" w:eastAsia="Calibri" w:hAnsi="Times New Roman" w:cs="Times New Roman"/>
          <w:lang w:val="lt-LT"/>
        </w:rPr>
        <w:t xml:space="preserve"> dozės suvartojimo bus praėjusios daugiau kaip 2 paros, pradinė dozė bus 12,5 mg.</w:t>
      </w:r>
    </w:p>
    <w:p w14:paraId="3B386BA6" w14:textId="77777777" w:rsidR="00A34B5C" w:rsidRPr="00A34B5C" w:rsidRDefault="00A34B5C" w:rsidP="00A34B5C">
      <w:pPr>
        <w:spacing w:after="0" w:line="240" w:lineRule="auto"/>
        <w:rPr>
          <w:rFonts w:ascii="Times New Roman" w:eastAsia="Calibri" w:hAnsi="Times New Roman" w:cs="Times New Roman"/>
          <w:b/>
          <w:lang w:val="lt-LT"/>
        </w:rPr>
      </w:pPr>
    </w:p>
    <w:p w14:paraId="7E868EF3" w14:textId="77777777" w:rsidR="00A34B5C" w:rsidRPr="00A34B5C" w:rsidRDefault="00A34B5C" w:rsidP="00A34B5C">
      <w:p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Jeigu kiltų daugiau klausimų dėl šio vaisto vartojimo, kreipkitės į gydytoją arba vaistininką.</w:t>
      </w:r>
    </w:p>
    <w:p w14:paraId="0B2703B5" w14:textId="77777777" w:rsidR="00A34B5C" w:rsidRPr="00A34B5C" w:rsidRDefault="00A34B5C" w:rsidP="00A34B5C">
      <w:pPr>
        <w:spacing w:after="0" w:line="240" w:lineRule="auto"/>
        <w:rPr>
          <w:rFonts w:ascii="Times New Roman" w:eastAsia="Calibri" w:hAnsi="Times New Roman" w:cs="Times New Roman"/>
          <w:lang w:val="lt-LT"/>
        </w:rPr>
      </w:pPr>
    </w:p>
    <w:p w14:paraId="72C5DAF1"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2B6D457D" w14:textId="77777777" w:rsidR="00A34B5C" w:rsidRPr="00B27E7B" w:rsidRDefault="00A34B5C" w:rsidP="00B27E7B">
      <w:pPr>
        <w:widowControl w:val="0"/>
        <w:autoSpaceDE w:val="0"/>
        <w:autoSpaceDN w:val="0"/>
        <w:spacing w:after="0" w:line="240" w:lineRule="auto"/>
        <w:ind w:left="540" w:hanging="540"/>
        <w:outlineLvl w:val="1"/>
        <w:rPr>
          <w:rFonts w:ascii="Times New Roman" w:hAnsi="Times New Roman"/>
          <w:b/>
          <w:lang w:val="lt-LT"/>
        </w:rPr>
      </w:pPr>
      <w:r w:rsidRPr="00B27E7B">
        <w:rPr>
          <w:rFonts w:ascii="Times New Roman" w:hAnsi="Times New Roman"/>
          <w:b/>
          <w:lang w:val="lt-LT"/>
        </w:rPr>
        <w:t>4.</w:t>
      </w:r>
      <w:r w:rsidRPr="00B27E7B">
        <w:rPr>
          <w:rFonts w:ascii="Times New Roman" w:hAnsi="Times New Roman"/>
          <w:b/>
          <w:lang w:val="lt-LT"/>
        </w:rPr>
        <w:tab/>
      </w:r>
      <w:r w:rsidRPr="00DB0E71">
        <w:rPr>
          <w:rFonts w:ascii="Times New Roman" w:eastAsia="Times New Roman" w:hAnsi="Times New Roman" w:cs="Times New Roman"/>
          <w:b/>
          <w:bCs/>
          <w:lang w:val="lt-LT"/>
        </w:rPr>
        <w:t>Galimas šalutinis poveikis</w:t>
      </w:r>
    </w:p>
    <w:p w14:paraId="1A0FA2A8"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64DFBD21"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Šis vaistas, kaip ir visi kiti, gali sukelti šalutinį poveikį, nors jis pasireiškia ne visiems žmonėms.</w:t>
      </w:r>
    </w:p>
    <w:p w14:paraId="76677A5E"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7ACE711D" w14:textId="77777777" w:rsidR="00A34B5C" w:rsidRPr="0035481C" w:rsidRDefault="00A34B5C" w:rsidP="00A34B5C">
      <w:pPr>
        <w:spacing w:after="0" w:line="240" w:lineRule="auto"/>
        <w:rPr>
          <w:rFonts w:ascii="Times New Roman" w:eastAsia="Calibri" w:hAnsi="Times New Roman" w:cs="Times New Roman"/>
          <w:b/>
          <w:bCs/>
          <w:lang w:val="lt-LT"/>
        </w:rPr>
      </w:pPr>
      <w:r w:rsidRPr="0035481C">
        <w:rPr>
          <w:rFonts w:ascii="Times New Roman" w:eastAsia="Calibri" w:hAnsi="Times New Roman" w:cs="Times New Roman"/>
          <w:b/>
          <w:bCs/>
          <w:lang w:val="lt-LT"/>
        </w:rPr>
        <w:t xml:space="preserve">Kai kurie šalutiniai poveikiai gali būti sunkūs ir reikalauti skubios medicininės pagalbos. </w:t>
      </w:r>
    </w:p>
    <w:p w14:paraId="5CD6673C" w14:textId="2D9A3C02" w:rsidR="00A34B5C" w:rsidRPr="0035481C" w:rsidRDefault="00A34B5C" w:rsidP="00A34B5C">
      <w:pPr>
        <w:spacing w:after="0" w:line="240" w:lineRule="auto"/>
        <w:rPr>
          <w:rFonts w:ascii="Times New Roman" w:eastAsia="Calibri" w:hAnsi="Times New Roman" w:cs="Times New Roman"/>
          <w:b/>
          <w:bCs/>
          <w:lang w:val="lt-LT"/>
        </w:rPr>
      </w:pPr>
      <w:r w:rsidRPr="0035481C">
        <w:rPr>
          <w:rFonts w:ascii="Times New Roman" w:eastAsia="Calibri" w:hAnsi="Times New Roman" w:cs="Times New Roman"/>
          <w:b/>
          <w:bCs/>
          <w:lang w:val="lt-LT"/>
        </w:rPr>
        <w:t xml:space="preserve">Nedelsiant pasakykite gydytojui prieš vartojant kitą Leponex tabletę, jei pasireiškė toliau nurodyti </w:t>
      </w:r>
      <w:r w:rsidR="000D1218" w:rsidRPr="000D1218">
        <w:rPr>
          <w:rFonts w:ascii="Times New Roman" w:eastAsia="Calibri" w:hAnsi="Times New Roman" w:cs="Times New Roman"/>
          <w:b/>
          <w:bCs/>
          <w:lang w:val="lt-LT"/>
        </w:rPr>
        <w:t>šalutinio poveikio</w:t>
      </w:r>
      <w:r w:rsidRPr="0035481C">
        <w:rPr>
          <w:rFonts w:ascii="Times New Roman" w:eastAsia="Calibri" w:hAnsi="Times New Roman" w:cs="Times New Roman"/>
          <w:b/>
          <w:bCs/>
          <w:lang w:val="lt-LT"/>
        </w:rPr>
        <w:t xml:space="preserve"> reiškiniai.</w:t>
      </w:r>
    </w:p>
    <w:p w14:paraId="284352D2" w14:textId="77777777" w:rsidR="00A34B5C" w:rsidRPr="00A34B5C" w:rsidRDefault="00A34B5C" w:rsidP="00A34B5C">
      <w:pPr>
        <w:spacing w:after="0" w:line="240" w:lineRule="auto"/>
        <w:rPr>
          <w:rFonts w:ascii="Times New Roman" w:eastAsia="Calibri" w:hAnsi="Times New Roman" w:cs="Times New Roman"/>
          <w:b/>
          <w:bCs/>
          <w:lang w:val="lt-LT"/>
        </w:rPr>
      </w:pPr>
    </w:p>
    <w:p w14:paraId="39CD1CF4" w14:textId="1D15B24B" w:rsidR="00A34B5C" w:rsidRPr="00A34B5C" w:rsidRDefault="00A34B5C" w:rsidP="00A34B5C">
      <w:pPr>
        <w:spacing w:after="0" w:line="240" w:lineRule="auto"/>
        <w:rPr>
          <w:rFonts w:ascii="Times New Roman" w:eastAsia="Calibri" w:hAnsi="Times New Roman" w:cs="Times New Roman"/>
          <w:bCs/>
          <w:i/>
          <w:lang w:val="lt-LT"/>
        </w:rPr>
      </w:pPr>
      <w:r w:rsidRPr="0035481C">
        <w:rPr>
          <w:rFonts w:ascii="Times New Roman" w:eastAsia="Calibri" w:hAnsi="Times New Roman" w:cs="Times New Roman"/>
          <w:b/>
          <w:bCs/>
          <w:lang w:val="lt-LT"/>
        </w:rPr>
        <w:t>Labai dažni</w:t>
      </w:r>
      <w:r w:rsidR="000D1218" w:rsidRPr="00B27E7B">
        <w:t xml:space="preserve"> </w:t>
      </w:r>
      <w:r w:rsidR="000D1218" w:rsidRPr="000D1218">
        <w:rPr>
          <w:rFonts w:ascii="Times New Roman" w:eastAsia="Calibri" w:hAnsi="Times New Roman" w:cs="Times New Roman"/>
          <w:b/>
          <w:bCs/>
          <w:lang w:val="lt-LT"/>
        </w:rPr>
        <w:t>šalutinio poveikio reiškiniai (gali pasireikšti ne rečiau</w:t>
      </w:r>
      <w:r w:rsidR="000D1218" w:rsidRPr="00B27E7B">
        <w:rPr>
          <w:rFonts w:ascii="Times New Roman" w:hAnsi="Times New Roman"/>
          <w:b/>
          <w:lang w:val="lt-LT"/>
        </w:rPr>
        <w:t xml:space="preserve"> kaip 1 iš 10</w:t>
      </w:r>
      <w:r w:rsidR="00974960">
        <w:rPr>
          <w:rFonts w:ascii="Times New Roman" w:eastAsia="Calibri" w:hAnsi="Times New Roman" w:cs="Times New Roman"/>
          <w:b/>
          <w:bCs/>
          <w:lang w:val="lt-LT"/>
        </w:rPr>
        <w:t> </w:t>
      </w:r>
      <w:r w:rsidR="000D1218" w:rsidRPr="000D1218">
        <w:rPr>
          <w:rFonts w:ascii="Times New Roman" w:eastAsia="Calibri" w:hAnsi="Times New Roman" w:cs="Times New Roman"/>
          <w:b/>
          <w:bCs/>
          <w:lang w:val="lt-LT"/>
        </w:rPr>
        <w:t>asmenų</w:t>
      </w:r>
      <w:r w:rsidR="000D1218" w:rsidRPr="00B27E7B">
        <w:rPr>
          <w:rFonts w:ascii="Times New Roman" w:hAnsi="Times New Roman"/>
          <w:b/>
          <w:lang w:val="lt-LT"/>
        </w:rPr>
        <w:t>):</w:t>
      </w:r>
    </w:p>
    <w:p w14:paraId="0CDC8E3E" w14:textId="77777777" w:rsidR="00246EB4" w:rsidRPr="00246EB4" w:rsidRDefault="00246EB4" w:rsidP="00246EB4">
      <w:pPr>
        <w:numPr>
          <w:ilvl w:val="0"/>
          <w:numId w:val="16"/>
        </w:numPr>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bCs/>
          <w:lang w:val="lt-LT"/>
        </w:rPr>
        <w:t xml:space="preserve">sunkus </w:t>
      </w:r>
      <w:r w:rsidR="00A34B5C" w:rsidRPr="0035481C">
        <w:rPr>
          <w:rFonts w:ascii="Times New Roman" w:eastAsia="Calibri" w:hAnsi="Times New Roman" w:cs="Times New Roman"/>
          <w:b/>
          <w:bCs/>
          <w:lang w:val="lt-LT"/>
        </w:rPr>
        <w:t>vidurių užkietėjimas</w:t>
      </w:r>
      <w:r w:rsidR="00A34B5C" w:rsidRPr="00A34B5C">
        <w:rPr>
          <w:rFonts w:ascii="Times New Roman" w:eastAsia="Calibri" w:hAnsi="Times New Roman" w:cs="Times New Roman"/>
          <w:lang w:val="lt-LT"/>
        </w:rPr>
        <w:t>.</w:t>
      </w:r>
      <w:r>
        <w:rPr>
          <w:rFonts w:ascii="Times New Roman" w:eastAsia="Calibri" w:hAnsi="Times New Roman" w:cs="Times New Roman"/>
          <w:lang w:val="lt-LT"/>
        </w:rPr>
        <w:t xml:space="preserve"> </w:t>
      </w:r>
      <w:r w:rsidRPr="00246EB4">
        <w:rPr>
          <w:rFonts w:ascii="Times New Roman" w:eastAsia="Calibri" w:hAnsi="Times New Roman" w:cs="Times New Roman"/>
          <w:lang w:val="lt-LT"/>
        </w:rPr>
        <w:t>Gydytojas turės užkietėjimą gydyti, kad būtų išvengta tolesnių komplikacijų.</w:t>
      </w:r>
    </w:p>
    <w:p w14:paraId="04498C96" w14:textId="77777777" w:rsidR="00A34B5C" w:rsidRPr="00A34B5C" w:rsidRDefault="00246EB4" w:rsidP="00A34B5C">
      <w:pPr>
        <w:numPr>
          <w:ilvl w:val="0"/>
          <w:numId w:val="16"/>
        </w:numPr>
        <w:spacing w:after="0" w:line="240" w:lineRule="auto"/>
        <w:ind w:left="567" w:hanging="567"/>
        <w:rPr>
          <w:rFonts w:ascii="Times New Roman" w:eastAsia="Calibri" w:hAnsi="Times New Roman" w:cs="Times New Roman"/>
          <w:lang w:val="lt-LT"/>
        </w:rPr>
      </w:pPr>
      <w:r w:rsidRPr="00246EB4">
        <w:rPr>
          <w:rFonts w:ascii="Times New Roman" w:eastAsia="Calibri" w:hAnsi="Times New Roman" w:cs="Times New Roman"/>
          <w:b/>
          <w:bCs/>
          <w:lang w:val="lt-LT"/>
        </w:rPr>
        <w:t>greitas širdies plakimas</w:t>
      </w:r>
      <w:r>
        <w:rPr>
          <w:rFonts w:ascii="Times New Roman" w:eastAsia="Calibri" w:hAnsi="Times New Roman" w:cs="Times New Roman"/>
          <w:b/>
          <w:bCs/>
          <w:lang w:val="lt-LT"/>
        </w:rPr>
        <w:t>.</w:t>
      </w:r>
    </w:p>
    <w:p w14:paraId="14A3027A" w14:textId="77777777" w:rsidR="00A34B5C" w:rsidRPr="00A34B5C" w:rsidRDefault="00A34B5C" w:rsidP="00A34B5C">
      <w:pPr>
        <w:spacing w:after="0" w:line="240" w:lineRule="auto"/>
        <w:rPr>
          <w:rFonts w:ascii="Times New Roman" w:eastAsia="Calibri" w:hAnsi="Times New Roman" w:cs="Times New Roman"/>
          <w:b/>
          <w:bCs/>
          <w:lang w:val="lt-LT"/>
        </w:rPr>
      </w:pPr>
    </w:p>
    <w:p w14:paraId="4CA2CDB3" w14:textId="2C181869" w:rsidR="00A34B5C" w:rsidRPr="00A34B5C" w:rsidRDefault="00A34B5C" w:rsidP="00A34B5C">
      <w:pPr>
        <w:spacing w:after="0" w:line="240" w:lineRule="auto"/>
        <w:rPr>
          <w:rFonts w:ascii="Times New Roman" w:eastAsia="Calibri" w:hAnsi="Times New Roman" w:cs="Times New Roman"/>
          <w:i/>
          <w:lang w:val="lt-LT"/>
        </w:rPr>
      </w:pPr>
      <w:r w:rsidRPr="0035481C">
        <w:rPr>
          <w:rFonts w:ascii="Times New Roman" w:eastAsia="Calibri" w:hAnsi="Times New Roman" w:cs="Times New Roman"/>
          <w:b/>
          <w:bCs/>
          <w:color w:val="000000"/>
          <w:lang w:val="lt-LT"/>
        </w:rPr>
        <w:t>Dažni</w:t>
      </w:r>
      <w:r w:rsidR="000D1218" w:rsidRPr="00B27E7B">
        <w:rPr>
          <w:rFonts w:ascii="Times New Roman" w:hAnsi="Times New Roman"/>
          <w:b/>
          <w:color w:val="000000"/>
          <w:lang w:val="lt-LT"/>
        </w:rPr>
        <w:t xml:space="preserve"> </w:t>
      </w:r>
      <w:r w:rsidR="000D1218" w:rsidRPr="000D1218">
        <w:rPr>
          <w:rFonts w:ascii="Times New Roman" w:eastAsia="Calibri" w:hAnsi="Times New Roman" w:cs="Times New Roman"/>
          <w:b/>
          <w:bCs/>
          <w:color w:val="000000"/>
          <w:lang w:val="lt-LT"/>
        </w:rPr>
        <w:t>šalutinio poveikio reiškiniai (gali pasireikšti rečiau</w:t>
      </w:r>
      <w:r w:rsidR="000D1218" w:rsidRPr="00B27E7B">
        <w:rPr>
          <w:rFonts w:ascii="Times New Roman" w:hAnsi="Times New Roman"/>
          <w:b/>
          <w:color w:val="000000"/>
          <w:lang w:val="lt-LT"/>
        </w:rPr>
        <w:t xml:space="preserve"> kaip 1 iš 10</w:t>
      </w:r>
      <w:r w:rsidR="00974960" w:rsidRPr="00B27E7B">
        <w:rPr>
          <w:rFonts w:ascii="Times New Roman" w:hAnsi="Times New Roman"/>
          <w:b/>
          <w:color w:val="000000"/>
          <w:lang w:val="lt-LT"/>
        </w:rPr>
        <w:t> </w:t>
      </w:r>
      <w:r w:rsidR="000D1218" w:rsidRPr="000D1218">
        <w:rPr>
          <w:rFonts w:ascii="Times New Roman" w:eastAsia="Calibri" w:hAnsi="Times New Roman" w:cs="Times New Roman"/>
          <w:b/>
          <w:bCs/>
          <w:color w:val="000000"/>
          <w:lang w:val="lt-LT"/>
        </w:rPr>
        <w:t>asmenų</w:t>
      </w:r>
      <w:r w:rsidR="000D1218" w:rsidRPr="00B27E7B">
        <w:rPr>
          <w:rFonts w:ascii="Times New Roman" w:hAnsi="Times New Roman"/>
          <w:b/>
          <w:color w:val="000000"/>
          <w:lang w:val="lt-LT"/>
        </w:rPr>
        <w:t>):</w:t>
      </w:r>
    </w:p>
    <w:p w14:paraId="1CBA1B87" w14:textId="77777777" w:rsidR="00A34B5C" w:rsidRPr="00A34B5C" w:rsidRDefault="00A34B5C" w:rsidP="00A34B5C">
      <w:pPr>
        <w:numPr>
          <w:ilvl w:val="0"/>
          <w:numId w:val="16"/>
        </w:numPr>
        <w:spacing w:after="0" w:line="240" w:lineRule="auto"/>
        <w:ind w:left="567" w:hanging="567"/>
        <w:rPr>
          <w:rFonts w:ascii="Times New Roman" w:eastAsia="Calibri" w:hAnsi="Times New Roman" w:cs="Times New Roman"/>
          <w:lang w:val="lt-LT"/>
        </w:rPr>
      </w:pPr>
      <w:r w:rsidRPr="0035481C">
        <w:rPr>
          <w:rFonts w:ascii="Times New Roman" w:eastAsia="Calibri" w:hAnsi="Times New Roman" w:cs="Times New Roman"/>
          <w:b/>
          <w:bCs/>
          <w:lang w:val="lt-LT"/>
        </w:rPr>
        <w:t>peršalimo</w:t>
      </w:r>
      <w:r w:rsidRPr="00A34B5C">
        <w:rPr>
          <w:rFonts w:ascii="Times New Roman" w:eastAsia="Calibri" w:hAnsi="Times New Roman" w:cs="Times New Roman"/>
          <w:bCs/>
          <w:lang w:val="lt-LT"/>
        </w:rPr>
        <w:t xml:space="preserve"> simptomai, </w:t>
      </w:r>
      <w:r w:rsidRPr="0035481C">
        <w:rPr>
          <w:rFonts w:ascii="Times New Roman" w:eastAsia="Calibri" w:hAnsi="Times New Roman" w:cs="Times New Roman"/>
          <w:b/>
          <w:bCs/>
          <w:lang w:val="lt-LT"/>
        </w:rPr>
        <w:t>karščiavimas, gripo simptomai, gerklės skausmas ar bet kuri kita infekcija</w:t>
      </w:r>
      <w:r w:rsidRPr="00A34B5C">
        <w:rPr>
          <w:rFonts w:ascii="Times New Roman" w:eastAsia="Calibri" w:hAnsi="Times New Roman" w:cs="Times New Roman"/>
          <w:lang w:val="lt-LT"/>
        </w:rPr>
        <w:t>. Jums reikės skubiai atlikti kraujo tyrimą, kuris nustatys, ar šiuos simptomus sukėlė vaisto vartojimas;</w:t>
      </w:r>
    </w:p>
    <w:p w14:paraId="2ABED92B" w14:textId="77777777" w:rsidR="00246EB4" w:rsidRDefault="00A34B5C" w:rsidP="0035481C">
      <w:pPr>
        <w:numPr>
          <w:ilvl w:val="0"/>
          <w:numId w:val="16"/>
        </w:num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traukuliai</w:t>
      </w:r>
      <w:r w:rsidR="00246EB4">
        <w:rPr>
          <w:rFonts w:ascii="Times New Roman" w:eastAsia="Calibri" w:hAnsi="Times New Roman" w:cs="Times New Roman"/>
          <w:lang w:val="lt-LT"/>
        </w:rPr>
        <w:t>;</w:t>
      </w:r>
    </w:p>
    <w:p w14:paraId="769E1944" w14:textId="77777777" w:rsidR="00246EB4" w:rsidRPr="00246EB4" w:rsidRDefault="00246EB4" w:rsidP="0035481C">
      <w:pPr>
        <w:numPr>
          <w:ilvl w:val="0"/>
          <w:numId w:val="16"/>
        </w:numPr>
        <w:spacing w:after="0" w:line="240" w:lineRule="auto"/>
        <w:ind w:left="567" w:hanging="567"/>
        <w:rPr>
          <w:rFonts w:ascii="Times New Roman" w:eastAsia="Calibri" w:hAnsi="Times New Roman" w:cs="Times New Roman"/>
          <w:lang w:val="lt-LT"/>
        </w:rPr>
      </w:pPr>
      <w:r w:rsidRPr="0035481C">
        <w:rPr>
          <w:rFonts w:ascii="Times New Roman" w:eastAsia="Calibri" w:hAnsi="Times New Roman" w:cs="Times New Roman"/>
          <w:lang w:val="lt-LT"/>
        </w:rPr>
        <w:t>staigus nualpimas ar sąmonės praradimas kartu su raumenų silpnumu (sinkopė).</w:t>
      </w:r>
    </w:p>
    <w:p w14:paraId="2A3C2CF5" w14:textId="77777777" w:rsidR="00A34B5C" w:rsidRPr="00A34B5C" w:rsidRDefault="00A34B5C" w:rsidP="00A34B5C">
      <w:pPr>
        <w:spacing w:after="0" w:line="240" w:lineRule="auto"/>
        <w:rPr>
          <w:rFonts w:ascii="Times New Roman" w:eastAsia="Calibri" w:hAnsi="Times New Roman" w:cs="Times New Roman"/>
          <w:b/>
          <w:bCs/>
          <w:lang w:val="lt-LT"/>
        </w:rPr>
      </w:pPr>
    </w:p>
    <w:p w14:paraId="6195722B" w14:textId="01952266" w:rsidR="00A34B5C" w:rsidRPr="00A34B5C" w:rsidRDefault="00A34B5C" w:rsidP="00A34B5C">
      <w:pPr>
        <w:spacing w:after="0" w:line="240" w:lineRule="auto"/>
        <w:rPr>
          <w:rFonts w:ascii="Times New Roman" w:eastAsia="Calibri" w:hAnsi="Times New Roman" w:cs="Times New Roman"/>
          <w:i/>
          <w:lang w:val="lt-LT"/>
        </w:rPr>
      </w:pPr>
      <w:r w:rsidRPr="0035481C">
        <w:rPr>
          <w:rFonts w:ascii="Times New Roman" w:eastAsia="Calibri" w:hAnsi="Times New Roman" w:cs="Times New Roman"/>
          <w:b/>
          <w:bCs/>
          <w:color w:val="000000"/>
          <w:lang w:val="lt-LT"/>
        </w:rPr>
        <w:t>Nedažni</w:t>
      </w:r>
      <w:r w:rsidR="000D1218" w:rsidRPr="00B27E7B">
        <w:t xml:space="preserve"> </w:t>
      </w:r>
      <w:r w:rsidR="000D1218" w:rsidRPr="000D1218">
        <w:rPr>
          <w:rFonts w:ascii="Times New Roman" w:eastAsia="Calibri" w:hAnsi="Times New Roman" w:cs="Times New Roman"/>
          <w:b/>
          <w:bCs/>
          <w:color w:val="000000"/>
          <w:lang w:val="lt-LT"/>
        </w:rPr>
        <w:t>šalutinio poveikio reiškiniai (gali pasireikšti rečiau</w:t>
      </w:r>
      <w:r w:rsidR="000D1218" w:rsidRPr="00B27E7B">
        <w:rPr>
          <w:rFonts w:ascii="Times New Roman" w:hAnsi="Times New Roman"/>
          <w:b/>
          <w:color w:val="000000"/>
          <w:lang w:val="lt-LT"/>
        </w:rPr>
        <w:t xml:space="preserve"> kaip 1 iš 100</w:t>
      </w:r>
      <w:r w:rsidR="00974960" w:rsidRPr="00B27E7B">
        <w:rPr>
          <w:rFonts w:ascii="Times New Roman" w:hAnsi="Times New Roman"/>
          <w:b/>
          <w:color w:val="000000"/>
          <w:lang w:val="lt-LT"/>
        </w:rPr>
        <w:t> </w:t>
      </w:r>
      <w:r w:rsidR="000D1218" w:rsidRPr="000D1218">
        <w:rPr>
          <w:rFonts w:ascii="Times New Roman" w:eastAsia="Calibri" w:hAnsi="Times New Roman" w:cs="Times New Roman"/>
          <w:b/>
          <w:bCs/>
          <w:color w:val="000000"/>
          <w:lang w:val="lt-LT"/>
        </w:rPr>
        <w:t>asmenų</w:t>
      </w:r>
      <w:r w:rsidR="000D1218" w:rsidRPr="00B27E7B">
        <w:rPr>
          <w:rFonts w:ascii="Times New Roman" w:hAnsi="Times New Roman"/>
          <w:b/>
          <w:color w:val="000000"/>
          <w:lang w:val="lt-LT"/>
        </w:rPr>
        <w:t>):</w:t>
      </w:r>
    </w:p>
    <w:p w14:paraId="3D49BA2E" w14:textId="77777777" w:rsidR="009E4757" w:rsidRDefault="00A34B5C" w:rsidP="00246EB4">
      <w:pPr>
        <w:numPr>
          <w:ilvl w:val="0"/>
          <w:numId w:val="16"/>
        </w:num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ūmiai pakilusi kūno temperatūra, raumenų sąstingis, kurie vėliau gali sukelti sąmonės praradimą (piktybinis neurolepsinis sindromas).</w:t>
      </w:r>
      <w:r w:rsidR="00246EB4" w:rsidRPr="00246EB4">
        <w:rPr>
          <w:rFonts w:ascii="Times New Roman" w:eastAsia="Calibri" w:hAnsi="Times New Roman" w:cs="Times New Roman"/>
          <w:lang w:val="lt-LT"/>
        </w:rPr>
        <w:t xml:space="preserve"> Tai gali būti sunkaus šalutinio poveikio reiškinys, kurį reikia nedelsiant gydyti</w:t>
      </w:r>
      <w:r w:rsidR="009E4757">
        <w:rPr>
          <w:rFonts w:ascii="Times New Roman" w:eastAsia="Calibri" w:hAnsi="Times New Roman" w:cs="Times New Roman"/>
          <w:lang w:val="lt-LT"/>
        </w:rPr>
        <w:t>;</w:t>
      </w:r>
      <w:r w:rsidR="009E4757" w:rsidRPr="009E4757">
        <w:rPr>
          <w:rFonts w:ascii="Times New Roman" w:eastAsia="Calibri" w:hAnsi="Times New Roman" w:cs="Times New Roman"/>
          <w:lang w:val="lt-LT"/>
        </w:rPr>
        <w:t xml:space="preserve"> </w:t>
      </w:r>
    </w:p>
    <w:p w14:paraId="50785964" w14:textId="77777777" w:rsidR="00A34B5C" w:rsidRPr="00246EB4" w:rsidRDefault="009E4757" w:rsidP="00246EB4">
      <w:pPr>
        <w:numPr>
          <w:ilvl w:val="0"/>
          <w:numId w:val="16"/>
        </w:numPr>
        <w:spacing w:after="0" w:line="240" w:lineRule="auto"/>
        <w:ind w:left="567" w:hanging="567"/>
        <w:rPr>
          <w:rFonts w:ascii="Times New Roman" w:eastAsia="Calibri" w:hAnsi="Times New Roman" w:cs="Times New Roman"/>
          <w:lang w:val="lt-LT"/>
        </w:rPr>
      </w:pPr>
      <w:r w:rsidRPr="009E4757">
        <w:rPr>
          <w:rFonts w:ascii="Times New Roman" w:eastAsia="Calibri" w:hAnsi="Times New Roman" w:cs="Times New Roman"/>
          <w:lang w:val="lt-LT"/>
        </w:rPr>
        <w:t>galvos sukimasis, svaigimas ar alpimas, stojantis iš sėdimos arba gulimos padėties, nes gali padidėti rizika pargriūti</w:t>
      </w:r>
      <w:r>
        <w:rPr>
          <w:rFonts w:ascii="Times New Roman" w:eastAsia="Calibri" w:hAnsi="Times New Roman" w:cs="Times New Roman"/>
          <w:lang w:val="lt-LT"/>
        </w:rPr>
        <w:t>.</w:t>
      </w:r>
    </w:p>
    <w:p w14:paraId="340A33A3" w14:textId="77777777" w:rsidR="00A34B5C" w:rsidRPr="00A34B5C" w:rsidRDefault="00A34B5C" w:rsidP="00A34B5C">
      <w:pPr>
        <w:spacing w:after="0" w:line="240" w:lineRule="auto"/>
        <w:rPr>
          <w:rFonts w:ascii="Times New Roman" w:eastAsia="Calibri" w:hAnsi="Times New Roman" w:cs="Times New Roman"/>
          <w:b/>
          <w:bCs/>
          <w:lang w:val="lt-LT"/>
        </w:rPr>
      </w:pPr>
    </w:p>
    <w:p w14:paraId="066BB3AF" w14:textId="6A6E2B55" w:rsidR="00A34B5C" w:rsidRPr="00A34B5C" w:rsidRDefault="00A34B5C" w:rsidP="00A34B5C">
      <w:pPr>
        <w:spacing w:after="0" w:line="240" w:lineRule="auto"/>
        <w:rPr>
          <w:rFonts w:ascii="Times New Roman" w:eastAsia="Calibri" w:hAnsi="Times New Roman" w:cs="Times New Roman"/>
          <w:i/>
          <w:lang w:val="lt-LT"/>
        </w:rPr>
      </w:pPr>
      <w:r w:rsidRPr="0035481C">
        <w:rPr>
          <w:rFonts w:ascii="Times New Roman" w:eastAsia="Calibri" w:hAnsi="Times New Roman" w:cs="Times New Roman"/>
          <w:b/>
          <w:bCs/>
          <w:color w:val="000000"/>
          <w:lang w:val="lt-LT"/>
        </w:rPr>
        <w:t>Reti</w:t>
      </w:r>
      <w:r w:rsidR="000D1218" w:rsidRPr="00B27E7B">
        <w:rPr>
          <w:rFonts w:ascii="Times New Roman" w:hAnsi="Times New Roman"/>
          <w:b/>
          <w:color w:val="000000"/>
          <w:lang w:val="lt-LT"/>
        </w:rPr>
        <w:t xml:space="preserve"> </w:t>
      </w:r>
      <w:r w:rsidR="000D1218" w:rsidRPr="000D1218">
        <w:rPr>
          <w:rFonts w:ascii="Times New Roman" w:eastAsia="Calibri" w:hAnsi="Times New Roman" w:cs="Times New Roman"/>
          <w:b/>
          <w:bCs/>
          <w:color w:val="000000"/>
          <w:lang w:val="lt-LT"/>
        </w:rPr>
        <w:t>šalutinio poveikio reiškiniai (gali pasireikšti rečiau</w:t>
      </w:r>
      <w:r w:rsidR="000D1218" w:rsidRPr="00B27E7B">
        <w:rPr>
          <w:rFonts w:ascii="Times New Roman" w:hAnsi="Times New Roman"/>
          <w:b/>
          <w:color w:val="000000"/>
          <w:lang w:val="lt-LT"/>
        </w:rPr>
        <w:t xml:space="preserve"> kaip 1 iš 1</w:t>
      </w:r>
      <w:r w:rsidR="00974960">
        <w:rPr>
          <w:rFonts w:ascii="Times New Roman" w:eastAsia="Calibri" w:hAnsi="Times New Roman" w:cs="Times New Roman"/>
          <w:b/>
          <w:bCs/>
          <w:color w:val="000000"/>
          <w:lang w:val="lt-LT"/>
        </w:rPr>
        <w:t> </w:t>
      </w:r>
      <w:r w:rsidR="000D1218" w:rsidRPr="00B27E7B">
        <w:rPr>
          <w:rFonts w:ascii="Times New Roman" w:hAnsi="Times New Roman"/>
          <w:b/>
          <w:color w:val="000000"/>
          <w:lang w:val="lt-LT"/>
        </w:rPr>
        <w:t>000</w:t>
      </w:r>
      <w:r w:rsidR="00974960" w:rsidRPr="00B27E7B">
        <w:rPr>
          <w:rFonts w:ascii="Times New Roman" w:hAnsi="Times New Roman"/>
          <w:b/>
          <w:color w:val="000000"/>
          <w:lang w:val="lt-LT"/>
        </w:rPr>
        <w:t> </w:t>
      </w:r>
      <w:r w:rsidR="000D1218" w:rsidRPr="000D1218">
        <w:rPr>
          <w:rFonts w:ascii="Times New Roman" w:eastAsia="Calibri" w:hAnsi="Times New Roman" w:cs="Times New Roman"/>
          <w:b/>
          <w:bCs/>
          <w:color w:val="000000"/>
          <w:lang w:val="lt-LT"/>
        </w:rPr>
        <w:t>asmenų</w:t>
      </w:r>
      <w:r w:rsidR="000D1218" w:rsidRPr="00B27E7B">
        <w:rPr>
          <w:rFonts w:ascii="Times New Roman" w:hAnsi="Times New Roman"/>
          <w:b/>
          <w:color w:val="000000"/>
          <w:lang w:val="lt-LT"/>
        </w:rPr>
        <w:t>):</w:t>
      </w:r>
    </w:p>
    <w:p w14:paraId="6CD8EE47" w14:textId="77777777" w:rsidR="00246EB4" w:rsidRDefault="00A34B5C" w:rsidP="0035481C">
      <w:pPr>
        <w:numPr>
          <w:ilvl w:val="0"/>
          <w:numId w:val="16"/>
        </w:num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kvėpavimo takų infekcijos ar pneumonijos požymiai, tokie kaip gripas, kosulys, sunkus kvėpavimas, švokštimas;</w:t>
      </w:r>
    </w:p>
    <w:p w14:paraId="593A125A" w14:textId="77777777" w:rsidR="00246EB4" w:rsidRDefault="00246EB4" w:rsidP="0035481C">
      <w:pPr>
        <w:numPr>
          <w:ilvl w:val="0"/>
          <w:numId w:val="16"/>
        </w:numPr>
        <w:spacing w:after="0" w:line="240" w:lineRule="auto"/>
        <w:ind w:left="567" w:hanging="567"/>
        <w:rPr>
          <w:rFonts w:ascii="Times New Roman" w:eastAsia="Calibri" w:hAnsi="Times New Roman" w:cs="Times New Roman"/>
          <w:lang w:val="lt-LT"/>
        </w:rPr>
      </w:pPr>
      <w:r w:rsidRPr="0035481C">
        <w:rPr>
          <w:rFonts w:ascii="Times New Roman" w:eastAsia="Calibri" w:hAnsi="Times New Roman" w:cs="Times New Roman"/>
          <w:lang w:val="lt-LT"/>
        </w:rPr>
        <w:t>stiprus deginantis viršutinės pilvo dalies skausmas, plintantis į nugarą, kartu su pykinimu ir vėmimu dėl kasos uždegimo</w:t>
      </w:r>
      <w:r>
        <w:rPr>
          <w:rFonts w:ascii="Times New Roman" w:eastAsia="Calibri" w:hAnsi="Times New Roman" w:cs="Times New Roman"/>
          <w:lang w:val="lt-LT"/>
        </w:rPr>
        <w:t>;</w:t>
      </w:r>
    </w:p>
    <w:p w14:paraId="23DEEA94" w14:textId="77777777" w:rsidR="00246EB4" w:rsidRDefault="00246EB4" w:rsidP="0035481C">
      <w:pPr>
        <w:numPr>
          <w:ilvl w:val="0"/>
          <w:numId w:val="16"/>
        </w:numPr>
        <w:spacing w:after="0" w:line="240" w:lineRule="auto"/>
        <w:ind w:left="567" w:hanging="567"/>
        <w:rPr>
          <w:rFonts w:ascii="Times New Roman" w:eastAsia="Calibri" w:hAnsi="Times New Roman" w:cs="Times New Roman"/>
          <w:lang w:val="lt-LT"/>
        </w:rPr>
      </w:pPr>
      <w:r w:rsidRPr="00246EB4">
        <w:rPr>
          <w:rFonts w:ascii="Times New Roman" w:eastAsia="Calibri" w:hAnsi="Times New Roman" w:cs="Times New Roman"/>
          <w:lang w:val="lt-LT"/>
        </w:rPr>
        <w:t>alpimas ir raumenų silpnumas smarkiai sumažėjus kraujo spaudimui (kraujotakos kolapsas)</w:t>
      </w:r>
      <w:r>
        <w:rPr>
          <w:rFonts w:ascii="Times New Roman" w:eastAsia="Calibri" w:hAnsi="Times New Roman" w:cs="Times New Roman"/>
          <w:lang w:val="lt-LT"/>
        </w:rPr>
        <w:t>;</w:t>
      </w:r>
    </w:p>
    <w:p w14:paraId="39D9E81D" w14:textId="77777777" w:rsidR="00246EB4" w:rsidRPr="00246EB4" w:rsidRDefault="00246EB4" w:rsidP="0035481C">
      <w:pPr>
        <w:numPr>
          <w:ilvl w:val="0"/>
          <w:numId w:val="16"/>
        </w:numPr>
        <w:spacing w:after="0" w:line="240" w:lineRule="auto"/>
        <w:ind w:left="567" w:hanging="567"/>
        <w:rPr>
          <w:rFonts w:ascii="Times New Roman" w:eastAsia="Calibri" w:hAnsi="Times New Roman" w:cs="Times New Roman"/>
          <w:lang w:val="lt-LT"/>
        </w:rPr>
      </w:pPr>
      <w:r w:rsidRPr="00246EB4">
        <w:rPr>
          <w:rFonts w:ascii="Times New Roman" w:eastAsia="Calibri" w:hAnsi="Times New Roman" w:cs="Times New Roman"/>
          <w:lang w:val="lt-LT"/>
        </w:rPr>
        <w:t>sunkumas ryti, dėl kurio gali būti įkvėpiama maisto</w:t>
      </w:r>
      <w:r w:rsidR="00CB5885">
        <w:rPr>
          <w:rFonts w:ascii="Times New Roman" w:eastAsia="Calibri" w:hAnsi="Times New Roman" w:cs="Times New Roman"/>
          <w:lang w:val="lt-LT"/>
        </w:rPr>
        <w:t>;</w:t>
      </w:r>
    </w:p>
    <w:p w14:paraId="77AA6AC9" w14:textId="77777777" w:rsidR="009E4757" w:rsidRDefault="00A34B5C" w:rsidP="009E4757">
      <w:pPr>
        <w:numPr>
          <w:ilvl w:val="0"/>
          <w:numId w:val="16"/>
        </w:numPr>
        <w:spacing w:after="0" w:line="240" w:lineRule="auto"/>
        <w:ind w:left="567" w:hanging="567"/>
        <w:rPr>
          <w:rFonts w:ascii="Times New Roman" w:eastAsia="Calibri" w:hAnsi="Times New Roman" w:cs="Times New Roman"/>
          <w:lang w:val="lt-LT"/>
        </w:rPr>
      </w:pPr>
      <w:r w:rsidRPr="0035481C">
        <w:rPr>
          <w:rFonts w:ascii="Times New Roman" w:eastAsia="Calibri" w:hAnsi="Times New Roman" w:cs="Times New Roman"/>
          <w:b/>
          <w:bCs/>
          <w:lang w:val="lt-LT"/>
        </w:rPr>
        <w:t>pykinimas</w:t>
      </w:r>
      <w:r w:rsidR="00CB5885">
        <w:rPr>
          <w:rFonts w:ascii="Times New Roman" w:eastAsia="Calibri" w:hAnsi="Times New Roman" w:cs="Times New Roman"/>
          <w:b/>
          <w:bCs/>
          <w:lang w:val="lt-LT"/>
        </w:rPr>
        <w:t xml:space="preserve"> (blogumas</w:t>
      </w:r>
      <w:r w:rsidR="00CB5885" w:rsidRPr="00CB5885">
        <w:rPr>
          <w:rFonts w:ascii="Times New Roman" w:eastAsia="Calibri" w:hAnsi="Times New Roman" w:cs="Times New Roman"/>
          <w:b/>
          <w:bCs/>
          <w:lang w:val="lt-LT"/>
        </w:rPr>
        <w:t>)</w:t>
      </w:r>
      <w:r w:rsidRPr="0035481C">
        <w:rPr>
          <w:rFonts w:ascii="Times New Roman" w:eastAsia="Calibri" w:hAnsi="Times New Roman" w:cs="Times New Roman"/>
          <w:b/>
          <w:bCs/>
          <w:lang w:val="lt-LT"/>
        </w:rPr>
        <w:t>, vėmimas</w:t>
      </w:r>
      <w:r w:rsidRPr="00A34B5C">
        <w:rPr>
          <w:rFonts w:ascii="Times New Roman" w:eastAsia="Calibri" w:hAnsi="Times New Roman" w:cs="Times New Roman"/>
          <w:lang w:val="lt-LT"/>
        </w:rPr>
        <w:t xml:space="preserve"> ir (arba) </w:t>
      </w:r>
      <w:r w:rsidRPr="0035481C">
        <w:rPr>
          <w:rFonts w:ascii="Times New Roman" w:eastAsia="Calibri" w:hAnsi="Times New Roman" w:cs="Times New Roman"/>
          <w:b/>
          <w:lang w:val="lt-LT"/>
        </w:rPr>
        <w:t>apetito netekimas</w:t>
      </w:r>
      <w:r w:rsidRPr="00A34B5C">
        <w:rPr>
          <w:rFonts w:ascii="Times New Roman" w:eastAsia="Calibri" w:hAnsi="Times New Roman" w:cs="Times New Roman"/>
          <w:lang w:val="lt-LT"/>
        </w:rPr>
        <w:t>.</w:t>
      </w:r>
      <w:r w:rsidR="00CB5885" w:rsidRPr="00CB5885">
        <w:rPr>
          <w:rFonts w:ascii="Times New Roman" w:eastAsia="Calibri" w:hAnsi="Times New Roman" w:cs="Times New Roman"/>
          <w:lang w:val="lt-LT"/>
        </w:rPr>
        <w:t xml:space="preserve"> Gydytojas turės patikrinti kepenis</w:t>
      </w:r>
      <w:r w:rsidR="009E4757">
        <w:rPr>
          <w:rFonts w:ascii="Times New Roman" w:eastAsia="Calibri" w:hAnsi="Times New Roman" w:cs="Times New Roman"/>
          <w:lang w:val="lt-LT"/>
        </w:rPr>
        <w:t>;</w:t>
      </w:r>
      <w:r w:rsidR="009E4757" w:rsidRPr="009E4757" w:rsidDel="0035778F">
        <w:rPr>
          <w:rFonts w:ascii="Times New Roman" w:eastAsia="Calibri" w:hAnsi="Times New Roman" w:cs="Times New Roman"/>
          <w:lang w:val="lt-LT"/>
        </w:rPr>
        <w:t xml:space="preserve"> </w:t>
      </w:r>
    </w:p>
    <w:p w14:paraId="5FCFA172" w14:textId="77777777" w:rsidR="009E4757" w:rsidRDefault="009E4757" w:rsidP="009E4757">
      <w:pPr>
        <w:numPr>
          <w:ilvl w:val="0"/>
          <w:numId w:val="16"/>
        </w:numPr>
        <w:spacing w:after="0" w:line="240" w:lineRule="auto"/>
        <w:ind w:left="567" w:hanging="567"/>
        <w:rPr>
          <w:rFonts w:ascii="Times New Roman" w:eastAsia="Calibri" w:hAnsi="Times New Roman" w:cs="Times New Roman"/>
          <w:lang w:val="lt-LT"/>
        </w:rPr>
      </w:pPr>
      <w:r w:rsidRPr="009E4757">
        <w:rPr>
          <w:rFonts w:ascii="Times New Roman" w:eastAsia="Calibri" w:hAnsi="Times New Roman" w:cs="Times New Roman"/>
          <w:lang w:val="lt-LT"/>
        </w:rPr>
        <w:t xml:space="preserve">nutukimas arba nutukimo padidėjimas; </w:t>
      </w:r>
    </w:p>
    <w:p w14:paraId="3B717924" w14:textId="77777777" w:rsidR="00A34B5C" w:rsidRPr="009E4757" w:rsidRDefault="009E4757" w:rsidP="0035481C">
      <w:pPr>
        <w:spacing w:after="0" w:line="240" w:lineRule="auto"/>
        <w:ind w:left="567"/>
        <w:rPr>
          <w:rFonts w:ascii="Times New Roman" w:eastAsia="Calibri" w:hAnsi="Times New Roman" w:cs="Times New Roman"/>
          <w:lang w:val="lt-LT"/>
        </w:rPr>
      </w:pPr>
      <w:r w:rsidRPr="009E4757">
        <w:rPr>
          <w:rFonts w:ascii="Times New Roman" w:eastAsia="Calibri" w:hAnsi="Times New Roman" w:cs="Times New Roman"/>
          <w:lang w:val="lt-LT"/>
        </w:rPr>
        <w:t>kvėpavimo pertraukimas knarkiant arba neknarkiant miego metu.</w:t>
      </w:r>
    </w:p>
    <w:p w14:paraId="0B41350B" w14:textId="77777777" w:rsidR="00A34B5C" w:rsidRPr="00A34B5C" w:rsidRDefault="00A34B5C" w:rsidP="00A34B5C">
      <w:pPr>
        <w:spacing w:after="0" w:line="240" w:lineRule="auto"/>
        <w:rPr>
          <w:rFonts w:ascii="Times New Roman" w:eastAsia="Calibri" w:hAnsi="Times New Roman" w:cs="Times New Roman"/>
          <w:b/>
          <w:bCs/>
          <w:lang w:val="lt-LT"/>
        </w:rPr>
      </w:pPr>
    </w:p>
    <w:p w14:paraId="5F9CAE1A" w14:textId="0ECC6B3F" w:rsidR="00A34B5C" w:rsidRPr="00A34B5C" w:rsidRDefault="00A34B5C" w:rsidP="00A34B5C">
      <w:pPr>
        <w:spacing w:after="0" w:line="240" w:lineRule="auto"/>
        <w:rPr>
          <w:rFonts w:ascii="Times New Roman" w:eastAsia="Calibri" w:hAnsi="Times New Roman" w:cs="Times New Roman"/>
          <w:i/>
          <w:lang w:val="lt-LT"/>
        </w:rPr>
      </w:pPr>
      <w:r w:rsidRPr="0035481C">
        <w:rPr>
          <w:rFonts w:ascii="Times New Roman" w:eastAsia="Calibri" w:hAnsi="Times New Roman" w:cs="Times New Roman"/>
          <w:b/>
          <w:bCs/>
          <w:color w:val="000000"/>
          <w:lang w:val="lt-LT"/>
        </w:rPr>
        <w:t>Reti</w:t>
      </w:r>
      <w:r w:rsidR="00974960" w:rsidRPr="00B27E7B">
        <w:rPr>
          <w:rFonts w:ascii="Times New Roman" w:hAnsi="Times New Roman"/>
          <w:b/>
          <w:color w:val="000000"/>
          <w:lang w:val="lt-LT"/>
        </w:rPr>
        <w:t xml:space="preserve"> (</w:t>
      </w:r>
      <w:r w:rsidR="00974960" w:rsidRPr="00974960">
        <w:rPr>
          <w:rFonts w:ascii="Times New Roman" w:eastAsia="Calibri" w:hAnsi="Times New Roman" w:cs="Times New Roman"/>
          <w:b/>
          <w:bCs/>
          <w:color w:val="000000"/>
          <w:lang w:val="lt-LT"/>
        </w:rPr>
        <w:t>gali pasireikšti rečiau</w:t>
      </w:r>
      <w:r w:rsidR="00974960" w:rsidRPr="00B27E7B">
        <w:rPr>
          <w:rFonts w:ascii="Times New Roman" w:hAnsi="Times New Roman"/>
          <w:b/>
          <w:color w:val="000000"/>
          <w:lang w:val="lt-LT"/>
        </w:rPr>
        <w:t xml:space="preserve"> kaip 1 iš 1</w:t>
      </w:r>
      <w:r w:rsidR="00974960">
        <w:rPr>
          <w:rFonts w:ascii="Times New Roman" w:eastAsia="Calibri" w:hAnsi="Times New Roman" w:cs="Times New Roman"/>
          <w:b/>
          <w:bCs/>
          <w:color w:val="000000"/>
          <w:lang w:val="lt-LT"/>
        </w:rPr>
        <w:t> </w:t>
      </w:r>
      <w:r w:rsidR="00974960" w:rsidRPr="00B27E7B">
        <w:rPr>
          <w:rFonts w:ascii="Times New Roman" w:hAnsi="Times New Roman"/>
          <w:b/>
          <w:color w:val="000000"/>
          <w:lang w:val="lt-LT"/>
        </w:rPr>
        <w:t>000 </w:t>
      </w:r>
      <w:r w:rsidR="00974960" w:rsidRPr="00974960">
        <w:rPr>
          <w:rFonts w:ascii="Times New Roman" w:eastAsia="Calibri" w:hAnsi="Times New Roman" w:cs="Times New Roman"/>
          <w:b/>
          <w:bCs/>
          <w:color w:val="000000"/>
          <w:lang w:val="lt-LT"/>
        </w:rPr>
        <w:t>asmenų</w:t>
      </w:r>
      <w:r w:rsidR="00974960" w:rsidRPr="00B27E7B">
        <w:rPr>
          <w:rFonts w:ascii="Times New Roman" w:hAnsi="Times New Roman"/>
          <w:b/>
          <w:color w:val="000000"/>
          <w:lang w:val="lt-LT"/>
        </w:rPr>
        <w:t>) arba</w:t>
      </w:r>
      <w:r w:rsidRPr="00A34B5C">
        <w:rPr>
          <w:rFonts w:ascii="Times New Roman" w:eastAsia="Calibri" w:hAnsi="Times New Roman" w:cs="Times New Roman"/>
          <w:bCs/>
          <w:i/>
          <w:color w:val="000000"/>
          <w:lang w:val="lt-LT"/>
        </w:rPr>
        <w:t xml:space="preserve"> </w:t>
      </w:r>
      <w:r w:rsidRPr="0035481C">
        <w:rPr>
          <w:rFonts w:ascii="Times New Roman" w:eastAsia="Calibri" w:hAnsi="Times New Roman" w:cs="Times New Roman"/>
          <w:b/>
          <w:bCs/>
          <w:color w:val="000000"/>
          <w:lang w:val="lt-LT"/>
        </w:rPr>
        <w:t>labai reti</w:t>
      </w:r>
      <w:r w:rsidR="00974960" w:rsidRPr="00B27E7B">
        <w:t xml:space="preserve"> </w:t>
      </w:r>
      <w:r w:rsidR="00974960" w:rsidRPr="00974960">
        <w:rPr>
          <w:rFonts w:ascii="Times New Roman" w:eastAsia="Calibri" w:hAnsi="Times New Roman" w:cs="Times New Roman"/>
          <w:b/>
          <w:bCs/>
          <w:color w:val="000000"/>
          <w:lang w:val="lt-LT"/>
        </w:rPr>
        <w:t>šalutinio poveikio reiškiniai (gali pasireikšti rečiau</w:t>
      </w:r>
      <w:r w:rsidR="00974960" w:rsidRPr="00B27E7B">
        <w:rPr>
          <w:rFonts w:ascii="Times New Roman" w:hAnsi="Times New Roman"/>
          <w:b/>
          <w:color w:val="000000"/>
          <w:lang w:val="lt-LT"/>
        </w:rPr>
        <w:t xml:space="preserve"> kaip 1 iš 10 000</w:t>
      </w:r>
      <w:r w:rsidR="00974960">
        <w:rPr>
          <w:rFonts w:ascii="Times New Roman" w:eastAsia="Calibri" w:hAnsi="Times New Roman" w:cs="Times New Roman"/>
          <w:b/>
          <w:bCs/>
          <w:color w:val="000000"/>
          <w:lang w:val="lt-LT"/>
        </w:rPr>
        <w:t> </w:t>
      </w:r>
      <w:r w:rsidR="00974960" w:rsidRPr="00974960">
        <w:rPr>
          <w:rFonts w:ascii="Times New Roman" w:eastAsia="Calibri" w:hAnsi="Times New Roman" w:cs="Times New Roman"/>
          <w:b/>
          <w:bCs/>
          <w:color w:val="000000"/>
          <w:lang w:val="lt-LT"/>
        </w:rPr>
        <w:t>asmenų</w:t>
      </w:r>
      <w:r w:rsidR="00974960" w:rsidRPr="00B27E7B">
        <w:rPr>
          <w:rFonts w:ascii="Times New Roman" w:hAnsi="Times New Roman"/>
          <w:b/>
          <w:color w:val="000000"/>
          <w:lang w:val="lt-LT"/>
        </w:rPr>
        <w:t>):</w:t>
      </w:r>
    </w:p>
    <w:p w14:paraId="18D003C0" w14:textId="77777777" w:rsidR="00A34B5C" w:rsidRPr="00A34B5C" w:rsidRDefault="00A34B5C" w:rsidP="00A34B5C">
      <w:pPr>
        <w:numPr>
          <w:ilvl w:val="0"/>
          <w:numId w:val="16"/>
        </w:numPr>
        <w:spacing w:after="0" w:line="240" w:lineRule="auto"/>
        <w:ind w:left="567" w:hanging="567"/>
        <w:rPr>
          <w:rFonts w:ascii="Times New Roman" w:eastAsia="Calibri" w:hAnsi="Times New Roman" w:cs="Times New Roman"/>
          <w:lang w:val="lt-LT"/>
        </w:rPr>
      </w:pPr>
      <w:r w:rsidRPr="0035481C">
        <w:rPr>
          <w:rFonts w:ascii="Times New Roman" w:eastAsia="Calibri" w:hAnsi="Times New Roman" w:cs="Times New Roman"/>
          <w:b/>
          <w:bCs/>
          <w:lang w:val="lt-LT"/>
        </w:rPr>
        <w:t>greitas ir nereguliarus širdies plakimas</w:t>
      </w:r>
      <w:r w:rsidRPr="00A34B5C">
        <w:rPr>
          <w:rFonts w:ascii="Times New Roman" w:eastAsia="Calibri" w:hAnsi="Times New Roman" w:cs="Times New Roman"/>
          <w:lang w:val="lt-LT"/>
        </w:rPr>
        <w:t xml:space="preserve">, net ir ramybės būsenoje, </w:t>
      </w:r>
      <w:r w:rsidRPr="0035481C">
        <w:rPr>
          <w:rFonts w:ascii="Times New Roman" w:eastAsia="Calibri" w:hAnsi="Times New Roman" w:cs="Times New Roman"/>
          <w:b/>
          <w:bCs/>
          <w:lang w:val="lt-LT"/>
        </w:rPr>
        <w:t>širdies virpėjimai, kvėpavimo sutrikimas</w:t>
      </w:r>
      <w:r w:rsidRPr="00CB5885">
        <w:rPr>
          <w:rFonts w:ascii="Times New Roman" w:eastAsia="Calibri" w:hAnsi="Times New Roman" w:cs="Times New Roman"/>
          <w:bCs/>
          <w:lang w:val="lt-LT"/>
        </w:rPr>
        <w:t xml:space="preserve">, </w:t>
      </w:r>
      <w:r w:rsidRPr="0035481C">
        <w:rPr>
          <w:rFonts w:ascii="Times New Roman" w:eastAsia="Calibri" w:hAnsi="Times New Roman" w:cs="Times New Roman"/>
          <w:b/>
          <w:bCs/>
          <w:lang w:val="lt-LT"/>
        </w:rPr>
        <w:t>krūtinės skausmas</w:t>
      </w:r>
      <w:r w:rsidRPr="00A34B5C">
        <w:rPr>
          <w:rFonts w:ascii="Times New Roman" w:eastAsia="Calibri" w:hAnsi="Times New Roman" w:cs="Times New Roman"/>
          <w:bCs/>
          <w:lang w:val="lt-LT"/>
        </w:rPr>
        <w:t xml:space="preserve"> ar </w:t>
      </w:r>
      <w:r w:rsidRPr="0035481C">
        <w:rPr>
          <w:rFonts w:ascii="Times New Roman" w:eastAsia="Calibri" w:hAnsi="Times New Roman" w:cs="Times New Roman"/>
          <w:b/>
          <w:bCs/>
          <w:lang w:val="lt-LT"/>
        </w:rPr>
        <w:t>nepaaiškinamas nuovargis</w:t>
      </w:r>
      <w:r w:rsidRPr="00A34B5C">
        <w:rPr>
          <w:rFonts w:ascii="Times New Roman" w:eastAsia="Calibri" w:hAnsi="Times New Roman" w:cs="Times New Roman"/>
          <w:lang w:val="lt-LT"/>
        </w:rPr>
        <w:t>.</w:t>
      </w:r>
    </w:p>
    <w:p w14:paraId="7F2C8A3A" w14:textId="77777777" w:rsidR="00A34B5C" w:rsidRPr="00A34B5C" w:rsidRDefault="00A34B5C" w:rsidP="00A34B5C">
      <w:pPr>
        <w:spacing w:after="0" w:line="240" w:lineRule="auto"/>
        <w:rPr>
          <w:rFonts w:ascii="Times New Roman" w:eastAsia="Calibri" w:hAnsi="Times New Roman" w:cs="Times New Roman"/>
          <w:lang w:val="lt-LT"/>
        </w:rPr>
      </w:pPr>
    </w:p>
    <w:p w14:paraId="6ABFDD16" w14:textId="1CC2D884" w:rsidR="00A34B5C" w:rsidRPr="00A34B5C" w:rsidRDefault="00A34B5C" w:rsidP="00A34B5C">
      <w:pPr>
        <w:spacing w:after="0" w:line="240" w:lineRule="auto"/>
        <w:rPr>
          <w:rFonts w:ascii="Times New Roman" w:eastAsia="Calibri" w:hAnsi="Times New Roman" w:cs="Times New Roman"/>
          <w:i/>
          <w:lang w:val="lt-LT"/>
        </w:rPr>
      </w:pPr>
      <w:r w:rsidRPr="0035481C">
        <w:rPr>
          <w:rFonts w:ascii="Times New Roman" w:eastAsia="Calibri" w:hAnsi="Times New Roman" w:cs="Times New Roman"/>
          <w:b/>
          <w:bCs/>
          <w:color w:val="000000"/>
          <w:lang w:val="lt-LT"/>
        </w:rPr>
        <w:t>Labai reti</w:t>
      </w:r>
      <w:r w:rsidR="00974960" w:rsidRPr="00B27E7B">
        <w:t xml:space="preserve"> </w:t>
      </w:r>
      <w:r w:rsidR="00974960" w:rsidRPr="00974960">
        <w:rPr>
          <w:rFonts w:ascii="Times New Roman" w:eastAsia="Calibri" w:hAnsi="Times New Roman" w:cs="Times New Roman"/>
          <w:b/>
          <w:bCs/>
          <w:color w:val="000000"/>
          <w:lang w:val="lt-LT"/>
        </w:rPr>
        <w:t>šalutinio poveikio reiškiniai (gali pasireikšti rečiau</w:t>
      </w:r>
      <w:r w:rsidR="00974960" w:rsidRPr="00B27E7B">
        <w:rPr>
          <w:rFonts w:ascii="Times New Roman" w:hAnsi="Times New Roman"/>
          <w:b/>
          <w:color w:val="000000"/>
          <w:lang w:val="lt-LT"/>
        </w:rPr>
        <w:t xml:space="preserve"> kaip 1 iš 10</w:t>
      </w:r>
      <w:r w:rsidR="008A27C4" w:rsidRPr="00B27E7B">
        <w:rPr>
          <w:rFonts w:ascii="Times New Roman" w:hAnsi="Times New Roman"/>
          <w:b/>
          <w:color w:val="000000"/>
          <w:lang w:val="lt-LT"/>
        </w:rPr>
        <w:t> </w:t>
      </w:r>
      <w:r w:rsidR="00974960" w:rsidRPr="00B27E7B">
        <w:rPr>
          <w:rFonts w:ascii="Times New Roman" w:hAnsi="Times New Roman"/>
          <w:b/>
          <w:color w:val="000000"/>
          <w:lang w:val="lt-LT"/>
        </w:rPr>
        <w:t>000</w:t>
      </w:r>
      <w:r w:rsidR="008A27C4">
        <w:rPr>
          <w:rFonts w:ascii="Times New Roman" w:eastAsia="Calibri" w:hAnsi="Times New Roman" w:cs="Times New Roman"/>
          <w:b/>
          <w:bCs/>
          <w:color w:val="000000"/>
          <w:lang w:val="lt-LT"/>
        </w:rPr>
        <w:t> </w:t>
      </w:r>
      <w:r w:rsidR="00974960" w:rsidRPr="00974960">
        <w:rPr>
          <w:rFonts w:ascii="Times New Roman" w:eastAsia="Calibri" w:hAnsi="Times New Roman" w:cs="Times New Roman"/>
          <w:b/>
          <w:bCs/>
          <w:color w:val="000000"/>
          <w:lang w:val="lt-LT"/>
        </w:rPr>
        <w:t>asmenų</w:t>
      </w:r>
      <w:r w:rsidR="00974960" w:rsidRPr="00B27E7B">
        <w:rPr>
          <w:rFonts w:ascii="Times New Roman" w:hAnsi="Times New Roman"/>
          <w:b/>
          <w:color w:val="000000"/>
          <w:lang w:val="lt-LT"/>
        </w:rPr>
        <w:t>):</w:t>
      </w:r>
    </w:p>
    <w:p w14:paraId="5D91854F" w14:textId="77777777" w:rsidR="00CB5885" w:rsidRDefault="00A34B5C" w:rsidP="00CB5885">
      <w:pPr>
        <w:numPr>
          <w:ilvl w:val="0"/>
          <w:numId w:val="16"/>
        </w:numPr>
        <w:spacing w:after="0" w:line="240" w:lineRule="auto"/>
        <w:ind w:left="550" w:hanging="550"/>
        <w:rPr>
          <w:rFonts w:ascii="Times New Roman" w:eastAsia="Calibri" w:hAnsi="Times New Roman" w:cs="Times New Roman"/>
          <w:lang w:val="lt-LT"/>
        </w:rPr>
      </w:pPr>
      <w:r w:rsidRPr="00A34B5C">
        <w:rPr>
          <w:rFonts w:ascii="Times New Roman" w:eastAsia="Calibri" w:hAnsi="Times New Roman" w:cs="Times New Roman"/>
          <w:lang w:val="lt-LT"/>
        </w:rPr>
        <w:t>skausminga ilgalaikė varpos erekcija. Tai vadinama priapizmu.</w:t>
      </w:r>
      <w:r w:rsidRPr="00A34B5C">
        <w:rPr>
          <w:rFonts w:ascii="Arial" w:eastAsia="Calibri" w:hAnsi="Arial" w:cs="Arial"/>
          <w:color w:val="222222"/>
          <w:lang w:val="lt-LT"/>
        </w:rPr>
        <w:t xml:space="preserve"> </w:t>
      </w:r>
      <w:r w:rsidRPr="00A34B5C">
        <w:rPr>
          <w:rFonts w:ascii="Times New Roman" w:eastAsia="Calibri" w:hAnsi="Times New Roman" w:cs="Times New Roman"/>
          <w:lang w:val="lt-LT"/>
        </w:rPr>
        <w:t>Jei erekcija trunka ilgiau kaip 4 valandas, Jums gali būti reikalingas neatidėliotinas gydymas, siekiant išvengti tolesnių komplikacijų</w:t>
      </w:r>
      <w:r w:rsidR="00CB5885">
        <w:rPr>
          <w:rFonts w:ascii="Times New Roman" w:eastAsia="Calibri" w:hAnsi="Times New Roman" w:cs="Times New Roman"/>
          <w:lang w:val="lt-LT"/>
        </w:rPr>
        <w:t>;</w:t>
      </w:r>
      <w:r w:rsidR="00CB5885" w:rsidRPr="00CB5885">
        <w:rPr>
          <w:rFonts w:ascii="Times New Roman" w:eastAsia="Calibri" w:hAnsi="Times New Roman" w:cs="Times New Roman"/>
          <w:lang w:val="lt-LT"/>
        </w:rPr>
        <w:t xml:space="preserve"> </w:t>
      </w:r>
    </w:p>
    <w:p w14:paraId="32B40C41" w14:textId="77777777" w:rsidR="00CB5885" w:rsidRPr="00CB5885" w:rsidRDefault="00CB5885" w:rsidP="00CB5885">
      <w:pPr>
        <w:numPr>
          <w:ilvl w:val="0"/>
          <w:numId w:val="16"/>
        </w:numPr>
        <w:spacing w:after="0" w:line="240" w:lineRule="auto"/>
        <w:ind w:left="550" w:hanging="550"/>
        <w:rPr>
          <w:rFonts w:ascii="Times New Roman" w:eastAsia="Calibri" w:hAnsi="Times New Roman" w:cs="Times New Roman"/>
          <w:lang w:val="lt-LT"/>
        </w:rPr>
      </w:pPr>
      <w:r w:rsidRPr="00CB5885">
        <w:rPr>
          <w:rFonts w:ascii="Times New Roman" w:eastAsia="Calibri" w:hAnsi="Times New Roman" w:cs="Times New Roman"/>
          <w:lang w:val="lt-LT"/>
        </w:rPr>
        <w:lastRenderedPageBreak/>
        <w:t>savaiminis kraujavimas ar kraujosruvų atsiradimas, tai gali būti trombocitų kiekio kraujyje sumažėjimo požymis</w:t>
      </w:r>
      <w:r>
        <w:rPr>
          <w:rFonts w:ascii="Times New Roman" w:eastAsia="Calibri" w:hAnsi="Times New Roman" w:cs="Times New Roman"/>
          <w:lang w:val="lt-LT"/>
        </w:rPr>
        <w:t>;</w:t>
      </w:r>
    </w:p>
    <w:p w14:paraId="4046EA50" w14:textId="77777777" w:rsidR="00CB5885" w:rsidRPr="00CB5885" w:rsidRDefault="00CB5885" w:rsidP="00CB5885">
      <w:pPr>
        <w:numPr>
          <w:ilvl w:val="0"/>
          <w:numId w:val="16"/>
        </w:numPr>
        <w:spacing w:after="0" w:line="240" w:lineRule="auto"/>
        <w:ind w:left="550" w:hanging="550"/>
        <w:rPr>
          <w:rFonts w:ascii="Times New Roman" w:eastAsia="Calibri" w:hAnsi="Times New Roman" w:cs="Times New Roman"/>
          <w:lang w:val="lt-LT"/>
        </w:rPr>
      </w:pPr>
      <w:r w:rsidRPr="00CB5885">
        <w:rPr>
          <w:rFonts w:ascii="Times New Roman" w:eastAsia="Calibri" w:hAnsi="Times New Roman" w:cs="Times New Roman"/>
          <w:lang w:val="lt-LT"/>
        </w:rPr>
        <w:t>simptomai, pasireiškiantys dėl nekontroliuojamo cukraus kiekio kraujyje (pvz., pykinimas ar vėmimas, pilvo skausmas, didelis troškulys, gausus šlapinimasis, orientacijos sutrikimas ar sumišimas)</w:t>
      </w:r>
      <w:r>
        <w:rPr>
          <w:rFonts w:ascii="Times New Roman" w:eastAsia="Calibri" w:hAnsi="Times New Roman" w:cs="Times New Roman"/>
          <w:lang w:val="lt-LT"/>
        </w:rPr>
        <w:t>;</w:t>
      </w:r>
    </w:p>
    <w:p w14:paraId="7B97CA96" w14:textId="77777777" w:rsidR="00CB5885" w:rsidRPr="00CB5885" w:rsidRDefault="00CB5885" w:rsidP="00CB5885">
      <w:pPr>
        <w:numPr>
          <w:ilvl w:val="0"/>
          <w:numId w:val="16"/>
        </w:numPr>
        <w:spacing w:after="0" w:line="240" w:lineRule="auto"/>
        <w:ind w:left="550" w:hanging="550"/>
        <w:rPr>
          <w:rFonts w:ascii="Times New Roman" w:eastAsia="Calibri" w:hAnsi="Times New Roman" w:cs="Times New Roman"/>
          <w:lang w:val="lt-LT"/>
        </w:rPr>
      </w:pPr>
      <w:r w:rsidRPr="00CB5885">
        <w:rPr>
          <w:rFonts w:ascii="Times New Roman" w:eastAsia="Calibri" w:hAnsi="Times New Roman" w:cs="Times New Roman"/>
          <w:lang w:val="lt-LT"/>
        </w:rPr>
        <w:t>pilvo skausmas, spazmai, pilvo patinimas, vėmimas, vidurių užkietėjimas ir dujų susikaupimas, tai gali būti žarnų nepraeinamumo požymiai ir simptomai</w:t>
      </w:r>
      <w:r>
        <w:rPr>
          <w:rFonts w:ascii="Times New Roman" w:eastAsia="Calibri" w:hAnsi="Times New Roman" w:cs="Times New Roman"/>
          <w:lang w:val="lt-LT"/>
        </w:rPr>
        <w:t>;</w:t>
      </w:r>
    </w:p>
    <w:p w14:paraId="0943E04B" w14:textId="77777777" w:rsidR="00CB5885" w:rsidRPr="00CB5885" w:rsidRDefault="00CB5885" w:rsidP="00CB5885">
      <w:pPr>
        <w:numPr>
          <w:ilvl w:val="0"/>
          <w:numId w:val="16"/>
        </w:numPr>
        <w:spacing w:after="0" w:line="240" w:lineRule="auto"/>
        <w:ind w:left="550" w:hanging="550"/>
        <w:rPr>
          <w:rFonts w:ascii="Times New Roman" w:eastAsia="Calibri" w:hAnsi="Times New Roman" w:cs="Times New Roman"/>
          <w:lang w:val="lt-LT"/>
        </w:rPr>
      </w:pPr>
      <w:r w:rsidRPr="00CB5885">
        <w:rPr>
          <w:rFonts w:ascii="Times New Roman" w:eastAsia="Calibri" w:hAnsi="Times New Roman" w:cs="Times New Roman"/>
          <w:lang w:val="lt-LT"/>
        </w:rPr>
        <w:t>apetito praradimas, pilvo patinimas, pilvo skausmas, odos pageltimas, didelis silpnumas ir negalavimas. Šie simptomai gali rodyti prasidedantį kepenų sutrikimą, kuris gali progresuoti į žaibinę kepenų nekrozę</w:t>
      </w:r>
      <w:r>
        <w:rPr>
          <w:rFonts w:ascii="Times New Roman" w:eastAsia="Calibri" w:hAnsi="Times New Roman" w:cs="Times New Roman"/>
          <w:lang w:val="lt-LT"/>
        </w:rPr>
        <w:t>;</w:t>
      </w:r>
    </w:p>
    <w:p w14:paraId="0C006435" w14:textId="77777777" w:rsidR="00A34B5C" w:rsidRPr="00CB5885" w:rsidRDefault="00CB5885" w:rsidP="00CB5885">
      <w:pPr>
        <w:numPr>
          <w:ilvl w:val="0"/>
          <w:numId w:val="16"/>
        </w:numPr>
        <w:spacing w:after="0" w:line="240" w:lineRule="auto"/>
        <w:ind w:left="550" w:hanging="550"/>
        <w:rPr>
          <w:rFonts w:ascii="Times New Roman" w:eastAsia="Calibri" w:hAnsi="Times New Roman" w:cs="Times New Roman"/>
          <w:lang w:val="lt-LT"/>
        </w:rPr>
      </w:pPr>
      <w:r w:rsidRPr="00CB5885">
        <w:rPr>
          <w:rFonts w:ascii="Times New Roman" w:eastAsia="Calibri" w:hAnsi="Times New Roman" w:cs="Times New Roman"/>
          <w:lang w:val="lt-LT"/>
        </w:rPr>
        <w:t>pykinimas, vėmimas, svorio praradimas, tai gali būti inkstų uždegimo simptomai.</w:t>
      </w:r>
    </w:p>
    <w:p w14:paraId="0610F942" w14:textId="77777777" w:rsidR="00A34B5C" w:rsidRPr="00A34B5C" w:rsidRDefault="00A34B5C" w:rsidP="00A34B5C">
      <w:pPr>
        <w:spacing w:after="0" w:line="240" w:lineRule="auto"/>
        <w:rPr>
          <w:rFonts w:ascii="Times New Roman" w:eastAsia="Calibri" w:hAnsi="Times New Roman" w:cs="Times New Roman"/>
          <w:b/>
          <w:bCs/>
          <w:lang w:val="lt-LT"/>
        </w:rPr>
      </w:pPr>
    </w:p>
    <w:p w14:paraId="54370EB3" w14:textId="79F904E2" w:rsidR="00A34B5C" w:rsidRPr="00A34B5C" w:rsidRDefault="00974960" w:rsidP="00A34B5C">
      <w:pPr>
        <w:spacing w:after="0" w:line="240" w:lineRule="auto"/>
        <w:rPr>
          <w:rFonts w:ascii="Times New Roman" w:eastAsia="Calibri" w:hAnsi="Times New Roman" w:cs="Times New Roman"/>
          <w:i/>
          <w:lang w:val="lt-LT"/>
        </w:rPr>
      </w:pPr>
      <w:r w:rsidRPr="00974960">
        <w:rPr>
          <w:rFonts w:ascii="Times New Roman" w:eastAsia="Calibri" w:hAnsi="Times New Roman" w:cs="Times New Roman"/>
          <w:b/>
          <w:bCs/>
          <w:color w:val="000000"/>
          <w:lang w:val="lt-LT"/>
        </w:rPr>
        <w:t xml:space="preserve">Šalutinio poveikio reiškiniai, kurių </w:t>
      </w:r>
      <w:r>
        <w:rPr>
          <w:rFonts w:ascii="Times New Roman" w:eastAsia="Calibri" w:hAnsi="Times New Roman" w:cs="Times New Roman"/>
          <w:b/>
          <w:bCs/>
          <w:color w:val="000000"/>
          <w:lang w:val="lt-LT"/>
        </w:rPr>
        <w:t>d</w:t>
      </w:r>
      <w:r w:rsidR="00A34B5C" w:rsidRPr="0035481C">
        <w:rPr>
          <w:rFonts w:ascii="Times New Roman" w:eastAsia="Calibri" w:hAnsi="Times New Roman" w:cs="Times New Roman"/>
          <w:b/>
          <w:bCs/>
          <w:color w:val="000000"/>
          <w:lang w:val="lt-LT"/>
        </w:rPr>
        <w:t>ažnis nežinomas</w:t>
      </w:r>
      <w:r w:rsidR="00A34B5C" w:rsidRPr="00A34B5C">
        <w:rPr>
          <w:rFonts w:ascii="Times New Roman" w:eastAsia="Calibri" w:hAnsi="Times New Roman" w:cs="Times New Roman"/>
          <w:i/>
          <w:color w:val="000000"/>
          <w:lang w:val="lt-LT"/>
        </w:rPr>
        <w:t xml:space="preserve"> </w:t>
      </w:r>
      <w:r w:rsidR="00A34B5C" w:rsidRPr="00B27E7B">
        <w:rPr>
          <w:rFonts w:ascii="Times New Roman" w:hAnsi="Times New Roman"/>
          <w:b/>
          <w:color w:val="000000"/>
          <w:lang w:val="lt-LT"/>
        </w:rPr>
        <w:t>(</w:t>
      </w:r>
      <w:r w:rsidR="00A34B5C" w:rsidRPr="00B27E7B">
        <w:rPr>
          <w:rFonts w:ascii="Times New Roman" w:hAnsi="Times New Roman"/>
          <w:b/>
          <w:lang w:val="lt-LT"/>
        </w:rPr>
        <w:t>negali būti apskaičiuotas pagal turimus duomenis</w:t>
      </w:r>
      <w:r w:rsidR="00A34B5C" w:rsidRPr="00B27E7B">
        <w:rPr>
          <w:rFonts w:ascii="Times New Roman" w:hAnsi="Times New Roman"/>
          <w:b/>
          <w:color w:val="000000"/>
          <w:lang w:val="lt-LT"/>
        </w:rPr>
        <w:t>):</w:t>
      </w:r>
    </w:p>
    <w:p w14:paraId="5F3BCBEE" w14:textId="77777777" w:rsidR="00CB5885" w:rsidRDefault="00A34B5C" w:rsidP="00CB5885">
      <w:pPr>
        <w:numPr>
          <w:ilvl w:val="0"/>
          <w:numId w:val="16"/>
        </w:num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spaudžiantis krūtinės skausmas, krūtinės slėgimo, spaudimo arba sunkumo pojūtis (krūtinės skausmas gali plisti į kairę ranką, žandikaulį, kaklą ir viršutinę pilvo dalį), dusulys, prakaitavimas, silpnumas, galvos svaigimas, pykinimas, vėmimas ir</w:t>
      </w:r>
      <w:r w:rsidRPr="00A34B5C">
        <w:rPr>
          <w:rFonts w:ascii="Calibri" w:eastAsia="Calibri" w:hAnsi="Calibri" w:cs="Times New Roman"/>
          <w:lang w:val="lt-LT"/>
        </w:rPr>
        <w:t xml:space="preserve"> </w:t>
      </w:r>
      <w:r w:rsidRPr="00A34B5C">
        <w:rPr>
          <w:rFonts w:ascii="Times New Roman" w:eastAsia="Calibri" w:hAnsi="Times New Roman" w:cs="Times New Roman"/>
          <w:lang w:val="lt-LT"/>
        </w:rPr>
        <w:t>stiprus, juntamas širdies plakimas</w:t>
      </w:r>
      <w:r w:rsidRPr="00A34B5C">
        <w:rPr>
          <w:rFonts w:ascii="Calibri" w:eastAsia="Calibri" w:hAnsi="Calibri" w:cs="Times New Roman"/>
          <w:lang w:val="lt-LT"/>
        </w:rPr>
        <w:t xml:space="preserve"> </w:t>
      </w:r>
      <w:r w:rsidRPr="00A34B5C">
        <w:rPr>
          <w:rFonts w:ascii="Times New Roman" w:eastAsia="Calibri" w:hAnsi="Times New Roman" w:cs="Times New Roman"/>
          <w:bCs/>
          <w:lang w:val="lt-LT"/>
        </w:rPr>
        <w:t>(širdies priepuolio simptomai)</w:t>
      </w:r>
      <w:r w:rsidR="001D3552">
        <w:rPr>
          <w:rFonts w:ascii="Times New Roman" w:eastAsia="Calibri" w:hAnsi="Times New Roman" w:cs="Times New Roman"/>
          <w:bCs/>
          <w:lang w:val="lt-LT"/>
        </w:rPr>
        <w:t>, dėl kurių gali ištikti mirtis</w:t>
      </w:r>
      <w:r w:rsidR="00CB5885">
        <w:rPr>
          <w:rFonts w:ascii="Times New Roman" w:eastAsia="Calibri" w:hAnsi="Times New Roman" w:cs="Times New Roman"/>
          <w:bCs/>
          <w:lang w:val="lt-LT"/>
        </w:rPr>
        <w:t xml:space="preserve">. </w:t>
      </w:r>
      <w:r w:rsidR="00CB5885" w:rsidRPr="00CB5885">
        <w:rPr>
          <w:rFonts w:ascii="Times New Roman" w:eastAsia="Calibri" w:hAnsi="Times New Roman" w:cs="Times New Roman"/>
          <w:bCs/>
          <w:lang w:val="lt-LT"/>
        </w:rPr>
        <w:t>Nedelsiant turite kreiptis skubios medicininės pagalbos</w:t>
      </w:r>
      <w:r w:rsidRPr="00A34B5C">
        <w:rPr>
          <w:rFonts w:ascii="Times New Roman" w:eastAsia="Calibri" w:hAnsi="Times New Roman" w:cs="Times New Roman"/>
          <w:bCs/>
          <w:lang w:val="lt-LT"/>
        </w:rPr>
        <w:t>;</w:t>
      </w:r>
      <w:r w:rsidR="00CB5885" w:rsidRPr="00CB5885">
        <w:rPr>
          <w:rFonts w:ascii="Times New Roman" w:eastAsia="Calibri" w:hAnsi="Times New Roman" w:cs="Times New Roman"/>
          <w:bCs/>
          <w:lang w:val="lt-LT"/>
        </w:rPr>
        <w:t xml:space="preserve"> </w:t>
      </w:r>
    </w:p>
    <w:p w14:paraId="140B60AD" w14:textId="77777777" w:rsidR="00A34B5C" w:rsidRPr="00CB5885" w:rsidRDefault="00CB5885" w:rsidP="00CB5885">
      <w:pPr>
        <w:numPr>
          <w:ilvl w:val="0"/>
          <w:numId w:val="16"/>
        </w:numPr>
        <w:spacing w:after="0" w:line="240" w:lineRule="auto"/>
        <w:rPr>
          <w:rFonts w:ascii="Times New Roman" w:eastAsia="Calibri" w:hAnsi="Times New Roman" w:cs="Times New Roman"/>
          <w:bCs/>
          <w:lang w:val="lt-LT"/>
        </w:rPr>
      </w:pPr>
      <w:r w:rsidRPr="00CB5885">
        <w:rPr>
          <w:rFonts w:ascii="Times New Roman" w:eastAsia="Calibri" w:hAnsi="Times New Roman" w:cs="Times New Roman"/>
          <w:bCs/>
          <w:lang w:val="lt-LT"/>
        </w:rPr>
        <w:t>krūtinės slėgimo, sunkumo, spaudimo, veržimo, deginimo ar springimo pojūtis (nepakankamos kraujo tėkmės ir deguonies tiekimo širdies raumeniui požymiai)</w:t>
      </w:r>
      <w:r w:rsidR="001D3552">
        <w:rPr>
          <w:rFonts w:ascii="Times New Roman" w:eastAsia="Calibri" w:hAnsi="Times New Roman" w:cs="Times New Roman"/>
          <w:bCs/>
          <w:lang w:val="lt-LT"/>
        </w:rPr>
        <w:t>, dėl kurių gali ištikti mirtis</w:t>
      </w:r>
      <w:r w:rsidRPr="00CB5885">
        <w:rPr>
          <w:rFonts w:ascii="Times New Roman" w:eastAsia="Calibri" w:hAnsi="Times New Roman" w:cs="Times New Roman"/>
          <w:bCs/>
          <w:lang w:val="lt-LT"/>
        </w:rPr>
        <w:t>. Gydytojui reikės patikrinti Jūsų širdį;</w:t>
      </w:r>
    </w:p>
    <w:p w14:paraId="13887FF4" w14:textId="77777777" w:rsidR="00A34B5C" w:rsidRPr="00A34B5C" w:rsidRDefault="00A34B5C" w:rsidP="00A34B5C">
      <w:pPr>
        <w:numPr>
          <w:ilvl w:val="0"/>
          <w:numId w:val="16"/>
        </w:num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greitas ir nereguliarus širdies plakimas (prieširdžių virpėjimas). Nemalonus širdies plakimas (palpitacijos), alpulys, dusulys arba nemalonus pojūtis krūtinėje;</w:t>
      </w:r>
    </w:p>
    <w:p w14:paraId="76A16278" w14:textId="77777777" w:rsidR="00A34B5C" w:rsidRPr="00A34B5C" w:rsidRDefault="00A34B5C" w:rsidP="00A34B5C">
      <w:pPr>
        <w:numPr>
          <w:ilvl w:val="0"/>
          <w:numId w:val="16"/>
        </w:num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žemas kraujo spaudimas</w:t>
      </w:r>
      <w:r w:rsidR="00CB5885" w:rsidRPr="00CB5885">
        <w:rPr>
          <w:rFonts w:ascii="Times New Roman" w:eastAsia="Calibri" w:hAnsi="Times New Roman" w:cs="Times New Roman"/>
          <w:bCs/>
          <w:lang w:val="lt-LT"/>
        </w:rPr>
        <w:t>, kurio simptomai: apsvaigimas, svaigulys, alpimas, neryškus matymas, neįprastas nuovargis, šalta ir drėgna oda arba pykinimas</w:t>
      </w:r>
      <w:r w:rsidRPr="00A34B5C">
        <w:rPr>
          <w:rFonts w:ascii="Times New Roman" w:eastAsia="Calibri" w:hAnsi="Times New Roman" w:cs="Times New Roman"/>
          <w:bCs/>
          <w:lang w:val="lt-LT"/>
        </w:rPr>
        <w:t>;</w:t>
      </w:r>
    </w:p>
    <w:p w14:paraId="284B8397" w14:textId="77777777" w:rsidR="00A34B5C" w:rsidRPr="00A34B5C" w:rsidRDefault="00A34B5C" w:rsidP="00A34B5C">
      <w:pPr>
        <w:numPr>
          <w:ilvl w:val="0"/>
          <w:numId w:val="16"/>
        </w:num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dviburio širdies vožtuvo nesandarumas;</w:t>
      </w:r>
    </w:p>
    <w:p w14:paraId="74040434" w14:textId="77777777" w:rsidR="00A34B5C" w:rsidRPr="00A34B5C" w:rsidRDefault="00A34B5C" w:rsidP="00A34B5C">
      <w:pPr>
        <w:numPr>
          <w:ilvl w:val="0"/>
          <w:numId w:val="16"/>
        </w:num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kraujo krešulių venose požymiai, ypač kojose (kojų patinimas, skausmas ir paraudimas), kurie kraujagyslėmis gali nukeliauti į plaučius, sukeldami skausmą krūtinėje ir pasunkėjusį kvėpavimą;</w:t>
      </w:r>
    </w:p>
    <w:p w14:paraId="5922429D" w14:textId="77777777" w:rsidR="00A34B5C" w:rsidRPr="00A34B5C" w:rsidRDefault="00A34B5C" w:rsidP="00A34B5C">
      <w:pPr>
        <w:numPr>
          <w:ilvl w:val="0"/>
          <w:numId w:val="16"/>
        </w:num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nustatyta ar įtariama infekcija, kartu su karščiavimu arba žema kūno temperatūra, padažnėjusiu kvėpavimu, intensyviu širdies ritmu, pakitusiu jautrumu ir sąmoningumu, sumažėjusiu kraujo spaudimu (sepsis);</w:t>
      </w:r>
    </w:p>
    <w:p w14:paraId="12626777" w14:textId="77777777" w:rsidR="00A34B5C" w:rsidRPr="00A34B5C" w:rsidRDefault="00A34B5C" w:rsidP="00A34B5C">
      <w:pPr>
        <w:numPr>
          <w:ilvl w:val="0"/>
          <w:numId w:val="16"/>
        </w:num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stiprus prakaitavimas, galvos skausmas, pykinimas, vėmimas ir viduriavimas (cholinerginio sindromo simptomai);</w:t>
      </w:r>
    </w:p>
    <w:p w14:paraId="6427FF51" w14:textId="77777777" w:rsidR="00A34B5C" w:rsidRPr="00A34B5C" w:rsidRDefault="00A34B5C" w:rsidP="00A34B5C">
      <w:pPr>
        <w:numPr>
          <w:ilvl w:val="0"/>
          <w:numId w:val="16"/>
        </w:num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labai sumažėjęs šlapimo išsiskyrimas (inkstų nepakankamumas);</w:t>
      </w:r>
    </w:p>
    <w:p w14:paraId="6D7AC461" w14:textId="77777777" w:rsidR="001D3552" w:rsidRDefault="00A34B5C" w:rsidP="009E4757">
      <w:pPr>
        <w:numPr>
          <w:ilvl w:val="0"/>
          <w:numId w:val="16"/>
        </w:numPr>
        <w:spacing w:after="0" w:line="240" w:lineRule="auto"/>
        <w:rPr>
          <w:rFonts w:ascii="Times New Roman" w:eastAsia="Calibri" w:hAnsi="Times New Roman" w:cs="Times New Roman"/>
          <w:bCs/>
          <w:lang w:val="lt-LT"/>
        </w:rPr>
      </w:pPr>
      <w:r w:rsidRPr="00A34B5C">
        <w:rPr>
          <w:rFonts w:ascii="Times New Roman" w:eastAsia="Calibri" w:hAnsi="Times New Roman" w:cs="Times New Roman"/>
          <w:bCs/>
          <w:lang w:val="lt-LT"/>
        </w:rPr>
        <w:t>alerginė reakcija (patinimas, daugiausia veido, burnos ir gerklės, taip pat, liežuvio, kuris gali būti niežtintis arba skausmingas)</w:t>
      </w:r>
      <w:r w:rsidR="00DA764E">
        <w:rPr>
          <w:rFonts w:ascii="Times New Roman" w:eastAsia="Calibri" w:hAnsi="Times New Roman" w:cs="Times New Roman"/>
          <w:bCs/>
          <w:lang w:val="lt-LT"/>
        </w:rPr>
        <w:t>;</w:t>
      </w:r>
    </w:p>
    <w:p w14:paraId="19CCA40B" w14:textId="77777777" w:rsidR="001D3552" w:rsidRPr="0037099B" w:rsidRDefault="009E4757" w:rsidP="001D3552">
      <w:pPr>
        <w:numPr>
          <w:ilvl w:val="0"/>
          <w:numId w:val="16"/>
        </w:numPr>
        <w:spacing w:after="0" w:line="240" w:lineRule="auto"/>
        <w:rPr>
          <w:rFonts w:ascii="Times New Roman" w:eastAsia="Calibri" w:hAnsi="Times New Roman" w:cs="Times New Roman"/>
          <w:bCs/>
          <w:lang w:val="lt-LT"/>
        </w:rPr>
      </w:pPr>
      <w:r w:rsidRPr="009E4757">
        <w:rPr>
          <w:rFonts w:ascii="Times New Roman" w:eastAsia="Calibri" w:hAnsi="Times New Roman" w:cs="Times New Roman"/>
          <w:bCs/>
          <w:lang w:val="lt-LT"/>
        </w:rPr>
        <w:t xml:space="preserve"> </w:t>
      </w:r>
      <w:r w:rsidR="001D3552">
        <w:rPr>
          <w:rFonts w:ascii="Times New Roman" w:eastAsia="Calibri" w:hAnsi="Times New Roman" w:cs="Times New Roman"/>
          <w:bCs/>
          <w:lang w:val="lt-LT"/>
        </w:rPr>
        <w:t>deginantis viršutinės pilvo dalies skausmas, ypač tarp valgių, anksti ryte ar išgėrus rūgštaus gėrimo; deguto spalvos juodos ar su krauju išmatos; pilvo pūtimas, rėmuo, pykinimas, vėmimas, greitai atsirandantis pilnumo jausmas (skrandžio ir / ar žarnyno išopėjimas)</w:t>
      </w:r>
      <w:r w:rsidR="001D3552" w:rsidRPr="0037099B">
        <w:rPr>
          <w:rFonts w:ascii="Times New Roman" w:eastAsia="Calibri" w:hAnsi="Times New Roman" w:cs="Times New Roman"/>
          <w:bCs/>
          <w:lang w:val="lt-LT"/>
        </w:rPr>
        <w:t xml:space="preserve"> </w:t>
      </w:r>
      <w:r w:rsidR="001D3552">
        <w:rPr>
          <w:rFonts w:ascii="Times New Roman" w:eastAsia="Calibri" w:hAnsi="Times New Roman" w:cs="Times New Roman"/>
          <w:bCs/>
          <w:lang w:val="lt-LT"/>
        </w:rPr>
        <w:t>– tai gali sukelti mirtį;</w:t>
      </w:r>
    </w:p>
    <w:p w14:paraId="5ABDF590" w14:textId="77777777" w:rsidR="001D3552" w:rsidRPr="001D3552" w:rsidRDefault="001D3552" w:rsidP="001D3552">
      <w:pPr>
        <w:numPr>
          <w:ilvl w:val="0"/>
          <w:numId w:val="16"/>
        </w:numPr>
        <w:spacing w:after="0" w:line="240" w:lineRule="auto"/>
        <w:rPr>
          <w:rFonts w:ascii="Times New Roman" w:eastAsia="Calibri" w:hAnsi="Times New Roman" w:cs="Times New Roman"/>
          <w:bCs/>
          <w:lang w:val="lt-LT"/>
        </w:rPr>
      </w:pPr>
      <w:r>
        <w:rPr>
          <w:rFonts w:ascii="Times New Roman" w:eastAsia="Calibri" w:hAnsi="Times New Roman" w:cs="Times New Roman"/>
          <w:bCs/>
          <w:lang w:val="lt-LT"/>
        </w:rPr>
        <w:t>stiprus pilvo skausmas, smarkėjantis judant, vėmimas, įskaitant vėmimą krauju (ar skysčiu, kuriame yra panašių į kavos tirščius dalelių)</w:t>
      </w:r>
      <w:r w:rsidRPr="0037099B">
        <w:rPr>
          <w:rFonts w:ascii="Times New Roman" w:eastAsia="Calibri" w:hAnsi="Times New Roman" w:cs="Times New Roman"/>
          <w:bCs/>
          <w:lang w:val="lt-LT"/>
        </w:rPr>
        <w:t xml:space="preserve">; </w:t>
      </w:r>
      <w:r>
        <w:rPr>
          <w:rFonts w:ascii="Times New Roman" w:eastAsia="Calibri" w:hAnsi="Times New Roman" w:cs="Times New Roman"/>
          <w:bCs/>
          <w:lang w:val="lt-LT"/>
        </w:rPr>
        <w:t>pilvas tampa kietas ir skausmingas, spaudžiant skausmas iš spaudžiamos vietos plinta į visą pilvą; karščiavimas ir (arba) šaltkrėtis</w:t>
      </w:r>
      <w:r w:rsidRPr="0037099B">
        <w:rPr>
          <w:rFonts w:ascii="Times New Roman" w:eastAsia="Calibri" w:hAnsi="Times New Roman" w:cs="Times New Roman"/>
          <w:bCs/>
          <w:lang w:val="lt-LT"/>
        </w:rPr>
        <w:t xml:space="preserve"> (</w:t>
      </w:r>
      <w:r>
        <w:rPr>
          <w:rFonts w:ascii="Times New Roman" w:eastAsia="Calibri" w:hAnsi="Times New Roman" w:cs="Times New Roman"/>
          <w:bCs/>
          <w:lang w:val="lt-LT"/>
        </w:rPr>
        <w:t>skrandžio ir / ar žarnyno sienelės prakiurimas arba žarnos plyšimas</w:t>
      </w:r>
      <w:r w:rsidRPr="0037099B">
        <w:rPr>
          <w:rFonts w:ascii="Times New Roman" w:eastAsia="Calibri" w:hAnsi="Times New Roman" w:cs="Times New Roman"/>
          <w:bCs/>
          <w:lang w:val="lt-LT"/>
        </w:rPr>
        <w:t>)</w:t>
      </w:r>
      <w:r>
        <w:rPr>
          <w:rFonts w:ascii="Times New Roman" w:eastAsia="Calibri" w:hAnsi="Times New Roman" w:cs="Times New Roman"/>
          <w:bCs/>
          <w:lang w:val="lt-LT"/>
        </w:rPr>
        <w:t xml:space="preserve"> – tai gali sukelti mirtį;</w:t>
      </w:r>
    </w:p>
    <w:p w14:paraId="44827EA9" w14:textId="77777777" w:rsidR="009E4757" w:rsidRPr="009E4757" w:rsidRDefault="009E4757" w:rsidP="009E4757">
      <w:pPr>
        <w:numPr>
          <w:ilvl w:val="0"/>
          <w:numId w:val="16"/>
        </w:numPr>
        <w:spacing w:after="0" w:line="240" w:lineRule="auto"/>
        <w:rPr>
          <w:rFonts w:ascii="Times New Roman" w:eastAsia="Calibri" w:hAnsi="Times New Roman" w:cs="Times New Roman"/>
          <w:bCs/>
          <w:lang w:val="lt-LT"/>
        </w:rPr>
      </w:pPr>
      <w:r w:rsidRPr="009E4757">
        <w:rPr>
          <w:rFonts w:ascii="Times New Roman" w:eastAsia="Calibri" w:hAnsi="Times New Roman" w:cs="Times New Roman"/>
          <w:bCs/>
          <w:lang w:val="lt-LT"/>
        </w:rPr>
        <w:t>vidurių užkietėjimas, pilvo skausmas, pilvo skausmingumas, karščiavimas, pilvo pūtimas, viduriavimas su krauju. Tai gali rodyti išdidėjusią gaubtinę žarną (žarnų padidėjimą) arba žarnyno infarktą</w:t>
      </w:r>
      <w:r w:rsidR="001D3552">
        <w:rPr>
          <w:rFonts w:ascii="Times New Roman" w:eastAsia="Calibri" w:hAnsi="Times New Roman" w:cs="Times New Roman"/>
          <w:bCs/>
          <w:lang w:val="lt-LT"/>
        </w:rPr>
        <w:t>,</w:t>
      </w:r>
      <w:r w:rsidRPr="009E4757">
        <w:rPr>
          <w:rFonts w:ascii="Times New Roman" w:eastAsia="Calibri" w:hAnsi="Times New Roman" w:cs="Times New Roman"/>
          <w:bCs/>
          <w:lang w:val="lt-LT"/>
        </w:rPr>
        <w:t xml:space="preserve"> išemiją</w:t>
      </w:r>
      <w:r w:rsidR="001D3552">
        <w:rPr>
          <w:rFonts w:ascii="Times New Roman" w:eastAsia="Calibri" w:hAnsi="Times New Roman" w:cs="Times New Roman"/>
          <w:bCs/>
          <w:lang w:val="lt-LT"/>
        </w:rPr>
        <w:t xml:space="preserve"> </w:t>
      </w:r>
      <w:r w:rsidR="001D3552" w:rsidRPr="009E4757">
        <w:rPr>
          <w:rFonts w:ascii="Times New Roman" w:eastAsia="Calibri" w:hAnsi="Times New Roman" w:cs="Times New Roman"/>
          <w:bCs/>
          <w:lang w:val="lt-LT"/>
        </w:rPr>
        <w:t>ir (arba)</w:t>
      </w:r>
      <w:r w:rsidR="001D3552">
        <w:rPr>
          <w:rFonts w:ascii="Times New Roman" w:eastAsia="Calibri" w:hAnsi="Times New Roman" w:cs="Times New Roman"/>
          <w:bCs/>
          <w:lang w:val="lt-LT"/>
        </w:rPr>
        <w:t xml:space="preserve"> nekrozę – tai gali sukelti mirtį</w:t>
      </w:r>
      <w:r w:rsidRPr="009E4757">
        <w:rPr>
          <w:rFonts w:ascii="Times New Roman" w:eastAsia="Calibri" w:hAnsi="Times New Roman" w:cs="Times New Roman"/>
          <w:bCs/>
          <w:lang w:val="lt-LT"/>
        </w:rPr>
        <w:t>. Gydytojui reikės Jus apžiūrėti;</w:t>
      </w:r>
    </w:p>
    <w:p w14:paraId="5D420211" w14:textId="77777777" w:rsidR="009E4757" w:rsidRDefault="009E4757" w:rsidP="009E4757">
      <w:pPr>
        <w:numPr>
          <w:ilvl w:val="0"/>
          <w:numId w:val="16"/>
        </w:numPr>
        <w:spacing w:after="0" w:line="240" w:lineRule="auto"/>
        <w:rPr>
          <w:rFonts w:ascii="Times New Roman" w:eastAsia="Calibri" w:hAnsi="Times New Roman" w:cs="Times New Roman"/>
          <w:bCs/>
          <w:lang w:val="lt-LT"/>
        </w:rPr>
      </w:pPr>
      <w:r w:rsidRPr="009E4757">
        <w:rPr>
          <w:rFonts w:ascii="Times New Roman" w:eastAsia="Calibri" w:hAnsi="Times New Roman" w:cs="Times New Roman"/>
          <w:bCs/>
          <w:lang w:val="lt-LT"/>
        </w:rPr>
        <w:t>aštrus skausmas krūtinėje su dusuliu, kosint arba nekosint;</w:t>
      </w:r>
    </w:p>
    <w:p w14:paraId="48563CDD" w14:textId="77777777" w:rsidR="001D3552" w:rsidRPr="001D3552" w:rsidRDefault="001D3552" w:rsidP="001D3552">
      <w:pPr>
        <w:numPr>
          <w:ilvl w:val="0"/>
          <w:numId w:val="16"/>
        </w:numPr>
        <w:spacing w:after="0" w:line="240" w:lineRule="auto"/>
        <w:rPr>
          <w:rFonts w:ascii="Times New Roman" w:eastAsia="Calibri" w:hAnsi="Times New Roman" w:cs="Times New Roman"/>
          <w:bCs/>
          <w:lang w:val="lt-LT"/>
        </w:rPr>
      </w:pPr>
      <w:r>
        <w:rPr>
          <w:rFonts w:ascii="Times New Roman" w:eastAsia="Calibri" w:hAnsi="Times New Roman" w:cs="Times New Roman"/>
          <w:bCs/>
          <w:lang w:val="lt-LT"/>
        </w:rPr>
        <w:t>vartojant Leponex buvo gauta pranešimų apie labai smarkias ir sunkias odos reakcijas, tokias kaip vaisto sukeltas išbėrimas su eozinofilija ir sisteminiais simptomais (DRESS sindromas). Odos nepageidaujamos reakcijos gali pasireikšti kaip išbėrimas su arba be pūslelių. Gali pasireikšti odos sudirginimas, patinimas ir karščiavimas bei į gripą panašūs simptomai</w:t>
      </w:r>
      <w:r w:rsidRPr="00203110">
        <w:rPr>
          <w:rFonts w:ascii="Times New Roman" w:eastAsia="Calibri" w:hAnsi="Times New Roman" w:cs="Times New Roman"/>
          <w:bCs/>
          <w:lang w:val="lt-LT"/>
        </w:rPr>
        <w:t>.</w:t>
      </w:r>
      <w:r>
        <w:rPr>
          <w:rFonts w:ascii="Times New Roman" w:eastAsia="Calibri" w:hAnsi="Times New Roman" w:cs="Times New Roman"/>
          <w:bCs/>
          <w:lang w:val="lt-LT"/>
        </w:rPr>
        <w:t xml:space="preserve"> DRESS sindromo simptomai dažniausiai atsiranda 2–6 gydymo savaitę (gali atsirasti iki 8-os gydymo savaitės).</w:t>
      </w:r>
    </w:p>
    <w:p w14:paraId="2F69B956" w14:textId="77777777" w:rsidR="009E4757" w:rsidRPr="009E4757" w:rsidRDefault="009E4757" w:rsidP="009E4757">
      <w:pPr>
        <w:numPr>
          <w:ilvl w:val="0"/>
          <w:numId w:val="16"/>
        </w:numPr>
        <w:spacing w:after="0" w:line="240" w:lineRule="auto"/>
        <w:rPr>
          <w:rFonts w:ascii="Times New Roman" w:eastAsia="Calibri" w:hAnsi="Times New Roman" w:cs="Times New Roman"/>
          <w:bCs/>
          <w:lang w:val="lt-LT"/>
        </w:rPr>
      </w:pPr>
      <w:r w:rsidRPr="009E4757">
        <w:rPr>
          <w:rFonts w:ascii="Times New Roman" w:eastAsia="Calibri" w:hAnsi="Times New Roman" w:cs="Times New Roman"/>
          <w:bCs/>
          <w:lang w:val="lt-LT"/>
        </w:rPr>
        <w:lastRenderedPageBreak/>
        <w:t>padidėjęs arba naujai atsiradęs raumenų silpnumas, raumenų spazmai, raumenų skausmas. Tai gali rodyti raumenų sutrikimą (rabdomiolizę). Gydytojui reikės Jus apžiūrėti;</w:t>
      </w:r>
    </w:p>
    <w:p w14:paraId="05F7E3EC" w14:textId="77777777" w:rsidR="00A34B5C" w:rsidRDefault="009E4757" w:rsidP="009E4757">
      <w:pPr>
        <w:numPr>
          <w:ilvl w:val="0"/>
          <w:numId w:val="16"/>
        </w:numPr>
        <w:spacing w:after="0" w:line="240" w:lineRule="auto"/>
        <w:rPr>
          <w:rFonts w:ascii="Times New Roman" w:eastAsia="Calibri" w:hAnsi="Times New Roman" w:cs="Times New Roman"/>
          <w:bCs/>
          <w:lang w:val="lt-LT"/>
        </w:rPr>
      </w:pPr>
      <w:r w:rsidRPr="009E4757">
        <w:rPr>
          <w:rFonts w:ascii="Times New Roman" w:eastAsia="Calibri" w:hAnsi="Times New Roman" w:cs="Times New Roman"/>
          <w:bCs/>
          <w:lang w:val="lt-LT"/>
        </w:rPr>
        <w:t>aštrus krūtinės arba pilvo skausmas su dusuliu, kosint arba nekosint, karščiuojant arba nekarščiuojant</w:t>
      </w:r>
      <w:r>
        <w:rPr>
          <w:rFonts w:ascii="Times New Roman" w:eastAsia="Calibri" w:hAnsi="Times New Roman" w:cs="Times New Roman"/>
          <w:bCs/>
          <w:lang w:val="lt-LT"/>
        </w:rPr>
        <w:t>;</w:t>
      </w:r>
    </w:p>
    <w:p w14:paraId="11EF99BF" w14:textId="77777777" w:rsidR="00CB5885" w:rsidRDefault="00CB5885" w:rsidP="00A34B5C">
      <w:pPr>
        <w:numPr>
          <w:ilvl w:val="0"/>
          <w:numId w:val="16"/>
        </w:numPr>
        <w:spacing w:after="0" w:line="240" w:lineRule="auto"/>
        <w:rPr>
          <w:rFonts w:ascii="Times New Roman" w:eastAsia="Calibri" w:hAnsi="Times New Roman" w:cs="Times New Roman"/>
          <w:bCs/>
          <w:lang w:val="lt-LT"/>
        </w:rPr>
      </w:pPr>
      <w:r w:rsidRPr="00CB5885">
        <w:rPr>
          <w:rFonts w:ascii="Times New Roman" w:eastAsia="Calibri" w:hAnsi="Times New Roman" w:cs="Times New Roman"/>
          <w:bCs/>
          <w:lang w:val="lt-LT"/>
        </w:rPr>
        <w:t>vaisto nutraukimo sindromas naujagimiams</w:t>
      </w:r>
      <w:r>
        <w:rPr>
          <w:rFonts w:ascii="Times New Roman" w:eastAsia="Calibri" w:hAnsi="Times New Roman" w:cs="Times New Roman"/>
          <w:bCs/>
          <w:lang w:val="lt-LT"/>
        </w:rPr>
        <w:t>;</w:t>
      </w:r>
    </w:p>
    <w:p w14:paraId="2FE9F307" w14:textId="77777777" w:rsidR="00CB5885" w:rsidRDefault="00CB5885" w:rsidP="00A34B5C">
      <w:pPr>
        <w:numPr>
          <w:ilvl w:val="0"/>
          <w:numId w:val="16"/>
        </w:numPr>
        <w:spacing w:after="0" w:line="240" w:lineRule="auto"/>
        <w:rPr>
          <w:rFonts w:ascii="Times New Roman" w:eastAsia="Calibri" w:hAnsi="Times New Roman" w:cs="Times New Roman"/>
          <w:bCs/>
          <w:lang w:val="lt-LT"/>
        </w:rPr>
      </w:pPr>
      <w:r w:rsidRPr="00CB5885">
        <w:rPr>
          <w:rFonts w:ascii="Times New Roman" w:eastAsia="Calibri" w:hAnsi="Times New Roman" w:cs="Times New Roman"/>
          <w:bCs/>
          <w:lang w:val="lt-LT"/>
        </w:rPr>
        <w:t>apetito praradimas, sutinęs pilvas, pilvo skausmas, pageltusi oda, didelis silpnumas ir negalavimas. Tai gali būti kepenų sutrikimas, kurio metu normalus kepenų audinys pakeičiamas randiniu audiniu ir dėl to sutrinka kepenų veikla, įskaitant tokius reiškinius, kurie sukelia pavojų gyvybei lemiančias pasekmes, pavyzdžiui, kepenų nepakankamumą (kuris gali lemti mirtį), kepenų pažeidimą (kepenų ląstelių, tulžies latako kepenyse ar abiejų šių struktūrų pažeidimą) ir kepenų transplantaciją</w:t>
      </w:r>
      <w:r>
        <w:rPr>
          <w:rFonts w:ascii="Times New Roman" w:eastAsia="Calibri" w:hAnsi="Times New Roman" w:cs="Times New Roman"/>
          <w:bCs/>
          <w:lang w:val="lt-LT"/>
        </w:rPr>
        <w:t>;</w:t>
      </w:r>
    </w:p>
    <w:p w14:paraId="3D1D27B0" w14:textId="77777777" w:rsidR="00DA764E" w:rsidRPr="00A34B5C" w:rsidRDefault="00DA764E" w:rsidP="00A34B5C">
      <w:pPr>
        <w:numPr>
          <w:ilvl w:val="0"/>
          <w:numId w:val="16"/>
        </w:numPr>
        <w:spacing w:after="0" w:line="240" w:lineRule="auto"/>
        <w:rPr>
          <w:rFonts w:ascii="Times New Roman" w:eastAsia="Calibri" w:hAnsi="Times New Roman" w:cs="Times New Roman"/>
          <w:bCs/>
          <w:lang w:val="lt-LT"/>
        </w:rPr>
      </w:pPr>
      <w:r>
        <w:rPr>
          <w:rFonts w:ascii="Times New Roman" w:eastAsia="Calibri" w:hAnsi="Times New Roman" w:cs="Times New Roman"/>
          <w:bCs/>
          <w:lang w:val="lt-LT"/>
        </w:rPr>
        <w:t xml:space="preserve">neramių kojų sindromas (nenugalimas noras judinti kojas ar rankas, </w:t>
      </w:r>
      <w:r w:rsidR="005276E8">
        <w:rPr>
          <w:rFonts w:ascii="Times New Roman" w:eastAsia="Calibri" w:hAnsi="Times New Roman" w:cs="Times New Roman"/>
          <w:bCs/>
          <w:lang w:val="lt-LT"/>
        </w:rPr>
        <w:t>dažniausiai kartu su nemaloniais pojūčiais jose ramybės metu, ypatingai pasireiškiantis vakare ar naktį ir laikinai praeinantis judant).</w:t>
      </w:r>
    </w:p>
    <w:p w14:paraId="2288641B" w14:textId="77777777" w:rsidR="00A34B5C" w:rsidRDefault="00A34B5C" w:rsidP="00A34B5C">
      <w:pPr>
        <w:spacing w:after="0" w:line="240" w:lineRule="auto"/>
        <w:rPr>
          <w:rFonts w:ascii="Times New Roman" w:eastAsia="Calibri" w:hAnsi="Times New Roman" w:cs="Times New Roman"/>
          <w:lang w:val="lt-LT"/>
        </w:rPr>
      </w:pPr>
    </w:p>
    <w:p w14:paraId="65751920" w14:textId="77777777" w:rsidR="00CB5885" w:rsidRDefault="00CB5885" w:rsidP="00A34B5C">
      <w:pPr>
        <w:spacing w:after="0" w:line="240" w:lineRule="auto"/>
        <w:rPr>
          <w:rFonts w:ascii="Times New Roman" w:eastAsia="Calibri" w:hAnsi="Times New Roman" w:cs="Times New Roman"/>
          <w:lang w:val="lt-LT"/>
        </w:rPr>
      </w:pPr>
      <w:r w:rsidRPr="00CB5885">
        <w:rPr>
          <w:rFonts w:ascii="Times New Roman" w:eastAsia="Calibri" w:hAnsi="Times New Roman" w:cs="Times New Roman"/>
          <w:lang w:val="lt-LT"/>
        </w:rPr>
        <w:t xml:space="preserve">Jeigu Jums yra kuris nors iš aukščiau išvardytų sutrikimų, prieš vartojant kitą Leponex tabletę prašome nedelsiant pasitarti su gydytoju. </w:t>
      </w:r>
    </w:p>
    <w:p w14:paraId="5851DF1A" w14:textId="77777777" w:rsidR="00CB5885" w:rsidRPr="00A34B5C" w:rsidRDefault="00CB5885" w:rsidP="00A34B5C">
      <w:pPr>
        <w:spacing w:after="0" w:line="240" w:lineRule="auto"/>
        <w:rPr>
          <w:rFonts w:ascii="Times New Roman" w:eastAsia="Calibri" w:hAnsi="Times New Roman" w:cs="Times New Roman"/>
          <w:lang w:val="lt-LT"/>
        </w:rPr>
      </w:pPr>
    </w:p>
    <w:p w14:paraId="57E8D9A9" w14:textId="613D5680" w:rsidR="00A34B5C" w:rsidRPr="00A34B5C" w:rsidRDefault="00A34B5C" w:rsidP="00A34B5C">
      <w:pPr>
        <w:spacing w:after="0" w:line="240" w:lineRule="auto"/>
        <w:rPr>
          <w:rFonts w:ascii="Times New Roman" w:eastAsia="Calibri" w:hAnsi="Times New Roman" w:cs="Times New Roman"/>
          <w:b/>
          <w:lang w:val="lt-LT"/>
        </w:rPr>
      </w:pPr>
      <w:r w:rsidRPr="00A34B5C">
        <w:rPr>
          <w:rFonts w:ascii="Times New Roman" w:eastAsia="Calibri" w:hAnsi="Times New Roman" w:cs="Times New Roman"/>
          <w:b/>
          <w:lang w:val="lt-LT"/>
        </w:rPr>
        <w:t>Kiti šalutini</w:t>
      </w:r>
      <w:r w:rsidR="00974960">
        <w:rPr>
          <w:rFonts w:ascii="Times New Roman" w:eastAsia="Calibri" w:hAnsi="Times New Roman" w:cs="Times New Roman"/>
          <w:b/>
          <w:lang w:val="lt-LT"/>
        </w:rPr>
        <w:t>o</w:t>
      </w:r>
      <w:r w:rsidRPr="00A34B5C">
        <w:rPr>
          <w:rFonts w:ascii="Times New Roman" w:eastAsia="Calibri" w:hAnsi="Times New Roman" w:cs="Times New Roman"/>
          <w:b/>
          <w:lang w:val="lt-LT"/>
        </w:rPr>
        <w:t xml:space="preserve"> poveiki</w:t>
      </w:r>
      <w:r w:rsidR="00974960">
        <w:rPr>
          <w:rFonts w:ascii="Times New Roman" w:eastAsia="Calibri" w:hAnsi="Times New Roman" w:cs="Times New Roman"/>
          <w:b/>
          <w:lang w:val="lt-LT"/>
        </w:rPr>
        <w:t>o reiškini</w:t>
      </w:r>
      <w:r w:rsidRPr="00A34B5C">
        <w:rPr>
          <w:rFonts w:ascii="Times New Roman" w:eastAsia="Calibri" w:hAnsi="Times New Roman" w:cs="Times New Roman"/>
          <w:b/>
          <w:lang w:val="lt-LT"/>
        </w:rPr>
        <w:t>ai:</w:t>
      </w:r>
    </w:p>
    <w:p w14:paraId="1AF313D8" w14:textId="77777777" w:rsidR="00A34B5C" w:rsidRPr="00A34B5C" w:rsidRDefault="00A34B5C" w:rsidP="00A34B5C">
      <w:pPr>
        <w:spacing w:after="0" w:line="240" w:lineRule="auto"/>
        <w:rPr>
          <w:rFonts w:ascii="Times New Roman" w:eastAsia="Calibri" w:hAnsi="Times New Roman" w:cs="Times New Roman"/>
          <w:lang w:val="lt-LT"/>
        </w:rPr>
      </w:pPr>
    </w:p>
    <w:p w14:paraId="7A4D0B13" w14:textId="0259CBDE" w:rsidR="00A34B5C" w:rsidRPr="00A34B5C" w:rsidRDefault="00A34B5C" w:rsidP="00A34B5C">
      <w:pPr>
        <w:spacing w:after="0" w:line="240" w:lineRule="auto"/>
        <w:rPr>
          <w:rFonts w:ascii="Times New Roman" w:eastAsia="Calibri" w:hAnsi="Times New Roman" w:cs="Times New Roman"/>
          <w:i/>
          <w:lang w:val="lt-LT"/>
        </w:rPr>
      </w:pPr>
      <w:r w:rsidRPr="0035481C">
        <w:rPr>
          <w:rFonts w:ascii="Times New Roman" w:eastAsia="Calibri" w:hAnsi="Times New Roman" w:cs="Times New Roman"/>
          <w:b/>
          <w:bCs/>
          <w:lang w:val="lt-LT"/>
        </w:rPr>
        <w:t>Labai dažni</w:t>
      </w:r>
      <w:r w:rsidR="00974960" w:rsidRPr="00B27E7B">
        <w:t xml:space="preserve"> </w:t>
      </w:r>
      <w:r w:rsidR="00974960" w:rsidRPr="00974960">
        <w:rPr>
          <w:rFonts w:ascii="Times New Roman" w:eastAsia="Calibri" w:hAnsi="Times New Roman" w:cs="Times New Roman"/>
          <w:b/>
          <w:bCs/>
          <w:lang w:val="lt-LT"/>
        </w:rPr>
        <w:t>šalutinio poveikio reiškiniai (gali pasireikšti ne rečiau</w:t>
      </w:r>
      <w:r w:rsidR="00974960" w:rsidRPr="00B27E7B">
        <w:rPr>
          <w:rFonts w:ascii="Times New Roman" w:hAnsi="Times New Roman"/>
          <w:b/>
          <w:lang w:val="lt-LT"/>
        </w:rPr>
        <w:t xml:space="preserve"> kaip 1 iš 10</w:t>
      </w:r>
      <w:r w:rsidR="00974960">
        <w:rPr>
          <w:rFonts w:ascii="Times New Roman" w:eastAsia="Calibri" w:hAnsi="Times New Roman" w:cs="Times New Roman"/>
          <w:b/>
          <w:bCs/>
          <w:lang w:val="lt-LT"/>
        </w:rPr>
        <w:t> </w:t>
      </w:r>
      <w:r w:rsidR="00974960" w:rsidRPr="00974960">
        <w:rPr>
          <w:rFonts w:ascii="Times New Roman" w:eastAsia="Calibri" w:hAnsi="Times New Roman" w:cs="Times New Roman"/>
          <w:b/>
          <w:bCs/>
          <w:lang w:val="lt-LT"/>
        </w:rPr>
        <w:t>asmenų</w:t>
      </w:r>
      <w:r w:rsidR="00974960" w:rsidRPr="00B27E7B">
        <w:rPr>
          <w:rFonts w:ascii="Times New Roman" w:hAnsi="Times New Roman"/>
          <w:b/>
          <w:lang w:val="lt-LT"/>
        </w:rPr>
        <w:t>)</w:t>
      </w:r>
    </w:p>
    <w:p w14:paraId="78AECE49"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Mieguistumas, galvos svaigimas, padidėjęs seilėtekis.</w:t>
      </w:r>
    </w:p>
    <w:p w14:paraId="652CC66C" w14:textId="77777777" w:rsidR="00A34B5C" w:rsidRPr="00A34B5C" w:rsidRDefault="00A34B5C" w:rsidP="00A34B5C">
      <w:pPr>
        <w:spacing w:after="0" w:line="240" w:lineRule="auto"/>
        <w:rPr>
          <w:rFonts w:ascii="Times New Roman" w:eastAsia="Calibri" w:hAnsi="Times New Roman" w:cs="Times New Roman"/>
          <w:lang w:val="lt-LT"/>
        </w:rPr>
      </w:pPr>
    </w:p>
    <w:p w14:paraId="01C4F97A" w14:textId="66BD4F3F" w:rsidR="00A34B5C" w:rsidRPr="00A34B5C" w:rsidRDefault="00A34B5C" w:rsidP="00A34B5C">
      <w:pPr>
        <w:spacing w:after="0" w:line="240" w:lineRule="auto"/>
        <w:rPr>
          <w:rFonts w:ascii="Times New Roman" w:eastAsia="Calibri" w:hAnsi="Times New Roman" w:cs="Times New Roman"/>
          <w:i/>
          <w:lang w:val="lt-LT"/>
        </w:rPr>
      </w:pPr>
      <w:r w:rsidRPr="0035481C">
        <w:rPr>
          <w:rFonts w:ascii="Times New Roman" w:eastAsia="Calibri" w:hAnsi="Times New Roman" w:cs="Times New Roman"/>
          <w:b/>
          <w:bCs/>
          <w:color w:val="000000"/>
          <w:lang w:val="lt-LT"/>
        </w:rPr>
        <w:t>Dažni</w:t>
      </w:r>
      <w:r w:rsidR="00974960" w:rsidRPr="00B27E7B">
        <w:t xml:space="preserve"> </w:t>
      </w:r>
      <w:r w:rsidR="00974960" w:rsidRPr="00974960">
        <w:rPr>
          <w:rFonts w:ascii="Times New Roman" w:eastAsia="Calibri" w:hAnsi="Times New Roman" w:cs="Times New Roman"/>
          <w:b/>
          <w:bCs/>
          <w:color w:val="000000"/>
          <w:lang w:val="lt-LT"/>
        </w:rPr>
        <w:t>šalutinio poveikio reiškiniai (gali pasireikšti rečiau</w:t>
      </w:r>
      <w:r w:rsidR="00974960" w:rsidRPr="00B27E7B">
        <w:rPr>
          <w:rFonts w:ascii="Times New Roman" w:hAnsi="Times New Roman"/>
          <w:b/>
          <w:color w:val="000000"/>
          <w:lang w:val="lt-LT"/>
        </w:rPr>
        <w:t xml:space="preserve"> kaip 1 iš 10 </w:t>
      </w:r>
      <w:r w:rsidR="00974960" w:rsidRPr="00974960">
        <w:rPr>
          <w:rFonts w:ascii="Times New Roman" w:eastAsia="Calibri" w:hAnsi="Times New Roman" w:cs="Times New Roman"/>
          <w:b/>
          <w:bCs/>
          <w:color w:val="000000"/>
          <w:lang w:val="lt-LT"/>
        </w:rPr>
        <w:t>asmenų</w:t>
      </w:r>
      <w:r w:rsidR="00974960" w:rsidRPr="00B27E7B">
        <w:rPr>
          <w:rFonts w:ascii="Times New Roman" w:hAnsi="Times New Roman"/>
          <w:b/>
          <w:color w:val="000000"/>
          <w:lang w:val="lt-LT"/>
        </w:rPr>
        <w:t>)</w:t>
      </w:r>
    </w:p>
    <w:p w14:paraId="7CA3616F" w14:textId="77777777" w:rsidR="00A34B5C" w:rsidRPr="00A34B5C" w:rsidRDefault="00A34B5C" w:rsidP="00A34B5C">
      <w:pPr>
        <w:tabs>
          <w:tab w:val="num" w:pos="-4253"/>
        </w:tabs>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Padidėjęs baltųjų kraujo ląstelių kiekis (leukocitozė), padidėjęs tam tikrų baltųjų kraujo ląstelių – eozinofilų, kiekis (eozinofilija), kūno svorio didėjimas, neryškus matymas, galvos skausmas, drebulys, sąstingis, neramumas, traukuliai, mėšlungiški trūkčiojimai, nenormalūs judesiai, negalėjimas pradėti judėti, negalėjimas nejudėti, pokyčiai širdies elektrokardiogramoje (EKG), aukštas kraujospūdis, silpnumas ar apsvaigimas keičiant padėtį, pykinimas (šleikštulys), vėmimas, apetito stoka, burnos sausumas, nedideli pakitimai kepenų funkcijos tyrimuose, šlapinimosi nekontroliavimas, pasunkėjęs šlapinimasis, nuovargis, karščiavimas, padidėjęs prakaitavimas, pakilusi kūno temperatūra.</w:t>
      </w:r>
    </w:p>
    <w:p w14:paraId="22DDCE4C" w14:textId="77777777" w:rsidR="00A34B5C" w:rsidRPr="00A34B5C" w:rsidRDefault="00A34B5C" w:rsidP="00A34B5C">
      <w:pPr>
        <w:spacing w:after="0" w:line="240" w:lineRule="auto"/>
        <w:rPr>
          <w:rFonts w:ascii="Times New Roman" w:eastAsia="Calibri" w:hAnsi="Times New Roman" w:cs="Times New Roman"/>
          <w:lang w:val="lt-LT"/>
        </w:rPr>
      </w:pPr>
    </w:p>
    <w:p w14:paraId="32400477" w14:textId="209835B8" w:rsidR="00A34B5C" w:rsidRPr="00A34B5C" w:rsidRDefault="00A34B5C" w:rsidP="00A34B5C">
      <w:pPr>
        <w:spacing w:after="0" w:line="240" w:lineRule="auto"/>
        <w:rPr>
          <w:rFonts w:ascii="Times New Roman" w:eastAsia="Calibri" w:hAnsi="Times New Roman" w:cs="Times New Roman"/>
          <w:i/>
          <w:lang w:val="lt-LT"/>
        </w:rPr>
      </w:pPr>
      <w:r w:rsidRPr="0035481C">
        <w:rPr>
          <w:rFonts w:ascii="Times New Roman" w:eastAsia="Calibri" w:hAnsi="Times New Roman" w:cs="Times New Roman"/>
          <w:b/>
          <w:bCs/>
          <w:color w:val="000000"/>
          <w:lang w:val="lt-LT"/>
        </w:rPr>
        <w:t>Nedažni</w:t>
      </w:r>
      <w:r w:rsidR="00974960" w:rsidRPr="00B27E7B">
        <w:t xml:space="preserve"> </w:t>
      </w:r>
      <w:r w:rsidR="00974960" w:rsidRPr="00974960">
        <w:rPr>
          <w:rFonts w:ascii="Times New Roman" w:eastAsia="Calibri" w:hAnsi="Times New Roman" w:cs="Times New Roman"/>
          <w:b/>
          <w:bCs/>
          <w:color w:val="000000"/>
          <w:lang w:val="lt-LT"/>
        </w:rPr>
        <w:t>šalutinio poveikio reiškiniai (gali pasireikšti rečiau</w:t>
      </w:r>
      <w:r w:rsidR="00974960" w:rsidRPr="00B27E7B">
        <w:rPr>
          <w:rFonts w:ascii="Times New Roman" w:hAnsi="Times New Roman"/>
          <w:b/>
          <w:color w:val="000000"/>
          <w:lang w:val="lt-LT"/>
        </w:rPr>
        <w:t xml:space="preserve"> kaip 1 iš 100</w:t>
      </w:r>
      <w:r w:rsidR="008A27C4" w:rsidRPr="00B27E7B">
        <w:rPr>
          <w:rFonts w:ascii="Times New Roman" w:hAnsi="Times New Roman"/>
          <w:b/>
          <w:color w:val="000000"/>
          <w:lang w:val="lt-LT"/>
        </w:rPr>
        <w:t> </w:t>
      </w:r>
      <w:r w:rsidR="00974960" w:rsidRPr="00974960">
        <w:rPr>
          <w:rFonts w:ascii="Times New Roman" w:eastAsia="Calibri" w:hAnsi="Times New Roman" w:cs="Times New Roman"/>
          <w:b/>
          <w:bCs/>
          <w:color w:val="000000"/>
          <w:lang w:val="lt-LT"/>
        </w:rPr>
        <w:t>asmenų</w:t>
      </w:r>
      <w:r w:rsidR="00974960">
        <w:rPr>
          <w:rFonts w:ascii="Times New Roman" w:eastAsia="Calibri" w:hAnsi="Times New Roman" w:cs="Times New Roman"/>
          <w:i/>
          <w:iCs/>
          <w:color w:val="000000"/>
          <w:lang w:val="lt-LT"/>
        </w:rPr>
        <w:t>)</w:t>
      </w:r>
    </w:p>
    <w:p w14:paraId="5CF80E50"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Baltųjų kraujo ląstelių nebuvimas (agranulocitozė),</w:t>
      </w:r>
      <w:r w:rsidRPr="00A34B5C">
        <w:rPr>
          <w:rFonts w:ascii="Arial" w:eastAsia="Calibri" w:hAnsi="Arial" w:cs="Arial"/>
          <w:color w:val="222222"/>
          <w:lang w:val="lt-LT"/>
        </w:rPr>
        <w:t xml:space="preserve"> </w:t>
      </w:r>
      <w:r w:rsidRPr="00A34B5C">
        <w:rPr>
          <w:rFonts w:ascii="Times New Roman" w:eastAsia="Calibri" w:hAnsi="Times New Roman" w:cs="Times New Roman"/>
          <w:lang w:val="lt-LT"/>
        </w:rPr>
        <w:t>kalbos sutrikimai (pvz., mikčiojimas).</w:t>
      </w:r>
    </w:p>
    <w:p w14:paraId="3349FF09" w14:textId="77777777" w:rsidR="00A34B5C" w:rsidRPr="00A34B5C" w:rsidRDefault="00A34B5C" w:rsidP="00A34B5C">
      <w:pPr>
        <w:spacing w:after="0" w:line="240" w:lineRule="auto"/>
        <w:rPr>
          <w:rFonts w:ascii="Times New Roman" w:eastAsia="Calibri" w:hAnsi="Times New Roman" w:cs="Times New Roman"/>
          <w:lang w:val="lt-LT"/>
        </w:rPr>
      </w:pPr>
    </w:p>
    <w:p w14:paraId="38C9CC4B" w14:textId="171BBB78" w:rsidR="00A34B5C" w:rsidRPr="00A34B5C" w:rsidRDefault="00A34B5C" w:rsidP="00A34B5C">
      <w:pPr>
        <w:spacing w:after="0" w:line="240" w:lineRule="auto"/>
        <w:rPr>
          <w:rFonts w:ascii="Times New Roman" w:eastAsia="Calibri" w:hAnsi="Times New Roman" w:cs="Times New Roman"/>
          <w:i/>
          <w:lang w:val="lt-LT"/>
        </w:rPr>
      </w:pPr>
      <w:r w:rsidRPr="0035481C">
        <w:rPr>
          <w:rFonts w:ascii="Times New Roman" w:eastAsia="Calibri" w:hAnsi="Times New Roman" w:cs="Times New Roman"/>
          <w:b/>
          <w:bCs/>
          <w:color w:val="000000"/>
          <w:lang w:val="lt-LT"/>
        </w:rPr>
        <w:t>Reti</w:t>
      </w:r>
      <w:r w:rsidR="00974960" w:rsidRPr="00B27E7B">
        <w:t xml:space="preserve"> </w:t>
      </w:r>
      <w:r w:rsidR="00974960" w:rsidRPr="00974960">
        <w:rPr>
          <w:rFonts w:ascii="Times New Roman" w:eastAsia="Calibri" w:hAnsi="Times New Roman" w:cs="Times New Roman"/>
          <w:b/>
          <w:bCs/>
          <w:color w:val="000000"/>
          <w:lang w:val="lt-LT"/>
        </w:rPr>
        <w:t>šalutinio poveikio reiškiniai (gali pasireikšti rečiau</w:t>
      </w:r>
      <w:r w:rsidR="00974960" w:rsidRPr="00B27E7B">
        <w:rPr>
          <w:rFonts w:ascii="Times New Roman" w:hAnsi="Times New Roman"/>
          <w:b/>
          <w:color w:val="000000"/>
          <w:lang w:val="lt-LT"/>
        </w:rPr>
        <w:t xml:space="preserve"> kaip 1 iš 1</w:t>
      </w:r>
      <w:r w:rsidR="00974960">
        <w:rPr>
          <w:rFonts w:ascii="Times New Roman" w:eastAsia="Calibri" w:hAnsi="Times New Roman" w:cs="Times New Roman"/>
          <w:b/>
          <w:bCs/>
          <w:color w:val="000000"/>
          <w:lang w:val="lt-LT"/>
        </w:rPr>
        <w:t> </w:t>
      </w:r>
      <w:r w:rsidR="00974960" w:rsidRPr="00B27E7B">
        <w:rPr>
          <w:rFonts w:ascii="Times New Roman" w:hAnsi="Times New Roman"/>
          <w:b/>
          <w:color w:val="000000"/>
          <w:lang w:val="lt-LT"/>
        </w:rPr>
        <w:t>000 </w:t>
      </w:r>
      <w:r w:rsidR="00974960" w:rsidRPr="00974960">
        <w:rPr>
          <w:rFonts w:ascii="Times New Roman" w:eastAsia="Calibri" w:hAnsi="Times New Roman" w:cs="Times New Roman"/>
          <w:b/>
          <w:bCs/>
          <w:color w:val="000000"/>
          <w:lang w:val="lt-LT"/>
        </w:rPr>
        <w:t>asmenų</w:t>
      </w:r>
      <w:r w:rsidR="00974960" w:rsidRPr="00B27E7B">
        <w:rPr>
          <w:rFonts w:ascii="Times New Roman" w:hAnsi="Times New Roman"/>
          <w:b/>
          <w:color w:val="000000"/>
          <w:lang w:val="lt-LT"/>
        </w:rPr>
        <w:t>)</w:t>
      </w:r>
    </w:p>
    <w:p w14:paraId="30AF32C9"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Sumažėjęs raudonųjų kraujo ląstelių – eritrocitų, kiekis (anemija), nuovargis, sujaudinimas, sumišimas, delyras, nereguliarus širdies ritmas, širdies raumens uždegimas (miokarditas) arba širdiplėvės uždegimas (perikarditas), susikaupęs skystis aplink širdį (šlapiasis perikarditas), padidėjęs cukraus kiekis kraujyje, cukrinis diabetas, kraujo krešulys plaučiuose (tromboembolizacija), kepenų uždegimas (hepatitas), kitokia kepenų liga, kurios simptomai yra pageltusi oda, patamsėjęs šlapimas, odos niežėjimas, padidėjusi fermento, vadinamo kreatininfosfokinaze, koncentracija kraujyje.</w:t>
      </w:r>
    </w:p>
    <w:p w14:paraId="4C3C252E" w14:textId="77777777" w:rsidR="00A34B5C" w:rsidRPr="00A34B5C" w:rsidRDefault="00A34B5C" w:rsidP="00A34B5C">
      <w:pPr>
        <w:spacing w:after="0" w:line="240" w:lineRule="auto"/>
        <w:rPr>
          <w:rFonts w:ascii="Times New Roman" w:eastAsia="Calibri" w:hAnsi="Times New Roman" w:cs="Times New Roman"/>
          <w:lang w:val="lt-LT"/>
        </w:rPr>
      </w:pPr>
    </w:p>
    <w:p w14:paraId="3A6B3F96" w14:textId="093BDBC2" w:rsidR="00A34B5C" w:rsidRPr="00A34B5C" w:rsidRDefault="00A34B5C" w:rsidP="00A34B5C">
      <w:pPr>
        <w:spacing w:after="0" w:line="240" w:lineRule="auto"/>
        <w:rPr>
          <w:rFonts w:ascii="Times New Roman" w:eastAsia="Calibri" w:hAnsi="Times New Roman" w:cs="Times New Roman"/>
          <w:i/>
          <w:lang w:val="lt-LT"/>
        </w:rPr>
      </w:pPr>
      <w:r w:rsidRPr="0035481C">
        <w:rPr>
          <w:rFonts w:ascii="Times New Roman" w:eastAsia="Calibri" w:hAnsi="Times New Roman" w:cs="Times New Roman"/>
          <w:b/>
          <w:bCs/>
          <w:color w:val="000000"/>
          <w:lang w:val="lt-LT"/>
        </w:rPr>
        <w:t>Labai reti</w:t>
      </w:r>
      <w:r w:rsidR="00974960" w:rsidRPr="00B27E7B">
        <w:t xml:space="preserve"> </w:t>
      </w:r>
      <w:r w:rsidR="00974960" w:rsidRPr="00974960">
        <w:rPr>
          <w:rFonts w:ascii="Times New Roman" w:eastAsia="Calibri" w:hAnsi="Times New Roman" w:cs="Times New Roman"/>
          <w:b/>
          <w:bCs/>
          <w:color w:val="000000"/>
          <w:lang w:val="lt-LT"/>
        </w:rPr>
        <w:t>šalutinio poveikio reiškiniai (gali pasireikšti rečiau</w:t>
      </w:r>
      <w:r w:rsidR="00974960" w:rsidRPr="00B27E7B">
        <w:rPr>
          <w:rFonts w:ascii="Times New Roman" w:hAnsi="Times New Roman"/>
          <w:b/>
          <w:color w:val="000000"/>
          <w:lang w:val="lt-LT"/>
        </w:rPr>
        <w:t xml:space="preserve"> kaip 1 iš 10 000</w:t>
      </w:r>
      <w:r w:rsidR="00974960">
        <w:rPr>
          <w:rFonts w:ascii="Times New Roman" w:eastAsia="Calibri" w:hAnsi="Times New Roman" w:cs="Times New Roman"/>
          <w:b/>
          <w:bCs/>
          <w:color w:val="000000"/>
          <w:lang w:val="lt-LT"/>
        </w:rPr>
        <w:t> </w:t>
      </w:r>
      <w:r w:rsidR="00974960" w:rsidRPr="00974960">
        <w:rPr>
          <w:rFonts w:ascii="Times New Roman" w:eastAsia="Calibri" w:hAnsi="Times New Roman" w:cs="Times New Roman"/>
          <w:b/>
          <w:bCs/>
          <w:color w:val="000000"/>
          <w:lang w:val="lt-LT"/>
        </w:rPr>
        <w:t>asmenų</w:t>
      </w:r>
      <w:r w:rsidR="00974960" w:rsidRPr="00B27E7B">
        <w:rPr>
          <w:rFonts w:ascii="Times New Roman" w:hAnsi="Times New Roman"/>
          <w:b/>
          <w:color w:val="000000"/>
          <w:lang w:val="lt-LT"/>
        </w:rPr>
        <w:t>)</w:t>
      </w:r>
    </w:p>
    <w:p w14:paraId="3F732A38"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Padidėjęs trombocitų kiekis kraujyje su galimais krešuliais kraujagyslėse, nekontroliuojami burnos, liežuvio ir galūnių judesiai, įkyrios mintys ir įkyrus pasikartojantis elgesys (įkyrios būsenos simptomai), odos reakcijos, padidėjusios seilių liaukos, pasunkėjęs kvėpavimas,</w:t>
      </w:r>
      <w:r w:rsidRPr="00A34B5C">
        <w:rPr>
          <w:rFonts w:ascii="Times New Roman" w:eastAsia="Calibri" w:hAnsi="Times New Roman" w:cs="Times New Roman"/>
          <w:color w:val="008000"/>
          <w:lang w:val="lt-LT"/>
        </w:rPr>
        <w:t xml:space="preserve"> </w:t>
      </w:r>
      <w:r w:rsidRPr="00A34B5C">
        <w:rPr>
          <w:rFonts w:ascii="Times New Roman" w:eastAsia="Calibri" w:hAnsi="Times New Roman" w:cs="Times New Roman"/>
          <w:lang w:val="lt-LT"/>
        </w:rPr>
        <w:t>labai padidėjęs trigliceridų ar cholesterolio kiekis kraujyje, širdies padidėjimas ir funkcijos sutrikimas (kardiomiopatija), širdies sustojimas (klinikinė mirtis), staigi nepaaiškinama mirtis.</w:t>
      </w:r>
    </w:p>
    <w:p w14:paraId="4027802F" w14:textId="77777777" w:rsidR="00A34B5C" w:rsidRPr="00A34B5C" w:rsidRDefault="00A34B5C" w:rsidP="00A34B5C">
      <w:pPr>
        <w:spacing w:after="0" w:line="240" w:lineRule="auto"/>
        <w:rPr>
          <w:rFonts w:ascii="Times New Roman" w:eastAsia="Calibri" w:hAnsi="Times New Roman" w:cs="Times New Roman"/>
          <w:lang w:val="lt-LT"/>
        </w:rPr>
      </w:pPr>
    </w:p>
    <w:p w14:paraId="466D5CBF" w14:textId="586A51BB" w:rsidR="00A34B5C" w:rsidRPr="00B27E7B" w:rsidRDefault="00974960" w:rsidP="00A34B5C">
      <w:pPr>
        <w:spacing w:after="0" w:line="240" w:lineRule="auto"/>
        <w:rPr>
          <w:rFonts w:ascii="Times New Roman" w:hAnsi="Times New Roman"/>
          <w:b/>
          <w:lang w:val="lt-LT"/>
        </w:rPr>
      </w:pPr>
      <w:r w:rsidRPr="00974960">
        <w:rPr>
          <w:rFonts w:ascii="Times New Roman" w:eastAsia="Calibri" w:hAnsi="Times New Roman" w:cs="Times New Roman"/>
          <w:b/>
          <w:bCs/>
          <w:color w:val="000000"/>
          <w:lang w:val="lt-LT"/>
        </w:rPr>
        <w:t xml:space="preserve">Šalutinio poveikio reiškiniai, kurių </w:t>
      </w:r>
      <w:r>
        <w:rPr>
          <w:rFonts w:ascii="Times New Roman" w:eastAsia="Calibri" w:hAnsi="Times New Roman" w:cs="Times New Roman"/>
          <w:b/>
          <w:bCs/>
          <w:color w:val="000000"/>
          <w:lang w:val="lt-LT"/>
        </w:rPr>
        <w:t>d</w:t>
      </w:r>
      <w:r w:rsidR="00A34B5C" w:rsidRPr="0035481C">
        <w:rPr>
          <w:rFonts w:ascii="Times New Roman" w:eastAsia="Calibri" w:hAnsi="Times New Roman" w:cs="Times New Roman"/>
          <w:b/>
          <w:bCs/>
          <w:color w:val="000000"/>
          <w:lang w:val="lt-LT"/>
        </w:rPr>
        <w:t>ažnis nežinomas</w:t>
      </w:r>
      <w:r w:rsidR="00A34B5C" w:rsidRPr="00A34B5C">
        <w:rPr>
          <w:rFonts w:ascii="Times New Roman" w:eastAsia="Calibri" w:hAnsi="Times New Roman" w:cs="Times New Roman"/>
          <w:i/>
          <w:color w:val="000000"/>
          <w:lang w:val="lt-LT"/>
        </w:rPr>
        <w:t xml:space="preserve"> </w:t>
      </w:r>
      <w:r w:rsidR="00A34B5C" w:rsidRPr="00B27E7B">
        <w:rPr>
          <w:rFonts w:ascii="Times New Roman" w:hAnsi="Times New Roman"/>
          <w:b/>
          <w:color w:val="000000"/>
          <w:lang w:val="lt-LT"/>
        </w:rPr>
        <w:t>(</w:t>
      </w:r>
      <w:r w:rsidR="00A34B5C" w:rsidRPr="00B27E7B">
        <w:rPr>
          <w:rFonts w:ascii="Times New Roman" w:hAnsi="Times New Roman"/>
          <w:b/>
          <w:lang w:val="lt-LT"/>
        </w:rPr>
        <w:t>negali būti apskaičiuotas pagal turimus duomenis</w:t>
      </w:r>
      <w:r w:rsidR="00A34B5C" w:rsidRPr="00B27E7B">
        <w:rPr>
          <w:rFonts w:ascii="Times New Roman" w:hAnsi="Times New Roman"/>
          <w:b/>
          <w:color w:val="000000"/>
          <w:lang w:val="lt-LT"/>
        </w:rPr>
        <w:t>)</w:t>
      </w:r>
    </w:p>
    <w:p w14:paraId="6C8BE4C6" w14:textId="77777777" w:rsidR="00A34B5C" w:rsidRDefault="008F1EBD" w:rsidP="00A34B5C">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S</w:t>
      </w:r>
      <w:r w:rsidRPr="008F1EBD">
        <w:rPr>
          <w:rFonts w:ascii="Times New Roman" w:eastAsia="Calibri" w:hAnsi="Times New Roman" w:cs="Times New Roman"/>
          <w:lang w:val="lt-LT"/>
        </w:rPr>
        <w:t>megenų bangų pokyčiai (matomi atlikus elektroencefalogramą / EEG), viduriavimas, diskomfortas skrandyje, rėmuo, diskomfortas skrandyje pavalgius, raumenų silpnumas, raumenų spazmai, raumenų skausmas, užsikimšusi nosis</w:t>
      </w:r>
      <w:r>
        <w:rPr>
          <w:rFonts w:ascii="Times New Roman" w:eastAsia="Calibri" w:hAnsi="Times New Roman" w:cs="Times New Roman"/>
          <w:lang w:val="lt-LT"/>
        </w:rPr>
        <w:t xml:space="preserve">, </w:t>
      </w:r>
      <w:r w:rsidR="00A34B5C" w:rsidRPr="00A34B5C">
        <w:rPr>
          <w:rFonts w:ascii="Times New Roman" w:eastAsia="Calibri" w:hAnsi="Times New Roman" w:cs="Times New Roman"/>
          <w:lang w:val="lt-LT"/>
        </w:rPr>
        <w:t xml:space="preserve">naktinis šlapinimasis, staiga, nekontroliuojamai padidėjęs kraujospūdis (pseudofeochromocitoma – antinksčių navikas), nekontroliuojamas kūno linkimas į vieną pusę (pleurototonusas), ejakuliacijos sutrikimas, kai sperma patenka į šlapimo pūslę, o ne išstumiama per </w:t>
      </w:r>
      <w:r w:rsidR="00A34B5C" w:rsidRPr="00A34B5C">
        <w:rPr>
          <w:rFonts w:ascii="Times New Roman" w:eastAsia="Calibri" w:hAnsi="Times New Roman" w:cs="Times New Roman"/>
          <w:lang w:val="lt-LT"/>
        </w:rPr>
        <w:lastRenderedPageBreak/>
        <w:t>varpą (sausas orgazmas ar retrogradinė ejakuliacija), išbėrimas, rausvai raudonos dėmės, karščiavimas ar niežulys dėl uždegimo kraujagyslėse, storosios žarnos uždegimas, pasireiškiantis viduriavimu, pilvo skausmas, karščiavimas, pakitusi odos spalva, „drugelio“ formos išbėrimas veido srityje, sąnarių skausmas, raumenų skausmas, karščiavimas ir nuovargis (raudonoji vilkligė).</w:t>
      </w:r>
    </w:p>
    <w:p w14:paraId="4DD47485" w14:textId="77777777" w:rsidR="008F1EBD" w:rsidRDefault="008F1EBD" w:rsidP="00A34B5C">
      <w:pPr>
        <w:spacing w:after="0" w:line="240" w:lineRule="auto"/>
        <w:rPr>
          <w:rFonts w:ascii="Times New Roman" w:eastAsia="Calibri" w:hAnsi="Times New Roman" w:cs="Times New Roman"/>
          <w:lang w:val="lt-LT"/>
        </w:rPr>
      </w:pPr>
    </w:p>
    <w:p w14:paraId="6A86DE11" w14:textId="77777777" w:rsidR="008F1EBD" w:rsidRPr="00A34B5C" w:rsidRDefault="008F1EBD" w:rsidP="00A34B5C">
      <w:pPr>
        <w:spacing w:after="0" w:line="240" w:lineRule="auto"/>
        <w:rPr>
          <w:rFonts w:ascii="Times New Roman" w:eastAsia="Calibri" w:hAnsi="Times New Roman" w:cs="Times New Roman"/>
          <w:lang w:val="lt-LT"/>
        </w:rPr>
      </w:pPr>
      <w:r w:rsidRPr="008F1EBD">
        <w:rPr>
          <w:rFonts w:ascii="Times New Roman" w:eastAsia="Calibri" w:hAnsi="Times New Roman" w:cs="Times New Roman"/>
          <w:lang w:val="lt-LT"/>
        </w:rPr>
        <w:t>Buvo gauta pranešimų apie šiek tiek padidėjusį senyvų demencija sergančių žmonių, kurie gydomi vaistais nuo psichozės, mirtingumą, lyginant su vaistų nuo psichozės nevartojančiais žmonėmis.</w:t>
      </w:r>
    </w:p>
    <w:p w14:paraId="53022484" w14:textId="77777777" w:rsidR="00A34B5C" w:rsidRPr="00A34B5C" w:rsidRDefault="00A34B5C" w:rsidP="00A34B5C">
      <w:pPr>
        <w:spacing w:after="0" w:line="240" w:lineRule="auto"/>
        <w:rPr>
          <w:rFonts w:ascii="Times New Roman" w:eastAsia="Calibri" w:hAnsi="Times New Roman" w:cs="Times New Roman"/>
          <w:b/>
          <w:noProof/>
          <w:lang w:val="lt-LT"/>
        </w:rPr>
      </w:pPr>
    </w:p>
    <w:p w14:paraId="143FBCD7" w14:textId="77777777" w:rsidR="00A34B5C" w:rsidRPr="00A34B5C" w:rsidRDefault="00A34B5C" w:rsidP="00A34B5C">
      <w:pPr>
        <w:spacing w:after="0" w:line="240" w:lineRule="auto"/>
        <w:rPr>
          <w:rFonts w:ascii="Times New Roman" w:eastAsia="Times New Roman" w:hAnsi="Times New Roman" w:cs="Times New Roman"/>
          <w:b/>
          <w:lang w:val="lt-LT"/>
        </w:rPr>
      </w:pPr>
      <w:r w:rsidRPr="00A34B5C">
        <w:rPr>
          <w:rFonts w:ascii="Times New Roman" w:eastAsia="Times New Roman" w:hAnsi="Times New Roman" w:cs="Times New Roman"/>
          <w:b/>
          <w:lang w:val="lt-LT"/>
        </w:rPr>
        <w:t>Pranešimas apie šalutinį poveikį</w:t>
      </w:r>
    </w:p>
    <w:p w14:paraId="6C3C3242" w14:textId="46E3B4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Times New Roman" w:hAnsi="Times New Roman" w:cs="Times New Roman"/>
          <w:lang w:val="lt-LT"/>
        </w:rPr>
        <w:t xml:space="preserve">Jeigu pasireiškė šalutinis poveikis, įskaitant šiame lapelyje nenurodytą, pasakykite gydytojui arba vaistininkui. </w:t>
      </w:r>
      <w:r w:rsidR="00974960" w:rsidRPr="00974960">
        <w:rPr>
          <w:rFonts w:ascii="Times New Roman" w:eastAsia="Calibri" w:hAnsi="Times New Roman" w:cs="Times New Roman"/>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w:t>
      </w:r>
      <w:r w:rsidRPr="00A34B5C">
        <w:rPr>
          <w:rFonts w:ascii="Times New Roman" w:eastAsia="Calibri" w:hAnsi="Times New Roman" w:cs="Times New Roman"/>
          <w:lang w:val="lt-LT"/>
        </w:rPr>
        <w:t>Pranešdami apie šalutinį poveikį galite mums padėti gauti daugiau informacijos apie šio vaisto saugumą.</w:t>
      </w:r>
    </w:p>
    <w:p w14:paraId="5C6109FB" w14:textId="77777777" w:rsidR="00A34B5C" w:rsidRDefault="00A34B5C" w:rsidP="00A34B5C">
      <w:pPr>
        <w:spacing w:after="0" w:line="240" w:lineRule="auto"/>
        <w:rPr>
          <w:rFonts w:ascii="Times New Roman" w:eastAsia="Calibri" w:hAnsi="Times New Roman" w:cs="Times New Roman"/>
          <w:lang w:val="lt-LT"/>
        </w:rPr>
      </w:pPr>
    </w:p>
    <w:p w14:paraId="11C8D3B4" w14:textId="77777777" w:rsidR="00DB0E71" w:rsidRPr="00A34B5C" w:rsidRDefault="00DB0E71" w:rsidP="00A34B5C">
      <w:pPr>
        <w:spacing w:after="0" w:line="240" w:lineRule="auto"/>
        <w:rPr>
          <w:rFonts w:ascii="Times New Roman" w:eastAsia="Calibri" w:hAnsi="Times New Roman" w:cs="Times New Roman"/>
          <w:lang w:val="lt-LT"/>
        </w:rPr>
      </w:pPr>
    </w:p>
    <w:p w14:paraId="606E5AFC" w14:textId="77777777" w:rsidR="00A34B5C" w:rsidRPr="00B27E7B" w:rsidRDefault="00A34B5C" w:rsidP="00B27E7B">
      <w:pPr>
        <w:widowControl w:val="0"/>
        <w:autoSpaceDE w:val="0"/>
        <w:autoSpaceDN w:val="0"/>
        <w:spacing w:after="0" w:line="240" w:lineRule="auto"/>
        <w:ind w:left="540" w:hanging="540"/>
        <w:outlineLvl w:val="1"/>
        <w:rPr>
          <w:rFonts w:ascii="Times New Roman" w:hAnsi="Times New Roman"/>
          <w:b/>
          <w:lang w:val="lt-LT"/>
        </w:rPr>
      </w:pPr>
      <w:r w:rsidRPr="00B27E7B">
        <w:rPr>
          <w:rFonts w:ascii="Times New Roman" w:hAnsi="Times New Roman"/>
          <w:b/>
          <w:lang w:val="lt-LT"/>
        </w:rPr>
        <w:t>5.</w:t>
      </w:r>
      <w:r w:rsidRPr="00B27E7B">
        <w:rPr>
          <w:rFonts w:ascii="Times New Roman" w:hAnsi="Times New Roman"/>
          <w:b/>
          <w:lang w:val="lt-LT"/>
        </w:rPr>
        <w:tab/>
      </w:r>
      <w:r w:rsidRPr="00DB0E71">
        <w:rPr>
          <w:rFonts w:ascii="Times New Roman" w:eastAsia="Times New Roman" w:hAnsi="Times New Roman" w:cs="Times New Roman"/>
          <w:b/>
          <w:bCs/>
          <w:lang w:val="lt-LT"/>
        </w:rPr>
        <w:t>Kaip laikyti Leponex</w:t>
      </w:r>
    </w:p>
    <w:p w14:paraId="04A5510A"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552297CA" w14:textId="77777777" w:rsidR="00A34B5C" w:rsidRPr="00A34B5C" w:rsidRDefault="00A34B5C" w:rsidP="00A34B5C">
      <w:pPr>
        <w:numPr>
          <w:ilvl w:val="12"/>
          <w:numId w:val="0"/>
        </w:numPr>
        <w:spacing w:after="0" w:line="240" w:lineRule="auto"/>
        <w:ind w:right="-2"/>
        <w:rPr>
          <w:rFonts w:ascii="Times New Roman" w:eastAsia="Calibri" w:hAnsi="Times New Roman" w:cs="Times New Roman"/>
          <w:noProof/>
          <w:lang w:val="lt-LT"/>
        </w:rPr>
      </w:pPr>
      <w:r w:rsidRPr="00A34B5C">
        <w:rPr>
          <w:rFonts w:ascii="Times New Roman" w:eastAsia="Calibri" w:hAnsi="Times New Roman" w:cs="Times New Roman"/>
          <w:noProof/>
          <w:lang w:val="lt-LT"/>
        </w:rPr>
        <w:t>Šį vaistą laikykite vaikams nepastebimoje ir nepasiekiamoje vietoje.</w:t>
      </w:r>
    </w:p>
    <w:p w14:paraId="2B261233" w14:textId="77777777" w:rsidR="00A34B5C" w:rsidRPr="00A34B5C" w:rsidRDefault="00A34B5C" w:rsidP="00A34B5C">
      <w:pPr>
        <w:numPr>
          <w:ilvl w:val="12"/>
          <w:numId w:val="0"/>
        </w:numPr>
        <w:spacing w:after="0" w:line="240" w:lineRule="auto"/>
        <w:ind w:right="-2"/>
        <w:rPr>
          <w:rFonts w:ascii="Times New Roman" w:eastAsia="Calibri" w:hAnsi="Times New Roman" w:cs="Times New Roman"/>
          <w:noProof/>
          <w:lang w:val="lt-LT"/>
        </w:rPr>
      </w:pPr>
      <w:r w:rsidRPr="00A34B5C">
        <w:rPr>
          <w:rFonts w:ascii="Times New Roman" w:eastAsia="Calibri" w:hAnsi="Times New Roman" w:cs="Times New Roman"/>
          <w:lang w:val="lt-LT"/>
        </w:rPr>
        <w:t>Šiam vaistui specialių laikymo sąlygų nereikia.</w:t>
      </w:r>
      <w:r w:rsidRPr="00A34B5C" w:rsidDel="00EC4598">
        <w:rPr>
          <w:rFonts w:ascii="Times New Roman" w:eastAsia="Calibri" w:hAnsi="Times New Roman" w:cs="Times New Roman"/>
          <w:noProof/>
          <w:lang w:val="lt-LT"/>
        </w:rPr>
        <w:t xml:space="preserve"> </w:t>
      </w:r>
      <w:r w:rsidRPr="00A34B5C">
        <w:rPr>
          <w:rFonts w:ascii="Times New Roman" w:eastAsia="Calibri" w:hAnsi="Times New Roman" w:cs="Times New Roman"/>
          <w:noProof/>
          <w:lang w:val="lt-LT"/>
        </w:rPr>
        <w:t xml:space="preserve"> </w:t>
      </w:r>
    </w:p>
    <w:p w14:paraId="6E9504FE" w14:textId="77777777" w:rsidR="00A34B5C" w:rsidRPr="00A34B5C" w:rsidRDefault="00A34B5C" w:rsidP="00A34B5C">
      <w:pPr>
        <w:spacing w:after="0" w:line="240" w:lineRule="auto"/>
        <w:rPr>
          <w:rFonts w:ascii="Times New Roman" w:eastAsia="Calibri" w:hAnsi="Times New Roman" w:cs="Times New Roman"/>
          <w:noProof/>
          <w:lang w:val="lt-LT"/>
        </w:rPr>
      </w:pPr>
      <w:r w:rsidRPr="00A34B5C">
        <w:rPr>
          <w:rFonts w:ascii="Times New Roman" w:eastAsia="Calibri" w:hAnsi="Times New Roman" w:cs="Times New Roman"/>
          <w:noProof/>
          <w:lang w:val="lt-LT"/>
        </w:rPr>
        <w:t>Ant dėžutės ar lizdinės plokštelės po „EXP“ nurodytam tinkamumo laikui pasibaigus, šio vaisto vartoti negalima. Vaistas tinkamas vartoti iki paskutinės nurodyto mėnesio dienos.</w:t>
      </w:r>
    </w:p>
    <w:p w14:paraId="65ED75A3" w14:textId="77777777" w:rsidR="00A34B5C" w:rsidRPr="00A34B5C" w:rsidRDefault="00A34B5C" w:rsidP="00A34B5C">
      <w:pPr>
        <w:spacing w:after="0" w:line="240" w:lineRule="auto"/>
        <w:rPr>
          <w:rFonts w:ascii="Times New Roman" w:eastAsia="Calibri" w:hAnsi="Times New Roman" w:cs="Times New Roman"/>
          <w:noProof/>
          <w:lang w:val="lt-LT"/>
        </w:rPr>
      </w:pPr>
      <w:r w:rsidRPr="00A34B5C">
        <w:rPr>
          <w:rFonts w:ascii="Times New Roman" w:eastAsia="Calibri" w:hAnsi="Times New Roman" w:cs="Times New Roman"/>
          <w:noProof/>
          <w:lang w:val="lt-LT"/>
        </w:rPr>
        <w:t>Vaistų negalima išmesti į kanalizaciją arba su buitinėmis atliekomis. Kaip išmesti nereikalingus vaistus, klauskite vaistininko. Šios priemonės padės apsaugoti aplinką.</w:t>
      </w:r>
    </w:p>
    <w:p w14:paraId="61C6E7AC" w14:textId="77777777" w:rsidR="00A34B5C" w:rsidRPr="00A34B5C" w:rsidRDefault="00A34B5C" w:rsidP="00A34B5C">
      <w:pPr>
        <w:spacing w:after="0" w:line="240" w:lineRule="auto"/>
        <w:rPr>
          <w:rFonts w:ascii="Times New Roman" w:eastAsia="Calibri" w:hAnsi="Times New Roman" w:cs="Times New Roman"/>
          <w:noProof/>
          <w:lang w:val="lt-LT"/>
        </w:rPr>
      </w:pPr>
    </w:p>
    <w:p w14:paraId="26B29C2F" w14:textId="77777777" w:rsidR="00A34B5C" w:rsidRPr="00A34B5C" w:rsidRDefault="00A34B5C" w:rsidP="00A34B5C">
      <w:pPr>
        <w:spacing w:after="0" w:line="240" w:lineRule="auto"/>
        <w:rPr>
          <w:rFonts w:ascii="Times New Roman" w:eastAsia="Calibri" w:hAnsi="Times New Roman" w:cs="Times New Roman"/>
          <w:lang w:val="lt-LT"/>
        </w:rPr>
      </w:pPr>
    </w:p>
    <w:p w14:paraId="2D1E83BA" w14:textId="77777777" w:rsidR="00A34B5C" w:rsidRPr="00DB0E71" w:rsidRDefault="00A34B5C" w:rsidP="00B27E7B">
      <w:pPr>
        <w:widowControl w:val="0"/>
        <w:autoSpaceDE w:val="0"/>
        <w:autoSpaceDN w:val="0"/>
        <w:spacing w:after="0" w:line="240" w:lineRule="auto"/>
        <w:ind w:left="540" w:hanging="540"/>
        <w:outlineLvl w:val="1"/>
        <w:rPr>
          <w:rFonts w:ascii="Times New Roman" w:eastAsia="Times New Roman" w:hAnsi="Times New Roman" w:cs="Times New Roman"/>
          <w:b/>
          <w:bCs/>
          <w:lang w:val="lt-LT"/>
        </w:rPr>
      </w:pPr>
      <w:r w:rsidRPr="00DB0E71">
        <w:rPr>
          <w:rFonts w:ascii="Times New Roman" w:eastAsia="Times New Roman" w:hAnsi="Times New Roman" w:cs="Times New Roman"/>
          <w:b/>
          <w:bCs/>
          <w:lang w:val="lt-LT"/>
        </w:rPr>
        <w:t>6.</w:t>
      </w:r>
      <w:r w:rsidRPr="00B27E7B">
        <w:rPr>
          <w:rFonts w:ascii="Times New Roman" w:hAnsi="Times New Roman"/>
          <w:b/>
          <w:lang w:val="lt-LT"/>
        </w:rPr>
        <w:tab/>
      </w:r>
      <w:r w:rsidRPr="00DB0E71">
        <w:rPr>
          <w:rFonts w:ascii="Times New Roman" w:eastAsia="Times New Roman" w:hAnsi="Times New Roman" w:cs="Times New Roman"/>
          <w:b/>
          <w:bCs/>
          <w:lang w:val="lt-LT"/>
        </w:rPr>
        <w:t>Pakuotės turinys ir kita informacija</w:t>
      </w:r>
    </w:p>
    <w:p w14:paraId="06B04972" w14:textId="77777777" w:rsidR="00A34B5C" w:rsidRPr="00A34B5C" w:rsidRDefault="00A34B5C" w:rsidP="00A34B5C">
      <w:pPr>
        <w:numPr>
          <w:ilvl w:val="12"/>
          <w:numId w:val="0"/>
        </w:numPr>
        <w:spacing w:after="0" w:line="240" w:lineRule="auto"/>
        <w:ind w:left="567" w:hanging="567"/>
        <w:rPr>
          <w:rFonts w:ascii="Times New Roman" w:eastAsia="Calibri" w:hAnsi="Times New Roman" w:cs="Times New Roman"/>
          <w:b/>
          <w:lang w:val="lt-LT"/>
        </w:rPr>
      </w:pPr>
    </w:p>
    <w:p w14:paraId="33FE49D8" w14:textId="77777777" w:rsidR="00A34B5C" w:rsidRPr="00A34B5C" w:rsidRDefault="00A34B5C" w:rsidP="00A34B5C">
      <w:pPr>
        <w:numPr>
          <w:ilvl w:val="12"/>
          <w:numId w:val="0"/>
        </w:numPr>
        <w:spacing w:after="0" w:line="240" w:lineRule="auto"/>
        <w:ind w:left="567" w:hanging="567"/>
        <w:rPr>
          <w:rFonts w:ascii="Times New Roman" w:eastAsia="Calibri" w:hAnsi="Times New Roman" w:cs="Times New Roman"/>
          <w:b/>
          <w:lang w:val="lt-LT"/>
        </w:rPr>
      </w:pPr>
      <w:r w:rsidRPr="00A34B5C">
        <w:rPr>
          <w:rFonts w:ascii="Times New Roman" w:eastAsia="Calibri" w:hAnsi="Times New Roman" w:cs="Times New Roman"/>
          <w:b/>
          <w:lang w:val="lt-LT"/>
        </w:rPr>
        <w:t>Leponex sudėtis</w:t>
      </w:r>
    </w:p>
    <w:p w14:paraId="3D63BC7C" w14:textId="77777777" w:rsidR="00A34B5C" w:rsidRPr="00A34B5C" w:rsidRDefault="00A34B5C" w:rsidP="00A34B5C">
      <w:pPr>
        <w:numPr>
          <w:ilvl w:val="0"/>
          <w:numId w:val="7"/>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Veiklioji medžiaga yra</w:t>
      </w:r>
      <w:r w:rsidRPr="00A34B5C">
        <w:rPr>
          <w:rFonts w:ascii="Times New Roman" w:eastAsia="Calibri" w:hAnsi="Times New Roman" w:cs="Times New Roman"/>
          <w:b/>
          <w:lang w:val="lt-LT"/>
        </w:rPr>
        <w:t xml:space="preserve"> </w:t>
      </w:r>
      <w:r w:rsidRPr="00A34B5C">
        <w:rPr>
          <w:rFonts w:ascii="Times New Roman" w:eastAsia="Calibri" w:hAnsi="Times New Roman" w:cs="Times New Roman"/>
          <w:lang w:val="lt-LT"/>
        </w:rPr>
        <w:t>klozapinas. Vienoje tabletėje yra 25 mg arba 100 mg klozapino.</w:t>
      </w:r>
    </w:p>
    <w:p w14:paraId="3642B2CB" w14:textId="77777777" w:rsidR="00A34B5C" w:rsidRPr="00A34B5C" w:rsidRDefault="00A34B5C" w:rsidP="00A34B5C">
      <w:pPr>
        <w:numPr>
          <w:ilvl w:val="0"/>
          <w:numId w:val="7"/>
        </w:numPr>
        <w:tabs>
          <w:tab w:val="num" w:pos="567"/>
        </w:tabs>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t>Pagalbinės medžiagos yra laktozė monohidratas, kukurūzų krakmolas, povidonas K30, koloidinis bevandenis silicio dioksidas, magnio stearatas ir talkas.</w:t>
      </w:r>
    </w:p>
    <w:p w14:paraId="37D1F61B" w14:textId="77777777" w:rsidR="00A34B5C" w:rsidRPr="00A34B5C" w:rsidRDefault="00A34B5C" w:rsidP="00A34B5C">
      <w:pPr>
        <w:spacing w:after="0" w:line="240" w:lineRule="auto"/>
        <w:rPr>
          <w:rFonts w:ascii="Times New Roman" w:eastAsia="Calibri" w:hAnsi="Times New Roman" w:cs="Times New Roman"/>
          <w:b/>
          <w:lang w:val="lt-LT"/>
        </w:rPr>
      </w:pPr>
    </w:p>
    <w:p w14:paraId="0CDB33EB" w14:textId="77777777" w:rsidR="00A34B5C" w:rsidRPr="00A34B5C" w:rsidRDefault="00A34B5C" w:rsidP="00A34B5C">
      <w:pPr>
        <w:spacing w:after="0" w:line="240" w:lineRule="auto"/>
        <w:rPr>
          <w:rFonts w:ascii="Times New Roman" w:eastAsia="Calibri" w:hAnsi="Times New Roman" w:cs="Times New Roman"/>
          <w:b/>
          <w:lang w:val="lt-LT"/>
        </w:rPr>
      </w:pPr>
      <w:r w:rsidRPr="00A34B5C">
        <w:rPr>
          <w:rFonts w:ascii="Times New Roman" w:eastAsia="Calibri" w:hAnsi="Times New Roman" w:cs="Times New Roman"/>
          <w:b/>
          <w:lang w:val="lt-LT"/>
        </w:rPr>
        <w:t>Leponex išvaizda ir kiekis pakuotėje</w:t>
      </w:r>
    </w:p>
    <w:p w14:paraId="50636422"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Leponex 25 mg tabletės yra geltonos, plokščios ir apvalios,</w:t>
      </w:r>
      <w:r w:rsidR="00D1364D">
        <w:rPr>
          <w:rFonts w:ascii="Times New Roman" w:eastAsia="Calibri" w:hAnsi="Times New Roman" w:cs="Times New Roman"/>
          <w:lang w:val="lt-LT"/>
        </w:rPr>
        <w:t xml:space="preserve"> nuožulniais kraštais,</w:t>
      </w:r>
      <w:r w:rsidRPr="00A34B5C">
        <w:rPr>
          <w:rFonts w:ascii="Times New Roman" w:eastAsia="Calibri" w:hAnsi="Times New Roman" w:cs="Times New Roman"/>
          <w:lang w:val="lt-LT"/>
        </w:rPr>
        <w:t xml:space="preserve"> kurių vienoje pusėje yra vagelė ir raidės „L/O“, kitoje – žymė „CLOZ“.</w:t>
      </w:r>
    </w:p>
    <w:p w14:paraId="10055B2C"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Leponex 100 mg tabletės yra geltonos, plokščios ir apvalios</w:t>
      </w:r>
      <w:r w:rsidR="00D1364D" w:rsidRPr="00D1364D">
        <w:rPr>
          <w:rFonts w:ascii="Times New Roman" w:eastAsia="Calibri" w:hAnsi="Times New Roman" w:cs="Times New Roman"/>
          <w:lang w:val="lt-LT"/>
        </w:rPr>
        <w:t xml:space="preserve"> </w:t>
      </w:r>
      <w:r w:rsidR="00D1364D">
        <w:rPr>
          <w:rFonts w:ascii="Times New Roman" w:eastAsia="Calibri" w:hAnsi="Times New Roman" w:cs="Times New Roman"/>
          <w:lang w:val="lt-LT"/>
        </w:rPr>
        <w:t>nuožulniais kraštais</w:t>
      </w:r>
      <w:r w:rsidRPr="00A34B5C">
        <w:rPr>
          <w:rFonts w:ascii="Times New Roman" w:eastAsia="Calibri" w:hAnsi="Times New Roman" w:cs="Times New Roman"/>
          <w:lang w:val="lt-LT"/>
        </w:rPr>
        <w:t>, kurių vienoje pusėje yra vagelė ir raidės „Z/A“, kitoje – žymė „CLOZ“.</w:t>
      </w:r>
    </w:p>
    <w:p w14:paraId="38877343" w14:textId="77777777" w:rsidR="00D1364D" w:rsidRDefault="00D1364D" w:rsidP="00A34B5C">
      <w:pPr>
        <w:spacing w:after="0" w:line="240" w:lineRule="auto"/>
        <w:rPr>
          <w:rFonts w:ascii="Times New Roman" w:eastAsia="Calibri" w:hAnsi="Times New Roman" w:cs="Times New Roman"/>
          <w:lang w:val="lt-LT"/>
        </w:rPr>
      </w:pPr>
    </w:p>
    <w:p w14:paraId="3F5DA7BC"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Tabletes galima padalinti į lygias dozes. Leponex tiekiamas lizdinėmis plokštelėmis. Pakuotėje yra 50 tablečių.</w:t>
      </w:r>
    </w:p>
    <w:p w14:paraId="06F89B56" w14:textId="77777777" w:rsidR="00A34B5C" w:rsidRPr="00A34B5C" w:rsidRDefault="00A34B5C" w:rsidP="00A34B5C">
      <w:pPr>
        <w:spacing w:after="0" w:line="240" w:lineRule="auto"/>
        <w:rPr>
          <w:rFonts w:ascii="Times New Roman" w:eastAsia="Calibri" w:hAnsi="Times New Roman" w:cs="Times New Roman"/>
          <w:lang w:val="lt-LT"/>
        </w:rPr>
      </w:pPr>
    </w:p>
    <w:p w14:paraId="0A6BE306" w14:textId="77777777" w:rsidR="00A34B5C" w:rsidRDefault="00A34B5C" w:rsidP="00A34B5C">
      <w:pPr>
        <w:spacing w:after="0" w:line="240" w:lineRule="auto"/>
        <w:rPr>
          <w:rFonts w:ascii="Times New Roman" w:eastAsia="Calibri" w:hAnsi="Times New Roman" w:cs="Times New Roman"/>
          <w:b/>
          <w:lang w:val="lt-LT"/>
        </w:rPr>
      </w:pPr>
      <w:r w:rsidRPr="00A34B5C">
        <w:rPr>
          <w:rFonts w:ascii="Times New Roman" w:eastAsia="Calibri" w:hAnsi="Times New Roman" w:cs="Times New Roman"/>
          <w:b/>
          <w:lang w:val="lt-LT"/>
        </w:rPr>
        <w:t>Registruotojas</w:t>
      </w:r>
      <w:r w:rsidR="0042753D">
        <w:rPr>
          <w:rFonts w:ascii="Times New Roman" w:eastAsia="Calibri" w:hAnsi="Times New Roman" w:cs="Times New Roman"/>
          <w:b/>
          <w:lang w:val="lt-LT"/>
        </w:rPr>
        <w:t xml:space="preserve"> ir gamintojas</w:t>
      </w:r>
    </w:p>
    <w:p w14:paraId="67F11A2B" w14:textId="77777777" w:rsidR="0042753D" w:rsidRDefault="0042753D" w:rsidP="00A34B5C">
      <w:pPr>
        <w:spacing w:after="0" w:line="240" w:lineRule="auto"/>
        <w:rPr>
          <w:rFonts w:ascii="Times New Roman" w:eastAsia="Calibri" w:hAnsi="Times New Roman" w:cs="Times New Roman"/>
          <w:b/>
          <w:lang w:val="lt-LT"/>
        </w:rPr>
      </w:pPr>
    </w:p>
    <w:p w14:paraId="2785DE48" w14:textId="77777777" w:rsidR="0042753D" w:rsidRPr="00B27E7B" w:rsidRDefault="0042753D" w:rsidP="00A34B5C">
      <w:pPr>
        <w:spacing w:after="0" w:line="240" w:lineRule="auto"/>
        <w:rPr>
          <w:rFonts w:ascii="Times New Roman" w:hAnsi="Times New Roman"/>
          <w:u w:val="single"/>
          <w:lang w:val="lt-LT"/>
        </w:rPr>
      </w:pPr>
      <w:r w:rsidRPr="00C9198E">
        <w:rPr>
          <w:rFonts w:ascii="Times New Roman" w:eastAsia="Calibri" w:hAnsi="Times New Roman" w:cs="Times New Roman"/>
          <w:u w:val="single"/>
          <w:lang w:val="lt-LT"/>
        </w:rPr>
        <w:t>Registruotojas</w:t>
      </w:r>
    </w:p>
    <w:p w14:paraId="55AD30E5" w14:textId="01EF4860" w:rsidR="00A34B5C" w:rsidRPr="00A34B5C" w:rsidRDefault="0038259C" w:rsidP="00A34B5C">
      <w:pPr>
        <w:tabs>
          <w:tab w:val="left" w:pos="567"/>
          <w:tab w:val="center" w:pos="4536"/>
          <w:tab w:val="center" w:pos="8930"/>
        </w:tabs>
        <w:spacing w:after="0" w:line="240" w:lineRule="auto"/>
        <w:rPr>
          <w:rFonts w:ascii="Times New Roman" w:eastAsia="Calibri" w:hAnsi="Times New Roman" w:cs="Times New Roman"/>
          <w:color w:val="000000"/>
          <w:lang w:val="lt-LT"/>
        </w:rPr>
      </w:pPr>
      <w:r>
        <w:rPr>
          <w:rFonts w:ascii="Times New Roman" w:eastAsia="Calibri" w:hAnsi="Times New Roman" w:cs="Times New Roman"/>
          <w:color w:val="000000"/>
          <w:lang w:val="lt-LT"/>
        </w:rPr>
        <w:t>Viatris</w:t>
      </w:r>
      <w:r w:rsidR="00A34B5C" w:rsidRPr="00A34B5C">
        <w:rPr>
          <w:rFonts w:ascii="Times New Roman" w:eastAsia="Calibri" w:hAnsi="Times New Roman" w:cs="Times New Roman"/>
          <w:color w:val="000000"/>
          <w:lang w:val="lt-LT"/>
        </w:rPr>
        <w:t xml:space="preserve"> SIA</w:t>
      </w:r>
    </w:p>
    <w:p w14:paraId="703998A1" w14:textId="77777777" w:rsidR="00A34B5C" w:rsidRPr="00A34B5C" w:rsidRDefault="00A34B5C" w:rsidP="00A34B5C">
      <w:pPr>
        <w:tabs>
          <w:tab w:val="left" w:pos="567"/>
          <w:tab w:val="center" w:pos="4536"/>
          <w:tab w:val="center" w:pos="8930"/>
        </w:tabs>
        <w:spacing w:after="0" w:line="240" w:lineRule="auto"/>
        <w:rPr>
          <w:rFonts w:ascii="Times New Roman" w:eastAsia="Calibri" w:hAnsi="Times New Roman" w:cs="Times New Roman"/>
          <w:color w:val="000000"/>
          <w:lang w:val="lt-LT"/>
        </w:rPr>
      </w:pPr>
      <w:r w:rsidRPr="00A34B5C">
        <w:rPr>
          <w:rFonts w:ascii="Times New Roman" w:eastAsia="Calibri" w:hAnsi="Times New Roman" w:cs="Times New Roman"/>
          <w:color w:val="000000"/>
          <w:lang w:val="lt-LT"/>
        </w:rPr>
        <w:t>Mūkusalas 101</w:t>
      </w:r>
    </w:p>
    <w:p w14:paraId="6CA157B7" w14:textId="77777777" w:rsidR="00A34B5C" w:rsidRPr="00A34B5C" w:rsidRDefault="00A34B5C" w:rsidP="00A34B5C">
      <w:pPr>
        <w:tabs>
          <w:tab w:val="left" w:pos="567"/>
          <w:tab w:val="center" w:pos="4536"/>
          <w:tab w:val="center" w:pos="8930"/>
        </w:tabs>
        <w:spacing w:after="0" w:line="240" w:lineRule="auto"/>
        <w:rPr>
          <w:rFonts w:ascii="Times New Roman" w:eastAsia="Calibri" w:hAnsi="Times New Roman" w:cs="Times New Roman"/>
          <w:color w:val="000000"/>
          <w:lang w:val="lt-LT"/>
        </w:rPr>
      </w:pPr>
      <w:r w:rsidRPr="00A34B5C">
        <w:rPr>
          <w:rFonts w:ascii="Times New Roman" w:eastAsia="Calibri" w:hAnsi="Times New Roman" w:cs="Times New Roman"/>
          <w:color w:val="000000"/>
          <w:lang w:val="lt-LT"/>
        </w:rPr>
        <w:t>Rīga, LV 1004</w:t>
      </w:r>
    </w:p>
    <w:p w14:paraId="04AEF1CF" w14:textId="77777777" w:rsidR="00A34B5C" w:rsidRPr="00A34B5C" w:rsidRDefault="00A34B5C" w:rsidP="00A34B5C">
      <w:pPr>
        <w:tabs>
          <w:tab w:val="left" w:pos="567"/>
        </w:tabs>
        <w:spacing w:after="0" w:line="260" w:lineRule="exact"/>
        <w:rPr>
          <w:rFonts w:ascii="Times New Roman" w:eastAsia="Calibri" w:hAnsi="Times New Roman" w:cs="Times New Roman"/>
          <w:i/>
          <w:iCs/>
          <w:lang w:val="cs-CZ"/>
        </w:rPr>
      </w:pPr>
      <w:r w:rsidRPr="00A34B5C">
        <w:rPr>
          <w:rFonts w:ascii="Times New Roman" w:eastAsia="Calibri" w:hAnsi="Times New Roman" w:cs="Times New Roman"/>
          <w:color w:val="000000"/>
          <w:lang w:val="lt-LT"/>
        </w:rPr>
        <w:t>Latvija</w:t>
      </w:r>
    </w:p>
    <w:p w14:paraId="467F3C16" w14:textId="77777777" w:rsidR="00A34B5C" w:rsidRPr="00A34B5C" w:rsidRDefault="00A34B5C" w:rsidP="00A34B5C">
      <w:pPr>
        <w:tabs>
          <w:tab w:val="left" w:pos="567"/>
        </w:tabs>
        <w:spacing w:after="0" w:line="240" w:lineRule="auto"/>
        <w:ind w:left="357" w:hanging="357"/>
        <w:rPr>
          <w:rFonts w:ascii="Times New Roman" w:eastAsia="Calibri" w:hAnsi="Times New Roman" w:cs="Times New Roman"/>
          <w:b/>
          <w:caps/>
          <w:lang w:val="lt-LT"/>
        </w:rPr>
      </w:pPr>
    </w:p>
    <w:p w14:paraId="1A30E013" w14:textId="77777777" w:rsidR="00A34B5C" w:rsidRPr="00B27E7B" w:rsidRDefault="00A34B5C" w:rsidP="00A34B5C">
      <w:pPr>
        <w:tabs>
          <w:tab w:val="left" w:pos="567"/>
        </w:tabs>
        <w:spacing w:after="0" w:line="240" w:lineRule="auto"/>
        <w:ind w:left="357" w:hanging="357"/>
        <w:rPr>
          <w:rFonts w:ascii="Times New Roman" w:hAnsi="Times New Roman"/>
          <w:caps/>
          <w:u w:val="single"/>
          <w:lang w:val="lt-LT"/>
        </w:rPr>
      </w:pPr>
      <w:r w:rsidRPr="00B27E7B">
        <w:rPr>
          <w:rFonts w:ascii="Times New Roman" w:hAnsi="Times New Roman"/>
          <w:caps/>
          <w:u w:val="single"/>
          <w:lang w:val="lt-LT"/>
        </w:rPr>
        <w:t>G</w:t>
      </w:r>
      <w:r w:rsidRPr="00B27E7B">
        <w:rPr>
          <w:rFonts w:ascii="Times New Roman" w:hAnsi="Times New Roman"/>
          <w:u w:val="single"/>
          <w:lang w:val="lt-LT"/>
        </w:rPr>
        <w:t>amintojas</w:t>
      </w:r>
    </w:p>
    <w:p w14:paraId="601108B3" w14:textId="77777777" w:rsidR="00A34B5C" w:rsidRPr="00A34B5C" w:rsidRDefault="00A34B5C" w:rsidP="00A34B5C">
      <w:pPr>
        <w:spacing w:after="0" w:line="240" w:lineRule="auto"/>
        <w:rPr>
          <w:rFonts w:ascii="Times New Roman" w:eastAsia="Calibri" w:hAnsi="Times New Roman" w:cs="Times New Roman"/>
          <w:bCs/>
        </w:rPr>
      </w:pPr>
      <w:r w:rsidRPr="00A34B5C">
        <w:rPr>
          <w:rFonts w:ascii="Times New Roman" w:eastAsia="Calibri" w:hAnsi="Times New Roman" w:cs="Times New Roman"/>
          <w:bCs/>
        </w:rPr>
        <w:t xml:space="preserve">Mylan Hungary Kft. </w:t>
      </w:r>
    </w:p>
    <w:p w14:paraId="0887A607" w14:textId="288F0C1A" w:rsidR="00A34B5C" w:rsidRPr="00A34B5C" w:rsidRDefault="00A34B5C" w:rsidP="00A34B5C">
      <w:pPr>
        <w:spacing w:after="0" w:line="240" w:lineRule="auto"/>
        <w:rPr>
          <w:rFonts w:ascii="Times New Roman" w:eastAsia="Calibri" w:hAnsi="Times New Roman" w:cs="Times New Roman"/>
          <w:bCs/>
        </w:rPr>
      </w:pPr>
      <w:r w:rsidRPr="00A34B5C">
        <w:rPr>
          <w:rFonts w:ascii="Times New Roman" w:eastAsia="Calibri" w:hAnsi="Times New Roman" w:cs="Times New Roman"/>
          <w:bCs/>
        </w:rPr>
        <w:t>Mylan utca 1</w:t>
      </w:r>
    </w:p>
    <w:p w14:paraId="56F91CB4"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bCs/>
        </w:rPr>
        <w:t>Komárom, 2900</w:t>
      </w:r>
      <w:r w:rsidRPr="00A34B5C">
        <w:rPr>
          <w:rFonts w:ascii="Times New Roman" w:eastAsia="Calibri" w:hAnsi="Times New Roman" w:cs="Times New Roman"/>
          <w:lang w:val="lt-LT"/>
        </w:rPr>
        <w:t xml:space="preserve"> </w:t>
      </w:r>
    </w:p>
    <w:p w14:paraId="2DCF0E24" w14:textId="77777777" w:rsidR="00A34B5C" w:rsidRPr="00A34B5C" w:rsidRDefault="00A34B5C" w:rsidP="00A34B5C">
      <w:pPr>
        <w:spacing w:after="0" w:line="240" w:lineRule="auto"/>
        <w:ind w:left="567" w:hanging="567"/>
        <w:rPr>
          <w:rFonts w:ascii="Times New Roman" w:eastAsia="Calibri" w:hAnsi="Times New Roman" w:cs="Times New Roman"/>
          <w:lang w:val="lt-LT"/>
        </w:rPr>
      </w:pPr>
      <w:r w:rsidRPr="00A34B5C">
        <w:rPr>
          <w:rFonts w:ascii="Times New Roman" w:eastAsia="Calibri" w:hAnsi="Times New Roman" w:cs="Times New Roman"/>
          <w:lang w:val="lt-LT"/>
        </w:rPr>
        <w:lastRenderedPageBreak/>
        <w:t>Vengrija</w:t>
      </w:r>
    </w:p>
    <w:p w14:paraId="7B5E525E"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6C8AD170" w14:textId="77777777" w:rsidR="00A34B5C" w:rsidRPr="0035481C" w:rsidRDefault="00A34B5C" w:rsidP="00A34B5C">
      <w:pPr>
        <w:spacing w:after="0" w:line="240" w:lineRule="auto"/>
        <w:rPr>
          <w:rFonts w:ascii="Times New Roman" w:eastAsia="Calibri" w:hAnsi="Times New Roman" w:cs="Times New Roman"/>
          <w:highlight w:val="lightGray"/>
          <w:lang w:val="lt-LT"/>
        </w:rPr>
      </w:pPr>
      <w:r w:rsidRPr="0035481C">
        <w:rPr>
          <w:rFonts w:ascii="Times New Roman" w:eastAsia="Calibri" w:hAnsi="Times New Roman" w:cs="Times New Roman"/>
          <w:highlight w:val="lightGray"/>
          <w:lang w:val="lt-LT"/>
        </w:rPr>
        <w:t>McDermott Laboratories Limited T/A Gerard Laboratories T/A Mylan Dublin</w:t>
      </w:r>
    </w:p>
    <w:p w14:paraId="2491A81B" w14:textId="77777777" w:rsidR="00A34B5C" w:rsidRPr="0035481C" w:rsidRDefault="00A34B5C" w:rsidP="00A34B5C">
      <w:pPr>
        <w:spacing w:after="0" w:line="240" w:lineRule="auto"/>
        <w:rPr>
          <w:rFonts w:ascii="Times New Roman" w:eastAsia="Calibri" w:hAnsi="Times New Roman" w:cs="Times New Roman"/>
          <w:highlight w:val="lightGray"/>
          <w:lang w:val="lt-LT"/>
        </w:rPr>
      </w:pPr>
      <w:r w:rsidRPr="0035481C">
        <w:rPr>
          <w:rFonts w:ascii="Times New Roman" w:eastAsia="Calibri" w:hAnsi="Times New Roman" w:cs="Times New Roman"/>
          <w:highlight w:val="lightGray"/>
          <w:lang w:val="lt-LT"/>
        </w:rPr>
        <w:t>Unit 35/36 Baldoyle Industrial Estate</w:t>
      </w:r>
    </w:p>
    <w:p w14:paraId="02EAD560" w14:textId="77777777" w:rsidR="00A34B5C" w:rsidRPr="0035481C" w:rsidRDefault="00A34B5C" w:rsidP="00A34B5C">
      <w:pPr>
        <w:spacing w:after="0" w:line="240" w:lineRule="auto"/>
        <w:rPr>
          <w:rFonts w:ascii="Times New Roman" w:eastAsia="Calibri" w:hAnsi="Times New Roman" w:cs="Times New Roman"/>
          <w:highlight w:val="lightGray"/>
          <w:lang w:val="lt-LT"/>
        </w:rPr>
      </w:pPr>
      <w:r w:rsidRPr="0035481C">
        <w:rPr>
          <w:rFonts w:ascii="Times New Roman" w:eastAsia="Calibri" w:hAnsi="Times New Roman" w:cs="Times New Roman"/>
          <w:highlight w:val="lightGray"/>
          <w:lang w:val="lt-LT"/>
        </w:rPr>
        <w:t>Grange Road</w:t>
      </w:r>
    </w:p>
    <w:p w14:paraId="060874E2" w14:textId="77777777" w:rsidR="00A34B5C" w:rsidRPr="0035481C" w:rsidRDefault="00A34B5C" w:rsidP="00A34B5C">
      <w:pPr>
        <w:spacing w:after="0" w:line="240" w:lineRule="auto"/>
        <w:rPr>
          <w:rFonts w:ascii="Times New Roman" w:eastAsia="Calibri" w:hAnsi="Times New Roman" w:cs="Times New Roman"/>
          <w:highlight w:val="lightGray"/>
          <w:lang w:val="lt-LT"/>
        </w:rPr>
      </w:pPr>
      <w:r w:rsidRPr="0035481C">
        <w:rPr>
          <w:rFonts w:ascii="Times New Roman" w:eastAsia="Calibri" w:hAnsi="Times New Roman" w:cs="Times New Roman"/>
          <w:highlight w:val="lightGray"/>
          <w:lang w:val="lt-LT"/>
        </w:rPr>
        <w:t>Dublin 13</w:t>
      </w:r>
    </w:p>
    <w:p w14:paraId="0D78ADA4" w14:textId="77777777" w:rsidR="00A34B5C" w:rsidRDefault="00A34B5C" w:rsidP="00A34B5C">
      <w:pPr>
        <w:spacing w:after="0" w:line="240" w:lineRule="auto"/>
        <w:ind w:left="567" w:hanging="567"/>
        <w:rPr>
          <w:rFonts w:ascii="Times New Roman" w:eastAsia="Calibri" w:hAnsi="Times New Roman" w:cs="Times New Roman"/>
          <w:lang w:val="lt-LT"/>
        </w:rPr>
      </w:pPr>
      <w:r w:rsidRPr="0035481C">
        <w:rPr>
          <w:rFonts w:ascii="Times New Roman" w:eastAsia="Calibri" w:hAnsi="Times New Roman" w:cs="Times New Roman"/>
          <w:highlight w:val="lightGray"/>
          <w:lang w:val="lt-LT"/>
        </w:rPr>
        <w:t>Airija</w:t>
      </w:r>
    </w:p>
    <w:p w14:paraId="69AA2523" w14:textId="77777777" w:rsidR="0042753D" w:rsidRDefault="0042753D" w:rsidP="00A34B5C">
      <w:pPr>
        <w:spacing w:after="0" w:line="240" w:lineRule="auto"/>
        <w:ind w:left="567" w:hanging="567"/>
        <w:rPr>
          <w:rFonts w:ascii="Times New Roman" w:eastAsia="Calibri" w:hAnsi="Times New Roman" w:cs="Times New Roman"/>
          <w:lang w:val="lt-LT"/>
        </w:rPr>
      </w:pPr>
    </w:p>
    <w:p w14:paraId="3F5FA5FD" w14:textId="77777777" w:rsidR="0042753D" w:rsidRPr="0042753D" w:rsidRDefault="0042753D" w:rsidP="0042753D">
      <w:pPr>
        <w:spacing w:after="0" w:line="240" w:lineRule="auto"/>
        <w:ind w:left="567" w:hanging="567"/>
        <w:rPr>
          <w:rFonts w:ascii="Times New Roman" w:eastAsia="Calibri" w:hAnsi="Times New Roman" w:cs="Times New Roman"/>
          <w:highlight w:val="lightGray"/>
          <w:lang w:val="lt-LT"/>
        </w:rPr>
      </w:pPr>
      <w:r w:rsidRPr="0042753D">
        <w:rPr>
          <w:rFonts w:ascii="Times New Roman" w:eastAsia="Calibri" w:hAnsi="Times New Roman" w:cs="Times New Roman"/>
          <w:highlight w:val="lightGray"/>
          <w:lang w:val="lt-LT"/>
        </w:rPr>
        <w:t>Madaus GmbH</w:t>
      </w:r>
    </w:p>
    <w:p w14:paraId="536FBD37" w14:textId="77777777" w:rsidR="0042753D" w:rsidRPr="0042753D" w:rsidRDefault="0042753D" w:rsidP="0042753D">
      <w:pPr>
        <w:spacing w:after="0" w:line="240" w:lineRule="auto"/>
        <w:ind w:left="567" w:hanging="567"/>
        <w:rPr>
          <w:rFonts w:ascii="Times New Roman" w:eastAsia="Calibri" w:hAnsi="Times New Roman" w:cs="Times New Roman"/>
          <w:highlight w:val="lightGray"/>
          <w:lang w:val="lt-LT"/>
        </w:rPr>
      </w:pPr>
      <w:r w:rsidRPr="0042753D">
        <w:rPr>
          <w:rFonts w:ascii="Times New Roman" w:eastAsia="Calibri" w:hAnsi="Times New Roman" w:cs="Times New Roman"/>
          <w:highlight w:val="lightGray"/>
          <w:lang w:val="lt-LT"/>
        </w:rPr>
        <w:t>Lütticher Straße 5</w:t>
      </w:r>
    </w:p>
    <w:p w14:paraId="00BACCD0" w14:textId="77777777" w:rsidR="0042753D" w:rsidRPr="0042753D" w:rsidRDefault="0042753D" w:rsidP="0042753D">
      <w:pPr>
        <w:spacing w:after="0" w:line="240" w:lineRule="auto"/>
        <w:ind w:left="567" w:hanging="567"/>
        <w:rPr>
          <w:rFonts w:ascii="Times New Roman" w:eastAsia="Calibri" w:hAnsi="Times New Roman" w:cs="Times New Roman"/>
          <w:highlight w:val="lightGray"/>
          <w:lang w:val="lt-LT"/>
        </w:rPr>
      </w:pPr>
      <w:r w:rsidRPr="0042753D">
        <w:rPr>
          <w:rFonts w:ascii="Times New Roman" w:eastAsia="Calibri" w:hAnsi="Times New Roman" w:cs="Times New Roman"/>
          <w:highlight w:val="lightGray"/>
          <w:lang w:val="lt-LT"/>
        </w:rPr>
        <w:t>53842 Troisdorf</w:t>
      </w:r>
    </w:p>
    <w:p w14:paraId="194FF545" w14:textId="77777777" w:rsidR="0042753D" w:rsidRPr="008F1EBD" w:rsidRDefault="0042753D" w:rsidP="0042753D">
      <w:pPr>
        <w:spacing w:after="0" w:line="240" w:lineRule="auto"/>
        <w:ind w:left="567" w:hanging="567"/>
        <w:rPr>
          <w:rFonts w:ascii="Times New Roman" w:eastAsia="Calibri" w:hAnsi="Times New Roman" w:cs="Times New Roman"/>
          <w:lang w:val="lt-LT"/>
        </w:rPr>
      </w:pPr>
      <w:r w:rsidRPr="0042753D">
        <w:rPr>
          <w:rFonts w:ascii="Times New Roman" w:eastAsia="Calibri" w:hAnsi="Times New Roman" w:cs="Times New Roman"/>
          <w:highlight w:val="lightGray"/>
          <w:lang w:val="lt-LT"/>
        </w:rPr>
        <w:t>Vokietija</w:t>
      </w:r>
    </w:p>
    <w:p w14:paraId="2B812A44" w14:textId="77777777" w:rsidR="00A34B5C" w:rsidRPr="00A34B5C" w:rsidRDefault="00A34B5C" w:rsidP="00A34B5C">
      <w:pPr>
        <w:spacing w:after="0" w:line="240" w:lineRule="auto"/>
        <w:ind w:left="567" w:hanging="567"/>
        <w:rPr>
          <w:rFonts w:ascii="Times New Roman" w:eastAsia="Calibri" w:hAnsi="Times New Roman" w:cs="Times New Roman"/>
          <w:lang w:val="lt-LT"/>
        </w:rPr>
      </w:pPr>
    </w:p>
    <w:p w14:paraId="153F3BA6" w14:textId="77777777" w:rsidR="00A34B5C" w:rsidRPr="00A34B5C" w:rsidRDefault="00A34B5C" w:rsidP="00A34B5C">
      <w:pPr>
        <w:spacing w:after="0" w:line="240" w:lineRule="auto"/>
        <w:rPr>
          <w:rFonts w:ascii="Times New Roman" w:eastAsia="Calibri" w:hAnsi="Times New Roman" w:cs="Times New Roman"/>
          <w:lang w:val="lt-LT"/>
        </w:rPr>
      </w:pPr>
      <w:r w:rsidRPr="00A34B5C">
        <w:rPr>
          <w:rFonts w:ascii="Times New Roman" w:eastAsia="Calibri" w:hAnsi="Times New Roman" w:cs="Times New Roman"/>
          <w:lang w:val="lt-LT"/>
        </w:rPr>
        <w:t>Jeigu apie šį vaistą norite sužinoti daugiau, kreipkitės į vietinį registruotojo atstovą.</w:t>
      </w:r>
    </w:p>
    <w:p w14:paraId="35E00F55" w14:textId="77777777" w:rsidR="00A34B5C" w:rsidRPr="00A34B5C" w:rsidRDefault="00A34B5C" w:rsidP="00A34B5C">
      <w:pPr>
        <w:spacing w:after="0" w:line="240" w:lineRule="auto"/>
        <w:rPr>
          <w:rFonts w:ascii="Times New Roman" w:eastAsia="Calibri" w:hAnsi="Times New Roman" w:cs="Times New Roman"/>
          <w:lang w:val="lt-LT"/>
        </w:rPr>
      </w:pPr>
    </w:p>
    <w:p w14:paraId="6FB8FEAA" w14:textId="53B8422C" w:rsidR="00245156" w:rsidRPr="00245156" w:rsidRDefault="0038259C" w:rsidP="00245156">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Viatris</w:t>
      </w:r>
      <w:r w:rsidR="00245156" w:rsidRPr="00245156">
        <w:rPr>
          <w:rFonts w:ascii="Times New Roman" w:eastAsia="Calibri" w:hAnsi="Times New Roman" w:cs="Times New Roman"/>
          <w:lang w:val="lt-LT"/>
        </w:rPr>
        <w:t xml:space="preserve"> UAB</w:t>
      </w:r>
    </w:p>
    <w:p w14:paraId="270EAC8E" w14:textId="77777777" w:rsidR="00A34B5C" w:rsidRDefault="00245156" w:rsidP="00245156">
      <w:pPr>
        <w:spacing w:after="0" w:line="240" w:lineRule="auto"/>
        <w:rPr>
          <w:rFonts w:ascii="Times New Roman" w:eastAsia="Calibri" w:hAnsi="Times New Roman" w:cs="Times New Roman"/>
          <w:lang w:val="lt-LT"/>
        </w:rPr>
      </w:pPr>
      <w:r w:rsidRPr="00245156">
        <w:rPr>
          <w:rFonts w:ascii="Times New Roman" w:eastAsia="Calibri" w:hAnsi="Times New Roman" w:cs="Times New Roman"/>
          <w:lang w:val="lt-LT"/>
        </w:rPr>
        <w:t>Tel. + 370 5 205 12 88</w:t>
      </w:r>
    </w:p>
    <w:p w14:paraId="78FE9388" w14:textId="77777777" w:rsidR="00245156" w:rsidRPr="00A34B5C" w:rsidRDefault="00245156" w:rsidP="00245156">
      <w:pPr>
        <w:spacing w:after="0" w:line="240" w:lineRule="auto"/>
        <w:rPr>
          <w:rFonts w:ascii="Times New Roman" w:eastAsia="Calibri" w:hAnsi="Times New Roman" w:cs="Times New Roman"/>
          <w:lang w:val="lt-LT"/>
        </w:rPr>
      </w:pPr>
    </w:p>
    <w:p w14:paraId="596EC157" w14:textId="5ECF6DC6" w:rsidR="00A34B5C" w:rsidRPr="00A34B5C" w:rsidRDefault="00A34B5C" w:rsidP="00A34B5C">
      <w:pPr>
        <w:spacing w:after="0" w:line="240" w:lineRule="auto"/>
        <w:ind w:left="567" w:hanging="567"/>
        <w:rPr>
          <w:rFonts w:ascii="Times New Roman" w:eastAsia="Calibri" w:hAnsi="Times New Roman" w:cs="Times New Roman"/>
          <w:b/>
          <w:lang w:val="lt-LT"/>
        </w:rPr>
      </w:pPr>
      <w:r w:rsidRPr="00A34B5C">
        <w:rPr>
          <w:rFonts w:ascii="Times New Roman" w:eastAsia="Calibri" w:hAnsi="Times New Roman" w:cs="Times New Roman"/>
          <w:b/>
          <w:bCs/>
          <w:lang w:val="lt-LT"/>
        </w:rPr>
        <w:t xml:space="preserve">Šis pakuotės </w:t>
      </w:r>
      <w:r w:rsidRPr="00A34B5C">
        <w:rPr>
          <w:rFonts w:ascii="Times New Roman" w:eastAsia="Calibri" w:hAnsi="Times New Roman" w:cs="Times New Roman"/>
          <w:b/>
          <w:lang w:val="lt-LT"/>
        </w:rPr>
        <w:t>lapelis paskutinį kartą peržiūrėtas</w:t>
      </w:r>
      <w:r w:rsidR="00C9198E">
        <w:rPr>
          <w:rFonts w:ascii="Times New Roman" w:eastAsia="Calibri" w:hAnsi="Times New Roman" w:cs="Times New Roman"/>
          <w:b/>
          <w:lang w:val="lt-LT"/>
        </w:rPr>
        <w:t xml:space="preserve"> 20</w:t>
      </w:r>
      <w:r w:rsidR="00E33786">
        <w:rPr>
          <w:rFonts w:ascii="Times New Roman" w:eastAsia="Calibri" w:hAnsi="Times New Roman" w:cs="Times New Roman"/>
          <w:b/>
          <w:lang w:val="lt-LT"/>
        </w:rPr>
        <w:t>23-09-01.</w:t>
      </w:r>
    </w:p>
    <w:p w14:paraId="08FC070B" w14:textId="77777777" w:rsidR="00A34B5C" w:rsidRPr="00A34B5C" w:rsidRDefault="00A34B5C" w:rsidP="00A34B5C">
      <w:pPr>
        <w:spacing w:after="0" w:line="240" w:lineRule="auto"/>
        <w:ind w:left="567" w:hanging="567"/>
        <w:rPr>
          <w:rFonts w:ascii="Times New Roman" w:eastAsia="Calibri" w:hAnsi="Times New Roman" w:cs="Times New Roman"/>
          <w:b/>
          <w:lang w:val="lt-LT"/>
        </w:rPr>
      </w:pPr>
    </w:p>
    <w:p w14:paraId="47A6DBB5" w14:textId="218DB3BE" w:rsidR="00332440" w:rsidRDefault="00A34B5C" w:rsidP="00192AC9">
      <w:pPr>
        <w:numPr>
          <w:ilvl w:val="12"/>
          <w:numId w:val="0"/>
        </w:numPr>
        <w:spacing w:after="200" w:line="240" w:lineRule="auto"/>
        <w:ind w:right="-2"/>
        <w:rPr>
          <w:rFonts w:ascii="Times New Roman" w:eastAsia="Calibri" w:hAnsi="Times New Roman" w:cs="Times New Roman"/>
          <w:lang w:val="lt-LT"/>
        </w:rPr>
      </w:pPr>
      <w:r w:rsidRPr="00A34B5C">
        <w:rPr>
          <w:rFonts w:ascii="Times New Roman" w:eastAsia="Calibri" w:hAnsi="Times New Roman" w:cs="Times New Roman"/>
          <w:lang w:val="lt-LT"/>
        </w:rPr>
        <w:t xml:space="preserve">Išsami informacija apie šį </w:t>
      </w:r>
      <w:r w:rsidRPr="00A34B5C">
        <w:rPr>
          <w:rFonts w:ascii="Times New Roman" w:eastAsia="Calibri" w:hAnsi="Times New Roman" w:cs="Times New Roman"/>
          <w:szCs w:val="24"/>
          <w:lang w:val="lt-LT"/>
        </w:rPr>
        <w:t>vaistą</w:t>
      </w:r>
      <w:r w:rsidRPr="00A34B5C">
        <w:rPr>
          <w:rFonts w:ascii="Times New Roman" w:eastAsia="Calibri" w:hAnsi="Times New Roman" w:cs="Times New Roman"/>
          <w:lang w:val="lt-LT"/>
        </w:rPr>
        <w:t xml:space="preserve"> pateikiama Valstybinės vaistų kontrolės tarnybos prie Lietuvos Respublikos sveikatos apsaugos ministerijos tinklalapyje</w:t>
      </w:r>
      <w:r w:rsidRPr="00A34B5C">
        <w:rPr>
          <w:rFonts w:ascii="Times New Roman" w:eastAsia="Calibri" w:hAnsi="Times New Roman" w:cs="Times New Roman"/>
          <w:i/>
          <w:szCs w:val="24"/>
          <w:lang w:val="lt-LT"/>
        </w:rPr>
        <w:t xml:space="preserve"> </w:t>
      </w:r>
      <w:hyperlink r:id="rId11" w:history="1">
        <w:r w:rsidRPr="00A34B5C">
          <w:rPr>
            <w:rFonts w:ascii="Times New Roman" w:eastAsia="SimSun" w:hAnsi="Times New Roman" w:cs="Times New Roman"/>
            <w:color w:val="0000FF"/>
            <w:u w:val="single"/>
            <w:lang w:val="lt-LT"/>
          </w:rPr>
          <w:t>http://www.vvkt.lt/</w:t>
        </w:r>
      </w:hyperlink>
      <w:r w:rsidRPr="00A34B5C">
        <w:rPr>
          <w:rFonts w:ascii="Times New Roman" w:eastAsia="Calibri" w:hAnsi="Times New Roman" w:cs="Times New Roman"/>
          <w:lang w:val="lt-LT"/>
        </w:rPr>
        <w:t>.</w:t>
      </w:r>
    </w:p>
    <w:p w14:paraId="674776C2" w14:textId="77777777" w:rsidR="001055B9" w:rsidRPr="00955AED" w:rsidRDefault="001055B9" w:rsidP="00192AC9">
      <w:pPr>
        <w:numPr>
          <w:ilvl w:val="12"/>
          <w:numId w:val="0"/>
        </w:numPr>
        <w:spacing w:after="200" w:line="240" w:lineRule="auto"/>
        <w:ind w:right="-2"/>
        <w:rPr>
          <w:lang w:val="lt-LT"/>
        </w:rPr>
      </w:pPr>
    </w:p>
    <w:sectPr w:rsidR="001055B9" w:rsidRPr="00955AED" w:rsidSect="004436EA">
      <w:headerReference w:type="even" r:id="rId12"/>
      <w:headerReference w:type="default" r:id="rId13"/>
      <w:footerReference w:type="even" r:id="rId14"/>
      <w:footerReference w:type="default" r:id="rId15"/>
      <w:headerReference w:type="first" r:id="rId16"/>
      <w:footerReference w:type="first" r:id="rId17"/>
      <w:pgSz w:w="11906" w:h="16838"/>
      <w:pgMar w:top="1134" w:right="1418" w:bottom="1134"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44B169" w14:textId="77777777" w:rsidR="005B5D94" w:rsidRDefault="005B5D94">
      <w:pPr>
        <w:spacing w:after="0" w:line="240" w:lineRule="auto"/>
      </w:pPr>
      <w:r>
        <w:separator/>
      </w:r>
    </w:p>
  </w:endnote>
  <w:endnote w:type="continuationSeparator" w:id="0">
    <w:p w14:paraId="13C58EFB" w14:textId="77777777" w:rsidR="005B5D94" w:rsidRDefault="005B5D94">
      <w:pPr>
        <w:spacing w:after="0" w:line="240" w:lineRule="auto"/>
      </w:pPr>
      <w:r>
        <w:continuationSeparator/>
      </w:r>
    </w:p>
  </w:endnote>
  <w:endnote w:type="continuationNotice" w:id="1">
    <w:p w14:paraId="45F2168F" w14:textId="77777777" w:rsidR="005B5D94" w:rsidRDefault="005B5D9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562DBF" w14:textId="386C89EF" w:rsidR="009326BC" w:rsidRDefault="009326BC">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38259C">
      <w:rPr>
        <w:rStyle w:val="Puslapionumeris"/>
        <w:noProof/>
      </w:rPr>
      <w:t>1</w:t>
    </w:r>
    <w:r>
      <w:rPr>
        <w:rStyle w:val="Puslapionumeris"/>
      </w:rPr>
      <w:fldChar w:fldCharType="end"/>
    </w:r>
  </w:p>
  <w:p w14:paraId="7025D9B7" w14:textId="77777777" w:rsidR="009326BC" w:rsidRDefault="009326BC">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82CBA1" w14:textId="5EFC02AA" w:rsidR="009326BC" w:rsidRDefault="009326BC">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156384">
      <w:rPr>
        <w:rStyle w:val="Puslapionumeris"/>
        <w:noProof/>
      </w:rPr>
      <w:t>3</w:t>
    </w:r>
    <w:r>
      <w:rPr>
        <w:rStyle w:val="Puslapionumeris"/>
      </w:rPr>
      <w:fldChar w:fldCharType="end"/>
    </w:r>
  </w:p>
  <w:p w14:paraId="5ACABAD3" w14:textId="77777777" w:rsidR="009326BC" w:rsidRDefault="009326BC">
    <w:pPr>
      <w:pStyle w:val="Porat"/>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CA7325" w14:textId="77777777" w:rsidR="0038259C" w:rsidRDefault="0038259C">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2FF3034" w14:textId="77777777" w:rsidR="005B5D94" w:rsidRDefault="005B5D94">
      <w:pPr>
        <w:spacing w:after="0" w:line="240" w:lineRule="auto"/>
      </w:pPr>
      <w:r>
        <w:separator/>
      </w:r>
    </w:p>
  </w:footnote>
  <w:footnote w:type="continuationSeparator" w:id="0">
    <w:p w14:paraId="62C47BFE" w14:textId="77777777" w:rsidR="005B5D94" w:rsidRDefault="005B5D94">
      <w:pPr>
        <w:spacing w:after="0" w:line="240" w:lineRule="auto"/>
      </w:pPr>
      <w:r>
        <w:continuationSeparator/>
      </w:r>
    </w:p>
  </w:footnote>
  <w:footnote w:type="continuationNotice" w:id="1">
    <w:p w14:paraId="6D28CAA4" w14:textId="77777777" w:rsidR="005B5D94" w:rsidRDefault="005B5D9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B19B53" w14:textId="77777777" w:rsidR="0038259C" w:rsidRDefault="0038259C">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0A2F45" w14:textId="77777777" w:rsidR="00C9198E" w:rsidRDefault="00C9198E">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75BECA" w14:textId="77777777" w:rsidR="0038259C" w:rsidRDefault="0038259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F362843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72325D6C"/>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874E51C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2CEEEB0E"/>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B1A6D83A"/>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092A068C"/>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158E2DF6"/>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54362ED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D3224D2E"/>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37DEB9AC"/>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B3AEC744"/>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FFFFFFFE"/>
    <w:multiLevelType w:val="singleLevel"/>
    <w:tmpl w:val="FFFFFFFF"/>
    <w:lvl w:ilvl="0">
      <w:numFmt w:val="decimal"/>
      <w:lvlText w:val="*"/>
      <w:lvlJc w:val="left"/>
    </w:lvl>
  </w:abstractNum>
  <w:abstractNum w:abstractNumId="12" w15:restartNumberingAfterBreak="0">
    <w:nsid w:val="06337374"/>
    <w:multiLevelType w:val="singleLevel"/>
    <w:tmpl w:val="4A680C24"/>
    <w:lvl w:ilvl="0">
      <w:start w:val="1"/>
      <w:numFmt w:val="bullet"/>
      <w:lvlText w:val=""/>
      <w:lvlJc w:val="left"/>
      <w:pPr>
        <w:tabs>
          <w:tab w:val="num" w:pos="360"/>
        </w:tabs>
        <w:ind w:left="360" w:hanging="360"/>
      </w:pPr>
      <w:rPr>
        <w:rFonts w:ascii="Symbol" w:hAnsi="Symbol" w:hint="default"/>
        <w:sz w:val="16"/>
      </w:rPr>
    </w:lvl>
  </w:abstractNum>
  <w:abstractNum w:abstractNumId="13" w15:restartNumberingAfterBreak="0">
    <w:nsid w:val="09326A85"/>
    <w:multiLevelType w:val="singleLevel"/>
    <w:tmpl w:val="7FF45C5E"/>
    <w:lvl w:ilvl="0">
      <w:start w:val="1"/>
      <w:numFmt w:val="bullet"/>
      <w:lvlText w:val=""/>
      <w:lvlJc w:val="left"/>
      <w:pPr>
        <w:tabs>
          <w:tab w:val="num" w:pos="357"/>
        </w:tabs>
        <w:ind w:left="357" w:hanging="357"/>
      </w:pPr>
      <w:rPr>
        <w:rFonts w:ascii="Symbol" w:hAnsi="Symbol" w:hint="default"/>
      </w:rPr>
    </w:lvl>
  </w:abstractNum>
  <w:abstractNum w:abstractNumId="14" w15:restartNumberingAfterBreak="0">
    <w:nsid w:val="0B58699B"/>
    <w:multiLevelType w:val="singleLevel"/>
    <w:tmpl w:val="D3948394"/>
    <w:lvl w:ilvl="0">
      <w:start w:val="1"/>
      <w:numFmt w:val="bullet"/>
      <w:lvlText w:val=""/>
      <w:lvlJc w:val="left"/>
      <w:pPr>
        <w:tabs>
          <w:tab w:val="num" w:pos="357"/>
        </w:tabs>
        <w:ind w:left="357" w:hanging="357"/>
      </w:pPr>
      <w:rPr>
        <w:rFonts w:ascii="Symbol" w:hAnsi="Symbol" w:hint="default"/>
      </w:rPr>
    </w:lvl>
  </w:abstractNum>
  <w:abstractNum w:abstractNumId="15" w15:restartNumberingAfterBreak="0">
    <w:nsid w:val="0B9916CC"/>
    <w:multiLevelType w:val="singleLevel"/>
    <w:tmpl w:val="7FF45C5E"/>
    <w:lvl w:ilvl="0">
      <w:start w:val="1"/>
      <w:numFmt w:val="bullet"/>
      <w:lvlText w:val=""/>
      <w:lvlJc w:val="left"/>
      <w:pPr>
        <w:tabs>
          <w:tab w:val="num" w:pos="357"/>
        </w:tabs>
        <w:ind w:left="357" w:hanging="357"/>
      </w:pPr>
      <w:rPr>
        <w:rFonts w:ascii="Symbol" w:hAnsi="Symbol" w:hint="default"/>
      </w:rPr>
    </w:lvl>
  </w:abstractNum>
  <w:abstractNum w:abstractNumId="16" w15:restartNumberingAfterBreak="0">
    <w:nsid w:val="0F2E1804"/>
    <w:multiLevelType w:val="hybridMultilevel"/>
    <w:tmpl w:val="29D8D23E"/>
    <w:lvl w:ilvl="0" w:tplc="857EA38A">
      <w:start w:val="4"/>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1466738"/>
    <w:multiLevelType w:val="hybridMultilevel"/>
    <w:tmpl w:val="44D02C6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197A127D"/>
    <w:multiLevelType w:val="singleLevel"/>
    <w:tmpl w:val="7FF45C5E"/>
    <w:lvl w:ilvl="0">
      <w:start w:val="1"/>
      <w:numFmt w:val="bullet"/>
      <w:lvlText w:val=""/>
      <w:lvlJc w:val="left"/>
      <w:pPr>
        <w:tabs>
          <w:tab w:val="num" w:pos="357"/>
        </w:tabs>
        <w:ind w:left="357" w:hanging="357"/>
      </w:pPr>
      <w:rPr>
        <w:rFonts w:ascii="Symbol" w:hAnsi="Symbol" w:hint="default"/>
      </w:rPr>
    </w:lvl>
  </w:abstractNum>
  <w:abstractNum w:abstractNumId="19" w15:restartNumberingAfterBreak="0">
    <w:nsid w:val="248E148F"/>
    <w:multiLevelType w:val="hybridMultilevel"/>
    <w:tmpl w:val="4D9CC5AA"/>
    <w:lvl w:ilvl="0" w:tplc="88C22568">
      <w:start w:val="2"/>
      <w:numFmt w:val="bullet"/>
      <w:lvlText w:val="-"/>
      <w:lvlJc w:val="left"/>
      <w:pPr>
        <w:tabs>
          <w:tab w:val="num" w:pos="930"/>
        </w:tabs>
        <w:ind w:left="930" w:hanging="57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2B0E6653"/>
    <w:multiLevelType w:val="hybridMultilevel"/>
    <w:tmpl w:val="A8707BA6"/>
    <w:lvl w:ilvl="0" w:tplc="857EA38A">
      <w:start w:val="4"/>
      <w:numFmt w:val="bullet"/>
      <w:lvlText w:val="-"/>
      <w:lvlJc w:val="left"/>
      <w:pPr>
        <w:tabs>
          <w:tab w:val="num" w:pos="927"/>
        </w:tabs>
        <w:ind w:left="927" w:hanging="360"/>
      </w:pPr>
      <w:rPr>
        <w:rFonts w:hint="default"/>
      </w:rPr>
    </w:lvl>
    <w:lvl w:ilvl="1" w:tplc="04090003" w:tentative="1">
      <w:start w:val="1"/>
      <w:numFmt w:val="bullet"/>
      <w:lvlText w:val="o"/>
      <w:lvlJc w:val="left"/>
      <w:pPr>
        <w:tabs>
          <w:tab w:val="num" w:pos="2007"/>
        </w:tabs>
        <w:ind w:left="2007" w:hanging="360"/>
      </w:pPr>
      <w:rPr>
        <w:rFonts w:ascii="Courier New" w:hAnsi="Courier New" w:hint="default"/>
      </w:rPr>
    </w:lvl>
    <w:lvl w:ilvl="2" w:tplc="04090005" w:tentative="1">
      <w:start w:val="1"/>
      <w:numFmt w:val="bullet"/>
      <w:lvlText w:val=""/>
      <w:lvlJc w:val="left"/>
      <w:pPr>
        <w:tabs>
          <w:tab w:val="num" w:pos="2727"/>
        </w:tabs>
        <w:ind w:left="2727" w:hanging="360"/>
      </w:pPr>
      <w:rPr>
        <w:rFonts w:ascii="Wingdings" w:hAnsi="Wingdings" w:hint="default"/>
      </w:rPr>
    </w:lvl>
    <w:lvl w:ilvl="3" w:tplc="04090001" w:tentative="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abstractNum w:abstractNumId="21" w15:restartNumberingAfterBreak="0">
    <w:nsid w:val="31856626"/>
    <w:multiLevelType w:val="singleLevel"/>
    <w:tmpl w:val="4A680C24"/>
    <w:lvl w:ilvl="0">
      <w:start w:val="1"/>
      <w:numFmt w:val="bullet"/>
      <w:lvlText w:val=""/>
      <w:lvlJc w:val="left"/>
      <w:pPr>
        <w:tabs>
          <w:tab w:val="num" w:pos="360"/>
        </w:tabs>
        <w:ind w:left="360" w:hanging="360"/>
      </w:pPr>
      <w:rPr>
        <w:rFonts w:ascii="Symbol" w:hAnsi="Symbol" w:hint="default"/>
        <w:sz w:val="16"/>
      </w:rPr>
    </w:lvl>
  </w:abstractNum>
  <w:abstractNum w:abstractNumId="22" w15:restartNumberingAfterBreak="0">
    <w:nsid w:val="38E90DC6"/>
    <w:multiLevelType w:val="hybridMultilevel"/>
    <w:tmpl w:val="695A2BF8"/>
    <w:lvl w:ilvl="0" w:tplc="2674B2F8">
      <w:start w:val="1"/>
      <w:numFmt w:val="decimal"/>
      <w:lvlText w:val="%1."/>
      <w:lvlJc w:val="left"/>
      <w:pPr>
        <w:tabs>
          <w:tab w:val="num" w:pos="930"/>
        </w:tabs>
        <w:ind w:left="930" w:hanging="57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532576CC"/>
    <w:multiLevelType w:val="singleLevel"/>
    <w:tmpl w:val="011E3012"/>
    <w:lvl w:ilvl="0">
      <w:start w:val="1"/>
      <w:numFmt w:val="bullet"/>
      <w:lvlText w:val=""/>
      <w:lvlJc w:val="left"/>
      <w:pPr>
        <w:tabs>
          <w:tab w:val="num" w:pos="357"/>
        </w:tabs>
        <w:ind w:left="357" w:hanging="357"/>
      </w:pPr>
      <w:rPr>
        <w:rFonts w:ascii="Symbol" w:hAnsi="Symbol" w:hint="default"/>
      </w:rPr>
    </w:lvl>
  </w:abstractNum>
  <w:abstractNum w:abstractNumId="24" w15:restartNumberingAfterBreak="0">
    <w:nsid w:val="698014F9"/>
    <w:multiLevelType w:val="hybridMultilevel"/>
    <w:tmpl w:val="87AC3C0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6AB868C1"/>
    <w:multiLevelType w:val="singleLevel"/>
    <w:tmpl w:val="4A680C24"/>
    <w:lvl w:ilvl="0">
      <w:start w:val="1"/>
      <w:numFmt w:val="bullet"/>
      <w:lvlText w:val=""/>
      <w:lvlJc w:val="left"/>
      <w:pPr>
        <w:tabs>
          <w:tab w:val="num" w:pos="360"/>
        </w:tabs>
        <w:ind w:left="360" w:hanging="360"/>
      </w:pPr>
      <w:rPr>
        <w:rFonts w:ascii="Symbol" w:hAnsi="Symbol" w:hint="default"/>
        <w:sz w:val="16"/>
      </w:rPr>
    </w:lvl>
  </w:abstractNum>
  <w:abstractNum w:abstractNumId="26" w15:restartNumberingAfterBreak="0">
    <w:nsid w:val="74AA6228"/>
    <w:multiLevelType w:val="hybridMultilevel"/>
    <w:tmpl w:val="3740FA20"/>
    <w:lvl w:ilvl="0" w:tplc="29F63F00">
      <w:start w:val="3"/>
      <w:numFmt w:val="upperLetter"/>
      <w:lvlText w:val="%1."/>
      <w:lvlJc w:val="left"/>
      <w:pPr>
        <w:tabs>
          <w:tab w:val="num" w:pos="1406"/>
        </w:tabs>
        <w:ind w:left="1406" w:hanging="555"/>
      </w:pPr>
      <w:rPr>
        <w:rFonts w:cs="Times New Roman" w:hint="default"/>
      </w:rPr>
    </w:lvl>
    <w:lvl w:ilvl="1" w:tplc="04270019" w:tentative="1">
      <w:start w:val="1"/>
      <w:numFmt w:val="lowerLetter"/>
      <w:lvlText w:val="%2."/>
      <w:lvlJc w:val="left"/>
      <w:pPr>
        <w:tabs>
          <w:tab w:val="num" w:pos="1931"/>
        </w:tabs>
        <w:ind w:left="1931" w:hanging="360"/>
      </w:pPr>
      <w:rPr>
        <w:rFonts w:cs="Times New Roman"/>
      </w:rPr>
    </w:lvl>
    <w:lvl w:ilvl="2" w:tplc="0427001B" w:tentative="1">
      <w:start w:val="1"/>
      <w:numFmt w:val="lowerRoman"/>
      <w:lvlText w:val="%3."/>
      <w:lvlJc w:val="right"/>
      <w:pPr>
        <w:tabs>
          <w:tab w:val="num" w:pos="2651"/>
        </w:tabs>
        <w:ind w:left="2651" w:hanging="180"/>
      </w:pPr>
      <w:rPr>
        <w:rFonts w:cs="Times New Roman"/>
      </w:rPr>
    </w:lvl>
    <w:lvl w:ilvl="3" w:tplc="0427000F" w:tentative="1">
      <w:start w:val="1"/>
      <w:numFmt w:val="decimal"/>
      <w:lvlText w:val="%4."/>
      <w:lvlJc w:val="left"/>
      <w:pPr>
        <w:tabs>
          <w:tab w:val="num" w:pos="3371"/>
        </w:tabs>
        <w:ind w:left="3371" w:hanging="360"/>
      </w:pPr>
      <w:rPr>
        <w:rFonts w:cs="Times New Roman"/>
      </w:rPr>
    </w:lvl>
    <w:lvl w:ilvl="4" w:tplc="04270019" w:tentative="1">
      <w:start w:val="1"/>
      <w:numFmt w:val="lowerLetter"/>
      <w:lvlText w:val="%5."/>
      <w:lvlJc w:val="left"/>
      <w:pPr>
        <w:tabs>
          <w:tab w:val="num" w:pos="4091"/>
        </w:tabs>
        <w:ind w:left="4091" w:hanging="360"/>
      </w:pPr>
      <w:rPr>
        <w:rFonts w:cs="Times New Roman"/>
      </w:rPr>
    </w:lvl>
    <w:lvl w:ilvl="5" w:tplc="0427001B" w:tentative="1">
      <w:start w:val="1"/>
      <w:numFmt w:val="lowerRoman"/>
      <w:lvlText w:val="%6."/>
      <w:lvlJc w:val="right"/>
      <w:pPr>
        <w:tabs>
          <w:tab w:val="num" w:pos="4811"/>
        </w:tabs>
        <w:ind w:left="4811" w:hanging="180"/>
      </w:pPr>
      <w:rPr>
        <w:rFonts w:cs="Times New Roman"/>
      </w:rPr>
    </w:lvl>
    <w:lvl w:ilvl="6" w:tplc="0427000F" w:tentative="1">
      <w:start w:val="1"/>
      <w:numFmt w:val="decimal"/>
      <w:lvlText w:val="%7."/>
      <w:lvlJc w:val="left"/>
      <w:pPr>
        <w:tabs>
          <w:tab w:val="num" w:pos="5531"/>
        </w:tabs>
        <w:ind w:left="5531" w:hanging="360"/>
      </w:pPr>
      <w:rPr>
        <w:rFonts w:cs="Times New Roman"/>
      </w:rPr>
    </w:lvl>
    <w:lvl w:ilvl="7" w:tplc="04270019" w:tentative="1">
      <w:start w:val="1"/>
      <w:numFmt w:val="lowerLetter"/>
      <w:lvlText w:val="%8."/>
      <w:lvlJc w:val="left"/>
      <w:pPr>
        <w:tabs>
          <w:tab w:val="num" w:pos="6251"/>
        </w:tabs>
        <w:ind w:left="6251" w:hanging="360"/>
      </w:pPr>
      <w:rPr>
        <w:rFonts w:cs="Times New Roman"/>
      </w:rPr>
    </w:lvl>
    <w:lvl w:ilvl="8" w:tplc="0427001B" w:tentative="1">
      <w:start w:val="1"/>
      <w:numFmt w:val="lowerRoman"/>
      <w:lvlText w:val="%9."/>
      <w:lvlJc w:val="right"/>
      <w:pPr>
        <w:tabs>
          <w:tab w:val="num" w:pos="6971"/>
        </w:tabs>
        <w:ind w:left="6971" w:hanging="180"/>
      </w:pPr>
      <w:rPr>
        <w:rFonts w:cs="Times New Roman"/>
      </w:rPr>
    </w:lvl>
  </w:abstractNum>
  <w:abstractNum w:abstractNumId="27" w15:restartNumberingAfterBreak="0">
    <w:nsid w:val="7D7C540A"/>
    <w:multiLevelType w:val="hybridMultilevel"/>
    <w:tmpl w:val="F7A074D2"/>
    <w:lvl w:ilvl="0" w:tplc="E0444C50">
      <w:start w:val="1"/>
      <w:numFmt w:val="upperLetter"/>
      <w:lvlText w:val="%1."/>
      <w:lvlJc w:val="left"/>
      <w:pPr>
        <w:ind w:left="1494" w:hanging="360"/>
      </w:pPr>
      <w:rPr>
        <w:rFonts w:hint="default"/>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num w:numId="1">
    <w:abstractNumId w:val="21"/>
  </w:num>
  <w:num w:numId="2">
    <w:abstractNumId w:val="12"/>
  </w:num>
  <w:num w:numId="3">
    <w:abstractNumId w:val="25"/>
  </w:num>
  <w:num w:numId="4">
    <w:abstractNumId w:val="17"/>
  </w:num>
  <w:num w:numId="5">
    <w:abstractNumId w:val="22"/>
  </w:num>
  <w:num w:numId="6">
    <w:abstractNumId w:val="24"/>
  </w:num>
  <w:num w:numId="7">
    <w:abstractNumId w:val="20"/>
  </w:num>
  <w:num w:numId="8">
    <w:abstractNumId w:val="19"/>
  </w:num>
  <w:num w:numId="9">
    <w:abstractNumId w:val="23"/>
  </w:num>
  <w:num w:numId="10">
    <w:abstractNumId w:val="14"/>
  </w:num>
  <w:num w:numId="11">
    <w:abstractNumId w:val="18"/>
  </w:num>
  <w:num w:numId="12">
    <w:abstractNumId w:val="15"/>
  </w:num>
  <w:num w:numId="13">
    <w:abstractNumId w:val="13"/>
  </w:num>
  <w:num w:numId="14">
    <w:abstractNumId w:val="26"/>
  </w:num>
  <w:num w:numId="15">
    <w:abstractNumId w:val="27"/>
  </w:num>
  <w:num w:numId="16">
    <w:abstractNumId w:val="16"/>
  </w:num>
  <w:num w:numId="17">
    <w:abstractNumId w:val="10"/>
  </w:num>
  <w:num w:numId="18">
    <w:abstractNumId w:val="8"/>
  </w:num>
  <w:num w:numId="19">
    <w:abstractNumId w:val="7"/>
  </w:num>
  <w:num w:numId="20">
    <w:abstractNumId w:val="6"/>
  </w:num>
  <w:num w:numId="21">
    <w:abstractNumId w:val="5"/>
  </w:num>
  <w:num w:numId="22">
    <w:abstractNumId w:val="9"/>
  </w:num>
  <w:num w:numId="23">
    <w:abstractNumId w:val="4"/>
  </w:num>
  <w:num w:numId="24">
    <w:abstractNumId w:val="3"/>
  </w:num>
  <w:num w:numId="25">
    <w:abstractNumId w:val="2"/>
  </w:num>
  <w:num w:numId="26">
    <w:abstractNumId w:val="1"/>
  </w:num>
  <w:num w:numId="27">
    <w:abstractNumId w:val="11"/>
    <w:lvlOverride w:ilvl="0">
      <w:lvl w:ilvl="0">
        <w:numFmt w:val="bullet"/>
        <w:lvlText w:val="-"/>
        <w:legacy w:legacy="1" w:legacySpace="0" w:legacyIndent="360"/>
        <w:lvlJc w:val="left"/>
        <w:pPr>
          <w:ind w:left="360" w:hanging="360"/>
        </w:pPr>
      </w:lvl>
    </w:lvlOverride>
  </w:num>
  <w:num w:numId="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3D36"/>
    <w:rsid w:val="0000461C"/>
    <w:rsid w:val="00060168"/>
    <w:rsid w:val="000C7777"/>
    <w:rsid w:val="000D1218"/>
    <w:rsid w:val="001055B9"/>
    <w:rsid w:val="0013004A"/>
    <w:rsid w:val="00156384"/>
    <w:rsid w:val="001733A6"/>
    <w:rsid w:val="00192AC9"/>
    <w:rsid w:val="001A31A3"/>
    <w:rsid w:val="001C7DED"/>
    <w:rsid w:val="001D3552"/>
    <w:rsid w:val="00245156"/>
    <w:rsid w:val="00246EB4"/>
    <w:rsid w:val="00282359"/>
    <w:rsid w:val="002A5468"/>
    <w:rsid w:val="002F15B9"/>
    <w:rsid w:val="00312A29"/>
    <w:rsid w:val="00320794"/>
    <w:rsid w:val="00332440"/>
    <w:rsid w:val="0035481C"/>
    <w:rsid w:val="0038259C"/>
    <w:rsid w:val="003D7982"/>
    <w:rsid w:val="003E30FB"/>
    <w:rsid w:val="0042753D"/>
    <w:rsid w:val="004436EA"/>
    <w:rsid w:val="00462860"/>
    <w:rsid w:val="0049380B"/>
    <w:rsid w:val="004C3911"/>
    <w:rsid w:val="004E3AB4"/>
    <w:rsid w:val="004F3D36"/>
    <w:rsid w:val="00502AA2"/>
    <w:rsid w:val="005269A9"/>
    <w:rsid w:val="005276E8"/>
    <w:rsid w:val="00560834"/>
    <w:rsid w:val="00561C4F"/>
    <w:rsid w:val="00570F79"/>
    <w:rsid w:val="00583F32"/>
    <w:rsid w:val="005A692D"/>
    <w:rsid w:val="005B5D94"/>
    <w:rsid w:val="005C7BA1"/>
    <w:rsid w:val="005F385B"/>
    <w:rsid w:val="0061248D"/>
    <w:rsid w:val="006219B6"/>
    <w:rsid w:val="00653F5D"/>
    <w:rsid w:val="006C078B"/>
    <w:rsid w:val="007101BB"/>
    <w:rsid w:val="0072343B"/>
    <w:rsid w:val="0072606B"/>
    <w:rsid w:val="007338B8"/>
    <w:rsid w:val="00805D1D"/>
    <w:rsid w:val="0080787F"/>
    <w:rsid w:val="008159A4"/>
    <w:rsid w:val="0088060E"/>
    <w:rsid w:val="00893D80"/>
    <w:rsid w:val="008A27C4"/>
    <w:rsid w:val="008B3749"/>
    <w:rsid w:val="008F1EBD"/>
    <w:rsid w:val="009326BC"/>
    <w:rsid w:val="009346ED"/>
    <w:rsid w:val="00955224"/>
    <w:rsid w:val="00955AED"/>
    <w:rsid w:val="00970291"/>
    <w:rsid w:val="00974960"/>
    <w:rsid w:val="009D128C"/>
    <w:rsid w:val="009E4757"/>
    <w:rsid w:val="00A15138"/>
    <w:rsid w:val="00A34B5C"/>
    <w:rsid w:val="00A36333"/>
    <w:rsid w:val="00A85A3B"/>
    <w:rsid w:val="00B101F7"/>
    <w:rsid w:val="00B13C87"/>
    <w:rsid w:val="00B27E7B"/>
    <w:rsid w:val="00B71896"/>
    <w:rsid w:val="00C1553B"/>
    <w:rsid w:val="00C61B1E"/>
    <w:rsid w:val="00C9198E"/>
    <w:rsid w:val="00CB146E"/>
    <w:rsid w:val="00CB5885"/>
    <w:rsid w:val="00CC7EBD"/>
    <w:rsid w:val="00D1364D"/>
    <w:rsid w:val="00D3301A"/>
    <w:rsid w:val="00D73D85"/>
    <w:rsid w:val="00DA764E"/>
    <w:rsid w:val="00DB0E71"/>
    <w:rsid w:val="00DB5A7A"/>
    <w:rsid w:val="00E33786"/>
    <w:rsid w:val="00E63E51"/>
    <w:rsid w:val="00EE6BC4"/>
    <w:rsid w:val="00EF2E13"/>
    <w:rsid w:val="00F616A1"/>
    <w:rsid w:val="00F9461A"/>
    <w:rsid w:val="00FB6D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773BA9"/>
  <w15:docId w15:val="{267F48C6-9723-4A2A-B78E-A616C48B3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uiPriority w:val="99"/>
    <w:qFormat/>
    <w:rsid w:val="00A34B5C"/>
    <w:pPr>
      <w:tabs>
        <w:tab w:val="left" w:pos="567"/>
      </w:tabs>
      <w:spacing w:before="240" w:after="120" w:line="260" w:lineRule="exact"/>
      <w:ind w:left="357" w:hanging="357"/>
      <w:outlineLvl w:val="0"/>
    </w:pPr>
    <w:rPr>
      <w:rFonts w:ascii="Times New Roman" w:eastAsia="Calibri" w:hAnsi="Times New Roman" w:cs="Times New Roman"/>
      <w:b/>
      <w:caps/>
      <w:sz w:val="20"/>
      <w:szCs w:val="20"/>
      <w:lang w:val="x-none" w:eastAsia="x-none"/>
    </w:rPr>
  </w:style>
  <w:style w:type="paragraph" w:styleId="Antrat2">
    <w:name w:val="heading 2"/>
    <w:basedOn w:val="prastasis"/>
    <w:next w:val="prastasis"/>
    <w:link w:val="Antrat2Diagrama"/>
    <w:uiPriority w:val="99"/>
    <w:qFormat/>
    <w:rsid w:val="00A34B5C"/>
    <w:pPr>
      <w:keepNext/>
      <w:tabs>
        <w:tab w:val="left" w:pos="567"/>
      </w:tabs>
      <w:spacing w:before="240" w:after="60" w:line="260" w:lineRule="exact"/>
      <w:outlineLvl w:val="1"/>
    </w:pPr>
    <w:rPr>
      <w:rFonts w:ascii="Helvetica" w:eastAsia="Calibri" w:hAnsi="Helvetica" w:cs="Times New Roman"/>
      <w:b/>
      <w:i/>
      <w:sz w:val="20"/>
      <w:szCs w:val="20"/>
      <w:lang w:val="cs-CZ" w:eastAsia="x-none"/>
    </w:rPr>
  </w:style>
  <w:style w:type="paragraph" w:styleId="Antrat3">
    <w:name w:val="heading 3"/>
    <w:basedOn w:val="prastasis"/>
    <w:next w:val="prastasis"/>
    <w:link w:val="Antrat3Diagrama"/>
    <w:uiPriority w:val="99"/>
    <w:qFormat/>
    <w:rsid w:val="00A34B5C"/>
    <w:pPr>
      <w:keepNext/>
      <w:keepLines/>
      <w:tabs>
        <w:tab w:val="left" w:pos="567"/>
      </w:tabs>
      <w:spacing w:before="120" w:after="80" w:line="260" w:lineRule="exact"/>
      <w:outlineLvl w:val="2"/>
    </w:pPr>
    <w:rPr>
      <w:rFonts w:ascii="Times New Roman" w:eastAsia="Calibri" w:hAnsi="Times New Roman" w:cs="Times New Roman"/>
      <w:b/>
      <w:kern w:val="28"/>
      <w:sz w:val="20"/>
      <w:szCs w:val="20"/>
      <w:lang w:val="x-none" w:eastAsia="x-none"/>
    </w:rPr>
  </w:style>
  <w:style w:type="paragraph" w:styleId="Antrat4">
    <w:name w:val="heading 4"/>
    <w:basedOn w:val="prastasis"/>
    <w:next w:val="prastasis"/>
    <w:link w:val="Antrat4Diagrama"/>
    <w:uiPriority w:val="99"/>
    <w:qFormat/>
    <w:rsid w:val="00A34B5C"/>
    <w:pPr>
      <w:keepNext/>
      <w:tabs>
        <w:tab w:val="left" w:pos="567"/>
      </w:tabs>
      <w:spacing w:after="0" w:line="260" w:lineRule="exact"/>
      <w:jc w:val="both"/>
      <w:outlineLvl w:val="3"/>
    </w:pPr>
    <w:rPr>
      <w:rFonts w:ascii="Times New Roman" w:eastAsia="Calibri" w:hAnsi="Times New Roman" w:cs="Times New Roman"/>
      <w:b/>
      <w:noProof/>
      <w:sz w:val="20"/>
      <w:szCs w:val="20"/>
      <w:lang w:val="cs-CZ" w:eastAsia="x-none"/>
    </w:rPr>
  </w:style>
  <w:style w:type="paragraph" w:styleId="Antrat5">
    <w:name w:val="heading 5"/>
    <w:basedOn w:val="prastasis"/>
    <w:next w:val="prastasis"/>
    <w:link w:val="Antrat5Diagrama"/>
    <w:uiPriority w:val="99"/>
    <w:qFormat/>
    <w:rsid w:val="00A34B5C"/>
    <w:pPr>
      <w:keepNext/>
      <w:tabs>
        <w:tab w:val="left" w:pos="567"/>
      </w:tabs>
      <w:spacing w:after="0" w:line="260" w:lineRule="exact"/>
      <w:jc w:val="both"/>
      <w:outlineLvl w:val="4"/>
    </w:pPr>
    <w:rPr>
      <w:rFonts w:ascii="Times New Roman" w:eastAsia="Calibri" w:hAnsi="Times New Roman" w:cs="Times New Roman"/>
      <w:noProof/>
      <w:sz w:val="20"/>
      <w:szCs w:val="20"/>
      <w:lang w:val="cs-CZ" w:eastAsia="x-none"/>
    </w:rPr>
  </w:style>
  <w:style w:type="paragraph" w:styleId="Antrat6">
    <w:name w:val="heading 6"/>
    <w:basedOn w:val="prastasis"/>
    <w:next w:val="prastasis"/>
    <w:link w:val="Antrat6Diagrama"/>
    <w:uiPriority w:val="99"/>
    <w:qFormat/>
    <w:rsid w:val="00A34B5C"/>
    <w:pPr>
      <w:keepNext/>
      <w:tabs>
        <w:tab w:val="left" w:pos="-720"/>
        <w:tab w:val="left" w:pos="567"/>
        <w:tab w:val="left" w:pos="4536"/>
      </w:tabs>
      <w:suppressAutoHyphens/>
      <w:spacing w:after="0" w:line="260" w:lineRule="exact"/>
      <w:outlineLvl w:val="5"/>
    </w:pPr>
    <w:rPr>
      <w:rFonts w:ascii="Times New Roman" w:eastAsia="Calibri" w:hAnsi="Times New Roman" w:cs="Times New Roman"/>
      <w:i/>
      <w:sz w:val="20"/>
      <w:szCs w:val="20"/>
      <w:lang w:val="cs-CZ" w:eastAsia="x-none"/>
    </w:rPr>
  </w:style>
  <w:style w:type="paragraph" w:styleId="Antrat7">
    <w:name w:val="heading 7"/>
    <w:basedOn w:val="prastasis"/>
    <w:next w:val="prastasis"/>
    <w:link w:val="Antrat7Diagrama"/>
    <w:uiPriority w:val="99"/>
    <w:qFormat/>
    <w:rsid w:val="00A34B5C"/>
    <w:pPr>
      <w:keepNext/>
      <w:tabs>
        <w:tab w:val="left" w:pos="-720"/>
        <w:tab w:val="left" w:pos="567"/>
        <w:tab w:val="left" w:pos="4536"/>
      </w:tabs>
      <w:suppressAutoHyphens/>
      <w:spacing w:after="0" w:line="260" w:lineRule="exact"/>
      <w:jc w:val="both"/>
      <w:outlineLvl w:val="6"/>
    </w:pPr>
    <w:rPr>
      <w:rFonts w:ascii="Times New Roman" w:eastAsia="Calibri" w:hAnsi="Times New Roman" w:cs="Times New Roman"/>
      <w:i/>
      <w:sz w:val="20"/>
      <w:szCs w:val="20"/>
      <w:lang w:val="cs-CZ" w:eastAsia="x-none"/>
    </w:rPr>
  </w:style>
  <w:style w:type="paragraph" w:styleId="Antrat8">
    <w:name w:val="heading 8"/>
    <w:basedOn w:val="prastasis"/>
    <w:next w:val="prastasis"/>
    <w:link w:val="Antrat8Diagrama"/>
    <w:uiPriority w:val="99"/>
    <w:qFormat/>
    <w:rsid w:val="00A34B5C"/>
    <w:pPr>
      <w:keepNext/>
      <w:tabs>
        <w:tab w:val="left" w:pos="567"/>
      </w:tabs>
      <w:spacing w:after="0" w:line="260" w:lineRule="exact"/>
      <w:ind w:left="567" w:hanging="567"/>
      <w:jc w:val="both"/>
      <w:outlineLvl w:val="7"/>
    </w:pPr>
    <w:rPr>
      <w:rFonts w:ascii="Times New Roman" w:eastAsia="Calibri" w:hAnsi="Times New Roman" w:cs="Times New Roman"/>
      <w:b/>
      <w:i/>
      <w:sz w:val="20"/>
      <w:szCs w:val="20"/>
      <w:lang w:val="cs-CZ" w:eastAsia="x-none"/>
    </w:rPr>
  </w:style>
  <w:style w:type="paragraph" w:styleId="Antrat9">
    <w:name w:val="heading 9"/>
    <w:basedOn w:val="prastasis"/>
    <w:next w:val="prastasis"/>
    <w:link w:val="Antrat9Diagrama"/>
    <w:uiPriority w:val="99"/>
    <w:qFormat/>
    <w:rsid w:val="00A34B5C"/>
    <w:pPr>
      <w:keepNext/>
      <w:tabs>
        <w:tab w:val="left" w:pos="567"/>
      </w:tabs>
      <w:spacing w:after="0" w:line="260" w:lineRule="exact"/>
      <w:jc w:val="both"/>
      <w:outlineLvl w:val="8"/>
    </w:pPr>
    <w:rPr>
      <w:rFonts w:ascii="Times New Roman" w:eastAsia="Calibri" w:hAnsi="Times New Roman" w:cs="Times New Roman"/>
      <w:b/>
      <w:i/>
      <w:sz w:val="20"/>
      <w:szCs w:val="20"/>
      <w:lang w:val="cs-CZ"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A34B5C"/>
    <w:rPr>
      <w:rFonts w:ascii="Times New Roman" w:eastAsia="Calibri" w:hAnsi="Times New Roman" w:cs="Times New Roman"/>
      <w:b/>
      <w:caps/>
      <w:sz w:val="20"/>
      <w:szCs w:val="20"/>
      <w:lang w:val="x-none" w:eastAsia="x-none"/>
    </w:rPr>
  </w:style>
  <w:style w:type="character" w:customStyle="1" w:styleId="Antrat2Diagrama">
    <w:name w:val="Antraštė 2 Diagrama"/>
    <w:basedOn w:val="Numatytasispastraiposriftas"/>
    <w:link w:val="Antrat2"/>
    <w:uiPriority w:val="99"/>
    <w:rsid w:val="00A34B5C"/>
    <w:rPr>
      <w:rFonts w:ascii="Helvetica" w:eastAsia="Calibri" w:hAnsi="Helvetica" w:cs="Times New Roman"/>
      <w:b/>
      <w:i/>
      <w:sz w:val="20"/>
      <w:szCs w:val="20"/>
      <w:lang w:val="cs-CZ" w:eastAsia="x-none"/>
    </w:rPr>
  </w:style>
  <w:style w:type="character" w:customStyle="1" w:styleId="Antrat3Diagrama">
    <w:name w:val="Antraštė 3 Diagrama"/>
    <w:basedOn w:val="Numatytasispastraiposriftas"/>
    <w:link w:val="Antrat3"/>
    <w:uiPriority w:val="99"/>
    <w:rsid w:val="00A34B5C"/>
    <w:rPr>
      <w:rFonts w:ascii="Times New Roman" w:eastAsia="Calibri" w:hAnsi="Times New Roman" w:cs="Times New Roman"/>
      <w:b/>
      <w:kern w:val="28"/>
      <w:sz w:val="20"/>
      <w:szCs w:val="20"/>
      <w:lang w:val="x-none" w:eastAsia="x-none"/>
    </w:rPr>
  </w:style>
  <w:style w:type="character" w:customStyle="1" w:styleId="Antrat4Diagrama">
    <w:name w:val="Antraštė 4 Diagrama"/>
    <w:basedOn w:val="Numatytasispastraiposriftas"/>
    <w:link w:val="Antrat4"/>
    <w:uiPriority w:val="99"/>
    <w:rsid w:val="00A34B5C"/>
    <w:rPr>
      <w:rFonts w:ascii="Times New Roman" w:eastAsia="Calibri" w:hAnsi="Times New Roman" w:cs="Times New Roman"/>
      <w:b/>
      <w:noProof/>
      <w:sz w:val="20"/>
      <w:szCs w:val="20"/>
      <w:lang w:val="cs-CZ" w:eastAsia="x-none"/>
    </w:rPr>
  </w:style>
  <w:style w:type="character" w:customStyle="1" w:styleId="Antrat5Diagrama">
    <w:name w:val="Antraštė 5 Diagrama"/>
    <w:basedOn w:val="Numatytasispastraiposriftas"/>
    <w:link w:val="Antrat5"/>
    <w:uiPriority w:val="99"/>
    <w:rsid w:val="00A34B5C"/>
    <w:rPr>
      <w:rFonts w:ascii="Times New Roman" w:eastAsia="Calibri" w:hAnsi="Times New Roman" w:cs="Times New Roman"/>
      <w:noProof/>
      <w:sz w:val="20"/>
      <w:szCs w:val="20"/>
      <w:lang w:val="cs-CZ" w:eastAsia="x-none"/>
    </w:rPr>
  </w:style>
  <w:style w:type="character" w:customStyle="1" w:styleId="Antrat6Diagrama">
    <w:name w:val="Antraštė 6 Diagrama"/>
    <w:basedOn w:val="Numatytasispastraiposriftas"/>
    <w:link w:val="Antrat6"/>
    <w:uiPriority w:val="99"/>
    <w:rsid w:val="00A34B5C"/>
    <w:rPr>
      <w:rFonts w:ascii="Times New Roman" w:eastAsia="Calibri" w:hAnsi="Times New Roman" w:cs="Times New Roman"/>
      <w:i/>
      <w:sz w:val="20"/>
      <w:szCs w:val="20"/>
      <w:lang w:val="cs-CZ" w:eastAsia="x-none"/>
    </w:rPr>
  </w:style>
  <w:style w:type="character" w:customStyle="1" w:styleId="Antrat7Diagrama">
    <w:name w:val="Antraštė 7 Diagrama"/>
    <w:basedOn w:val="Numatytasispastraiposriftas"/>
    <w:link w:val="Antrat7"/>
    <w:uiPriority w:val="99"/>
    <w:rsid w:val="00A34B5C"/>
    <w:rPr>
      <w:rFonts w:ascii="Times New Roman" w:eastAsia="Calibri" w:hAnsi="Times New Roman" w:cs="Times New Roman"/>
      <w:i/>
      <w:sz w:val="20"/>
      <w:szCs w:val="20"/>
      <w:lang w:val="cs-CZ" w:eastAsia="x-none"/>
    </w:rPr>
  </w:style>
  <w:style w:type="character" w:customStyle="1" w:styleId="Antrat8Diagrama">
    <w:name w:val="Antraštė 8 Diagrama"/>
    <w:basedOn w:val="Numatytasispastraiposriftas"/>
    <w:link w:val="Antrat8"/>
    <w:uiPriority w:val="99"/>
    <w:rsid w:val="00A34B5C"/>
    <w:rPr>
      <w:rFonts w:ascii="Times New Roman" w:eastAsia="Calibri" w:hAnsi="Times New Roman" w:cs="Times New Roman"/>
      <w:b/>
      <w:i/>
      <w:sz w:val="20"/>
      <w:szCs w:val="20"/>
      <w:lang w:val="cs-CZ" w:eastAsia="x-none"/>
    </w:rPr>
  </w:style>
  <w:style w:type="character" w:customStyle="1" w:styleId="Antrat9Diagrama">
    <w:name w:val="Antraštė 9 Diagrama"/>
    <w:basedOn w:val="Numatytasispastraiposriftas"/>
    <w:link w:val="Antrat9"/>
    <w:uiPriority w:val="99"/>
    <w:rsid w:val="00A34B5C"/>
    <w:rPr>
      <w:rFonts w:ascii="Times New Roman" w:eastAsia="Calibri" w:hAnsi="Times New Roman" w:cs="Times New Roman"/>
      <w:b/>
      <w:i/>
      <w:sz w:val="20"/>
      <w:szCs w:val="20"/>
      <w:lang w:val="cs-CZ" w:eastAsia="x-none"/>
    </w:rPr>
  </w:style>
  <w:style w:type="numbering" w:customStyle="1" w:styleId="NoList1">
    <w:name w:val="No List1"/>
    <w:next w:val="Sraonra"/>
    <w:uiPriority w:val="99"/>
    <w:semiHidden/>
    <w:unhideWhenUsed/>
    <w:rsid w:val="00A34B5C"/>
  </w:style>
  <w:style w:type="numbering" w:customStyle="1" w:styleId="NoList11">
    <w:name w:val="No List11"/>
    <w:next w:val="Sraonra"/>
    <w:uiPriority w:val="99"/>
    <w:semiHidden/>
    <w:unhideWhenUsed/>
    <w:rsid w:val="00A34B5C"/>
  </w:style>
  <w:style w:type="numbering" w:customStyle="1" w:styleId="NoList111">
    <w:name w:val="No List111"/>
    <w:next w:val="Sraonra"/>
    <w:uiPriority w:val="99"/>
    <w:semiHidden/>
    <w:unhideWhenUsed/>
    <w:rsid w:val="00A34B5C"/>
  </w:style>
  <w:style w:type="character" w:customStyle="1" w:styleId="PagrindiniotekstotraukaDiagrama">
    <w:name w:val="Pagrindinio teksto įtrauka Diagrama"/>
    <w:link w:val="Pagrindiniotekstotrauka"/>
    <w:uiPriority w:val="99"/>
    <w:locked/>
    <w:rsid w:val="00A34B5C"/>
    <w:rPr>
      <w:rFonts w:ascii="Times New Roman" w:hAnsi="Times New Roman" w:cs="Times New Roman"/>
      <w:b/>
      <w:color w:val="808080"/>
      <w:sz w:val="20"/>
      <w:szCs w:val="20"/>
      <w:lang w:val="cs-CZ" w:eastAsia="x-none"/>
    </w:rPr>
  </w:style>
  <w:style w:type="paragraph" w:customStyle="1" w:styleId="BodyTextIndent1">
    <w:name w:val="Body Text Indent1"/>
    <w:basedOn w:val="prastasis"/>
    <w:next w:val="Pagrindiniotekstotrauka"/>
    <w:uiPriority w:val="99"/>
    <w:rsid w:val="00A34B5C"/>
    <w:pPr>
      <w:spacing w:after="0" w:line="240" w:lineRule="auto"/>
      <w:ind w:left="567" w:hanging="567"/>
    </w:pPr>
    <w:rPr>
      <w:rFonts w:ascii="Times New Roman" w:hAnsi="Times New Roman" w:cs="Times New Roman"/>
      <w:b/>
      <w:color w:val="808080"/>
      <w:sz w:val="20"/>
      <w:szCs w:val="20"/>
      <w:lang w:val="cs-CZ" w:eastAsia="x-none"/>
    </w:rPr>
  </w:style>
  <w:style w:type="character" w:customStyle="1" w:styleId="BodyTextIndentChar1">
    <w:name w:val="Body Text Indent Char1"/>
    <w:basedOn w:val="Numatytasispastraiposriftas"/>
    <w:uiPriority w:val="99"/>
    <w:semiHidden/>
    <w:rsid w:val="00A34B5C"/>
    <w:rPr>
      <w:rFonts w:ascii="Calibri" w:eastAsia="Calibri" w:hAnsi="Calibri" w:cs="Times New Roman"/>
    </w:rPr>
  </w:style>
  <w:style w:type="paragraph" w:styleId="Pagrindinistekstas">
    <w:name w:val="Body Text"/>
    <w:basedOn w:val="prastasis"/>
    <w:link w:val="PagrindinistekstasDiagrama"/>
    <w:uiPriority w:val="99"/>
    <w:rsid w:val="00A34B5C"/>
    <w:pPr>
      <w:tabs>
        <w:tab w:val="left" w:pos="567"/>
      </w:tabs>
      <w:spacing w:after="0" w:line="260" w:lineRule="exact"/>
    </w:pPr>
    <w:rPr>
      <w:rFonts w:ascii="Times New Roman" w:eastAsia="Calibri" w:hAnsi="Times New Roman" w:cs="Times New Roman"/>
      <w:b/>
      <w:i/>
      <w:sz w:val="20"/>
      <w:szCs w:val="20"/>
      <w:lang w:val="cs-CZ" w:eastAsia="x-none"/>
    </w:rPr>
  </w:style>
  <w:style w:type="character" w:customStyle="1" w:styleId="PagrindinistekstasDiagrama">
    <w:name w:val="Pagrindinis tekstas Diagrama"/>
    <w:basedOn w:val="Numatytasispastraiposriftas"/>
    <w:link w:val="Pagrindinistekstas"/>
    <w:uiPriority w:val="99"/>
    <w:rsid w:val="00A34B5C"/>
    <w:rPr>
      <w:rFonts w:ascii="Times New Roman" w:eastAsia="Calibri" w:hAnsi="Times New Roman" w:cs="Times New Roman"/>
      <w:b/>
      <w:i/>
      <w:sz w:val="20"/>
      <w:szCs w:val="20"/>
      <w:lang w:val="cs-CZ" w:eastAsia="x-none"/>
    </w:rPr>
  </w:style>
  <w:style w:type="character" w:customStyle="1" w:styleId="Pagrindiniotekstotrauka2Diagrama">
    <w:name w:val="Pagrindinio teksto įtrauka 2 Diagrama"/>
    <w:link w:val="Pagrindiniotekstotrauka2"/>
    <w:uiPriority w:val="99"/>
    <w:locked/>
    <w:rsid w:val="00A34B5C"/>
    <w:rPr>
      <w:rFonts w:ascii="Times New Roman" w:hAnsi="Times New Roman" w:cs="Times New Roman"/>
      <w:b/>
      <w:sz w:val="20"/>
      <w:szCs w:val="20"/>
      <w:lang w:val="cs-CZ" w:eastAsia="x-none"/>
    </w:rPr>
  </w:style>
  <w:style w:type="paragraph" w:customStyle="1" w:styleId="BodyTextIndent21">
    <w:name w:val="Body Text Indent 21"/>
    <w:basedOn w:val="prastasis"/>
    <w:next w:val="Pagrindiniotekstotrauka2"/>
    <w:uiPriority w:val="99"/>
    <w:rsid w:val="00A34B5C"/>
    <w:pPr>
      <w:tabs>
        <w:tab w:val="left" w:pos="567"/>
      </w:tabs>
      <w:spacing w:after="0" w:line="260" w:lineRule="exact"/>
      <w:ind w:left="567" w:hanging="567"/>
      <w:jc w:val="both"/>
    </w:pPr>
    <w:rPr>
      <w:rFonts w:ascii="Times New Roman" w:hAnsi="Times New Roman" w:cs="Times New Roman"/>
      <w:b/>
      <w:sz w:val="20"/>
      <w:szCs w:val="20"/>
      <w:lang w:val="cs-CZ" w:eastAsia="x-none"/>
    </w:rPr>
  </w:style>
  <w:style w:type="character" w:customStyle="1" w:styleId="BodyTextIndent2Char1">
    <w:name w:val="Body Text Indent 2 Char1"/>
    <w:basedOn w:val="Numatytasispastraiposriftas"/>
    <w:uiPriority w:val="99"/>
    <w:semiHidden/>
    <w:rsid w:val="00A34B5C"/>
    <w:rPr>
      <w:rFonts w:ascii="Calibri" w:eastAsia="Calibri" w:hAnsi="Calibri" w:cs="Times New Roman"/>
    </w:rPr>
  </w:style>
  <w:style w:type="character" w:customStyle="1" w:styleId="Pagrindiniotekstotrauka3Diagrama">
    <w:name w:val="Pagrindinio teksto įtrauka 3 Diagrama"/>
    <w:link w:val="Pagrindiniotekstotrauka3"/>
    <w:uiPriority w:val="99"/>
    <w:locked/>
    <w:rsid w:val="00A34B5C"/>
    <w:rPr>
      <w:rFonts w:ascii="Times New Roman" w:hAnsi="Times New Roman" w:cs="Times New Roman"/>
      <w:i/>
      <w:color w:val="008000"/>
      <w:sz w:val="20"/>
      <w:szCs w:val="20"/>
      <w:lang w:val="cs-CZ" w:eastAsia="x-none"/>
    </w:rPr>
  </w:style>
  <w:style w:type="paragraph" w:customStyle="1" w:styleId="BodyTextIndent31">
    <w:name w:val="Body Text Indent 31"/>
    <w:basedOn w:val="prastasis"/>
    <w:next w:val="Pagrindiniotekstotrauka3"/>
    <w:uiPriority w:val="99"/>
    <w:rsid w:val="00A34B5C"/>
    <w:pPr>
      <w:tabs>
        <w:tab w:val="left" w:pos="567"/>
      </w:tabs>
      <w:spacing w:after="0" w:line="260" w:lineRule="exact"/>
      <w:ind w:left="567" w:hanging="567"/>
    </w:pPr>
    <w:rPr>
      <w:rFonts w:ascii="Times New Roman" w:hAnsi="Times New Roman" w:cs="Times New Roman"/>
      <w:i/>
      <w:color w:val="008000"/>
      <w:sz w:val="20"/>
      <w:szCs w:val="20"/>
      <w:lang w:val="cs-CZ" w:eastAsia="x-none"/>
    </w:rPr>
  </w:style>
  <w:style w:type="character" w:customStyle="1" w:styleId="BodyTextIndent3Char1">
    <w:name w:val="Body Text Indent 3 Char1"/>
    <w:basedOn w:val="Numatytasispastraiposriftas"/>
    <w:uiPriority w:val="99"/>
    <w:semiHidden/>
    <w:rsid w:val="00A34B5C"/>
    <w:rPr>
      <w:rFonts w:ascii="Calibri" w:eastAsia="Calibri" w:hAnsi="Calibri" w:cs="Times New Roman"/>
      <w:sz w:val="16"/>
      <w:szCs w:val="16"/>
    </w:rPr>
  </w:style>
  <w:style w:type="paragraph" w:styleId="Porat">
    <w:name w:val="footer"/>
    <w:basedOn w:val="prastasis"/>
    <w:link w:val="PoratDiagrama"/>
    <w:uiPriority w:val="99"/>
    <w:rsid w:val="00A34B5C"/>
    <w:pPr>
      <w:tabs>
        <w:tab w:val="left" w:pos="567"/>
        <w:tab w:val="center" w:pos="4536"/>
        <w:tab w:val="center" w:pos="8930"/>
      </w:tabs>
      <w:spacing w:after="0" w:line="240" w:lineRule="auto"/>
    </w:pPr>
    <w:rPr>
      <w:rFonts w:ascii="Helvetica" w:eastAsia="Calibri" w:hAnsi="Helvetica" w:cs="Times New Roman"/>
      <w:sz w:val="20"/>
      <w:szCs w:val="20"/>
      <w:lang w:val="cs-CZ" w:eastAsia="x-none"/>
    </w:rPr>
  </w:style>
  <w:style w:type="character" w:customStyle="1" w:styleId="PoratDiagrama">
    <w:name w:val="Poraštė Diagrama"/>
    <w:basedOn w:val="Numatytasispastraiposriftas"/>
    <w:link w:val="Porat"/>
    <w:uiPriority w:val="99"/>
    <w:rsid w:val="00A34B5C"/>
    <w:rPr>
      <w:rFonts w:ascii="Helvetica" w:eastAsia="Calibri" w:hAnsi="Helvetica" w:cs="Times New Roman"/>
      <w:sz w:val="20"/>
      <w:szCs w:val="20"/>
      <w:lang w:val="cs-CZ" w:eastAsia="x-none"/>
    </w:rPr>
  </w:style>
  <w:style w:type="character" w:styleId="Puslapionumeris">
    <w:name w:val="page number"/>
    <w:uiPriority w:val="99"/>
    <w:rsid w:val="00A34B5C"/>
    <w:rPr>
      <w:rFonts w:cs="Times New Roman"/>
    </w:rPr>
  </w:style>
  <w:style w:type="paragraph" w:styleId="Antrats">
    <w:name w:val="header"/>
    <w:basedOn w:val="prastasis"/>
    <w:link w:val="AntratsDiagrama"/>
    <w:uiPriority w:val="99"/>
    <w:rsid w:val="00A34B5C"/>
    <w:pPr>
      <w:tabs>
        <w:tab w:val="left" w:pos="567"/>
        <w:tab w:val="center" w:pos="4153"/>
        <w:tab w:val="right" w:pos="8306"/>
      </w:tabs>
      <w:spacing w:after="0" w:line="240" w:lineRule="auto"/>
    </w:pPr>
    <w:rPr>
      <w:rFonts w:ascii="Helvetica" w:eastAsia="Calibri" w:hAnsi="Helvetica" w:cs="Times New Roman"/>
      <w:sz w:val="20"/>
      <w:szCs w:val="20"/>
      <w:lang w:val="cs-CZ" w:eastAsia="x-none"/>
    </w:rPr>
  </w:style>
  <w:style w:type="character" w:customStyle="1" w:styleId="AntratsDiagrama">
    <w:name w:val="Antraštės Diagrama"/>
    <w:basedOn w:val="Numatytasispastraiposriftas"/>
    <w:link w:val="Antrats"/>
    <w:uiPriority w:val="99"/>
    <w:rsid w:val="00A34B5C"/>
    <w:rPr>
      <w:rFonts w:ascii="Helvetica" w:eastAsia="Calibri" w:hAnsi="Helvetica" w:cs="Times New Roman"/>
      <w:sz w:val="20"/>
      <w:szCs w:val="20"/>
      <w:lang w:val="cs-CZ" w:eastAsia="x-none"/>
    </w:rPr>
  </w:style>
  <w:style w:type="character" w:customStyle="1" w:styleId="Pagrindinistekstas2Diagrama">
    <w:name w:val="Pagrindinis tekstas 2 Diagrama"/>
    <w:link w:val="Pagrindinistekstas2"/>
    <w:uiPriority w:val="99"/>
    <w:locked/>
    <w:rsid w:val="00A34B5C"/>
    <w:rPr>
      <w:rFonts w:ascii="Times New Roman" w:hAnsi="Times New Roman" w:cs="Times New Roman"/>
      <w:b/>
      <w:sz w:val="20"/>
      <w:szCs w:val="20"/>
      <w:lang w:val="cs-CZ" w:eastAsia="x-none"/>
    </w:rPr>
  </w:style>
  <w:style w:type="paragraph" w:customStyle="1" w:styleId="BodyText21">
    <w:name w:val="Body Text 21"/>
    <w:basedOn w:val="prastasis"/>
    <w:next w:val="Pagrindinistekstas2"/>
    <w:uiPriority w:val="99"/>
    <w:rsid w:val="00A34B5C"/>
    <w:pPr>
      <w:spacing w:after="0" w:line="240" w:lineRule="auto"/>
      <w:ind w:left="567" w:hanging="567"/>
    </w:pPr>
    <w:rPr>
      <w:rFonts w:ascii="Times New Roman" w:hAnsi="Times New Roman" w:cs="Times New Roman"/>
      <w:b/>
      <w:sz w:val="20"/>
      <w:szCs w:val="20"/>
      <w:lang w:val="cs-CZ" w:eastAsia="x-none"/>
    </w:rPr>
  </w:style>
  <w:style w:type="character" w:customStyle="1" w:styleId="BodyText2Char1">
    <w:name w:val="Body Text 2 Char1"/>
    <w:basedOn w:val="Numatytasispastraiposriftas"/>
    <w:uiPriority w:val="99"/>
    <w:semiHidden/>
    <w:rsid w:val="00A34B5C"/>
    <w:rPr>
      <w:rFonts w:ascii="Calibri" w:eastAsia="Calibri" w:hAnsi="Calibri" w:cs="Times New Roman"/>
    </w:rPr>
  </w:style>
  <w:style w:type="character" w:customStyle="1" w:styleId="Pagrindinistekstas3Diagrama">
    <w:name w:val="Pagrindinis tekstas 3 Diagrama"/>
    <w:link w:val="Pagrindinistekstas3"/>
    <w:uiPriority w:val="99"/>
    <w:locked/>
    <w:rsid w:val="00A34B5C"/>
    <w:rPr>
      <w:rFonts w:ascii="Times New Roman" w:hAnsi="Times New Roman" w:cs="Times New Roman"/>
      <w:b/>
      <w:i/>
      <w:sz w:val="20"/>
      <w:szCs w:val="20"/>
      <w:lang w:val="cs-CZ" w:eastAsia="x-none"/>
    </w:rPr>
  </w:style>
  <w:style w:type="paragraph" w:customStyle="1" w:styleId="BodyText31">
    <w:name w:val="Body Text 31"/>
    <w:basedOn w:val="prastasis"/>
    <w:next w:val="Pagrindinistekstas3"/>
    <w:uiPriority w:val="99"/>
    <w:rsid w:val="00A34B5C"/>
    <w:pPr>
      <w:tabs>
        <w:tab w:val="left" w:pos="567"/>
      </w:tabs>
      <w:spacing w:after="0" w:line="260" w:lineRule="exact"/>
      <w:jc w:val="both"/>
    </w:pPr>
    <w:rPr>
      <w:rFonts w:ascii="Times New Roman" w:hAnsi="Times New Roman" w:cs="Times New Roman"/>
      <w:b/>
      <w:i/>
      <w:sz w:val="20"/>
      <w:szCs w:val="20"/>
      <w:lang w:val="cs-CZ" w:eastAsia="x-none"/>
    </w:rPr>
  </w:style>
  <w:style w:type="character" w:customStyle="1" w:styleId="BodyText3Char1">
    <w:name w:val="Body Text 3 Char1"/>
    <w:basedOn w:val="Numatytasispastraiposriftas"/>
    <w:uiPriority w:val="99"/>
    <w:semiHidden/>
    <w:rsid w:val="00A34B5C"/>
    <w:rPr>
      <w:rFonts w:ascii="Calibri" w:eastAsia="Calibri" w:hAnsi="Calibri" w:cs="Times New Roman"/>
      <w:sz w:val="16"/>
      <w:szCs w:val="16"/>
    </w:rPr>
  </w:style>
  <w:style w:type="paragraph" w:styleId="Pavadinimas">
    <w:name w:val="Title"/>
    <w:basedOn w:val="prastasis"/>
    <w:link w:val="PavadinimasDiagrama"/>
    <w:uiPriority w:val="99"/>
    <w:qFormat/>
    <w:rsid w:val="00A34B5C"/>
    <w:pPr>
      <w:spacing w:after="0" w:line="240" w:lineRule="auto"/>
      <w:jc w:val="center"/>
    </w:pPr>
    <w:rPr>
      <w:rFonts w:ascii="Times New Roman" w:eastAsia="Calibri" w:hAnsi="Times New Roman" w:cs="Times New Roman"/>
      <w:b/>
      <w:sz w:val="20"/>
      <w:szCs w:val="20"/>
      <w:lang w:val="en-GB" w:eastAsia="x-none"/>
    </w:rPr>
  </w:style>
  <w:style w:type="character" w:customStyle="1" w:styleId="PavadinimasDiagrama">
    <w:name w:val="Pavadinimas Diagrama"/>
    <w:basedOn w:val="Numatytasispastraiposriftas"/>
    <w:link w:val="Pavadinimas"/>
    <w:uiPriority w:val="99"/>
    <w:rsid w:val="00A34B5C"/>
    <w:rPr>
      <w:rFonts w:ascii="Times New Roman" w:eastAsia="Calibri" w:hAnsi="Times New Roman" w:cs="Times New Roman"/>
      <w:b/>
      <w:sz w:val="20"/>
      <w:szCs w:val="20"/>
      <w:lang w:val="en-GB" w:eastAsia="x-none"/>
    </w:rPr>
  </w:style>
  <w:style w:type="character" w:customStyle="1" w:styleId="DebesliotekstasDiagrama">
    <w:name w:val="Debesėlio tekstas Diagrama"/>
    <w:link w:val="Debesliotekstas"/>
    <w:uiPriority w:val="99"/>
    <w:semiHidden/>
    <w:locked/>
    <w:rsid w:val="00A34B5C"/>
    <w:rPr>
      <w:rFonts w:ascii="Tahoma" w:hAnsi="Tahoma" w:cs="Tahoma"/>
      <w:sz w:val="16"/>
      <w:szCs w:val="16"/>
      <w:lang w:val="lt-LT" w:eastAsia="x-none"/>
    </w:rPr>
  </w:style>
  <w:style w:type="paragraph" w:customStyle="1" w:styleId="BalloonText1">
    <w:name w:val="Balloon Text1"/>
    <w:basedOn w:val="prastasis"/>
    <w:next w:val="Debesliotekstas"/>
    <w:uiPriority w:val="99"/>
    <w:semiHidden/>
    <w:rsid w:val="00A34B5C"/>
    <w:pPr>
      <w:spacing w:after="0" w:line="240" w:lineRule="auto"/>
    </w:pPr>
    <w:rPr>
      <w:rFonts w:ascii="Tahoma" w:hAnsi="Tahoma" w:cs="Tahoma"/>
      <w:sz w:val="16"/>
      <w:szCs w:val="16"/>
      <w:lang w:val="lt-LT" w:eastAsia="x-none"/>
    </w:rPr>
  </w:style>
  <w:style w:type="character" w:customStyle="1" w:styleId="BalloonTextChar1">
    <w:name w:val="Balloon Text Char1"/>
    <w:basedOn w:val="Numatytasispastraiposriftas"/>
    <w:uiPriority w:val="99"/>
    <w:semiHidden/>
    <w:rsid w:val="00A34B5C"/>
    <w:rPr>
      <w:rFonts w:ascii="Tahoma" w:eastAsia="Calibri" w:hAnsi="Tahoma" w:cs="Tahoma"/>
      <w:sz w:val="16"/>
      <w:szCs w:val="16"/>
    </w:rPr>
  </w:style>
  <w:style w:type="character" w:customStyle="1" w:styleId="TextChar">
    <w:name w:val="Text Char"/>
    <w:link w:val="Text"/>
    <w:uiPriority w:val="99"/>
    <w:locked/>
    <w:rsid w:val="00A34B5C"/>
    <w:rPr>
      <w:rFonts w:cs="Times New Roman"/>
    </w:rPr>
  </w:style>
  <w:style w:type="paragraph" w:customStyle="1" w:styleId="Text">
    <w:name w:val="Text"/>
    <w:basedOn w:val="prastasis"/>
    <w:link w:val="TextChar"/>
    <w:uiPriority w:val="99"/>
    <w:rsid w:val="00A34B5C"/>
    <w:pPr>
      <w:spacing w:before="120" w:after="0" w:line="240" w:lineRule="auto"/>
      <w:jc w:val="both"/>
    </w:pPr>
    <w:rPr>
      <w:rFonts w:cs="Times New Roman"/>
    </w:rPr>
  </w:style>
  <w:style w:type="paragraph" w:customStyle="1" w:styleId="PI-3EMEASMCA">
    <w:name w:val="PI-3 EMEA_SMCA"/>
    <w:basedOn w:val="prastasis"/>
    <w:autoRedefine/>
    <w:uiPriority w:val="99"/>
    <w:rsid w:val="00A34B5C"/>
    <w:pPr>
      <w:spacing w:after="0" w:line="220" w:lineRule="exact"/>
    </w:pPr>
    <w:rPr>
      <w:rFonts w:ascii="Times New Roman" w:eastAsia="Calibri" w:hAnsi="Times New Roman" w:cs="Times New Roman"/>
      <w:b/>
      <w:bCs/>
      <w:lang w:val="lt-LT"/>
    </w:rPr>
  </w:style>
  <w:style w:type="paragraph" w:customStyle="1" w:styleId="Table">
    <w:name w:val="Table"/>
    <w:aliases w:val="9 pt"/>
    <w:basedOn w:val="prastasis"/>
    <w:link w:val="TableChar"/>
    <w:uiPriority w:val="99"/>
    <w:rsid w:val="00A34B5C"/>
    <w:pPr>
      <w:keepLines/>
      <w:widowControl w:val="0"/>
      <w:tabs>
        <w:tab w:val="left" w:pos="284"/>
      </w:tabs>
      <w:adjustRightInd w:val="0"/>
      <w:spacing w:before="40" w:after="20" w:line="240" w:lineRule="auto"/>
      <w:jc w:val="both"/>
      <w:textAlignment w:val="baseline"/>
    </w:pPr>
    <w:rPr>
      <w:rFonts w:ascii="Arial" w:eastAsia="Calibri" w:hAnsi="Arial" w:cs="Times New Roman"/>
      <w:sz w:val="20"/>
      <w:szCs w:val="20"/>
      <w:lang w:val="x-none" w:eastAsia="x-none"/>
    </w:rPr>
  </w:style>
  <w:style w:type="character" w:customStyle="1" w:styleId="TableChar">
    <w:name w:val="Table Char"/>
    <w:link w:val="Table"/>
    <w:uiPriority w:val="99"/>
    <w:locked/>
    <w:rsid w:val="00A34B5C"/>
    <w:rPr>
      <w:rFonts w:ascii="Arial" w:eastAsia="Calibri" w:hAnsi="Arial" w:cs="Times New Roman"/>
      <w:sz w:val="20"/>
      <w:szCs w:val="20"/>
      <w:lang w:val="x-none" w:eastAsia="x-none"/>
    </w:rPr>
  </w:style>
  <w:style w:type="character" w:customStyle="1" w:styleId="CommentTextChar">
    <w:name w:val="Comment Text Char"/>
    <w:link w:val="CommentText1"/>
    <w:uiPriority w:val="99"/>
    <w:semiHidden/>
    <w:locked/>
    <w:rsid w:val="00A34B5C"/>
    <w:rPr>
      <w:rFonts w:ascii="Times New Roman" w:hAnsi="Times New Roman" w:cs="Times New Roman"/>
      <w:sz w:val="20"/>
      <w:szCs w:val="20"/>
      <w:lang w:val="lt-LT" w:eastAsia="x-none"/>
    </w:rPr>
  </w:style>
  <w:style w:type="paragraph" w:customStyle="1" w:styleId="CommentText1">
    <w:name w:val="Comment Text1"/>
    <w:basedOn w:val="prastasis"/>
    <w:next w:val="Komentarotekstas"/>
    <w:link w:val="CommentTextChar"/>
    <w:uiPriority w:val="99"/>
    <w:semiHidden/>
    <w:rsid w:val="00A34B5C"/>
    <w:pPr>
      <w:spacing w:after="0" w:line="240" w:lineRule="auto"/>
    </w:pPr>
    <w:rPr>
      <w:rFonts w:ascii="Times New Roman" w:hAnsi="Times New Roman" w:cs="Times New Roman"/>
      <w:sz w:val="20"/>
      <w:szCs w:val="20"/>
      <w:lang w:val="lt-LT" w:eastAsia="x-none"/>
    </w:rPr>
  </w:style>
  <w:style w:type="character" w:customStyle="1" w:styleId="CommentTextChar1">
    <w:name w:val="Comment Text Char1"/>
    <w:basedOn w:val="Numatytasispastraiposriftas"/>
    <w:uiPriority w:val="99"/>
    <w:semiHidden/>
    <w:rsid w:val="00A34B5C"/>
    <w:rPr>
      <w:rFonts w:ascii="Calibri" w:eastAsia="Calibri" w:hAnsi="Calibri" w:cs="Times New Roman"/>
      <w:sz w:val="20"/>
      <w:szCs w:val="20"/>
    </w:rPr>
  </w:style>
  <w:style w:type="character" w:customStyle="1" w:styleId="KomentarotemaDiagrama">
    <w:name w:val="Komentaro tema Diagrama"/>
    <w:link w:val="Komentarotema"/>
    <w:uiPriority w:val="99"/>
    <w:semiHidden/>
    <w:locked/>
    <w:rsid w:val="00A34B5C"/>
    <w:rPr>
      <w:rFonts w:ascii="Times New Roman" w:hAnsi="Times New Roman" w:cs="Times New Roman"/>
      <w:b/>
      <w:bCs/>
      <w:sz w:val="20"/>
      <w:szCs w:val="20"/>
      <w:lang w:val="lt-LT" w:eastAsia="x-none"/>
    </w:rPr>
  </w:style>
  <w:style w:type="paragraph" w:styleId="Komentarotekstas">
    <w:name w:val="annotation text"/>
    <w:basedOn w:val="prastasis"/>
    <w:link w:val="KomentarotekstasDiagrama"/>
    <w:uiPriority w:val="99"/>
    <w:semiHidden/>
    <w:unhideWhenUsed/>
    <w:rsid w:val="00A34B5C"/>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A34B5C"/>
    <w:rPr>
      <w:sz w:val="20"/>
      <w:szCs w:val="20"/>
    </w:rPr>
  </w:style>
  <w:style w:type="paragraph" w:styleId="Komentarotema">
    <w:name w:val="annotation subject"/>
    <w:basedOn w:val="Komentarotekstas"/>
    <w:next w:val="Komentarotekstas"/>
    <w:link w:val="KomentarotemaDiagrama"/>
    <w:uiPriority w:val="99"/>
    <w:semiHidden/>
    <w:rsid w:val="00A34B5C"/>
    <w:pPr>
      <w:spacing w:after="0"/>
    </w:pPr>
    <w:rPr>
      <w:rFonts w:ascii="Times New Roman" w:hAnsi="Times New Roman" w:cs="Times New Roman"/>
      <w:b/>
      <w:bCs/>
      <w:lang w:val="lt-LT" w:eastAsia="x-none"/>
    </w:rPr>
  </w:style>
  <w:style w:type="character" w:customStyle="1" w:styleId="CommentSubjectChar1">
    <w:name w:val="Comment Subject Char1"/>
    <w:basedOn w:val="KomentarotekstasDiagrama"/>
    <w:uiPriority w:val="99"/>
    <w:semiHidden/>
    <w:rsid w:val="00A34B5C"/>
    <w:rPr>
      <w:b/>
      <w:bCs/>
      <w:sz w:val="20"/>
      <w:szCs w:val="20"/>
    </w:rPr>
  </w:style>
  <w:style w:type="paragraph" w:styleId="Tekstoblokas">
    <w:name w:val="Block Text"/>
    <w:basedOn w:val="prastasis"/>
    <w:uiPriority w:val="99"/>
    <w:rsid w:val="00A34B5C"/>
    <w:pPr>
      <w:tabs>
        <w:tab w:val="left" w:pos="2657"/>
      </w:tabs>
      <w:spacing w:before="120" w:after="0" w:line="240" w:lineRule="auto"/>
      <w:ind w:left="-37" w:right="-28"/>
    </w:pPr>
    <w:rPr>
      <w:rFonts w:ascii="Times New Roman" w:eastAsia="Calibri" w:hAnsi="Times New Roman" w:cs="Times New Roman"/>
      <w:szCs w:val="20"/>
      <w:lang w:val="cs-CZ"/>
    </w:rPr>
  </w:style>
  <w:style w:type="character" w:styleId="Perirtashipersaitas">
    <w:name w:val="FollowedHyperlink"/>
    <w:uiPriority w:val="99"/>
    <w:rsid w:val="00A34B5C"/>
    <w:rPr>
      <w:rFonts w:cs="Times New Roman"/>
      <w:color w:val="800080"/>
      <w:u w:val="single"/>
    </w:rPr>
  </w:style>
  <w:style w:type="character" w:styleId="Hipersaitas">
    <w:name w:val="Hyperlink"/>
    <w:uiPriority w:val="99"/>
    <w:rsid w:val="00A34B5C"/>
    <w:rPr>
      <w:rFonts w:cs="Times New Roman"/>
      <w:color w:val="0000FF"/>
      <w:u w:val="single"/>
    </w:rPr>
  </w:style>
  <w:style w:type="paragraph" w:customStyle="1" w:styleId="CharCharCharCharCharCharCharCharCharCharCharCharCharCharCharChar1CharCharCharCharCharCharCharCharCharCharCharChar">
    <w:name w:val="Char Char Char Char Char Char Char Char Char Char Char Char Char Char Char Char1 Char Char Char Char Char Char Char Char Char Char Char Char"/>
    <w:basedOn w:val="prastasis"/>
    <w:uiPriority w:val="99"/>
    <w:rsid w:val="00A34B5C"/>
    <w:pPr>
      <w:spacing w:line="240" w:lineRule="exact"/>
    </w:pPr>
    <w:rPr>
      <w:rFonts w:ascii="Verdana" w:eastAsia="Calibri" w:hAnsi="Verdana" w:cs="Verdana"/>
      <w:sz w:val="20"/>
      <w:szCs w:val="20"/>
      <w:lang w:val="en-GB"/>
    </w:rPr>
  </w:style>
  <w:style w:type="character" w:styleId="Komentaronuoroda">
    <w:name w:val="annotation reference"/>
    <w:uiPriority w:val="99"/>
    <w:semiHidden/>
    <w:rsid w:val="00A34B5C"/>
    <w:rPr>
      <w:rFonts w:cs="Times New Roman"/>
      <w:sz w:val="16"/>
      <w:szCs w:val="16"/>
    </w:rPr>
  </w:style>
  <w:style w:type="paragraph" w:customStyle="1" w:styleId="Default">
    <w:name w:val="Default"/>
    <w:uiPriority w:val="99"/>
    <w:rsid w:val="00A34B5C"/>
    <w:pPr>
      <w:autoSpaceDE w:val="0"/>
      <w:autoSpaceDN w:val="0"/>
      <w:adjustRightInd w:val="0"/>
      <w:spacing w:after="0" w:line="240" w:lineRule="auto"/>
    </w:pPr>
    <w:rPr>
      <w:rFonts w:ascii="Times New Roman" w:eastAsia="Times New Roman" w:hAnsi="Times New Roman" w:cs="Times New Roman"/>
      <w:color w:val="000000"/>
      <w:sz w:val="24"/>
      <w:szCs w:val="24"/>
      <w:lang w:val="lt-LT" w:eastAsia="lt-LT"/>
    </w:rPr>
  </w:style>
  <w:style w:type="paragraph" w:customStyle="1" w:styleId="Comment">
    <w:name w:val="Comment"/>
    <w:basedOn w:val="prastasis"/>
    <w:next w:val="Text"/>
    <w:link w:val="CommentChar"/>
    <w:uiPriority w:val="99"/>
    <w:rsid w:val="00A34B5C"/>
    <w:pPr>
      <w:keepLines/>
      <w:spacing w:before="120" w:after="0" w:line="240" w:lineRule="auto"/>
      <w:jc w:val="both"/>
    </w:pPr>
    <w:rPr>
      <w:rFonts w:ascii="Calibri" w:eastAsia="MS Mincho" w:hAnsi="Calibri" w:cs="Times New Roman"/>
      <w:i/>
      <w:color w:val="BF30B5"/>
      <w:sz w:val="24"/>
      <w:szCs w:val="20"/>
      <w:lang w:val="x-none" w:eastAsia="ja-JP"/>
    </w:rPr>
  </w:style>
  <w:style w:type="character" w:customStyle="1" w:styleId="CommentChar">
    <w:name w:val="Comment Char"/>
    <w:link w:val="Comment"/>
    <w:uiPriority w:val="99"/>
    <w:locked/>
    <w:rsid w:val="00A34B5C"/>
    <w:rPr>
      <w:rFonts w:ascii="Calibri" w:eastAsia="MS Mincho" w:hAnsi="Calibri" w:cs="Times New Roman"/>
      <w:i/>
      <w:color w:val="BF30B5"/>
      <w:sz w:val="24"/>
      <w:szCs w:val="20"/>
      <w:lang w:val="x-none" w:eastAsia="ja-JP"/>
    </w:rPr>
  </w:style>
  <w:style w:type="paragraph" w:customStyle="1" w:styleId="Nottoc-headings">
    <w:name w:val="Not toc-headings"/>
    <w:basedOn w:val="prastasis"/>
    <w:next w:val="Text"/>
    <w:link w:val="Nottoc-headingsChar"/>
    <w:uiPriority w:val="99"/>
    <w:rsid w:val="00A34B5C"/>
    <w:pPr>
      <w:keepNext/>
      <w:keepLines/>
      <w:spacing w:before="240" w:after="60" w:line="240" w:lineRule="auto"/>
    </w:pPr>
    <w:rPr>
      <w:rFonts w:ascii="Arial" w:eastAsia="MS Gothic" w:hAnsi="Arial" w:cs="Times New Roman"/>
      <w:b/>
      <w:sz w:val="24"/>
      <w:szCs w:val="20"/>
      <w:lang w:val="x-none" w:eastAsia="ja-JP"/>
    </w:rPr>
  </w:style>
  <w:style w:type="character" w:customStyle="1" w:styleId="Nottoc-headingsChar">
    <w:name w:val="Not toc-headings Char"/>
    <w:link w:val="Nottoc-headings"/>
    <w:uiPriority w:val="99"/>
    <w:locked/>
    <w:rsid w:val="00A34B5C"/>
    <w:rPr>
      <w:rFonts w:ascii="Arial" w:eastAsia="MS Gothic" w:hAnsi="Arial" w:cs="Times New Roman"/>
      <w:b/>
      <w:sz w:val="24"/>
      <w:szCs w:val="20"/>
      <w:lang w:val="x-none" w:eastAsia="ja-JP"/>
    </w:rPr>
  </w:style>
  <w:style w:type="paragraph" w:customStyle="1" w:styleId="Listlevel1">
    <w:name w:val="List level 1"/>
    <w:basedOn w:val="prastasis"/>
    <w:link w:val="Listlevel1Char"/>
    <w:uiPriority w:val="99"/>
    <w:rsid w:val="00A34B5C"/>
    <w:pPr>
      <w:spacing w:before="40" w:after="20" w:line="240" w:lineRule="auto"/>
      <w:ind w:left="425" w:hanging="425"/>
    </w:pPr>
    <w:rPr>
      <w:rFonts w:ascii="Calibri" w:eastAsia="MS Mincho" w:hAnsi="Calibri" w:cs="Times New Roman"/>
      <w:sz w:val="24"/>
      <w:szCs w:val="20"/>
      <w:lang w:val="x-none" w:eastAsia="ja-JP"/>
    </w:rPr>
  </w:style>
  <w:style w:type="character" w:customStyle="1" w:styleId="Listlevel1Char">
    <w:name w:val="List level 1 Char"/>
    <w:link w:val="Listlevel1"/>
    <w:uiPriority w:val="99"/>
    <w:locked/>
    <w:rsid w:val="00A34B5C"/>
    <w:rPr>
      <w:rFonts w:ascii="Calibri" w:eastAsia="MS Mincho" w:hAnsi="Calibri" w:cs="Times New Roman"/>
      <w:sz w:val="24"/>
      <w:szCs w:val="20"/>
      <w:lang w:val="x-none" w:eastAsia="ja-JP"/>
    </w:rPr>
  </w:style>
  <w:style w:type="paragraph" w:customStyle="1" w:styleId="BTEMEASMCA">
    <w:name w:val="BT EMEA_SMCA"/>
    <w:basedOn w:val="prastasis"/>
    <w:link w:val="BTEMEASMCAChar"/>
    <w:autoRedefine/>
    <w:uiPriority w:val="99"/>
    <w:rsid w:val="00A34B5C"/>
    <w:pPr>
      <w:spacing w:after="0" w:line="240" w:lineRule="auto"/>
      <w:jc w:val="both"/>
    </w:pPr>
    <w:rPr>
      <w:rFonts w:ascii="Times New Roman" w:eastAsia="Times New Roman" w:hAnsi="Times New Roman" w:cs="Times New Roman"/>
      <w:sz w:val="20"/>
      <w:szCs w:val="20"/>
      <w:lang w:val="x-none" w:eastAsia="x-none"/>
    </w:rPr>
  </w:style>
  <w:style w:type="character" w:customStyle="1" w:styleId="BTEMEASMCAChar">
    <w:name w:val="BT EMEA_SMCA Char"/>
    <w:link w:val="BTEMEASMCA"/>
    <w:uiPriority w:val="99"/>
    <w:locked/>
    <w:rsid w:val="00A34B5C"/>
    <w:rPr>
      <w:rFonts w:ascii="Times New Roman" w:eastAsia="Times New Roman" w:hAnsi="Times New Roman" w:cs="Times New Roman"/>
      <w:sz w:val="20"/>
      <w:szCs w:val="20"/>
      <w:lang w:val="x-none" w:eastAsia="x-none"/>
    </w:rPr>
  </w:style>
  <w:style w:type="paragraph" w:customStyle="1" w:styleId="BTAnIIEMEASMCA">
    <w:name w:val="BT(AnII) EMEA_SMCA"/>
    <w:basedOn w:val="Debesliotekstas"/>
    <w:autoRedefine/>
    <w:uiPriority w:val="99"/>
    <w:rsid w:val="00A34B5C"/>
    <w:pPr>
      <w:tabs>
        <w:tab w:val="left" w:pos="1701"/>
      </w:tabs>
      <w:ind w:left="1701" w:hanging="567"/>
    </w:pPr>
    <w:rPr>
      <w:rFonts w:ascii="Times New Roman" w:eastAsia="Times New Roman" w:hAnsi="Times New Roman"/>
      <w:b/>
      <w:sz w:val="22"/>
      <w:szCs w:val="22"/>
      <w:lang w:val="en-GB"/>
    </w:rPr>
  </w:style>
  <w:style w:type="paragraph" w:customStyle="1" w:styleId="MediumGrid2-Accent11">
    <w:name w:val="Medium Grid 2 - Accent 11"/>
    <w:qFormat/>
    <w:rsid w:val="00A34B5C"/>
    <w:pPr>
      <w:spacing w:after="0" w:line="240" w:lineRule="auto"/>
    </w:pPr>
    <w:rPr>
      <w:rFonts w:ascii="Calibri" w:eastAsia="Calibri" w:hAnsi="Calibri" w:cs="Times New Roman"/>
    </w:rPr>
  </w:style>
  <w:style w:type="paragraph" w:customStyle="1" w:styleId="LightGrid-Accent31">
    <w:name w:val="Light Grid - Accent 31"/>
    <w:basedOn w:val="prastasis"/>
    <w:uiPriority w:val="34"/>
    <w:qFormat/>
    <w:rsid w:val="00A34B5C"/>
    <w:pPr>
      <w:spacing w:after="200" w:line="276" w:lineRule="auto"/>
      <w:ind w:left="720"/>
      <w:contextualSpacing/>
    </w:pPr>
    <w:rPr>
      <w:rFonts w:ascii="Calibri" w:eastAsia="Calibri" w:hAnsi="Calibri" w:cs="Times New Roman"/>
    </w:rPr>
  </w:style>
  <w:style w:type="paragraph" w:styleId="Paprastasistekstas">
    <w:name w:val="Plain Text"/>
    <w:basedOn w:val="prastasis"/>
    <w:link w:val="PaprastasistekstasDiagrama"/>
    <w:uiPriority w:val="99"/>
    <w:rsid w:val="00A34B5C"/>
    <w:pPr>
      <w:spacing w:after="0" w:line="240" w:lineRule="auto"/>
    </w:pPr>
    <w:rPr>
      <w:rFonts w:ascii="Courier New" w:eastAsia="SimSun" w:hAnsi="Courier New" w:cs="Times New Roman"/>
      <w:sz w:val="20"/>
      <w:szCs w:val="20"/>
      <w:lang w:val="x-none" w:eastAsia="x-none"/>
    </w:rPr>
  </w:style>
  <w:style w:type="character" w:customStyle="1" w:styleId="PaprastasistekstasDiagrama">
    <w:name w:val="Paprastasis tekstas Diagrama"/>
    <w:basedOn w:val="Numatytasispastraiposriftas"/>
    <w:link w:val="Paprastasistekstas"/>
    <w:uiPriority w:val="99"/>
    <w:rsid w:val="00A34B5C"/>
    <w:rPr>
      <w:rFonts w:ascii="Courier New" w:eastAsia="SimSun" w:hAnsi="Courier New" w:cs="Times New Roman"/>
      <w:sz w:val="20"/>
      <w:szCs w:val="20"/>
      <w:lang w:val="x-none" w:eastAsia="x-none"/>
    </w:rPr>
  </w:style>
  <w:style w:type="paragraph" w:customStyle="1" w:styleId="ColorfulShading-Accent11">
    <w:name w:val="Colorful Shading - Accent 11"/>
    <w:hidden/>
    <w:rsid w:val="00A34B5C"/>
    <w:pPr>
      <w:spacing w:after="0" w:line="240" w:lineRule="auto"/>
    </w:pPr>
    <w:rPr>
      <w:rFonts w:ascii="Calibri" w:eastAsia="Calibri" w:hAnsi="Calibri" w:cs="Times New Roman"/>
    </w:rPr>
  </w:style>
  <w:style w:type="paragraph" w:styleId="Pataisymai">
    <w:name w:val="Revision"/>
    <w:hidden/>
    <w:uiPriority w:val="99"/>
    <w:semiHidden/>
    <w:rsid w:val="00A34B5C"/>
    <w:pPr>
      <w:spacing w:after="0" w:line="240" w:lineRule="auto"/>
    </w:pPr>
    <w:rPr>
      <w:rFonts w:ascii="Calibri" w:eastAsia="Calibri" w:hAnsi="Calibri" w:cs="Times New Roman"/>
    </w:rPr>
  </w:style>
  <w:style w:type="paragraph" w:styleId="Pagrindiniotekstotrauka">
    <w:name w:val="Body Text Indent"/>
    <w:basedOn w:val="prastasis"/>
    <w:link w:val="PagrindiniotekstotraukaDiagrama"/>
    <w:uiPriority w:val="99"/>
    <w:semiHidden/>
    <w:unhideWhenUsed/>
    <w:rsid w:val="00A34B5C"/>
    <w:pPr>
      <w:spacing w:after="120"/>
      <w:ind w:left="283"/>
    </w:pPr>
    <w:rPr>
      <w:rFonts w:ascii="Times New Roman" w:hAnsi="Times New Roman" w:cs="Times New Roman"/>
      <w:b/>
      <w:color w:val="808080"/>
      <w:sz w:val="20"/>
      <w:szCs w:val="20"/>
      <w:lang w:val="cs-CZ" w:eastAsia="x-none"/>
    </w:rPr>
  </w:style>
  <w:style w:type="character" w:customStyle="1" w:styleId="BodyTextIndentChar2">
    <w:name w:val="Body Text Indent Char2"/>
    <w:basedOn w:val="Numatytasispastraiposriftas"/>
    <w:uiPriority w:val="99"/>
    <w:semiHidden/>
    <w:rsid w:val="00A34B5C"/>
  </w:style>
  <w:style w:type="paragraph" w:styleId="Pagrindiniotekstotrauka2">
    <w:name w:val="Body Text Indent 2"/>
    <w:basedOn w:val="prastasis"/>
    <w:link w:val="Pagrindiniotekstotrauka2Diagrama"/>
    <w:uiPriority w:val="99"/>
    <w:semiHidden/>
    <w:unhideWhenUsed/>
    <w:rsid w:val="00A34B5C"/>
    <w:pPr>
      <w:spacing w:after="120" w:line="480" w:lineRule="auto"/>
      <w:ind w:left="283"/>
    </w:pPr>
    <w:rPr>
      <w:rFonts w:ascii="Times New Roman" w:hAnsi="Times New Roman" w:cs="Times New Roman"/>
      <w:b/>
      <w:sz w:val="20"/>
      <w:szCs w:val="20"/>
      <w:lang w:val="cs-CZ" w:eastAsia="x-none"/>
    </w:rPr>
  </w:style>
  <w:style w:type="character" w:customStyle="1" w:styleId="BodyTextIndent2Char2">
    <w:name w:val="Body Text Indent 2 Char2"/>
    <w:basedOn w:val="Numatytasispastraiposriftas"/>
    <w:uiPriority w:val="99"/>
    <w:semiHidden/>
    <w:rsid w:val="00A34B5C"/>
  </w:style>
  <w:style w:type="paragraph" w:styleId="Pagrindiniotekstotrauka3">
    <w:name w:val="Body Text Indent 3"/>
    <w:basedOn w:val="prastasis"/>
    <w:link w:val="Pagrindiniotekstotrauka3Diagrama"/>
    <w:uiPriority w:val="99"/>
    <w:semiHidden/>
    <w:unhideWhenUsed/>
    <w:rsid w:val="00A34B5C"/>
    <w:pPr>
      <w:spacing w:after="120"/>
      <w:ind w:left="283"/>
    </w:pPr>
    <w:rPr>
      <w:rFonts w:ascii="Times New Roman" w:hAnsi="Times New Roman" w:cs="Times New Roman"/>
      <w:i/>
      <w:color w:val="008000"/>
      <w:sz w:val="20"/>
      <w:szCs w:val="20"/>
      <w:lang w:val="cs-CZ" w:eastAsia="x-none"/>
    </w:rPr>
  </w:style>
  <w:style w:type="character" w:customStyle="1" w:styleId="BodyTextIndent3Char2">
    <w:name w:val="Body Text Indent 3 Char2"/>
    <w:basedOn w:val="Numatytasispastraiposriftas"/>
    <w:uiPriority w:val="99"/>
    <w:semiHidden/>
    <w:rsid w:val="00A34B5C"/>
    <w:rPr>
      <w:sz w:val="16"/>
      <w:szCs w:val="16"/>
    </w:rPr>
  </w:style>
  <w:style w:type="paragraph" w:styleId="Pagrindinistekstas2">
    <w:name w:val="Body Text 2"/>
    <w:basedOn w:val="prastasis"/>
    <w:link w:val="Pagrindinistekstas2Diagrama"/>
    <w:uiPriority w:val="99"/>
    <w:semiHidden/>
    <w:unhideWhenUsed/>
    <w:rsid w:val="00A34B5C"/>
    <w:pPr>
      <w:spacing w:after="120" w:line="480" w:lineRule="auto"/>
    </w:pPr>
    <w:rPr>
      <w:rFonts w:ascii="Times New Roman" w:hAnsi="Times New Roman" w:cs="Times New Roman"/>
      <w:b/>
      <w:sz w:val="20"/>
      <w:szCs w:val="20"/>
      <w:lang w:val="cs-CZ" w:eastAsia="x-none"/>
    </w:rPr>
  </w:style>
  <w:style w:type="character" w:customStyle="1" w:styleId="BodyText2Char2">
    <w:name w:val="Body Text 2 Char2"/>
    <w:basedOn w:val="Numatytasispastraiposriftas"/>
    <w:uiPriority w:val="99"/>
    <w:semiHidden/>
    <w:rsid w:val="00A34B5C"/>
  </w:style>
  <w:style w:type="paragraph" w:styleId="Pagrindinistekstas3">
    <w:name w:val="Body Text 3"/>
    <w:basedOn w:val="prastasis"/>
    <w:link w:val="Pagrindinistekstas3Diagrama"/>
    <w:uiPriority w:val="99"/>
    <w:semiHidden/>
    <w:unhideWhenUsed/>
    <w:rsid w:val="00A34B5C"/>
    <w:pPr>
      <w:spacing w:after="120"/>
    </w:pPr>
    <w:rPr>
      <w:rFonts w:ascii="Times New Roman" w:hAnsi="Times New Roman" w:cs="Times New Roman"/>
      <w:b/>
      <w:i/>
      <w:sz w:val="20"/>
      <w:szCs w:val="20"/>
      <w:lang w:val="cs-CZ" w:eastAsia="x-none"/>
    </w:rPr>
  </w:style>
  <w:style w:type="character" w:customStyle="1" w:styleId="BodyText3Char2">
    <w:name w:val="Body Text 3 Char2"/>
    <w:basedOn w:val="Numatytasispastraiposriftas"/>
    <w:uiPriority w:val="99"/>
    <w:semiHidden/>
    <w:rsid w:val="00A34B5C"/>
    <w:rPr>
      <w:sz w:val="16"/>
      <w:szCs w:val="16"/>
    </w:rPr>
  </w:style>
  <w:style w:type="paragraph" w:styleId="Debesliotekstas">
    <w:name w:val="Balloon Text"/>
    <w:basedOn w:val="prastasis"/>
    <w:link w:val="DebesliotekstasDiagrama"/>
    <w:uiPriority w:val="99"/>
    <w:semiHidden/>
    <w:unhideWhenUsed/>
    <w:rsid w:val="00A34B5C"/>
    <w:pPr>
      <w:spacing w:after="0" w:line="240" w:lineRule="auto"/>
    </w:pPr>
    <w:rPr>
      <w:rFonts w:ascii="Tahoma" w:hAnsi="Tahoma" w:cs="Tahoma"/>
      <w:sz w:val="16"/>
      <w:szCs w:val="16"/>
      <w:lang w:val="lt-LT" w:eastAsia="x-none"/>
    </w:rPr>
  </w:style>
  <w:style w:type="character" w:customStyle="1" w:styleId="BalloonTextChar2">
    <w:name w:val="Balloon Text Char2"/>
    <w:basedOn w:val="Numatytasispastraiposriftas"/>
    <w:uiPriority w:val="99"/>
    <w:semiHidden/>
    <w:rsid w:val="00A34B5C"/>
    <w:rPr>
      <w:rFonts w:ascii="Segoe UI" w:hAnsi="Segoe UI" w:cs="Segoe UI"/>
      <w:sz w:val="18"/>
      <w:szCs w:val="18"/>
    </w:rPr>
  </w:style>
  <w:style w:type="paragraph" w:styleId="Sraopastraipa">
    <w:name w:val="List Paragraph"/>
    <w:basedOn w:val="prastasis"/>
    <w:uiPriority w:val="34"/>
    <w:qFormat/>
    <w:rsid w:val="00246E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ema.europa.eu"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http://www.ema.europa.eu"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p:properties xmlns:p="http://schemas.microsoft.com/office/2006/metadata/properties" xmlns:xsi="http://www.w3.org/2001/XMLSchema-instanc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F0DDE63-C100-4AB5-853F-6DC7E0685D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CEB65EDC-B389-4ACE-A30E-E4F5C55A494B}">
  <ds:schemaRefs>
    <ds:schemaRef ds:uri="http://purl.org/dc/dcmitype/"/>
    <ds:schemaRef ds:uri="http://schemas.microsoft.com/office/2006/documentManagement/types"/>
    <ds:schemaRef ds:uri="http://schemas.openxmlformats.org/package/2006/metadata/core-properties"/>
    <ds:schemaRef ds:uri="http://purl.org/dc/elements/1.1/"/>
    <ds:schemaRef ds:uri="http://www.w3.org/XML/1998/namespace"/>
    <ds:schemaRef ds:uri="http://schemas.microsoft.com/office/2006/metadata/properties"/>
    <ds:schemaRef ds:uri="http://purl.org/dc/terms/"/>
  </ds:schemaRefs>
</ds:datastoreItem>
</file>

<file path=customXml/itemProps3.xml><?xml version="1.0" encoding="utf-8"?>
<ds:datastoreItem xmlns:ds="http://schemas.openxmlformats.org/officeDocument/2006/customXml" ds:itemID="{8274B3FA-42D7-4B81-8620-F7E96595009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60173</Words>
  <Characters>34300</Characters>
  <Application>Microsoft Office Word</Application>
  <DocSecurity>4</DocSecurity>
  <Lines>285</Lines>
  <Paragraphs>188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94285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Juociene</dc:creator>
  <cp:lastModifiedBy>Albina Burkauskaitė</cp:lastModifiedBy>
  <cp:revision>2</cp:revision>
  <cp:lastPrinted>2021-06-21T12:19:00Z</cp:lastPrinted>
  <dcterms:created xsi:type="dcterms:W3CDTF">2023-10-17T13:29:00Z</dcterms:created>
  <dcterms:modified xsi:type="dcterms:W3CDTF">2023-10-17T13:29:00Z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0x0101001F7263745A05CE4E860FAB739329426C</vt:lpwstr>
  </property>
</Properties>
</file>