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CD3" w:rsidRPr="00475ABD" w:rsidRDefault="00EC1CD3" w:rsidP="00EC1CD3">
      <w:pPr>
        <w:pStyle w:val="BTEMEASMCA"/>
        <w:rPr>
          <w:rFonts w:ascii="Times New Roman" w:hAnsi="Times New Roman" w:cs="Times New Roman"/>
        </w:rPr>
      </w:pPr>
      <w:bookmarkStart w:id="0" w:name="_GoBack"/>
      <w:bookmarkEnd w:id="0"/>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Default="00EC1CD3"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Pr="00475ABD" w:rsidRDefault="003C7411" w:rsidP="00EC1CD3">
      <w:pPr>
        <w:pStyle w:val="BTEMEASMCA"/>
        <w:rPr>
          <w:rFonts w:ascii="Times New Roman" w:hAnsi="Times New Roman" w:cs="Times New Roman"/>
        </w:rPr>
      </w:pPr>
    </w:p>
    <w:p w:rsidR="00EC1CD3" w:rsidRPr="00475ABD" w:rsidRDefault="00EC1CD3" w:rsidP="00EC1CD3">
      <w:pPr>
        <w:pStyle w:val="TTEMEASMCA"/>
        <w:rPr>
          <w:rFonts w:ascii="Times New Roman" w:hAnsi="Times New Roman" w:cs="Times New Roman"/>
        </w:rPr>
      </w:pPr>
      <w:bookmarkStart w:id="1" w:name="_Toc129243260"/>
      <w:bookmarkStart w:id="2" w:name="_Toc129243135"/>
      <w:r w:rsidRPr="00475ABD">
        <w:rPr>
          <w:rFonts w:ascii="Times New Roman" w:hAnsi="Times New Roman" w:cs="Times New Roman"/>
        </w:rPr>
        <w:t>ŽENKLINIMAS IR PAKUOTĖS LAPELIS</w:t>
      </w:r>
      <w:bookmarkEnd w:id="1"/>
      <w:bookmarkEnd w:id="2"/>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br w:type="page"/>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Default="00EC1CD3" w:rsidP="00EC1CD3">
      <w:pPr>
        <w:pStyle w:val="BTEMEASMCA"/>
        <w:rPr>
          <w:rFonts w:ascii="Times New Roman" w:hAnsi="Times New Roman" w:cs="Times New Roman"/>
        </w:rPr>
      </w:pPr>
    </w:p>
    <w:p w:rsidR="003C7411" w:rsidRDefault="003C7411" w:rsidP="00EC1CD3">
      <w:pPr>
        <w:pStyle w:val="BTEMEASMCA"/>
        <w:rPr>
          <w:rFonts w:ascii="Times New Roman" w:hAnsi="Times New Roman" w:cs="Times New Roman"/>
        </w:rPr>
      </w:pPr>
    </w:p>
    <w:p w:rsidR="003C7411" w:rsidRPr="00475ABD" w:rsidRDefault="003C7411"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TTEMEASMCA"/>
        <w:rPr>
          <w:rFonts w:ascii="Times New Roman" w:hAnsi="Times New Roman" w:cs="Times New Roman"/>
        </w:rPr>
      </w:pPr>
      <w:bookmarkStart w:id="3" w:name="_Toc129243261"/>
      <w:bookmarkStart w:id="4" w:name="_Toc129243136"/>
      <w:r w:rsidRPr="00475ABD">
        <w:rPr>
          <w:rFonts w:ascii="Times New Roman" w:hAnsi="Times New Roman" w:cs="Times New Roman"/>
        </w:rPr>
        <w:t>A. ŽENKLINIMAS</w:t>
      </w:r>
      <w:bookmarkEnd w:id="3"/>
      <w:bookmarkEnd w:id="4"/>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br w:type="page"/>
      </w:r>
    </w:p>
    <w:p w:rsidR="00EC1CD3" w:rsidRPr="00475ABD" w:rsidRDefault="00EC1CD3" w:rsidP="00EC1CD3">
      <w:pPr>
        <w:pStyle w:val="PI-1labEMEASMCA"/>
        <w:rPr>
          <w:rFonts w:ascii="Times New Roman" w:hAnsi="Times New Roman"/>
        </w:rPr>
      </w:pPr>
      <w:r w:rsidRPr="00475ABD">
        <w:rPr>
          <w:rFonts w:ascii="Times New Roman" w:hAnsi="Times New Roman"/>
        </w:rPr>
        <w:lastRenderedPageBreak/>
        <w:t>INFORMACIJA ANT IŠORINĖS PAKUOTĖS</w:t>
      </w:r>
    </w:p>
    <w:p w:rsidR="00EC1CD3" w:rsidRPr="00475ABD" w:rsidRDefault="00EC1CD3" w:rsidP="00EC1CD3">
      <w:pPr>
        <w:pStyle w:val="PI-1labEMEASMCA"/>
        <w:rPr>
          <w:rFonts w:ascii="Times New Roman" w:hAnsi="Times New Roman"/>
        </w:rPr>
      </w:pPr>
    </w:p>
    <w:p w:rsidR="00EC1CD3" w:rsidRPr="00475ABD" w:rsidRDefault="00EC1CD3" w:rsidP="00475ABD">
      <w:pPr>
        <w:pStyle w:val="PI-1labEMEASMCA"/>
        <w:rPr>
          <w:rFonts w:ascii="Times New Roman" w:hAnsi="Times New Roman"/>
          <w:bCs/>
        </w:rPr>
      </w:pPr>
      <w:r w:rsidRPr="00475ABD">
        <w:rPr>
          <w:rFonts w:ascii="Times New Roman" w:hAnsi="Times New Roman"/>
        </w:rPr>
        <w:t>KARTONO DĖŽUTĖ</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labEMEASMCA"/>
        <w:rPr>
          <w:rFonts w:ascii="Times New Roman" w:hAnsi="Times New Roman"/>
        </w:rPr>
      </w:pPr>
      <w:r w:rsidRPr="00475ABD">
        <w:rPr>
          <w:rFonts w:ascii="Times New Roman" w:hAnsi="Times New Roman"/>
        </w:rPr>
        <w:t>1.</w:t>
      </w:r>
      <w:r w:rsidRPr="00475ABD">
        <w:rPr>
          <w:rFonts w:ascii="Times New Roman" w:hAnsi="Times New Roman"/>
        </w:rPr>
        <w:tab/>
        <w:t>VAISTINIO PREPARATO PAVADINIMAS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COAXIL 12,5 mg dengtos tabletės</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Tianeptino natrio druska</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labEMEASMCA"/>
        <w:rPr>
          <w:rFonts w:ascii="Times New Roman" w:hAnsi="Times New Roman"/>
        </w:rPr>
      </w:pPr>
      <w:r w:rsidRPr="00475ABD">
        <w:rPr>
          <w:rFonts w:ascii="Times New Roman" w:hAnsi="Times New Roman"/>
        </w:rPr>
        <w:t>2.</w:t>
      </w:r>
      <w:r w:rsidRPr="00475ABD">
        <w:rPr>
          <w:rFonts w:ascii="Times New Roman" w:hAnsi="Times New Roman"/>
        </w:rPr>
        <w:tab/>
        <w:t>VEIKLIOJI MEDŽIAGA IR JOS KIEKIS</w:t>
      </w:r>
    </w:p>
    <w:p w:rsidR="00EC1CD3" w:rsidRPr="00475ABD" w:rsidRDefault="00EC1CD3" w:rsidP="00EC1CD3">
      <w:pPr>
        <w:pStyle w:val="BTEMEASMCA"/>
        <w:rPr>
          <w:rFonts w:ascii="Times New Roman" w:hAnsi="Times New Roman" w:cs="Times New Roman"/>
        </w:rPr>
      </w:pPr>
    </w:p>
    <w:p w:rsidR="00EC1CD3" w:rsidRPr="00475ABD" w:rsidRDefault="00EC1CD3" w:rsidP="00EC1CD3">
      <w:pPr>
        <w:rPr>
          <w:sz w:val="22"/>
          <w:szCs w:val="22"/>
        </w:rPr>
      </w:pPr>
      <w:r w:rsidRPr="00475ABD">
        <w:rPr>
          <w:sz w:val="22"/>
          <w:szCs w:val="22"/>
        </w:rPr>
        <w:t xml:space="preserve">Vienoje dengtoje tabletėje yra 12,5 mg </w:t>
      </w:r>
      <w:proofErr w:type="spellStart"/>
      <w:r w:rsidRPr="00475ABD">
        <w:rPr>
          <w:sz w:val="22"/>
          <w:szCs w:val="22"/>
        </w:rPr>
        <w:t>tianeptino</w:t>
      </w:r>
      <w:proofErr w:type="spellEnd"/>
      <w:r w:rsidRPr="00475ABD">
        <w:rPr>
          <w:sz w:val="22"/>
          <w:szCs w:val="22"/>
        </w:rPr>
        <w:t xml:space="preserve"> natrio druskos </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labEMEASMCA"/>
        <w:rPr>
          <w:rFonts w:ascii="Times New Roman" w:hAnsi="Times New Roman"/>
        </w:rPr>
      </w:pPr>
      <w:r w:rsidRPr="00475ABD">
        <w:rPr>
          <w:rFonts w:ascii="Times New Roman" w:hAnsi="Times New Roman"/>
        </w:rPr>
        <w:t>3.</w:t>
      </w:r>
      <w:r w:rsidRPr="00475ABD">
        <w:rPr>
          <w:rFonts w:ascii="Times New Roman" w:hAnsi="Times New Roman"/>
        </w:rPr>
        <w:tab/>
        <w:t>PAGALBINIŲ MEDŽIAGŲ SĄRAŠAS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agrindinistekstas"/>
        <w:spacing w:after="0"/>
        <w:rPr>
          <w:szCs w:val="22"/>
        </w:rPr>
      </w:pPr>
      <w:r w:rsidRPr="00475ABD">
        <w:rPr>
          <w:szCs w:val="22"/>
        </w:rPr>
        <w:t>Sudėtyje yra sacharozės.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labEMEASMCA"/>
        <w:rPr>
          <w:rFonts w:ascii="Times New Roman" w:hAnsi="Times New Roman"/>
        </w:rPr>
      </w:pPr>
      <w:r w:rsidRPr="00475ABD">
        <w:rPr>
          <w:rFonts w:ascii="Times New Roman" w:hAnsi="Times New Roman"/>
        </w:rPr>
        <w:t>4.</w:t>
      </w:r>
      <w:r w:rsidRPr="00475ABD">
        <w:rPr>
          <w:rFonts w:ascii="Times New Roman" w:hAnsi="Times New Roman"/>
        </w:rPr>
        <w:tab/>
        <w:t>FARMACINĖ FORMA IR KIEKIS PAKUOTĖJE</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agrindinistekstas"/>
        <w:spacing w:after="0"/>
        <w:rPr>
          <w:szCs w:val="22"/>
        </w:rPr>
      </w:pPr>
      <w:r w:rsidRPr="00475ABD">
        <w:rPr>
          <w:szCs w:val="22"/>
        </w:rPr>
        <w:t>90 dengtų tablečių</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labEMEASMCA"/>
        <w:rPr>
          <w:rFonts w:ascii="Times New Roman" w:hAnsi="Times New Roman"/>
        </w:rPr>
      </w:pPr>
      <w:r w:rsidRPr="00475ABD">
        <w:rPr>
          <w:rFonts w:ascii="Times New Roman" w:hAnsi="Times New Roman"/>
        </w:rPr>
        <w:t>5.</w:t>
      </w:r>
      <w:r w:rsidRPr="00475ABD">
        <w:rPr>
          <w:rFonts w:ascii="Times New Roman" w:hAnsi="Times New Roman"/>
        </w:rPr>
        <w:tab/>
        <w:t>VARTOJIMO METODAS IR BŪDAS (-AI)</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Vartoti per burną.</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Prieš vartojimą perskaitykite pakuotės lapelį.</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labEMEASMCA"/>
        <w:rPr>
          <w:rFonts w:ascii="Times New Roman" w:hAnsi="Times New Roman"/>
        </w:rPr>
      </w:pPr>
      <w:r w:rsidRPr="00475ABD">
        <w:rPr>
          <w:rFonts w:ascii="Times New Roman" w:hAnsi="Times New Roman"/>
        </w:rPr>
        <w:t>6.</w:t>
      </w:r>
      <w:r w:rsidRPr="00475ABD">
        <w:rPr>
          <w:rFonts w:ascii="Times New Roman" w:hAnsi="Times New Roman"/>
        </w:rPr>
        <w:tab/>
        <w:t>SPECIALUS ĮSPĖJIMAS, KAD VAISTINĮ PREPARATĄ BŪTINA LAIKYTI VAIKAMS NEPASTEBIMOJE IR NEPASIEKIAMOJE VIETOJE</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Laikyti vaikams nepastebimoje ir nepasiekiamoje vietoje.</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labEMEASMCA"/>
        <w:rPr>
          <w:rFonts w:ascii="Times New Roman" w:hAnsi="Times New Roman"/>
        </w:rPr>
      </w:pPr>
      <w:r w:rsidRPr="00475ABD">
        <w:rPr>
          <w:rFonts w:ascii="Times New Roman" w:hAnsi="Times New Roman"/>
        </w:rPr>
        <w:t>7.</w:t>
      </w:r>
      <w:r w:rsidRPr="00475ABD">
        <w:rPr>
          <w:rFonts w:ascii="Times New Roman" w:hAnsi="Times New Roman"/>
        </w:rPr>
        <w:tab/>
        <w:t>KITAS (-I) SPECIALUS (-ŪS) ĮSPĖJIMAS (-AI) (JEI REIKIA)</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labEMEASMCA"/>
        <w:rPr>
          <w:rFonts w:ascii="Times New Roman" w:hAnsi="Times New Roman"/>
        </w:rPr>
      </w:pPr>
      <w:r w:rsidRPr="00475ABD">
        <w:rPr>
          <w:rFonts w:ascii="Times New Roman" w:hAnsi="Times New Roman"/>
        </w:rPr>
        <w:t>8.</w:t>
      </w:r>
      <w:r w:rsidRPr="00475ABD">
        <w:rPr>
          <w:rFonts w:ascii="Times New Roman" w:hAnsi="Times New Roman"/>
        </w:rPr>
        <w:tab/>
        <w:t>TINKAMUMO LAIKAS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Tinka iki (mm/MMMM)</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labEMEASMCA"/>
        <w:rPr>
          <w:rFonts w:ascii="Times New Roman" w:hAnsi="Times New Roman"/>
        </w:rPr>
      </w:pPr>
      <w:r w:rsidRPr="00475ABD">
        <w:rPr>
          <w:rFonts w:ascii="Times New Roman" w:hAnsi="Times New Roman"/>
        </w:rPr>
        <w:t>9.</w:t>
      </w:r>
      <w:r w:rsidRPr="00475ABD">
        <w:rPr>
          <w:rFonts w:ascii="Times New Roman" w:hAnsi="Times New Roman"/>
        </w:rPr>
        <w:tab/>
        <w:t>SPECIALIOS LAIKYMO SĄLYGOS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labEMEASMCA"/>
        <w:rPr>
          <w:rFonts w:ascii="Times New Roman" w:hAnsi="Times New Roman"/>
        </w:rPr>
      </w:pPr>
      <w:r w:rsidRPr="00475ABD">
        <w:rPr>
          <w:rFonts w:ascii="Times New Roman" w:hAnsi="Times New Roman"/>
        </w:rPr>
        <w:lastRenderedPageBreak/>
        <w:t>10.</w:t>
      </w:r>
      <w:r w:rsidRPr="00475ABD">
        <w:rPr>
          <w:rFonts w:ascii="Times New Roman" w:hAnsi="Times New Roman"/>
        </w:rPr>
        <w:tab/>
        <w:t xml:space="preserve">SPECIALIOS ATSARGUMO PRIEMONĖS DĖL NESUVARTOTO </w:t>
      </w:r>
      <w:r w:rsidRPr="00475ABD">
        <w:rPr>
          <w:rFonts w:ascii="Times New Roman" w:hAnsi="Times New Roman"/>
          <w:bCs/>
        </w:rPr>
        <w:t xml:space="preserve">VAISTINIO PREPARATO AR JO ATLIEKŲ </w:t>
      </w:r>
      <w:r w:rsidRPr="00475ABD">
        <w:rPr>
          <w:rFonts w:ascii="Times New Roman" w:hAnsi="Times New Roman"/>
        </w:rPr>
        <w:t>TVARKYMO (JEI REIKIA)</w:t>
      </w:r>
    </w:p>
    <w:p w:rsidR="00EC1CD3" w:rsidRPr="00475ABD" w:rsidRDefault="00EC1CD3" w:rsidP="00EC1CD3">
      <w:pPr>
        <w:pStyle w:val="BTEMEASMCA"/>
        <w:rPr>
          <w:rFonts w:ascii="Times New Roman" w:hAnsi="Times New Roman" w:cs="Times New Roman"/>
        </w:rPr>
      </w:pPr>
    </w:p>
    <w:p w:rsidR="00EC1CD3" w:rsidRPr="00475ABD" w:rsidRDefault="00EC1CD3" w:rsidP="00EC1CD3">
      <w:pPr>
        <w:tabs>
          <w:tab w:val="left" w:pos="567"/>
        </w:tabs>
        <w:rPr>
          <w:sz w:val="22"/>
          <w:szCs w:val="22"/>
        </w:rPr>
      </w:pPr>
    </w:p>
    <w:p w:rsidR="00EC1CD3" w:rsidRPr="00475ABD" w:rsidRDefault="00EC1CD3" w:rsidP="00EC1CD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475ABD">
        <w:rPr>
          <w:b/>
          <w:sz w:val="22"/>
          <w:szCs w:val="22"/>
        </w:rPr>
        <w:t>11.</w:t>
      </w:r>
      <w:r w:rsidRPr="00475ABD">
        <w:rPr>
          <w:b/>
          <w:sz w:val="22"/>
          <w:szCs w:val="22"/>
        </w:rPr>
        <w:tab/>
        <w:t>LYGIAGRETUS IMPORTUOTOJAS</w:t>
      </w:r>
    </w:p>
    <w:p w:rsidR="00EC1CD3" w:rsidRPr="00475ABD" w:rsidRDefault="00EC1CD3" w:rsidP="00EC1CD3">
      <w:pPr>
        <w:tabs>
          <w:tab w:val="left" w:pos="567"/>
        </w:tabs>
        <w:rPr>
          <w:sz w:val="22"/>
          <w:szCs w:val="22"/>
        </w:rPr>
      </w:pPr>
    </w:p>
    <w:p w:rsidR="00EC1CD3" w:rsidRPr="00475ABD" w:rsidRDefault="00EC1CD3" w:rsidP="00EC1CD3">
      <w:pPr>
        <w:rPr>
          <w:noProof/>
          <w:sz w:val="22"/>
          <w:szCs w:val="22"/>
        </w:rPr>
      </w:pPr>
      <w:r w:rsidRPr="00475ABD">
        <w:rPr>
          <w:sz w:val="22"/>
          <w:szCs w:val="22"/>
        </w:rPr>
        <w:t xml:space="preserve">Lygiagretus importuotojas UAB </w:t>
      </w:r>
      <w:r w:rsidRPr="00475ABD">
        <w:rPr>
          <w:rFonts w:eastAsia="SimSun"/>
          <w:noProof/>
          <w:sz w:val="22"/>
          <w:szCs w:val="22"/>
          <w:lang w:val="en-US"/>
        </w:rPr>
        <w:t>„</w:t>
      </w:r>
      <w:proofErr w:type="spellStart"/>
      <w:r w:rsidRPr="00475ABD">
        <w:rPr>
          <w:sz w:val="22"/>
          <w:szCs w:val="22"/>
        </w:rPr>
        <w:t>Tojaris</w:t>
      </w:r>
      <w:proofErr w:type="spellEnd"/>
      <w:r w:rsidRPr="00475ABD">
        <w:rPr>
          <w:sz w:val="22"/>
          <w:szCs w:val="22"/>
        </w:rPr>
        <w:t xml:space="preserve"> projektai</w:t>
      </w:r>
      <w:r w:rsidRPr="00475ABD">
        <w:rPr>
          <w:rFonts w:eastAsia="SimSun"/>
          <w:noProof/>
          <w:sz w:val="22"/>
          <w:szCs w:val="22"/>
          <w:lang w:val="en-US"/>
        </w:rPr>
        <w:t>“.</w:t>
      </w:r>
    </w:p>
    <w:p w:rsidR="00EC1CD3" w:rsidRPr="00475ABD" w:rsidRDefault="00EC1CD3" w:rsidP="00EC1CD3">
      <w:pPr>
        <w:tabs>
          <w:tab w:val="left" w:pos="567"/>
        </w:tabs>
        <w:rPr>
          <w:sz w:val="22"/>
          <w:szCs w:val="22"/>
        </w:rPr>
      </w:pPr>
    </w:p>
    <w:p w:rsidR="00EC1CD3" w:rsidRPr="00475ABD" w:rsidRDefault="00EC1CD3" w:rsidP="00EC1CD3">
      <w:pPr>
        <w:tabs>
          <w:tab w:val="left" w:pos="567"/>
        </w:tabs>
        <w:rPr>
          <w:sz w:val="22"/>
          <w:szCs w:val="22"/>
        </w:rPr>
      </w:pPr>
    </w:p>
    <w:p w:rsidR="00EC1CD3" w:rsidRPr="00475ABD" w:rsidRDefault="00EC1CD3" w:rsidP="00EC1CD3">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475ABD">
        <w:rPr>
          <w:b/>
          <w:sz w:val="22"/>
          <w:szCs w:val="22"/>
        </w:rPr>
        <w:t>12.</w:t>
      </w:r>
      <w:r w:rsidRPr="00475ABD">
        <w:rPr>
          <w:b/>
          <w:sz w:val="22"/>
          <w:szCs w:val="22"/>
        </w:rPr>
        <w:tab/>
        <w:t>LYGIAGRETAUS IMPORTO LEIDIMO NUMERIS</w:t>
      </w:r>
    </w:p>
    <w:p w:rsidR="00EC1CD3" w:rsidRPr="00475ABD" w:rsidRDefault="00EC1CD3" w:rsidP="00EC1CD3">
      <w:pPr>
        <w:tabs>
          <w:tab w:val="left" w:pos="567"/>
        </w:tabs>
        <w:rPr>
          <w:sz w:val="22"/>
          <w:szCs w:val="22"/>
        </w:rPr>
      </w:pPr>
    </w:p>
    <w:p w:rsidR="00EC1CD3" w:rsidRPr="00475ABD" w:rsidRDefault="00EC1CD3" w:rsidP="00EC1CD3">
      <w:pPr>
        <w:tabs>
          <w:tab w:val="left" w:pos="567"/>
        </w:tabs>
        <w:rPr>
          <w:sz w:val="22"/>
          <w:szCs w:val="22"/>
        </w:rPr>
      </w:pPr>
      <w:r w:rsidRPr="00475ABD">
        <w:rPr>
          <w:sz w:val="22"/>
          <w:szCs w:val="22"/>
        </w:rPr>
        <w:t>LT/L/</w:t>
      </w:r>
      <w:r w:rsidR="00874B55">
        <w:rPr>
          <w:sz w:val="22"/>
          <w:szCs w:val="22"/>
        </w:rPr>
        <w:t>17/0458/001</w:t>
      </w:r>
    </w:p>
    <w:p w:rsidR="00EC1CD3" w:rsidRPr="00475ABD" w:rsidRDefault="00EC1CD3" w:rsidP="00EC1CD3">
      <w:pPr>
        <w:tabs>
          <w:tab w:val="left" w:pos="567"/>
        </w:tabs>
        <w:rPr>
          <w:sz w:val="22"/>
          <w:szCs w:val="22"/>
        </w:rPr>
      </w:pPr>
    </w:p>
    <w:p w:rsidR="00EC1CD3" w:rsidRPr="00475ABD" w:rsidRDefault="00EC1CD3" w:rsidP="00EC1CD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475ABD">
        <w:rPr>
          <w:b/>
          <w:sz w:val="22"/>
          <w:szCs w:val="22"/>
        </w:rPr>
        <w:t>13.</w:t>
      </w:r>
      <w:r w:rsidRPr="00475ABD">
        <w:rPr>
          <w:b/>
          <w:sz w:val="22"/>
          <w:szCs w:val="22"/>
        </w:rPr>
        <w:tab/>
        <w:t>SERIJOS NUMERIS</w:t>
      </w:r>
    </w:p>
    <w:p w:rsidR="00EC1CD3" w:rsidRPr="00475ABD" w:rsidRDefault="00EC1CD3" w:rsidP="00EC1CD3">
      <w:pPr>
        <w:tabs>
          <w:tab w:val="left" w:pos="567"/>
        </w:tabs>
        <w:rPr>
          <w:sz w:val="22"/>
          <w:szCs w:val="22"/>
        </w:rPr>
      </w:pPr>
    </w:p>
    <w:p w:rsidR="00EC1CD3" w:rsidRPr="00475ABD" w:rsidRDefault="00EC1CD3" w:rsidP="00EC1CD3">
      <w:pPr>
        <w:tabs>
          <w:tab w:val="left" w:pos="567"/>
        </w:tabs>
        <w:rPr>
          <w:sz w:val="22"/>
          <w:szCs w:val="22"/>
        </w:rPr>
      </w:pPr>
      <w:r w:rsidRPr="00475ABD">
        <w:rPr>
          <w:sz w:val="22"/>
          <w:szCs w:val="22"/>
        </w:rPr>
        <w:t xml:space="preserve">Serija </w:t>
      </w:r>
    </w:p>
    <w:p w:rsidR="00EC1CD3" w:rsidRPr="00475ABD" w:rsidRDefault="00EC1CD3" w:rsidP="00EC1CD3">
      <w:pPr>
        <w:tabs>
          <w:tab w:val="left" w:pos="567"/>
        </w:tabs>
        <w:rPr>
          <w:sz w:val="22"/>
          <w:szCs w:val="22"/>
        </w:rPr>
      </w:pPr>
    </w:p>
    <w:p w:rsidR="00EC1CD3" w:rsidRPr="00475ABD" w:rsidRDefault="00EC1CD3" w:rsidP="00EC1CD3">
      <w:pPr>
        <w:tabs>
          <w:tab w:val="left" w:pos="567"/>
        </w:tabs>
        <w:rPr>
          <w:sz w:val="22"/>
          <w:szCs w:val="22"/>
        </w:rPr>
      </w:pPr>
    </w:p>
    <w:p w:rsidR="00EC1CD3" w:rsidRPr="00475ABD" w:rsidRDefault="00EC1CD3" w:rsidP="00EC1CD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475ABD">
        <w:rPr>
          <w:b/>
          <w:sz w:val="22"/>
          <w:szCs w:val="22"/>
        </w:rPr>
        <w:t>14.</w:t>
      </w:r>
      <w:r w:rsidRPr="00475ABD">
        <w:rPr>
          <w:b/>
          <w:sz w:val="22"/>
          <w:szCs w:val="22"/>
        </w:rPr>
        <w:tab/>
        <w:t>PARDAVIMO (IŠDAVIMO) TVARKA</w:t>
      </w:r>
    </w:p>
    <w:p w:rsidR="00EC1CD3" w:rsidRPr="00475ABD" w:rsidRDefault="00EC1CD3" w:rsidP="00EC1CD3">
      <w:pPr>
        <w:tabs>
          <w:tab w:val="left" w:pos="567"/>
        </w:tabs>
        <w:rPr>
          <w:sz w:val="22"/>
          <w:szCs w:val="22"/>
        </w:rPr>
      </w:pPr>
    </w:p>
    <w:p w:rsidR="00EC1CD3" w:rsidRPr="00475ABD" w:rsidRDefault="00EC1CD3" w:rsidP="00EC1CD3">
      <w:pPr>
        <w:tabs>
          <w:tab w:val="left" w:pos="567"/>
        </w:tabs>
        <w:rPr>
          <w:sz w:val="22"/>
          <w:szCs w:val="22"/>
        </w:rPr>
      </w:pPr>
      <w:r w:rsidRPr="00475ABD">
        <w:rPr>
          <w:sz w:val="22"/>
          <w:szCs w:val="22"/>
        </w:rPr>
        <w:t>Receptinis vaistinis preparatas.</w:t>
      </w:r>
    </w:p>
    <w:p w:rsidR="00EC1CD3" w:rsidRPr="00475ABD" w:rsidRDefault="00EC1CD3" w:rsidP="00EC1CD3">
      <w:pPr>
        <w:tabs>
          <w:tab w:val="left" w:pos="567"/>
        </w:tabs>
        <w:rPr>
          <w:sz w:val="22"/>
          <w:szCs w:val="22"/>
        </w:rPr>
      </w:pPr>
    </w:p>
    <w:p w:rsidR="00EC1CD3" w:rsidRPr="00475ABD" w:rsidRDefault="00EC1CD3" w:rsidP="00EC1CD3">
      <w:pPr>
        <w:tabs>
          <w:tab w:val="left" w:pos="567"/>
        </w:tabs>
        <w:rPr>
          <w:sz w:val="22"/>
          <w:szCs w:val="22"/>
        </w:rPr>
      </w:pPr>
    </w:p>
    <w:p w:rsidR="00EC1CD3" w:rsidRPr="00475ABD" w:rsidRDefault="00EC1CD3" w:rsidP="00EC1CD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475ABD">
        <w:rPr>
          <w:b/>
          <w:sz w:val="22"/>
          <w:szCs w:val="22"/>
        </w:rPr>
        <w:t>15.</w:t>
      </w:r>
      <w:r w:rsidRPr="00475ABD">
        <w:rPr>
          <w:b/>
          <w:sz w:val="22"/>
          <w:szCs w:val="22"/>
        </w:rPr>
        <w:tab/>
        <w:t>VARTOJIMO INSTRUKCIJA</w:t>
      </w:r>
    </w:p>
    <w:p w:rsidR="00EC1CD3" w:rsidRPr="00475ABD" w:rsidRDefault="00EC1CD3" w:rsidP="00EC1CD3">
      <w:pPr>
        <w:tabs>
          <w:tab w:val="left" w:pos="567"/>
        </w:tabs>
        <w:rPr>
          <w:sz w:val="22"/>
          <w:szCs w:val="22"/>
        </w:rPr>
      </w:pPr>
    </w:p>
    <w:p w:rsidR="00EC1CD3" w:rsidRPr="00475ABD" w:rsidRDefault="00EC1CD3" w:rsidP="00EC1CD3">
      <w:pPr>
        <w:tabs>
          <w:tab w:val="left" w:pos="567"/>
        </w:tabs>
        <w:rPr>
          <w:sz w:val="22"/>
          <w:szCs w:val="22"/>
        </w:rPr>
      </w:pPr>
    </w:p>
    <w:p w:rsidR="00EC1CD3" w:rsidRPr="00475ABD" w:rsidRDefault="00EC1CD3" w:rsidP="00EC1CD3">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475ABD">
        <w:rPr>
          <w:b/>
          <w:sz w:val="22"/>
          <w:szCs w:val="22"/>
        </w:rPr>
        <w:t>16.</w:t>
      </w:r>
      <w:r w:rsidRPr="00475ABD">
        <w:rPr>
          <w:b/>
          <w:sz w:val="22"/>
          <w:szCs w:val="22"/>
        </w:rPr>
        <w:tab/>
        <w:t>INFORMACIJA BRAILIO RAŠTU</w:t>
      </w:r>
    </w:p>
    <w:p w:rsidR="00EC1CD3" w:rsidRPr="00475ABD" w:rsidRDefault="00EC1CD3" w:rsidP="00EC1CD3">
      <w:pPr>
        <w:tabs>
          <w:tab w:val="left" w:pos="567"/>
        </w:tabs>
        <w:rPr>
          <w:sz w:val="22"/>
          <w:szCs w:val="22"/>
        </w:rPr>
      </w:pPr>
    </w:p>
    <w:p w:rsidR="00EC1CD3" w:rsidRPr="003C7411" w:rsidRDefault="00EC1CD3" w:rsidP="003C7411">
      <w:pPr>
        <w:tabs>
          <w:tab w:val="left" w:pos="567"/>
        </w:tabs>
        <w:rPr>
          <w:sz w:val="22"/>
          <w:szCs w:val="22"/>
        </w:rPr>
      </w:pPr>
      <w:r w:rsidRPr="00475ABD">
        <w:rPr>
          <w:sz w:val="22"/>
          <w:szCs w:val="22"/>
        </w:rPr>
        <w:t>COAXIL</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eastAsia="SimSun" w:hAnsi="Times New Roman" w:cs="Times New Roman"/>
        </w:rPr>
        <w:t>Gamintojas</w:t>
      </w:r>
      <w:r w:rsidRPr="00475ABD">
        <w:rPr>
          <w:rFonts w:ascii="Times New Roman" w:hAnsi="Times New Roman" w:cs="Times New Roman"/>
        </w:rPr>
        <w:t>: Les Laboratoires Servier Industrie, 45520 Gidy, Prancūzija</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Perpakavo BĮ UAB „Norfachema“.</w:t>
      </w:r>
    </w:p>
    <w:p w:rsidR="00EC1CD3" w:rsidRPr="00475ABD" w:rsidRDefault="00EC1CD3" w:rsidP="00EC1CD3">
      <w:pPr>
        <w:rPr>
          <w:sz w:val="22"/>
          <w:szCs w:val="22"/>
        </w:rPr>
      </w:pPr>
      <w:r w:rsidRPr="00475ABD">
        <w:rPr>
          <w:sz w:val="22"/>
          <w:szCs w:val="22"/>
          <w:highlight w:val="lightGray"/>
        </w:rPr>
        <w:t>Perpakavo UAB „</w:t>
      </w:r>
      <w:proofErr w:type="spellStart"/>
      <w:r w:rsidRPr="00475ABD">
        <w:rPr>
          <w:sz w:val="22"/>
          <w:szCs w:val="22"/>
          <w:highlight w:val="lightGray"/>
        </w:rPr>
        <w:t>Entafarma</w:t>
      </w:r>
      <w:proofErr w:type="spellEnd"/>
      <w:r w:rsidRPr="00475ABD">
        <w:rPr>
          <w:sz w:val="22"/>
          <w:szCs w:val="22"/>
          <w:highlight w:val="lightGray"/>
        </w:rPr>
        <w:t>“.</w:t>
      </w:r>
    </w:p>
    <w:p w:rsidR="00EC1CD3" w:rsidRPr="00475ABD" w:rsidRDefault="00EC1CD3" w:rsidP="00EC1CD3">
      <w:pPr>
        <w:rPr>
          <w:sz w:val="22"/>
          <w:szCs w:val="22"/>
        </w:rPr>
      </w:pPr>
    </w:p>
    <w:p w:rsidR="00EC1CD3" w:rsidRPr="00475ABD" w:rsidRDefault="00EC1CD3" w:rsidP="00EC1CD3">
      <w:pPr>
        <w:rPr>
          <w:b/>
          <w:noProof/>
          <w:sz w:val="22"/>
          <w:szCs w:val="22"/>
        </w:rPr>
      </w:pPr>
      <w:proofErr w:type="spellStart"/>
      <w:r w:rsidRPr="00475ABD">
        <w:rPr>
          <w:sz w:val="22"/>
          <w:szCs w:val="22"/>
        </w:rPr>
        <w:t>Perpak</w:t>
      </w:r>
      <w:proofErr w:type="spellEnd"/>
      <w:r w:rsidRPr="00475ABD">
        <w:rPr>
          <w:sz w:val="22"/>
          <w:szCs w:val="22"/>
        </w:rPr>
        <w:t>. serija</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br w:type="page"/>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TTEMEASMCA"/>
        <w:rPr>
          <w:rFonts w:ascii="Times New Roman" w:hAnsi="Times New Roman" w:cs="Times New Roman"/>
        </w:rPr>
      </w:pPr>
      <w:bookmarkStart w:id="5" w:name="_Toc129243262"/>
      <w:bookmarkStart w:id="6" w:name="_Toc129243137"/>
      <w:r w:rsidRPr="00475ABD">
        <w:rPr>
          <w:rFonts w:ascii="Times New Roman" w:hAnsi="Times New Roman" w:cs="Times New Roman"/>
        </w:rPr>
        <w:t>B. PAKUOTĖS LAPELIS</w:t>
      </w:r>
      <w:bookmarkEnd w:id="5"/>
      <w:bookmarkEnd w:id="6"/>
    </w:p>
    <w:p w:rsidR="00EC1CD3" w:rsidRPr="00475ABD" w:rsidRDefault="00EC1CD3" w:rsidP="00EC1CD3">
      <w:pPr>
        <w:pStyle w:val="TTEMEASMCA"/>
        <w:rPr>
          <w:rFonts w:ascii="Times New Roman" w:hAnsi="Times New Roman" w:cs="Times New Roman"/>
        </w:rPr>
      </w:pPr>
      <w:r w:rsidRPr="00475ABD">
        <w:rPr>
          <w:rFonts w:ascii="Times New Roman" w:hAnsi="Times New Roman" w:cs="Times New Roman"/>
        </w:rPr>
        <w:br w:type="page"/>
      </w:r>
      <w:bookmarkStart w:id="7" w:name="_Toc129243263"/>
      <w:bookmarkStart w:id="8" w:name="_Toc129243138"/>
      <w:r w:rsidRPr="00475ABD">
        <w:rPr>
          <w:rFonts w:ascii="Times New Roman" w:hAnsi="Times New Roman" w:cs="Times New Roman"/>
        </w:rPr>
        <w:lastRenderedPageBreak/>
        <w:t>Pakuotės lapelis: informacija vartotojui</w:t>
      </w:r>
      <w:bookmarkEnd w:id="7"/>
      <w:bookmarkEnd w:id="8"/>
    </w:p>
    <w:p w:rsidR="00EC1CD3" w:rsidRPr="00475ABD" w:rsidRDefault="00EC1CD3" w:rsidP="00EC1CD3">
      <w:pPr>
        <w:pStyle w:val="BTEMEASMCA"/>
        <w:rPr>
          <w:rFonts w:ascii="Times New Roman" w:hAnsi="Times New Roman" w:cs="Times New Roman"/>
        </w:rPr>
      </w:pPr>
    </w:p>
    <w:p w:rsidR="00EC1CD3" w:rsidRPr="00475ABD" w:rsidRDefault="00EC1CD3" w:rsidP="00EC1CD3">
      <w:pPr>
        <w:jc w:val="center"/>
        <w:rPr>
          <w:b/>
          <w:sz w:val="22"/>
          <w:szCs w:val="22"/>
        </w:rPr>
      </w:pPr>
      <w:r w:rsidRPr="00475ABD">
        <w:rPr>
          <w:b/>
          <w:sz w:val="22"/>
          <w:szCs w:val="22"/>
        </w:rPr>
        <w:t>COAXIL 12,5 mg dengtos tabletės</w:t>
      </w:r>
    </w:p>
    <w:p w:rsidR="00EC1CD3" w:rsidRPr="00475ABD" w:rsidRDefault="00EC1CD3" w:rsidP="00EC1CD3">
      <w:pPr>
        <w:jc w:val="center"/>
        <w:rPr>
          <w:sz w:val="22"/>
          <w:szCs w:val="22"/>
        </w:rPr>
      </w:pPr>
      <w:proofErr w:type="spellStart"/>
      <w:r w:rsidRPr="00475ABD">
        <w:rPr>
          <w:sz w:val="22"/>
          <w:szCs w:val="22"/>
        </w:rPr>
        <w:t>Tianeptino</w:t>
      </w:r>
      <w:proofErr w:type="spellEnd"/>
      <w:r w:rsidRPr="00475ABD">
        <w:rPr>
          <w:sz w:val="22"/>
          <w:szCs w:val="22"/>
        </w:rPr>
        <w:t xml:space="preserve"> natrio druska</w:t>
      </w:r>
    </w:p>
    <w:p w:rsidR="00EC1CD3" w:rsidRPr="00475ABD" w:rsidRDefault="00EC1CD3" w:rsidP="00EC1CD3">
      <w:pPr>
        <w:rPr>
          <w:sz w:val="22"/>
          <w:szCs w:val="22"/>
        </w:rPr>
      </w:pPr>
    </w:p>
    <w:p w:rsidR="00EC1CD3" w:rsidRPr="00475ABD" w:rsidRDefault="00EC1CD3" w:rsidP="00EC1CD3">
      <w:pPr>
        <w:rPr>
          <w:b/>
          <w:sz w:val="22"/>
          <w:szCs w:val="22"/>
        </w:rPr>
      </w:pPr>
      <w:r w:rsidRPr="00475ABD">
        <w:rPr>
          <w:b/>
          <w:sz w:val="22"/>
          <w:szCs w:val="22"/>
        </w:rPr>
        <w:t>Atidžiai perskaitykite visą šį lapelį, prieš pradėdami vartoti vaistą, nes jame pateikiama Jums svarbi informacija.</w:t>
      </w:r>
    </w:p>
    <w:p w:rsidR="00EC1CD3" w:rsidRPr="00475ABD" w:rsidRDefault="00EC1CD3" w:rsidP="00EC1CD3">
      <w:pPr>
        <w:ind w:left="720" w:hanging="720"/>
        <w:rPr>
          <w:sz w:val="22"/>
          <w:szCs w:val="22"/>
        </w:rPr>
      </w:pPr>
      <w:r w:rsidRPr="00475ABD">
        <w:rPr>
          <w:sz w:val="22"/>
          <w:szCs w:val="22"/>
        </w:rPr>
        <w:t>-</w:t>
      </w:r>
      <w:r w:rsidRPr="00475ABD">
        <w:rPr>
          <w:sz w:val="22"/>
          <w:szCs w:val="22"/>
        </w:rPr>
        <w:tab/>
        <w:t>Neišmeskite šio lapelio, nes vėl gali prireikti jį perskaityti.</w:t>
      </w:r>
    </w:p>
    <w:p w:rsidR="00EC1CD3" w:rsidRPr="00475ABD" w:rsidRDefault="00EC1CD3" w:rsidP="00EC1CD3">
      <w:pPr>
        <w:ind w:left="720" w:hanging="720"/>
        <w:rPr>
          <w:sz w:val="22"/>
          <w:szCs w:val="22"/>
        </w:rPr>
      </w:pPr>
      <w:r w:rsidRPr="00475ABD">
        <w:rPr>
          <w:sz w:val="22"/>
          <w:szCs w:val="22"/>
        </w:rPr>
        <w:t>-</w:t>
      </w:r>
      <w:r w:rsidRPr="00475ABD">
        <w:rPr>
          <w:sz w:val="22"/>
          <w:szCs w:val="22"/>
        </w:rPr>
        <w:tab/>
        <w:t>Jeigu kiltų daugiau klausimų, kreipkitės į gydytoją arba vaistininką.</w:t>
      </w:r>
    </w:p>
    <w:p w:rsidR="00EC1CD3" w:rsidRPr="00475ABD" w:rsidRDefault="00EC1CD3" w:rsidP="00EC1CD3">
      <w:pPr>
        <w:ind w:left="720" w:hanging="720"/>
        <w:rPr>
          <w:sz w:val="22"/>
          <w:szCs w:val="22"/>
        </w:rPr>
      </w:pPr>
      <w:r w:rsidRPr="00475ABD">
        <w:rPr>
          <w:sz w:val="22"/>
          <w:szCs w:val="22"/>
        </w:rPr>
        <w:t>-</w:t>
      </w:r>
      <w:r w:rsidRPr="00475ABD">
        <w:rPr>
          <w:sz w:val="22"/>
          <w:szCs w:val="22"/>
        </w:rPr>
        <w:tab/>
        <w:t>Šis vaistas skirtas tik Jums, todėl kitiems žmonėms jo duoti negalima. Vaistas gali jiems pakenkti (net tiems, kurių ligos požymiai yra tokie patys kaip Jūsų).</w:t>
      </w:r>
    </w:p>
    <w:p w:rsidR="00EC1CD3" w:rsidRPr="00475ABD" w:rsidRDefault="00EC1CD3" w:rsidP="00EC1CD3">
      <w:pPr>
        <w:ind w:left="720" w:hanging="720"/>
        <w:rPr>
          <w:sz w:val="22"/>
          <w:szCs w:val="22"/>
        </w:rPr>
      </w:pPr>
      <w:r w:rsidRPr="00475ABD">
        <w:rPr>
          <w:sz w:val="22"/>
          <w:szCs w:val="22"/>
        </w:rPr>
        <w:t>-</w:t>
      </w:r>
      <w:r w:rsidRPr="00475ABD">
        <w:rPr>
          <w:sz w:val="22"/>
          <w:szCs w:val="22"/>
        </w:rPr>
        <w:tab/>
        <w:t>Jeigu pasireiškė šalutinis poveikis (net jeigu jis šiame lapelyje nenurodytas), kreipkitės į  gydytoją arba vaistininką.</w:t>
      </w:r>
    </w:p>
    <w:p w:rsidR="00EC1CD3" w:rsidRPr="00475ABD" w:rsidRDefault="00EC1CD3" w:rsidP="00EC1CD3">
      <w:pPr>
        <w:rPr>
          <w:sz w:val="22"/>
          <w:szCs w:val="22"/>
        </w:rPr>
      </w:pPr>
    </w:p>
    <w:p w:rsidR="00EC1CD3" w:rsidRPr="00475ABD" w:rsidRDefault="00EC1CD3" w:rsidP="00EC1CD3">
      <w:pPr>
        <w:rPr>
          <w:b/>
          <w:sz w:val="22"/>
          <w:szCs w:val="22"/>
        </w:rPr>
      </w:pPr>
      <w:r w:rsidRPr="00475ABD">
        <w:rPr>
          <w:b/>
          <w:sz w:val="22"/>
          <w:szCs w:val="22"/>
        </w:rPr>
        <w:t>Apie ką rašoma šiame lapelyje</w:t>
      </w:r>
    </w:p>
    <w:p w:rsidR="00EC1CD3" w:rsidRPr="00475ABD" w:rsidRDefault="00EC1CD3" w:rsidP="00EC1CD3">
      <w:pPr>
        <w:ind w:left="720" w:hanging="720"/>
        <w:rPr>
          <w:sz w:val="22"/>
          <w:szCs w:val="22"/>
        </w:rPr>
      </w:pPr>
      <w:r w:rsidRPr="00475ABD">
        <w:rPr>
          <w:sz w:val="22"/>
          <w:szCs w:val="22"/>
        </w:rPr>
        <w:t>1.</w:t>
      </w:r>
      <w:r w:rsidRPr="00475ABD">
        <w:rPr>
          <w:sz w:val="22"/>
          <w:szCs w:val="22"/>
        </w:rPr>
        <w:tab/>
        <w:t>Kas yra COAXIL ir kam jis vartojamas</w:t>
      </w:r>
    </w:p>
    <w:p w:rsidR="00EC1CD3" w:rsidRPr="00475ABD" w:rsidRDefault="00EC1CD3" w:rsidP="00EC1CD3">
      <w:pPr>
        <w:ind w:left="720" w:hanging="720"/>
        <w:rPr>
          <w:sz w:val="22"/>
          <w:szCs w:val="22"/>
        </w:rPr>
      </w:pPr>
      <w:r w:rsidRPr="00475ABD">
        <w:rPr>
          <w:sz w:val="22"/>
          <w:szCs w:val="22"/>
        </w:rPr>
        <w:t>2.</w:t>
      </w:r>
      <w:r w:rsidRPr="00475ABD">
        <w:rPr>
          <w:sz w:val="22"/>
          <w:szCs w:val="22"/>
        </w:rPr>
        <w:tab/>
        <w:t>Kas žinotina prieš vartojant COAXIL</w:t>
      </w:r>
    </w:p>
    <w:p w:rsidR="00EC1CD3" w:rsidRPr="00475ABD" w:rsidRDefault="00EC1CD3" w:rsidP="00EC1CD3">
      <w:pPr>
        <w:ind w:left="720" w:hanging="720"/>
        <w:rPr>
          <w:sz w:val="22"/>
          <w:szCs w:val="22"/>
        </w:rPr>
      </w:pPr>
      <w:r w:rsidRPr="00475ABD">
        <w:rPr>
          <w:sz w:val="22"/>
          <w:szCs w:val="22"/>
        </w:rPr>
        <w:t>3.</w:t>
      </w:r>
      <w:r w:rsidRPr="00475ABD">
        <w:rPr>
          <w:sz w:val="22"/>
          <w:szCs w:val="22"/>
        </w:rPr>
        <w:tab/>
        <w:t>Kaip vartoti COAXIL</w:t>
      </w:r>
    </w:p>
    <w:p w:rsidR="00EC1CD3" w:rsidRPr="00475ABD" w:rsidRDefault="00EC1CD3" w:rsidP="00EC1CD3">
      <w:pPr>
        <w:ind w:left="720" w:hanging="720"/>
        <w:rPr>
          <w:sz w:val="22"/>
          <w:szCs w:val="22"/>
        </w:rPr>
      </w:pPr>
      <w:r w:rsidRPr="00475ABD">
        <w:rPr>
          <w:sz w:val="22"/>
          <w:szCs w:val="22"/>
        </w:rPr>
        <w:t>4.</w:t>
      </w:r>
      <w:r w:rsidRPr="00475ABD">
        <w:rPr>
          <w:sz w:val="22"/>
          <w:szCs w:val="22"/>
        </w:rPr>
        <w:tab/>
        <w:t>Galimas šalutinis poveikis</w:t>
      </w:r>
    </w:p>
    <w:p w:rsidR="00EC1CD3" w:rsidRPr="00475ABD" w:rsidRDefault="00EC1CD3" w:rsidP="00EC1CD3">
      <w:pPr>
        <w:ind w:left="720" w:hanging="720"/>
        <w:rPr>
          <w:sz w:val="22"/>
          <w:szCs w:val="22"/>
        </w:rPr>
      </w:pPr>
      <w:r w:rsidRPr="00475ABD">
        <w:rPr>
          <w:sz w:val="22"/>
          <w:szCs w:val="22"/>
        </w:rPr>
        <w:t>5.</w:t>
      </w:r>
      <w:r w:rsidRPr="00475ABD">
        <w:rPr>
          <w:sz w:val="22"/>
          <w:szCs w:val="22"/>
        </w:rPr>
        <w:tab/>
        <w:t>Kaip laikyti COAXIL</w:t>
      </w:r>
    </w:p>
    <w:p w:rsidR="00EC1CD3" w:rsidRPr="00475ABD" w:rsidRDefault="00EC1CD3" w:rsidP="00EC1CD3">
      <w:pPr>
        <w:ind w:left="720" w:hanging="720"/>
        <w:rPr>
          <w:sz w:val="22"/>
          <w:szCs w:val="22"/>
        </w:rPr>
      </w:pPr>
      <w:r w:rsidRPr="00475ABD">
        <w:rPr>
          <w:sz w:val="22"/>
          <w:szCs w:val="22"/>
        </w:rPr>
        <w:t>6.</w:t>
      </w:r>
      <w:r w:rsidRPr="00475ABD">
        <w:rPr>
          <w:sz w:val="22"/>
          <w:szCs w:val="22"/>
        </w:rPr>
        <w:tab/>
        <w:t>Pakuotės turinys ir kita informacija</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EMEASMCA"/>
      </w:pPr>
      <w:bookmarkStart w:id="9" w:name="_Toc129243264"/>
      <w:bookmarkStart w:id="10" w:name="_Toc129243139"/>
      <w:r w:rsidRPr="00475ABD">
        <w:t>1.</w:t>
      </w:r>
      <w:r w:rsidRPr="00475ABD">
        <w:tab/>
        <w:t>Kas yra COAXIL ir kam jis vartojamas</w:t>
      </w:r>
      <w:bookmarkEnd w:id="9"/>
      <w:bookmarkEnd w:id="10"/>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 xml:space="preserve">COAXIL yra antidepresantas. </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Coaxil gydomi lengvi, vidutinio sunkumo ar sunkūs didžiosios depresijos epizodai.</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EMEASMCA"/>
      </w:pPr>
      <w:bookmarkStart w:id="11" w:name="_Toc129243265"/>
      <w:bookmarkStart w:id="12" w:name="_Toc129243140"/>
      <w:r w:rsidRPr="00475ABD">
        <w:t>2.</w:t>
      </w:r>
      <w:r w:rsidRPr="00475ABD">
        <w:tab/>
        <w:t xml:space="preserve">Kas žinotina prieš vartojant </w:t>
      </w:r>
      <w:bookmarkEnd w:id="11"/>
      <w:bookmarkEnd w:id="12"/>
      <w:r w:rsidRPr="00475ABD">
        <w:t>COAXIL</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3EMEASMCA"/>
      </w:pPr>
      <w:r w:rsidRPr="00475ABD">
        <w:t>COAXIL vartoti negalima:</w:t>
      </w:r>
    </w:p>
    <w:p w:rsidR="00EC1CD3" w:rsidRPr="00475ABD" w:rsidRDefault="00EC1CD3" w:rsidP="00EC1CD3">
      <w:pPr>
        <w:ind w:left="720" w:hanging="720"/>
        <w:rPr>
          <w:sz w:val="22"/>
          <w:szCs w:val="22"/>
        </w:rPr>
      </w:pPr>
      <w:r w:rsidRPr="00475ABD">
        <w:rPr>
          <w:sz w:val="22"/>
          <w:szCs w:val="22"/>
        </w:rPr>
        <w:t>-</w:t>
      </w:r>
      <w:r w:rsidRPr="00475ABD">
        <w:rPr>
          <w:sz w:val="22"/>
          <w:szCs w:val="22"/>
        </w:rPr>
        <w:tab/>
        <w:t>vaikams, jaunesniems kaip 15 metų;</w:t>
      </w:r>
    </w:p>
    <w:p w:rsidR="00EC1CD3" w:rsidRPr="00475ABD" w:rsidRDefault="00EC1CD3" w:rsidP="00EC1CD3">
      <w:pPr>
        <w:ind w:left="720" w:hanging="720"/>
        <w:rPr>
          <w:sz w:val="22"/>
          <w:szCs w:val="22"/>
        </w:rPr>
      </w:pPr>
      <w:r w:rsidRPr="00475ABD">
        <w:rPr>
          <w:sz w:val="22"/>
          <w:szCs w:val="22"/>
        </w:rPr>
        <w:t>-</w:t>
      </w:r>
      <w:r w:rsidRPr="00475ABD">
        <w:rPr>
          <w:sz w:val="22"/>
          <w:szCs w:val="22"/>
        </w:rPr>
        <w:tab/>
        <w:t xml:space="preserve">kartu vartojant neselektyvių </w:t>
      </w:r>
      <w:proofErr w:type="spellStart"/>
      <w:r w:rsidRPr="00475ABD">
        <w:rPr>
          <w:sz w:val="22"/>
          <w:szCs w:val="22"/>
        </w:rPr>
        <w:t>monoaminoksidazės</w:t>
      </w:r>
      <w:proofErr w:type="spellEnd"/>
      <w:r w:rsidRPr="00475ABD">
        <w:rPr>
          <w:sz w:val="22"/>
          <w:szCs w:val="22"/>
        </w:rPr>
        <w:t xml:space="preserve"> inhibitorių (MAOI) grupės vaistus depresijai gydyti (žr. „Kiti vaistai ir COAXIL“). Jeigu norite nuo gydymo MAOI pereiti prie gydymo </w:t>
      </w:r>
      <w:proofErr w:type="spellStart"/>
      <w:r w:rsidRPr="00475ABD">
        <w:rPr>
          <w:sz w:val="22"/>
          <w:szCs w:val="22"/>
        </w:rPr>
        <w:t>tianeptinu</w:t>
      </w:r>
      <w:proofErr w:type="spellEnd"/>
      <w:r w:rsidRPr="00475ABD">
        <w:rPr>
          <w:sz w:val="22"/>
          <w:szCs w:val="22"/>
        </w:rPr>
        <w:t xml:space="preserve">, </w:t>
      </w:r>
      <w:proofErr w:type="spellStart"/>
      <w:r w:rsidRPr="00475ABD">
        <w:rPr>
          <w:sz w:val="22"/>
          <w:szCs w:val="22"/>
        </w:rPr>
        <w:t>tianeptiną</w:t>
      </w:r>
      <w:proofErr w:type="spellEnd"/>
      <w:r w:rsidRPr="00475ABD">
        <w:rPr>
          <w:sz w:val="22"/>
          <w:szCs w:val="22"/>
        </w:rPr>
        <w:t xml:space="preserve"> pradėkite vartoti praėjus 14 parų nuo MAOI vartojimo nutraukimo. Pereinant nuo gydymo </w:t>
      </w:r>
      <w:proofErr w:type="spellStart"/>
      <w:r w:rsidRPr="00475ABD">
        <w:rPr>
          <w:sz w:val="22"/>
          <w:szCs w:val="22"/>
        </w:rPr>
        <w:t>tianeptinu</w:t>
      </w:r>
      <w:proofErr w:type="spellEnd"/>
      <w:r w:rsidRPr="00475ABD">
        <w:rPr>
          <w:sz w:val="22"/>
          <w:szCs w:val="22"/>
        </w:rPr>
        <w:t xml:space="preserve"> prie gydymo MAOI pakanka 24 valandų pereinamojo periodo.</w:t>
      </w:r>
    </w:p>
    <w:p w:rsidR="00EC1CD3" w:rsidRPr="00475ABD" w:rsidRDefault="00EC1CD3" w:rsidP="00EC1CD3">
      <w:pPr>
        <w:ind w:left="720" w:hanging="720"/>
        <w:rPr>
          <w:sz w:val="22"/>
          <w:szCs w:val="22"/>
        </w:rPr>
      </w:pPr>
      <w:r w:rsidRPr="00475ABD">
        <w:rPr>
          <w:sz w:val="22"/>
          <w:szCs w:val="22"/>
        </w:rPr>
        <w:t>-</w:t>
      </w:r>
      <w:r w:rsidRPr="00475ABD">
        <w:rPr>
          <w:sz w:val="22"/>
          <w:szCs w:val="22"/>
        </w:rPr>
        <w:tab/>
        <w:t>jeigu yra alergija veikliajai medžiagai arba bet kuriai pagalbinei šio vaisto medžiagai (jos išvardytos 6 skyriuje);</w:t>
      </w:r>
    </w:p>
    <w:p w:rsidR="00EC1CD3" w:rsidRPr="00475ABD" w:rsidRDefault="00EC1CD3" w:rsidP="00EC1CD3">
      <w:pPr>
        <w:tabs>
          <w:tab w:val="left" w:pos="720"/>
          <w:tab w:val="left" w:pos="1260"/>
        </w:tabs>
        <w:ind w:left="720" w:hanging="720"/>
        <w:rPr>
          <w:sz w:val="22"/>
          <w:szCs w:val="22"/>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Jeigu kuri nors minėta būklė yra, būtina informuoti gydytoją prieš vaisto vartojimą.</w:t>
      </w:r>
    </w:p>
    <w:p w:rsidR="00EC1CD3" w:rsidRPr="00475ABD" w:rsidRDefault="00EC1CD3" w:rsidP="00EC1CD3">
      <w:pPr>
        <w:pStyle w:val="BT-EMEASMCA"/>
        <w:numPr>
          <w:ilvl w:val="0"/>
          <w:numId w:val="0"/>
        </w:numPr>
        <w:rPr>
          <w:rFonts w:ascii="Times New Roman" w:hAnsi="Times New Roman" w:cs="Times New Roman"/>
        </w:rPr>
      </w:pPr>
    </w:p>
    <w:p w:rsidR="00EC1CD3" w:rsidRPr="00475ABD" w:rsidRDefault="00EC1CD3" w:rsidP="00EC1CD3">
      <w:pPr>
        <w:pStyle w:val="PI-3EMEASMCA"/>
      </w:pPr>
      <w:r w:rsidRPr="00475ABD">
        <w:t>Įspėjimai ir atsargumo priemonės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Pasitarkite su gydytoju arba vaistininku, prieš pradėdami vartoti COAXIL.</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Mintys apie savižudybę ir depresijos pasunkėjimas</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 xml:space="preserve">Jeigu sergate depresija, jums kartais gali kilti minčių apie savęs žalojimą ar savižudybę. Tokių minčių gali padaugėti pirmą kartą pradėjus vartoti vaistų nuo </w:t>
      </w:r>
      <w:r w:rsidRPr="00475ABD">
        <w:rPr>
          <w:rFonts w:ascii="Times New Roman" w:hAnsi="Times New Roman" w:cs="Times New Roman"/>
        </w:rPr>
        <w:lastRenderedPageBreak/>
        <w:t>depresijos, nes vartojant tokius vaistus užtrunka, kol jie pradeda veikti (paprastai apie dvi savaites, o kartais ir daugiau).</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Tokių minčių gali padaugėti, jei:</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w:t>
      </w:r>
      <w:r w:rsidRPr="00475ABD">
        <w:rPr>
          <w:rFonts w:ascii="Times New Roman" w:hAnsi="Times New Roman" w:cs="Times New Roman"/>
        </w:rPr>
        <w:tab/>
        <w:t>jau anksčiau yra kilusių minčių apie savižudybę arba apie savęs žalojimą;</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w:t>
      </w:r>
      <w:r w:rsidRPr="00475ABD">
        <w:rPr>
          <w:rFonts w:ascii="Times New Roman" w:hAnsi="Times New Roman" w:cs="Times New Roman"/>
        </w:rPr>
        <w:tab/>
        <w:t>esate jaunas suaugęs žmogus. Klinikinių tyrimų metu gauta duomenų, kad suaugusiems žmonėms (jaunesniems kaip 25 metų), sergantiems psichikos liga ir vartojantiems antidepresantų, padidėja su savižudybe susijusio elgesio pavojus.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Bet kuriuo metu, jeigu jums kyla minčių apie savęs žalojimą arba savižudybę, nedelsdami kreipkitės į savo gydytoją arba vykite į ligoninę.</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Gali būti naudinga pasakyti giminaičiams ar artimiems draugams, kad sergate depresija arba jaučiate nerimą, bei pasiūlyti jiems perskaityti šį pakuotės lapelį. Galite paprašyti, kad pasakytų jums, jei jiems atrodo, kad depresija ar nerimas pasunkėjo, arba jei jiems nerimą kelia jūsų elgesys.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Gydantis COAXIL, alkoholio gerti draudžiama.</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Jei reikia atlikti bendrąją anesteziją, informuokite anesteziologą apie šio preparato vartojimą. Gydymą reikia nutraukti likus 24-48 valandoms iki operacijos.</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Ilgą laiką trunkantis vaisto vartojimas didelėmis dozėmis gali sukelti priklausomybę.</w:t>
      </w:r>
    </w:p>
    <w:p w:rsidR="00EC1CD3" w:rsidRPr="00475ABD" w:rsidRDefault="00EC1CD3" w:rsidP="00EC1CD3">
      <w:pPr>
        <w:pStyle w:val="BTEMEASMCA"/>
        <w:rPr>
          <w:rFonts w:ascii="Times New Roman" w:hAnsi="Times New Roman" w:cs="Times New Roman"/>
          <w:i/>
        </w:rPr>
      </w:pPr>
      <w:r w:rsidRPr="00475ABD">
        <w:rPr>
          <w:rFonts w:ascii="Times New Roman" w:hAnsi="Times New Roman" w:cs="Times New Roman"/>
        </w:rPr>
        <w:t xml:space="preserve">COAXIL vartojimo negalima nutraukti staigiai. Gydymas nutraukiamas palaipsniui mažinant dozę per </w:t>
      </w:r>
      <w:r w:rsidRPr="00475ABD">
        <w:rPr>
          <w:rFonts w:ascii="Times New Roman" w:hAnsi="Times New Roman" w:cs="Times New Roman"/>
          <w:i/>
        </w:rPr>
        <w:t>7-14 dienų.</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Neviršykite rekomenduojamų dozių.</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Jeigu dėl ko nors abejojama, reikia pasiklausti gydytojo arba vaistininko.</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b/>
        </w:rPr>
      </w:pPr>
      <w:r w:rsidRPr="00475ABD">
        <w:rPr>
          <w:rFonts w:ascii="Times New Roman" w:hAnsi="Times New Roman" w:cs="Times New Roman"/>
          <w:b/>
        </w:rPr>
        <w:t>Vaikams ir paaugliams</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COAXIL nėra skirtas vaikams ar paaugliams (iki 18 metų).</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3EMEASMCA"/>
      </w:pPr>
      <w:r w:rsidRPr="00475ABD">
        <w:t>Kiti vaistai ir COAXIL</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 xml:space="preserve">Jeigu vartojate ar neseniai vartojote kitų vaistų arba dėl to nesate tikri, apie tai pasakykite gydytojui arba vaistininkui. </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Šio vaisto vartojimas kartu su tam tikrais MAOI grupės vaistais (išrašomais depresijos atvejais) gali turėti labai sunkių pasekmių, tokių kaip aukštas kraujo spaudimas, ypatingai aukšta kūno temperatūra, traukuliai, mirtis.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3EMEASMCA"/>
        <w:keepNext/>
        <w:keepLines/>
      </w:pPr>
      <w:r w:rsidRPr="00475ABD">
        <w:t>Nėštumas, žindymo laikotarpis ir vaisingumas</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Jeigu esate nėščia, žindote kūdikį, manote, kad galbūt esate nėščia arba planuojate pastoti, tai prieš vartodama šį vaistą pasitarkite su gydytoju arba vaistininku.</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Nėščioms ir kūdikį krūtimi maitinančioms moterims šio preparato vartoti draudžiama.</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3EMEASMCA"/>
        <w:keepNext/>
        <w:keepLines/>
      </w:pPr>
      <w:r w:rsidRPr="00475ABD">
        <w:t>Vairavimas ir mechanizmų valdymas</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Kai kuriems žmonėms COAXIL gali sumažinti budrumą, ypač esant alkoholio poveikiui. Dėl šios priežasties vairuojantiems arba valdantiems mechanizmus žmonėms reikia atkreipti dėmesį į mieguistumo, kurį gali sukelti Coaxil vartojimas, pasireiškimo galimybę.</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3EMEASMCA"/>
      </w:pPr>
      <w:r w:rsidRPr="00475ABD">
        <w:t>COAXIL sudėtyje yra sacharozės</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lastRenderedPageBreak/>
        <w:t>Jei gydytojas Jums kada yra sakęs, kad netoleruojate kai kurių cukraus rūšių, prieš vartodami šio vaisto pasitarkite su gydytoju.</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EMEASMCA"/>
      </w:pPr>
      <w:bookmarkStart w:id="13" w:name="_Toc129243266"/>
      <w:bookmarkStart w:id="14" w:name="_Toc129243141"/>
      <w:r w:rsidRPr="00475ABD">
        <w:t>3.</w:t>
      </w:r>
      <w:r w:rsidRPr="00475ABD">
        <w:tab/>
        <w:t xml:space="preserve">Kaip vartoti </w:t>
      </w:r>
      <w:bookmarkEnd w:id="13"/>
      <w:bookmarkEnd w:id="14"/>
      <w:r w:rsidRPr="00475ABD">
        <w:t>COAXIL</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Visada vartokite šį vaistą tiksliai, kaip nurodė gydytojas. Jeigu abejojate, kreipkitės į gydytoją arba vaistininką.</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COAXIL tabletės geriamos.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Rekomenduojama dienos dozė yra 3 dengtos tabletės. Paprastai reikia gerti po 1 COAXIL dengtą tabletę 3 kartus per dieną: ryte, vidurdienį ir vakare, prieš valgį arba jo metu.</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Vyresniems nei 70 metų žmonėms bei inkstų funkcijos nepakankamumu sergantiems ligoniams reikia vartoti mažesnę dozę, t. y. po 2 dengtas tabletes per dieną.</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 xml:space="preserve">Alkoholikams, nepaisant to, ar yra kepenų cirozė, ar jos nėra, dozės keisti nereikia. </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3EMEASMCA"/>
      </w:pPr>
      <w:r w:rsidRPr="00475ABD">
        <w:t>Pavartojus per didelę COAXIL dozę?</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Pavartojus per didelę COAXIL dozę, būtina tuoj pat kreiptis į gydytoją.</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3EMEASMCA"/>
      </w:pPr>
      <w:r w:rsidRPr="00475ABD">
        <w:t>Pamiršus pavartoti COAXIL</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Negalima vartoti dvigubos dozės norint kompensuoti praleistą dozę.</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Tokiu atveju toliau vaisto reikia vartoti įprastine tvarka, t. y. gerti 1 dengtą tabletę prieš valgį.</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3EMEASMCA"/>
      </w:pPr>
      <w:r w:rsidRPr="00475ABD">
        <w:t>Nustojus vartoti COAXIL</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Gydymo COAXIL staigiai nenutraukite, bet mažinkite dozę palaipsniui per 7–14 dienų laikotarpį.</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Jeigu kiltų daugiau klausimų dėl šio vaisto vartojimo, kreipkitės į gydytoją arba vaistininką.</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EMEASMCA"/>
      </w:pPr>
      <w:bookmarkStart w:id="15" w:name="_Toc129243267"/>
      <w:bookmarkStart w:id="16" w:name="_Toc129243142"/>
      <w:r w:rsidRPr="00475ABD">
        <w:t>4.</w:t>
      </w:r>
      <w:r w:rsidRPr="00475ABD">
        <w:tab/>
        <w:t>Galimas šalutinis poveikis</w:t>
      </w:r>
      <w:bookmarkEnd w:id="15"/>
      <w:bookmarkEnd w:id="16"/>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Šis vaistas, kaip ir visi kiti, gali sukelti šalutinį poveikį, nors jis pasireiškia ne visiems žmonėms.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Coaxil šalutinio poveikio simptomai, apie kuriuos gauta pranešimų, yra nedidelio intensyvumo. Tai dažniausiai yra pykinimas, vidurių užkietėjimas, pilvo skausmas, mieguistumas, galvos skausmas, burnos džiūvimas ir galvos svaigimas.</w:t>
      </w:r>
    </w:p>
    <w:p w:rsidR="00EC1CD3" w:rsidRPr="00475ABD" w:rsidRDefault="00EC1CD3" w:rsidP="00EC1CD3">
      <w:pPr>
        <w:pStyle w:val="BTEMEASMCA"/>
        <w:rPr>
          <w:rFonts w:ascii="Times New Roman" w:hAnsi="Times New Roman" w:cs="Times New Roman"/>
        </w:rPr>
      </w:pPr>
    </w:p>
    <w:p w:rsidR="00EC1CD3" w:rsidRPr="00475ABD" w:rsidRDefault="00EC1CD3" w:rsidP="00EC1CD3">
      <w:pPr>
        <w:rPr>
          <w:sz w:val="22"/>
          <w:szCs w:val="22"/>
        </w:rPr>
      </w:pPr>
      <w:r w:rsidRPr="00475ABD">
        <w:rPr>
          <w:sz w:val="22"/>
          <w:szCs w:val="22"/>
        </w:rPr>
        <w:t>Galimų šalutinio poveikio simptomų pasireiškimo dažnis yra išvardytas pagal tokią sistemą:</w:t>
      </w:r>
    </w:p>
    <w:p w:rsidR="00EC1CD3" w:rsidRPr="00475ABD" w:rsidRDefault="00EC1CD3" w:rsidP="00EC1CD3">
      <w:pPr>
        <w:rPr>
          <w:sz w:val="22"/>
          <w:szCs w:val="22"/>
        </w:rPr>
      </w:pPr>
      <w:r w:rsidRPr="00475ABD">
        <w:rPr>
          <w:sz w:val="22"/>
          <w:szCs w:val="22"/>
        </w:rPr>
        <w:t>-</w:t>
      </w:r>
      <w:r w:rsidRPr="00475ABD">
        <w:rPr>
          <w:sz w:val="22"/>
          <w:szCs w:val="22"/>
        </w:rPr>
        <w:tab/>
        <w:t>labai dažni (pasireiškia daugiau kaip 1 vartotojui iš 10);</w:t>
      </w:r>
    </w:p>
    <w:p w:rsidR="00EC1CD3" w:rsidRPr="00475ABD" w:rsidRDefault="00EC1CD3" w:rsidP="00EC1CD3">
      <w:pPr>
        <w:rPr>
          <w:sz w:val="22"/>
          <w:szCs w:val="22"/>
        </w:rPr>
      </w:pPr>
      <w:r w:rsidRPr="00475ABD">
        <w:rPr>
          <w:sz w:val="22"/>
          <w:szCs w:val="22"/>
        </w:rPr>
        <w:t>-</w:t>
      </w:r>
      <w:r w:rsidRPr="00475ABD">
        <w:rPr>
          <w:sz w:val="22"/>
          <w:szCs w:val="22"/>
        </w:rPr>
        <w:tab/>
        <w:t>dažni (pasireiškia nuo 1 iki 10 vartotojų iš 100);</w:t>
      </w:r>
    </w:p>
    <w:p w:rsidR="00EC1CD3" w:rsidRPr="00475ABD" w:rsidRDefault="00EC1CD3" w:rsidP="00EC1CD3">
      <w:pPr>
        <w:rPr>
          <w:sz w:val="22"/>
          <w:szCs w:val="22"/>
        </w:rPr>
      </w:pPr>
      <w:r w:rsidRPr="00475ABD">
        <w:rPr>
          <w:sz w:val="22"/>
          <w:szCs w:val="22"/>
        </w:rPr>
        <w:t>-</w:t>
      </w:r>
      <w:r w:rsidRPr="00475ABD">
        <w:rPr>
          <w:sz w:val="22"/>
          <w:szCs w:val="22"/>
        </w:rPr>
        <w:tab/>
        <w:t>nedažni (pasireiškia nuo 1 iki 10 vartotojų iš 1000);</w:t>
      </w:r>
    </w:p>
    <w:p w:rsidR="00EC1CD3" w:rsidRPr="00475ABD" w:rsidRDefault="00EC1CD3" w:rsidP="00EC1CD3">
      <w:pPr>
        <w:rPr>
          <w:sz w:val="22"/>
          <w:szCs w:val="22"/>
        </w:rPr>
      </w:pPr>
      <w:r w:rsidRPr="00475ABD">
        <w:rPr>
          <w:sz w:val="22"/>
          <w:szCs w:val="22"/>
        </w:rPr>
        <w:t>-</w:t>
      </w:r>
      <w:r w:rsidRPr="00475ABD">
        <w:rPr>
          <w:sz w:val="22"/>
          <w:szCs w:val="22"/>
        </w:rPr>
        <w:tab/>
        <w:t>reti (pasireiškia nuo 1 iki 10 vartotojų iš 10 000);</w:t>
      </w:r>
    </w:p>
    <w:p w:rsidR="00EC1CD3" w:rsidRPr="00475ABD" w:rsidRDefault="00EC1CD3" w:rsidP="00EC1CD3">
      <w:pPr>
        <w:rPr>
          <w:sz w:val="22"/>
          <w:szCs w:val="22"/>
        </w:rPr>
      </w:pPr>
      <w:r w:rsidRPr="00475ABD">
        <w:rPr>
          <w:sz w:val="22"/>
          <w:szCs w:val="22"/>
        </w:rPr>
        <w:t>-</w:t>
      </w:r>
      <w:r w:rsidRPr="00475ABD">
        <w:rPr>
          <w:sz w:val="22"/>
          <w:szCs w:val="22"/>
        </w:rPr>
        <w:tab/>
        <w:t>labai reti (pasireiškia mažiau kaip 1 vartotojui iš 10 000);</w:t>
      </w:r>
    </w:p>
    <w:p w:rsidR="00EC1CD3" w:rsidRPr="00475ABD" w:rsidRDefault="00EC1CD3" w:rsidP="00EC1CD3">
      <w:pPr>
        <w:autoSpaceDE w:val="0"/>
        <w:contextualSpacing/>
        <w:rPr>
          <w:sz w:val="22"/>
          <w:szCs w:val="22"/>
        </w:rPr>
      </w:pPr>
      <w:r w:rsidRPr="00475ABD">
        <w:rPr>
          <w:sz w:val="22"/>
          <w:szCs w:val="22"/>
        </w:rPr>
        <w:lastRenderedPageBreak/>
        <w:t>-</w:t>
      </w:r>
      <w:r w:rsidRPr="00475ABD">
        <w:rPr>
          <w:sz w:val="22"/>
          <w:szCs w:val="22"/>
        </w:rPr>
        <w:tab/>
        <w:t>dažnis nežinomas (dažnis negali būti įvertintas pagal turimus duomenis).</w:t>
      </w:r>
    </w:p>
    <w:p w:rsidR="00EC1CD3" w:rsidRPr="00475ABD" w:rsidRDefault="00EC1CD3" w:rsidP="00EC1CD3">
      <w:pPr>
        <w:pStyle w:val="BTEMEASMCA"/>
        <w:rPr>
          <w:rFonts w:ascii="Times New Roman" w:hAnsi="Times New Roman" w:cs="Times New Roman"/>
        </w:rPr>
      </w:pPr>
    </w:p>
    <w:p w:rsidR="00EC1CD3" w:rsidRPr="00475ABD" w:rsidRDefault="00EC1CD3" w:rsidP="00EC1CD3">
      <w:pPr>
        <w:rPr>
          <w:sz w:val="22"/>
          <w:szCs w:val="22"/>
        </w:rPr>
      </w:pPr>
      <w:r w:rsidRPr="00475ABD">
        <w:rPr>
          <w:sz w:val="22"/>
          <w:szCs w:val="22"/>
        </w:rPr>
        <w:t>Dažni šalutinio poveikio simptomai:</w:t>
      </w:r>
    </w:p>
    <w:p w:rsidR="00EC1CD3" w:rsidRPr="00475ABD" w:rsidRDefault="00EC1CD3" w:rsidP="00EC1CD3">
      <w:pPr>
        <w:rPr>
          <w:sz w:val="22"/>
          <w:szCs w:val="22"/>
        </w:rPr>
      </w:pPr>
      <w:r w:rsidRPr="00475ABD">
        <w:rPr>
          <w:sz w:val="22"/>
          <w:szCs w:val="22"/>
        </w:rPr>
        <w:t>-</w:t>
      </w:r>
      <w:r w:rsidRPr="00475ABD">
        <w:rPr>
          <w:sz w:val="22"/>
          <w:szCs w:val="22"/>
        </w:rPr>
        <w:tab/>
        <w:t>apetito praradimas;</w:t>
      </w:r>
    </w:p>
    <w:p w:rsidR="00EC1CD3" w:rsidRPr="00475ABD" w:rsidRDefault="00EC1CD3" w:rsidP="00EC1CD3">
      <w:pPr>
        <w:rPr>
          <w:sz w:val="22"/>
          <w:szCs w:val="22"/>
        </w:rPr>
      </w:pPr>
      <w:r w:rsidRPr="00475ABD">
        <w:rPr>
          <w:sz w:val="22"/>
          <w:szCs w:val="22"/>
        </w:rPr>
        <w:t>-</w:t>
      </w:r>
      <w:r w:rsidRPr="00475ABD">
        <w:rPr>
          <w:sz w:val="22"/>
          <w:szCs w:val="22"/>
        </w:rPr>
        <w:tab/>
        <w:t>naktiniai košmarai, sunkumas miegoti, nemiga, galvos svaigimas, galvos skausmas, bendras negalavimas, drebėjimas (</w:t>
      </w:r>
      <w:proofErr w:type="spellStart"/>
      <w:r w:rsidRPr="00475ABD">
        <w:rPr>
          <w:sz w:val="22"/>
          <w:szCs w:val="22"/>
        </w:rPr>
        <w:t>tremoras</w:t>
      </w:r>
      <w:proofErr w:type="spellEnd"/>
      <w:r w:rsidRPr="00475ABD">
        <w:rPr>
          <w:sz w:val="22"/>
          <w:szCs w:val="22"/>
        </w:rPr>
        <w:t>);</w:t>
      </w:r>
    </w:p>
    <w:p w:rsidR="00EC1CD3" w:rsidRPr="00475ABD" w:rsidRDefault="00EC1CD3" w:rsidP="00EC1CD3">
      <w:pPr>
        <w:rPr>
          <w:sz w:val="22"/>
          <w:szCs w:val="22"/>
        </w:rPr>
      </w:pPr>
      <w:r w:rsidRPr="00475ABD">
        <w:rPr>
          <w:sz w:val="22"/>
          <w:szCs w:val="22"/>
        </w:rPr>
        <w:t>-</w:t>
      </w:r>
      <w:r w:rsidRPr="00475ABD">
        <w:rPr>
          <w:sz w:val="22"/>
          <w:szCs w:val="22"/>
        </w:rPr>
        <w:tab/>
      </w:r>
      <w:proofErr w:type="spellStart"/>
      <w:r w:rsidRPr="00475ABD">
        <w:rPr>
          <w:sz w:val="22"/>
          <w:szCs w:val="22"/>
        </w:rPr>
        <w:t>palpitacijos</w:t>
      </w:r>
      <w:proofErr w:type="spellEnd"/>
      <w:r w:rsidRPr="00475ABD">
        <w:rPr>
          <w:sz w:val="22"/>
          <w:szCs w:val="22"/>
        </w:rPr>
        <w:t>, nenormalus širdies plakimo jautimas, skausmas širdies ploto priekinėje srityje, kraujo suplūdimas į veidą, sunkumas kvėpuoti;</w:t>
      </w:r>
    </w:p>
    <w:p w:rsidR="00EC1CD3" w:rsidRPr="00475ABD" w:rsidRDefault="00EC1CD3" w:rsidP="00EC1CD3">
      <w:pPr>
        <w:rPr>
          <w:sz w:val="22"/>
          <w:szCs w:val="22"/>
        </w:rPr>
      </w:pPr>
      <w:r w:rsidRPr="00475ABD">
        <w:rPr>
          <w:sz w:val="22"/>
          <w:szCs w:val="22"/>
        </w:rPr>
        <w:t>-</w:t>
      </w:r>
      <w:r w:rsidRPr="00475ABD">
        <w:rPr>
          <w:sz w:val="22"/>
          <w:szCs w:val="22"/>
        </w:rPr>
        <w:tab/>
        <w:t>skrandžio skausmas, pilvo skausmas, burnos džiūvimas, pykinimas, vėmimas, vidurių užkietėjimas, dujų kaupimasis žarnyne;</w:t>
      </w:r>
    </w:p>
    <w:p w:rsidR="00EC1CD3" w:rsidRPr="00475ABD" w:rsidRDefault="00EC1CD3" w:rsidP="00EC1CD3">
      <w:pPr>
        <w:rPr>
          <w:sz w:val="22"/>
          <w:szCs w:val="22"/>
        </w:rPr>
      </w:pPr>
      <w:r w:rsidRPr="00475ABD">
        <w:rPr>
          <w:sz w:val="22"/>
          <w:szCs w:val="22"/>
        </w:rPr>
        <w:t>-</w:t>
      </w:r>
      <w:r w:rsidRPr="00475ABD">
        <w:rPr>
          <w:sz w:val="22"/>
          <w:szCs w:val="22"/>
        </w:rPr>
        <w:tab/>
        <w:t>raumenų skausmas, skausmas apatinėje nugaros srityje;</w:t>
      </w:r>
    </w:p>
    <w:p w:rsidR="00EC1CD3" w:rsidRPr="00475ABD" w:rsidRDefault="00EC1CD3" w:rsidP="00EC1CD3">
      <w:pPr>
        <w:rPr>
          <w:sz w:val="22"/>
          <w:szCs w:val="22"/>
        </w:rPr>
      </w:pPr>
      <w:r w:rsidRPr="00475ABD">
        <w:rPr>
          <w:sz w:val="22"/>
          <w:szCs w:val="22"/>
        </w:rPr>
        <w:t>-</w:t>
      </w:r>
      <w:r w:rsidRPr="00475ABD">
        <w:rPr>
          <w:sz w:val="22"/>
          <w:szCs w:val="22"/>
        </w:rPr>
        <w:tab/>
        <w:t>silpnumo pojūtis, gumulo pojūtis gerklėje.</w:t>
      </w:r>
    </w:p>
    <w:p w:rsidR="00EC1CD3" w:rsidRPr="00475ABD" w:rsidRDefault="00EC1CD3" w:rsidP="00EC1CD3">
      <w:pPr>
        <w:rPr>
          <w:sz w:val="22"/>
          <w:szCs w:val="22"/>
        </w:rPr>
      </w:pPr>
    </w:p>
    <w:p w:rsidR="00EC1CD3" w:rsidRPr="00475ABD" w:rsidRDefault="00EC1CD3" w:rsidP="00EC1CD3">
      <w:pPr>
        <w:keepNext/>
        <w:rPr>
          <w:sz w:val="22"/>
          <w:szCs w:val="22"/>
        </w:rPr>
      </w:pPr>
      <w:r w:rsidRPr="00475ABD">
        <w:rPr>
          <w:sz w:val="22"/>
          <w:szCs w:val="22"/>
        </w:rPr>
        <w:t>Nedažni šalutinio poveikio simptomai:</w:t>
      </w:r>
    </w:p>
    <w:p w:rsidR="00EC1CD3" w:rsidRPr="00475ABD" w:rsidRDefault="00EC1CD3" w:rsidP="00EC1CD3">
      <w:pPr>
        <w:keepNext/>
        <w:rPr>
          <w:sz w:val="22"/>
          <w:szCs w:val="22"/>
        </w:rPr>
      </w:pPr>
      <w:r w:rsidRPr="00475ABD">
        <w:rPr>
          <w:sz w:val="22"/>
          <w:szCs w:val="22"/>
        </w:rPr>
        <w:t>-</w:t>
      </w:r>
      <w:r w:rsidRPr="00475ABD">
        <w:rPr>
          <w:sz w:val="22"/>
          <w:szCs w:val="22"/>
        </w:rPr>
        <w:tab/>
        <w:t>bėrimas, niežulys, dilgėlinė,</w:t>
      </w:r>
      <w:r w:rsidRPr="00475ABD">
        <w:rPr>
          <w:sz w:val="22"/>
          <w:szCs w:val="22"/>
          <w:lang w:val="fr-FR"/>
        </w:rPr>
        <w:t xml:space="preserve"> </w:t>
      </w:r>
      <w:proofErr w:type="spellStart"/>
      <w:r w:rsidRPr="00475ABD">
        <w:rPr>
          <w:sz w:val="22"/>
          <w:szCs w:val="22"/>
          <w:lang w:val="fr-FR"/>
        </w:rPr>
        <w:t>priklausomybė</w:t>
      </w:r>
      <w:proofErr w:type="spellEnd"/>
      <w:r w:rsidRPr="00475ABD">
        <w:rPr>
          <w:sz w:val="22"/>
          <w:szCs w:val="22"/>
        </w:rPr>
        <w:t>.</w:t>
      </w:r>
    </w:p>
    <w:p w:rsidR="00EC1CD3" w:rsidRPr="00475ABD" w:rsidRDefault="00EC1CD3" w:rsidP="00EC1CD3">
      <w:pPr>
        <w:rPr>
          <w:sz w:val="22"/>
          <w:szCs w:val="22"/>
          <w:lang w:val="fr-FR"/>
        </w:rPr>
      </w:pPr>
    </w:p>
    <w:p w:rsidR="00EC1CD3" w:rsidRPr="00475ABD" w:rsidRDefault="00EC1CD3" w:rsidP="00EC1CD3">
      <w:pPr>
        <w:rPr>
          <w:sz w:val="22"/>
          <w:szCs w:val="22"/>
          <w:lang w:val="fr-FR"/>
        </w:rPr>
      </w:pPr>
      <w:proofErr w:type="spellStart"/>
      <w:r w:rsidRPr="00475ABD">
        <w:rPr>
          <w:sz w:val="22"/>
          <w:szCs w:val="22"/>
          <w:lang w:val="fr-FR"/>
        </w:rPr>
        <w:t>Nežinomo</w:t>
      </w:r>
      <w:proofErr w:type="spellEnd"/>
      <w:r w:rsidRPr="00475ABD">
        <w:rPr>
          <w:sz w:val="22"/>
          <w:szCs w:val="22"/>
          <w:lang w:val="fr-FR"/>
        </w:rPr>
        <w:t xml:space="preserve"> </w:t>
      </w:r>
      <w:proofErr w:type="spellStart"/>
      <w:r w:rsidRPr="00475ABD">
        <w:rPr>
          <w:sz w:val="22"/>
          <w:szCs w:val="22"/>
          <w:lang w:val="fr-FR"/>
        </w:rPr>
        <w:t>dažnio</w:t>
      </w:r>
      <w:proofErr w:type="spellEnd"/>
      <w:r w:rsidRPr="00475ABD">
        <w:rPr>
          <w:sz w:val="22"/>
          <w:szCs w:val="22"/>
          <w:lang w:val="fr-FR"/>
        </w:rPr>
        <w:t xml:space="preserve"> </w:t>
      </w:r>
      <w:proofErr w:type="spellStart"/>
      <w:r w:rsidRPr="00475ABD">
        <w:rPr>
          <w:sz w:val="22"/>
          <w:szCs w:val="22"/>
          <w:lang w:val="fr-FR"/>
        </w:rPr>
        <w:t>šalutinio</w:t>
      </w:r>
      <w:proofErr w:type="spellEnd"/>
      <w:r w:rsidRPr="00475ABD">
        <w:rPr>
          <w:sz w:val="22"/>
          <w:szCs w:val="22"/>
          <w:lang w:val="fr-FR"/>
        </w:rPr>
        <w:t xml:space="preserve"> </w:t>
      </w:r>
      <w:proofErr w:type="spellStart"/>
      <w:r w:rsidRPr="00475ABD">
        <w:rPr>
          <w:sz w:val="22"/>
          <w:szCs w:val="22"/>
          <w:lang w:val="fr-FR"/>
        </w:rPr>
        <w:t>poveikio</w:t>
      </w:r>
      <w:proofErr w:type="spellEnd"/>
      <w:r w:rsidRPr="00475ABD">
        <w:rPr>
          <w:sz w:val="22"/>
          <w:szCs w:val="22"/>
          <w:lang w:val="fr-FR"/>
        </w:rPr>
        <w:t xml:space="preserve"> </w:t>
      </w:r>
      <w:proofErr w:type="spellStart"/>
      <w:proofErr w:type="gramStart"/>
      <w:r w:rsidRPr="00475ABD">
        <w:rPr>
          <w:sz w:val="22"/>
          <w:szCs w:val="22"/>
          <w:lang w:val="fr-FR"/>
        </w:rPr>
        <w:t>simptomai</w:t>
      </w:r>
      <w:proofErr w:type="spellEnd"/>
      <w:r w:rsidRPr="00475ABD">
        <w:rPr>
          <w:sz w:val="22"/>
          <w:szCs w:val="22"/>
          <w:lang w:val="fr-FR"/>
        </w:rPr>
        <w:t>:</w:t>
      </w:r>
      <w:proofErr w:type="gramEnd"/>
    </w:p>
    <w:p w:rsidR="00EC1CD3" w:rsidRPr="00475ABD" w:rsidRDefault="00EC1CD3" w:rsidP="00EC1CD3">
      <w:pPr>
        <w:rPr>
          <w:sz w:val="22"/>
          <w:szCs w:val="22"/>
          <w:lang w:val="fr-FR"/>
        </w:rPr>
      </w:pPr>
      <w:r w:rsidRPr="00475ABD">
        <w:rPr>
          <w:sz w:val="22"/>
          <w:szCs w:val="22"/>
          <w:lang w:val="fr-FR"/>
        </w:rPr>
        <w:t>-</w:t>
      </w:r>
      <w:r w:rsidRPr="00475ABD">
        <w:rPr>
          <w:sz w:val="22"/>
          <w:szCs w:val="22"/>
          <w:lang w:val="fr-FR"/>
        </w:rPr>
        <w:tab/>
      </w:r>
      <w:proofErr w:type="spellStart"/>
      <w:r w:rsidRPr="00475ABD">
        <w:rPr>
          <w:sz w:val="22"/>
          <w:szCs w:val="22"/>
          <w:lang w:val="fr-FR"/>
        </w:rPr>
        <w:t>mintys</w:t>
      </w:r>
      <w:proofErr w:type="spellEnd"/>
      <w:r w:rsidRPr="00475ABD">
        <w:rPr>
          <w:sz w:val="22"/>
          <w:szCs w:val="22"/>
          <w:lang w:val="fr-FR"/>
        </w:rPr>
        <w:t xml:space="preserve"> </w:t>
      </w:r>
      <w:proofErr w:type="spellStart"/>
      <w:r w:rsidRPr="00475ABD">
        <w:rPr>
          <w:sz w:val="22"/>
          <w:szCs w:val="22"/>
          <w:lang w:val="fr-FR"/>
        </w:rPr>
        <w:t>apie</w:t>
      </w:r>
      <w:proofErr w:type="spellEnd"/>
      <w:r w:rsidRPr="00475ABD">
        <w:rPr>
          <w:sz w:val="22"/>
          <w:szCs w:val="22"/>
          <w:lang w:val="fr-FR"/>
        </w:rPr>
        <w:t xml:space="preserve"> </w:t>
      </w:r>
      <w:proofErr w:type="spellStart"/>
      <w:r w:rsidRPr="00475ABD">
        <w:rPr>
          <w:sz w:val="22"/>
          <w:szCs w:val="22"/>
          <w:lang w:val="fr-FR"/>
        </w:rPr>
        <w:t>savižudybę</w:t>
      </w:r>
      <w:proofErr w:type="spellEnd"/>
      <w:r w:rsidRPr="00475ABD">
        <w:rPr>
          <w:sz w:val="22"/>
          <w:szCs w:val="22"/>
          <w:lang w:val="fr-FR"/>
        </w:rPr>
        <w:t xml:space="preserve"> </w:t>
      </w:r>
      <w:proofErr w:type="spellStart"/>
      <w:r w:rsidRPr="00475ABD">
        <w:rPr>
          <w:sz w:val="22"/>
          <w:szCs w:val="22"/>
          <w:lang w:val="fr-FR"/>
        </w:rPr>
        <w:t>arba</w:t>
      </w:r>
      <w:proofErr w:type="spellEnd"/>
      <w:r w:rsidRPr="00475ABD">
        <w:rPr>
          <w:sz w:val="22"/>
          <w:szCs w:val="22"/>
          <w:lang w:val="fr-FR"/>
        </w:rPr>
        <w:t xml:space="preserve"> su </w:t>
      </w:r>
      <w:proofErr w:type="spellStart"/>
      <w:r w:rsidRPr="00475ABD">
        <w:rPr>
          <w:sz w:val="22"/>
          <w:szCs w:val="22"/>
          <w:lang w:val="fr-FR"/>
        </w:rPr>
        <w:t>savižudybe</w:t>
      </w:r>
      <w:proofErr w:type="spellEnd"/>
      <w:r w:rsidRPr="00475ABD">
        <w:rPr>
          <w:sz w:val="22"/>
          <w:szCs w:val="22"/>
          <w:lang w:val="fr-FR"/>
        </w:rPr>
        <w:t xml:space="preserve"> </w:t>
      </w:r>
      <w:proofErr w:type="spellStart"/>
      <w:r w:rsidRPr="00475ABD">
        <w:rPr>
          <w:sz w:val="22"/>
          <w:szCs w:val="22"/>
          <w:lang w:val="fr-FR"/>
        </w:rPr>
        <w:t>susijęs</w:t>
      </w:r>
      <w:proofErr w:type="spellEnd"/>
      <w:r w:rsidRPr="00475ABD">
        <w:rPr>
          <w:sz w:val="22"/>
          <w:szCs w:val="22"/>
          <w:lang w:val="fr-FR"/>
        </w:rPr>
        <w:t xml:space="preserve"> </w:t>
      </w:r>
      <w:proofErr w:type="spellStart"/>
      <w:proofErr w:type="gramStart"/>
      <w:r w:rsidRPr="00475ABD">
        <w:rPr>
          <w:sz w:val="22"/>
          <w:szCs w:val="22"/>
          <w:lang w:val="fr-FR"/>
        </w:rPr>
        <w:t>elgesys</w:t>
      </w:r>
      <w:proofErr w:type="spellEnd"/>
      <w:r w:rsidRPr="00475ABD">
        <w:rPr>
          <w:sz w:val="22"/>
          <w:szCs w:val="22"/>
          <w:lang w:val="fr-FR"/>
        </w:rPr>
        <w:t>;</w:t>
      </w:r>
      <w:proofErr w:type="gramEnd"/>
    </w:p>
    <w:p w:rsidR="00EC1CD3" w:rsidRPr="00475ABD" w:rsidRDefault="00EC1CD3" w:rsidP="00EC1CD3">
      <w:pPr>
        <w:rPr>
          <w:sz w:val="22"/>
          <w:szCs w:val="22"/>
          <w:lang w:val="fr-FR"/>
        </w:rPr>
      </w:pPr>
      <w:r w:rsidRPr="00475ABD">
        <w:rPr>
          <w:sz w:val="22"/>
          <w:szCs w:val="22"/>
          <w:lang w:val="fr-FR"/>
        </w:rPr>
        <w:t>-</w:t>
      </w:r>
      <w:r w:rsidRPr="00475ABD">
        <w:rPr>
          <w:sz w:val="22"/>
          <w:szCs w:val="22"/>
          <w:lang w:val="fr-FR"/>
        </w:rPr>
        <w:tab/>
      </w:r>
      <w:proofErr w:type="spellStart"/>
      <w:r w:rsidRPr="00475ABD">
        <w:rPr>
          <w:sz w:val="22"/>
          <w:szCs w:val="22"/>
          <w:lang w:val="fr-FR"/>
        </w:rPr>
        <w:t>sumišimo</w:t>
      </w:r>
      <w:proofErr w:type="spellEnd"/>
      <w:r w:rsidRPr="00475ABD">
        <w:rPr>
          <w:sz w:val="22"/>
          <w:szCs w:val="22"/>
          <w:lang w:val="fr-FR"/>
        </w:rPr>
        <w:t xml:space="preserve"> </w:t>
      </w:r>
      <w:proofErr w:type="spellStart"/>
      <w:r w:rsidRPr="00475ABD">
        <w:rPr>
          <w:sz w:val="22"/>
          <w:szCs w:val="22"/>
          <w:lang w:val="fr-FR"/>
        </w:rPr>
        <w:t>pojūtis</w:t>
      </w:r>
      <w:proofErr w:type="spellEnd"/>
      <w:r w:rsidRPr="00475ABD">
        <w:rPr>
          <w:sz w:val="22"/>
          <w:szCs w:val="22"/>
          <w:lang w:val="fr-FR"/>
        </w:rPr>
        <w:t xml:space="preserve">, </w:t>
      </w:r>
      <w:proofErr w:type="spellStart"/>
      <w:r w:rsidRPr="00475ABD">
        <w:rPr>
          <w:sz w:val="22"/>
          <w:szCs w:val="22"/>
          <w:lang w:val="fr-FR"/>
        </w:rPr>
        <w:t>dalykų</w:t>
      </w:r>
      <w:proofErr w:type="spellEnd"/>
      <w:r w:rsidRPr="00475ABD">
        <w:rPr>
          <w:sz w:val="22"/>
          <w:szCs w:val="22"/>
          <w:lang w:val="fr-FR"/>
        </w:rPr>
        <w:t xml:space="preserve">, </w:t>
      </w:r>
      <w:proofErr w:type="spellStart"/>
      <w:r w:rsidRPr="00475ABD">
        <w:rPr>
          <w:sz w:val="22"/>
          <w:szCs w:val="22"/>
          <w:lang w:val="fr-FR"/>
        </w:rPr>
        <w:t>kurie</w:t>
      </w:r>
      <w:proofErr w:type="spellEnd"/>
      <w:r w:rsidRPr="00475ABD">
        <w:rPr>
          <w:sz w:val="22"/>
          <w:szCs w:val="22"/>
          <w:lang w:val="fr-FR"/>
        </w:rPr>
        <w:t xml:space="preserve"> </w:t>
      </w:r>
      <w:proofErr w:type="spellStart"/>
      <w:r w:rsidRPr="00475ABD">
        <w:rPr>
          <w:sz w:val="22"/>
          <w:szCs w:val="22"/>
          <w:lang w:val="fr-FR"/>
        </w:rPr>
        <w:t>nėra</w:t>
      </w:r>
      <w:proofErr w:type="spellEnd"/>
      <w:r w:rsidRPr="00475ABD">
        <w:rPr>
          <w:sz w:val="22"/>
          <w:szCs w:val="22"/>
          <w:lang w:val="fr-FR"/>
        </w:rPr>
        <w:t xml:space="preserve"> </w:t>
      </w:r>
      <w:proofErr w:type="spellStart"/>
      <w:r w:rsidRPr="00475ABD">
        <w:rPr>
          <w:sz w:val="22"/>
          <w:szCs w:val="22"/>
          <w:lang w:val="fr-FR"/>
        </w:rPr>
        <w:t>matomi</w:t>
      </w:r>
      <w:proofErr w:type="spellEnd"/>
      <w:r w:rsidRPr="00475ABD">
        <w:rPr>
          <w:sz w:val="22"/>
          <w:szCs w:val="22"/>
          <w:lang w:val="fr-FR"/>
        </w:rPr>
        <w:t xml:space="preserve">, </w:t>
      </w:r>
      <w:proofErr w:type="spellStart"/>
      <w:r w:rsidRPr="00475ABD">
        <w:rPr>
          <w:sz w:val="22"/>
          <w:szCs w:val="22"/>
          <w:lang w:val="fr-FR"/>
        </w:rPr>
        <w:t>jautimas</w:t>
      </w:r>
      <w:proofErr w:type="spellEnd"/>
      <w:r w:rsidRPr="00475ABD">
        <w:rPr>
          <w:sz w:val="22"/>
          <w:szCs w:val="22"/>
          <w:lang w:val="fr-FR"/>
        </w:rPr>
        <w:t xml:space="preserve"> </w:t>
      </w:r>
      <w:proofErr w:type="spellStart"/>
      <w:r w:rsidRPr="00475ABD">
        <w:rPr>
          <w:sz w:val="22"/>
          <w:szCs w:val="22"/>
          <w:lang w:val="fr-FR"/>
        </w:rPr>
        <w:t>arba</w:t>
      </w:r>
      <w:proofErr w:type="spellEnd"/>
      <w:r w:rsidRPr="00475ABD">
        <w:rPr>
          <w:sz w:val="22"/>
          <w:szCs w:val="22"/>
          <w:lang w:val="fr-FR"/>
        </w:rPr>
        <w:t xml:space="preserve"> </w:t>
      </w:r>
      <w:proofErr w:type="spellStart"/>
      <w:r w:rsidRPr="00475ABD">
        <w:rPr>
          <w:sz w:val="22"/>
          <w:szCs w:val="22"/>
          <w:lang w:val="fr-FR"/>
        </w:rPr>
        <w:t>girdėjimas</w:t>
      </w:r>
      <w:proofErr w:type="spellEnd"/>
      <w:r w:rsidRPr="00475ABD">
        <w:rPr>
          <w:sz w:val="22"/>
          <w:szCs w:val="22"/>
          <w:lang w:val="fr-FR"/>
        </w:rPr>
        <w:t xml:space="preserve"> (</w:t>
      </w:r>
      <w:proofErr w:type="spellStart"/>
      <w:r w:rsidRPr="00475ABD">
        <w:rPr>
          <w:sz w:val="22"/>
          <w:szCs w:val="22"/>
          <w:lang w:val="fr-FR"/>
        </w:rPr>
        <w:t>haliucinacijos</w:t>
      </w:r>
      <w:proofErr w:type="spellEnd"/>
      <w:proofErr w:type="gramStart"/>
      <w:r w:rsidRPr="00475ABD">
        <w:rPr>
          <w:sz w:val="22"/>
          <w:szCs w:val="22"/>
          <w:lang w:val="fr-FR"/>
        </w:rPr>
        <w:t>);</w:t>
      </w:r>
      <w:proofErr w:type="gramEnd"/>
    </w:p>
    <w:p w:rsidR="00EC1CD3" w:rsidRPr="00475ABD" w:rsidRDefault="00EC1CD3" w:rsidP="00EC1CD3">
      <w:pPr>
        <w:rPr>
          <w:sz w:val="22"/>
          <w:szCs w:val="22"/>
          <w:lang w:val="fr-FR"/>
        </w:rPr>
      </w:pPr>
      <w:r w:rsidRPr="00475ABD">
        <w:rPr>
          <w:sz w:val="22"/>
          <w:szCs w:val="22"/>
          <w:lang w:val="fr-FR"/>
        </w:rPr>
        <w:t>-</w:t>
      </w:r>
      <w:r w:rsidRPr="00475ABD">
        <w:rPr>
          <w:sz w:val="22"/>
          <w:szCs w:val="22"/>
          <w:lang w:val="fr-FR"/>
        </w:rPr>
        <w:tab/>
      </w:r>
      <w:proofErr w:type="spellStart"/>
      <w:r w:rsidRPr="00475ABD">
        <w:rPr>
          <w:sz w:val="22"/>
          <w:szCs w:val="22"/>
          <w:lang w:val="fr-FR"/>
        </w:rPr>
        <w:t>aknė</w:t>
      </w:r>
      <w:proofErr w:type="spellEnd"/>
      <w:r w:rsidRPr="00475ABD">
        <w:rPr>
          <w:sz w:val="22"/>
          <w:szCs w:val="22"/>
          <w:lang w:val="fr-FR"/>
        </w:rPr>
        <w:t xml:space="preserve">, </w:t>
      </w:r>
      <w:proofErr w:type="spellStart"/>
      <w:r w:rsidRPr="00475ABD">
        <w:rPr>
          <w:sz w:val="22"/>
          <w:szCs w:val="22"/>
          <w:lang w:val="fr-FR"/>
        </w:rPr>
        <w:t>išskirtinais</w:t>
      </w:r>
      <w:proofErr w:type="spellEnd"/>
      <w:r w:rsidRPr="00475ABD">
        <w:rPr>
          <w:sz w:val="22"/>
          <w:szCs w:val="22"/>
          <w:lang w:val="fr-FR"/>
        </w:rPr>
        <w:t xml:space="preserve"> </w:t>
      </w:r>
      <w:proofErr w:type="spellStart"/>
      <w:r w:rsidRPr="00475ABD">
        <w:rPr>
          <w:sz w:val="22"/>
          <w:szCs w:val="22"/>
          <w:lang w:val="fr-FR"/>
        </w:rPr>
        <w:t>atvejais</w:t>
      </w:r>
      <w:proofErr w:type="spellEnd"/>
      <w:r w:rsidRPr="00475ABD">
        <w:rPr>
          <w:sz w:val="22"/>
          <w:szCs w:val="22"/>
          <w:lang w:val="fr-FR"/>
        </w:rPr>
        <w:t xml:space="preserve"> – </w:t>
      </w:r>
      <w:proofErr w:type="spellStart"/>
      <w:r w:rsidRPr="00475ABD">
        <w:rPr>
          <w:sz w:val="22"/>
          <w:szCs w:val="22"/>
          <w:lang w:val="fr-FR"/>
        </w:rPr>
        <w:t>odos</w:t>
      </w:r>
      <w:proofErr w:type="spellEnd"/>
      <w:r w:rsidRPr="00475ABD">
        <w:rPr>
          <w:sz w:val="22"/>
          <w:szCs w:val="22"/>
          <w:lang w:val="fr-FR"/>
        </w:rPr>
        <w:t xml:space="preserve"> </w:t>
      </w:r>
      <w:proofErr w:type="spellStart"/>
      <w:r w:rsidRPr="00475ABD">
        <w:rPr>
          <w:sz w:val="22"/>
          <w:szCs w:val="22"/>
          <w:lang w:val="fr-FR"/>
        </w:rPr>
        <w:t>pūslelės</w:t>
      </w:r>
      <w:proofErr w:type="spellEnd"/>
      <w:r w:rsidRPr="00475ABD">
        <w:rPr>
          <w:sz w:val="22"/>
          <w:szCs w:val="22"/>
          <w:lang w:val="fr-FR"/>
        </w:rPr>
        <w:t xml:space="preserve"> </w:t>
      </w:r>
      <w:proofErr w:type="spellStart"/>
      <w:r w:rsidRPr="00475ABD">
        <w:rPr>
          <w:sz w:val="22"/>
          <w:szCs w:val="22"/>
          <w:lang w:val="fr-FR"/>
        </w:rPr>
        <w:t>arba</w:t>
      </w:r>
      <w:proofErr w:type="spellEnd"/>
      <w:r w:rsidRPr="00475ABD">
        <w:rPr>
          <w:sz w:val="22"/>
          <w:szCs w:val="22"/>
          <w:lang w:val="fr-FR"/>
        </w:rPr>
        <w:t xml:space="preserve"> </w:t>
      </w:r>
      <w:proofErr w:type="spellStart"/>
      <w:r w:rsidRPr="00475ABD">
        <w:rPr>
          <w:sz w:val="22"/>
          <w:szCs w:val="22"/>
          <w:lang w:val="fr-FR"/>
        </w:rPr>
        <w:t>uždegimas</w:t>
      </w:r>
      <w:proofErr w:type="spellEnd"/>
      <w:r w:rsidRPr="00475ABD">
        <w:rPr>
          <w:sz w:val="22"/>
          <w:szCs w:val="22"/>
          <w:lang w:val="fr-FR"/>
        </w:rPr>
        <w:t xml:space="preserve"> (</w:t>
      </w:r>
      <w:proofErr w:type="spellStart"/>
      <w:r w:rsidRPr="00475ABD">
        <w:rPr>
          <w:sz w:val="22"/>
          <w:szCs w:val="22"/>
          <w:lang w:val="fr-FR"/>
        </w:rPr>
        <w:t>pūslinis</w:t>
      </w:r>
      <w:proofErr w:type="spellEnd"/>
      <w:r w:rsidRPr="00475ABD">
        <w:rPr>
          <w:sz w:val="22"/>
          <w:szCs w:val="22"/>
          <w:lang w:val="fr-FR"/>
        </w:rPr>
        <w:t xml:space="preserve"> </w:t>
      </w:r>
      <w:proofErr w:type="spellStart"/>
      <w:r w:rsidRPr="00475ABD">
        <w:rPr>
          <w:sz w:val="22"/>
          <w:szCs w:val="22"/>
          <w:lang w:val="fr-FR"/>
        </w:rPr>
        <w:t>dermatitas</w:t>
      </w:r>
      <w:proofErr w:type="spellEnd"/>
      <w:proofErr w:type="gramStart"/>
      <w:r w:rsidRPr="00475ABD">
        <w:rPr>
          <w:sz w:val="22"/>
          <w:szCs w:val="22"/>
          <w:lang w:val="fr-FR"/>
        </w:rPr>
        <w:t>);</w:t>
      </w:r>
      <w:proofErr w:type="gramEnd"/>
    </w:p>
    <w:p w:rsidR="00EC1CD3" w:rsidRPr="00475ABD" w:rsidRDefault="00EC1CD3" w:rsidP="00EC1CD3">
      <w:pPr>
        <w:rPr>
          <w:sz w:val="22"/>
          <w:szCs w:val="22"/>
          <w:lang w:val="fr-FR"/>
        </w:rPr>
      </w:pPr>
      <w:r w:rsidRPr="00475ABD">
        <w:rPr>
          <w:sz w:val="22"/>
          <w:szCs w:val="22"/>
          <w:lang w:val="fr-FR"/>
        </w:rPr>
        <w:t>-</w:t>
      </w:r>
      <w:r w:rsidRPr="00475ABD">
        <w:rPr>
          <w:sz w:val="22"/>
          <w:szCs w:val="22"/>
          <w:lang w:val="fr-FR"/>
        </w:rPr>
        <w:tab/>
      </w:r>
      <w:proofErr w:type="spellStart"/>
      <w:r w:rsidRPr="00475ABD">
        <w:rPr>
          <w:sz w:val="22"/>
          <w:szCs w:val="22"/>
          <w:lang w:val="fr-FR"/>
        </w:rPr>
        <w:t>padidėjusi</w:t>
      </w:r>
      <w:proofErr w:type="spellEnd"/>
      <w:r w:rsidRPr="00475ABD">
        <w:rPr>
          <w:sz w:val="22"/>
          <w:szCs w:val="22"/>
          <w:lang w:val="fr-FR"/>
        </w:rPr>
        <w:t xml:space="preserve"> </w:t>
      </w:r>
      <w:proofErr w:type="spellStart"/>
      <w:r w:rsidRPr="00475ABD">
        <w:rPr>
          <w:sz w:val="22"/>
          <w:szCs w:val="22"/>
          <w:lang w:val="fr-FR"/>
        </w:rPr>
        <w:t>kepenų</w:t>
      </w:r>
      <w:proofErr w:type="spellEnd"/>
      <w:r w:rsidRPr="00475ABD">
        <w:rPr>
          <w:sz w:val="22"/>
          <w:szCs w:val="22"/>
          <w:lang w:val="fr-FR"/>
        </w:rPr>
        <w:t xml:space="preserve"> </w:t>
      </w:r>
      <w:proofErr w:type="spellStart"/>
      <w:r w:rsidRPr="00475ABD">
        <w:rPr>
          <w:sz w:val="22"/>
          <w:szCs w:val="22"/>
          <w:lang w:val="fr-FR"/>
        </w:rPr>
        <w:t>fermentų</w:t>
      </w:r>
      <w:proofErr w:type="spellEnd"/>
      <w:r w:rsidRPr="00475ABD">
        <w:rPr>
          <w:sz w:val="22"/>
          <w:szCs w:val="22"/>
          <w:lang w:val="fr-FR"/>
        </w:rPr>
        <w:t xml:space="preserve"> </w:t>
      </w:r>
      <w:proofErr w:type="spellStart"/>
      <w:r w:rsidRPr="00475ABD">
        <w:rPr>
          <w:sz w:val="22"/>
          <w:szCs w:val="22"/>
          <w:lang w:val="fr-FR"/>
        </w:rPr>
        <w:t>koncentracija</w:t>
      </w:r>
      <w:proofErr w:type="spellEnd"/>
      <w:r w:rsidRPr="00475ABD">
        <w:rPr>
          <w:sz w:val="22"/>
          <w:szCs w:val="22"/>
          <w:lang w:val="fr-FR"/>
        </w:rPr>
        <w:t xml:space="preserve">, </w:t>
      </w:r>
      <w:proofErr w:type="spellStart"/>
      <w:r w:rsidRPr="00475ABD">
        <w:rPr>
          <w:sz w:val="22"/>
          <w:szCs w:val="22"/>
          <w:lang w:val="fr-FR"/>
        </w:rPr>
        <w:t>kepenų</w:t>
      </w:r>
      <w:proofErr w:type="spellEnd"/>
      <w:r w:rsidRPr="00475ABD">
        <w:rPr>
          <w:sz w:val="22"/>
          <w:szCs w:val="22"/>
          <w:lang w:val="fr-FR"/>
        </w:rPr>
        <w:t xml:space="preserve"> </w:t>
      </w:r>
      <w:proofErr w:type="spellStart"/>
      <w:r w:rsidRPr="00475ABD">
        <w:rPr>
          <w:sz w:val="22"/>
          <w:szCs w:val="22"/>
          <w:lang w:val="fr-FR"/>
        </w:rPr>
        <w:t>uždegimas</w:t>
      </w:r>
      <w:proofErr w:type="spellEnd"/>
      <w:r w:rsidRPr="00475ABD">
        <w:rPr>
          <w:sz w:val="22"/>
          <w:szCs w:val="22"/>
          <w:lang w:val="fr-FR"/>
        </w:rPr>
        <w:t xml:space="preserve"> (</w:t>
      </w:r>
      <w:proofErr w:type="spellStart"/>
      <w:r w:rsidRPr="00475ABD">
        <w:rPr>
          <w:sz w:val="22"/>
          <w:szCs w:val="22"/>
          <w:lang w:val="fr-FR"/>
        </w:rPr>
        <w:t>hepatitas</w:t>
      </w:r>
      <w:proofErr w:type="spellEnd"/>
      <w:r w:rsidRPr="00475ABD">
        <w:rPr>
          <w:sz w:val="22"/>
          <w:szCs w:val="22"/>
          <w:lang w:val="fr-FR"/>
        </w:rPr>
        <w:t xml:space="preserve">), </w:t>
      </w:r>
      <w:proofErr w:type="spellStart"/>
      <w:r w:rsidRPr="00475ABD">
        <w:rPr>
          <w:sz w:val="22"/>
          <w:szCs w:val="22"/>
          <w:lang w:val="fr-FR"/>
        </w:rPr>
        <w:t>kuris</w:t>
      </w:r>
      <w:proofErr w:type="spellEnd"/>
      <w:r w:rsidRPr="00475ABD">
        <w:rPr>
          <w:sz w:val="22"/>
          <w:szCs w:val="22"/>
          <w:lang w:val="fr-FR"/>
        </w:rPr>
        <w:t xml:space="preserve"> </w:t>
      </w:r>
      <w:proofErr w:type="spellStart"/>
      <w:r w:rsidRPr="00475ABD">
        <w:rPr>
          <w:sz w:val="22"/>
          <w:szCs w:val="22"/>
          <w:lang w:val="fr-FR"/>
        </w:rPr>
        <w:t>išskirtinais</w:t>
      </w:r>
      <w:proofErr w:type="spellEnd"/>
      <w:r w:rsidRPr="00475ABD">
        <w:rPr>
          <w:sz w:val="22"/>
          <w:szCs w:val="22"/>
          <w:lang w:val="fr-FR"/>
        </w:rPr>
        <w:t xml:space="preserve"> </w:t>
      </w:r>
      <w:proofErr w:type="spellStart"/>
      <w:r w:rsidRPr="00475ABD">
        <w:rPr>
          <w:sz w:val="22"/>
          <w:szCs w:val="22"/>
          <w:lang w:val="fr-FR"/>
        </w:rPr>
        <w:t>atvejais</w:t>
      </w:r>
      <w:proofErr w:type="spellEnd"/>
      <w:r w:rsidRPr="00475ABD">
        <w:rPr>
          <w:sz w:val="22"/>
          <w:szCs w:val="22"/>
          <w:lang w:val="fr-FR"/>
        </w:rPr>
        <w:t xml:space="preserve"> </w:t>
      </w:r>
      <w:proofErr w:type="spellStart"/>
      <w:r w:rsidRPr="00475ABD">
        <w:rPr>
          <w:sz w:val="22"/>
          <w:szCs w:val="22"/>
          <w:lang w:val="fr-FR"/>
        </w:rPr>
        <w:t>gali</w:t>
      </w:r>
      <w:proofErr w:type="spellEnd"/>
      <w:r w:rsidRPr="00475ABD">
        <w:rPr>
          <w:sz w:val="22"/>
          <w:szCs w:val="22"/>
          <w:lang w:val="fr-FR"/>
        </w:rPr>
        <w:t xml:space="preserve"> </w:t>
      </w:r>
      <w:proofErr w:type="spellStart"/>
      <w:r w:rsidRPr="00475ABD">
        <w:rPr>
          <w:sz w:val="22"/>
          <w:szCs w:val="22"/>
          <w:lang w:val="fr-FR"/>
        </w:rPr>
        <w:t>būti</w:t>
      </w:r>
      <w:proofErr w:type="spellEnd"/>
      <w:r w:rsidRPr="00475ABD">
        <w:rPr>
          <w:sz w:val="22"/>
          <w:szCs w:val="22"/>
          <w:lang w:val="fr-FR"/>
        </w:rPr>
        <w:t xml:space="preserve"> </w:t>
      </w:r>
      <w:proofErr w:type="spellStart"/>
      <w:proofErr w:type="gramStart"/>
      <w:r w:rsidRPr="00475ABD">
        <w:rPr>
          <w:sz w:val="22"/>
          <w:szCs w:val="22"/>
          <w:lang w:val="fr-FR"/>
        </w:rPr>
        <w:t>sunkus</w:t>
      </w:r>
      <w:proofErr w:type="spellEnd"/>
      <w:r w:rsidRPr="00475ABD">
        <w:rPr>
          <w:sz w:val="22"/>
          <w:szCs w:val="22"/>
          <w:lang w:val="fr-FR"/>
        </w:rPr>
        <w:t>;</w:t>
      </w:r>
      <w:proofErr w:type="gramEnd"/>
    </w:p>
    <w:p w:rsidR="00EC1CD3" w:rsidRPr="00475ABD" w:rsidRDefault="00EC1CD3" w:rsidP="00EC1CD3">
      <w:pPr>
        <w:rPr>
          <w:sz w:val="22"/>
          <w:szCs w:val="22"/>
          <w:lang w:val="fr-FR"/>
        </w:rPr>
      </w:pPr>
      <w:r w:rsidRPr="00475ABD">
        <w:rPr>
          <w:sz w:val="22"/>
          <w:szCs w:val="22"/>
          <w:lang w:val="fr-FR"/>
        </w:rPr>
        <w:t>-</w:t>
      </w:r>
      <w:r w:rsidRPr="00475ABD">
        <w:rPr>
          <w:sz w:val="22"/>
          <w:szCs w:val="22"/>
          <w:lang w:val="fr-FR"/>
        </w:rPr>
        <w:tab/>
      </w:r>
      <w:proofErr w:type="spellStart"/>
      <w:r w:rsidRPr="00475ABD">
        <w:rPr>
          <w:sz w:val="22"/>
          <w:szCs w:val="22"/>
          <w:lang w:val="fr-FR"/>
        </w:rPr>
        <w:t>nekontroliuojami</w:t>
      </w:r>
      <w:proofErr w:type="spellEnd"/>
      <w:r w:rsidRPr="00475ABD">
        <w:rPr>
          <w:sz w:val="22"/>
          <w:szCs w:val="22"/>
          <w:lang w:val="fr-FR"/>
        </w:rPr>
        <w:t xml:space="preserve"> </w:t>
      </w:r>
      <w:proofErr w:type="spellStart"/>
      <w:r w:rsidRPr="00475ABD">
        <w:rPr>
          <w:sz w:val="22"/>
          <w:szCs w:val="22"/>
          <w:lang w:val="fr-FR"/>
        </w:rPr>
        <w:t>judesiai</w:t>
      </w:r>
      <w:proofErr w:type="spellEnd"/>
      <w:r w:rsidRPr="00475ABD">
        <w:rPr>
          <w:sz w:val="22"/>
          <w:szCs w:val="22"/>
          <w:lang w:val="fr-FR"/>
        </w:rPr>
        <w:t xml:space="preserve">, </w:t>
      </w:r>
      <w:proofErr w:type="spellStart"/>
      <w:r w:rsidRPr="00475ABD">
        <w:rPr>
          <w:sz w:val="22"/>
          <w:szCs w:val="22"/>
          <w:lang w:val="fr-FR"/>
        </w:rPr>
        <w:t>nekontroliuojami</w:t>
      </w:r>
      <w:proofErr w:type="spellEnd"/>
      <w:r w:rsidRPr="00475ABD">
        <w:rPr>
          <w:sz w:val="22"/>
          <w:szCs w:val="22"/>
          <w:lang w:val="fr-FR"/>
        </w:rPr>
        <w:t xml:space="preserve"> </w:t>
      </w:r>
      <w:proofErr w:type="spellStart"/>
      <w:r w:rsidRPr="00475ABD">
        <w:rPr>
          <w:sz w:val="22"/>
          <w:szCs w:val="22"/>
          <w:lang w:val="fr-FR"/>
        </w:rPr>
        <w:t>traukuliai</w:t>
      </w:r>
      <w:proofErr w:type="spellEnd"/>
      <w:r w:rsidRPr="00475ABD">
        <w:rPr>
          <w:sz w:val="22"/>
          <w:szCs w:val="22"/>
          <w:lang w:val="fr-FR"/>
        </w:rPr>
        <w:t xml:space="preserve">, </w:t>
      </w:r>
      <w:proofErr w:type="spellStart"/>
      <w:r w:rsidRPr="00475ABD">
        <w:rPr>
          <w:sz w:val="22"/>
          <w:szCs w:val="22"/>
          <w:lang w:val="fr-FR"/>
        </w:rPr>
        <w:t>truktelėjimai</w:t>
      </w:r>
      <w:proofErr w:type="spellEnd"/>
      <w:r w:rsidRPr="00475ABD">
        <w:rPr>
          <w:sz w:val="22"/>
          <w:szCs w:val="22"/>
          <w:lang w:val="fr-FR"/>
        </w:rPr>
        <w:t xml:space="preserve"> </w:t>
      </w:r>
      <w:proofErr w:type="spellStart"/>
      <w:r w:rsidRPr="00475ABD">
        <w:rPr>
          <w:sz w:val="22"/>
          <w:szCs w:val="22"/>
          <w:lang w:val="fr-FR"/>
        </w:rPr>
        <w:t>arba</w:t>
      </w:r>
      <w:proofErr w:type="spellEnd"/>
      <w:r w:rsidRPr="00475ABD">
        <w:rPr>
          <w:sz w:val="22"/>
          <w:szCs w:val="22"/>
          <w:lang w:val="fr-FR"/>
        </w:rPr>
        <w:t xml:space="preserve"> </w:t>
      </w:r>
      <w:proofErr w:type="spellStart"/>
      <w:r w:rsidRPr="00475ABD">
        <w:rPr>
          <w:sz w:val="22"/>
          <w:szCs w:val="22"/>
          <w:lang w:val="fr-FR"/>
        </w:rPr>
        <w:t>rangymosi</w:t>
      </w:r>
      <w:proofErr w:type="spellEnd"/>
      <w:r w:rsidRPr="00475ABD">
        <w:rPr>
          <w:sz w:val="22"/>
          <w:szCs w:val="22"/>
          <w:lang w:val="fr-FR"/>
        </w:rPr>
        <w:t xml:space="preserve"> </w:t>
      </w:r>
      <w:proofErr w:type="spellStart"/>
      <w:proofErr w:type="gramStart"/>
      <w:r w:rsidRPr="00475ABD">
        <w:rPr>
          <w:sz w:val="22"/>
          <w:szCs w:val="22"/>
          <w:lang w:val="fr-FR"/>
        </w:rPr>
        <w:t>judesiai</w:t>
      </w:r>
      <w:proofErr w:type="spellEnd"/>
      <w:r w:rsidRPr="00475ABD">
        <w:rPr>
          <w:sz w:val="22"/>
          <w:szCs w:val="22"/>
          <w:lang w:val="fr-FR"/>
        </w:rPr>
        <w:t>;</w:t>
      </w:r>
      <w:proofErr w:type="gramEnd"/>
    </w:p>
    <w:p w:rsidR="00EC1CD3" w:rsidRPr="00475ABD" w:rsidRDefault="00EC1CD3" w:rsidP="00EC1CD3">
      <w:pPr>
        <w:rPr>
          <w:sz w:val="22"/>
          <w:szCs w:val="22"/>
        </w:rPr>
      </w:pPr>
      <w:r w:rsidRPr="00475ABD">
        <w:rPr>
          <w:sz w:val="22"/>
          <w:szCs w:val="22"/>
        </w:rPr>
        <w:t>-</w:t>
      </w:r>
      <w:r w:rsidRPr="00475ABD">
        <w:rPr>
          <w:sz w:val="22"/>
          <w:szCs w:val="22"/>
        </w:rPr>
        <w:tab/>
        <w:t xml:space="preserve">sumažėjusi natrio koncentracija kraujyje. </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Jei pasireiškė šalutinis poveikis, įskaitant šiame lapelyje nenurodytą, pasakykite gydytojui arba vaistininkui.</w:t>
      </w:r>
    </w:p>
    <w:p w:rsidR="00EC1CD3" w:rsidRPr="00475ABD" w:rsidRDefault="00EC1CD3" w:rsidP="00EC1CD3">
      <w:pPr>
        <w:pStyle w:val="BTEMEASMCA"/>
        <w:rPr>
          <w:rFonts w:ascii="Times New Roman" w:hAnsi="Times New Roman" w:cs="Times New Roman"/>
        </w:rPr>
      </w:pPr>
    </w:p>
    <w:p w:rsidR="00EC1CD3" w:rsidRPr="00475ABD" w:rsidRDefault="00EC1CD3" w:rsidP="00EC1CD3">
      <w:pPr>
        <w:rPr>
          <w:b/>
          <w:sz w:val="22"/>
          <w:szCs w:val="22"/>
        </w:rPr>
      </w:pPr>
      <w:r w:rsidRPr="00475ABD">
        <w:rPr>
          <w:b/>
          <w:noProof/>
          <w:sz w:val="22"/>
          <w:szCs w:val="22"/>
        </w:rPr>
        <w:t>Pranešimas apie šalutinį poveikį</w:t>
      </w:r>
    </w:p>
    <w:p w:rsidR="00EC1CD3" w:rsidRPr="00475ABD" w:rsidRDefault="00EC1CD3" w:rsidP="00EC1CD3">
      <w:pPr>
        <w:ind w:right="-449"/>
        <w:rPr>
          <w:noProof/>
          <w:sz w:val="22"/>
          <w:szCs w:val="22"/>
        </w:rPr>
      </w:pPr>
      <w:r w:rsidRPr="00475ABD">
        <w:rPr>
          <w:noProof/>
          <w:sz w:val="22"/>
          <w:szCs w:val="22"/>
        </w:rPr>
        <w:t>Jeigu pasireiškė šalutinis poveikis, įskaitant šiame lapelyje nenurodytą, pasakykite gydytojui arba vaistininkui</w:t>
      </w:r>
      <w:r w:rsidRPr="00475ABD">
        <w:rPr>
          <w:sz w:val="22"/>
          <w:szCs w:val="22"/>
        </w:rPr>
        <w:t>.</w:t>
      </w:r>
      <w:r w:rsidRPr="00475ABD">
        <w:rPr>
          <w:noProof/>
          <w:sz w:val="22"/>
          <w:szCs w:val="22"/>
        </w:rPr>
        <w:t xml:space="preserve"> Apie šalutinį poveikį taip pat galite pranešti tiesiogiai, užpildę interneto svetainėje </w:t>
      </w:r>
      <w:hyperlink r:id="rId7" w:history="1">
        <w:r w:rsidRPr="00475ABD">
          <w:rPr>
            <w:rStyle w:val="Hipersaitas"/>
            <w:rFonts w:eastAsia="SimSun"/>
            <w:noProof/>
            <w:sz w:val="22"/>
            <w:szCs w:val="22"/>
          </w:rPr>
          <w:t>www.vvkt.lt</w:t>
        </w:r>
      </w:hyperlink>
      <w:r w:rsidRPr="00475ABD">
        <w:rPr>
          <w:noProof/>
          <w:sz w:val="22"/>
          <w:szCs w:val="22"/>
        </w:rPr>
        <w:t xml:space="preserve"> esančią formą, paštu Valstybinei vaistų kontrolės tarnybai prie Lietuvos Respublikos sveikatos apsaugos ministerijos, Žirmūnų g. 139A, LT 09120 Vilnius, t</w:t>
      </w:r>
      <w:r w:rsidRPr="00475ABD">
        <w:rPr>
          <w:rFonts w:eastAsia="Calibri"/>
          <w:noProof/>
          <w:sz w:val="22"/>
          <w:szCs w:val="22"/>
          <w:lang w:eastAsia="zh-CN"/>
        </w:rPr>
        <w:t xml:space="preserve">el: 8 800 73568, </w:t>
      </w:r>
      <w:r w:rsidRPr="00475ABD">
        <w:rPr>
          <w:noProof/>
          <w:sz w:val="22"/>
          <w:szCs w:val="22"/>
        </w:rPr>
        <w:t xml:space="preserve">faksu 8 800 20131 arba el. paštu </w:t>
      </w:r>
      <w:hyperlink r:id="rId8" w:history="1">
        <w:r w:rsidRPr="00475ABD">
          <w:rPr>
            <w:rStyle w:val="Hipersaitas"/>
            <w:rFonts w:eastAsia="SimSun"/>
            <w:noProof/>
            <w:sz w:val="22"/>
            <w:szCs w:val="22"/>
          </w:rPr>
          <w:t>NepageidaujamaR@vvkt.lt</w:t>
        </w:r>
      </w:hyperlink>
      <w:r w:rsidRPr="00475ABD">
        <w:rPr>
          <w:noProof/>
          <w:sz w:val="22"/>
          <w:szCs w:val="22"/>
        </w:rPr>
        <w:t>. Pranešdami apie šalutinį poveikį galite mums padėti gauti daugiau informacijos apie šio vaisto saugumą.</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EMEASMCA"/>
      </w:pPr>
      <w:bookmarkStart w:id="17" w:name="_Toc129243268"/>
      <w:bookmarkStart w:id="18" w:name="_Toc129243143"/>
      <w:r w:rsidRPr="00475ABD">
        <w:t>5.</w:t>
      </w:r>
      <w:r w:rsidRPr="00475ABD">
        <w:tab/>
        <w:t xml:space="preserve">Kaip laikyti </w:t>
      </w:r>
      <w:bookmarkEnd w:id="17"/>
      <w:bookmarkEnd w:id="18"/>
      <w:r w:rsidRPr="00475ABD">
        <w:t>COAXIL</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Šį vaistą laikykite vaikams nepastebimoje ir nepasiekiamoje vietoje.</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Šiam vaistui specialių laikymo sąlygų nereikia.</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 xml:space="preserve">Ant dėžutės, etiketės ir lizdinės plokštelės po „Tinka iki / EXP“ nurodytam tinkamumo laikui pasibaigus, šio vaisto vartoti negalima. </w:t>
      </w:r>
      <w:r w:rsidRPr="00475ABD">
        <w:rPr>
          <w:rFonts w:ascii="Times New Roman" w:hAnsi="Times New Roman" w:cs="Times New Roman"/>
          <w:noProof w:val="0"/>
        </w:rPr>
        <w:t>Vaistas tinkamas vartoti iki paskutinės nurodyto mėnesio dienos.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Vaistų negalima išmesti į kanalizaciją arba su buitinėmis atliekomis. Kaip išmesti nereikalingus vaistus, klauskite vaistininko. Šios priemonės padės apsaugoti aplinką.</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1EMEASMCA"/>
      </w:pPr>
      <w:bookmarkStart w:id="19" w:name="_Toc129243269"/>
      <w:bookmarkStart w:id="20" w:name="_Toc129243144"/>
      <w:r w:rsidRPr="00475ABD">
        <w:t>6.</w:t>
      </w:r>
      <w:r w:rsidRPr="00475ABD">
        <w:tab/>
        <w:t>Pakuotės turinys ir kita informacija</w:t>
      </w:r>
      <w:bookmarkEnd w:id="19"/>
      <w:bookmarkEnd w:id="20"/>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I-3EMEASMCA"/>
      </w:pPr>
      <w:r w:rsidRPr="00475ABD">
        <w:t>COAXIL sudėtis</w:t>
      </w:r>
    </w:p>
    <w:p w:rsidR="00EC1CD3" w:rsidRPr="00475ABD" w:rsidRDefault="00EC1CD3" w:rsidP="00EC1CD3">
      <w:pPr>
        <w:pStyle w:val="BTEMEASMCA"/>
        <w:rPr>
          <w:rFonts w:ascii="Times New Roman" w:hAnsi="Times New Roman" w:cs="Times New Roman"/>
        </w:rPr>
      </w:pPr>
    </w:p>
    <w:p w:rsidR="00EC1CD3" w:rsidRPr="00475ABD" w:rsidRDefault="00EC1CD3" w:rsidP="00475ABD">
      <w:pPr>
        <w:pStyle w:val="BTEMEASMCA"/>
        <w:tabs>
          <w:tab w:val="left" w:pos="567"/>
        </w:tabs>
        <w:rPr>
          <w:rFonts w:ascii="Times New Roman" w:hAnsi="Times New Roman" w:cs="Times New Roman"/>
        </w:rPr>
      </w:pPr>
      <w:r w:rsidRPr="00475ABD">
        <w:rPr>
          <w:rFonts w:ascii="Times New Roman" w:hAnsi="Times New Roman" w:cs="Times New Roman"/>
        </w:rPr>
        <w:t>-</w:t>
      </w:r>
      <w:r w:rsidRPr="00475ABD">
        <w:rPr>
          <w:rFonts w:ascii="Times New Roman" w:hAnsi="Times New Roman" w:cs="Times New Roman"/>
        </w:rPr>
        <w:tab/>
        <w:t xml:space="preserve">Veiklioji medžiaga yra tianeptino natrio druska. Kiekvienoje dengtoje tabletėje yra 12,5 mg tianeptino natrio druskos. </w:t>
      </w:r>
    </w:p>
    <w:p w:rsidR="00EC1CD3" w:rsidRPr="00475ABD" w:rsidRDefault="003C7411" w:rsidP="00EC1CD3">
      <w:pPr>
        <w:pStyle w:val="BTEMEASMCA"/>
        <w:rPr>
          <w:rFonts w:ascii="Times New Roman" w:hAnsi="Times New Roman" w:cs="Times New Roman"/>
        </w:rPr>
      </w:pPr>
      <w:r>
        <w:rPr>
          <w:rFonts w:ascii="Times New Roman" w:hAnsi="Times New Roman" w:cs="Times New Roman"/>
        </w:rPr>
        <w:t xml:space="preserve">-         </w:t>
      </w:r>
      <w:r w:rsidR="00EC1CD3" w:rsidRPr="00475ABD">
        <w:rPr>
          <w:rFonts w:ascii="Times New Roman" w:hAnsi="Times New Roman" w:cs="Times New Roman"/>
        </w:rPr>
        <w:t>Pagalbinės medžiagos tabletės branduolyje yra: manitolis (E421), kukurūzų krakmolas, talkas, magnio stearatas; tabletės dangale - etilceliuliozė, glicerolio monooleatas, povidonas, karmeliozės natrio druska, koloidinis bevandenis silicio dioksidas, sacharozė (cukrus), polisorbatas 80, titano dioksidas (E171), natrio-vandenilio karbonatas, baltasis vaškas ir talkas.</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ab/>
      </w:r>
    </w:p>
    <w:p w:rsidR="00EC1CD3" w:rsidRPr="00475ABD" w:rsidRDefault="00EC1CD3" w:rsidP="00EC1CD3">
      <w:pPr>
        <w:pStyle w:val="PI-3EMEASMCA"/>
      </w:pPr>
      <w:r w:rsidRPr="00475ABD">
        <w:t>COAXIL išvaizda ir kiekis pakuotėje</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 xml:space="preserve">Baltos ovalios tabletės su apvalkalu. </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Kartono dėžutėje yra 90 dengtų tablečių, supakuotų į lizdines plokšteles.</w:t>
      </w:r>
    </w:p>
    <w:p w:rsidR="00EC1CD3" w:rsidRPr="00475ABD" w:rsidRDefault="00EC1CD3" w:rsidP="00EC1CD3">
      <w:pPr>
        <w:pStyle w:val="BTEMEASMCA"/>
        <w:rPr>
          <w:rFonts w:ascii="Times New Roman" w:hAnsi="Times New Roman" w:cs="Times New Roman"/>
        </w:rPr>
      </w:pPr>
    </w:p>
    <w:p w:rsidR="00EC1CD3" w:rsidRPr="00475ABD" w:rsidRDefault="00EC1CD3" w:rsidP="00EC1CD3">
      <w:pPr>
        <w:pStyle w:val="Paantrat"/>
        <w:jc w:val="both"/>
        <w:rPr>
          <w:rFonts w:ascii="Times New Roman" w:hAnsi="Times New Roman"/>
          <w:szCs w:val="22"/>
          <w:lang w:val="lt-LT"/>
        </w:rPr>
      </w:pPr>
      <w:r w:rsidRPr="00475ABD">
        <w:rPr>
          <w:rFonts w:ascii="Times New Roman" w:hAnsi="Times New Roman"/>
          <w:szCs w:val="22"/>
          <w:lang w:val="lt-LT"/>
        </w:rPr>
        <w:t>Gamintojas</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Les Laboratoires Servier Industrie</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45520 Gidy</w:t>
      </w: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Prancūzija</w:t>
      </w:r>
    </w:p>
    <w:p w:rsidR="00EC1CD3" w:rsidRPr="00475ABD" w:rsidRDefault="00EC1CD3" w:rsidP="00EC1CD3">
      <w:pPr>
        <w:pStyle w:val="BTEMEASMCA"/>
        <w:rPr>
          <w:rFonts w:ascii="Times New Roman" w:hAnsi="Times New Roman" w:cs="Times New Roman"/>
        </w:rPr>
      </w:pPr>
    </w:p>
    <w:p w:rsidR="00475ABD" w:rsidRPr="00475ABD" w:rsidRDefault="00475ABD" w:rsidP="00475ABD">
      <w:pPr>
        <w:rPr>
          <w:b/>
          <w:sz w:val="22"/>
          <w:szCs w:val="22"/>
        </w:rPr>
      </w:pPr>
      <w:r w:rsidRPr="00475ABD">
        <w:rPr>
          <w:b/>
          <w:sz w:val="22"/>
          <w:szCs w:val="22"/>
        </w:rPr>
        <w:t xml:space="preserve">Lygiagretus importuotojas </w:t>
      </w:r>
    </w:p>
    <w:p w:rsidR="00475ABD" w:rsidRPr="00475ABD" w:rsidRDefault="003C7411" w:rsidP="00475ABD">
      <w:pPr>
        <w:rPr>
          <w:sz w:val="22"/>
          <w:szCs w:val="22"/>
        </w:rPr>
      </w:pPr>
      <w:r>
        <w:rPr>
          <w:sz w:val="22"/>
          <w:szCs w:val="22"/>
        </w:rPr>
        <w:t>UAB ,,TOJARIS PROJEKTAI</w:t>
      </w:r>
      <w:r w:rsidR="00475ABD" w:rsidRPr="00475ABD">
        <w:rPr>
          <w:sz w:val="22"/>
          <w:szCs w:val="22"/>
        </w:rPr>
        <w:t>”</w:t>
      </w:r>
    </w:p>
    <w:p w:rsidR="00475ABD" w:rsidRPr="00475ABD" w:rsidRDefault="00475ABD" w:rsidP="00475ABD">
      <w:pPr>
        <w:rPr>
          <w:color w:val="000000"/>
          <w:sz w:val="22"/>
          <w:szCs w:val="22"/>
        </w:rPr>
      </w:pPr>
      <w:r w:rsidRPr="00475ABD">
        <w:rPr>
          <w:color w:val="000000"/>
          <w:sz w:val="22"/>
          <w:szCs w:val="22"/>
        </w:rPr>
        <w:t>Ukmergės g. 369a</w:t>
      </w:r>
    </w:p>
    <w:p w:rsidR="003C7411" w:rsidRDefault="003C7411" w:rsidP="00475ABD">
      <w:pPr>
        <w:rPr>
          <w:color w:val="000000"/>
          <w:sz w:val="22"/>
          <w:szCs w:val="22"/>
        </w:rPr>
      </w:pPr>
      <w:r>
        <w:rPr>
          <w:color w:val="000000"/>
          <w:sz w:val="22"/>
          <w:szCs w:val="22"/>
        </w:rPr>
        <w:t>LT-12142 Vilnius</w:t>
      </w:r>
    </w:p>
    <w:p w:rsidR="00475ABD" w:rsidRPr="003C7411" w:rsidRDefault="00475ABD" w:rsidP="00475ABD">
      <w:pPr>
        <w:rPr>
          <w:color w:val="000000"/>
          <w:sz w:val="22"/>
          <w:szCs w:val="22"/>
        </w:rPr>
      </w:pPr>
      <w:r w:rsidRPr="00475ABD">
        <w:rPr>
          <w:color w:val="000000"/>
          <w:sz w:val="22"/>
          <w:szCs w:val="22"/>
        </w:rPr>
        <w:t>Lietuva</w:t>
      </w:r>
    </w:p>
    <w:p w:rsidR="00475ABD" w:rsidRPr="00475ABD" w:rsidRDefault="00475ABD" w:rsidP="00475ABD">
      <w:pPr>
        <w:rPr>
          <w:sz w:val="22"/>
          <w:szCs w:val="22"/>
          <w:highlight w:val="yellow"/>
          <w:lang w:val="en-US"/>
        </w:rPr>
      </w:pPr>
    </w:p>
    <w:p w:rsidR="00475ABD" w:rsidRPr="00475ABD" w:rsidRDefault="00475ABD" w:rsidP="00475ABD">
      <w:pPr>
        <w:rPr>
          <w:b/>
          <w:sz w:val="22"/>
          <w:szCs w:val="22"/>
          <w:lang w:val="en-US"/>
        </w:rPr>
      </w:pPr>
      <w:proofErr w:type="spellStart"/>
      <w:r w:rsidRPr="00475ABD">
        <w:rPr>
          <w:b/>
          <w:sz w:val="22"/>
          <w:szCs w:val="22"/>
          <w:lang w:val="en-US"/>
        </w:rPr>
        <w:t>Perpakavo</w:t>
      </w:r>
      <w:proofErr w:type="spellEnd"/>
      <w:r w:rsidRPr="00475ABD">
        <w:rPr>
          <w:b/>
          <w:sz w:val="22"/>
          <w:szCs w:val="22"/>
          <w:lang w:val="en-US"/>
        </w:rPr>
        <w:t xml:space="preserve"> </w:t>
      </w:r>
    </w:p>
    <w:p w:rsidR="00475ABD" w:rsidRPr="00475ABD" w:rsidRDefault="00475ABD" w:rsidP="00475ABD">
      <w:pPr>
        <w:rPr>
          <w:sz w:val="22"/>
          <w:szCs w:val="22"/>
          <w:lang w:val="en-US"/>
        </w:rPr>
      </w:pPr>
      <w:r w:rsidRPr="00475ABD">
        <w:rPr>
          <w:sz w:val="22"/>
          <w:szCs w:val="22"/>
          <w:lang w:val="en-US"/>
        </w:rPr>
        <w:t>BĮ UAB „</w:t>
      </w:r>
      <w:proofErr w:type="spellStart"/>
      <w:r w:rsidRPr="00475ABD">
        <w:rPr>
          <w:sz w:val="22"/>
          <w:szCs w:val="22"/>
          <w:lang w:val="en-US"/>
        </w:rPr>
        <w:t>Norfachema</w:t>
      </w:r>
      <w:proofErr w:type="spellEnd"/>
      <w:r w:rsidRPr="00475ABD">
        <w:rPr>
          <w:sz w:val="22"/>
          <w:szCs w:val="22"/>
          <w:lang w:val="en-US"/>
        </w:rPr>
        <w:t>“</w:t>
      </w:r>
    </w:p>
    <w:p w:rsidR="00475ABD" w:rsidRPr="00475ABD" w:rsidRDefault="00475ABD" w:rsidP="00475ABD">
      <w:pPr>
        <w:rPr>
          <w:sz w:val="22"/>
          <w:szCs w:val="22"/>
          <w:lang w:val="en-US"/>
        </w:rPr>
      </w:pPr>
      <w:proofErr w:type="spellStart"/>
      <w:r w:rsidRPr="00475ABD">
        <w:rPr>
          <w:sz w:val="22"/>
          <w:szCs w:val="22"/>
          <w:lang w:val="en-US"/>
        </w:rPr>
        <w:t>Vytauto</w:t>
      </w:r>
      <w:proofErr w:type="spellEnd"/>
      <w:r w:rsidRPr="00475ABD">
        <w:rPr>
          <w:sz w:val="22"/>
          <w:szCs w:val="22"/>
          <w:lang w:val="en-US"/>
        </w:rPr>
        <w:t xml:space="preserve"> g. 6, </w:t>
      </w:r>
      <w:proofErr w:type="spellStart"/>
      <w:r w:rsidRPr="00475ABD">
        <w:rPr>
          <w:sz w:val="22"/>
          <w:szCs w:val="22"/>
          <w:lang w:val="en-US"/>
        </w:rPr>
        <w:t>Jonava</w:t>
      </w:r>
      <w:proofErr w:type="spellEnd"/>
    </w:p>
    <w:p w:rsidR="00475ABD" w:rsidRPr="00475ABD" w:rsidRDefault="00475ABD" w:rsidP="00475ABD">
      <w:pPr>
        <w:rPr>
          <w:sz w:val="22"/>
          <w:szCs w:val="22"/>
          <w:lang w:val="en-US"/>
        </w:rPr>
      </w:pPr>
      <w:proofErr w:type="spellStart"/>
      <w:r w:rsidRPr="00475ABD">
        <w:rPr>
          <w:sz w:val="22"/>
          <w:szCs w:val="22"/>
          <w:lang w:val="en-US"/>
        </w:rPr>
        <w:t>Lietuva</w:t>
      </w:r>
      <w:proofErr w:type="spellEnd"/>
    </w:p>
    <w:p w:rsidR="00475ABD" w:rsidRPr="00475ABD" w:rsidRDefault="00475ABD" w:rsidP="00475ABD">
      <w:pPr>
        <w:rPr>
          <w:sz w:val="22"/>
          <w:szCs w:val="22"/>
          <w:lang w:val="en-US"/>
        </w:rPr>
      </w:pPr>
    </w:p>
    <w:p w:rsidR="00475ABD" w:rsidRPr="00475ABD" w:rsidRDefault="00475ABD" w:rsidP="00475ABD">
      <w:pPr>
        <w:rPr>
          <w:bCs/>
          <w:iCs/>
          <w:sz w:val="22"/>
          <w:szCs w:val="22"/>
          <w:lang w:val="en-US"/>
        </w:rPr>
      </w:pPr>
      <w:proofErr w:type="spellStart"/>
      <w:proofErr w:type="gramStart"/>
      <w:r w:rsidRPr="00475ABD">
        <w:rPr>
          <w:bCs/>
          <w:iCs/>
          <w:sz w:val="22"/>
          <w:szCs w:val="22"/>
          <w:lang w:val="en-US"/>
        </w:rPr>
        <w:t>arba</w:t>
      </w:r>
      <w:proofErr w:type="spellEnd"/>
      <w:proofErr w:type="gramEnd"/>
    </w:p>
    <w:p w:rsidR="00475ABD" w:rsidRPr="00475ABD" w:rsidRDefault="00475ABD" w:rsidP="00475ABD">
      <w:pPr>
        <w:rPr>
          <w:bCs/>
          <w:iCs/>
          <w:sz w:val="22"/>
          <w:szCs w:val="22"/>
          <w:lang w:val="en-US"/>
        </w:rPr>
      </w:pPr>
    </w:p>
    <w:p w:rsidR="00475ABD" w:rsidRPr="00475ABD" w:rsidRDefault="00475ABD" w:rsidP="00475ABD">
      <w:pPr>
        <w:rPr>
          <w:bCs/>
          <w:iCs/>
          <w:sz w:val="22"/>
          <w:szCs w:val="22"/>
          <w:lang w:val="en-US"/>
        </w:rPr>
      </w:pPr>
      <w:r w:rsidRPr="00475ABD">
        <w:rPr>
          <w:bCs/>
          <w:iCs/>
          <w:sz w:val="22"/>
          <w:szCs w:val="22"/>
          <w:lang w:val="en-US"/>
        </w:rPr>
        <w:t>UAB „</w:t>
      </w:r>
      <w:proofErr w:type="spellStart"/>
      <w:r w:rsidRPr="00475ABD">
        <w:rPr>
          <w:bCs/>
          <w:iCs/>
          <w:sz w:val="22"/>
          <w:szCs w:val="22"/>
          <w:lang w:val="en-US"/>
        </w:rPr>
        <w:t>Entafarma</w:t>
      </w:r>
      <w:proofErr w:type="spellEnd"/>
      <w:r w:rsidRPr="00475ABD">
        <w:rPr>
          <w:bCs/>
          <w:iCs/>
          <w:sz w:val="22"/>
          <w:szCs w:val="22"/>
          <w:lang w:val="en-US"/>
        </w:rPr>
        <w:t>“</w:t>
      </w:r>
    </w:p>
    <w:p w:rsidR="00475ABD" w:rsidRPr="00475ABD" w:rsidRDefault="00475ABD" w:rsidP="00475ABD">
      <w:pPr>
        <w:rPr>
          <w:bCs/>
          <w:iCs/>
          <w:sz w:val="22"/>
          <w:szCs w:val="22"/>
          <w:lang w:val="en-US"/>
        </w:rPr>
      </w:pPr>
      <w:proofErr w:type="spellStart"/>
      <w:r w:rsidRPr="00475ABD">
        <w:rPr>
          <w:bCs/>
          <w:iCs/>
          <w:sz w:val="22"/>
          <w:szCs w:val="22"/>
          <w:lang w:val="en-US"/>
        </w:rPr>
        <w:t>Klonėnų</w:t>
      </w:r>
      <w:proofErr w:type="spellEnd"/>
      <w:r w:rsidRPr="00475ABD">
        <w:rPr>
          <w:bCs/>
          <w:iCs/>
          <w:sz w:val="22"/>
          <w:szCs w:val="22"/>
          <w:lang w:val="en-US"/>
        </w:rPr>
        <w:t xml:space="preserve"> vs. </w:t>
      </w:r>
      <w:proofErr w:type="gramStart"/>
      <w:r w:rsidRPr="00475ABD">
        <w:rPr>
          <w:bCs/>
          <w:iCs/>
          <w:sz w:val="22"/>
          <w:szCs w:val="22"/>
          <w:lang w:val="en-US"/>
        </w:rPr>
        <w:t>1</w:t>
      </w:r>
      <w:proofErr w:type="gramEnd"/>
    </w:p>
    <w:p w:rsidR="00475ABD" w:rsidRDefault="00475ABD" w:rsidP="00475ABD">
      <w:pPr>
        <w:rPr>
          <w:bCs/>
          <w:iCs/>
          <w:sz w:val="22"/>
          <w:szCs w:val="22"/>
          <w:lang w:val="en-US"/>
        </w:rPr>
      </w:pPr>
      <w:proofErr w:type="spellStart"/>
      <w:r w:rsidRPr="00475ABD">
        <w:rPr>
          <w:bCs/>
          <w:iCs/>
          <w:sz w:val="22"/>
          <w:szCs w:val="22"/>
          <w:lang w:val="en-US"/>
        </w:rPr>
        <w:t>Širvintų</w:t>
      </w:r>
      <w:proofErr w:type="spellEnd"/>
      <w:r w:rsidRPr="00475ABD">
        <w:rPr>
          <w:bCs/>
          <w:iCs/>
          <w:sz w:val="22"/>
          <w:szCs w:val="22"/>
          <w:lang w:val="en-US"/>
        </w:rPr>
        <w:t xml:space="preserve"> r. </w:t>
      </w:r>
      <w:proofErr w:type="spellStart"/>
      <w:r w:rsidRPr="00475ABD">
        <w:rPr>
          <w:bCs/>
          <w:iCs/>
          <w:sz w:val="22"/>
          <w:szCs w:val="22"/>
          <w:lang w:val="en-US"/>
        </w:rPr>
        <w:t>sav</w:t>
      </w:r>
      <w:proofErr w:type="spellEnd"/>
      <w:r w:rsidRPr="00475ABD">
        <w:rPr>
          <w:bCs/>
          <w:iCs/>
          <w:sz w:val="22"/>
          <w:szCs w:val="22"/>
          <w:lang w:val="en-US"/>
        </w:rPr>
        <w:t>.</w:t>
      </w:r>
    </w:p>
    <w:p w:rsidR="003C7411" w:rsidRPr="00475ABD" w:rsidRDefault="003C7411" w:rsidP="00475ABD">
      <w:pPr>
        <w:rPr>
          <w:bCs/>
          <w:iCs/>
          <w:sz w:val="22"/>
          <w:szCs w:val="22"/>
          <w:lang w:val="en-US"/>
        </w:rPr>
      </w:pPr>
      <w:proofErr w:type="spellStart"/>
      <w:r>
        <w:rPr>
          <w:bCs/>
          <w:iCs/>
          <w:sz w:val="22"/>
          <w:szCs w:val="22"/>
          <w:lang w:val="en-US"/>
        </w:rPr>
        <w:t>Lietuva</w:t>
      </w:r>
      <w:proofErr w:type="spellEnd"/>
    </w:p>
    <w:p w:rsidR="00475ABD" w:rsidRPr="00475ABD" w:rsidRDefault="00475ABD" w:rsidP="00475ABD">
      <w:pPr>
        <w:rPr>
          <w:bCs/>
          <w:iCs/>
          <w:sz w:val="22"/>
          <w:szCs w:val="22"/>
          <w:lang w:val="en-US"/>
        </w:rPr>
      </w:pPr>
    </w:p>
    <w:p w:rsidR="00475ABD" w:rsidRPr="00475ABD" w:rsidRDefault="00475ABD" w:rsidP="00475ABD">
      <w:pPr>
        <w:pStyle w:val="BTEMEASMCA"/>
        <w:rPr>
          <w:rFonts w:ascii="Times New Roman" w:hAnsi="Times New Roman" w:cs="Times New Roman"/>
        </w:rPr>
      </w:pPr>
      <w:r w:rsidRPr="00475ABD">
        <w:rPr>
          <w:rFonts w:ascii="Times New Roman" w:hAnsi="Times New Roman" w:cs="Times New Roman"/>
          <w:b/>
          <w:lang w:val="en-US"/>
        </w:rPr>
        <w:t>Registruotojas</w:t>
      </w:r>
      <w:r w:rsidRPr="00475ABD">
        <w:rPr>
          <w:rFonts w:ascii="Times New Roman" w:eastAsia="SimSun" w:hAnsi="Times New Roman" w:cs="Times New Roman"/>
          <w:b/>
          <w:lang w:val="en-US"/>
        </w:rPr>
        <w:t xml:space="preserve"> eksportuojančioje valstybėje </w:t>
      </w:r>
      <w:r w:rsidRPr="00475ABD">
        <w:rPr>
          <w:rFonts w:ascii="Times New Roman" w:hAnsi="Times New Roman" w:cs="Times New Roman"/>
        </w:rPr>
        <w:t>Les Labo</w:t>
      </w:r>
      <w:r w:rsidR="003C7411">
        <w:rPr>
          <w:rFonts w:ascii="Times New Roman" w:hAnsi="Times New Roman" w:cs="Times New Roman"/>
        </w:rPr>
        <w:t>ratoires Servier 50, rue Carnot</w:t>
      </w:r>
      <w:r w:rsidRPr="00475ABD">
        <w:rPr>
          <w:rFonts w:ascii="Times New Roman" w:hAnsi="Times New Roman" w:cs="Times New Roman"/>
        </w:rPr>
        <w:t>, 92284 Suresnes cedex, Prancūzija.</w:t>
      </w:r>
    </w:p>
    <w:p w:rsidR="00EC1CD3" w:rsidRPr="00475ABD" w:rsidRDefault="00EC1CD3" w:rsidP="00475ABD">
      <w:pPr>
        <w:pStyle w:val="BTEMEASMCA"/>
        <w:rPr>
          <w:rFonts w:ascii="Times New Roman" w:hAnsi="Times New Roman" w:cs="Times New Roman"/>
        </w:rPr>
      </w:pPr>
    </w:p>
    <w:p w:rsidR="00EC1CD3" w:rsidRPr="00475ABD" w:rsidRDefault="00EC1CD3" w:rsidP="00EC1CD3">
      <w:pPr>
        <w:pStyle w:val="BTEMEASMCA"/>
        <w:rPr>
          <w:rFonts w:ascii="Times New Roman" w:hAnsi="Times New Roman" w:cs="Times New Roman"/>
        </w:rPr>
      </w:pPr>
    </w:p>
    <w:p w:rsidR="00EC1CD3" w:rsidRPr="00475ABD" w:rsidRDefault="00475ABD" w:rsidP="00EC1CD3">
      <w:pPr>
        <w:rPr>
          <w:sz w:val="22"/>
          <w:szCs w:val="22"/>
        </w:rPr>
      </w:pPr>
      <w:r w:rsidRPr="00475ABD">
        <w:rPr>
          <w:b/>
          <w:bCs/>
          <w:sz w:val="22"/>
          <w:szCs w:val="22"/>
        </w:rPr>
        <w:t>Šis pakuotės lapelis</w:t>
      </w:r>
      <w:r w:rsidRPr="00475ABD">
        <w:rPr>
          <w:b/>
          <w:sz w:val="22"/>
          <w:szCs w:val="22"/>
        </w:rPr>
        <w:t xml:space="preserve"> paskutinį kartą peržiūrėtas</w:t>
      </w:r>
      <w:r w:rsidR="00874B55">
        <w:rPr>
          <w:b/>
          <w:sz w:val="22"/>
          <w:szCs w:val="22"/>
        </w:rPr>
        <w:t xml:space="preserve"> 2017-01-27.</w:t>
      </w:r>
    </w:p>
    <w:p w:rsidR="00EC1CD3" w:rsidRPr="00475ABD" w:rsidRDefault="00EC1CD3" w:rsidP="00EC1CD3">
      <w:pPr>
        <w:rPr>
          <w:sz w:val="22"/>
          <w:szCs w:val="22"/>
        </w:rPr>
      </w:pPr>
    </w:p>
    <w:p w:rsidR="00EC1CD3" w:rsidRPr="00475ABD" w:rsidRDefault="00EC1CD3" w:rsidP="00EC1CD3">
      <w:pPr>
        <w:pStyle w:val="BTEMEASMCA"/>
        <w:rPr>
          <w:rFonts w:ascii="Times New Roman" w:hAnsi="Times New Roman" w:cs="Times New Roman"/>
        </w:rPr>
      </w:pPr>
      <w:r w:rsidRPr="00475ABD">
        <w:rPr>
          <w:rFonts w:ascii="Times New Roman" w:hAnsi="Times New Roman" w:cs="Times New Roman"/>
        </w:rPr>
        <w:t>Išsami informacija apie šį vaistą pateikiama Valstybinės vaistų kontrolės tarnybos prie Lietuvos Respublikos sveikatos apsaugos ministerijos tinklalapyje</w:t>
      </w:r>
      <w:r w:rsidRPr="00475ABD">
        <w:rPr>
          <w:rFonts w:ascii="Times New Roman" w:hAnsi="Times New Roman" w:cs="Times New Roman"/>
          <w:i/>
        </w:rPr>
        <w:t xml:space="preserve"> </w:t>
      </w:r>
      <w:hyperlink r:id="rId9" w:history="1">
        <w:r w:rsidRPr="00475ABD">
          <w:rPr>
            <w:rStyle w:val="Hipersaitas"/>
            <w:rFonts w:ascii="Times New Roman" w:hAnsi="Times New Roman"/>
          </w:rPr>
          <w:t>http://www.vvkt.lt/</w:t>
        </w:r>
      </w:hyperlink>
    </w:p>
    <w:p w:rsidR="00EC1CD3" w:rsidRPr="00475ABD" w:rsidRDefault="00EC1CD3" w:rsidP="00EC1CD3">
      <w:pPr>
        <w:pStyle w:val="BTEMEASMCA"/>
        <w:rPr>
          <w:rFonts w:ascii="Times New Roman" w:hAnsi="Times New Roman" w:cs="Times New Roman"/>
        </w:rPr>
      </w:pPr>
    </w:p>
    <w:p w:rsidR="00132316" w:rsidRPr="00475ABD" w:rsidRDefault="00132316">
      <w:pPr>
        <w:rPr>
          <w:sz w:val="22"/>
          <w:szCs w:val="22"/>
        </w:rPr>
      </w:pPr>
    </w:p>
    <w:sectPr w:rsidR="00132316" w:rsidRPr="00475ABD" w:rsidSect="00802AF5">
      <w:footerReference w:type="even" r:id="rId10"/>
      <w:footerReference w:type="default" r:id="rId11"/>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5EB" w:rsidRDefault="00E065EB">
      <w:r>
        <w:separator/>
      </w:r>
    </w:p>
  </w:endnote>
  <w:endnote w:type="continuationSeparator" w:id="0">
    <w:p w:rsidR="00E065EB" w:rsidRDefault="00E0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01" w:rsidRDefault="00475ABD" w:rsidP="00794A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61701" w:rsidRDefault="00003B21" w:rsidP="00FE421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01" w:rsidRPr="00FE4211" w:rsidRDefault="00475ABD" w:rsidP="00794A0A">
    <w:pPr>
      <w:pStyle w:val="Porat"/>
      <w:framePr w:wrap="around" w:vAnchor="text" w:hAnchor="margin" w:xAlign="right" w:y="1"/>
      <w:rPr>
        <w:rStyle w:val="Puslapionumeris"/>
        <w:sz w:val="22"/>
        <w:szCs w:val="22"/>
      </w:rPr>
    </w:pPr>
    <w:r w:rsidRPr="00FE4211">
      <w:rPr>
        <w:rStyle w:val="Puslapionumeris"/>
        <w:sz w:val="22"/>
        <w:szCs w:val="22"/>
      </w:rPr>
      <w:fldChar w:fldCharType="begin"/>
    </w:r>
    <w:r w:rsidRPr="00FE4211">
      <w:rPr>
        <w:rStyle w:val="Puslapionumeris"/>
        <w:sz w:val="22"/>
        <w:szCs w:val="22"/>
      </w:rPr>
      <w:instrText xml:space="preserve">PAGE  </w:instrText>
    </w:r>
    <w:r w:rsidRPr="00FE4211">
      <w:rPr>
        <w:rStyle w:val="Puslapionumeris"/>
        <w:sz w:val="22"/>
        <w:szCs w:val="22"/>
      </w:rPr>
      <w:fldChar w:fldCharType="separate"/>
    </w:r>
    <w:r w:rsidR="00003B21">
      <w:rPr>
        <w:rStyle w:val="Puslapionumeris"/>
        <w:noProof/>
        <w:sz w:val="22"/>
        <w:szCs w:val="22"/>
      </w:rPr>
      <w:t>2</w:t>
    </w:r>
    <w:r w:rsidRPr="00FE4211">
      <w:rPr>
        <w:rStyle w:val="Puslapionumeris"/>
        <w:sz w:val="22"/>
        <w:szCs w:val="22"/>
      </w:rPr>
      <w:fldChar w:fldCharType="end"/>
    </w:r>
  </w:p>
  <w:p w:rsidR="00D61701" w:rsidRDefault="00003B21" w:rsidP="00FE421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5EB" w:rsidRDefault="00E065EB">
      <w:r>
        <w:separator/>
      </w:r>
    </w:p>
  </w:footnote>
  <w:footnote w:type="continuationSeparator" w:id="0">
    <w:p w:rsidR="00E065EB" w:rsidRDefault="00E06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blwhny1W9Q74OTLO2JfRnAh5iyB68fElHGsJrgi7dnBJxLtHkVgGUoXaMuxWXzQS4pJIaTpYVU9A6ZXYD9c/Q==" w:salt="kQxBa/pli3ZAjvBefKzug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AB"/>
    <w:rsid w:val="00003B21"/>
    <w:rsid w:val="00132316"/>
    <w:rsid w:val="003C7411"/>
    <w:rsid w:val="00475ABD"/>
    <w:rsid w:val="006C0727"/>
    <w:rsid w:val="00874B55"/>
    <w:rsid w:val="00B35EAB"/>
    <w:rsid w:val="00D34E01"/>
    <w:rsid w:val="00E065EB"/>
    <w:rsid w:val="00EC1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1FAFF-C4C7-4B61-8856-D6A483D8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CD3"/>
    <w:pPr>
      <w:spacing w:after="0" w:line="240" w:lineRule="auto"/>
    </w:pPr>
    <w:rPr>
      <w:rFonts w:ascii="Times New Roman" w:eastAsia="MS Mincho" w:hAnsi="Times New Roman" w:cs="Times New Roman"/>
      <w:sz w:val="24"/>
      <w:szCs w:val="24"/>
    </w:rPr>
  </w:style>
  <w:style w:type="paragraph" w:styleId="Antrat1">
    <w:name w:val="heading 1"/>
    <w:basedOn w:val="prastasis"/>
    <w:next w:val="prastasis"/>
    <w:link w:val="Antrat1Diagrama"/>
    <w:uiPriority w:val="9"/>
    <w:qFormat/>
    <w:rsid w:val="00EC1C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EC1C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C1CD3"/>
    <w:rPr>
      <w:rFonts w:cs="Times New Roman"/>
      <w:color w:val="0000FF"/>
      <w:u w:val="single"/>
    </w:rPr>
  </w:style>
  <w:style w:type="paragraph" w:styleId="Pagrindinistekstas">
    <w:name w:val="Body Text"/>
    <w:basedOn w:val="prastasis"/>
    <w:link w:val="PagrindinistekstasDiagrama"/>
    <w:uiPriority w:val="99"/>
    <w:rsid w:val="00EC1CD3"/>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EC1CD3"/>
    <w:rPr>
      <w:rFonts w:ascii="Times New Roman" w:eastAsia="MS Mincho" w:hAnsi="Times New Roman" w:cs="Times New Roman"/>
      <w:szCs w:val="20"/>
      <w:lang w:eastAsia="lt-LT"/>
    </w:rPr>
  </w:style>
  <w:style w:type="paragraph" w:styleId="Paantrat">
    <w:name w:val="Subtitle"/>
    <w:basedOn w:val="prastasis"/>
    <w:link w:val="PaantratDiagrama"/>
    <w:uiPriority w:val="99"/>
    <w:qFormat/>
    <w:rsid w:val="00EC1CD3"/>
    <w:pPr>
      <w:autoSpaceDE w:val="0"/>
      <w:autoSpaceDN w:val="0"/>
      <w:adjustRightInd w:val="0"/>
      <w:jc w:val="center"/>
    </w:pPr>
    <w:rPr>
      <w:rFonts w:ascii="TimesNewRoman,Bold" w:hAnsi="TimesNewRoman,Bold"/>
      <w:b/>
      <w:color w:val="000000"/>
      <w:sz w:val="22"/>
      <w:szCs w:val="20"/>
      <w:lang w:val="en-US" w:eastAsia="lt-LT"/>
    </w:rPr>
  </w:style>
  <w:style w:type="character" w:customStyle="1" w:styleId="PaantratDiagrama">
    <w:name w:val="Paantraštė Diagrama"/>
    <w:basedOn w:val="Numatytasispastraiposriftas"/>
    <w:link w:val="Paantrat"/>
    <w:uiPriority w:val="99"/>
    <w:rsid w:val="00EC1CD3"/>
    <w:rPr>
      <w:rFonts w:ascii="TimesNewRoman,Bold" w:eastAsia="MS Mincho" w:hAnsi="TimesNewRoman,Bold" w:cs="Times New Roman"/>
      <w:b/>
      <w:color w:val="000000"/>
      <w:szCs w:val="20"/>
      <w:lang w:val="en-US" w:eastAsia="lt-LT"/>
    </w:rPr>
  </w:style>
  <w:style w:type="paragraph" w:customStyle="1" w:styleId="PI-1EMEASMCA">
    <w:name w:val="PI-1 EMEA_SMCA"/>
    <w:basedOn w:val="Antrat2"/>
    <w:autoRedefine/>
    <w:uiPriority w:val="99"/>
    <w:rsid w:val="00EC1CD3"/>
    <w:pPr>
      <w:keepLines w:val="0"/>
      <w:tabs>
        <w:tab w:val="left" w:pos="567"/>
      </w:tabs>
      <w:spacing w:before="0"/>
      <w:ind w:left="567" w:hanging="567"/>
    </w:pPr>
    <w:rPr>
      <w:rFonts w:ascii="Times New Roman" w:eastAsia="MS Mincho" w:hAnsi="Times New Roman" w:cs="Times New Roman"/>
      <w:bCs w:val="0"/>
      <w:color w:val="auto"/>
      <w:sz w:val="22"/>
      <w:szCs w:val="22"/>
    </w:rPr>
  </w:style>
  <w:style w:type="character" w:customStyle="1" w:styleId="PI-1labEMEASMCAChar">
    <w:name w:val="PI-1_lab EMEA_SMCA Char"/>
    <w:link w:val="PI-1labEMEASMCA"/>
    <w:uiPriority w:val="99"/>
    <w:locked/>
    <w:rsid w:val="00EC1CD3"/>
    <w:rPr>
      <w:rFonts w:cs="Times New Roman"/>
      <w:b/>
      <w:noProof/>
    </w:rPr>
  </w:style>
  <w:style w:type="paragraph" w:customStyle="1" w:styleId="PI-1labEMEASMCA">
    <w:name w:val="PI-1_lab EMEA_SMCA"/>
    <w:basedOn w:val="prastasis"/>
    <w:link w:val="PI-1labEMEASMCAChar"/>
    <w:autoRedefine/>
    <w:uiPriority w:val="99"/>
    <w:rsid w:val="00EC1CD3"/>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b/>
      <w:noProof/>
      <w:sz w:val="22"/>
      <w:szCs w:val="22"/>
    </w:rPr>
  </w:style>
  <w:style w:type="character" w:customStyle="1" w:styleId="BTEMEASMCAChar">
    <w:name w:val="BT EMEA_SMCA Char"/>
    <w:link w:val="BTEMEASMCA"/>
    <w:locked/>
    <w:rsid w:val="00EC1CD3"/>
    <w:rPr>
      <w:iCs/>
      <w:noProof/>
    </w:rPr>
  </w:style>
  <w:style w:type="paragraph" w:customStyle="1" w:styleId="BTEMEASMCA">
    <w:name w:val="BT EMEA_SMCA"/>
    <w:basedOn w:val="prastasis"/>
    <w:link w:val="BTEMEASMCAChar"/>
    <w:autoRedefine/>
    <w:rsid w:val="00EC1CD3"/>
    <w:rPr>
      <w:rFonts w:asciiTheme="minorHAnsi" w:eastAsiaTheme="minorHAnsi" w:hAnsiTheme="minorHAnsi" w:cstheme="minorBidi"/>
      <w:iCs/>
      <w:noProof/>
      <w:sz w:val="22"/>
      <w:szCs w:val="22"/>
    </w:rPr>
  </w:style>
  <w:style w:type="character" w:customStyle="1" w:styleId="TTEMEASMCAChar">
    <w:name w:val="TT EMEA_SMCA Char"/>
    <w:link w:val="TTEMEASMCA"/>
    <w:uiPriority w:val="99"/>
    <w:locked/>
    <w:rsid w:val="00EC1CD3"/>
    <w:rPr>
      <w:b/>
    </w:rPr>
  </w:style>
  <w:style w:type="paragraph" w:customStyle="1" w:styleId="TTEMEASMCA">
    <w:name w:val="TT EMEA_SMCA"/>
    <w:basedOn w:val="Antrat1"/>
    <w:link w:val="TTEMEASMCAChar"/>
    <w:autoRedefine/>
    <w:uiPriority w:val="99"/>
    <w:rsid w:val="00EC1CD3"/>
    <w:pPr>
      <w:keepNext w:val="0"/>
      <w:keepLines w:val="0"/>
      <w:tabs>
        <w:tab w:val="left" w:pos="567"/>
      </w:tabs>
      <w:spacing w:before="0"/>
      <w:ind w:left="567" w:hanging="567"/>
      <w:jc w:val="center"/>
    </w:pPr>
    <w:rPr>
      <w:rFonts w:asciiTheme="minorHAnsi" w:eastAsiaTheme="minorHAnsi" w:hAnsiTheme="minorHAnsi" w:cstheme="minorBidi"/>
      <w:bCs w:val="0"/>
      <w:color w:val="auto"/>
      <w:sz w:val="22"/>
      <w:szCs w:val="22"/>
    </w:rPr>
  </w:style>
  <w:style w:type="paragraph" w:customStyle="1" w:styleId="BT-EMEASMCA">
    <w:name w:val="BT- EMEA_SMCA"/>
    <w:basedOn w:val="BTEMEASMCA"/>
    <w:autoRedefine/>
    <w:uiPriority w:val="99"/>
    <w:rsid w:val="00EC1CD3"/>
    <w:pPr>
      <w:numPr>
        <w:numId w:val="1"/>
      </w:numPr>
      <w:tabs>
        <w:tab w:val="clear" w:pos="720"/>
        <w:tab w:val="num" w:pos="360"/>
      </w:tabs>
      <w:ind w:left="0" w:firstLine="0"/>
    </w:pPr>
  </w:style>
  <w:style w:type="paragraph" w:customStyle="1" w:styleId="PI-3EMEASMCA">
    <w:name w:val="PI-3 EMEA_SMCA"/>
    <w:basedOn w:val="prastasis"/>
    <w:autoRedefine/>
    <w:uiPriority w:val="99"/>
    <w:rsid w:val="00EC1CD3"/>
    <w:pPr>
      <w:spacing w:line="220" w:lineRule="exact"/>
      <w:ind w:left="360" w:hanging="360"/>
    </w:pPr>
    <w:rPr>
      <w:b/>
      <w:bCs/>
      <w:sz w:val="22"/>
      <w:szCs w:val="22"/>
    </w:rPr>
  </w:style>
  <w:style w:type="paragraph" w:customStyle="1" w:styleId="BTbEMEASMCA">
    <w:name w:val="BT(b) EMEA_SMCA"/>
    <w:basedOn w:val="BTEMEASMCA"/>
    <w:autoRedefine/>
    <w:uiPriority w:val="99"/>
    <w:rsid w:val="00EC1CD3"/>
    <w:rPr>
      <w:b/>
    </w:rPr>
  </w:style>
  <w:style w:type="paragraph" w:styleId="Porat">
    <w:name w:val="footer"/>
    <w:basedOn w:val="prastasis"/>
    <w:link w:val="PoratDiagrama"/>
    <w:rsid w:val="00EC1CD3"/>
    <w:pPr>
      <w:tabs>
        <w:tab w:val="center" w:pos="4819"/>
        <w:tab w:val="right" w:pos="9638"/>
      </w:tabs>
    </w:pPr>
  </w:style>
  <w:style w:type="character" w:customStyle="1" w:styleId="PoratDiagrama">
    <w:name w:val="Poraštė Diagrama"/>
    <w:basedOn w:val="Numatytasispastraiposriftas"/>
    <w:link w:val="Porat"/>
    <w:rsid w:val="00EC1CD3"/>
    <w:rPr>
      <w:rFonts w:ascii="Times New Roman" w:eastAsia="MS Mincho" w:hAnsi="Times New Roman" w:cs="Times New Roman"/>
      <w:sz w:val="24"/>
      <w:szCs w:val="24"/>
    </w:rPr>
  </w:style>
  <w:style w:type="character" w:styleId="Puslapionumeris">
    <w:name w:val="page number"/>
    <w:basedOn w:val="Numatytasispastraiposriftas"/>
    <w:rsid w:val="00EC1CD3"/>
  </w:style>
  <w:style w:type="character" w:customStyle="1" w:styleId="Antrat2Diagrama">
    <w:name w:val="Antraštė 2 Diagrama"/>
    <w:basedOn w:val="Numatytasispastraiposriftas"/>
    <w:link w:val="Antrat2"/>
    <w:uiPriority w:val="9"/>
    <w:semiHidden/>
    <w:rsid w:val="00EC1CD3"/>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uiPriority w:val="9"/>
    <w:rsid w:val="00EC1CD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7589</Words>
  <Characters>4326</Characters>
  <Application>Microsoft Office Word</Application>
  <DocSecurity>8</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Birutė Valkauskaitė</cp:lastModifiedBy>
  <cp:revision>3</cp:revision>
  <dcterms:created xsi:type="dcterms:W3CDTF">2017-01-31T12:32:00Z</dcterms:created>
  <dcterms:modified xsi:type="dcterms:W3CDTF">2017-01-31T12:32:00Z</dcterms:modified>
</cp:coreProperties>
</file>