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1A65" w14:textId="77777777" w:rsidR="00FC649A" w:rsidRPr="005D0917" w:rsidRDefault="00FC649A" w:rsidP="00FC64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Pakuotės lapelis: informacija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b/>
          <w:lang w:val="lt-LT"/>
        </w:rPr>
        <w:t>vartotojui</w:t>
      </w:r>
    </w:p>
    <w:p w14:paraId="6D7089F4" w14:textId="77777777" w:rsidR="00FC649A" w:rsidRPr="005D0917" w:rsidRDefault="00FC649A" w:rsidP="00FC649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val="lt-LT"/>
        </w:rPr>
      </w:pPr>
    </w:p>
    <w:p w14:paraId="116939BF" w14:textId="77777777" w:rsidR="00FC649A" w:rsidRPr="005D0917" w:rsidRDefault="00FC649A" w:rsidP="00FC649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0,5 mg/ml nosies lašai (tirpalas)</w:t>
      </w:r>
    </w:p>
    <w:p w14:paraId="0CD921A4" w14:textId="77777777" w:rsidR="00FC649A" w:rsidRPr="005D0917" w:rsidRDefault="00FC649A" w:rsidP="00FC649A">
      <w:pPr>
        <w:spacing w:after="0" w:line="240" w:lineRule="auto"/>
        <w:jc w:val="center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00EC4E79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48B2CC9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Atidžiai perskaitykite visą šį lapelį, prieš pradėdami vartoti šį vaistą, nes jame pateikiama Jums svarbi informacija.</w:t>
      </w:r>
    </w:p>
    <w:p w14:paraId="6A41D0AB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Visada vartokite šį vaistą tiksliai kaip aprašyta šiame lapelyje arba kaip nurodė gydytojas, vaistininkas arba slaugytojas.</w:t>
      </w:r>
    </w:p>
    <w:p w14:paraId="79EF178D" w14:textId="77777777" w:rsidR="00FC649A" w:rsidRPr="005D0917" w:rsidRDefault="00FC649A" w:rsidP="00FC64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Neišmeskite šio lapelio, nes vėl gali prireikti jį perskaityti.</w:t>
      </w:r>
    </w:p>
    <w:p w14:paraId="64677E99" w14:textId="77777777" w:rsidR="00FC649A" w:rsidRPr="005D0917" w:rsidRDefault="00FC649A" w:rsidP="00FC64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norite sužinoti daugiau arba pasitarti, kreipkitės į vaistininką.</w:t>
      </w:r>
    </w:p>
    <w:p w14:paraId="71708F84" w14:textId="77777777" w:rsidR="00FC649A" w:rsidRPr="005D0917" w:rsidRDefault="00FC649A" w:rsidP="00FC64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063EB64A" w14:textId="77777777" w:rsidR="00FC649A" w:rsidRPr="005D0917" w:rsidRDefault="00FC649A" w:rsidP="00FC64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per 7 dienas Jūsų savijauta nepagerėjo arba net pablogėjo, kreipkitės į gydytoją.</w:t>
      </w:r>
    </w:p>
    <w:p w14:paraId="2EE3E7C3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83EE420" w14:textId="77777777" w:rsidR="00FC649A" w:rsidRPr="005D0917" w:rsidRDefault="00FC649A" w:rsidP="00FC649A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Apie ką rašoma šiame lapelyje?</w:t>
      </w:r>
    </w:p>
    <w:p w14:paraId="1FC299FC" w14:textId="77777777" w:rsidR="00FC649A" w:rsidRPr="005D0917" w:rsidRDefault="00FC649A" w:rsidP="00FC649A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Calibri" w:hAnsi="Times New Roman" w:cs="Times New Roman"/>
          <w:lang w:val="lt-LT"/>
        </w:rPr>
      </w:pPr>
    </w:p>
    <w:p w14:paraId="079A23DB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Kas yra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ir kam jis vartojamas</w:t>
      </w:r>
    </w:p>
    <w:p w14:paraId="3F5E2ABA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2.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Kas žinotina prieš vartojant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1A99F4D1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3.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Kaip vartoti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1F51C833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4.</w:t>
      </w:r>
      <w:r w:rsidRPr="005D0917">
        <w:rPr>
          <w:rFonts w:ascii="Times New Roman" w:eastAsia="Calibri" w:hAnsi="Times New Roman" w:cs="Times New Roman"/>
          <w:lang w:val="lt-LT"/>
        </w:rPr>
        <w:tab/>
        <w:t>Galimas šalutinis poveikis</w:t>
      </w:r>
    </w:p>
    <w:p w14:paraId="1F7A10F0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5.</w:t>
      </w:r>
      <w:r w:rsidRPr="005D0917">
        <w:rPr>
          <w:rFonts w:ascii="Times New Roman" w:eastAsia="Calibri" w:hAnsi="Times New Roman" w:cs="Times New Roman"/>
          <w:lang w:val="lt-LT"/>
        </w:rPr>
        <w:tab/>
        <w:t xml:space="preserve">Kaip laikyti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</w:p>
    <w:p w14:paraId="28E89ACF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6.</w:t>
      </w:r>
      <w:r w:rsidRPr="005D0917">
        <w:rPr>
          <w:rFonts w:ascii="Times New Roman" w:eastAsia="Calibri" w:hAnsi="Times New Roman" w:cs="Times New Roman"/>
          <w:lang w:val="lt-LT"/>
        </w:rPr>
        <w:tab/>
        <w:t>Pakuotės turinys ir kita informacija</w:t>
      </w:r>
    </w:p>
    <w:p w14:paraId="7E87C5F2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9C1D172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B8CD80E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1.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Kas yra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ir kam jis vartojamas</w:t>
      </w:r>
    </w:p>
    <w:p w14:paraId="45498287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0214F08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sudėtyje yra veikliosios medžiagos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hidrochlorido, kuris lokaliai mažina gleivinės paburkimą ir palengvina nosies užgulimą bei gleivių nutekėjimą iš prienosinių ančių.</w:t>
      </w:r>
    </w:p>
    <w:p w14:paraId="08E1C585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8632A19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lašai palengvina šienligės, įprasto peršalimo ar prienosinių ančių uždegimo (sinusito) sukeltą nosies užgulimą.</w:t>
      </w:r>
    </w:p>
    <w:p w14:paraId="6F52F66B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CC451F1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skirtas suaugusiesiems, 6 metų ir vyresniems vaikams ir paaugliams.</w:t>
      </w:r>
    </w:p>
    <w:p w14:paraId="72887A1E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8C1BC7E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per 7 dienas Jūsų savijauta nepagerėjo arba net pablogėjo, kreipkitės į gydytoją.</w:t>
      </w:r>
    </w:p>
    <w:p w14:paraId="3B6927AF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C242C6E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2C95938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2.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21708A58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5781301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vartoti draudžiama</w:t>
      </w:r>
    </w:p>
    <w:p w14:paraId="1A7E00AE" w14:textId="77777777" w:rsidR="00FC649A" w:rsidRPr="005D0917" w:rsidRDefault="00FC649A" w:rsidP="00FC649A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yra alergija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hidrochlorido arba bet kuriai pagalbinei šio vaisto medžiagai (jos išvardytos 6 skyriuje)</w:t>
      </w:r>
      <w:r w:rsidRPr="005D0917">
        <w:rPr>
          <w:rFonts w:ascii="Times New Roman" w:eastAsia="Times New Roman" w:hAnsi="Times New Roman" w:cs="Times New Roman"/>
          <w:lang w:val="lt-LT"/>
        </w:rPr>
        <w:t>;</w:t>
      </w:r>
    </w:p>
    <w:p w14:paraId="6EECDBAA" w14:textId="77777777" w:rsidR="00FC649A" w:rsidRPr="005D0917" w:rsidRDefault="00FC649A" w:rsidP="00FC649A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yra ūminė išeminė širdies liga arba krūtinės angina;</w:t>
      </w:r>
    </w:p>
    <w:p w14:paraId="0FB3FB67" w14:textId="77777777" w:rsidR="00FC649A" w:rsidRPr="005D0917" w:rsidRDefault="00FC649A" w:rsidP="00FC649A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>jeigu Jums buvo atlikta nosies operacija, kurios metu buvo atvertas smegenis gaubiantis dangalas;</w:t>
      </w:r>
    </w:p>
    <w:p w14:paraId="06C04E9A" w14:textId="77777777" w:rsidR="00FC649A" w:rsidRPr="005D0917" w:rsidRDefault="00FC649A" w:rsidP="00FC649A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Jums yra nosies prieangio odos ir nosies gleivinės uždegimas ir ji yra pasidengusi plutele (sausasis rinitas);</w:t>
      </w:r>
    </w:p>
    <w:p w14:paraId="1A94158E" w14:textId="77777777" w:rsidR="00FC649A" w:rsidRPr="005D0917" w:rsidRDefault="00FC649A" w:rsidP="00FC649A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sergate akių liga, vadinama uždaro kampo glaukoma;</w:t>
      </w:r>
    </w:p>
    <w:p w14:paraId="3E0BB77C" w14:textId="77777777" w:rsidR="00FC649A" w:rsidRPr="005D0917" w:rsidRDefault="00FC649A" w:rsidP="00FC649A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vartojate (arba paskutines dvi savaites vartojote)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inhibitorių (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inhibitoriai vartojami Parkinsono ligos ir depresijos gydymui);</w:t>
      </w:r>
    </w:p>
    <w:p w14:paraId="628AF426" w14:textId="77777777" w:rsidR="00FC649A" w:rsidRPr="005D0917" w:rsidRDefault="00FC649A" w:rsidP="00FC649A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jaunesniems nei 6 metų vaikams.</w:t>
      </w:r>
    </w:p>
    <w:p w14:paraId="07C5496C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69E7220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, jei kuri nors iš minėtų būklių Jums tinka. Jei nesate tikri, pasitarkite su gydytoju arba vaistininku.</w:t>
      </w:r>
    </w:p>
    <w:p w14:paraId="778D10CF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9CAD792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14:paraId="75BCFE56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 xml:space="preserve">Pasitarkite su gydytoju, prieš pradėdami vartoti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, jeigu:</w:t>
      </w:r>
    </w:p>
    <w:p w14:paraId="6E7624A6" w14:textId="77777777" w:rsidR="00FC649A" w:rsidRPr="005D0917" w:rsidRDefault="00FC649A" w:rsidP="00FC649A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yra aukštas kraujospūdis;</w:t>
      </w:r>
    </w:p>
    <w:p w14:paraId="4568D470" w14:textId="77777777" w:rsidR="00FC649A" w:rsidRPr="005D0917" w:rsidRDefault="00FC649A" w:rsidP="00FC649A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sergate sunkia širdies arba kraujagyslių liga;</w:t>
      </w:r>
    </w:p>
    <w:p w14:paraId="61AAA853" w14:textId="77777777" w:rsidR="00FC649A" w:rsidRPr="005D0917" w:rsidRDefault="00FC649A" w:rsidP="00FC649A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sergate cukriniu diabetu;</w:t>
      </w:r>
    </w:p>
    <w:p w14:paraId="6B08579C" w14:textId="77777777" w:rsidR="00FC649A" w:rsidRPr="005D0917" w:rsidRDefault="00FC649A" w:rsidP="00FC649A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sutrikusi, pernelyg aktyvi skydliaukės veikla;</w:t>
      </w:r>
    </w:p>
    <w:p w14:paraId="3A15E53F" w14:textId="77777777" w:rsidR="00FC649A" w:rsidRPr="005D0917" w:rsidRDefault="00FC649A" w:rsidP="00FC649A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yra antinksčių navikas (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);</w:t>
      </w:r>
    </w:p>
    <w:p w14:paraId="7508792D" w14:textId="77777777" w:rsidR="00FC649A" w:rsidRPr="005D0917" w:rsidRDefault="00FC649A" w:rsidP="00FC649A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padidėjusi prostata;</w:t>
      </w:r>
    </w:p>
    <w:p w14:paraId="611DA4A3" w14:textId="77777777" w:rsidR="00FC649A" w:rsidRPr="005D0917" w:rsidRDefault="00FC649A" w:rsidP="00FC649A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vartojate vaistų, kurie didina kraujospūdį;</w:t>
      </w:r>
    </w:p>
    <w:p w14:paraId="4941F3A1" w14:textId="77777777" w:rsidR="00FC649A" w:rsidRPr="005D0917" w:rsidRDefault="00FC649A" w:rsidP="00FC649A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jau vartojate panašių vaistų, lengvinančių nosies užgulimą.</w:t>
      </w:r>
    </w:p>
    <w:p w14:paraId="022C4F58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8EC8D00" w14:textId="77777777" w:rsidR="00FC649A" w:rsidRPr="005D0917" w:rsidRDefault="00FC649A" w:rsidP="00FC649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nevartokite be pertraukos ilgiau kaip 7 paras,</w:t>
      </w:r>
      <w:r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 kadangi nutraukus ilgalaikį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Times New Roman" w:hAnsi="Times New Roman" w:cs="Times New Roman"/>
          <w:lang w:val="lt-LT"/>
        </w:rPr>
        <w:t xml:space="preserve"> vartojimą, gali iš naujo pasireikšti nosies užgulimas. Tai vadinama atoveiksmio fenomenu. </w:t>
      </w:r>
      <w:r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Be to, ilgalaikis </w:t>
      </w:r>
      <w:proofErr w:type="spellStart"/>
      <w:r w:rsidRPr="005D0917">
        <w:rPr>
          <w:rFonts w:ascii="Times New Roman" w:eastAsia="Times New Roman" w:hAnsi="Times New Roman" w:cs="Times New Roman"/>
          <w:color w:val="000000"/>
          <w:lang w:val="lt-LT"/>
        </w:rPr>
        <w:t>Exnos</w:t>
      </w:r>
      <w:proofErr w:type="spellEnd"/>
      <w:r w:rsidRPr="005D0917">
        <w:rPr>
          <w:rFonts w:ascii="Times New Roman" w:eastAsia="Times New Roman" w:hAnsi="Times New Roman" w:cs="Times New Roman"/>
          <w:color w:val="000000"/>
          <w:lang w:val="lt-LT"/>
        </w:rPr>
        <w:t xml:space="preserve"> vartojimas gali sukelti medikamentinę slogą (vaistų sukeltą nosies gleivinės uždegimą)</w:t>
      </w:r>
      <w:r w:rsidRPr="005D0917">
        <w:rPr>
          <w:rFonts w:ascii="Times New Roman" w:eastAsia="Calibri" w:hAnsi="Times New Roman" w:cs="Times New Roman"/>
          <w:lang w:val="lt-LT"/>
        </w:rPr>
        <w:t>. Jeigu simptomai pasunkėja arba per 7 paras nepalengvėjo, kreipkitės į gydytoją.</w:t>
      </w:r>
    </w:p>
    <w:p w14:paraId="25EA3563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50ECF3D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Vaikams ir paaugliams</w:t>
      </w:r>
    </w:p>
    <w:p w14:paraId="44311A72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su savo vaikui. Neduokite šio vaisto jaunesniam kaip 6 metų vaikui.</w:t>
      </w:r>
    </w:p>
    <w:p w14:paraId="2AD0659A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7D684C9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1BB0E392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vartojate arba neseniai vartojote kitų vaistų arba dėl to nesate tikri, įskaitant įsigytus be recepto, pasakykite gydytojui arba vaistininkui.</w:t>
      </w:r>
    </w:p>
    <w:p w14:paraId="6C1715A1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CA5A72A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Ypač svarbu pasakyti gydytojui arba vaistininkui, jeigu vartojate bet kurio iš toliau išvardytų vaistų:</w:t>
      </w:r>
    </w:p>
    <w:p w14:paraId="0A0AE2D5" w14:textId="77777777" w:rsidR="00FC649A" w:rsidRPr="005D0917" w:rsidRDefault="00FC649A" w:rsidP="00FC649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tam tikrų vaistų nuo depresijos, t. y.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inhibitorių (MAO inhibitorių), grįžtamojo poveikio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monoaminoooksidazės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inhibitorių (</w:t>
      </w:r>
      <w:r w:rsidRPr="005D0917">
        <w:rPr>
          <w:rFonts w:ascii="Times New Roman" w:hAnsi="Times New Roman" w:cs="Times New Roman"/>
          <w:color w:val="4D5156"/>
          <w:shd w:val="clear" w:color="auto" w:fill="FFFFFF"/>
          <w:lang w:val="lt-LT"/>
        </w:rPr>
        <w:t xml:space="preserve">angl. </w:t>
      </w:r>
      <w:proofErr w:type="spellStart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reversible</w:t>
      </w:r>
      <w:proofErr w:type="spellEnd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inhibition</w:t>
      </w:r>
      <w:proofErr w:type="spellEnd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of</w:t>
      </w:r>
      <w:proofErr w:type="spellEnd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monoamine</w:t>
      </w:r>
      <w:proofErr w:type="spellEnd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 xml:space="preserve"> </w:t>
      </w:r>
      <w:proofErr w:type="spellStart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oxidase</w:t>
      </w:r>
      <w:proofErr w:type="spellEnd"/>
      <w:r w:rsidRPr="005D0917">
        <w:rPr>
          <w:rFonts w:ascii="Times New Roman" w:hAnsi="Times New Roman" w:cs="Times New Roman"/>
          <w:i/>
          <w:color w:val="4D5156"/>
          <w:shd w:val="clear" w:color="auto" w:fill="FFFFFF"/>
          <w:lang w:val="lt-LT"/>
        </w:rPr>
        <w:t>,</w:t>
      </w:r>
      <w:r w:rsidRPr="005D0917">
        <w:rPr>
          <w:rFonts w:ascii="Times New Roman" w:eastAsia="Calibri" w:hAnsi="Times New Roman" w:cs="Times New Roman"/>
          <w:lang w:val="lt-LT"/>
        </w:rPr>
        <w:t xml:space="preserve"> RIMA) ir (arba)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antidepresantų;</w:t>
      </w:r>
    </w:p>
    <w:p w14:paraId="5EACC06C" w14:textId="77777777" w:rsidR="00FC649A" w:rsidRPr="005D0917" w:rsidRDefault="00FC649A" w:rsidP="00FC649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kraujospūdį didinančių vaistų.</w:t>
      </w:r>
    </w:p>
    <w:p w14:paraId="245ECE2C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641826C7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Pasitarkite su savo gydytoju ar vaistininku, jei nesate tikri, ar vartojate kurio nors iš šių vaistų.</w:t>
      </w:r>
    </w:p>
    <w:p w14:paraId="0D94945C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80C4EC3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Nėštumas ir žindymo laikotarpis</w:t>
      </w:r>
    </w:p>
    <w:p w14:paraId="2B36514E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DD9D53B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esate nėščia arba žindote kūdikį, manote, kad galbūt esate nėščia, arba planuojate pastoti, tai prieš vartodama šį vaistą pasitarkite su gydytoju arba vaistininku.</w:t>
      </w:r>
    </w:p>
    <w:p w14:paraId="08D6259C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bCs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Cs/>
          <w:lang w:val="lt-LT"/>
        </w:rPr>
        <w:t xml:space="preserve"> vartoti nėštumo ar žindymo laikotarpiu nerekomenduojama, nebent gydytojas nuspręs, kad tai būtina.</w:t>
      </w:r>
    </w:p>
    <w:p w14:paraId="1A6D77BD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4974B9F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Vairavimas ir mechanizmų valdymas</w:t>
      </w:r>
    </w:p>
    <w:p w14:paraId="6B3D1B47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Cs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Cs/>
          <w:lang w:val="lt-LT"/>
        </w:rPr>
        <w:t xml:space="preserve"> nedaro </w:t>
      </w:r>
      <w:r w:rsidRPr="005D0917">
        <w:rPr>
          <w:rFonts w:ascii="Times New Roman" w:eastAsia="Calibri" w:hAnsi="Times New Roman" w:cs="Times New Roman"/>
          <w:lang w:val="lt-LT"/>
        </w:rPr>
        <w:t>poveikio gebėjimui vairuoti ar valdyti mechanizmus.</w:t>
      </w:r>
    </w:p>
    <w:p w14:paraId="224C7133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99F757C" w14:textId="77777777" w:rsidR="00FC649A" w:rsidRPr="005D0917" w:rsidRDefault="00FC649A" w:rsidP="00FC649A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sudėtyje yra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chlorido</w:t>
      </w:r>
    </w:p>
    <w:p w14:paraId="256B0C96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/>
          <w:lang w:val="lt-LT" w:eastAsia="lt-LT"/>
        </w:rPr>
        <w:t xml:space="preserve">Kiekviename šio vaisto mililitre yra 0,2 mg </w:t>
      </w:r>
      <w:proofErr w:type="spellStart"/>
      <w:r w:rsidRPr="005D0917">
        <w:rPr>
          <w:rFonts w:ascii="Times New Roman" w:eastAsia="Calibri" w:hAnsi="Times New Roman"/>
          <w:lang w:val="lt-LT" w:eastAsia="lt-LT"/>
        </w:rPr>
        <w:t>benzalkonio</w:t>
      </w:r>
      <w:proofErr w:type="spellEnd"/>
      <w:r w:rsidRPr="005D0917">
        <w:rPr>
          <w:rFonts w:ascii="Times New Roman" w:eastAsia="Calibri" w:hAnsi="Times New Roman"/>
          <w:lang w:val="lt-LT" w:eastAsia="lt-LT"/>
        </w:rPr>
        <w:t xml:space="preserve"> chlorido</w:t>
      </w:r>
      <w:r w:rsidRPr="005D0917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chloridas gali sukelti sudirginimą ar patinimą nosies viduje, ypač jei vartojamas ilgai. </w:t>
      </w:r>
    </w:p>
    <w:p w14:paraId="16CE979C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0E9AE93B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67F240B1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3.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Kaip vartoti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53A8B259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09CED754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Visada vartokite šį vaistą tiksliai kaip nurodė gydytojas, vaistininkas arba slaugytojas. Jeigu abejojate, kreipkitės į gydytoją, vaistininką arba slaugytoją.</w:t>
      </w:r>
    </w:p>
    <w:p w14:paraId="5F276092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4B09D94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Suaugusiesiems</w:t>
      </w:r>
    </w:p>
    <w:p w14:paraId="0699F6C2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Rekomenduojama dozė yra 1–2 nosies lašai į kiekvieną nosies šnervę kas 8–12 valandų (2–3 kartus per parą).</w:t>
      </w:r>
    </w:p>
    <w:p w14:paraId="5B9C2899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0CE514C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 metų ir vyresniems vaikams ir paaugliams</w:t>
      </w:r>
    </w:p>
    <w:p w14:paraId="561190AC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Paklauskite savo gydytojo ar vaistininko patarimo, prieš duodami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savo vaikui.</w:t>
      </w:r>
    </w:p>
    <w:p w14:paraId="7AE7FBEF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>Rekomenduojama dozė yra 1 nosies lašas į kiekvieną nosies šnervę kas 8–12 valandų (2–3 kartus per parą).</w:t>
      </w:r>
    </w:p>
    <w:p w14:paraId="30B8FDC8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3ECA22B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Neviršyti rekomenduojamos dozės.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negalima vartoti ilgiau kaip 7 paras, nebent Jūsų gydytojas paskirtų kitaip.</w:t>
      </w:r>
    </w:p>
    <w:p w14:paraId="68163485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6E9B78C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bookmarkStart w:id="0" w:name="_Hlk494120237"/>
      <w:r w:rsidRPr="005D0917">
        <w:rPr>
          <w:rFonts w:ascii="Times New Roman" w:eastAsia="Calibri" w:hAnsi="Times New Roman" w:cs="Times New Roman"/>
          <w:b/>
          <w:lang w:val="lt-LT"/>
        </w:rPr>
        <w:t>Jaunesniems kaip 6 metų vaikams</w:t>
      </w:r>
    </w:p>
    <w:bookmarkEnd w:id="0"/>
    <w:p w14:paraId="3F33388C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Šio vaisto negalima vartoti jaunesniems kaip 6 metų vaikams.</w:t>
      </w:r>
    </w:p>
    <w:p w14:paraId="2B0D1FAA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1847734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i/>
          <w:lang w:val="lt-LT"/>
        </w:rPr>
        <w:t>Vartojimo metodas</w:t>
      </w:r>
    </w:p>
    <w:p w14:paraId="41DDD371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Vartoti į nosį.</w:t>
      </w:r>
    </w:p>
    <w:p w14:paraId="76056FD0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99F6FA1" w14:textId="77777777" w:rsidR="00FC649A" w:rsidRPr="005D0917" w:rsidRDefault="00FC649A" w:rsidP="00FC649A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 xml:space="preserve">Ką daryti pavartojus per didelę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dozę</w:t>
      </w:r>
    </w:p>
    <w:p w14:paraId="048A5114" w14:textId="77777777" w:rsidR="00FC649A" w:rsidRPr="005D0917" w:rsidRDefault="00FC649A" w:rsidP="00FC649A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Pavartoję per didelę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dozę nedelsdami susisiekite su gydytoju arba vykite tiesiai į ligoninę, su savimi pasiimdami vaisto buteliuką, kad daktaras žinotų, kokio vaisto vartojote.</w:t>
      </w:r>
    </w:p>
    <w:p w14:paraId="49551AB9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60EEF65C" w14:textId="77777777" w:rsidR="00FC649A" w:rsidRPr="005D0917" w:rsidRDefault="00FC649A" w:rsidP="00FC649A">
      <w:pPr>
        <w:keepNext/>
        <w:keepLines/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 xml:space="preserve">Pamiršus pavartoti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4A6E0861" w14:textId="77777777" w:rsidR="00FC649A" w:rsidRPr="005D0917" w:rsidRDefault="00FC649A" w:rsidP="00FC649A">
      <w:pPr>
        <w:keepNext/>
        <w:keepLine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Negalima vartoti dvigubos dozės norint kompensuoti praleistą dozę.</w:t>
      </w:r>
    </w:p>
    <w:p w14:paraId="7A444CB9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9404D18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Jeigu kiltų daugiau klausimų dėl šio vaisto vartojimo, kreipkitės į gydytoją, vaistininką arba slaugytoją.</w:t>
      </w:r>
    </w:p>
    <w:p w14:paraId="22DA5D2C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E353774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4A9D2825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val="lt-LT"/>
        </w:rPr>
      </w:pPr>
      <w:r w:rsidRPr="005D0917">
        <w:rPr>
          <w:rFonts w:ascii="Times New Roman" w:eastAsia="Calibri" w:hAnsi="Times New Roman" w:cs="Times New Roman"/>
          <w:b/>
          <w:caps/>
          <w:lang w:val="lt-LT"/>
        </w:rPr>
        <w:t>4.</w:t>
      </w:r>
      <w:r w:rsidRPr="005D0917">
        <w:rPr>
          <w:rFonts w:ascii="Times New Roman" w:eastAsia="Calibri" w:hAnsi="Times New Roman" w:cs="Times New Roman"/>
          <w:b/>
          <w:caps/>
          <w:lang w:val="lt-LT"/>
        </w:rPr>
        <w:tab/>
        <w:t>g</w:t>
      </w:r>
      <w:r w:rsidRPr="005D0917">
        <w:rPr>
          <w:rFonts w:ascii="Times New Roman" w:eastAsia="Calibri" w:hAnsi="Times New Roman" w:cs="Times New Roman"/>
          <w:b/>
          <w:lang w:val="lt-LT"/>
        </w:rPr>
        <w:t>alimas šalutinis poveikis</w:t>
      </w:r>
    </w:p>
    <w:p w14:paraId="0A19E677" w14:textId="77777777" w:rsidR="00FC649A" w:rsidRPr="005D0917" w:rsidRDefault="00FC649A" w:rsidP="00FC649A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1EAB2099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Šis vaistas, kaip ir visi kiti, gali sukelti šalutinį poveikį, nors jis pasireiškia ne visiems žmonėms.</w:t>
      </w:r>
    </w:p>
    <w:p w14:paraId="260E5E5B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0469B8F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 xml:space="preserve">Nedažni šalutinio poveikio reiškiniai </w:t>
      </w:r>
      <w:r w:rsidRPr="005D0917">
        <w:rPr>
          <w:rFonts w:ascii="Times New Roman" w:hAnsi="Times New Roman"/>
          <w:b/>
          <w:lang w:val="lt-LT"/>
        </w:rPr>
        <w:t xml:space="preserve">(gali pasireikšti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5D0917">
        <w:rPr>
          <w:rFonts w:ascii="Times New Roman" w:hAnsi="Times New Roman"/>
          <w:b/>
          <w:lang w:val="lt-LT"/>
        </w:rPr>
        <w:t xml:space="preserve"> kaip 1 iš 100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asmenų</w:t>
      </w:r>
      <w:r w:rsidRPr="005D0917">
        <w:rPr>
          <w:rFonts w:ascii="Times New Roman" w:hAnsi="Times New Roman"/>
          <w:b/>
          <w:lang w:val="lt-LT"/>
        </w:rPr>
        <w:t>):</w:t>
      </w:r>
    </w:p>
    <w:p w14:paraId="7FCA6FE6" w14:textId="77777777" w:rsidR="00FC649A" w:rsidRPr="005D0917" w:rsidRDefault="00FC649A" w:rsidP="00FC649A">
      <w:pPr>
        <w:pStyle w:val="Sraopastraipa"/>
        <w:numPr>
          <w:ilvl w:val="0"/>
          <w:numId w:val="5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nosies, burnos ar gerklės diskomfortas ar sudirginimas, nosies sausumas, čiaudulys.</w:t>
      </w:r>
    </w:p>
    <w:p w14:paraId="1433B82E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F2D664C" w14:textId="77777777" w:rsidR="00FC649A" w:rsidRPr="005D0917" w:rsidRDefault="00FC649A" w:rsidP="00FC649A">
      <w:pPr>
        <w:spacing w:after="0" w:line="240" w:lineRule="auto"/>
        <w:rPr>
          <w:rFonts w:ascii="Times New Roman" w:hAnsi="Times New Roman"/>
          <w:b/>
          <w:lang w:val="lt-LT"/>
        </w:rPr>
      </w:pP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Reti šalutinio poveikio reiškiniai</w:t>
      </w:r>
      <w:r w:rsidRPr="005D0917">
        <w:rPr>
          <w:rFonts w:ascii="Times New Roman" w:hAnsi="Times New Roman"/>
          <w:b/>
          <w:lang w:val="lt-LT"/>
        </w:rPr>
        <w:t xml:space="preserve"> (gali pasireikšti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5D0917">
        <w:rPr>
          <w:rFonts w:ascii="Times New Roman" w:hAnsi="Times New Roman"/>
          <w:b/>
          <w:lang w:val="lt-LT"/>
        </w:rPr>
        <w:t xml:space="preserve"> kaip 1 iš </w:t>
      </w:r>
      <w:r w:rsidRPr="005D0917">
        <w:rPr>
          <w:rFonts w:ascii="Times New Roman" w:hAnsi="Times New Roman" w:cs="Times New Roman"/>
          <w:b/>
          <w:bCs/>
          <w:noProof/>
          <w:snapToGrid w:val="0"/>
          <w:lang w:val="lt-LT"/>
        </w:rPr>
        <w:t>1 000 asmenų</w:t>
      </w:r>
      <w:r w:rsidRPr="005D0917">
        <w:rPr>
          <w:rFonts w:ascii="Times New Roman" w:hAnsi="Times New Roman"/>
          <w:b/>
          <w:lang w:val="lt-LT"/>
        </w:rPr>
        <w:t>):</w:t>
      </w:r>
    </w:p>
    <w:p w14:paraId="2BBA442F" w14:textId="77777777" w:rsidR="00FC649A" w:rsidRPr="005D0917" w:rsidRDefault="00FC649A" w:rsidP="00FC649A">
      <w:pPr>
        <w:pStyle w:val="Sraopastraipa"/>
        <w:numPr>
          <w:ilvl w:val="0"/>
          <w:numId w:val="5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dažnas širdies plakimas (tachikardija), stiprus ir dažnas širdies plakimas (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palpitacija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), padidėjęs kraujospūdis, pykinimas, akių dirginimas, akių sausumas, akių diskomfortas ar paraudimas, padidėjęs jautrumas, nosies užgulimas dėl nosies gleivinės kraujagyslių išsiplėtimo, nerimas, nerimastingumas, dirglumas, drebėjimas (tremoras), galvos skausmas, nemiga, nervingumas.</w:t>
      </w:r>
    </w:p>
    <w:p w14:paraId="23D678FF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</w:p>
    <w:p w14:paraId="75EC91C5" w14:textId="77777777" w:rsidR="00FC649A" w:rsidRPr="005D0917" w:rsidRDefault="00FC649A" w:rsidP="00FC64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lang w:val="lt-LT"/>
        </w:rPr>
        <w:t xml:space="preserve">Ilgalaikis ir (arba) dažnas (viršijant rekomenduojamas dozes) </w:t>
      </w:r>
      <w:proofErr w:type="spellStart"/>
      <w:r w:rsidRPr="005D0917">
        <w:rPr>
          <w:rFonts w:ascii="Times New Roman" w:eastAsia="Times New Roman" w:hAnsi="Times New Roman" w:cs="Times New Roman"/>
          <w:lang w:val="lt-LT"/>
        </w:rPr>
        <w:t>Exnos</w:t>
      </w:r>
      <w:proofErr w:type="spellEnd"/>
      <w:r w:rsidRPr="005D0917" w:rsidDel="004E1A13">
        <w:rPr>
          <w:rFonts w:ascii="Times New Roman" w:eastAsia="Times New Roman" w:hAnsi="Times New Roman" w:cs="Times New Roman"/>
          <w:lang w:val="lt-LT"/>
        </w:rPr>
        <w:t xml:space="preserve"> </w:t>
      </w:r>
      <w:r w:rsidRPr="005D0917">
        <w:rPr>
          <w:rFonts w:ascii="Times New Roman" w:eastAsia="Times New Roman" w:hAnsi="Times New Roman" w:cs="Times New Roman"/>
          <w:lang w:val="lt-LT"/>
        </w:rPr>
        <w:t>vartojimas gali sukelti poveikio susilpnėjimą ir (arba) nosies gleivinės paburkimo atkrytį (medikamentinį rinitą, t. y. vaisto sukeltą nosies gleivinės uždegimą), poveikį širdies ir kraujagyslių sistemai bei poveikį centrinei nervų sistemai.</w:t>
      </w:r>
    </w:p>
    <w:p w14:paraId="0FA1292E" w14:textId="77777777" w:rsidR="00FC649A" w:rsidRPr="005D0917" w:rsidRDefault="00FC649A" w:rsidP="00FC64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4B591DE" w14:textId="77777777" w:rsidR="00FC649A" w:rsidRPr="005D0917" w:rsidRDefault="00FC649A" w:rsidP="00FC64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Pranešimas apie šalutinį poveikį</w:t>
      </w:r>
    </w:p>
    <w:p w14:paraId="34A9C86B" w14:textId="77777777" w:rsidR="00FC649A" w:rsidRPr="005D0917" w:rsidRDefault="00FC649A" w:rsidP="00FC649A">
      <w:pPr>
        <w:tabs>
          <w:tab w:val="left" w:pos="567"/>
        </w:tabs>
        <w:spacing w:after="0" w:line="240" w:lineRule="auto"/>
        <w:ind w:right="-449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pasireiškė šalutinis poveikis, įskaitant šiame lapelyje nenurodytą, pasakykite gydytojui, vaistininkui arba slaugytojui. </w:t>
      </w:r>
      <w:r w:rsidRPr="00D2482B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D2482B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D2482B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73 568.</w:t>
      </w:r>
      <w:r w:rsidRPr="00D2482B">
        <w:rPr>
          <w:lang w:val="lt-LT" w:eastAsia="lt-LT"/>
        </w:rPr>
        <w:t xml:space="preserve"> </w:t>
      </w:r>
      <w:r w:rsidRPr="005D0917">
        <w:rPr>
          <w:rFonts w:ascii="Times New Roman" w:eastAsia="Times New Roman" w:hAnsi="Times New Roman" w:cs="Times New Roman"/>
          <w:snapToGrid w:val="0"/>
          <w:lang w:val="lt-LT"/>
        </w:rPr>
        <w:t xml:space="preserve"> Pranešdami apie šalutinį poveikį galite mums padėti gauti daugiau informacijos apie šio vaisto saugumą.</w:t>
      </w:r>
    </w:p>
    <w:p w14:paraId="707A7162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45CA581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114604BB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5.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 xml:space="preserve">Kaip laikyti </w:t>
      </w: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</w:p>
    <w:p w14:paraId="46303C9F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43926C90" w14:textId="77777777" w:rsidR="00FC649A" w:rsidRPr="005D0917" w:rsidRDefault="00FC649A" w:rsidP="00FC649A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Šį vaistą laikykite vaikams nepastebimoje ir nepasiekiamoje vietoje.</w:t>
      </w:r>
    </w:p>
    <w:p w14:paraId="635BB11E" w14:textId="77777777" w:rsidR="00FC649A" w:rsidRPr="005D0917" w:rsidRDefault="00FC649A" w:rsidP="00FC649A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4FA6BFD0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Ant dėžutės ir buteliuko etiketės po „Tinka iki“ nurodytam tinkamumo laikui pasibaigus, šio vaisto vartoti negalima. Vaistas tinkamas vartoti iki paskutinės nurodyto mėnesio dienos. </w:t>
      </w:r>
    </w:p>
    <w:p w14:paraId="4B196854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Galima vartoti 1 metus po buteliuko pirmojo atidarymo.</w:t>
      </w:r>
    </w:p>
    <w:p w14:paraId="28C42939" w14:textId="77777777" w:rsidR="00FC649A" w:rsidRPr="005D0917" w:rsidRDefault="00FC649A" w:rsidP="00FC649A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</w:p>
    <w:p w14:paraId="086E26DC" w14:textId="77777777" w:rsidR="00FC649A" w:rsidRPr="005D0917" w:rsidRDefault="00FC649A" w:rsidP="00FC649A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lastRenderedPageBreak/>
        <w:t>Laikyti ne aukštesnėje kaip 25 °C temperatūroje.</w:t>
      </w:r>
    </w:p>
    <w:p w14:paraId="04D56D6A" w14:textId="77777777" w:rsidR="00FC649A" w:rsidRPr="005D0917" w:rsidRDefault="00FC649A" w:rsidP="00FC649A">
      <w:pPr>
        <w:spacing w:after="0" w:line="240" w:lineRule="auto"/>
        <w:contextualSpacing/>
        <w:rPr>
          <w:rFonts w:ascii="Times New Roman" w:eastAsia="Calibri" w:hAnsi="Times New Roman" w:cs="Times New Roman"/>
          <w:lang w:val="lt-LT"/>
        </w:rPr>
      </w:pPr>
    </w:p>
    <w:p w14:paraId="0AD3246C" w14:textId="77777777" w:rsidR="00FC649A" w:rsidRPr="005D0917" w:rsidRDefault="00FC649A" w:rsidP="00FC649A">
      <w:pPr>
        <w:spacing w:after="0" w:line="240" w:lineRule="auto"/>
        <w:ind w:right="-2"/>
        <w:contextualSpacing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Vaistų negalima išmesti į kanalizaciją arba su buitinėmis</w:t>
      </w:r>
      <w:r w:rsidRPr="005D0917">
        <w:rPr>
          <w:rFonts w:ascii="Times New Roman" w:eastAsia="Calibri" w:hAnsi="Times New Roman" w:cs="Times New Roman"/>
          <w:color w:val="993366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atliekomis. Kaip išmesti nereikalingus vaistus, klauskite vaistininko. Šios priemonės padės apsaugoti aplinką.</w:t>
      </w:r>
    </w:p>
    <w:p w14:paraId="6128FD74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7C902A25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41ADD9EF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6.</w:t>
      </w:r>
      <w:r w:rsidRPr="005D0917">
        <w:rPr>
          <w:rFonts w:ascii="Times New Roman" w:eastAsia="Calibri" w:hAnsi="Times New Roman" w:cs="Times New Roman"/>
          <w:b/>
          <w:lang w:val="lt-LT"/>
        </w:rPr>
        <w:tab/>
        <w:t>Pakuotės turinys ir kita informacija</w:t>
      </w:r>
    </w:p>
    <w:p w14:paraId="458E6F7B" w14:textId="77777777" w:rsidR="00FC649A" w:rsidRPr="005D0917" w:rsidRDefault="00FC649A" w:rsidP="00FC649A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04578A5E" w14:textId="77777777" w:rsidR="00FC649A" w:rsidRPr="005D0917" w:rsidRDefault="00FC649A" w:rsidP="00FC649A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sudėtis</w:t>
      </w:r>
    </w:p>
    <w:p w14:paraId="2D63F2F8" w14:textId="77777777" w:rsidR="00FC649A" w:rsidRPr="005D0917" w:rsidRDefault="00FC649A" w:rsidP="00FC649A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Veiklioji medžiaga yra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hidrochloridas.</w:t>
      </w:r>
    </w:p>
    <w:p w14:paraId="6E6CDE1F" w14:textId="77777777" w:rsidR="00FC649A" w:rsidRPr="005D0917" w:rsidRDefault="00FC649A" w:rsidP="00FC649A">
      <w:pPr>
        <w:spacing w:after="0" w:line="240" w:lineRule="auto"/>
        <w:ind w:left="567" w:right="-2"/>
        <w:rPr>
          <w:rFonts w:ascii="Times New Roman" w:eastAsia="Calibri" w:hAnsi="Times New Roman" w:cs="Times New Roman"/>
          <w:i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Viename mililitre nosies lašų (tirpalo) yra 0,5 mg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oksimetazolino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619236C8" w14:textId="77777777" w:rsidR="00FC649A" w:rsidRPr="005D0917" w:rsidRDefault="00FC649A" w:rsidP="00FC649A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Pagalbinės medžiagos yra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benzalkonio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chloridas,</w:t>
      </w:r>
      <w:r w:rsidRPr="005D0917">
        <w:rPr>
          <w:rFonts w:ascii="Times New Roman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natrio chloridas, natrio-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divandenilio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dihidratas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dinatrio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 xml:space="preserve"> fosfatas </w:t>
      </w:r>
      <w:proofErr w:type="spellStart"/>
      <w:r w:rsidRPr="005D0917">
        <w:rPr>
          <w:rFonts w:ascii="Times New Roman" w:eastAsia="Calibri" w:hAnsi="Times New Roman" w:cs="Times New Roman"/>
          <w:lang w:val="lt-LT"/>
        </w:rPr>
        <w:t>dodekahidratas</w:t>
      </w:r>
      <w:proofErr w:type="spellEnd"/>
      <w:r w:rsidRPr="005D0917">
        <w:rPr>
          <w:rFonts w:ascii="Times New Roman" w:eastAsia="Calibri" w:hAnsi="Times New Roman" w:cs="Times New Roman"/>
          <w:lang w:val="lt-LT"/>
        </w:rPr>
        <w:t>, injekcinis vanduo.</w:t>
      </w:r>
    </w:p>
    <w:p w14:paraId="414C89AC" w14:textId="77777777" w:rsidR="00FC649A" w:rsidRPr="005D0917" w:rsidRDefault="00FC649A" w:rsidP="00FC649A">
      <w:p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304A5E5B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proofErr w:type="spellStart"/>
      <w:r w:rsidRPr="005D0917">
        <w:rPr>
          <w:rFonts w:ascii="Times New Roman" w:eastAsia="Calibri" w:hAnsi="Times New Roman" w:cs="Times New Roman"/>
          <w:b/>
          <w:lang w:val="lt-LT"/>
        </w:rPr>
        <w:t>Exnos</w:t>
      </w:r>
      <w:proofErr w:type="spellEnd"/>
      <w:r w:rsidRPr="005D0917">
        <w:rPr>
          <w:rFonts w:ascii="Times New Roman" w:eastAsia="Calibri" w:hAnsi="Times New Roman" w:cs="Times New Roman"/>
          <w:b/>
          <w:lang w:val="lt-LT"/>
        </w:rPr>
        <w:t xml:space="preserve"> išvaizda ir kiekis pakuotėje </w:t>
      </w:r>
    </w:p>
    <w:p w14:paraId="30129EDA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Skaidrus, bespalvis arba nežymiai gelsvas, skystas arba gelio pavidalo tirpalas.</w:t>
      </w:r>
    </w:p>
    <w:p w14:paraId="5564EA36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>10 ml</w:t>
      </w:r>
      <w:r w:rsidRPr="005D0917" w:rsidDel="003A1FD2">
        <w:rPr>
          <w:rFonts w:ascii="Times New Roman" w:eastAsia="Calibri" w:hAnsi="Times New Roman" w:cs="Times New Roman"/>
          <w:lang w:val="lt-LT"/>
        </w:rPr>
        <w:t xml:space="preserve"> </w:t>
      </w:r>
      <w:r w:rsidRPr="005D0917">
        <w:rPr>
          <w:rFonts w:ascii="Times New Roman" w:eastAsia="Calibri" w:hAnsi="Times New Roman" w:cs="Times New Roman"/>
          <w:lang w:val="lt-LT"/>
        </w:rPr>
        <w:t>MTPE buteliukas su MTPE lašintuvu ir DTPE pirmojo atidarymo kontrolės dangteliu.</w:t>
      </w:r>
    </w:p>
    <w:p w14:paraId="1B79EB5E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14:paraId="2F472F25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Pr="005D0917">
        <w:rPr>
          <w:rFonts w:ascii="Times New Roman" w:eastAsia="Calibri" w:hAnsi="Times New Roman" w:cs="Times New Roman"/>
          <w:b/>
          <w:lang w:val="lt-LT"/>
        </w:rPr>
        <w:t xml:space="preserve"> ir gamintojas</w:t>
      </w:r>
    </w:p>
    <w:tbl>
      <w:tblPr>
        <w:tblStyle w:val="TableGrid1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FC649A" w:rsidRPr="005D0917" w14:paraId="3992AD3A" w14:textId="77777777" w:rsidTr="006B08A8">
        <w:tc>
          <w:tcPr>
            <w:tcW w:w="4530" w:type="dxa"/>
          </w:tcPr>
          <w:p w14:paraId="58E8688B" w14:textId="77777777" w:rsidR="00FC649A" w:rsidRPr="005D0917" w:rsidRDefault="00FC649A" w:rsidP="006B08A8">
            <w:pPr>
              <w:numPr>
                <w:ilvl w:val="12"/>
                <w:numId w:val="0"/>
              </w:numPr>
              <w:ind w:right="-2"/>
              <w:rPr>
                <w:i/>
                <w:u w:val="single"/>
              </w:rPr>
            </w:pPr>
            <w:proofErr w:type="spellStart"/>
            <w:r w:rsidRPr="005D0917">
              <w:rPr>
                <w:i/>
                <w:u w:val="single"/>
              </w:rPr>
              <w:t>Registruotojas</w:t>
            </w:r>
            <w:proofErr w:type="spellEnd"/>
          </w:p>
          <w:p w14:paraId="66FF8EFC" w14:textId="77777777" w:rsidR="00FC649A" w:rsidRPr="005D0917" w:rsidRDefault="00FC649A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</w:rPr>
            </w:pPr>
            <w:r w:rsidRPr="005D0917">
              <w:rPr>
                <w:rFonts w:eastAsia="Calibri"/>
              </w:rPr>
              <w:t>SIA Ingen Pharma</w:t>
            </w:r>
          </w:p>
          <w:p w14:paraId="751D485D" w14:textId="77777777" w:rsidR="00FC649A" w:rsidRPr="005D0917" w:rsidRDefault="00FC649A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</w:rPr>
            </w:pPr>
            <w:r w:rsidRPr="005D0917">
              <w:rPr>
                <w:rFonts w:eastAsia="Calibri"/>
              </w:rPr>
              <w:t xml:space="preserve">K. </w:t>
            </w:r>
            <w:proofErr w:type="spellStart"/>
            <w:r w:rsidRPr="005D0917">
              <w:rPr>
                <w:rFonts w:eastAsia="Calibri"/>
              </w:rPr>
              <w:t>Ulmaņa</w:t>
            </w:r>
            <w:proofErr w:type="spellEnd"/>
            <w:r w:rsidRPr="005D0917">
              <w:rPr>
                <w:rFonts w:eastAsia="Calibri"/>
              </w:rPr>
              <w:t xml:space="preserve"> </w:t>
            </w:r>
            <w:proofErr w:type="spellStart"/>
            <w:r w:rsidRPr="005D0917">
              <w:rPr>
                <w:rFonts w:eastAsia="Calibri"/>
              </w:rPr>
              <w:t>gatve</w:t>
            </w:r>
            <w:proofErr w:type="spellEnd"/>
            <w:r w:rsidRPr="005D0917">
              <w:rPr>
                <w:rFonts w:eastAsia="Calibri"/>
              </w:rPr>
              <w:t xml:space="preserve"> 119</w:t>
            </w:r>
          </w:p>
          <w:p w14:paraId="7F6E0A6C" w14:textId="77777777" w:rsidR="00FC649A" w:rsidRPr="005D0917" w:rsidRDefault="00FC649A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</w:rPr>
            </w:pPr>
            <w:r w:rsidRPr="005D0917">
              <w:rPr>
                <w:rFonts w:eastAsia="Calibri"/>
              </w:rPr>
              <w:t xml:space="preserve">LV-2167 </w:t>
            </w:r>
            <w:proofErr w:type="spellStart"/>
            <w:r w:rsidRPr="005D0917">
              <w:rPr>
                <w:rFonts w:eastAsia="Calibri"/>
              </w:rPr>
              <w:t>Mārupe</w:t>
            </w:r>
            <w:proofErr w:type="spellEnd"/>
            <w:r w:rsidRPr="005D0917">
              <w:rPr>
                <w:rFonts w:eastAsia="Calibri"/>
              </w:rPr>
              <w:t xml:space="preserve">, </w:t>
            </w:r>
            <w:proofErr w:type="spellStart"/>
            <w:r w:rsidRPr="005D0917">
              <w:rPr>
                <w:rFonts w:eastAsia="Calibri"/>
              </w:rPr>
              <w:t>Rīga</w:t>
            </w:r>
            <w:proofErr w:type="spellEnd"/>
          </w:p>
          <w:p w14:paraId="3B92CE24" w14:textId="77777777" w:rsidR="00FC649A" w:rsidRPr="005D0917" w:rsidRDefault="00FC649A" w:rsidP="006B08A8">
            <w:pPr>
              <w:numPr>
                <w:ilvl w:val="12"/>
                <w:numId w:val="0"/>
              </w:numPr>
              <w:spacing w:after="160"/>
              <w:ind w:right="-2"/>
              <w:rPr>
                <w:rFonts w:eastAsia="Calibri"/>
              </w:rPr>
            </w:pPr>
            <w:proofErr w:type="spellStart"/>
            <w:r w:rsidRPr="005D0917">
              <w:rPr>
                <w:rFonts w:eastAsia="Calibri"/>
              </w:rPr>
              <w:t>Latvija</w:t>
            </w:r>
            <w:proofErr w:type="spellEnd"/>
          </w:p>
          <w:p w14:paraId="09FB0D21" w14:textId="77777777" w:rsidR="00FC649A" w:rsidRPr="005D0917" w:rsidRDefault="00FC649A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i/>
                <w:u w:val="single"/>
              </w:rPr>
            </w:pPr>
            <w:proofErr w:type="spellStart"/>
            <w:r w:rsidRPr="005D0917">
              <w:rPr>
                <w:rFonts w:eastAsia="Calibri"/>
                <w:i/>
                <w:u w:val="single"/>
              </w:rPr>
              <w:t>Gamintojas</w:t>
            </w:r>
            <w:proofErr w:type="spellEnd"/>
          </w:p>
          <w:p w14:paraId="7F335A7D" w14:textId="77777777" w:rsidR="00FC649A" w:rsidRPr="005D0917" w:rsidRDefault="00FC649A" w:rsidP="006B08A8">
            <w:pPr>
              <w:tabs>
                <w:tab w:val="left" w:pos="567"/>
              </w:tabs>
              <w:rPr>
                <w:rFonts w:eastAsia="Calibri"/>
              </w:rPr>
            </w:pPr>
            <w:r w:rsidRPr="005D0917">
              <w:rPr>
                <w:rFonts w:eastAsia="Calibri"/>
              </w:rPr>
              <w:t xml:space="preserve">AS </w:t>
            </w:r>
            <w:proofErr w:type="spellStart"/>
            <w:r w:rsidRPr="005D0917">
              <w:rPr>
                <w:rFonts w:eastAsia="Calibri"/>
              </w:rPr>
              <w:t>Ol</w:t>
            </w:r>
            <w:r>
              <w:rPr>
                <w:rFonts w:eastAsia="Calibri"/>
              </w:rPr>
              <w:t>pha</w:t>
            </w:r>
            <w:proofErr w:type="spellEnd"/>
          </w:p>
          <w:p w14:paraId="702373C1" w14:textId="77777777" w:rsidR="00FC649A" w:rsidRPr="005D0917" w:rsidRDefault="00FC649A" w:rsidP="006B08A8">
            <w:pPr>
              <w:tabs>
                <w:tab w:val="left" w:pos="567"/>
              </w:tabs>
              <w:rPr>
                <w:rFonts w:eastAsia="Calibri"/>
              </w:rPr>
            </w:pPr>
            <w:proofErr w:type="spellStart"/>
            <w:r w:rsidRPr="005D0917">
              <w:rPr>
                <w:rFonts w:eastAsia="Calibri"/>
              </w:rPr>
              <w:t>Olaines</w:t>
            </w:r>
            <w:proofErr w:type="spellEnd"/>
            <w:r w:rsidRPr="005D0917">
              <w:rPr>
                <w:rFonts w:eastAsia="Calibri"/>
              </w:rPr>
              <w:t xml:space="preserve"> </w:t>
            </w:r>
            <w:proofErr w:type="spellStart"/>
            <w:r w:rsidRPr="005D0917">
              <w:rPr>
                <w:rFonts w:eastAsia="Calibri"/>
              </w:rPr>
              <w:t>nov.</w:t>
            </w:r>
            <w:proofErr w:type="spellEnd"/>
            <w:r w:rsidRPr="005D0917">
              <w:rPr>
                <w:rFonts w:eastAsia="Calibri"/>
              </w:rPr>
              <w:t xml:space="preserve">, </w:t>
            </w:r>
            <w:proofErr w:type="spellStart"/>
            <w:r w:rsidRPr="005D0917">
              <w:rPr>
                <w:rFonts w:eastAsia="Calibri"/>
              </w:rPr>
              <w:t>Olaine</w:t>
            </w:r>
            <w:proofErr w:type="spellEnd"/>
            <w:r w:rsidRPr="005D0917">
              <w:rPr>
                <w:rFonts w:eastAsia="Calibri"/>
              </w:rPr>
              <w:t xml:space="preserve">, </w:t>
            </w:r>
            <w:proofErr w:type="spellStart"/>
            <w:r w:rsidRPr="005D0917">
              <w:rPr>
                <w:rFonts w:eastAsia="Calibri"/>
              </w:rPr>
              <w:t>Rūpnīcu</w:t>
            </w:r>
            <w:proofErr w:type="spellEnd"/>
            <w:r w:rsidRPr="005D0917">
              <w:rPr>
                <w:rFonts w:eastAsia="Calibri"/>
              </w:rPr>
              <w:t xml:space="preserve"> </w:t>
            </w:r>
            <w:proofErr w:type="spellStart"/>
            <w:r w:rsidRPr="005D0917">
              <w:rPr>
                <w:rFonts w:eastAsia="Calibri"/>
              </w:rPr>
              <w:t>iela</w:t>
            </w:r>
            <w:proofErr w:type="spellEnd"/>
            <w:r w:rsidRPr="005D0917">
              <w:rPr>
                <w:rFonts w:eastAsia="Calibri"/>
              </w:rPr>
              <w:t xml:space="preserve"> 5</w:t>
            </w:r>
          </w:p>
          <w:p w14:paraId="1B1CA72E" w14:textId="77777777" w:rsidR="00FC649A" w:rsidRPr="005D0917" w:rsidRDefault="00FC649A" w:rsidP="006B08A8">
            <w:pPr>
              <w:tabs>
                <w:tab w:val="left" w:pos="567"/>
              </w:tabs>
              <w:rPr>
                <w:rFonts w:eastAsia="Calibri"/>
              </w:rPr>
            </w:pPr>
            <w:r w:rsidRPr="005D0917">
              <w:rPr>
                <w:rFonts w:eastAsia="Calibri"/>
              </w:rPr>
              <w:t>LV-2114</w:t>
            </w:r>
          </w:p>
          <w:p w14:paraId="35465120" w14:textId="77777777" w:rsidR="00FC649A" w:rsidRPr="005D0917" w:rsidRDefault="00FC649A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</w:rPr>
            </w:pPr>
            <w:proofErr w:type="spellStart"/>
            <w:r w:rsidRPr="005D0917">
              <w:rPr>
                <w:rFonts w:eastAsia="Calibri"/>
              </w:rPr>
              <w:t>Latvija</w:t>
            </w:r>
            <w:proofErr w:type="spellEnd"/>
          </w:p>
          <w:p w14:paraId="65A3020E" w14:textId="77777777" w:rsidR="00FC649A" w:rsidRPr="005D0917" w:rsidRDefault="00FC649A" w:rsidP="006B08A8">
            <w:pPr>
              <w:numPr>
                <w:ilvl w:val="12"/>
                <w:numId w:val="0"/>
              </w:numPr>
              <w:ind w:right="-2"/>
              <w:rPr>
                <w:rFonts w:eastAsia="Calibri"/>
                <w:bCs/>
              </w:rPr>
            </w:pPr>
          </w:p>
        </w:tc>
      </w:tr>
    </w:tbl>
    <w:p w14:paraId="4B0C5140" w14:textId="77777777" w:rsidR="00FC649A" w:rsidRPr="005D0917" w:rsidRDefault="00FC649A" w:rsidP="00FC64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Jeigu apie šį vaistą norite sužinoti daugiau, kreipkitės į </w:t>
      </w:r>
      <w:r w:rsidRPr="005D0917">
        <w:rPr>
          <w:rFonts w:ascii="Times New Roman" w:eastAsia="Times New Roman" w:hAnsi="Times New Roman" w:cs="Times New Roman"/>
          <w:lang w:val="lt-LT"/>
        </w:rPr>
        <w:t>registruotoją</w:t>
      </w:r>
      <w:r w:rsidRPr="005D0917">
        <w:rPr>
          <w:rFonts w:ascii="Times New Roman" w:eastAsia="Calibri" w:hAnsi="Times New Roman" w:cs="Times New Roman"/>
          <w:lang w:val="lt-LT"/>
        </w:rPr>
        <w:t>.</w:t>
      </w:r>
    </w:p>
    <w:p w14:paraId="3295F385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DAC050A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b/>
          <w:lang w:val="lt-LT"/>
        </w:rPr>
        <w:t>Šis pakuotės lapelis paskutinį kartą peržiūrėtas</w:t>
      </w:r>
      <w:r>
        <w:rPr>
          <w:rFonts w:ascii="Times New Roman" w:eastAsia="Calibri" w:hAnsi="Times New Roman" w:cs="Times New Roman"/>
          <w:b/>
          <w:lang w:val="lt-LT"/>
        </w:rPr>
        <w:t xml:space="preserve"> 2025-06-19</w:t>
      </w:r>
    </w:p>
    <w:p w14:paraId="0B4A34AA" w14:textId="77777777" w:rsidR="00FC649A" w:rsidRPr="005D0917" w:rsidRDefault="00FC649A" w:rsidP="00FC649A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lang w:val="lt-LT"/>
        </w:rPr>
      </w:pPr>
    </w:p>
    <w:p w14:paraId="38D3240B" w14:textId="77777777" w:rsidR="00FC649A" w:rsidRPr="006D1B9A" w:rsidRDefault="00FC649A" w:rsidP="00FC649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5D0917">
        <w:rPr>
          <w:rFonts w:ascii="Times New Roman" w:eastAsia="Calibri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6D1B9A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</w:t>
      </w:r>
      <w:r w:rsidRPr="006D1B9A" w:rsidDel="00FF2F2E">
        <w:rPr>
          <w:rFonts w:ascii="Times New Roman" w:hAnsi="Times New Roman" w:cs="Times New Roman"/>
          <w:lang w:val="lt-LT"/>
        </w:rPr>
        <w:t xml:space="preserve"> </w:t>
      </w:r>
    </w:p>
    <w:p w14:paraId="171A7C03" w14:textId="77777777" w:rsidR="00FC649A" w:rsidRPr="006D1B9A" w:rsidRDefault="00FC649A" w:rsidP="00FC649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84D8D21" w14:textId="77777777" w:rsidR="00222FED" w:rsidRDefault="00222FED"/>
    <w:sectPr w:rsidR="00222FED" w:rsidSect="00FC649A">
      <w:footerReference w:type="even" r:id="rId5"/>
      <w:footerReference w:type="default" r:id="rId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338A" w14:textId="77777777" w:rsidR="00FC649A" w:rsidRDefault="00FC649A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0A14AB" w14:textId="77777777" w:rsidR="00FC649A" w:rsidRDefault="00FC649A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72F0" w14:textId="77777777" w:rsidR="00FC649A" w:rsidRDefault="00FC649A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163B47C4" w14:textId="77777777" w:rsidR="00FC649A" w:rsidRPr="003F112D" w:rsidRDefault="00FC649A">
    <w:pPr>
      <w:pStyle w:val="Porat"/>
      <w:ind w:right="360"/>
      <w:jc w:val="center"/>
      <w:rPr>
        <w:rStyle w:val="Puslapionumeris"/>
        <w:rFonts w:ascii="Times New Roman" w:hAnsi="Times New Roman"/>
        <w:sz w:val="20"/>
        <w:lang w:val="lt-LT"/>
      </w:rPr>
    </w:pPr>
    <w:r w:rsidRPr="003F112D">
      <w:rPr>
        <w:rStyle w:val="Puslapionumeris"/>
        <w:rFonts w:ascii="Times New Roman" w:hAnsi="Times New Roman"/>
        <w:sz w:val="20"/>
        <w:lang w:val="lt-LT"/>
      </w:rPr>
      <w:fldChar w:fldCharType="begin"/>
    </w:r>
    <w:r w:rsidRPr="003F112D">
      <w:rPr>
        <w:rStyle w:val="Puslapionumeris"/>
        <w:rFonts w:ascii="Times New Roman" w:hAnsi="Times New Roman"/>
        <w:sz w:val="20"/>
        <w:lang w:val="lt-LT"/>
      </w:rPr>
      <w:instrText xml:space="preserve"> PAGE </w:instrTex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separate"/>
    </w:r>
    <w:r>
      <w:rPr>
        <w:rStyle w:val="Puslapionumeris"/>
        <w:rFonts w:ascii="Times New Roman" w:hAnsi="Times New Roman"/>
        <w:noProof/>
        <w:sz w:val="20"/>
        <w:lang w:val="lt-LT"/>
      </w:rPr>
      <w:t>1</w:t>
    </w:r>
    <w:r>
      <w:rPr>
        <w:rStyle w:val="Puslapionumeris"/>
        <w:rFonts w:ascii="Times New Roman" w:hAnsi="Times New Roman"/>
        <w:noProof/>
        <w:sz w:val="20"/>
        <w:lang w:val="lt-LT"/>
      </w:rPr>
      <w:t>8</w:t>
    </w:r>
    <w:r w:rsidRPr="003F112D">
      <w:rPr>
        <w:rStyle w:val="Puslapionumeris"/>
        <w:rFonts w:ascii="Times New Roman" w:hAnsi="Times New Roman"/>
        <w:sz w:val="20"/>
        <w:lang w:val="lt-LT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0A377BB"/>
    <w:multiLevelType w:val="hybridMultilevel"/>
    <w:tmpl w:val="40240404"/>
    <w:lvl w:ilvl="0" w:tplc="64E40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19C"/>
    <w:multiLevelType w:val="hybridMultilevel"/>
    <w:tmpl w:val="1D86DDEE"/>
    <w:lvl w:ilvl="0" w:tplc="6CB265D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12"/>
      </w:rPr>
    </w:lvl>
    <w:lvl w:ilvl="1" w:tplc="6E2630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2"/>
        <w:szCs w:val="1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724B5"/>
    <w:multiLevelType w:val="hybridMultilevel"/>
    <w:tmpl w:val="82F8C8F6"/>
    <w:lvl w:ilvl="0" w:tplc="FFFFFFFF">
      <w:start w:val="1"/>
      <w:numFmt w:val="bullet"/>
      <w:lvlText w:val="-"/>
      <w:lvlJc w:val="left"/>
      <w:pPr>
        <w:ind w:left="786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2F18"/>
    <w:multiLevelType w:val="hybridMultilevel"/>
    <w:tmpl w:val="AD0A0A7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13809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7476996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747267240">
    <w:abstractNumId w:val="3"/>
  </w:num>
  <w:num w:numId="4" w16cid:durableId="600071230">
    <w:abstractNumId w:val="2"/>
  </w:num>
  <w:num w:numId="5" w16cid:durableId="1671131477">
    <w:abstractNumId w:val="4"/>
  </w:num>
  <w:num w:numId="6" w16cid:durableId="149587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9A"/>
    <w:rsid w:val="00222FED"/>
    <w:rsid w:val="00374E02"/>
    <w:rsid w:val="005F173E"/>
    <w:rsid w:val="008B3AD4"/>
    <w:rsid w:val="00F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C14"/>
  <w15:chartTrackingRefBased/>
  <w15:docId w15:val="{128A3939-D95F-4207-9206-26C351CC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49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6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C6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6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6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4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4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4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4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4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4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4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C64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C64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4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C649A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FC6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649A"/>
    <w:rPr>
      <w:kern w:val="0"/>
      <w:sz w:val="22"/>
      <w:szCs w:val="22"/>
      <w:lang w:val="en-US"/>
      <w14:ligatures w14:val="none"/>
    </w:rPr>
  </w:style>
  <w:style w:type="character" w:styleId="Puslapionumeris">
    <w:name w:val="page number"/>
    <w:basedOn w:val="Numatytasispastraiposriftas"/>
    <w:uiPriority w:val="99"/>
    <w:rsid w:val="00FC649A"/>
    <w:rPr>
      <w:rFonts w:cs="Times New Roman"/>
    </w:rPr>
  </w:style>
  <w:style w:type="table" w:customStyle="1" w:styleId="TableGrid1">
    <w:name w:val="Table Grid1"/>
    <w:basedOn w:val="prastojilentel"/>
    <w:next w:val="Lentelstinklelis"/>
    <w:uiPriority w:val="99"/>
    <w:rsid w:val="00FC64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5700</Words>
  <Characters>3250</Characters>
  <Application>Microsoft Office Word</Application>
  <DocSecurity>0</DocSecurity>
  <Lines>27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2025-07-28T06:59:00Z</dcterms:created>
  <dcterms:modified xsi:type="dcterms:W3CDTF">2025-07-28T06:59:00Z</dcterms:modified>
</cp:coreProperties>
</file>