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32EE" w14:textId="77777777" w:rsidR="00D00687" w:rsidRPr="009D5032" w:rsidRDefault="00D00687" w:rsidP="00D00687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Pakuotės lapelis: informacija</w:t>
      </w:r>
      <w:r w:rsidRPr="009D5032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b/>
          <w:lang w:val="lt-LT"/>
        </w:rPr>
        <w:t>vartotojui</w:t>
      </w:r>
    </w:p>
    <w:p w14:paraId="077CB8B8" w14:textId="77777777" w:rsidR="00D00687" w:rsidRPr="009D5032" w:rsidRDefault="00D00687" w:rsidP="00D00687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6C71FAB" w14:textId="77777777" w:rsidR="00D00687" w:rsidRPr="009D5032" w:rsidRDefault="00D00687" w:rsidP="00D00687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0,5 mg/ml nosies purškalas (tirpalas)</w:t>
      </w:r>
    </w:p>
    <w:p w14:paraId="3016BF22" w14:textId="77777777" w:rsidR="00D00687" w:rsidRPr="009D5032" w:rsidRDefault="00D00687" w:rsidP="00D00687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hidrochloridas</w:t>
      </w:r>
    </w:p>
    <w:p w14:paraId="73AF574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28B486D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30A63270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Visada vartokite šį vaistą tiksliai kaip aprašyta šiame lapelyje arba kaip nurodė gydytojas, vaistininkas arba slaugytojas.</w:t>
      </w:r>
    </w:p>
    <w:p w14:paraId="72E9B2F9" w14:textId="77777777" w:rsidR="00D00687" w:rsidRPr="009D5032" w:rsidRDefault="00D00687" w:rsidP="00D0068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Neišmeskite šio lapelio, nes vėl gali prireikti jį perskaityti.</w:t>
      </w:r>
    </w:p>
    <w:p w14:paraId="0A83F4D2" w14:textId="77777777" w:rsidR="00D00687" w:rsidRPr="009D5032" w:rsidRDefault="00D00687" w:rsidP="00D0068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0353C13C" w14:textId="77777777" w:rsidR="00D00687" w:rsidRPr="009D5032" w:rsidRDefault="00D00687" w:rsidP="00D0068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3F28BCF7" w14:textId="77777777" w:rsidR="00D00687" w:rsidRPr="009D5032" w:rsidRDefault="00D00687" w:rsidP="00D0068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per 7 dienas Jūsų savijauta nepagerėjo arba net pablogėjo, kreipkitės į gydytoją.</w:t>
      </w:r>
    </w:p>
    <w:p w14:paraId="18E622FB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FD8BA18" w14:textId="77777777" w:rsidR="00D00687" w:rsidRPr="009D5032" w:rsidRDefault="00D00687" w:rsidP="00D00687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Apie ką rašoma šiame lapelyje?</w:t>
      </w:r>
    </w:p>
    <w:p w14:paraId="48680C6D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5AB1860A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1.</w:t>
      </w:r>
      <w:r w:rsidRPr="009D5032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ir kam jis vartojamas</w:t>
      </w:r>
    </w:p>
    <w:p w14:paraId="677022AB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2.</w:t>
      </w:r>
      <w:r w:rsidRPr="009D5032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53EEEFAF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3.</w:t>
      </w:r>
      <w:r w:rsidRPr="009D5032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106DE631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4.</w:t>
      </w:r>
      <w:r w:rsidRPr="009D5032">
        <w:rPr>
          <w:rFonts w:ascii="Times New Roman" w:hAnsi="Times New Roman"/>
          <w:lang w:val="lt-LT"/>
        </w:rPr>
        <w:tab/>
        <w:t>Galimas šalutinis poveikis</w:t>
      </w:r>
    </w:p>
    <w:p w14:paraId="6324A291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5.</w:t>
      </w:r>
      <w:r w:rsidRPr="009D5032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0F7D7A6F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6.</w:t>
      </w:r>
      <w:r w:rsidRPr="009D5032">
        <w:rPr>
          <w:rFonts w:ascii="Times New Roman" w:hAnsi="Times New Roman"/>
          <w:lang w:val="lt-LT"/>
        </w:rPr>
        <w:tab/>
        <w:t>Pakuotės turinys ir kita informacija</w:t>
      </w:r>
    </w:p>
    <w:p w14:paraId="5BCE9B10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01F8B22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7529546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1.</w:t>
      </w:r>
      <w:r w:rsidRPr="009D5032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ir kam jis vartojamas</w:t>
      </w:r>
    </w:p>
    <w:p w14:paraId="4D986822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ADFC37B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sudėtyje yra veikliosios medžiagos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hidrochlorido, kuris mažina gleivinės paburkimą ir palengvina nosies užgulimą bei gleivių nutekėjimą iš prienosinių ančių.</w:t>
      </w:r>
    </w:p>
    <w:p w14:paraId="255B2B70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palengvina šienligės, įprasto peršalimo ar prienosinių ančių uždegimo (sinusito) sukeltą nosies užgulimą.</w:t>
      </w:r>
    </w:p>
    <w:p w14:paraId="359E34F1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161BF72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skirtas suaugusiesiems, 6 metų ir vyresniems vaikams ir paaugliams.</w:t>
      </w:r>
    </w:p>
    <w:p w14:paraId="6DFA2D3C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1A6592C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per 7 dienas Jūsų savijauta nepagerėjo arba net pablogėjo, kreipkitės į gydytoją.</w:t>
      </w:r>
    </w:p>
    <w:p w14:paraId="55B7C8EC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6A3DAB5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570A047B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2.</w:t>
      </w:r>
      <w:r w:rsidRPr="009D5032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365ABB66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1D4144A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vartoti </w:t>
      </w:r>
      <w:r w:rsidRPr="009D5032">
        <w:rPr>
          <w:rFonts w:ascii="Times New Roman" w:eastAsia="Calibri" w:hAnsi="Times New Roman" w:cs="Times New Roman"/>
          <w:b/>
          <w:lang w:val="lt-LT"/>
        </w:rPr>
        <w:t>draudžiama</w:t>
      </w:r>
    </w:p>
    <w:p w14:paraId="501B4BB9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yra alergija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hidrochloridui arba bet kuriai pagalbinei šio vaisto medžiagai (jos išvardytos 6 skyriuje);</w:t>
      </w:r>
    </w:p>
    <w:p w14:paraId="4234E72D" w14:textId="77777777" w:rsidR="00D00687" w:rsidRPr="009D5032" w:rsidRDefault="00D00687" w:rsidP="00D00687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sergate ūmine išemine širdies liga arba krūtinės angina;</w:t>
      </w:r>
    </w:p>
    <w:p w14:paraId="02958391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>jeigu Jums yra nosies prieangio odos ir nosies gleivinės uždegimas ir ji yra pasidengusi plutele (sausasis rinitas);</w:t>
      </w:r>
    </w:p>
    <w:p w14:paraId="3CE4F977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sergate akių liga, vadinama uždaro kampo glaukoma;</w:t>
      </w:r>
    </w:p>
    <w:p w14:paraId="37430F05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Jums buvo atlikta </w:t>
      </w:r>
      <w:proofErr w:type="spellStart"/>
      <w:r w:rsidRPr="009D5032">
        <w:rPr>
          <w:rFonts w:ascii="Times New Roman" w:hAnsi="Times New Roman"/>
          <w:lang w:val="lt-LT"/>
        </w:rPr>
        <w:t>transsfenoidalinė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hipofizektomija</w:t>
      </w:r>
      <w:proofErr w:type="spellEnd"/>
      <w:r w:rsidRPr="009D5032">
        <w:rPr>
          <w:rFonts w:ascii="Times New Roman" w:hAnsi="Times New Roman"/>
          <w:lang w:val="lt-LT"/>
        </w:rPr>
        <w:t xml:space="preserve"> arba nosies operacija, kurios metu atidengtas smegenų kietasis dangalas;</w:t>
      </w:r>
    </w:p>
    <w:p w14:paraId="22A3F38E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vartojate (arba paskutines dvi savaites vartojote)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inhibitoriai vartojami Parkinsono ligos ir depresijos gydymui);</w:t>
      </w:r>
    </w:p>
    <w:p w14:paraId="06C36608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>jaunesniems nei 6 metų vaikams.</w:t>
      </w:r>
    </w:p>
    <w:p w14:paraId="112DF369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ADFC6F5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Nevartokite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>, jei kuri nors iš minėtų būklių Jums tinka. Jei nesate tikri, pasitarkite su gydytoju arba vaistininku.</w:t>
      </w:r>
    </w:p>
    <w:p w14:paraId="65E0673D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CE57EE0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Įspėjimai ir atsargumo priemonės </w:t>
      </w:r>
    </w:p>
    <w:p w14:paraId="3B4150E9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>, jeigu:</w:t>
      </w:r>
    </w:p>
    <w:p w14:paraId="53C9C619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lastRenderedPageBreak/>
        <w:t>yra aukštas kraujospūdis;</w:t>
      </w:r>
    </w:p>
    <w:p w14:paraId="7EC1838C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sergate sunkia širdies arba kraujagyslių liga;</w:t>
      </w:r>
    </w:p>
    <w:p w14:paraId="60E08339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sergate cukriniu diabetu;</w:t>
      </w:r>
    </w:p>
    <w:p w14:paraId="20171B2B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sutrikusi, pernelyg aktyvi skydliaukės veikla;</w:t>
      </w:r>
    </w:p>
    <w:p w14:paraId="317A04F5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yra antinksčių navikas (</w:t>
      </w:r>
      <w:proofErr w:type="spellStart"/>
      <w:r w:rsidRPr="009D5032">
        <w:rPr>
          <w:rFonts w:ascii="Times New Roman" w:hAnsi="Times New Roman"/>
          <w:lang w:val="lt-LT"/>
        </w:rPr>
        <w:t>feochromocitoma</w:t>
      </w:r>
      <w:proofErr w:type="spellEnd"/>
      <w:r w:rsidRPr="009D5032">
        <w:rPr>
          <w:rFonts w:ascii="Times New Roman" w:hAnsi="Times New Roman"/>
          <w:lang w:val="lt-LT"/>
        </w:rPr>
        <w:t>);</w:t>
      </w:r>
    </w:p>
    <w:p w14:paraId="311CF7A8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padidėjusi prostata;</w:t>
      </w:r>
    </w:p>
    <w:p w14:paraId="3F55BAE7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vartojate vaistų, kurie didina kraujospūdį;</w:t>
      </w:r>
    </w:p>
    <w:p w14:paraId="56F005B6" w14:textId="77777777" w:rsidR="00D00687" w:rsidRPr="009D5032" w:rsidRDefault="00D00687" w:rsidP="00D006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jau vartojate panašių vaistų, lengvinančių nosies užgulimą.</w:t>
      </w:r>
    </w:p>
    <w:p w14:paraId="5117F022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E641A1A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nevartokite be pertraukos ilgiau kaip 7 paras,</w:t>
      </w:r>
      <w:r w:rsidRPr="009D5032">
        <w:rPr>
          <w:rFonts w:ascii="Times New Roman" w:hAnsi="Times New Roman"/>
          <w:color w:val="000000"/>
          <w:lang w:val="lt-LT"/>
        </w:rPr>
        <w:t xml:space="preserve"> kadangi nutraukus ilgalaikį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vartojimą, gali iš naujo pasireikšti nosies užgulimas. Tai vadinama atoveiksmio fenomenu. </w:t>
      </w:r>
      <w:r w:rsidRPr="009D5032">
        <w:rPr>
          <w:rFonts w:ascii="Times New Roman" w:hAnsi="Times New Roman"/>
          <w:color w:val="000000"/>
          <w:lang w:val="lt-LT"/>
        </w:rPr>
        <w:t xml:space="preserve">Be to, ilgalaikis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Exnos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Menthol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9D5032">
        <w:rPr>
          <w:rFonts w:ascii="Times New Roman" w:hAnsi="Times New Roman"/>
          <w:lang w:val="lt-LT"/>
        </w:rPr>
        <w:t>. Jeigu simptomai pasunkėja arba per 7 paras nepalengvėjo, kreipkitės į gydytoją.</w:t>
      </w:r>
    </w:p>
    <w:p w14:paraId="014A1172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18BE628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Vaikams ir paaugliams</w:t>
      </w:r>
    </w:p>
    <w:p w14:paraId="3F0958A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savo vaikui. Neduokite šio vaisto jaunesniam kaip 6 metų vaikui.</w:t>
      </w:r>
    </w:p>
    <w:p w14:paraId="649B1F5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E0E9AA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01500C81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76FC72CC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4DCCF651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Ypač svarbu pasakyti gydytojui arba vaistininkui, jeigu vartojate bet kurio iš toliau išvardintų vaistų:</w:t>
      </w:r>
    </w:p>
    <w:p w14:paraId="4B1270B2" w14:textId="77777777" w:rsidR="00D00687" w:rsidRPr="009D5032" w:rsidRDefault="00D00687" w:rsidP="00D0068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tam tikrų vaistų nuo depresijos, t. y.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(MAO inhibitorių), grįžtamojo poveikio </w:t>
      </w:r>
      <w:proofErr w:type="spellStart"/>
      <w:r w:rsidRPr="009D5032">
        <w:rPr>
          <w:rFonts w:ascii="Times New Roman" w:hAnsi="Times New Roman"/>
          <w:lang w:val="lt-LT"/>
        </w:rPr>
        <w:t>monoaminoooksidazės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</w:t>
      </w:r>
      <w:r w:rsidRPr="009D5032">
        <w:rPr>
          <w:rFonts w:ascii="Times New Roman" w:hAnsi="Times New Roman" w:cs="Times New Roman"/>
          <w:color w:val="4D5156"/>
          <w:shd w:val="clear" w:color="auto" w:fill="FFFFFF"/>
        </w:rPr>
        <w:t xml:space="preserve">angl. </w:t>
      </w:r>
      <w:r w:rsidRPr="009D5032">
        <w:rPr>
          <w:rFonts w:ascii="Times New Roman" w:hAnsi="Times New Roman" w:cs="Times New Roman"/>
          <w:i/>
          <w:color w:val="4D5156"/>
          <w:shd w:val="clear" w:color="auto" w:fill="FFFFFF"/>
        </w:rPr>
        <w:t>reversible inhibition of monoamine oxidase</w:t>
      </w:r>
      <w:r w:rsidRPr="009D5032">
        <w:rPr>
          <w:rFonts w:ascii="Times New Roman" w:hAnsi="Times New Roman"/>
          <w:i/>
          <w:lang w:val="lt-LT"/>
        </w:rPr>
        <w:t>,</w:t>
      </w:r>
      <w:r w:rsidRPr="009D5032">
        <w:rPr>
          <w:rFonts w:ascii="Times New Roman" w:hAnsi="Times New Roman"/>
          <w:lang w:val="lt-LT"/>
        </w:rPr>
        <w:t xml:space="preserve"> RIMA), ir (arba) </w:t>
      </w:r>
      <w:proofErr w:type="spellStart"/>
      <w:r w:rsidRPr="009D5032">
        <w:rPr>
          <w:rFonts w:ascii="Times New Roman" w:hAnsi="Times New Roman"/>
          <w:lang w:val="lt-LT"/>
        </w:rPr>
        <w:t>triciklių</w:t>
      </w:r>
      <w:proofErr w:type="spellEnd"/>
      <w:r w:rsidRPr="009D5032">
        <w:rPr>
          <w:rFonts w:ascii="Times New Roman" w:hAnsi="Times New Roman"/>
          <w:lang w:val="lt-LT"/>
        </w:rPr>
        <w:t xml:space="preserve"> antidepresantų,</w:t>
      </w:r>
    </w:p>
    <w:p w14:paraId="1D7A2C64" w14:textId="77777777" w:rsidR="00D00687" w:rsidRPr="009D5032" w:rsidRDefault="00D00687" w:rsidP="00D0068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kraujospūdį didinančių vaistų.</w:t>
      </w:r>
    </w:p>
    <w:p w14:paraId="7305B5FE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D23BDEC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Pasitarkite su savo gydytoju ar vaistininku, jei nesate tikri, ar vartojate kurio nors iš šių vaistų.</w:t>
      </w:r>
    </w:p>
    <w:p w14:paraId="1F39C8E6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6DCE1F2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Nėštumas ir žindymo laikotarpis</w:t>
      </w:r>
    </w:p>
    <w:p w14:paraId="62D4B1D7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4B77666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5D45F31B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5F8C3AA8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vartoti nėštumo ar žindymo laikotarpiu nerekomenduojama, nebent gydytojas nuspręs, kad tai būtina.</w:t>
      </w:r>
    </w:p>
    <w:p w14:paraId="21B335CB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732382C3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Vairavimas ir mechanizmų valdymas</w:t>
      </w:r>
    </w:p>
    <w:p w14:paraId="345C60C3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nedaro poveikio gebėjimui vairuoti ar valdyti mechanizmus.</w:t>
      </w:r>
    </w:p>
    <w:p w14:paraId="56F8DE4C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474F210" w14:textId="77777777" w:rsidR="00D00687" w:rsidRPr="009D5032" w:rsidRDefault="00D00687" w:rsidP="00D00687">
      <w:pPr>
        <w:spacing w:after="0" w:line="240" w:lineRule="auto"/>
        <w:contextualSpacing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</w:t>
      </w:r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benzalkonio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chlorido</w:t>
      </w:r>
    </w:p>
    <w:p w14:paraId="35770B3B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vaisto mililitre yra 0,1 mg </w:t>
      </w:r>
      <w:proofErr w:type="spellStart"/>
      <w:r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9D5032">
        <w:rPr>
          <w:rFonts w:ascii="Times New Roman" w:eastAsia="Calibri" w:hAnsi="Times New Roman" w:cs="Times New Roman"/>
          <w:lang w:val="lt-LT"/>
        </w:rPr>
        <w:t xml:space="preserve"> chlorido.</w:t>
      </w:r>
      <w:r w:rsidRPr="009D503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9D5032">
        <w:rPr>
          <w:rFonts w:ascii="Times New Roman" w:eastAsia="Calibri" w:hAnsi="Times New Roman" w:cs="Times New Roman"/>
          <w:lang w:val="lt-LT"/>
        </w:rPr>
        <w:t xml:space="preserve"> chloridas</w:t>
      </w:r>
      <w:r w:rsidRPr="009D5032">
        <w:rPr>
          <w:rFonts w:ascii="Times New Roman" w:hAnsi="Times New Roman"/>
          <w:lang w:val="lt-LT"/>
        </w:rPr>
        <w:t xml:space="preserve"> gali sukelti </w:t>
      </w:r>
      <w:r w:rsidRPr="009D5032">
        <w:rPr>
          <w:rFonts w:ascii="Times New Roman" w:eastAsia="Calibri" w:hAnsi="Times New Roman" w:cs="Times New Roman"/>
          <w:lang w:val="lt-LT"/>
        </w:rPr>
        <w:t xml:space="preserve">sudirginimą ar patinimą nosies viduje, ypač jei vartojamas ilgai. </w:t>
      </w:r>
    </w:p>
    <w:p w14:paraId="32F6B1D9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</w:p>
    <w:p w14:paraId="3D119C63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 </w:t>
      </w:r>
      <w:proofErr w:type="spellStart"/>
      <w:r w:rsidRPr="009D5032">
        <w:rPr>
          <w:rFonts w:ascii="Times New Roman" w:hAnsi="Times New Roman"/>
          <w:b/>
          <w:lang w:val="lt-LT"/>
        </w:rPr>
        <w:t>benzilo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alkoholio</w:t>
      </w:r>
    </w:p>
    <w:p w14:paraId="67A95189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vaisto </w:t>
      </w:r>
      <w:r w:rsidRPr="009D5032" w:rsidDel="00C140A1">
        <w:rPr>
          <w:rFonts w:ascii="Times New Roman" w:hAnsi="Times New Roman"/>
          <w:lang w:val="lt-LT"/>
        </w:rPr>
        <w:t xml:space="preserve">mililitre yra 2,5 mg </w:t>
      </w:r>
      <w:proofErr w:type="spellStart"/>
      <w:r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Pr="009D5032" w:rsidDel="00C140A1">
        <w:rPr>
          <w:rFonts w:ascii="Times New Roman" w:hAnsi="Times New Roman"/>
          <w:lang w:val="lt-LT"/>
        </w:rPr>
        <w:t xml:space="preserve"> alkoholio. </w:t>
      </w:r>
      <w:proofErr w:type="spellStart"/>
      <w:r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Pr="009D5032" w:rsidDel="00C140A1">
        <w:rPr>
          <w:rFonts w:ascii="Times New Roman" w:hAnsi="Times New Roman"/>
          <w:lang w:val="lt-LT"/>
        </w:rPr>
        <w:t xml:space="preserve"> alkoholis gali sukelti alergin</w:t>
      </w:r>
      <w:r w:rsidRPr="009D5032">
        <w:rPr>
          <w:rFonts w:ascii="Times New Roman" w:hAnsi="Times New Roman"/>
          <w:lang w:val="lt-LT"/>
        </w:rPr>
        <w:t>ių</w:t>
      </w:r>
      <w:r w:rsidRPr="009D5032" w:rsidDel="00C140A1">
        <w:rPr>
          <w:rFonts w:ascii="Times New Roman" w:hAnsi="Times New Roman"/>
          <w:lang w:val="lt-LT"/>
        </w:rPr>
        <w:t xml:space="preserve"> reakcij</w:t>
      </w:r>
      <w:r w:rsidRPr="009D5032">
        <w:rPr>
          <w:rFonts w:ascii="Times New Roman" w:hAnsi="Times New Roman"/>
          <w:lang w:val="lt-LT"/>
        </w:rPr>
        <w:t>ų</w:t>
      </w:r>
      <w:r w:rsidRPr="009D5032" w:rsidDel="00C140A1">
        <w:rPr>
          <w:rFonts w:ascii="Times New Roman" w:hAnsi="Times New Roman"/>
          <w:lang w:val="lt-LT"/>
        </w:rPr>
        <w:t>.</w:t>
      </w:r>
    </w:p>
    <w:p w14:paraId="65A9F139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3980C98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B280AD8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3.</w:t>
      </w:r>
      <w:r w:rsidRPr="009D5032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0A34E254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9DB6C8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61DF8A33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57C5BCD7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Suaugusiesiems</w:t>
      </w:r>
    </w:p>
    <w:p w14:paraId="57EA56AD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Rekomenduojama dozė yra 1</w:t>
      </w:r>
      <w:r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 įpurškimai į kiekvieną nosies šnervę kas 12 valandų.</w:t>
      </w:r>
    </w:p>
    <w:p w14:paraId="540C0B21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6D13DA7C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6 metų ir vyresniems vaikams ir paaugliams</w:t>
      </w:r>
    </w:p>
    <w:p w14:paraId="2DB1BDA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savo vaikui </w:t>
      </w:r>
    </w:p>
    <w:p w14:paraId="16C5C48E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Rekomenduojama dozė yra 1</w:t>
      </w:r>
      <w:r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 įpurškimai į kiekvieną nosies šnervę kas 12 valandų.</w:t>
      </w:r>
    </w:p>
    <w:p w14:paraId="3C122BFD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202E6FCA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Jaunesniems kaip 6 metų vaikams</w:t>
      </w:r>
    </w:p>
    <w:p w14:paraId="30835AEC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Šio vaisto negalima vartoti jaunesniems, kaip 6 metų vaikams.</w:t>
      </w:r>
    </w:p>
    <w:p w14:paraId="3A43CE9A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Neviršyti rekomenduojamos dozės.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negalima vartoti ilgiau kaip 7 paras, nebent Jūsų gydytojas paskirtų kitaip</w:t>
      </w:r>
    </w:p>
    <w:p w14:paraId="5659ACA1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49408FA7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Vartojimo metodas</w:t>
      </w:r>
    </w:p>
    <w:p w14:paraId="4CD3DA7A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Vartoti į nosį.</w:t>
      </w:r>
    </w:p>
    <w:p w14:paraId="767147DE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vartojimą gerai pakratykite buteliuką.</w:t>
      </w:r>
    </w:p>
    <w:p w14:paraId="72DF0FC6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vartojant pirmą kartą vaistą reikia išpurkšti keletą kartų į orą, kol pasirodys smulkus rūkas.</w:t>
      </w:r>
    </w:p>
    <w:p w14:paraId="726D1025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Laikant vertikaliai, purškalo pompos galiuką reikia pasukant įkišti paeiliui į kiekvieną nosies šnervę ir įkvėpimo metu vieną arba du kartus stipriai paspausti.</w:t>
      </w:r>
    </w:p>
    <w:p w14:paraId="5D1146F6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7ADC3E61" w14:textId="77777777" w:rsidR="00D00687" w:rsidRPr="009D5032" w:rsidRDefault="00D00687" w:rsidP="00D00687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dozę</w:t>
      </w:r>
    </w:p>
    <w:p w14:paraId="6E520878" w14:textId="77777777" w:rsidR="00D00687" w:rsidRPr="009D5032" w:rsidRDefault="00D00687" w:rsidP="00D00687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Pavartoję per didelę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dozę nedelsdami susisiekite su gydytoju arba vykite tiesiai į ligoninę, su savimi pasiimdami vaisto buteliuką, kad daktaras žinotų, ką Jūs vartojote.</w:t>
      </w:r>
    </w:p>
    <w:p w14:paraId="5C1BDFE6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4696195" w14:textId="77777777" w:rsidR="00D00687" w:rsidRPr="009D5032" w:rsidRDefault="00D00687" w:rsidP="00D00687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49D1619A" w14:textId="77777777" w:rsidR="00D00687" w:rsidRPr="009D5032" w:rsidRDefault="00D00687" w:rsidP="00D00687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Negalima vartoti dvigubos dozės norint kompensuoti praleistą dozę.</w:t>
      </w:r>
    </w:p>
    <w:p w14:paraId="009A2DEF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5E0ED43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kiltų daugiau klausimų dėl šio vaisto vartojimo, kreipkitės į gydytoją, vaistininką arba slaugytoją.</w:t>
      </w:r>
    </w:p>
    <w:p w14:paraId="10FAE91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4CD4D83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3233D81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4.</w:t>
      </w:r>
      <w:r w:rsidRPr="009D5032">
        <w:rPr>
          <w:rFonts w:ascii="Times New Roman" w:hAnsi="Times New Roman"/>
          <w:b/>
          <w:caps/>
          <w:lang w:val="lt-LT"/>
        </w:rPr>
        <w:tab/>
        <w:t>g</w:t>
      </w:r>
      <w:r w:rsidRPr="009D5032">
        <w:rPr>
          <w:rFonts w:ascii="Times New Roman" w:hAnsi="Times New Roman"/>
          <w:b/>
          <w:lang w:val="lt-LT"/>
        </w:rPr>
        <w:t>alimas šalutinis poveikis</w:t>
      </w:r>
    </w:p>
    <w:p w14:paraId="09FB706F" w14:textId="77777777" w:rsidR="00D00687" w:rsidRPr="009D5032" w:rsidRDefault="00D00687" w:rsidP="00D00687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E14FB63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55FCCD1F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5E55F507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Nedažni šalutinio poveikio reiškiniai</w:t>
      </w:r>
      <w:r w:rsidRPr="009D5032">
        <w:rPr>
          <w:rFonts w:ascii="Times New Roman" w:hAnsi="Times New Roman"/>
          <w:b/>
          <w:lang w:val="lt-LT"/>
        </w:rPr>
        <w:t xml:space="preserve"> (gali pasireikšti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9D5032">
        <w:rPr>
          <w:rFonts w:ascii="Times New Roman" w:hAnsi="Times New Roman"/>
          <w:b/>
          <w:lang w:val="lt-LT"/>
        </w:rPr>
        <w:t xml:space="preserve"> kaip 1 iš 100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asmenų</w:t>
      </w:r>
      <w:r w:rsidRPr="009D5032">
        <w:rPr>
          <w:rFonts w:ascii="Times New Roman" w:hAnsi="Times New Roman"/>
          <w:b/>
          <w:lang w:val="lt-LT"/>
        </w:rPr>
        <w:t>):</w:t>
      </w:r>
    </w:p>
    <w:p w14:paraId="22A5F46C" w14:textId="77777777" w:rsidR="00D00687" w:rsidRPr="009D5032" w:rsidRDefault="00D00687" w:rsidP="00D00687">
      <w:pPr>
        <w:numPr>
          <w:ilvl w:val="0"/>
          <w:numId w:val="7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nosies, burnos ar gerklės diskomfortas ar sudirginimas, nosies sausumas, čiaudulys.</w:t>
      </w:r>
    </w:p>
    <w:p w14:paraId="539E95C5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5E48BCC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9D5032">
        <w:rPr>
          <w:rFonts w:ascii="Times New Roman" w:hAnsi="Times New Roman"/>
          <w:b/>
          <w:lang w:val="lt-LT"/>
        </w:rPr>
        <w:t xml:space="preserve"> (gali pasireikšti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9D5032">
        <w:rPr>
          <w:rFonts w:ascii="Times New Roman" w:hAnsi="Times New Roman"/>
          <w:b/>
          <w:lang w:val="lt-LT"/>
        </w:rPr>
        <w:t xml:space="preserve"> kaip 1 iš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1 000 asmenų</w:t>
      </w:r>
      <w:r w:rsidRPr="009D5032">
        <w:rPr>
          <w:rFonts w:ascii="Times New Roman" w:hAnsi="Times New Roman"/>
          <w:b/>
          <w:lang w:val="lt-LT"/>
        </w:rPr>
        <w:t>):</w:t>
      </w:r>
    </w:p>
    <w:p w14:paraId="2BD3D3CC" w14:textId="77777777" w:rsidR="00D00687" w:rsidRPr="009D5032" w:rsidRDefault="00D00687" w:rsidP="00D00687">
      <w:pPr>
        <w:numPr>
          <w:ilvl w:val="0"/>
          <w:numId w:val="7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dažnas širdies plakimas (tachikardija), stiprus ir dažnas širdies plakimas (</w:t>
      </w:r>
      <w:proofErr w:type="spellStart"/>
      <w:r w:rsidRPr="009D5032">
        <w:rPr>
          <w:rFonts w:ascii="Times New Roman" w:hAnsi="Times New Roman"/>
          <w:lang w:val="lt-LT"/>
        </w:rPr>
        <w:t>palpitacija</w:t>
      </w:r>
      <w:proofErr w:type="spellEnd"/>
      <w:r w:rsidRPr="009D5032">
        <w:rPr>
          <w:rFonts w:ascii="Times New Roman" w:hAnsi="Times New Roman"/>
          <w:lang w:val="lt-LT"/>
        </w:rPr>
        <w:t>), padidėjęs kraujospūdis, pykinimas, akių dirginimas, akių sausumas, akių diskomfortas ar paraudimas, padidėjęs jautrumas, nosies užgulimas dėl nosies gleivinės kraujagyslių išsiplėtimo, nerimas, nerimastingumas, dirglumas, drebėjimas (tremoras), galvos skausmas, nemiga, nervingumas.</w:t>
      </w:r>
    </w:p>
    <w:p w14:paraId="787105E8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22FC9C74" w14:textId="77777777" w:rsidR="00D00687" w:rsidRPr="009D5032" w:rsidRDefault="00D00687" w:rsidP="00D0068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Ilgalaikis ir (arba) dažnas (viršijant rekomenduojamas dozes)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 w:rsidDel="004E1A13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vartojimas gali sukelti poveikio susilpnėjimą ir (arba) nosies gleivinės paburkimo atkrytį (medikamentinį rinitą, t.</w:t>
      </w:r>
      <w:r w:rsidRPr="009D5032">
        <w:rPr>
          <w:rFonts w:ascii="Times New Roman" w:eastAsia="Times New Roman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y. vaisto sukeltą nosies gleivinės uždegimą), poveikį širdies ir kraujagyslių sistemai bei poveikį centrinei nervų sistemai.</w:t>
      </w:r>
    </w:p>
    <w:p w14:paraId="500ADBB1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4B9AEF11" w14:textId="77777777" w:rsidR="00D00687" w:rsidRPr="009D5032" w:rsidRDefault="00D00687" w:rsidP="00D0068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Pranešimas apie šalutinį poveikį</w:t>
      </w:r>
    </w:p>
    <w:p w14:paraId="11D229E2" w14:textId="77777777" w:rsidR="00D00687" w:rsidRPr="009D5032" w:rsidRDefault="00D00687" w:rsidP="00D00687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Jeigu pasireiškė šalutinis poveikis, įskaitant šiame lapelyje nenurodytą, pasakykite gydytojui, vaistininkui arba slaugytojui. </w:t>
      </w:r>
      <w:r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>
        <w:rPr>
          <w:rFonts w:ascii="Times New Roman" w:hAnsi="Times New Roman" w:cs="Times New Roman"/>
          <w:lang w:val="lt-LT" w:eastAsia="lt-LT"/>
        </w:rPr>
        <w:t> </w:t>
      </w:r>
      <w:r w:rsidRPr="00D2482B">
        <w:rPr>
          <w:rFonts w:ascii="Times New Roman" w:hAnsi="Times New Roman" w:cs="Times New Roman"/>
          <w:lang w:val="lt-LT" w:eastAsia="lt-LT"/>
        </w:rPr>
        <w:t>568</w:t>
      </w:r>
      <w:r w:rsidRPr="009D5032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9D5032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saugumą.</w:t>
      </w:r>
    </w:p>
    <w:p w14:paraId="469D7A40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267B71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FE82FB7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5.</w:t>
      </w:r>
      <w:r w:rsidRPr="009D5032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097B866E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62E0E2AE" w14:textId="77777777" w:rsidR="00D00687" w:rsidRPr="009D5032" w:rsidRDefault="00D00687" w:rsidP="00D00687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68651A4E" w14:textId="77777777" w:rsidR="00D00687" w:rsidRPr="009D5032" w:rsidRDefault="00D00687" w:rsidP="00D00687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09AF0E29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Ant dėžutės ir buteliuko etiketės po „Tinka iki“ nurodytam tinkamumo laikui pasibaigus, šio vaisto vartoti negalima. Vaistas tinkamas vartoti iki paskutinės nurodyto mėnesio dienos.</w:t>
      </w:r>
    </w:p>
    <w:p w14:paraId="1BBEFCFC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Po buteliuko pirmojo atidarymo, vaisto tinkamumo laikas yra </w:t>
      </w:r>
      <w:r w:rsidRPr="009D5032">
        <w:rPr>
          <w:rFonts w:ascii="Times New Roman" w:eastAsia="Calibri" w:hAnsi="Times New Roman" w:cs="Times New Roman"/>
          <w:lang w:val="lt-LT"/>
        </w:rPr>
        <w:t>1 metai</w:t>
      </w:r>
      <w:r w:rsidRPr="009D5032">
        <w:rPr>
          <w:rFonts w:ascii="Times New Roman" w:hAnsi="Times New Roman"/>
          <w:lang w:val="lt-LT"/>
        </w:rPr>
        <w:t>.</w:t>
      </w:r>
    </w:p>
    <w:p w14:paraId="08FC0AF8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lang w:val="lt-LT"/>
        </w:rPr>
      </w:pPr>
    </w:p>
    <w:p w14:paraId="483D8125" w14:textId="77777777" w:rsidR="00D00687" w:rsidRPr="009D5032" w:rsidRDefault="00D00687" w:rsidP="00D00687">
      <w:pPr>
        <w:spacing w:after="0" w:line="240" w:lineRule="auto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Šiam vaistui specialių laikymo sąlygų nereikia. Negalima šaldyti ar užšaldyti.</w:t>
      </w:r>
    </w:p>
    <w:p w14:paraId="7A9032FE" w14:textId="77777777" w:rsidR="00D00687" w:rsidRPr="009D5032" w:rsidRDefault="00D00687" w:rsidP="00D00687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09013037" w14:textId="77777777" w:rsidR="00D00687" w:rsidRPr="009D5032" w:rsidRDefault="00D00687" w:rsidP="00D00687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Vaistų negalima išmesti į kanalizaciją arba su buitinėmis</w:t>
      </w:r>
      <w:r w:rsidRPr="009D5032">
        <w:rPr>
          <w:rFonts w:ascii="Times New Roman" w:hAnsi="Times New Roman"/>
          <w:color w:val="993366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atliekomis. Kaip išmesti nereikalingus vaistus, klauskite vaistininko. Šios priemonės padės apsaugoti aplinką.</w:t>
      </w:r>
    </w:p>
    <w:p w14:paraId="0DA35DDD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F549D62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C2697FB" w14:textId="77777777" w:rsidR="00D00687" w:rsidRPr="009D5032" w:rsidRDefault="00D00687" w:rsidP="00D0068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</w:t>
      </w:r>
      <w:r w:rsidRPr="009D5032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6FA18126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1E49082" w14:textId="77777777" w:rsidR="00D00687" w:rsidRPr="009D5032" w:rsidRDefault="00D00687" w:rsidP="00D00687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sudėtis</w:t>
      </w:r>
    </w:p>
    <w:p w14:paraId="58888EE3" w14:textId="77777777" w:rsidR="00D00687" w:rsidRPr="009D5032" w:rsidRDefault="00D00687" w:rsidP="00D00687">
      <w:pPr>
        <w:numPr>
          <w:ilvl w:val="0"/>
          <w:numId w:val="6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hidrochloridas, kurio yra 0,5 mg/ml.</w:t>
      </w:r>
      <w:r w:rsidRPr="009D5032">
        <w:rPr>
          <w:rFonts w:ascii="Times New Roman" w:eastAsia="Calibri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Viename mililitre nosies purškalo yra 0,5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  <w:r w:rsidRPr="009D5032">
        <w:rPr>
          <w:rFonts w:ascii="Times New Roman" w:eastAsia="Calibri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Viename įpurškime (0,1 ml) yra 0,05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09DE7522" w14:textId="77777777" w:rsidR="00D00687" w:rsidRPr="009D5032" w:rsidRDefault="00D00687" w:rsidP="00D0068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Pr="009D5032">
        <w:rPr>
          <w:rFonts w:ascii="Times New Roman" w:hAnsi="Times New Roman"/>
          <w:lang w:val="lt-LT"/>
        </w:rPr>
        <w:t>benzalkonio</w:t>
      </w:r>
      <w:proofErr w:type="spellEnd"/>
      <w:r w:rsidRPr="009D5032">
        <w:rPr>
          <w:rFonts w:ascii="Times New Roman" w:hAnsi="Times New Roman"/>
          <w:lang w:val="lt-LT"/>
        </w:rPr>
        <w:t xml:space="preserve"> chloridas, </w:t>
      </w:r>
      <w:proofErr w:type="spellStart"/>
      <w:r w:rsidRPr="009D5032">
        <w:rPr>
          <w:rFonts w:ascii="Times New Roman" w:hAnsi="Times New Roman"/>
          <w:lang w:val="lt-LT"/>
        </w:rPr>
        <w:t>makrogolis</w:t>
      </w:r>
      <w:proofErr w:type="spellEnd"/>
      <w:r w:rsidRPr="009D5032">
        <w:rPr>
          <w:rFonts w:ascii="Times New Roman" w:hAnsi="Times New Roman"/>
          <w:lang w:val="lt-LT"/>
        </w:rPr>
        <w:t xml:space="preserve"> 400, </w:t>
      </w:r>
      <w:proofErr w:type="spellStart"/>
      <w:r w:rsidRPr="009D5032">
        <w:rPr>
          <w:rFonts w:ascii="Times New Roman" w:hAnsi="Times New Roman"/>
          <w:lang w:val="lt-LT"/>
        </w:rPr>
        <w:t>povidonas</w:t>
      </w:r>
      <w:proofErr w:type="spellEnd"/>
      <w:r w:rsidRPr="009D5032">
        <w:rPr>
          <w:rFonts w:ascii="Times New Roman" w:hAnsi="Times New Roman"/>
          <w:lang w:val="lt-LT"/>
        </w:rPr>
        <w:t xml:space="preserve"> K-17,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edetatas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raceminis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kamparas</w:t>
      </w:r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levomentolis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benzilo</w:t>
      </w:r>
      <w:proofErr w:type="spellEnd"/>
      <w:r w:rsidRPr="009D5032">
        <w:rPr>
          <w:rFonts w:ascii="Times New Roman" w:hAnsi="Times New Roman"/>
          <w:lang w:val="lt-LT"/>
        </w:rPr>
        <w:t xml:space="preserve"> alkoholis, </w:t>
      </w:r>
      <w:proofErr w:type="spellStart"/>
      <w:r w:rsidRPr="009D5032">
        <w:rPr>
          <w:rFonts w:ascii="Times New Roman" w:hAnsi="Times New Roman"/>
          <w:lang w:val="lt-LT"/>
        </w:rPr>
        <w:t>mikrokristalinė</w:t>
      </w:r>
      <w:proofErr w:type="spellEnd"/>
      <w:r w:rsidRPr="009D5032">
        <w:rPr>
          <w:rFonts w:ascii="Times New Roman" w:hAnsi="Times New Roman"/>
          <w:lang w:val="lt-LT"/>
        </w:rPr>
        <w:t xml:space="preserve"> celiuliozė ir </w:t>
      </w:r>
      <w:proofErr w:type="spellStart"/>
      <w:r w:rsidRPr="009D5032">
        <w:rPr>
          <w:rFonts w:ascii="Times New Roman" w:hAnsi="Times New Roman"/>
          <w:lang w:val="lt-LT"/>
        </w:rPr>
        <w:t>karmeliozės</w:t>
      </w:r>
      <w:proofErr w:type="spellEnd"/>
      <w:r w:rsidRPr="009D5032">
        <w:rPr>
          <w:rFonts w:ascii="Times New Roman" w:hAnsi="Times New Roman"/>
          <w:lang w:val="lt-LT"/>
        </w:rPr>
        <w:t xml:space="preserve"> natrio druska, natrio-</w:t>
      </w:r>
      <w:proofErr w:type="spellStart"/>
      <w:r w:rsidRPr="009D5032">
        <w:rPr>
          <w:rFonts w:ascii="Times New Roman" w:hAnsi="Times New Roman"/>
          <w:lang w:val="lt-LT"/>
        </w:rPr>
        <w:t>divandenilio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dihidratas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dodekahidratas</w:t>
      </w:r>
      <w:proofErr w:type="spellEnd"/>
      <w:r w:rsidRPr="009D5032">
        <w:rPr>
          <w:rFonts w:ascii="Times New Roman" w:hAnsi="Times New Roman"/>
          <w:lang w:val="lt-LT"/>
        </w:rPr>
        <w:t>, injekcinis vanduo.</w:t>
      </w:r>
    </w:p>
    <w:p w14:paraId="36404496" w14:textId="77777777" w:rsidR="00D00687" w:rsidRPr="009D5032" w:rsidRDefault="00D00687" w:rsidP="00D0068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A9400E9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išvaizda ir kiekis pakuotėje</w:t>
      </w:r>
    </w:p>
    <w:p w14:paraId="7AF3E35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7965E56F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10 ml nosies purškalo gintaro spalvos III tipo stiklo buteliukas su balta purškalo pompa bei baltu apsauginiu dangteliu.</w:t>
      </w:r>
    </w:p>
    <w:p w14:paraId="551FC956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F7BC561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Registruotojas ir gamintojas</w:t>
      </w:r>
    </w:p>
    <w:p w14:paraId="0A4FEB9D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color w:val="000000"/>
          <w:lang w:val="lt-L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00687" w:rsidRPr="009D5032" w14:paraId="798D052B" w14:textId="77777777" w:rsidTr="006B08A8">
        <w:tc>
          <w:tcPr>
            <w:tcW w:w="4530" w:type="dxa"/>
          </w:tcPr>
          <w:p w14:paraId="370EA38D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u w:val="single"/>
                <w:lang w:val="lt-LT"/>
              </w:rPr>
            </w:pPr>
            <w:r w:rsidRPr="009D5032">
              <w:rPr>
                <w:i/>
                <w:u w:val="single"/>
                <w:lang w:val="lt-LT"/>
              </w:rPr>
              <w:t>Registruotojas</w:t>
            </w:r>
          </w:p>
          <w:p w14:paraId="47A536EF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9D5032">
              <w:rPr>
                <w:rFonts w:eastAsia="Calibri"/>
                <w:lang w:val="lt-LT"/>
              </w:rPr>
              <w:t xml:space="preserve">SIA </w:t>
            </w:r>
            <w:proofErr w:type="spellStart"/>
            <w:r w:rsidRPr="009D5032">
              <w:rPr>
                <w:rFonts w:eastAsia="Calibri"/>
                <w:lang w:val="lt-LT"/>
              </w:rPr>
              <w:t>Ingen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 Pharma</w:t>
            </w:r>
          </w:p>
          <w:p w14:paraId="28393914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9D5032">
              <w:rPr>
                <w:rFonts w:eastAsia="Calibri"/>
                <w:lang w:val="lt-LT"/>
              </w:rPr>
              <w:t xml:space="preserve">K. </w:t>
            </w:r>
            <w:proofErr w:type="spellStart"/>
            <w:r w:rsidRPr="009D5032">
              <w:rPr>
                <w:rFonts w:eastAsia="Calibri"/>
                <w:lang w:val="lt-LT"/>
              </w:rPr>
              <w:t>Ulmaņa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 gatve 119</w:t>
            </w:r>
          </w:p>
          <w:p w14:paraId="364F8E55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9D5032">
              <w:rPr>
                <w:rFonts w:eastAsia="Calibri"/>
                <w:lang w:val="lt-LT"/>
              </w:rPr>
              <w:t xml:space="preserve">LV-2167 </w:t>
            </w:r>
            <w:proofErr w:type="spellStart"/>
            <w:r w:rsidRPr="009D5032">
              <w:rPr>
                <w:rFonts w:eastAsia="Calibri"/>
                <w:lang w:val="lt-LT"/>
              </w:rPr>
              <w:t>Mārupe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, </w:t>
            </w:r>
            <w:proofErr w:type="spellStart"/>
            <w:r w:rsidRPr="009D5032">
              <w:rPr>
                <w:rFonts w:eastAsia="Calibri"/>
                <w:lang w:val="lt-LT"/>
              </w:rPr>
              <w:t>Rīga</w:t>
            </w:r>
            <w:proofErr w:type="spellEnd"/>
          </w:p>
          <w:p w14:paraId="25141318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en-US"/>
              </w:rPr>
            </w:pPr>
            <w:r w:rsidRPr="009D5032">
              <w:rPr>
                <w:rFonts w:eastAsia="Calibri"/>
                <w:lang w:val="lt-LT"/>
              </w:rPr>
              <w:t>Latvija</w:t>
            </w:r>
          </w:p>
        </w:tc>
        <w:tc>
          <w:tcPr>
            <w:tcW w:w="4530" w:type="dxa"/>
          </w:tcPr>
          <w:p w14:paraId="0E2D4CC0" w14:textId="77777777" w:rsidR="00D00687" w:rsidRPr="009D5032" w:rsidRDefault="00D00687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u w:val="single"/>
                <w:lang w:val="en-US"/>
              </w:rPr>
            </w:pPr>
            <w:r w:rsidRPr="009D5032">
              <w:rPr>
                <w:rFonts w:eastAsia="Calibri"/>
                <w:i/>
                <w:u w:val="single"/>
                <w:lang w:val="lt-LT"/>
              </w:rPr>
              <w:t>Gamintojas</w:t>
            </w:r>
          </w:p>
          <w:p w14:paraId="7AE60ABC" w14:textId="77777777" w:rsidR="00D00687" w:rsidRPr="009D5032" w:rsidRDefault="00D00687" w:rsidP="006B08A8">
            <w:pPr>
              <w:tabs>
                <w:tab w:val="left" w:pos="567"/>
              </w:tabs>
              <w:rPr>
                <w:rFonts w:eastAsia="Calibri"/>
                <w:lang w:val="en-US"/>
              </w:rPr>
            </w:pPr>
            <w:r w:rsidRPr="009D5032">
              <w:rPr>
                <w:rFonts w:eastAsia="Calibri"/>
                <w:lang w:val="lt-LT"/>
              </w:rPr>
              <w:t xml:space="preserve">AS </w:t>
            </w:r>
            <w:proofErr w:type="spellStart"/>
            <w:r w:rsidRPr="009D5032">
              <w:rPr>
                <w:rFonts w:eastAsia="Calibri"/>
                <w:lang w:val="lt-LT"/>
              </w:rPr>
              <w:t>Ol</w:t>
            </w:r>
            <w:r>
              <w:rPr>
                <w:rFonts w:eastAsia="Calibri"/>
                <w:lang w:val="lt-LT"/>
              </w:rPr>
              <w:t>pha</w:t>
            </w:r>
            <w:proofErr w:type="spellEnd"/>
          </w:p>
          <w:p w14:paraId="6636B5D9" w14:textId="77777777" w:rsidR="00D00687" w:rsidRPr="009D5032" w:rsidRDefault="00D00687" w:rsidP="006B08A8">
            <w:pPr>
              <w:tabs>
                <w:tab w:val="left" w:pos="567"/>
              </w:tabs>
              <w:rPr>
                <w:rFonts w:eastAsia="Calibri"/>
                <w:lang w:val="en-US"/>
              </w:rPr>
            </w:pPr>
            <w:proofErr w:type="spellStart"/>
            <w:r w:rsidRPr="009D5032">
              <w:rPr>
                <w:rFonts w:eastAsia="Calibri"/>
                <w:lang w:val="lt-LT"/>
              </w:rPr>
              <w:t>Olaines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9D5032">
              <w:rPr>
                <w:rFonts w:eastAsia="Calibri"/>
                <w:lang w:val="lt-LT"/>
              </w:rPr>
              <w:t>nov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., </w:t>
            </w:r>
            <w:proofErr w:type="spellStart"/>
            <w:r w:rsidRPr="009D5032">
              <w:rPr>
                <w:rFonts w:eastAsia="Calibri"/>
                <w:lang w:val="lt-LT"/>
              </w:rPr>
              <w:t>Olaine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, </w:t>
            </w:r>
            <w:proofErr w:type="spellStart"/>
            <w:r w:rsidRPr="009D5032">
              <w:rPr>
                <w:rFonts w:eastAsia="Calibri"/>
                <w:lang w:val="lt-LT"/>
              </w:rPr>
              <w:t>Rūpnīcu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9D5032">
              <w:rPr>
                <w:rFonts w:eastAsia="Calibri"/>
                <w:lang w:val="lt-LT"/>
              </w:rPr>
              <w:t>iela</w:t>
            </w:r>
            <w:proofErr w:type="spellEnd"/>
            <w:r w:rsidRPr="009D5032">
              <w:rPr>
                <w:rFonts w:eastAsia="Calibri"/>
                <w:lang w:val="lt-LT"/>
              </w:rPr>
              <w:t xml:space="preserve"> 5,</w:t>
            </w:r>
          </w:p>
          <w:p w14:paraId="5BEB20DE" w14:textId="77777777" w:rsidR="00D00687" w:rsidRPr="009D5032" w:rsidRDefault="00D00687" w:rsidP="006B08A8">
            <w:pPr>
              <w:tabs>
                <w:tab w:val="left" w:pos="567"/>
              </w:tabs>
              <w:rPr>
                <w:rFonts w:eastAsia="Calibri"/>
                <w:lang w:val="en-US"/>
              </w:rPr>
            </w:pPr>
            <w:r w:rsidRPr="009D5032">
              <w:rPr>
                <w:rFonts w:eastAsia="Calibri"/>
                <w:lang w:val="lt-LT"/>
              </w:rPr>
              <w:t>LV-2114</w:t>
            </w:r>
          </w:p>
          <w:p w14:paraId="6658D916" w14:textId="77777777" w:rsidR="00D00687" w:rsidRPr="009D5032" w:rsidRDefault="00D00687" w:rsidP="006B08A8">
            <w:pPr>
              <w:tabs>
                <w:tab w:val="left" w:pos="567"/>
              </w:tabs>
              <w:rPr>
                <w:rFonts w:eastAsia="Calibri"/>
                <w:lang w:val="en-US"/>
              </w:rPr>
            </w:pPr>
            <w:r w:rsidRPr="009D5032">
              <w:rPr>
                <w:rFonts w:eastAsia="Calibri"/>
                <w:lang w:val="lt-LT"/>
              </w:rPr>
              <w:t>Latvija</w:t>
            </w:r>
          </w:p>
        </w:tc>
      </w:tr>
    </w:tbl>
    <w:p w14:paraId="320C3D34" w14:textId="77777777" w:rsidR="00D00687" w:rsidRPr="009D5032" w:rsidRDefault="00D00687" w:rsidP="00D0068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A94D407" w14:textId="77777777" w:rsidR="00D00687" w:rsidRPr="009D5032" w:rsidRDefault="00D00687" w:rsidP="00D0068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apie šį vaistą norite sužinoti daugiau, kreipkitės į registruotoją.</w:t>
      </w:r>
    </w:p>
    <w:p w14:paraId="5A96C5BE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652CE283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5FAA94A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Šis pakuotės lapelis paskutinį kartą peržiūrėtas </w:t>
      </w:r>
      <w:r>
        <w:rPr>
          <w:rFonts w:ascii="Times New Roman" w:hAnsi="Times New Roman"/>
          <w:b/>
          <w:lang w:val="lt-LT"/>
        </w:rPr>
        <w:t>2025-06-19</w:t>
      </w:r>
    </w:p>
    <w:p w14:paraId="7C3D2C5C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51DBB344" w14:textId="77777777" w:rsidR="00D00687" w:rsidRPr="009D5032" w:rsidRDefault="00D00687" w:rsidP="00D0068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74791CA1" w14:textId="77777777" w:rsidR="00D00687" w:rsidRPr="00DC65AA" w:rsidRDefault="00D00687" w:rsidP="00D0068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9A04AB">
          <w:rPr>
            <w:rFonts w:ascii="Times New Roman" w:hAnsi="Times New Roman" w:cs="Times New Roman"/>
            <w:color w:val="0000EE"/>
            <w:u w:val="single"/>
            <w:lang w:val="lt-LT" w:eastAsia="lt-LT"/>
          </w:rPr>
          <w:t xml:space="preserve"> </w:t>
        </w:r>
        <w:r w:rsidRPr="009903EB">
          <w:rPr>
            <w:rFonts w:ascii="Times New Roman" w:hAnsi="Times New Roman" w:cs="Times New Roman"/>
            <w:color w:val="0000EE"/>
            <w:u w:val="single"/>
            <w:lang w:val="lt-LT" w:eastAsia="lt-LT"/>
          </w:rPr>
          <w:t>https://vvkt.lrv.lt/lt</w:t>
        </w:r>
        <w:r>
          <w:rPr>
            <w:rFonts w:ascii="Times New Roman" w:hAnsi="Times New Roman" w:cs="Times New Roman"/>
            <w:color w:val="0000EE"/>
            <w:u w:val="single"/>
            <w:lang w:val="lt-LT" w:eastAsia="lt-LT"/>
          </w:rPr>
          <w:t>.</w:t>
        </w:r>
        <w:r w:rsidRPr="009D5032" w:rsidDel="009A04AB">
          <w:rPr>
            <w:rFonts w:ascii="Times New Roman" w:hAnsi="Times New Roman"/>
            <w:color w:val="0000FF"/>
            <w:u w:val="single"/>
            <w:lang w:val="lt-LT"/>
          </w:rPr>
          <w:t xml:space="preserve"> </w:t>
        </w:r>
      </w:hyperlink>
    </w:p>
    <w:p w14:paraId="654C4007" w14:textId="77777777" w:rsidR="00D00687" w:rsidRPr="00DC65AA" w:rsidRDefault="00D00687" w:rsidP="00D00687">
      <w:pPr>
        <w:rPr>
          <w:rFonts w:ascii="Times New Roman" w:hAnsi="Times New Roman"/>
          <w:lang w:val="lt-LT"/>
        </w:rPr>
      </w:pPr>
    </w:p>
    <w:p w14:paraId="0159E70B" w14:textId="77777777" w:rsidR="00222FED" w:rsidRDefault="00222FED"/>
    <w:sectPr w:rsidR="00222FED" w:rsidSect="00D00687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29FB" w14:textId="77777777" w:rsidR="00D00687" w:rsidRDefault="00D00687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F44912" w14:textId="77777777" w:rsidR="00D00687" w:rsidRDefault="00D00687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540" w14:textId="77777777" w:rsidR="00D00687" w:rsidRDefault="00D00687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005E746C" w14:textId="77777777" w:rsidR="00D00687" w:rsidRPr="003F112D" w:rsidRDefault="00D00687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>
      <w:rPr>
        <w:rStyle w:val="Puslapionumeris"/>
        <w:rFonts w:ascii="Times New Roman" w:hAnsi="Times New Roman"/>
        <w:noProof/>
        <w:sz w:val="20"/>
        <w:lang w:val="lt-LT"/>
      </w:rPr>
      <w:t>1</w:t>
    </w:r>
    <w:r>
      <w:rPr>
        <w:rStyle w:val="Puslapionumeris"/>
        <w:rFonts w:ascii="Times New Roman" w:hAnsi="Times New Roman"/>
        <w:noProof/>
        <w:sz w:val="20"/>
        <w:lang w:val="lt-LT"/>
      </w:rPr>
      <w:t>9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FE5440"/>
    <w:multiLevelType w:val="hybridMultilevel"/>
    <w:tmpl w:val="9BCC693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57C28"/>
    <w:multiLevelType w:val="hybridMultilevel"/>
    <w:tmpl w:val="BBA420F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01118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46258252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749694015">
    <w:abstractNumId w:val="3"/>
  </w:num>
  <w:num w:numId="4" w16cid:durableId="1503004459">
    <w:abstractNumId w:val="2"/>
  </w:num>
  <w:num w:numId="5" w16cid:durableId="524566097">
    <w:abstractNumId w:val="1"/>
  </w:num>
  <w:num w:numId="6" w16cid:durableId="1993020387">
    <w:abstractNumId w:val="5"/>
  </w:num>
  <w:num w:numId="7" w16cid:durableId="342972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7"/>
    <w:rsid w:val="00222FED"/>
    <w:rsid w:val="00374E02"/>
    <w:rsid w:val="005F173E"/>
    <w:rsid w:val="008B3AD4"/>
    <w:rsid w:val="00D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57D1"/>
  <w15:chartTrackingRefBased/>
  <w15:docId w15:val="{E494B1AD-4EBA-4D96-9ECF-998906B3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0687"/>
    <w:pPr>
      <w:spacing w:line="259" w:lineRule="auto"/>
    </w:pPr>
    <w:rPr>
      <w:kern w:val="0"/>
      <w:sz w:val="22"/>
      <w:szCs w:val="22"/>
      <w:lang w:val="et-E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0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0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0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0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0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0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0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0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0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0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0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068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068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06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06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06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06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0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06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06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068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0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068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068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D00687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00687"/>
    <w:rPr>
      <w:kern w:val="0"/>
      <w:sz w:val="22"/>
      <w:szCs w:val="22"/>
      <w:lang w:val="en-US"/>
      <w14:ligatures w14:val="none"/>
    </w:rPr>
  </w:style>
  <w:style w:type="character" w:styleId="Puslapionumeris">
    <w:name w:val="page number"/>
    <w:basedOn w:val="Numatytasispastraiposriftas"/>
    <w:uiPriority w:val="99"/>
    <w:rsid w:val="00D00687"/>
    <w:rPr>
      <w:rFonts w:cs="Times New Roman"/>
    </w:rPr>
  </w:style>
  <w:style w:type="table" w:customStyle="1" w:styleId="TableGrid1">
    <w:name w:val="Table Grid1"/>
    <w:basedOn w:val="prastojilentel"/>
    <w:next w:val="Lentelstinklelis"/>
    <w:uiPriority w:val="99"/>
    <w:rsid w:val="00D006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0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6360</Words>
  <Characters>3626</Characters>
  <Application>Microsoft Office Word</Application>
  <DocSecurity>0</DocSecurity>
  <Lines>30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2025-07-28T06:54:00Z</dcterms:created>
  <dcterms:modified xsi:type="dcterms:W3CDTF">2025-07-28T06:55:00Z</dcterms:modified>
</cp:coreProperties>
</file>