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1CF58" w14:textId="77777777" w:rsidR="00812D16" w:rsidRPr="007A17AE" w:rsidRDefault="00812D16" w:rsidP="007A17AE">
      <w:pPr>
        <w:spacing w:line="240" w:lineRule="auto"/>
        <w:contextualSpacing/>
        <w:outlineLvl w:val="0"/>
        <w:rPr>
          <w:b/>
          <w:szCs w:val="22"/>
        </w:rPr>
      </w:pPr>
      <w:bookmarkStart w:id="0" w:name="_GoBack"/>
      <w:bookmarkEnd w:id="0"/>
    </w:p>
    <w:p w14:paraId="56EC2641" w14:textId="77777777" w:rsidR="00812D16" w:rsidRPr="007A17AE" w:rsidRDefault="00812D16" w:rsidP="007A17AE">
      <w:pPr>
        <w:spacing w:line="240" w:lineRule="auto"/>
        <w:contextualSpacing/>
        <w:outlineLvl w:val="0"/>
        <w:rPr>
          <w:b/>
          <w:szCs w:val="22"/>
        </w:rPr>
      </w:pPr>
    </w:p>
    <w:p w14:paraId="3C8469CC" w14:textId="77777777" w:rsidR="00812D16" w:rsidRPr="007A17AE" w:rsidRDefault="00812D16" w:rsidP="007A17AE">
      <w:pPr>
        <w:spacing w:line="240" w:lineRule="auto"/>
        <w:contextualSpacing/>
        <w:outlineLvl w:val="0"/>
        <w:rPr>
          <w:b/>
          <w:szCs w:val="22"/>
        </w:rPr>
      </w:pPr>
    </w:p>
    <w:p w14:paraId="3EDB9D50" w14:textId="77777777" w:rsidR="00812D16" w:rsidRPr="007A17AE" w:rsidRDefault="00812D16" w:rsidP="007A17AE">
      <w:pPr>
        <w:spacing w:line="240" w:lineRule="auto"/>
        <w:contextualSpacing/>
        <w:outlineLvl w:val="0"/>
        <w:rPr>
          <w:b/>
          <w:szCs w:val="22"/>
        </w:rPr>
      </w:pPr>
    </w:p>
    <w:p w14:paraId="0A2ED69D" w14:textId="77777777" w:rsidR="00812D16" w:rsidRPr="007A17AE" w:rsidRDefault="00812D16" w:rsidP="007A17AE">
      <w:pPr>
        <w:spacing w:line="240" w:lineRule="auto"/>
        <w:contextualSpacing/>
        <w:outlineLvl w:val="0"/>
        <w:rPr>
          <w:b/>
          <w:szCs w:val="22"/>
        </w:rPr>
      </w:pPr>
    </w:p>
    <w:p w14:paraId="41EC02A0" w14:textId="77777777" w:rsidR="00812D16" w:rsidRPr="007A17AE" w:rsidRDefault="00812D16" w:rsidP="007A17AE">
      <w:pPr>
        <w:spacing w:line="240" w:lineRule="auto"/>
        <w:contextualSpacing/>
        <w:outlineLvl w:val="0"/>
        <w:rPr>
          <w:b/>
          <w:szCs w:val="22"/>
        </w:rPr>
      </w:pPr>
    </w:p>
    <w:p w14:paraId="162D99CE" w14:textId="77777777" w:rsidR="00812D16" w:rsidRPr="007A17AE" w:rsidRDefault="00812D16" w:rsidP="007A17AE">
      <w:pPr>
        <w:spacing w:line="240" w:lineRule="auto"/>
        <w:contextualSpacing/>
        <w:outlineLvl w:val="0"/>
        <w:rPr>
          <w:b/>
          <w:szCs w:val="22"/>
        </w:rPr>
      </w:pPr>
    </w:p>
    <w:p w14:paraId="6E7239F7" w14:textId="77777777" w:rsidR="00812D16" w:rsidRPr="007A17AE" w:rsidRDefault="00812D16" w:rsidP="007A17AE">
      <w:pPr>
        <w:spacing w:line="240" w:lineRule="auto"/>
        <w:contextualSpacing/>
        <w:outlineLvl w:val="0"/>
        <w:rPr>
          <w:b/>
          <w:szCs w:val="22"/>
        </w:rPr>
      </w:pPr>
    </w:p>
    <w:p w14:paraId="2F26B989" w14:textId="77777777" w:rsidR="00812D16" w:rsidRPr="007A17AE" w:rsidRDefault="00812D16" w:rsidP="007A17AE">
      <w:pPr>
        <w:spacing w:line="240" w:lineRule="auto"/>
        <w:contextualSpacing/>
        <w:outlineLvl w:val="0"/>
        <w:rPr>
          <w:b/>
          <w:szCs w:val="22"/>
        </w:rPr>
      </w:pPr>
    </w:p>
    <w:p w14:paraId="7BA87988" w14:textId="77777777" w:rsidR="00812D16" w:rsidRPr="007A17AE" w:rsidRDefault="00812D16" w:rsidP="007A17AE">
      <w:pPr>
        <w:spacing w:line="240" w:lineRule="auto"/>
        <w:contextualSpacing/>
        <w:outlineLvl w:val="0"/>
        <w:rPr>
          <w:b/>
          <w:szCs w:val="22"/>
        </w:rPr>
      </w:pPr>
    </w:p>
    <w:p w14:paraId="094B6287" w14:textId="77777777" w:rsidR="00812D16" w:rsidRPr="007A17AE" w:rsidRDefault="00812D16" w:rsidP="007A17AE">
      <w:pPr>
        <w:spacing w:line="240" w:lineRule="auto"/>
        <w:contextualSpacing/>
        <w:outlineLvl w:val="0"/>
        <w:rPr>
          <w:b/>
          <w:szCs w:val="22"/>
        </w:rPr>
      </w:pPr>
    </w:p>
    <w:p w14:paraId="2C0F7BEF" w14:textId="77777777" w:rsidR="00812D16" w:rsidRPr="007A17AE" w:rsidRDefault="00812D16" w:rsidP="007A17AE">
      <w:pPr>
        <w:spacing w:line="240" w:lineRule="auto"/>
        <w:contextualSpacing/>
        <w:outlineLvl w:val="0"/>
        <w:rPr>
          <w:b/>
          <w:szCs w:val="22"/>
        </w:rPr>
      </w:pPr>
    </w:p>
    <w:p w14:paraId="69123DB6" w14:textId="77777777" w:rsidR="00812D16" w:rsidRPr="007A17AE" w:rsidRDefault="00812D16" w:rsidP="007A17AE">
      <w:pPr>
        <w:spacing w:line="240" w:lineRule="auto"/>
        <w:contextualSpacing/>
        <w:outlineLvl w:val="0"/>
        <w:rPr>
          <w:b/>
          <w:szCs w:val="22"/>
        </w:rPr>
      </w:pPr>
    </w:p>
    <w:p w14:paraId="7BD670AA" w14:textId="77777777" w:rsidR="00812D16" w:rsidRPr="007A17AE" w:rsidRDefault="00812D16" w:rsidP="007A17AE">
      <w:pPr>
        <w:spacing w:line="240" w:lineRule="auto"/>
        <w:contextualSpacing/>
        <w:outlineLvl w:val="0"/>
        <w:rPr>
          <w:b/>
          <w:szCs w:val="22"/>
        </w:rPr>
      </w:pPr>
    </w:p>
    <w:p w14:paraId="6CAD2C21" w14:textId="77777777" w:rsidR="00812D16" w:rsidRPr="007A17AE" w:rsidRDefault="00812D16" w:rsidP="007A17AE">
      <w:pPr>
        <w:spacing w:line="240" w:lineRule="auto"/>
        <w:contextualSpacing/>
        <w:outlineLvl w:val="0"/>
        <w:rPr>
          <w:b/>
          <w:szCs w:val="22"/>
        </w:rPr>
      </w:pPr>
    </w:p>
    <w:p w14:paraId="4A82F04A" w14:textId="77777777" w:rsidR="00812D16" w:rsidRPr="007A17AE" w:rsidRDefault="00812D16" w:rsidP="007A17AE">
      <w:pPr>
        <w:spacing w:line="240" w:lineRule="auto"/>
        <w:contextualSpacing/>
        <w:outlineLvl w:val="0"/>
        <w:rPr>
          <w:b/>
          <w:szCs w:val="22"/>
        </w:rPr>
      </w:pPr>
    </w:p>
    <w:p w14:paraId="3BC13328" w14:textId="7F0FD2DE" w:rsidR="00812D16" w:rsidRPr="007A17AE" w:rsidRDefault="00812D16" w:rsidP="007A17AE">
      <w:pPr>
        <w:spacing w:line="240" w:lineRule="auto"/>
        <w:contextualSpacing/>
        <w:outlineLvl w:val="0"/>
        <w:rPr>
          <w:b/>
          <w:szCs w:val="22"/>
        </w:rPr>
      </w:pPr>
    </w:p>
    <w:p w14:paraId="7DD45A1F" w14:textId="77777777" w:rsidR="00812D16" w:rsidRPr="007A17AE" w:rsidRDefault="00812D16" w:rsidP="007A17AE">
      <w:pPr>
        <w:spacing w:line="240" w:lineRule="auto"/>
        <w:contextualSpacing/>
        <w:outlineLvl w:val="0"/>
        <w:rPr>
          <w:b/>
          <w:szCs w:val="22"/>
        </w:rPr>
      </w:pPr>
    </w:p>
    <w:p w14:paraId="56925A3C" w14:textId="77777777" w:rsidR="00812D16" w:rsidRPr="007A17AE" w:rsidRDefault="00812D16" w:rsidP="007A17AE">
      <w:pPr>
        <w:spacing w:line="240" w:lineRule="auto"/>
        <w:contextualSpacing/>
        <w:outlineLvl w:val="0"/>
        <w:rPr>
          <w:b/>
          <w:szCs w:val="22"/>
        </w:rPr>
      </w:pPr>
    </w:p>
    <w:p w14:paraId="479C9D1E" w14:textId="77777777" w:rsidR="00812D16" w:rsidRPr="007A17AE" w:rsidRDefault="00812D16" w:rsidP="007A17AE">
      <w:pPr>
        <w:spacing w:line="240" w:lineRule="auto"/>
        <w:contextualSpacing/>
        <w:outlineLvl w:val="0"/>
        <w:rPr>
          <w:b/>
          <w:szCs w:val="22"/>
        </w:rPr>
      </w:pPr>
    </w:p>
    <w:p w14:paraId="5E446243" w14:textId="77777777" w:rsidR="00812D16" w:rsidRPr="007A17AE" w:rsidRDefault="00812D16" w:rsidP="007A17AE">
      <w:pPr>
        <w:spacing w:line="240" w:lineRule="auto"/>
        <w:contextualSpacing/>
        <w:outlineLvl w:val="0"/>
        <w:rPr>
          <w:b/>
          <w:szCs w:val="22"/>
        </w:rPr>
      </w:pPr>
    </w:p>
    <w:p w14:paraId="007A806E" w14:textId="77777777" w:rsidR="00FB69FC" w:rsidRDefault="00FB69FC" w:rsidP="007A17AE">
      <w:pPr>
        <w:spacing w:line="240" w:lineRule="auto"/>
        <w:contextualSpacing/>
        <w:jc w:val="center"/>
        <w:outlineLvl w:val="0"/>
        <w:rPr>
          <w:b/>
          <w:szCs w:val="22"/>
        </w:rPr>
      </w:pPr>
    </w:p>
    <w:p w14:paraId="769DB880" w14:textId="77777777" w:rsidR="00286E3A" w:rsidRPr="007A17AE" w:rsidRDefault="00286E3A" w:rsidP="007A17AE">
      <w:pPr>
        <w:spacing w:line="240" w:lineRule="auto"/>
        <w:contextualSpacing/>
        <w:jc w:val="center"/>
        <w:outlineLvl w:val="0"/>
        <w:rPr>
          <w:szCs w:val="22"/>
        </w:rPr>
      </w:pPr>
      <w:r w:rsidRPr="007A17AE">
        <w:rPr>
          <w:b/>
          <w:szCs w:val="22"/>
        </w:rPr>
        <w:t>I PRIEDAS</w:t>
      </w:r>
    </w:p>
    <w:p w14:paraId="1BBBFDB7" w14:textId="77777777" w:rsidR="00812D16" w:rsidRPr="007A17AE" w:rsidRDefault="00812D16" w:rsidP="007A17AE">
      <w:pPr>
        <w:spacing w:line="240" w:lineRule="auto"/>
        <w:contextualSpacing/>
        <w:jc w:val="center"/>
        <w:outlineLvl w:val="0"/>
        <w:rPr>
          <w:szCs w:val="22"/>
        </w:rPr>
      </w:pPr>
    </w:p>
    <w:p w14:paraId="16011433" w14:textId="77777777" w:rsidR="00286E3A" w:rsidRPr="007A17AE" w:rsidRDefault="00286E3A" w:rsidP="007A17AE">
      <w:pPr>
        <w:spacing w:line="240" w:lineRule="auto"/>
        <w:contextualSpacing/>
        <w:jc w:val="center"/>
        <w:outlineLvl w:val="0"/>
        <w:rPr>
          <w:szCs w:val="22"/>
        </w:rPr>
      </w:pPr>
      <w:r w:rsidRPr="007A17AE">
        <w:rPr>
          <w:b/>
          <w:szCs w:val="22"/>
        </w:rPr>
        <w:t>PREPARATO CHARAKTERISTIKŲ SANTRAUKA</w:t>
      </w:r>
    </w:p>
    <w:p w14:paraId="42709D47" w14:textId="77777777" w:rsidR="00130EEC" w:rsidRPr="007A17AE" w:rsidRDefault="005055AE" w:rsidP="007A17AE">
      <w:pPr>
        <w:spacing w:line="240" w:lineRule="auto"/>
        <w:contextualSpacing/>
        <w:rPr>
          <w:szCs w:val="22"/>
        </w:rPr>
      </w:pPr>
      <w:r w:rsidRPr="007A17AE">
        <w:rPr>
          <w:color w:val="008000"/>
          <w:szCs w:val="22"/>
        </w:rPr>
        <w:br w:type="page"/>
      </w:r>
      <w:r w:rsidR="00130EEC" w:rsidRPr="007A17AE">
        <w:rPr>
          <w:b/>
          <w:szCs w:val="22"/>
        </w:rPr>
        <w:lastRenderedPageBreak/>
        <w:t>1.</w:t>
      </w:r>
      <w:r w:rsidR="00130EEC" w:rsidRPr="007A17AE">
        <w:rPr>
          <w:b/>
          <w:szCs w:val="22"/>
        </w:rPr>
        <w:tab/>
        <w:t>VAISTINIO PREPARATO PAVADINIMAS</w:t>
      </w:r>
    </w:p>
    <w:p w14:paraId="754E81D5" w14:textId="2A26571E" w:rsidR="00812D16" w:rsidRPr="00B12DD0" w:rsidRDefault="00812D16" w:rsidP="00B12DD0">
      <w:pPr>
        <w:spacing w:line="240" w:lineRule="auto"/>
        <w:contextualSpacing/>
      </w:pPr>
    </w:p>
    <w:p w14:paraId="4E1E61E8" w14:textId="0DCD05F2" w:rsidR="00B12DD0" w:rsidRPr="00B12DD0" w:rsidRDefault="00762A7B" w:rsidP="007A17AE">
      <w:pPr>
        <w:spacing w:line="240" w:lineRule="auto"/>
        <w:contextualSpacing/>
        <w:rPr>
          <w:szCs w:val="22"/>
        </w:rPr>
      </w:pPr>
      <w:r w:rsidRPr="00B12DD0">
        <w:rPr>
          <w:szCs w:val="22"/>
        </w:rPr>
        <w:t>Aprepitant Sandoz 125 mg kieto</w:t>
      </w:r>
      <w:r w:rsidR="00B12DD0">
        <w:rPr>
          <w:szCs w:val="22"/>
        </w:rPr>
        <w:t>ji</w:t>
      </w:r>
      <w:r w:rsidRPr="00B12DD0">
        <w:rPr>
          <w:szCs w:val="22"/>
        </w:rPr>
        <w:t xml:space="preserve"> kapsulė</w:t>
      </w:r>
    </w:p>
    <w:p w14:paraId="365C1F88" w14:textId="15EDDC34" w:rsidR="00812D16" w:rsidRPr="007A17AE" w:rsidRDefault="00762A7B" w:rsidP="007A17AE">
      <w:pPr>
        <w:spacing w:line="240" w:lineRule="auto"/>
        <w:contextualSpacing/>
        <w:rPr>
          <w:iCs/>
          <w:szCs w:val="22"/>
        </w:rPr>
      </w:pPr>
      <w:r w:rsidRPr="00B12DD0">
        <w:rPr>
          <w:szCs w:val="22"/>
        </w:rPr>
        <w:t>Aprepitant Sandoz 80 mg kietosios kapsulės</w:t>
      </w:r>
    </w:p>
    <w:p w14:paraId="07326346" w14:textId="77777777" w:rsidR="00F61958" w:rsidRPr="007A17AE" w:rsidRDefault="00F61958" w:rsidP="007A17AE">
      <w:pPr>
        <w:spacing w:line="240" w:lineRule="auto"/>
        <w:contextualSpacing/>
        <w:rPr>
          <w:iCs/>
          <w:szCs w:val="22"/>
        </w:rPr>
      </w:pPr>
    </w:p>
    <w:p w14:paraId="3317371E" w14:textId="77777777" w:rsidR="005223CE" w:rsidRPr="007A17AE" w:rsidRDefault="005223CE" w:rsidP="007A17AE">
      <w:pPr>
        <w:spacing w:line="240" w:lineRule="auto"/>
        <w:contextualSpacing/>
        <w:rPr>
          <w:iCs/>
          <w:szCs w:val="22"/>
        </w:rPr>
      </w:pPr>
    </w:p>
    <w:p w14:paraId="1CAA46B4" w14:textId="77777777" w:rsidR="00E44CAA" w:rsidRPr="007A17AE" w:rsidRDefault="00E44CAA" w:rsidP="007A17AE">
      <w:pPr>
        <w:suppressAutoHyphens/>
        <w:spacing w:line="240" w:lineRule="auto"/>
        <w:ind w:left="567" w:hanging="567"/>
        <w:contextualSpacing/>
        <w:rPr>
          <w:szCs w:val="22"/>
        </w:rPr>
      </w:pPr>
      <w:r w:rsidRPr="007A17AE">
        <w:rPr>
          <w:b/>
          <w:szCs w:val="22"/>
        </w:rPr>
        <w:t>2.</w:t>
      </w:r>
      <w:r w:rsidRPr="007A17AE">
        <w:rPr>
          <w:b/>
          <w:szCs w:val="22"/>
        </w:rPr>
        <w:tab/>
        <w:t>KOKYBINĖ IR KIEKYBINĖ SUDĖTIS</w:t>
      </w:r>
    </w:p>
    <w:p w14:paraId="4B6721D6" w14:textId="77777777" w:rsidR="00812D16" w:rsidRPr="007A17AE" w:rsidRDefault="00812D16" w:rsidP="007A17AE">
      <w:pPr>
        <w:spacing w:line="240" w:lineRule="auto"/>
        <w:contextualSpacing/>
        <w:rPr>
          <w:iCs/>
          <w:szCs w:val="22"/>
        </w:rPr>
      </w:pPr>
    </w:p>
    <w:p w14:paraId="266F7829" w14:textId="77777777" w:rsidR="00A9096F" w:rsidRPr="00F122CC" w:rsidRDefault="00A9096F" w:rsidP="00A9096F">
      <w:pPr>
        <w:widowControl w:val="0"/>
        <w:spacing w:line="240" w:lineRule="auto"/>
        <w:contextualSpacing/>
        <w:rPr>
          <w:i/>
          <w:szCs w:val="22"/>
        </w:rPr>
      </w:pPr>
      <w:r w:rsidRPr="00F122CC">
        <w:rPr>
          <w:i/>
          <w:szCs w:val="22"/>
        </w:rPr>
        <w:t>Aprepitant Sandoz 125 mg kieto</w:t>
      </w:r>
      <w:r>
        <w:rPr>
          <w:i/>
          <w:szCs w:val="22"/>
        </w:rPr>
        <w:t>ji</w:t>
      </w:r>
      <w:r w:rsidRPr="00F122CC">
        <w:rPr>
          <w:i/>
          <w:szCs w:val="22"/>
        </w:rPr>
        <w:t xml:space="preserve"> kapsulė</w:t>
      </w:r>
    </w:p>
    <w:p w14:paraId="1D61838E" w14:textId="77777777" w:rsidR="00A9096F" w:rsidRPr="00F122CC" w:rsidRDefault="00A9096F" w:rsidP="00A9096F">
      <w:pPr>
        <w:pStyle w:val="Default"/>
        <w:contextualSpacing/>
        <w:rPr>
          <w:sz w:val="22"/>
          <w:szCs w:val="22"/>
        </w:rPr>
      </w:pPr>
      <w:r w:rsidRPr="00F122CC">
        <w:rPr>
          <w:sz w:val="22"/>
          <w:szCs w:val="22"/>
        </w:rPr>
        <w:t>Kiekvienoje kietojoje kapsulėje yra 125 mg aprepitanto.</w:t>
      </w:r>
    </w:p>
    <w:p w14:paraId="41009D14" w14:textId="77777777" w:rsidR="00A9096F" w:rsidRPr="00F122CC" w:rsidRDefault="00A9096F" w:rsidP="00A9096F">
      <w:pPr>
        <w:pStyle w:val="Default"/>
        <w:contextualSpacing/>
        <w:rPr>
          <w:sz w:val="22"/>
          <w:szCs w:val="22"/>
          <w:u w:val="single"/>
        </w:rPr>
      </w:pPr>
      <w:r w:rsidRPr="00F122CC">
        <w:rPr>
          <w:sz w:val="22"/>
          <w:szCs w:val="22"/>
          <w:u w:val="single"/>
        </w:rPr>
        <w:t>Pagalbinė medžiaga, kurios poveikis žinomas</w:t>
      </w:r>
    </w:p>
    <w:p w14:paraId="4F96CE79" w14:textId="77777777" w:rsidR="00A9096F" w:rsidRDefault="00A9096F" w:rsidP="00A9096F">
      <w:pPr>
        <w:pStyle w:val="Default"/>
        <w:contextualSpacing/>
        <w:rPr>
          <w:sz w:val="22"/>
          <w:szCs w:val="22"/>
        </w:rPr>
      </w:pPr>
      <w:r w:rsidRPr="00F122CC">
        <w:rPr>
          <w:sz w:val="22"/>
          <w:szCs w:val="22"/>
        </w:rPr>
        <w:t>Kiekvienoje kapsulėje yra 125 mg sacharozės (125 mg kapsulėje).</w:t>
      </w:r>
    </w:p>
    <w:p w14:paraId="677BD95D" w14:textId="77777777" w:rsidR="00A9096F" w:rsidRPr="007A17AE" w:rsidRDefault="00A9096F" w:rsidP="00A9096F">
      <w:pPr>
        <w:pStyle w:val="Default"/>
        <w:contextualSpacing/>
        <w:rPr>
          <w:sz w:val="22"/>
          <w:szCs w:val="22"/>
        </w:rPr>
      </w:pPr>
    </w:p>
    <w:p w14:paraId="4E89DC4B" w14:textId="77777777" w:rsidR="0056066B" w:rsidRPr="007A17AE" w:rsidRDefault="00AA1934" w:rsidP="007A17AE">
      <w:pPr>
        <w:widowControl w:val="0"/>
        <w:spacing w:line="240" w:lineRule="auto"/>
        <w:contextualSpacing/>
        <w:rPr>
          <w:i/>
          <w:szCs w:val="22"/>
        </w:rPr>
      </w:pPr>
      <w:r w:rsidRPr="007A17AE">
        <w:rPr>
          <w:i/>
          <w:szCs w:val="22"/>
        </w:rPr>
        <w:t>Aprepitant Sandoz</w:t>
      </w:r>
      <w:r w:rsidR="0056066B" w:rsidRPr="007A17AE">
        <w:rPr>
          <w:i/>
          <w:szCs w:val="22"/>
        </w:rPr>
        <w:t xml:space="preserve"> 80 mg kietosios kapsulės</w:t>
      </w:r>
    </w:p>
    <w:p w14:paraId="19D50303" w14:textId="77777777" w:rsidR="0056066B" w:rsidRPr="007A17AE" w:rsidRDefault="0056066B" w:rsidP="007A17AE">
      <w:pPr>
        <w:pStyle w:val="Default"/>
        <w:contextualSpacing/>
        <w:rPr>
          <w:sz w:val="22"/>
          <w:szCs w:val="22"/>
        </w:rPr>
      </w:pPr>
      <w:r w:rsidRPr="007A17AE">
        <w:rPr>
          <w:sz w:val="22"/>
          <w:szCs w:val="22"/>
        </w:rPr>
        <w:t>Kiekvienoje kietojoje kapsulėje yra 80 mg aprepitanto.</w:t>
      </w:r>
    </w:p>
    <w:p w14:paraId="1BE154CC" w14:textId="77777777" w:rsidR="0056066B" w:rsidRPr="007A17AE" w:rsidRDefault="0056066B" w:rsidP="007A17AE">
      <w:pPr>
        <w:pStyle w:val="Default"/>
        <w:contextualSpacing/>
        <w:rPr>
          <w:sz w:val="22"/>
          <w:szCs w:val="22"/>
          <w:u w:val="single"/>
        </w:rPr>
      </w:pPr>
      <w:r w:rsidRPr="007A17AE">
        <w:rPr>
          <w:sz w:val="22"/>
          <w:szCs w:val="22"/>
          <w:u w:val="single"/>
        </w:rPr>
        <w:t>Pagalbinė medžiaga, kurios poveikis žinomas</w:t>
      </w:r>
    </w:p>
    <w:p w14:paraId="2E7ECD42" w14:textId="77777777" w:rsidR="0056066B" w:rsidRPr="007A17AE" w:rsidRDefault="0056066B" w:rsidP="007A17AE">
      <w:pPr>
        <w:pStyle w:val="Default"/>
        <w:contextualSpacing/>
        <w:rPr>
          <w:sz w:val="22"/>
          <w:szCs w:val="22"/>
        </w:rPr>
      </w:pPr>
      <w:r w:rsidRPr="007A17AE">
        <w:rPr>
          <w:sz w:val="22"/>
          <w:szCs w:val="22"/>
        </w:rPr>
        <w:t>Kiekvienoje kapsulėje yra 80 mg sacharozės (80 mg kapsulėje).</w:t>
      </w:r>
    </w:p>
    <w:p w14:paraId="0BE55F8A" w14:textId="77777777" w:rsidR="0056066B" w:rsidRPr="007A17AE" w:rsidRDefault="0056066B" w:rsidP="007A17AE">
      <w:pPr>
        <w:pStyle w:val="Default"/>
        <w:contextualSpacing/>
        <w:rPr>
          <w:sz w:val="22"/>
          <w:szCs w:val="22"/>
        </w:rPr>
      </w:pPr>
    </w:p>
    <w:p w14:paraId="798EF9E3" w14:textId="77777777" w:rsidR="0052169F" w:rsidRPr="007A17AE" w:rsidRDefault="0056066B" w:rsidP="007A17AE">
      <w:pPr>
        <w:pStyle w:val="Default"/>
        <w:contextualSpacing/>
        <w:rPr>
          <w:sz w:val="22"/>
          <w:szCs w:val="22"/>
        </w:rPr>
      </w:pPr>
      <w:r w:rsidRPr="007A17AE">
        <w:rPr>
          <w:sz w:val="22"/>
          <w:szCs w:val="22"/>
        </w:rPr>
        <w:t>Visos pagalbinės medžiagos išvardytos 6.1 skyriuje.</w:t>
      </w:r>
    </w:p>
    <w:p w14:paraId="7D15619D" w14:textId="77777777" w:rsidR="0052169F" w:rsidRPr="007A17AE" w:rsidRDefault="0052169F" w:rsidP="007A17AE">
      <w:pPr>
        <w:pStyle w:val="Default"/>
        <w:ind w:left="567" w:hanging="568"/>
        <w:contextualSpacing/>
        <w:rPr>
          <w:b/>
          <w:bCs/>
          <w:sz w:val="22"/>
          <w:szCs w:val="22"/>
        </w:rPr>
      </w:pPr>
    </w:p>
    <w:p w14:paraId="384EB075" w14:textId="77777777" w:rsidR="0056066B" w:rsidRPr="007A17AE" w:rsidRDefault="0056066B" w:rsidP="007A17AE">
      <w:pPr>
        <w:pStyle w:val="Default"/>
        <w:ind w:left="567" w:hanging="568"/>
        <w:contextualSpacing/>
        <w:rPr>
          <w:b/>
          <w:bCs/>
          <w:sz w:val="22"/>
          <w:szCs w:val="22"/>
        </w:rPr>
      </w:pPr>
    </w:p>
    <w:p w14:paraId="3DD44C0D" w14:textId="77777777" w:rsidR="00F61958" w:rsidRPr="007A17AE" w:rsidRDefault="00F61958" w:rsidP="007A17AE">
      <w:pPr>
        <w:pStyle w:val="Default"/>
        <w:ind w:left="567" w:hanging="568"/>
        <w:contextualSpacing/>
        <w:rPr>
          <w:sz w:val="22"/>
          <w:szCs w:val="22"/>
        </w:rPr>
      </w:pPr>
      <w:r w:rsidRPr="007A17AE">
        <w:rPr>
          <w:b/>
          <w:bCs/>
          <w:sz w:val="22"/>
          <w:szCs w:val="22"/>
        </w:rPr>
        <w:t>3.</w:t>
      </w:r>
      <w:r w:rsidR="0052169F" w:rsidRPr="007A17AE">
        <w:rPr>
          <w:b/>
          <w:bCs/>
          <w:sz w:val="22"/>
          <w:szCs w:val="22"/>
        </w:rPr>
        <w:tab/>
      </w:r>
      <w:r w:rsidRPr="007A17AE">
        <w:rPr>
          <w:b/>
          <w:bCs/>
          <w:sz w:val="22"/>
          <w:szCs w:val="22"/>
        </w:rPr>
        <w:t xml:space="preserve">FARMACINĖ FORMA </w:t>
      </w:r>
    </w:p>
    <w:p w14:paraId="14765682" w14:textId="77777777" w:rsidR="0052169F" w:rsidRPr="007A17AE" w:rsidRDefault="0052169F" w:rsidP="007A17AE">
      <w:pPr>
        <w:pStyle w:val="Default"/>
        <w:contextualSpacing/>
        <w:rPr>
          <w:sz w:val="22"/>
          <w:szCs w:val="22"/>
        </w:rPr>
      </w:pPr>
    </w:p>
    <w:p w14:paraId="1AE16D28" w14:textId="126DF7D3" w:rsidR="00F61958" w:rsidRPr="007A17AE" w:rsidRDefault="0056066B" w:rsidP="007A17AE">
      <w:pPr>
        <w:pStyle w:val="Default"/>
        <w:contextualSpacing/>
        <w:rPr>
          <w:sz w:val="22"/>
          <w:szCs w:val="22"/>
        </w:rPr>
      </w:pPr>
      <w:r w:rsidRPr="007A17AE">
        <w:rPr>
          <w:sz w:val="22"/>
          <w:szCs w:val="22"/>
        </w:rPr>
        <w:t>Kietoji kapsulė</w:t>
      </w:r>
      <w:r w:rsidR="00F61958" w:rsidRPr="007A17AE">
        <w:rPr>
          <w:sz w:val="22"/>
          <w:szCs w:val="22"/>
        </w:rPr>
        <w:t xml:space="preserve">. </w:t>
      </w:r>
    </w:p>
    <w:p w14:paraId="55254649" w14:textId="77777777" w:rsidR="0056066B" w:rsidRPr="007A17AE" w:rsidRDefault="0056066B" w:rsidP="007A17AE">
      <w:pPr>
        <w:widowControl w:val="0"/>
        <w:spacing w:line="240" w:lineRule="auto"/>
        <w:contextualSpacing/>
        <w:rPr>
          <w:i/>
          <w:szCs w:val="22"/>
        </w:rPr>
      </w:pPr>
    </w:p>
    <w:p w14:paraId="66DCF851" w14:textId="77777777" w:rsidR="00A9096F" w:rsidRPr="007A17AE" w:rsidRDefault="00A9096F" w:rsidP="00A9096F">
      <w:pPr>
        <w:widowControl w:val="0"/>
        <w:spacing w:line="240" w:lineRule="auto"/>
        <w:contextualSpacing/>
        <w:rPr>
          <w:i/>
          <w:szCs w:val="22"/>
        </w:rPr>
      </w:pPr>
      <w:r w:rsidRPr="007A17AE">
        <w:rPr>
          <w:i/>
          <w:szCs w:val="22"/>
        </w:rPr>
        <w:t>Aprepitant Sandoz 125 mg kieto</w:t>
      </w:r>
      <w:r>
        <w:rPr>
          <w:i/>
          <w:szCs w:val="22"/>
        </w:rPr>
        <w:t>ji</w:t>
      </w:r>
      <w:r w:rsidRPr="007A17AE">
        <w:rPr>
          <w:i/>
          <w:szCs w:val="22"/>
        </w:rPr>
        <w:t xml:space="preserve"> kapsulė</w:t>
      </w:r>
    </w:p>
    <w:p w14:paraId="462F2872" w14:textId="77777777" w:rsidR="00A9096F" w:rsidRDefault="00A9096F" w:rsidP="00A9096F">
      <w:pPr>
        <w:spacing w:line="240" w:lineRule="auto"/>
        <w:contextualSpacing/>
        <w:rPr>
          <w:rFonts w:eastAsia="SimSun"/>
          <w:color w:val="000000"/>
          <w:szCs w:val="22"/>
          <w:lang w:eastAsia="lt-LT"/>
        </w:rPr>
      </w:pPr>
      <w:r w:rsidRPr="007A17AE">
        <w:rPr>
          <w:rFonts w:eastAsia="SimSun"/>
          <w:color w:val="000000"/>
          <w:szCs w:val="22"/>
          <w:lang w:eastAsia="lt-LT"/>
        </w:rPr>
        <w:t>Nepermatoma 1</w:t>
      </w:r>
      <w:r>
        <w:rPr>
          <w:rFonts w:eastAsia="SimSun"/>
          <w:color w:val="000000"/>
          <w:szCs w:val="22"/>
          <w:lang w:eastAsia="lt-LT"/>
        </w:rPr>
        <w:t> </w:t>
      </w:r>
      <w:r w:rsidRPr="007A17AE">
        <w:rPr>
          <w:rFonts w:eastAsia="SimSun"/>
          <w:color w:val="000000"/>
          <w:szCs w:val="22"/>
          <w:lang w:eastAsia="lt-LT"/>
        </w:rPr>
        <w:t xml:space="preserve">dydžio kietoji želatinos kapsulė, kurios korpusas baltas, o dangtelis rausvas, pripildyta baltų arba beveik baltų granulių. </w:t>
      </w:r>
    </w:p>
    <w:p w14:paraId="1A2F8245" w14:textId="77777777" w:rsidR="00A9096F" w:rsidRPr="007A17AE" w:rsidRDefault="00A9096F" w:rsidP="00A9096F">
      <w:pPr>
        <w:spacing w:line="240" w:lineRule="auto"/>
        <w:contextualSpacing/>
        <w:rPr>
          <w:szCs w:val="22"/>
        </w:rPr>
      </w:pPr>
    </w:p>
    <w:p w14:paraId="1206458D" w14:textId="77777777" w:rsidR="0056066B" w:rsidRPr="007A17AE" w:rsidRDefault="00AA1934" w:rsidP="007A17AE">
      <w:pPr>
        <w:widowControl w:val="0"/>
        <w:spacing w:line="240" w:lineRule="auto"/>
        <w:contextualSpacing/>
        <w:rPr>
          <w:i/>
          <w:szCs w:val="22"/>
        </w:rPr>
      </w:pPr>
      <w:r w:rsidRPr="007A17AE">
        <w:rPr>
          <w:i/>
          <w:szCs w:val="22"/>
        </w:rPr>
        <w:t>Aprepitant Sandoz</w:t>
      </w:r>
      <w:r w:rsidR="0056066B" w:rsidRPr="007A17AE">
        <w:rPr>
          <w:i/>
          <w:szCs w:val="22"/>
        </w:rPr>
        <w:t xml:space="preserve"> 80 mg kietosios kapsulės</w:t>
      </w:r>
    </w:p>
    <w:p w14:paraId="15A6DC56" w14:textId="77777777" w:rsidR="008B01B5" w:rsidRPr="007A17AE" w:rsidRDefault="00C07E79" w:rsidP="007A17AE">
      <w:pPr>
        <w:spacing w:line="240" w:lineRule="auto"/>
        <w:contextualSpacing/>
        <w:rPr>
          <w:szCs w:val="22"/>
        </w:rPr>
      </w:pPr>
      <w:r w:rsidRPr="007A17AE">
        <w:rPr>
          <w:rFonts w:eastAsia="SimSun"/>
          <w:color w:val="000000"/>
          <w:szCs w:val="22"/>
          <w:lang w:eastAsia="lt-LT"/>
        </w:rPr>
        <w:t>N</w:t>
      </w:r>
      <w:r w:rsidR="0056066B" w:rsidRPr="007A17AE">
        <w:rPr>
          <w:rFonts w:eastAsia="SimSun"/>
          <w:color w:val="000000"/>
          <w:szCs w:val="22"/>
          <w:lang w:eastAsia="lt-LT"/>
        </w:rPr>
        <w:t>epermatom</w:t>
      </w:r>
      <w:r w:rsidRPr="007A17AE">
        <w:rPr>
          <w:rFonts w:eastAsia="SimSun"/>
          <w:color w:val="000000"/>
          <w:szCs w:val="22"/>
          <w:lang w:eastAsia="lt-LT"/>
        </w:rPr>
        <w:t>a 2</w:t>
      </w:r>
      <w:r w:rsidR="007A17AE">
        <w:rPr>
          <w:rFonts w:eastAsia="SimSun"/>
          <w:color w:val="000000"/>
          <w:szCs w:val="22"/>
          <w:lang w:eastAsia="lt-LT"/>
        </w:rPr>
        <w:t> </w:t>
      </w:r>
      <w:r w:rsidRPr="007A17AE">
        <w:rPr>
          <w:rFonts w:eastAsia="SimSun"/>
          <w:color w:val="000000"/>
          <w:szCs w:val="22"/>
          <w:lang w:eastAsia="lt-LT"/>
        </w:rPr>
        <w:t>dydžio kietoji želatinos kapsulė</w:t>
      </w:r>
      <w:r w:rsidR="00114116" w:rsidRPr="007A17AE">
        <w:rPr>
          <w:rFonts w:eastAsia="SimSun"/>
          <w:color w:val="000000"/>
          <w:szCs w:val="22"/>
          <w:lang w:eastAsia="lt-LT"/>
        </w:rPr>
        <w:t>,</w:t>
      </w:r>
      <w:r w:rsidRPr="007A17AE">
        <w:rPr>
          <w:rFonts w:eastAsia="SimSun"/>
          <w:color w:val="000000"/>
          <w:szCs w:val="22"/>
          <w:lang w:eastAsia="lt-LT"/>
        </w:rPr>
        <w:t xml:space="preserve"> kurios korpusas ir dangtelis balti, pripildyta baltų arba beveik baltų granulių. </w:t>
      </w:r>
    </w:p>
    <w:p w14:paraId="0F57B1B7" w14:textId="77777777" w:rsidR="00C07E79" w:rsidRPr="007A17AE" w:rsidRDefault="00C07E79" w:rsidP="007A17AE">
      <w:pPr>
        <w:spacing w:line="240" w:lineRule="auto"/>
        <w:contextualSpacing/>
        <w:rPr>
          <w:szCs w:val="22"/>
        </w:rPr>
      </w:pPr>
    </w:p>
    <w:p w14:paraId="3249646A" w14:textId="77777777" w:rsidR="00C07E79" w:rsidRPr="007A17AE" w:rsidRDefault="00C07E79" w:rsidP="007A17AE">
      <w:pPr>
        <w:spacing w:line="240" w:lineRule="auto"/>
        <w:contextualSpacing/>
        <w:rPr>
          <w:szCs w:val="22"/>
        </w:rPr>
      </w:pPr>
    </w:p>
    <w:p w14:paraId="449E136B" w14:textId="77777777" w:rsidR="00375F7C" w:rsidRPr="007A17AE" w:rsidRDefault="00375F7C" w:rsidP="007A17AE">
      <w:pPr>
        <w:suppressAutoHyphens/>
        <w:spacing w:line="240" w:lineRule="auto"/>
        <w:ind w:left="567" w:hanging="567"/>
        <w:contextualSpacing/>
        <w:rPr>
          <w:caps/>
          <w:szCs w:val="22"/>
        </w:rPr>
      </w:pPr>
      <w:r w:rsidRPr="007A17AE">
        <w:rPr>
          <w:b/>
          <w:caps/>
          <w:szCs w:val="22"/>
        </w:rPr>
        <w:t>4.</w:t>
      </w:r>
      <w:r w:rsidRPr="007A17AE">
        <w:rPr>
          <w:b/>
          <w:caps/>
          <w:szCs w:val="22"/>
        </w:rPr>
        <w:tab/>
      </w:r>
      <w:r w:rsidRPr="007A17AE">
        <w:rPr>
          <w:b/>
          <w:szCs w:val="22"/>
        </w:rPr>
        <w:t>KLINIKINĖ INFORMACIJA</w:t>
      </w:r>
    </w:p>
    <w:p w14:paraId="7F5BD2B3" w14:textId="77777777" w:rsidR="00812D16" w:rsidRPr="007A17AE" w:rsidRDefault="00812D16" w:rsidP="007A17AE">
      <w:pPr>
        <w:spacing w:line="240" w:lineRule="auto"/>
        <w:contextualSpacing/>
        <w:rPr>
          <w:szCs w:val="22"/>
        </w:rPr>
      </w:pPr>
    </w:p>
    <w:p w14:paraId="00AF0D46" w14:textId="77777777" w:rsidR="00375F7C" w:rsidRPr="007A17AE" w:rsidRDefault="00375F7C" w:rsidP="007A17AE">
      <w:pPr>
        <w:spacing w:line="240" w:lineRule="auto"/>
        <w:ind w:left="567" w:hanging="567"/>
        <w:contextualSpacing/>
        <w:outlineLvl w:val="0"/>
        <w:rPr>
          <w:szCs w:val="22"/>
        </w:rPr>
      </w:pPr>
      <w:r w:rsidRPr="007A17AE">
        <w:rPr>
          <w:b/>
          <w:szCs w:val="22"/>
        </w:rPr>
        <w:t>4.1</w:t>
      </w:r>
      <w:r w:rsidRPr="007A17AE">
        <w:rPr>
          <w:b/>
          <w:szCs w:val="22"/>
        </w:rPr>
        <w:tab/>
        <w:t>Terapinės indikacijos</w:t>
      </w:r>
    </w:p>
    <w:p w14:paraId="569CEDCD" w14:textId="77777777" w:rsidR="00114116" w:rsidRPr="007A17AE" w:rsidRDefault="00114116" w:rsidP="007A17AE">
      <w:pPr>
        <w:spacing w:line="240" w:lineRule="auto"/>
        <w:contextualSpacing/>
        <w:outlineLvl w:val="0"/>
        <w:rPr>
          <w:szCs w:val="22"/>
        </w:rPr>
      </w:pPr>
    </w:p>
    <w:p w14:paraId="5D5BB43A" w14:textId="77777777" w:rsidR="00114116" w:rsidRPr="007A17AE" w:rsidRDefault="00114116" w:rsidP="007A17AE">
      <w:pPr>
        <w:spacing w:line="240" w:lineRule="auto"/>
        <w:contextualSpacing/>
        <w:outlineLvl w:val="0"/>
        <w:rPr>
          <w:szCs w:val="22"/>
        </w:rPr>
      </w:pPr>
      <w:r w:rsidRPr="007A17AE">
        <w:rPr>
          <w:szCs w:val="22"/>
        </w:rPr>
        <w:t>Pykinimo ir vėmimo, susijusių su labai arba vidutiniškai emetogeniška vėžio chemoterapija,</w:t>
      </w:r>
      <w:r w:rsidR="00C45A26" w:rsidRPr="007A17AE">
        <w:rPr>
          <w:szCs w:val="22"/>
        </w:rPr>
        <w:t xml:space="preserve"> </w:t>
      </w:r>
      <w:r w:rsidRPr="007A17AE">
        <w:rPr>
          <w:szCs w:val="22"/>
        </w:rPr>
        <w:t xml:space="preserve">profilaktika suaugusiesiems ir </w:t>
      </w:r>
      <w:r w:rsidR="00C45A26" w:rsidRPr="007A17AE">
        <w:rPr>
          <w:szCs w:val="22"/>
        </w:rPr>
        <w:t>12</w:t>
      </w:r>
      <w:r w:rsidR="007A17AE">
        <w:rPr>
          <w:szCs w:val="22"/>
        </w:rPr>
        <w:t> </w:t>
      </w:r>
      <w:r w:rsidR="00C45A26" w:rsidRPr="007A17AE">
        <w:rPr>
          <w:szCs w:val="22"/>
        </w:rPr>
        <w:t xml:space="preserve">metų arba vyresniems </w:t>
      </w:r>
      <w:r w:rsidRPr="007A17AE">
        <w:rPr>
          <w:szCs w:val="22"/>
        </w:rPr>
        <w:t>paaugliams.</w:t>
      </w:r>
    </w:p>
    <w:p w14:paraId="221E09D0" w14:textId="77777777" w:rsidR="00C45A26" w:rsidRPr="007A17AE" w:rsidRDefault="00C45A26" w:rsidP="007A17AE">
      <w:pPr>
        <w:spacing w:line="240" w:lineRule="auto"/>
        <w:contextualSpacing/>
        <w:outlineLvl w:val="0"/>
        <w:rPr>
          <w:szCs w:val="22"/>
        </w:rPr>
      </w:pPr>
    </w:p>
    <w:p w14:paraId="756B23E3" w14:textId="77777777" w:rsidR="00114116" w:rsidRPr="007A17AE" w:rsidRDefault="00C45A26" w:rsidP="007A17AE">
      <w:pPr>
        <w:spacing w:line="240" w:lineRule="auto"/>
        <w:contextualSpacing/>
        <w:outlineLvl w:val="0"/>
        <w:rPr>
          <w:szCs w:val="22"/>
        </w:rPr>
      </w:pPr>
      <w:r w:rsidRPr="007A17AE">
        <w:rPr>
          <w:szCs w:val="22"/>
        </w:rPr>
        <w:t xml:space="preserve">Aprepitant Sandoz </w:t>
      </w:r>
      <w:r w:rsidR="00114116" w:rsidRPr="007A17AE">
        <w:rPr>
          <w:szCs w:val="22"/>
        </w:rPr>
        <w:t>125</w:t>
      </w:r>
      <w:r w:rsidRPr="007A17AE">
        <w:rPr>
          <w:szCs w:val="22"/>
        </w:rPr>
        <w:t> </w:t>
      </w:r>
      <w:r w:rsidR="00114116" w:rsidRPr="007A17AE">
        <w:rPr>
          <w:szCs w:val="22"/>
        </w:rPr>
        <w:t>mg/80</w:t>
      </w:r>
      <w:r w:rsidRPr="007A17AE">
        <w:rPr>
          <w:szCs w:val="22"/>
        </w:rPr>
        <w:t> </w:t>
      </w:r>
      <w:r w:rsidR="00114116" w:rsidRPr="007A17AE">
        <w:rPr>
          <w:szCs w:val="22"/>
        </w:rPr>
        <w:t xml:space="preserve">mg </w:t>
      </w:r>
      <w:r w:rsidRPr="007A17AE">
        <w:rPr>
          <w:szCs w:val="22"/>
        </w:rPr>
        <w:t>skiriama kaip</w:t>
      </w:r>
      <w:r w:rsidR="00114116" w:rsidRPr="007A17AE">
        <w:rPr>
          <w:szCs w:val="22"/>
        </w:rPr>
        <w:t xml:space="preserve"> sudėtinio gydymo dalis (žr. 4.2 skyrių).</w:t>
      </w:r>
    </w:p>
    <w:p w14:paraId="2A4CA591" w14:textId="77777777" w:rsidR="00114116" w:rsidRPr="007A17AE" w:rsidRDefault="00114116" w:rsidP="007A17AE">
      <w:pPr>
        <w:spacing w:line="240" w:lineRule="auto"/>
        <w:contextualSpacing/>
        <w:outlineLvl w:val="0"/>
        <w:rPr>
          <w:szCs w:val="22"/>
        </w:rPr>
      </w:pPr>
    </w:p>
    <w:p w14:paraId="597866F1" w14:textId="77777777" w:rsidR="00E67B18" w:rsidRPr="007A17AE" w:rsidRDefault="00E67B18" w:rsidP="007A17AE">
      <w:pPr>
        <w:spacing w:line="240" w:lineRule="auto"/>
        <w:contextualSpacing/>
        <w:outlineLvl w:val="0"/>
        <w:rPr>
          <w:b/>
          <w:szCs w:val="22"/>
        </w:rPr>
      </w:pPr>
      <w:r w:rsidRPr="007A17AE">
        <w:rPr>
          <w:b/>
          <w:szCs w:val="22"/>
        </w:rPr>
        <w:t>4.2</w:t>
      </w:r>
      <w:r w:rsidRPr="007A17AE">
        <w:rPr>
          <w:b/>
          <w:szCs w:val="22"/>
        </w:rPr>
        <w:tab/>
        <w:t>Dozavimas ir vartojimo metodas</w:t>
      </w:r>
    </w:p>
    <w:p w14:paraId="7B121F63" w14:textId="77777777" w:rsidR="00812D16" w:rsidRPr="007A17AE" w:rsidRDefault="00812D16" w:rsidP="007A17AE">
      <w:pPr>
        <w:spacing w:line="240" w:lineRule="auto"/>
        <w:contextualSpacing/>
        <w:rPr>
          <w:szCs w:val="22"/>
        </w:rPr>
      </w:pPr>
    </w:p>
    <w:p w14:paraId="014B1221" w14:textId="77777777" w:rsidR="00732A95" w:rsidRPr="007A17AE" w:rsidRDefault="00732A95" w:rsidP="007A17AE">
      <w:pPr>
        <w:pStyle w:val="Default"/>
        <w:contextualSpacing/>
      </w:pPr>
      <w:r w:rsidRPr="007A17AE">
        <w:rPr>
          <w:sz w:val="22"/>
          <w:szCs w:val="22"/>
          <w:u w:val="single"/>
        </w:rPr>
        <w:t xml:space="preserve">Dozavimas </w:t>
      </w:r>
    </w:p>
    <w:p w14:paraId="38032486" w14:textId="77777777" w:rsidR="00C45A26" w:rsidRPr="007A17AE" w:rsidRDefault="00C45A26" w:rsidP="007A17AE">
      <w:pPr>
        <w:pStyle w:val="Default"/>
        <w:contextualSpacing/>
        <w:rPr>
          <w:i/>
          <w:sz w:val="22"/>
          <w:szCs w:val="22"/>
        </w:rPr>
      </w:pPr>
      <w:r w:rsidRPr="007A17AE">
        <w:rPr>
          <w:i/>
          <w:sz w:val="22"/>
          <w:szCs w:val="22"/>
        </w:rPr>
        <w:t>Suaugusiesiems</w:t>
      </w:r>
    </w:p>
    <w:p w14:paraId="6B9D0CC8" w14:textId="77777777" w:rsidR="00C45A26" w:rsidRPr="007A17AE" w:rsidRDefault="00C45A26" w:rsidP="007A17AE">
      <w:pPr>
        <w:pStyle w:val="Default"/>
        <w:contextualSpacing/>
        <w:rPr>
          <w:sz w:val="22"/>
          <w:szCs w:val="22"/>
        </w:rPr>
      </w:pPr>
      <w:r w:rsidRPr="007A17AE">
        <w:rPr>
          <w:sz w:val="22"/>
          <w:szCs w:val="22"/>
        </w:rPr>
        <w:t>Aprepitant Sandoz skiriam</w:t>
      </w:r>
      <w:r w:rsidR="005223CE" w:rsidRPr="007A17AE">
        <w:rPr>
          <w:sz w:val="22"/>
          <w:szCs w:val="22"/>
        </w:rPr>
        <w:t>a</w:t>
      </w:r>
      <w:r w:rsidRPr="007A17AE">
        <w:rPr>
          <w:sz w:val="22"/>
          <w:szCs w:val="22"/>
        </w:rPr>
        <w:t xml:space="preserve"> 3</w:t>
      </w:r>
      <w:r w:rsidR="007A17AE">
        <w:rPr>
          <w:sz w:val="22"/>
          <w:szCs w:val="22"/>
        </w:rPr>
        <w:t> </w:t>
      </w:r>
      <w:r w:rsidRPr="007A17AE">
        <w:rPr>
          <w:sz w:val="22"/>
          <w:szCs w:val="22"/>
        </w:rPr>
        <w:t xml:space="preserve">paras, kaip dalis </w:t>
      </w:r>
      <w:r w:rsidR="00312228" w:rsidRPr="007A17AE">
        <w:rPr>
          <w:sz w:val="22"/>
          <w:szCs w:val="22"/>
        </w:rPr>
        <w:t>schemos, kurios sudėtyje yra</w:t>
      </w:r>
      <w:r w:rsidRPr="007A17AE">
        <w:rPr>
          <w:sz w:val="22"/>
          <w:szCs w:val="22"/>
        </w:rPr>
        <w:t xml:space="preserve"> kortikosteroid</w:t>
      </w:r>
      <w:r w:rsidR="00312228" w:rsidRPr="007A17AE">
        <w:rPr>
          <w:sz w:val="22"/>
          <w:szCs w:val="22"/>
        </w:rPr>
        <w:t>o</w:t>
      </w:r>
      <w:r w:rsidRPr="007A17AE">
        <w:rPr>
          <w:sz w:val="22"/>
          <w:szCs w:val="22"/>
        </w:rPr>
        <w:t xml:space="preserve"> ir 5-HT</w:t>
      </w:r>
      <w:r w:rsidRPr="00F122CC">
        <w:rPr>
          <w:sz w:val="22"/>
          <w:szCs w:val="22"/>
          <w:vertAlign w:val="subscript"/>
        </w:rPr>
        <w:t>3</w:t>
      </w:r>
      <w:r w:rsidRPr="007A17AE">
        <w:rPr>
          <w:sz w:val="22"/>
          <w:szCs w:val="22"/>
        </w:rPr>
        <w:t xml:space="preserve"> antagonist</w:t>
      </w:r>
      <w:r w:rsidR="00312228" w:rsidRPr="007A17AE">
        <w:rPr>
          <w:sz w:val="22"/>
          <w:szCs w:val="22"/>
        </w:rPr>
        <w:t>o</w:t>
      </w:r>
      <w:r w:rsidRPr="007A17AE">
        <w:rPr>
          <w:sz w:val="22"/>
          <w:szCs w:val="22"/>
        </w:rPr>
        <w:t>. Rekomenduojama</w:t>
      </w:r>
      <w:r w:rsidR="00312228" w:rsidRPr="007A17AE">
        <w:rPr>
          <w:sz w:val="22"/>
          <w:szCs w:val="22"/>
        </w:rPr>
        <w:t xml:space="preserve"> </w:t>
      </w:r>
      <w:r w:rsidRPr="007A17AE">
        <w:rPr>
          <w:sz w:val="22"/>
          <w:szCs w:val="22"/>
        </w:rPr>
        <w:t>Aprepitant Sandoz dozė yra 125</w:t>
      </w:r>
      <w:r w:rsidR="007A17AE">
        <w:rPr>
          <w:sz w:val="22"/>
          <w:szCs w:val="22"/>
        </w:rPr>
        <w:t> </w:t>
      </w:r>
      <w:r w:rsidRPr="007A17AE">
        <w:rPr>
          <w:sz w:val="22"/>
          <w:szCs w:val="22"/>
        </w:rPr>
        <w:t>mg vieną kartą per parą likus vienai valandai iki chemoterapijos pradžios 1-ąją</w:t>
      </w:r>
      <w:r w:rsidR="00312228" w:rsidRPr="007A17AE">
        <w:rPr>
          <w:sz w:val="22"/>
          <w:szCs w:val="22"/>
        </w:rPr>
        <w:t xml:space="preserve"> </w:t>
      </w:r>
      <w:r w:rsidRPr="007A17AE">
        <w:rPr>
          <w:sz w:val="22"/>
          <w:szCs w:val="22"/>
        </w:rPr>
        <w:t>dieną ir po 80</w:t>
      </w:r>
      <w:r w:rsidR="007A17AE">
        <w:rPr>
          <w:sz w:val="22"/>
          <w:szCs w:val="22"/>
        </w:rPr>
        <w:t> </w:t>
      </w:r>
      <w:r w:rsidRPr="007A17AE">
        <w:rPr>
          <w:sz w:val="22"/>
          <w:szCs w:val="22"/>
        </w:rPr>
        <w:t xml:space="preserve">mg 2-ąją ir 3-iąją dienomis </w:t>
      </w:r>
      <w:r w:rsidR="00312228" w:rsidRPr="007A17AE">
        <w:rPr>
          <w:sz w:val="22"/>
          <w:szCs w:val="22"/>
        </w:rPr>
        <w:t>iš ryto</w:t>
      </w:r>
      <w:r w:rsidRPr="007A17AE">
        <w:rPr>
          <w:sz w:val="22"/>
          <w:szCs w:val="22"/>
        </w:rPr>
        <w:t>.</w:t>
      </w:r>
    </w:p>
    <w:p w14:paraId="030053BD" w14:textId="77777777" w:rsidR="00732A95" w:rsidRPr="007A17AE" w:rsidRDefault="00C45A26" w:rsidP="007A17AE">
      <w:pPr>
        <w:pStyle w:val="Default"/>
        <w:contextualSpacing/>
        <w:rPr>
          <w:sz w:val="22"/>
          <w:szCs w:val="22"/>
        </w:rPr>
      </w:pPr>
      <w:r w:rsidRPr="007A17AE">
        <w:rPr>
          <w:sz w:val="22"/>
          <w:szCs w:val="22"/>
        </w:rPr>
        <w:t>Su emetogeniška vėžio chemoterapija susijusio pykinimo ir vėmimo profilaktikai suaugusiesiems yra</w:t>
      </w:r>
      <w:r w:rsidR="00312228" w:rsidRPr="007A17AE">
        <w:rPr>
          <w:sz w:val="22"/>
          <w:szCs w:val="22"/>
        </w:rPr>
        <w:t xml:space="preserve"> </w:t>
      </w:r>
      <w:r w:rsidRPr="007A17AE">
        <w:rPr>
          <w:sz w:val="22"/>
          <w:szCs w:val="22"/>
        </w:rPr>
        <w:t>rekomenduojamos tokios schemos</w:t>
      </w:r>
      <w:r w:rsidR="00732A95" w:rsidRPr="007A17AE">
        <w:rPr>
          <w:sz w:val="22"/>
          <w:szCs w:val="22"/>
        </w:rPr>
        <w:t xml:space="preserve">. </w:t>
      </w:r>
    </w:p>
    <w:p w14:paraId="3E992F89" w14:textId="77777777" w:rsidR="00732A95" w:rsidRPr="007A17AE" w:rsidRDefault="00732A95" w:rsidP="007A17AE">
      <w:pPr>
        <w:pStyle w:val="Default"/>
        <w:contextualSpacing/>
        <w:rPr>
          <w:sz w:val="22"/>
          <w:szCs w:val="22"/>
        </w:rPr>
      </w:pPr>
    </w:p>
    <w:p w14:paraId="15C16541" w14:textId="77777777" w:rsidR="00312228" w:rsidRPr="00BF57E0" w:rsidRDefault="00312228" w:rsidP="007A17AE">
      <w:pPr>
        <w:pStyle w:val="Default"/>
        <w:contextualSpacing/>
        <w:rPr>
          <w:sz w:val="22"/>
          <w:szCs w:val="22"/>
        </w:rPr>
      </w:pPr>
      <w:r w:rsidRPr="00710C2F">
        <w:rPr>
          <w:i/>
          <w:sz w:val="22"/>
        </w:rPr>
        <w:t>Labai emetogeniškos chemoterapijos schema</w:t>
      </w:r>
    </w:p>
    <w:tbl>
      <w:tblPr>
        <w:tblW w:w="9390" w:type="dxa"/>
        <w:tblInd w:w="99" w:type="dxa"/>
        <w:tblLayout w:type="fixed"/>
        <w:tblCellMar>
          <w:left w:w="0" w:type="dxa"/>
          <w:right w:w="0" w:type="dxa"/>
        </w:tblCellMar>
        <w:tblLook w:val="01E0" w:firstRow="1" w:lastRow="1" w:firstColumn="1" w:lastColumn="1" w:noHBand="0" w:noVBand="0"/>
      </w:tblPr>
      <w:tblGrid>
        <w:gridCol w:w="2317"/>
        <w:gridCol w:w="1990"/>
        <w:gridCol w:w="1718"/>
        <w:gridCol w:w="1652"/>
        <w:gridCol w:w="1713"/>
      </w:tblGrid>
      <w:tr w:rsidR="00312228" w:rsidRPr="007A17AE" w14:paraId="7F163BBE" w14:textId="77777777" w:rsidTr="00312228">
        <w:trPr>
          <w:trHeight w:val="301"/>
        </w:trPr>
        <w:tc>
          <w:tcPr>
            <w:tcW w:w="2317" w:type="dxa"/>
            <w:tcBorders>
              <w:top w:val="single" w:sz="4" w:space="0" w:color="000000"/>
              <w:left w:val="single" w:sz="4" w:space="0" w:color="000000"/>
              <w:bottom w:val="single" w:sz="4" w:space="0" w:color="000000"/>
              <w:right w:val="single" w:sz="4" w:space="0" w:color="000000"/>
            </w:tcBorders>
          </w:tcPr>
          <w:p w14:paraId="375627DC" w14:textId="77777777" w:rsidR="00312228" w:rsidRPr="007A17AE" w:rsidRDefault="00312228" w:rsidP="007A17AE">
            <w:pPr>
              <w:tabs>
                <w:tab w:val="clear" w:pos="567"/>
              </w:tabs>
              <w:spacing w:line="240" w:lineRule="auto"/>
              <w:contextualSpacing/>
              <w:rPr>
                <w:szCs w:val="22"/>
                <w:lang w:eastAsia="en-GB"/>
              </w:rPr>
            </w:pPr>
          </w:p>
        </w:tc>
        <w:tc>
          <w:tcPr>
            <w:tcW w:w="1990" w:type="dxa"/>
            <w:tcBorders>
              <w:top w:val="single" w:sz="4" w:space="0" w:color="000000"/>
              <w:left w:val="single" w:sz="4" w:space="0" w:color="000000"/>
              <w:bottom w:val="single" w:sz="4" w:space="0" w:color="000000"/>
              <w:right w:val="single" w:sz="4" w:space="0" w:color="000000"/>
            </w:tcBorders>
          </w:tcPr>
          <w:p w14:paraId="7F43F411" w14:textId="77777777" w:rsidR="00312228" w:rsidRPr="007A17AE" w:rsidRDefault="00312228" w:rsidP="007A17AE">
            <w:pPr>
              <w:tabs>
                <w:tab w:val="clear" w:pos="567"/>
              </w:tabs>
              <w:spacing w:line="240" w:lineRule="auto"/>
              <w:contextualSpacing/>
              <w:jc w:val="center"/>
              <w:rPr>
                <w:szCs w:val="22"/>
                <w:lang w:eastAsia="en-GB"/>
              </w:rPr>
            </w:pPr>
            <w:r w:rsidRPr="007A17AE">
              <w:rPr>
                <w:szCs w:val="22"/>
                <w:lang w:eastAsia="en-GB"/>
              </w:rPr>
              <w:t>1-oji diena</w:t>
            </w:r>
          </w:p>
        </w:tc>
        <w:tc>
          <w:tcPr>
            <w:tcW w:w="1718" w:type="dxa"/>
            <w:tcBorders>
              <w:top w:val="single" w:sz="4" w:space="0" w:color="000000"/>
              <w:left w:val="single" w:sz="4" w:space="0" w:color="000000"/>
              <w:bottom w:val="single" w:sz="4" w:space="0" w:color="000000"/>
              <w:right w:val="single" w:sz="4" w:space="0" w:color="000000"/>
            </w:tcBorders>
          </w:tcPr>
          <w:p w14:paraId="6CF72583" w14:textId="77777777" w:rsidR="00312228" w:rsidRPr="007A17AE" w:rsidRDefault="00312228" w:rsidP="007A17AE">
            <w:pPr>
              <w:tabs>
                <w:tab w:val="clear" w:pos="567"/>
              </w:tabs>
              <w:spacing w:line="240" w:lineRule="auto"/>
              <w:contextualSpacing/>
              <w:jc w:val="center"/>
              <w:rPr>
                <w:szCs w:val="22"/>
                <w:lang w:eastAsia="en-GB"/>
              </w:rPr>
            </w:pPr>
            <w:r w:rsidRPr="007A17AE">
              <w:rPr>
                <w:szCs w:val="22"/>
                <w:lang w:eastAsia="en-GB"/>
              </w:rPr>
              <w:t>2-oji diena</w:t>
            </w:r>
          </w:p>
        </w:tc>
        <w:tc>
          <w:tcPr>
            <w:tcW w:w="1652" w:type="dxa"/>
            <w:tcBorders>
              <w:top w:val="single" w:sz="4" w:space="0" w:color="000000"/>
              <w:left w:val="single" w:sz="4" w:space="0" w:color="000000"/>
              <w:bottom w:val="single" w:sz="4" w:space="0" w:color="000000"/>
              <w:right w:val="single" w:sz="4" w:space="0" w:color="000000"/>
            </w:tcBorders>
          </w:tcPr>
          <w:p w14:paraId="6066FDD0" w14:textId="77777777" w:rsidR="00312228" w:rsidRPr="007A17AE" w:rsidRDefault="00312228" w:rsidP="007A17AE">
            <w:pPr>
              <w:tabs>
                <w:tab w:val="clear" w:pos="567"/>
              </w:tabs>
              <w:spacing w:line="240" w:lineRule="auto"/>
              <w:contextualSpacing/>
              <w:jc w:val="center"/>
              <w:rPr>
                <w:szCs w:val="22"/>
                <w:lang w:eastAsia="en-GB"/>
              </w:rPr>
            </w:pPr>
            <w:r w:rsidRPr="007A17AE">
              <w:rPr>
                <w:szCs w:val="22"/>
                <w:lang w:eastAsia="en-GB"/>
              </w:rPr>
              <w:t>3-oji diena</w:t>
            </w:r>
          </w:p>
        </w:tc>
        <w:tc>
          <w:tcPr>
            <w:tcW w:w="1713" w:type="dxa"/>
            <w:tcBorders>
              <w:top w:val="single" w:sz="4" w:space="0" w:color="000000"/>
              <w:left w:val="single" w:sz="4" w:space="0" w:color="000000"/>
              <w:bottom w:val="single" w:sz="4" w:space="0" w:color="000000"/>
              <w:right w:val="single" w:sz="4" w:space="0" w:color="000000"/>
            </w:tcBorders>
          </w:tcPr>
          <w:p w14:paraId="6A23EBB4" w14:textId="77777777" w:rsidR="00312228" w:rsidRPr="007A17AE" w:rsidRDefault="00312228" w:rsidP="007A17AE">
            <w:pPr>
              <w:tabs>
                <w:tab w:val="clear" w:pos="567"/>
              </w:tabs>
              <w:spacing w:line="240" w:lineRule="auto"/>
              <w:contextualSpacing/>
              <w:jc w:val="center"/>
              <w:rPr>
                <w:szCs w:val="22"/>
                <w:lang w:eastAsia="en-GB"/>
              </w:rPr>
            </w:pPr>
            <w:r w:rsidRPr="007A17AE">
              <w:rPr>
                <w:szCs w:val="22"/>
                <w:lang w:eastAsia="en-GB"/>
              </w:rPr>
              <w:t>4-oji diena</w:t>
            </w:r>
          </w:p>
        </w:tc>
      </w:tr>
      <w:tr w:rsidR="00312228" w:rsidRPr="007A17AE" w14:paraId="5063EAF0" w14:textId="77777777" w:rsidTr="00312228">
        <w:trPr>
          <w:trHeight w:val="442"/>
        </w:trPr>
        <w:tc>
          <w:tcPr>
            <w:tcW w:w="2317" w:type="dxa"/>
            <w:tcBorders>
              <w:top w:val="single" w:sz="4" w:space="0" w:color="000000"/>
              <w:left w:val="single" w:sz="4" w:space="0" w:color="000000"/>
              <w:bottom w:val="single" w:sz="4" w:space="0" w:color="000000"/>
              <w:right w:val="single" w:sz="4" w:space="0" w:color="000000"/>
            </w:tcBorders>
          </w:tcPr>
          <w:p w14:paraId="12FEE2AF" w14:textId="77777777" w:rsidR="00312228" w:rsidRPr="007A17AE" w:rsidRDefault="00312228" w:rsidP="007A17AE">
            <w:pPr>
              <w:tabs>
                <w:tab w:val="clear" w:pos="567"/>
              </w:tabs>
              <w:spacing w:line="240" w:lineRule="auto"/>
              <w:contextualSpacing/>
              <w:jc w:val="center"/>
              <w:rPr>
                <w:szCs w:val="22"/>
                <w:lang w:eastAsia="en-GB"/>
              </w:rPr>
            </w:pPr>
            <w:r w:rsidRPr="007A17AE">
              <w:rPr>
                <w:szCs w:val="22"/>
                <w:lang w:eastAsia="en-GB"/>
              </w:rPr>
              <w:t>Aprepitantas</w:t>
            </w:r>
          </w:p>
        </w:tc>
        <w:tc>
          <w:tcPr>
            <w:tcW w:w="1990" w:type="dxa"/>
            <w:tcBorders>
              <w:top w:val="single" w:sz="4" w:space="0" w:color="000000"/>
              <w:left w:val="single" w:sz="4" w:space="0" w:color="000000"/>
              <w:bottom w:val="single" w:sz="4" w:space="0" w:color="000000"/>
              <w:right w:val="single" w:sz="4" w:space="0" w:color="000000"/>
            </w:tcBorders>
          </w:tcPr>
          <w:p w14:paraId="574B1463" w14:textId="77777777" w:rsidR="00312228" w:rsidRPr="007A17AE" w:rsidRDefault="00312228" w:rsidP="007A17AE">
            <w:pPr>
              <w:tabs>
                <w:tab w:val="clear" w:pos="567"/>
              </w:tabs>
              <w:spacing w:line="240" w:lineRule="auto"/>
              <w:contextualSpacing/>
              <w:jc w:val="center"/>
              <w:rPr>
                <w:szCs w:val="22"/>
                <w:lang w:eastAsia="en-GB"/>
              </w:rPr>
            </w:pPr>
            <w:r w:rsidRPr="007A17AE">
              <w:rPr>
                <w:szCs w:val="22"/>
                <w:lang w:eastAsia="en-GB"/>
              </w:rPr>
              <w:t>125</w:t>
            </w:r>
            <w:r w:rsidR="007A17AE">
              <w:rPr>
                <w:szCs w:val="22"/>
                <w:lang w:eastAsia="en-GB"/>
              </w:rPr>
              <w:t> </w:t>
            </w:r>
            <w:r w:rsidRPr="007A17AE">
              <w:rPr>
                <w:szCs w:val="22"/>
                <w:lang w:eastAsia="en-GB"/>
              </w:rPr>
              <w:t>mg per burną</w:t>
            </w:r>
          </w:p>
        </w:tc>
        <w:tc>
          <w:tcPr>
            <w:tcW w:w="1718" w:type="dxa"/>
            <w:tcBorders>
              <w:top w:val="single" w:sz="4" w:space="0" w:color="000000"/>
              <w:left w:val="single" w:sz="4" w:space="0" w:color="000000"/>
              <w:bottom w:val="single" w:sz="4" w:space="0" w:color="000000"/>
              <w:right w:val="single" w:sz="4" w:space="0" w:color="000000"/>
            </w:tcBorders>
          </w:tcPr>
          <w:p w14:paraId="7659F85F" w14:textId="77777777" w:rsidR="00312228" w:rsidRPr="007A17AE" w:rsidRDefault="00312228" w:rsidP="007A17AE">
            <w:pPr>
              <w:tabs>
                <w:tab w:val="clear" w:pos="567"/>
              </w:tabs>
              <w:spacing w:line="240" w:lineRule="auto"/>
              <w:contextualSpacing/>
              <w:jc w:val="center"/>
              <w:rPr>
                <w:szCs w:val="22"/>
                <w:lang w:eastAsia="en-GB"/>
              </w:rPr>
            </w:pPr>
            <w:r w:rsidRPr="007A17AE">
              <w:rPr>
                <w:szCs w:val="22"/>
                <w:lang w:eastAsia="en-GB"/>
              </w:rPr>
              <w:t>80</w:t>
            </w:r>
            <w:r w:rsidR="007A17AE">
              <w:rPr>
                <w:szCs w:val="22"/>
                <w:lang w:eastAsia="en-GB"/>
              </w:rPr>
              <w:t> </w:t>
            </w:r>
            <w:r w:rsidRPr="007A17AE">
              <w:rPr>
                <w:szCs w:val="22"/>
                <w:lang w:eastAsia="en-GB"/>
              </w:rPr>
              <w:t xml:space="preserve">mg </w:t>
            </w:r>
            <w:r w:rsidR="00A26B4A" w:rsidRPr="007A17AE">
              <w:rPr>
                <w:szCs w:val="22"/>
                <w:lang w:eastAsia="en-GB"/>
              </w:rPr>
              <w:t>per burną</w:t>
            </w:r>
          </w:p>
        </w:tc>
        <w:tc>
          <w:tcPr>
            <w:tcW w:w="1652" w:type="dxa"/>
            <w:tcBorders>
              <w:top w:val="single" w:sz="4" w:space="0" w:color="000000"/>
              <w:left w:val="single" w:sz="4" w:space="0" w:color="000000"/>
              <w:bottom w:val="single" w:sz="4" w:space="0" w:color="000000"/>
              <w:right w:val="single" w:sz="4" w:space="0" w:color="000000"/>
            </w:tcBorders>
          </w:tcPr>
          <w:p w14:paraId="749A4F9E" w14:textId="77777777" w:rsidR="00312228" w:rsidRPr="007A17AE" w:rsidRDefault="00312228" w:rsidP="007A17AE">
            <w:pPr>
              <w:tabs>
                <w:tab w:val="clear" w:pos="567"/>
              </w:tabs>
              <w:spacing w:line="240" w:lineRule="auto"/>
              <w:contextualSpacing/>
              <w:jc w:val="center"/>
              <w:rPr>
                <w:szCs w:val="22"/>
                <w:lang w:eastAsia="en-GB"/>
              </w:rPr>
            </w:pPr>
            <w:r w:rsidRPr="007A17AE">
              <w:rPr>
                <w:szCs w:val="22"/>
                <w:lang w:eastAsia="en-GB"/>
              </w:rPr>
              <w:t>80</w:t>
            </w:r>
            <w:r w:rsidR="007A17AE">
              <w:rPr>
                <w:szCs w:val="22"/>
                <w:lang w:eastAsia="en-GB"/>
              </w:rPr>
              <w:t> </w:t>
            </w:r>
            <w:r w:rsidRPr="007A17AE">
              <w:rPr>
                <w:szCs w:val="22"/>
                <w:lang w:eastAsia="en-GB"/>
              </w:rPr>
              <w:t xml:space="preserve">mg </w:t>
            </w:r>
            <w:r w:rsidR="00A26B4A" w:rsidRPr="007A17AE">
              <w:rPr>
                <w:szCs w:val="22"/>
                <w:lang w:eastAsia="en-GB"/>
              </w:rPr>
              <w:t>per burną</w:t>
            </w:r>
          </w:p>
        </w:tc>
        <w:tc>
          <w:tcPr>
            <w:tcW w:w="1713" w:type="dxa"/>
            <w:tcBorders>
              <w:top w:val="single" w:sz="4" w:space="0" w:color="000000"/>
              <w:left w:val="single" w:sz="4" w:space="0" w:color="000000"/>
              <w:bottom w:val="single" w:sz="4" w:space="0" w:color="000000"/>
              <w:right w:val="single" w:sz="4" w:space="0" w:color="000000"/>
            </w:tcBorders>
          </w:tcPr>
          <w:p w14:paraId="5EED4B05" w14:textId="77777777" w:rsidR="00312228" w:rsidRPr="007A17AE" w:rsidRDefault="00A26B4A" w:rsidP="007A17AE">
            <w:pPr>
              <w:tabs>
                <w:tab w:val="clear" w:pos="567"/>
              </w:tabs>
              <w:spacing w:line="240" w:lineRule="auto"/>
              <w:contextualSpacing/>
              <w:jc w:val="center"/>
              <w:rPr>
                <w:szCs w:val="22"/>
                <w:lang w:eastAsia="en-GB"/>
              </w:rPr>
            </w:pPr>
            <w:r w:rsidRPr="007A17AE">
              <w:rPr>
                <w:szCs w:val="22"/>
                <w:lang w:eastAsia="en-GB"/>
              </w:rPr>
              <w:t>Neskirti</w:t>
            </w:r>
          </w:p>
        </w:tc>
      </w:tr>
      <w:tr w:rsidR="00312228" w:rsidRPr="007A17AE" w14:paraId="64AAE1CD" w14:textId="77777777" w:rsidTr="00A26B4A">
        <w:trPr>
          <w:trHeight w:val="476"/>
        </w:trPr>
        <w:tc>
          <w:tcPr>
            <w:tcW w:w="2317" w:type="dxa"/>
            <w:tcBorders>
              <w:top w:val="single" w:sz="4" w:space="0" w:color="000000"/>
              <w:left w:val="single" w:sz="4" w:space="0" w:color="000000"/>
              <w:bottom w:val="single" w:sz="4" w:space="0" w:color="000000"/>
              <w:right w:val="single" w:sz="4" w:space="0" w:color="000000"/>
            </w:tcBorders>
          </w:tcPr>
          <w:p w14:paraId="2438D726" w14:textId="77777777" w:rsidR="00312228" w:rsidRPr="007A17AE" w:rsidRDefault="00312228" w:rsidP="007A17AE">
            <w:pPr>
              <w:tabs>
                <w:tab w:val="clear" w:pos="567"/>
              </w:tabs>
              <w:spacing w:line="240" w:lineRule="auto"/>
              <w:contextualSpacing/>
              <w:jc w:val="center"/>
              <w:rPr>
                <w:szCs w:val="22"/>
                <w:lang w:eastAsia="en-GB"/>
              </w:rPr>
            </w:pPr>
            <w:r w:rsidRPr="007A17AE">
              <w:rPr>
                <w:szCs w:val="22"/>
                <w:lang w:eastAsia="en-GB"/>
              </w:rPr>
              <w:lastRenderedPageBreak/>
              <w:t>De</w:t>
            </w:r>
            <w:r w:rsidR="00A26B4A" w:rsidRPr="007A17AE">
              <w:rPr>
                <w:szCs w:val="22"/>
                <w:lang w:eastAsia="en-GB"/>
              </w:rPr>
              <w:t>ksa</w:t>
            </w:r>
            <w:r w:rsidRPr="007A17AE">
              <w:rPr>
                <w:szCs w:val="22"/>
                <w:lang w:eastAsia="en-GB"/>
              </w:rPr>
              <w:t>met</w:t>
            </w:r>
            <w:r w:rsidR="007A17AE">
              <w:rPr>
                <w:szCs w:val="22"/>
                <w:lang w:eastAsia="en-GB"/>
              </w:rPr>
              <w:t>a</w:t>
            </w:r>
            <w:r w:rsidR="00A26B4A" w:rsidRPr="007A17AE">
              <w:rPr>
                <w:szCs w:val="22"/>
                <w:lang w:eastAsia="en-GB"/>
              </w:rPr>
              <w:t>z</w:t>
            </w:r>
            <w:r w:rsidRPr="007A17AE">
              <w:rPr>
                <w:szCs w:val="22"/>
                <w:lang w:eastAsia="en-GB"/>
              </w:rPr>
              <w:t>on</w:t>
            </w:r>
            <w:r w:rsidR="00A26B4A" w:rsidRPr="007A17AE">
              <w:rPr>
                <w:szCs w:val="22"/>
                <w:lang w:eastAsia="en-GB"/>
              </w:rPr>
              <w:t>as</w:t>
            </w:r>
          </w:p>
        </w:tc>
        <w:tc>
          <w:tcPr>
            <w:tcW w:w="1990" w:type="dxa"/>
            <w:tcBorders>
              <w:top w:val="single" w:sz="4" w:space="0" w:color="000000"/>
              <w:left w:val="single" w:sz="4" w:space="0" w:color="000000"/>
              <w:bottom w:val="single" w:sz="4" w:space="0" w:color="000000"/>
              <w:right w:val="single" w:sz="4" w:space="0" w:color="000000"/>
            </w:tcBorders>
          </w:tcPr>
          <w:p w14:paraId="33A29E1A" w14:textId="77777777" w:rsidR="00312228" w:rsidRPr="007A17AE" w:rsidRDefault="00312228" w:rsidP="007A17AE">
            <w:pPr>
              <w:tabs>
                <w:tab w:val="clear" w:pos="567"/>
              </w:tabs>
              <w:spacing w:line="240" w:lineRule="auto"/>
              <w:contextualSpacing/>
              <w:jc w:val="center"/>
              <w:rPr>
                <w:szCs w:val="22"/>
                <w:lang w:eastAsia="en-GB"/>
              </w:rPr>
            </w:pPr>
            <w:r w:rsidRPr="007A17AE">
              <w:rPr>
                <w:szCs w:val="22"/>
                <w:lang w:eastAsia="en-GB"/>
              </w:rPr>
              <w:t>12</w:t>
            </w:r>
            <w:r w:rsidR="007A17AE">
              <w:rPr>
                <w:szCs w:val="22"/>
                <w:lang w:eastAsia="en-GB"/>
              </w:rPr>
              <w:t> </w:t>
            </w:r>
            <w:r w:rsidRPr="007A17AE">
              <w:rPr>
                <w:szCs w:val="22"/>
                <w:lang w:eastAsia="en-GB"/>
              </w:rPr>
              <w:t xml:space="preserve">mg </w:t>
            </w:r>
            <w:r w:rsidR="00A26B4A" w:rsidRPr="007A17AE">
              <w:rPr>
                <w:szCs w:val="22"/>
                <w:lang w:eastAsia="en-GB"/>
              </w:rPr>
              <w:t>per burną</w:t>
            </w:r>
          </w:p>
        </w:tc>
        <w:tc>
          <w:tcPr>
            <w:tcW w:w="1718" w:type="dxa"/>
            <w:tcBorders>
              <w:top w:val="single" w:sz="4" w:space="0" w:color="000000"/>
              <w:left w:val="single" w:sz="4" w:space="0" w:color="000000"/>
              <w:bottom w:val="single" w:sz="4" w:space="0" w:color="000000"/>
              <w:right w:val="single" w:sz="4" w:space="0" w:color="000000"/>
            </w:tcBorders>
          </w:tcPr>
          <w:p w14:paraId="0098285C" w14:textId="77777777" w:rsidR="00312228" w:rsidRPr="007A17AE" w:rsidRDefault="00312228" w:rsidP="007A17AE">
            <w:pPr>
              <w:tabs>
                <w:tab w:val="clear" w:pos="567"/>
              </w:tabs>
              <w:spacing w:line="240" w:lineRule="auto"/>
              <w:contextualSpacing/>
              <w:jc w:val="center"/>
              <w:rPr>
                <w:szCs w:val="22"/>
                <w:lang w:eastAsia="en-GB"/>
              </w:rPr>
            </w:pPr>
            <w:r w:rsidRPr="007A17AE">
              <w:rPr>
                <w:szCs w:val="22"/>
                <w:lang w:eastAsia="en-GB"/>
              </w:rPr>
              <w:t>8</w:t>
            </w:r>
            <w:r w:rsidR="007A17AE">
              <w:rPr>
                <w:szCs w:val="22"/>
                <w:lang w:eastAsia="en-GB"/>
              </w:rPr>
              <w:t> </w:t>
            </w:r>
            <w:r w:rsidRPr="007A17AE">
              <w:rPr>
                <w:spacing w:val="-1"/>
                <w:szCs w:val="22"/>
                <w:lang w:eastAsia="en-GB"/>
              </w:rPr>
              <w:t>m</w:t>
            </w:r>
            <w:r w:rsidRPr="007A17AE">
              <w:rPr>
                <w:szCs w:val="22"/>
                <w:lang w:eastAsia="en-GB"/>
              </w:rPr>
              <w:t>g</w:t>
            </w:r>
            <w:r w:rsidRPr="007A17AE">
              <w:rPr>
                <w:spacing w:val="-1"/>
                <w:szCs w:val="22"/>
                <w:lang w:eastAsia="en-GB"/>
              </w:rPr>
              <w:t xml:space="preserve"> </w:t>
            </w:r>
            <w:r w:rsidR="00A26B4A" w:rsidRPr="007A17AE">
              <w:rPr>
                <w:spacing w:val="-1"/>
                <w:szCs w:val="22"/>
                <w:lang w:eastAsia="en-GB"/>
              </w:rPr>
              <w:t>per burną</w:t>
            </w:r>
          </w:p>
        </w:tc>
        <w:tc>
          <w:tcPr>
            <w:tcW w:w="1652" w:type="dxa"/>
            <w:tcBorders>
              <w:top w:val="single" w:sz="4" w:space="0" w:color="000000"/>
              <w:left w:val="single" w:sz="4" w:space="0" w:color="000000"/>
              <w:bottom w:val="single" w:sz="4" w:space="0" w:color="000000"/>
              <w:right w:val="single" w:sz="4" w:space="0" w:color="000000"/>
            </w:tcBorders>
          </w:tcPr>
          <w:p w14:paraId="68510DE3" w14:textId="77777777" w:rsidR="00312228" w:rsidRPr="007A17AE" w:rsidRDefault="00312228" w:rsidP="007A17AE">
            <w:pPr>
              <w:tabs>
                <w:tab w:val="clear" w:pos="567"/>
              </w:tabs>
              <w:spacing w:line="240" w:lineRule="auto"/>
              <w:contextualSpacing/>
              <w:jc w:val="center"/>
              <w:rPr>
                <w:szCs w:val="22"/>
                <w:lang w:eastAsia="en-GB"/>
              </w:rPr>
            </w:pPr>
            <w:r w:rsidRPr="007A17AE">
              <w:rPr>
                <w:szCs w:val="22"/>
                <w:lang w:eastAsia="en-GB"/>
              </w:rPr>
              <w:t>8</w:t>
            </w:r>
            <w:r w:rsidR="007A17AE">
              <w:rPr>
                <w:szCs w:val="22"/>
                <w:lang w:eastAsia="en-GB"/>
              </w:rPr>
              <w:t> </w:t>
            </w:r>
            <w:r w:rsidRPr="007A17AE">
              <w:rPr>
                <w:szCs w:val="22"/>
                <w:lang w:eastAsia="en-GB"/>
              </w:rPr>
              <w:t xml:space="preserve">mg </w:t>
            </w:r>
            <w:r w:rsidR="00A26B4A" w:rsidRPr="007A17AE">
              <w:rPr>
                <w:szCs w:val="22"/>
                <w:lang w:eastAsia="en-GB"/>
              </w:rPr>
              <w:t>per burną</w:t>
            </w:r>
          </w:p>
        </w:tc>
        <w:tc>
          <w:tcPr>
            <w:tcW w:w="1713" w:type="dxa"/>
            <w:tcBorders>
              <w:top w:val="single" w:sz="4" w:space="0" w:color="000000"/>
              <w:left w:val="single" w:sz="4" w:space="0" w:color="000000"/>
              <w:bottom w:val="single" w:sz="4" w:space="0" w:color="000000"/>
              <w:right w:val="single" w:sz="4" w:space="0" w:color="000000"/>
            </w:tcBorders>
          </w:tcPr>
          <w:p w14:paraId="088EADB6" w14:textId="77777777" w:rsidR="00312228" w:rsidRPr="007A17AE" w:rsidRDefault="00312228" w:rsidP="007A17AE">
            <w:pPr>
              <w:tabs>
                <w:tab w:val="clear" w:pos="567"/>
              </w:tabs>
              <w:spacing w:line="240" w:lineRule="auto"/>
              <w:contextualSpacing/>
              <w:jc w:val="center"/>
              <w:rPr>
                <w:szCs w:val="22"/>
                <w:lang w:eastAsia="en-GB"/>
              </w:rPr>
            </w:pPr>
            <w:r w:rsidRPr="007A17AE">
              <w:rPr>
                <w:szCs w:val="22"/>
                <w:lang w:eastAsia="en-GB"/>
              </w:rPr>
              <w:t>8</w:t>
            </w:r>
            <w:r w:rsidR="007A17AE">
              <w:rPr>
                <w:szCs w:val="22"/>
                <w:lang w:eastAsia="en-GB"/>
              </w:rPr>
              <w:t> </w:t>
            </w:r>
            <w:r w:rsidRPr="007A17AE">
              <w:rPr>
                <w:szCs w:val="22"/>
                <w:lang w:eastAsia="en-GB"/>
              </w:rPr>
              <w:t xml:space="preserve">mg </w:t>
            </w:r>
            <w:r w:rsidR="00A26B4A" w:rsidRPr="007A17AE">
              <w:rPr>
                <w:szCs w:val="22"/>
                <w:lang w:eastAsia="en-GB"/>
              </w:rPr>
              <w:t>per burną</w:t>
            </w:r>
          </w:p>
        </w:tc>
      </w:tr>
      <w:tr w:rsidR="00312228" w:rsidRPr="007A17AE" w14:paraId="08676D5A" w14:textId="77777777" w:rsidTr="0011094A">
        <w:trPr>
          <w:trHeight w:hRule="exact" w:val="2306"/>
        </w:trPr>
        <w:tc>
          <w:tcPr>
            <w:tcW w:w="2317" w:type="dxa"/>
            <w:tcBorders>
              <w:top w:val="single" w:sz="4" w:space="0" w:color="000000"/>
              <w:left w:val="single" w:sz="4" w:space="0" w:color="000000"/>
              <w:bottom w:val="single" w:sz="4" w:space="0" w:color="000000"/>
              <w:right w:val="single" w:sz="4" w:space="0" w:color="000000"/>
            </w:tcBorders>
          </w:tcPr>
          <w:p w14:paraId="0AA568A4" w14:textId="77777777" w:rsidR="00312228" w:rsidRPr="007A17AE" w:rsidRDefault="00312228" w:rsidP="007A17AE">
            <w:pPr>
              <w:tabs>
                <w:tab w:val="clear" w:pos="567"/>
              </w:tabs>
              <w:spacing w:line="240" w:lineRule="auto"/>
              <w:contextualSpacing/>
              <w:jc w:val="center"/>
              <w:rPr>
                <w:szCs w:val="22"/>
                <w:lang w:eastAsia="en-GB"/>
              </w:rPr>
            </w:pPr>
            <w:r w:rsidRPr="007A17AE">
              <w:rPr>
                <w:position w:val="1"/>
                <w:szCs w:val="22"/>
                <w:lang w:eastAsia="en-GB"/>
              </w:rPr>
              <w:t>5</w:t>
            </w:r>
            <w:r w:rsidRPr="007A17AE">
              <w:rPr>
                <w:spacing w:val="-2"/>
                <w:position w:val="1"/>
                <w:szCs w:val="22"/>
                <w:lang w:eastAsia="en-GB"/>
              </w:rPr>
              <w:t>-</w:t>
            </w:r>
            <w:r w:rsidRPr="007A17AE">
              <w:rPr>
                <w:spacing w:val="-1"/>
                <w:position w:val="1"/>
                <w:szCs w:val="22"/>
                <w:lang w:eastAsia="en-GB"/>
              </w:rPr>
              <w:t>H</w:t>
            </w:r>
            <w:r w:rsidRPr="007A17AE">
              <w:rPr>
                <w:spacing w:val="2"/>
                <w:position w:val="1"/>
                <w:szCs w:val="22"/>
                <w:lang w:eastAsia="en-GB"/>
              </w:rPr>
              <w:t>T</w:t>
            </w:r>
            <w:r w:rsidRPr="00F122CC">
              <w:rPr>
                <w:spacing w:val="-1"/>
                <w:position w:val="1"/>
                <w:szCs w:val="22"/>
                <w:vertAlign w:val="subscript"/>
                <w:lang w:eastAsia="en-GB"/>
              </w:rPr>
              <w:t>3</w:t>
            </w:r>
            <w:r w:rsidRPr="007A17AE">
              <w:rPr>
                <w:spacing w:val="19"/>
                <w:position w:val="-2"/>
                <w:szCs w:val="22"/>
                <w:lang w:eastAsia="en-GB"/>
              </w:rPr>
              <w:t xml:space="preserve"> </w:t>
            </w:r>
            <w:r w:rsidRPr="007A17AE">
              <w:rPr>
                <w:position w:val="1"/>
                <w:szCs w:val="22"/>
                <w:lang w:eastAsia="en-GB"/>
              </w:rPr>
              <w:t>antagonist</w:t>
            </w:r>
            <w:r w:rsidR="00A26B4A" w:rsidRPr="007A17AE">
              <w:rPr>
                <w:position w:val="1"/>
                <w:szCs w:val="22"/>
                <w:lang w:eastAsia="en-GB"/>
              </w:rPr>
              <w:t>ai</w:t>
            </w:r>
          </w:p>
        </w:tc>
        <w:tc>
          <w:tcPr>
            <w:tcW w:w="1990" w:type="dxa"/>
            <w:tcBorders>
              <w:top w:val="single" w:sz="4" w:space="0" w:color="000000"/>
              <w:left w:val="single" w:sz="4" w:space="0" w:color="000000"/>
              <w:bottom w:val="single" w:sz="4" w:space="0" w:color="000000"/>
              <w:right w:val="single" w:sz="4" w:space="0" w:color="000000"/>
            </w:tcBorders>
          </w:tcPr>
          <w:p w14:paraId="06AC1607" w14:textId="77777777" w:rsidR="00A26B4A" w:rsidRPr="007A17AE" w:rsidRDefault="00A26B4A" w:rsidP="007A17AE">
            <w:pPr>
              <w:tabs>
                <w:tab w:val="clear" w:pos="567"/>
              </w:tabs>
              <w:spacing w:line="240" w:lineRule="auto"/>
              <w:contextualSpacing/>
              <w:jc w:val="center"/>
              <w:rPr>
                <w:szCs w:val="22"/>
                <w:lang w:eastAsia="en-GB"/>
              </w:rPr>
            </w:pPr>
            <w:r w:rsidRPr="007A17AE">
              <w:rPr>
                <w:szCs w:val="22"/>
                <w:lang w:eastAsia="en-GB"/>
              </w:rPr>
              <w:t>Įprasta 5-HT</w:t>
            </w:r>
            <w:r w:rsidRPr="00F122CC">
              <w:rPr>
                <w:spacing w:val="-1"/>
                <w:position w:val="1"/>
                <w:szCs w:val="22"/>
                <w:vertAlign w:val="subscript"/>
                <w:lang w:eastAsia="en-GB"/>
              </w:rPr>
              <w:t>3</w:t>
            </w:r>
            <w:r w:rsidRPr="007A17AE">
              <w:rPr>
                <w:szCs w:val="22"/>
                <w:lang w:eastAsia="en-GB"/>
              </w:rPr>
              <w:t xml:space="preserve"> antagonistų dozė.</w:t>
            </w:r>
          </w:p>
          <w:p w14:paraId="12D5B1BC" w14:textId="77777777" w:rsidR="00A26B4A" w:rsidRPr="007A17AE" w:rsidRDefault="00A26B4A" w:rsidP="007A17AE">
            <w:pPr>
              <w:tabs>
                <w:tab w:val="clear" w:pos="567"/>
              </w:tabs>
              <w:spacing w:line="240" w:lineRule="auto"/>
              <w:contextualSpacing/>
              <w:jc w:val="center"/>
              <w:rPr>
                <w:szCs w:val="22"/>
                <w:lang w:eastAsia="en-GB"/>
              </w:rPr>
            </w:pPr>
            <w:r w:rsidRPr="007A17AE">
              <w:rPr>
                <w:szCs w:val="22"/>
                <w:lang w:eastAsia="en-GB"/>
              </w:rPr>
              <w:t>Informacijos apie tinkamą dozavimą žiūrėkite pasirinkto</w:t>
            </w:r>
          </w:p>
          <w:p w14:paraId="2B102CB3" w14:textId="77777777" w:rsidR="00A26B4A" w:rsidRPr="007A17AE" w:rsidRDefault="00A26B4A" w:rsidP="007A17AE">
            <w:pPr>
              <w:tabs>
                <w:tab w:val="clear" w:pos="567"/>
              </w:tabs>
              <w:spacing w:line="240" w:lineRule="auto"/>
              <w:contextualSpacing/>
              <w:jc w:val="center"/>
              <w:rPr>
                <w:szCs w:val="22"/>
                <w:lang w:eastAsia="en-GB"/>
              </w:rPr>
            </w:pPr>
            <w:r w:rsidRPr="007A17AE">
              <w:rPr>
                <w:szCs w:val="22"/>
                <w:lang w:eastAsia="en-GB"/>
              </w:rPr>
              <w:t>5-HT</w:t>
            </w:r>
            <w:r w:rsidRPr="00F122CC">
              <w:rPr>
                <w:spacing w:val="-1"/>
                <w:position w:val="1"/>
                <w:szCs w:val="22"/>
                <w:vertAlign w:val="subscript"/>
                <w:lang w:eastAsia="en-GB"/>
              </w:rPr>
              <w:t>3</w:t>
            </w:r>
            <w:r w:rsidRPr="007A17AE">
              <w:rPr>
                <w:szCs w:val="22"/>
                <w:lang w:eastAsia="en-GB"/>
              </w:rPr>
              <w:t xml:space="preserve"> antagonisto Preparato</w:t>
            </w:r>
          </w:p>
          <w:p w14:paraId="268F99BC" w14:textId="77777777" w:rsidR="00312228" w:rsidRPr="007A17AE" w:rsidRDefault="00A26B4A" w:rsidP="007A17AE">
            <w:pPr>
              <w:tabs>
                <w:tab w:val="clear" w:pos="567"/>
              </w:tabs>
              <w:spacing w:line="240" w:lineRule="auto"/>
              <w:contextualSpacing/>
              <w:jc w:val="center"/>
              <w:rPr>
                <w:szCs w:val="22"/>
                <w:lang w:eastAsia="en-GB"/>
              </w:rPr>
            </w:pPr>
            <w:r w:rsidRPr="007A17AE">
              <w:rPr>
                <w:szCs w:val="22"/>
                <w:lang w:eastAsia="en-GB"/>
              </w:rPr>
              <w:t>charakteristikų santraukoje</w:t>
            </w:r>
          </w:p>
        </w:tc>
        <w:tc>
          <w:tcPr>
            <w:tcW w:w="1718" w:type="dxa"/>
            <w:tcBorders>
              <w:top w:val="single" w:sz="4" w:space="0" w:color="000000"/>
              <w:left w:val="single" w:sz="4" w:space="0" w:color="000000"/>
              <w:bottom w:val="single" w:sz="4" w:space="0" w:color="000000"/>
              <w:right w:val="single" w:sz="4" w:space="0" w:color="000000"/>
            </w:tcBorders>
          </w:tcPr>
          <w:p w14:paraId="6E097871" w14:textId="77777777" w:rsidR="00312228" w:rsidRPr="007A17AE" w:rsidRDefault="00A26B4A" w:rsidP="007A17AE">
            <w:pPr>
              <w:tabs>
                <w:tab w:val="clear" w:pos="567"/>
              </w:tabs>
              <w:spacing w:line="240" w:lineRule="auto"/>
              <w:contextualSpacing/>
              <w:jc w:val="center"/>
              <w:rPr>
                <w:szCs w:val="22"/>
                <w:lang w:eastAsia="en-GB"/>
              </w:rPr>
            </w:pPr>
            <w:r w:rsidRPr="007A17AE">
              <w:rPr>
                <w:szCs w:val="22"/>
                <w:lang w:eastAsia="en-GB"/>
              </w:rPr>
              <w:t>Neskirti</w:t>
            </w:r>
          </w:p>
        </w:tc>
        <w:tc>
          <w:tcPr>
            <w:tcW w:w="1652" w:type="dxa"/>
            <w:tcBorders>
              <w:top w:val="single" w:sz="4" w:space="0" w:color="000000"/>
              <w:left w:val="single" w:sz="4" w:space="0" w:color="000000"/>
              <w:bottom w:val="single" w:sz="4" w:space="0" w:color="000000"/>
              <w:right w:val="single" w:sz="4" w:space="0" w:color="000000"/>
            </w:tcBorders>
          </w:tcPr>
          <w:p w14:paraId="7C5E7B43" w14:textId="77777777" w:rsidR="00312228" w:rsidRPr="007A17AE" w:rsidRDefault="00A26B4A" w:rsidP="007A17AE">
            <w:pPr>
              <w:tabs>
                <w:tab w:val="clear" w:pos="567"/>
              </w:tabs>
              <w:spacing w:line="240" w:lineRule="auto"/>
              <w:contextualSpacing/>
              <w:jc w:val="center"/>
              <w:rPr>
                <w:szCs w:val="22"/>
                <w:lang w:eastAsia="en-GB"/>
              </w:rPr>
            </w:pPr>
            <w:r w:rsidRPr="007A17AE">
              <w:rPr>
                <w:szCs w:val="22"/>
                <w:lang w:eastAsia="en-GB"/>
              </w:rPr>
              <w:t>Neskirti</w:t>
            </w:r>
          </w:p>
        </w:tc>
        <w:tc>
          <w:tcPr>
            <w:tcW w:w="1713" w:type="dxa"/>
            <w:tcBorders>
              <w:top w:val="single" w:sz="4" w:space="0" w:color="000000"/>
              <w:left w:val="single" w:sz="4" w:space="0" w:color="000000"/>
              <w:bottom w:val="single" w:sz="4" w:space="0" w:color="000000"/>
              <w:right w:val="single" w:sz="4" w:space="0" w:color="000000"/>
            </w:tcBorders>
          </w:tcPr>
          <w:p w14:paraId="4FABAF0D" w14:textId="77777777" w:rsidR="00312228" w:rsidRPr="007A17AE" w:rsidRDefault="00A26B4A" w:rsidP="007A17AE">
            <w:pPr>
              <w:tabs>
                <w:tab w:val="clear" w:pos="567"/>
              </w:tabs>
              <w:spacing w:line="240" w:lineRule="auto"/>
              <w:contextualSpacing/>
              <w:jc w:val="center"/>
              <w:rPr>
                <w:szCs w:val="22"/>
                <w:lang w:eastAsia="en-GB"/>
              </w:rPr>
            </w:pPr>
            <w:r w:rsidRPr="007A17AE">
              <w:rPr>
                <w:szCs w:val="22"/>
                <w:lang w:eastAsia="en-GB"/>
              </w:rPr>
              <w:t>Neskirti</w:t>
            </w:r>
          </w:p>
        </w:tc>
      </w:tr>
    </w:tbl>
    <w:p w14:paraId="02DAD131" w14:textId="77777777" w:rsidR="00312228" w:rsidRPr="007A17AE" w:rsidRDefault="00A26B4A" w:rsidP="007A17AE">
      <w:pPr>
        <w:pStyle w:val="Default"/>
        <w:contextualSpacing/>
        <w:rPr>
          <w:sz w:val="22"/>
          <w:szCs w:val="22"/>
        </w:rPr>
      </w:pPr>
      <w:r w:rsidRPr="007A17AE">
        <w:rPr>
          <w:sz w:val="22"/>
          <w:szCs w:val="22"/>
        </w:rPr>
        <w:t>Deksametazono turi būti skiriama 30</w:t>
      </w:r>
      <w:r w:rsidR="007A17AE">
        <w:rPr>
          <w:sz w:val="22"/>
          <w:szCs w:val="22"/>
        </w:rPr>
        <w:t> </w:t>
      </w:r>
      <w:r w:rsidRPr="007A17AE">
        <w:rPr>
          <w:sz w:val="22"/>
          <w:szCs w:val="22"/>
        </w:rPr>
        <w:t xml:space="preserve">minučių prieš chemoterapiją 1-ąją dieną ir iš ryto 2–4-ąją dienomis. Deksametazono dozė </w:t>
      </w:r>
      <w:r w:rsidR="00616F13" w:rsidRPr="007A17AE">
        <w:rPr>
          <w:sz w:val="22"/>
          <w:szCs w:val="22"/>
        </w:rPr>
        <w:t>parinkta</w:t>
      </w:r>
      <w:r w:rsidRPr="007A17AE">
        <w:rPr>
          <w:sz w:val="22"/>
          <w:szCs w:val="22"/>
        </w:rPr>
        <w:t xml:space="preserve"> atsižvelgiant į veikliosios medžiagos sąveikas.</w:t>
      </w:r>
    </w:p>
    <w:p w14:paraId="1F9800D2" w14:textId="77777777" w:rsidR="00A26B4A" w:rsidRPr="007A17AE" w:rsidRDefault="00A26B4A" w:rsidP="007A17AE">
      <w:pPr>
        <w:pStyle w:val="Default"/>
        <w:contextualSpacing/>
        <w:rPr>
          <w:sz w:val="22"/>
          <w:szCs w:val="22"/>
        </w:rPr>
      </w:pPr>
    </w:p>
    <w:p w14:paraId="25643EBA" w14:textId="77777777" w:rsidR="00A26B4A" w:rsidRPr="00F122CC" w:rsidRDefault="00A26B4A" w:rsidP="007A17AE">
      <w:pPr>
        <w:pStyle w:val="Default"/>
        <w:contextualSpacing/>
        <w:rPr>
          <w:i/>
          <w:sz w:val="22"/>
          <w:szCs w:val="22"/>
        </w:rPr>
      </w:pPr>
      <w:r w:rsidRPr="00F122CC">
        <w:rPr>
          <w:i/>
          <w:sz w:val="22"/>
          <w:szCs w:val="22"/>
        </w:rPr>
        <w:t>Vidutiniškai emetogeniškos chemoterapijos schema</w:t>
      </w:r>
    </w:p>
    <w:tbl>
      <w:tblPr>
        <w:tblW w:w="7677" w:type="dxa"/>
        <w:tblInd w:w="99" w:type="dxa"/>
        <w:tblLayout w:type="fixed"/>
        <w:tblCellMar>
          <w:left w:w="0" w:type="dxa"/>
          <w:right w:w="0" w:type="dxa"/>
        </w:tblCellMar>
        <w:tblLook w:val="01E0" w:firstRow="1" w:lastRow="1" w:firstColumn="1" w:lastColumn="1" w:noHBand="0" w:noVBand="0"/>
      </w:tblPr>
      <w:tblGrid>
        <w:gridCol w:w="2317"/>
        <w:gridCol w:w="1990"/>
        <w:gridCol w:w="1718"/>
        <w:gridCol w:w="1652"/>
      </w:tblGrid>
      <w:tr w:rsidR="00A26B4A" w:rsidRPr="007A17AE" w14:paraId="0E66CF13" w14:textId="77777777" w:rsidTr="00A26B4A">
        <w:trPr>
          <w:trHeight w:val="301"/>
        </w:trPr>
        <w:tc>
          <w:tcPr>
            <w:tcW w:w="2317" w:type="dxa"/>
            <w:tcBorders>
              <w:top w:val="single" w:sz="4" w:space="0" w:color="000000"/>
              <w:left w:val="single" w:sz="4" w:space="0" w:color="000000"/>
              <w:bottom w:val="single" w:sz="4" w:space="0" w:color="000000"/>
              <w:right w:val="single" w:sz="4" w:space="0" w:color="000000"/>
            </w:tcBorders>
          </w:tcPr>
          <w:p w14:paraId="11C72629" w14:textId="77777777" w:rsidR="00A26B4A" w:rsidRPr="007A17AE" w:rsidRDefault="00A26B4A" w:rsidP="007A17AE">
            <w:pPr>
              <w:tabs>
                <w:tab w:val="clear" w:pos="567"/>
              </w:tabs>
              <w:spacing w:line="240" w:lineRule="auto"/>
              <w:contextualSpacing/>
              <w:rPr>
                <w:szCs w:val="22"/>
                <w:lang w:eastAsia="en-GB"/>
              </w:rPr>
            </w:pPr>
          </w:p>
        </w:tc>
        <w:tc>
          <w:tcPr>
            <w:tcW w:w="1990" w:type="dxa"/>
            <w:tcBorders>
              <w:top w:val="single" w:sz="4" w:space="0" w:color="000000"/>
              <w:left w:val="single" w:sz="4" w:space="0" w:color="000000"/>
              <w:bottom w:val="single" w:sz="4" w:space="0" w:color="000000"/>
              <w:right w:val="single" w:sz="4" w:space="0" w:color="000000"/>
            </w:tcBorders>
          </w:tcPr>
          <w:p w14:paraId="200FBC67" w14:textId="77777777" w:rsidR="00A26B4A" w:rsidRPr="007A17AE" w:rsidRDefault="00A26B4A" w:rsidP="007A17AE">
            <w:pPr>
              <w:tabs>
                <w:tab w:val="clear" w:pos="567"/>
              </w:tabs>
              <w:spacing w:line="240" w:lineRule="auto"/>
              <w:contextualSpacing/>
              <w:jc w:val="center"/>
              <w:rPr>
                <w:szCs w:val="22"/>
                <w:lang w:eastAsia="en-GB"/>
              </w:rPr>
            </w:pPr>
            <w:r w:rsidRPr="007A17AE">
              <w:rPr>
                <w:szCs w:val="22"/>
                <w:lang w:eastAsia="en-GB"/>
              </w:rPr>
              <w:t>1-oji diena</w:t>
            </w:r>
          </w:p>
        </w:tc>
        <w:tc>
          <w:tcPr>
            <w:tcW w:w="1718" w:type="dxa"/>
            <w:tcBorders>
              <w:top w:val="single" w:sz="4" w:space="0" w:color="000000"/>
              <w:left w:val="single" w:sz="4" w:space="0" w:color="000000"/>
              <w:bottom w:val="single" w:sz="4" w:space="0" w:color="000000"/>
              <w:right w:val="single" w:sz="4" w:space="0" w:color="000000"/>
            </w:tcBorders>
          </w:tcPr>
          <w:p w14:paraId="16BB762A" w14:textId="77777777" w:rsidR="00A26B4A" w:rsidRPr="007A17AE" w:rsidRDefault="00A26B4A" w:rsidP="007A17AE">
            <w:pPr>
              <w:tabs>
                <w:tab w:val="clear" w:pos="567"/>
              </w:tabs>
              <w:spacing w:line="240" w:lineRule="auto"/>
              <w:contextualSpacing/>
              <w:jc w:val="center"/>
              <w:rPr>
                <w:szCs w:val="22"/>
                <w:lang w:eastAsia="en-GB"/>
              </w:rPr>
            </w:pPr>
            <w:r w:rsidRPr="007A17AE">
              <w:rPr>
                <w:szCs w:val="22"/>
                <w:lang w:eastAsia="en-GB"/>
              </w:rPr>
              <w:t>2-oji diena</w:t>
            </w:r>
          </w:p>
        </w:tc>
        <w:tc>
          <w:tcPr>
            <w:tcW w:w="1652" w:type="dxa"/>
            <w:tcBorders>
              <w:top w:val="single" w:sz="4" w:space="0" w:color="000000"/>
              <w:left w:val="single" w:sz="4" w:space="0" w:color="000000"/>
              <w:bottom w:val="single" w:sz="4" w:space="0" w:color="000000"/>
              <w:right w:val="single" w:sz="4" w:space="0" w:color="000000"/>
            </w:tcBorders>
          </w:tcPr>
          <w:p w14:paraId="30B0EC52" w14:textId="77777777" w:rsidR="00A26B4A" w:rsidRPr="007A17AE" w:rsidRDefault="00A26B4A" w:rsidP="007A17AE">
            <w:pPr>
              <w:tabs>
                <w:tab w:val="clear" w:pos="567"/>
              </w:tabs>
              <w:spacing w:line="240" w:lineRule="auto"/>
              <w:contextualSpacing/>
              <w:jc w:val="center"/>
              <w:rPr>
                <w:szCs w:val="22"/>
                <w:lang w:eastAsia="en-GB"/>
              </w:rPr>
            </w:pPr>
            <w:r w:rsidRPr="007A17AE">
              <w:rPr>
                <w:szCs w:val="22"/>
                <w:lang w:eastAsia="en-GB"/>
              </w:rPr>
              <w:t>3-oji diena</w:t>
            </w:r>
          </w:p>
        </w:tc>
      </w:tr>
      <w:tr w:rsidR="00A26B4A" w:rsidRPr="007A17AE" w14:paraId="1EF976BD" w14:textId="77777777" w:rsidTr="00A26B4A">
        <w:trPr>
          <w:trHeight w:val="442"/>
        </w:trPr>
        <w:tc>
          <w:tcPr>
            <w:tcW w:w="2317" w:type="dxa"/>
            <w:tcBorders>
              <w:top w:val="single" w:sz="4" w:space="0" w:color="000000"/>
              <w:left w:val="single" w:sz="4" w:space="0" w:color="000000"/>
              <w:bottom w:val="single" w:sz="4" w:space="0" w:color="000000"/>
              <w:right w:val="single" w:sz="4" w:space="0" w:color="000000"/>
            </w:tcBorders>
          </w:tcPr>
          <w:p w14:paraId="1922B1BE" w14:textId="77777777" w:rsidR="00A26B4A" w:rsidRPr="007A17AE" w:rsidRDefault="00A26B4A" w:rsidP="007A17AE">
            <w:pPr>
              <w:tabs>
                <w:tab w:val="clear" w:pos="567"/>
              </w:tabs>
              <w:spacing w:line="240" w:lineRule="auto"/>
              <w:contextualSpacing/>
              <w:jc w:val="center"/>
              <w:rPr>
                <w:szCs w:val="22"/>
                <w:lang w:eastAsia="en-GB"/>
              </w:rPr>
            </w:pPr>
            <w:r w:rsidRPr="007A17AE">
              <w:rPr>
                <w:szCs w:val="22"/>
                <w:lang w:eastAsia="en-GB"/>
              </w:rPr>
              <w:t>Aprepitantas</w:t>
            </w:r>
          </w:p>
        </w:tc>
        <w:tc>
          <w:tcPr>
            <w:tcW w:w="1990" w:type="dxa"/>
            <w:tcBorders>
              <w:top w:val="single" w:sz="4" w:space="0" w:color="000000"/>
              <w:left w:val="single" w:sz="4" w:space="0" w:color="000000"/>
              <w:bottom w:val="single" w:sz="4" w:space="0" w:color="000000"/>
              <w:right w:val="single" w:sz="4" w:space="0" w:color="000000"/>
            </w:tcBorders>
          </w:tcPr>
          <w:p w14:paraId="63099572" w14:textId="77777777" w:rsidR="00A26B4A" w:rsidRPr="007A17AE" w:rsidRDefault="00A26B4A" w:rsidP="007A17AE">
            <w:pPr>
              <w:tabs>
                <w:tab w:val="clear" w:pos="567"/>
              </w:tabs>
              <w:spacing w:line="240" w:lineRule="auto"/>
              <w:contextualSpacing/>
              <w:jc w:val="center"/>
              <w:rPr>
                <w:szCs w:val="22"/>
                <w:lang w:eastAsia="en-GB"/>
              </w:rPr>
            </w:pPr>
            <w:r w:rsidRPr="007A17AE">
              <w:rPr>
                <w:szCs w:val="22"/>
                <w:lang w:eastAsia="en-GB"/>
              </w:rPr>
              <w:t>125 mg per burną</w:t>
            </w:r>
          </w:p>
        </w:tc>
        <w:tc>
          <w:tcPr>
            <w:tcW w:w="1718" w:type="dxa"/>
            <w:tcBorders>
              <w:top w:val="single" w:sz="4" w:space="0" w:color="000000"/>
              <w:left w:val="single" w:sz="4" w:space="0" w:color="000000"/>
              <w:bottom w:val="single" w:sz="4" w:space="0" w:color="000000"/>
              <w:right w:val="single" w:sz="4" w:space="0" w:color="000000"/>
            </w:tcBorders>
          </w:tcPr>
          <w:p w14:paraId="01B724F0" w14:textId="77777777" w:rsidR="00A26B4A" w:rsidRPr="007A17AE" w:rsidRDefault="00A26B4A" w:rsidP="007A17AE">
            <w:pPr>
              <w:tabs>
                <w:tab w:val="clear" w:pos="567"/>
              </w:tabs>
              <w:spacing w:line="240" w:lineRule="auto"/>
              <w:contextualSpacing/>
              <w:jc w:val="center"/>
              <w:rPr>
                <w:szCs w:val="22"/>
                <w:lang w:eastAsia="en-GB"/>
              </w:rPr>
            </w:pPr>
            <w:r w:rsidRPr="007A17AE">
              <w:rPr>
                <w:szCs w:val="22"/>
                <w:lang w:eastAsia="en-GB"/>
              </w:rPr>
              <w:t>80 mg per burną</w:t>
            </w:r>
          </w:p>
        </w:tc>
        <w:tc>
          <w:tcPr>
            <w:tcW w:w="1652" w:type="dxa"/>
            <w:tcBorders>
              <w:top w:val="single" w:sz="4" w:space="0" w:color="000000"/>
              <w:left w:val="single" w:sz="4" w:space="0" w:color="000000"/>
              <w:bottom w:val="single" w:sz="4" w:space="0" w:color="000000"/>
              <w:right w:val="single" w:sz="4" w:space="0" w:color="000000"/>
            </w:tcBorders>
          </w:tcPr>
          <w:p w14:paraId="6A10BB97" w14:textId="77777777" w:rsidR="00A26B4A" w:rsidRPr="007A17AE" w:rsidRDefault="00A26B4A" w:rsidP="007A17AE">
            <w:pPr>
              <w:tabs>
                <w:tab w:val="clear" w:pos="567"/>
              </w:tabs>
              <w:spacing w:line="240" w:lineRule="auto"/>
              <w:contextualSpacing/>
              <w:jc w:val="center"/>
              <w:rPr>
                <w:szCs w:val="22"/>
                <w:lang w:eastAsia="en-GB"/>
              </w:rPr>
            </w:pPr>
            <w:r w:rsidRPr="007A17AE">
              <w:rPr>
                <w:szCs w:val="22"/>
                <w:lang w:eastAsia="en-GB"/>
              </w:rPr>
              <w:t>80 mg per burną</w:t>
            </w:r>
          </w:p>
        </w:tc>
      </w:tr>
      <w:tr w:rsidR="00A26B4A" w:rsidRPr="007A17AE" w14:paraId="654146CB" w14:textId="77777777" w:rsidTr="00A26B4A">
        <w:trPr>
          <w:trHeight w:val="476"/>
        </w:trPr>
        <w:tc>
          <w:tcPr>
            <w:tcW w:w="2317" w:type="dxa"/>
            <w:tcBorders>
              <w:top w:val="single" w:sz="4" w:space="0" w:color="000000"/>
              <w:left w:val="single" w:sz="4" w:space="0" w:color="000000"/>
              <w:bottom w:val="single" w:sz="4" w:space="0" w:color="000000"/>
              <w:right w:val="single" w:sz="4" w:space="0" w:color="000000"/>
            </w:tcBorders>
          </w:tcPr>
          <w:p w14:paraId="634CE3D6" w14:textId="77777777" w:rsidR="00A26B4A" w:rsidRPr="007A17AE" w:rsidRDefault="00A26B4A" w:rsidP="007A17AE">
            <w:pPr>
              <w:tabs>
                <w:tab w:val="clear" w:pos="567"/>
              </w:tabs>
              <w:spacing w:line="240" w:lineRule="auto"/>
              <w:contextualSpacing/>
              <w:jc w:val="center"/>
              <w:rPr>
                <w:szCs w:val="22"/>
                <w:lang w:eastAsia="en-GB"/>
              </w:rPr>
            </w:pPr>
            <w:r w:rsidRPr="007A17AE">
              <w:rPr>
                <w:szCs w:val="22"/>
                <w:lang w:eastAsia="en-GB"/>
              </w:rPr>
              <w:t>Deksamet</w:t>
            </w:r>
            <w:r w:rsidR="007A17AE">
              <w:rPr>
                <w:szCs w:val="22"/>
                <w:lang w:eastAsia="en-GB"/>
              </w:rPr>
              <w:t>a</w:t>
            </w:r>
            <w:r w:rsidRPr="007A17AE">
              <w:rPr>
                <w:szCs w:val="22"/>
                <w:lang w:eastAsia="en-GB"/>
              </w:rPr>
              <w:t>zonas</w:t>
            </w:r>
          </w:p>
        </w:tc>
        <w:tc>
          <w:tcPr>
            <w:tcW w:w="1990" w:type="dxa"/>
            <w:tcBorders>
              <w:top w:val="single" w:sz="4" w:space="0" w:color="000000"/>
              <w:left w:val="single" w:sz="4" w:space="0" w:color="000000"/>
              <w:bottom w:val="single" w:sz="4" w:space="0" w:color="000000"/>
              <w:right w:val="single" w:sz="4" w:space="0" w:color="000000"/>
            </w:tcBorders>
          </w:tcPr>
          <w:p w14:paraId="17CD64E8" w14:textId="77777777" w:rsidR="00A26B4A" w:rsidRPr="007A17AE" w:rsidRDefault="00A26B4A" w:rsidP="007A17AE">
            <w:pPr>
              <w:tabs>
                <w:tab w:val="clear" w:pos="567"/>
              </w:tabs>
              <w:spacing w:line="240" w:lineRule="auto"/>
              <w:contextualSpacing/>
              <w:jc w:val="center"/>
              <w:rPr>
                <w:szCs w:val="22"/>
                <w:lang w:eastAsia="en-GB"/>
              </w:rPr>
            </w:pPr>
            <w:r w:rsidRPr="007A17AE">
              <w:rPr>
                <w:szCs w:val="22"/>
                <w:lang w:eastAsia="en-GB"/>
              </w:rPr>
              <w:t>12 mg per burną</w:t>
            </w:r>
          </w:p>
        </w:tc>
        <w:tc>
          <w:tcPr>
            <w:tcW w:w="1718" w:type="dxa"/>
            <w:tcBorders>
              <w:top w:val="single" w:sz="4" w:space="0" w:color="000000"/>
              <w:left w:val="single" w:sz="4" w:space="0" w:color="000000"/>
              <w:bottom w:val="single" w:sz="4" w:space="0" w:color="000000"/>
              <w:right w:val="single" w:sz="4" w:space="0" w:color="000000"/>
            </w:tcBorders>
          </w:tcPr>
          <w:p w14:paraId="3DA4DBCB" w14:textId="77777777" w:rsidR="00A26B4A" w:rsidRPr="007A17AE" w:rsidRDefault="00AB473A" w:rsidP="007A17AE">
            <w:pPr>
              <w:tabs>
                <w:tab w:val="clear" w:pos="567"/>
              </w:tabs>
              <w:spacing w:line="240" w:lineRule="auto"/>
              <w:contextualSpacing/>
              <w:jc w:val="center"/>
              <w:rPr>
                <w:szCs w:val="22"/>
                <w:lang w:eastAsia="en-GB"/>
              </w:rPr>
            </w:pPr>
            <w:r w:rsidRPr="007A17AE">
              <w:rPr>
                <w:szCs w:val="22"/>
                <w:lang w:eastAsia="en-GB"/>
              </w:rPr>
              <w:t>Neskirti</w:t>
            </w:r>
          </w:p>
        </w:tc>
        <w:tc>
          <w:tcPr>
            <w:tcW w:w="1652" w:type="dxa"/>
            <w:tcBorders>
              <w:top w:val="single" w:sz="4" w:space="0" w:color="000000"/>
              <w:left w:val="single" w:sz="4" w:space="0" w:color="000000"/>
              <w:bottom w:val="single" w:sz="4" w:space="0" w:color="000000"/>
              <w:right w:val="single" w:sz="4" w:space="0" w:color="000000"/>
            </w:tcBorders>
          </w:tcPr>
          <w:p w14:paraId="7890C778" w14:textId="77777777" w:rsidR="00A26B4A" w:rsidRPr="007A17AE" w:rsidRDefault="00AB473A" w:rsidP="007A17AE">
            <w:pPr>
              <w:tabs>
                <w:tab w:val="clear" w:pos="567"/>
              </w:tabs>
              <w:spacing w:line="240" w:lineRule="auto"/>
              <w:contextualSpacing/>
              <w:jc w:val="center"/>
              <w:rPr>
                <w:szCs w:val="22"/>
                <w:lang w:eastAsia="en-GB"/>
              </w:rPr>
            </w:pPr>
            <w:r w:rsidRPr="007A17AE">
              <w:rPr>
                <w:szCs w:val="22"/>
                <w:lang w:eastAsia="en-GB"/>
              </w:rPr>
              <w:t>Neskirti</w:t>
            </w:r>
          </w:p>
        </w:tc>
      </w:tr>
      <w:tr w:rsidR="00A26B4A" w:rsidRPr="007A17AE" w14:paraId="3A196168" w14:textId="77777777" w:rsidTr="00A26B4A">
        <w:trPr>
          <w:trHeight w:hRule="exact" w:val="2306"/>
        </w:trPr>
        <w:tc>
          <w:tcPr>
            <w:tcW w:w="2317" w:type="dxa"/>
            <w:tcBorders>
              <w:top w:val="single" w:sz="4" w:space="0" w:color="000000"/>
              <w:left w:val="single" w:sz="4" w:space="0" w:color="000000"/>
              <w:bottom w:val="single" w:sz="4" w:space="0" w:color="000000"/>
              <w:right w:val="single" w:sz="4" w:space="0" w:color="000000"/>
            </w:tcBorders>
          </w:tcPr>
          <w:p w14:paraId="1445D1DC" w14:textId="77777777" w:rsidR="00A26B4A" w:rsidRPr="007A17AE" w:rsidRDefault="00A26B4A" w:rsidP="007A17AE">
            <w:pPr>
              <w:tabs>
                <w:tab w:val="clear" w:pos="567"/>
              </w:tabs>
              <w:spacing w:line="240" w:lineRule="auto"/>
              <w:contextualSpacing/>
              <w:jc w:val="center"/>
              <w:rPr>
                <w:szCs w:val="22"/>
                <w:lang w:eastAsia="en-GB"/>
              </w:rPr>
            </w:pPr>
            <w:r w:rsidRPr="007A17AE">
              <w:rPr>
                <w:position w:val="1"/>
                <w:szCs w:val="22"/>
                <w:lang w:eastAsia="en-GB"/>
              </w:rPr>
              <w:t>5</w:t>
            </w:r>
            <w:r w:rsidRPr="007A17AE">
              <w:rPr>
                <w:spacing w:val="-2"/>
                <w:position w:val="1"/>
                <w:szCs w:val="22"/>
                <w:lang w:eastAsia="en-GB"/>
              </w:rPr>
              <w:t>-</w:t>
            </w:r>
            <w:r w:rsidRPr="007A17AE">
              <w:rPr>
                <w:spacing w:val="-1"/>
                <w:position w:val="1"/>
                <w:szCs w:val="22"/>
                <w:lang w:eastAsia="en-GB"/>
              </w:rPr>
              <w:t>H</w:t>
            </w:r>
            <w:r w:rsidRPr="007A17AE">
              <w:rPr>
                <w:spacing w:val="2"/>
                <w:position w:val="1"/>
                <w:szCs w:val="22"/>
                <w:lang w:eastAsia="en-GB"/>
              </w:rPr>
              <w:t>T</w:t>
            </w:r>
            <w:r w:rsidRPr="00F122CC">
              <w:rPr>
                <w:spacing w:val="-1"/>
                <w:position w:val="1"/>
                <w:szCs w:val="22"/>
                <w:vertAlign w:val="subscript"/>
                <w:lang w:eastAsia="en-GB"/>
              </w:rPr>
              <w:t>3</w:t>
            </w:r>
            <w:r w:rsidRPr="007A17AE">
              <w:rPr>
                <w:spacing w:val="19"/>
                <w:position w:val="-2"/>
                <w:szCs w:val="22"/>
                <w:lang w:eastAsia="en-GB"/>
              </w:rPr>
              <w:t xml:space="preserve"> </w:t>
            </w:r>
            <w:r w:rsidRPr="007A17AE">
              <w:rPr>
                <w:position w:val="1"/>
                <w:szCs w:val="22"/>
                <w:lang w:eastAsia="en-GB"/>
              </w:rPr>
              <w:t>antagonistai</w:t>
            </w:r>
          </w:p>
        </w:tc>
        <w:tc>
          <w:tcPr>
            <w:tcW w:w="1990" w:type="dxa"/>
            <w:tcBorders>
              <w:top w:val="single" w:sz="4" w:space="0" w:color="000000"/>
              <w:left w:val="single" w:sz="4" w:space="0" w:color="000000"/>
              <w:bottom w:val="single" w:sz="4" w:space="0" w:color="000000"/>
              <w:right w:val="single" w:sz="4" w:space="0" w:color="000000"/>
            </w:tcBorders>
          </w:tcPr>
          <w:p w14:paraId="55909EEA" w14:textId="77777777" w:rsidR="00A26B4A" w:rsidRPr="007A17AE" w:rsidRDefault="00A26B4A" w:rsidP="007A17AE">
            <w:pPr>
              <w:tabs>
                <w:tab w:val="clear" w:pos="567"/>
              </w:tabs>
              <w:spacing w:line="240" w:lineRule="auto"/>
              <w:contextualSpacing/>
              <w:jc w:val="center"/>
              <w:rPr>
                <w:szCs w:val="22"/>
                <w:lang w:eastAsia="en-GB"/>
              </w:rPr>
            </w:pPr>
            <w:r w:rsidRPr="007A17AE">
              <w:rPr>
                <w:szCs w:val="22"/>
                <w:lang w:eastAsia="en-GB"/>
              </w:rPr>
              <w:t>Įprasta 5-HT</w:t>
            </w:r>
            <w:r w:rsidRPr="00F122CC">
              <w:rPr>
                <w:spacing w:val="-1"/>
                <w:position w:val="1"/>
                <w:szCs w:val="22"/>
                <w:vertAlign w:val="subscript"/>
                <w:lang w:eastAsia="en-GB"/>
              </w:rPr>
              <w:t>3</w:t>
            </w:r>
            <w:r w:rsidRPr="007A17AE">
              <w:rPr>
                <w:szCs w:val="22"/>
                <w:lang w:eastAsia="en-GB"/>
              </w:rPr>
              <w:t xml:space="preserve"> antagonistų dozė.</w:t>
            </w:r>
          </w:p>
          <w:p w14:paraId="282D677A" w14:textId="77777777" w:rsidR="00A26B4A" w:rsidRPr="007A17AE" w:rsidRDefault="00A26B4A" w:rsidP="007A17AE">
            <w:pPr>
              <w:tabs>
                <w:tab w:val="clear" w:pos="567"/>
              </w:tabs>
              <w:spacing w:line="240" w:lineRule="auto"/>
              <w:contextualSpacing/>
              <w:jc w:val="center"/>
              <w:rPr>
                <w:szCs w:val="22"/>
                <w:lang w:eastAsia="en-GB"/>
              </w:rPr>
            </w:pPr>
            <w:r w:rsidRPr="007A17AE">
              <w:rPr>
                <w:szCs w:val="22"/>
                <w:lang w:eastAsia="en-GB"/>
              </w:rPr>
              <w:t>Informacijos apie tinkamą dozavimą žiūrėkite pasirinkto</w:t>
            </w:r>
          </w:p>
          <w:p w14:paraId="70E77F72" w14:textId="77777777" w:rsidR="00A26B4A" w:rsidRPr="007A17AE" w:rsidRDefault="00A26B4A" w:rsidP="007A17AE">
            <w:pPr>
              <w:tabs>
                <w:tab w:val="clear" w:pos="567"/>
              </w:tabs>
              <w:spacing w:line="240" w:lineRule="auto"/>
              <w:contextualSpacing/>
              <w:jc w:val="center"/>
              <w:rPr>
                <w:szCs w:val="22"/>
                <w:lang w:eastAsia="en-GB"/>
              </w:rPr>
            </w:pPr>
            <w:r w:rsidRPr="007A17AE">
              <w:rPr>
                <w:szCs w:val="22"/>
                <w:lang w:eastAsia="en-GB"/>
              </w:rPr>
              <w:t>5-HT</w:t>
            </w:r>
            <w:r w:rsidRPr="00F122CC">
              <w:rPr>
                <w:spacing w:val="-1"/>
                <w:position w:val="1"/>
                <w:szCs w:val="22"/>
                <w:vertAlign w:val="subscript"/>
                <w:lang w:eastAsia="en-GB"/>
              </w:rPr>
              <w:t>3</w:t>
            </w:r>
            <w:r w:rsidRPr="007A17AE">
              <w:rPr>
                <w:szCs w:val="22"/>
                <w:lang w:eastAsia="en-GB"/>
              </w:rPr>
              <w:t xml:space="preserve"> antagonisto Preparato</w:t>
            </w:r>
          </w:p>
          <w:p w14:paraId="7C11273B" w14:textId="77777777" w:rsidR="00A26B4A" w:rsidRPr="007A17AE" w:rsidRDefault="00A26B4A" w:rsidP="007A17AE">
            <w:pPr>
              <w:tabs>
                <w:tab w:val="clear" w:pos="567"/>
              </w:tabs>
              <w:spacing w:line="240" w:lineRule="auto"/>
              <w:contextualSpacing/>
              <w:jc w:val="center"/>
              <w:rPr>
                <w:szCs w:val="22"/>
                <w:lang w:eastAsia="en-GB"/>
              </w:rPr>
            </w:pPr>
            <w:r w:rsidRPr="007A17AE">
              <w:rPr>
                <w:szCs w:val="22"/>
                <w:lang w:eastAsia="en-GB"/>
              </w:rPr>
              <w:t>charakteristikų santraukoje</w:t>
            </w:r>
          </w:p>
        </w:tc>
        <w:tc>
          <w:tcPr>
            <w:tcW w:w="1718" w:type="dxa"/>
            <w:tcBorders>
              <w:top w:val="single" w:sz="4" w:space="0" w:color="000000"/>
              <w:left w:val="single" w:sz="4" w:space="0" w:color="000000"/>
              <w:bottom w:val="single" w:sz="4" w:space="0" w:color="000000"/>
              <w:right w:val="single" w:sz="4" w:space="0" w:color="000000"/>
            </w:tcBorders>
          </w:tcPr>
          <w:p w14:paraId="391AF526" w14:textId="77777777" w:rsidR="00A26B4A" w:rsidRPr="007A17AE" w:rsidRDefault="00A26B4A" w:rsidP="007A17AE">
            <w:pPr>
              <w:tabs>
                <w:tab w:val="clear" w:pos="567"/>
              </w:tabs>
              <w:spacing w:line="240" w:lineRule="auto"/>
              <w:contextualSpacing/>
              <w:jc w:val="center"/>
              <w:rPr>
                <w:szCs w:val="22"/>
                <w:lang w:eastAsia="en-GB"/>
              </w:rPr>
            </w:pPr>
            <w:r w:rsidRPr="007A17AE">
              <w:rPr>
                <w:szCs w:val="22"/>
                <w:lang w:eastAsia="en-GB"/>
              </w:rPr>
              <w:t>Neskirti</w:t>
            </w:r>
          </w:p>
        </w:tc>
        <w:tc>
          <w:tcPr>
            <w:tcW w:w="1652" w:type="dxa"/>
            <w:tcBorders>
              <w:top w:val="single" w:sz="4" w:space="0" w:color="000000"/>
              <w:left w:val="single" w:sz="4" w:space="0" w:color="000000"/>
              <w:bottom w:val="single" w:sz="4" w:space="0" w:color="000000"/>
              <w:right w:val="single" w:sz="4" w:space="0" w:color="000000"/>
            </w:tcBorders>
          </w:tcPr>
          <w:p w14:paraId="5A3B903D" w14:textId="77777777" w:rsidR="00A26B4A" w:rsidRPr="007A17AE" w:rsidRDefault="00A26B4A" w:rsidP="007A17AE">
            <w:pPr>
              <w:tabs>
                <w:tab w:val="clear" w:pos="567"/>
              </w:tabs>
              <w:spacing w:line="240" w:lineRule="auto"/>
              <w:contextualSpacing/>
              <w:jc w:val="center"/>
              <w:rPr>
                <w:szCs w:val="22"/>
                <w:lang w:eastAsia="en-GB"/>
              </w:rPr>
            </w:pPr>
            <w:r w:rsidRPr="007A17AE">
              <w:rPr>
                <w:szCs w:val="22"/>
                <w:lang w:eastAsia="en-GB"/>
              </w:rPr>
              <w:t>Neskirti</w:t>
            </w:r>
          </w:p>
        </w:tc>
      </w:tr>
    </w:tbl>
    <w:p w14:paraId="7ABAA62C" w14:textId="77777777" w:rsidR="00A26B4A" w:rsidRPr="007A17AE" w:rsidRDefault="00616F13" w:rsidP="007A17AE">
      <w:pPr>
        <w:pStyle w:val="Default"/>
        <w:contextualSpacing/>
        <w:rPr>
          <w:sz w:val="22"/>
          <w:szCs w:val="22"/>
        </w:rPr>
      </w:pPr>
      <w:r w:rsidRPr="007A17AE">
        <w:rPr>
          <w:sz w:val="22"/>
          <w:szCs w:val="22"/>
        </w:rPr>
        <w:t>Deksametazono turi būti skiriama 30</w:t>
      </w:r>
      <w:r w:rsidR="00A34D77" w:rsidRPr="00F122CC">
        <w:rPr>
          <w:sz w:val="22"/>
          <w:szCs w:val="22"/>
        </w:rPr>
        <w:t> </w:t>
      </w:r>
      <w:r w:rsidRPr="007A17AE">
        <w:rPr>
          <w:sz w:val="22"/>
          <w:szCs w:val="22"/>
        </w:rPr>
        <w:t>minučių prieš chemoterapiją 1-ąją dieną. Deksametazono dozė parinkta atsižvelgiant į veikliosios medžiagos sąveikas.</w:t>
      </w:r>
    </w:p>
    <w:p w14:paraId="6585EC8E" w14:textId="77777777" w:rsidR="00A26B4A" w:rsidRPr="007A17AE" w:rsidRDefault="00A26B4A" w:rsidP="007A17AE">
      <w:pPr>
        <w:pStyle w:val="Default"/>
        <w:contextualSpacing/>
        <w:rPr>
          <w:sz w:val="22"/>
          <w:szCs w:val="22"/>
        </w:rPr>
      </w:pPr>
    </w:p>
    <w:p w14:paraId="5DD0E61D" w14:textId="77777777" w:rsidR="00802C2C" w:rsidRPr="007A17AE" w:rsidRDefault="00802C2C" w:rsidP="007A17AE">
      <w:pPr>
        <w:pStyle w:val="Default"/>
        <w:contextualSpacing/>
        <w:rPr>
          <w:i/>
          <w:sz w:val="22"/>
          <w:szCs w:val="22"/>
          <w:u w:val="single"/>
        </w:rPr>
      </w:pPr>
      <w:r w:rsidRPr="007A17AE">
        <w:rPr>
          <w:i/>
          <w:sz w:val="22"/>
          <w:szCs w:val="22"/>
          <w:u w:val="single"/>
        </w:rPr>
        <w:t>Vaikų populiacija</w:t>
      </w:r>
    </w:p>
    <w:p w14:paraId="3218E145" w14:textId="77777777" w:rsidR="00802C2C" w:rsidRPr="007A17AE" w:rsidRDefault="00802C2C" w:rsidP="007A17AE">
      <w:pPr>
        <w:pStyle w:val="Default"/>
        <w:contextualSpacing/>
        <w:rPr>
          <w:i/>
          <w:sz w:val="22"/>
          <w:szCs w:val="22"/>
        </w:rPr>
      </w:pPr>
      <w:r w:rsidRPr="007A17AE">
        <w:rPr>
          <w:i/>
          <w:sz w:val="22"/>
          <w:szCs w:val="22"/>
        </w:rPr>
        <w:t>Paaugliams nuo 12 iki 17</w:t>
      </w:r>
      <w:r w:rsidR="00A34D77">
        <w:rPr>
          <w:i/>
          <w:sz w:val="22"/>
          <w:szCs w:val="22"/>
        </w:rPr>
        <w:t> </w:t>
      </w:r>
      <w:r w:rsidRPr="007A17AE">
        <w:rPr>
          <w:i/>
          <w:sz w:val="22"/>
          <w:szCs w:val="22"/>
        </w:rPr>
        <w:t>metų</w:t>
      </w:r>
    </w:p>
    <w:p w14:paraId="7F86DBC5" w14:textId="77777777" w:rsidR="00802C2C" w:rsidRPr="007A17AE" w:rsidRDefault="00802C2C" w:rsidP="007A17AE">
      <w:pPr>
        <w:pStyle w:val="Default"/>
        <w:contextualSpacing/>
        <w:rPr>
          <w:sz w:val="22"/>
          <w:szCs w:val="22"/>
        </w:rPr>
      </w:pPr>
    </w:p>
    <w:p w14:paraId="73AA0E3F" w14:textId="77777777" w:rsidR="00802C2C" w:rsidRPr="007A17AE" w:rsidRDefault="00802C2C" w:rsidP="007A17AE">
      <w:pPr>
        <w:pStyle w:val="Default"/>
        <w:contextualSpacing/>
        <w:rPr>
          <w:sz w:val="22"/>
          <w:szCs w:val="22"/>
        </w:rPr>
      </w:pPr>
      <w:r w:rsidRPr="007A17AE">
        <w:rPr>
          <w:sz w:val="22"/>
          <w:szCs w:val="22"/>
        </w:rPr>
        <w:t>Aprepitant Sandoz skiriam</w:t>
      </w:r>
      <w:r w:rsidR="005223CE" w:rsidRPr="007A17AE">
        <w:rPr>
          <w:sz w:val="22"/>
          <w:szCs w:val="22"/>
        </w:rPr>
        <w:t>a</w:t>
      </w:r>
      <w:r w:rsidRPr="007A17AE">
        <w:rPr>
          <w:sz w:val="22"/>
          <w:szCs w:val="22"/>
        </w:rPr>
        <w:t xml:space="preserve"> 3</w:t>
      </w:r>
      <w:r w:rsidR="00A34D77">
        <w:rPr>
          <w:sz w:val="22"/>
          <w:szCs w:val="22"/>
        </w:rPr>
        <w:t> </w:t>
      </w:r>
      <w:r w:rsidRPr="007A17AE">
        <w:rPr>
          <w:sz w:val="22"/>
          <w:szCs w:val="22"/>
        </w:rPr>
        <w:t>paras, kaip dalis schemos, kurios sudėtyje yra kortikosteroido ir 5-HT</w:t>
      </w:r>
      <w:r w:rsidRPr="00F122CC">
        <w:rPr>
          <w:rFonts w:eastAsia="Times New Roman"/>
          <w:color w:val="auto"/>
          <w:spacing w:val="-1"/>
          <w:position w:val="1"/>
          <w:sz w:val="22"/>
          <w:szCs w:val="22"/>
          <w:vertAlign w:val="subscript"/>
          <w:lang w:eastAsia="en-GB"/>
        </w:rPr>
        <w:t>3</w:t>
      </w:r>
      <w:r w:rsidRPr="007A17AE">
        <w:rPr>
          <w:sz w:val="22"/>
          <w:szCs w:val="22"/>
        </w:rPr>
        <w:t xml:space="preserve"> antagonisto. Rekomenduojama Aprepitant Sandoz kapsulių dozė yra 125</w:t>
      </w:r>
      <w:r w:rsidR="00A34D77">
        <w:rPr>
          <w:sz w:val="22"/>
          <w:szCs w:val="22"/>
        </w:rPr>
        <w:t> </w:t>
      </w:r>
      <w:r w:rsidRPr="007A17AE">
        <w:rPr>
          <w:sz w:val="22"/>
          <w:szCs w:val="22"/>
        </w:rPr>
        <w:t>mg per burną 1-ąją dieną ir po 80</w:t>
      </w:r>
      <w:r w:rsidR="00A34D77">
        <w:rPr>
          <w:sz w:val="22"/>
          <w:szCs w:val="22"/>
        </w:rPr>
        <w:t> </w:t>
      </w:r>
      <w:r w:rsidRPr="007A17AE">
        <w:rPr>
          <w:sz w:val="22"/>
          <w:szCs w:val="22"/>
        </w:rPr>
        <w:t>mg per burną 2-ąją ir 3-ąją dienomis. Aprepitant Sandoz vartojama per burną likus 1</w:t>
      </w:r>
      <w:r w:rsidR="00A34D77">
        <w:rPr>
          <w:sz w:val="22"/>
          <w:szCs w:val="22"/>
        </w:rPr>
        <w:t> </w:t>
      </w:r>
      <w:r w:rsidRPr="007A17AE">
        <w:rPr>
          <w:sz w:val="22"/>
          <w:szCs w:val="22"/>
        </w:rPr>
        <w:t>val. iki chemoterapijos 1-ąją, 2-ąją ir 3-ąją dienomis. Jeigu 2-ąją ir 3-ąją dienomis chemoterapija netaikoma, Aprepitant Sandoz turi būti vartojama</w:t>
      </w:r>
      <w:r w:rsidR="00593C30" w:rsidRPr="007A17AE">
        <w:rPr>
          <w:sz w:val="22"/>
          <w:szCs w:val="22"/>
        </w:rPr>
        <w:t xml:space="preserve"> iš ryto</w:t>
      </w:r>
      <w:r w:rsidRPr="007A17AE">
        <w:rPr>
          <w:sz w:val="22"/>
          <w:szCs w:val="22"/>
        </w:rPr>
        <w:t>. Pasirinkto 5-HT</w:t>
      </w:r>
      <w:r w:rsidRPr="00F122CC">
        <w:rPr>
          <w:rFonts w:eastAsia="Times New Roman"/>
          <w:color w:val="auto"/>
          <w:spacing w:val="-1"/>
          <w:position w:val="1"/>
          <w:sz w:val="22"/>
          <w:szCs w:val="22"/>
          <w:vertAlign w:val="subscript"/>
          <w:lang w:eastAsia="en-GB"/>
        </w:rPr>
        <w:t>3</w:t>
      </w:r>
      <w:r w:rsidRPr="007A17AE">
        <w:rPr>
          <w:sz w:val="22"/>
          <w:szCs w:val="22"/>
        </w:rPr>
        <w:t xml:space="preserve"> antagonisto</w:t>
      </w:r>
      <w:r w:rsidR="00593C30" w:rsidRPr="007A17AE">
        <w:rPr>
          <w:sz w:val="22"/>
          <w:szCs w:val="22"/>
        </w:rPr>
        <w:t xml:space="preserve"> </w:t>
      </w:r>
      <w:r w:rsidRPr="007A17AE">
        <w:rPr>
          <w:sz w:val="22"/>
          <w:szCs w:val="22"/>
        </w:rPr>
        <w:t xml:space="preserve">dozavimo informacija pateikiama jo Preparato charakteristikų santraukoje (PCS). Kartu su </w:t>
      </w:r>
      <w:r w:rsidR="00593C30" w:rsidRPr="007A17AE">
        <w:rPr>
          <w:sz w:val="22"/>
          <w:szCs w:val="22"/>
        </w:rPr>
        <w:t xml:space="preserve">Aprepitant Sandoz </w:t>
      </w:r>
      <w:r w:rsidRPr="007A17AE">
        <w:rPr>
          <w:sz w:val="22"/>
          <w:szCs w:val="22"/>
        </w:rPr>
        <w:t>vartojant kortikosteroido, pvz., deksametazono, turi būti vartojama 50</w:t>
      </w:r>
      <w:r w:rsidR="00A34D77">
        <w:rPr>
          <w:sz w:val="22"/>
          <w:szCs w:val="22"/>
        </w:rPr>
        <w:t> </w:t>
      </w:r>
      <w:r w:rsidRPr="007A17AE">
        <w:rPr>
          <w:sz w:val="22"/>
          <w:szCs w:val="22"/>
        </w:rPr>
        <w:t>% jo įprastinės dozės (žr. 4.5 ir</w:t>
      </w:r>
      <w:r w:rsidR="00593C30" w:rsidRPr="007A17AE">
        <w:rPr>
          <w:sz w:val="22"/>
          <w:szCs w:val="22"/>
        </w:rPr>
        <w:t xml:space="preserve"> </w:t>
      </w:r>
      <w:r w:rsidRPr="007A17AE">
        <w:rPr>
          <w:sz w:val="22"/>
          <w:szCs w:val="22"/>
        </w:rPr>
        <w:t>5.1 skyrius).</w:t>
      </w:r>
    </w:p>
    <w:p w14:paraId="5DF1867D" w14:textId="77777777" w:rsidR="00802C2C" w:rsidRPr="007A17AE" w:rsidRDefault="00802C2C" w:rsidP="007A17AE">
      <w:pPr>
        <w:pStyle w:val="Default"/>
        <w:contextualSpacing/>
        <w:rPr>
          <w:sz w:val="22"/>
          <w:szCs w:val="22"/>
        </w:rPr>
      </w:pPr>
      <w:r w:rsidRPr="007A17AE">
        <w:rPr>
          <w:sz w:val="22"/>
          <w:szCs w:val="22"/>
        </w:rPr>
        <w:t>Jaunesniems kaip 12</w:t>
      </w:r>
      <w:r w:rsidR="00A34D77">
        <w:rPr>
          <w:sz w:val="22"/>
          <w:szCs w:val="22"/>
        </w:rPr>
        <w:t> </w:t>
      </w:r>
      <w:r w:rsidRPr="007A17AE">
        <w:rPr>
          <w:sz w:val="22"/>
          <w:szCs w:val="22"/>
        </w:rPr>
        <w:t xml:space="preserve">metų vaikams </w:t>
      </w:r>
      <w:r w:rsidR="00593C30" w:rsidRPr="007A17AE">
        <w:rPr>
          <w:sz w:val="22"/>
          <w:szCs w:val="22"/>
        </w:rPr>
        <w:t xml:space="preserve">Aprepitant Sandoz </w:t>
      </w:r>
      <w:r w:rsidRPr="007A17AE">
        <w:rPr>
          <w:sz w:val="22"/>
          <w:szCs w:val="22"/>
        </w:rPr>
        <w:t>80</w:t>
      </w:r>
      <w:r w:rsidR="00A34D77">
        <w:rPr>
          <w:sz w:val="22"/>
          <w:szCs w:val="22"/>
        </w:rPr>
        <w:t> </w:t>
      </w:r>
      <w:r w:rsidRPr="007A17AE">
        <w:rPr>
          <w:sz w:val="22"/>
          <w:szCs w:val="22"/>
        </w:rPr>
        <w:t xml:space="preserve">mg ir </w:t>
      </w:r>
      <w:r w:rsidR="00593C30" w:rsidRPr="007A17AE">
        <w:rPr>
          <w:sz w:val="22"/>
          <w:szCs w:val="22"/>
        </w:rPr>
        <w:t xml:space="preserve">Aprepitant Sandoz </w:t>
      </w:r>
      <w:r w:rsidRPr="007A17AE">
        <w:rPr>
          <w:sz w:val="22"/>
          <w:szCs w:val="22"/>
        </w:rPr>
        <w:t>125</w:t>
      </w:r>
      <w:r w:rsidR="00A34D77">
        <w:rPr>
          <w:sz w:val="22"/>
          <w:szCs w:val="22"/>
        </w:rPr>
        <w:t> </w:t>
      </w:r>
      <w:r w:rsidRPr="007A17AE">
        <w:rPr>
          <w:sz w:val="22"/>
          <w:szCs w:val="22"/>
        </w:rPr>
        <w:t>mg kapsulių saugumas ir veiksmingumas neištirti.</w:t>
      </w:r>
      <w:r w:rsidR="00593C30" w:rsidRPr="007A17AE">
        <w:rPr>
          <w:sz w:val="22"/>
          <w:szCs w:val="22"/>
        </w:rPr>
        <w:t xml:space="preserve"> </w:t>
      </w:r>
      <w:r w:rsidRPr="007A17AE">
        <w:rPr>
          <w:sz w:val="22"/>
          <w:szCs w:val="22"/>
        </w:rPr>
        <w:t xml:space="preserve">Duomenų nėra. </w:t>
      </w:r>
      <w:r w:rsidR="005437D2" w:rsidRPr="007A17AE">
        <w:rPr>
          <w:sz w:val="22"/>
          <w:szCs w:val="22"/>
        </w:rPr>
        <w:t>Tinkamas d</w:t>
      </w:r>
      <w:r w:rsidRPr="007A17AE">
        <w:rPr>
          <w:sz w:val="22"/>
          <w:szCs w:val="22"/>
        </w:rPr>
        <w:t>ozavimas kūdikiams ir vaikams nuo 6</w:t>
      </w:r>
      <w:r w:rsidR="00A34D77">
        <w:rPr>
          <w:sz w:val="22"/>
          <w:szCs w:val="22"/>
        </w:rPr>
        <w:t> </w:t>
      </w:r>
      <w:r w:rsidRPr="007A17AE">
        <w:rPr>
          <w:sz w:val="22"/>
          <w:szCs w:val="22"/>
        </w:rPr>
        <w:t>mėn. iki 12</w:t>
      </w:r>
      <w:r w:rsidR="00A34D77">
        <w:rPr>
          <w:sz w:val="22"/>
          <w:szCs w:val="22"/>
        </w:rPr>
        <w:t> </w:t>
      </w:r>
      <w:r w:rsidRPr="007A17AE">
        <w:rPr>
          <w:sz w:val="22"/>
          <w:szCs w:val="22"/>
        </w:rPr>
        <w:t xml:space="preserve">metų </w:t>
      </w:r>
      <w:r w:rsidR="005437D2" w:rsidRPr="007A17AE">
        <w:rPr>
          <w:sz w:val="22"/>
          <w:szCs w:val="22"/>
        </w:rPr>
        <w:t>nurodytas</w:t>
      </w:r>
      <w:r w:rsidRPr="007A17AE">
        <w:rPr>
          <w:sz w:val="22"/>
          <w:szCs w:val="22"/>
        </w:rPr>
        <w:t xml:space="preserve"> miltelių</w:t>
      </w:r>
      <w:r w:rsidR="00593C30" w:rsidRPr="007A17AE">
        <w:rPr>
          <w:sz w:val="22"/>
          <w:szCs w:val="22"/>
        </w:rPr>
        <w:t xml:space="preserve"> </w:t>
      </w:r>
      <w:r w:rsidRPr="007A17AE">
        <w:rPr>
          <w:sz w:val="22"/>
          <w:szCs w:val="22"/>
        </w:rPr>
        <w:t>geriamai suspensijai PCS.</w:t>
      </w:r>
    </w:p>
    <w:p w14:paraId="15C15024" w14:textId="77777777" w:rsidR="005437D2" w:rsidRPr="007A17AE" w:rsidRDefault="005437D2" w:rsidP="007A17AE">
      <w:pPr>
        <w:pStyle w:val="Default"/>
        <w:contextualSpacing/>
        <w:rPr>
          <w:sz w:val="22"/>
          <w:szCs w:val="22"/>
        </w:rPr>
      </w:pPr>
    </w:p>
    <w:p w14:paraId="342C29AE" w14:textId="77777777" w:rsidR="00802C2C" w:rsidRPr="00F122CC" w:rsidRDefault="00802C2C" w:rsidP="007A17AE">
      <w:pPr>
        <w:pStyle w:val="Default"/>
        <w:contextualSpacing/>
        <w:rPr>
          <w:i/>
          <w:sz w:val="22"/>
          <w:szCs w:val="22"/>
          <w:u w:val="single"/>
        </w:rPr>
      </w:pPr>
      <w:r w:rsidRPr="00F122CC">
        <w:rPr>
          <w:i/>
          <w:sz w:val="22"/>
          <w:szCs w:val="22"/>
          <w:u w:val="single"/>
        </w:rPr>
        <w:t>Bendra informacija</w:t>
      </w:r>
    </w:p>
    <w:p w14:paraId="1D47BF52" w14:textId="77777777" w:rsidR="00802C2C" w:rsidRPr="007A17AE" w:rsidRDefault="00802C2C" w:rsidP="007A17AE">
      <w:pPr>
        <w:pStyle w:val="Default"/>
        <w:contextualSpacing/>
        <w:rPr>
          <w:sz w:val="22"/>
          <w:szCs w:val="22"/>
        </w:rPr>
      </w:pPr>
      <w:r w:rsidRPr="007A17AE">
        <w:rPr>
          <w:sz w:val="22"/>
          <w:szCs w:val="22"/>
        </w:rPr>
        <w:t>Duomenų apie derinio su kitais kortikosteroidais ir 5-HT</w:t>
      </w:r>
      <w:r w:rsidRPr="00F122CC">
        <w:rPr>
          <w:rFonts w:eastAsia="Times New Roman"/>
          <w:color w:val="auto"/>
          <w:spacing w:val="-1"/>
          <w:position w:val="1"/>
          <w:sz w:val="22"/>
          <w:szCs w:val="22"/>
          <w:vertAlign w:val="subscript"/>
          <w:lang w:eastAsia="en-GB"/>
        </w:rPr>
        <w:t>3</w:t>
      </w:r>
      <w:r w:rsidRPr="007A17AE">
        <w:rPr>
          <w:sz w:val="22"/>
          <w:szCs w:val="22"/>
        </w:rPr>
        <w:t xml:space="preserve"> antagonistais veiksmingumą yra mažai.</w:t>
      </w:r>
      <w:r w:rsidR="005437D2" w:rsidRPr="007A17AE">
        <w:rPr>
          <w:sz w:val="22"/>
          <w:szCs w:val="22"/>
        </w:rPr>
        <w:t xml:space="preserve"> </w:t>
      </w:r>
      <w:r w:rsidRPr="007A17AE">
        <w:rPr>
          <w:sz w:val="22"/>
          <w:szCs w:val="22"/>
        </w:rPr>
        <w:t xml:space="preserve">Papildomos informacijos apie </w:t>
      </w:r>
      <w:r w:rsidR="005437D2" w:rsidRPr="007A17AE">
        <w:rPr>
          <w:sz w:val="22"/>
          <w:szCs w:val="22"/>
        </w:rPr>
        <w:t>Aprepitant Sandoz</w:t>
      </w:r>
      <w:r w:rsidRPr="007A17AE">
        <w:rPr>
          <w:sz w:val="22"/>
          <w:szCs w:val="22"/>
        </w:rPr>
        <w:t xml:space="preserve"> vartojimą su kortikosteroidais pateikta 4.5 skyriuje. </w:t>
      </w:r>
      <w:r w:rsidR="005437D2" w:rsidRPr="007A17AE">
        <w:rPr>
          <w:sz w:val="22"/>
          <w:szCs w:val="22"/>
        </w:rPr>
        <w:t>Prašom</w:t>
      </w:r>
      <w:r w:rsidR="005223CE" w:rsidRPr="007A17AE">
        <w:rPr>
          <w:sz w:val="22"/>
          <w:szCs w:val="22"/>
        </w:rPr>
        <w:t>e</w:t>
      </w:r>
      <w:r w:rsidR="005437D2" w:rsidRPr="007A17AE">
        <w:rPr>
          <w:sz w:val="22"/>
          <w:szCs w:val="22"/>
        </w:rPr>
        <w:t xml:space="preserve"> remtis </w:t>
      </w:r>
      <w:r w:rsidRPr="007A17AE">
        <w:rPr>
          <w:sz w:val="22"/>
          <w:szCs w:val="22"/>
        </w:rPr>
        <w:t>kartu skiriamo 5-HT</w:t>
      </w:r>
      <w:r w:rsidRPr="00F122CC">
        <w:rPr>
          <w:rFonts w:eastAsia="Times New Roman"/>
          <w:color w:val="auto"/>
          <w:spacing w:val="-1"/>
          <w:position w:val="1"/>
          <w:sz w:val="22"/>
          <w:szCs w:val="22"/>
          <w:vertAlign w:val="subscript"/>
          <w:lang w:eastAsia="en-GB"/>
        </w:rPr>
        <w:t>3</w:t>
      </w:r>
      <w:r w:rsidRPr="007A17AE">
        <w:rPr>
          <w:sz w:val="22"/>
          <w:szCs w:val="22"/>
        </w:rPr>
        <w:t xml:space="preserve"> antagonisto PCS.</w:t>
      </w:r>
    </w:p>
    <w:p w14:paraId="64836EB9" w14:textId="77777777" w:rsidR="005437D2" w:rsidRPr="007A17AE" w:rsidRDefault="005437D2" w:rsidP="007A17AE">
      <w:pPr>
        <w:pStyle w:val="Default"/>
        <w:contextualSpacing/>
        <w:rPr>
          <w:sz w:val="22"/>
          <w:szCs w:val="22"/>
        </w:rPr>
      </w:pPr>
    </w:p>
    <w:p w14:paraId="213BA96B" w14:textId="77777777" w:rsidR="00802C2C" w:rsidRPr="007A17AE" w:rsidRDefault="00802C2C" w:rsidP="007A17AE">
      <w:pPr>
        <w:pStyle w:val="Default"/>
        <w:contextualSpacing/>
        <w:rPr>
          <w:i/>
          <w:sz w:val="22"/>
          <w:szCs w:val="22"/>
          <w:u w:val="single"/>
        </w:rPr>
      </w:pPr>
      <w:r w:rsidRPr="007A17AE">
        <w:rPr>
          <w:i/>
          <w:sz w:val="22"/>
          <w:szCs w:val="22"/>
          <w:u w:val="single"/>
        </w:rPr>
        <w:t xml:space="preserve">Ypatingos </w:t>
      </w:r>
      <w:r w:rsidR="005437D2" w:rsidRPr="007A17AE">
        <w:rPr>
          <w:i/>
          <w:sz w:val="22"/>
          <w:szCs w:val="22"/>
          <w:u w:val="single"/>
        </w:rPr>
        <w:t>populiacijos</w:t>
      </w:r>
    </w:p>
    <w:p w14:paraId="08DF2B2B" w14:textId="77777777" w:rsidR="00E20467" w:rsidRPr="007A17AE" w:rsidRDefault="00E20467" w:rsidP="007A17AE">
      <w:pPr>
        <w:pStyle w:val="Default"/>
        <w:contextualSpacing/>
        <w:rPr>
          <w:i/>
          <w:iCs/>
          <w:sz w:val="22"/>
          <w:szCs w:val="22"/>
        </w:rPr>
      </w:pPr>
      <w:r w:rsidRPr="007A17AE">
        <w:rPr>
          <w:i/>
          <w:iCs/>
          <w:sz w:val="22"/>
          <w:szCs w:val="22"/>
        </w:rPr>
        <w:t>Senyviems (≥</w:t>
      </w:r>
      <w:r w:rsidR="005223CE" w:rsidRPr="007A17AE">
        <w:rPr>
          <w:i/>
          <w:iCs/>
          <w:sz w:val="22"/>
          <w:szCs w:val="22"/>
        </w:rPr>
        <w:t> </w:t>
      </w:r>
      <w:r w:rsidRPr="007A17AE">
        <w:rPr>
          <w:i/>
          <w:iCs/>
          <w:sz w:val="22"/>
          <w:szCs w:val="22"/>
        </w:rPr>
        <w:t>65 metų) pacientams</w:t>
      </w:r>
    </w:p>
    <w:p w14:paraId="7487B40F" w14:textId="77777777" w:rsidR="00802C2C" w:rsidRPr="007A17AE" w:rsidRDefault="00802C2C" w:rsidP="007A17AE">
      <w:pPr>
        <w:pStyle w:val="Default"/>
        <w:contextualSpacing/>
        <w:rPr>
          <w:sz w:val="22"/>
          <w:szCs w:val="22"/>
        </w:rPr>
      </w:pPr>
      <w:r w:rsidRPr="007A17AE">
        <w:rPr>
          <w:sz w:val="22"/>
          <w:szCs w:val="22"/>
        </w:rPr>
        <w:t>Senyviems žmonėms dozės koreguoti nereikia (žr. 5.2 skyrių).</w:t>
      </w:r>
    </w:p>
    <w:p w14:paraId="1513A06F" w14:textId="77777777" w:rsidR="00E20467" w:rsidRPr="007A17AE" w:rsidRDefault="00E20467" w:rsidP="007A17AE">
      <w:pPr>
        <w:pStyle w:val="Default"/>
        <w:contextualSpacing/>
        <w:rPr>
          <w:sz w:val="22"/>
          <w:szCs w:val="22"/>
        </w:rPr>
      </w:pPr>
    </w:p>
    <w:p w14:paraId="2CFE74E7" w14:textId="77777777" w:rsidR="00802C2C" w:rsidRPr="00F122CC" w:rsidRDefault="00802C2C" w:rsidP="007A17AE">
      <w:pPr>
        <w:pStyle w:val="Default"/>
        <w:contextualSpacing/>
        <w:rPr>
          <w:i/>
          <w:sz w:val="22"/>
          <w:szCs w:val="22"/>
        </w:rPr>
      </w:pPr>
      <w:r w:rsidRPr="00F122CC">
        <w:rPr>
          <w:i/>
          <w:sz w:val="22"/>
          <w:szCs w:val="22"/>
        </w:rPr>
        <w:t>Lytis</w:t>
      </w:r>
    </w:p>
    <w:p w14:paraId="38D78CB2" w14:textId="77777777" w:rsidR="00802C2C" w:rsidRPr="007A17AE" w:rsidRDefault="00802C2C" w:rsidP="007A17AE">
      <w:pPr>
        <w:pStyle w:val="Default"/>
        <w:contextualSpacing/>
        <w:rPr>
          <w:sz w:val="22"/>
          <w:szCs w:val="22"/>
        </w:rPr>
      </w:pPr>
      <w:r w:rsidRPr="007A17AE">
        <w:rPr>
          <w:sz w:val="22"/>
          <w:szCs w:val="22"/>
        </w:rPr>
        <w:lastRenderedPageBreak/>
        <w:t>Dėl lyties dozės koreguoti nereikia (žr. 5.2 skyrių).</w:t>
      </w:r>
    </w:p>
    <w:p w14:paraId="403D6D25" w14:textId="77777777" w:rsidR="00E20467" w:rsidRPr="007A17AE" w:rsidRDefault="00E20467" w:rsidP="007A17AE">
      <w:pPr>
        <w:pStyle w:val="Default"/>
        <w:contextualSpacing/>
        <w:rPr>
          <w:sz w:val="22"/>
          <w:szCs w:val="22"/>
        </w:rPr>
      </w:pPr>
    </w:p>
    <w:p w14:paraId="0F90EE2D" w14:textId="77777777" w:rsidR="00E20467" w:rsidRPr="007A17AE" w:rsidRDefault="00E20467" w:rsidP="007A17AE">
      <w:pPr>
        <w:pStyle w:val="Default"/>
        <w:contextualSpacing/>
        <w:rPr>
          <w:i/>
          <w:sz w:val="22"/>
          <w:szCs w:val="22"/>
        </w:rPr>
      </w:pPr>
      <w:r w:rsidRPr="007A17AE">
        <w:rPr>
          <w:i/>
          <w:sz w:val="22"/>
          <w:szCs w:val="22"/>
        </w:rPr>
        <w:t xml:space="preserve">Pacientams, kurių inkstų funkcija sutrikusi </w:t>
      </w:r>
    </w:p>
    <w:p w14:paraId="460DDDA2" w14:textId="77777777" w:rsidR="00802C2C" w:rsidRPr="007A17AE" w:rsidRDefault="00802C2C" w:rsidP="007A17AE">
      <w:pPr>
        <w:pStyle w:val="Default"/>
        <w:contextualSpacing/>
        <w:rPr>
          <w:sz w:val="22"/>
          <w:szCs w:val="22"/>
        </w:rPr>
      </w:pPr>
      <w:r w:rsidRPr="007A17AE">
        <w:rPr>
          <w:sz w:val="22"/>
          <w:szCs w:val="22"/>
        </w:rPr>
        <w:t xml:space="preserve">Pacientams, kurių inkstų funkcija sutrikusi, ar pacientams, </w:t>
      </w:r>
      <w:r w:rsidR="00E20467" w:rsidRPr="007A17AE">
        <w:rPr>
          <w:sz w:val="22"/>
          <w:szCs w:val="22"/>
        </w:rPr>
        <w:t xml:space="preserve">kuriems yra galutinės stadijos inkstų liga ir taikoma </w:t>
      </w:r>
      <w:r w:rsidRPr="007A17AE">
        <w:rPr>
          <w:sz w:val="22"/>
          <w:szCs w:val="22"/>
        </w:rPr>
        <w:t>hemodializ</w:t>
      </w:r>
      <w:r w:rsidR="00E20467" w:rsidRPr="007A17AE">
        <w:rPr>
          <w:sz w:val="22"/>
          <w:szCs w:val="22"/>
        </w:rPr>
        <w:t>ė</w:t>
      </w:r>
      <w:r w:rsidRPr="007A17AE">
        <w:rPr>
          <w:sz w:val="22"/>
          <w:szCs w:val="22"/>
        </w:rPr>
        <w:t>, dozės koreguoti nereikia (žr. 5.2 skyrių).</w:t>
      </w:r>
    </w:p>
    <w:p w14:paraId="1CFC6CEA" w14:textId="77777777" w:rsidR="00E20467" w:rsidRPr="007A17AE" w:rsidRDefault="00E20467" w:rsidP="007A17AE">
      <w:pPr>
        <w:pStyle w:val="Default"/>
        <w:contextualSpacing/>
        <w:rPr>
          <w:sz w:val="22"/>
          <w:szCs w:val="22"/>
        </w:rPr>
      </w:pPr>
    </w:p>
    <w:p w14:paraId="1AEB176A" w14:textId="77777777" w:rsidR="00802C2C" w:rsidRPr="007A17AE" w:rsidRDefault="00E20467" w:rsidP="007A17AE">
      <w:pPr>
        <w:pStyle w:val="Default"/>
        <w:contextualSpacing/>
        <w:rPr>
          <w:i/>
          <w:sz w:val="22"/>
          <w:szCs w:val="22"/>
        </w:rPr>
      </w:pPr>
      <w:r w:rsidRPr="007A17AE">
        <w:rPr>
          <w:i/>
          <w:sz w:val="22"/>
          <w:szCs w:val="22"/>
        </w:rPr>
        <w:t>Pacientams, kurių kepenų funkcija sutrikusi</w:t>
      </w:r>
    </w:p>
    <w:p w14:paraId="47EDFF25" w14:textId="77777777" w:rsidR="00802C2C" w:rsidRPr="007A17AE" w:rsidRDefault="00802C2C" w:rsidP="007A17AE">
      <w:pPr>
        <w:pStyle w:val="Default"/>
        <w:contextualSpacing/>
        <w:rPr>
          <w:sz w:val="22"/>
          <w:szCs w:val="22"/>
        </w:rPr>
      </w:pPr>
      <w:r w:rsidRPr="007A17AE">
        <w:rPr>
          <w:sz w:val="22"/>
          <w:szCs w:val="22"/>
        </w:rPr>
        <w:t xml:space="preserve">Pacientams, kuriems yra lengvas kepenų funkcijos sutrikimas, dozės koreguoti nereikia. </w:t>
      </w:r>
      <w:r w:rsidR="00E20467" w:rsidRPr="007A17AE">
        <w:rPr>
          <w:sz w:val="22"/>
          <w:szCs w:val="22"/>
        </w:rPr>
        <w:t>Yra mažai d</w:t>
      </w:r>
      <w:r w:rsidRPr="007A17AE">
        <w:rPr>
          <w:sz w:val="22"/>
          <w:szCs w:val="22"/>
        </w:rPr>
        <w:t xml:space="preserve">uomenų apie </w:t>
      </w:r>
      <w:r w:rsidR="00E20467" w:rsidRPr="007A17AE">
        <w:rPr>
          <w:sz w:val="22"/>
          <w:szCs w:val="22"/>
        </w:rPr>
        <w:t>pacientus</w:t>
      </w:r>
      <w:r w:rsidRPr="007A17AE">
        <w:rPr>
          <w:sz w:val="22"/>
          <w:szCs w:val="22"/>
        </w:rPr>
        <w:t xml:space="preserve">, kuriems yra vidutinio sunkumo kepenų funkcijos sutrikimas, ir </w:t>
      </w:r>
      <w:r w:rsidR="00E20467" w:rsidRPr="007A17AE">
        <w:rPr>
          <w:sz w:val="22"/>
          <w:szCs w:val="22"/>
        </w:rPr>
        <w:t xml:space="preserve">nėra </w:t>
      </w:r>
      <w:r w:rsidRPr="007A17AE">
        <w:rPr>
          <w:sz w:val="22"/>
          <w:szCs w:val="22"/>
        </w:rPr>
        <w:t>duomenų</w:t>
      </w:r>
      <w:r w:rsidR="00E20467" w:rsidRPr="007A17AE">
        <w:rPr>
          <w:sz w:val="22"/>
          <w:szCs w:val="22"/>
        </w:rPr>
        <w:t xml:space="preserve"> </w:t>
      </w:r>
      <w:r w:rsidRPr="007A17AE">
        <w:rPr>
          <w:sz w:val="22"/>
          <w:szCs w:val="22"/>
        </w:rPr>
        <w:t>apie tuos, kuriems yra sunkus kepenų funkcijos sutrikimas</w:t>
      </w:r>
      <w:r w:rsidR="00E20467" w:rsidRPr="007A17AE">
        <w:rPr>
          <w:sz w:val="22"/>
          <w:szCs w:val="22"/>
        </w:rPr>
        <w:t>.</w:t>
      </w:r>
      <w:r w:rsidRPr="007A17AE">
        <w:rPr>
          <w:sz w:val="22"/>
          <w:szCs w:val="22"/>
        </w:rPr>
        <w:t xml:space="preserve"> Tokiems pacientams </w:t>
      </w:r>
      <w:r w:rsidR="00E20467" w:rsidRPr="007A17AE">
        <w:rPr>
          <w:sz w:val="22"/>
          <w:szCs w:val="22"/>
        </w:rPr>
        <w:t>Aprepitant Sandoz turi būti skiriama atsargiai</w:t>
      </w:r>
      <w:r w:rsidRPr="007A17AE">
        <w:rPr>
          <w:sz w:val="22"/>
          <w:szCs w:val="22"/>
        </w:rPr>
        <w:t xml:space="preserve"> (žr. 4.4 ir 5.2 skyrius).</w:t>
      </w:r>
    </w:p>
    <w:p w14:paraId="10620CC8" w14:textId="77777777" w:rsidR="00E20467" w:rsidRPr="007A17AE" w:rsidRDefault="00E20467" w:rsidP="007A17AE">
      <w:pPr>
        <w:pStyle w:val="Default"/>
        <w:contextualSpacing/>
        <w:rPr>
          <w:sz w:val="22"/>
          <w:szCs w:val="22"/>
        </w:rPr>
      </w:pPr>
    </w:p>
    <w:p w14:paraId="1C90FC12" w14:textId="77777777" w:rsidR="00802C2C" w:rsidRPr="007A17AE" w:rsidRDefault="00802C2C" w:rsidP="007A17AE">
      <w:pPr>
        <w:pStyle w:val="Default"/>
        <w:contextualSpacing/>
        <w:rPr>
          <w:sz w:val="22"/>
          <w:szCs w:val="22"/>
          <w:u w:val="single"/>
        </w:rPr>
      </w:pPr>
      <w:r w:rsidRPr="007A17AE">
        <w:rPr>
          <w:sz w:val="22"/>
          <w:szCs w:val="22"/>
          <w:u w:val="single"/>
        </w:rPr>
        <w:t xml:space="preserve">Vartojimo </w:t>
      </w:r>
      <w:r w:rsidR="00E20467" w:rsidRPr="007A17AE">
        <w:rPr>
          <w:sz w:val="22"/>
          <w:szCs w:val="22"/>
          <w:u w:val="single"/>
        </w:rPr>
        <w:t>metodas</w:t>
      </w:r>
    </w:p>
    <w:p w14:paraId="012306D9" w14:textId="77777777" w:rsidR="00802C2C" w:rsidRPr="007A17AE" w:rsidRDefault="00802C2C" w:rsidP="007A17AE">
      <w:pPr>
        <w:pStyle w:val="Default"/>
        <w:contextualSpacing/>
        <w:rPr>
          <w:sz w:val="22"/>
          <w:szCs w:val="22"/>
        </w:rPr>
      </w:pPr>
      <w:r w:rsidRPr="007A17AE">
        <w:rPr>
          <w:sz w:val="22"/>
          <w:szCs w:val="22"/>
        </w:rPr>
        <w:t>Kiet</w:t>
      </w:r>
      <w:r w:rsidR="00E20467" w:rsidRPr="007A17AE">
        <w:rPr>
          <w:sz w:val="22"/>
          <w:szCs w:val="22"/>
        </w:rPr>
        <w:t>oji kapsulė turi būti nuryta sveika.</w:t>
      </w:r>
    </w:p>
    <w:p w14:paraId="37CA712C" w14:textId="77777777" w:rsidR="00616F13" w:rsidRPr="007A17AE" w:rsidRDefault="00E20467" w:rsidP="007A17AE">
      <w:pPr>
        <w:pStyle w:val="Default"/>
        <w:contextualSpacing/>
        <w:rPr>
          <w:sz w:val="22"/>
          <w:szCs w:val="22"/>
        </w:rPr>
      </w:pPr>
      <w:r w:rsidRPr="007A17AE">
        <w:rPr>
          <w:sz w:val="22"/>
          <w:szCs w:val="22"/>
        </w:rPr>
        <w:t>Aprepitant</w:t>
      </w:r>
      <w:r w:rsidR="00494DC2" w:rsidRPr="007A17AE">
        <w:rPr>
          <w:sz w:val="22"/>
          <w:szCs w:val="22"/>
        </w:rPr>
        <w:t>o</w:t>
      </w:r>
      <w:r w:rsidRPr="007A17AE">
        <w:rPr>
          <w:sz w:val="22"/>
          <w:szCs w:val="22"/>
        </w:rPr>
        <w:t xml:space="preserve"> gali būti geriama</w:t>
      </w:r>
      <w:r w:rsidR="00494DC2" w:rsidRPr="007A17AE">
        <w:rPr>
          <w:sz w:val="22"/>
          <w:szCs w:val="22"/>
        </w:rPr>
        <w:t xml:space="preserve"> valgio metu arba</w:t>
      </w:r>
      <w:r w:rsidRPr="007A17AE">
        <w:rPr>
          <w:sz w:val="22"/>
          <w:szCs w:val="22"/>
        </w:rPr>
        <w:t xml:space="preserve"> kitu laiku</w:t>
      </w:r>
      <w:r w:rsidR="00802C2C" w:rsidRPr="007A17AE">
        <w:rPr>
          <w:sz w:val="22"/>
          <w:szCs w:val="22"/>
        </w:rPr>
        <w:t>.</w:t>
      </w:r>
    </w:p>
    <w:p w14:paraId="6C64839E" w14:textId="77777777" w:rsidR="00616F13" w:rsidRPr="007A17AE" w:rsidRDefault="00616F13" w:rsidP="007A17AE">
      <w:pPr>
        <w:pStyle w:val="Default"/>
        <w:contextualSpacing/>
        <w:rPr>
          <w:sz w:val="22"/>
          <w:szCs w:val="22"/>
        </w:rPr>
      </w:pPr>
    </w:p>
    <w:p w14:paraId="671A3982" w14:textId="77777777" w:rsidR="00E16406" w:rsidRPr="007A17AE" w:rsidRDefault="00E16406" w:rsidP="007A17AE">
      <w:pPr>
        <w:pStyle w:val="Default"/>
        <w:ind w:left="567" w:hanging="568"/>
        <w:contextualSpacing/>
        <w:rPr>
          <w:sz w:val="22"/>
          <w:szCs w:val="22"/>
        </w:rPr>
      </w:pPr>
      <w:r w:rsidRPr="007A17AE">
        <w:rPr>
          <w:b/>
          <w:bCs/>
          <w:sz w:val="22"/>
          <w:szCs w:val="22"/>
        </w:rPr>
        <w:t>4.3</w:t>
      </w:r>
      <w:r w:rsidRPr="007A17AE">
        <w:rPr>
          <w:b/>
          <w:bCs/>
          <w:sz w:val="22"/>
          <w:szCs w:val="22"/>
        </w:rPr>
        <w:tab/>
        <w:t xml:space="preserve">Kontraindikacijos </w:t>
      </w:r>
    </w:p>
    <w:p w14:paraId="741D2CD4" w14:textId="77777777" w:rsidR="00E16406" w:rsidRPr="007A17AE" w:rsidRDefault="00E16406" w:rsidP="007A17AE">
      <w:pPr>
        <w:pStyle w:val="Default"/>
        <w:contextualSpacing/>
        <w:rPr>
          <w:sz w:val="22"/>
          <w:szCs w:val="22"/>
        </w:rPr>
      </w:pPr>
    </w:p>
    <w:p w14:paraId="1E4DC3D8" w14:textId="77777777" w:rsidR="00E16406" w:rsidRPr="007A17AE" w:rsidRDefault="00E16406" w:rsidP="007A17AE">
      <w:pPr>
        <w:pStyle w:val="Default"/>
        <w:contextualSpacing/>
        <w:rPr>
          <w:sz w:val="22"/>
          <w:szCs w:val="22"/>
        </w:rPr>
      </w:pPr>
      <w:r w:rsidRPr="007A17AE">
        <w:rPr>
          <w:sz w:val="22"/>
          <w:szCs w:val="22"/>
        </w:rPr>
        <w:t xml:space="preserve">Padidėjęs jautrumas veikliajai arba bet kuriai 6.1 skyriuje nurodytai pagalbinei medžiagai. </w:t>
      </w:r>
    </w:p>
    <w:p w14:paraId="285EEEA4" w14:textId="77777777" w:rsidR="00E16406" w:rsidRPr="007A17AE" w:rsidRDefault="00607C4B" w:rsidP="007A17AE">
      <w:pPr>
        <w:pStyle w:val="Default"/>
        <w:contextualSpacing/>
        <w:rPr>
          <w:sz w:val="22"/>
          <w:szCs w:val="22"/>
        </w:rPr>
      </w:pPr>
      <w:r w:rsidRPr="007A17AE">
        <w:rPr>
          <w:sz w:val="22"/>
          <w:szCs w:val="22"/>
        </w:rPr>
        <w:t>Vartojimas kartu su pimozidu, terfenadinu, astemizolu ar cisapridu (žr. 4.5 skyrių).</w:t>
      </w:r>
    </w:p>
    <w:p w14:paraId="5CF5D3C1" w14:textId="77777777" w:rsidR="00855947" w:rsidRPr="007A17AE" w:rsidRDefault="00855947" w:rsidP="007A17AE">
      <w:pPr>
        <w:spacing w:line="240" w:lineRule="auto"/>
        <w:contextualSpacing/>
        <w:rPr>
          <w:szCs w:val="22"/>
        </w:rPr>
      </w:pPr>
    </w:p>
    <w:p w14:paraId="5DC98C92" w14:textId="77777777" w:rsidR="00077EF2" w:rsidRPr="007A17AE" w:rsidRDefault="00077EF2" w:rsidP="007A17AE">
      <w:pPr>
        <w:spacing w:line="240" w:lineRule="auto"/>
        <w:ind w:left="567" w:hanging="567"/>
        <w:contextualSpacing/>
        <w:rPr>
          <w:b/>
          <w:szCs w:val="22"/>
        </w:rPr>
      </w:pPr>
      <w:r w:rsidRPr="007A17AE">
        <w:rPr>
          <w:b/>
          <w:szCs w:val="22"/>
        </w:rPr>
        <w:t>4.4</w:t>
      </w:r>
      <w:r w:rsidRPr="007A17AE">
        <w:rPr>
          <w:b/>
          <w:szCs w:val="22"/>
        </w:rPr>
        <w:tab/>
        <w:t>Specialūs įspėjimai ir atsargumo priemonės</w:t>
      </w:r>
    </w:p>
    <w:p w14:paraId="1822A7BD" w14:textId="77777777" w:rsidR="00AB4527" w:rsidRPr="007A17AE" w:rsidRDefault="00AB4527" w:rsidP="007A17AE">
      <w:pPr>
        <w:spacing w:line="240" w:lineRule="auto"/>
        <w:ind w:left="567" w:hanging="567"/>
        <w:contextualSpacing/>
        <w:rPr>
          <w:szCs w:val="22"/>
        </w:rPr>
      </w:pPr>
    </w:p>
    <w:p w14:paraId="0489CA51" w14:textId="77777777" w:rsidR="00AB4527" w:rsidRPr="007A17AE" w:rsidRDefault="00AB4527" w:rsidP="007A17AE">
      <w:pPr>
        <w:spacing w:line="240" w:lineRule="auto"/>
        <w:ind w:left="567" w:hanging="567"/>
        <w:contextualSpacing/>
        <w:rPr>
          <w:szCs w:val="22"/>
          <w:u w:val="single"/>
        </w:rPr>
      </w:pPr>
      <w:r w:rsidRPr="007A17AE">
        <w:rPr>
          <w:szCs w:val="22"/>
          <w:u w:val="single"/>
        </w:rPr>
        <w:t>Pacientai, kuriems yra vidutinio sunkumo arba sunkus kepenų funkcijos sutrikimas</w:t>
      </w:r>
    </w:p>
    <w:p w14:paraId="352331EF" w14:textId="77777777" w:rsidR="00AB4527" w:rsidRPr="007A17AE" w:rsidRDefault="00AB4527" w:rsidP="007A17AE">
      <w:pPr>
        <w:tabs>
          <w:tab w:val="clear" w:pos="567"/>
          <w:tab w:val="left" w:pos="0"/>
        </w:tabs>
        <w:spacing w:line="240" w:lineRule="auto"/>
        <w:contextualSpacing/>
        <w:rPr>
          <w:szCs w:val="22"/>
        </w:rPr>
      </w:pPr>
      <w:r w:rsidRPr="007A17AE">
        <w:rPr>
          <w:szCs w:val="22"/>
        </w:rPr>
        <w:t>Duomenų apie pacientus, kuriems yra vidutinio sunkumo kepenų funkcijos sutrikimas, yra nedaug, o duomenų apie tuos, kuriems yra sunkus kepenų funkcijos sutrikimas, nėra. Aprepitanto šiems pacientams turi būti vartojama atsargiai (žr. 5.2 skyrių).</w:t>
      </w:r>
    </w:p>
    <w:p w14:paraId="223F739F" w14:textId="77777777" w:rsidR="00AB4527" w:rsidRPr="007A17AE" w:rsidRDefault="00AB4527" w:rsidP="007A17AE">
      <w:pPr>
        <w:spacing w:line="240" w:lineRule="auto"/>
        <w:ind w:left="567" w:hanging="567"/>
        <w:contextualSpacing/>
        <w:rPr>
          <w:szCs w:val="22"/>
        </w:rPr>
      </w:pPr>
    </w:p>
    <w:p w14:paraId="77434D69" w14:textId="77777777" w:rsidR="00AB4527" w:rsidRPr="007A17AE" w:rsidRDefault="00AB4527" w:rsidP="007A17AE">
      <w:pPr>
        <w:spacing w:line="240" w:lineRule="auto"/>
        <w:ind w:left="567" w:hanging="567"/>
        <w:contextualSpacing/>
        <w:rPr>
          <w:szCs w:val="22"/>
          <w:u w:val="single"/>
        </w:rPr>
      </w:pPr>
      <w:r w:rsidRPr="007A17AE">
        <w:rPr>
          <w:szCs w:val="22"/>
          <w:u w:val="single"/>
        </w:rPr>
        <w:t>CYP3A4 sąveikos</w:t>
      </w:r>
    </w:p>
    <w:p w14:paraId="6BFDAD41" w14:textId="77777777" w:rsidR="00AB4527" w:rsidRPr="007A17AE" w:rsidRDefault="00AB4527" w:rsidP="007A17AE">
      <w:pPr>
        <w:tabs>
          <w:tab w:val="clear" w:pos="567"/>
          <w:tab w:val="left" w:pos="0"/>
        </w:tabs>
        <w:spacing w:line="240" w:lineRule="auto"/>
        <w:contextualSpacing/>
        <w:rPr>
          <w:szCs w:val="22"/>
        </w:rPr>
      </w:pPr>
      <w:r w:rsidRPr="007A17AE">
        <w:rPr>
          <w:szCs w:val="22"/>
        </w:rPr>
        <w:t>Aprepitanto turi būti vartojama pacientams, kartu vartoja</w:t>
      </w:r>
      <w:r w:rsidR="00F21FAA" w:rsidRPr="007A17AE">
        <w:rPr>
          <w:szCs w:val="22"/>
        </w:rPr>
        <w:t>n</w:t>
      </w:r>
      <w:r w:rsidRPr="007A17AE">
        <w:rPr>
          <w:szCs w:val="22"/>
        </w:rPr>
        <w:t>tiems geriamų veikliųjų medžiagų, kurios metabolizuojam</w:t>
      </w:r>
      <w:r w:rsidR="00F21FAA" w:rsidRPr="007A17AE">
        <w:rPr>
          <w:szCs w:val="22"/>
        </w:rPr>
        <w:t>os</w:t>
      </w:r>
      <w:r w:rsidRPr="007A17AE">
        <w:rPr>
          <w:szCs w:val="22"/>
        </w:rPr>
        <w:t xml:space="preserve"> </w:t>
      </w:r>
      <w:r w:rsidR="00F21FAA" w:rsidRPr="007A17AE">
        <w:rPr>
          <w:szCs w:val="22"/>
        </w:rPr>
        <w:t xml:space="preserve">pirmiausiai </w:t>
      </w:r>
      <w:r w:rsidRPr="007A17AE">
        <w:rPr>
          <w:szCs w:val="22"/>
        </w:rPr>
        <w:t xml:space="preserve">CYP3A4 ir </w:t>
      </w:r>
      <w:r w:rsidR="00F21FAA" w:rsidRPr="007A17AE">
        <w:rPr>
          <w:szCs w:val="22"/>
        </w:rPr>
        <w:t>yra siauros terapinės platumos</w:t>
      </w:r>
      <w:r w:rsidRPr="007A17AE">
        <w:rPr>
          <w:szCs w:val="22"/>
        </w:rPr>
        <w:t>, tokių kaip ciklosporinas,</w:t>
      </w:r>
      <w:r w:rsidR="00F21FAA" w:rsidRPr="007A17AE">
        <w:rPr>
          <w:szCs w:val="22"/>
        </w:rPr>
        <w:t xml:space="preserve"> </w:t>
      </w:r>
      <w:r w:rsidRPr="007A17AE">
        <w:rPr>
          <w:szCs w:val="22"/>
        </w:rPr>
        <w:t>takrolimuzas, sirolimuzas, everolimuzas, alfentanilis, skalsių alkaloidų dariniai, fentanilis ir chinidinas</w:t>
      </w:r>
      <w:r w:rsidR="00F21FAA" w:rsidRPr="007A17AE">
        <w:rPr>
          <w:szCs w:val="22"/>
        </w:rPr>
        <w:t xml:space="preserve"> </w:t>
      </w:r>
      <w:r w:rsidRPr="007A17AE">
        <w:rPr>
          <w:szCs w:val="22"/>
        </w:rPr>
        <w:t xml:space="preserve">(žr. 4.5 skyrių). Be to, ypač atsargiai </w:t>
      </w:r>
      <w:r w:rsidR="00F21FAA" w:rsidRPr="007A17AE">
        <w:rPr>
          <w:szCs w:val="22"/>
        </w:rPr>
        <w:t xml:space="preserve">turi būti vartojama </w:t>
      </w:r>
      <w:r w:rsidRPr="007A17AE">
        <w:rPr>
          <w:szCs w:val="22"/>
        </w:rPr>
        <w:t xml:space="preserve">kartu </w:t>
      </w:r>
      <w:r w:rsidR="00F21FAA" w:rsidRPr="007A17AE">
        <w:rPr>
          <w:szCs w:val="22"/>
        </w:rPr>
        <w:t>su irinotekanu</w:t>
      </w:r>
      <w:r w:rsidRPr="007A17AE">
        <w:rPr>
          <w:szCs w:val="22"/>
        </w:rPr>
        <w:t>, nes toks derinys gali padidinti</w:t>
      </w:r>
      <w:r w:rsidR="00F21FAA" w:rsidRPr="007A17AE">
        <w:rPr>
          <w:szCs w:val="22"/>
        </w:rPr>
        <w:t xml:space="preserve"> </w:t>
      </w:r>
      <w:r w:rsidRPr="007A17AE">
        <w:rPr>
          <w:szCs w:val="22"/>
        </w:rPr>
        <w:t>toksiškumą.</w:t>
      </w:r>
    </w:p>
    <w:p w14:paraId="7DEC770B" w14:textId="77777777" w:rsidR="00F21FAA" w:rsidRPr="007A17AE" w:rsidRDefault="00F21FAA" w:rsidP="007A17AE">
      <w:pPr>
        <w:spacing w:line="240" w:lineRule="auto"/>
        <w:ind w:left="567" w:hanging="567"/>
        <w:contextualSpacing/>
        <w:rPr>
          <w:szCs w:val="22"/>
        </w:rPr>
      </w:pPr>
    </w:p>
    <w:p w14:paraId="739FD881" w14:textId="77777777" w:rsidR="00AB4527" w:rsidRPr="007A17AE" w:rsidRDefault="00AB4527" w:rsidP="007A17AE">
      <w:pPr>
        <w:spacing w:line="240" w:lineRule="auto"/>
        <w:ind w:left="567" w:hanging="567"/>
        <w:contextualSpacing/>
        <w:rPr>
          <w:szCs w:val="22"/>
          <w:u w:val="single"/>
        </w:rPr>
      </w:pPr>
      <w:r w:rsidRPr="007A17AE">
        <w:rPr>
          <w:szCs w:val="22"/>
          <w:u w:val="single"/>
        </w:rPr>
        <w:t>Vartojimas kartu su varfarinu (CYP2C9 substratu)</w:t>
      </w:r>
    </w:p>
    <w:p w14:paraId="5641C246" w14:textId="77777777" w:rsidR="00AB4527" w:rsidRPr="007A17AE" w:rsidRDefault="00F21FAA" w:rsidP="007A17AE">
      <w:pPr>
        <w:tabs>
          <w:tab w:val="clear" w:pos="567"/>
          <w:tab w:val="left" w:pos="0"/>
        </w:tabs>
        <w:spacing w:line="240" w:lineRule="auto"/>
        <w:contextualSpacing/>
        <w:rPr>
          <w:szCs w:val="22"/>
        </w:rPr>
      </w:pPr>
      <w:r w:rsidRPr="007A17AE">
        <w:rPr>
          <w:szCs w:val="22"/>
        </w:rPr>
        <w:t>Nuolat</w:t>
      </w:r>
      <w:r w:rsidR="00AB4527" w:rsidRPr="007A17AE">
        <w:rPr>
          <w:szCs w:val="22"/>
        </w:rPr>
        <w:t xml:space="preserve"> vartojantiems varfarin</w:t>
      </w:r>
      <w:r w:rsidRPr="007A17AE">
        <w:rPr>
          <w:szCs w:val="22"/>
        </w:rPr>
        <w:t>o pacientams</w:t>
      </w:r>
      <w:r w:rsidR="00AB4527" w:rsidRPr="007A17AE">
        <w:rPr>
          <w:szCs w:val="22"/>
        </w:rPr>
        <w:t xml:space="preserve"> gydymo </w:t>
      </w:r>
      <w:r w:rsidRPr="007A17AE">
        <w:rPr>
          <w:szCs w:val="22"/>
        </w:rPr>
        <w:t xml:space="preserve">aprepitantu </w:t>
      </w:r>
      <w:r w:rsidR="00AB4527" w:rsidRPr="007A17AE">
        <w:rPr>
          <w:szCs w:val="22"/>
        </w:rPr>
        <w:t>metu ir 14</w:t>
      </w:r>
      <w:r w:rsidR="00A34D77">
        <w:rPr>
          <w:szCs w:val="22"/>
        </w:rPr>
        <w:t> </w:t>
      </w:r>
      <w:r w:rsidR="00AB4527" w:rsidRPr="007A17AE">
        <w:rPr>
          <w:szCs w:val="22"/>
        </w:rPr>
        <w:t>dienų po kiekvieno 3</w:t>
      </w:r>
      <w:r w:rsidR="00A34D77">
        <w:rPr>
          <w:szCs w:val="22"/>
        </w:rPr>
        <w:t> </w:t>
      </w:r>
      <w:r w:rsidR="00AB4527" w:rsidRPr="007A17AE">
        <w:rPr>
          <w:szCs w:val="22"/>
        </w:rPr>
        <w:t>dienų</w:t>
      </w:r>
      <w:r w:rsidRPr="007A17AE">
        <w:rPr>
          <w:szCs w:val="22"/>
        </w:rPr>
        <w:t xml:space="preserve"> aprepitanto</w:t>
      </w:r>
      <w:r w:rsidR="00AB4527" w:rsidRPr="007A17AE">
        <w:rPr>
          <w:szCs w:val="22"/>
        </w:rPr>
        <w:t xml:space="preserve"> kurso </w:t>
      </w:r>
      <w:r w:rsidRPr="007A17AE">
        <w:rPr>
          <w:szCs w:val="22"/>
        </w:rPr>
        <w:t>reikia atidžiai stebėti Tarptautinį Normalizuotą Santykį (angl.</w:t>
      </w:r>
      <w:r w:rsidR="007A17AE">
        <w:rPr>
          <w:szCs w:val="22"/>
        </w:rPr>
        <w:t xml:space="preserve"> </w:t>
      </w:r>
      <w:r w:rsidRPr="00B12DD0">
        <w:rPr>
          <w:i/>
          <w:szCs w:val="22"/>
        </w:rPr>
        <w:t>International Normalised Ratio</w:t>
      </w:r>
      <w:r w:rsidRPr="007A17AE">
        <w:rPr>
          <w:szCs w:val="22"/>
        </w:rPr>
        <w:t xml:space="preserve">, INR) </w:t>
      </w:r>
      <w:r w:rsidR="00AB4527" w:rsidRPr="007A17AE">
        <w:rPr>
          <w:szCs w:val="22"/>
        </w:rPr>
        <w:t>(žr. 4.5 skyrių).</w:t>
      </w:r>
    </w:p>
    <w:p w14:paraId="33C6E98C" w14:textId="77777777" w:rsidR="00F21FAA" w:rsidRPr="007A17AE" w:rsidRDefault="00F21FAA" w:rsidP="007A17AE">
      <w:pPr>
        <w:spacing w:line="240" w:lineRule="auto"/>
        <w:ind w:left="567" w:hanging="567"/>
        <w:contextualSpacing/>
        <w:rPr>
          <w:szCs w:val="22"/>
        </w:rPr>
      </w:pPr>
    </w:p>
    <w:p w14:paraId="70FA6BD6" w14:textId="77777777" w:rsidR="00AB4527" w:rsidRPr="007A17AE" w:rsidRDefault="00AB4527" w:rsidP="007A17AE">
      <w:pPr>
        <w:spacing w:line="240" w:lineRule="auto"/>
        <w:ind w:left="567" w:hanging="567"/>
        <w:contextualSpacing/>
        <w:rPr>
          <w:szCs w:val="22"/>
          <w:u w:val="single"/>
        </w:rPr>
      </w:pPr>
      <w:r w:rsidRPr="007A17AE">
        <w:rPr>
          <w:szCs w:val="22"/>
          <w:u w:val="single"/>
        </w:rPr>
        <w:t>Vartojimas kartu su hormoniniais kontraceptikais</w:t>
      </w:r>
    </w:p>
    <w:p w14:paraId="5207D1A0" w14:textId="77777777" w:rsidR="00AB4527" w:rsidRPr="007A17AE" w:rsidRDefault="00AB4527" w:rsidP="007A17AE">
      <w:pPr>
        <w:tabs>
          <w:tab w:val="clear" w:pos="567"/>
          <w:tab w:val="left" w:pos="0"/>
        </w:tabs>
        <w:spacing w:line="240" w:lineRule="auto"/>
        <w:contextualSpacing/>
        <w:rPr>
          <w:szCs w:val="22"/>
        </w:rPr>
      </w:pPr>
      <w:r w:rsidRPr="007A17AE">
        <w:rPr>
          <w:szCs w:val="22"/>
        </w:rPr>
        <w:t xml:space="preserve">Vartojant </w:t>
      </w:r>
      <w:r w:rsidR="00F21FAA" w:rsidRPr="007A17AE">
        <w:rPr>
          <w:szCs w:val="22"/>
        </w:rPr>
        <w:t xml:space="preserve">aprepitanto </w:t>
      </w:r>
      <w:r w:rsidRPr="007A17AE">
        <w:rPr>
          <w:szCs w:val="22"/>
        </w:rPr>
        <w:t>ir 28</w:t>
      </w:r>
      <w:r w:rsidR="00A34D77">
        <w:rPr>
          <w:szCs w:val="22"/>
        </w:rPr>
        <w:t> </w:t>
      </w:r>
      <w:r w:rsidR="00F21FAA" w:rsidRPr="007A17AE">
        <w:rPr>
          <w:szCs w:val="22"/>
        </w:rPr>
        <w:t>paras</w:t>
      </w:r>
      <w:r w:rsidRPr="007A17AE">
        <w:rPr>
          <w:szCs w:val="22"/>
        </w:rPr>
        <w:t xml:space="preserve"> po jo vartojimo</w:t>
      </w:r>
      <w:r w:rsidR="00AA6EB1" w:rsidRPr="007A17AE">
        <w:rPr>
          <w:szCs w:val="22"/>
        </w:rPr>
        <w:t>,</w:t>
      </w:r>
      <w:r w:rsidRPr="007A17AE">
        <w:rPr>
          <w:szCs w:val="22"/>
        </w:rPr>
        <w:t xml:space="preserve"> gali </w:t>
      </w:r>
      <w:r w:rsidR="00F21FAA" w:rsidRPr="007A17AE">
        <w:rPr>
          <w:szCs w:val="22"/>
        </w:rPr>
        <w:t>būti sumažėjęs</w:t>
      </w:r>
      <w:r w:rsidRPr="007A17AE">
        <w:rPr>
          <w:szCs w:val="22"/>
        </w:rPr>
        <w:t xml:space="preserve"> hormoninių kontraceptikų </w:t>
      </w:r>
      <w:r w:rsidR="00F21FAA" w:rsidRPr="007A17AE">
        <w:rPr>
          <w:szCs w:val="22"/>
        </w:rPr>
        <w:t>veiksmingumas</w:t>
      </w:r>
      <w:r w:rsidRPr="007A17AE">
        <w:rPr>
          <w:szCs w:val="22"/>
        </w:rPr>
        <w:t>.</w:t>
      </w:r>
      <w:r w:rsidR="00F21FAA" w:rsidRPr="007A17AE">
        <w:rPr>
          <w:szCs w:val="22"/>
        </w:rPr>
        <w:t xml:space="preserve"> Gydymo aprepitantu metu</w:t>
      </w:r>
      <w:r w:rsidRPr="007A17AE">
        <w:rPr>
          <w:szCs w:val="22"/>
        </w:rPr>
        <w:t xml:space="preserve"> ir 2</w:t>
      </w:r>
      <w:r w:rsidR="00A34D77">
        <w:rPr>
          <w:szCs w:val="22"/>
        </w:rPr>
        <w:t> </w:t>
      </w:r>
      <w:r w:rsidRPr="007A17AE">
        <w:rPr>
          <w:szCs w:val="22"/>
        </w:rPr>
        <w:t>mėnesius po paskutiniosios jo dozės reikia taikyti alternatyvi</w:t>
      </w:r>
      <w:r w:rsidR="00F21FAA" w:rsidRPr="007A17AE">
        <w:rPr>
          <w:szCs w:val="22"/>
        </w:rPr>
        <w:t>us</w:t>
      </w:r>
      <w:r w:rsidRPr="007A17AE">
        <w:rPr>
          <w:szCs w:val="22"/>
        </w:rPr>
        <w:t xml:space="preserve"> nehormonin</w:t>
      </w:r>
      <w:r w:rsidR="00F21FAA" w:rsidRPr="007A17AE">
        <w:rPr>
          <w:szCs w:val="22"/>
        </w:rPr>
        <w:t xml:space="preserve">ius </w:t>
      </w:r>
      <w:r w:rsidRPr="007A17AE">
        <w:rPr>
          <w:szCs w:val="22"/>
        </w:rPr>
        <w:t>papildom</w:t>
      </w:r>
      <w:r w:rsidR="00F21FAA" w:rsidRPr="007A17AE">
        <w:rPr>
          <w:szCs w:val="22"/>
        </w:rPr>
        <w:t>us</w:t>
      </w:r>
      <w:r w:rsidRPr="007A17AE">
        <w:rPr>
          <w:szCs w:val="22"/>
        </w:rPr>
        <w:t xml:space="preserve"> kontracepcijos </w:t>
      </w:r>
      <w:r w:rsidR="00F21FAA" w:rsidRPr="007A17AE">
        <w:rPr>
          <w:szCs w:val="22"/>
        </w:rPr>
        <w:t>metodus</w:t>
      </w:r>
      <w:r w:rsidRPr="007A17AE">
        <w:rPr>
          <w:szCs w:val="22"/>
        </w:rPr>
        <w:t xml:space="preserve"> (žr. 4.5 skyrių).</w:t>
      </w:r>
    </w:p>
    <w:p w14:paraId="1101BBB9" w14:textId="77777777" w:rsidR="00AA1934" w:rsidRPr="007A17AE" w:rsidRDefault="00AA1934" w:rsidP="007A17AE">
      <w:pPr>
        <w:spacing w:line="240" w:lineRule="auto"/>
        <w:ind w:left="567" w:hanging="567"/>
        <w:contextualSpacing/>
        <w:rPr>
          <w:szCs w:val="22"/>
        </w:rPr>
      </w:pPr>
    </w:p>
    <w:p w14:paraId="0A8B5E75" w14:textId="77777777" w:rsidR="00AB4527" w:rsidRPr="007A17AE" w:rsidRDefault="00EF5E20" w:rsidP="007A17AE">
      <w:pPr>
        <w:tabs>
          <w:tab w:val="clear" w:pos="567"/>
          <w:tab w:val="left" w:pos="0"/>
        </w:tabs>
        <w:spacing w:line="240" w:lineRule="auto"/>
        <w:contextualSpacing/>
        <w:rPr>
          <w:szCs w:val="22"/>
        </w:rPr>
      </w:pPr>
      <w:r w:rsidRPr="007A17AE">
        <w:rPr>
          <w:szCs w:val="22"/>
        </w:rPr>
        <w:t xml:space="preserve">Aprepitant Sandoz </w:t>
      </w:r>
      <w:r w:rsidR="00AB4527" w:rsidRPr="007A17AE">
        <w:rPr>
          <w:szCs w:val="22"/>
        </w:rPr>
        <w:t xml:space="preserve">kapsulių sudėtyje yra sacharozės. </w:t>
      </w:r>
      <w:r w:rsidRPr="007A17AE">
        <w:rPr>
          <w:szCs w:val="22"/>
        </w:rPr>
        <w:t xml:space="preserve">Šio vaistinio preparato negalima </w:t>
      </w:r>
      <w:r w:rsidR="00AA6EB1" w:rsidRPr="007A17AE">
        <w:rPr>
          <w:szCs w:val="22"/>
        </w:rPr>
        <w:t xml:space="preserve">vartoti </w:t>
      </w:r>
      <w:r w:rsidRPr="007A17AE">
        <w:rPr>
          <w:szCs w:val="22"/>
        </w:rPr>
        <w:t>pacientams, kuriems nustatytas retas paveldimas sutrikimas – fruktozės netoleravimas, gliukozės ir galaktozės malabsorbcija arba sacharazės ir izomaltazės stygius</w:t>
      </w:r>
      <w:r w:rsidR="00AB4527" w:rsidRPr="007A17AE">
        <w:rPr>
          <w:szCs w:val="22"/>
        </w:rPr>
        <w:t>.</w:t>
      </w:r>
    </w:p>
    <w:p w14:paraId="1FB37577" w14:textId="77777777" w:rsidR="002418E3" w:rsidRPr="007A17AE" w:rsidRDefault="002418E3" w:rsidP="007A17AE">
      <w:pPr>
        <w:spacing w:line="240" w:lineRule="auto"/>
        <w:ind w:left="567" w:hanging="567"/>
        <w:contextualSpacing/>
        <w:rPr>
          <w:szCs w:val="22"/>
        </w:rPr>
      </w:pPr>
    </w:p>
    <w:p w14:paraId="42AE0A3B" w14:textId="77777777" w:rsidR="00471EBA" w:rsidRPr="007A17AE" w:rsidRDefault="00471EBA" w:rsidP="007A17AE">
      <w:pPr>
        <w:spacing w:line="240" w:lineRule="auto"/>
        <w:ind w:left="567" w:hanging="567"/>
        <w:contextualSpacing/>
        <w:outlineLvl w:val="0"/>
        <w:rPr>
          <w:szCs w:val="22"/>
        </w:rPr>
      </w:pPr>
      <w:r w:rsidRPr="007A17AE">
        <w:rPr>
          <w:b/>
          <w:szCs w:val="22"/>
        </w:rPr>
        <w:t>4.5</w:t>
      </w:r>
      <w:r w:rsidRPr="007A17AE">
        <w:rPr>
          <w:b/>
          <w:szCs w:val="22"/>
        </w:rPr>
        <w:tab/>
        <w:t>Sąveika su kitais vaistiniais preparatais ir kitokia sąveika</w:t>
      </w:r>
    </w:p>
    <w:p w14:paraId="29CB5586" w14:textId="77777777" w:rsidR="00812D16" w:rsidRPr="007A17AE" w:rsidRDefault="00812D16" w:rsidP="007A17AE">
      <w:pPr>
        <w:spacing w:line="240" w:lineRule="auto"/>
        <w:contextualSpacing/>
        <w:rPr>
          <w:szCs w:val="22"/>
        </w:rPr>
      </w:pPr>
    </w:p>
    <w:p w14:paraId="789CB238" w14:textId="77777777" w:rsidR="00EF5E20" w:rsidRPr="007A17AE" w:rsidRDefault="00EF5E20" w:rsidP="007A17AE">
      <w:pPr>
        <w:spacing w:line="240" w:lineRule="auto"/>
        <w:contextualSpacing/>
        <w:rPr>
          <w:szCs w:val="22"/>
        </w:rPr>
      </w:pPr>
      <w:r w:rsidRPr="007A17AE">
        <w:rPr>
          <w:szCs w:val="22"/>
        </w:rPr>
        <w:t>Aprepitantas (125</w:t>
      </w:r>
      <w:r w:rsidR="00A34D77">
        <w:rPr>
          <w:szCs w:val="22"/>
        </w:rPr>
        <w:t> </w:t>
      </w:r>
      <w:r w:rsidRPr="007A17AE">
        <w:rPr>
          <w:szCs w:val="22"/>
        </w:rPr>
        <w:t>mg/80</w:t>
      </w:r>
      <w:r w:rsidR="00A34D77">
        <w:rPr>
          <w:szCs w:val="22"/>
        </w:rPr>
        <w:t> </w:t>
      </w:r>
      <w:r w:rsidRPr="007A17AE">
        <w:rPr>
          <w:szCs w:val="22"/>
        </w:rPr>
        <w:t>mg) yra CYP3A4 substratas ir vidutinio stiprumo inhibitorius bei induktorius. Jis taip pat indukuoja CYP2C9. Gydymo aprepitantu metu CYP3A4 yra nuslopintas. Baigus gydymą aprepitantas sukelia laikiną silpną CYP2C9, CYP3A4 indukciją bei gliukuroni</w:t>
      </w:r>
      <w:r w:rsidR="00EF20D9" w:rsidRPr="007A17AE">
        <w:rPr>
          <w:szCs w:val="22"/>
        </w:rPr>
        <w:t>zaciją</w:t>
      </w:r>
      <w:r w:rsidRPr="007A17AE">
        <w:rPr>
          <w:szCs w:val="22"/>
        </w:rPr>
        <w:t>. Neatrodo, kad</w:t>
      </w:r>
      <w:r w:rsidR="00EF20D9" w:rsidRPr="007A17AE">
        <w:rPr>
          <w:szCs w:val="22"/>
        </w:rPr>
        <w:t xml:space="preserve"> </w:t>
      </w:r>
      <w:r w:rsidRPr="007A17AE">
        <w:rPr>
          <w:szCs w:val="22"/>
        </w:rPr>
        <w:t xml:space="preserve">aprepitantas sąveikautų su </w:t>
      </w:r>
      <w:r w:rsidR="00EF20D9" w:rsidRPr="007A17AE">
        <w:rPr>
          <w:szCs w:val="22"/>
        </w:rPr>
        <w:t>pernašos P-</w:t>
      </w:r>
      <w:r w:rsidRPr="007A17AE">
        <w:rPr>
          <w:szCs w:val="22"/>
        </w:rPr>
        <w:t>glikoprotein</w:t>
      </w:r>
      <w:r w:rsidR="00EF20D9" w:rsidRPr="007A17AE">
        <w:rPr>
          <w:szCs w:val="22"/>
        </w:rPr>
        <w:t>u</w:t>
      </w:r>
      <w:r w:rsidRPr="007A17AE">
        <w:rPr>
          <w:szCs w:val="22"/>
        </w:rPr>
        <w:t xml:space="preserve">, </w:t>
      </w:r>
      <w:r w:rsidR="00FB171F" w:rsidRPr="007A17AE">
        <w:rPr>
          <w:szCs w:val="22"/>
        </w:rPr>
        <w:t>nes parodytas</w:t>
      </w:r>
      <w:r w:rsidRPr="007A17AE">
        <w:rPr>
          <w:szCs w:val="22"/>
        </w:rPr>
        <w:t xml:space="preserve"> aprepitanto sąveikos su</w:t>
      </w:r>
      <w:r w:rsidR="00EF20D9" w:rsidRPr="007A17AE">
        <w:rPr>
          <w:szCs w:val="22"/>
        </w:rPr>
        <w:t xml:space="preserve"> </w:t>
      </w:r>
      <w:r w:rsidRPr="007A17AE">
        <w:rPr>
          <w:szCs w:val="22"/>
        </w:rPr>
        <w:t>digoksinu</w:t>
      </w:r>
      <w:r w:rsidR="00EF20D9" w:rsidRPr="007A17AE">
        <w:rPr>
          <w:szCs w:val="22"/>
        </w:rPr>
        <w:t xml:space="preserve"> nebuvimas</w:t>
      </w:r>
      <w:r w:rsidRPr="007A17AE">
        <w:rPr>
          <w:szCs w:val="22"/>
        </w:rPr>
        <w:t>.</w:t>
      </w:r>
    </w:p>
    <w:p w14:paraId="2E6E058E" w14:textId="77777777" w:rsidR="00FB171F" w:rsidRPr="007A17AE" w:rsidRDefault="00FB171F" w:rsidP="007A17AE">
      <w:pPr>
        <w:spacing w:line="240" w:lineRule="auto"/>
        <w:contextualSpacing/>
        <w:rPr>
          <w:szCs w:val="22"/>
        </w:rPr>
      </w:pPr>
    </w:p>
    <w:p w14:paraId="4DD7F220" w14:textId="77777777" w:rsidR="00EF5E20" w:rsidRPr="007A17AE" w:rsidRDefault="00EF5E20" w:rsidP="007A17AE">
      <w:pPr>
        <w:spacing w:line="240" w:lineRule="auto"/>
        <w:contextualSpacing/>
        <w:rPr>
          <w:szCs w:val="22"/>
          <w:u w:val="single"/>
        </w:rPr>
      </w:pPr>
      <w:r w:rsidRPr="007A17AE">
        <w:rPr>
          <w:szCs w:val="22"/>
          <w:u w:val="single"/>
        </w:rPr>
        <w:lastRenderedPageBreak/>
        <w:t>Aprepitanto poveikis kitų veikliųjų medžiagų farmakokinetikai</w:t>
      </w:r>
    </w:p>
    <w:p w14:paraId="707091C9" w14:textId="77777777" w:rsidR="00EF5E20" w:rsidRPr="007A17AE" w:rsidRDefault="00EF5E20" w:rsidP="007A17AE">
      <w:pPr>
        <w:spacing w:line="240" w:lineRule="auto"/>
        <w:contextualSpacing/>
        <w:rPr>
          <w:i/>
          <w:szCs w:val="22"/>
        </w:rPr>
      </w:pPr>
      <w:r w:rsidRPr="007A17AE">
        <w:rPr>
          <w:i/>
          <w:szCs w:val="22"/>
        </w:rPr>
        <w:t>CYP3A4 slopinimas</w:t>
      </w:r>
    </w:p>
    <w:p w14:paraId="2995B5E5" w14:textId="1FE3FE01" w:rsidR="00EF5E20" w:rsidRPr="007A17AE" w:rsidRDefault="00EF5E20" w:rsidP="007A17AE">
      <w:pPr>
        <w:spacing w:line="240" w:lineRule="auto"/>
        <w:contextualSpacing/>
        <w:rPr>
          <w:szCs w:val="22"/>
        </w:rPr>
      </w:pPr>
      <w:r w:rsidRPr="007A17AE">
        <w:rPr>
          <w:szCs w:val="22"/>
        </w:rPr>
        <w:t>Aprepitantas (125</w:t>
      </w:r>
      <w:r w:rsidR="00A34D77">
        <w:rPr>
          <w:szCs w:val="22"/>
        </w:rPr>
        <w:t> </w:t>
      </w:r>
      <w:r w:rsidRPr="007A17AE">
        <w:rPr>
          <w:szCs w:val="22"/>
        </w:rPr>
        <w:t>mg/80</w:t>
      </w:r>
      <w:r w:rsidR="00A34D77">
        <w:rPr>
          <w:szCs w:val="22"/>
        </w:rPr>
        <w:t> </w:t>
      </w:r>
      <w:r w:rsidRPr="007A17AE">
        <w:rPr>
          <w:szCs w:val="22"/>
        </w:rPr>
        <w:t>mg), kaip vidutinio stiprumo CYP3A4 inhibitorius, gali didinti kartu</w:t>
      </w:r>
      <w:r w:rsidR="007C6A24" w:rsidRPr="007A17AE">
        <w:rPr>
          <w:szCs w:val="22"/>
        </w:rPr>
        <w:t xml:space="preserve"> </w:t>
      </w:r>
      <w:r w:rsidRPr="007A17AE">
        <w:rPr>
          <w:szCs w:val="22"/>
        </w:rPr>
        <w:t xml:space="preserve">vartojamų veikliųjų medžiagų, metabolizuojamų CYP3A4, koncentraciją </w:t>
      </w:r>
      <w:r w:rsidR="00C92406">
        <w:rPr>
          <w:szCs w:val="22"/>
        </w:rPr>
        <w:t xml:space="preserve">kraujo </w:t>
      </w:r>
      <w:r w:rsidRPr="007A17AE">
        <w:rPr>
          <w:szCs w:val="22"/>
        </w:rPr>
        <w:t>plazmoje. Geriamųjų</w:t>
      </w:r>
      <w:r w:rsidR="007C6A24" w:rsidRPr="007A17AE">
        <w:rPr>
          <w:szCs w:val="22"/>
        </w:rPr>
        <w:t xml:space="preserve"> </w:t>
      </w:r>
      <w:r w:rsidRPr="007A17AE">
        <w:rPr>
          <w:szCs w:val="22"/>
        </w:rPr>
        <w:t>CYP3A4 substratų bendroji ekspozicija gali padidėti maždaug 3</w:t>
      </w:r>
      <w:r w:rsidR="00A34D77">
        <w:rPr>
          <w:szCs w:val="22"/>
        </w:rPr>
        <w:t> </w:t>
      </w:r>
      <w:r w:rsidRPr="007A17AE">
        <w:rPr>
          <w:szCs w:val="22"/>
        </w:rPr>
        <w:t>kartus per 3-jų dienų gydymą</w:t>
      </w:r>
      <w:r w:rsidR="007C6A24" w:rsidRPr="007A17AE">
        <w:rPr>
          <w:szCs w:val="22"/>
        </w:rPr>
        <w:t xml:space="preserve"> aprepitantu</w:t>
      </w:r>
      <w:r w:rsidRPr="007A17AE">
        <w:rPr>
          <w:szCs w:val="22"/>
        </w:rPr>
        <w:t xml:space="preserve">. Tikėtina, kad aprepitanto poveikis </w:t>
      </w:r>
      <w:r w:rsidR="008C0E86">
        <w:rPr>
          <w:szCs w:val="22"/>
        </w:rPr>
        <w:t>su</w:t>
      </w:r>
      <w:r w:rsidR="000F576E">
        <w:rPr>
          <w:szCs w:val="22"/>
        </w:rPr>
        <w:t>leistų</w:t>
      </w:r>
      <w:r w:rsidRPr="007A17AE">
        <w:rPr>
          <w:szCs w:val="22"/>
        </w:rPr>
        <w:t xml:space="preserve"> į veną CYP3A4 substratų koncentracij</w:t>
      </w:r>
      <w:r w:rsidR="007C6A24" w:rsidRPr="007A17AE">
        <w:rPr>
          <w:szCs w:val="22"/>
        </w:rPr>
        <w:t xml:space="preserve">oms </w:t>
      </w:r>
      <w:r w:rsidR="00C92406">
        <w:rPr>
          <w:szCs w:val="22"/>
        </w:rPr>
        <w:t xml:space="preserve">kraujo </w:t>
      </w:r>
      <w:r w:rsidRPr="007A17AE">
        <w:rPr>
          <w:szCs w:val="22"/>
        </w:rPr>
        <w:t xml:space="preserve">plazmoje bus mažesnis. </w:t>
      </w:r>
      <w:r w:rsidR="007C6A24" w:rsidRPr="007A17AE">
        <w:rPr>
          <w:szCs w:val="22"/>
        </w:rPr>
        <w:t>Aprepitanto</w:t>
      </w:r>
      <w:r w:rsidRPr="007A17AE">
        <w:rPr>
          <w:szCs w:val="22"/>
        </w:rPr>
        <w:t xml:space="preserve"> negalima vartoti kartu su pimozidu, terfenadinu, astemizolu ar</w:t>
      </w:r>
      <w:r w:rsidR="007C6A24" w:rsidRPr="007A17AE">
        <w:rPr>
          <w:szCs w:val="22"/>
        </w:rPr>
        <w:t xml:space="preserve"> </w:t>
      </w:r>
      <w:r w:rsidRPr="007A17AE">
        <w:rPr>
          <w:szCs w:val="22"/>
        </w:rPr>
        <w:t xml:space="preserve">cisapridu (žr. 4.3 skyrių). </w:t>
      </w:r>
      <w:r w:rsidR="007C6A24" w:rsidRPr="007A17AE">
        <w:rPr>
          <w:szCs w:val="22"/>
        </w:rPr>
        <w:t>CYP3A4 slopinimas</w:t>
      </w:r>
      <w:r w:rsidRPr="007A17AE">
        <w:rPr>
          <w:szCs w:val="22"/>
        </w:rPr>
        <w:t xml:space="preserve"> aprepitantas </w:t>
      </w:r>
      <w:r w:rsidR="007C6A24" w:rsidRPr="007A17AE">
        <w:rPr>
          <w:szCs w:val="22"/>
        </w:rPr>
        <w:t>gali sukel</w:t>
      </w:r>
      <w:r w:rsidR="00D33EB4" w:rsidRPr="007A17AE">
        <w:rPr>
          <w:szCs w:val="22"/>
        </w:rPr>
        <w:t>t</w:t>
      </w:r>
      <w:r w:rsidR="007C6A24" w:rsidRPr="007A17AE">
        <w:rPr>
          <w:szCs w:val="22"/>
        </w:rPr>
        <w:t>i</w:t>
      </w:r>
      <w:r w:rsidRPr="007A17AE">
        <w:rPr>
          <w:szCs w:val="22"/>
        </w:rPr>
        <w:t xml:space="preserve"> šių veikliųjų</w:t>
      </w:r>
      <w:r w:rsidR="007C6A24" w:rsidRPr="007A17AE">
        <w:rPr>
          <w:szCs w:val="22"/>
        </w:rPr>
        <w:t xml:space="preserve"> </w:t>
      </w:r>
      <w:r w:rsidRPr="007A17AE">
        <w:rPr>
          <w:szCs w:val="22"/>
        </w:rPr>
        <w:t>medžiagų koncentracij</w:t>
      </w:r>
      <w:r w:rsidR="007C6A24" w:rsidRPr="007A17AE">
        <w:rPr>
          <w:szCs w:val="22"/>
        </w:rPr>
        <w:t>ų</w:t>
      </w:r>
      <w:r w:rsidRPr="007A17AE">
        <w:rPr>
          <w:szCs w:val="22"/>
        </w:rPr>
        <w:t xml:space="preserve"> </w:t>
      </w:r>
      <w:r w:rsidR="00C92406">
        <w:rPr>
          <w:szCs w:val="22"/>
        </w:rPr>
        <w:t xml:space="preserve">kraujo </w:t>
      </w:r>
      <w:r w:rsidRPr="007A17AE">
        <w:rPr>
          <w:szCs w:val="22"/>
        </w:rPr>
        <w:t xml:space="preserve">plazmoje </w:t>
      </w:r>
      <w:r w:rsidR="007C6A24" w:rsidRPr="007A17AE">
        <w:rPr>
          <w:szCs w:val="22"/>
        </w:rPr>
        <w:t>padidėjimą, galintį sukelti</w:t>
      </w:r>
      <w:r w:rsidRPr="007A17AE">
        <w:rPr>
          <w:szCs w:val="22"/>
        </w:rPr>
        <w:t xml:space="preserve"> sunkių ar gyvybei grėsmingų nepageidaujamų</w:t>
      </w:r>
      <w:r w:rsidR="007C6A24" w:rsidRPr="007A17AE">
        <w:rPr>
          <w:szCs w:val="22"/>
        </w:rPr>
        <w:t xml:space="preserve"> </w:t>
      </w:r>
      <w:r w:rsidRPr="007A17AE">
        <w:rPr>
          <w:szCs w:val="22"/>
        </w:rPr>
        <w:t>reakcijų.</w:t>
      </w:r>
      <w:r w:rsidR="007C6A24" w:rsidRPr="007A17AE">
        <w:rPr>
          <w:szCs w:val="22"/>
        </w:rPr>
        <w:t xml:space="preserve"> Patartina laikytis atsargumo</w:t>
      </w:r>
      <w:r w:rsidRPr="007A17AE">
        <w:rPr>
          <w:szCs w:val="22"/>
        </w:rPr>
        <w:t xml:space="preserve"> vartoja</w:t>
      </w:r>
      <w:r w:rsidR="007C6A24" w:rsidRPr="007A17AE">
        <w:rPr>
          <w:szCs w:val="22"/>
        </w:rPr>
        <w:t>nt</w:t>
      </w:r>
      <w:r w:rsidRPr="007A17AE">
        <w:rPr>
          <w:szCs w:val="22"/>
        </w:rPr>
        <w:t xml:space="preserve"> </w:t>
      </w:r>
      <w:r w:rsidR="007C6A24" w:rsidRPr="007A17AE">
        <w:rPr>
          <w:szCs w:val="22"/>
        </w:rPr>
        <w:t>aprepitanto</w:t>
      </w:r>
      <w:r w:rsidRPr="007A17AE">
        <w:rPr>
          <w:szCs w:val="22"/>
        </w:rPr>
        <w:t xml:space="preserve"> ir geriamų veikliųjų medžiagų, kurios metabolizuojamos </w:t>
      </w:r>
      <w:r w:rsidR="007C6A24" w:rsidRPr="007A17AE">
        <w:rPr>
          <w:szCs w:val="22"/>
        </w:rPr>
        <w:t xml:space="preserve">pirmiausiai </w:t>
      </w:r>
      <w:r w:rsidRPr="007A17AE">
        <w:rPr>
          <w:szCs w:val="22"/>
        </w:rPr>
        <w:t xml:space="preserve">CYP3A4 ir </w:t>
      </w:r>
      <w:r w:rsidR="007C6A24" w:rsidRPr="007A17AE">
        <w:rPr>
          <w:szCs w:val="22"/>
        </w:rPr>
        <w:t xml:space="preserve">kurių </w:t>
      </w:r>
      <w:r w:rsidRPr="007A17AE">
        <w:rPr>
          <w:szCs w:val="22"/>
        </w:rPr>
        <w:t>siaura terapin</w:t>
      </w:r>
      <w:r w:rsidR="007C6A24" w:rsidRPr="007A17AE">
        <w:rPr>
          <w:szCs w:val="22"/>
        </w:rPr>
        <w:t>ė</w:t>
      </w:r>
      <w:r w:rsidRPr="007A17AE">
        <w:rPr>
          <w:szCs w:val="22"/>
        </w:rPr>
        <w:t xml:space="preserve"> platuma, tokių kaip ciklosporinas, takrolimuzas,</w:t>
      </w:r>
      <w:r w:rsidR="007C6A24" w:rsidRPr="007A17AE">
        <w:rPr>
          <w:szCs w:val="22"/>
        </w:rPr>
        <w:t xml:space="preserve"> </w:t>
      </w:r>
      <w:r w:rsidRPr="007A17AE">
        <w:rPr>
          <w:szCs w:val="22"/>
        </w:rPr>
        <w:t>sirolimuzas, everolimuzas, alfentanilis, diergotaminas, ergotaminas, fentanilis ir chinidinas</w:t>
      </w:r>
      <w:r w:rsidR="007C6A24" w:rsidRPr="007A17AE">
        <w:rPr>
          <w:szCs w:val="22"/>
        </w:rPr>
        <w:t xml:space="preserve"> </w:t>
      </w:r>
      <w:r w:rsidRPr="007A17AE">
        <w:rPr>
          <w:szCs w:val="22"/>
        </w:rPr>
        <w:t>(žr. 4.4 skyrių).</w:t>
      </w:r>
    </w:p>
    <w:p w14:paraId="6F6FDEFE" w14:textId="77777777" w:rsidR="007C6A24" w:rsidRPr="007A17AE" w:rsidRDefault="007C6A24" w:rsidP="007A17AE">
      <w:pPr>
        <w:spacing w:line="240" w:lineRule="auto"/>
        <w:contextualSpacing/>
        <w:rPr>
          <w:szCs w:val="22"/>
        </w:rPr>
      </w:pPr>
    </w:p>
    <w:p w14:paraId="31CA9715" w14:textId="77777777" w:rsidR="00EF5E20" w:rsidRPr="007A17AE" w:rsidRDefault="00EF5E20" w:rsidP="007A17AE">
      <w:pPr>
        <w:spacing w:line="240" w:lineRule="auto"/>
        <w:contextualSpacing/>
        <w:rPr>
          <w:i/>
          <w:szCs w:val="22"/>
        </w:rPr>
      </w:pPr>
      <w:r w:rsidRPr="007A17AE">
        <w:rPr>
          <w:i/>
          <w:szCs w:val="22"/>
        </w:rPr>
        <w:t>Kortikosteroidai</w:t>
      </w:r>
    </w:p>
    <w:p w14:paraId="4412CE2E" w14:textId="77777777" w:rsidR="006F3629" w:rsidRPr="007A17AE" w:rsidRDefault="00EF5E20" w:rsidP="007A17AE">
      <w:pPr>
        <w:spacing w:line="240" w:lineRule="auto"/>
        <w:contextualSpacing/>
        <w:rPr>
          <w:szCs w:val="22"/>
        </w:rPr>
      </w:pPr>
      <w:r w:rsidRPr="007A17AE">
        <w:rPr>
          <w:szCs w:val="22"/>
          <w:u w:val="single"/>
        </w:rPr>
        <w:t>Deksametazonas</w:t>
      </w:r>
      <w:r w:rsidRPr="007A17AE">
        <w:rPr>
          <w:szCs w:val="22"/>
        </w:rPr>
        <w:t xml:space="preserve">. Įprastinę geriamąją deksametazono, vartojamo pagal schemą kartu su </w:t>
      </w:r>
      <w:r w:rsidR="006F3629" w:rsidRPr="007A17AE">
        <w:rPr>
          <w:szCs w:val="22"/>
        </w:rPr>
        <w:t>125</w:t>
      </w:r>
      <w:r w:rsidR="00A34D77">
        <w:rPr>
          <w:szCs w:val="22"/>
        </w:rPr>
        <w:t> </w:t>
      </w:r>
      <w:r w:rsidR="006F3629" w:rsidRPr="007A17AE">
        <w:rPr>
          <w:szCs w:val="22"/>
        </w:rPr>
        <w:t>mg/80</w:t>
      </w:r>
      <w:r w:rsidR="00A34D77">
        <w:rPr>
          <w:szCs w:val="22"/>
        </w:rPr>
        <w:t> </w:t>
      </w:r>
      <w:r w:rsidR="006F3629" w:rsidRPr="007A17AE">
        <w:rPr>
          <w:szCs w:val="22"/>
        </w:rPr>
        <w:t>mg aprepitanto</w:t>
      </w:r>
      <w:r w:rsidRPr="007A17AE">
        <w:rPr>
          <w:szCs w:val="22"/>
        </w:rPr>
        <w:t>, dozę reikia sumažinti maždaug 50</w:t>
      </w:r>
      <w:r w:rsidR="00A34D77">
        <w:rPr>
          <w:szCs w:val="22"/>
        </w:rPr>
        <w:t> </w:t>
      </w:r>
      <w:r w:rsidRPr="007A17AE">
        <w:rPr>
          <w:szCs w:val="22"/>
        </w:rPr>
        <w:t>%. Klinikinių chemoterapijos sukelto pykinimo ir</w:t>
      </w:r>
      <w:r w:rsidR="006F3629" w:rsidRPr="007A17AE">
        <w:t xml:space="preserve"> </w:t>
      </w:r>
      <w:r w:rsidR="006F3629" w:rsidRPr="007A17AE">
        <w:rPr>
          <w:szCs w:val="22"/>
        </w:rPr>
        <w:t>vėmimo tyrimų metu deksametazono dozė buvo parenkama atsižvelgiant į veikliosios medžiagos sąveikas (žr. 4.2 skyrių). Kai 1-ąją dieną aprepitanto buvo skiriama 125</w:t>
      </w:r>
      <w:r w:rsidR="00A34D77">
        <w:rPr>
          <w:szCs w:val="22"/>
        </w:rPr>
        <w:t> </w:t>
      </w:r>
      <w:r w:rsidR="006F3629" w:rsidRPr="007A17AE">
        <w:rPr>
          <w:szCs w:val="22"/>
        </w:rPr>
        <w:t>mg su 20</w:t>
      </w:r>
      <w:r w:rsidR="00A34D77">
        <w:rPr>
          <w:szCs w:val="22"/>
        </w:rPr>
        <w:t> </w:t>
      </w:r>
      <w:r w:rsidR="006F3629" w:rsidRPr="007A17AE">
        <w:rPr>
          <w:szCs w:val="22"/>
        </w:rPr>
        <w:t>mg geriamojo deksametazono, o 2–5-ąją dienomis aprepitanto buvo skiriama po 80</w:t>
      </w:r>
      <w:r w:rsidR="00A34D77">
        <w:rPr>
          <w:szCs w:val="22"/>
        </w:rPr>
        <w:t> </w:t>
      </w:r>
      <w:r w:rsidR="006F3629" w:rsidRPr="007A17AE">
        <w:rPr>
          <w:szCs w:val="22"/>
        </w:rPr>
        <w:t>mg per parą kartu su 8</w:t>
      </w:r>
      <w:r w:rsidR="00A34D77">
        <w:rPr>
          <w:szCs w:val="22"/>
        </w:rPr>
        <w:t> </w:t>
      </w:r>
      <w:r w:rsidR="006F3629" w:rsidRPr="007A17AE">
        <w:rPr>
          <w:szCs w:val="22"/>
        </w:rPr>
        <w:t>mg geriamojo deksametazono, pastarojo, CYP3A4 substrato, AUC 1-ąją ir 5-ąją dieną buvo 2,2</w:t>
      </w:r>
      <w:r w:rsidR="00A34D77">
        <w:rPr>
          <w:szCs w:val="22"/>
        </w:rPr>
        <w:t> </w:t>
      </w:r>
      <w:r w:rsidR="006F3629" w:rsidRPr="007A17AE">
        <w:rPr>
          <w:szCs w:val="22"/>
        </w:rPr>
        <w:t>karto didesnis.</w:t>
      </w:r>
    </w:p>
    <w:p w14:paraId="207C947A" w14:textId="77777777" w:rsidR="006F3629" w:rsidRPr="007A17AE" w:rsidRDefault="006F3629" w:rsidP="007A17AE">
      <w:pPr>
        <w:spacing w:line="240" w:lineRule="auto"/>
        <w:contextualSpacing/>
        <w:rPr>
          <w:szCs w:val="22"/>
        </w:rPr>
      </w:pPr>
    </w:p>
    <w:p w14:paraId="6658D706" w14:textId="08944216" w:rsidR="006F3629" w:rsidRPr="007A17AE" w:rsidRDefault="006F3629" w:rsidP="007A17AE">
      <w:pPr>
        <w:spacing w:line="240" w:lineRule="auto"/>
        <w:contextualSpacing/>
        <w:rPr>
          <w:szCs w:val="22"/>
        </w:rPr>
      </w:pPr>
      <w:r w:rsidRPr="007A17AE">
        <w:rPr>
          <w:szCs w:val="22"/>
          <w:u w:val="single"/>
        </w:rPr>
        <w:t>Metilprednizolonas</w:t>
      </w:r>
      <w:r w:rsidRPr="007A17AE">
        <w:rPr>
          <w:szCs w:val="22"/>
        </w:rPr>
        <w:t>. Įprastinę į veną leidžiamą metilprednizolono, skiriamo kartu su 125</w:t>
      </w:r>
      <w:r w:rsidR="00A34D77">
        <w:rPr>
          <w:szCs w:val="22"/>
        </w:rPr>
        <w:t> </w:t>
      </w:r>
      <w:r w:rsidRPr="007A17AE">
        <w:rPr>
          <w:szCs w:val="22"/>
        </w:rPr>
        <w:t>mg/80</w:t>
      </w:r>
      <w:r w:rsidR="00A34D77">
        <w:rPr>
          <w:szCs w:val="22"/>
        </w:rPr>
        <w:t> </w:t>
      </w:r>
      <w:r w:rsidRPr="007A17AE">
        <w:rPr>
          <w:szCs w:val="22"/>
        </w:rPr>
        <w:t>mg aprepitanto, dozę reikia sumažinti 25</w:t>
      </w:r>
      <w:r w:rsidR="00A34D77">
        <w:rPr>
          <w:szCs w:val="22"/>
        </w:rPr>
        <w:t> </w:t>
      </w:r>
      <w:r w:rsidRPr="007A17AE">
        <w:rPr>
          <w:szCs w:val="22"/>
        </w:rPr>
        <w:t>%, o įprastinę geriamąją metilprednizolono dozę – maždaug 50</w:t>
      </w:r>
      <w:r w:rsidR="00A34D77">
        <w:rPr>
          <w:szCs w:val="22"/>
        </w:rPr>
        <w:t> </w:t>
      </w:r>
      <w:r w:rsidRPr="007A17AE">
        <w:rPr>
          <w:szCs w:val="22"/>
        </w:rPr>
        <w:t>%. Aprepitantas, jeigu jo vartojama 125</w:t>
      </w:r>
      <w:r w:rsidR="00A34D77">
        <w:rPr>
          <w:szCs w:val="22"/>
        </w:rPr>
        <w:t> </w:t>
      </w:r>
      <w:r w:rsidRPr="007A17AE">
        <w:rPr>
          <w:szCs w:val="22"/>
        </w:rPr>
        <w:t>mg 1-ąją dieną ir po 80</w:t>
      </w:r>
      <w:r w:rsidR="00A34D77">
        <w:rPr>
          <w:szCs w:val="22"/>
        </w:rPr>
        <w:t> </w:t>
      </w:r>
      <w:r w:rsidRPr="007A17AE">
        <w:rPr>
          <w:szCs w:val="22"/>
        </w:rPr>
        <w:t xml:space="preserve">mg 2-ąją ir 3-iąją dienomis, padidina metilprednizolono, </w:t>
      </w:r>
      <w:r w:rsidR="007837DB" w:rsidRPr="007A17AE">
        <w:rPr>
          <w:szCs w:val="22"/>
        </w:rPr>
        <w:t>CYP3A4 substrato, jeigu jo 1-ąją dieną 125</w:t>
      </w:r>
      <w:r w:rsidR="00A34D77">
        <w:rPr>
          <w:szCs w:val="22"/>
        </w:rPr>
        <w:t> </w:t>
      </w:r>
      <w:r w:rsidR="007837DB" w:rsidRPr="007A17AE">
        <w:rPr>
          <w:szCs w:val="22"/>
        </w:rPr>
        <w:t xml:space="preserve">mg </w:t>
      </w:r>
      <w:r w:rsidR="000F576E">
        <w:rPr>
          <w:szCs w:val="22"/>
        </w:rPr>
        <w:t>leidžiama</w:t>
      </w:r>
      <w:r w:rsidR="007837DB" w:rsidRPr="007A17AE">
        <w:rPr>
          <w:szCs w:val="22"/>
        </w:rPr>
        <w:t xml:space="preserve"> į veną, o 2-ąją ir 3-iąją dienomis geriama po 40</w:t>
      </w:r>
      <w:r w:rsidR="00A34D77">
        <w:rPr>
          <w:szCs w:val="22"/>
        </w:rPr>
        <w:t> </w:t>
      </w:r>
      <w:r w:rsidR="007837DB" w:rsidRPr="007A17AE">
        <w:rPr>
          <w:szCs w:val="22"/>
        </w:rPr>
        <w:t xml:space="preserve">mg, </w:t>
      </w:r>
      <w:r w:rsidRPr="007A17AE">
        <w:rPr>
          <w:szCs w:val="22"/>
        </w:rPr>
        <w:t>AUC 1,3</w:t>
      </w:r>
      <w:r w:rsidR="00A34D77">
        <w:rPr>
          <w:szCs w:val="22"/>
        </w:rPr>
        <w:t> </w:t>
      </w:r>
      <w:r w:rsidRPr="007A17AE">
        <w:rPr>
          <w:szCs w:val="22"/>
        </w:rPr>
        <w:t>karto 1-ąją dieną ir 2,5</w:t>
      </w:r>
      <w:r w:rsidR="00A34D77">
        <w:rPr>
          <w:szCs w:val="22"/>
        </w:rPr>
        <w:t> </w:t>
      </w:r>
      <w:r w:rsidRPr="007A17AE">
        <w:rPr>
          <w:szCs w:val="22"/>
        </w:rPr>
        <w:t>karto 3-iąją dieną.</w:t>
      </w:r>
    </w:p>
    <w:p w14:paraId="793DDEB0" w14:textId="77777777" w:rsidR="007837DB" w:rsidRPr="007A17AE" w:rsidRDefault="007837DB" w:rsidP="007A17AE">
      <w:pPr>
        <w:spacing w:line="240" w:lineRule="auto"/>
        <w:contextualSpacing/>
        <w:rPr>
          <w:szCs w:val="22"/>
        </w:rPr>
      </w:pPr>
    </w:p>
    <w:p w14:paraId="5594FA26" w14:textId="77777777" w:rsidR="006F3629" w:rsidRPr="007A17AE" w:rsidRDefault="007837DB" w:rsidP="007A17AE">
      <w:pPr>
        <w:spacing w:line="240" w:lineRule="auto"/>
        <w:contextualSpacing/>
        <w:rPr>
          <w:szCs w:val="22"/>
        </w:rPr>
      </w:pPr>
      <w:r w:rsidRPr="007A17AE">
        <w:rPr>
          <w:szCs w:val="22"/>
        </w:rPr>
        <w:t>Nuolatinio gydymo</w:t>
      </w:r>
      <w:r w:rsidR="006F3629" w:rsidRPr="007A17AE">
        <w:rPr>
          <w:szCs w:val="22"/>
        </w:rPr>
        <w:t xml:space="preserve"> metilprednizolonu</w:t>
      </w:r>
      <w:r w:rsidRPr="007A17AE">
        <w:rPr>
          <w:szCs w:val="22"/>
        </w:rPr>
        <w:t xml:space="preserve"> metu</w:t>
      </w:r>
      <w:r w:rsidR="006F3629" w:rsidRPr="007A17AE">
        <w:rPr>
          <w:szCs w:val="22"/>
        </w:rPr>
        <w:t>, dėl aprepitanto indukuojamojo poveikio CYP3A4</w:t>
      </w:r>
      <w:r w:rsidRPr="007A17AE">
        <w:rPr>
          <w:szCs w:val="22"/>
        </w:rPr>
        <w:t xml:space="preserve"> </w:t>
      </w:r>
      <w:r w:rsidR="006F3629" w:rsidRPr="007A17AE">
        <w:rPr>
          <w:szCs w:val="22"/>
        </w:rPr>
        <w:t xml:space="preserve">metilprednizolono AUC </w:t>
      </w:r>
      <w:r w:rsidRPr="007A17AE">
        <w:rPr>
          <w:szCs w:val="22"/>
        </w:rPr>
        <w:t xml:space="preserve">vėliausiai </w:t>
      </w:r>
      <w:r w:rsidR="006F3629" w:rsidRPr="007A17AE">
        <w:rPr>
          <w:szCs w:val="22"/>
        </w:rPr>
        <w:t xml:space="preserve">gali sumažėti </w:t>
      </w:r>
      <w:r w:rsidRPr="007A17AE">
        <w:rPr>
          <w:szCs w:val="22"/>
        </w:rPr>
        <w:t xml:space="preserve">per dvi savaites </w:t>
      </w:r>
      <w:r w:rsidR="006F3629" w:rsidRPr="007A17AE">
        <w:rPr>
          <w:szCs w:val="22"/>
        </w:rPr>
        <w:t xml:space="preserve">nuo </w:t>
      </w:r>
      <w:r w:rsidRPr="007A17AE">
        <w:rPr>
          <w:szCs w:val="22"/>
        </w:rPr>
        <w:t>aprepitanto</w:t>
      </w:r>
      <w:r w:rsidR="006F3629" w:rsidRPr="007A17AE">
        <w:rPr>
          <w:szCs w:val="22"/>
        </w:rPr>
        <w:t xml:space="preserve"> vartojimo pradžios.</w:t>
      </w:r>
    </w:p>
    <w:p w14:paraId="4F4D7984" w14:textId="77777777" w:rsidR="006F3629" w:rsidRPr="007A17AE" w:rsidRDefault="006F3629" w:rsidP="007A17AE">
      <w:pPr>
        <w:spacing w:line="240" w:lineRule="auto"/>
        <w:contextualSpacing/>
        <w:rPr>
          <w:szCs w:val="22"/>
        </w:rPr>
      </w:pPr>
      <w:r w:rsidRPr="007A17AE">
        <w:rPr>
          <w:szCs w:val="22"/>
        </w:rPr>
        <w:t>Tikėtina, kad poveikis bus ryškesnis vartojant geriamojo metilprednizolono.</w:t>
      </w:r>
    </w:p>
    <w:p w14:paraId="6A3BA480" w14:textId="77777777" w:rsidR="007837DB" w:rsidRPr="007A17AE" w:rsidRDefault="007837DB" w:rsidP="007A17AE">
      <w:pPr>
        <w:spacing w:line="240" w:lineRule="auto"/>
        <w:contextualSpacing/>
        <w:rPr>
          <w:szCs w:val="22"/>
        </w:rPr>
      </w:pPr>
    </w:p>
    <w:p w14:paraId="0D22C3C1" w14:textId="77777777" w:rsidR="006F3629" w:rsidRPr="007A17AE" w:rsidRDefault="006F3629" w:rsidP="007A17AE">
      <w:pPr>
        <w:spacing w:line="240" w:lineRule="auto"/>
        <w:contextualSpacing/>
        <w:rPr>
          <w:i/>
          <w:szCs w:val="22"/>
        </w:rPr>
      </w:pPr>
      <w:r w:rsidRPr="007A17AE">
        <w:rPr>
          <w:i/>
          <w:szCs w:val="22"/>
        </w:rPr>
        <w:t>Chemoterapiniai vaistiniai preparatai</w:t>
      </w:r>
    </w:p>
    <w:p w14:paraId="09BC8341" w14:textId="77777777" w:rsidR="006F3629" w:rsidRPr="007A17AE" w:rsidRDefault="006F3629" w:rsidP="007A17AE">
      <w:pPr>
        <w:spacing w:line="240" w:lineRule="auto"/>
        <w:contextualSpacing/>
        <w:rPr>
          <w:szCs w:val="22"/>
        </w:rPr>
      </w:pPr>
      <w:r w:rsidRPr="007A17AE">
        <w:rPr>
          <w:szCs w:val="22"/>
        </w:rPr>
        <w:t xml:space="preserve">Farmakokinetiniuose tyrimuose </w:t>
      </w:r>
      <w:r w:rsidR="007837DB" w:rsidRPr="007A17AE">
        <w:rPr>
          <w:szCs w:val="22"/>
        </w:rPr>
        <w:t>aprepitantas</w:t>
      </w:r>
      <w:r w:rsidRPr="007A17AE">
        <w:rPr>
          <w:szCs w:val="22"/>
        </w:rPr>
        <w:t xml:space="preserve">, pagal schemą pirmąją dieną </w:t>
      </w:r>
      <w:r w:rsidR="007837DB" w:rsidRPr="007A17AE">
        <w:rPr>
          <w:szCs w:val="22"/>
        </w:rPr>
        <w:t xml:space="preserve">jo </w:t>
      </w:r>
      <w:r w:rsidRPr="007A17AE">
        <w:rPr>
          <w:szCs w:val="22"/>
        </w:rPr>
        <w:t>skiriant 125</w:t>
      </w:r>
      <w:r w:rsidR="00A34D77">
        <w:rPr>
          <w:szCs w:val="22"/>
        </w:rPr>
        <w:t> </w:t>
      </w:r>
      <w:r w:rsidRPr="007A17AE">
        <w:rPr>
          <w:szCs w:val="22"/>
        </w:rPr>
        <w:t>mg, antrąją ir</w:t>
      </w:r>
      <w:r w:rsidR="007837DB" w:rsidRPr="007A17AE">
        <w:rPr>
          <w:szCs w:val="22"/>
        </w:rPr>
        <w:t xml:space="preserve"> </w:t>
      </w:r>
      <w:r w:rsidRPr="007A17AE">
        <w:rPr>
          <w:szCs w:val="22"/>
        </w:rPr>
        <w:t>trečiąją dienas po 80</w:t>
      </w:r>
      <w:r w:rsidR="00A34D77">
        <w:rPr>
          <w:szCs w:val="22"/>
        </w:rPr>
        <w:t> </w:t>
      </w:r>
      <w:r w:rsidRPr="007A17AE">
        <w:rPr>
          <w:szCs w:val="22"/>
        </w:rPr>
        <w:t xml:space="preserve">mg per parą, neįtakojo docetakselio, </w:t>
      </w:r>
      <w:r w:rsidR="007837DB" w:rsidRPr="007A17AE">
        <w:rPr>
          <w:szCs w:val="22"/>
        </w:rPr>
        <w:t>suleisto</w:t>
      </w:r>
      <w:r w:rsidRPr="007A17AE">
        <w:rPr>
          <w:szCs w:val="22"/>
        </w:rPr>
        <w:t xml:space="preserve"> į veną pirmąją dieną, arba</w:t>
      </w:r>
      <w:r w:rsidR="007837DB" w:rsidRPr="007A17AE">
        <w:rPr>
          <w:szCs w:val="22"/>
        </w:rPr>
        <w:t xml:space="preserve"> </w:t>
      </w:r>
      <w:r w:rsidRPr="007A17AE">
        <w:rPr>
          <w:szCs w:val="22"/>
        </w:rPr>
        <w:t xml:space="preserve">vinorelbino, </w:t>
      </w:r>
      <w:r w:rsidR="00E10C74" w:rsidRPr="007A17AE">
        <w:rPr>
          <w:szCs w:val="22"/>
        </w:rPr>
        <w:t>suleisto</w:t>
      </w:r>
      <w:r w:rsidRPr="007A17AE">
        <w:rPr>
          <w:szCs w:val="22"/>
        </w:rPr>
        <w:t xml:space="preserve"> į veną pirmąją arba aštuntąją dieną, farmakokinetikos. Kadangi </w:t>
      </w:r>
      <w:r w:rsidR="00E10C74" w:rsidRPr="007A17AE">
        <w:rPr>
          <w:szCs w:val="22"/>
        </w:rPr>
        <w:t xml:space="preserve">aprepitanto </w:t>
      </w:r>
      <w:r w:rsidRPr="007A17AE">
        <w:rPr>
          <w:szCs w:val="22"/>
        </w:rPr>
        <w:t xml:space="preserve">poveikis geriamų CYP3A4 substratų farmakokinetikai yra didesnis negu </w:t>
      </w:r>
      <w:r w:rsidR="00E10C74" w:rsidRPr="007A17AE">
        <w:rPr>
          <w:szCs w:val="22"/>
        </w:rPr>
        <w:t>leidžiamų</w:t>
      </w:r>
      <w:r w:rsidRPr="007A17AE">
        <w:rPr>
          <w:szCs w:val="22"/>
        </w:rPr>
        <w:t xml:space="preserve"> į veną,</w:t>
      </w:r>
      <w:r w:rsidR="00E10C74" w:rsidRPr="007A17AE">
        <w:rPr>
          <w:szCs w:val="22"/>
        </w:rPr>
        <w:t xml:space="preserve"> </w:t>
      </w:r>
      <w:r w:rsidRPr="007A17AE">
        <w:rPr>
          <w:szCs w:val="22"/>
        </w:rPr>
        <w:t>sąveikos su geriamaisiais chemoterapiniais vaistiniais preparatais, kuriuos pirmiausia ar iš dalies</w:t>
      </w:r>
      <w:r w:rsidR="00E10C74" w:rsidRPr="007A17AE">
        <w:rPr>
          <w:szCs w:val="22"/>
        </w:rPr>
        <w:t xml:space="preserve"> </w:t>
      </w:r>
      <w:r w:rsidRPr="007A17AE">
        <w:rPr>
          <w:szCs w:val="22"/>
        </w:rPr>
        <w:t xml:space="preserve">metabolizuoja CYP3A4 (pvz., etopozidu, vinorelbinu) </w:t>
      </w:r>
      <w:r w:rsidR="00E10C74" w:rsidRPr="007A17AE">
        <w:rPr>
          <w:szCs w:val="22"/>
        </w:rPr>
        <w:t>paneigti negalima</w:t>
      </w:r>
      <w:r w:rsidRPr="007A17AE">
        <w:rPr>
          <w:szCs w:val="22"/>
        </w:rPr>
        <w:t>. Patartina laikytis atsargumo</w:t>
      </w:r>
      <w:r w:rsidR="00E10C74" w:rsidRPr="007A17AE">
        <w:rPr>
          <w:szCs w:val="22"/>
        </w:rPr>
        <w:t xml:space="preserve"> </w:t>
      </w:r>
      <w:r w:rsidRPr="007A17AE">
        <w:rPr>
          <w:szCs w:val="22"/>
        </w:rPr>
        <w:t>ir papildomai stebėti pacientus, vartojančius vaistini</w:t>
      </w:r>
      <w:r w:rsidR="00E10C74" w:rsidRPr="007A17AE">
        <w:rPr>
          <w:szCs w:val="22"/>
        </w:rPr>
        <w:t>ų</w:t>
      </w:r>
      <w:r w:rsidRPr="007A17AE">
        <w:rPr>
          <w:szCs w:val="22"/>
        </w:rPr>
        <w:t xml:space="preserve"> preparat</w:t>
      </w:r>
      <w:r w:rsidR="00E10C74" w:rsidRPr="007A17AE">
        <w:rPr>
          <w:szCs w:val="22"/>
        </w:rPr>
        <w:t>ų</w:t>
      </w:r>
      <w:r w:rsidRPr="007A17AE">
        <w:rPr>
          <w:szCs w:val="22"/>
        </w:rPr>
        <w:t>, kuriuos pirmiausia ar iš</w:t>
      </w:r>
      <w:r w:rsidR="00E10C74" w:rsidRPr="007A17AE">
        <w:rPr>
          <w:szCs w:val="22"/>
        </w:rPr>
        <w:t xml:space="preserve"> </w:t>
      </w:r>
      <w:r w:rsidRPr="007A17AE">
        <w:rPr>
          <w:szCs w:val="22"/>
        </w:rPr>
        <w:t>dalies metabolizuoja CYP3A4 (žr. 4.4 skyrių). Vartojant aprepitant</w:t>
      </w:r>
      <w:r w:rsidR="00E10C74" w:rsidRPr="007A17AE">
        <w:rPr>
          <w:szCs w:val="22"/>
        </w:rPr>
        <w:t>o</w:t>
      </w:r>
      <w:r w:rsidRPr="007A17AE">
        <w:rPr>
          <w:szCs w:val="22"/>
        </w:rPr>
        <w:t xml:space="preserve"> jam jau esant rinkoje kartu su</w:t>
      </w:r>
      <w:r w:rsidR="00E10C74" w:rsidRPr="007A17AE">
        <w:rPr>
          <w:szCs w:val="22"/>
        </w:rPr>
        <w:t xml:space="preserve"> </w:t>
      </w:r>
      <w:r w:rsidRPr="007A17AE">
        <w:rPr>
          <w:szCs w:val="22"/>
        </w:rPr>
        <w:t xml:space="preserve">ifosfamidu, </w:t>
      </w:r>
      <w:r w:rsidR="00E10C74" w:rsidRPr="007A17AE">
        <w:rPr>
          <w:szCs w:val="22"/>
        </w:rPr>
        <w:t>gauta pranešimų apie</w:t>
      </w:r>
      <w:r w:rsidRPr="007A17AE">
        <w:rPr>
          <w:szCs w:val="22"/>
        </w:rPr>
        <w:t xml:space="preserve"> toksinio poveikio nervų sistemai reiškini</w:t>
      </w:r>
      <w:r w:rsidR="00E10C74" w:rsidRPr="007A17AE">
        <w:rPr>
          <w:szCs w:val="22"/>
        </w:rPr>
        <w:t>us</w:t>
      </w:r>
      <w:r w:rsidRPr="007A17AE">
        <w:rPr>
          <w:szCs w:val="22"/>
        </w:rPr>
        <w:t>, kurie gali būti nepageidaujama</w:t>
      </w:r>
      <w:r w:rsidR="00E10C74" w:rsidRPr="007A17AE">
        <w:rPr>
          <w:szCs w:val="22"/>
        </w:rPr>
        <w:t xml:space="preserve"> </w:t>
      </w:r>
      <w:r w:rsidRPr="007A17AE">
        <w:rPr>
          <w:szCs w:val="22"/>
        </w:rPr>
        <w:t>reakcija į ifosfamidą.</w:t>
      </w:r>
    </w:p>
    <w:p w14:paraId="20041AAC" w14:textId="77777777" w:rsidR="00E10C74" w:rsidRPr="007A17AE" w:rsidRDefault="00E10C74" w:rsidP="007A17AE">
      <w:pPr>
        <w:spacing w:line="240" w:lineRule="auto"/>
        <w:contextualSpacing/>
        <w:rPr>
          <w:szCs w:val="22"/>
        </w:rPr>
      </w:pPr>
    </w:p>
    <w:p w14:paraId="58800BF4" w14:textId="77777777" w:rsidR="006F3629" w:rsidRPr="007A17AE" w:rsidRDefault="006F3629" w:rsidP="007A17AE">
      <w:pPr>
        <w:spacing w:line="240" w:lineRule="auto"/>
        <w:contextualSpacing/>
        <w:rPr>
          <w:i/>
          <w:szCs w:val="22"/>
        </w:rPr>
      </w:pPr>
      <w:r w:rsidRPr="007A17AE">
        <w:rPr>
          <w:i/>
          <w:szCs w:val="22"/>
        </w:rPr>
        <w:t>Imunosupresantai</w:t>
      </w:r>
    </w:p>
    <w:p w14:paraId="435776D1" w14:textId="77777777" w:rsidR="00EF5E20" w:rsidRPr="007A17AE" w:rsidRDefault="006F3629" w:rsidP="007A17AE">
      <w:pPr>
        <w:spacing w:line="240" w:lineRule="auto"/>
        <w:contextualSpacing/>
        <w:rPr>
          <w:szCs w:val="22"/>
        </w:rPr>
      </w:pPr>
      <w:r w:rsidRPr="007A17AE">
        <w:rPr>
          <w:szCs w:val="22"/>
        </w:rPr>
        <w:t>3</w:t>
      </w:r>
      <w:r w:rsidR="00A34D77">
        <w:rPr>
          <w:szCs w:val="22"/>
        </w:rPr>
        <w:t> </w:t>
      </w:r>
      <w:r w:rsidRPr="007A17AE">
        <w:rPr>
          <w:szCs w:val="22"/>
        </w:rPr>
        <w:t xml:space="preserve">dienų CINV schemos skyrimo metu </w:t>
      </w:r>
      <w:r w:rsidR="001E6760" w:rsidRPr="007A17AE">
        <w:rPr>
          <w:szCs w:val="22"/>
        </w:rPr>
        <w:t>tikėtinas laikinas</w:t>
      </w:r>
      <w:r w:rsidRPr="007A17AE">
        <w:rPr>
          <w:szCs w:val="22"/>
        </w:rPr>
        <w:t xml:space="preserve"> imunosupresantų,</w:t>
      </w:r>
      <w:r w:rsidR="001E6760" w:rsidRPr="007A17AE">
        <w:rPr>
          <w:szCs w:val="22"/>
        </w:rPr>
        <w:t xml:space="preserve"> </w:t>
      </w:r>
      <w:r w:rsidRPr="007A17AE">
        <w:rPr>
          <w:szCs w:val="22"/>
        </w:rPr>
        <w:t>metabolizuojamų CYP3A4 (pvz., ciklosporino, takrolimuzo, everolimuzo ir sirolimuzo) ekspozicijos</w:t>
      </w:r>
      <w:r w:rsidR="005530B4" w:rsidRPr="007A17AE">
        <w:rPr>
          <w:szCs w:val="22"/>
        </w:rPr>
        <w:t xml:space="preserve"> </w:t>
      </w:r>
      <w:r w:rsidRPr="007A17AE">
        <w:rPr>
          <w:szCs w:val="22"/>
        </w:rPr>
        <w:t>padidėjim</w:t>
      </w:r>
      <w:r w:rsidR="001E6760" w:rsidRPr="007A17AE">
        <w:rPr>
          <w:szCs w:val="22"/>
        </w:rPr>
        <w:t>as</w:t>
      </w:r>
      <w:r w:rsidRPr="007A17AE">
        <w:rPr>
          <w:szCs w:val="22"/>
        </w:rPr>
        <w:t xml:space="preserve"> ir po jo einan</w:t>
      </w:r>
      <w:r w:rsidR="001E6760" w:rsidRPr="007A17AE">
        <w:rPr>
          <w:szCs w:val="22"/>
        </w:rPr>
        <w:t>ti</w:t>
      </w:r>
      <w:r w:rsidR="00D33EB4" w:rsidRPr="007A17AE">
        <w:rPr>
          <w:szCs w:val="22"/>
        </w:rPr>
        <w:t>s</w:t>
      </w:r>
      <w:r w:rsidRPr="007A17AE">
        <w:rPr>
          <w:szCs w:val="22"/>
        </w:rPr>
        <w:t xml:space="preserve"> nedideli</w:t>
      </w:r>
      <w:r w:rsidR="001E6760" w:rsidRPr="007A17AE">
        <w:rPr>
          <w:szCs w:val="22"/>
        </w:rPr>
        <w:t>s</w:t>
      </w:r>
      <w:r w:rsidRPr="007A17AE">
        <w:rPr>
          <w:szCs w:val="22"/>
        </w:rPr>
        <w:t xml:space="preserve"> sumažėjim</w:t>
      </w:r>
      <w:r w:rsidR="001E6760" w:rsidRPr="007A17AE">
        <w:rPr>
          <w:szCs w:val="22"/>
        </w:rPr>
        <w:t>as</w:t>
      </w:r>
      <w:r w:rsidRPr="007A17AE">
        <w:rPr>
          <w:szCs w:val="22"/>
        </w:rPr>
        <w:t>. Turint omenyje trumpą 3</w:t>
      </w:r>
      <w:r w:rsidR="00A34D77">
        <w:rPr>
          <w:szCs w:val="22"/>
        </w:rPr>
        <w:t> </w:t>
      </w:r>
      <w:r w:rsidRPr="007A17AE">
        <w:rPr>
          <w:szCs w:val="22"/>
        </w:rPr>
        <w:t>dienų schemos trukmę ir</w:t>
      </w:r>
      <w:r w:rsidR="001E6760" w:rsidRPr="007A17AE">
        <w:rPr>
          <w:szCs w:val="22"/>
        </w:rPr>
        <w:t xml:space="preserve"> </w:t>
      </w:r>
      <w:r w:rsidRPr="007A17AE">
        <w:rPr>
          <w:szCs w:val="22"/>
        </w:rPr>
        <w:t>nuo laiko priklausomus ribotus ekspozicijos p</w:t>
      </w:r>
      <w:r w:rsidR="001E6760" w:rsidRPr="007A17AE">
        <w:rPr>
          <w:szCs w:val="22"/>
        </w:rPr>
        <w:t>okyčius</w:t>
      </w:r>
      <w:r w:rsidRPr="007A17AE">
        <w:rPr>
          <w:szCs w:val="22"/>
        </w:rPr>
        <w:t>, imunosupresant</w:t>
      </w:r>
      <w:r w:rsidR="001E6760" w:rsidRPr="007A17AE">
        <w:rPr>
          <w:szCs w:val="22"/>
        </w:rPr>
        <w:t>o vartojamo tris dienas kartu su aprepitantu,</w:t>
      </w:r>
      <w:r w:rsidRPr="007A17AE">
        <w:rPr>
          <w:szCs w:val="22"/>
        </w:rPr>
        <w:t xml:space="preserve"> dozės mažinti</w:t>
      </w:r>
      <w:r w:rsidR="001E6760" w:rsidRPr="007A17AE">
        <w:rPr>
          <w:szCs w:val="22"/>
        </w:rPr>
        <w:t xml:space="preserve"> </w:t>
      </w:r>
      <w:r w:rsidRPr="007A17AE">
        <w:rPr>
          <w:szCs w:val="22"/>
        </w:rPr>
        <w:t>nerekomenduojama.</w:t>
      </w:r>
    </w:p>
    <w:p w14:paraId="0D760E57" w14:textId="77777777" w:rsidR="00EF5E20" w:rsidRPr="007A17AE" w:rsidRDefault="00EF5E20" w:rsidP="007A17AE">
      <w:pPr>
        <w:spacing w:line="240" w:lineRule="auto"/>
        <w:contextualSpacing/>
        <w:rPr>
          <w:szCs w:val="22"/>
        </w:rPr>
      </w:pPr>
    </w:p>
    <w:p w14:paraId="0510CDFD" w14:textId="77777777" w:rsidR="006F28CD" w:rsidRPr="007A17AE" w:rsidRDefault="006F28CD" w:rsidP="007A17AE">
      <w:pPr>
        <w:spacing w:line="240" w:lineRule="auto"/>
        <w:contextualSpacing/>
        <w:rPr>
          <w:i/>
          <w:szCs w:val="22"/>
        </w:rPr>
      </w:pPr>
      <w:r w:rsidRPr="007A17AE">
        <w:rPr>
          <w:i/>
          <w:szCs w:val="22"/>
        </w:rPr>
        <w:t>Midazolamas</w:t>
      </w:r>
    </w:p>
    <w:p w14:paraId="70BB2718" w14:textId="77777777" w:rsidR="006F28CD" w:rsidRPr="007A17AE" w:rsidRDefault="006F28CD" w:rsidP="007A17AE">
      <w:pPr>
        <w:spacing w:line="240" w:lineRule="auto"/>
        <w:contextualSpacing/>
        <w:rPr>
          <w:szCs w:val="22"/>
        </w:rPr>
      </w:pPr>
      <w:r w:rsidRPr="007A17AE">
        <w:rPr>
          <w:szCs w:val="22"/>
        </w:rPr>
        <w:t>Reikia atsižvelgti į galimus efektus dėl midazolamo ar kitų CYP3A4 metabolizuojamų benzodiazepinų (alprazolamo, triazolamo) koncentracijų padidėjimo, jeigu šių vaistinių preparatų vartojama kartu su aprepitantu (125</w:t>
      </w:r>
      <w:r w:rsidR="00A34D77">
        <w:rPr>
          <w:szCs w:val="22"/>
        </w:rPr>
        <w:t> </w:t>
      </w:r>
      <w:r w:rsidRPr="007A17AE">
        <w:rPr>
          <w:szCs w:val="22"/>
        </w:rPr>
        <w:t>mg/80</w:t>
      </w:r>
      <w:r w:rsidR="00A34D77">
        <w:rPr>
          <w:szCs w:val="22"/>
        </w:rPr>
        <w:t> </w:t>
      </w:r>
      <w:r w:rsidRPr="007A17AE">
        <w:rPr>
          <w:szCs w:val="22"/>
        </w:rPr>
        <w:t>mg).</w:t>
      </w:r>
    </w:p>
    <w:p w14:paraId="56D7A8CC" w14:textId="77777777" w:rsidR="006F28CD" w:rsidRPr="007A17AE" w:rsidRDefault="006F28CD" w:rsidP="007A17AE">
      <w:pPr>
        <w:spacing w:line="240" w:lineRule="auto"/>
        <w:contextualSpacing/>
        <w:rPr>
          <w:szCs w:val="22"/>
        </w:rPr>
      </w:pPr>
    </w:p>
    <w:p w14:paraId="2A73754C" w14:textId="77777777" w:rsidR="006F28CD" w:rsidRPr="007A17AE" w:rsidRDefault="006F28CD" w:rsidP="007A17AE">
      <w:pPr>
        <w:spacing w:line="240" w:lineRule="auto"/>
        <w:contextualSpacing/>
        <w:rPr>
          <w:szCs w:val="22"/>
        </w:rPr>
      </w:pPr>
      <w:r w:rsidRPr="007A17AE">
        <w:rPr>
          <w:szCs w:val="22"/>
        </w:rPr>
        <w:lastRenderedPageBreak/>
        <w:t>Suvartojus geriamojo midazolamo 2</w:t>
      </w:r>
      <w:r w:rsidR="00A34D77">
        <w:rPr>
          <w:szCs w:val="22"/>
        </w:rPr>
        <w:t> </w:t>
      </w:r>
      <w:r w:rsidRPr="007A17AE">
        <w:rPr>
          <w:szCs w:val="22"/>
        </w:rPr>
        <w:t>mg dozę 1-ąją ir 5-ąją dieną kartu su 125</w:t>
      </w:r>
      <w:r w:rsidR="00A34D77">
        <w:rPr>
          <w:szCs w:val="22"/>
        </w:rPr>
        <w:t> </w:t>
      </w:r>
      <w:r w:rsidRPr="007A17AE">
        <w:rPr>
          <w:szCs w:val="22"/>
        </w:rPr>
        <w:t>mg aprepitanto 1-ąją dieną ir po 80</w:t>
      </w:r>
      <w:r w:rsidR="00A34D77">
        <w:rPr>
          <w:szCs w:val="22"/>
        </w:rPr>
        <w:t> </w:t>
      </w:r>
      <w:r w:rsidRPr="007A17AE">
        <w:rPr>
          <w:szCs w:val="22"/>
        </w:rPr>
        <w:t>mg per parą 2–5-ąją dienomis, aprepitantas padidino midazolamo, jautraus CYP3A4 substrato, AUC 2,3</w:t>
      </w:r>
      <w:r w:rsidR="00A34D77">
        <w:rPr>
          <w:szCs w:val="22"/>
        </w:rPr>
        <w:t> </w:t>
      </w:r>
      <w:r w:rsidRPr="007A17AE">
        <w:rPr>
          <w:szCs w:val="22"/>
        </w:rPr>
        <w:t>karto 1-ąją dieną ir 3,3</w:t>
      </w:r>
      <w:r w:rsidR="00A34D77">
        <w:rPr>
          <w:szCs w:val="22"/>
        </w:rPr>
        <w:t> </w:t>
      </w:r>
      <w:r w:rsidRPr="007A17AE">
        <w:rPr>
          <w:szCs w:val="22"/>
        </w:rPr>
        <w:t>karto 5-ąją dieną.</w:t>
      </w:r>
    </w:p>
    <w:p w14:paraId="2A67C09F" w14:textId="3AB7F1AD" w:rsidR="006F28CD" w:rsidRPr="007A17AE" w:rsidRDefault="006F28CD" w:rsidP="007A17AE">
      <w:pPr>
        <w:spacing w:line="240" w:lineRule="auto"/>
        <w:contextualSpacing/>
        <w:rPr>
          <w:szCs w:val="22"/>
        </w:rPr>
      </w:pPr>
      <w:r w:rsidRPr="007A17AE">
        <w:rPr>
          <w:szCs w:val="22"/>
        </w:rPr>
        <w:t>Kito tyrimo, kurio metu midazolamo buvo suleista į veną, aprepitanto buvo vartojama po 125</w:t>
      </w:r>
      <w:r w:rsidR="00A34D77">
        <w:rPr>
          <w:szCs w:val="22"/>
        </w:rPr>
        <w:t> </w:t>
      </w:r>
      <w:r w:rsidRPr="007A17AE">
        <w:rPr>
          <w:szCs w:val="22"/>
        </w:rPr>
        <w:t>mg per parą 1-ąją dieną ir po 80</w:t>
      </w:r>
      <w:r w:rsidR="00A34D77">
        <w:rPr>
          <w:szCs w:val="22"/>
        </w:rPr>
        <w:t> </w:t>
      </w:r>
      <w:r w:rsidRPr="007A17AE">
        <w:rPr>
          <w:szCs w:val="22"/>
        </w:rPr>
        <w:t>mg per parą 2-ąją ir 3-iąją dienomis, o 2</w:t>
      </w:r>
      <w:r w:rsidR="00A34D77">
        <w:rPr>
          <w:szCs w:val="22"/>
        </w:rPr>
        <w:t> </w:t>
      </w:r>
      <w:r w:rsidRPr="007A17AE">
        <w:rPr>
          <w:szCs w:val="22"/>
        </w:rPr>
        <w:t xml:space="preserve">mg midazolamo buvo </w:t>
      </w:r>
      <w:r w:rsidR="00144B25">
        <w:rPr>
          <w:szCs w:val="22"/>
        </w:rPr>
        <w:t>su</w:t>
      </w:r>
      <w:r w:rsidR="000F576E">
        <w:rPr>
          <w:szCs w:val="22"/>
        </w:rPr>
        <w:t>leidžiama</w:t>
      </w:r>
      <w:r w:rsidRPr="007A17AE">
        <w:rPr>
          <w:szCs w:val="22"/>
        </w:rPr>
        <w:t xml:space="preserve"> į veną prieš trijų dienų </w:t>
      </w:r>
      <w:r w:rsidR="003D5FF8">
        <w:rPr>
          <w:szCs w:val="22"/>
        </w:rPr>
        <w:t>aprepitant</w:t>
      </w:r>
      <w:r w:rsidR="00C617CB">
        <w:rPr>
          <w:szCs w:val="22"/>
        </w:rPr>
        <w:t>o</w:t>
      </w:r>
      <w:r w:rsidR="003D5FF8">
        <w:rPr>
          <w:szCs w:val="22"/>
        </w:rPr>
        <w:t xml:space="preserve"> </w:t>
      </w:r>
      <w:r w:rsidRPr="007A17AE">
        <w:rPr>
          <w:szCs w:val="22"/>
        </w:rPr>
        <w:t>kursą bei 4-ąją, 8-ąją ir 15-ąją dienomis, aprepitantas padidino  midazolamo AUC 4-ąją dieną 25</w:t>
      </w:r>
      <w:r w:rsidR="00A34D77">
        <w:rPr>
          <w:szCs w:val="22"/>
        </w:rPr>
        <w:t> </w:t>
      </w:r>
      <w:r w:rsidRPr="007A17AE">
        <w:rPr>
          <w:szCs w:val="22"/>
        </w:rPr>
        <w:t>% ir sumažino jo AUC 8-ąją dieną 19</w:t>
      </w:r>
      <w:r w:rsidR="00A34D77">
        <w:rPr>
          <w:szCs w:val="22"/>
        </w:rPr>
        <w:t> </w:t>
      </w:r>
      <w:r w:rsidRPr="007A17AE">
        <w:rPr>
          <w:szCs w:val="22"/>
        </w:rPr>
        <w:t>% bei 15-ąją dieną 4</w:t>
      </w:r>
      <w:r w:rsidR="00A34D77">
        <w:rPr>
          <w:szCs w:val="22"/>
        </w:rPr>
        <w:t> </w:t>
      </w:r>
      <w:r w:rsidRPr="007A17AE">
        <w:rPr>
          <w:szCs w:val="22"/>
        </w:rPr>
        <w:t xml:space="preserve">%. Manoma, kad šis poveikis kliniškai </w:t>
      </w:r>
      <w:r w:rsidR="002A0B08" w:rsidRPr="007A17AE">
        <w:rPr>
          <w:szCs w:val="22"/>
        </w:rPr>
        <w:t xml:space="preserve">yra </w:t>
      </w:r>
      <w:r w:rsidRPr="007A17AE">
        <w:rPr>
          <w:szCs w:val="22"/>
        </w:rPr>
        <w:t>nereikšmingas.</w:t>
      </w:r>
    </w:p>
    <w:p w14:paraId="69556FB2" w14:textId="3DBF4FB7" w:rsidR="00EF5E20" w:rsidRPr="007A17AE" w:rsidRDefault="006F28CD" w:rsidP="007A17AE">
      <w:pPr>
        <w:spacing w:line="240" w:lineRule="auto"/>
        <w:contextualSpacing/>
        <w:rPr>
          <w:szCs w:val="22"/>
        </w:rPr>
      </w:pPr>
      <w:r w:rsidRPr="007A17AE">
        <w:rPr>
          <w:szCs w:val="22"/>
        </w:rPr>
        <w:t>Trečiojo</w:t>
      </w:r>
      <w:r w:rsidR="002A0B08" w:rsidRPr="007A17AE">
        <w:rPr>
          <w:szCs w:val="22"/>
        </w:rPr>
        <w:t xml:space="preserve"> tyrimo, kurio metu midazolamo buvo vartojama per burną arba leidžiama į veną, aprepitanto</w:t>
      </w:r>
      <w:r w:rsidRPr="007A17AE">
        <w:rPr>
          <w:szCs w:val="22"/>
        </w:rPr>
        <w:t xml:space="preserve"> buvo vartojama 125</w:t>
      </w:r>
      <w:r w:rsidR="00A34D77">
        <w:rPr>
          <w:szCs w:val="22"/>
        </w:rPr>
        <w:t> </w:t>
      </w:r>
      <w:r w:rsidRPr="007A17AE">
        <w:rPr>
          <w:szCs w:val="22"/>
        </w:rPr>
        <w:t>mg 1-ąją dieną ir po 80</w:t>
      </w:r>
      <w:r w:rsidR="00A34D77">
        <w:rPr>
          <w:szCs w:val="22"/>
        </w:rPr>
        <w:t> </w:t>
      </w:r>
      <w:r w:rsidRPr="007A17AE">
        <w:rPr>
          <w:szCs w:val="22"/>
        </w:rPr>
        <w:t>mg per parą 2-ąją ir 3-iąją dienomis kartu su 32</w:t>
      </w:r>
      <w:r w:rsidR="00A34D77">
        <w:rPr>
          <w:szCs w:val="22"/>
        </w:rPr>
        <w:t> </w:t>
      </w:r>
      <w:r w:rsidRPr="007A17AE">
        <w:rPr>
          <w:szCs w:val="22"/>
        </w:rPr>
        <w:t>mg ondansetrono 1-ąją</w:t>
      </w:r>
      <w:r w:rsidR="002A0B08" w:rsidRPr="007A17AE">
        <w:rPr>
          <w:szCs w:val="22"/>
        </w:rPr>
        <w:t xml:space="preserve"> </w:t>
      </w:r>
      <w:r w:rsidRPr="007A17AE">
        <w:rPr>
          <w:szCs w:val="22"/>
        </w:rPr>
        <w:t>dieną, 12</w:t>
      </w:r>
      <w:r w:rsidR="00A34D77">
        <w:rPr>
          <w:szCs w:val="22"/>
        </w:rPr>
        <w:t> </w:t>
      </w:r>
      <w:r w:rsidRPr="007A17AE">
        <w:rPr>
          <w:szCs w:val="22"/>
        </w:rPr>
        <w:t>mg deksametazono 1-ąją dieną ir po 8</w:t>
      </w:r>
      <w:r w:rsidR="00A34D77">
        <w:rPr>
          <w:szCs w:val="22"/>
        </w:rPr>
        <w:t> </w:t>
      </w:r>
      <w:r w:rsidRPr="007A17AE">
        <w:rPr>
          <w:szCs w:val="22"/>
        </w:rPr>
        <w:t>mg nuo 2-osios iki 4-osios dienos. Šis derinys (pvz.,</w:t>
      </w:r>
      <w:r w:rsidR="002A0B08" w:rsidRPr="007A17AE">
        <w:rPr>
          <w:szCs w:val="22"/>
        </w:rPr>
        <w:t xml:space="preserve"> aprepitantas</w:t>
      </w:r>
      <w:r w:rsidRPr="007A17AE">
        <w:rPr>
          <w:szCs w:val="22"/>
        </w:rPr>
        <w:t xml:space="preserve">, ondansetronas ir deksametazonas) sumažino </w:t>
      </w:r>
      <w:r w:rsidR="002A0B08" w:rsidRPr="007A17AE">
        <w:rPr>
          <w:szCs w:val="22"/>
        </w:rPr>
        <w:t xml:space="preserve">per burną suvartoto </w:t>
      </w:r>
      <w:r w:rsidRPr="007A17AE">
        <w:rPr>
          <w:szCs w:val="22"/>
        </w:rPr>
        <w:t>midazolamo AUC 6-ąją dieną</w:t>
      </w:r>
      <w:r w:rsidR="002A0B08" w:rsidRPr="007A17AE">
        <w:rPr>
          <w:szCs w:val="22"/>
        </w:rPr>
        <w:t xml:space="preserve"> 16</w:t>
      </w:r>
      <w:r w:rsidR="00A34D77">
        <w:rPr>
          <w:szCs w:val="22"/>
        </w:rPr>
        <w:t> </w:t>
      </w:r>
      <w:r w:rsidR="002A0B08" w:rsidRPr="007A17AE">
        <w:rPr>
          <w:szCs w:val="22"/>
        </w:rPr>
        <w:t xml:space="preserve">%, </w:t>
      </w:r>
      <w:r w:rsidRPr="007A17AE">
        <w:rPr>
          <w:szCs w:val="22"/>
        </w:rPr>
        <w:t>8-ąją dieną</w:t>
      </w:r>
      <w:r w:rsidR="002A0B08" w:rsidRPr="007A17AE">
        <w:rPr>
          <w:szCs w:val="22"/>
        </w:rPr>
        <w:t xml:space="preserve"> – 9</w:t>
      </w:r>
      <w:r w:rsidR="00A34D77">
        <w:rPr>
          <w:szCs w:val="22"/>
        </w:rPr>
        <w:t> </w:t>
      </w:r>
      <w:r w:rsidR="002A0B08" w:rsidRPr="007A17AE">
        <w:rPr>
          <w:szCs w:val="22"/>
        </w:rPr>
        <w:t>%</w:t>
      </w:r>
      <w:r w:rsidRPr="007A17AE">
        <w:rPr>
          <w:szCs w:val="22"/>
        </w:rPr>
        <w:t xml:space="preserve">, 15-ąją dieną </w:t>
      </w:r>
      <w:r w:rsidR="002A0B08" w:rsidRPr="007A17AE">
        <w:rPr>
          <w:szCs w:val="22"/>
        </w:rPr>
        <w:t>7</w:t>
      </w:r>
      <w:r w:rsidR="00A34D77">
        <w:rPr>
          <w:szCs w:val="22"/>
        </w:rPr>
        <w:t> </w:t>
      </w:r>
      <w:r w:rsidR="002A0B08" w:rsidRPr="007A17AE">
        <w:rPr>
          <w:szCs w:val="22"/>
        </w:rPr>
        <w:t xml:space="preserve">% </w:t>
      </w:r>
      <w:r w:rsidRPr="007A17AE">
        <w:rPr>
          <w:szCs w:val="22"/>
        </w:rPr>
        <w:t>ir 22-ąją dieną</w:t>
      </w:r>
      <w:r w:rsidR="002A0B08" w:rsidRPr="007A17AE">
        <w:rPr>
          <w:szCs w:val="22"/>
        </w:rPr>
        <w:t xml:space="preserve"> 17</w:t>
      </w:r>
      <w:r w:rsidR="00A34D77">
        <w:rPr>
          <w:szCs w:val="22"/>
        </w:rPr>
        <w:t> </w:t>
      </w:r>
      <w:r w:rsidR="002A0B08" w:rsidRPr="007A17AE">
        <w:rPr>
          <w:szCs w:val="22"/>
        </w:rPr>
        <w:t>%</w:t>
      </w:r>
      <w:r w:rsidRPr="007A17AE">
        <w:rPr>
          <w:szCs w:val="22"/>
        </w:rPr>
        <w:t>. Manoma, kad šis poveikis kliniškai</w:t>
      </w:r>
      <w:r w:rsidR="002A0B08" w:rsidRPr="007A17AE">
        <w:rPr>
          <w:szCs w:val="22"/>
        </w:rPr>
        <w:t xml:space="preserve"> yra </w:t>
      </w:r>
      <w:r w:rsidRPr="007A17AE">
        <w:rPr>
          <w:szCs w:val="22"/>
        </w:rPr>
        <w:t>nereikšmingas.</w:t>
      </w:r>
    </w:p>
    <w:p w14:paraId="0DAAFB00" w14:textId="77777777" w:rsidR="00EF5E20" w:rsidRPr="007A17AE" w:rsidRDefault="00EF5E20" w:rsidP="007A17AE">
      <w:pPr>
        <w:spacing w:line="240" w:lineRule="auto"/>
        <w:contextualSpacing/>
        <w:rPr>
          <w:szCs w:val="22"/>
        </w:rPr>
      </w:pPr>
    </w:p>
    <w:p w14:paraId="736BE1B9" w14:textId="77777777" w:rsidR="002A0B08" w:rsidRPr="007A17AE" w:rsidRDefault="002A0B08" w:rsidP="007A17AE">
      <w:pPr>
        <w:spacing w:line="240" w:lineRule="auto"/>
        <w:contextualSpacing/>
        <w:rPr>
          <w:szCs w:val="22"/>
        </w:rPr>
      </w:pPr>
      <w:r w:rsidRPr="007A17AE">
        <w:rPr>
          <w:szCs w:val="22"/>
        </w:rPr>
        <w:t>Be to, buvo atliktas papildomas leidžiamo į veną midazolamo ir aprepitanto tyrimas. 2</w:t>
      </w:r>
      <w:r w:rsidR="00A34D77">
        <w:rPr>
          <w:szCs w:val="22"/>
        </w:rPr>
        <w:t> </w:t>
      </w:r>
      <w:r w:rsidRPr="007A17AE">
        <w:rPr>
          <w:szCs w:val="22"/>
        </w:rPr>
        <w:t>mg midazolamo buvo suleista į veną praėjus valandai po to, kai buvo išgerta vienkartinė 125</w:t>
      </w:r>
      <w:r w:rsidR="00A34D77">
        <w:rPr>
          <w:szCs w:val="22"/>
        </w:rPr>
        <w:t> </w:t>
      </w:r>
      <w:r w:rsidRPr="007A17AE">
        <w:rPr>
          <w:szCs w:val="22"/>
        </w:rPr>
        <w:t xml:space="preserve">mg aprepitanto dozė. Midazolamo AUC </w:t>
      </w:r>
      <w:r w:rsidR="003D5FF8">
        <w:rPr>
          <w:szCs w:val="22"/>
        </w:rPr>
        <w:t xml:space="preserve">kraujo </w:t>
      </w:r>
      <w:r w:rsidRPr="007A17AE">
        <w:rPr>
          <w:szCs w:val="22"/>
        </w:rPr>
        <w:t>plazmoje padidėjo 1,5</w:t>
      </w:r>
      <w:r w:rsidR="00A34D77">
        <w:rPr>
          <w:szCs w:val="22"/>
        </w:rPr>
        <w:t> </w:t>
      </w:r>
      <w:r w:rsidRPr="007A17AE">
        <w:rPr>
          <w:szCs w:val="22"/>
        </w:rPr>
        <w:t>karto. Manoma, kad šis poveikis kliniškai yra nereikšmingas.</w:t>
      </w:r>
    </w:p>
    <w:p w14:paraId="0CBF754A" w14:textId="77777777" w:rsidR="002A0B08" w:rsidRPr="007A17AE" w:rsidRDefault="002A0B08" w:rsidP="007A17AE">
      <w:pPr>
        <w:spacing w:line="240" w:lineRule="auto"/>
        <w:contextualSpacing/>
        <w:rPr>
          <w:szCs w:val="22"/>
        </w:rPr>
      </w:pPr>
    </w:p>
    <w:p w14:paraId="28034DC2" w14:textId="77777777" w:rsidR="002A0B08" w:rsidRPr="007A17AE" w:rsidRDefault="002A0B08" w:rsidP="007A17AE">
      <w:pPr>
        <w:spacing w:line="240" w:lineRule="auto"/>
        <w:contextualSpacing/>
        <w:rPr>
          <w:i/>
          <w:szCs w:val="22"/>
        </w:rPr>
      </w:pPr>
      <w:r w:rsidRPr="007A17AE">
        <w:rPr>
          <w:i/>
          <w:szCs w:val="22"/>
        </w:rPr>
        <w:t>Indukcija</w:t>
      </w:r>
    </w:p>
    <w:p w14:paraId="21CAD5F5" w14:textId="77777777" w:rsidR="002A0B08" w:rsidRPr="007A17AE" w:rsidRDefault="002A0B08" w:rsidP="007A17AE">
      <w:pPr>
        <w:spacing w:line="240" w:lineRule="auto"/>
        <w:contextualSpacing/>
        <w:rPr>
          <w:szCs w:val="22"/>
        </w:rPr>
      </w:pPr>
      <w:r w:rsidRPr="007A17AE">
        <w:rPr>
          <w:szCs w:val="22"/>
        </w:rPr>
        <w:t xml:space="preserve">Aprepitantas, kaip nestiprus CYP2C9, CYP3A4 bei gliukuronizavimo induktorius, dvi savaites po gydymo pradžios gali mažinti šiais būdais šalinamų substratų koncentracijas </w:t>
      </w:r>
      <w:r w:rsidR="003D5FF8">
        <w:rPr>
          <w:szCs w:val="22"/>
        </w:rPr>
        <w:t xml:space="preserve">kraujo </w:t>
      </w:r>
      <w:r w:rsidRPr="007A17AE">
        <w:rPr>
          <w:szCs w:val="22"/>
        </w:rPr>
        <w:t>plazmoje. Šis poveikis gali tapti pastebimas tik baigus 3</w:t>
      </w:r>
      <w:r w:rsidR="00A34D77">
        <w:rPr>
          <w:szCs w:val="22"/>
        </w:rPr>
        <w:t> </w:t>
      </w:r>
      <w:r w:rsidRPr="007A17AE">
        <w:rPr>
          <w:szCs w:val="22"/>
        </w:rPr>
        <w:t>dienų trukmės gydymą aprepitantu. CYP2C9 ir CYP3A4 indukcija yra laikina. Didžiausias poveikis pasireiškia praėjus 3–5</w:t>
      </w:r>
      <w:r w:rsidR="00A34D77">
        <w:rPr>
          <w:szCs w:val="22"/>
        </w:rPr>
        <w:t> </w:t>
      </w:r>
      <w:r w:rsidRPr="007A17AE">
        <w:rPr>
          <w:szCs w:val="22"/>
        </w:rPr>
        <w:t>dienoms po 3</w:t>
      </w:r>
      <w:r w:rsidR="00A34D77">
        <w:rPr>
          <w:szCs w:val="22"/>
        </w:rPr>
        <w:t> </w:t>
      </w:r>
      <w:r w:rsidRPr="007A17AE">
        <w:rPr>
          <w:szCs w:val="22"/>
        </w:rPr>
        <w:t>dienų gydymo aprepitantu</w:t>
      </w:r>
      <w:r w:rsidR="0069357D" w:rsidRPr="007A17AE">
        <w:rPr>
          <w:szCs w:val="22"/>
        </w:rPr>
        <w:t xml:space="preserve"> pabaigos.</w:t>
      </w:r>
      <w:r w:rsidRPr="007A17AE">
        <w:rPr>
          <w:szCs w:val="22"/>
        </w:rPr>
        <w:t xml:space="preserve"> Poveikis</w:t>
      </w:r>
      <w:r w:rsidR="0069357D" w:rsidRPr="007A17AE">
        <w:rPr>
          <w:szCs w:val="22"/>
        </w:rPr>
        <w:t xml:space="preserve"> </w:t>
      </w:r>
      <w:r w:rsidRPr="007A17AE">
        <w:rPr>
          <w:szCs w:val="22"/>
        </w:rPr>
        <w:t>tęsiasi keletą dienų, po to lėtai mažėja ir per 2</w:t>
      </w:r>
      <w:r w:rsidR="00A34D77">
        <w:rPr>
          <w:szCs w:val="22"/>
        </w:rPr>
        <w:t> </w:t>
      </w:r>
      <w:r w:rsidRPr="007A17AE">
        <w:rPr>
          <w:szCs w:val="22"/>
        </w:rPr>
        <w:t xml:space="preserve">savaites </w:t>
      </w:r>
      <w:r w:rsidR="0069357D" w:rsidRPr="007A17AE">
        <w:rPr>
          <w:szCs w:val="22"/>
        </w:rPr>
        <w:t xml:space="preserve">po gydymo aprepitantu pabaigos </w:t>
      </w:r>
      <w:r w:rsidRPr="007A17AE">
        <w:rPr>
          <w:szCs w:val="22"/>
        </w:rPr>
        <w:t>tampa kliniškai</w:t>
      </w:r>
      <w:r w:rsidR="0069357D" w:rsidRPr="007A17AE">
        <w:rPr>
          <w:szCs w:val="22"/>
        </w:rPr>
        <w:t xml:space="preserve"> </w:t>
      </w:r>
      <w:r w:rsidRPr="007A17AE">
        <w:rPr>
          <w:szCs w:val="22"/>
        </w:rPr>
        <w:t>nereikšmingas. Nedidel</w:t>
      </w:r>
      <w:r w:rsidR="0069357D" w:rsidRPr="007A17AE">
        <w:rPr>
          <w:szCs w:val="22"/>
        </w:rPr>
        <w:t>ė</w:t>
      </w:r>
      <w:r w:rsidRPr="007A17AE">
        <w:rPr>
          <w:szCs w:val="22"/>
        </w:rPr>
        <w:t xml:space="preserve"> gliukuroni</w:t>
      </w:r>
      <w:r w:rsidR="0069357D" w:rsidRPr="007A17AE">
        <w:rPr>
          <w:szCs w:val="22"/>
        </w:rPr>
        <w:t>zavimo</w:t>
      </w:r>
      <w:r w:rsidRPr="007A17AE">
        <w:rPr>
          <w:szCs w:val="22"/>
        </w:rPr>
        <w:t xml:space="preserve"> indukcija taip pat pasireiškia </w:t>
      </w:r>
      <w:r w:rsidR="0069357D" w:rsidRPr="007A17AE">
        <w:rPr>
          <w:szCs w:val="22"/>
        </w:rPr>
        <w:t>7</w:t>
      </w:r>
      <w:r w:rsidR="00A34D77">
        <w:rPr>
          <w:szCs w:val="22"/>
        </w:rPr>
        <w:t> </w:t>
      </w:r>
      <w:r w:rsidR="0069357D" w:rsidRPr="007A17AE">
        <w:rPr>
          <w:szCs w:val="22"/>
        </w:rPr>
        <w:t xml:space="preserve">dienas </w:t>
      </w:r>
      <w:r w:rsidRPr="007A17AE">
        <w:rPr>
          <w:szCs w:val="22"/>
        </w:rPr>
        <w:t xml:space="preserve">skiriant </w:t>
      </w:r>
      <w:r w:rsidR="0069357D" w:rsidRPr="007A17AE">
        <w:rPr>
          <w:szCs w:val="22"/>
        </w:rPr>
        <w:t xml:space="preserve">po </w:t>
      </w:r>
      <w:r w:rsidRPr="007A17AE">
        <w:rPr>
          <w:szCs w:val="22"/>
        </w:rPr>
        <w:t>80</w:t>
      </w:r>
      <w:r w:rsidR="00A34D77">
        <w:rPr>
          <w:szCs w:val="22"/>
        </w:rPr>
        <w:t> </w:t>
      </w:r>
      <w:r w:rsidRPr="007A17AE">
        <w:rPr>
          <w:szCs w:val="22"/>
        </w:rPr>
        <w:t>mg</w:t>
      </w:r>
      <w:r w:rsidR="0069357D" w:rsidRPr="007A17AE">
        <w:rPr>
          <w:szCs w:val="22"/>
        </w:rPr>
        <w:t xml:space="preserve"> </w:t>
      </w:r>
      <w:r w:rsidRPr="007A17AE">
        <w:rPr>
          <w:szCs w:val="22"/>
        </w:rPr>
        <w:t xml:space="preserve">geriamojo aprepitanto. Duomenų apie poveikį CYP2C8 ir CYP2C19 nepakanka. </w:t>
      </w:r>
      <w:r w:rsidR="0069357D" w:rsidRPr="007A17AE">
        <w:rPr>
          <w:szCs w:val="22"/>
        </w:rPr>
        <w:t>Patartina laikytis atsargumo, jeigu p</w:t>
      </w:r>
      <w:r w:rsidRPr="007A17AE">
        <w:rPr>
          <w:szCs w:val="22"/>
        </w:rPr>
        <w:t>er šį</w:t>
      </w:r>
      <w:r w:rsidR="0069357D" w:rsidRPr="007A17AE">
        <w:rPr>
          <w:szCs w:val="22"/>
        </w:rPr>
        <w:t xml:space="preserve"> </w:t>
      </w:r>
      <w:r w:rsidRPr="007A17AE">
        <w:rPr>
          <w:szCs w:val="22"/>
        </w:rPr>
        <w:t xml:space="preserve">laikotarpį </w:t>
      </w:r>
      <w:r w:rsidR="0069357D" w:rsidRPr="007A17AE">
        <w:rPr>
          <w:szCs w:val="22"/>
        </w:rPr>
        <w:t>vartojama</w:t>
      </w:r>
      <w:r w:rsidRPr="007A17AE">
        <w:rPr>
          <w:szCs w:val="22"/>
        </w:rPr>
        <w:t xml:space="preserve"> varfarin</w:t>
      </w:r>
      <w:r w:rsidR="0069357D" w:rsidRPr="007A17AE">
        <w:rPr>
          <w:szCs w:val="22"/>
        </w:rPr>
        <w:t>o</w:t>
      </w:r>
      <w:r w:rsidRPr="007A17AE">
        <w:rPr>
          <w:szCs w:val="22"/>
        </w:rPr>
        <w:t>, acenokumarol</w:t>
      </w:r>
      <w:r w:rsidR="0069357D" w:rsidRPr="007A17AE">
        <w:rPr>
          <w:szCs w:val="22"/>
        </w:rPr>
        <w:t>io</w:t>
      </w:r>
      <w:r w:rsidRPr="007A17AE">
        <w:rPr>
          <w:szCs w:val="22"/>
        </w:rPr>
        <w:t>, tolbutamid</w:t>
      </w:r>
      <w:r w:rsidR="0069357D" w:rsidRPr="007A17AE">
        <w:rPr>
          <w:szCs w:val="22"/>
        </w:rPr>
        <w:t>o</w:t>
      </w:r>
      <w:r w:rsidRPr="007A17AE">
        <w:rPr>
          <w:szCs w:val="22"/>
        </w:rPr>
        <w:t>, fenitoin</w:t>
      </w:r>
      <w:r w:rsidR="0069357D" w:rsidRPr="007A17AE">
        <w:rPr>
          <w:szCs w:val="22"/>
        </w:rPr>
        <w:t>o</w:t>
      </w:r>
      <w:r w:rsidRPr="007A17AE">
        <w:rPr>
          <w:szCs w:val="22"/>
        </w:rPr>
        <w:t xml:space="preserve"> ir kit</w:t>
      </w:r>
      <w:r w:rsidR="0069357D" w:rsidRPr="007A17AE">
        <w:rPr>
          <w:szCs w:val="22"/>
        </w:rPr>
        <w:t>ų</w:t>
      </w:r>
      <w:r w:rsidRPr="007A17AE">
        <w:rPr>
          <w:szCs w:val="22"/>
        </w:rPr>
        <w:t xml:space="preserve"> veikli</w:t>
      </w:r>
      <w:r w:rsidR="0069357D" w:rsidRPr="007A17AE">
        <w:rPr>
          <w:szCs w:val="22"/>
        </w:rPr>
        <w:t>ųjų medžiagų</w:t>
      </w:r>
      <w:r w:rsidRPr="007A17AE">
        <w:rPr>
          <w:szCs w:val="22"/>
        </w:rPr>
        <w:t xml:space="preserve">, </w:t>
      </w:r>
      <w:r w:rsidR="0069357D" w:rsidRPr="007A17AE">
        <w:rPr>
          <w:szCs w:val="22"/>
        </w:rPr>
        <w:t>kurias, kaip žinoma,</w:t>
      </w:r>
      <w:r w:rsidRPr="007A17AE">
        <w:rPr>
          <w:szCs w:val="22"/>
        </w:rPr>
        <w:t xml:space="preserve"> metabolizuoja CYP2C9.</w:t>
      </w:r>
    </w:p>
    <w:p w14:paraId="7D7EE09B" w14:textId="77777777" w:rsidR="0069357D" w:rsidRPr="007A17AE" w:rsidRDefault="0069357D" w:rsidP="007A17AE">
      <w:pPr>
        <w:spacing w:line="240" w:lineRule="auto"/>
        <w:contextualSpacing/>
        <w:rPr>
          <w:szCs w:val="22"/>
        </w:rPr>
      </w:pPr>
    </w:p>
    <w:p w14:paraId="077B9AE4" w14:textId="77777777" w:rsidR="002A0B08" w:rsidRPr="007A17AE" w:rsidRDefault="002A0B08" w:rsidP="007A17AE">
      <w:pPr>
        <w:spacing w:line="240" w:lineRule="auto"/>
        <w:contextualSpacing/>
        <w:rPr>
          <w:i/>
          <w:szCs w:val="22"/>
        </w:rPr>
      </w:pPr>
      <w:r w:rsidRPr="007A17AE">
        <w:rPr>
          <w:i/>
          <w:szCs w:val="22"/>
        </w:rPr>
        <w:t>Varfarinas</w:t>
      </w:r>
    </w:p>
    <w:p w14:paraId="2BF1C49E" w14:textId="77777777" w:rsidR="002A0B08" w:rsidRPr="007A17AE" w:rsidRDefault="002A0B08" w:rsidP="007A17AE">
      <w:pPr>
        <w:spacing w:line="240" w:lineRule="auto"/>
        <w:contextualSpacing/>
        <w:rPr>
          <w:szCs w:val="22"/>
        </w:rPr>
      </w:pPr>
      <w:r w:rsidRPr="007A17AE">
        <w:rPr>
          <w:szCs w:val="22"/>
        </w:rPr>
        <w:t>Nuolat varfarin</w:t>
      </w:r>
      <w:r w:rsidR="0069357D" w:rsidRPr="007A17AE">
        <w:rPr>
          <w:szCs w:val="22"/>
        </w:rPr>
        <w:t>u gydomiems</w:t>
      </w:r>
      <w:r w:rsidRPr="007A17AE">
        <w:rPr>
          <w:szCs w:val="22"/>
        </w:rPr>
        <w:t xml:space="preserve"> pacientams gydymo </w:t>
      </w:r>
      <w:r w:rsidR="0069357D" w:rsidRPr="007A17AE">
        <w:rPr>
          <w:szCs w:val="22"/>
        </w:rPr>
        <w:t>aprepitantu</w:t>
      </w:r>
      <w:r w:rsidRPr="007A17AE">
        <w:rPr>
          <w:szCs w:val="22"/>
        </w:rPr>
        <w:t xml:space="preserve"> metu ir 2</w:t>
      </w:r>
      <w:r w:rsidR="00A34D77">
        <w:rPr>
          <w:szCs w:val="22"/>
        </w:rPr>
        <w:t> </w:t>
      </w:r>
      <w:r w:rsidRPr="007A17AE">
        <w:rPr>
          <w:szCs w:val="22"/>
        </w:rPr>
        <w:t xml:space="preserve">savaites po kiekvieno </w:t>
      </w:r>
      <w:r w:rsidR="0069357D" w:rsidRPr="007A17AE">
        <w:rPr>
          <w:szCs w:val="22"/>
        </w:rPr>
        <w:t xml:space="preserve">aprepitanto </w:t>
      </w:r>
      <w:r w:rsidRPr="007A17AE">
        <w:rPr>
          <w:szCs w:val="22"/>
        </w:rPr>
        <w:t>3</w:t>
      </w:r>
      <w:r w:rsidR="00A34D77">
        <w:rPr>
          <w:szCs w:val="22"/>
        </w:rPr>
        <w:t> </w:t>
      </w:r>
      <w:r w:rsidRPr="007A17AE">
        <w:rPr>
          <w:szCs w:val="22"/>
        </w:rPr>
        <w:t xml:space="preserve">dienų kurso chemoterapijos sukeltam pykinimui ir vėmimui </w:t>
      </w:r>
      <w:r w:rsidR="0069357D" w:rsidRPr="007A17AE">
        <w:rPr>
          <w:szCs w:val="22"/>
        </w:rPr>
        <w:t>slopinti</w:t>
      </w:r>
      <w:r w:rsidRPr="007A17AE">
        <w:rPr>
          <w:szCs w:val="22"/>
        </w:rPr>
        <w:t xml:space="preserve"> reikia atidžiai stebėti</w:t>
      </w:r>
      <w:r w:rsidR="0069357D" w:rsidRPr="007A17AE">
        <w:rPr>
          <w:szCs w:val="22"/>
        </w:rPr>
        <w:t xml:space="preserve"> </w:t>
      </w:r>
      <w:r w:rsidRPr="007A17AE">
        <w:rPr>
          <w:szCs w:val="22"/>
        </w:rPr>
        <w:t>protrombino laiką (INR) (žr. 4.4 skyrių). Kai sveiki asmenys, kurių varfarino koncentracija buvo</w:t>
      </w:r>
      <w:r w:rsidR="0069357D" w:rsidRPr="007A17AE">
        <w:rPr>
          <w:szCs w:val="22"/>
        </w:rPr>
        <w:t xml:space="preserve"> </w:t>
      </w:r>
      <w:r w:rsidRPr="007A17AE">
        <w:rPr>
          <w:szCs w:val="22"/>
        </w:rPr>
        <w:t xml:space="preserve">stabili nuolat jo vartojant, </w:t>
      </w:r>
      <w:r w:rsidR="0069357D" w:rsidRPr="007A17AE">
        <w:rPr>
          <w:szCs w:val="22"/>
        </w:rPr>
        <w:t>suvartojo</w:t>
      </w:r>
      <w:r w:rsidRPr="007A17AE">
        <w:rPr>
          <w:szCs w:val="22"/>
        </w:rPr>
        <w:t xml:space="preserve"> vienkartinę 125 mg </w:t>
      </w:r>
      <w:r w:rsidR="0069357D" w:rsidRPr="007A17AE">
        <w:rPr>
          <w:szCs w:val="22"/>
        </w:rPr>
        <w:t>aprepitanto</w:t>
      </w:r>
      <w:r w:rsidRPr="007A17AE">
        <w:rPr>
          <w:szCs w:val="22"/>
        </w:rPr>
        <w:t xml:space="preserve"> dozę 1-ąją dieną ir po 80</w:t>
      </w:r>
      <w:r w:rsidR="00A34D77">
        <w:rPr>
          <w:szCs w:val="22"/>
        </w:rPr>
        <w:t> </w:t>
      </w:r>
      <w:r w:rsidRPr="007A17AE">
        <w:rPr>
          <w:szCs w:val="22"/>
        </w:rPr>
        <w:t>mg per parą 2-</w:t>
      </w:r>
      <w:r w:rsidR="0069357D" w:rsidRPr="007A17AE">
        <w:rPr>
          <w:szCs w:val="22"/>
        </w:rPr>
        <w:t xml:space="preserve"> </w:t>
      </w:r>
      <w:r w:rsidRPr="007A17AE">
        <w:rPr>
          <w:szCs w:val="22"/>
        </w:rPr>
        <w:t xml:space="preserve">ąją ir 3-iąją dienomis, </w:t>
      </w:r>
      <w:r w:rsidR="0069357D" w:rsidRPr="007A17AE">
        <w:rPr>
          <w:szCs w:val="22"/>
        </w:rPr>
        <w:t>aprepitantas</w:t>
      </w:r>
      <w:r w:rsidRPr="007A17AE">
        <w:rPr>
          <w:szCs w:val="22"/>
        </w:rPr>
        <w:t xml:space="preserve"> neveikė R(+) varfarino ir S(-) varfarino AUC, nustatyto 3-iąją dieną.</w:t>
      </w:r>
      <w:r w:rsidR="0069357D" w:rsidRPr="007A17AE">
        <w:rPr>
          <w:szCs w:val="22"/>
        </w:rPr>
        <w:t xml:space="preserve"> </w:t>
      </w:r>
      <w:r w:rsidRPr="007A17AE">
        <w:rPr>
          <w:szCs w:val="22"/>
        </w:rPr>
        <w:t>Tačiau, praėjus 5</w:t>
      </w:r>
      <w:r w:rsidR="00A34D77">
        <w:rPr>
          <w:szCs w:val="22"/>
        </w:rPr>
        <w:t> </w:t>
      </w:r>
      <w:r w:rsidRPr="007A17AE">
        <w:rPr>
          <w:szCs w:val="22"/>
        </w:rPr>
        <w:t xml:space="preserve">dienoms po gydymo </w:t>
      </w:r>
      <w:r w:rsidR="0069357D" w:rsidRPr="007A17AE">
        <w:rPr>
          <w:szCs w:val="22"/>
        </w:rPr>
        <w:t>aprepitantu</w:t>
      </w:r>
      <w:r w:rsidRPr="007A17AE">
        <w:rPr>
          <w:szCs w:val="22"/>
        </w:rPr>
        <w:t>, S(-) varfarino (CYP2C9 substrato) žemiausia</w:t>
      </w:r>
      <w:r w:rsidR="0069357D" w:rsidRPr="007A17AE">
        <w:rPr>
          <w:szCs w:val="22"/>
        </w:rPr>
        <w:t xml:space="preserve"> </w:t>
      </w:r>
      <w:r w:rsidRPr="007A17AE">
        <w:rPr>
          <w:szCs w:val="22"/>
        </w:rPr>
        <w:t>koncentracija sumažėjo 34</w:t>
      </w:r>
      <w:r w:rsidR="00A34D77">
        <w:rPr>
          <w:szCs w:val="22"/>
        </w:rPr>
        <w:t> </w:t>
      </w:r>
      <w:r w:rsidRPr="007A17AE">
        <w:rPr>
          <w:szCs w:val="22"/>
        </w:rPr>
        <w:t>%, o INR rodiklis – 14</w:t>
      </w:r>
      <w:r w:rsidR="00A34D77">
        <w:rPr>
          <w:szCs w:val="22"/>
        </w:rPr>
        <w:t> </w:t>
      </w:r>
      <w:r w:rsidRPr="007A17AE">
        <w:rPr>
          <w:szCs w:val="22"/>
        </w:rPr>
        <w:t>%.</w:t>
      </w:r>
    </w:p>
    <w:p w14:paraId="7510A62E" w14:textId="77777777" w:rsidR="0069357D" w:rsidRPr="007A17AE" w:rsidRDefault="0069357D" w:rsidP="007A17AE">
      <w:pPr>
        <w:spacing w:line="240" w:lineRule="auto"/>
        <w:contextualSpacing/>
        <w:rPr>
          <w:szCs w:val="22"/>
        </w:rPr>
      </w:pPr>
    </w:p>
    <w:p w14:paraId="1AC4292D" w14:textId="77777777" w:rsidR="002A0B08" w:rsidRPr="007A17AE" w:rsidRDefault="002A0B08" w:rsidP="007A17AE">
      <w:pPr>
        <w:spacing w:line="240" w:lineRule="auto"/>
        <w:contextualSpacing/>
        <w:rPr>
          <w:i/>
          <w:szCs w:val="22"/>
        </w:rPr>
      </w:pPr>
      <w:r w:rsidRPr="007A17AE">
        <w:rPr>
          <w:i/>
          <w:szCs w:val="22"/>
        </w:rPr>
        <w:t>Tolbutamidas</w:t>
      </w:r>
    </w:p>
    <w:p w14:paraId="726C5D90" w14:textId="6F61FF76" w:rsidR="002A0B08" w:rsidRPr="007A17AE" w:rsidRDefault="0069357D" w:rsidP="007A17AE">
      <w:pPr>
        <w:spacing w:line="240" w:lineRule="auto"/>
        <w:contextualSpacing/>
        <w:rPr>
          <w:szCs w:val="22"/>
        </w:rPr>
      </w:pPr>
      <w:r w:rsidRPr="007A17AE">
        <w:rPr>
          <w:szCs w:val="22"/>
        </w:rPr>
        <w:t>Aprepitantas</w:t>
      </w:r>
      <w:r w:rsidR="002A0B08" w:rsidRPr="007A17AE">
        <w:rPr>
          <w:szCs w:val="22"/>
        </w:rPr>
        <w:t>, vartotas po 125</w:t>
      </w:r>
      <w:r w:rsidR="00A34D77">
        <w:rPr>
          <w:szCs w:val="22"/>
        </w:rPr>
        <w:t> </w:t>
      </w:r>
      <w:r w:rsidR="002A0B08" w:rsidRPr="007A17AE">
        <w:rPr>
          <w:szCs w:val="22"/>
        </w:rPr>
        <w:t>mg 1-ąją dieną ir po 80</w:t>
      </w:r>
      <w:r w:rsidR="00A34D77">
        <w:rPr>
          <w:szCs w:val="22"/>
        </w:rPr>
        <w:t> </w:t>
      </w:r>
      <w:r w:rsidR="002A0B08" w:rsidRPr="007A17AE">
        <w:rPr>
          <w:szCs w:val="22"/>
        </w:rPr>
        <w:t>mg per parą 2-ąją ir 3-iąją dienomis, sumažino</w:t>
      </w:r>
      <w:r w:rsidR="00A1453E" w:rsidRPr="007A17AE">
        <w:rPr>
          <w:szCs w:val="22"/>
        </w:rPr>
        <w:t xml:space="preserve"> </w:t>
      </w:r>
      <w:r w:rsidR="002A0B08" w:rsidRPr="007A17AE">
        <w:rPr>
          <w:szCs w:val="22"/>
        </w:rPr>
        <w:t xml:space="preserve">tolbutamido (CYP2C9 substrato) AUC 4-ąją dieną </w:t>
      </w:r>
      <w:r w:rsidR="00A1453E" w:rsidRPr="007A17AE">
        <w:rPr>
          <w:szCs w:val="22"/>
        </w:rPr>
        <w:t>23</w:t>
      </w:r>
      <w:r w:rsidR="00A34D77">
        <w:rPr>
          <w:szCs w:val="22"/>
        </w:rPr>
        <w:t> </w:t>
      </w:r>
      <w:r w:rsidR="00A1453E" w:rsidRPr="007A17AE">
        <w:rPr>
          <w:szCs w:val="22"/>
        </w:rPr>
        <w:t xml:space="preserve">%, </w:t>
      </w:r>
      <w:r w:rsidR="002A0B08" w:rsidRPr="007A17AE">
        <w:rPr>
          <w:szCs w:val="22"/>
        </w:rPr>
        <w:t xml:space="preserve">8-ąją dieną </w:t>
      </w:r>
      <w:r w:rsidR="00A1453E" w:rsidRPr="007A17AE">
        <w:rPr>
          <w:szCs w:val="22"/>
        </w:rPr>
        <w:t>28</w:t>
      </w:r>
      <w:r w:rsidR="00A34D77">
        <w:rPr>
          <w:szCs w:val="22"/>
        </w:rPr>
        <w:t> </w:t>
      </w:r>
      <w:r w:rsidR="00A1453E" w:rsidRPr="007A17AE">
        <w:rPr>
          <w:szCs w:val="22"/>
        </w:rPr>
        <w:t xml:space="preserve">% </w:t>
      </w:r>
      <w:r w:rsidR="002A0B08" w:rsidRPr="007A17AE">
        <w:rPr>
          <w:szCs w:val="22"/>
        </w:rPr>
        <w:t>ir 15-ąją dieną</w:t>
      </w:r>
      <w:r w:rsidR="005530B4" w:rsidRPr="007A17AE">
        <w:rPr>
          <w:szCs w:val="22"/>
        </w:rPr>
        <w:t xml:space="preserve"> </w:t>
      </w:r>
      <w:r w:rsidR="00A1453E" w:rsidRPr="007A17AE">
        <w:rPr>
          <w:szCs w:val="22"/>
        </w:rPr>
        <w:t>15</w:t>
      </w:r>
      <w:r w:rsidR="00A34D77">
        <w:rPr>
          <w:szCs w:val="22"/>
        </w:rPr>
        <w:t> </w:t>
      </w:r>
      <w:r w:rsidR="00A1453E" w:rsidRPr="007A17AE">
        <w:rPr>
          <w:szCs w:val="22"/>
        </w:rPr>
        <w:t>%</w:t>
      </w:r>
      <w:r w:rsidR="002A0B08" w:rsidRPr="007A17AE">
        <w:rPr>
          <w:szCs w:val="22"/>
        </w:rPr>
        <w:t>, kai</w:t>
      </w:r>
      <w:r w:rsidR="00A1453E" w:rsidRPr="007A17AE">
        <w:rPr>
          <w:szCs w:val="22"/>
        </w:rPr>
        <w:t xml:space="preserve"> </w:t>
      </w:r>
      <w:r w:rsidR="002A0B08" w:rsidRPr="007A17AE">
        <w:rPr>
          <w:szCs w:val="22"/>
        </w:rPr>
        <w:t>vienkartinė 500</w:t>
      </w:r>
      <w:r w:rsidR="00A34D77">
        <w:rPr>
          <w:szCs w:val="22"/>
        </w:rPr>
        <w:t> </w:t>
      </w:r>
      <w:r w:rsidR="002A0B08" w:rsidRPr="007A17AE">
        <w:rPr>
          <w:szCs w:val="22"/>
        </w:rPr>
        <w:t xml:space="preserve">mg tolbutamido dozė buvo geriama prieš 3 dienų </w:t>
      </w:r>
      <w:r w:rsidR="00A1453E" w:rsidRPr="007A17AE">
        <w:rPr>
          <w:szCs w:val="22"/>
        </w:rPr>
        <w:t>aprepitanto</w:t>
      </w:r>
      <w:r w:rsidR="002A0B08" w:rsidRPr="007A17AE">
        <w:rPr>
          <w:szCs w:val="22"/>
        </w:rPr>
        <w:t xml:space="preserve"> kursą ir 4-ąją, 8-ąją </w:t>
      </w:r>
      <w:r w:rsidR="00A1453E" w:rsidRPr="007A17AE">
        <w:rPr>
          <w:szCs w:val="22"/>
        </w:rPr>
        <w:t>bei</w:t>
      </w:r>
      <w:r w:rsidR="002A0B08" w:rsidRPr="007A17AE">
        <w:rPr>
          <w:szCs w:val="22"/>
        </w:rPr>
        <w:t xml:space="preserve"> 15-ąją dienomis.</w:t>
      </w:r>
    </w:p>
    <w:p w14:paraId="424E62AF" w14:textId="77777777" w:rsidR="00A1453E" w:rsidRPr="007A17AE" w:rsidRDefault="00A1453E" w:rsidP="007A17AE">
      <w:pPr>
        <w:spacing w:line="240" w:lineRule="auto"/>
        <w:contextualSpacing/>
        <w:rPr>
          <w:szCs w:val="22"/>
        </w:rPr>
      </w:pPr>
    </w:p>
    <w:p w14:paraId="542CB9B3" w14:textId="77777777" w:rsidR="002A0B08" w:rsidRPr="007A17AE" w:rsidRDefault="002A0B08" w:rsidP="007A17AE">
      <w:pPr>
        <w:spacing w:line="240" w:lineRule="auto"/>
        <w:contextualSpacing/>
        <w:rPr>
          <w:i/>
          <w:szCs w:val="22"/>
        </w:rPr>
      </w:pPr>
      <w:r w:rsidRPr="007A17AE">
        <w:rPr>
          <w:i/>
          <w:szCs w:val="22"/>
        </w:rPr>
        <w:t>Hormoniniai kontraceptikai</w:t>
      </w:r>
    </w:p>
    <w:p w14:paraId="52DCF7F8" w14:textId="77777777" w:rsidR="002A0B08" w:rsidRPr="007A17AE" w:rsidRDefault="002A0B08" w:rsidP="007A17AE">
      <w:pPr>
        <w:spacing w:line="240" w:lineRule="auto"/>
        <w:contextualSpacing/>
        <w:rPr>
          <w:szCs w:val="22"/>
        </w:rPr>
      </w:pPr>
      <w:r w:rsidRPr="007A17AE">
        <w:rPr>
          <w:szCs w:val="22"/>
        </w:rPr>
        <w:t xml:space="preserve">Vartojant </w:t>
      </w:r>
      <w:r w:rsidR="00A1453E" w:rsidRPr="007A17AE">
        <w:rPr>
          <w:szCs w:val="22"/>
        </w:rPr>
        <w:t>aprepitanto</w:t>
      </w:r>
      <w:r w:rsidRPr="007A17AE">
        <w:rPr>
          <w:szCs w:val="22"/>
        </w:rPr>
        <w:t xml:space="preserve"> ir 28</w:t>
      </w:r>
      <w:r w:rsidR="00A34D77">
        <w:rPr>
          <w:szCs w:val="22"/>
        </w:rPr>
        <w:t> </w:t>
      </w:r>
      <w:r w:rsidR="00A1453E" w:rsidRPr="007A17AE">
        <w:rPr>
          <w:szCs w:val="22"/>
        </w:rPr>
        <w:t>paras</w:t>
      </w:r>
      <w:r w:rsidRPr="007A17AE">
        <w:rPr>
          <w:szCs w:val="22"/>
        </w:rPr>
        <w:t xml:space="preserve"> po jo vartojimo gali </w:t>
      </w:r>
      <w:r w:rsidR="00A1453E" w:rsidRPr="007A17AE">
        <w:rPr>
          <w:szCs w:val="22"/>
        </w:rPr>
        <w:t>būti sumažėjęs</w:t>
      </w:r>
      <w:r w:rsidRPr="007A17AE">
        <w:rPr>
          <w:szCs w:val="22"/>
        </w:rPr>
        <w:t xml:space="preserve"> hormoninių kontraceptikų </w:t>
      </w:r>
      <w:r w:rsidR="00A1453E" w:rsidRPr="007A17AE">
        <w:rPr>
          <w:szCs w:val="22"/>
        </w:rPr>
        <w:t>veiksmingumas</w:t>
      </w:r>
      <w:r w:rsidRPr="007A17AE">
        <w:rPr>
          <w:szCs w:val="22"/>
        </w:rPr>
        <w:t>.</w:t>
      </w:r>
      <w:r w:rsidR="00A1453E" w:rsidRPr="007A17AE">
        <w:rPr>
          <w:szCs w:val="22"/>
        </w:rPr>
        <w:t xml:space="preserve"> </w:t>
      </w:r>
      <w:r w:rsidRPr="007A17AE">
        <w:rPr>
          <w:szCs w:val="22"/>
        </w:rPr>
        <w:t>G</w:t>
      </w:r>
      <w:r w:rsidR="00A1453E" w:rsidRPr="007A17AE">
        <w:rPr>
          <w:szCs w:val="22"/>
        </w:rPr>
        <w:t xml:space="preserve">ydymo aprepitantu metu </w:t>
      </w:r>
      <w:r w:rsidRPr="007A17AE">
        <w:rPr>
          <w:szCs w:val="22"/>
        </w:rPr>
        <w:t>bei 2</w:t>
      </w:r>
      <w:r w:rsidR="00A34D77">
        <w:rPr>
          <w:szCs w:val="22"/>
        </w:rPr>
        <w:t> </w:t>
      </w:r>
      <w:r w:rsidRPr="007A17AE">
        <w:rPr>
          <w:szCs w:val="22"/>
        </w:rPr>
        <w:t>mėnesius po paskutin</w:t>
      </w:r>
      <w:r w:rsidR="00A1453E" w:rsidRPr="007A17AE">
        <w:rPr>
          <w:szCs w:val="22"/>
        </w:rPr>
        <w:t>ės</w:t>
      </w:r>
      <w:r w:rsidRPr="007A17AE">
        <w:rPr>
          <w:szCs w:val="22"/>
        </w:rPr>
        <w:t xml:space="preserve"> suvartotos </w:t>
      </w:r>
      <w:r w:rsidR="00A1453E" w:rsidRPr="007A17AE">
        <w:rPr>
          <w:szCs w:val="22"/>
        </w:rPr>
        <w:t>aprepitanto</w:t>
      </w:r>
      <w:r w:rsidRPr="007A17AE">
        <w:rPr>
          <w:szCs w:val="22"/>
        </w:rPr>
        <w:t xml:space="preserve"> dozės reikia taikyti alternatyv</w:t>
      </w:r>
      <w:r w:rsidR="00A1453E" w:rsidRPr="007A17AE">
        <w:rPr>
          <w:szCs w:val="22"/>
        </w:rPr>
        <w:t xml:space="preserve">ius papildomus </w:t>
      </w:r>
      <w:r w:rsidRPr="007A17AE">
        <w:rPr>
          <w:szCs w:val="22"/>
        </w:rPr>
        <w:t>nehormonin</w:t>
      </w:r>
      <w:r w:rsidR="00A1453E" w:rsidRPr="007A17AE">
        <w:rPr>
          <w:szCs w:val="22"/>
        </w:rPr>
        <w:t>ės</w:t>
      </w:r>
      <w:r w:rsidRPr="007A17AE">
        <w:rPr>
          <w:szCs w:val="22"/>
        </w:rPr>
        <w:t xml:space="preserve"> kontracepcij</w:t>
      </w:r>
      <w:r w:rsidR="00A1453E" w:rsidRPr="007A17AE">
        <w:rPr>
          <w:szCs w:val="22"/>
        </w:rPr>
        <w:t>os metodus.</w:t>
      </w:r>
    </w:p>
    <w:p w14:paraId="0221CD2C" w14:textId="77777777" w:rsidR="002A0B08" w:rsidRPr="007A17AE" w:rsidRDefault="002A0B08" w:rsidP="007A17AE">
      <w:pPr>
        <w:spacing w:line="240" w:lineRule="auto"/>
        <w:contextualSpacing/>
        <w:rPr>
          <w:szCs w:val="22"/>
        </w:rPr>
      </w:pPr>
    </w:p>
    <w:p w14:paraId="65C8CFEC" w14:textId="77777777" w:rsidR="00A1453E" w:rsidRPr="007A17AE" w:rsidRDefault="00A1453E" w:rsidP="007A17AE">
      <w:pPr>
        <w:spacing w:line="240" w:lineRule="auto"/>
        <w:contextualSpacing/>
        <w:rPr>
          <w:szCs w:val="22"/>
        </w:rPr>
      </w:pPr>
      <w:r w:rsidRPr="007A17AE">
        <w:rPr>
          <w:szCs w:val="22"/>
        </w:rPr>
        <w:t>Klinikiniame tyrime vienkartinės geriamojo kontraceptiko, kurio sudėtyje yra etinilestradiolio ir noretindrono, dozės buvo skiriamos nuo pirmosios iki 21</w:t>
      </w:r>
      <w:r w:rsidR="00A34D77">
        <w:rPr>
          <w:szCs w:val="22"/>
        </w:rPr>
        <w:t> </w:t>
      </w:r>
      <w:r w:rsidRPr="007A17AE">
        <w:rPr>
          <w:szCs w:val="22"/>
        </w:rPr>
        <w:t>dienos kartu su 125</w:t>
      </w:r>
      <w:r w:rsidR="00A34D77">
        <w:rPr>
          <w:szCs w:val="22"/>
        </w:rPr>
        <w:t> </w:t>
      </w:r>
      <w:r w:rsidRPr="007A17AE">
        <w:rPr>
          <w:szCs w:val="22"/>
        </w:rPr>
        <w:t>mg aprepitanto 8</w:t>
      </w:r>
      <w:r w:rsidR="00A34D77">
        <w:rPr>
          <w:szCs w:val="22"/>
        </w:rPr>
        <w:t> </w:t>
      </w:r>
      <w:r w:rsidRPr="007A17AE">
        <w:rPr>
          <w:szCs w:val="22"/>
        </w:rPr>
        <w:t>dieną ir po 80</w:t>
      </w:r>
      <w:r w:rsidR="00A34D77">
        <w:rPr>
          <w:szCs w:val="22"/>
        </w:rPr>
        <w:t> </w:t>
      </w:r>
      <w:r w:rsidRPr="007A17AE">
        <w:rPr>
          <w:szCs w:val="22"/>
        </w:rPr>
        <w:t>mg per parą 9 ir 10 dienomis kartu su 32</w:t>
      </w:r>
      <w:r w:rsidR="00A34D77">
        <w:rPr>
          <w:szCs w:val="22"/>
        </w:rPr>
        <w:t> </w:t>
      </w:r>
      <w:r w:rsidRPr="007A17AE">
        <w:rPr>
          <w:szCs w:val="22"/>
        </w:rPr>
        <w:t>mg ondansetrono į veną 8 dieną ir 12</w:t>
      </w:r>
      <w:r w:rsidR="00A34D77">
        <w:rPr>
          <w:szCs w:val="22"/>
        </w:rPr>
        <w:t> </w:t>
      </w:r>
      <w:r w:rsidRPr="007A17AE">
        <w:rPr>
          <w:szCs w:val="22"/>
        </w:rPr>
        <w:t>mg per burną vartojamo deksametazono 8 dieną ir po 8</w:t>
      </w:r>
      <w:r w:rsidR="00A34D77">
        <w:rPr>
          <w:szCs w:val="22"/>
        </w:rPr>
        <w:t> </w:t>
      </w:r>
      <w:r w:rsidRPr="007A17AE">
        <w:rPr>
          <w:szCs w:val="22"/>
        </w:rPr>
        <w:t>mg per parą 9, 10 ir 11 dienomis. Šiame tyrime nuo 9 iki 21 dienos žemiausios etinilestradiolio koncentracijos sumažėjo 64</w:t>
      </w:r>
      <w:r w:rsidR="00A34D77">
        <w:rPr>
          <w:szCs w:val="22"/>
        </w:rPr>
        <w:t> </w:t>
      </w:r>
      <w:r w:rsidRPr="007A17AE">
        <w:rPr>
          <w:szCs w:val="22"/>
        </w:rPr>
        <w:t>%, o noretindrono – 60</w:t>
      </w:r>
      <w:r w:rsidR="00A34D77">
        <w:rPr>
          <w:szCs w:val="22"/>
        </w:rPr>
        <w:t> </w:t>
      </w:r>
      <w:r w:rsidRPr="007A17AE">
        <w:rPr>
          <w:szCs w:val="22"/>
        </w:rPr>
        <w:t>%.</w:t>
      </w:r>
    </w:p>
    <w:p w14:paraId="63DD80C1" w14:textId="77777777" w:rsidR="00A1453E" w:rsidRPr="007A17AE" w:rsidRDefault="00A1453E" w:rsidP="007A17AE">
      <w:pPr>
        <w:spacing w:line="240" w:lineRule="auto"/>
        <w:contextualSpacing/>
        <w:rPr>
          <w:szCs w:val="22"/>
        </w:rPr>
      </w:pPr>
    </w:p>
    <w:p w14:paraId="43A14BCC" w14:textId="77777777" w:rsidR="00A1453E" w:rsidRPr="007A17AE" w:rsidRDefault="00A1453E" w:rsidP="007A17AE">
      <w:pPr>
        <w:spacing w:line="240" w:lineRule="auto"/>
        <w:contextualSpacing/>
        <w:rPr>
          <w:i/>
          <w:szCs w:val="22"/>
        </w:rPr>
      </w:pPr>
      <w:r w:rsidRPr="007A17AE">
        <w:rPr>
          <w:i/>
          <w:szCs w:val="22"/>
        </w:rPr>
        <w:t>5-HT</w:t>
      </w:r>
      <w:r w:rsidRPr="00F122CC">
        <w:rPr>
          <w:i/>
          <w:szCs w:val="22"/>
          <w:vertAlign w:val="subscript"/>
        </w:rPr>
        <w:t>3</w:t>
      </w:r>
      <w:r w:rsidRPr="007A17AE">
        <w:rPr>
          <w:i/>
          <w:szCs w:val="22"/>
        </w:rPr>
        <w:t xml:space="preserve"> antagonistai</w:t>
      </w:r>
    </w:p>
    <w:p w14:paraId="1DE5A93A" w14:textId="77777777" w:rsidR="00A1453E" w:rsidRPr="007A17AE" w:rsidRDefault="00A1453E" w:rsidP="007A17AE">
      <w:pPr>
        <w:spacing w:line="240" w:lineRule="auto"/>
        <w:contextualSpacing/>
        <w:rPr>
          <w:szCs w:val="22"/>
        </w:rPr>
      </w:pPr>
      <w:r w:rsidRPr="007A17AE">
        <w:rPr>
          <w:szCs w:val="22"/>
        </w:rPr>
        <w:t>Klinikinių sąveikos tyrimų metu aprepitantas kliniškai reikšmingai neveikė ondansetrono, granisetrono</w:t>
      </w:r>
      <w:r w:rsidR="001E288E" w:rsidRPr="007A17AE">
        <w:rPr>
          <w:szCs w:val="22"/>
        </w:rPr>
        <w:t xml:space="preserve"> </w:t>
      </w:r>
      <w:r w:rsidRPr="007A17AE">
        <w:rPr>
          <w:szCs w:val="22"/>
        </w:rPr>
        <w:t>arba hidrodolasetrono (dolasetrono veiklaus metabolito) farmakokinetikos.</w:t>
      </w:r>
    </w:p>
    <w:p w14:paraId="0E99E0ED" w14:textId="77777777" w:rsidR="001E288E" w:rsidRPr="007A17AE" w:rsidRDefault="001E288E" w:rsidP="007A17AE">
      <w:pPr>
        <w:spacing w:line="240" w:lineRule="auto"/>
        <w:contextualSpacing/>
        <w:rPr>
          <w:szCs w:val="22"/>
        </w:rPr>
      </w:pPr>
    </w:p>
    <w:p w14:paraId="4056A92F" w14:textId="77777777" w:rsidR="00A1453E" w:rsidRPr="007A17AE" w:rsidRDefault="00A1453E" w:rsidP="007A17AE">
      <w:pPr>
        <w:spacing w:line="240" w:lineRule="auto"/>
        <w:contextualSpacing/>
        <w:rPr>
          <w:szCs w:val="22"/>
          <w:u w:val="single"/>
        </w:rPr>
      </w:pPr>
      <w:r w:rsidRPr="007A17AE">
        <w:rPr>
          <w:szCs w:val="22"/>
          <w:u w:val="single"/>
        </w:rPr>
        <w:t>Kitų vaistinių preparatų poveikis aprepitanto farmakokinetikai</w:t>
      </w:r>
    </w:p>
    <w:p w14:paraId="57A535AE" w14:textId="77777777" w:rsidR="00A1453E" w:rsidRPr="007A17AE" w:rsidRDefault="004A7042" w:rsidP="007A17AE">
      <w:pPr>
        <w:spacing w:line="240" w:lineRule="auto"/>
        <w:contextualSpacing/>
        <w:rPr>
          <w:szCs w:val="22"/>
        </w:rPr>
      </w:pPr>
      <w:r w:rsidRPr="007A17AE">
        <w:rPr>
          <w:szCs w:val="22"/>
        </w:rPr>
        <w:t>Aprepitanto vartojant</w:t>
      </w:r>
      <w:r w:rsidR="00A1453E" w:rsidRPr="007A17AE">
        <w:rPr>
          <w:szCs w:val="22"/>
        </w:rPr>
        <w:t xml:space="preserve"> kartu su veikliosiomis medžiagomis, kurios slopina CYP3A4 aktyvumą</w:t>
      </w:r>
      <w:r w:rsidRPr="007A17AE">
        <w:rPr>
          <w:szCs w:val="22"/>
        </w:rPr>
        <w:t xml:space="preserve"> </w:t>
      </w:r>
      <w:r w:rsidR="00A1453E" w:rsidRPr="007A17AE">
        <w:rPr>
          <w:szCs w:val="22"/>
        </w:rPr>
        <w:t>(pvz., ketokonazolu, itrakonazolu, vorikonazolu, po</w:t>
      </w:r>
      <w:r w:rsidR="007A17AE">
        <w:rPr>
          <w:szCs w:val="22"/>
        </w:rPr>
        <w:t>z</w:t>
      </w:r>
      <w:r w:rsidR="00A1453E" w:rsidRPr="007A17AE">
        <w:rPr>
          <w:szCs w:val="22"/>
        </w:rPr>
        <w:t>akonazolu, klaritromicinu, telitromicinu,</w:t>
      </w:r>
      <w:r w:rsidRPr="007A17AE">
        <w:rPr>
          <w:szCs w:val="22"/>
        </w:rPr>
        <w:t xml:space="preserve"> </w:t>
      </w:r>
      <w:r w:rsidR="00A1453E" w:rsidRPr="007A17AE">
        <w:rPr>
          <w:szCs w:val="22"/>
        </w:rPr>
        <w:t xml:space="preserve">nefazodonu ir proteazių inhibitoriais), </w:t>
      </w:r>
      <w:r w:rsidRPr="007A17AE">
        <w:rPr>
          <w:szCs w:val="22"/>
        </w:rPr>
        <w:t xml:space="preserve">reikia laikytis atsargumo, </w:t>
      </w:r>
      <w:r w:rsidR="00A1453E" w:rsidRPr="007A17AE">
        <w:rPr>
          <w:szCs w:val="22"/>
        </w:rPr>
        <w:t xml:space="preserve">nes </w:t>
      </w:r>
      <w:r w:rsidRPr="007A17AE">
        <w:rPr>
          <w:szCs w:val="22"/>
        </w:rPr>
        <w:t xml:space="preserve">tikėtina, kad </w:t>
      </w:r>
      <w:r w:rsidR="00A1453E" w:rsidRPr="007A17AE">
        <w:rPr>
          <w:szCs w:val="22"/>
        </w:rPr>
        <w:t>toks derinys</w:t>
      </w:r>
      <w:r w:rsidRPr="007A17AE">
        <w:rPr>
          <w:szCs w:val="22"/>
        </w:rPr>
        <w:t xml:space="preserve"> </w:t>
      </w:r>
      <w:r w:rsidR="00A1453E" w:rsidRPr="007A17AE">
        <w:rPr>
          <w:szCs w:val="22"/>
        </w:rPr>
        <w:t>keletą kartų padidin</w:t>
      </w:r>
      <w:r w:rsidRPr="007A17AE">
        <w:rPr>
          <w:szCs w:val="22"/>
        </w:rPr>
        <w:t xml:space="preserve">s </w:t>
      </w:r>
      <w:r w:rsidR="00A1453E" w:rsidRPr="007A17AE">
        <w:rPr>
          <w:szCs w:val="22"/>
        </w:rPr>
        <w:t>aprepitanto koncentracij</w:t>
      </w:r>
      <w:r w:rsidRPr="007A17AE">
        <w:rPr>
          <w:szCs w:val="22"/>
        </w:rPr>
        <w:t>as</w:t>
      </w:r>
      <w:r w:rsidR="00A1453E" w:rsidRPr="007A17AE">
        <w:rPr>
          <w:szCs w:val="22"/>
        </w:rPr>
        <w:t xml:space="preserve"> </w:t>
      </w:r>
      <w:r w:rsidR="003D5FF8">
        <w:rPr>
          <w:szCs w:val="22"/>
        </w:rPr>
        <w:t xml:space="preserve">kraujo </w:t>
      </w:r>
      <w:r w:rsidR="00A1453E" w:rsidRPr="007A17AE">
        <w:rPr>
          <w:szCs w:val="22"/>
        </w:rPr>
        <w:t>plazmoje (žr. 4.4 skyrių).</w:t>
      </w:r>
    </w:p>
    <w:p w14:paraId="78094A98" w14:textId="77777777" w:rsidR="004A7042" w:rsidRPr="007A17AE" w:rsidRDefault="004A7042" w:rsidP="007A17AE">
      <w:pPr>
        <w:spacing w:line="240" w:lineRule="auto"/>
        <w:contextualSpacing/>
        <w:rPr>
          <w:szCs w:val="22"/>
        </w:rPr>
      </w:pPr>
    </w:p>
    <w:p w14:paraId="177FA920" w14:textId="77777777" w:rsidR="00A1453E" w:rsidRPr="007A17AE" w:rsidRDefault="004A7042" w:rsidP="007A17AE">
      <w:pPr>
        <w:spacing w:line="240" w:lineRule="auto"/>
        <w:contextualSpacing/>
        <w:rPr>
          <w:szCs w:val="22"/>
        </w:rPr>
      </w:pPr>
      <w:r w:rsidRPr="007A17AE">
        <w:rPr>
          <w:szCs w:val="22"/>
        </w:rPr>
        <w:t>Reikia vengti aprepitanto</w:t>
      </w:r>
      <w:r w:rsidR="00A1453E" w:rsidRPr="007A17AE">
        <w:rPr>
          <w:szCs w:val="22"/>
        </w:rPr>
        <w:t xml:space="preserve"> vartoti kartu su veikliosiomis medžiagomis, kurios stipriai indukuoja CYP3A4</w:t>
      </w:r>
      <w:r w:rsidR="00E65DAA" w:rsidRPr="007A17AE">
        <w:rPr>
          <w:szCs w:val="22"/>
        </w:rPr>
        <w:t xml:space="preserve"> </w:t>
      </w:r>
      <w:r w:rsidR="00A1453E" w:rsidRPr="007A17AE">
        <w:rPr>
          <w:szCs w:val="22"/>
        </w:rPr>
        <w:t xml:space="preserve">aktyvumą (pvz., rifampicinu, fenitoinu, karbamazepinu, fenobarbitaliu), nes toks derinys </w:t>
      </w:r>
      <w:r w:rsidR="00E65DAA" w:rsidRPr="007A17AE">
        <w:rPr>
          <w:szCs w:val="22"/>
        </w:rPr>
        <w:t xml:space="preserve">sukelia </w:t>
      </w:r>
      <w:r w:rsidR="00A1453E" w:rsidRPr="007A17AE">
        <w:rPr>
          <w:szCs w:val="22"/>
        </w:rPr>
        <w:t>aprepitanto koncentracij</w:t>
      </w:r>
      <w:r w:rsidR="00E65DAA" w:rsidRPr="007A17AE">
        <w:rPr>
          <w:szCs w:val="22"/>
        </w:rPr>
        <w:t>ų</w:t>
      </w:r>
      <w:r w:rsidR="00A1453E" w:rsidRPr="007A17AE">
        <w:rPr>
          <w:szCs w:val="22"/>
        </w:rPr>
        <w:t xml:space="preserve"> </w:t>
      </w:r>
      <w:r w:rsidR="003D5FF8">
        <w:rPr>
          <w:szCs w:val="22"/>
        </w:rPr>
        <w:t xml:space="preserve">kraujo </w:t>
      </w:r>
      <w:r w:rsidR="00A1453E" w:rsidRPr="007A17AE">
        <w:rPr>
          <w:szCs w:val="22"/>
        </w:rPr>
        <w:t xml:space="preserve">plazmoje </w:t>
      </w:r>
      <w:r w:rsidR="00E65DAA" w:rsidRPr="007A17AE">
        <w:rPr>
          <w:szCs w:val="22"/>
        </w:rPr>
        <w:t>sumažėjimą, dėl kurio gali sumažėti aprepitanto veiksmingumas</w:t>
      </w:r>
      <w:r w:rsidR="00A1453E" w:rsidRPr="007A17AE">
        <w:rPr>
          <w:szCs w:val="22"/>
        </w:rPr>
        <w:t xml:space="preserve">. </w:t>
      </w:r>
      <w:r w:rsidR="00E65DAA" w:rsidRPr="007A17AE">
        <w:rPr>
          <w:szCs w:val="22"/>
        </w:rPr>
        <w:t>Aprepitanto</w:t>
      </w:r>
      <w:r w:rsidR="00A1453E" w:rsidRPr="007A17AE">
        <w:rPr>
          <w:szCs w:val="22"/>
        </w:rPr>
        <w:t xml:space="preserve"> vartoti kartu su</w:t>
      </w:r>
      <w:r w:rsidR="00E65DAA" w:rsidRPr="007A17AE">
        <w:rPr>
          <w:szCs w:val="22"/>
        </w:rPr>
        <w:t xml:space="preserve"> </w:t>
      </w:r>
      <w:r w:rsidR="00A1453E" w:rsidRPr="007A17AE">
        <w:rPr>
          <w:szCs w:val="22"/>
        </w:rPr>
        <w:t>augaliniais vaistiniais preparatais, kurių sudėtyje yra jonažolės (</w:t>
      </w:r>
      <w:r w:rsidR="00A1453E" w:rsidRPr="00F122CC">
        <w:rPr>
          <w:i/>
          <w:szCs w:val="22"/>
        </w:rPr>
        <w:t>Hypericum perforatum</w:t>
      </w:r>
      <w:r w:rsidR="00A1453E" w:rsidRPr="007A17AE">
        <w:rPr>
          <w:szCs w:val="22"/>
        </w:rPr>
        <w:t>),</w:t>
      </w:r>
      <w:r w:rsidR="00E65DAA" w:rsidRPr="007A17AE">
        <w:rPr>
          <w:szCs w:val="22"/>
        </w:rPr>
        <w:t xml:space="preserve"> </w:t>
      </w:r>
      <w:r w:rsidR="00A1453E" w:rsidRPr="007A17AE">
        <w:rPr>
          <w:szCs w:val="22"/>
        </w:rPr>
        <w:t>nerekomenduojama.</w:t>
      </w:r>
    </w:p>
    <w:p w14:paraId="1787E680" w14:textId="77777777" w:rsidR="002A0B08" w:rsidRPr="007A17AE" w:rsidRDefault="002A0B08" w:rsidP="007A17AE">
      <w:pPr>
        <w:spacing w:line="240" w:lineRule="auto"/>
        <w:contextualSpacing/>
        <w:rPr>
          <w:szCs w:val="22"/>
        </w:rPr>
      </w:pPr>
    </w:p>
    <w:p w14:paraId="53A286FA" w14:textId="77777777" w:rsidR="00E65DAA" w:rsidRPr="007A17AE" w:rsidRDefault="00E65DAA" w:rsidP="007A17AE">
      <w:pPr>
        <w:spacing w:line="240" w:lineRule="auto"/>
        <w:contextualSpacing/>
        <w:rPr>
          <w:i/>
          <w:szCs w:val="22"/>
        </w:rPr>
      </w:pPr>
      <w:r w:rsidRPr="007A17AE">
        <w:rPr>
          <w:i/>
          <w:szCs w:val="22"/>
        </w:rPr>
        <w:t>Ketokonazolas</w:t>
      </w:r>
    </w:p>
    <w:p w14:paraId="1D2113CB" w14:textId="77777777" w:rsidR="00E65DAA" w:rsidRPr="007A17AE" w:rsidRDefault="00106909" w:rsidP="007A17AE">
      <w:pPr>
        <w:spacing w:line="240" w:lineRule="auto"/>
        <w:contextualSpacing/>
        <w:rPr>
          <w:szCs w:val="22"/>
        </w:rPr>
      </w:pPr>
      <w:r w:rsidRPr="007A17AE">
        <w:rPr>
          <w:szCs w:val="22"/>
        </w:rPr>
        <w:t>10</w:t>
      </w:r>
      <w:r w:rsidR="00A34D77">
        <w:rPr>
          <w:szCs w:val="22"/>
        </w:rPr>
        <w:t> </w:t>
      </w:r>
      <w:r w:rsidRPr="007A17AE">
        <w:rPr>
          <w:szCs w:val="22"/>
        </w:rPr>
        <w:t>parų gydymo kurso 400</w:t>
      </w:r>
      <w:r w:rsidR="00A34D77">
        <w:rPr>
          <w:szCs w:val="22"/>
        </w:rPr>
        <w:t> </w:t>
      </w:r>
      <w:r w:rsidRPr="007A17AE">
        <w:rPr>
          <w:szCs w:val="22"/>
        </w:rPr>
        <w:t>mg ketokonazolo, stipraus CYP3A4 inhibitoriaus, 5-ąją parą s</w:t>
      </w:r>
      <w:r w:rsidR="00E65DAA" w:rsidRPr="007A17AE">
        <w:rPr>
          <w:szCs w:val="22"/>
        </w:rPr>
        <w:t>uvartojus vienkartinę 125</w:t>
      </w:r>
      <w:r w:rsidR="00A34D77">
        <w:rPr>
          <w:szCs w:val="22"/>
        </w:rPr>
        <w:t> </w:t>
      </w:r>
      <w:r w:rsidR="00E65DAA" w:rsidRPr="007A17AE">
        <w:rPr>
          <w:szCs w:val="22"/>
        </w:rPr>
        <w:t>mg aprepitanto dozę</w:t>
      </w:r>
      <w:r w:rsidRPr="007A17AE">
        <w:rPr>
          <w:szCs w:val="22"/>
        </w:rPr>
        <w:t xml:space="preserve">, </w:t>
      </w:r>
      <w:r w:rsidR="00E65DAA" w:rsidRPr="007A17AE">
        <w:rPr>
          <w:szCs w:val="22"/>
        </w:rPr>
        <w:t>aprepitanto AUC padidėjo maždaug</w:t>
      </w:r>
      <w:r w:rsidRPr="007A17AE">
        <w:rPr>
          <w:szCs w:val="22"/>
        </w:rPr>
        <w:t xml:space="preserve"> </w:t>
      </w:r>
      <w:r w:rsidR="00E65DAA" w:rsidRPr="007A17AE">
        <w:rPr>
          <w:szCs w:val="22"/>
        </w:rPr>
        <w:t>5</w:t>
      </w:r>
      <w:r w:rsidR="00A34D77">
        <w:rPr>
          <w:szCs w:val="22"/>
        </w:rPr>
        <w:t> </w:t>
      </w:r>
      <w:r w:rsidR="00E65DAA" w:rsidRPr="007A17AE">
        <w:rPr>
          <w:szCs w:val="22"/>
        </w:rPr>
        <w:t xml:space="preserve">kartus, o </w:t>
      </w:r>
      <w:r w:rsidRPr="007A17AE">
        <w:rPr>
          <w:szCs w:val="22"/>
        </w:rPr>
        <w:t xml:space="preserve">jo </w:t>
      </w:r>
      <w:r w:rsidR="00E65DAA" w:rsidRPr="007A17AE">
        <w:rPr>
          <w:szCs w:val="22"/>
        </w:rPr>
        <w:t xml:space="preserve">vidutinis galutinis pusinės eliminacijos periodas </w:t>
      </w:r>
      <w:r w:rsidRPr="007A17AE">
        <w:rPr>
          <w:szCs w:val="22"/>
        </w:rPr>
        <w:t>-</w:t>
      </w:r>
      <w:r w:rsidR="00E65DAA" w:rsidRPr="007A17AE">
        <w:rPr>
          <w:szCs w:val="22"/>
        </w:rPr>
        <w:t xml:space="preserve"> maždaug 3</w:t>
      </w:r>
      <w:r w:rsidR="00A34D77">
        <w:rPr>
          <w:szCs w:val="22"/>
        </w:rPr>
        <w:t> </w:t>
      </w:r>
      <w:r w:rsidR="00E65DAA" w:rsidRPr="007A17AE">
        <w:rPr>
          <w:szCs w:val="22"/>
        </w:rPr>
        <w:t>kartus.</w:t>
      </w:r>
    </w:p>
    <w:p w14:paraId="19010699" w14:textId="77777777" w:rsidR="00106909" w:rsidRPr="007A17AE" w:rsidRDefault="00106909" w:rsidP="007A17AE">
      <w:pPr>
        <w:spacing w:line="240" w:lineRule="auto"/>
        <w:contextualSpacing/>
        <w:rPr>
          <w:szCs w:val="22"/>
        </w:rPr>
      </w:pPr>
    </w:p>
    <w:p w14:paraId="5766E9BB" w14:textId="77777777" w:rsidR="00E65DAA" w:rsidRPr="007A17AE" w:rsidRDefault="00E65DAA" w:rsidP="007A17AE">
      <w:pPr>
        <w:spacing w:line="240" w:lineRule="auto"/>
        <w:contextualSpacing/>
        <w:rPr>
          <w:i/>
          <w:szCs w:val="22"/>
        </w:rPr>
      </w:pPr>
      <w:r w:rsidRPr="007A17AE">
        <w:rPr>
          <w:i/>
          <w:szCs w:val="22"/>
        </w:rPr>
        <w:t>Rifampicinas</w:t>
      </w:r>
    </w:p>
    <w:p w14:paraId="22219615" w14:textId="77777777" w:rsidR="00E65DAA" w:rsidRPr="007A17AE" w:rsidRDefault="00106909" w:rsidP="007A17AE">
      <w:pPr>
        <w:spacing w:line="240" w:lineRule="auto"/>
        <w:contextualSpacing/>
        <w:rPr>
          <w:szCs w:val="22"/>
        </w:rPr>
      </w:pPr>
      <w:r w:rsidRPr="007A17AE">
        <w:rPr>
          <w:szCs w:val="22"/>
        </w:rPr>
        <w:t>Su</w:t>
      </w:r>
      <w:r w:rsidR="00D33EB4" w:rsidRPr="007A17AE">
        <w:rPr>
          <w:szCs w:val="22"/>
        </w:rPr>
        <w:t>v</w:t>
      </w:r>
      <w:r w:rsidRPr="007A17AE">
        <w:rPr>
          <w:szCs w:val="22"/>
        </w:rPr>
        <w:t xml:space="preserve">artojus </w:t>
      </w:r>
      <w:r w:rsidR="00E65DAA" w:rsidRPr="007A17AE">
        <w:rPr>
          <w:szCs w:val="22"/>
        </w:rPr>
        <w:t>vienkartin</w:t>
      </w:r>
      <w:r w:rsidRPr="007A17AE">
        <w:rPr>
          <w:szCs w:val="22"/>
        </w:rPr>
        <w:t>ę</w:t>
      </w:r>
      <w:r w:rsidR="00E65DAA" w:rsidRPr="007A17AE">
        <w:rPr>
          <w:szCs w:val="22"/>
        </w:rPr>
        <w:t xml:space="preserve"> 375</w:t>
      </w:r>
      <w:r w:rsidR="00A34D77">
        <w:rPr>
          <w:szCs w:val="22"/>
        </w:rPr>
        <w:t> </w:t>
      </w:r>
      <w:r w:rsidR="00E65DAA" w:rsidRPr="007A17AE">
        <w:rPr>
          <w:szCs w:val="22"/>
        </w:rPr>
        <w:t>mg aprepitanto doz</w:t>
      </w:r>
      <w:r w:rsidRPr="007A17AE">
        <w:rPr>
          <w:szCs w:val="22"/>
        </w:rPr>
        <w:t>ę</w:t>
      </w:r>
      <w:r w:rsidR="00E65DAA" w:rsidRPr="007A17AE">
        <w:rPr>
          <w:szCs w:val="22"/>
        </w:rPr>
        <w:t xml:space="preserve"> 9-ąją 600</w:t>
      </w:r>
      <w:r w:rsidR="00A34D77">
        <w:rPr>
          <w:szCs w:val="22"/>
        </w:rPr>
        <w:t> </w:t>
      </w:r>
      <w:r w:rsidR="00E65DAA" w:rsidRPr="007A17AE">
        <w:rPr>
          <w:szCs w:val="22"/>
        </w:rPr>
        <w:t>mg per parą rifampicino, stipraus</w:t>
      </w:r>
      <w:r w:rsidRPr="007A17AE">
        <w:rPr>
          <w:szCs w:val="22"/>
        </w:rPr>
        <w:t xml:space="preserve"> </w:t>
      </w:r>
      <w:r w:rsidR="00E65DAA" w:rsidRPr="007A17AE">
        <w:rPr>
          <w:szCs w:val="22"/>
        </w:rPr>
        <w:t xml:space="preserve">CYP3A4 induktoriaus, vartojimo </w:t>
      </w:r>
      <w:r w:rsidRPr="007A17AE">
        <w:rPr>
          <w:szCs w:val="22"/>
        </w:rPr>
        <w:t>parą</w:t>
      </w:r>
      <w:r w:rsidR="00E65DAA" w:rsidRPr="007A17AE">
        <w:rPr>
          <w:szCs w:val="22"/>
        </w:rPr>
        <w:t xml:space="preserve"> 14</w:t>
      </w:r>
      <w:r w:rsidR="00A34D77">
        <w:rPr>
          <w:szCs w:val="22"/>
        </w:rPr>
        <w:t> </w:t>
      </w:r>
      <w:r w:rsidRPr="007A17AE">
        <w:rPr>
          <w:szCs w:val="22"/>
        </w:rPr>
        <w:t>parų</w:t>
      </w:r>
      <w:r w:rsidR="00E65DAA" w:rsidRPr="007A17AE">
        <w:rPr>
          <w:szCs w:val="22"/>
        </w:rPr>
        <w:t xml:space="preserve"> kurso metu, aprepitanto AUC sumažėjo 91</w:t>
      </w:r>
      <w:r w:rsidR="00A34D77">
        <w:rPr>
          <w:szCs w:val="22"/>
        </w:rPr>
        <w:t> </w:t>
      </w:r>
      <w:r w:rsidR="00E65DAA" w:rsidRPr="007A17AE">
        <w:rPr>
          <w:szCs w:val="22"/>
        </w:rPr>
        <w:t>%, o</w:t>
      </w:r>
      <w:r w:rsidRPr="007A17AE">
        <w:rPr>
          <w:szCs w:val="22"/>
        </w:rPr>
        <w:t xml:space="preserve"> jo </w:t>
      </w:r>
      <w:r w:rsidR="00E65DAA" w:rsidRPr="007A17AE">
        <w:rPr>
          <w:szCs w:val="22"/>
        </w:rPr>
        <w:t xml:space="preserve">vidutinis galutinis pusinės eliminacijos periodas </w:t>
      </w:r>
      <w:r w:rsidRPr="007A17AE">
        <w:rPr>
          <w:szCs w:val="22"/>
        </w:rPr>
        <w:t>-</w:t>
      </w:r>
      <w:r w:rsidR="00E65DAA" w:rsidRPr="007A17AE">
        <w:rPr>
          <w:szCs w:val="22"/>
        </w:rPr>
        <w:t xml:space="preserve"> 68</w:t>
      </w:r>
      <w:r w:rsidR="00A34D77">
        <w:rPr>
          <w:szCs w:val="22"/>
        </w:rPr>
        <w:t> </w:t>
      </w:r>
      <w:r w:rsidR="00E65DAA" w:rsidRPr="007A17AE">
        <w:rPr>
          <w:szCs w:val="22"/>
        </w:rPr>
        <w:t>%.</w:t>
      </w:r>
    </w:p>
    <w:p w14:paraId="7D8773B9" w14:textId="77777777" w:rsidR="00106909" w:rsidRPr="007A17AE" w:rsidRDefault="00106909" w:rsidP="007A17AE">
      <w:pPr>
        <w:spacing w:line="240" w:lineRule="auto"/>
        <w:contextualSpacing/>
        <w:rPr>
          <w:szCs w:val="22"/>
        </w:rPr>
      </w:pPr>
    </w:p>
    <w:p w14:paraId="506F8714" w14:textId="77777777" w:rsidR="00E65DAA" w:rsidRPr="007A17AE" w:rsidRDefault="00E65DAA" w:rsidP="007A17AE">
      <w:pPr>
        <w:spacing w:line="240" w:lineRule="auto"/>
        <w:contextualSpacing/>
        <w:rPr>
          <w:szCs w:val="22"/>
          <w:u w:val="single"/>
        </w:rPr>
      </w:pPr>
      <w:r w:rsidRPr="007A17AE">
        <w:rPr>
          <w:szCs w:val="22"/>
          <w:u w:val="single"/>
        </w:rPr>
        <w:t>Vaikų populiacija</w:t>
      </w:r>
    </w:p>
    <w:p w14:paraId="619DE24E" w14:textId="77777777" w:rsidR="002A0B08" w:rsidRPr="007A17AE" w:rsidRDefault="00E65DAA" w:rsidP="007A17AE">
      <w:pPr>
        <w:spacing w:line="240" w:lineRule="auto"/>
        <w:contextualSpacing/>
        <w:rPr>
          <w:szCs w:val="22"/>
        </w:rPr>
      </w:pPr>
      <w:r w:rsidRPr="007A17AE">
        <w:rPr>
          <w:szCs w:val="22"/>
        </w:rPr>
        <w:t>Sąveikos tyrimai atlikti tik suaugusiesiems</w:t>
      </w:r>
    </w:p>
    <w:p w14:paraId="00FFB497" w14:textId="77777777" w:rsidR="002A0B08" w:rsidRPr="007A17AE" w:rsidRDefault="002A0B08" w:rsidP="007A17AE">
      <w:pPr>
        <w:spacing w:line="240" w:lineRule="auto"/>
        <w:contextualSpacing/>
        <w:rPr>
          <w:szCs w:val="22"/>
        </w:rPr>
      </w:pPr>
    </w:p>
    <w:p w14:paraId="6CBFA7B2" w14:textId="77777777" w:rsidR="005A500F" w:rsidRPr="007A17AE" w:rsidRDefault="005A500F" w:rsidP="007A17AE">
      <w:pPr>
        <w:pStyle w:val="Default"/>
        <w:ind w:left="567" w:hanging="568"/>
        <w:contextualSpacing/>
        <w:rPr>
          <w:sz w:val="22"/>
          <w:szCs w:val="22"/>
        </w:rPr>
      </w:pPr>
      <w:r w:rsidRPr="00297BBD">
        <w:rPr>
          <w:b/>
          <w:bCs/>
          <w:sz w:val="22"/>
          <w:szCs w:val="22"/>
        </w:rPr>
        <w:t>4.6</w:t>
      </w:r>
      <w:r w:rsidRPr="00297BBD">
        <w:rPr>
          <w:b/>
          <w:bCs/>
          <w:sz w:val="22"/>
          <w:szCs w:val="22"/>
        </w:rPr>
        <w:tab/>
        <w:t>Vaisingumas, nėštumo ir žindymo laikotarpis</w:t>
      </w:r>
      <w:r w:rsidRPr="007A17AE">
        <w:rPr>
          <w:b/>
          <w:bCs/>
          <w:sz w:val="22"/>
          <w:szCs w:val="22"/>
        </w:rPr>
        <w:t xml:space="preserve"> </w:t>
      </w:r>
    </w:p>
    <w:p w14:paraId="0F914344" w14:textId="77777777" w:rsidR="0025727C" w:rsidRPr="007A17AE" w:rsidRDefault="0025727C" w:rsidP="007A17AE">
      <w:pPr>
        <w:pStyle w:val="Default"/>
        <w:contextualSpacing/>
        <w:rPr>
          <w:sz w:val="22"/>
          <w:szCs w:val="22"/>
        </w:rPr>
      </w:pPr>
    </w:p>
    <w:p w14:paraId="52CE406C" w14:textId="77777777" w:rsidR="00751F28" w:rsidRPr="007A17AE" w:rsidRDefault="00751F28" w:rsidP="007A17AE">
      <w:pPr>
        <w:pStyle w:val="Default"/>
        <w:contextualSpacing/>
        <w:rPr>
          <w:sz w:val="22"/>
          <w:szCs w:val="22"/>
          <w:u w:val="single"/>
        </w:rPr>
      </w:pPr>
      <w:r w:rsidRPr="007A17AE">
        <w:rPr>
          <w:sz w:val="22"/>
          <w:szCs w:val="22"/>
          <w:u w:val="single"/>
        </w:rPr>
        <w:t>Vyrų ir moterų kontracepcija</w:t>
      </w:r>
    </w:p>
    <w:p w14:paraId="4D8A5C54" w14:textId="77777777" w:rsidR="00751F28" w:rsidRPr="007A17AE" w:rsidRDefault="00751F28" w:rsidP="007A17AE">
      <w:pPr>
        <w:pStyle w:val="Default"/>
        <w:contextualSpacing/>
        <w:rPr>
          <w:sz w:val="22"/>
          <w:szCs w:val="22"/>
        </w:rPr>
      </w:pPr>
      <w:r w:rsidRPr="007A17AE">
        <w:rPr>
          <w:sz w:val="22"/>
          <w:szCs w:val="22"/>
        </w:rPr>
        <w:t>Aprepitanto vartojimo metu ir 28</w:t>
      </w:r>
      <w:r w:rsidR="00A34D77">
        <w:rPr>
          <w:sz w:val="22"/>
          <w:szCs w:val="22"/>
        </w:rPr>
        <w:t> </w:t>
      </w:r>
      <w:r w:rsidRPr="007A17AE">
        <w:rPr>
          <w:sz w:val="22"/>
          <w:szCs w:val="22"/>
        </w:rPr>
        <w:t>paras po to hormoninių kontraceptikų veiksmingumas gali</w:t>
      </w:r>
      <w:r w:rsidR="00D33EB4" w:rsidRPr="007A17AE">
        <w:rPr>
          <w:sz w:val="22"/>
          <w:szCs w:val="22"/>
        </w:rPr>
        <w:t xml:space="preserve"> </w:t>
      </w:r>
      <w:r w:rsidRPr="007A17AE">
        <w:rPr>
          <w:sz w:val="22"/>
          <w:szCs w:val="22"/>
        </w:rPr>
        <w:t>būti sumažėjęs. Vartojant aprepitanto ir 2</w:t>
      </w:r>
      <w:r w:rsidR="00A34D77">
        <w:rPr>
          <w:sz w:val="22"/>
          <w:szCs w:val="22"/>
        </w:rPr>
        <w:t> </w:t>
      </w:r>
      <w:r w:rsidRPr="007A17AE">
        <w:rPr>
          <w:sz w:val="22"/>
          <w:szCs w:val="22"/>
        </w:rPr>
        <w:t>mėnesius po paskutinės jo dozės su</w:t>
      </w:r>
      <w:r w:rsidR="00D33EB4" w:rsidRPr="007A17AE">
        <w:rPr>
          <w:sz w:val="22"/>
          <w:szCs w:val="22"/>
        </w:rPr>
        <w:t>v</w:t>
      </w:r>
      <w:r w:rsidRPr="007A17AE">
        <w:rPr>
          <w:sz w:val="22"/>
          <w:szCs w:val="22"/>
        </w:rPr>
        <w:t>artojimo reikia taikyti alternatyvius papildomus nehormoninės kontracepcijos metodus (žr. 4.4 ir 4.5 skyrius).</w:t>
      </w:r>
    </w:p>
    <w:p w14:paraId="5004EE56" w14:textId="77777777" w:rsidR="00751F28" w:rsidRPr="007A17AE" w:rsidRDefault="00751F28" w:rsidP="007A17AE">
      <w:pPr>
        <w:pStyle w:val="Default"/>
        <w:contextualSpacing/>
        <w:rPr>
          <w:sz w:val="22"/>
          <w:szCs w:val="22"/>
        </w:rPr>
      </w:pPr>
    </w:p>
    <w:p w14:paraId="683841B1" w14:textId="77777777" w:rsidR="00751F28" w:rsidRPr="007A17AE" w:rsidRDefault="00751F28" w:rsidP="007A17AE">
      <w:pPr>
        <w:pStyle w:val="Default"/>
        <w:contextualSpacing/>
        <w:rPr>
          <w:sz w:val="22"/>
          <w:szCs w:val="22"/>
          <w:u w:val="single"/>
        </w:rPr>
      </w:pPr>
      <w:r w:rsidRPr="007A17AE">
        <w:rPr>
          <w:sz w:val="22"/>
          <w:szCs w:val="22"/>
          <w:u w:val="single"/>
        </w:rPr>
        <w:t>Nėštumas</w:t>
      </w:r>
    </w:p>
    <w:p w14:paraId="513D0515" w14:textId="77777777" w:rsidR="00751F28" w:rsidRPr="007A17AE" w:rsidRDefault="00751F28" w:rsidP="007A17AE">
      <w:pPr>
        <w:pStyle w:val="Default"/>
        <w:contextualSpacing/>
        <w:rPr>
          <w:sz w:val="22"/>
          <w:szCs w:val="22"/>
        </w:rPr>
      </w:pPr>
      <w:r w:rsidRPr="007A17AE">
        <w:rPr>
          <w:sz w:val="22"/>
          <w:szCs w:val="22"/>
        </w:rPr>
        <w:t>Klinikinių duomenų apie aprepitanto veikiamus nėštumus nėra. Aprepitanto galimas toksinis poveikis reprodukcijai nėra pakankamai apibūdintas, nes</w:t>
      </w:r>
      <w:r w:rsidR="00745A58" w:rsidRPr="007A17AE">
        <w:rPr>
          <w:sz w:val="22"/>
          <w:szCs w:val="22"/>
        </w:rPr>
        <w:t xml:space="preserve"> tyrimų su gyvūnais metu negalima pasiekti ekspozicijos lygio, didesnio už gydomosios ekspozicijos lygį žmonėms</w:t>
      </w:r>
      <w:r w:rsidRPr="007A17AE">
        <w:rPr>
          <w:sz w:val="22"/>
          <w:szCs w:val="22"/>
        </w:rPr>
        <w:t>, vartojant</w:t>
      </w:r>
      <w:r w:rsidR="00745A58" w:rsidRPr="007A17AE">
        <w:rPr>
          <w:sz w:val="22"/>
          <w:szCs w:val="22"/>
        </w:rPr>
        <w:t>iems</w:t>
      </w:r>
      <w:r w:rsidRPr="007A17AE">
        <w:rPr>
          <w:sz w:val="22"/>
          <w:szCs w:val="22"/>
        </w:rPr>
        <w:t xml:space="preserve"> 125</w:t>
      </w:r>
      <w:r w:rsidR="00A34D77">
        <w:rPr>
          <w:sz w:val="22"/>
          <w:szCs w:val="22"/>
        </w:rPr>
        <w:t> </w:t>
      </w:r>
      <w:r w:rsidRPr="007A17AE">
        <w:rPr>
          <w:sz w:val="22"/>
          <w:szCs w:val="22"/>
        </w:rPr>
        <w:t>mg/80</w:t>
      </w:r>
      <w:r w:rsidR="00A34D77">
        <w:rPr>
          <w:sz w:val="22"/>
          <w:szCs w:val="22"/>
        </w:rPr>
        <w:t> </w:t>
      </w:r>
      <w:r w:rsidRPr="007A17AE">
        <w:rPr>
          <w:sz w:val="22"/>
          <w:szCs w:val="22"/>
        </w:rPr>
        <w:t>mg dozę. Šie tyrimai tiesioginio</w:t>
      </w:r>
      <w:r w:rsidR="00005DAC" w:rsidRPr="007A17AE">
        <w:rPr>
          <w:sz w:val="22"/>
          <w:szCs w:val="22"/>
        </w:rPr>
        <w:t xml:space="preserve"> </w:t>
      </w:r>
      <w:r w:rsidRPr="007A17AE">
        <w:rPr>
          <w:sz w:val="22"/>
          <w:szCs w:val="22"/>
        </w:rPr>
        <w:t xml:space="preserve">ar netiesioginio kenksmingo poveikio nėštumo eigai, embriono ar vaisiaus vystymuisi, </w:t>
      </w:r>
      <w:r w:rsidR="00005DAC" w:rsidRPr="007A17AE">
        <w:rPr>
          <w:sz w:val="22"/>
          <w:szCs w:val="22"/>
        </w:rPr>
        <w:t>atsivedimui</w:t>
      </w:r>
      <w:r w:rsidRPr="007A17AE">
        <w:rPr>
          <w:sz w:val="22"/>
          <w:szCs w:val="22"/>
        </w:rPr>
        <w:t xml:space="preserve"> ar</w:t>
      </w:r>
      <w:r w:rsidR="00005DAC" w:rsidRPr="007A17AE">
        <w:rPr>
          <w:sz w:val="22"/>
          <w:szCs w:val="22"/>
        </w:rPr>
        <w:t xml:space="preserve"> atsivestų jauniklių </w:t>
      </w:r>
      <w:r w:rsidRPr="007A17AE">
        <w:rPr>
          <w:sz w:val="22"/>
          <w:szCs w:val="22"/>
        </w:rPr>
        <w:t>vystymuisi neparodė (žr. 5.3 skyrių). Galima</w:t>
      </w:r>
      <w:r w:rsidR="00005DAC" w:rsidRPr="007A17AE">
        <w:rPr>
          <w:sz w:val="22"/>
          <w:szCs w:val="22"/>
        </w:rPr>
        <w:t>s</w:t>
      </w:r>
      <w:r w:rsidRPr="007A17AE">
        <w:rPr>
          <w:sz w:val="22"/>
          <w:szCs w:val="22"/>
        </w:rPr>
        <w:t xml:space="preserve"> neurokinin</w:t>
      </w:r>
      <w:r w:rsidR="00005DAC" w:rsidRPr="007A17AE">
        <w:rPr>
          <w:sz w:val="22"/>
          <w:szCs w:val="22"/>
        </w:rPr>
        <w:t>o</w:t>
      </w:r>
      <w:r w:rsidRPr="007A17AE">
        <w:rPr>
          <w:sz w:val="22"/>
          <w:szCs w:val="22"/>
        </w:rPr>
        <w:t xml:space="preserve"> reguliacijos pokyčių poveiki</w:t>
      </w:r>
      <w:r w:rsidR="00005DAC" w:rsidRPr="007A17AE">
        <w:rPr>
          <w:sz w:val="22"/>
          <w:szCs w:val="22"/>
        </w:rPr>
        <w:t>s</w:t>
      </w:r>
      <w:r w:rsidRPr="007A17AE">
        <w:rPr>
          <w:sz w:val="22"/>
          <w:szCs w:val="22"/>
        </w:rPr>
        <w:t xml:space="preserve"> reprodukcijai n</w:t>
      </w:r>
      <w:r w:rsidR="00005DAC" w:rsidRPr="007A17AE">
        <w:rPr>
          <w:sz w:val="22"/>
          <w:szCs w:val="22"/>
        </w:rPr>
        <w:t>ežinomas</w:t>
      </w:r>
      <w:r w:rsidRPr="007A17AE">
        <w:rPr>
          <w:sz w:val="22"/>
          <w:szCs w:val="22"/>
        </w:rPr>
        <w:t xml:space="preserve">. </w:t>
      </w:r>
      <w:r w:rsidR="00005DAC" w:rsidRPr="007A17AE">
        <w:rPr>
          <w:sz w:val="22"/>
          <w:szCs w:val="22"/>
        </w:rPr>
        <w:t xml:space="preserve">Aprepitanto </w:t>
      </w:r>
      <w:r w:rsidRPr="007A17AE">
        <w:rPr>
          <w:sz w:val="22"/>
          <w:szCs w:val="22"/>
        </w:rPr>
        <w:t xml:space="preserve">nėštumo metu </w:t>
      </w:r>
      <w:r w:rsidR="00005DAC" w:rsidRPr="007A17AE">
        <w:rPr>
          <w:sz w:val="22"/>
          <w:szCs w:val="22"/>
        </w:rPr>
        <w:t>turi būti nevartojama</w:t>
      </w:r>
      <w:r w:rsidRPr="007A17AE">
        <w:rPr>
          <w:sz w:val="22"/>
          <w:szCs w:val="22"/>
        </w:rPr>
        <w:t>, išskyrus neabejotinai</w:t>
      </w:r>
      <w:r w:rsidR="00005DAC" w:rsidRPr="007A17AE">
        <w:rPr>
          <w:sz w:val="22"/>
          <w:szCs w:val="22"/>
        </w:rPr>
        <w:t xml:space="preserve"> </w:t>
      </w:r>
      <w:r w:rsidRPr="007A17AE">
        <w:rPr>
          <w:sz w:val="22"/>
          <w:szCs w:val="22"/>
        </w:rPr>
        <w:t>būtinus atvejus.</w:t>
      </w:r>
    </w:p>
    <w:p w14:paraId="2CF8D20B" w14:textId="77777777" w:rsidR="000E2AC9" w:rsidRPr="007A17AE" w:rsidRDefault="000E2AC9" w:rsidP="007A17AE">
      <w:pPr>
        <w:pStyle w:val="Default"/>
        <w:contextualSpacing/>
        <w:rPr>
          <w:sz w:val="22"/>
          <w:szCs w:val="22"/>
        </w:rPr>
      </w:pPr>
    </w:p>
    <w:p w14:paraId="609EBA8C" w14:textId="77777777" w:rsidR="00751F28" w:rsidRPr="007A17AE" w:rsidRDefault="00751F28" w:rsidP="007A17AE">
      <w:pPr>
        <w:pStyle w:val="Default"/>
        <w:contextualSpacing/>
        <w:rPr>
          <w:sz w:val="22"/>
          <w:szCs w:val="22"/>
          <w:u w:val="single"/>
        </w:rPr>
      </w:pPr>
      <w:r w:rsidRPr="007A17AE">
        <w:rPr>
          <w:sz w:val="22"/>
          <w:szCs w:val="22"/>
          <w:u w:val="single"/>
        </w:rPr>
        <w:t>Žindymas</w:t>
      </w:r>
    </w:p>
    <w:p w14:paraId="446782CC" w14:textId="24E64B47" w:rsidR="00751F28" w:rsidRPr="007A17AE" w:rsidRDefault="000E2AC9" w:rsidP="007A17AE">
      <w:pPr>
        <w:pStyle w:val="Default"/>
        <w:contextualSpacing/>
        <w:rPr>
          <w:sz w:val="22"/>
          <w:szCs w:val="22"/>
        </w:rPr>
      </w:pPr>
      <w:r w:rsidRPr="007A17AE">
        <w:rPr>
          <w:sz w:val="22"/>
          <w:szCs w:val="22"/>
        </w:rPr>
        <w:t>Aprepitant</w:t>
      </w:r>
      <w:r w:rsidR="001F661D" w:rsidRPr="007A17AE">
        <w:rPr>
          <w:sz w:val="22"/>
          <w:szCs w:val="22"/>
        </w:rPr>
        <w:t>o</w:t>
      </w:r>
      <w:r w:rsidRPr="007A17AE">
        <w:rPr>
          <w:sz w:val="22"/>
          <w:szCs w:val="22"/>
        </w:rPr>
        <w:t xml:space="preserve"> išskiriama su žindamų žiurkių pienu</w:t>
      </w:r>
      <w:r w:rsidR="001F661D" w:rsidRPr="007A17AE">
        <w:rPr>
          <w:sz w:val="22"/>
          <w:szCs w:val="22"/>
        </w:rPr>
        <w:t>. Ar jo išskiriama su moters pienu, nežinoma, todėl gydymo aprepitantu metu žindyti nerekomenduojama.</w:t>
      </w:r>
    </w:p>
    <w:p w14:paraId="5211A234" w14:textId="77777777" w:rsidR="00751F28" w:rsidRPr="007A17AE" w:rsidRDefault="00751F28" w:rsidP="007A17AE">
      <w:pPr>
        <w:pStyle w:val="Default"/>
        <w:contextualSpacing/>
        <w:rPr>
          <w:sz w:val="22"/>
          <w:szCs w:val="22"/>
        </w:rPr>
      </w:pPr>
    </w:p>
    <w:p w14:paraId="0988736B" w14:textId="77777777" w:rsidR="00751F28" w:rsidRPr="007A17AE" w:rsidRDefault="00751F28" w:rsidP="007A17AE">
      <w:pPr>
        <w:pStyle w:val="Default"/>
        <w:contextualSpacing/>
        <w:rPr>
          <w:sz w:val="22"/>
          <w:szCs w:val="22"/>
          <w:u w:val="single"/>
        </w:rPr>
      </w:pPr>
      <w:r w:rsidRPr="007A17AE">
        <w:rPr>
          <w:sz w:val="22"/>
          <w:szCs w:val="22"/>
          <w:u w:val="single"/>
        </w:rPr>
        <w:t>Vaisingumas</w:t>
      </w:r>
    </w:p>
    <w:p w14:paraId="52C09122" w14:textId="77777777" w:rsidR="00751F28" w:rsidRPr="007A17AE" w:rsidRDefault="00751F28" w:rsidP="007A17AE">
      <w:pPr>
        <w:pStyle w:val="Default"/>
        <w:contextualSpacing/>
        <w:rPr>
          <w:sz w:val="22"/>
          <w:szCs w:val="22"/>
        </w:rPr>
      </w:pPr>
      <w:r w:rsidRPr="007A17AE">
        <w:rPr>
          <w:sz w:val="22"/>
          <w:szCs w:val="22"/>
        </w:rPr>
        <w:t xml:space="preserve">Galimas aprepitanto poveikis vaisingumui nėra pakankamai apibūdintas, </w:t>
      </w:r>
      <w:r w:rsidR="001F661D" w:rsidRPr="007A17AE">
        <w:rPr>
          <w:sz w:val="22"/>
          <w:szCs w:val="22"/>
        </w:rPr>
        <w:t>nes tyrimų su gyvūnais metu negalima pasiekti ekspozicijos lygi</w:t>
      </w:r>
      <w:r w:rsidR="00745A58" w:rsidRPr="007A17AE">
        <w:rPr>
          <w:sz w:val="22"/>
          <w:szCs w:val="22"/>
        </w:rPr>
        <w:t>o</w:t>
      </w:r>
      <w:r w:rsidR="001F661D" w:rsidRPr="007A17AE">
        <w:rPr>
          <w:sz w:val="22"/>
          <w:szCs w:val="22"/>
        </w:rPr>
        <w:t>, didesni</w:t>
      </w:r>
      <w:r w:rsidR="00745A58" w:rsidRPr="007A17AE">
        <w:rPr>
          <w:sz w:val="22"/>
          <w:szCs w:val="22"/>
        </w:rPr>
        <w:t>o</w:t>
      </w:r>
      <w:r w:rsidR="001F661D" w:rsidRPr="007A17AE">
        <w:rPr>
          <w:sz w:val="22"/>
          <w:szCs w:val="22"/>
        </w:rPr>
        <w:t xml:space="preserve"> už gydom</w:t>
      </w:r>
      <w:r w:rsidR="00745A58" w:rsidRPr="007A17AE">
        <w:rPr>
          <w:sz w:val="22"/>
          <w:szCs w:val="22"/>
        </w:rPr>
        <w:t xml:space="preserve">osios </w:t>
      </w:r>
      <w:r w:rsidR="001F661D" w:rsidRPr="007A17AE">
        <w:rPr>
          <w:sz w:val="22"/>
          <w:szCs w:val="22"/>
        </w:rPr>
        <w:t>ekspozicij</w:t>
      </w:r>
      <w:r w:rsidR="00745A58" w:rsidRPr="007A17AE">
        <w:rPr>
          <w:sz w:val="22"/>
          <w:szCs w:val="22"/>
        </w:rPr>
        <w:t>os lygį</w:t>
      </w:r>
      <w:r w:rsidR="001F661D" w:rsidRPr="007A17AE">
        <w:rPr>
          <w:sz w:val="22"/>
          <w:szCs w:val="22"/>
        </w:rPr>
        <w:t xml:space="preserve"> žmonėms. T</w:t>
      </w:r>
      <w:r w:rsidRPr="007A17AE">
        <w:rPr>
          <w:sz w:val="22"/>
          <w:szCs w:val="22"/>
        </w:rPr>
        <w:t>iesioginio ar netiesioginio</w:t>
      </w:r>
      <w:r w:rsidR="00745A58" w:rsidRPr="007A17AE">
        <w:rPr>
          <w:sz w:val="22"/>
          <w:szCs w:val="22"/>
        </w:rPr>
        <w:t xml:space="preserve"> </w:t>
      </w:r>
      <w:r w:rsidRPr="007A17AE">
        <w:rPr>
          <w:sz w:val="22"/>
          <w:szCs w:val="22"/>
        </w:rPr>
        <w:t>žalingo poveikio reprodukcinei elgsenai, vaisingumui, embriono ar vaisiaus vystymuisi bei</w:t>
      </w:r>
      <w:r w:rsidR="00745A58" w:rsidRPr="007A17AE">
        <w:rPr>
          <w:sz w:val="22"/>
          <w:szCs w:val="22"/>
        </w:rPr>
        <w:t xml:space="preserve"> </w:t>
      </w:r>
      <w:r w:rsidRPr="007A17AE">
        <w:rPr>
          <w:sz w:val="22"/>
          <w:szCs w:val="22"/>
        </w:rPr>
        <w:t xml:space="preserve">spermatozoidų skaičiui </w:t>
      </w:r>
      <w:r w:rsidR="00745A58" w:rsidRPr="007A17AE">
        <w:rPr>
          <w:sz w:val="22"/>
          <w:szCs w:val="22"/>
        </w:rPr>
        <w:t>i</w:t>
      </w:r>
      <w:r w:rsidRPr="007A17AE">
        <w:rPr>
          <w:sz w:val="22"/>
          <w:szCs w:val="22"/>
        </w:rPr>
        <w:t>r judrumui šie vaisingumo tyrimai ne</w:t>
      </w:r>
      <w:r w:rsidR="00745A58" w:rsidRPr="007A17AE">
        <w:rPr>
          <w:sz w:val="22"/>
          <w:szCs w:val="22"/>
        </w:rPr>
        <w:t>rodo</w:t>
      </w:r>
      <w:r w:rsidRPr="007A17AE">
        <w:rPr>
          <w:sz w:val="22"/>
          <w:szCs w:val="22"/>
        </w:rPr>
        <w:t xml:space="preserve"> (žr. 5.3 skyrių)</w:t>
      </w:r>
      <w:r w:rsidR="00745A58" w:rsidRPr="007A17AE">
        <w:rPr>
          <w:sz w:val="22"/>
          <w:szCs w:val="22"/>
        </w:rPr>
        <w:t>.</w:t>
      </w:r>
    </w:p>
    <w:p w14:paraId="408CA735" w14:textId="77777777" w:rsidR="00507E14" w:rsidRPr="007A17AE" w:rsidRDefault="00507E14" w:rsidP="007A17AE">
      <w:pPr>
        <w:pStyle w:val="Default"/>
        <w:ind w:left="567" w:hanging="568"/>
        <w:contextualSpacing/>
        <w:rPr>
          <w:b/>
          <w:bCs/>
          <w:sz w:val="22"/>
          <w:szCs w:val="22"/>
        </w:rPr>
      </w:pPr>
    </w:p>
    <w:p w14:paraId="6EF77EA2" w14:textId="77777777" w:rsidR="00507E14" w:rsidRPr="007A17AE" w:rsidRDefault="00507E14" w:rsidP="007A17AE">
      <w:pPr>
        <w:pStyle w:val="Default"/>
        <w:ind w:left="567" w:hanging="568"/>
        <w:contextualSpacing/>
        <w:rPr>
          <w:sz w:val="22"/>
          <w:szCs w:val="22"/>
        </w:rPr>
      </w:pPr>
      <w:r w:rsidRPr="007A17AE">
        <w:rPr>
          <w:b/>
          <w:bCs/>
          <w:sz w:val="22"/>
          <w:szCs w:val="22"/>
        </w:rPr>
        <w:t>4.7</w:t>
      </w:r>
      <w:r w:rsidRPr="007A17AE">
        <w:rPr>
          <w:b/>
          <w:bCs/>
          <w:sz w:val="22"/>
          <w:szCs w:val="22"/>
        </w:rPr>
        <w:tab/>
        <w:t xml:space="preserve">Poveikis gebėjimui vairuoti ir valdyti mechanizmus </w:t>
      </w:r>
    </w:p>
    <w:p w14:paraId="27C1F9A6" w14:textId="77777777" w:rsidR="00507E14" w:rsidRPr="007A17AE" w:rsidRDefault="00507E14" w:rsidP="007A17AE">
      <w:pPr>
        <w:pStyle w:val="Default"/>
        <w:contextualSpacing/>
        <w:rPr>
          <w:sz w:val="22"/>
          <w:szCs w:val="22"/>
        </w:rPr>
      </w:pPr>
    </w:p>
    <w:p w14:paraId="57932541" w14:textId="7E9C4192" w:rsidR="00745A58" w:rsidRPr="007A17AE" w:rsidRDefault="00745A58" w:rsidP="007A17AE">
      <w:pPr>
        <w:pStyle w:val="Default"/>
        <w:contextualSpacing/>
        <w:rPr>
          <w:sz w:val="22"/>
          <w:szCs w:val="22"/>
        </w:rPr>
      </w:pPr>
      <w:r w:rsidRPr="007A17AE">
        <w:rPr>
          <w:sz w:val="22"/>
          <w:szCs w:val="22"/>
        </w:rPr>
        <w:t xml:space="preserve">Aprepitantas gali daryti nedidelę įtaką gebėjimui vairuoti automobilį, važiuoti dviračiu ir valdyti mechanizmus. Pavartojus aprepitanto gali pasireikšti </w:t>
      </w:r>
      <w:r w:rsidR="00297BBD">
        <w:rPr>
          <w:sz w:val="22"/>
          <w:szCs w:val="22"/>
        </w:rPr>
        <w:t xml:space="preserve">svaigulys </w:t>
      </w:r>
      <w:r w:rsidRPr="007A17AE">
        <w:rPr>
          <w:sz w:val="22"/>
          <w:szCs w:val="22"/>
        </w:rPr>
        <w:t>ir nuovargis (žr. 4.8 skyrių).</w:t>
      </w:r>
    </w:p>
    <w:p w14:paraId="4309012F" w14:textId="77777777" w:rsidR="00745A58" w:rsidRPr="007A17AE" w:rsidRDefault="00745A58" w:rsidP="007A17AE">
      <w:pPr>
        <w:pStyle w:val="Default"/>
        <w:contextualSpacing/>
        <w:rPr>
          <w:sz w:val="22"/>
          <w:szCs w:val="22"/>
        </w:rPr>
      </w:pPr>
    </w:p>
    <w:p w14:paraId="4B7F485B" w14:textId="77777777" w:rsidR="00507E14" w:rsidRPr="007A17AE" w:rsidRDefault="00507E14" w:rsidP="007A17AE">
      <w:pPr>
        <w:pStyle w:val="Default"/>
        <w:ind w:left="567" w:hanging="568"/>
        <w:contextualSpacing/>
        <w:rPr>
          <w:sz w:val="22"/>
          <w:szCs w:val="22"/>
        </w:rPr>
      </w:pPr>
      <w:r w:rsidRPr="007A17AE">
        <w:rPr>
          <w:b/>
          <w:bCs/>
          <w:sz w:val="22"/>
          <w:szCs w:val="22"/>
        </w:rPr>
        <w:t>4.8</w:t>
      </w:r>
      <w:r w:rsidRPr="007A17AE">
        <w:rPr>
          <w:b/>
          <w:bCs/>
          <w:sz w:val="22"/>
          <w:szCs w:val="22"/>
        </w:rPr>
        <w:tab/>
        <w:t xml:space="preserve">Nepageidaujamas poveikis </w:t>
      </w:r>
    </w:p>
    <w:p w14:paraId="6D07B48E" w14:textId="77777777" w:rsidR="00507E14" w:rsidRPr="007A17AE" w:rsidRDefault="00507E14" w:rsidP="007A17AE">
      <w:pPr>
        <w:pStyle w:val="Default"/>
        <w:contextualSpacing/>
        <w:rPr>
          <w:sz w:val="22"/>
          <w:szCs w:val="22"/>
          <w:u w:val="single"/>
        </w:rPr>
      </w:pPr>
    </w:p>
    <w:p w14:paraId="5BA6A232" w14:textId="77777777" w:rsidR="00507E14" w:rsidRPr="007A17AE" w:rsidRDefault="00507E14" w:rsidP="007A17AE">
      <w:pPr>
        <w:pStyle w:val="Default"/>
        <w:contextualSpacing/>
        <w:rPr>
          <w:sz w:val="22"/>
          <w:szCs w:val="22"/>
        </w:rPr>
      </w:pPr>
      <w:r w:rsidRPr="007A17AE">
        <w:rPr>
          <w:sz w:val="22"/>
          <w:szCs w:val="22"/>
          <w:u w:val="single"/>
        </w:rPr>
        <w:t xml:space="preserve">Saugumo duomenų santrauka </w:t>
      </w:r>
    </w:p>
    <w:p w14:paraId="22A946AF" w14:textId="77777777" w:rsidR="00B2549D" w:rsidRPr="007A17AE" w:rsidRDefault="00B2549D" w:rsidP="007A17AE">
      <w:pPr>
        <w:spacing w:line="240" w:lineRule="auto"/>
        <w:contextualSpacing/>
        <w:rPr>
          <w:szCs w:val="22"/>
        </w:rPr>
      </w:pPr>
      <w:r w:rsidRPr="007A17AE">
        <w:rPr>
          <w:szCs w:val="22"/>
        </w:rPr>
        <w:t>Aprepitanto saugumo profilis įvertintas maždaug 6500 suaugusiųjų daugiau kaip 50 tyrimų metu bei 184 vaikams bei paaugliams 2 pagrindinių pediatrinių klinikinių tyrimų metu.</w:t>
      </w:r>
    </w:p>
    <w:p w14:paraId="53097E57" w14:textId="77777777" w:rsidR="004D3884" w:rsidRPr="007A17AE" w:rsidRDefault="00B2549D" w:rsidP="007A17AE">
      <w:pPr>
        <w:spacing w:line="240" w:lineRule="auto"/>
        <w:contextualSpacing/>
        <w:rPr>
          <w:szCs w:val="22"/>
        </w:rPr>
      </w:pPr>
      <w:r w:rsidRPr="007A17AE">
        <w:rPr>
          <w:szCs w:val="22"/>
        </w:rPr>
        <w:t>Labai dažnos nepageidaujamos reakcijos suaugusiesiems, kuriems taikyta labai emetogeniška chemoterapija (LECh), ir dažniau pasireiškusios gydant aprepitantu, palyginti su standartiniu gydymu, buvo žagsulys (4,6</w:t>
      </w:r>
      <w:r w:rsidR="00C1636F">
        <w:rPr>
          <w:szCs w:val="22"/>
        </w:rPr>
        <w:t> </w:t>
      </w:r>
      <w:r w:rsidRPr="007A17AE">
        <w:rPr>
          <w:szCs w:val="22"/>
        </w:rPr>
        <w:t>%, palyginti su 2,9</w:t>
      </w:r>
      <w:r w:rsidR="00C1636F">
        <w:rPr>
          <w:szCs w:val="22"/>
        </w:rPr>
        <w:t> </w:t>
      </w:r>
      <w:r w:rsidRPr="007A17AE">
        <w:rPr>
          <w:szCs w:val="22"/>
        </w:rPr>
        <w:t>%), padidėjęs alaninaminotransferazės (ALT) aktyvumas (2,8</w:t>
      </w:r>
      <w:r w:rsidR="00C1636F">
        <w:rPr>
          <w:szCs w:val="22"/>
        </w:rPr>
        <w:t> </w:t>
      </w:r>
      <w:r w:rsidRPr="007A17AE">
        <w:rPr>
          <w:szCs w:val="22"/>
        </w:rPr>
        <w:t>%, palyginti su 1,1</w:t>
      </w:r>
      <w:r w:rsidR="00C1636F">
        <w:rPr>
          <w:szCs w:val="22"/>
        </w:rPr>
        <w:t> </w:t>
      </w:r>
      <w:r w:rsidRPr="007A17AE">
        <w:rPr>
          <w:szCs w:val="22"/>
        </w:rPr>
        <w:t>%), nevirškinimas (2,6</w:t>
      </w:r>
      <w:r w:rsidR="00C1636F">
        <w:rPr>
          <w:szCs w:val="22"/>
        </w:rPr>
        <w:t> </w:t>
      </w:r>
      <w:r w:rsidRPr="007A17AE">
        <w:rPr>
          <w:szCs w:val="22"/>
        </w:rPr>
        <w:t>%, palyginti su 2,0</w:t>
      </w:r>
      <w:r w:rsidR="00C1636F">
        <w:rPr>
          <w:szCs w:val="22"/>
        </w:rPr>
        <w:t> </w:t>
      </w:r>
      <w:r w:rsidRPr="007A17AE">
        <w:rPr>
          <w:szCs w:val="22"/>
        </w:rPr>
        <w:t>%), vidurių užkietėjimas (2,4</w:t>
      </w:r>
      <w:r w:rsidR="00C1636F">
        <w:rPr>
          <w:szCs w:val="22"/>
        </w:rPr>
        <w:t> </w:t>
      </w:r>
      <w:r w:rsidRPr="007A17AE">
        <w:rPr>
          <w:szCs w:val="22"/>
        </w:rPr>
        <w:t>%, palyginti su 2,0</w:t>
      </w:r>
      <w:r w:rsidR="00C1636F">
        <w:rPr>
          <w:szCs w:val="22"/>
        </w:rPr>
        <w:t> </w:t>
      </w:r>
      <w:r w:rsidRPr="007A17AE">
        <w:rPr>
          <w:szCs w:val="22"/>
        </w:rPr>
        <w:t>%), galvos skausmas (2,0</w:t>
      </w:r>
      <w:r w:rsidR="00C1636F">
        <w:rPr>
          <w:szCs w:val="22"/>
        </w:rPr>
        <w:t> </w:t>
      </w:r>
      <w:r w:rsidRPr="007A17AE">
        <w:rPr>
          <w:szCs w:val="22"/>
        </w:rPr>
        <w:t>%, palyginti su 1,8</w:t>
      </w:r>
      <w:r w:rsidR="00C1636F">
        <w:rPr>
          <w:szCs w:val="22"/>
        </w:rPr>
        <w:t> </w:t>
      </w:r>
      <w:r w:rsidRPr="007A17AE">
        <w:rPr>
          <w:szCs w:val="22"/>
        </w:rPr>
        <w:t>%) ir apetito sumažėjimas (2,0</w:t>
      </w:r>
      <w:r w:rsidR="00C1636F">
        <w:rPr>
          <w:szCs w:val="22"/>
        </w:rPr>
        <w:t> </w:t>
      </w:r>
      <w:r w:rsidRPr="007A17AE">
        <w:rPr>
          <w:szCs w:val="22"/>
        </w:rPr>
        <w:t>%, palyginti su 0,5</w:t>
      </w:r>
      <w:r w:rsidR="00C1636F">
        <w:rPr>
          <w:szCs w:val="22"/>
        </w:rPr>
        <w:t> </w:t>
      </w:r>
      <w:r w:rsidRPr="007A17AE">
        <w:rPr>
          <w:szCs w:val="22"/>
        </w:rPr>
        <w:t xml:space="preserve">%). Dažniausia nepageidaujama reakcija pacientams, kuriems taikytas vidutiniškai </w:t>
      </w:r>
      <w:r w:rsidR="004D3884" w:rsidRPr="007A17AE">
        <w:rPr>
          <w:szCs w:val="22"/>
        </w:rPr>
        <w:t>emetogeniška chemoterapija (VECh), ir pasireiškusi dažniau gydant aprepitantu, negu taikant standartinį gydymą, buvo nuovargis (1,4</w:t>
      </w:r>
      <w:r w:rsidR="00C1636F">
        <w:rPr>
          <w:szCs w:val="22"/>
        </w:rPr>
        <w:t> </w:t>
      </w:r>
      <w:r w:rsidR="004D3884" w:rsidRPr="007A17AE">
        <w:rPr>
          <w:szCs w:val="22"/>
        </w:rPr>
        <w:t>%, palyginti su 0,9</w:t>
      </w:r>
      <w:r w:rsidR="00C1636F">
        <w:rPr>
          <w:szCs w:val="22"/>
        </w:rPr>
        <w:t> </w:t>
      </w:r>
      <w:r w:rsidR="004D3884" w:rsidRPr="007A17AE">
        <w:rPr>
          <w:szCs w:val="22"/>
        </w:rPr>
        <w:t>%).</w:t>
      </w:r>
    </w:p>
    <w:p w14:paraId="2E40B67C" w14:textId="77777777" w:rsidR="004D3884" w:rsidRPr="007A17AE" w:rsidRDefault="004D3884" w:rsidP="007A17AE">
      <w:pPr>
        <w:spacing w:line="240" w:lineRule="auto"/>
        <w:contextualSpacing/>
        <w:rPr>
          <w:szCs w:val="22"/>
        </w:rPr>
      </w:pPr>
    </w:p>
    <w:p w14:paraId="03A57596" w14:textId="77777777" w:rsidR="004D3884" w:rsidRPr="007A17AE" w:rsidRDefault="004D3884" w:rsidP="007A17AE">
      <w:pPr>
        <w:spacing w:line="240" w:lineRule="auto"/>
        <w:contextualSpacing/>
        <w:rPr>
          <w:szCs w:val="22"/>
        </w:rPr>
      </w:pPr>
      <w:r w:rsidRPr="007A17AE">
        <w:rPr>
          <w:szCs w:val="22"/>
        </w:rPr>
        <w:t>Dažniausios nepageidaujamos reakcijos, dažniau nustatytos vaikams emetogeninės vėžio chemoterapijos metu gydant aprepitantu, lyginant su kontroline gydymo schema, buvo žagsulys (3,3</w:t>
      </w:r>
      <w:r w:rsidR="00C1636F">
        <w:rPr>
          <w:szCs w:val="22"/>
        </w:rPr>
        <w:t> </w:t>
      </w:r>
      <w:r w:rsidRPr="007A17AE">
        <w:rPr>
          <w:szCs w:val="22"/>
        </w:rPr>
        <w:t>%, palyginti su 0,0</w:t>
      </w:r>
      <w:r w:rsidR="00C1636F">
        <w:rPr>
          <w:szCs w:val="22"/>
        </w:rPr>
        <w:t> </w:t>
      </w:r>
      <w:r w:rsidRPr="007A17AE">
        <w:rPr>
          <w:szCs w:val="22"/>
        </w:rPr>
        <w:t>%) ir staigus paraudimas (1,1</w:t>
      </w:r>
      <w:r w:rsidR="00C1636F">
        <w:rPr>
          <w:szCs w:val="22"/>
        </w:rPr>
        <w:t> </w:t>
      </w:r>
      <w:r w:rsidRPr="007A17AE">
        <w:rPr>
          <w:szCs w:val="22"/>
        </w:rPr>
        <w:t>%, palyginti su 0,0</w:t>
      </w:r>
      <w:r w:rsidR="00C1636F">
        <w:rPr>
          <w:szCs w:val="22"/>
        </w:rPr>
        <w:t> </w:t>
      </w:r>
      <w:r w:rsidRPr="007A17AE">
        <w:rPr>
          <w:szCs w:val="22"/>
        </w:rPr>
        <w:t>%).</w:t>
      </w:r>
    </w:p>
    <w:p w14:paraId="7D9CBA5B" w14:textId="77777777" w:rsidR="004D3884" w:rsidRPr="007A17AE" w:rsidRDefault="004D3884" w:rsidP="007A17AE">
      <w:pPr>
        <w:spacing w:line="240" w:lineRule="auto"/>
        <w:contextualSpacing/>
        <w:rPr>
          <w:szCs w:val="22"/>
        </w:rPr>
      </w:pPr>
    </w:p>
    <w:p w14:paraId="00A61E1D" w14:textId="77777777" w:rsidR="004D3884" w:rsidRPr="007A17AE" w:rsidRDefault="004D3884" w:rsidP="007A17AE">
      <w:pPr>
        <w:spacing w:line="240" w:lineRule="auto"/>
        <w:contextualSpacing/>
        <w:rPr>
          <w:szCs w:val="22"/>
          <w:u w:val="single"/>
        </w:rPr>
      </w:pPr>
      <w:r w:rsidRPr="007A17AE">
        <w:rPr>
          <w:szCs w:val="22"/>
          <w:u w:val="single"/>
        </w:rPr>
        <w:t>Nepageidaujamų reakcijų santrauka lentelėje</w:t>
      </w:r>
    </w:p>
    <w:p w14:paraId="7FDDE51F" w14:textId="77777777" w:rsidR="004D3884" w:rsidRPr="007A17AE" w:rsidRDefault="004D3884" w:rsidP="007A17AE">
      <w:pPr>
        <w:spacing w:line="240" w:lineRule="auto"/>
        <w:contextualSpacing/>
        <w:rPr>
          <w:szCs w:val="22"/>
        </w:rPr>
      </w:pPr>
      <w:r w:rsidRPr="007A17AE">
        <w:rPr>
          <w:szCs w:val="22"/>
        </w:rPr>
        <w:t>Toliau išvardytos tiek LECh, tiek VECh klinikinių tyrimų sudėtinės analizės metu pastebėtos nepageidaujamos reakcijos, kurios aprepitantu gydytiems suaugusiesiems ar vaikams pastebėtos dažniau negu taikant standartinį gydymą, arba pastebėtos po vaistinio preparato patekimo į rinką. Lentelėje pateiktos dažnio kategorijos yra pagrįstos suaugusiųjų tyrimų duomenimis; vaikų tyrimų metu nustatyti tokie patys arba mažesni dažniai, išskyrus šioje lentelėje nurodytus atvejus. Kai kurių retesnių NRV</w:t>
      </w:r>
      <w:r w:rsidR="00AC7E6D" w:rsidRPr="007A17AE">
        <w:rPr>
          <w:szCs w:val="22"/>
        </w:rPr>
        <w:t xml:space="preserve"> suaugusiųjų populiacijoje</w:t>
      </w:r>
      <w:r w:rsidRPr="007A17AE">
        <w:rPr>
          <w:szCs w:val="22"/>
        </w:rPr>
        <w:t xml:space="preserve"> </w:t>
      </w:r>
      <w:r w:rsidR="00AC7E6D" w:rsidRPr="007A17AE">
        <w:rPr>
          <w:szCs w:val="22"/>
        </w:rPr>
        <w:t>pediatrinių tyrimų metu nepastebėta</w:t>
      </w:r>
      <w:r w:rsidRPr="007A17AE">
        <w:rPr>
          <w:szCs w:val="22"/>
        </w:rPr>
        <w:t>.</w:t>
      </w:r>
    </w:p>
    <w:p w14:paraId="7EABC501" w14:textId="77777777" w:rsidR="00AC7E6D" w:rsidRPr="007A17AE" w:rsidRDefault="00AC7E6D" w:rsidP="007A17AE">
      <w:pPr>
        <w:spacing w:line="240" w:lineRule="auto"/>
        <w:contextualSpacing/>
        <w:rPr>
          <w:szCs w:val="22"/>
        </w:rPr>
      </w:pPr>
    </w:p>
    <w:p w14:paraId="1EB1AE94" w14:textId="77777777" w:rsidR="00AC068A" w:rsidRDefault="00AC7E6D" w:rsidP="007A17AE">
      <w:pPr>
        <w:spacing w:line="240" w:lineRule="auto"/>
        <w:contextualSpacing/>
        <w:rPr>
          <w:szCs w:val="22"/>
        </w:rPr>
      </w:pPr>
      <w:r w:rsidRPr="007A17AE">
        <w:rPr>
          <w:szCs w:val="22"/>
        </w:rPr>
        <w:t>Nepageidaujamo poveikio dažnis apibūdinamas taip: labai dažnas (≥</w:t>
      </w:r>
      <w:r w:rsidR="00C1636F">
        <w:rPr>
          <w:szCs w:val="22"/>
        </w:rPr>
        <w:t> </w:t>
      </w:r>
      <w:r w:rsidRPr="007A17AE">
        <w:rPr>
          <w:szCs w:val="22"/>
        </w:rPr>
        <w:t>1/10), dažnas (nuo ≥</w:t>
      </w:r>
      <w:r w:rsidR="00C1636F">
        <w:rPr>
          <w:szCs w:val="22"/>
        </w:rPr>
        <w:t> </w:t>
      </w:r>
      <w:r w:rsidRPr="007A17AE">
        <w:rPr>
          <w:szCs w:val="22"/>
        </w:rPr>
        <w:t>1/100 iki &lt;</w:t>
      </w:r>
      <w:r w:rsidR="00C1636F">
        <w:rPr>
          <w:szCs w:val="22"/>
        </w:rPr>
        <w:t> </w:t>
      </w:r>
      <w:r w:rsidRPr="007A17AE">
        <w:rPr>
          <w:szCs w:val="22"/>
        </w:rPr>
        <w:t>1/10), nedažnas (nuo ≥</w:t>
      </w:r>
      <w:r w:rsidR="00C1636F">
        <w:rPr>
          <w:szCs w:val="22"/>
        </w:rPr>
        <w:t> </w:t>
      </w:r>
      <w:r w:rsidRPr="007A17AE">
        <w:rPr>
          <w:szCs w:val="22"/>
        </w:rPr>
        <w:t>1/1000 iki &lt;</w:t>
      </w:r>
      <w:r w:rsidR="00C1636F">
        <w:rPr>
          <w:szCs w:val="22"/>
        </w:rPr>
        <w:t> </w:t>
      </w:r>
      <w:r w:rsidRPr="007A17AE">
        <w:rPr>
          <w:szCs w:val="22"/>
        </w:rPr>
        <w:t>1/100), retas (nuo ≥</w:t>
      </w:r>
      <w:r w:rsidR="00C1636F">
        <w:rPr>
          <w:szCs w:val="22"/>
        </w:rPr>
        <w:t> </w:t>
      </w:r>
      <w:r w:rsidRPr="007A17AE">
        <w:rPr>
          <w:szCs w:val="22"/>
        </w:rPr>
        <w:t>1/10</w:t>
      </w:r>
      <w:r w:rsidR="00AC068A">
        <w:rPr>
          <w:szCs w:val="22"/>
        </w:rPr>
        <w:t xml:space="preserve"> </w:t>
      </w:r>
      <w:r w:rsidRPr="007A17AE">
        <w:rPr>
          <w:szCs w:val="22"/>
        </w:rPr>
        <w:t>000 iki &lt;</w:t>
      </w:r>
      <w:r w:rsidR="00C1636F">
        <w:rPr>
          <w:szCs w:val="22"/>
        </w:rPr>
        <w:t> </w:t>
      </w:r>
      <w:r w:rsidRPr="007A17AE">
        <w:rPr>
          <w:szCs w:val="22"/>
        </w:rPr>
        <w:t xml:space="preserve">1/1000), </w:t>
      </w:r>
    </w:p>
    <w:p w14:paraId="218316F2" w14:textId="77777777" w:rsidR="00AC7E6D" w:rsidRPr="007A17AE" w:rsidRDefault="00AC7E6D" w:rsidP="007A17AE">
      <w:pPr>
        <w:spacing w:line="240" w:lineRule="auto"/>
        <w:contextualSpacing/>
        <w:rPr>
          <w:szCs w:val="22"/>
        </w:rPr>
      </w:pPr>
      <w:r w:rsidRPr="007A17AE">
        <w:rPr>
          <w:szCs w:val="22"/>
        </w:rPr>
        <w:t>labai retas (&lt;</w:t>
      </w:r>
      <w:r w:rsidR="00C1636F">
        <w:rPr>
          <w:szCs w:val="22"/>
        </w:rPr>
        <w:t> </w:t>
      </w:r>
      <w:r w:rsidRPr="007A17AE">
        <w:rPr>
          <w:szCs w:val="22"/>
        </w:rPr>
        <w:t>1/10</w:t>
      </w:r>
      <w:r w:rsidR="00AC068A">
        <w:rPr>
          <w:szCs w:val="22"/>
        </w:rPr>
        <w:t xml:space="preserve"> </w:t>
      </w:r>
      <w:r w:rsidRPr="007A17AE">
        <w:rPr>
          <w:szCs w:val="22"/>
        </w:rPr>
        <w:t>000) ir nežinomas (negali būti apskaičiuotas pagal turimus duomenis).</w:t>
      </w:r>
    </w:p>
    <w:p w14:paraId="3D13F7B7" w14:textId="77777777" w:rsidR="00B2549D" w:rsidRPr="007A17AE" w:rsidRDefault="00B2549D" w:rsidP="007A17AE">
      <w:pPr>
        <w:spacing w:line="240" w:lineRule="auto"/>
        <w:contextualSpacing/>
        <w:rPr>
          <w:szCs w:val="22"/>
        </w:rPr>
      </w:pPr>
    </w:p>
    <w:tbl>
      <w:tblPr>
        <w:tblW w:w="9288" w:type="dxa"/>
        <w:tblInd w:w="99" w:type="dxa"/>
        <w:tblLayout w:type="fixed"/>
        <w:tblCellMar>
          <w:left w:w="0" w:type="dxa"/>
          <w:right w:w="0" w:type="dxa"/>
        </w:tblCellMar>
        <w:tblLook w:val="01E0" w:firstRow="1" w:lastRow="1" w:firstColumn="1" w:lastColumn="1" w:noHBand="0" w:noVBand="0"/>
      </w:tblPr>
      <w:tblGrid>
        <w:gridCol w:w="3084"/>
        <w:gridCol w:w="4363"/>
        <w:gridCol w:w="1841"/>
      </w:tblGrid>
      <w:tr w:rsidR="00AC7E6D" w:rsidRPr="007A17AE" w14:paraId="1154F5DB" w14:textId="77777777" w:rsidTr="00DF71A6">
        <w:trPr>
          <w:trHeight w:hRule="exact" w:val="373"/>
        </w:trPr>
        <w:tc>
          <w:tcPr>
            <w:tcW w:w="3084" w:type="dxa"/>
            <w:tcBorders>
              <w:top w:val="single" w:sz="4" w:space="0" w:color="000000"/>
              <w:left w:val="single" w:sz="4" w:space="0" w:color="000000"/>
              <w:bottom w:val="single" w:sz="4" w:space="0" w:color="000000"/>
              <w:right w:val="single" w:sz="4" w:space="0" w:color="000000"/>
            </w:tcBorders>
          </w:tcPr>
          <w:p w14:paraId="4212EAFE" w14:textId="77777777" w:rsidR="00AC7E6D" w:rsidRPr="007A17AE" w:rsidRDefault="00AC7E6D" w:rsidP="007A17AE">
            <w:pPr>
              <w:tabs>
                <w:tab w:val="clear" w:pos="567"/>
              </w:tabs>
              <w:spacing w:line="240" w:lineRule="auto"/>
              <w:contextualSpacing/>
              <w:jc w:val="center"/>
              <w:rPr>
                <w:szCs w:val="22"/>
                <w:lang w:eastAsia="en-GB"/>
              </w:rPr>
            </w:pPr>
            <w:r w:rsidRPr="007A17AE">
              <w:rPr>
                <w:szCs w:val="22"/>
                <w:lang w:eastAsia="en-GB"/>
              </w:rPr>
              <w:t>Organų sistemų klasė</w:t>
            </w:r>
          </w:p>
        </w:tc>
        <w:tc>
          <w:tcPr>
            <w:tcW w:w="4363" w:type="dxa"/>
            <w:tcBorders>
              <w:top w:val="single" w:sz="4" w:space="0" w:color="000000"/>
              <w:left w:val="single" w:sz="4" w:space="0" w:color="000000"/>
              <w:bottom w:val="single" w:sz="4" w:space="0" w:color="000000"/>
              <w:right w:val="single" w:sz="4" w:space="0" w:color="000000"/>
            </w:tcBorders>
          </w:tcPr>
          <w:p w14:paraId="6ACDDEFF" w14:textId="77777777" w:rsidR="00AC7E6D" w:rsidRPr="007A17AE" w:rsidRDefault="00AC7E6D" w:rsidP="007A17AE">
            <w:pPr>
              <w:tabs>
                <w:tab w:val="clear" w:pos="567"/>
              </w:tabs>
              <w:spacing w:line="240" w:lineRule="auto"/>
              <w:contextualSpacing/>
              <w:rPr>
                <w:szCs w:val="22"/>
                <w:lang w:eastAsia="en-GB"/>
              </w:rPr>
            </w:pPr>
            <w:r w:rsidRPr="007A17AE">
              <w:rPr>
                <w:szCs w:val="22"/>
                <w:lang w:eastAsia="en-GB"/>
              </w:rPr>
              <w:t>Nepageidaujama reakcija</w:t>
            </w:r>
          </w:p>
        </w:tc>
        <w:tc>
          <w:tcPr>
            <w:tcW w:w="1841" w:type="dxa"/>
            <w:tcBorders>
              <w:top w:val="single" w:sz="4" w:space="0" w:color="000000"/>
              <w:left w:val="single" w:sz="4" w:space="0" w:color="000000"/>
              <w:bottom w:val="single" w:sz="4" w:space="0" w:color="000000"/>
              <w:right w:val="single" w:sz="4" w:space="0" w:color="000000"/>
            </w:tcBorders>
          </w:tcPr>
          <w:p w14:paraId="76F0DCD6" w14:textId="77777777" w:rsidR="00AC7E6D" w:rsidRPr="007A17AE" w:rsidRDefault="00AC7E6D" w:rsidP="007A17AE">
            <w:pPr>
              <w:tabs>
                <w:tab w:val="clear" w:pos="567"/>
              </w:tabs>
              <w:spacing w:line="240" w:lineRule="auto"/>
              <w:contextualSpacing/>
              <w:jc w:val="center"/>
              <w:rPr>
                <w:szCs w:val="22"/>
                <w:lang w:eastAsia="en-GB"/>
              </w:rPr>
            </w:pPr>
            <w:r w:rsidRPr="007A17AE">
              <w:rPr>
                <w:szCs w:val="22"/>
                <w:lang w:eastAsia="en-GB"/>
              </w:rPr>
              <w:t>Dažnis</w:t>
            </w:r>
          </w:p>
        </w:tc>
      </w:tr>
      <w:tr w:rsidR="00AC7E6D" w:rsidRPr="007A17AE" w14:paraId="1795739F" w14:textId="77777777" w:rsidTr="00DF71A6">
        <w:trPr>
          <w:trHeight w:hRule="exact" w:val="264"/>
        </w:trPr>
        <w:tc>
          <w:tcPr>
            <w:tcW w:w="3084" w:type="dxa"/>
            <w:tcBorders>
              <w:top w:val="single" w:sz="4" w:space="0" w:color="000000"/>
              <w:left w:val="single" w:sz="4" w:space="0" w:color="000000"/>
              <w:bottom w:val="single" w:sz="4" w:space="0" w:color="000000"/>
              <w:right w:val="single" w:sz="4" w:space="0" w:color="000000"/>
            </w:tcBorders>
          </w:tcPr>
          <w:p w14:paraId="03688CA2" w14:textId="77777777" w:rsidR="00AC7E6D" w:rsidRPr="007A17AE" w:rsidRDefault="00AC7E6D" w:rsidP="007A17AE">
            <w:pPr>
              <w:tabs>
                <w:tab w:val="clear" w:pos="567"/>
              </w:tabs>
              <w:spacing w:line="240" w:lineRule="auto"/>
              <w:ind w:left="113"/>
              <w:contextualSpacing/>
              <w:rPr>
                <w:szCs w:val="22"/>
                <w:lang w:eastAsia="en-GB"/>
              </w:rPr>
            </w:pPr>
            <w:r w:rsidRPr="007A17AE">
              <w:rPr>
                <w:szCs w:val="22"/>
                <w:lang w:eastAsia="en-GB"/>
              </w:rPr>
              <w:t>Infekcijos ir infestacijos</w:t>
            </w:r>
          </w:p>
        </w:tc>
        <w:tc>
          <w:tcPr>
            <w:tcW w:w="4363" w:type="dxa"/>
            <w:tcBorders>
              <w:top w:val="single" w:sz="4" w:space="0" w:color="000000"/>
              <w:left w:val="single" w:sz="4" w:space="0" w:color="000000"/>
              <w:bottom w:val="single" w:sz="4" w:space="0" w:color="000000"/>
              <w:right w:val="single" w:sz="4" w:space="0" w:color="000000"/>
            </w:tcBorders>
          </w:tcPr>
          <w:p w14:paraId="5CE7CD8F" w14:textId="77777777" w:rsidR="00AC7E6D" w:rsidRPr="007A17AE" w:rsidRDefault="003D6098" w:rsidP="007A17AE">
            <w:pPr>
              <w:tabs>
                <w:tab w:val="clear" w:pos="567"/>
              </w:tabs>
              <w:spacing w:line="240" w:lineRule="auto"/>
              <w:ind w:left="113"/>
              <w:contextualSpacing/>
              <w:rPr>
                <w:szCs w:val="22"/>
                <w:lang w:eastAsia="en-GB"/>
              </w:rPr>
            </w:pPr>
            <w:r w:rsidRPr="007A17AE">
              <w:rPr>
                <w:szCs w:val="22"/>
                <w:lang w:eastAsia="en-GB"/>
              </w:rPr>
              <w:t>k</w:t>
            </w:r>
            <w:r w:rsidR="00AC7E6D" w:rsidRPr="007A17AE">
              <w:rPr>
                <w:szCs w:val="22"/>
                <w:lang w:eastAsia="en-GB"/>
              </w:rPr>
              <w:t>andidozė, stafilokokinė infekcija</w:t>
            </w:r>
          </w:p>
        </w:tc>
        <w:tc>
          <w:tcPr>
            <w:tcW w:w="1841" w:type="dxa"/>
            <w:tcBorders>
              <w:top w:val="single" w:sz="4" w:space="0" w:color="000000"/>
              <w:left w:val="single" w:sz="4" w:space="0" w:color="000000"/>
              <w:bottom w:val="single" w:sz="4" w:space="0" w:color="000000"/>
              <w:right w:val="single" w:sz="4" w:space="0" w:color="000000"/>
            </w:tcBorders>
          </w:tcPr>
          <w:p w14:paraId="43C5D552" w14:textId="77777777" w:rsidR="00AC7E6D" w:rsidRPr="007A17AE" w:rsidRDefault="00AC7E6D" w:rsidP="007A17AE">
            <w:pPr>
              <w:tabs>
                <w:tab w:val="clear" w:pos="567"/>
              </w:tabs>
              <w:spacing w:line="240" w:lineRule="auto"/>
              <w:contextualSpacing/>
              <w:jc w:val="center"/>
              <w:rPr>
                <w:szCs w:val="22"/>
                <w:lang w:eastAsia="en-GB"/>
              </w:rPr>
            </w:pPr>
            <w:r w:rsidRPr="007A17AE">
              <w:rPr>
                <w:szCs w:val="22"/>
                <w:lang w:eastAsia="en-GB"/>
              </w:rPr>
              <w:t>retas</w:t>
            </w:r>
          </w:p>
        </w:tc>
      </w:tr>
      <w:tr w:rsidR="00AC7E6D" w:rsidRPr="007A17AE" w14:paraId="25C36461" w14:textId="77777777" w:rsidTr="00DF71A6">
        <w:trPr>
          <w:trHeight w:hRule="exact" w:val="516"/>
        </w:trPr>
        <w:tc>
          <w:tcPr>
            <w:tcW w:w="3084" w:type="dxa"/>
            <w:tcBorders>
              <w:top w:val="single" w:sz="4" w:space="0" w:color="000000"/>
              <w:left w:val="single" w:sz="4" w:space="0" w:color="000000"/>
              <w:bottom w:val="single" w:sz="4" w:space="0" w:color="000000"/>
              <w:right w:val="single" w:sz="4" w:space="0" w:color="000000"/>
            </w:tcBorders>
          </w:tcPr>
          <w:p w14:paraId="5B816384" w14:textId="77777777" w:rsidR="00AC7E6D" w:rsidRPr="007A17AE" w:rsidRDefault="00AC7E6D" w:rsidP="007A17AE">
            <w:pPr>
              <w:tabs>
                <w:tab w:val="clear" w:pos="567"/>
              </w:tabs>
              <w:spacing w:line="240" w:lineRule="auto"/>
              <w:ind w:left="113"/>
              <w:contextualSpacing/>
              <w:rPr>
                <w:szCs w:val="22"/>
                <w:lang w:eastAsia="en-GB"/>
              </w:rPr>
            </w:pPr>
            <w:r w:rsidRPr="007A17AE">
              <w:rPr>
                <w:szCs w:val="22"/>
                <w:lang w:eastAsia="en-GB"/>
              </w:rPr>
              <w:t>Kraujo ir limfinės sistemos</w:t>
            </w:r>
            <w:r w:rsidR="00C1636F">
              <w:rPr>
                <w:szCs w:val="22"/>
                <w:lang w:eastAsia="en-GB"/>
              </w:rPr>
              <w:t xml:space="preserve"> </w:t>
            </w:r>
            <w:r w:rsidRPr="007A17AE">
              <w:rPr>
                <w:szCs w:val="22"/>
                <w:lang w:eastAsia="en-GB"/>
              </w:rPr>
              <w:t>sutrikimai</w:t>
            </w:r>
          </w:p>
        </w:tc>
        <w:tc>
          <w:tcPr>
            <w:tcW w:w="4363" w:type="dxa"/>
            <w:tcBorders>
              <w:top w:val="single" w:sz="4" w:space="0" w:color="000000"/>
              <w:left w:val="single" w:sz="4" w:space="0" w:color="000000"/>
              <w:bottom w:val="single" w:sz="4" w:space="0" w:color="000000"/>
              <w:right w:val="single" w:sz="4" w:space="0" w:color="000000"/>
            </w:tcBorders>
          </w:tcPr>
          <w:p w14:paraId="0DD3A71B" w14:textId="77777777" w:rsidR="00AC7E6D" w:rsidRPr="007A17AE" w:rsidRDefault="003D6098" w:rsidP="007A17AE">
            <w:pPr>
              <w:tabs>
                <w:tab w:val="clear" w:pos="567"/>
              </w:tabs>
              <w:spacing w:line="240" w:lineRule="auto"/>
              <w:ind w:left="113"/>
              <w:contextualSpacing/>
              <w:rPr>
                <w:szCs w:val="22"/>
                <w:lang w:eastAsia="en-GB"/>
              </w:rPr>
            </w:pPr>
            <w:r w:rsidRPr="007A17AE">
              <w:rPr>
                <w:szCs w:val="22"/>
                <w:lang w:eastAsia="en-GB"/>
              </w:rPr>
              <w:t>f</w:t>
            </w:r>
            <w:r w:rsidR="00AC7E6D" w:rsidRPr="007A17AE">
              <w:rPr>
                <w:szCs w:val="22"/>
                <w:lang w:eastAsia="en-GB"/>
              </w:rPr>
              <w:t>ebrilinė neutropenija, anemija</w:t>
            </w:r>
          </w:p>
        </w:tc>
        <w:tc>
          <w:tcPr>
            <w:tcW w:w="1841" w:type="dxa"/>
            <w:tcBorders>
              <w:top w:val="single" w:sz="4" w:space="0" w:color="000000"/>
              <w:left w:val="single" w:sz="4" w:space="0" w:color="000000"/>
              <w:bottom w:val="single" w:sz="4" w:space="0" w:color="000000"/>
              <w:right w:val="single" w:sz="4" w:space="0" w:color="000000"/>
            </w:tcBorders>
          </w:tcPr>
          <w:p w14:paraId="0BBE7CB8" w14:textId="77777777" w:rsidR="00AC7E6D" w:rsidRPr="007A17AE" w:rsidRDefault="00AC7E6D" w:rsidP="007A17AE">
            <w:pPr>
              <w:tabs>
                <w:tab w:val="clear" w:pos="567"/>
              </w:tabs>
              <w:spacing w:line="240" w:lineRule="auto"/>
              <w:contextualSpacing/>
              <w:jc w:val="center"/>
              <w:rPr>
                <w:szCs w:val="22"/>
                <w:lang w:eastAsia="en-GB"/>
              </w:rPr>
            </w:pPr>
            <w:r w:rsidRPr="007A17AE">
              <w:rPr>
                <w:spacing w:val="-1"/>
                <w:szCs w:val="22"/>
                <w:lang w:eastAsia="en-GB"/>
              </w:rPr>
              <w:t>nedažnas</w:t>
            </w:r>
          </w:p>
        </w:tc>
      </w:tr>
      <w:tr w:rsidR="00AC7E6D" w:rsidRPr="007A17AE" w14:paraId="6B944192" w14:textId="77777777" w:rsidTr="00DF71A6">
        <w:trPr>
          <w:trHeight w:hRule="exact" w:val="516"/>
        </w:trPr>
        <w:tc>
          <w:tcPr>
            <w:tcW w:w="3084" w:type="dxa"/>
            <w:tcBorders>
              <w:top w:val="single" w:sz="4" w:space="0" w:color="000000"/>
              <w:left w:val="single" w:sz="4" w:space="0" w:color="000000"/>
              <w:bottom w:val="single" w:sz="4" w:space="0" w:color="000000"/>
              <w:right w:val="single" w:sz="4" w:space="0" w:color="000000"/>
            </w:tcBorders>
          </w:tcPr>
          <w:p w14:paraId="53EEA64B" w14:textId="77777777" w:rsidR="00AC7E6D" w:rsidRPr="007A17AE" w:rsidRDefault="00AC7E6D" w:rsidP="007A17AE">
            <w:pPr>
              <w:tabs>
                <w:tab w:val="clear" w:pos="567"/>
              </w:tabs>
              <w:spacing w:line="240" w:lineRule="auto"/>
              <w:ind w:left="113"/>
              <w:contextualSpacing/>
              <w:rPr>
                <w:szCs w:val="22"/>
                <w:lang w:eastAsia="en-GB"/>
              </w:rPr>
            </w:pPr>
            <w:r w:rsidRPr="007A17AE">
              <w:rPr>
                <w:szCs w:val="22"/>
                <w:lang w:eastAsia="en-GB"/>
              </w:rPr>
              <w:t>Imuninės sistemos sutrikimai</w:t>
            </w:r>
          </w:p>
        </w:tc>
        <w:tc>
          <w:tcPr>
            <w:tcW w:w="4363" w:type="dxa"/>
            <w:tcBorders>
              <w:top w:val="single" w:sz="4" w:space="0" w:color="000000"/>
              <w:left w:val="single" w:sz="4" w:space="0" w:color="000000"/>
              <w:bottom w:val="single" w:sz="4" w:space="0" w:color="000000"/>
              <w:right w:val="single" w:sz="4" w:space="0" w:color="000000"/>
            </w:tcBorders>
          </w:tcPr>
          <w:p w14:paraId="056E68E9" w14:textId="77777777" w:rsidR="00AC7E6D" w:rsidRPr="007A17AE" w:rsidRDefault="003D6098" w:rsidP="007A17AE">
            <w:pPr>
              <w:tabs>
                <w:tab w:val="clear" w:pos="567"/>
              </w:tabs>
              <w:spacing w:line="240" w:lineRule="auto"/>
              <w:ind w:left="113"/>
              <w:contextualSpacing/>
              <w:rPr>
                <w:szCs w:val="22"/>
                <w:lang w:eastAsia="en-GB"/>
              </w:rPr>
            </w:pPr>
            <w:r w:rsidRPr="007A17AE">
              <w:rPr>
                <w:szCs w:val="22"/>
                <w:lang w:eastAsia="en-GB"/>
              </w:rPr>
              <w:t>p</w:t>
            </w:r>
            <w:r w:rsidR="00AC7E6D" w:rsidRPr="007A17AE">
              <w:rPr>
                <w:szCs w:val="22"/>
                <w:lang w:eastAsia="en-GB"/>
              </w:rPr>
              <w:t>adidėjusio jautrumo reakcijos, įskaitant anafilaksijos reakcijas</w:t>
            </w:r>
          </w:p>
        </w:tc>
        <w:tc>
          <w:tcPr>
            <w:tcW w:w="1841" w:type="dxa"/>
            <w:tcBorders>
              <w:top w:val="single" w:sz="4" w:space="0" w:color="000000"/>
              <w:left w:val="single" w:sz="4" w:space="0" w:color="000000"/>
              <w:bottom w:val="single" w:sz="4" w:space="0" w:color="000000"/>
              <w:right w:val="single" w:sz="4" w:space="0" w:color="000000"/>
            </w:tcBorders>
          </w:tcPr>
          <w:p w14:paraId="77BB6811" w14:textId="77777777" w:rsidR="00AC7E6D" w:rsidRPr="007A17AE" w:rsidRDefault="00AC7E6D" w:rsidP="007A17AE">
            <w:pPr>
              <w:tabs>
                <w:tab w:val="clear" w:pos="567"/>
              </w:tabs>
              <w:spacing w:line="240" w:lineRule="auto"/>
              <w:contextualSpacing/>
              <w:jc w:val="center"/>
              <w:rPr>
                <w:szCs w:val="22"/>
                <w:lang w:eastAsia="en-GB"/>
              </w:rPr>
            </w:pPr>
            <w:r w:rsidRPr="007A17AE">
              <w:rPr>
                <w:szCs w:val="22"/>
                <w:lang w:eastAsia="en-GB"/>
              </w:rPr>
              <w:t>nežinomas</w:t>
            </w:r>
          </w:p>
        </w:tc>
      </w:tr>
      <w:tr w:rsidR="00AC7E6D" w:rsidRPr="007A17AE" w14:paraId="65937929" w14:textId="77777777" w:rsidTr="00DF71A6">
        <w:trPr>
          <w:trHeight w:hRule="exact" w:val="389"/>
        </w:trPr>
        <w:tc>
          <w:tcPr>
            <w:tcW w:w="3084" w:type="dxa"/>
            <w:vMerge w:val="restart"/>
            <w:tcBorders>
              <w:top w:val="single" w:sz="4" w:space="0" w:color="000000"/>
              <w:left w:val="single" w:sz="4" w:space="0" w:color="000000"/>
              <w:right w:val="single" w:sz="4" w:space="0" w:color="000000"/>
            </w:tcBorders>
          </w:tcPr>
          <w:p w14:paraId="31A45F5F" w14:textId="77777777" w:rsidR="00AC7E6D" w:rsidRPr="007A17AE" w:rsidRDefault="00AC7E6D" w:rsidP="007A17AE">
            <w:pPr>
              <w:tabs>
                <w:tab w:val="clear" w:pos="567"/>
              </w:tabs>
              <w:spacing w:line="240" w:lineRule="auto"/>
              <w:ind w:left="113"/>
              <w:contextualSpacing/>
              <w:rPr>
                <w:szCs w:val="22"/>
                <w:lang w:eastAsia="en-GB"/>
              </w:rPr>
            </w:pPr>
            <w:r w:rsidRPr="007A17AE">
              <w:rPr>
                <w:szCs w:val="22"/>
                <w:lang w:eastAsia="en-GB"/>
              </w:rPr>
              <w:t>Metabolizmo ir mitybos sutrikimai</w:t>
            </w:r>
          </w:p>
        </w:tc>
        <w:tc>
          <w:tcPr>
            <w:tcW w:w="4363" w:type="dxa"/>
            <w:tcBorders>
              <w:top w:val="single" w:sz="4" w:space="0" w:color="000000"/>
              <w:left w:val="single" w:sz="4" w:space="0" w:color="000000"/>
              <w:bottom w:val="single" w:sz="4" w:space="0" w:color="000000"/>
              <w:right w:val="single" w:sz="4" w:space="0" w:color="000000"/>
            </w:tcBorders>
          </w:tcPr>
          <w:p w14:paraId="09EB978E" w14:textId="77777777" w:rsidR="00AC7E6D" w:rsidRPr="007A17AE" w:rsidRDefault="00AC7E6D" w:rsidP="007A17AE">
            <w:pPr>
              <w:tabs>
                <w:tab w:val="clear" w:pos="567"/>
              </w:tabs>
              <w:spacing w:line="240" w:lineRule="auto"/>
              <w:ind w:left="113"/>
              <w:contextualSpacing/>
              <w:rPr>
                <w:szCs w:val="22"/>
                <w:lang w:eastAsia="en-GB"/>
              </w:rPr>
            </w:pPr>
            <w:r w:rsidRPr="007A17AE">
              <w:rPr>
                <w:szCs w:val="22"/>
                <w:lang w:eastAsia="en-GB"/>
              </w:rPr>
              <w:t>sumažėjęs apetitas</w:t>
            </w:r>
          </w:p>
        </w:tc>
        <w:tc>
          <w:tcPr>
            <w:tcW w:w="1841" w:type="dxa"/>
            <w:tcBorders>
              <w:top w:val="single" w:sz="4" w:space="0" w:color="000000"/>
              <w:left w:val="single" w:sz="4" w:space="0" w:color="000000"/>
              <w:bottom w:val="single" w:sz="4" w:space="0" w:color="000000"/>
              <w:right w:val="single" w:sz="4" w:space="0" w:color="000000"/>
            </w:tcBorders>
          </w:tcPr>
          <w:p w14:paraId="2E21E679" w14:textId="77777777" w:rsidR="00AC7E6D" w:rsidRPr="007A17AE" w:rsidRDefault="00AC7E6D" w:rsidP="007A17AE">
            <w:pPr>
              <w:tabs>
                <w:tab w:val="clear" w:pos="567"/>
              </w:tabs>
              <w:spacing w:line="240" w:lineRule="auto"/>
              <w:contextualSpacing/>
              <w:jc w:val="center"/>
              <w:rPr>
                <w:szCs w:val="22"/>
                <w:lang w:eastAsia="en-GB"/>
              </w:rPr>
            </w:pPr>
            <w:r w:rsidRPr="007A17AE">
              <w:rPr>
                <w:spacing w:val="-1"/>
                <w:szCs w:val="22"/>
                <w:lang w:eastAsia="en-GB"/>
              </w:rPr>
              <w:t>dažnas</w:t>
            </w:r>
          </w:p>
        </w:tc>
      </w:tr>
      <w:tr w:rsidR="00AC7E6D" w:rsidRPr="007A17AE" w14:paraId="6A3E1E53" w14:textId="77777777" w:rsidTr="00DF71A6">
        <w:trPr>
          <w:trHeight w:hRule="exact" w:val="391"/>
        </w:trPr>
        <w:tc>
          <w:tcPr>
            <w:tcW w:w="3084" w:type="dxa"/>
            <w:vMerge/>
            <w:tcBorders>
              <w:left w:val="single" w:sz="4" w:space="0" w:color="000000"/>
              <w:bottom w:val="single" w:sz="4" w:space="0" w:color="000000"/>
              <w:right w:val="single" w:sz="4" w:space="0" w:color="000000"/>
            </w:tcBorders>
          </w:tcPr>
          <w:p w14:paraId="659C057D" w14:textId="77777777" w:rsidR="00AC7E6D" w:rsidRPr="007A17AE" w:rsidRDefault="00AC7E6D" w:rsidP="007A17AE">
            <w:pPr>
              <w:tabs>
                <w:tab w:val="clear" w:pos="567"/>
              </w:tabs>
              <w:spacing w:line="240" w:lineRule="auto"/>
              <w:ind w:left="113"/>
              <w:contextualSpacing/>
              <w:rPr>
                <w:szCs w:val="22"/>
                <w:lang w:eastAsia="en-GB"/>
              </w:rPr>
            </w:pPr>
          </w:p>
        </w:tc>
        <w:tc>
          <w:tcPr>
            <w:tcW w:w="4363" w:type="dxa"/>
            <w:tcBorders>
              <w:top w:val="single" w:sz="4" w:space="0" w:color="000000"/>
              <w:left w:val="single" w:sz="4" w:space="0" w:color="000000"/>
              <w:bottom w:val="single" w:sz="4" w:space="0" w:color="000000"/>
              <w:right w:val="single" w:sz="4" w:space="0" w:color="000000"/>
            </w:tcBorders>
          </w:tcPr>
          <w:p w14:paraId="2D8B8652" w14:textId="77777777" w:rsidR="00AC7E6D" w:rsidRPr="007A17AE" w:rsidRDefault="00AC7E6D" w:rsidP="007A17AE">
            <w:pPr>
              <w:tabs>
                <w:tab w:val="clear" w:pos="567"/>
              </w:tabs>
              <w:spacing w:line="240" w:lineRule="auto"/>
              <w:ind w:left="113"/>
              <w:contextualSpacing/>
              <w:rPr>
                <w:szCs w:val="22"/>
                <w:lang w:eastAsia="en-GB"/>
              </w:rPr>
            </w:pPr>
            <w:r w:rsidRPr="007A17AE">
              <w:rPr>
                <w:szCs w:val="22"/>
                <w:lang w:eastAsia="en-GB"/>
              </w:rPr>
              <w:t>troškulys</w:t>
            </w:r>
          </w:p>
        </w:tc>
        <w:tc>
          <w:tcPr>
            <w:tcW w:w="1841" w:type="dxa"/>
            <w:tcBorders>
              <w:top w:val="single" w:sz="4" w:space="0" w:color="000000"/>
              <w:left w:val="single" w:sz="4" w:space="0" w:color="000000"/>
              <w:bottom w:val="single" w:sz="4" w:space="0" w:color="000000"/>
              <w:right w:val="single" w:sz="4" w:space="0" w:color="000000"/>
            </w:tcBorders>
          </w:tcPr>
          <w:p w14:paraId="5CACBF92" w14:textId="77777777" w:rsidR="00AC7E6D" w:rsidRPr="007A17AE" w:rsidRDefault="00AC7E6D" w:rsidP="007A17AE">
            <w:pPr>
              <w:tabs>
                <w:tab w:val="clear" w:pos="567"/>
              </w:tabs>
              <w:spacing w:line="240" w:lineRule="auto"/>
              <w:contextualSpacing/>
              <w:jc w:val="center"/>
              <w:rPr>
                <w:szCs w:val="22"/>
                <w:lang w:eastAsia="en-GB"/>
              </w:rPr>
            </w:pPr>
            <w:r w:rsidRPr="007A17AE">
              <w:rPr>
                <w:szCs w:val="22"/>
                <w:lang w:eastAsia="en-GB"/>
              </w:rPr>
              <w:t>retas</w:t>
            </w:r>
          </w:p>
        </w:tc>
      </w:tr>
      <w:tr w:rsidR="00DF71A6" w:rsidRPr="007A17AE" w14:paraId="47782679" w14:textId="77777777" w:rsidTr="00DF71A6">
        <w:trPr>
          <w:trHeight w:hRule="exact" w:val="391"/>
        </w:trPr>
        <w:tc>
          <w:tcPr>
            <w:tcW w:w="3084" w:type="dxa"/>
            <w:vMerge w:val="restart"/>
            <w:tcBorders>
              <w:top w:val="single" w:sz="4" w:space="0" w:color="000000"/>
              <w:left w:val="single" w:sz="4" w:space="0" w:color="000000"/>
              <w:right w:val="single" w:sz="4" w:space="0" w:color="000000"/>
            </w:tcBorders>
          </w:tcPr>
          <w:p w14:paraId="6C1E51A2" w14:textId="77777777" w:rsidR="00DF71A6" w:rsidRPr="007A17AE" w:rsidRDefault="00DF71A6" w:rsidP="007A17AE">
            <w:pPr>
              <w:tabs>
                <w:tab w:val="clear" w:pos="567"/>
              </w:tabs>
              <w:spacing w:line="240" w:lineRule="auto"/>
              <w:ind w:left="113"/>
              <w:contextualSpacing/>
              <w:rPr>
                <w:szCs w:val="22"/>
                <w:lang w:eastAsia="en-GB"/>
              </w:rPr>
            </w:pPr>
            <w:r w:rsidRPr="007A17AE">
              <w:rPr>
                <w:szCs w:val="22"/>
                <w:lang w:eastAsia="en-GB"/>
              </w:rPr>
              <w:t>Psichikos sutrikimai</w:t>
            </w:r>
          </w:p>
        </w:tc>
        <w:tc>
          <w:tcPr>
            <w:tcW w:w="4363" w:type="dxa"/>
            <w:tcBorders>
              <w:top w:val="single" w:sz="4" w:space="0" w:color="000000"/>
              <w:left w:val="single" w:sz="4" w:space="0" w:color="000000"/>
              <w:bottom w:val="single" w:sz="4" w:space="0" w:color="000000"/>
              <w:right w:val="single" w:sz="4" w:space="0" w:color="000000"/>
            </w:tcBorders>
          </w:tcPr>
          <w:p w14:paraId="622E9AE0" w14:textId="77777777" w:rsidR="00DF71A6" w:rsidRPr="007A17AE" w:rsidRDefault="00DF71A6" w:rsidP="007A17AE">
            <w:pPr>
              <w:tabs>
                <w:tab w:val="clear" w:pos="567"/>
              </w:tabs>
              <w:spacing w:line="240" w:lineRule="auto"/>
              <w:ind w:left="113"/>
              <w:contextualSpacing/>
              <w:rPr>
                <w:szCs w:val="22"/>
                <w:lang w:eastAsia="en-GB"/>
              </w:rPr>
            </w:pPr>
            <w:r w:rsidRPr="007A17AE">
              <w:rPr>
                <w:szCs w:val="22"/>
                <w:lang w:eastAsia="en-GB"/>
              </w:rPr>
              <w:t>nerimas</w:t>
            </w:r>
          </w:p>
        </w:tc>
        <w:tc>
          <w:tcPr>
            <w:tcW w:w="1841" w:type="dxa"/>
            <w:tcBorders>
              <w:top w:val="single" w:sz="4" w:space="0" w:color="000000"/>
              <w:left w:val="single" w:sz="4" w:space="0" w:color="000000"/>
              <w:bottom w:val="single" w:sz="4" w:space="0" w:color="000000"/>
              <w:right w:val="single" w:sz="4" w:space="0" w:color="000000"/>
            </w:tcBorders>
          </w:tcPr>
          <w:p w14:paraId="30F87A4A" w14:textId="77777777" w:rsidR="00DF71A6" w:rsidRPr="007A17AE" w:rsidRDefault="00DF71A6" w:rsidP="007A17AE">
            <w:pPr>
              <w:tabs>
                <w:tab w:val="clear" w:pos="567"/>
              </w:tabs>
              <w:spacing w:line="240" w:lineRule="auto"/>
              <w:ind w:left="113"/>
              <w:contextualSpacing/>
              <w:jc w:val="center"/>
              <w:rPr>
                <w:szCs w:val="22"/>
                <w:lang w:eastAsia="en-GB"/>
              </w:rPr>
            </w:pPr>
            <w:r w:rsidRPr="007A17AE">
              <w:rPr>
                <w:spacing w:val="-1"/>
                <w:szCs w:val="22"/>
                <w:lang w:eastAsia="en-GB"/>
              </w:rPr>
              <w:t>nedažnas</w:t>
            </w:r>
          </w:p>
        </w:tc>
      </w:tr>
      <w:tr w:rsidR="00DF71A6" w:rsidRPr="007A17AE" w14:paraId="251E0CA0" w14:textId="77777777" w:rsidTr="00DF71A6">
        <w:trPr>
          <w:trHeight w:hRule="exact" w:val="389"/>
        </w:trPr>
        <w:tc>
          <w:tcPr>
            <w:tcW w:w="3084" w:type="dxa"/>
            <w:vMerge/>
            <w:tcBorders>
              <w:left w:val="single" w:sz="4" w:space="0" w:color="000000"/>
              <w:bottom w:val="single" w:sz="4" w:space="0" w:color="000000"/>
              <w:right w:val="single" w:sz="4" w:space="0" w:color="000000"/>
            </w:tcBorders>
          </w:tcPr>
          <w:p w14:paraId="6768D5A2" w14:textId="77777777" w:rsidR="00DF71A6" w:rsidRPr="007A17AE" w:rsidRDefault="00DF71A6" w:rsidP="007A17AE">
            <w:pPr>
              <w:tabs>
                <w:tab w:val="clear" w:pos="567"/>
              </w:tabs>
              <w:spacing w:line="240" w:lineRule="auto"/>
              <w:ind w:left="113"/>
              <w:contextualSpacing/>
              <w:rPr>
                <w:szCs w:val="22"/>
                <w:lang w:eastAsia="en-GB"/>
              </w:rPr>
            </w:pPr>
          </w:p>
        </w:tc>
        <w:tc>
          <w:tcPr>
            <w:tcW w:w="4363" w:type="dxa"/>
            <w:tcBorders>
              <w:top w:val="single" w:sz="4" w:space="0" w:color="000000"/>
              <w:left w:val="single" w:sz="4" w:space="0" w:color="000000"/>
              <w:bottom w:val="single" w:sz="4" w:space="0" w:color="000000"/>
              <w:right w:val="single" w:sz="4" w:space="0" w:color="000000"/>
            </w:tcBorders>
          </w:tcPr>
          <w:p w14:paraId="3BD89459" w14:textId="77777777" w:rsidR="00DF71A6" w:rsidRPr="007A17AE" w:rsidRDefault="00DF71A6" w:rsidP="007A17AE">
            <w:pPr>
              <w:tabs>
                <w:tab w:val="clear" w:pos="567"/>
              </w:tabs>
              <w:spacing w:line="240" w:lineRule="auto"/>
              <w:ind w:left="113"/>
              <w:contextualSpacing/>
              <w:rPr>
                <w:szCs w:val="22"/>
                <w:lang w:eastAsia="en-GB"/>
              </w:rPr>
            </w:pPr>
            <w:r w:rsidRPr="007A17AE">
              <w:rPr>
                <w:szCs w:val="22"/>
                <w:lang w:eastAsia="en-GB"/>
              </w:rPr>
              <w:t>sutrikusi orientacija, pakili nuotaika</w:t>
            </w:r>
          </w:p>
        </w:tc>
        <w:tc>
          <w:tcPr>
            <w:tcW w:w="1841" w:type="dxa"/>
            <w:tcBorders>
              <w:top w:val="single" w:sz="4" w:space="0" w:color="000000"/>
              <w:left w:val="single" w:sz="4" w:space="0" w:color="000000"/>
              <w:bottom w:val="single" w:sz="4" w:space="0" w:color="000000"/>
              <w:right w:val="single" w:sz="4" w:space="0" w:color="000000"/>
            </w:tcBorders>
          </w:tcPr>
          <w:p w14:paraId="7EBFF4C4" w14:textId="77777777" w:rsidR="00DF71A6" w:rsidRPr="007A17AE" w:rsidRDefault="00DF71A6" w:rsidP="007A17AE">
            <w:pPr>
              <w:tabs>
                <w:tab w:val="clear" w:pos="567"/>
              </w:tabs>
              <w:spacing w:line="240" w:lineRule="auto"/>
              <w:ind w:left="113"/>
              <w:contextualSpacing/>
              <w:jc w:val="center"/>
              <w:rPr>
                <w:szCs w:val="22"/>
                <w:lang w:eastAsia="en-GB"/>
              </w:rPr>
            </w:pPr>
            <w:r w:rsidRPr="007A17AE">
              <w:rPr>
                <w:szCs w:val="22"/>
                <w:lang w:eastAsia="en-GB"/>
              </w:rPr>
              <w:t>retas</w:t>
            </w:r>
          </w:p>
        </w:tc>
      </w:tr>
      <w:tr w:rsidR="00DF71A6" w:rsidRPr="007A17AE" w14:paraId="18140966" w14:textId="77777777" w:rsidTr="00715CD1">
        <w:trPr>
          <w:trHeight w:hRule="exact" w:val="397"/>
        </w:trPr>
        <w:tc>
          <w:tcPr>
            <w:tcW w:w="3084" w:type="dxa"/>
            <w:vMerge w:val="restart"/>
            <w:tcBorders>
              <w:top w:val="single" w:sz="4" w:space="0" w:color="000000"/>
              <w:left w:val="single" w:sz="4" w:space="0" w:color="000000"/>
              <w:right w:val="single" w:sz="4" w:space="0" w:color="000000"/>
            </w:tcBorders>
          </w:tcPr>
          <w:p w14:paraId="0CD70EB3" w14:textId="77777777" w:rsidR="00DF71A6" w:rsidRPr="007A17AE" w:rsidRDefault="00DF71A6" w:rsidP="007A17AE">
            <w:pPr>
              <w:tabs>
                <w:tab w:val="clear" w:pos="567"/>
              </w:tabs>
              <w:spacing w:line="240" w:lineRule="auto"/>
              <w:ind w:left="113"/>
              <w:contextualSpacing/>
              <w:rPr>
                <w:szCs w:val="22"/>
                <w:lang w:eastAsia="en-GB"/>
              </w:rPr>
            </w:pPr>
            <w:r w:rsidRPr="007A17AE">
              <w:rPr>
                <w:szCs w:val="22"/>
                <w:lang w:eastAsia="en-GB"/>
              </w:rPr>
              <w:t>Nervų sistemos sutrikimai</w:t>
            </w:r>
          </w:p>
        </w:tc>
        <w:tc>
          <w:tcPr>
            <w:tcW w:w="4363" w:type="dxa"/>
            <w:tcBorders>
              <w:top w:val="single" w:sz="4" w:space="0" w:color="000000"/>
              <w:left w:val="single" w:sz="4" w:space="0" w:color="000000"/>
              <w:bottom w:val="single" w:sz="4" w:space="0" w:color="000000"/>
              <w:right w:val="single" w:sz="4" w:space="0" w:color="000000"/>
            </w:tcBorders>
          </w:tcPr>
          <w:p w14:paraId="315BA1D3" w14:textId="77777777" w:rsidR="00DF71A6" w:rsidRPr="007A17AE" w:rsidRDefault="00DF71A6" w:rsidP="007A17AE">
            <w:pPr>
              <w:tabs>
                <w:tab w:val="clear" w:pos="567"/>
              </w:tabs>
              <w:spacing w:line="240" w:lineRule="auto"/>
              <w:ind w:left="113"/>
              <w:contextualSpacing/>
              <w:rPr>
                <w:szCs w:val="22"/>
                <w:lang w:eastAsia="en-GB"/>
              </w:rPr>
            </w:pPr>
            <w:r w:rsidRPr="007A17AE">
              <w:rPr>
                <w:szCs w:val="22"/>
                <w:lang w:eastAsia="en-GB"/>
              </w:rPr>
              <w:t>galvos skausmas</w:t>
            </w:r>
          </w:p>
        </w:tc>
        <w:tc>
          <w:tcPr>
            <w:tcW w:w="1841" w:type="dxa"/>
            <w:tcBorders>
              <w:top w:val="single" w:sz="4" w:space="0" w:color="000000"/>
              <w:left w:val="single" w:sz="4" w:space="0" w:color="000000"/>
              <w:bottom w:val="single" w:sz="4" w:space="0" w:color="000000"/>
              <w:right w:val="single" w:sz="4" w:space="0" w:color="000000"/>
            </w:tcBorders>
          </w:tcPr>
          <w:p w14:paraId="235BE95B" w14:textId="77777777" w:rsidR="00DF71A6" w:rsidRPr="007A17AE" w:rsidRDefault="00DF71A6" w:rsidP="007A17AE">
            <w:pPr>
              <w:tabs>
                <w:tab w:val="clear" w:pos="567"/>
              </w:tabs>
              <w:spacing w:line="240" w:lineRule="auto"/>
              <w:ind w:left="113"/>
              <w:contextualSpacing/>
              <w:jc w:val="center"/>
              <w:rPr>
                <w:szCs w:val="22"/>
                <w:lang w:eastAsia="en-GB"/>
              </w:rPr>
            </w:pPr>
            <w:r w:rsidRPr="007A17AE">
              <w:rPr>
                <w:spacing w:val="-1"/>
                <w:szCs w:val="22"/>
                <w:lang w:eastAsia="en-GB"/>
              </w:rPr>
              <w:t>dažnas</w:t>
            </w:r>
          </w:p>
        </w:tc>
      </w:tr>
      <w:tr w:rsidR="00DF71A6" w:rsidRPr="007A17AE" w14:paraId="2AB46BD0" w14:textId="77777777" w:rsidTr="00715CD1">
        <w:trPr>
          <w:trHeight w:hRule="exact" w:val="397"/>
        </w:trPr>
        <w:tc>
          <w:tcPr>
            <w:tcW w:w="3084" w:type="dxa"/>
            <w:vMerge/>
            <w:tcBorders>
              <w:left w:val="single" w:sz="4" w:space="0" w:color="000000"/>
              <w:right w:val="single" w:sz="4" w:space="0" w:color="000000"/>
            </w:tcBorders>
          </w:tcPr>
          <w:p w14:paraId="53B95084" w14:textId="77777777" w:rsidR="00DF71A6" w:rsidRPr="007A17AE" w:rsidRDefault="00DF71A6" w:rsidP="007A17AE">
            <w:pPr>
              <w:tabs>
                <w:tab w:val="clear" w:pos="567"/>
              </w:tabs>
              <w:spacing w:line="240" w:lineRule="auto"/>
              <w:ind w:left="113"/>
              <w:contextualSpacing/>
              <w:rPr>
                <w:szCs w:val="22"/>
                <w:lang w:eastAsia="en-GB"/>
              </w:rPr>
            </w:pPr>
          </w:p>
        </w:tc>
        <w:tc>
          <w:tcPr>
            <w:tcW w:w="4363" w:type="dxa"/>
            <w:tcBorders>
              <w:top w:val="single" w:sz="4" w:space="0" w:color="000000"/>
              <w:left w:val="single" w:sz="4" w:space="0" w:color="000000"/>
              <w:bottom w:val="single" w:sz="4" w:space="0" w:color="000000"/>
              <w:right w:val="single" w:sz="4" w:space="0" w:color="000000"/>
            </w:tcBorders>
          </w:tcPr>
          <w:p w14:paraId="0752B637" w14:textId="4B8C80F0" w:rsidR="00DF71A6" w:rsidRPr="007A17AE" w:rsidRDefault="00AC068A" w:rsidP="00AC068A">
            <w:pPr>
              <w:tabs>
                <w:tab w:val="clear" w:pos="567"/>
              </w:tabs>
              <w:spacing w:line="240" w:lineRule="auto"/>
              <w:ind w:left="113"/>
              <w:contextualSpacing/>
              <w:rPr>
                <w:szCs w:val="22"/>
                <w:lang w:eastAsia="en-GB"/>
              </w:rPr>
            </w:pPr>
            <w:r>
              <w:rPr>
                <w:szCs w:val="22"/>
                <w:lang w:eastAsia="en-GB"/>
              </w:rPr>
              <w:t>svaigulys</w:t>
            </w:r>
            <w:r w:rsidR="00DF71A6" w:rsidRPr="007A17AE">
              <w:rPr>
                <w:szCs w:val="22"/>
                <w:lang w:eastAsia="en-GB"/>
              </w:rPr>
              <w:t>, mieguistumas</w:t>
            </w:r>
          </w:p>
        </w:tc>
        <w:tc>
          <w:tcPr>
            <w:tcW w:w="1841" w:type="dxa"/>
            <w:tcBorders>
              <w:top w:val="single" w:sz="4" w:space="0" w:color="000000"/>
              <w:left w:val="single" w:sz="4" w:space="0" w:color="000000"/>
              <w:bottom w:val="single" w:sz="4" w:space="0" w:color="000000"/>
              <w:right w:val="single" w:sz="4" w:space="0" w:color="000000"/>
            </w:tcBorders>
          </w:tcPr>
          <w:p w14:paraId="0B2522CB" w14:textId="77777777" w:rsidR="00DF71A6" w:rsidRPr="007A17AE" w:rsidRDefault="00DF71A6" w:rsidP="007A17AE">
            <w:pPr>
              <w:tabs>
                <w:tab w:val="clear" w:pos="567"/>
              </w:tabs>
              <w:spacing w:line="240" w:lineRule="auto"/>
              <w:ind w:left="113"/>
              <w:contextualSpacing/>
              <w:jc w:val="center"/>
              <w:rPr>
                <w:szCs w:val="22"/>
                <w:lang w:eastAsia="en-GB"/>
              </w:rPr>
            </w:pPr>
            <w:r w:rsidRPr="007A17AE">
              <w:rPr>
                <w:spacing w:val="-1"/>
                <w:szCs w:val="22"/>
                <w:lang w:eastAsia="en-GB"/>
              </w:rPr>
              <w:t>nedažnas</w:t>
            </w:r>
          </w:p>
        </w:tc>
      </w:tr>
      <w:tr w:rsidR="00DF71A6" w:rsidRPr="007A17AE" w14:paraId="139A9E30" w14:textId="77777777" w:rsidTr="00715CD1">
        <w:trPr>
          <w:trHeight w:hRule="exact" w:val="510"/>
        </w:trPr>
        <w:tc>
          <w:tcPr>
            <w:tcW w:w="3084" w:type="dxa"/>
            <w:vMerge/>
            <w:tcBorders>
              <w:left w:val="single" w:sz="4" w:space="0" w:color="000000"/>
              <w:bottom w:val="single" w:sz="4" w:space="0" w:color="000000"/>
              <w:right w:val="single" w:sz="4" w:space="0" w:color="000000"/>
            </w:tcBorders>
          </w:tcPr>
          <w:p w14:paraId="6698C887" w14:textId="77777777" w:rsidR="00DF71A6" w:rsidRPr="007A17AE" w:rsidRDefault="00DF71A6" w:rsidP="007A17AE">
            <w:pPr>
              <w:tabs>
                <w:tab w:val="clear" w:pos="567"/>
              </w:tabs>
              <w:spacing w:line="240" w:lineRule="auto"/>
              <w:ind w:left="113"/>
              <w:contextualSpacing/>
              <w:rPr>
                <w:szCs w:val="22"/>
                <w:lang w:eastAsia="en-GB"/>
              </w:rPr>
            </w:pPr>
          </w:p>
        </w:tc>
        <w:tc>
          <w:tcPr>
            <w:tcW w:w="4363" w:type="dxa"/>
            <w:tcBorders>
              <w:top w:val="single" w:sz="4" w:space="0" w:color="000000"/>
              <w:left w:val="single" w:sz="4" w:space="0" w:color="000000"/>
              <w:bottom w:val="single" w:sz="4" w:space="0" w:color="000000"/>
              <w:right w:val="single" w:sz="4" w:space="0" w:color="000000"/>
            </w:tcBorders>
          </w:tcPr>
          <w:p w14:paraId="0E51C534" w14:textId="77777777" w:rsidR="00DF71A6" w:rsidRPr="007A17AE" w:rsidRDefault="00DF71A6" w:rsidP="007A17AE">
            <w:pPr>
              <w:tabs>
                <w:tab w:val="clear" w:pos="567"/>
              </w:tabs>
              <w:spacing w:line="240" w:lineRule="auto"/>
              <w:ind w:left="113"/>
              <w:contextualSpacing/>
              <w:rPr>
                <w:szCs w:val="22"/>
                <w:lang w:eastAsia="en-GB"/>
              </w:rPr>
            </w:pPr>
            <w:r w:rsidRPr="007A17AE">
              <w:rPr>
                <w:szCs w:val="22"/>
                <w:lang w:eastAsia="en-GB"/>
              </w:rPr>
              <w:t>pažintinių funkcijų sutrikimas, letargija,</w:t>
            </w:r>
            <w:r w:rsidR="00715CD1" w:rsidRPr="007A17AE">
              <w:rPr>
                <w:szCs w:val="22"/>
                <w:lang w:eastAsia="en-GB"/>
              </w:rPr>
              <w:t xml:space="preserve"> </w:t>
            </w:r>
            <w:r w:rsidRPr="007A17AE">
              <w:rPr>
                <w:szCs w:val="22"/>
                <w:lang w:eastAsia="en-GB"/>
              </w:rPr>
              <w:t>skonio jutimo sutrikimas</w:t>
            </w:r>
          </w:p>
        </w:tc>
        <w:tc>
          <w:tcPr>
            <w:tcW w:w="1841" w:type="dxa"/>
            <w:tcBorders>
              <w:top w:val="single" w:sz="4" w:space="0" w:color="000000"/>
              <w:left w:val="single" w:sz="4" w:space="0" w:color="000000"/>
              <w:bottom w:val="single" w:sz="4" w:space="0" w:color="000000"/>
              <w:right w:val="single" w:sz="4" w:space="0" w:color="000000"/>
            </w:tcBorders>
          </w:tcPr>
          <w:p w14:paraId="72070D6A" w14:textId="77777777" w:rsidR="00DF71A6" w:rsidRPr="007A17AE" w:rsidRDefault="00715CD1" w:rsidP="007A17AE">
            <w:pPr>
              <w:tabs>
                <w:tab w:val="clear" w:pos="567"/>
              </w:tabs>
              <w:spacing w:line="240" w:lineRule="auto"/>
              <w:ind w:left="113"/>
              <w:contextualSpacing/>
              <w:jc w:val="center"/>
              <w:rPr>
                <w:szCs w:val="22"/>
                <w:lang w:eastAsia="en-GB"/>
              </w:rPr>
            </w:pPr>
            <w:r w:rsidRPr="007A17AE">
              <w:rPr>
                <w:szCs w:val="22"/>
                <w:lang w:eastAsia="en-GB"/>
              </w:rPr>
              <w:t>retas</w:t>
            </w:r>
          </w:p>
        </w:tc>
      </w:tr>
      <w:tr w:rsidR="00DF71A6" w:rsidRPr="007A17AE" w14:paraId="12AF6B77" w14:textId="77777777" w:rsidTr="00DF71A6">
        <w:trPr>
          <w:trHeight w:hRule="exact" w:val="264"/>
        </w:trPr>
        <w:tc>
          <w:tcPr>
            <w:tcW w:w="3084" w:type="dxa"/>
            <w:tcBorders>
              <w:top w:val="single" w:sz="4" w:space="0" w:color="000000"/>
              <w:left w:val="single" w:sz="4" w:space="0" w:color="000000"/>
              <w:bottom w:val="single" w:sz="4" w:space="0" w:color="000000"/>
              <w:right w:val="single" w:sz="4" w:space="0" w:color="000000"/>
            </w:tcBorders>
          </w:tcPr>
          <w:p w14:paraId="2DB34286" w14:textId="77777777" w:rsidR="00DF71A6" w:rsidRPr="007A17AE" w:rsidRDefault="00715CD1" w:rsidP="007A17AE">
            <w:pPr>
              <w:tabs>
                <w:tab w:val="clear" w:pos="567"/>
              </w:tabs>
              <w:spacing w:line="240" w:lineRule="auto"/>
              <w:ind w:left="113"/>
              <w:contextualSpacing/>
              <w:rPr>
                <w:szCs w:val="22"/>
                <w:lang w:eastAsia="en-GB"/>
              </w:rPr>
            </w:pPr>
            <w:r w:rsidRPr="007A17AE">
              <w:rPr>
                <w:szCs w:val="22"/>
                <w:lang w:eastAsia="en-GB"/>
              </w:rPr>
              <w:t>Akių sutrikimai</w:t>
            </w:r>
          </w:p>
        </w:tc>
        <w:tc>
          <w:tcPr>
            <w:tcW w:w="4363" w:type="dxa"/>
            <w:tcBorders>
              <w:top w:val="single" w:sz="4" w:space="0" w:color="000000"/>
              <w:left w:val="single" w:sz="4" w:space="0" w:color="000000"/>
              <w:bottom w:val="single" w:sz="4" w:space="0" w:color="000000"/>
              <w:right w:val="single" w:sz="4" w:space="0" w:color="000000"/>
            </w:tcBorders>
          </w:tcPr>
          <w:p w14:paraId="510BD32A" w14:textId="77777777" w:rsidR="00DF71A6" w:rsidRPr="007A17AE" w:rsidRDefault="00715CD1" w:rsidP="007A17AE">
            <w:pPr>
              <w:tabs>
                <w:tab w:val="clear" w:pos="567"/>
              </w:tabs>
              <w:spacing w:line="240" w:lineRule="auto"/>
              <w:ind w:left="113"/>
              <w:contextualSpacing/>
              <w:rPr>
                <w:szCs w:val="22"/>
                <w:lang w:eastAsia="en-GB"/>
              </w:rPr>
            </w:pPr>
            <w:r w:rsidRPr="007A17AE">
              <w:rPr>
                <w:szCs w:val="22"/>
                <w:lang w:eastAsia="en-GB"/>
              </w:rPr>
              <w:t>junginės uždegimas</w:t>
            </w:r>
          </w:p>
        </w:tc>
        <w:tc>
          <w:tcPr>
            <w:tcW w:w="1841" w:type="dxa"/>
            <w:tcBorders>
              <w:top w:val="single" w:sz="4" w:space="0" w:color="000000"/>
              <w:left w:val="single" w:sz="4" w:space="0" w:color="000000"/>
              <w:bottom w:val="single" w:sz="4" w:space="0" w:color="000000"/>
              <w:right w:val="single" w:sz="4" w:space="0" w:color="000000"/>
            </w:tcBorders>
          </w:tcPr>
          <w:p w14:paraId="4DB0CCD8" w14:textId="77777777" w:rsidR="00DF71A6" w:rsidRPr="007A17AE" w:rsidRDefault="00DF71A6" w:rsidP="007A17AE">
            <w:pPr>
              <w:tabs>
                <w:tab w:val="clear" w:pos="567"/>
              </w:tabs>
              <w:spacing w:line="240" w:lineRule="auto"/>
              <w:ind w:left="113"/>
              <w:contextualSpacing/>
              <w:jc w:val="center"/>
              <w:rPr>
                <w:szCs w:val="22"/>
                <w:lang w:eastAsia="en-GB"/>
              </w:rPr>
            </w:pPr>
            <w:r w:rsidRPr="007A17AE">
              <w:rPr>
                <w:szCs w:val="22"/>
                <w:lang w:eastAsia="en-GB"/>
              </w:rPr>
              <w:t>r</w:t>
            </w:r>
            <w:r w:rsidR="00715CD1" w:rsidRPr="007A17AE">
              <w:rPr>
                <w:szCs w:val="22"/>
                <w:lang w:eastAsia="en-GB"/>
              </w:rPr>
              <w:t>etas</w:t>
            </w:r>
          </w:p>
        </w:tc>
      </w:tr>
      <w:tr w:rsidR="00DF71A6" w:rsidRPr="007A17AE" w14:paraId="05EDA109" w14:textId="77777777" w:rsidTr="00DF71A6">
        <w:trPr>
          <w:trHeight w:hRule="exact" w:val="262"/>
        </w:trPr>
        <w:tc>
          <w:tcPr>
            <w:tcW w:w="3084" w:type="dxa"/>
            <w:tcBorders>
              <w:top w:val="single" w:sz="4" w:space="0" w:color="000000"/>
              <w:left w:val="single" w:sz="4" w:space="0" w:color="000000"/>
              <w:bottom w:val="single" w:sz="4" w:space="0" w:color="000000"/>
              <w:right w:val="single" w:sz="4" w:space="0" w:color="000000"/>
            </w:tcBorders>
          </w:tcPr>
          <w:p w14:paraId="6EBA6468" w14:textId="77777777" w:rsidR="00DF71A6" w:rsidRPr="007A17AE" w:rsidRDefault="00715CD1" w:rsidP="007A17AE">
            <w:pPr>
              <w:tabs>
                <w:tab w:val="clear" w:pos="567"/>
              </w:tabs>
              <w:spacing w:line="240" w:lineRule="auto"/>
              <w:ind w:left="113"/>
              <w:contextualSpacing/>
              <w:rPr>
                <w:szCs w:val="22"/>
                <w:lang w:eastAsia="en-GB"/>
              </w:rPr>
            </w:pPr>
            <w:r w:rsidRPr="007A17AE">
              <w:rPr>
                <w:szCs w:val="22"/>
                <w:lang w:eastAsia="en-GB"/>
              </w:rPr>
              <w:t>Ausų ir labirintų sutrikimai</w:t>
            </w:r>
          </w:p>
        </w:tc>
        <w:tc>
          <w:tcPr>
            <w:tcW w:w="4363" w:type="dxa"/>
            <w:tcBorders>
              <w:top w:val="single" w:sz="4" w:space="0" w:color="000000"/>
              <w:left w:val="single" w:sz="4" w:space="0" w:color="000000"/>
              <w:bottom w:val="single" w:sz="4" w:space="0" w:color="000000"/>
              <w:right w:val="single" w:sz="4" w:space="0" w:color="000000"/>
            </w:tcBorders>
          </w:tcPr>
          <w:p w14:paraId="7FAAE21D" w14:textId="77777777" w:rsidR="00DF71A6" w:rsidRPr="007A17AE" w:rsidRDefault="00715CD1" w:rsidP="007A17AE">
            <w:pPr>
              <w:tabs>
                <w:tab w:val="clear" w:pos="567"/>
              </w:tabs>
              <w:spacing w:line="240" w:lineRule="auto"/>
              <w:ind w:left="113"/>
              <w:contextualSpacing/>
              <w:rPr>
                <w:szCs w:val="22"/>
                <w:lang w:eastAsia="en-GB"/>
              </w:rPr>
            </w:pPr>
            <w:r w:rsidRPr="007A17AE">
              <w:rPr>
                <w:szCs w:val="22"/>
                <w:lang w:eastAsia="en-GB"/>
              </w:rPr>
              <w:t>spengimas ausyse</w:t>
            </w:r>
          </w:p>
        </w:tc>
        <w:tc>
          <w:tcPr>
            <w:tcW w:w="1841" w:type="dxa"/>
            <w:tcBorders>
              <w:top w:val="single" w:sz="4" w:space="0" w:color="000000"/>
              <w:left w:val="single" w:sz="4" w:space="0" w:color="000000"/>
              <w:bottom w:val="single" w:sz="4" w:space="0" w:color="000000"/>
              <w:right w:val="single" w:sz="4" w:space="0" w:color="000000"/>
            </w:tcBorders>
          </w:tcPr>
          <w:p w14:paraId="59B167F2" w14:textId="77777777" w:rsidR="00DF71A6" w:rsidRPr="007A17AE" w:rsidRDefault="00DF71A6" w:rsidP="007A17AE">
            <w:pPr>
              <w:tabs>
                <w:tab w:val="clear" w:pos="567"/>
              </w:tabs>
              <w:spacing w:line="240" w:lineRule="auto"/>
              <w:ind w:left="113"/>
              <w:contextualSpacing/>
              <w:jc w:val="center"/>
              <w:rPr>
                <w:szCs w:val="22"/>
                <w:lang w:eastAsia="en-GB"/>
              </w:rPr>
            </w:pPr>
            <w:r w:rsidRPr="007A17AE">
              <w:rPr>
                <w:szCs w:val="22"/>
                <w:lang w:eastAsia="en-GB"/>
              </w:rPr>
              <w:t>r</w:t>
            </w:r>
            <w:r w:rsidR="00715CD1" w:rsidRPr="007A17AE">
              <w:rPr>
                <w:szCs w:val="22"/>
                <w:lang w:eastAsia="en-GB"/>
              </w:rPr>
              <w:t>etas</w:t>
            </w:r>
          </w:p>
        </w:tc>
      </w:tr>
      <w:tr w:rsidR="00DF71A6" w:rsidRPr="007A17AE" w14:paraId="7D772ED1" w14:textId="77777777" w:rsidTr="00DF71A6">
        <w:trPr>
          <w:trHeight w:hRule="exact" w:val="391"/>
        </w:trPr>
        <w:tc>
          <w:tcPr>
            <w:tcW w:w="3084" w:type="dxa"/>
            <w:vMerge w:val="restart"/>
            <w:tcBorders>
              <w:top w:val="single" w:sz="4" w:space="0" w:color="000000"/>
              <w:left w:val="single" w:sz="4" w:space="0" w:color="000000"/>
              <w:right w:val="single" w:sz="4" w:space="0" w:color="000000"/>
            </w:tcBorders>
          </w:tcPr>
          <w:p w14:paraId="08477BE3" w14:textId="77777777" w:rsidR="00DF71A6" w:rsidRPr="007A17AE" w:rsidRDefault="00715CD1" w:rsidP="007A17AE">
            <w:pPr>
              <w:tabs>
                <w:tab w:val="clear" w:pos="567"/>
              </w:tabs>
              <w:spacing w:line="240" w:lineRule="auto"/>
              <w:ind w:left="113"/>
              <w:contextualSpacing/>
              <w:rPr>
                <w:szCs w:val="22"/>
                <w:lang w:eastAsia="en-GB"/>
              </w:rPr>
            </w:pPr>
            <w:r w:rsidRPr="007A17AE">
              <w:rPr>
                <w:szCs w:val="22"/>
                <w:lang w:eastAsia="en-GB"/>
              </w:rPr>
              <w:t>Širdies sutrikimai</w:t>
            </w:r>
          </w:p>
        </w:tc>
        <w:tc>
          <w:tcPr>
            <w:tcW w:w="4363" w:type="dxa"/>
            <w:tcBorders>
              <w:top w:val="single" w:sz="4" w:space="0" w:color="000000"/>
              <w:left w:val="single" w:sz="4" w:space="0" w:color="000000"/>
              <w:bottom w:val="single" w:sz="4" w:space="0" w:color="000000"/>
              <w:right w:val="single" w:sz="4" w:space="0" w:color="000000"/>
            </w:tcBorders>
          </w:tcPr>
          <w:p w14:paraId="39686DFC" w14:textId="77777777" w:rsidR="00DF71A6" w:rsidRPr="007A17AE" w:rsidRDefault="00715CD1" w:rsidP="007A17AE">
            <w:pPr>
              <w:tabs>
                <w:tab w:val="clear" w:pos="567"/>
              </w:tabs>
              <w:spacing w:line="240" w:lineRule="auto"/>
              <w:ind w:left="113"/>
              <w:contextualSpacing/>
              <w:rPr>
                <w:szCs w:val="22"/>
                <w:lang w:eastAsia="en-GB"/>
              </w:rPr>
            </w:pPr>
            <w:r w:rsidRPr="007A17AE">
              <w:rPr>
                <w:szCs w:val="22"/>
                <w:lang w:eastAsia="en-GB"/>
              </w:rPr>
              <w:t>palpitacijos</w:t>
            </w:r>
          </w:p>
        </w:tc>
        <w:tc>
          <w:tcPr>
            <w:tcW w:w="1841" w:type="dxa"/>
            <w:tcBorders>
              <w:top w:val="single" w:sz="4" w:space="0" w:color="000000"/>
              <w:left w:val="single" w:sz="4" w:space="0" w:color="000000"/>
              <w:bottom w:val="single" w:sz="4" w:space="0" w:color="000000"/>
              <w:right w:val="single" w:sz="4" w:space="0" w:color="000000"/>
            </w:tcBorders>
          </w:tcPr>
          <w:p w14:paraId="76503110" w14:textId="77777777" w:rsidR="00DF71A6" w:rsidRPr="007A17AE" w:rsidRDefault="00715CD1" w:rsidP="007A17AE">
            <w:pPr>
              <w:tabs>
                <w:tab w:val="clear" w:pos="567"/>
              </w:tabs>
              <w:spacing w:line="240" w:lineRule="auto"/>
              <w:ind w:left="113"/>
              <w:contextualSpacing/>
              <w:jc w:val="center"/>
              <w:rPr>
                <w:szCs w:val="22"/>
                <w:lang w:eastAsia="en-GB"/>
              </w:rPr>
            </w:pPr>
            <w:r w:rsidRPr="007A17AE">
              <w:rPr>
                <w:spacing w:val="-1"/>
                <w:szCs w:val="22"/>
                <w:lang w:eastAsia="en-GB"/>
              </w:rPr>
              <w:t>nedažnas</w:t>
            </w:r>
          </w:p>
        </w:tc>
      </w:tr>
      <w:tr w:rsidR="00DF71A6" w:rsidRPr="007A17AE" w14:paraId="450F2E65" w14:textId="77777777" w:rsidTr="00715CD1">
        <w:trPr>
          <w:trHeight w:hRule="exact" w:val="510"/>
        </w:trPr>
        <w:tc>
          <w:tcPr>
            <w:tcW w:w="3084" w:type="dxa"/>
            <w:vMerge/>
            <w:tcBorders>
              <w:left w:val="single" w:sz="4" w:space="0" w:color="000000"/>
              <w:bottom w:val="single" w:sz="4" w:space="0" w:color="000000"/>
              <w:right w:val="single" w:sz="4" w:space="0" w:color="000000"/>
            </w:tcBorders>
          </w:tcPr>
          <w:p w14:paraId="604BF971" w14:textId="77777777" w:rsidR="00DF71A6" w:rsidRPr="007A17AE" w:rsidRDefault="00DF71A6" w:rsidP="007A17AE">
            <w:pPr>
              <w:tabs>
                <w:tab w:val="clear" w:pos="567"/>
              </w:tabs>
              <w:spacing w:line="240" w:lineRule="auto"/>
              <w:ind w:left="113"/>
              <w:contextualSpacing/>
              <w:rPr>
                <w:szCs w:val="22"/>
                <w:lang w:eastAsia="en-GB"/>
              </w:rPr>
            </w:pPr>
          </w:p>
        </w:tc>
        <w:tc>
          <w:tcPr>
            <w:tcW w:w="4363" w:type="dxa"/>
            <w:tcBorders>
              <w:top w:val="single" w:sz="4" w:space="0" w:color="000000"/>
              <w:left w:val="single" w:sz="4" w:space="0" w:color="000000"/>
              <w:bottom w:val="single" w:sz="4" w:space="0" w:color="000000"/>
              <w:right w:val="single" w:sz="4" w:space="0" w:color="000000"/>
            </w:tcBorders>
          </w:tcPr>
          <w:p w14:paraId="5DAD4515" w14:textId="77777777" w:rsidR="00DF71A6" w:rsidRPr="007A17AE" w:rsidRDefault="00715CD1" w:rsidP="007A17AE">
            <w:pPr>
              <w:tabs>
                <w:tab w:val="clear" w:pos="567"/>
              </w:tabs>
              <w:spacing w:line="240" w:lineRule="auto"/>
              <w:ind w:left="113"/>
              <w:contextualSpacing/>
              <w:rPr>
                <w:szCs w:val="22"/>
                <w:lang w:eastAsia="en-GB"/>
              </w:rPr>
            </w:pPr>
            <w:r w:rsidRPr="007A17AE">
              <w:rPr>
                <w:szCs w:val="22"/>
                <w:lang w:eastAsia="en-GB"/>
              </w:rPr>
              <w:t>bradikardija</w:t>
            </w:r>
            <w:r w:rsidR="00DF71A6" w:rsidRPr="007A17AE">
              <w:rPr>
                <w:szCs w:val="22"/>
                <w:lang w:eastAsia="en-GB"/>
              </w:rPr>
              <w:t xml:space="preserve">, </w:t>
            </w:r>
            <w:r w:rsidRPr="007A17AE">
              <w:rPr>
                <w:szCs w:val="22"/>
                <w:lang w:eastAsia="en-GB"/>
              </w:rPr>
              <w:t>širdies ir kraujagyslių sistemos</w:t>
            </w:r>
            <w:r w:rsidR="00C1636F">
              <w:rPr>
                <w:szCs w:val="22"/>
                <w:lang w:eastAsia="en-GB"/>
              </w:rPr>
              <w:t xml:space="preserve"> </w:t>
            </w:r>
            <w:r w:rsidRPr="007A17AE">
              <w:rPr>
                <w:szCs w:val="22"/>
                <w:lang w:eastAsia="en-GB"/>
              </w:rPr>
              <w:t>sutrikimas</w:t>
            </w:r>
          </w:p>
        </w:tc>
        <w:tc>
          <w:tcPr>
            <w:tcW w:w="1841" w:type="dxa"/>
            <w:tcBorders>
              <w:top w:val="single" w:sz="4" w:space="0" w:color="000000"/>
              <w:left w:val="single" w:sz="4" w:space="0" w:color="000000"/>
              <w:bottom w:val="single" w:sz="4" w:space="0" w:color="000000"/>
              <w:right w:val="single" w:sz="4" w:space="0" w:color="000000"/>
            </w:tcBorders>
          </w:tcPr>
          <w:p w14:paraId="5B401915" w14:textId="77777777" w:rsidR="00DF71A6" w:rsidRPr="007A17AE" w:rsidRDefault="00DF71A6" w:rsidP="007A17AE">
            <w:pPr>
              <w:tabs>
                <w:tab w:val="clear" w:pos="567"/>
              </w:tabs>
              <w:spacing w:line="240" w:lineRule="auto"/>
              <w:ind w:left="113"/>
              <w:contextualSpacing/>
              <w:jc w:val="center"/>
              <w:rPr>
                <w:szCs w:val="22"/>
                <w:lang w:eastAsia="en-GB"/>
              </w:rPr>
            </w:pPr>
            <w:r w:rsidRPr="007A17AE">
              <w:rPr>
                <w:szCs w:val="22"/>
                <w:lang w:eastAsia="en-GB"/>
              </w:rPr>
              <w:t>r</w:t>
            </w:r>
            <w:r w:rsidR="00715CD1" w:rsidRPr="007A17AE">
              <w:rPr>
                <w:szCs w:val="22"/>
                <w:lang w:eastAsia="en-GB"/>
              </w:rPr>
              <w:t>etas</w:t>
            </w:r>
          </w:p>
        </w:tc>
      </w:tr>
      <w:tr w:rsidR="00DF71A6" w:rsidRPr="007A17AE" w14:paraId="13464236" w14:textId="77777777" w:rsidTr="00F122CC">
        <w:trPr>
          <w:trHeight w:hRule="exact" w:val="603"/>
        </w:trPr>
        <w:tc>
          <w:tcPr>
            <w:tcW w:w="3084" w:type="dxa"/>
            <w:tcBorders>
              <w:top w:val="single" w:sz="4" w:space="0" w:color="000000"/>
              <w:left w:val="single" w:sz="4" w:space="0" w:color="000000"/>
              <w:bottom w:val="single" w:sz="4" w:space="0" w:color="000000"/>
              <w:right w:val="single" w:sz="4" w:space="0" w:color="000000"/>
            </w:tcBorders>
          </w:tcPr>
          <w:p w14:paraId="7273A484" w14:textId="77777777" w:rsidR="00DF71A6" w:rsidRPr="007A17AE" w:rsidRDefault="00715CD1" w:rsidP="007A17AE">
            <w:pPr>
              <w:tabs>
                <w:tab w:val="clear" w:pos="567"/>
              </w:tabs>
              <w:spacing w:line="240" w:lineRule="auto"/>
              <w:ind w:left="113"/>
              <w:contextualSpacing/>
              <w:rPr>
                <w:szCs w:val="22"/>
                <w:lang w:eastAsia="en-GB"/>
              </w:rPr>
            </w:pPr>
            <w:r w:rsidRPr="007A17AE">
              <w:rPr>
                <w:szCs w:val="22"/>
                <w:lang w:eastAsia="en-GB"/>
              </w:rPr>
              <w:lastRenderedPageBreak/>
              <w:t>Kraujagyslių sutrikimai</w:t>
            </w:r>
          </w:p>
        </w:tc>
        <w:tc>
          <w:tcPr>
            <w:tcW w:w="4363" w:type="dxa"/>
            <w:tcBorders>
              <w:top w:val="single" w:sz="4" w:space="0" w:color="000000"/>
              <w:left w:val="single" w:sz="4" w:space="0" w:color="000000"/>
              <w:bottom w:val="single" w:sz="4" w:space="0" w:color="000000"/>
              <w:right w:val="single" w:sz="4" w:space="0" w:color="000000"/>
            </w:tcBorders>
          </w:tcPr>
          <w:p w14:paraId="597B5543" w14:textId="77777777" w:rsidR="00DF71A6" w:rsidRPr="007A17AE" w:rsidRDefault="006A7807" w:rsidP="007A17AE">
            <w:pPr>
              <w:tabs>
                <w:tab w:val="clear" w:pos="567"/>
              </w:tabs>
              <w:spacing w:line="240" w:lineRule="auto"/>
              <w:ind w:left="113"/>
              <w:contextualSpacing/>
              <w:rPr>
                <w:szCs w:val="22"/>
                <w:lang w:eastAsia="en-GB"/>
              </w:rPr>
            </w:pPr>
            <w:r w:rsidRPr="007A17AE">
              <w:rPr>
                <w:szCs w:val="22"/>
                <w:lang w:eastAsia="en-GB"/>
              </w:rPr>
              <w:t>karščio pylimas/</w:t>
            </w:r>
            <w:r w:rsidR="003D6098" w:rsidRPr="007A17AE">
              <w:rPr>
                <w:szCs w:val="22"/>
                <w:lang w:eastAsia="en-GB"/>
              </w:rPr>
              <w:t>kraujo priplūdimas į veidą ir kaklą</w:t>
            </w:r>
          </w:p>
        </w:tc>
        <w:tc>
          <w:tcPr>
            <w:tcW w:w="1841" w:type="dxa"/>
            <w:tcBorders>
              <w:top w:val="single" w:sz="4" w:space="0" w:color="000000"/>
              <w:left w:val="single" w:sz="4" w:space="0" w:color="000000"/>
              <w:bottom w:val="single" w:sz="4" w:space="0" w:color="000000"/>
              <w:right w:val="single" w:sz="4" w:space="0" w:color="000000"/>
            </w:tcBorders>
          </w:tcPr>
          <w:p w14:paraId="6B82C82C" w14:textId="77777777" w:rsidR="00DF71A6" w:rsidRPr="007A17AE" w:rsidRDefault="00715CD1" w:rsidP="007A17AE">
            <w:pPr>
              <w:tabs>
                <w:tab w:val="clear" w:pos="567"/>
              </w:tabs>
              <w:spacing w:line="240" w:lineRule="auto"/>
              <w:ind w:left="113"/>
              <w:contextualSpacing/>
              <w:jc w:val="center"/>
              <w:rPr>
                <w:szCs w:val="22"/>
                <w:lang w:eastAsia="en-GB"/>
              </w:rPr>
            </w:pPr>
            <w:r w:rsidRPr="007A17AE">
              <w:rPr>
                <w:szCs w:val="22"/>
                <w:lang w:eastAsia="en-GB"/>
              </w:rPr>
              <w:t>nedažnas</w:t>
            </w:r>
          </w:p>
        </w:tc>
      </w:tr>
      <w:tr w:rsidR="00DF71A6" w:rsidRPr="007A17AE" w14:paraId="78115D40" w14:textId="77777777" w:rsidTr="00DF71A6">
        <w:trPr>
          <w:trHeight w:hRule="exact" w:val="516"/>
        </w:trPr>
        <w:tc>
          <w:tcPr>
            <w:tcW w:w="3084" w:type="dxa"/>
            <w:vMerge w:val="restart"/>
            <w:tcBorders>
              <w:top w:val="single" w:sz="4" w:space="0" w:color="000000"/>
              <w:left w:val="single" w:sz="4" w:space="0" w:color="000000"/>
              <w:right w:val="single" w:sz="4" w:space="0" w:color="000000"/>
            </w:tcBorders>
          </w:tcPr>
          <w:p w14:paraId="0966DFC5" w14:textId="77777777" w:rsidR="00DF71A6" w:rsidRPr="007A17AE" w:rsidRDefault="00715CD1" w:rsidP="007A17AE">
            <w:pPr>
              <w:tabs>
                <w:tab w:val="clear" w:pos="567"/>
              </w:tabs>
              <w:spacing w:line="240" w:lineRule="auto"/>
              <w:ind w:left="113"/>
              <w:contextualSpacing/>
              <w:rPr>
                <w:szCs w:val="22"/>
                <w:lang w:eastAsia="en-GB"/>
              </w:rPr>
            </w:pPr>
            <w:r w:rsidRPr="007A17AE">
              <w:rPr>
                <w:szCs w:val="22"/>
                <w:lang w:eastAsia="en-GB"/>
              </w:rPr>
              <w:t>Kvėpavimo sistemos, krūtinės ląstos ir tarpuplaučio sutrikimai</w:t>
            </w:r>
          </w:p>
        </w:tc>
        <w:tc>
          <w:tcPr>
            <w:tcW w:w="4363" w:type="dxa"/>
            <w:tcBorders>
              <w:top w:val="single" w:sz="4" w:space="0" w:color="000000"/>
              <w:left w:val="single" w:sz="4" w:space="0" w:color="000000"/>
              <w:bottom w:val="single" w:sz="4" w:space="0" w:color="000000"/>
              <w:right w:val="single" w:sz="4" w:space="0" w:color="000000"/>
            </w:tcBorders>
          </w:tcPr>
          <w:p w14:paraId="4AA34D5A" w14:textId="77777777" w:rsidR="00DF71A6" w:rsidRPr="007A17AE" w:rsidRDefault="00715CD1" w:rsidP="007A17AE">
            <w:pPr>
              <w:tabs>
                <w:tab w:val="clear" w:pos="567"/>
              </w:tabs>
              <w:spacing w:line="240" w:lineRule="auto"/>
              <w:ind w:left="113"/>
              <w:contextualSpacing/>
              <w:rPr>
                <w:szCs w:val="22"/>
                <w:lang w:eastAsia="en-GB"/>
              </w:rPr>
            </w:pPr>
            <w:r w:rsidRPr="007A17AE">
              <w:rPr>
                <w:szCs w:val="22"/>
                <w:lang w:eastAsia="en-GB"/>
              </w:rPr>
              <w:t>žagsulys</w:t>
            </w:r>
          </w:p>
        </w:tc>
        <w:tc>
          <w:tcPr>
            <w:tcW w:w="1841" w:type="dxa"/>
            <w:tcBorders>
              <w:top w:val="single" w:sz="4" w:space="0" w:color="000000"/>
              <w:left w:val="single" w:sz="4" w:space="0" w:color="000000"/>
              <w:bottom w:val="single" w:sz="4" w:space="0" w:color="000000"/>
              <w:right w:val="single" w:sz="4" w:space="0" w:color="000000"/>
            </w:tcBorders>
          </w:tcPr>
          <w:p w14:paraId="75DB45CA" w14:textId="77777777" w:rsidR="00DF71A6" w:rsidRPr="007A17AE" w:rsidRDefault="00715CD1" w:rsidP="007A17AE">
            <w:pPr>
              <w:tabs>
                <w:tab w:val="clear" w:pos="567"/>
              </w:tabs>
              <w:spacing w:line="240" w:lineRule="auto"/>
              <w:ind w:left="113"/>
              <w:contextualSpacing/>
              <w:jc w:val="center"/>
              <w:rPr>
                <w:szCs w:val="22"/>
                <w:lang w:eastAsia="en-GB"/>
              </w:rPr>
            </w:pPr>
            <w:r w:rsidRPr="007A17AE">
              <w:rPr>
                <w:spacing w:val="-1"/>
                <w:szCs w:val="22"/>
                <w:lang w:eastAsia="en-GB"/>
              </w:rPr>
              <w:t>dažnas</w:t>
            </w:r>
          </w:p>
        </w:tc>
      </w:tr>
      <w:tr w:rsidR="00DF71A6" w:rsidRPr="007A17AE" w14:paraId="0A43A2E5" w14:textId="77777777" w:rsidTr="00F122CC">
        <w:trPr>
          <w:trHeight w:hRule="exact" w:val="707"/>
        </w:trPr>
        <w:tc>
          <w:tcPr>
            <w:tcW w:w="3084" w:type="dxa"/>
            <w:vMerge/>
            <w:tcBorders>
              <w:left w:val="single" w:sz="4" w:space="0" w:color="000000"/>
              <w:bottom w:val="single" w:sz="4" w:space="0" w:color="000000"/>
              <w:right w:val="single" w:sz="4" w:space="0" w:color="000000"/>
            </w:tcBorders>
          </w:tcPr>
          <w:p w14:paraId="4D335EA7" w14:textId="77777777" w:rsidR="00DF71A6" w:rsidRPr="007A17AE" w:rsidRDefault="00DF71A6" w:rsidP="007A17AE">
            <w:pPr>
              <w:tabs>
                <w:tab w:val="clear" w:pos="567"/>
              </w:tabs>
              <w:spacing w:line="240" w:lineRule="auto"/>
              <w:ind w:left="113"/>
              <w:contextualSpacing/>
              <w:rPr>
                <w:szCs w:val="22"/>
                <w:lang w:eastAsia="en-GB"/>
              </w:rPr>
            </w:pPr>
          </w:p>
        </w:tc>
        <w:tc>
          <w:tcPr>
            <w:tcW w:w="4363" w:type="dxa"/>
            <w:tcBorders>
              <w:top w:val="single" w:sz="4" w:space="0" w:color="000000"/>
              <w:left w:val="single" w:sz="4" w:space="0" w:color="000000"/>
              <w:bottom w:val="single" w:sz="4" w:space="0" w:color="000000"/>
              <w:right w:val="single" w:sz="4" w:space="0" w:color="000000"/>
            </w:tcBorders>
          </w:tcPr>
          <w:p w14:paraId="46C316FE" w14:textId="77777777" w:rsidR="00DF71A6" w:rsidRPr="007A17AE" w:rsidRDefault="00715CD1" w:rsidP="00C1636F">
            <w:pPr>
              <w:tabs>
                <w:tab w:val="clear" w:pos="567"/>
              </w:tabs>
              <w:spacing w:line="240" w:lineRule="auto"/>
              <w:ind w:left="113"/>
              <w:contextualSpacing/>
              <w:rPr>
                <w:szCs w:val="22"/>
                <w:lang w:eastAsia="en-GB"/>
              </w:rPr>
            </w:pPr>
            <w:r w:rsidRPr="007A17AE">
              <w:rPr>
                <w:szCs w:val="22"/>
                <w:lang w:eastAsia="en-GB"/>
              </w:rPr>
              <w:t>burnos ir gerklės skausmas, čiaudulys, kosulys, nosies varvėjimas</w:t>
            </w:r>
            <w:r w:rsidR="003D6098" w:rsidRPr="007A17AE">
              <w:rPr>
                <w:szCs w:val="22"/>
                <w:lang w:eastAsia="en-GB"/>
              </w:rPr>
              <w:t>,</w:t>
            </w:r>
            <w:r w:rsidRPr="007A17AE">
              <w:rPr>
                <w:szCs w:val="22"/>
                <w:lang w:eastAsia="en-GB"/>
              </w:rPr>
              <w:t xml:space="preserve"> ryklės dirginimas</w:t>
            </w:r>
          </w:p>
        </w:tc>
        <w:tc>
          <w:tcPr>
            <w:tcW w:w="1841" w:type="dxa"/>
            <w:tcBorders>
              <w:top w:val="single" w:sz="4" w:space="0" w:color="000000"/>
              <w:left w:val="single" w:sz="4" w:space="0" w:color="000000"/>
              <w:bottom w:val="single" w:sz="4" w:space="0" w:color="000000"/>
              <w:right w:val="single" w:sz="4" w:space="0" w:color="000000"/>
            </w:tcBorders>
          </w:tcPr>
          <w:p w14:paraId="4555DE72" w14:textId="77777777" w:rsidR="00DF71A6" w:rsidRPr="007A17AE" w:rsidRDefault="00715CD1" w:rsidP="007A17AE">
            <w:pPr>
              <w:tabs>
                <w:tab w:val="clear" w:pos="567"/>
              </w:tabs>
              <w:spacing w:line="240" w:lineRule="auto"/>
              <w:ind w:left="113"/>
              <w:contextualSpacing/>
              <w:jc w:val="center"/>
              <w:rPr>
                <w:szCs w:val="22"/>
                <w:lang w:eastAsia="en-GB"/>
              </w:rPr>
            </w:pPr>
            <w:r w:rsidRPr="007A17AE">
              <w:rPr>
                <w:szCs w:val="22"/>
                <w:lang w:eastAsia="en-GB"/>
              </w:rPr>
              <w:t>retas</w:t>
            </w:r>
          </w:p>
        </w:tc>
      </w:tr>
      <w:tr w:rsidR="00DF71A6" w:rsidRPr="007A17AE" w14:paraId="49876CEC" w14:textId="77777777" w:rsidTr="00715CD1">
        <w:trPr>
          <w:trHeight w:hRule="exact" w:val="397"/>
        </w:trPr>
        <w:tc>
          <w:tcPr>
            <w:tcW w:w="3084" w:type="dxa"/>
            <w:vMerge w:val="restart"/>
            <w:tcBorders>
              <w:top w:val="single" w:sz="4" w:space="0" w:color="000000"/>
              <w:left w:val="single" w:sz="4" w:space="0" w:color="000000"/>
              <w:right w:val="single" w:sz="4" w:space="0" w:color="000000"/>
            </w:tcBorders>
          </w:tcPr>
          <w:p w14:paraId="5FCCD8BF" w14:textId="77777777" w:rsidR="00DF71A6" w:rsidRPr="007A17AE" w:rsidRDefault="00715CD1" w:rsidP="007A17AE">
            <w:pPr>
              <w:tabs>
                <w:tab w:val="clear" w:pos="567"/>
              </w:tabs>
              <w:spacing w:line="240" w:lineRule="auto"/>
              <w:ind w:left="113"/>
              <w:contextualSpacing/>
              <w:rPr>
                <w:szCs w:val="22"/>
                <w:lang w:eastAsia="en-GB"/>
              </w:rPr>
            </w:pPr>
            <w:r w:rsidRPr="007A17AE">
              <w:rPr>
                <w:szCs w:val="22"/>
                <w:lang w:eastAsia="en-GB"/>
              </w:rPr>
              <w:t>Virškinimo trakto sutrikimai</w:t>
            </w:r>
          </w:p>
        </w:tc>
        <w:tc>
          <w:tcPr>
            <w:tcW w:w="4363" w:type="dxa"/>
            <w:tcBorders>
              <w:top w:val="single" w:sz="4" w:space="0" w:color="000000"/>
              <w:left w:val="single" w:sz="4" w:space="0" w:color="000000"/>
              <w:bottom w:val="single" w:sz="4" w:space="0" w:color="000000"/>
              <w:right w:val="single" w:sz="4" w:space="0" w:color="000000"/>
            </w:tcBorders>
          </w:tcPr>
          <w:p w14:paraId="50A40202" w14:textId="77777777" w:rsidR="00DF71A6" w:rsidRPr="007A17AE" w:rsidRDefault="00715CD1" w:rsidP="007A17AE">
            <w:pPr>
              <w:tabs>
                <w:tab w:val="clear" w:pos="567"/>
              </w:tabs>
              <w:spacing w:line="240" w:lineRule="auto"/>
              <w:ind w:left="113"/>
              <w:contextualSpacing/>
              <w:rPr>
                <w:szCs w:val="22"/>
                <w:lang w:eastAsia="en-GB"/>
              </w:rPr>
            </w:pPr>
            <w:r w:rsidRPr="007A17AE">
              <w:rPr>
                <w:szCs w:val="22"/>
                <w:lang w:eastAsia="en-GB"/>
              </w:rPr>
              <w:t>vidurių užkietėjimas, nevirškinimas</w:t>
            </w:r>
          </w:p>
        </w:tc>
        <w:tc>
          <w:tcPr>
            <w:tcW w:w="1841" w:type="dxa"/>
            <w:tcBorders>
              <w:top w:val="single" w:sz="4" w:space="0" w:color="000000"/>
              <w:left w:val="single" w:sz="4" w:space="0" w:color="000000"/>
              <w:bottom w:val="single" w:sz="4" w:space="0" w:color="000000"/>
              <w:right w:val="single" w:sz="4" w:space="0" w:color="000000"/>
            </w:tcBorders>
          </w:tcPr>
          <w:p w14:paraId="3EEDF2C6" w14:textId="77777777" w:rsidR="00DF71A6" w:rsidRPr="007A17AE" w:rsidRDefault="00715CD1" w:rsidP="007A17AE">
            <w:pPr>
              <w:tabs>
                <w:tab w:val="clear" w:pos="567"/>
              </w:tabs>
              <w:spacing w:line="240" w:lineRule="auto"/>
              <w:ind w:left="113"/>
              <w:contextualSpacing/>
              <w:jc w:val="center"/>
              <w:rPr>
                <w:szCs w:val="22"/>
                <w:lang w:eastAsia="en-GB"/>
              </w:rPr>
            </w:pPr>
            <w:r w:rsidRPr="007A17AE">
              <w:rPr>
                <w:spacing w:val="-1"/>
                <w:szCs w:val="22"/>
                <w:lang w:eastAsia="en-GB"/>
              </w:rPr>
              <w:t>dažnas</w:t>
            </w:r>
          </w:p>
        </w:tc>
      </w:tr>
      <w:tr w:rsidR="00DF71A6" w:rsidRPr="007A17AE" w14:paraId="11D475C7" w14:textId="77777777" w:rsidTr="00715CD1">
        <w:trPr>
          <w:trHeight w:hRule="exact" w:val="1134"/>
        </w:trPr>
        <w:tc>
          <w:tcPr>
            <w:tcW w:w="3084" w:type="dxa"/>
            <w:vMerge/>
            <w:tcBorders>
              <w:left w:val="single" w:sz="4" w:space="0" w:color="000000"/>
              <w:right w:val="single" w:sz="4" w:space="0" w:color="000000"/>
            </w:tcBorders>
          </w:tcPr>
          <w:p w14:paraId="6B6A6F26" w14:textId="77777777" w:rsidR="00DF71A6" w:rsidRPr="007A17AE" w:rsidRDefault="00DF71A6" w:rsidP="007A17AE">
            <w:pPr>
              <w:tabs>
                <w:tab w:val="clear" w:pos="567"/>
              </w:tabs>
              <w:spacing w:line="240" w:lineRule="auto"/>
              <w:ind w:left="113"/>
              <w:contextualSpacing/>
              <w:rPr>
                <w:szCs w:val="22"/>
                <w:lang w:eastAsia="en-GB"/>
              </w:rPr>
            </w:pPr>
          </w:p>
        </w:tc>
        <w:tc>
          <w:tcPr>
            <w:tcW w:w="4363" w:type="dxa"/>
            <w:tcBorders>
              <w:top w:val="single" w:sz="4" w:space="0" w:color="000000"/>
              <w:left w:val="single" w:sz="4" w:space="0" w:color="000000"/>
              <w:bottom w:val="single" w:sz="4" w:space="0" w:color="000000"/>
              <w:right w:val="single" w:sz="4" w:space="0" w:color="000000"/>
            </w:tcBorders>
          </w:tcPr>
          <w:p w14:paraId="6D3707B4" w14:textId="77777777" w:rsidR="00715CD1" w:rsidRPr="007A17AE" w:rsidRDefault="00715CD1" w:rsidP="007A17AE">
            <w:pPr>
              <w:tabs>
                <w:tab w:val="clear" w:pos="567"/>
              </w:tabs>
              <w:spacing w:line="240" w:lineRule="auto"/>
              <w:ind w:left="113"/>
              <w:contextualSpacing/>
              <w:rPr>
                <w:szCs w:val="22"/>
                <w:lang w:eastAsia="en-GB"/>
              </w:rPr>
            </w:pPr>
            <w:r w:rsidRPr="007A17AE">
              <w:rPr>
                <w:szCs w:val="22"/>
                <w:lang w:eastAsia="en-GB"/>
              </w:rPr>
              <w:t>raugulys, pykinimas</w:t>
            </w:r>
            <w:r w:rsidRPr="007A17AE">
              <w:rPr>
                <w:position w:val="6"/>
                <w:szCs w:val="22"/>
                <w:lang w:eastAsia="en-GB"/>
              </w:rPr>
              <w:t>†</w:t>
            </w:r>
            <w:r w:rsidRPr="007A17AE">
              <w:rPr>
                <w:szCs w:val="22"/>
                <w:lang w:eastAsia="en-GB"/>
              </w:rPr>
              <w:t>, vėmimas</w:t>
            </w:r>
            <w:r w:rsidRPr="007A17AE">
              <w:rPr>
                <w:position w:val="6"/>
                <w:szCs w:val="22"/>
                <w:lang w:eastAsia="en-GB"/>
              </w:rPr>
              <w:t>†</w:t>
            </w:r>
            <w:r w:rsidRPr="007A17AE">
              <w:rPr>
                <w:szCs w:val="22"/>
                <w:lang w:eastAsia="en-GB"/>
              </w:rPr>
              <w:t>,</w:t>
            </w:r>
            <w:r w:rsidR="00C1636F">
              <w:rPr>
                <w:szCs w:val="22"/>
                <w:lang w:eastAsia="en-GB"/>
              </w:rPr>
              <w:t xml:space="preserve"> </w:t>
            </w:r>
            <w:r w:rsidRPr="007A17AE">
              <w:rPr>
                <w:szCs w:val="22"/>
                <w:lang w:eastAsia="en-GB"/>
              </w:rPr>
              <w:t>gastroezofaginio refliukso liga, pilvo</w:t>
            </w:r>
          </w:p>
          <w:p w14:paraId="732F6AD1" w14:textId="77777777" w:rsidR="00DF71A6" w:rsidRPr="007A17AE" w:rsidRDefault="00715CD1" w:rsidP="007A17AE">
            <w:pPr>
              <w:tabs>
                <w:tab w:val="clear" w:pos="567"/>
              </w:tabs>
              <w:spacing w:line="240" w:lineRule="auto"/>
              <w:ind w:left="113"/>
              <w:contextualSpacing/>
              <w:rPr>
                <w:szCs w:val="22"/>
                <w:lang w:eastAsia="en-GB"/>
              </w:rPr>
            </w:pPr>
            <w:r w:rsidRPr="007A17AE">
              <w:rPr>
                <w:szCs w:val="22"/>
                <w:lang w:eastAsia="en-GB"/>
              </w:rPr>
              <w:t>skausmas, burnos sausmė, dujų susikaupimas žarnyne</w:t>
            </w:r>
          </w:p>
        </w:tc>
        <w:tc>
          <w:tcPr>
            <w:tcW w:w="1841" w:type="dxa"/>
            <w:tcBorders>
              <w:top w:val="single" w:sz="4" w:space="0" w:color="000000"/>
              <w:left w:val="single" w:sz="4" w:space="0" w:color="000000"/>
              <w:bottom w:val="single" w:sz="4" w:space="0" w:color="000000"/>
              <w:right w:val="single" w:sz="4" w:space="0" w:color="000000"/>
            </w:tcBorders>
          </w:tcPr>
          <w:p w14:paraId="7D21B973" w14:textId="77777777" w:rsidR="00DF71A6" w:rsidRPr="007A17AE" w:rsidRDefault="00715CD1" w:rsidP="007A17AE">
            <w:pPr>
              <w:tabs>
                <w:tab w:val="clear" w:pos="567"/>
              </w:tabs>
              <w:spacing w:line="240" w:lineRule="auto"/>
              <w:ind w:left="113"/>
              <w:contextualSpacing/>
              <w:jc w:val="center"/>
              <w:rPr>
                <w:szCs w:val="22"/>
                <w:lang w:eastAsia="en-GB"/>
              </w:rPr>
            </w:pPr>
            <w:r w:rsidRPr="007A17AE">
              <w:rPr>
                <w:spacing w:val="-1"/>
                <w:szCs w:val="22"/>
                <w:lang w:eastAsia="en-GB"/>
              </w:rPr>
              <w:t>nedažnas</w:t>
            </w:r>
          </w:p>
        </w:tc>
      </w:tr>
      <w:tr w:rsidR="00DF71A6" w:rsidRPr="007A17AE" w14:paraId="789BB082" w14:textId="77777777" w:rsidTr="00DF71A6">
        <w:trPr>
          <w:trHeight w:hRule="exact" w:val="941"/>
        </w:trPr>
        <w:tc>
          <w:tcPr>
            <w:tcW w:w="3084" w:type="dxa"/>
            <w:vMerge/>
            <w:tcBorders>
              <w:left w:val="single" w:sz="4" w:space="0" w:color="000000"/>
              <w:bottom w:val="single" w:sz="4" w:space="0" w:color="000000"/>
              <w:right w:val="single" w:sz="4" w:space="0" w:color="000000"/>
            </w:tcBorders>
          </w:tcPr>
          <w:p w14:paraId="1EB716A8" w14:textId="77777777" w:rsidR="00DF71A6" w:rsidRPr="007A17AE" w:rsidRDefault="00DF71A6" w:rsidP="007A17AE">
            <w:pPr>
              <w:tabs>
                <w:tab w:val="clear" w:pos="567"/>
              </w:tabs>
              <w:spacing w:line="240" w:lineRule="auto"/>
              <w:ind w:left="113"/>
              <w:contextualSpacing/>
              <w:rPr>
                <w:szCs w:val="22"/>
                <w:lang w:eastAsia="en-GB"/>
              </w:rPr>
            </w:pPr>
          </w:p>
        </w:tc>
        <w:tc>
          <w:tcPr>
            <w:tcW w:w="4363" w:type="dxa"/>
            <w:tcBorders>
              <w:top w:val="single" w:sz="4" w:space="0" w:color="000000"/>
              <w:left w:val="single" w:sz="4" w:space="0" w:color="000000"/>
              <w:bottom w:val="single" w:sz="4" w:space="0" w:color="000000"/>
              <w:right w:val="single" w:sz="4" w:space="0" w:color="000000"/>
            </w:tcBorders>
          </w:tcPr>
          <w:p w14:paraId="70ECE9D2" w14:textId="77777777" w:rsidR="00DF71A6" w:rsidRPr="007A17AE" w:rsidRDefault="00715CD1" w:rsidP="007A17AE">
            <w:pPr>
              <w:tabs>
                <w:tab w:val="clear" w:pos="567"/>
              </w:tabs>
              <w:spacing w:line="240" w:lineRule="auto"/>
              <w:ind w:left="113"/>
              <w:contextualSpacing/>
              <w:rPr>
                <w:szCs w:val="22"/>
                <w:lang w:eastAsia="en-GB"/>
              </w:rPr>
            </w:pPr>
            <w:r w:rsidRPr="007A17AE">
              <w:rPr>
                <w:szCs w:val="22"/>
                <w:lang w:eastAsia="en-GB"/>
              </w:rPr>
              <w:t>dvylikapirštės žarnos opos prakiurimas,</w:t>
            </w:r>
            <w:r w:rsidR="00C1636F">
              <w:rPr>
                <w:szCs w:val="22"/>
                <w:lang w:eastAsia="en-GB"/>
              </w:rPr>
              <w:t xml:space="preserve"> </w:t>
            </w:r>
            <w:r w:rsidRPr="007A17AE">
              <w:rPr>
                <w:szCs w:val="22"/>
                <w:lang w:eastAsia="en-GB"/>
              </w:rPr>
              <w:t>stomatitas, pilvo pūtimas, kietos išmatos,</w:t>
            </w:r>
            <w:r w:rsidR="00C1636F">
              <w:rPr>
                <w:szCs w:val="22"/>
                <w:lang w:eastAsia="en-GB"/>
              </w:rPr>
              <w:t xml:space="preserve"> </w:t>
            </w:r>
            <w:r w:rsidRPr="007A17AE">
              <w:rPr>
                <w:szCs w:val="22"/>
                <w:lang w:eastAsia="en-GB"/>
              </w:rPr>
              <w:t>neutropeninis kolitas</w:t>
            </w:r>
          </w:p>
        </w:tc>
        <w:tc>
          <w:tcPr>
            <w:tcW w:w="1841" w:type="dxa"/>
            <w:tcBorders>
              <w:top w:val="single" w:sz="4" w:space="0" w:color="000000"/>
              <w:left w:val="single" w:sz="4" w:space="0" w:color="000000"/>
              <w:bottom w:val="single" w:sz="4" w:space="0" w:color="000000"/>
              <w:right w:val="single" w:sz="4" w:space="0" w:color="000000"/>
            </w:tcBorders>
          </w:tcPr>
          <w:p w14:paraId="4BD2FF5F" w14:textId="77777777" w:rsidR="00DF71A6" w:rsidRPr="007A17AE" w:rsidRDefault="00715CD1" w:rsidP="007A17AE">
            <w:pPr>
              <w:tabs>
                <w:tab w:val="clear" w:pos="567"/>
              </w:tabs>
              <w:spacing w:line="240" w:lineRule="auto"/>
              <w:ind w:left="113"/>
              <w:contextualSpacing/>
              <w:jc w:val="center"/>
              <w:rPr>
                <w:szCs w:val="22"/>
                <w:lang w:eastAsia="en-GB"/>
              </w:rPr>
            </w:pPr>
            <w:r w:rsidRPr="007A17AE">
              <w:rPr>
                <w:szCs w:val="22"/>
                <w:lang w:eastAsia="en-GB"/>
              </w:rPr>
              <w:t>retas</w:t>
            </w:r>
          </w:p>
        </w:tc>
      </w:tr>
      <w:tr w:rsidR="00DF71A6" w:rsidRPr="007A17AE" w14:paraId="792691A1" w14:textId="77777777" w:rsidTr="00DF71A6">
        <w:trPr>
          <w:trHeight w:hRule="exact" w:val="598"/>
        </w:trPr>
        <w:tc>
          <w:tcPr>
            <w:tcW w:w="3084" w:type="dxa"/>
            <w:vMerge w:val="restart"/>
            <w:tcBorders>
              <w:top w:val="single" w:sz="4" w:space="0" w:color="000000"/>
              <w:left w:val="single" w:sz="4" w:space="0" w:color="000000"/>
              <w:right w:val="single" w:sz="4" w:space="0" w:color="000000"/>
            </w:tcBorders>
          </w:tcPr>
          <w:p w14:paraId="07CF52A2" w14:textId="77777777" w:rsidR="00DF71A6" w:rsidRPr="007A17AE" w:rsidRDefault="00715CD1" w:rsidP="007A17AE">
            <w:pPr>
              <w:tabs>
                <w:tab w:val="clear" w:pos="567"/>
              </w:tabs>
              <w:spacing w:line="240" w:lineRule="auto"/>
              <w:ind w:left="113"/>
              <w:contextualSpacing/>
              <w:rPr>
                <w:szCs w:val="22"/>
                <w:lang w:eastAsia="en-GB"/>
              </w:rPr>
            </w:pPr>
            <w:r w:rsidRPr="007A17AE">
              <w:rPr>
                <w:szCs w:val="22"/>
                <w:lang w:eastAsia="en-GB"/>
              </w:rPr>
              <w:t>Odos ir poodinio audinio</w:t>
            </w:r>
            <w:r w:rsidR="00C1636F">
              <w:rPr>
                <w:szCs w:val="22"/>
                <w:lang w:eastAsia="en-GB"/>
              </w:rPr>
              <w:t xml:space="preserve"> </w:t>
            </w:r>
            <w:r w:rsidRPr="007A17AE">
              <w:rPr>
                <w:szCs w:val="22"/>
                <w:lang w:eastAsia="en-GB"/>
              </w:rPr>
              <w:t>sutrikimai</w:t>
            </w:r>
          </w:p>
        </w:tc>
        <w:tc>
          <w:tcPr>
            <w:tcW w:w="4363" w:type="dxa"/>
            <w:tcBorders>
              <w:top w:val="single" w:sz="4" w:space="0" w:color="000000"/>
              <w:left w:val="single" w:sz="4" w:space="0" w:color="000000"/>
              <w:bottom w:val="single" w:sz="4" w:space="0" w:color="000000"/>
              <w:right w:val="single" w:sz="4" w:space="0" w:color="000000"/>
            </w:tcBorders>
          </w:tcPr>
          <w:p w14:paraId="37A1B771" w14:textId="77777777" w:rsidR="00DF71A6" w:rsidRPr="007A17AE" w:rsidRDefault="00715CD1" w:rsidP="007A17AE">
            <w:pPr>
              <w:tabs>
                <w:tab w:val="clear" w:pos="567"/>
              </w:tabs>
              <w:spacing w:line="240" w:lineRule="auto"/>
              <w:ind w:left="113"/>
              <w:contextualSpacing/>
              <w:rPr>
                <w:szCs w:val="22"/>
                <w:lang w:eastAsia="en-GB"/>
              </w:rPr>
            </w:pPr>
            <w:r w:rsidRPr="007A17AE">
              <w:rPr>
                <w:szCs w:val="22"/>
                <w:lang w:eastAsia="en-GB"/>
              </w:rPr>
              <w:t>išbėrimas, spuogai</w:t>
            </w:r>
          </w:p>
        </w:tc>
        <w:tc>
          <w:tcPr>
            <w:tcW w:w="1841" w:type="dxa"/>
            <w:tcBorders>
              <w:top w:val="single" w:sz="4" w:space="0" w:color="000000"/>
              <w:left w:val="single" w:sz="4" w:space="0" w:color="000000"/>
              <w:bottom w:val="single" w:sz="4" w:space="0" w:color="000000"/>
              <w:right w:val="single" w:sz="4" w:space="0" w:color="000000"/>
            </w:tcBorders>
          </w:tcPr>
          <w:p w14:paraId="5207326E" w14:textId="77777777" w:rsidR="00DF71A6" w:rsidRPr="007A17AE" w:rsidRDefault="00715CD1" w:rsidP="007A17AE">
            <w:pPr>
              <w:tabs>
                <w:tab w:val="clear" w:pos="567"/>
              </w:tabs>
              <w:spacing w:line="240" w:lineRule="auto"/>
              <w:ind w:left="113"/>
              <w:contextualSpacing/>
              <w:jc w:val="center"/>
              <w:rPr>
                <w:szCs w:val="22"/>
                <w:lang w:eastAsia="en-GB"/>
              </w:rPr>
            </w:pPr>
            <w:r w:rsidRPr="007A17AE">
              <w:rPr>
                <w:spacing w:val="-1"/>
                <w:szCs w:val="22"/>
                <w:lang w:eastAsia="en-GB"/>
              </w:rPr>
              <w:t>nedažnas</w:t>
            </w:r>
          </w:p>
        </w:tc>
      </w:tr>
      <w:tr w:rsidR="00DF71A6" w:rsidRPr="007A17AE" w14:paraId="47D659E2" w14:textId="77777777" w:rsidTr="005B1576">
        <w:trPr>
          <w:trHeight w:hRule="exact" w:val="1361"/>
        </w:trPr>
        <w:tc>
          <w:tcPr>
            <w:tcW w:w="3084" w:type="dxa"/>
            <w:vMerge/>
            <w:tcBorders>
              <w:left w:val="single" w:sz="4" w:space="0" w:color="000000"/>
              <w:right w:val="single" w:sz="4" w:space="0" w:color="000000"/>
            </w:tcBorders>
          </w:tcPr>
          <w:p w14:paraId="57ADCE5D" w14:textId="77777777" w:rsidR="00DF71A6" w:rsidRPr="007A17AE" w:rsidRDefault="00DF71A6" w:rsidP="007A17AE">
            <w:pPr>
              <w:tabs>
                <w:tab w:val="clear" w:pos="567"/>
              </w:tabs>
              <w:spacing w:line="240" w:lineRule="auto"/>
              <w:ind w:left="113"/>
              <w:contextualSpacing/>
              <w:rPr>
                <w:szCs w:val="22"/>
                <w:lang w:eastAsia="en-GB"/>
              </w:rPr>
            </w:pPr>
          </w:p>
        </w:tc>
        <w:tc>
          <w:tcPr>
            <w:tcW w:w="4363" w:type="dxa"/>
            <w:tcBorders>
              <w:top w:val="single" w:sz="4" w:space="0" w:color="000000"/>
              <w:left w:val="single" w:sz="4" w:space="0" w:color="000000"/>
              <w:bottom w:val="single" w:sz="4" w:space="0" w:color="000000"/>
              <w:right w:val="single" w:sz="4" w:space="0" w:color="000000"/>
            </w:tcBorders>
          </w:tcPr>
          <w:p w14:paraId="41D2AFCF" w14:textId="77777777" w:rsidR="00DF71A6" w:rsidRPr="006B56A8" w:rsidRDefault="005B1576" w:rsidP="007A17AE">
            <w:pPr>
              <w:tabs>
                <w:tab w:val="clear" w:pos="567"/>
              </w:tabs>
              <w:spacing w:line="240" w:lineRule="auto"/>
              <w:ind w:left="113"/>
              <w:contextualSpacing/>
              <w:rPr>
                <w:szCs w:val="22"/>
                <w:lang w:eastAsia="en-GB"/>
              </w:rPr>
            </w:pPr>
            <w:r w:rsidRPr="007A17AE">
              <w:rPr>
                <w:szCs w:val="22"/>
                <w:lang w:eastAsia="en-GB"/>
              </w:rPr>
              <w:t>padidėjusio jautrumo šviesai reakcija, padidėjęs prakaitavimas, seborėja, odos pažeidimas, niežtintis</w:t>
            </w:r>
            <w:r w:rsidR="00D33EB4" w:rsidRPr="007A17AE">
              <w:rPr>
                <w:szCs w:val="22"/>
                <w:lang w:eastAsia="en-GB"/>
              </w:rPr>
              <w:t xml:space="preserve"> </w:t>
            </w:r>
            <w:r w:rsidRPr="007A17AE">
              <w:rPr>
                <w:szCs w:val="22"/>
                <w:lang w:eastAsia="en-GB"/>
              </w:rPr>
              <w:t>išbėrimas, Stivenso-Džonsono (</w:t>
            </w:r>
            <w:r w:rsidRPr="00F122CC">
              <w:rPr>
                <w:i/>
                <w:szCs w:val="22"/>
                <w:lang w:eastAsia="en-GB"/>
              </w:rPr>
              <w:t>Stevens-Johnson</w:t>
            </w:r>
            <w:r w:rsidRPr="007A17AE">
              <w:rPr>
                <w:szCs w:val="22"/>
                <w:lang w:eastAsia="en-GB"/>
              </w:rPr>
              <w:t>) sindromas ar toksinė epidermio nekrolizė</w:t>
            </w:r>
            <w:r w:rsidR="006B56A8">
              <w:rPr>
                <w:szCs w:val="22"/>
                <w:lang w:eastAsia="en-GB"/>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4AAF72DD" w14:textId="77777777" w:rsidR="00DF71A6" w:rsidRPr="007A17AE" w:rsidRDefault="00715CD1" w:rsidP="007A17AE">
            <w:pPr>
              <w:tabs>
                <w:tab w:val="clear" w:pos="567"/>
              </w:tabs>
              <w:spacing w:line="240" w:lineRule="auto"/>
              <w:ind w:left="113"/>
              <w:contextualSpacing/>
              <w:jc w:val="center"/>
              <w:rPr>
                <w:szCs w:val="22"/>
                <w:lang w:eastAsia="en-GB"/>
              </w:rPr>
            </w:pPr>
            <w:r w:rsidRPr="007A17AE">
              <w:rPr>
                <w:szCs w:val="22"/>
                <w:lang w:eastAsia="en-GB"/>
              </w:rPr>
              <w:t>retas</w:t>
            </w:r>
          </w:p>
        </w:tc>
      </w:tr>
      <w:tr w:rsidR="00DF71A6" w:rsidRPr="007A17AE" w14:paraId="02B8C063" w14:textId="77777777" w:rsidTr="00DF71A6">
        <w:trPr>
          <w:trHeight w:hRule="exact" w:val="600"/>
        </w:trPr>
        <w:tc>
          <w:tcPr>
            <w:tcW w:w="3084" w:type="dxa"/>
            <w:vMerge/>
            <w:tcBorders>
              <w:left w:val="single" w:sz="4" w:space="0" w:color="000000"/>
              <w:bottom w:val="single" w:sz="4" w:space="0" w:color="000000"/>
              <w:right w:val="single" w:sz="4" w:space="0" w:color="000000"/>
            </w:tcBorders>
          </w:tcPr>
          <w:p w14:paraId="05430587" w14:textId="77777777" w:rsidR="00DF71A6" w:rsidRPr="007A17AE" w:rsidRDefault="00DF71A6" w:rsidP="007A17AE">
            <w:pPr>
              <w:tabs>
                <w:tab w:val="clear" w:pos="567"/>
              </w:tabs>
              <w:spacing w:line="240" w:lineRule="auto"/>
              <w:ind w:left="113"/>
              <w:contextualSpacing/>
              <w:rPr>
                <w:szCs w:val="22"/>
                <w:lang w:eastAsia="en-GB"/>
              </w:rPr>
            </w:pPr>
          </w:p>
        </w:tc>
        <w:tc>
          <w:tcPr>
            <w:tcW w:w="4363" w:type="dxa"/>
            <w:tcBorders>
              <w:top w:val="single" w:sz="4" w:space="0" w:color="000000"/>
              <w:left w:val="single" w:sz="4" w:space="0" w:color="000000"/>
              <w:bottom w:val="single" w:sz="4" w:space="0" w:color="000000"/>
              <w:right w:val="single" w:sz="4" w:space="0" w:color="000000"/>
            </w:tcBorders>
          </w:tcPr>
          <w:p w14:paraId="7737B806" w14:textId="683B5D9D" w:rsidR="00DF71A6" w:rsidRPr="007A17AE" w:rsidRDefault="005B1576" w:rsidP="00FD7C94">
            <w:pPr>
              <w:tabs>
                <w:tab w:val="clear" w:pos="567"/>
              </w:tabs>
              <w:spacing w:line="240" w:lineRule="auto"/>
              <w:ind w:left="113"/>
              <w:contextualSpacing/>
              <w:rPr>
                <w:szCs w:val="22"/>
                <w:lang w:eastAsia="en-GB"/>
              </w:rPr>
            </w:pPr>
            <w:r w:rsidRPr="007A17AE">
              <w:rPr>
                <w:szCs w:val="22"/>
                <w:lang w:eastAsia="en-GB"/>
              </w:rPr>
              <w:t>niež</w:t>
            </w:r>
            <w:r w:rsidR="00FD7C94">
              <w:rPr>
                <w:szCs w:val="22"/>
                <w:lang w:eastAsia="en-GB"/>
              </w:rPr>
              <w:t>ėjimas</w:t>
            </w:r>
            <w:r w:rsidRPr="007A17AE">
              <w:rPr>
                <w:szCs w:val="22"/>
                <w:lang w:eastAsia="en-GB"/>
              </w:rPr>
              <w:t>, dilgėlinė</w:t>
            </w:r>
          </w:p>
        </w:tc>
        <w:tc>
          <w:tcPr>
            <w:tcW w:w="1841" w:type="dxa"/>
            <w:tcBorders>
              <w:top w:val="single" w:sz="4" w:space="0" w:color="000000"/>
              <w:left w:val="single" w:sz="4" w:space="0" w:color="000000"/>
              <w:bottom w:val="single" w:sz="4" w:space="0" w:color="000000"/>
              <w:right w:val="single" w:sz="4" w:space="0" w:color="000000"/>
            </w:tcBorders>
          </w:tcPr>
          <w:p w14:paraId="2F9BAFEC" w14:textId="77777777" w:rsidR="00DF71A6" w:rsidRPr="007A17AE" w:rsidRDefault="005B1576" w:rsidP="007A17AE">
            <w:pPr>
              <w:tabs>
                <w:tab w:val="clear" w:pos="567"/>
              </w:tabs>
              <w:spacing w:line="240" w:lineRule="auto"/>
              <w:ind w:left="113"/>
              <w:contextualSpacing/>
              <w:jc w:val="center"/>
              <w:rPr>
                <w:szCs w:val="22"/>
                <w:lang w:eastAsia="en-GB"/>
              </w:rPr>
            </w:pPr>
            <w:r w:rsidRPr="007A17AE">
              <w:rPr>
                <w:szCs w:val="22"/>
                <w:lang w:eastAsia="en-GB"/>
              </w:rPr>
              <w:t>nežinomas</w:t>
            </w:r>
          </w:p>
        </w:tc>
      </w:tr>
      <w:tr w:rsidR="00DF71A6" w:rsidRPr="007A17AE" w14:paraId="149287D0" w14:textId="77777777" w:rsidTr="00DF71A6">
        <w:trPr>
          <w:trHeight w:hRule="exact" w:val="516"/>
        </w:trPr>
        <w:tc>
          <w:tcPr>
            <w:tcW w:w="3084" w:type="dxa"/>
            <w:tcBorders>
              <w:top w:val="single" w:sz="4" w:space="0" w:color="000000"/>
              <w:left w:val="single" w:sz="4" w:space="0" w:color="000000"/>
              <w:bottom w:val="single" w:sz="4" w:space="0" w:color="000000"/>
              <w:right w:val="single" w:sz="4" w:space="0" w:color="000000"/>
            </w:tcBorders>
          </w:tcPr>
          <w:p w14:paraId="04B94CAB" w14:textId="77777777" w:rsidR="00DF71A6" w:rsidRPr="007A17AE" w:rsidRDefault="005B1576" w:rsidP="007A17AE">
            <w:pPr>
              <w:tabs>
                <w:tab w:val="clear" w:pos="567"/>
              </w:tabs>
              <w:spacing w:line="240" w:lineRule="auto"/>
              <w:ind w:left="113"/>
              <w:contextualSpacing/>
              <w:rPr>
                <w:szCs w:val="22"/>
                <w:lang w:eastAsia="en-GB"/>
              </w:rPr>
            </w:pPr>
            <w:r w:rsidRPr="007A17AE">
              <w:rPr>
                <w:szCs w:val="22"/>
                <w:lang w:eastAsia="en-GB"/>
              </w:rPr>
              <w:t>Skeleto, raumenų ir jungiamojo</w:t>
            </w:r>
            <w:r w:rsidR="00C1636F">
              <w:rPr>
                <w:szCs w:val="22"/>
                <w:lang w:eastAsia="en-GB"/>
              </w:rPr>
              <w:t xml:space="preserve"> </w:t>
            </w:r>
            <w:r w:rsidRPr="007A17AE">
              <w:rPr>
                <w:szCs w:val="22"/>
                <w:lang w:eastAsia="en-GB"/>
              </w:rPr>
              <w:t>audinio sutrikimai</w:t>
            </w:r>
          </w:p>
        </w:tc>
        <w:tc>
          <w:tcPr>
            <w:tcW w:w="4363" w:type="dxa"/>
            <w:tcBorders>
              <w:top w:val="single" w:sz="4" w:space="0" w:color="000000"/>
              <w:left w:val="single" w:sz="4" w:space="0" w:color="000000"/>
              <w:bottom w:val="single" w:sz="4" w:space="0" w:color="000000"/>
              <w:right w:val="single" w:sz="4" w:space="0" w:color="000000"/>
            </w:tcBorders>
          </w:tcPr>
          <w:p w14:paraId="53BEE02A" w14:textId="77777777" w:rsidR="00DF71A6" w:rsidRPr="007A17AE" w:rsidRDefault="005B1576" w:rsidP="007A17AE">
            <w:pPr>
              <w:tabs>
                <w:tab w:val="clear" w:pos="567"/>
              </w:tabs>
              <w:spacing w:line="240" w:lineRule="auto"/>
              <w:ind w:left="113"/>
              <w:contextualSpacing/>
              <w:rPr>
                <w:szCs w:val="22"/>
                <w:lang w:eastAsia="en-GB"/>
              </w:rPr>
            </w:pPr>
            <w:r w:rsidRPr="007A17AE">
              <w:rPr>
                <w:szCs w:val="22"/>
                <w:lang w:eastAsia="en-GB"/>
              </w:rPr>
              <w:t>raumenų silpnumas, raumenų spazmai</w:t>
            </w:r>
          </w:p>
        </w:tc>
        <w:tc>
          <w:tcPr>
            <w:tcW w:w="1841" w:type="dxa"/>
            <w:tcBorders>
              <w:top w:val="single" w:sz="4" w:space="0" w:color="000000"/>
              <w:left w:val="single" w:sz="4" w:space="0" w:color="000000"/>
              <w:bottom w:val="single" w:sz="4" w:space="0" w:color="000000"/>
              <w:right w:val="single" w:sz="4" w:space="0" w:color="000000"/>
            </w:tcBorders>
          </w:tcPr>
          <w:p w14:paraId="5CAA83E3" w14:textId="77777777" w:rsidR="00DF71A6" w:rsidRPr="007A17AE" w:rsidRDefault="00DF71A6" w:rsidP="007A17AE">
            <w:pPr>
              <w:tabs>
                <w:tab w:val="clear" w:pos="567"/>
              </w:tabs>
              <w:spacing w:line="240" w:lineRule="auto"/>
              <w:ind w:left="113"/>
              <w:contextualSpacing/>
              <w:jc w:val="center"/>
              <w:rPr>
                <w:szCs w:val="22"/>
                <w:lang w:eastAsia="en-GB"/>
              </w:rPr>
            </w:pPr>
            <w:r w:rsidRPr="007A17AE">
              <w:rPr>
                <w:szCs w:val="22"/>
                <w:lang w:eastAsia="en-GB"/>
              </w:rPr>
              <w:t>r</w:t>
            </w:r>
            <w:r w:rsidR="005B1576" w:rsidRPr="007A17AE">
              <w:rPr>
                <w:szCs w:val="22"/>
                <w:lang w:eastAsia="en-GB"/>
              </w:rPr>
              <w:t>etas</w:t>
            </w:r>
          </w:p>
        </w:tc>
      </w:tr>
      <w:tr w:rsidR="00DF71A6" w:rsidRPr="007A17AE" w14:paraId="5F084185" w14:textId="77777777" w:rsidTr="00DF71A6">
        <w:trPr>
          <w:trHeight w:hRule="exact" w:val="389"/>
        </w:trPr>
        <w:tc>
          <w:tcPr>
            <w:tcW w:w="3084" w:type="dxa"/>
            <w:vMerge w:val="restart"/>
            <w:tcBorders>
              <w:top w:val="single" w:sz="4" w:space="0" w:color="000000"/>
              <w:left w:val="single" w:sz="4" w:space="0" w:color="000000"/>
              <w:right w:val="single" w:sz="4" w:space="0" w:color="000000"/>
            </w:tcBorders>
          </w:tcPr>
          <w:p w14:paraId="54710310" w14:textId="77777777" w:rsidR="00DF71A6" w:rsidRPr="007A17AE" w:rsidRDefault="005B1576" w:rsidP="007A17AE">
            <w:pPr>
              <w:tabs>
                <w:tab w:val="clear" w:pos="567"/>
              </w:tabs>
              <w:spacing w:line="240" w:lineRule="auto"/>
              <w:ind w:left="113"/>
              <w:contextualSpacing/>
              <w:rPr>
                <w:szCs w:val="22"/>
                <w:lang w:eastAsia="en-GB"/>
              </w:rPr>
            </w:pPr>
            <w:r w:rsidRPr="007A17AE">
              <w:rPr>
                <w:szCs w:val="22"/>
                <w:lang w:eastAsia="en-GB"/>
              </w:rPr>
              <w:t>Inkstų ir šlapimo takų</w:t>
            </w:r>
            <w:r w:rsidR="00C1636F">
              <w:rPr>
                <w:szCs w:val="22"/>
                <w:lang w:eastAsia="en-GB"/>
              </w:rPr>
              <w:t xml:space="preserve"> </w:t>
            </w:r>
            <w:r w:rsidRPr="007A17AE">
              <w:rPr>
                <w:szCs w:val="22"/>
                <w:lang w:eastAsia="en-GB"/>
              </w:rPr>
              <w:t>sutrikimai</w:t>
            </w:r>
          </w:p>
        </w:tc>
        <w:tc>
          <w:tcPr>
            <w:tcW w:w="4363" w:type="dxa"/>
            <w:tcBorders>
              <w:top w:val="single" w:sz="4" w:space="0" w:color="000000"/>
              <w:left w:val="single" w:sz="4" w:space="0" w:color="000000"/>
              <w:bottom w:val="single" w:sz="4" w:space="0" w:color="000000"/>
              <w:right w:val="single" w:sz="4" w:space="0" w:color="000000"/>
            </w:tcBorders>
          </w:tcPr>
          <w:p w14:paraId="0E8F681D" w14:textId="77777777" w:rsidR="00DF71A6" w:rsidRPr="007A17AE" w:rsidRDefault="00DF71A6" w:rsidP="007A17AE">
            <w:pPr>
              <w:tabs>
                <w:tab w:val="clear" w:pos="567"/>
              </w:tabs>
              <w:spacing w:line="240" w:lineRule="auto"/>
              <w:ind w:left="113"/>
              <w:contextualSpacing/>
              <w:rPr>
                <w:szCs w:val="22"/>
                <w:lang w:eastAsia="en-GB"/>
              </w:rPr>
            </w:pPr>
            <w:r w:rsidRPr="007A17AE">
              <w:rPr>
                <w:szCs w:val="22"/>
                <w:lang w:eastAsia="en-GB"/>
              </w:rPr>
              <w:t>d</w:t>
            </w:r>
            <w:r w:rsidR="005B1576" w:rsidRPr="007A17AE">
              <w:rPr>
                <w:szCs w:val="22"/>
                <w:lang w:eastAsia="en-GB"/>
              </w:rPr>
              <w:t>izurija</w:t>
            </w:r>
          </w:p>
        </w:tc>
        <w:tc>
          <w:tcPr>
            <w:tcW w:w="1841" w:type="dxa"/>
            <w:tcBorders>
              <w:top w:val="single" w:sz="4" w:space="0" w:color="000000"/>
              <w:left w:val="single" w:sz="4" w:space="0" w:color="000000"/>
              <w:bottom w:val="single" w:sz="4" w:space="0" w:color="000000"/>
              <w:right w:val="single" w:sz="4" w:space="0" w:color="000000"/>
            </w:tcBorders>
          </w:tcPr>
          <w:p w14:paraId="2E99D835" w14:textId="77777777" w:rsidR="00DF71A6" w:rsidRPr="007A17AE" w:rsidRDefault="005B1576" w:rsidP="007A17AE">
            <w:pPr>
              <w:tabs>
                <w:tab w:val="clear" w:pos="567"/>
              </w:tabs>
              <w:spacing w:line="240" w:lineRule="auto"/>
              <w:ind w:left="113"/>
              <w:contextualSpacing/>
              <w:jc w:val="center"/>
              <w:rPr>
                <w:szCs w:val="22"/>
                <w:lang w:eastAsia="en-GB"/>
              </w:rPr>
            </w:pPr>
            <w:r w:rsidRPr="007A17AE">
              <w:rPr>
                <w:spacing w:val="-1"/>
                <w:szCs w:val="22"/>
                <w:lang w:eastAsia="en-GB"/>
              </w:rPr>
              <w:t>ned</w:t>
            </w:r>
            <w:r w:rsidR="00D33EB4" w:rsidRPr="007A17AE">
              <w:rPr>
                <w:spacing w:val="-1"/>
                <w:szCs w:val="22"/>
                <w:lang w:eastAsia="en-GB"/>
              </w:rPr>
              <w:t>a</w:t>
            </w:r>
            <w:r w:rsidRPr="007A17AE">
              <w:rPr>
                <w:spacing w:val="-1"/>
                <w:szCs w:val="22"/>
                <w:lang w:eastAsia="en-GB"/>
              </w:rPr>
              <w:t>žnas</w:t>
            </w:r>
          </w:p>
        </w:tc>
      </w:tr>
      <w:tr w:rsidR="00DF71A6" w:rsidRPr="007A17AE" w14:paraId="2CE0128B" w14:textId="77777777" w:rsidTr="00DF71A6">
        <w:trPr>
          <w:trHeight w:hRule="exact" w:val="389"/>
        </w:trPr>
        <w:tc>
          <w:tcPr>
            <w:tcW w:w="3084" w:type="dxa"/>
            <w:vMerge/>
            <w:tcBorders>
              <w:left w:val="single" w:sz="4" w:space="0" w:color="000000"/>
              <w:bottom w:val="single" w:sz="4" w:space="0" w:color="000000"/>
              <w:right w:val="single" w:sz="4" w:space="0" w:color="000000"/>
            </w:tcBorders>
          </w:tcPr>
          <w:p w14:paraId="5AC6641B" w14:textId="77777777" w:rsidR="00DF71A6" w:rsidRPr="007A17AE" w:rsidRDefault="00DF71A6" w:rsidP="007A17AE">
            <w:pPr>
              <w:tabs>
                <w:tab w:val="clear" w:pos="567"/>
              </w:tabs>
              <w:spacing w:line="240" w:lineRule="auto"/>
              <w:ind w:left="113"/>
              <w:contextualSpacing/>
              <w:rPr>
                <w:szCs w:val="22"/>
                <w:lang w:eastAsia="en-GB"/>
              </w:rPr>
            </w:pPr>
          </w:p>
        </w:tc>
        <w:tc>
          <w:tcPr>
            <w:tcW w:w="4363" w:type="dxa"/>
            <w:tcBorders>
              <w:top w:val="single" w:sz="4" w:space="0" w:color="000000"/>
              <w:left w:val="single" w:sz="4" w:space="0" w:color="000000"/>
              <w:bottom w:val="single" w:sz="4" w:space="0" w:color="000000"/>
              <w:right w:val="single" w:sz="4" w:space="0" w:color="000000"/>
            </w:tcBorders>
          </w:tcPr>
          <w:p w14:paraId="07FB4304" w14:textId="77777777" w:rsidR="00DF71A6" w:rsidRPr="007A17AE" w:rsidRDefault="005B1576" w:rsidP="007A17AE">
            <w:pPr>
              <w:tabs>
                <w:tab w:val="clear" w:pos="567"/>
              </w:tabs>
              <w:spacing w:line="240" w:lineRule="auto"/>
              <w:ind w:left="113"/>
              <w:contextualSpacing/>
              <w:rPr>
                <w:szCs w:val="22"/>
                <w:lang w:eastAsia="en-GB"/>
              </w:rPr>
            </w:pPr>
            <w:r w:rsidRPr="007A17AE">
              <w:rPr>
                <w:szCs w:val="22"/>
                <w:lang w:eastAsia="en-GB"/>
              </w:rPr>
              <w:t>dažnas šlapinimasis</w:t>
            </w:r>
          </w:p>
        </w:tc>
        <w:tc>
          <w:tcPr>
            <w:tcW w:w="1841" w:type="dxa"/>
            <w:tcBorders>
              <w:top w:val="single" w:sz="4" w:space="0" w:color="000000"/>
              <w:left w:val="single" w:sz="4" w:space="0" w:color="000000"/>
              <w:bottom w:val="single" w:sz="4" w:space="0" w:color="000000"/>
              <w:right w:val="single" w:sz="4" w:space="0" w:color="000000"/>
            </w:tcBorders>
          </w:tcPr>
          <w:p w14:paraId="4D46B6CF" w14:textId="77777777" w:rsidR="00DF71A6" w:rsidRPr="007A17AE" w:rsidRDefault="005B1576" w:rsidP="007A17AE">
            <w:pPr>
              <w:tabs>
                <w:tab w:val="clear" w:pos="567"/>
              </w:tabs>
              <w:spacing w:line="240" w:lineRule="auto"/>
              <w:ind w:left="113"/>
              <w:contextualSpacing/>
              <w:jc w:val="center"/>
              <w:rPr>
                <w:szCs w:val="22"/>
                <w:lang w:eastAsia="en-GB"/>
              </w:rPr>
            </w:pPr>
            <w:r w:rsidRPr="007A17AE">
              <w:rPr>
                <w:szCs w:val="22"/>
                <w:lang w:eastAsia="en-GB"/>
              </w:rPr>
              <w:t>retas</w:t>
            </w:r>
          </w:p>
        </w:tc>
      </w:tr>
      <w:tr w:rsidR="00DF71A6" w:rsidRPr="007A17AE" w14:paraId="66925CC3" w14:textId="77777777" w:rsidTr="00DF71A6">
        <w:trPr>
          <w:trHeight w:hRule="exact" w:val="516"/>
        </w:trPr>
        <w:tc>
          <w:tcPr>
            <w:tcW w:w="3084" w:type="dxa"/>
            <w:vMerge w:val="restart"/>
            <w:tcBorders>
              <w:top w:val="single" w:sz="4" w:space="0" w:color="000000"/>
              <w:left w:val="single" w:sz="4" w:space="0" w:color="000000"/>
              <w:right w:val="single" w:sz="4" w:space="0" w:color="000000"/>
            </w:tcBorders>
          </w:tcPr>
          <w:p w14:paraId="2B343531" w14:textId="77777777" w:rsidR="00DF71A6" w:rsidRPr="007A17AE" w:rsidRDefault="00025AB4" w:rsidP="007A17AE">
            <w:pPr>
              <w:tabs>
                <w:tab w:val="clear" w:pos="567"/>
              </w:tabs>
              <w:spacing w:line="240" w:lineRule="auto"/>
              <w:ind w:left="113"/>
              <w:contextualSpacing/>
              <w:rPr>
                <w:szCs w:val="22"/>
                <w:lang w:eastAsia="en-GB"/>
              </w:rPr>
            </w:pPr>
            <w:r w:rsidRPr="007A17AE">
              <w:rPr>
                <w:szCs w:val="22"/>
                <w:lang w:eastAsia="en-GB"/>
              </w:rPr>
              <w:t>Bendrieji sutrikimai ir vartojimo</w:t>
            </w:r>
            <w:r w:rsidR="00C1636F">
              <w:rPr>
                <w:szCs w:val="22"/>
                <w:lang w:eastAsia="en-GB"/>
              </w:rPr>
              <w:t xml:space="preserve"> </w:t>
            </w:r>
            <w:r w:rsidRPr="007A17AE">
              <w:rPr>
                <w:szCs w:val="22"/>
                <w:lang w:eastAsia="en-GB"/>
              </w:rPr>
              <w:t>vietos pažeidimai</w:t>
            </w:r>
          </w:p>
        </w:tc>
        <w:tc>
          <w:tcPr>
            <w:tcW w:w="4363" w:type="dxa"/>
            <w:tcBorders>
              <w:top w:val="single" w:sz="4" w:space="0" w:color="000000"/>
              <w:left w:val="single" w:sz="4" w:space="0" w:color="000000"/>
              <w:bottom w:val="single" w:sz="4" w:space="0" w:color="000000"/>
              <w:right w:val="single" w:sz="4" w:space="0" w:color="000000"/>
            </w:tcBorders>
          </w:tcPr>
          <w:p w14:paraId="0CE95259" w14:textId="77777777" w:rsidR="00DF71A6" w:rsidRPr="007A17AE" w:rsidRDefault="00025AB4" w:rsidP="007A17AE">
            <w:pPr>
              <w:tabs>
                <w:tab w:val="clear" w:pos="567"/>
              </w:tabs>
              <w:spacing w:line="240" w:lineRule="auto"/>
              <w:ind w:left="113"/>
              <w:contextualSpacing/>
              <w:rPr>
                <w:szCs w:val="22"/>
                <w:lang w:eastAsia="en-GB"/>
              </w:rPr>
            </w:pPr>
            <w:r w:rsidRPr="007A17AE">
              <w:rPr>
                <w:szCs w:val="22"/>
                <w:lang w:eastAsia="en-GB"/>
              </w:rPr>
              <w:t>nuovargis</w:t>
            </w:r>
          </w:p>
        </w:tc>
        <w:tc>
          <w:tcPr>
            <w:tcW w:w="1841" w:type="dxa"/>
            <w:tcBorders>
              <w:top w:val="single" w:sz="4" w:space="0" w:color="000000"/>
              <w:left w:val="single" w:sz="4" w:space="0" w:color="000000"/>
              <w:bottom w:val="single" w:sz="4" w:space="0" w:color="000000"/>
              <w:right w:val="single" w:sz="4" w:space="0" w:color="000000"/>
            </w:tcBorders>
          </w:tcPr>
          <w:p w14:paraId="6E08E6FD" w14:textId="77777777" w:rsidR="00DF71A6" w:rsidRPr="007A17AE" w:rsidRDefault="005B1576" w:rsidP="007A17AE">
            <w:pPr>
              <w:tabs>
                <w:tab w:val="clear" w:pos="567"/>
              </w:tabs>
              <w:spacing w:line="240" w:lineRule="auto"/>
              <w:ind w:left="113"/>
              <w:contextualSpacing/>
              <w:jc w:val="center"/>
              <w:rPr>
                <w:szCs w:val="22"/>
                <w:lang w:eastAsia="en-GB"/>
              </w:rPr>
            </w:pPr>
            <w:r w:rsidRPr="007A17AE">
              <w:rPr>
                <w:spacing w:val="-1"/>
                <w:szCs w:val="22"/>
                <w:lang w:eastAsia="en-GB"/>
              </w:rPr>
              <w:t>dažnas</w:t>
            </w:r>
          </w:p>
        </w:tc>
      </w:tr>
      <w:tr w:rsidR="00DF71A6" w:rsidRPr="007A17AE" w14:paraId="29A1982C" w14:textId="77777777" w:rsidTr="00DF71A6">
        <w:trPr>
          <w:trHeight w:hRule="exact" w:val="516"/>
        </w:trPr>
        <w:tc>
          <w:tcPr>
            <w:tcW w:w="3084" w:type="dxa"/>
            <w:vMerge/>
            <w:tcBorders>
              <w:left w:val="single" w:sz="4" w:space="0" w:color="000000"/>
              <w:right w:val="single" w:sz="4" w:space="0" w:color="000000"/>
            </w:tcBorders>
          </w:tcPr>
          <w:p w14:paraId="17FD9190" w14:textId="77777777" w:rsidR="00DF71A6" w:rsidRPr="007A17AE" w:rsidRDefault="00DF71A6" w:rsidP="007A17AE">
            <w:pPr>
              <w:tabs>
                <w:tab w:val="clear" w:pos="567"/>
              </w:tabs>
              <w:spacing w:line="240" w:lineRule="auto"/>
              <w:ind w:left="113"/>
              <w:contextualSpacing/>
              <w:rPr>
                <w:szCs w:val="22"/>
                <w:lang w:eastAsia="en-GB"/>
              </w:rPr>
            </w:pPr>
          </w:p>
        </w:tc>
        <w:tc>
          <w:tcPr>
            <w:tcW w:w="4363" w:type="dxa"/>
            <w:tcBorders>
              <w:top w:val="single" w:sz="4" w:space="0" w:color="000000"/>
              <w:left w:val="single" w:sz="4" w:space="0" w:color="000000"/>
              <w:bottom w:val="single" w:sz="4" w:space="0" w:color="000000"/>
              <w:right w:val="single" w:sz="4" w:space="0" w:color="000000"/>
            </w:tcBorders>
          </w:tcPr>
          <w:p w14:paraId="75C60A4A" w14:textId="77777777" w:rsidR="00DF71A6" w:rsidRPr="007A17AE" w:rsidRDefault="005B1576" w:rsidP="007A17AE">
            <w:pPr>
              <w:tabs>
                <w:tab w:val="clear" w:pos="567"/>
              </w:tabs>
              <w:spacing w:line="240" w:lineRule="auto"/>
              <w:ind w:left="113"/>
              <w:contextualSpacing/>
              <w:rPr>
                <w:szCs w:val="22"/>
                <w:lang w:eastAsia="en-GB"/>
              </w:rPr>
            </w:pPr>
            <w:r w:rsidRPr="007A17AE">
              <w:rPr>
                <w:szCs w:val="22"/>
                <w:lang w:eastAsia="en-GB"/>
              </w:rPr>
              <w:t>astenija</w:t>
            </w:r>
            <w:r w:rsidR="00DF71A6" w:rsidRPr="007A17AE">
              <w:rPr>
                <w:szCs w:val="22"/>
                <w:lang w:eastAsia="en-GB"/>
              </w:rPr>
              <w:t xml:space="preserve">, </w:t>
            </w:r>
            <w:r w:rsidRPr="007A17AE">
              <w:rPr>
                <w:szCs w:val="22"/>
                <w:lang w:eastAsia="en-GB"/>
              </w:rPr>
              <w:t>negalavimas</w:t>
            </w:r>
          </w:p>
        </w:tc>
        <w:tc>
          <w:tcPr>
            <w:tcW w:w="1841" w:type="dxa"/>
            <w:tcBorders>
              <w:top w:val="single" w:sz="4" w:space="0" w:color="000000"/>
              <w:left w:val="single" w:sz="4" w:space="0" w:color="000000"/>
              <w:bottom w:val="single" w:sz="4" w:space="0" w:color="000000"/>
              <w:right w:val="single" w:sz="4" w:space="0" w:color="000000"/>
            </w:tcBorders>
          </w:tcPr>
          <w:p w14:paraId="4985B5F0" w14:textId="77777777" w:rsidR="00DF71A6" w:rsidRPr="007A17AE" w:rsidRDefault="005B1576" w:rsidP="007A17AE">
            <w:pPr>
              <w:tabs>
                <w:tab w:val="clear" w:pos="567"/>
              </w:tabs>
              <w:spacing w:line="240" w:lineRule="auto"/>
              <w:ind w:left="113"/>
              <w:contextualSpacing/>
              <w:jc w:val="center"/>
              <w:rPr>
                <w:szCs w:val="22"/>
                <w:lang w:eastAsia="en-GB"/>
              </w:rPr>
            </w:pPr>
            <w:r w:rsidRPr="007A17AE">
              <w:rPr>
                <w:spacing w:val="-1"/>
                <w:szCs w:val="22"/>
                <w:lang w:eastAsia="en-GB"/>
              </w:rPr>
              <w:t>nedažnas</w:t>
            </w:r>
          </w:p>
        </w:tc>
      </w:tr>
      <w:tr w:rsidR="00DF71A6" w:rsidRPr="007A17AE" w14:paraId="2AE253AC" w14:textId="77777777" w:rsidTr="00DF71A6">
        <w:trPr>
          <w:trHeight w:hRule="exact" w:val="516"/>
        </w:trPr>
        <w:tc>
          <w:tcPr>
            <w:tcW w:w="3084" w:type="dxa"/>
            <w:vMerge/>
            <w:tcBorders>
              <w:left w:val="single" w:sz="4" w:space="0" w:color="000000"/>
              <w:bottom w:val="single" w:sz="4" w:space="0" w:color="000000"/>
              <w:right w:val="single" w:sz="4" w:space="0" w:color="000000"/>
            </w:tcBorders>
          </w:tcPr>
          <w:p w14:paraId="37579D9C" w14:textId="77777777" w:rsidR="00DF71A6" w:rsidRPr="007A17AE" w:rsidRDefault="00DF71A6" w:rsidP="007A17AE">
            <w:pPr>
              <w:tabs>
                <w:tab w:val="clear" w:pos="567"/>
              </w:tabs>
              <w:spacing w:line="240" w:lineRule="auto"/>
              <w:ind w:left="113"/>
              <w:contextualSpacing/>
              <w:rPr>
                <w:szCs w:val="22"/>
                <w:lang w:eastAsia="en-GB"/>
              </w:rPr>
            </w:pPr>
          </w:p>
        </w:tc>
        <w:tc>
          <w:tcPr>
            <w:tcW w:w="4363" w:type="dxa"/>
            <w:tcBorders>
              <w:top w:val="single" w:sz="4" w:space="0" w:color="000000"/>
              <w:left w:val="single" w:sz="4" w:space="0" w:color="000000"/>
              <w:bottom w:val="single" w:sz="4" w:space="0" w:color="000000"/>
              <w:right w:val="single" w:sz="4" w:space="0" w:color="000000"/>
            </w:tcBorders>
          </w:tcPr>
          <w:p w14:paraId="37464A68" w14:textId="77777777" w:rsidR="00DF71A6" w:rsidRPr="007A17AE" w:rsidRDefault="00025AB4" w:rsidP="007A17AE">
            <w:pPr>
              <w:tabs>
                <w:tab w:val="clear" w:pos="567"/>
              </w:tabs>
              <w:spacing w:line="240" w:lineRule="auto"/>
              <w:ind w:left="113"/>
              <w:contextualSpacing/>
              <w:rPr>
                <w:szCs w:val="22"/>
                <w:lang w:eastAsia="en-GB"/>
              </w:rPr>
            </w:pPr>
            <w:r w:rsidRPr="007A17AE">
              <w:rPr>
                <w:szCs w:val="22"/>
                <w:lang w:eastAsia="en-GB"/>
              </w:rPr>
              <w:t>edema, diskomfortas krūtinėje, eisenos sutrikimai</w:t>
            </w:r>
          </w:p>
        </w:tc>
        <w:tc>
          <w:tcPr>
            <w:tcW w:w="1841" w:type="dxa"/>
            <w:tcBorders>
              <w:top w:val="single" w:sz="4" w:space="0" w:color="000000"/>
              <w:left w:val="single" w:sz="4" w:space="0" w:color="000000"/>
              <w:bottom w:val="single" w:sz="4" w:space="0" w:color="000000"/>
              <w:right w:val="single" w:sz="4" w:space="0" w:color="000000"/>
            </w:tcBorders>
          </w:tcPr>
          <w:p w14:paraId="1EA13E5E" w14:textId="77777777" w:rsidR="00DF71A6" w:rsidRPr="007A17AE" w:rsidRDefault="00DF71A6" w:rsidP="007A17AE">
            <w:pPr>
              <w:tabs>
                <w:tab w:val="clear" w:pos="567"/>
              </w:tabs>
              <w:spacing w:line="240" w:lineRule="auto"/>
              <w:ind w:left="113"/>
              <w:contextualSpacing/>
              <w:jc w:val="center"/>
              <w:rPr>
                <w:szCs w:val="22"/>
                <w:lang w:eastAsia="en-GB"/>
              </w:rPr>
            </w:pPr>
            <w:r w:rsidRPr="007A17AE">
              <w:rPr>
                <w:szCs w:val="22"/>
                <w:lang w:eastAsia="en-GB"/>
              </w:rPr>
              <w:t>r</w:t>
            </w:r>
            <w:r w:rsidR="00025AB4" w:rsidRPr="007A17AE">
              <w:rPr>
                <w:szCs w:val="22"/>
                <w:lang w:eastAsia="en-GB"/>
              </w:rPr>
              <w:t>etas</w:t>
            </w:r>
          </w:p>
        </w:tc>
      </w:tr>
      <w:tr w:rsidR="00DF71A6" w:rsidRPr="007A17AE" w14:paraId="5B0E1E3F" w14:textId="77777777" w:rsidTr="00DF71A6">
        <w:trPr>
          <w:trHeight w:hRule="exact" w:val="770"/>
        </w:trPr>
        <w:tc>
          <w:tcPr>
            <w:tcW w:w="3084" w:type="dxa"/>
            <w:vMerge w:val="restart"/>
            <w:tcBorders>
              <w:top w:val="single" w:sz="4" w:space="0" w:color="000000"/>
              <w:left w:val="single" w:sz="4" w:space="0" w:color="000000"/>
              <w:right w:val="single" w:sz="4" w:space="0" w:color="000000"/>
            </w:tcBorders>
          </w:tcPr>
          <w:p w14:paraId="47B0B7D0" w14:textId="77777777" w:rsidR="00DF71A6" w:rsidRPr="007A17AE" w:rsidRDefault="00025AB4" w:rsidP="007A17AE">
            <w:pPr>
              <w:tabs>
                <w:tab w:val="clear" w:pos="567"/>
              </w:tabs>
              <w:spacing w:line="240" w:lineRule="auto"/>
              <w:ind w:left="113"/>
              <w:contextualSpacing/>
              <w:rPr>
                <w:szCs w:val="22"/>
                <w:lang w:eastAsia="en-GB"/>
              </w:rPr>
            </w:pPr>
            <w:r w:rsidRPr="007A17AE">
              <w:rPr>
                <w:spacing w:val="-4"/>
                <w:szCs w:val="22"/>
                <w:lang w:eastAsia="en-GB"/>
              </w:rPr>
              <w:t>Tyrimai</w:t>
            </w:r>
          </w:p>
        </w:tc>
        <w:tc>
          <w:tcPr>
            <w:tcW w:w="4363" w:type="dxa"/>
            <w:tcBorders>
              <w:top w:val="single" w:sz="4" w:space="0" w:color="000000"/>
              <w:left w:val="single" w:sz="4" w:space="0" w:color="000000"/>
              <w:bottom w:val="single" w:sz="4" w:space="0" w:color="000000"/>
              <w:right w:val="single" w:sz="4" w:space="0" w:color="000000"/>
            </w:tcBorders>
          </w:tcPr>
          <w:p w14:paraId="61888798" w14:textId="77777777" w:rsidR="00DF71A6" w:rsidRPr="007A17AE" w:rsidRDefault="00025AB4" w:rsidP="007A17AE">
            <w:pPr>
              <w:tabs>
                <w:tab w:val="clear" w:pos="567"/>
              </w:tabs>
              <w:spacing w:line="240" w:lineRule="auto"/>
              <w:ind w:left="113"/>
              <w:contextualSpacing/>
              <w:rPr>
                <w:szCs w:val="22"/>
                <w:lang w:eastAsia="en-GB"/>
              </w:rPr>
            </w:pPr>
            <w:r w:rsidRPr="007A17AE">
              <w:rPr>
                <w:szCs w:val="22"/>
                <w:lang w:eastAsia="en-GB"/>
              </w:rPr>
              <w:t>padidėjęs ALT aktyvumas</w:t>
            </w:r>
          </w:p>
        </w:tc>
        <w:tc>
          <w:tcPr>
            <w:tcW w:w="1841" w:type="dxa"/>
            <w:tcBorders>
              <w:top w:val="single" w:sz="4" w:space="0" w:color="000000"/>
              <w:left w:val="single" w:sz="4" w:space="0" w:color="000000"/>
              <w:bottom w:val="single" w:sz="4" w:space="0" w:color="000000"/>
              <w:right w:val="single" w:sz="4" w:space="0" w:color="000000"/>
            </w:tcBorders>
          </w:tcPr>
          <w:p w14:paraId="4DC6B4AD" w14:textId="77777777" w:rsidR="00DF71A6" w:rsidRPr="007A17AE" w:rsidRDefault="00025AB4" w:rsidP="007A17AE">
            <w:pPr>
              <w:tabs>
                <w:tab w:val="clear" w:pos="567"/>
              </w:tabs>
              <w:spacing w:line="240" w:lineRule="auto"/>
              <w:ind w:left="113"/>
              <w:contextualSpacing/>
              <w:jc w:val="center"/>
              <w:rPr>
                <w:szCs w:val="22"/>
                <w:lang w:eastAsia="en-GB"/>
              </w:rPr>
            </w:pPr>
            <w:r w:rsidRPr="007A17AE">
              <w:rPr>
                <w:spacing w:val="-1"/>
                <w:szCs w:val="22"/>
                <w:lang w:eastAsia="en-GB"/>
              </w:rPr>
              <w:t>dažnas</w:t>
            </w:r>
          </w:p>
        </w:tc>
      </w:tr>
      <w:tr w:rsidR="00DF71A6" w:rsidRPr="007A17AE" w14:paraId="0BC65123" w14:textId="77777777" w:rsidTr="00DF71A6">
        <w:trPr>
          <w:trHeight w:hRule="exact" w:val="770"/>
        </w:trPr>
        <w:tc>
          <w:tcPr>
            <w:tcW w:w="3084" w:type="dxa"/>
            <w:vMerge/>
            <w:tcBorders>
              <w:left w:val="single" w:sz="4" w:space="0" w:color="000000"/>
              <w:right w:val="single" w:sz="4" w:space="0" w:color="000000"/>
            </w:tcBorders>
          </w:tcPr>
          <w:p w14:paraId="47AB4914" w14:textId="77777777" w:rsidR="00DF71A6" w:rsidRPr="007A17AE" w:rsidRDefault="00DF71A6" w:rsidP="007A17AE">
            <w:pPr>
              <w:tabs>
                <w:tab w:val="clear" w:pos="567"/>
              </w:tabs>
              <w:spacing w:line="240" w:lineRule="auto"/>
              <w:ind w:left="113"/>
              <w:contextualSpacing/>
              <w:rPr>
                <w:szCs w:val="22"/>
                <w:lang w:eastAsia="en-GB"/>
              </w:rPr>
            </w:pPr>
          </w:p>
        </w:tc>
        <w:tc>
          <w:tcPr>
            <w:tcW w:w="4363" w:type="dxa"/>
            <w:tcBorders>
              <w:top w:val="single" w:sz="4" w:space="0" w:color="000000"/>
              <w:left w:val="single" w:sz="4" w:space="0" w:color="000000"/>
              <w:bottom w:val="single" w:sz="4" w:space="0" w:color="000000"/>
              <w:right w:val="single" w:sz="4" w:space="0" w:color="000000"/>
            </w:tcBorders>
          </w:tcPr>
          <w:p w14:paraId="111F5737" w14:textId="77777777" w:rsidR="00DF71A6" w:rsidRPr="007A17AE" w:rsidRDefault="00025AB4" w:rsidP="007A17AE">
            <w:pPr>
              <w:tabs>
                <w:tab w:val="clear" w:pos="567"/>
              </w:tabs>
              <w:spacing w:line="240" w:lineRule="auto"/>
              <w:ind w:left="113"/>
              <w:contextualSpacing/>
              <w:rPr>
                <w:szCs w:val="22"/>
                <w:lang w:eastAsia="en-GB"/>
              </w:rPr>
            </w:pPr>
            <w:r w:rsidRPr="007A17AE">
              <w:rPr>
                <w:szCs w:val="22"/>
                <w:lang w:eastAsia="en-GB"/>
              </w:rPr>
              <w:t>padidėjęs AST aktyvumas, padidėjęs šarminės fosfatazės aktyvumas</w:t>
            </w:r>
          </w:p>
        </w:tc>
        <w:tc>
          <w:tcPr>
            <w:tcW w:w="1841" w:type="dxa"/>
            <w:tcBorders>
              <w:top w:val="single" w:sz="4" w:space="0" w:color="000000"/>
              <w:left w:val="single" w:sz="4" w:space="0" w:color="000000"/>
              <w:bottom w:val="single" w:sz="4" w:space="0" w:color="000000"/>
              <w:right w:val="single" w:sz="4" w:space="0" w:color="000000"/>
            </w:tcBorders>
          </w:tcPr>
          <w:p w14:paraId="7A618F60" w14:textId="77777777" w:rsidR="00DF71A6" w:rsidRPr="007A17AE" w:rsidRDefault="00025AB4" w:rsidP="007A17AE">
            <w:pPr>
              <w:tabs>
                <w:tab w:val="clear" w:pos="567"/>
              </w:tabs>
              <w:spacing w:line="240" w:lineRule="auto"/>
              <w:ind w:left="113"/>
              <w:contextualSpacing/>
              <w:jc w:val="center"/>
              <w:rPr>
                <w:szCs w:val="22"/>
                <w:lang w:eastAsia="en-GB"/>
              </w:rPr>
            </w:pPr>
            <w:r w:rsidRPr="007A17AE">
              <w:rPr>
                <w:spacing w:val="-1"/>
                <w:szCs w:val="22"/>
                <w:lang w:eastAsia="en-GB"/>
              </w:rPr>
              <w:t>nedažnas</w:t>
            </w:r>
          </w:p>
        </w:tc>
      </w:tr>
      <w:tr w:rsidR="00DF71A6" w:rsidRPr="007A17AE" w14:paraId="04376AE1" w14:textId="77777777" w:rsidTr="00DF71A6">
        <w:trPr>
          <w:trHeight w:hRule="exact" w:val="1022"/>
        </w:trPr>
        <w:tc>
          <w:tcPr>
            <w:tcW w:w="3084" w:type="dxa"/>
            <w:vMerge/>
            <w:tcBorders>
              <w:left w:val="single" w:sz="4" w:space="0" w:color="000000"/>
              <w:bottom w:val="single" w:sz="4" w:space="0" w:color="000000"/>
              <w:right w:val="single" w:sz="4" w:space="0" w:color="000000"/>
            </w:tcBorders>
          </w:tcPr>
          <w:p w14:paraId="5223578C" w14:textId="77777777" w:rsidR="00DF71A6" w:rsidRPr="007A17AE" w:rsidRDefault="00DF71A6" w:rsidP="007A17AE">
            <w:pPr>
              <w:tabs>
                <w:tab w:val="clear" w:pos="567"/>
              </w:tabs>
              <w:spacing w:line="240" w:lineRule="auto"/>
              <w:ind w:left="113"/>
              <w:contextualSpacing/>
              <w:rPr>
                <w:szCs w:val="22"/>
                <w:lang w:eastAsia="en-GB"/>
              </w:rPr>
            </w:pPr>
          </w:p>
        </w:tc>
        <w:tc>
          <w:tcPr>
            <w:tcW w:w="4363" w:type="dxa"/>
            <w:tcBorders>
              <w:top w:val="single" w:sz="4" w:space="0" w:color="000000"/>
              <w:left w:val="single" w:sz="4" w:space="0" w:color="000000"/>
              <w:bottom w:val="single" w:sz="4" w:space="0" w:color="000000"/>
              <w:right w:val="single" w:sz="4" w:space="0" w:color="000000"/>
            </w:tcBorders>
          </w:tcPr>
          <w:p w14:paraId="30E279AA" w14:textId="77777777" w:rsidR="00DF71A6" w:rsidRPr="007A17AE" w:rsidRDefault="00025AB4" w:rsidP="007A17AE">
            <w:pPr>
              <w:tabs>
                <w:tab w:val="clear" w:pos="567"/>
              </w:tabs>
              <w:spacing w:line="240" w:lineRule="auto"/>
              <w:ind w:left="113"/>
              <w:contextualSpacing/>
              <w:rPr>
                <w:szCs w:val="22"/>
                <w:lang w:eastAsia="en-GB"/>
              </w:rPr>
            </w:pPr>
            <w:r w:rsidRPr="007A17AE">
              <w:rPr>
                <w:szCs w:val="22"/>
                <w:lang w:eastAsia="en-GB"/>
              </w:rPr>
              <w:t>eritrocitai šlapime, hiponatremija, kūno svorio sumažėjimas, neutrofilų skaičiaus sumažėjimas, gliukozė šlapime, padidėjęs šlapimo kiekis</w:t>
            </w:r>
          </w:p>
        </w:tc>
        <w:tc>
          <w:tcPr>
            <w:tcW w:w="1841" w:type="dxa"/>
            <w:tcBorders>
              <w:top w:val="single" w:sz="4" w:space="0" w:color="000000"/>
              <w:left w:val="single" w:sz="4" w:space="0" w:color="000000"/>
              <w:bottom w:val="single" w:sz="4" w:space="0" w:color="000000"/>
              <w:right w:val="single" w:sz="4" w:space="0" w:color="000000"/>
            </w:tcBorders>
          </w:tcPr>
          <w:p w14:paraId="7B62467F" w14:textId="77777777" w:rsidR="00DF71A6" w:rsidRPr="007A17AE" w:rsidRDefault="00025AB4" w:rsidP="007A17AE">
            <w:pPr>
              <w:tabs>
                <w:tab w:val="clear" w:pos="567"/>
              </w:tabs>
              <w:spacing w:line="240" w:lineRule="auto"/>
              <w:ind w:left="113"/>
              <w:contextualSpacing/>
              <w:jc w:val="center"/>
              <w:rPr>
                <w:szCs w:val="22"/>
                <w:lang w:eastAsia="en-GB"/>
              </w:rPr>
            </w:pPr>
            <w:r w:rsidRPr="007A17AE">
              <w:rPr>
                <w:szCs w:val="22"/>
                <w:lang w:eastAsia="en-GB"/>
              </w:rPr>
              <w:t>retas</w:t>
            </w:r>
          </w:p>
        </w:tc>
      </w:tr>
    </w:tbl>
    <w:p w14:paraId="5D0BED36" w14:textId="77777777" w:rsidR="00B2549D" w:rsidRPr="007A17AE" w:rsidRDefault="001C7B31" w:rsidP="007A17AE">
      <w:pPr>
        <w:spacing w:line="240" w:lineRule="auto"/>
        <w:contextualSpacing/>
        <w:rPr>
          <w:szCs w:val="22"/>
        </w:rPr>
      </w:pPr>
      <w:r w:rsidRPr="007A17AE">
        <w:rPr>
          <w:position w:val="6"/>
          <w:szCs w:val="22"/>
        </w:rPr>
        <w:t>†</w:t>
      </w:r>
      <w:r w:rsidRPr="007A17AE">
        <w:rPr>
          <w:szCs w:val="22"/>
        </w:rPr>
        <w:t>Pykinimas ir vėmimas 5</w:t>
      </w:r>
      <w:r w:rsidR="00C1636F">
        <w:rPr>
          <w:szCs w:val="22"/>
        </w:rPr>
        <w:t> </w:t>
      </w:r>
      <w:r w:rsidRPr="007A17AE">
        <w:rPr>
          <w:szCs w:val="22"/>
        </w:rPr>
        <w:t>dienas po chemoterapijos buvo veiksmingumo rodikliai ir tik po to apie juos buvo pranešta kaip apie nepageidaujamas reakcijas.</w:t>
      </w:r>
    </w:p>
    <w:p w14:paraId="2D9828A7" w14:textId="77777777" w:rsidR="00695330" w:rsidRPr="007A17AE" w:rsidRDefault="00695330" w:rsidP="007A17AE">
      <w:pPr>
        <w:spacing w:line="240" w:lineRule="auto"/>
        <w:contextualSpacing/>
        <w:rPr>
          <w:szCs w:val="22"/>
        </w:rPr>
      </w:pPr>
    </w:p>
    <w:p w14:paraId="415C680F" w14:textId="77777777" w:rsidR="00D71FE2" w:rsidRPr="007A17AE" w:rsidRDefault="00695330" w:rsidP="007A17AE">
      <w:pPr>
        <w:spacing w:line="240" w:lineRule="auto"/>
        <w:contextualSpacing/>
        <w:rPr>
          <w:szCs w:val="22"/>
          <w:u w:val="single"/>
        </w:rPr>
      </w:pPr>
      <w:r w:rsidRPr="007A17AE">
        <w:rPr>
          <w:szCs w:val="22"/>
          <w:u w:val="single"/>
        </w:rPr>
        <w:t>Atrinktų</w:t>
      </w:r>
      <w:r w:rsidR="00D71FE2" w:rsidRPr="007A17AE">
        <w:rPr>
          <w:szCs w:val="22"/>
          <w:u w:val="single"/>
        </w:rPr>
        <w:t xml:space="preserve"> nepageidaujamų reakcijų ap</w:t>
      </w:r>
      <w:r w:rsidRPr="007A17AE">
        <w:rPr>
          <w:szCs w:val="22"/>
          <w:u w:val="single"/>
        </w:rPr>
        <w:t>ibūdinimas</w:t>
      </w:r>
    </w:p>
    <w:p w14:paraId="1110D5AD" w14:textId="4883357D" w:rsidR="001C7B31" w:rsidRPr="007A17AE" w:rsidRDefault="001C7B31" w:rsidP="007A17AE">
      <w:pPr>
        <w:spacing w:line="240" w:lineRule="auto"/>
        <w:contextualSpacing/>
        <w:rPr>
          <w:szCs w:val="22"/>
        </w:rPr>
      </w:pPr>
      <w:r w:rsidRPr="007A17AE">
        <w:rPr>
          <w:szCs w:val="22"/>
        </w:rPr>
        <w:t xml:space="preserve">Nepageidaujamų reakcijų </w:t>
      </w:r>
      <w:r w:rsidR="00E012D8" w:rsidRPr="007A17AE">
        <w:rPr>
          <w:szCs w:val="22"/>
        </w:rPr>
        <w:t>apibūdinimai</w:t>
      </w:r>
      <w:r w:rsidRPr="007A17AE">
        <w:rPr>
          <w:szCs w:val="22"/>
        </w:rPr>
        <w:t xml:space="preserve"> suaugusiesiems, vaistinio preparato vartojusiems klinikinių LECh ir VECh tyrimų metu kartotiniais ciklais iki 6</w:t>
      </w:r>
      <w:r w:rsidR="00C1636F">
        <w:rPr>
          <w:szCs w:val="22"/>
        </w:rPr>
        <w:t> </w:t>
      </w:r>
      <w:r w:rsidRPr="007A17AE">
        <w:rPr>
          <w:szCs w:val="22"/>
        </w:rPr>
        <w:t>papildomų chemoterapijos ciklų, buvo panaš</w:t>
      </w:r>
      <w:r w:rsidR="00E261CB">
        <w:rPr>
          <w:szCs w:val="22"/>
        </w:rPr>
        <w:t>ūs</w:t>
      </w:r>
      <w:r w:rsidRPr="007A17AE">
        <w:rPr>
          <w:szCs w:val="22"/>
        </w:rPr>
        <w:t xml:space="preserve"> į nepageidaujamų reakcijų, pasireiškusių per 1-ąjį ciklą, </w:t>
      </w:r>
      <w:r w:rsidR="00E012D8" w:rsidRPr="007A17AE">
        <w:rPr>
          <w:szCs w:val="22"/>
        </w:rPr>
        <w:t>apibūdinimą</w:t>
      </w:r>
      <w:r w:rsidRPr="007A17AE">
        <w:rPr>
          <w:szCs w:val="22"/>
        </w:rPr>
        <w:t>.</w:t>
      </w:r>
    </w:p>
    <w:p w14:paraId="4DE2199A" w14:textId="77777777" w:rsidR="00E012D8" w:rsidRPr="007A17AE" w:rsidRDefault="00E012D8" w:rsidP="007A17AE">
      <w:pPr>
        <w:spacing w:line="240" w:lineRule="auto"/>
        <w:contextualSpacing/>
        <w:rPr>
          <w:szCs w:val="22"/>
        </w:rPr>
      </w:pPr>
    </w:p>
    <w:p w14:paraId="75FCF4EB" w14:textId="77777777" w:rsidR="001C7B31" w:rsidRPr="007A17AE" w:rsidRDefault="001C7B31" w:rsidP="007A17AE">
      <w:pPr>
        <w:spacing w:line="240" w:lineRule="auto"/>
        <w:contextualSpacing/>
        <w:rPr>
          <w:szCs w:val="22"/>
        </w:rPr>
      </w:pPr>
      <w:r w:rsidRPr="007A17AE">
        <w:rPr>
          <w:szCs w:val="22"/>
        </w:rPr>
        <w:lastRenderedPageBreak/>
        <w:t>Papildomo veikliu vaistiniu preparatu kontroliuoto klinikinio tyrimo</w:t>
      </w:r>
      <w:r w:rsidR="00E012D8" w:rsidRPr="007A17AE">
        <w:rPr>
          <w:szCs w:val="22"/>
        </w:rPr>
        <w:t xml:space="preserve">, kuriame dalyvavę </w:t>
      </w:r>
      <w:r w:rsidRPr="007A17AE">
        <w:rPr>
          <w:szCs w:val="22"/>
        </w:rPr>
        <w:t xml:space="preserve">1169 </w:t>
      </w:r>
      <w:r w:rsidR="00E012D8" w:rsidRPr="007A17AE">
        <w:rPr>
          <w:szCs w:val="22"/>
        </w:rPr>
        <w:t xml:space="preserve">suaugusių pacientų vartojo aprepitanto ir jiems </w:t>
      </w:r>
      <w:r w:rsidRPr="007A17AE">
        <w:rPr>
          <w:szCs w:val="22"/>
        </w:rPr>
        <w:t>buvo taikyta</w:t>
      </w:r>
      <w:r w:rsidR="00E261CB">
        <w:rPr>
          <w:szCs w:val="22"/>
        </w:rPr>
        <w:t>s</w:t>
      </w:r>
      <w:r w:rsidRPr="007A17AE">
        <w:rPr>
          <w:szCs w:val="22"/>
        </w:rPr>
        <w:t xml:space="preserve"> LECh, metu nepageidaujamų reakcijų </w:t>
      </w:r>
      <w:r w:rsidR="00E012D8" w:rsidRPr="007A17AE">
        <w:rPr>
          <w:szCs w:val="22"/>
        </w:rPr>
        <w:t xml:space="preserve">apibūdinimas </w:t>
      </w:r>
      <w:r w:rsidRPr="007A17AE">
        <w:rPr>
          <w:szCs w:val="22"/>
        </w:rPr>
        <w:t>buvo</w:t>
      </w:r>
      <w:r w:rsidR="00E012D8" w:rsidRPr="007A17AE">
        <w:rPr>
          <w:szCs w:val="22"/>
        </w:rPr>
        <w:t xml:space="preserve"> </w:t>
      </w:r>
      <w:r w:rsidRPr="007A17AE">
        <w:rPr>
          <w:szCs w:val="22"/>
        </w:rPr>
        <w:t>panašus į stebėtą kituose LECh tyrimuose</w:t>
      </w:r>
      <w:r w:rsidR="00E012D8" w:rsidRPr="007A17AE">
        <w:rPr>
          <w:szCs w:val="22"/>
        </w:rPr>
        <w:t xml:space="preserve"> su aprepitantu</w:t>
      </w:r>
      <w:r w:rsidRPr="007A17AE">
        <w:rPr>
          <w:szCs w:val="22"/>
        </w:rPr>
        <w:t>.</w:t>
      </w:r>
    </w:p>
    <w:p w14:paraId="044CE29F" w14:textId="77777777" w:rsidR="00E012D8" w:rsidRPr="007A17AE" w:rsidRDefault="00E012D8" w:rsidP="007A17AE">
      <w:pPr>
        <w:spacing w:line="240" w:lineRule="auto"/>
        <w:contextualSpacing/>
        <w:rPr>
          <w:szCs w:val="22"/>
        </w:rPr>
      </w:pPr>
    </w:p>
    <w:p w14:paraId="149E9BFF" w14:textId="77777777" w:rsidR="001C7B31" w:rsidRPr="007A17AE" w:rsidRDefault="001C7B31" w:rsidP="007A17AE">
      <w:pPr>
        <w:spacing w:line="240" w:lineRule="auto"/>
        <w:contextualSpacing/>
        <w:rPr>
          <w:szCs w:val="22"/>
        </w:rPr>
      </w:pPr>
      <w:r w:rsidRPr="007A17AE">
        <w:rPr>
          <w:szCs w:val="22"/>
        </w:rPr>
        <w:t>Dažniau negu taikant gydymą ondansetronu, aprepitantu nuo pooperacinio pykinimo ir vėmimo</w:t>
      </w:r>
      <w:r w:rsidR="00E012D8" w:rsidRPr="007A17AE">
        <w:rPr>
          <w:szCs w:val="22"/>
        </w:rPr>
        <w:t xml:space="preserve"> </w:t>
      </w:r>
      <w:r w:rsidRPr="007A17AE">
        <w:rPr>
          <w:szCs w:val="22"/>
        </w:rPr>
        <w:t>(POPV) gydytiems suaugusiems pacientams pasitaikė šių papildomų nepageidaujamų reakcijų:</w:t>
      </w:r>
      <w:r w:rsidR="00C1636F">
        <w:rPr>
          <w:szCs w:val="22"/>
        </w:rPr>
        <w:t xml:space="preserve"> </w:t>
      </w:r>
      <w:r w:rsidRPr="007A17AE">
        <w:rPr>
          <w:szCs w:val="22"/>
        </w:rPr>
        <w:t>viršutinės pilvo dalies skausma</w:t>
      </w:r>
      <w:r w:rsidR="00BA3B47" w:rsidRPr="007A17AE">
        <w:rPr>
          <w:szCs w:val="22"/>
        </w:rPr>
        <w:t>s</w:t>
      </w:r>
      <w:r w:rsidRPr="007A17AE">
        <w:rPr>
          <w:szCs w:val="22"/>
        </w:rPr>
        <w:t>, nenormalūs žarnų garsai, vidurių užkietėjimas*, tarimo sutrikimai,</w:t>
      </w:r>
      <w:r w:rsidR="00A653DF" w:rsidRPr="007A17AE">
        <w:rPr>
          <w:szCs w:val="22"/>
        </w:rPr>
        <w:t xml:space="preserve"> </w:t>
      </w:r>
      <w:r w:rsidRPr="007A17AE">
        <w:rPr>
          <w:szCs w:val="22"/>
        </w:rPr>
        <w:t>dusulys, sumažėjęs jautrumas, nemiga, vyzdžių susiaurėjimas, pykinimas, jutimo sutrikimai,</w:t>
      </w:r>
      <w:r w:rsidR="00A653DF" w:rsidRPr="007A17AE">
        <w:rPr>
          <w:szCs w:val="22"/>
        </w:rPr>
        <w:t xml:space="preserve"> </w:t>
      </w:r>
      <w:r w:rsidRPr="007A17AE">
        <w:rPr>
          <w:szCs w:val="22"/>
        </w:rPr>
        <w:t>diskomfortas skrandyje, dalinis žarnų nepraeinamumas*, regos aštrumo sumažėjimas, švokštimas.</w:t>
      </w:r>
    </w:p>
    <w:p w14:paraId="23D33BE3" w14:textId="77777777" w:rsidR="001C7B31" w:rsidRPr="007A17AE" w:rsidRDefault="001C7B31" w:rsidP="007A17AE">
      <w:pPr>
        <w:spacing w:line="240" w:lineRule="auto"/>
        <w:contextualSpacing/>
        <w:rPr>
          <w:szCs w:val="22"/>
        </w:rPr>
      </w:pPr>
      <w:r w:rsidRPr="007A17AE">
        <w:rPr>
          <w:szCs w:val="22"/>
        </w:rPr>
        <w:t>* pastebėta didesnes aprepitanto dozes vartojusiems pacientams.</w:t>
      </w:r>
    </w:p>
    <w:p w14:paraId="79AD3A6B" w14:textId="77777777" w:rsidR="00A653DF" w:rsidRPr="007A17AE" w:rsidRDefault="00A653DF" w:rsidP="007A17AE">
      <w:pPr>
        <w:spacing w:line="240" w:lineRule="auto"/>
        <w:contextualSpacing/>
        <w:rPr>
          <w:szCs w:val="22"/>
        </w:rPr>
      </w:pPr>
    </w:p>
    <w:p w14:paraId="05A71B9A" w14:textId="01578BAF" w:rsidR="00A653DF" w:rsidRDefault="00A653DF" w:rsidP="007A17AE">
      <w:pPr>
        <w:autoSpaceDE w:val="0"/>
        <w:autoSpaceDN w:val="0"/>
        <w:adjustRightInd w:val="0"/>
        <w:spacing w:line="240" w:lineRule="auto"/>
        <w:contextualSpacing/>
        <w:jc w:val="both"/>
        <w:rPr>
          <w:szCs w:val="22"/>
          <w:u w:val="single"/>
        </w:rPr>
      </w:pPr>
      <w:r w:rsidRPr="007A17AE">
        <w:rPr>
          <w:szCs w:val="22"/>
          <w:u w:val="single"/>
        </w:rPr>
        <w:t>Pranešimas apie įtariamas nepageidaujamas reakcijas</w:t>
      </w:r>
    </w:p>
    <w:p w14:paraId="16967C03" w14:textId="5E6A192F" w:rsidR="00BB5D3C" w:rsidRPr="00DD551C" w:rsidRDefault="00BB5D3C" w:rsidP="00DD551C">
      <w:pPr>
        <w:autoSpaceDE w:val="0"/>
        <w:autoSpaceDN w:val="0"/>
        <w:adjustRightInd w:val="0"/>
        <w:spacing w:line="240" w:lineRule="auto"/>
        <w:contextualSpacing/>
        <w:rPr>
          <w:szCs w:val="22"/>
        </w:rPr>
      </w:pPr>
      <w:r w:rsidRPr="00BB5D3C">
        <w:rPr>
          <w:szCs w:val="22"/>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3B257AC5" w14:textId="77777777" w:rsidR="00A653DF" w:rsidRPr="007A17AE" w:rsidRDefault="00A653DF" w:rsidP="007A17AE">
      <w:pPr>
        <w:spacing w:line="240" w:lineRule="auto"/>
        <w:contextualSpacing/>
        <w:rPr>
          <w:szCs w:val="22"/>
        </w:rPr>
      </w:pPr>
    </w:p>
    <w:p w14:paraId="27E3A053" w14:textId="77777777" w:rsidR="001C7B31" w:rsidRPr="007A17AE" w:rsidRDefault="001C7B31" w:rsidP="007A17AE">
      <w:pPr>
        <w:spacing w:line="240" w:lineRule="auto"/>
        <w:contextualSpacing/>
        <w:rPr>
          <w:b/>
          <w:szCs w:val="22"/>
        </w:rPr>
      </w:pPr>
      <w:r w:rsidRPr="007A17AE">
        <w:rPr>
          <w:b/>
          <w:szCs w:val="22"/>
        </w:rPr>
        <w:t>4.9</w:t>
      </w:r>
      <w:r w:rsidR="00A653DF" w:rsidRPr="007A17AE">
        <w:rPr>
          <w:b/>
          <w:szCs w:val="22"/>
        </w:rPr>
        <w:tab/>
      </w:r>
      <w:r w:rsidRPr="007A17AE">
        <w:rPr>
          <w:b/>
          <w:szCs w:val="22"/>
        </w:rPr>
        <w:t>Perdozavimas</w:t>
      </w:r>
    </w:p>
    <w:p w14:paraId="628A51F0" w14:textId="77777777" w:rsidR="00A653DF" w:rsidRPr="007A17AE" w:rsidRDefault="00A653DF" w:rsidP="007A17AE">
      <w:pPr>
        <w:spacing w:line="240" w:lineRule="auto"/>
        <w:contextualSpacing/>
        <w:rPr>
          <w:szCs w:val="22"/>
        </w:rPr>
      </w:pPr>
    </w:p>
    <w:p w14:paraId="6F765075" w14:textId="77777777" w:rsidR="00A653DF" w:rsidRPr="007A17AE" w:rsidRDefault="00A653DF"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 xml:space="preserve">Perdozavimo atveju aprepitanto vartojimas turi būti nutrauktas ir </w:t>
      </w:r>
      <w:r w:rsidR="006E3162" w:rsidRPr="007A17AE">
        <w:rPr>
          <w:rFonts w:eastAsia="TimesNewRoman"/>
          <w:szCs w:val="22"/>
          <w:lang w:eastAsia="lt-LT"/>
        </w:rPr>
        <w:t>taikomas bendras palaikomasis gydymas bei stebėjimas</w:t>
      </w:r>
      <w:r w:rsidRPr="007A17AE">
        <w:rPr>
          <w:rFonts w:eastAsia="TimesNewRoman"/>
          <w:szCs w:val="22"/>
          <w:lang w:eastAsia="lt-LT"/>
        </w:rPr>
        <w:t>.</w:t>
      </w:r>
      <w:r w:rsidR="006E3162" w:rsidRPr="007A17AE">
        <w:rPr>
          <w:rFonts w:eastAsia="TimesNewRoman"/>
          <w:szCs w:val="22"/>
          <w:lang w:eastAsia="lt-LT"/>
        </w:rPr>
        <w:t xml:space="preserve"> </w:t>
      </w:r>
      <w:r w:rsidRPr="007A17AE">
        <w:rPr>
          <w:rFonts w:eastAsia="TimesNewRoman"/>
          <w:szCs w:val="22"/>
          <w:lang w:eastAsia="lt-LT"/>
        </w:rPr>
        <w:t>Dėl aprepitanto vėmimą slopinančio poveikio vaistiniu preparatu sukeliamas vėmimas gali būti</w:t>
      </w:r>
      <w:r w:rsidR="006E3162" w:rsidRPr="007A17AE">
        <w:rPr>
          <w:rFonts w:eastAsia="TimesNewRoman"/>
          <w:szCs w:val="22"/>
          <w:lang w:eastAsia="lt-LT"/>
        </w:rPr>
        <w:t xml:space="preserve"> neveiksmingas</w:t>
      </w:r>
      <w:r w:rsidRPr="007A17AE">
        <w:rPr>
          <w:rFonts w:eastAsia="TimesNewRoman"/>
          <w:szCs w:val="22"/>
          <w:lang w:eastAsia="lt-LT"/>
        </w:rPr>
        <w:t>.</w:t>
      </w:r>
    </w:p>
    <w:p w14:paraId="28F98467" w14:textId="77777777" w:rsidR="006E3162" w:rsidRPr="007A17AE" w:rsidRDefault="006E3162" w:rsidP="007A17AE">
      <w:pPr>
        <w:spacing w:line="240" w:lineRule="auto"/>
        <w:contextualSpacing/>
        <w:rPr>
          <w:rFonts w:eastAsia="TimesNewRoman"/>
          <w:szCs w:val="22"/>
          <w:lang w:eastAsia="lt-LT"/>
        </w:rPr>
      </w:pPr>
    </w:p>
    <w:p w14:paraId="07592C7A" w14:textId="77777777" w:rsidR="001C7B31" w:rsidRPr="007A17AE" w:rsidRDefault="00A653DF" w:rsidP="007A17AE">
      <w:pPr>
        <w:spacing w:line="240" w:lineRule="auto"/>
        <w:contextualSpacing/>
        <w:rPr>
          <w:szCs w:val="22"/>
        </w:rPr>
      </w:pPr>
      <w:r w:rsidRPr="007A17AE">
        <w:rPr>
          <w:rFonts w:eastAsia="TimesNewRoman"/>
          <w:szCs w:val="22"/>
          <w:lang w:eastAsia="lt-LT"/>
        </w:rPr>
        <w:t>Aprepitant</w:t>
      </w:r>
      <w:r w:rsidR="006E3162" w:rsidRPr="007A17AE">
        <w:rPr>
          <w:rFonts w:eastAsia="TimesNewRoman"/>
          <w:szCs w:val="22"/>
          <w:lang w:eastAsia="lt-LT"/>
        </w:rPr>
        <w:t>o neįmanoma pašalinti</w:t>
      </w:r>
      <w:r w:rsidRPr="007A17AE">
        <w:rPr>
          <w:rFonts w:eastAsia="TimesNewRoman"/>
          <w:szCs w:val="22"/>
          <w:lang w:eastAsia="lt-LT"/>
        </w:rPr>
        <w:t xml:space="preserve"> hemodializ</w:t>
      </w:r>
      <w:r w:rsidR="006E3162" w:rsidRPr="007A17AE">
        <w:rPr>
          <w:rFonts w:eastAsia="TimesNewRoman"/>
          <w:szCs w:val="22"/>
          <w:lang w:eastAsia="lt-LT"/>
        </w:rPr>
        <w:t>e.</w:t>
      </w:r>
    </w:p>
    <w:p w14:paraId="030BFB9F" w14:textId="77777777" w:rsidR="001C7B31" w:rsidRPr="007A17AE" w:rsidRDefault="001C7B31" w:rsidP="007A17AE">
      <w:pPr>
        <w:spacing w:line="240" w:lineRule="auto"/>
        <w:contextualSpacing/>
        <w:rPr>
          <w:szCs w:val="22"/>
        </w:rPr>
      </w:pPr>
    </w:p>
    <w:p w14:paraId="7DC0B82F" w14:textId="77777777" w:rsidR="00B35181" w:rsidRPr="007A17AE" w:rsidRDefault="00B35181" w:rsidP="007A17AE">
      <w:pPr>
        <w:spacing w:line="240" w:lineRule="auto"/>
        <w:contextualSpacing/>
        <w:rPr>
          <w:szCs w:val="22"/>
        </w:rPr>
      </w:pPr>
    </w:p>
    <w:p w14:paraId="6566D078" w14:textId="77777777" w:rsidR="005D3A18" w:rsidRPr="007A17AE" w:rsidRDefault="005D3A18" w:rsidP="007A17AE">
      <w:pPr>
        <w:suppressAutoHyphens/>
        <w:spacing w:line="240" w:lineRule="auto"/>
        <w:ind w:left="567" w:hanging="567"/>
        <w:contextualSpacing/>
        <w:rPr>
          <w:szCs w:val="22"/>
        </w:rPr>
      </w:pPr>
      <w:r w:rsidRPr="007A17AE">
        <w:rPr>
          <w:b/>
          <w:szCs w:val="22"/>
        </w:rPr>
        <w:t>5.</w:t>
      </w:r>
      <w:r w:rsidRPr="007A17AE">
        <w:rPr>
          <w:b/>
          <w:szCs w:val="22"/>
        </w:rPr>
        <w:tab/>
        <w:t>FARMAKOLOGINĖS SAVYBĖS</w:t>
      </w:r>
    </w:p>
    <w:p w14:paraId="34588401" w14:textId="77777777" w:rsidR="00B35181" w:rsidRPr="007A17AE" w:rsidRDefault="00B35181" w:rsidP="007A17AE">
      <w:pPr>
        <w:spacing w:line="240" w:lineRule="auto"/>
        <w:contextualSpacing/>
        <w:rPr>
          <w:szCs w:val="22"/>
        </w:rPr>
      </w:pPr>
    </w:p>
    <w:p w14:paraId="42CCF03B" w14:textId="77777777" w:rsidR="005D3A18" w:rsidRPr="007A17AE" w:rsidRDefault="005D3A18" w:rsidP="007A17AE">
      <w:pPr>
        <w:spacing w:line="240" w:lineRule="auto"/>
        <w:ind w:left="567" w:hanging="567"/>
        <w:contextualSpacing/>
        <w:outlineLvl w:val="0"/>
        <w:rPr>
          <w:szCs w:val="22"/>
        </w:rPr>
      </w:pPr>
      <w:r w:rsidRPr="007A17AE">
        <w:rPr>
          <w:b/>
          <w:szCs w:val="22"/>
        </w:rPr>
        <w:t xml:space="preserve">5.1 </w:t>
      </w:r>
      <w:r w:rsidRPr="007A17AE">
        <w:rPr>
          <w:b/>
          <w:szCs w:val="22"/>
        </w:rPr>
        <w:tab/>
        <w:t>Farmakodinaminės savybės</w:t>
      </w:r>
    </w:p>
    <w:p w14:paraId="4B28E76B" w14:textId="77777777" w:rsidR="00B35181" w:rsidRPr="007A17AE" w:rsidRDefault="00B35181" w:rsidP="007A17AE">
      <w:pPr>
        <w:spacing w:line="240" w:lineRule="auto"/>
        <w:contextualSpacing/>
        <w:rPr>
          <w:szCs w:val="22"/>
        </w:rPr>
      </w:pPr>
    </w:p>
    <w:p w14:paraId="7B42C17E" w14:textId="77777777" w:rsidR="00B90C89" w:rsidRPr="007A17AE" w:rsidRDefault="00B90C89" w:rsidP="007A17AE">
      <w:pPr>
        <w:pStyle w:val="Default"/>
        <w:contextualSpacing/>
        <w:rPr>
          <w:sz w:val="22"/>
          <w:szCs w:val="22"/>
        </w:rPr>
      </w:pPr>
      <w:r w:rsidRPr="007A17AE">
        <w:rPr>
          <w:sz w:val="22"/>
          <w:szCs w:val="22"/>
        </w:rPr>
        <w:t xml:space="preserve">Farmakoterapinė grupė – </w:t>
      </w:r>
      <w:r w:rsidR="006E3162" w:rsidRPr="007A17AE">
        <w:rPr>
          <w:sz w:val="22"/>
          <w:szCs w:val="22"/>
        </w:rPr>
        <w:t>vėmimą ir pykinimą slopinantys vaist</w:t>
      </w:r>
      <w:r w:rsidR="003D6098" w:rsidRPr="007A17AE">
        <w:rPr>
          <w:sz w:val="22"/>
          <w:szCs w:val="22"/>
        </w:rPr>
        <w:t>iniai preparat</w:t>
      </w:r>
      <w:r w:rsidR="006E3162" w:rsidRPr="007A17AE">
        <w:rPr>
          <w:sz w:val="22"/>
          <w:szCs w:val="22"/>
        </w:rPr>
        <w:t>ai</w:t>
      </w:r>
      <w:r w:rsidRPr="007A17AE">
        <w:rPr>
          <w:sz w:val="22"/>
          <w:szCs w:val="22"/>
        </w:rPr>
        <w:t xml:space="preserve">, ATC kodas – </w:t>
      </w:r>
      <w:r w:rsidR="006E3162" w:rsidRPr="007A17AE">
        <w:rPr>
          <w:sz w:val="22"/>
          <w:szCs w:val="22"/>
        </w:rPr>
        <w:t>A04AD12</w:t>
      </w:r>
      <w:r w:rsidRPr="007A17AE">
        <w:rPr>
          <w:sz w:val="22"/>
          <w:szCs w:val="22"/>
        </w:rPr>
        <w:t xml:space="preserve">. </w:t>
      </w:r>
    </w:p>
    <w:p w14:paraId="4B0605DE" w14:textId="77777777" w:rsidR="00B90C89" w:rsidRPr="007A17AE" w:rsidRDefault="00B90C89" w:rsidP="007A17AE">
      <w:pPr>
        <w:pStyle w:val="Default"/>
        <w:contextualSpacing/>
        <w:rPr>
          <w:sz w:val="22"/>
          <w:szCs w:val="22"/>
          <w:u w:val="single"/>
        </w:rPr>
      </w:pPr>
    </w:p>
    <w:p w14:paraId="411C02AB" w14:textId="77777777" w:rsidR="00C413DC" w:rsidRPr="007A17AE" w:rsidRDefault="00C413DC"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Aprepitantas yra selektyvus didelio afiniteto žmogaus substancijos P neurokinino 1 (NK1) receptorių antagonistas.</w:t>
      </w:r>
    </w:p>
    <w:p w14:paraId="6A9F3EF9" w14:textId="77777777" w:rsidR="00074A71" w:rsidRPr="007A17AE" w:rsidRDefault="00074A71" w:rsidP="007A17AE">
      <w:pPr>
        <w:tabs>
          <w:tab w:val="clear" w:pos="567"/>
        </w:tabs>
        <w:autoSpaceDE w:val="0"/>
        <w:autoSpaceDN w:val="0"/>
        <w:adjustRightInd w:val="0"/>
        <w:spacing w:line="240" w:lineRule="auto"/>
        <w:contextualSpacing/>
        <w:rPr>
          <w:rFonts w:eastAsia="TimesNewRoman"/>
          <w:szCs w:val="22"/>
          <w:lang w:eastAsia="lt-LT"/>
        </w:rPr>
      </w:pPr>
    </w:p>
    <w:p w14:paraId="7A3FC306" w14:textId="77777777" w:rsidR="00074A71" w:rsidRPr="007A17AE" w:rsidRDefault="00074A71" w:rsidP="007A17AE">
      <w:pPr>
        <w:tabs>
          <w:tab w:val="clear" w:pos="567"/>
        </w:tabs>
        <w:autoSpaceDE w:val="0"/>
        <w:autoSpaceDN w:val="0"/>
        <w:adjustRightInd w:val="0"/>
        <w:spacing w:line="240" w:lineRule="auto"/>
        <w:contextualSpacing/>
        <w:rPr>
          <w:rFonts w:eastAsia="TimesNewRoman"/>
          <w:szCs w:val="22"/>
          <w:u w:val="single"/>
          <w:lang w:eastAsia="lt-LT"/>
        </w:rPr>
      </w:pPr>
      <w:r w:rsidRPr="007A17AE">
        <w:rPr>
          <w:rFonts w:eastAsia="TimesNewRoman"/>
          <w:szCs w:val="22"/>
          <w:u w:val="single"/>
          <w:lang w:eastAsia="lt-LT"/>
        </w:rPr>
        <w:t>3 dienų gydymo aprepitantu schema suaugusiesiems</w:t>
      </w:r>
    </w:p>
    <w:p w14:paraId="7B29C4F2" w14:textId="1D9245DC" w:rsidR="00074A71" w:rsidRPr="007A17AE" w:rsidRDefault="00723E4E"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Dviejų r</w:t>
      </w:r>
      <w:r w:rsidR="00074A71" w:rsidRPr="007A17AE">
        <w:rPr>
          <w:rFonts w:eastAsia="TimesNewRoman"/>
          <w:szCs w:val="22"/>
          <w:lang w:eastAsia="lt-LT"/>
        </w:rPr>
        <w:t>andomizuot</w:t>
      </w:r>
      <w:r w:rsidRPr="007A17AE">
        <w:rPr>
          <w:rFonts w:eastAsia="TimesNewRoman"/>
          <w:szCs w:val="22"/>
          <w:lang w:eastAsia="lt-LT"/>
        </w:rPr>
        <w:t>ų</w:t>
      </w:r>
      <w:r w:rsidR="00074A71" w:rsidRPr="007A17AE">
        <w:rPr>
          <w:rFonts w:eastAsia="TimesNewRoman"/>
          <w:szCs w:val="22"/>
          <w:lang w:eastAsia="lt-LT"/>
        </w:rPr>
        <w:t xml:space="preserve">, dvigubai </w:t>
      </w:r>
      <w:r w:rsidRPr="007A17AE">
        <w:rPr>
          <w:rFonts w:eastAsia="TimesNewRoman"/>
          <w:szCs w:val="22"/>
          <w:lang w:eastAsia="lt-LT"/>
        </w:rPr>
        <w:t>koduotų</w:t>
      </w:r>
      <w:r w:rsidR="00074A71" w:rsidRPr="007A17AE">
        <w:rPr>
          <w:rFonts w:eastAsia="TimesNewRoman"/>
          <w:szCs w:val="22"/>
          <w:lang w:eastAsia="lt-LT"/>
        </w:rPr>
        <w:t xml:space="preserve"> tyrim</w:t>
      </w:r>
      <w:r w:rsidRPr="007A17AE">
        <w:rPr>
          <w:rFonts w:eastAsia="TimesNewRoman"/>
          <w:szCs w:val="22"/>
          <w:lang w:eastAsia="lt-LT"/>
        </w:rPr>
        <w:t>ų</w:t>
      </w:r>
      <w:r w:rsidR="00074A71" w:rsidRPr="007A17AE">
        <w:rPr>
          <w:rFonts w:eastAsia="TimesNewRoman"/>
          <w:szCs w:val="22"/>
          <w:lang w:eastAsia="lt-LT"/>
        </w:rPr>
        <w:t>, kuriuose dalyvavo 1094 suaugę pacientai, gaunantys</w:t>
      </w:r>
      <w:r w:rsidRPr="007A17AE">
        <w:rPr>
          <w:rFonts w:eastAsia="TimesNewRoman"/>
          <w:szCs w:val="22"/>
          <w:lang w:eastAsia="lt-LT"/>
        </w:rPr>
        <w:t xml:space="preserve"> </w:t>
      </w:r>
      <w:r w:rsidR="00074A71" w:rsidRPr="007A17AE">
        <w:rPr>
          <w:rFonts w:eastAsia="TimesNewRoman"/>
          <w:szCs w:val="22"/>
          <w:lang w:eastAsia="lt-LT"/>
        </w:rPr>
        <w:t xml:space="preserve">chemoterapiją, kurios sudėtyje buvo cisplatinos </w:t>
      </w:r>
      <w:r w:rsidRPr="007A17AE">
        <w:rPr>
          <w:rFonts w:eastAsia="TimesNewRoman"/>
          <w:szCs w:val="22"/>
          <w:lang w:eastAsia="lt-LT"/>
        </w:rPr>
        <w:t>≥</w:t>
      </w:r>
      <w:r w:rsidR="00C1636F">
        <w:rPr>
          <w:rFonts w:eastAsia="TimesNewRoman"/>
          <w:szCs w:val="22"/>
          <w:lang w:eastAsia="lt-LT"/>
        </w:rPr>
        <w:t> </w:t>
      </w:r>
      <w:r w:rsidR="00074A71" w:rsidRPr="007A17AE">
        <w:rPr>
          <w:rFonts w:eastAsia="TimesNewRoman"/>
          <w:szCs w:val="22"/>
          <w:lang w:eastAsia="lt-LT"/>
        </w:rPr>
        <w:t>70</w:t>
      </w:r>
      <w:r w:rsidR="00C1636F">
        <w:rPr>
          <w:rFonts w:eastAsia="TimesNewRoman"/>
          <w:szCs w:val="22"/>
          <w:lang w:eastAsia="lt-LT"/>
        </w:rPr>
        <w:t> </w:t>
      </w:r>
      <w:r w:rsidR="00074A71" w:rsidRPr="007A17AE">
        <w:rPr>
          <w:rFonts w:eastAsia="TimesNewRoman"/>
          <w:szCs w:val="22"/>
          <w:lang w:eastAsia="lt-LT"/>
        </w:rPr>
        <w:t>mg/m</w:t>
      </w:r>
      <w:r w:rsidR="00074A71" w:rsidRPr="007A17AE">
        <w:rPr>
          <w:rFonts w:eastAsia="TimesNewRoman"/>
          <w:szCs w:val="22"/>
          <w:vertAlign w:val="superscript"/>
          <w:lang w:eastAsia="lt-LT"/>
        </w:rPr>
        <w:t>2</w:t>
      </w:r>
      <w:r w:rsidR="00074A71" w:rsidRPr="007A17AE">
        <w:rPr>
          <w:rFonts w:eastAsia="TimesNewRoman"/>
          <w:szCs w:val="22"/>
          <w:lang w:eastAsia="lt-LT"/>
        </w:rPr>
        <w:t xml:space="preserve">, </w:t>
      </w:r>
      <w:r w:rsidR="00D562C1" w:rsidRPr="007A17AE">
        <w:rPr>
          <w:rFonts w:eastAsia="TimesNewRoman"/>
          <w:szCs w:val="22"/>
          <w:lang w:eastAsia="lt-LT"/>
        </w:rPr>
        <w:t xml:space="preserve">metu </w:t>
      </w:r>
      <w:r w:rsidR="00074A71" w:rsidRPr="007A17AE">
        <w:rPr>
          <w:rFonts w:eastAsia="TimesNewRoman"/>
          <w:szCs w:val="22"/>
          <w:lang w:eastAsia="lt-LT"/>
        </w:rPr>
        <w:t>aprepitanto derinys su ondansetronu ir</w:t>
      </w:r>
      <w:r w:rsidR="00D562C1" w:rsidRPr="007A17AE">
        <w:rPr>
          <w:rFonts w:eastAsia="TimesNewRoman"/>
          <w:szCs w:val="22"/>
          <w:lang w:eastAsia="lt-LT"/>
        </w:rPr>
        <w:t xml:space="preserve"> </w:t>
      </w:r>
      <w:r w:rsidR="00074A71" w:rsidRPr="007A17AE">
        <w:rPr>
          <w:rFonts w:eastAsia="TimesNewRoman"/>
          <w:szCs w:val="22"/>
          <w:lang w:eastAsia="lt-LT"/>
        </w:rPr>
        <w:t xml:space="preserve">deksametazonu (žr. 4.2 skyrių) </w:t>
      </w:r>
      <w:r w:rsidR="00D562C1" w:rsidRPr="007A17AE">
        <w:rPr>
          <w:rFonts w:eastAsia="TimesNewRoman"/>
          <w:szCs w:val="22"/>
          <w:lang w:eastAsia="lt-LT"/>
        </w:rPr>
        <w:t>palygintas</w:t>
      </w:r>
      <w:r w:rsidR="00074A71" w:rsidRPr="007A17AE">
        <w:rPr>
          <w:rFonts w:eastAsia="TimesNewRoman"/>
          <w:szCs w:val="22"/>
          <w:lang w:eastAsia="lt-LT"/>
        </w:rPr>
        <w:t xml:space="preserve"> su standartiniu vėmimą slopinančiu gydymu (placebu</w:t>
      </w:r>
      <w:r w:rsidRPr="007A17AE">
        <w:rPr>
          <w:rFonts w:eastAsia="TimesNewRoman"/>
          <w:szCs w:val="22"/>
          <w:lang w:eastAsia="lt-LT"/>
        </w:rPr>
        <w:t xml:space="preserve"> </w:t>
      </w:r>
      <w:r w:rsidR="00074A71" w:rsidRPr="007A17AE">
        <w:rPr>
          <w:rFonts w:eastAsia="TimesNewRoman"/>
          <w:szCs w:val="22"/>
          <w:lang w:eastAsia="lt-LT"/>
        </w:rPr>
        <w:t>plius 32</w:t>
      </w:r>
      <w:r w:rsidR="00C1636F">
        <w:rPr>
          <w:rFonts w:eastAsia="TimesNewRoman"/>
          <w:szCs w:val="22"/>
          <w:lang w:eastAsia="lt-LT"/>
        </w:rPr>
        <w:t> </w:t>
      </w:r>
      <w:r w:rsidR="00074A71" w:rsidRPr="007A17AE">
        <w:rPr>
          <w:rFonts w:eastAsia="TimesNewRoman"/>
          <w:szCs w:val="22"/>
          <w:lang w:eastAsia="lt-LT"/>
        </w:rPr>
        <w:t xml:space="preserve">mg ondansetrono, </w:t>
      </w:r>
      <w:r w:rsidR="000F576E">
        <w:rPr>
          <w:rFonts w:eastAsia="TimesNewRoman"/>
          <w:szCs w:val="22"/>
          <w:lang w:eastAsia="lt-LT"/>
        </w:rPr>
        <w:t>leidžiamo</w:t>
      </w:r>
      <w:r w:rsidR="00074A71" w:rsidRPr="007A17AE">
        <w:rPr>
          <w:rFonts w:eastAsia="TimesNewRoman"/>
          <w:szCs w:val="22"/>
          <w:lang w:eastAsia="lt-LT"/>
        </w:rPr>
        <w:t xml:space="preserve"> į veną 1-ąją dieną plius 20</w:t>
      </w:r>
      <w:r w:rsidR="00C1636F">
        <w:rPr>
          <w:rFonts w:eastAsia="TimesNewRoman"/>
          <w:szCs w:val="22"/>
          <w:lang w:eastAsia="lt-LT"/>
        </w:rPr>
        <w:t> </w:t>
      </w:r>
      <w:r w:rsidR="00074A71" w:rsidRPr="007A17AE">
        <w:rPr>
          <w:rFonts w:eastAsia="TimesNewRoman"/>
          <w:szCs w:val="22"/>
          <w:lang w:eastAsia="lt-LT"/>
        </w:rPr>
        <w:t>mg geriamojo deksametazono 1</w:t>
      </w:r>
      <w:r w:rsidR="003D6098" w:rsidRPr="007A17AE">
        <w:rPr>
          <w:rFonts w:eastAsia="TimesNewRoman"/>
          <w:szCs w:val="22"/>
          <w:lang w:eastAsia="lt-LT"/>
        </w:rPr>
        <w:noBreakHyphen/>
      </w:r>
      <w:r w:rsidR="00074A71" w:rsidRPr="007A17AE">
        <w:rPr>
          <w:rFonts w:eastAsia="TimesNewRoman"/>
          <w:szCs w:val="22"/>
          <w:lang w:eastAsia="lt-LT"/>
        </w:rPr>
        <w:t>ąją</w:t>
      </w:r>
      <w:r w:rsidRPr="007A17AE">
        <w:rPr>
          <w:rFonts w:eastAsia="TimesNewRoman"/>
          <w:szCs w:val="22"/>
          <w:lang w:eastAsia="lt-LT"/>
        </w:rPr>
        <w:t xml:space="preserve"> </w:t>
      </w:r>
      <w:r w:rsidR="00074A71" w:rsidRPr="007A17AE">
        <w:rPr>
          <w:rFonts w:eastAsia="TimesNewRoman"/>
          <w:szCs w:val="22"/>
          <w:lang w:eastAsia="lt-LT"/>
        </w:rPr>
        <w:t>dieną ir po 8</w:t>
      </w:r>
      <w:r w:rsidR="00C1636F">
        <w:rPr>
          <w:rFonts w:eastAsia="TimesNewRoman"/>
          <w:szCs w:val="22"/>
          <w:lang w:eastAsia="lt-LT"/>
        </w:rPr>
        <w:t> </w:t>
      </w:r>
      <w:r w:rsidR="00074A71" w:rsidRPr="007A17AE">
        <w:rPr>
          <w:rFonts w:eastAsia="TimesNewRoman"/>
          <w:szCs w:val="22"/>
          <w:lang w:eastAsia="lt-LT"/>
        </w:rPr>
        <w:t>mg du kartus per parą 2–4-ąją dienomis). Nors klinikinių tyrimų metu į veną</w:t>
      </w:r>
      <w:r w:rsidRPr="007A17AE">
        <w:rPr>
          <w:rFonts w:eastAsia="TimesNewRoman"/>
          <w:szCs w:val="22"/>
          <w:lang w:eastAsia="lt-LT"/>
        </w:rPr>
        <w:t xml:space="preserve"> buvo leidžiama</w:t>
      </w:r>
      <w:r w:rsidR="00074A71" w:rsidRPr="007A17AE">
        <w:rPr>
          <w:rFonts w:eastAsia="TimesNewRoman"/>
          <w:szCs w:val="22"/>
          <w:lang w:eastAsia="lt-LT"/>
        </w:rPr>
        <w:t xml:space="preserve"> 32</w:t>
      </w:r>
      <w:r w:rsidR="00C1636F">
        <w:rPr>
          <w:rFonts w:eastAsia="TimesNewRoman"/>
          <w:szCs w:val="22"/>
          <w:lang w:eastAsia="lt-LT"/>
        </w:rPr>
        <w:t> </w:t>
      </w:r>
      <w:r w:rsidR="00074A71" w:rsidRPr="007A17AE">
        <w:rPr>
          <w:rFonts w:eastAsia="TimesNewRoman"/>
          <w:szCs w:val="22"/>
          <w:lang w:eastAsia="lt-LT"/>
        </w:rPr>
        <w:t>mg ondansetrono dozė, ji jau nėra rekomenduojama dozė. Informaciją apie tinkamą</w:t>
      </w:r>
      <w:r w:rsidR="002F2540" w:rsidRPr="007A17AE">
        <w:rPr>
          <w:rFonts w:eastAsia="TimesNewRoman"/>
          <w:szCs w:val="22"/>
          <w:lang w:eastAsia="lt-LT"/>
        </w:rPr>
        <w:t xml:space="preserve"> </w:t>
      </w:r>
      <w:r w:rsidR="00074A71" w:rsidRPr="007A17AE">
        <w:rPr>
          <w:rFonts w:eastAsia="TimesNewRoman"/>
          <w:szCs w:val="22"/>
          <w:lang w:eastAsia="lt-LT"/>
        </w:rPr>
        <w:t>dozavimą žiūrėkite pasirinkto 5-HT</w:t>
      </w:r>
      <w:r w:rsidR="00074A71" w:rsidRPr="00F122CC">
        <w:rPr>
          <w:rFonts w:eastAsia="TimesNewRoman"/>
          <w:szCs w:val="22"/>
          <w:vertAlign w:val="subscript"/>
          <w:lang w:eastAsia="lt-LT"/>
        </w:rPr>
        <w:t>3</w:t>
      </w:r>
      <w:r w:rsidR="00074A71" w:rsidRPr="007A17AE">
        <w:rPr>
          <w:rFonts w:eastAsia="TimesNewRoman"/>
          <w:szCs w:val="22"/>
          <w:lang w:eastAsia="lt-LT"/>
        </w:rPr>
        <w:t xml:space="preserve"> antagonisto „Preparato charakteristikų santraukoje“.</w:t>
      </w:r>
    </w:p>
    <w:p w14:paraId="0C757D37" w14:textId="77777777" w:rsidR="002F2540" w:rsidRPr="007A17AE" w:rsidRDefault="002F2540" w:rsidP="007A17AE">
      <w:pPr>
        <w:tabs>
          <w:tab w:val="clear" w:pos="567"/>
        </w:tabs>
        <w:autoSpaceDE w:val="0"/>
        <w:autoSpaceDN w:val="0"/>
        <w:adjustRightInd w:val="0"/>
        <w:spacing w:line="240" w:lineRule="auto"/>
        <w:contextualSpacing/>
        <w:rPr>
          <w:rFonts w:eastAsia="TimesNewRoman"/>
          <w:szCs w:val="22"/>
          <w:lang w:eastAsia="lt-LT"/>
        </w:rPr>
      </w:pPr>
    </w:p>
    <w:p w14:paraId="12515FDB" w14:textId="77777777" w:rsidR="00074A71" w:rsidRPr="007A17AE" w:rsidRDefault="002F2540"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Veiksmingumas</w:t>
      </w:r>
      <w:r w:rsidR="00074A71" w:rsidRPr="007A17AE">
        <w:rPr>
          <w:rFonts w:eastAsia="TimesNewRoman"/>
          <w:szCs w:val="22"/>
          <w:lang w:eastAsia="lt-LT"/>
        </w:rPr>
        <w:t xml:space="preserve"> buvo vertinamas pagal sudėtinį rodiklį – visišką atsaką (be vėmimo epizodų ir be</w:t>
      </w:r>
      <w:r w:rsidRPr="007A17AE">
        <w:rPr>
          <w:rFonts w:eastAsia="TimesNewRoman"/>
          <w:szCs w:val="22"/>
          <w:lang w:eastAsia="lt-LT"/>
        </w:rPr>
        <w:t xml:space="preserve"> gelbėjamojo gydymo taikymo</w:t>
      </w:r>
      <w:r w:rsidR="00074A71" w:rsidRPr="007A17AE">
        <w:rPr>
          <w:rFonts w:eastAsia="TimesNewRoman"/>
          <w:szCs w:val="22"/>
          <w:lang w:eastAsia="lt-LT"/>
        </w:rPr>
        <w:t xml:space="preserve">), visų pirma pirmojo ciklo metu. </w:t>
      </w:r>
      <w:r w:rsidRPr="007A17AE">
        <w:rPr>
          <w:rFonts w:eastAsia="TimesNewRoman"/>
          <w:szCs w:val="22"/>
          <w:lang w:eastAsia="lt-LT"/>
        </w:rPr>
        <w:t>Buvo vertinami atskirai kiekvieno tyrimo rezultatai ir jungtiniai dviejų tyrimų rezultatai.</w:t>
      </w:r>
    </w:p>
    <w:p w14:paraId="56D702DD" w14:textId="77777777" w:rsidR="00D562C1" w:rsidRPr="007A17AE" w:rsidRDefault="00D562C1" w:rsidP="007A17AE">
      <w:pPr>
        <w:tabs>
          <w:tab w:val="clear" w:pos="567"/>
        </w:tabs>
        <w:autoSpaceDE w:val="0"/>
        <w:autoSpaceDN w:val="0"/>
        <w:adjustRightInd w:val="0"/>
        <w:spacing w:line="240" w:lineRule="auto"/>
        <w:contextualSpacing/>
        <w:rPr>
          <w:rFonts w:eastAsia="TimesNewRoman"/>
          <w:szCs w:val="22"/>
          <w:lang w:eastAsia="lt-LT"/>
        </w:rPr>
      </w:pPr>
    </w:p>
    <w:p w14:paraId="1195BBDE" w14:textId="77777777" w:rsidR="002F2540"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Svarbiausių</w:t>
      </w:r>
      <w:r w:rsidR="002F2540" w:rsidRPr="007A17AE">
        <w:rPr>
          <w:rFonts w:eastAsia="TimesNewRoman"/>
          <w:szCs w:val="22"/>
          <w:lang w:eastAsia="lt-LT"/>
        </w:rPr>
        <w:t xml:space="preserve"> tyrimų rezultatų jungtinės analizės </w:t>
      </w:r>
      <w:r w:rsidRPr="007A17AE">
        <w:rPr>
          <w:rFonts w:eastAsia="TimesNewRoman"/>
          <w:szCs w:val="22"/>
          <w:lang w:eastAsia="lt-LT"/>
        </w:rPr>
        <w:t>santrauka patei</w:t>
      </w:r>
      <w:r w:rsidR="002F2540" w:rsidRPr="007A17AE">
        <w:rPr>
          <w:rFonts w:eastAsia="TimesNewRoman"/>
          <w:szCs w:val="22"/>
          <w:lang w:eastAsia="lt-LT"/>
        </w:rPr>
        <w:t>kta 1 lentelėje.</w:t>
      </w:r>
    </w:p>
    <w:p w14:paraId="3854F67C" w14:textId="77777777" w:rsidR="00D562C1" w:rsidRPr="007A17AE" w:rsidRDefault="00D562C1" w:rsidP="007A17AE">
      <w:pPr>
        <w:tabs>
          <w:tab w:val="clear" w:pos="567"/>
        </w:tabs>
        <w:autoSpaceDE w:val="0"/>
        <w:autoSpaceDN w:val="0"/>
        <w:adjustRightInd w:val="0"/>
        <w:spacing w:line="240" w:lineRule="auto"/>
        <w:contextualSpacing/>
        <w:rPr>
          <w:rFonts w:eastAsia="TimesNewRoman"/>
          <w:szCs w:val="22"/>
          <w:lang w:eastAsia="lt-LT"/>
        </w:rPr>
      </w:pPr>
    </w:p>
    <w:p w14:paraId="2E80CDC9" w14:textId="77777777" w:rsidR="002F2540" w:rsidRPr="007A17AE" w:rsidRDefault="002F2540"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1 lentelė</w:t>
      </w:r>
    </w:p>
    <w:p w14:paraId="1E637096" w14:textId="77777777" w:rsidR="002F2540" w:rsidRPr="007A17AE" w:rsidRDefault="002F2540"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Labai emetogenišką chemoterapiją gavusių suaugusių pacientų, kuriems pasireiškė atsakas, procentas</w:t>
      </w:r>
    </w:p>
    <w:p w14:paraId="67E2F8CA" w14:textId="77777777" w:rsidR="00074A71" w:rsidRPr="007A17AE" w:rsidRDefault="002F2540"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lastRenderedPageBreak/>
        <w:t>pagal gydymo grupę ir fazę – 1-asis ciklas</w:t>
      </w:r>
    </w:p>
    <w:p w14:paraId="096F5678" w14:textId="77777777" w:rsidR="00074A71" w:rsidRPr="007A17AE" w:rsidRDefault="00074A71" w:rsidP="007A17AE">
      <w:pPr>
        <w:tabs>
          <w:tab w:val="clear" w:pos="567"/>
        </w:tabs>
        <w:autoSpaceDE w:val="0"/>
        <w:autoSpaceDN w:val="0"/>
        <w:adjustRightInd w:val="0"/>
        <w:spacing w:line="240" w:lineRule="auto"/>
        <w:contextualSpacing/>
        <w:rPr>
          <w:rFonts w:eastAsia="TimesNewRoman"/>
          <w:szCs w:val="22"/>
          <w:lang w:eastAsia="lt-L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2"/>
        <w:gridCol w:w="1151"/>
        <w:gridCol w:w="1150"/>
        <w:gridCol w:w="341"/>
        <w:gridCol w:w="283"/>
        <w:gridCol w:w="284"/>
        <w:gridCol w:w="242"/>
        <w:gridCol w:w="1459"/>
        <w:gridCol w:w="1276"/>
        <w:gridCol w:w="601"/>
        <w:gridCol w:w="1383"/>
      </w:tblGrid>
      <w:tr w:rsidR="0079654B" w:rsidRPr="007A17AE" w14:paraId="3A1A2680" w14:textId="77777777" w:rsidTr="004153C5">
        <w:tc>
          <w:tcPr>
            <w:tcW w:w="3794" w:type="dxa"/>
            <w:gridSpan w:val="4"/>
            <w:tcBorders>
              <w:top w:val="nil"/>
              <w:left w:val="nil"/>
              <w:bottom w:val="single" w:sz="4" w:space="0" w:color="auto"/>
              <w:right w:val="nil"/>
            </w:tcBorders>
            <w:shd w:val="clear" w:color="auto" w:fill="auto"/>
          </w:tcPr>
          <w:p w14:paraId="0F550174" w14:textId="77777777" w:rsidR="0079654B" w:rsidRPr="007A17AE" w:rsidRDefault="0079654B" w:rsidP="007A17AE">
            <w:pPr>
              <w:tabs>
                <w:tab w:val="clear" w:pos="567"/>
              </w:tabs>
              <w:autoSpaceDE w:val="0"/>
              <w:autoSpaceDN w:val="0"/>
              <w:adjustRightInd w:val="0"/>
              <w:spacing w:line="240" w:lineRule="auto"/>
              <w:contextualSpacing/>
              <w:rPr>
                <w:rFonts w:eastAsia="TimesNewRoman"/>
                <w:szCs w:val="22"/>
                <w:lang w:eastAsia="lt-LT"/>
              </w:rPr>
            </w:pPr>
          </w:p>
          <w:p w14:paraId="4B257A09" w14:textId="77777777" w:rsidR="0079654B" w:rsidRPr="007A17AE" w:rsidRDefault="0079654B" w:rsidP="007A17AE">
            <w:pPr>
              <w:tabs>
                <w:tab w:val="clear" w:pos="567"/>
              </w:tabs>
              <w:autoSpaceDE w:val="0"/>
              <w:autoSpaceDN w:val="0"/>
              <w:adjustRightInd w:val="0"/>
              <w:spacing w:line="240" w:lineRule="auto"/>
              <w:contextualSpacing/>
              <w:rPr>
                <w:rFonts w:eastAsia="TimesNewRoman"/>
                <w:szCs w:val="22"/>
                <w:lang w:eastAsia="lt-LT"/>
              </w:rPr>
            </w:pPr>
          </w:p>
          <w:p w14:paraId="77C77C44" w14:textId="77777777" w:rsidR="0079654B" w:rsidRPr="007A17AE" w:rsidRDefault="0079654B"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JUNGTINIAI RODIKLIAI</w:t>
            </w:r>
          </w:p>
        </w:tc>
        <w:tc>
          <w:tcPr>
            <w:tcW w:w="283" w:type="dxa"/>
            <w:tcBorders>
              <w:top w:val="nil"/>
              <w:left w:val="nil"/>
              <w:bottom w:val="single" w:sz="4" w:space="0" w:color="auto"/>
              <w:right w:val="nil"/>
            </w:tcBorders>
            <w:shd w:val="clear" w:color="auto" w:fill="auto"/>
          </w:tcPr>
          <w:p w14:paraId="3AF7241B" w14:textId="77777777" w:rsidR="00D562C1" w:rsidRPr="007A17AE" w:rsidRDefault="00D562C1" w:rsidP="007A17AE">
            <w:pPr>
              <w:tabs>
                <w:tab w:val="clear" w:pos="567"/>
              </w:tabs>
              <w:autoSpaceDE w:val="0"/>
              <w:autoSpaceDN w:val="0"/>
              <w:adjustRightInd w:val="0"/>
              <w:spacing w:line="240" w:lineRule="auto"/>
              <w:contextualSpacing/>
              <w:rPr>
                <w:rFonts w:eastAsia="TimesNewRoman"/>
                <w:szCs w:val="22"/>
                <w:lang w:eastAsia="lt-LT"/>
              </w:rPr>
            </w:pPr>
          </w:p>
        </w:tc>
        <w:tc>
          <w:tcPr>
            <w:tcW w:w="284" w:type="dxa"/>
            <w:tcBorders>
              <w:top w:val="nil"/>
              <w:left w:val="nil"/>
              <w:bottom w:val="single" w:sz="4" w:space="0" w:color="auto"/>
              <w:right w:val="nil"/>
            </w:tcBorders>
            <w:shd w:val="clear" w:color="auto" w:fill="auto"/>
          </w:tcPr>
          <w:p w14:paraId="3630ECC3" w14:textId="77777777" w:rsidR="00D562C1" w:rsidRPr="007A17AE" w:rsidRDefault="00D562C1" w:rsidP="007A17AE">
            <w:pPr>
              <w:tabs>
                <w:tab w:val="clear" w:pos="567"/>
              </w:tabs>
              <w:autoSpaceDE w:val="0"/>
              <w:autoSpaceDN w:val="0"/>
              <w:adjustRightInd w:val="0"/>
              <w:spacing w:line="240" w:lineRule="auto"/>
              <w:contextualSpacing/>
              <w:rPr>
                <w:rFonts w:eastAsia="TimesNewRoman"/>
                <w:szCs w:val="22"/>
                <w:lang w:eastAsia="lt-LT"/>
              </w:rPr>
            </w:pPr>
          </w:p>
        </w:tc>
        <w:tc>
          <w:tcPr>
            <w:tcW w:w="242" w:type="dxa"/>
            <w:tcBorders>
              <w:top w:val="nil"/>
              <w:left w:val="nil"/>
              <w:bottom w:val="single" w:sz="4" w:space="0" w:color="auto"/>
              <w:right w:val="nil"/>
            </w:tcBorders>
            <w:shd w:val="clear" w:color="auto" w:fill="auto"/>
          </w:tcPr>
          <w:p w14:paraId="0DF7BD39" w14:textId="77777777" w:rsidR="00D562C1" w:rsidRPr="007A17AE" w:rsidRDefault="00D562C1" w:rsidP="007A17AE">
            <w:pPr>
              <w:tabs>
                <w:tab w:val="clear" w:pos="567"/>
              </w:tabs>
              <w:autoSpaceDE w:val="0"/>
              <w:autoSpaceDN w:val="0"/>
              <w:adjustRightInd w:val="0"/>
              <w:spacing w:line="240" w:lineRule="auto"/>
              <w:contextualSpacing/>
              <w:rPr>
                <w:rFonts w:eastAsia="TimesNewRoman"/>
                <w:szCs w:val="22"/>
                <w:lang w:eastAsia="lt-LT"/>
              </w:rPr>
            </w:pPr>
          </w:p>
        </w:tc>
        <w:tc>
          <w:tcPr>
            <w:tcW w:w="1459" w:type="dxa"/>
            <w:tcBorders>
              <w:top w:val="nil"/>
              <w:left w:val="nil"/>
              <w:bottom w:val="single" w:sz="4" w:space="0" w:color="auto"/>
              <w:right w:val="nil"/>
            </w:tcBorders>
            <w:shd w:val="clear" w:color="auto" w:fill="auto"/>
          </w:tcPr>
          <w:p w14:paraId="7422F903" w14:textId="77777777" w:rsidR="002C5D62" w:rsidRPr="007A17AE" w:rsidRDefault="002C5D62"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Aprepitanto</w:t>
            </w:r>
          </w:p>
          <w:p w14:paraId="7CB7E8F7" w14:textId="77777777" w:rsidR="002C5D62" w:rsidRPr="007A17AE" w:rsidRDefault="002C5D62"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schema</w:t>
            </w:r>
          </w:p>
          <w:p w14:paraId="367135C1" w14:textId="77777777" w:rsidR="002C5D62" w:rsidRPr="007A17AE" w:rsidRDefault="002C5D62"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(N=521)</w:t>
            </w:r>
            <w:r w:rsidRPr="007A17AE">
              <w:rPr>
                <w:rFonts w:eastAsia="TimesNewRoman"/>
                <w:szCs w:val="22"/>
                <w:vertAlign w:val="superscript"/>
                <w:lang w:eastAsia="lt-LT"/>
              </w:rPr>
              <w:t>†</w:t>
            </w:r>
          </w:p>
          <w:p w14:paraId="302807DA" w14:textId="77777777" w:rsidR="00D562C1" w:rsidRPr="007A17AE" w:rsidRDefault="002C5D62"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w:t>
            </w:r>
          </w:p>
        </w:tc>
        <w:tc>
          <w:tcPr>
            <w:tcW w:w="1276" w:type="dxa"/>
            <w:tcBorders>
              <w:top w:val="nil"/>
              <w:left w:val="nil"/>
              <w:bottom w:val="single" w:sz="4" w:space="0" w:color="auto"/>
              <w:right w:val="nil"/>
            </w:tcBorders>
            <w:shd w:val="clear" w:color="auto" w:fill="auto"/>
          </w:tcPr>
          <w:p w14:paraId="0AC20EC4" w14:textId="77777777" w:rsidR="002C5D62" w:rsidRPr="007A17AE" w:rsidRDefault="002C5D62"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Standartinis</w:t>
            </w:r>
          </w:p>
          <w:p w14:paraId="51BD1D24" w14:textId="77777777" w:rsidR="002C5D62" w:rsidRPr="007A17AE" w:rsidRDefault="002C5D62"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gydymas</w:t>
            </w:r>
          </w:p>
          <w:p w14:paraId="5F13C0CC" w14:textId="77777777" w:rsidR="002C5D62" w:rsidRPr="007A17AE" w:rsidRDefault="002C5D62"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(N=524)</w:t>
            </w:r>
            <w:r w:rsidRPr="007A17AE">
              <w:rPr>
                <w:rFonts w:eastAsia="TimesNewRoman"/>
                <w:szCs w:val="22"/>
                <w:vertAlign w:val="superscript"/>
                <w:lang w:eastAsia="lt-LT"/>
              </w:rPr>
              <w:t>†</w:t>
            </w:r>
          </w:p>
          <w:p w14:paraId="13D84055" w14:textId="77777777" w:rsidR="00D562C1" w:rsidRPr="007A17AE" w:rsidRDefault="002C5D62"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w:t>
            </w:r>
          </w:p>
        </w:tc>
        <w:tc>
          <w:tcPr>
            <w:tcW w:w="601" w:type="dxa"/>
            <w:tcBorders>
              <w:top w:val="nil"/>
              <w:left w:val="nil"/>
              <w:bottom w:val="single" w:sz="4" w:space="0" w:color="auto"/>
              <w:right w:val="nil"/>
            </w:tcBorders>
            <w:shd w:val="clear" w:color="auto" w:fill="auto"/>
          </w:tcPr>
          <w:p w14:paraId="6A28B7C5" w14:textId="77777777" w:rsidR="00D562C1" w:rsidRPr="007A17AE" w:rsidRDefault="00D562C1" w:rsidP="007A17AE">
            <w:pPr>
              <w:tabs>
                <w:tab w:val="clear" w:pos="567"/>
              </w:tabs>
              <w:autoSpaceDE w:val="0"/>
              <w:autoSpaceDN w:val="0"/>
              <w:adjustRightInd w:val="0"/>
              <w:spacing w:line="240" w:lineRule="auto"/>
              <w:contextualSpacing/>
              <w:rPr>
                <w:rFonts w:eastAsia="TimesNewRoman"/>
                <w:szCs w:val="22"/>
                <w:lang w:eastAsia="lt-LT"/>
              </w:rPr>
            </w:pPr>
          </w:p>
        </w:tc>
        <w:tc>
          <w:tcPr>
            <w:tcW w:w="1383" w:type="dxa"/>
            <w:tcBorders>
              <w:top w:val="nil"/>
              <w:left w:val="nil"/>
              <w:bottom w:val="single" w:sz="4" w:space="0" w:color="auto"/>
              <w:right w:val="nil"/>
            </w:tcBorders>
            <w:shd w:val="clear" w:color="auto" w:fill="auto"/>
          </w:tcPr>
          <w:p w14:paraId="371EF7EE" w14:textId="77777777" w:rsidR="00D562C1" w:rsidRPr="007A17AE" w:rsidRDefault="00D562C1"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Skirtumas*</w:t>
            </w:r>
          </w:p>
        </w:tc>
      </w:tr>
      <w:tr w:rsidR="0079654B" w:rsidRPr="007A17AE" w14:paraId="6B69AE30" w14:textId="77777777" w:rsidTr="004153C5">
        <w:tc>
          <w:tcPr>
            <w:tcW w:w="1152" w:type="dxa"/>
            <w:tcBorders>
              <w:top w:val="single" w:sz="4" w:space="0" w:color="auto"/>
              <w:left w:val="nil"/>
              <w:bottom w:val="single" w:sz="4" w:space="0" w:color="auto"/>
              <w:right w:val="nil"/>
            </w:tcBorders>
            <w:shd w:val="clear" w:color="auto" w:fill="auto"/>
          </w:tcPr>
          <w:p w14:paraId="1843C974" w14:textId="77777777" w:rsidR="00D562C1" w:rsidRPr="007A17AE" w:rsidRDefault="00D562C1" w:rsidP="007A17AE">
            <w:pPr>
              <w:tabs>
                <w:tab w:val="clear" w:pos="567"/>
              </w:tabs>
              <w:autoSpaceDE w:val="0"/>
              <w:autoSpaceDN w:val="0"/>
              <w:adjustRightInd w:val="0"/>
              <w:spacing w:line="240" w:lineRule="auto"/>
              <w:contextualSpacing/>
              <w:rPr>
                <w:rFonts w:eastAsia="TimesNewRoman"/>
                <w:szCs w:val="22"/>
                <w:lang w:eastAsia="lt-LT"/>
              </w:rPr>
            </w:pPr>
          </w:p>
        </w:tc>
        <w:tc>
          <w:tcPr>
            <w:tcW w:w="1151" w:type="dxa"/>
            <w:tcBorders>
              <w:top w:val="single" w:sz="4" w:space="0" w:color="auto"/>
              <w:left w:val="nil"/>
              <w:bottom w:val="single" w:sz="4" w:space="0" w:color="auto"/>
              <w:right w:val="nil"/>
            </w:tcBorders>
            <w:shd w:val="clear" w:color="auto" w:fill="auto"/>
          </w:tcPr>
          <w:p w14:paraId="7B942F85" w14:textId="77777777" w:rsidR="00D562C1" w:rsidRPr="007A17AE" w:rsidRDefault="00D562C1" w:rsidP="007A17AE">
            <w:pPr>
              <w:tabs>
                <w:tab w:val="clear" w:pos="567"/>
              </w:tabs>
              <w:autoSpaceDE w:val="0"/>
              <w:autoSpaceDN w:val="0"/>
              <w:adjustRightInd w:val="0"/>
              <w:spacing w:line="240" w:lineRule="auto"/>
              <w:contextualSpacing/>
              <w:rPr>
                <w:rFonts w:eastAsia="TimesNewRoman"/>
                <w:szCs w:val="22"/>
                <w:lang w:eastAsia="lt-LT"/>
              </w:rPr>
            </w:pPr>
          </w:p>
        </w:tc>
        <w:tc>
          <w:tcPr>
            <w:tcW w:w="1150" w:type="dxa"/>
            <w:tcBorders>
              <w:top w:val="single" w:sz="4" w:space="0" w:color="auto"/>
              <w:left w:val="nil"/>
              <w:bottom w:val="single" w:sz="4" w:space="0" w:color="auto"/>
              <w:right w:val="nil"/>
            </w:tcBorders>
            <w:shd w:val="clear" w:color="auto" w:fill="auto"/>
          </w:tcPr>
          <w:p w14:paraId="7EEFECFC" w14:textId="77777777" w:rsidR="00D562C1" w:rsidRPr="007A17AE" w:rsidRDefault="00D562C1" w:rsidP="007A17AE">
            <w:pPr>
              <w:tabs>
                <w:tab w:val="clear" w:pos="567"/>
              </w:tabs>
              <w:autoSpaceDE w:val="0"/>
              <w:autoSpaceDN w:val="0"/>
              <w:adjustRightInd w:val="0"/>
              <w:spacing w:line="240" w:lineRule="auto"/>
              <w:contextualSpacing/>
              <w:rPr>
                <w:rFonts w:eastAsia="TimesNewRoman"/>
                <w:szCs w:val="22"/>
                <w:lang w:eastAsia="lt-LT"/>
              </w:rPr>
            </w:pPr>
          </w:p>
        </w:tc>
        <w:tc>
          <w:tcPr>
            <w:tcW w:w="1150" w:type="dxa"/>
            <w:gridSpan w:val="4"/>
            <w:tcBorders>
              <w:top w:val="single" w:sz="4" w:space="0" w:color="auto"/>
              <w:left w:val="nil"/>
              <w:bottom w:val="single" w:sz="4" w:space="0" w:color="auto"/>
              <w:right w:val="nil"/>
            </w:tcBorders>
            <w:shd w:val="clear" w:color="auto" w:fill="auto"/>
          </w:tcPr>
          <w:p w14:paraId="5563807F" w14:textId="77777777" w:rsidR="00D562C1" w:rsidRPr="007A17AE" w:rsidRDefault="00D562C1" w:rsidP="007A17AE">
            <w:pPr>
              <w:tabs>
                <w:tab w:val="clear" w:pos="567"/>
              </w:tabs>
              <w:autoSpaceDE w:val="0"/>
              <w:autoSpaceDN w:val="0"/>
              <w:adjustRightInd w:val="0"/>
              <w:spacing w:line="240" w:lineRule="auto"/>
              <w:contextualSpacing/>
              <w:rPr>
                <w:rFonts w:eastAsia="TimesNewRoman"/>
                <w:szCs w:val="22"/>
                <w:lang w:eastAsia="lt-LT"/>
              </w:rPr>
            </w:pPr>
          </w:p>
        </w:tc>
        <w:tc>
          <w:tcPr>
            <w:tcW w:w="1459" w:type="dxa"/>
            <w:tcBorders>
              <w:top w:val="single" w:sz="4" w:space="0" w:color="auto"/>
              <w:left w:val="nil"/>
              <w:bottom w:val="single" w:sz="4" w:space="0" w:color="auto"/>
              <w:right w:val="nil"/>
            </w:tcBorders>
            <w:shd w:val="clear" w:color="auto" w:fill="auto"/>
          </w:tcPr>
          <w:p w14:paraId="65457934" w14:textId="77777777" w:rsidR="00D562C1" w:rsidRPr="007A17AE" w:rsidRDefault="00D562C1" w:rsidP="007A17AE">
            <w:pPr>
              <w:tabs>
                <w:tab w:val="clear" w:pos="567"/>
              </w:tabs>
              <w:autoSpaceDE w:val="0"/>
              <w:autoSpaceDN w:val="0"/>
              <w:adjustRightInd w:val="0"/>
              <w:spacing w:line="240" w:lineRule="auto"/>
              <w:contextualSpacing/>
              <w:rPr>
                <w:rFonts w:eastAsia="TimesNewRoman"/>
                <w:szCs w:val="22"/>
                <w:lang w:eastAsia="lt-LT"/>
              </w:rPr>
            </w:pPr>
          </w:p>
        </w:tc>
        <w:tc>
          <w:tcPr>
            <w:tcW w:w="1276" w:type="dxa"/>
            <w:tcBorders>
              <w:top w:val="single" w:sz="4" w:space="0" w:color="auto"/>
              <w:left w:val="nil"/>
              <w:bottom w:val="single" w:sz="4" w:space="0" w:color="auto"/>
              <w:right w:val="nil"/>
            </w:tcBorders>
            <w:shd w:val="clear" w:color="auto" w:fill="auto"/>
          </w:tcPr>
          <w:p w14:paraId="35479D67" w14:textId="77777777" w:rsidR="00D562C1" w:rsidRPr="007A17AE" w:rsidRDefault="00D562C1" w:rsidP="007A17AE">
            <w:pPr>
              <w:tabs>
                <w:tab w:val="clear" w:pos="567"/>
              </w:tabs>
              <w:autoSpaceDE w:val="0"/>
              <w:autoSpaceDN w:val="0"/>
              <w:adjustRightInd w:val="0"/>
              <w:spacing w:line="240" w:lineRule="auto"/>
              <w:contextualSpacing/>
              <w:rPr>
                <w:rFonts w:eastAsia="TimesNewRoman"/>
                <w:szCs w:val="22"/>
                <w:lang w:eastAsia="lt-LT"/>
              </w:rPr>
            </w:pPr>
          </w:p>
        </w:tc>
        <w:tc>
          <w:tcPr>
            <w:tcW w:w="601" w:type="dxa"/>
            <w:tcBorders>
              <w:top w:val="single" w:sz="4" w:space="0" w:color="auto"/>
              <w:left w:val="nil"/>
              <w:bottom w:val="single" w:sz="4" w:space="0" w:color="auto"/>
              <w:right w:val="nil"/>
            </w:tcBorders>
            <w:shd w:val="clear" w:color="auto" w:fill="auto"/>
          </w:tcPr>
          <w:p w14:paraId="176E4645" w14:textId="77777777" w:rsidR="00D562C1" w:rsidRPr="007A17AE" w:rsidRDefault="00D562C1"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w:t>
            </w:r>
          </w:p>
        </w:tc>
        <w:tc>
          <w:tcPr>
            <w:tcW w:w="1383" w:type="dxa"/>
            <w:tcBorders>
              <w:top w:val="single" w:sz="4" w:space="0" w:color="auto"/>
              <w:left w:val="nil"/>
              <w:bottom w:val="single" w:sz="4" w:space="0" w:color="auto"/>
              <w:right w:val="nil"/>
            </w:tcBorders>
            <w:shd w:val="clear" w:color="auto" w:fill="auto"/>
          </w:tcPr>
          <w:p w14:paraId="7C8A9456" w14:textId="77777777" w:rsidR="00D562C1" w:rsidRPr="007A17AE" w:rsidRDefault="00D562C1"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(95</w:t>
            </w:r>
            <w:r w:rsidR="00C1636F">
              <w:rPr>
                <w:rFonts w:eastAsia="TimesNewRoman"/>
                <w:szCs w:val="22"/>
                <w:lang w:eastAsia="lt-LT"/>
              </w:rPr>
              <w:t> </w:t>
            </w:r>
            <w:r w:rsidRPr="007A17AE">
              <w:rPr>
                <w:rFonts w:eastAsia="TimesNewRoman"/>
                <w:szCs w:val="22"/>
                <w:lang w:eastAsia="lt-LT"/>
              </w:rPr>
              <w:t>%PI)</w:t>
            </w:r>
          </w:p>
        </w:tc>
      </w:tr>
      <w:tr w:rsidR="002C5D62" w:rsidRPr="007A17AE" w14:paraId="193A497D" w14:textId="77777777" w:rsidTr="004153C5">
        <w:tc>
          <w:tcPr>
            <w:tcW w:w="9322" w:type="dxa"/>
            <w:gridSpan w:val="11"/>
            <w:tcBorders>
              <w:top w:val="single" w:sz="4" w:space="0" w:color="auto"/>
              <w:left w:val="nil"/>
              <w:bottom w:val="single" w:sz="4" w:space="0" w:color="auto"/>
              <w:right w:val="nil"/>
            </w:tcBorders>
            <w:shd w:val="clear" w:color="auto" w:fill="auto"/>
          </w:tcPr>
          <w:p w14:paraId="504C4685" w14:textId="77777777" w:rsidR="002C5D62" w:rsidRPr="007A17AE" w:rsidRDefault="002C5D62"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Bold"/>
                <w:b/>
                <w:bCs/>
                <w:szCs w:val="22"/>
                <w:lang w:eastAsia="lt-LT"/>
              </w:rPr>
              <w:t>Visiškas atsakas (be vėmimo ir be gelbėjamojo gydymo)</w:t>
            </w:r>
          </w:p>
        </w:tc>
      </w:tr>
      <w:tr w:rsidR="00D562C1" w:rsidRPr="007A17AE" w14:paraId="5707FC12" w14:textId="77777777" w:rsidTr="004153C5">
        <w:tc>
          <w:tcPr>
            <w:tcW w:w="3794" w:type="dxa"/>
            <w:gridSpan w:val="4"/>
            <w:tcBorders>
              <w:top w:val="single" w:sz="4" w:space="0" w:color="auto"/>
              <w:left w:val="nil"/>
              <w:bottom w:val="nil"/>
              <w:right w:val="nil"/>
            </w:tcBorders>
            <w:shd w:val="clear" w:color="auto" w:fill="auto"/>
          </w:tcPr>
          <w:p w14:paraId="6C220CD6" w14:textId="77777777" w:rsidR="00D562C1" w:rsidRPr="007A17AE" w:rsidRDefault="0079654B" w:rsidP="00C1636F">
            <w:pPr>
              <w:tabs>
                <w:tab w:val="clear" w:pos="567"/>
              </w:tabs>
              <w:autoSpaceDE w:val="0"/>
              <w:autoSpaceDN w:val="0"/>
              <w:adjustRightInd w:val="0"/>
              <w:spacing w:line="240" w:lineRule="auto"/>
              <w:ind w:left="567"/>
              <w:contextualSpacing/>
              <w:rPr>
                <w:rFonts w:eastAsia="TimesNewRoman"/>
                <w:szCs w:val="22"/>
                <w:lang w:eastAsia="lt-LT"/>
              </w:rPr>
            </w:pPr>
            <w:r w:rsidRPr="007A17AE">
              <w:rPr>
                <w:rFonts w:eastAsia="TimesNewRoman"/>
                <w:szCs w:val="22"/>
                <w:lang w:eastAsia="lt-LT"/>
              </w:rPr>
              <w:t>Bendras (0–120</w:t>
            </w:r>
            <w:r w:rsidR="00C1636F">
              <w:rPr>
                <w:rFonts w:eastAsia="TimesNewRoman"/>
                <w:szCs w:val="22"/>
                <w:lang w:eastAsia="lt-LT"/>
              </w:rPr>
              <w:t> </w:t>
            </w:r>
            <w:r w:rsidRPr="007A17AE">
              <w:rPr>
                <w:rFonts w:eastAsia="TimesNewRoman"/>
                <w:szCs w:val="22"/>
                <w:lang w:eastAsia="lt-LT"/>
              </w:rPr>
              <w:t>valandų)</w:t>
            </w:r>
          </w:p>
        </w:tc>
        <w:tc>
          <w:tcPr>
            <w:tcW w:w="283" w:type="dxa"/>
            <w:tcBorders>
              <w:top w:val="single" w:sz="4" w:space="0" w:color="auto"/>
              <w:left w:val="nil"/>
              <w:bottom w:val="nil"/>
              <w:right w:val="nil"/>
            </w:tcBorders>
            <w:shd w:val="clear" w:color="auto" w:fill="auto"/>
          </w:tcPr>
          <w:p w14:paraId="71535212" w14:textId="77777777" w:rsidR="00D562C1" w:rsidRPr="007A17AE" w:rsidRDefault="00D562C1" w:rsidP="007A17AE">
            <w:pPr>
              <w:tabs>
                <w:tab w:val="clear" w:pos="567"/>
              </w:tabs>
              <w:autoSpaceDE w:val="0"/>
              <w:autoSpaceDN w:val="0"/>
              <w:adjustRightInd w:val="0"/>
              <w:spacing w:line="240" w:lineRule="auto"/>
              <w:contextualSpacing/>
              <w:rPr>
                <w:rFonts w:eastAsia="TimesNewRoman"/>
                <w:szCs w:val="22"/>
                <w:lang w:eastAsia="lt-LT"/>
              </w:rPr>
            </w:pPr>
          </w:p>
        </w:tc>
        <w:tc>
          <w:tcPr>
            <w:tcW w:w="284" w:type="dxa"/>
            <w:tcBorders>
              <w:top w:val="single" w:sz="4" w:space="0" w:color="auto"/>
              <w:left w:val="nil"/>
              <w:bottom w:val="nil"/>
              <w:right w:val="nil"/>
            </w:tcBorders>
            <w:shd w:val="clear" w:color="auto" w:fill="auto"/>
          </w:tcPr>
          <w:p w14:paraId="24805EC6" w14:textId="77777777" w:rsidR="00D562C1" w:rsidRPr="007A17AE" w:rsidRDefault="00D562C1" w:rsidP="007A17AE">
            <w:pPr>
              <w:tabs>
                <w:tab w:val="clear" w:pos="567"/>
              </w:tabs>
              <w:autoSpaceDE w:val="0"/>
              <w:autoSpaceDN w:val="0"/>
              <w:adjustRightInd w:val="0"/>
              <w:spacing w:line="240" w:lineRule="auto"/>
              <w:contextualSpacing/>
              <w:rPr>
                <w:rFonts w:eastAsia="TimesNewRoman"/>
                <w:szCs w:val="22"/>
                <w:lang w:eastAsia="lt-LT"/>
              </w:rPr>
            </w:pPr>
          </w:p>
        </w:tc>
        <w:tc>
          <w:tcPr>
            <w:tcW w:w="242" w:type="dxa"/>
            <w:tcBorders>
              <w:top w:val="single" w:sz="4" w:space="0" w:color="auto"/>
              <w:left w:val="nil"/>
              <w:bottom w:val="nil"/>
              <w:right w:val="nil"/>
            </w:tcBorders>
            <w:shd w:val="clear" w:color="auto" w:fill="auto"/>
          </w:tcPr>
          <w:p w14:paraId="6BC08A80" w14:textId="77777777" w:rsidR="00D562C1" w:rsidRPr="007A17AE" w:rsidRDefault="00D562C1" w:rsidP="007A17AE">
            <w:pPr>
              <w:tabs>
                <w:tab w:val="clear" w:pos="567"/>
              </w:tabs>
              <w:autoSpaceDE w:val="0"/>
              <w:autoSpaceDN w:val="0"/>
              <w:adjustRightInd w:val="0"/>
              <w:spacing w:line="240" w:lineRule="auto"/>
              <w:contextualSpacing/>
              <w:rPr>
                <w:rFonts w:eastAsia="TimesNewRoman"/>
                <w:szCs w:val="22"/>
                <w:lang w:eastAsia="lt-LT"/>
              </w:rPr>
            </w:pPr>
          </w:p>
        </w:tc>
        <w:tc>
          <w:tcPr>
            <w:tcW w:w="1459" w:type="dxa"/>
            <w:tcBorders>
              <w:top w:val="single" w:sz="4" w:space="0" w:color="auto"/>
              <w:left w:val="nil"/>
              <w:bottom w:val="nil"/>
              <w:right w:val="nil"/>
            </w:tcBorders>
            <w:shd w:val="clear" w:color="auto" w:fill="auto"/>
          </w:tcPr>
          <w:p w14:paraId="548E2FA8" w14:textId="77777777" w:rsidR="00D562C1" w:rsidRPr="007A17AE" w:rsidRDefault="002C5D62"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67,7</w:t>
            </w:r>
          </w:p>
        </w:tc>
        <w:tc>
          <w:tcPr>
            <w:tcW w:w="1276" w:type="dxa"/>
            <w:tcBorders>
              <w:top w:val="single" w:sz="4" w:space="0" w:color="auto"/>
              <w:left w:val="nil"/>
              <w:bottom w:val="nil"/>
              <w:right w:val="nil"/>
            </w:tcBorders>
            <w:shd w:val="clear" w:color="auto" w:fill="auto"/>
          </w:tcPr>
          <w:p w14:paraId="6DC7343E" w14:textId="77777777" w:rsidR="00D562C1" w:rsidRPr="007A17AE" w:rsidRDefault="002C5D62"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47,8</w:t>
            </w:r>
          </w:p>
        </w:tc>
        <w:tc>
          <w:tcPr>
            <w:tcW w:w="601" w:type="dxa"/>
            <w:tcBorders>
              <w:top w:val="single" w:sz="4" w:space="0" w:color="auto"/>
              <w:left w:val="nil"/>
              <w:bottom w:val="nil"/>
              <w:right w:val="nil"/>
            </w:tcBorders>
            <w:shd w:val="clear" w:color="auto" w:fill="auto"/>
          </w:tcPr>
          <w:p w14:paraId="0E2C242A" w14:textId="77777777" w:rsidR="00D562C1" w:rsidRPr="007A17AE" w:rsidRDefault="00D562C1"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19,9</w:t>
            </w:r>
          </w:p>
        </w:tc>
        <w:tc>
          <w:tcPr>
            <w:tcW w:w="1383" w:type="dxa"/>
            <w:tcBorders>
              <w:top w:val="single" w:sz="4" w:space="0" w:color="auto"/>
              <w:left w:val="nil"/>
              <w:bottom w:val="nil"/>
              <w:right w:val="nil"/>
            </w:tcBorders>
            <w:shd w:val="clear" w:color="auto" w:fill="auto"/>
          </w:tcPr>
          <w:p w14:paraId="4E7419A0" w14:textId="77777777" w:rsidR="00D562C1" w:rsidRPr="007A17AE" w:rsidRDefault="00D562C1"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(14,0; 25,8)</w:t>
            </w:r>
          </w:p>
        </w:tc>
      </w:tr>
      <w:tr w:rsidR="00D562C1" w:rsidRPr="007A17AE" w14:paraId="08CAF72F" w14:textId="77777777" w:rsidTr="004153C5">
        <w:tc>
          <w:tcPr>
            <w:tcW w:w="3794" w:type="dxa"/>
            <w:gridSpan w:val="4"/>
            <w:tcBorders>
              <w:top w:val="nil"/>
              <w:left w:val="nil"/>
              <w:bottom w:val="nil"/>
              <w:right w:val="nil"/>
            </w:tcBorders>
            <w:shd w:val="clear" w:color="auto" w:fill="auto"/>
          </w:tcPr>
          <w:p w14:paraId="685E1C6C" w14:textId="77777777" w:rsidR="00D562C1" w:rsidRPr="007A17AE" w:rsidRDefault="0079654B" w:rsidP="00C1636F">
            <w:pPr>
              <w:tabs>
                <w:tab w:val="clear" w:pos="567"/>
              </w:tabs>
              <w:autoSpaceDE w:val="0"/>
              <w:autoSpaceDN w:val="0"/>
              <w:adjustRightInd w:val="0"/>
              <w:spacing w:line="240" w:lineRule="auto"/>
              <w:ind w:left="567"/>
              <w:contextualSpacing/>
              <w:rPr>
                <w:rFonts w:eastAsia="TimesNewRoman"/>
                <w:szCs w:val="22"/>
                <w:lang w:eastAsia="lt-LT"/>
              </w:rPr>
            </w:pPr>
            <w:r w:rsidRPr="007A17AE">
              <w:rPr>
                <w:rFonts w:eastAsia="TimesNewRoman"/>
                <w:szCs w:val="22"/>
                <w:lang w:eastAsia="lt-LT"/>
              </w:rPr>
              <w:t>0–24</w:t>
            </w:r>
            <w:r w:rsidR="00C1636F">
              <w:rPr>
                <w:rFonts w:eastAsia="TimesNewRoman"/>
                <w:szCs w:val="22"/>
                <w:lang w:eastAsia="lt-LT"/>
              </w:rPr>
              <w:t> </w:t>
            </w:r>
            <w:r w:rsidRPr="007A17AE">
              <w:rPr>
                <w:rFonts w:eastAsia="TimesNewRoman"/>
                <w:szCs w:val="22"/>
                <w:lang w:eastAsia="lt-LT"/>
              </w:rPr>
              <w:t>valandų</w:t>
            </w:r>
          </w:p>
        </w:tc>
        <w:tc>
          <w:tcPr>
            <w:tcW w:w="283" w:type="dxa"/>
            <w:tcBorders>
              <w:top w:val="nil"/>
              <w:left w:val="nil"/>
              <w:bottom w:val="nil"/>
              <w:right w:val="nil"/>
            </w:tcBorders>
            <w:shd w:val="clear" w:color="auto" w:fill="auto"/>
          </w:tcPr>
          <w:p w14:paraId="7D754BEC" w14:textId="77777777" w:rsidR="00D562C1" w:rsidRPr="007A17AE" w:rsidRDefault="00D562C1" w:rsidP="007A17AE">
            <w:pPr>
              <w:tabs>
                <w:tab w:val="clear" w:pos="567"/>
              </w:tabs>
              <w:autoSpaceDE w:val="0"/>
              <w:autoSpaceDN w:val="0"/>
              <w:adjustRightInd w:val="0"/>
              <w:spacing w:line="240" w:lineRule="auto"/>
              <w:contextualSpacing/>
              <w:rPr>
                <w:rFonts w:eastAsia="TimesNewRoman"/>
                <w:szCs w:val="22"/>
                <w:lang w:eastAsia="lt-LT"/>
              </w:rPr>
            </w:pPr>
          </w:p>
        </w:tc>
        <w:tc>
          <w:tcPr>
            <w:tcW w:w="284" w:type="dxa"/>
            <w:tcBorders>
              <w:top w:val="nil"/>
              <w:left w:val="nil"/>
              <w:bottom w:val="nil"/>
              <w:right w:val="nil"/>
            </w:tcBorders>
            <w:shd w:val="clear" w:color="auto" w:fill="auto"/>
          </w:tcPr>
          <w:p w14:paraId="17EEA422" w14:textId="77777777" w:rsidR="00D562C1" w:rsidRPr="007A17AE" w:rsidRDefault="00D562C1" w:rsidP="007A17AE">
            <w:pPr>
              <w:tabs>
                <w:tab w:val="clear" w:pos="567"/>
              </w:tabs>
              <w:autoSpaceDE w:val="0"/>
              <w:autoSpaceDN w:val="0"/>
              <w:adjustRightInd w:val="0"/>
              <w:spacing w:line="240" w:lineRule="auto"/>
              <w:contextualSpacing/>
              <w:rPr>
                <w:rFonts w:eastAsia="TimesNewRoman"/>
                <w:szCs w:val="22"/>
                <w:lang w:eastAsia="lt-LT"/>
              </w:rPr>
            </w:pPr>
          </w:p>
        </w:tc>
        <w:tc>
          <w:tcPr>
            <w:tcW w:w="242" w:type="dxa"/>
            <w:tcBorders>
              <w:top w:val="nil"/>
              <w:left w:val="nil"/>
              <w:bottom w:val="nil"/>
              <w:right w:val="nil"/>
            </w:tcBorders>
            <w:shd w:val="clear" w:color="auto" w:fill="auto"/>
          </w:tcPr>
          <w:p w14:paraId="391B6885" w14:textId="77777777" w:rsidR="00D562C1" w:rsidRPr="007A17AE" w:rsidRDefault="00D562C1" w:rsidP="007A17AE">
            <w:pPr>
              <w:tabs>
                <w:tab w:val="clear" w:pos="567"/>
              </w:tabs>
              <w:autoSpaceDE w:val="0"/>
              <w:autoSpaceDN w:val="0"/>
              <w:adjustRightInd w:val="0"/>
              <w:spacing w:line="240" w:lineRule="auto"/>
              <w:contextualSpacing/>
              <w:rPr>
                <w:rFonts w:eastAsia="TimesNewRoman"/>
                <w:szCs w:val="22"/>
                <w:lang w:eastAsia="lt-LT"/>
              </w:rPr>
            </w:pPr>
          </w:p>
        </w:tc>
        <w:tc>
          <w:tcPr>
            <w:tcW w:w="1459" w:type="dxa"/>
            <w:tcBorders>
              <w:top w:val="nil"/>
              <w:left w:val="nil"/>
              <w:bottom w:val="nil"/>
              <w:right w:val="nil"/>
            </w:tcBorders>
            <w:shd w:val="clear" w:color="auto" w:fill="auto"/>
          </w:tcPr>
          <w:p w14:paraId="6B858AAF" w14:textId="77777777" w:rsidR="00D562C1" w:rsidRPr="007A17AE" w:rsidRDefault="002C5D62"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86,0</w:t>
            </w:r>
          </w:p>
        </w:tc>
        <w:tc>
          <w:tcPr>
            <w:tcW w:w="1276" w:type="dxa"/>
            <w:tcBorders>
              <w:top w:val="nil"/>
              <w:left w:val="nil"/>
              <w:bottom w:val="nil"/>
              <w:right w:val="nil"/>
            </w:tcBorders>
            <w:shd w:val="clear" w:color="auto" w:fill="auto"/>
          </w:tcPr>
          <w:p w14:paraId="7D2649A4" w14:textId="77777777" w:rsidR="00D562C1" w:rsidRPr="007A17AE" w:rsidRDefault="002C5D62"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73,2</w:t>
            </w:r>
          </w:p>
        </w:tc>
        <w:tc>
          <w:tcPr>
            <w:tcW w:w="601" w:type="dxa"/>
            <w:tcBorders>
              <w:top w:val="nil"/>
              <w:left w:val="nil"/>
              <w:bottom w:val="nil"/>
              <w:right w:val="nil"/>
            </w:tcBorders>
            <w:shd w:val="clear" w:color="auto" w:fill="auto"/>
          </w:tcPr>
          <w:p w14:paraId="40E41256" w14:textId="77777777" w:rsidR="00D562C1" w:rsidRPr="007A17AE" w:rsidRDefault="00D562C1"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12,7</w:t>
            </w:r>
          </w:p>
        </w:tc>
        <w:tc>
          <w:tcPr>
            <w:tcW w:w="1383" w:type="dxa"/>
            <w:tcBorders>
              <w:top w:val="nil"/>
              <w:left w:val="nil"/>
              <w:bottom w:val="nil"/>
              <w:right w:val="nil"/>
            </w:tcBorders>
            <w:shd w:val="clear" w:color="auto" w:fill="auto"/>
          </w:tcPr>
          <w:p w14:paraId="08A04D87" w14:textId="77777777" w:rsidR="00D562C1" w:rsidRPr="007A17AE" w:rsidRDefault="00D562C1"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(7,9; 17,6)</w:t>
            </w:r>
          </w:p>
        </w:tc>
      </w:tr>
      <w:tr w:rsidR="00D562C1" w:rsidRPr="007A17AE" w14:paraId="62BAC849" w14:textId="77777777" w:rsidTr="004153C5">
        <w:tc>
          <w:tcPr>
            <w:tcW w:w="3794" w:type="dxa"/>
            <w:gridSpan w:val="4"/>
            <w:tcBorders>
              <w:top w:val="nil"/>
              <w:left w:val="nil"/>
              <w:bottom w:val="single" w:sz="4" w:space="0" w:color="auto"/>
              <w:right w:val="nil"/>
            </w:tcBorders>
            <w:shd w:val="clear" w:color="auto" w:fill="auto"/>
          </w:tcPr>
          <w:p w14:paraId="6D796FF5" w14:textId="77777777" w:rsidR="00D562C1" w:rsidRPr="007A17AE" w:rsidRDefault="0079654B" w:rsidP="00C1636F">
            <w:pPr>
              <w:tabs>
                <w:tab w:val="clear" w:pos="567"/>
              </w:tabs>
              <w:autoSpaceDE w:val="0"/>
              <w:autoSpaceDN w:val="0"/>
              <w:adjustRightInd w:val="0"/>
              <w:spacing w:line="240" w:lineRule="auto"/>
              <w:ind w:left="567"/>
              <w:contextualSpacing/>
              <w:rPr>
                <w:rFonts w:eastAsia="TimesNewRoman"/>
                <w:szCs w:val="22"/>
                <w:lang w:eastAsia="lt-LT"/>
              </w:rPr>
            </w:pPr>
            <w:r w:rsidRPr="007A17AE">
              <w:rPr>
                <w:rFonts w:eastAsia="TimesNewRoman"/>
                <w:szCs w:val="22"/>
                <w:lang w:eastAsia="lt-LT"/>
              </w:rPr>
              <w:t>25–120</w:t>
            </w:r>
            <w:r w:rsidR="00C1636F">
              <w:rPr>
                <w:rFonts w:eastAsia="TimesNewRoman"/>
                <w:szCs w:val="22"/>
                <w:lang w:eastAsia="lt-LT"/>
              </w:rPr>
              <w:t> </w:t>
            </w:r>
            <w:r w:rsidRPr="007A17AE">
              <w:rPr>
                <w:rFonts w:eastAsia="TimesNewRoman"/>
                <w:szCs w:val="22"/>
                <w:lang w:eastAsia="lt-LT"/>
              </w:rPr>
              <w:t>valandų</w:t>
            </w:r>
          </w:p>
        </w:tc>
        <w:tc>
          <w:tcPr>
            <w:tcW w:w="283" w:type="dxa"/>
            <w:tcBorders>
              <w:top w:val="nil"/>
              <w:left w:val="nil"/>
              <w:bottom w:val="single" w:sz="4" w:space="0" w:color="auto"/>
              <w:right w:val="nil"/>
            </w:tcBorders>
            <w:shd w:val="clear" w:color="auto" w:fill="auto"/>
          </w:tcPr>
          <w:p w14:paraId="66C8F872" w14:textId="77777777" w:rsidR="00D562C1" w:rsidRPr="007A17AE" w:rsidRDefault="00D562C1" w:rsidP="007A17AE">
            <w:pPr>
              <w:tabs>
                <w:tab w:val="clear" w:pos="567"/>
              </w:tabs>
              <w:autoSpaceDE w:val="0"/>
              <w:autoSpaceDN w:val="0"/>
              <w:adjustRightInd w:val="0"/>
              <w:spacing w:line="240" w:lineRule="auto"/>
              <w:contextualSpacing/>
              <w:rPr>
                <w:rFonts w:eastAsia="TimesNewRoman"/>
                <w:szCs w:val="22"/>
                <w:lang w:eastAsia="lt-LT"/>
              </w:rPr>
            </w:pPr>
          </w:p>
        </w:tc>
        <w:tc>
          <w:tcPr>
            <w:tcW w:w="284" w:type="dxa"/>
            <w:tcBorders>
              <w:top w:val="nil"/>
              <w:left w:val="nil"/>
              <w:bottom w:val="single" w:sz="4" w:space="0" w:color="auto"/>
              <w:right w:val="nil"/>
            </w:tcBorders>
            <w:shd w:val="clear" w:color="auto" w:fill="auto"/>
          </w:tcPr>
          <w:p w14:paraId="46F023BA" w14:textId="77777777" w:rsidR="00D562C1" w:rsidRPr="007A17AE" w:rsidRDefault="00D562C1" w:rsidP="007A17AE">
            <w:pPr>
              <w:tabs>
                <w:tab w:val="clear" w:pos="567"/>
              </w:tabs>
              <w:autoSpaceDE w:val="0"/>
              <w:autoSpaceDN w:val="0"/>
              <w:adjustRightInd w:val="0"/>
              <w:spacing w:line="240" w:lineRule="auto"/>
              <w:contextualSpacing/>
              <w:rPr>
                <w:rFonts w:eastAsia="TimesNewRoman"/>
                <w:szCs w:val="22"/>
                <w:lang w:eastAsia="lt-LT"/>
              </w:rPr>
            </w:pPr>
          </w:p>
        </w:tc>
        <w:tc>
          <w:tcPr>
            <w:tcW w:w="242" w:type="dxa"/>
            <w:tcBorders>
              <w:top w:val="nil"/>
              <w:left w:val="nil"/>
              <w:bottom w:val="single" w:sz="4" w:space="0" w:color="auto"/>
              <w:right w:val="nil"/>
            </w:tcBorders>
            <w:shd w:val="clear" w:color="auto" w:fill="auto"/>
          </w:tcPr>
          <w:p w14:paraId="05976925" w14:textId="77777777" w:rsidR="00D562C1" w:rsidRPr="007A17AE" w:rsidRDefault="00D562C1" w:rsidP="007A17AE">
            <w:pPr>
              <w:tabs>
                <w:tab w:val="clear" w:pos="567"/>
              </w:tabs>
              <w:autoSpaceDE w:val="0"/>
              <w:autoSpaceDN w:val="0"/>
              <w:adjustRightInd w:val="0"/>
              <w:spacing w:line="240" w:lineRule="auto"/>
              <w:contextualSpacing/>
              <w:rPr>
                <w:rFonts w:eastAsia="TimesNewRoman"/>
                <w:szCs w:val="22"/>
                <w:lang w:eastAsia="lt-LT"/>
              </w:rPr>
            </w:pPr>
          </w:p>
        </w:tc>
        <w:tc>
          <w:tcPr>
            <w:tcW w:w="1459" w:type="dxa"/>
            <w:tcBorders>
              <w:top w:val="nil"/>
              <w:left w:val="nil"/>
              <w:bottom w:val="single" w:sz="4" w:space="0" w:color="auto"/>
              <w:right w:val="nil"/>
            </w:tcBorders>
            <w:shd w:val="clear" w:color="auto" w:fill="auto"/>
          </w:tcPr>
          <w:p w14:paraId="1CA96A5D" w14:textId="77777777" w:rsidR="00D562C1" w:rsidRPr="007A17AE" w:rsidRDefault="002C5D62"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71,5</w:t>
            </w:r>
          </w:p>
        </w:tc>
        <w:tc>
          <w:tcPr>
            <w:tcW w:w="1276" w:type="dxa"/>
            <w:tcBorders>
              <w:top w:val="nil"/>
              <w:left w:val="nil"/>
              <w:bottom w:val="single" w:sz="4" w:space="0" w:color="auto"/>
              <w:right w:val="nil"/>
            </w:tcBorders>
            <w:shd w:val="clear" w:color="auto" w:fill="auto"/>
          </w:tcPr>
          <w:p w14:paraId="2A6234EC" w14:textId="77777777" w:rsidR="00D562C1" w:rsidRPr="007A17AE" w:rsidRDefault="002C5D62"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51,2</w:t>
            </w:r>
          </w:p>
        </w:tc>
        <w:tc>
          <w:tcPr>
            <w:tcW w:w="601" w:type="dxa"/>
            <w:tcBorders>
              <w:top w:val="nil"/>
              <w:left w:val="nil"/>
              <w:bottom w:val="single" w:sz="4" w:space="0" w:color="auto"/>
              <w:right w:val="nil"/>
            </w:tcBorders>
            <w:shd w:val="clear" w:color="auto" w:fill="auto"/>
          </w:tcPr>
          <w:p w14:paraId="149511FC" w14:textId="77777777" w:rsidR="00D562C1" w:rsidRPr="007A17AE" w:rsidRDefault="00D562C1"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20,3</w:t>
            </w:r>
          </w:p>
        </w:tc>
        <w:tc>
          <w:tcPr>
            <w:tcW w:w="1383" w:type="dxa"/>
            <w:tcBorders>
              <w:top w:val="nil"/>
              <w:left w:val="nil"/>
              <w:bottom w:val="single" w:sz="4" w:space="0" w:color="auto"/>
              <w:right w:val="nil"/>
            </w:tcBorders>
            <w:shd w:val="clear" w:color="auto" w:fill="auto"/>
          </w:tcPr>
          <w:p w14:paraId="35DFB8A1" w14:textId="77777777" w:rsidR="00D562C1" w:rsidRPr="007A17AE" w:rsidRDefault="00D562C1"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(14,5; 26,1)</w:t>
            </w:r>
          </w:p>
        </w:tc>
      </w:tr>
    </w:tbl>
    <w:p w14:paraId="32A28385" w14:textId="77777777" w:rsidR="00074A71" w:rsidRPr="007A17AE" w:rsidRDefault="00074A71" w:rsidP="007A17AE">
      <w:pPr>
        <w:tabs>
          <w:tab w:val="clear" w:pos="567"/>
        </w:tabs>
        <w:autoSpaceDE w:val="0"/>
        <w:autoSpaceDN w:val="0"/>
        <w:adjustRightInd w:val="0"/>
        <w:spacing w:line="240" w:lineRule="auto"/>
        <w:contextualSpacing/>
        <w:rPr>
          <w:rFonts w:eastAsia="TimesNewRoman"/>
          <w:szCs w:val="22"/>
          <w:lang w:eastAsia="lt-LT"/>
        </w:rPr>
      </w:pPr>
    </w:p>
    <w:p w14:paraId="1F9C477B" w14:textId="77777777" w:rsidR="0079654B" w:rsidRPr="007A17AE" w:rsidRDefault="0079654B"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ATSKIRI RODIKLIAI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83"/>
        <w:gridCol w:w="284"/>
        <w:gridCol w:w="242"/>
        <w:gridCol w:w="1459"/>
        <w:gridCol w:w="1276"/>
        <w:gridCol w:w="601"/>
        <w:gridCol w:w="1383"/>
      </w:tblGrid>
      <w:tr w:rsidR="0079654B" w:rsidRPr="007A17AE" w14:paraId="41C915D5" w14:textId="77777777" w:rsidTr="004153C5">
        <w:tc>
          <w:tcPr>
            <w:tcW w:w="9322" w:type="dxa"/>
            <w:gridSpan w:val="8"/>
            <w:tcBorders>
              <w:top w:val="single" w:sz="4" w:space="0" w:color="auto"/>
              <w:left w:val="nil"/>
              <w:bottom w:val="single" w:sz="4" w:space="0" w:color="auto"/>
              <w:right w:val="nil"/>
            </w:tcBorders>
            <w:shd w:val="clear" w:color="auto" w:fill="auto"/>
          </w:tcPr>
          <w:p w14:paraId="496EFC12" w14:textId="77777777" w:rsidR="0079654B" w:rsidRPr="007A17AE" w:rsidRDefault="0079654B"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Bold"/>
                <w:b/>
                <w:bCs/>
                <w:szCs w:val="22"/>
                <w:lang w:eastAsia="lt-LT"/>
              </w:rPr>
              <w:t>Be vėmimo (be vėmimo epizodų neatsižvelgiant į gelbėjamąjį gydymą)</w:t>
            </w:r>
          </w:p>
        </w:tc>
      </w:tr>
      <w:tr w:rsidR="0079654B" w:rsidRPr="007A17AE" w14:paraId="65238364" w14:textId="77777777" w:rsidTr="004153C5">
        <w:tc>
          <w:tcPr>
            <w:tcW w:w="3794" w:type="dxa"/>
            <w:tcBorders>
              <w:top w:val="single" w:sz="4" w:space="0" w:color="auto"/>
              <w:left w:val="nil"/>
              <w:bottom w:val="nil"/>
              <w:right w:val="nil"/>
            </w:tcBorders>
            <w:shd w:val="clear" w:color="auto" w:fill="auto"/>
          </w:tcPr>
          <w:p w14:paraId="5A57574E" w14:textId="77777777" w:rsidR="0079654B" w:rsidRPr="007A17AE" w:rsidRDefault="0079654B" w:rsidP="00C1636F">
            <w:pPr>
              <w:tabs>
                <w:tab w:val="clear" w:pos="567"/>
              </w:tabs>
              <w:autoSpaceDE w:val="0"/>
              <w:autoSpaceDN w:val="0"/>
              <w:adjustRightInd w:val="0"/>
              <w:spacing w:line="240" w:lineRule="auto"/>
              <w:ind w:left="567"/>
              <w:contextualSpacing/>
              <w:rPr>
                <w:rFonts w:eastAsia="TimesNewRoman"/>
                <w:szCs w:val="22"/>
                <w:lang w:eastAsia="lt-LT"/>
              </w:rPr>
            </w:pPr>
            <w:r w:rsidRPr="007A17AE">
              <w:rPr>
                <w:rFonts w:eastAsia="TimesNewRoman"/>
                <w:szCs w:val="22"/>
                <w:lang w:eastAsia="lt-LT"/>
              </w:rPr>
              <w:t>Bendras (0–120</w:t>
            </w:r>
            <w:r w:rsidR="00C1636F">
              <w:rPr>
                <w:rFonts w:eastAsia="TimesNewRoman"/>
                <w:szCs w:val="22"/>
                <w:lang w:eastAsia="lt-LT"/>
              </w:rPr>
              <w:t> </w:t>
            </w:r>
            <w:r w:rsidRPr="007A17AE">
              <w:rPr>
                <w:rFonts w:eastAsia="TimesNewRoman"/>
                <w:szCs w:val="22"/>
                <w:lang w:eastAsia="lt-LT"/>
              </w:rPr>
              <w:t>valandų)</w:t>
            </w:r>
          </w:p>
        </w:tc>
        <w:tc>
          <w:tcPr>
            <w:tcW w:w="283" w:type="dxa"/>
            <w:tcBorders>
              <w:top w:val="single" w:sz="4" w:space="0" w:color="auto"/>
              <w:left w:val="nil"/>
              <w:bottom w:val="nil"/>
              <w:right w:val="nil"/>
            </w:tcBorders>
            <w:shd w:val="clear" w:color="auto" w:fill="auto"/>
          </w:tcPr>
          <w:p w14:paraId="63BD3DC0" w14:textId="77777777" w:rsidR="0079654B" w:rsidRPr="007A17AE" w:rsidRDefault="0079654B" w:rsidP="007A17AE">
            <w:pPr>
              <w:tabs>
                <w:tab w:val="clear" w:pos="567"/>
              </w:tabs>
              <w:autoSpaceDE w:val="0"/>
              <w:autoSpaceDN w:val="0"/>
              <w:adjustRightInd w:val="0"/>
              <w:spacing w:line="240" w:lineRule="auto"/>
              <w:contextualSpacing/>
              <w:rPr>
                <w:rFonts w:eastAsia="TimesNewRoman"/>
                <w:szCs w:val="22"/>
                <w:lang w:eastAsia="lt-LT"/>
              </w:rPr>
            </w:pPr>
          </w:p>
        </w:tc>
        <w:tc>
          <w:tcPr>
            <w:tcW w:w="284" w:type="dxa"/>
            <w:tcBorders>
              <w:top w:val="single" w:sz="4" w:space="0" w:color="auto"/>
              <w:left w:val="nil"/>
              <w:bottom w:val="nil"/>
              <w:right w:val="nil"/>
            </w:tcBorders>
            <w:shd w:val="clear" w:color="auto" w:fill="auto"/>
          </w:tcPr>
          <w:p w14:paraId="6DF6D699" w14:textId="77777777" w:rsidR="0079654B" w:rsidRPr="007A17AE" w:rsidRDefault="0079654B" w:rsidP="007A17AE">
            <w:pPr>
              <w:tabs>
                <w:tab w:val="clear" w:pos="567"/>
              </w:tabs>
              <w:autoSpaceDE w:val="0"/>
              <w:autoSpaceDN w:val="0"/>
              <w:adjustRightInd w:val="0"/>
              <w:spacing w:line="240" w:lineRule="auto"/>
              <w:contextualSpacing/>
              <w:rPr>
                <w:rFonts w:eastAsia="TimesNewRoman"/>
                <w:szCs w:val="22"/>
                <w:lang w:eastAsia="lt-LT"/>
              </w:rPr>
            </w:pPr>
          </w:p>
        </w:tc>
        <w:tc>
          <w:tcPr>
            <w:tcW w:w="242" w:type="dxa"/>
            <w:tcBorders>
              <w:top w:val="single" w:sz="4" w:space="0" w:color="auto"/>
              <w:left w:val="nil"/>
              <w:bottom w:val="nil"/>
              <w:right w:val="nil"/>
            </w:tcBorders>
            <w:shd w:val="clear" w:color="auto" w:fill="auto"/>
          </w:tcPr>
          <w:p w14:paraId="3193A258" w14:textId="77777777" w:rsidR="0079654B" w:rsidRPr="007A17AE" w:rsidRDefault="0079654B" w:rsidP="007A17AE">
            <w:pPr>
              <w:tabs>
                <w:tab w:val="clear" w:pos="567"/>
              </w:tabs>
              <w:autoSpaceDE w:val="0"/>
              <w:autoSpaceDN w:val="0"/>
              <w:adjustRightInd w:val="0"/>
              <w:spacing w:line="240" w:lineRule="auto"/>
              <w:contextualSpacing/>
              <w:rPr>
                <w:rFonts w:eastAsia="TimesNewRoman"/>
                <w:szCs w:val="22"/>
                <w:lang w:eastAsia="lt-LT"/>
              </w:rPr>
            </w:pPr>
          </w:p>
        </w:tc>
        <w:tc>
          <w:tcPr>
            <w:tcW w:w="1459" w:type="dxa"/>
            <w:tcBorders>
              <w:top w:val="single" w:sz="4" w:space="0" w:color="auto"/>
              <w:left w:val="nil"/>
              <w:bottom w:val="nil"/>
              <w:right w:val="nil"/>
            </w:tcBorders>
            <w:shd w:val="clear" w:color="auto" w:fill="auto"/>
          </w:tcPr>
          <w:p w14:paraId="07C7E011" w14:textId="77777777" w:rsidR="0079654B" w:rsidRPr="007A17AE" w:rsidRDefault="0079654B"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71,9</w:t>
            </w:r>
          </w:p>
        </w:tc>
        <w:tc>
          <w:tcPr>
            <w:tcW w:w="1276" w:type="dxa"/>
            <w:tcBorders>
              <w:top w:val="single" w:sz="4" w:space="0" w:color="auto"/>
              <w:left w:val="nil"/>
              <w:bottom w:val="nil"/>
              <w:right w:val="nil"/>
            </w:tcBorders>
            <w:shd w:val="clear" w:color="auto" w:fill="auto"/>
          </w:tcPr>
          <w:p w14:paraId="19EB9457" w14:textId="77777777" w:rsidR="0079654B" w:rsidRPr="007A17AE" w:rsidRDefault="0079654B"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49,7</w:t>
            </w:r>
          </w:p>
        </w:tc>
        <w:tc>
          <w:tcPr>
            <w:tcW w:w="601" w:type="dxa"/>
            <w:tcBorders>
              <w:top w:val="single" w:sz="4" w:space="0" w:color="auto"/>
              <w:left w:val="nil"/>
              <w:bottom w:val="nil"/>
              <w:right w:val="nil"/>
            </w:tcBorders>
            <w:shd w:val="clear" w:color="auto" w:fill="auto"/>
          </w:tcPr>
          <w:p w14:paraId="7DA68EDD" w14:textId="77777777" w:rsidR="0079654B" w:rsidRPr="007A17AE" w:rsidRDefault="0079654B"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22,2</w:t>
            </w:r>
          </w:p>
        </w:tc>
        <w:tc>
          <w:tcPr>
            <w:tcW w:w="1383" w:type="dxa"/>
            <w:tcBorders>
              <w:top w:val="single" w:sz="4" w:space="0" w:color="auto"/>
              <w:left w:val="nil"/>
              <w:bottom w:val="nil"/>
              <w:right w:val="nil"/>
            </w:tcBorders>
            <w:shd w:val="clear" w:color="auto" w:fill="auto"/>
          </w:tcPr>
          <w:p w14:paraId="79C3BC80" w14:textId="77777777" w:rsidR="0079654B" w:rsidRPr="007A17AE" w:rsidRDefault="0079654B"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(1</w:t>
            </w:r>
            <w:r w:rsidR="003E5BA8" w:rsidRPr="007A17AE">
              <w:rPr>
                <w:rFonts w:eastAsia="TimesNewRoman"/>
                <w:szCs w:val="22"/>
                <w:lang w:eastAsia="lt-LT"/>
              </w:rPr>
              <w:t>6</w:t>
            </w:r>
            <w:r w:rsidRPr="007A17AE">
              <w:rPr>
                <w:rFonts w:eastAsia="TimesNewRoman"/>
                <w:szCs w:val="22"/>
                <w:lang w:eastAsia="lt-LT"/>
              </w:rPr>
              <w:t>,</w:t>
            </w:r>
            <w:r w:rsidR="003E5BA8" w:rsidRPr="007A17AE">
              <w:rPr>
                <w:rFonts w:eastAsia="TimesNewRoman"/>
                <w:szCs w:val="22"/>
                <w:lang w:eastAsia="lt-LT"/>
              </w:rPr>
              <w:t>4</w:t>
            </w:r>
            <w:r w:rsidRPr="007A17AE">
              <w:rPr>
                <w:rFonts w:eastAsia="TimesNewRoman"/>
                <w:szCs w:val="22"/>
                <w:lang w:eastAsia="lt-LT"/>
              </w:rPr>
              <w:t>; 2</w:t>
            </w:r>
            <w:r w:rsidR="003E5BA8" w:rsidRPr="007A17AE">
              <w:rPr>
                <w:rFonts w:eastAsia="TimesNewRoman"/>
                <w:szCs w:val="22"/>
                <w:lang w:eastAsia="lt-LT"/>
              </w:rPr>
              <w:t>8</w:t>
            </w:r>
            <w:r w:rsidRPr="007A17AE">
              <w:rPr>
                <w:rFonts w:eastAsia="TimesNewRoman"/>
                <w:szCs w:val="22"/>
                <w:lang w:eastAsia="lt-LT"/>
              </w:rPr>
              <w:t>,</w:t>
            </w:r>
            <w:r w:rsidR="003E5BA8" w:rsidRPr="007A17AE">
              <w:rPr>
                <w:rFonts w:eastAsia="TimesNewRoman"/>
                <w:szCs w:val="22"/>
                <w:lang w:eastAsia="lt-LT"/>
              </w:rPr>
              <w:t>0</w:t>
            </w:r>
            <w:r w:rsidRPr="007A17AE">
              <w:rPr>
                <w:rFonts w:eastAsia="TimesNewRoman"/>
                <w:szCs w:val="22"/>
                <w:lang w:eastAsia="lt-LT"/>
              </w:rPr>
              <w:t>)</w:t>
            </w:r>
          </w:p>
        </w:tc>
      </w:tr>
      <w:tr w:rsidR="0079654B" w:rsidRPr="007A17AE" w14:paraId="10AA5850" w14:textId="77777777" w:rsidTr="004153C5">
        <w:tc>
          <w:tcPr>
            <w:tcW w:w="3794" w:type="dxa"/>
            <w:tcBorders>
              <w:top w:val="nil"/>
              <w:left w:val="nil"/>
              <w:bottom w:val="nil"/>
              <w:right w:val="nil"/>
            </w:tcBorders>
            <w:shd w:val="clear" w:color="auto" w:fill="auto"/>
          </w:tcPr>
          <w:p w14:paraId="1E748E23" w14:textId="77777777" w:rsidR="0079654B" w:rsidRPr="007A17AE" w:rsidRDefault="0079654B" w:rsidP="00C1636F">
            <w:pPr>
              <w:tabs>
                <w:tab w:val="clear" w:pos="567"/>
              </w:tabs>
              <w:autoSpaceDE w:val="0"/>
              <w:autoSpaceDN w:val="0"/>
              <w:adjustRightInd w:val="0"/>
              <w:spacing w:line="240" w:lineRule="auto"/>
              <w:ind w:left="567"/>
              <w:contextualSpacing/>
              <w:rPr>
                <w:rFonts w:eastAsia="TimesNewRoman"/>
                <w:szCs w:val="22"/>
                <w:lang w:eastAsia="lt-LT"/>
              </w:rPr>
            </w:pPr>
            <w:r w:rsidRPr="007A17AE">
              <w:rPr>
                <w:rFonts w:eastAsia="TimesNewRoman"/>
                <w:szCs w:val="22"/>
                <w:lang w:eastAsia="lt-LT"/>
              </w:rPr>
              <w:t>0–24</w:t>
            </w:r>
            <w:r w:rsidR="00C1636F">
              <w:rPr>
                <w:rFonts w:eastAsia="TimesNewRoman"/>
                <w:szCs w:val="22"/>
                <w:lang w:eastAsia="lt-LT"/>
              </w:rPr>
              <w:t> </w:t>
            </w:r>
            <w:r w:rsidRPr="007A17AE">
              <w:rPr>
                <w:rFonts w:eastAsia="TimesNewRoman"/>
                <w:szCs w:val="22"/>
                <w:lang w:eastAsia="lt-LT"/>
              </w:rPr>
              <w:t>valandų</w:t>
            </w:r>
          </w:p>
        </w:tc>
        <w:tc>
          <w:tcPr>
            <w:tcW w:w="283" w:type="dxa"/>
            <w:tcBorders>
              <w:top w:val="nil"/>
              <w:left w:val="nil"/>
              <w:bottom w:val="nil"/>
              <w:right w:val="nil"/>
            </w:tcBorders>
            <w:shd w:val="clear" w:color="auto" w:fill="auto"/>
          </w:tcPr>
          <w:p w14:paraId="787DA363" w14:textId="77777777" w:rsidR="0079654B" w:rsidRPr="007A17AE" w:rsidRDefault="0079654B" w:rsidP="007A17AE">
            <w:pPr>
              <w:tabs>
                <w:tab w:val="clear" w:pos="567"/>
              </w:tabs>
              <w:autoSpaceDE w:val="0"/>
              <w:autoSpaceDN w:val="0"/>
              <w:adjustRightInd w:val="0"/>
              <w:spacing w:line="240" w:lineRule="auto"/>
              <w:contextualSpacing/>
              <w:rPr>
                <w:rFonts w:eastAsia="TimesNewRoman"/>
                <w:szCs w:val="22"/>
                <w:lang w:eastAsia="lt-LT"/>
              </w:rPr>
            </w:pPr>
          </w:p>
        </w:tc>
        <w:tc>
          <w:tcPr>
            <w:tcW w:w="284" w:type="dxa"/>
            <w:tcBorders>
              <w:top w:val="nil"/>
              <w:left w:val="nil"/>
              <w:bottom w:val="nil"/>
              <w:right w:val="nil"/>
            </w:tcBorders>
            <w:shd w:val="clear" w:color="auto" w:fill="auto"/>
          </w:tcPr>
          <w:p w14:paraId="06F20288" w14:textId="77777777" w:rsidR="0079654B" w:rsidRPr="007A17AE" w:rsidRDefault="0079654B" w:rsidP="007A17AE">
            <w:pPr>
              <w:tabs>
                <w:tab w:val="clear" w:pos="567"/>
              </w:tabs>
              <w:autoSpaceDE w:val="0"/>
              <w:autoSpaceDN w:val="0"/>
              <w:adjustRightInd w:val="0"/>
              <w:spacing w:line="240" w:lineRule="auto"/>
              <w:contextualSpacing/>
              <w:rPr>
                <w:rFonts w:eastAsia="TimesNewRoman"/>
                <w:szCs w:val="22"/>
                <w:lang w:eastAsia="lt-LT"/>
              </w:rPr>
            </w:pPr>
          </w:p>
        </w:tc>
        <w:tc>
          <w:tcPr>
            <w:tcW w:w="242" w:type="dxa"/>
            <w:tcBorders>
              <w:top w:val="nil"/>
              <w:left w:val="nil"/>
              <w:bottom w:val="nil"/>
              <w:right w:val="nil"/>
            </w:tcBorders>
            <w:shd w:val="clear" w:color="auto" w:fill="auto"/>
          </w:tcPr>
          <w:p w14:paraId="0D57CEBC" w14:textId="77777777" w:rsidR="0079654B" w:rsidRPr="007A17AE" w:rsidRDefault="0079654B" w:rsidP="007A17AE">
            <w:pPr>
              <w:tabs>
                <w:tab w:val="clear" w:pos="567"/>
              </w:tabs>
              <w:autoSpaceDE w:val="0"/>
              <w:autoSpaceDN w:val="0"/>
              <w:adjustRightInd w:val="0"/>
              <w:spacing w:line="240" w:lineRule="auto"/>
              <w:contextualSpacing/>
              <w:rPr>
                <w:rFonts w:eastAsia="TimesNewRoman"/>
                <w:szCs w:val="22"/>
                <w:lang w:eastAsia="lt-LT"/>
              </w:rPr>
            </w:pPr>
          </w:p>
        </w:tc>
        <w:tc>
          <w:tcPr>
            <w:tcW w:w="1459" w:type="dxa"/>
            <w:tcBorders>
              <w:top w:val="nil"/>
              <w:left w:val="nil"/>
              <w:bottom w:val="nil"/>
              <w:right w:val="nil"/>
            </w:tcBorders>
            <w:shd w:val="clear" w:color="auto" w:fill="auto"/>
          </w:tcPr>
          <w:p w14:paraId="7CA2C607" w14:textId="77777777" w:rsidR="0079654B" w:rsidRPr="007A17AE" w:rsidRDefault="0079654B"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86,8</w:t>
            </w:r>
          </w:p>
        </w:tc>
        <w:tc>
          <w:tcPr>
            <w:tcW w:w="1276" w:type="dxa"/>
            <w:tcBorders>
              <w:top w:val="nil"/>
              <w:left w:val="nil"/>
              <w:bottom w:val="nil"/>
              <w:right w:val="nil"/>
            </w:tcBorders>
            <w:shd w:val="clear" w:color="auto" w:fill="auto"/>
          </w:tcPr>
          <w:p w14:paraId="0B94028B" w14:textId="77777777" w:rsidR="0079654B" w:rsidRPr="007A17AE" w:rsidRDefault="0079654B"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74,0</w:t>
            </w:r>
          </w:p>
        </w:tc>
        <w:tc>
          <w:tcPr>
            <w:tcW w:w="601" w:type="dxa"/>
            <w:tcBorders>
              <w:top w:val="nil"/>
              <w:left w:val="nil"/>
              <w:bottom w:val="nil"/>
              <w:right w:val="nil"/>
            </w:tcBorders>
            <w:shd w:val="clear" w:color="auto" w:fill="auto"/>
          </w:tcPr>
          <w:p w14:paraId="483235AF" w14:textId="77777777" w:rsidR="0079654B" w:rsidRPr="007A17AE" w:rsidRDefault="0079654B"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12,7</w:t>
            </w:r>
          </w:p>
        </w:tc>
        <w:tc>
          <w:tcPr>
            <w:tcW w:w="1383" w:type="dxa"/>
            <w:tcBorders>
              <w:top w:val="nil"/>
              <w:left w:val="nil"/>
              <w:bottom w:val="nil"/>
              <w:right w:val="nil"/>
            </w:tcBorders>
            <w:shd w:val="clear" w:color="auto" w:fill="auto"/>
          </w:tcPr>
          <w:p w14:paraId="49425457" w14:textId="77777777" w:rsidR="0079654B" w:rsidRPr="007A17AE" w:rsidRDefault="0079654B"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w:t>
            </w:r>
            <w:r w:rsidR="003E5BA8" w:rsidRPr="007A17AE">
              <w:rPr>
                <w:rFonts w:eastAsia="TimesNewRoman"/>
                <w:szCs w:val="22"/>
                <w:lang w:eastAsia="lt-LT"/>
              </w:rPr>
              <w:t>8</w:t>
            </w:r>
            <w:r w:rsidRPr="007A17AE">
              <w:rPr>
                <w:rFonts w:eastAsia="TimesNewRoman"/>
                <w:szCs w:val="22"/>
                <w:lang w:eastAsia="lt-LT"/>
              </w:rPr>
              <w:t>,</w:t>
            </w:r>
            <w:r w:rsidR="003E5BA8" w:rsidRPr="007A17AE">
              <w:rPr>
                <w:rFonts w:eastAsia="TimesNewRoman"/>
                <w:szCs w:val="22"/>
                <w:lang w:eastAsia="lt-LT"/>
              </w:rPr>
              <w:t>0</w:t>
            </w:r>
            <w:r w:rsidRPr="007A17AE">
              <w:rPr>
                <w:rFonts w:eastAsia="TimesNewRoman"/>
                <w:szCs w:val="22"/>
                <w:lang w:eastAsia="lt-LT"/>
              </w:rPr>
              <w:t>; 17,</w:t>
            </w:r>
            <w:r w:rsidR="003E5BA8" w:rsidRPr="007A17AE">
              <w:rPr>
                <w:rFonts w:eastAsia="TimesNewRoman"/>
                <w:szCs w:val="22"/>
                <w:lang w:eastAsia="lt-LT"/>
              </w:rPr>
              <w:t>5</w:t>
            </w:r>
            <w:r w:rsidRPr="007A17AE">
              <w:rPr>
                <w:rFonts w:eastAsia="TimesNewRoman"/>
                <w:szCs w:val="22"/>
                <w:lang w:eastAsia="lt-LT"/>
              </w:rPr>
              <w:t>)</w:t>
            </w:r>
          </w:p>
        </w:tc>
      </w:tr>
      <w:tr w:rsidR="0079654B" w:rsidRPr="007A17AE" w14:paraId="17C9EF77" w14:textId="77777777" w:rsidTr="004153C5">
        <w:tc>
          <w:tcPr>
            <w:tcW w:w="3794" w:type="dxa"/>
            <w:tcBorders>
              <w:top w:val="nil"/>
              <w:left w:val="nil"/>
              <w:bottom w:val="single" w:sz="4" w:space="0" w:color="auto"/>
              <w:right w:val="nil"/>
            </w:tcBorders>
            <w:shd w:val="clear" w:color="auto" w:fill="auto"/>
          </w:tcPr>
          <w:p w14:paraId="720AAC35" w14:textId="77777777" w:rsidR="0079654B" w:rsidRPr="007A17AE" w:rsidRDefault="0079654B" w:rsidP="00C1636F">
            <w:pPr>
              <w:tabs>
                <w:tab w:val="clear" w:pos="567"/>
              </w:tabs>
              <w:autoSpaceDE w:val="0"/>
              <w:autoSpaceDN w:val="0"/>
              <w:adjustRightInd w:val="0"/>
              <w:spacing w:line="240" w:lineRule="auto"/>
              <w:ind w:left="567"/>
              <w:contextualSpacing/>
              <w:rPr>
                <w:rFonts w:eastAsia="TimesNewRoman"/>
                <w:szCs w:val="22"/>
                <w:lang w:eastAsia="lt-LT"/>
              </w:rPr>
            </w:pPr>
            <w:r w:rsidRPr="007A17AE">
              <w:rPr>
                <w:rFonts w:eastAsia="TimesNewRoman"/>
                <w:szCs w:val="22"/>
                <w:lang w:eastAsia="lt-LT"/>
              </w:rPr>
              <w:t>25–120</w:t>
            </w:r>
            <w:r w:rsidR="00C1636F">
              <w:rPr>
                <w:rFonts w:eastAsia="TimesNewRoman"/>
                <w:szCs w:val="22"/>
                <w:lang w:eastAsia="lt-LT"/>
              </w:rPr>
              <w:t> </w:t>
            </w:r>
            <w:r w:rsidRPr="007A17AE">
              <w:rPr>
                <w:rFonts w:eastAsia="TimesNewRoman"/>
                <w:szCs w:val="22"/>
                <w:lang w:eastAsia="lt-LT"/>
              </w:rPr>
              <w:t>valandų</w:t>
            </w:r>
          </w:p>
        </w:tc>
        <w:tc>
          <w:tcPr>
            <w:tcW w:w="283" w:type="dxa"/>
            <w:tcBorders>
              <w:top w:val="nil"/>
              <w:left w:val="nil"/>
              <w:bottom w:val="single" w:sz="4" w:space="0" w:color="auto"/>
              <w:right w:val="nil"/>
            </w:tcBorders>
            <w:shd w:val="clear" w:color="auto" w:fill="auto"/>
          </w:tcPr>
          <w:p w14:paraId="1E7D6178" w14:textId="77777777" w:rsidR="0079654B" w:rsidRPr="007A17AE" w:rsidRDefault="0079654B" w:rsidP="007A17AE">
            <w:pPr>
              <w:tabs>
                <w:tab w:val="clear" w:pos="567"/>
              </w:tabs>
              <w:autoSpaceDE w:val="0"/>
              <w:autoSpaceDN w:val="0"/>
              <w:adjustRightInd w:val="0"/>
              <w:spacing w:line="240" w:lineRule="auto"/>
              <w:contextualSpacing/>
              <w:rPr>
                <w:rFonts w:eastAsia="TimesNewRoman"/>
                <w:szCs w:val="22"/>
                <w:lang w:eastAsia="lt-LT"/>
              </w:rPr>
            </w:pPr>
          </w:p>
        </w:tc>
        <w:tc>
          <w:tcPr>
            <w:tcW w:w="284" w:type="dxa"/>
            <w:tcBorders>
              <w:top w:val="nil"/>
              <w:left w:val="nil"/>
              <w:bottom w:val="single" w:sz="4" w:space="0" w:color="auto"/>
              <w:right w:val="nil"/>
            </w:tcBorders>
            <w:shd w:val="clear" w:color="auto" w:fill="auto"/>
          </w:tcPr>
          <w:p w14:paraId="4B1107F1" w14:textId="77777777" w:rsidR="0079654B" w:rsidRPr="007A17AE" w:rsidRDefault="0079654B" w:rsidP="007A17AE">
            <w:pPr>
              <w:tabs>
                <w:tab w:val="clear" w:pos="567"/>
              </w:tabs>
              <w:autoSpaceDE w:val="0"/>
              <w:autoSpaceDN w:val="0"/>
              <w:adjustRightInd w:val="0"/>
              <w:spacing w:line="240" w:lineRule="auto"/>
              <w:contextualSpacing/>
              <w:rPr>
                <w:rFonts w:eastAsia="TimesNewRoman"/>
                <w:szCs w:val="22"/>
                <w:lang w:eastAsia="lt-LT"/>
              </w:rPr>
            </w:pPr>
          </w:p>
        </w:tc>
        <w:tc>
          <w:tcPr>
            <w:tcW w:w="242" w:type="dxa"/>
            <w:tcBorders>
              <w:top w:val="nil"/>
              <w:left w:val="nil"/>
              <w:bottom w:val="single" w:sz="4" w:space="0" w:color="auto"/>
              <w:right w:val="nil"/>
            </w:tcBorders>
            <w:shd w:val="clear" w:color="auto" w:fill="auto"/>
          </w:tcPr>
          <w:p w14:paraId="676A9019" w14:textId="77777777" w:rsidR="0079654B" w:rsidRPr="007A17AE" w:rsidRDefault="0079654B" w:rsidP="007A17AE">
            <w:pPr>
              <w:tabs>
                <w:tab w:val="clear" w:pos="567"/>
              </w:tabs>
              <w:autoSpaceDE w:val="0"/>
              <w:autoSpaceDN w:val="0"/>
              <w:adjustRightInd w:val="0"/>
              <w:spacing w:line="240" w:lineRule="auto"/>
              <w:contextualSpacing/>
              <w:rPr>
                <w:rFonts w:eastAsia="TimesNewRoman"/>
                <w:szCs w:val="22"/>
                <w:lang w:eastAsia="lt-LT"/>
              </w:rPr>
            </w:pPr>
          </w:p>
        </w:tc>
        <w:tc>
          <w:tcPr>
            <w:tcW w:w="1459" w:type="dxa"/>
            <w:tcBorders>
              <w:top w:val="nil"/>
              <w:left w:val="nil"/>
              <w:bottom w:val="single" w:sz="4" w:space="0" w:color="auto"/>
              <w:right w:val="nil"/>
            </w:tcBorders>
            <w:shd w:val="clear" w:color="auto" w:fill="auto"/>
          </w:tcPr>
          <w:p w14:paraId="7E271054" w14:textId="77777777" w:rsidR="0079654B" w:rsidRPr="007A17AE" w:rsidRDefault="0079654B"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76,2</w:t>
            </w:r>
          </w:p>
        </w:tc>
        <w:tc>
          <w:tcPr>
            <w:tcW w:w="1276" w:type="dxa"/>
            <w:tcBorders>
              <w:top w:val="nil"/>
              <w:left w:val="nil"/>
              <w:bottom w:val="single" w:sz="4" w:space="0" w:color="auto"/>
              <w:right w:val="nil"/>
            </w:tcBorders>
            <w:shd w:val="clear" w:color="auto" w:fill="auto"/>
          </w:tcPr>
          <w:p w14:paraId="3BAA7362" w14:textId="77777777" w:rsidR="0079654B" w:rsidRPr="007A17AE" w:rsidRDefault="0079654B"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53,5</w:t>
            </w:r>
          </w:p>
        </w:tc>
        <w:tc>
          <w:tcPr>
            <w:tcW w:w="601" w:type="dxa"/>
            <w:tcBorders>
              <w:top w:val="nil"/>
              <w:left w:val="nil"/>
              <w:bottom w:val="single" w:sz="4" w:space="0" w:color="auto"/>
              <w:right w:val="nil"/>
            </w:tcBorders>
            <w:shd w:val="clear" w:color="auto" w:fill="auto"/>
          </w:tcPr>
          <w:p w14:paraId="15193CAA" w14:textId="77777777" w:rsidR="0079654B" w:rsidRPr="007A17AE" w:rsidRDefault="0079654B"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2</w:t>
            </w:r>
            <w:r w:rsidR="003E5BA8" w:rsidRPr="007A17AE">
              <w:rPr>
                <w:rFonts w:eastAsia="TimesNewRoman"/>
                <w:szCs w:val="22"/>
                <w:lang w:eastAsia="lt-LT"/>
              </w:rPr>
              <w:t>2</w:t>
            </w:r>
            <w:r w:rsidRPr="007A17AE">
              <w:rPr>
                <w:rFonts w:eastAsia="TimesNewRoman"/>
                <w:szCs w:val="22"/>
                <w:lang w:eastAsia="lt-LT"/>
              </w:rPr>
              <w:t>,</w:t>
            </w:r>
            <w:r w:rsidR="003E5BA8" w:rsidRPr="007A17AE">
              <w:rPr>
                <w:rFonts w:eastAsia="TimesNewRoman"/>
                <w:szCs w:val="22"/>
                <w:lang w:eastAsia="lt-LT"/>
              </w:rPr>
              <w:t>6</w:t>
            </w:r>
          </w:p>
        </w:tc>
        <w:tc>
          <w:tcPr>
            <w:tcW w:w="1383" w:type="dxa"/>
            <w:tcBorders>
              <w:top w:val="nil"/>
              <w:left w:val="nil"/>
              <w:bottom w:val="single" w:sz="4" w:space="0" w:color="auto"/>
              <w:right w:val="nil"/>
            </w:tcBorders>
            <w:shd w:val="clear" w:color="auto" w:fill="auto"/>
          </w:tcPr>
          <w:p w14:paraId="0438F2DE" w14:textId="77777777" w:rsidR="0079654B" w:rsidRPr="007A17AE" w:rsidRDefault="0079654B"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w:t>
            </w:r>
            <w:r w:rsidR="003E5BA8" w:rsidRPr="007A17AE">
              <w:rPr>
                <w:rFonts w:eastAsia="TimesNewRoman"/>
                <w:szCs w:val="22"/>
                <w:lang w:eastAsia="lt-LT"/>
              </w:rPr>
              <w:t>17</w:t>
            </w:r>
            <w:r w:rsidRPr="007A17AE">
              <w:rPr>
                <w:rFonts w:eastAsia="TimesNewRoman"/>
                <w:szCs w:val="22"/>
                <w:lang w:eastAsia="lt-LT"/>
              </w:rPr>
              <w:t>,</w:t>
            </w:r>
            <w:r w:rsidR="003E5BA8" w:rsidRPr="007A17AE">
              <w:rPr>
                <w:rFonts w:eastAsia="TimesNewRoman"/>
                <w:szCs w:val="22"/>
                <w:lang w:eastAsia="lt-LT"/>
              </w:rPr>
              <w:t>0</w:t>
            </w:r>
            <w:r w:rsidRPr="007A17AE">
              <w:rPr>
                <w:rFonts w:eastAsia="TimesNewRoman"/>
                <w:szCs w:val="22"/>
                <w:lang w:eastAsia="lt-LT"/>
              </w:rPr>
              <w:t>; 2</w:t>
            </w:r>
            <w:r w:rsidR="003E5BA8" w:rsidRPr="007A17AE">
              <w:rPr>
                <w:rFonts w:eastAsia="TimesNewRoman"/>
                <w:szCs w:val="22"/>
                <w:lang w:eastAsia="lt-LT"/>
              </w:rPr>
              <w:t>8</w:t>
            </w:r>
            <w:r w:rsidRPr="007A17AE">
              <w:rPr>
                <w:rFonts w:eastAsia="TimesNewRoman"/>
                <w:szCs w:val="22"/>
                <w:lang w:eastAsia="lt-LT"/>
              </w:rPr>
              <w:t>,</w:t>
            </w:r>
            <w:r w:rsidR="003E5BA8" w:rsidRPr="007A17AE">
              <w:rPr>
                <w:rFonts w:eastAsia="TimesNewRoman"/>
                <w:szCs w:val="22"/>
                <w:lang w:eastAsia="lt-LT"/>
              </w:rPr>
              <w:t>2</w:t>
            </w:r>
            <w:r w:rsidRPr="007A17AE">
              <w:rPr>
                <w:rFonts w:eastAsia="TimesNewRoman"/>
                <w:szCs w:val="22"/>
                <w:lang w:eastAsia="lt-LT"/>
              </w:rPr>
              <w:t>)</w:t>
            </w:r>
          </w:p>
        </w:tc>
      </w:tr>
      <w:tr w:rsidR="003E5BA8" w:rsidRPr="007A17AE" w14:paraId="121E588A" w14:textId="77777777" w:rsidTr="004153C5">
        <w:tc>
          <w:tcPr>
            <w:tcW w:w="9322" w:type="dxa"/>
            <w:gridSpan w:val="8"/>
            <w:tcBorders>
              <w:top w:val="single" w:sz="4" w:space="0" w:color="auto"/>
              <w:left w:val="nil"/>
              <w:bottom w:val="single" w:sz="4" w:space="0" w:color="auto"/>
              <w:right w:val="nil"/>
            </w:tcBorders>
            <w:shd w:val="clear" w:color="auto" w:fill="auto"/>
          </w:tcPr>
          <w:p w14:paraId="38F46047" w14:textId="77777777" w:rsidR="003E5BA8" w:rsidRPr="007A17AE" w:rsidRDefault="003E5BA8" w:rsidP="00C1636F">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Bold"/>
                <w:b/>
                <w:bCs/>
                <w:szCs w:val="22"/>
                <w:lang w:eastAsia="lt-LT"/>
              </w:rPr>
              <w:t>Be reikšmingo pykinimo (didžiausias VAS &lt;</w:t>
            </w:r>
            <w:r w:rsidR="00C1636F">
              <w:rPr>
                <w:rFonts w:eastAsia="TimesNewRoman,Bold"/>
                <w:b/>
                <w:bCs/>
                <w:szCs w:val="22"/>
                <w:lang w:eastAsia="lt-LT"/>
              </w:rPr>
              <w:t> </w:t>
            </w:r>
            <w:r w:rsidRPr="007A17AE">
              <w:rPr>
                <w:rFonts w:eastAsia="TimesNewRoman,Bold"/>
                <w:b/>
                <w:bCs/>
                <w:szCs w:val="22"/>
                <w:lang w:eastAsia="lt-LT"/>
              </w:rPr>
              <w:t>25</w:t>
            </w:r>
            <w:r w:rsidR="00C1636F">
              <w:rPr>
                <w:rFonts w:eastAsia="TimesNewRoman,Bold"/>
                <w:b/>
                <w:bCs/>
                <w:szCs w:val="22"/>
                <w:lang w:eastAsia="lt-LT"/>
              </w:rPr>
              <w:t> </w:t>
            </w:r>
            <w:r w:rsidRPr="007A17AE">
              <w:rPr>
                <w:rFonts w:eastAsia="TimesNewRoman,Bold"/>
                <w:b/>
                <w:bCs/>
                <w:szCs w:val="22"/>
                <w:lang w:eastAsia="lt-LT"/>
              </w:rPr>
              <w:t>mm 0</w:t>
            </w:r>
            <w:r w:rsidR="00C1636F">
              <w:rPr>
                <w:rFonts w:eastAsia="TimesNewRoman,Bold"/>
                <w:b/>
                <w:bCs/>
                <w:szCs w:val="22"/>
                <w:lang w:eastAsia="lt-LT"/>
              </w:rPr>
              <w:noBreakHyphen/>
            </w:r>
            <w:r w:rsidRPr="007A17AE">
              <w:rPr>
                <w:rFonts w:eastAsia="TimesNewRoman,Bold"/>
                <w:b/>
                <w:bCs/>
                <w:szCs w:val="22"/>
                <w:lang w:eastAsia="lt-LT"/>
              </w:rPr>
              <w:t>100</w:t>
            </w:r>
            <w:r w:rsidR="00C1636F">
              <w:rPr>
                <w:rFonts w:eastAsia="TimesNewRoman,Bold"/>
                <w:b/>
                <w:bCs/>
                <w:szCs w:val="22"/>
                <w:lang w:eastAsia="lt-LT"/>
              </w:rPr>
              <w:t> </w:t>
            </w:r>
            <w:r w:rsidRPr="007A17AE">
              <w:rPr>
                <w:rFonts w:eastAsia="TimesNewRoman,Bold"/>
                <w:b/>
                <w:bCs/>
                <w:szCs w:val="22"/>
                <w:lang w:eastAsia="lt-LT"/>
              </w:rPr>
              <w:t>mm skalėje)</w:t>
            </w:r>
          </w:p>
        </w:tc>
      </w:tr>
      <w:tr w:rsidR="003E5BA8" w:rsidRPr="007A17AE" w14:paraId="47E45657" w14:textId="77777777" w:rsidTr="004153C5">
        <w:tc>
          <w:tcPr>
            <w:tcW w:w="3794" w:type="dxa"/>
            <w:tcBorders>
              <w:top w:val="single" w:sz="4" w:space="0" w:color="auto"/>
              <w:left w:val="nil"/>
              <w:bottom w:val="nil"/>
              <w:right w:val="nil"/>
            </w:tcBorders>
            <w:shd w:val="clear" w:color="auto" w:fill="auto"/>
          </w:tcPr>
          <w:p w14:paraId="31376A52" w14:textId="77777777" w:rsidR="003E5BA8" w:rsidRPr="007A17AE" w:rsidRDefault="003E5BA8" w:rsidP="00C1636F">
            <w:pPr>
              <w:tabs>
                <w:tab w:val="clear" w:pos="567"/>
              </w:tabs>
              <w:autoSpaceDE w:val="0"/>
              <w:autoSpaceDN w:val="0"/>
              <w:adjustRightInd w:val="0"/>
              <w:spacing w:line="240" w:lineRule="auto"/>
              <w:ind w:left="567"/>
              <w:contextualSpacing/>
              <w:rPr>
                <w:rFonts w:eastAsia="TimesNewRoman"/>
                <w:szCs w:val="22"/>
                <w:lang w:eastAsia="lt-LT"/>
              </w:rPr>
            </w:pPr>
            <w:r w:rsidRPr="007A17AE">
              <w:rPr>
                <w:rFonts w:eastAsia="TimesNewRoman"/>
                <w:szCs w:val="22"/>
                <w:lang w:eastAsia="lt-LT"/>
              </w:rPr>
              <w:t>Bendras (0–120</w:t>
            </w:r>
            <w:r w:rsidR="00C1636F">
              <w:rPr>
                <w:rFonts w:eastAsia="TimesNewRoman"/>
                <w:szCs w:val="22"/>
                <w:lang w:eastAsia="lt-LT"/>
              </w:rPr>
              <w:t> </w:t>
            </w:r>
            <w:r w:rsidRPr="007A17AE">
              <w:rPr>
                <w:rFonts w:eastAsia="TimesNewRoman"/>
                <w:szCs w:val="22"/>
                <w:lang w:eastAsia="lt-LT"/>
              </w:rPr>
              <w:t>valandų)</w:t>
            </w:r>
          </w:p>
        </w:tc>
        <w:tc>
          <w:tcPr>
            <w:tcW w:w="283" w:type="dxa"/>
            <w:tcBorders>
              <w:top w:val="single" w:sz="4" w:space="0" w:color="auto"/>
              <w:left w:val="nil"/>
              <w:bottom w:val="nil"/>
              <w:right w:val="nil"/>
            </w:tcBorders>
            <w:shd w:val="clear" w:color="auto" w:fill="auto"/>
          </w:tcPr>
          <w:p w14:paraId="35F68A81" w14:textId="77777777" w:rsidR="003E5BA8" w:rsidRPr="007A17AE" w:rsidRDefault="003E5BA8" w:rsidP="007A17AE">
            <w:pPr>
              <w:tabs>
                <w:tab w:val="clear" w:pos="567"/>
              </w:tabs>
              <w:autoSpaceDE w:val="0"/>
              <w:autoSpaceDN w:val="0"/>
              <w:adjustRightInd w:val="0"/>
              <w:spacing w:line="240" w:lineRule="auto"/>
              <w:contextualSpacing/>
              <w:rPr>
                <w:rFonts w:eastAsia="TimesNewRoman"/>
                <w:szCs w:val="22"/>
                <w:lang w:eastAsia="lt-LT"/>
              </w:rPr>
            </w:pPr>
          </w:p>
        </w:tc>
        <w:tc>
          <w:tcPr>
            <w:tcW w:w="284" w:type="dxa"/>
            <w:tcBorders>
              <w:top w:val="single" w:sz="4" w:space="0" w:color="auto"/>
              <w:left w:val="nil"/>
              <w:bottom w:val="nil"/>
              <w:right w:val="nil"/>
            </w:tcBorders>
            <w:shd w:val="clear" w:color="auto" w:fill="auto"/>
          </w:tcPr>
          <w:p w14:paraId="4E2C51FA" w14:textId="77777777" w:rsidR="003E5BA8" w:rsidRPr="007A17AE" w:rsidRDefault="003E5BA8" w:rsidP="007A17AE">
            <w:pPr>
              <w:tabs>
                <w:tab w:val="clear" w:pos="567"/>
              </w:tabs>
              <w:autoSpaceDE w:val="0"/>
              <w:autoSpaceDN w:val="0"/>
              <w:adjustRightInd w:val="0"/>
              <w:spacing w:line="240" w:lineRule="auto"/>
              <w:contextualSpacing/>
              <w:rPr>
                <w:rFonts w:eastAsia="TimesNewRoman"/>
                <w:szCs w:val="22"/>
                <w:lang w:eastAsia="lt-LT"/>
              </w:rPr>
            </w:pPr>
          </w:p>
        </w:tc>
        <w:tc>
          <w:tcPr>
            <w:tcW w:w="242" w:type="dxa"/>
            <w:tcBorders>
              <w:top w:val="single" w:sz="4" w:space="0" w:color="auto"/>
              <w:left w:val="nil"/>
              <w:bottom w:val="nil"/>
              <w:right w:val="nil"/>
            </w:tcBorders>
            <w:shd w:val="clear" w:color="auto" w:fill="auto"/>
          </w:tcPr>
          <w:p w14:paraId="1551B8DE" w14:textId="77777777" w:rsidR="003E5BA8" w:rsidRPr="007A17AE" w:rsidRDefault="003E5BA8" w:rsidP="007A17AE">
            <w:pPr>
              <w:tabs>
                <w:tab w:val="clear" w:pos="567"/>
              </w:tabs>
              <w:autoSpaceDE w:val="0"/>
              <w:autoSpaceDN w:val="0"/>
              <w:adjustRightInd w:val="0"/>
              <w:spacing w:line="240" w:lineRule="auto"/>
              <w:contextualSpacing/>
              <w:rPr>
                <w:rFonts w:eastAsia="TimesNewRoman"/>
                <w:szCs w:val="22"/>
                <w:lang w:eastAsia="lt-LT"/>
              </w:rPr>
            </w:pPr>
          </w:p>
        </w:tc>
        <w:tc>
          <w:tcPr>
            <w:tcW w:w="1459" w:type="dxa"/>
            <w:tcBorders>
              <w:top w:val="single" w:sz="4" w:space="0" w:color="auto"/>
              <w:left w:val="nil"/>
              <w:bottom w:val="nil"/>
              <w:right w:val="nil"/>
            </w:tcBorders>
            <w:shd w:val="clear" w:color="auto" w:fill="auto"/>
          </w:tcPr>
          <w:p w14:paraId="7B2DD657" w14:textId="77777777" w:rsidR="003E5BA8" w:rsidRPr="007A17AE" w:rsidRDefault="003E5BA8"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72,1</w:t>
            </w:r>
          </w:p>
        </w:tc>
        <w:tc>
          <w:tcPr>
            <w:tcW w:w="1276" w:type="dxa"/>
            <w:tcBorders>
              <w:top w:val="single" w:sz="4" w:space="0" w:color="auto"/>
              <w:left w:val="nil"/>
              <w:bottom w:val="nil"/>
              <w:right w:val="nil"/>
            </w:tcBorders>
            <w:shd w:val="clear" w:color="auto" w:fill="auto"/>
          </w:tcPr>
          <w:p w14:paraId="2884C291" w14:textId="77777777" w:rsidR="003E5BA8" w:rsidRPr="007A17AE" w:rsidRDefault="003E5BA8"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64,9</w:t>
            </w:r>
          </w:p>
        </w:tc>
        <w:tc>
          <w:tcPr>
            <w:tcW w:w="601" w:type="dxa"/>
            <w:tcBorders>
              <w:top w:val="single" w:sz="4" w:space="0" w:color="auto"/>
              <w:left w:val="nil"/>
              <w:bottom w:val="nil"/>
              <w:right w:val="nil"/>
            </w:tcBorders>
            <w:shd w:val="clear" w:color="auto" w:fill="auto"/>
          </w:tcPr>
          <w:p w14:paraId="0828EB01" w14:textId="77777777" w:rsidR="003E5BA8" w:rsidRPr="007A17AE" w:rsidRDefault="003E5BA8"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7,2</w:t>
            </w:r>
          </w:p>
        </w:tc>
        <w:tc>
          <w:tcPr>
            <w:tcW w:w="1383" w:type="dxa"/>
            <w:tcBorders>
              <w:top w:val="single" w:sz="4" w:space="0" w:color="auto"/>
              <w:left w:val="nil"/>
              <w:bottom w:val="nil"/>
              <w:right w:val="nil"/>
            </w:tcBorders>
            <w:shd w:val="clear" w:color="auto" w:fill="auto"/>
          </w:tcPr>
          <w:p w14:paraId="24CC2CED" w14:textId="77777777" w:rsidR="003E5BA8" w:rsidRPr="007A17AE" w:rsidRDefault="003E5BA8"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(1,6; 12,8)</w:t>
            </w:r>
          </w:p>
        </w:tc>
      </w:tr>
      <w:tr w:rsidR="003E5BA8" w:rsidRPr="007A17AE" w14:paraId="661E680B" w14:textId="77777777" w:rsidTr="004153C5">
        <w:tc>
          <w:tcPr>
            <w:tcW w:w="3794" w:type="dxa"/>
            <w:tcBorders>
              <w:top w:val="nil"/>
              <w:left w:val="nil"/>
              <w:bottom w:val="single" w:sz="4" w:space="0" w:color="auto"/>
              <w:right w:val="nil"/>
            </w:tcBorders>
            <w:shd w:val="clear" w:color="auto" w:fill="auto"/>
          </w:tcPr>
          <w:p w14:paraId="1DD12412" w14:textId="77777777" w:rsidR="003E5BA8" w:rsidRPr="007A17AE" w:rsidRDefault="003E5BA8" w:rsidP="00C1636F">
            <w:pPr>
              <w:tabs>
                <w:tab w:val="clear" w:pos="567"/>
              </w:tabs>
              <w:autoSpaceDE w:val="0"/>
              <w:autoSpaceDN w:val="0"/>
              <w:adjustRightInd w:val="0"/>
              <w:spacing w:line="240" w:lineRule="auto"/>
              <w:ind w:left="567"/>
              <w:contextualSpacing/>
              <w:rPr>
                <w:rFonts w:eastAsia="TimesNewRoman"/>
                <w:szCs w:val="22"/>
                <w:lang w:eastAsia="lt-LT"/>
              </w:rPr>
            </w:pPr>
            <w:r w:rsidRPr="007A17AE">
              <w:rPr>
                <w:rFonts w:eastAsia="TimesNewRoman"/>
                <w:szCs w:val="22"/>
                <w:lang w:eastAsia="lt-LT"/>
              </w:rPr>
              <w:t>25–120</w:t>
            </w:r>
            <w:r w:rsidR="00C1636F">
              <w:rPr>
                <w:rFonts w:eastAsia="TimesNewRoman"/>
                <w:szCs w:val="22"/>
                <w:lang w:eastAsia="lt-LT"/>
              </w:rPr>
              <w:t> </w:t>
            </w:r>
            <w:r w:rsidRPr="007A17AE">
              <w:rPr>
                <w:rFonts w:eastAsia="TimesNewRoman"/>
                <w:szCs w:val="22"/>
                <w:lang w:eastAsia="lt-LT"/>
              </w:rPr>
              <w:t xml:space="preserve">valandų </w:t>
            </w:r>
          </w:p>
        </w:tc>
        <w:tc>
          <w:tcPr>
            <w:tcW w:w="283" w:type="dxa"/>
            <w:tcBorders>
              <w:top w:val="nil"/>
              <w:left w:val="nil"/>
              <w:bottom w:val="single" w:sz="4" w:space="0" w:color="auto"/>
              <w:right w:val="nil"/>
            </w:tcBorders>
            <w:shd w:val="clear" w:color="auto" w:fill="auto"/>
          </w:tcPr>
          <w:p w14:paraId="7B617F8E" w14:textId="77777777" w:rsidR="003E5BA8" w:rsidRPr="007A17AE" w:rsidRDefault="003E5BA8" w:rsidP="007A17AE">
            <w:pPr>
              <w:tabs>
                <w:tab w:val="clear" w:pos="567"/>
              </w:tabs>
              <w:autoSpaceDE w:val="0"/>
              <w:autoSpaceDN w:val="0"/>
              <w:adjustRightInd w:val="0"/>
              <w:spacing w:line="240" w:lineRule="auto"/>
              <w:contextualSpacing/>
              <w:rPr>
                <w:rFonts w:eastAsia="TimesNewRoman"/>
                <w:szCs w:val="22"/>
                <w:lang w:eastAsia="lt-LT"/>
              </w:rPr>
            </w:pPr>
          </w:p>
        </w:tc>
        <w:tc>
          <w:tcPr>
            <w:tcW w:w="284" w:type="dxa"/>
            <w:tcBorders>
              <w:top w:val="nil"/>
              <w:left w:val="nil"/>
              <w:bottom w:val="single" w:sz="4" w:space="0" w:color="auto"/>
              <w:right w:val="nil"/>
            </w:tcBorders>
            <w:shd w:val="clear" w:color="auto" w:fill="auto"/>
          </w:tcPr>
          <w:p w14:paraId="6667738E" w14:textId="77777777" w:rsidR="003E5BA8" w:rsidRPr="007A17AE" w:rsidRDefault="003E5BA8" w:rsidP="007A17AE">
            <w:pPr>
              <w:tabs>
                <w:tab w:val="clear" w:pos="567"/>
              </w:tabs>
              <w:autoSpaceDE w:val="0"/>
              <w:autoSpaceDN w:val="0"/>
              <w:adjustRightInd w:val="0"/>
              <w:spacing w:line="240" w:lineRule="auto"/>
              <w:contextualSpacing/>
              <w:rPr>
                <w:rFonts w:eastAsia="TimesNewRoman"/>
                <w:szCs w:val="22"/>
                <w:lang w:eastAsia="lt-LT"/>
              </w:rPr>
            </w:pPr>
          </w:p>
        </w:tc>
        <w:tc>
          <w:tcPr>
            <w:tcW w:w="242" w:type="dxa"/>
            <w:tcBorders>
              <w:top w:val="nil"/>
              <w:left w:val="nil"/>
              <w:bottom w:val="single" w:sz="4" w:space="0" w:color="auto"/>
              <w:right w:val="nil"/>
            </w:tcBorders>
            <w:shd w:val="clear" w:color="auto" w:fill="auto"/>
          </w:tcPr>
          <w:p w14:paraId="29C8E9ED" w14:textId="77777777" w:rsidR="003E5BA8" w:rsidRPr="007A17AE" w:rsidRDefault="003E5BA8" w:rsidP="007A17AE">
            <w:pPr>
              <w:tabs>
                <w:tab w:val="clear" w:pos="567"/>
              </w:tabs>
              <w:autoSpaceDE w:val="0"/>
              <w:autoSpaceDN w:val="0"/>
              <w:adjustRightInd w:val="0"/>
              <w:spacing w:line="240" w:lineRule="auto"/>
              <w:contextualSpacing/>
              <w:rPr>
                <w:rFonts w:eastAsia="TimesNewRoman"/>
                <w:szCs w:val="22"/>
                <w:lang w:eastAsia="lt-LT"/>
              </w:rPr>
            </w:pPr>
          </w:p>
        </w:tc>
        <w:tc>
          <w:tcPr>
            <w:tcW w:w="1459" w:type="dxa"/>
            <w:tcBorders>
              <w:top w:val="nil"/>
              <w:left w:val="nil"/>
              <w:bottom w:val="single" w:sz="4" w:space="0" w:color="auto"/>
              <w:right w:val="nil"/>
            </w:tcBorders>
            <w:shd w:val="clear" w:color="auto" w:fill="auto"/>
          </w:tcPr>
          <w:p w14:paraId="1BC2ECAF" w14:textId="77777777" w:rsidR="003E5BA8" w:rsidRPr="007A17AE" w:rsidRDefault="003E5BA8"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86,8</w:t>
            </w:r>
          </w:p>
        </w:tc>
        <w:tc>
          <w:tcPr>
            <w:tcW w:w="1276" w:type="dxa"/>
            <w:tcBorders>
              <w:top w:val="nil"/>
              <w:left w:val="nil"/>
              <w:bottom w:val="single" w:sz="4" w:space="0" w:color="auto"/>
              <w:right w:val="nil"/>
            </w:tcBorders>
            <w:shd w:val="clear" w:color="auto" w:fill="auto"/>
          </w:tcPr>
          <w:p w14:paraId="1FFEC945" w14:textId="77777777" w:rsidR="003E5BA8" w:rsidRPr="007A17AE" w:rsidRDefault="003E5BA8"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74,0</w:t>
            </w:r>
          </w:p>
        </w:tc>
        <w:tc>
          <w:tcPr>
            <w:tcW w:w="601" w:type="dxa"/>
            <w:tcBorders>
              <w:top w:val="nil"/>
              <w:left w:val="nil"/>
              <w:bottom w:val="single" w:sz="4" w:space="0" w:color="auto"/>
              <w:right w:val="nil"/>
            </w:tcBorders>
            <w:shd w:val="clear" w:color="auto" w:fill="auto"/>
          </w:tcPr>
          <w:p w14:paraId="0C7C31CA" w14:textId="77777777" w:rsidR="003E5BA8" w:rsidRPr="007A17AE" w:rsidRDefault="003E5BA8"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12,7</w:t>
            </w:r>
          </w:p>
        </w:tc>
        <w:tc>
          <w:tcPr>
            <w:tcW w:w="1383" w:type="dxa"/>
            <w:tcBorders>
              <w:top w:val="nil"/>
              <w:left w:val="nil"/>
              <w:bottom w:val="single" w:sz="4" w:space="0" w:color="auto"/>
              <w:right w:val="nil"/>
            </w:tcBorders>
            <w:shd w:val="clear" w:color="auto" w:fill="auto"/>
          </w:tcPr>
          <w:p w14:paraId="138EBE12" w14:textId="77777777" w:rsidR="003E5BA8" w:rsidRPr="007A17AE" w:rsidRDefault="003E5BA8"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(1,5; 12,6)</w:t>
            </w:r>
          </w:p>
        </w:tc>
      </w:tr>
    </w:tbl>
    <w:p w14:paraId="378A4DFB" w14:textId="77777777" w:rsidR="003E5BA8" w:rsidRPr="007A17AE" w:rsidRDefault="003E5BA8"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 Pa</w:t>
      </w:r>
      <w:r w:rsidR="00327B4E" w:rsidRPr="007A17AE">
        <w:rPr>
          <w:rFonts w:eastAsia="TimesNewRoman"/>
          <w:szCs w:val="22"/>
          <w:lang w:eastAsia="lt-LT"/>
        </w:rPr>
        <w:t>tikimumo intervalas</w:t>
      </w:r>
      <w:r w:rsidRPr="007A17AE">
        <w:rPr>
          <w:rFonts w:eastAsia="TimesNewRoman"/>
          <w:szCs w:val="22"/>
          <w:lang w:eastAsia="lt-LT"/>
        </w:rPr>
        <w:t xml:space="preserve"> apskaičiuotas neatsižvelgiant į lytį ir kartu taikomą chemoterapiją, kurie buvo įtraukti į pagrindinę </w:t>
      </w:r>
      <w:r w:rsidR="00327B4E" w:rsidRPr="007A17AE">
        <w:rPr>
          <w:rFonts w:eastAsia="TimesNewRoman"/>
          <w:szCs w:val="22"/>
          <w:lang w:eastAsia="lt-LT"/>
        </w:rPr>
        <w:t>šansų santykio</w:t>
      </w:r>
      <w:r w:rsidR="00204A7D" w:rsidRPr="007A17AE">
        <w:rPr>
          <w:rFonts w:eastAsia="TimesNewRoman"/>
          <w:szCs w:val="22"/>
          <w:lang w:eastAsia="lt-LT"/>
        </w:rPr>
        <w:t xml:space="preserve"> </w:t>
      </w:r>
      <w:r w:rsidRPr="007A17AE">
        <w:rPr>
          <w:rFonts w:eastAsia="TimesNewRoman"/>
          <w:szCs w:val="22"/>
          <w:lang w:eastAsia="lt-LT"/>
        </w:rPr>
        <w:t>ir logistinio modelio analizę.</w:t>
      </w:r>
    </w:p>
    <w:p w14:paraId="4FDE63CF" w14:textId="77777777" w:rsidR="003E5BA8" w:rsidRPr="007A17AE" w:rsidRDefault="003E5BA8"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 Vieno aprepitanto grupės paciento duomenys buvo gauti tik ūminės fazės metu, todėl buvo pašalinti</w:t>
      </w:r>
      <w:r w:rsidR="00327B4E" w:rsidRPr="007A17AE">
        <w:rPr>
          <w:rFonts w:eastAsia="TimesNewRoman"/>
          <w:szCs w:val="22"/>
          <w:lang w:eastAsia="lt-LT"/>
        </w:rPr>
        <w:t xml:space="preserve"> </w:t>
      </w:r>
      <w:r w:rsidRPr="007A17AE">
        <w:rPr>
          <w:rFonts w:eastAsia="TimesNewRoman"/>
          <w:szCs w:val="22"/>
          <w:lang w:eastAsia="lt-LT"/>
        </w:rPr>
        <w:t>iš bendros ir vėlyvos fazės analizių; vieno standartinio gydymo grupės paciento duomenys buvo</w:t>
      </w:r>
      <w:r w:rsidR="00327B4E" w:rsidRPr="007A17AE">
        <w:rPr>
          <w:rFonts w:eastAsia="TimesNewRoman"/>
          <w:szCs w:val="22"/>
          <w:lang w:eastAsia="lt-LT"/>
        </w:rPr>
        <w:t xml:space="preserve"> </w:t>
      </w:r>
      <w:r w:rsidRPr="007A17AE">
        <w:rPr>
          <w:rFonts w:eastAsia="TimesNewRoman"/>
          <w:szCs w:val="22"/>
          <w:lang w:eastAsia="lt-LT"/>
        </w:rPr>
        <w:t>gauti tik vėlyvos fazės metu, todėl buvo pašalinti iš bendros ir ūminės fazės analizių.</w:t>
      </w:r>
    </w:p>
    <w:p w14:paraId="21A7DCEF" w14:textId="77777777" w:rsidR="00327B4E" w:rsidRPr="007A17AE" w:rsidRDefault="00327B4E" w:rsidP="007A17AE">
      <w:pPr>
        <w:tabs>
          <w:tab w:val="clear" w:pos="567"/>
        </w:tabs>
        <w:autoSpaceDE w:val="0"/>
        <w:autoSpaceDN w:val="0"/>
        <w:adjustRightInd w:val="0"/>
        <w:spacing w:line="240" w:lineRule="auto"/>
        <w:contextualSpacing/>
        <w:rPr>
          <w:rFonts w:eastAsia="TimesNewRoman"/>
          <w:szCs w:val="22"/>
          <w:lang w:eastAsia="lt-LT"/>
        </w:rPr>
      </w:pPr>
    </w:p>
    <w:p w14:paraId="3FD38368" w14:textId="77777777" w:rsidR="003E5BA8" w:rsidRPr="007A17AE" w:rsidRDefault="003E5BA8"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 xml:space="preserve">Sudėtinės analizės metu nustatytas laikas iki pirmojo vėmimo pavaizduotas </w:t>
      </w:r>
      <w:r w:rsidR="00327B4E" w:rsidRPr="007A17AE">
        <w:rPr>
          <w:rFonts w:eastAsia="TimesNewRoman"/>
          <w:szCs w:val="22"/>
          <w:lang w:eastAsia="lt-LT"/>
        </w:rPr>
        <w:t xml:space="preserve">1 </w:t>
      </w:r>
      <w:r w:rsidR="00821F95" w:rsidRPr="007A17AE">
        <w:rPr>
          <w:rFonts w:eastAsia="TimesNewRoman"/>
          <w:szCs w:val="22"/>
          <w:lang w:eastAsia="lt-LT"/>
        </w:rPr>
        <w:t>paveikslėlyje</w:t>
      </w:r>
      <w:r w:rsidR="00327B4E" w:rsidRPr="007A17AE">
        <w:rPr>
          <w:rFonts w:eastAsia="TimesNewRoman"/>
          <w:szCs w:val="22"/>
          <w:lang w:eastAsia="lt-LT"/>
        </w:rPr>
        <w:t xml:space="preserve"> </w:t>
      </w:r>
      <w:r w:rsidRPr="00B12DD0">
        <w:rPr>
          <w:rFonts w:eastAsia="TimesNewRoman"/>
          <w:i/>
          <w:szCs w:val="22"/>
          <w:lang w:eastAsia="lt-LT"/>
        </w:rPr>
        <w:t>Kaplan-Meier</w:t>
      </w:r>
      <w:r w:rsidRPr="007A17AE">
        <w:rPr>
          <w:rFonts w:eastAsia="TimesNewRoman"/>
          <w:szCs w:val="22"/>
          <w:lang w:eastAsia="lt-LT"/>
        </w:rPr>
        <w:t xml:space="preserve"> diagram</w:t>
      </w:r>
      <w:r w:rsidR="00327B4E" w:rsidRPr="007A17AE">
        <w:rPr>
          <w:rFonts w:eastAsia="TimesNewRoman"/>
          <w:szCs w:val="22"/>
          <w:lang w:eastAsia="lt-LT"/>
        </w:rPr>
        <w:t>a</w:t>
      </w:r>
      <w:r w:rsidRPr="007A17AE">
        <w:rPr>
          <w:rFonts w:eastAsia="TimesNewRoman"/>
          <w:szCs w:val="22"/>
          <w:lang w:eastAsia="lt-LT"/>
        </w:rPr>
        <w:t>.</w:t>
      </w:r>
    </w:p>
    <w:p w14:paraId="30650AAB" w14:textId="77777777" w:rsidR="00327B4E" w:rsidRPr="007A17AE" w:rsidRDefault="00327B4E" w:rsidP="007A17AE">
      <w:pPr>
        <w:tabs>
          <w:tab w:val="clear" w:pos="567"/>
        </w:tabs>
        <w:autoSpaceDE w:val="0"/>
        <w:autoSpaceDN w:val="0"/>
        <w:adjustRightInd w:val="0"/>
        <w:spacing w:line="240" w:lineRule="auto"/>
        <w:contextualSpacing/>
        <w:rPr>
          <w:rFonts w:eastAsia="TimesNewRoman"/>
          <w:szCs w:val="22"/>
          <w:lang w:eastAsia="lt-LT"/>
        </w:rPr>
      </w:pPr>
    </w:p>
    <w:p w14:paraId="2F570C74" w14:textId="2833A7D7" w:rsidR="00327B4E" w:rsidRPr="007A17AE" w:rsidRDefault="00B12DD0"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noProof/>
          <w:szCs w:val="22"/>
          <w:lang w:eastAsia="lt-LT"/>
        </w:rPr>
        <w:drawing>
          <wp:inline distT="0" distB="0" distL="0" distR="0" wp14:anchorId="7828B50A" wp14:editId="3D600885">
            <wp:extent cx="5753100" cy="31242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3124200"/>
                    </a:xfrm>
                    <a:prstGeom prst="rect">
                      <a:avLst/>
                    </a:prstGeom>
                    <a:noFill/>
                    <a:ln>
                      <a:noFill/>
                    </a:ln>
                  </pic:spPr>
                </pic:pic>
              </a:graphicData>
            </a:graphic>
          </wp:inline>
        </w:drawing>
      </w:r>
    </w:p>
    <w:p w14:paraId="398578CF" w14:textId="77777777" w:rsidR="00816589" w:rsidRPr="007A17AE" w:rsidRDefault="00816589"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Statistiškai patikimas veiksmingumo skirtumas taip pat nustatytas kiekvieno iš dviejų tyrimų metu.</w:t>
      </w:r>
    </w:p>
    <w:p w14:paraId="50787FA8" w14:textId="77777777" w:rsidR="00816589" w:rsidRPr="007A17AE" w:rsidRDefault="00816589" w:rsidP="007A17AE">
      <w:pPr>
        <w:tabs>
          <w:tab w:val="clear" w:pos="567"/>
        </w:tabs>
        <w:autoSpaceDE w:val="0"/>
        <w:autoSpaceDN w:val="0"/>
        <w:adjustRightInd w:val="0"/>
        <w:spacing w:line="240" w:lineRule="auto"/>
        <w:contextualSpacing/>
        <w:rPr>
          <w:rFonts w:eastAsia="TimesNewRoman"/>
          <w:szCs w:val="22"/>
          <w:lang w:eastAsia="lt-LT"/>
        </w:rPr>
      </w:pPr>
    </w:p>
    <w:p w14:paraId="39C61D6F" w14:textId="77777777" w:rsidR="00327B4E" w:rsidRPr="007A17AE" w:rsidRDefault="00816589"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Iš tų</w:t>
      </w:r>
      <w:r w:rsidR="00821F95" w:rsidRPr="007A17AE">
        <w:rPr>
          <w:rFonts w:eastAsia="TimesNewRoman"/>
          <w:szCs w:val="22"/>
          <w:lang w:eastAsia="lt-LT"/>
        </w:rPr>
        <w:t xml:space="preserve"> pačių dviejų klinikinių tyrimų 851 suaugęs pacientas įtrauktas į </w:t>
      </w:r>
      <w:r w:rsidRPr="007A17AE">
        <w:rPr>
          <w:rFonts w:eastAsia="TimesNewRoman"/>
          <w:szCs w:val="22"/>
          <w:lang w:eastAsia="lt-LT"/>
        </w:rPr>
        <w:t>kartotinių</w:t>
      </w:r>
      <w:r w:rsidR="00821F95" w:rsidRPr="007A17AE">
        <w:rPr>
          <w:rFonts w:eastAsia="TimesNewRoman"/>
          <w:szCs w:val="22"/>
          <w:lang w:eastAsia="lt-LT"/>
        </w:rPr>
        <w:t xml:space="preserve"> ciklų (iki</w:t>
      </w:r>
      <w:r w:rsidRPr="007A17AE">
        <w:rPr>
          <w:rFonts w:eastAsia="TimesNewRoman"/>
          <w:szCs w:val="22"/>
          <w:lang w:eastAsia="lt-LT"/>
        </w:rPr>
        <w:t xml:space="preserve"> </w:t>
      </w:r>
      <w:r w:rsidR="00821F95" w:rsidRPr="007A17AE">
        <w:rPr>
          <w:rFonts w:eastAsia="TimesNewRoman"/>
          <w:szCs w:val="22"/>
          <w:lang w:eastAsia="lt-LT"/>
        </w:rPr>
        <w:t xml:space="preserve">5 papildomų chemoterapijos ciklų) </w:t>
      </w:r>
      <w:r w:rsidRPr="007A17AE">
        <w:rPr>
          <w:rFonts w:eastAsia="TimesNewRoman"/>
          <w:szCs w:val="22"/>
          <w:lang w:eastAsia="lt-LT"/>
        </w:rPr>
        <w:t>pratęsimą</w:t>
      </w:r>
      <w:r w:rsidR="00821F95" w:rsidRPr="007A17AE">
        <w:rPr>
          <w:rFonts w:eastAsia="TimesNewRoman"/>
          <w:szCs w:val="22"/>
          <w:lang w:eastAsia="lt-LT"/>
        </w:rPr>
        <w:t xml:space="preserve">. Aprepitantas buvo </w:t>
      </w:r>
      <w:r w:rsidRPr="007A17AE">
        <w:rPr>
          <w:rFonts w:eastAsia="TimesNewRoman"/>
          <w:szCs w:val="22"/>
          <w:lang w:eastAsia="lt-LT"/>
        </w:rPr>
        <w:t>veiksmingas</w:t>
      </w:r>
      <w:r w:rsidR="00821F95" w:rsidRPr="007A17AE">
        <w:rPr>
          <w:rFonts w:eastAsia="TimesNewRoman"/>
          <w:szCs w:val="22"/>
          <w:lang w:eastAsia="lt-LT"/>
        </w:rPr>
        <w:t xml:space="preserve"> per visus gydymo ciklus.</w:t>
      </w:r>
    </w:p>
    <w:p w14:paraId="0063F728" w14:textId="77777777" w:rsidR="00816589" w:rsidRPr="007A17AE" w:rsidRDefault="00816589" w:rsidP="007A17AE">
      <w:pPr>
        <w:tabs>
          <w:tab w:val="clear" w:pos="567"/>
        </w:tabs>
        <w:autoSpaceDE w:val="0"/>
        <w:autoSpaceDN w:val="0"/>
        <w:adjustRightInd w:val="0"/>
        <w:spacing w:line="240" w:lineRule="auto"/>
        <w:contextualSpacing/>
        <w:rPr>
          <w:rFonts w:eastAsia="TimesNewRoman"/>
          <w:szCs w:val="22"/>
          <w:lang w:eastAsia="lt-LT"/>
        </w:rPr>
      </w:pPr>
    </w:p>
    <w:p w14:paraId="160D661E" w14:textId="77777777" w:rsidR="00816589"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R</w:t>
      </w:r>
      <w:r w:rsidR="00816589" w:rsidRPr="007A17AE">
        <w:rPr>
          <w:rFonts w:eastAsia="TimesNewRoman"/>
          <w:szCs w:val="22"/>
          <w:lang w:eastAsia="lt-LT"/>
        </w:rPr>
        <w:t>andomizuot</w:t>
      </w:r>
      <w:r w:rsidRPr="007A17AE">
        <w:rPr>
          <w:rFonts w:eastAsia="TimesNewRoman"/>
          <w:szCs w:val="22"/>
          <w:lang w:eastAsia="lt-LT"/>
        </w:rPr>
        <w:t>o</w:t>
      </w:r>
      <w:r w:rsidR="00816589" w:rsidRPr="007A17AE">
        <w:rPr>
          <w:rFonts w:eastAsia="TimesNewRoman"/>
          <w:szCs w:val="22"/>
          <w:lang w:eastAsia="lt-LT"/>
        </w:rPr>
        <w:t>, dvigubai akl</w:t>
      </w:r>
      <w:r w:rsidRPr="007A17AE">
        <w:rPr>
          <w:rFonts w:eastAsia="TimesNewRoman"/>
          <w:szCs w:val="22"/>
          <w:lang w:eastAsia="lt-LT"/>
        </w:rPr>
        <w:t>o</w:t>
      </w:r>
      <w:r w:rsidR="00816589" w:rsidRPr="007A17AE">
        <w:rPr>
          <w:rFonts w:eastAsia="TimesNewRoman"/>
          <w:szCs w:val="22"/>
          <w:lang w:eastAsia="lt-LT"/>
        </w:rPr>
        <w:t xml:space="preserve"> tyrim</w:t>
      </w:r>
      <w:r w:rsidRPr="007A17AE">
        <w:rPr>
          <w:rFonts w:eastAsia="TimesNewRoman"/>
          <w:szCs w:val="22"/>
          <w:lang w:eastAsia="lt-LT"/>
        </w:rPr>
        <w:t>o</w:t>
      </w:r>
      <w:r w:rsidR="00816589" w:rsidRPr="007A17AE">
        <w:rPr>
          <w:rFonts w:eastAsia="TimesNewRoman"/>
          <w:szCs w:val="22"/>
          <w:lang w:eastAsia="lt-LT"/>
        </w:rPr>
        <w:t>, kuriame dalyvavo 866 suaugę pacientai (864 moterys ir</w:t>
      </w:r>
      <w:r w:rsidRPr="007A17AE">
        <w:rPr>
          <w:rFonts w:eastAsia="TimesNewRoman"/>
          <w:szCs w:val="22"/>
          <w:lang w:eastAsia="lt-LT"/>
        </w:rPr>
        <w:t xml:space="preserve"> </w:t>
      </w:r>
      <w:r w:rsidR="00816589" w:rsidRPr="007A17AE">
        <w:rPr>
          <w:rFonts w:eastAsia="TimesNewRoman"/>
          <w:szCs w:val="22"/>
          <w:lang w:eastAsia="lt-LT"/>
        </w:rPr>
        <w:t>2 vyrai), gaunantys chemoterapiją, kurios sudėtyje buvo 750</w:t>
      </w:r>
      <w:r w:rsidR="00C1636F">
        <w:rPr>
          <w:rFonts w:eastAsia="TimesNewRoman"/>
          <w:szCs w:val="22"/>
          <w:lang w:eastAsia="lt-LT"/>
        </w:rPr>
        <w:noBreakHyphen/>
      </w:r>
      <w:r w:rsidR="00816589" w:rsidRPr="007A17AE">
        <w:rPr>
          <w:rFonts w:eastAsia="TimesNewRoman"/>
          <w:szCs w:val="22"/>
          <w:lang w:eastAsia="lt-LT"/>
        </w:rPr>
        <w:t>1500</w:t>
      </w:r>
      <w:r w:rsidR="00C1636F">
        <w:rPr>
          <w:rFonts w:eastAsia="TimesNewRoman"/>
          <w:szCs w:val="22"/>
          <w:lang w:eastAsia="lt-LT"/>
        </w:rPr>
        <w:t> </w:t>
      </w:r>
      <w:r w:rsidR="00816589" w:rsidRPr="007A17AE">
        <w:rPr>
          <w:rFonts w:eastAsia="TimesNewRoman"/>
          <w:szCs w:val="22"/>
          <w:lang w:eastAsia="lt-LT"/>
        </w:rPr>
        <w:t>mg/m</w:t>
      </w:r>
      <w:r w:rsidR="00816589" w:rsidRPr="007A17AE">
        <w:rPr>
          <w:rFonts w:eastAsia="TimesNewRoman"/>
          <w:szCs w:val="22"/>
          <w:vertAlign w:val="superscript"/>
          <w:lang w:eastAsia="lt-LT"/>
        </w:rPr>
        <w:t>2</w:t>
      </w:r>
      <w:r w:rsidR="00816589" w:rsidRPr="007A17AE">
        <w:rPr>
          <w:rFonts w:eastAsia="TimesNewRoman"/>
          <w:szCs w:val="22"/>
          <w:lang w:eastAsia="lt-LT"/>
        </w:rPr>
        <w:t xml:space="preserve"> ciklofosfamido arba 500</w:t>
      </w:r>
      <w:r w:rsidR="00C1636F">
        <w:rPr>
          <w:rFonts w:eastAsia="TimesNewRoman"/>
          <w:szCs w:val="22"/>
          <w:lang w:eastAsia="lt-LT"/>
        </w:rPr>
        <w:noBreakHyphen/>
      </w:r>
      <w:r w:rsidR="00816589" w:rsidRPr="007A17AE">
        <w:rPr>
          <w:rFonts w:eastAsia="TimesNewRoman"/>
          <w:szCs w:val="22"/>
          <w:lang w:eastAsia="lt-LT"/>
        </w:rPr>
        <w:t>1500</w:t>
      </w:r>
      <w:r w:rsidR="00C1636F">
        <w:rPr>
          <w:rFonts w:eastAsia="TimesNewRoman"/>
          <w:szCs w:val="22"/>
          <w:lang w:eastAsia="lt-LT"/>
        </w:rPr>
        <w:t> </w:t>
      </w:r>
      <w:r w:rsidR="00816589" w:rsidRPr="007A17AE">
        <w:rPr>
          <w:rFonts w:eastAsia="TimesNewRoman"/>
          <w:szCs w:val="22"/>
          <w:lang w:eastAsia="lt-LT"/>
        </w:rPr>
        <w:t>mg/m</w:t>
      </w:r>
      <w:r w:rsidR="00816589" w:rsidRPr="007A17AE">
        <w:rPr>
          <w:rFonts w:eastAsia="TimesNewRoman"/>
          <w:szCs w:val="22"/>
          <w:vertAlign w:val="superscript"/>
          <w:lang w:eastAsia="lt-LT"/>
        </w:rPr>
        <w:t>2</w:t>
      </w:r>
      <w:r w:rsidR="00816589" w:rsidRPr="007A17AE">
        <w:rPr>
          <w:rFonts w:eastAsia="TimesNewRoman"/>
          <w:szCs w:val="22"/>
          <w:lang w:eastAsia="lt-LT"/>
        </w:rPr>
        <w:t xml:space="preserve"> ciklofosfamido ir doksorubicino (≤</w:t>
      </w:r>
      <w:r w:rsidR="00C1636F">
        <w:rPr>
          <w:rFonts w:eastAsia="TimesNewRoman"/>
          <w:szCs w:val="22"/>
          <w:lang w:eastAsia="lt-LT"/>
        </w:rPr>
        <w:t> </w:t>
      </w:r>
      <w:r w:rsidR="00816589" w:rsidRPr="007A17AE">
        <w:rPr>
          <w:rFonts w:eastAsia="TimesNewRoman"/>
          <w:szCs w:val="22"/>
          <w:lang w:eastAsia="lt-LT"/>
        </w:rPr>
        <w:t>60</w:t>
      </w:r>
      <w:r w:rsidR="00C1636F">
        <w:rPr>
          <w:rFonts w:eastAsia="TimesNewRoman"/>
          <w:szCs w:val="22"/>
          <w:lang w:eastAsia="lt-LT"/>
        </w:rPr>
        <w:t> </w:t>
      </w:r>
      <w:r w:rsidR="00816589" w:rsidRPr="007A17AE">
        <w:rPr>
          <w:rFonts w:eastAsia="TimesNewRoman"/>
          <w:szCs w:val="22"/>
          <w:lang w:eastAsia="lt-LT"/>
        </w:rPr>
        <w:t>mg/m</w:t>
      </w:r>
      <w:r w:rsidR="00816589" w:rsidRPr="007A17AE">
        <w:rPr>
          <w:rFonts w:eastAsia="TimesNewRoman"/>
          <w:szCs w:val="22"/>
          <w:vertAlign w:val="superscript"/>
          <w:lang w:eastAsia="lt-LT"/>
        </w:rPr>
        <w:t>2</w:t>
      </w:r>
      <w:r w:rsidR="00816589" w:rsidRPr="007A17AE">
        <w:rPr>
          <w:rFonts w:eastAsia="TimesNewRoman"/>
          <w:szCs w:val="22"/>
          <w:lang w:eastAsia="lt-LT"/>
        </w:rPr>
        <w:t>) arba epirubicino (≤</w:t>
      </w:r>
      <w:r w:rsidR="00C1636F">
        <w:rPr>
          <w:rFonts w:eastAsia="TimesNewRoman"/>
          <w:szCs w:val="22"/>
          <w:lang w:eastAsia="lt-LT"/>
        </w:rPr>
        <w:t> </w:t>
      </w:r>
      <w:r w:rsidR="00816589" w:rsidRPr="007A17AE">
        <w:rPr>
          <w:rFonts w:eastAsia="TimesNewRoman"/>
          <w:szCs w:val="22"/>
          <w:lang w:eastAsia="lt-LT"/>
        </w:rPr>
        <w:t>100</w:t>
      </w:r>
      <w:r w:rsidR="00C1636F">
        <w:rPr>
          <w:rFonts w:eastAsia="TimesNewRoman"/>
          <w:szCs w:val="22"/>
          <w:lang w:eastAsia="lt-LT"/>
        </w:rPr>
        <w:t> </w:t>
      </w:r>
      <w:r w:rsidR="00816589" w:rsidRPr="007A17AE">
        <w:rPr>
          <w:rFonts w:eastAsia="TimesNewRoman"/>
          <w:szCs w:val="22"/>
          <w:lang w:eastAsia="lt-LT"/>
        </w:rPr>
        <w:t>mg/m</w:t>
      </w:r>
      <w:r w:rsidR="00816589" w:rsidRPr="00F122CC">
        <w:rPr>
          <w:rFonts w:eastAsia="TimesNewRoman"/>
          <w:szCs w:val="22"/>
          <w:vertAlign w:val="superscript"/>
          <w:lang w:eastAsia="lt-LT"/>
        </w:rPr>
        <w:t>2</w:t>
      </w:r>
      <w:r w:rsidR="00816589" w:rsidRPr="007A17AE">
        <w:rPr>
          <w:rFonts w:eastAsia="TimesNewRoman"/>
          <w:szCs w:val="22"/>
          <w:lang w:eastAsia="lt-LT"/>
        </w:rPr>
        <w:t>),</w:t>
      </w:r>
      <w:r w:rsidRPr="007A17AE">
        <w:rPr>
          <w:rFonts w:eastAsia="TimesNewRoman"/>
          <w:szCs w:val="22"/>
          <w:lang w:eastAsia="lt-LT"/>
        </w:rPr>
        <w:t xml:space="preserve"> metu a</w:t>
      </w:r>
      <w:r w:rsidR="00816589" w:rsidRPr="007A17AE">
        <w:rPr>
          <w:rFonts w:eastAsia="TimesNewRoman"/>
          <w:szCs w:val="22"/>
          <w:lang w:eastAsia="lt-LT"/>
        </w:rPr>
        <w:t xml:space="preserve">prepitanto </w:t>
      </w:r>
      <w:r w:rsidR="00816589" w:rsidRPr="007A17AE">
        <w:rPr>
          <w:rFonts w:eastAsia="TimesNewRoman"/>
          <w:szCs w:val="22"/>
          <w:lang w:eastAsia="lt-LT"/>
        </w:rPr>
        <w:lastRenderedPageBreak/>
        <w:t xml:space="preserve">derinys su ondansetronu ir deksametazonu (žr. 4.2 skyrių) buvo </w:t>
      </w:r>
      <w:r w:rsidRPr="007A17AE">
        <w:rPr>
          <w:rFonts w:eastAsia="TimesNewRoman"/>
          <w:szCs w:val="22"/>
          <w:lang w:eastAsia="lt-LT"/>
        </w:rPr>
        <w:t xml:space="preserve">palygintas </w:t>
      </w:r>
      <w:r w:rsidR="00816589" w:rsidRPr="007A17AE">
        <w:rPr>
          <w:rFonts w:eastAsia="TimesNewRoman"/>
          <w:szCs w:val="22"/>
          <w:lang w:eastAsia="lt-LT"/>
        </w:rPr>
        <w:t>su standartiniu</w:t>
      </w:r>
      <w:r w:rsidRPr="007A17AE">
        <w:rPr>
          <w:rFonts w:eastAsia="TimesNewRoman"/>
          <w:szCs w:val="22"/>
          <w:lang w:eastAsia="lt-LT"/>
        </w:rPr>
        <w:t xml:space="preserve"> </w:t>
      </w:r>
      <w:r w:rsidR="00816589" w:rsidRPr="007A17AE">
        <w:rPr>
          <w:rFonts w:eastAsia="TimesNewRoman"/>
          <w:szCs w:val="22"/>
          <w:lang w:eastAsia="lt-LT"/>
        </w:rPr>
        <w:t>vėmimą slopinančiu gydymu (placebu plius 8</w:t>
      </w:r>
      <w:r w:rsidR="00C1636F">
        <w:rPr>
          <w:rFonts w:eastAsia="TimesNewRoman"/>
          <w:szCs w:val="22"/>
          <w:lang w:eastAsia="lt-LT"/>
        </w:rPr>
        <w:t> </w:t>
      </w:r>
      <w:r w:rsidR="00816589" w:rsidRPr="007A17AE">
        <w:rPr>
          <w:rFonts w:eastAsia="TimesNewRoman"/>
          <w:szCs w:val="22"/>
          <w:lang w:eastAsia="lt-LT"/>
        </w:rPr>
        <w:t>mg geriamojo ondansetrono 2</w:t>
      </w:r>
      <w:r w:rsidR="00C1636F">
        <w:rPr>
          <w:rFonts w:eastAsia="TimesNewRoman"/>
          <w:szCs w:val="22"/>
          <w:lang w:eastAsia="lt-LT"/>
        </w:rPr>
        <w:t> </w:t>
      </w:r>
      <w:r w:rsidR="00816589" w:rsidRPr="007A17AE">
        <w:rPr>
          <w:rFonts w:eastAsia="TimesNewRoman"/>
          <w:szCs w:val="22"/>
          <w:lang w:eastAsia="lt-LT"/>
        </w:rPr>
        <w:t>kartus per parą 1-ąją</w:t>
      </w:r>
      <w:r w:rsidRPr="007A17AE">
        <w:rPr>
          <w:rFonts w:eastAsia="TimesNewRoman"/>
          <w:szCs w:val="22"/>
          <w:lang w:eastAsia="lt-LT"/>
        </w:rPr>
        <w:t xml:space="preserve"> </w:t>
      </w:r>
      <w:r w:rsidR="00816589" w:rsidRPr="007A17AE">
        <w:rPr>
          <w:rFonts w:eastAsia="TimesNewRoman"/>
          <w:szCs w:val="22"/>
          <w:lang w:eastAsia="lt-LT"/>
        </w:rPr>
        <w:t>dieną ir kas 12 val. 2-ąją ir 3-ąją dienomis plius 20</w:t>
      </w:r>
      <w:r w:rsidR="00C1636F">
        <w:rPr>
          <w:rFonts w:eastAsia="TimesNewRoman"/>
          <w:szCs w:val="22"/>
          <w:lang w:eastAsia="lt-LT"/>
        </w:rPr>
        <w:t> </w:t>
      </w:r>
      <w:r w:rsidR="00816589" w:rsidRPr="007A17AE">
        <w:rPr>
          <w:rFonts w:eastAsia="TimesNewRoman"/>
          <w:szCs w:val="22"/>
          <w:lang w:eastAsia="lt-LT"/>
        </w:rPr>
        <w:t>mg geriamojo deksametazono 1-ąją dieną).</w:t>
      </w:r>
    </w:p>
    <w:p w14:paraId="1B13434D"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p>
    <w:p w14:paraId="4D099DDF" w14:textId="77777777" w:rsidR="00816589" w:rsidRPr="007A17AE" w:rsidRDefault="00816589"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Veiksmingumas buvo vertinamas pagal sudėtinį rodiklį – visišką atsaką (be vėmimo epizodų ir be</w:t>
      </w:r>
      <w:r w:rsidR="00C21B83" w:rsidRPr="007A17AE">
        <w:rPr>
          <w:rFonts w:eastAsia="TimesNewRoman"/>
          <w:szCs w:val="22"/>
          <w:lang w:eastAsia="lt-LT"/>
        </w:rPr>
        <w:t xml:space="preserve"> gelbėjamojo</w:t>
      </w:r>
      <w:r w:rsidRPr="007A17AE">
        <w:rPr>
          <w:rFonts w:eastAsia="TimesNewRoman"/>
          <w:szCs w:val="22"/>
          <w:lang w:eastAsia="lt-LT"/>
        </w:rPr>
        <w:t xml:space="preserve"> gydymo), visų pirma pirmojo ciklo metu.</w:t>
      </w:r>
    </w:p>
    <w:p w14:paraId="04FA4936"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p>
    <w:p w14:paraId="10D73DE3" w14:textId="77777777" w:rsidR="00816589" w:rsidRPr="007A17AE" w:rsidRDefault="007C5FF7"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Svarbiausių</w:t>
      </w:r>
      <w:r w:rsidR="00816589" w:rsidRPr="007A17AE">
        <w:rPr>
          <w:rFonts w:eastAsia="TimesNewRoman"/>
          <w:szCs w:val="22"/>
          <w:lang w:eastAsia="lt-LT"/>
        </w:rPr>
        <w:t xml:space="preserve"> tyrimo rezultatų </w:t>
      </w:r>
      <w:r w:rsidRPr="007A17AE">
        <w:rPr>
          <w:rFonts w:eastAsia="TimesNewRoman"/>
          <w:szCs w:val="22"/>
          <w:lang w:eastAsia="lt-LT"/>
        </w:rPr>
        <w:t>santrauka</w:t>
      </w:r>
      <w:r w:rsidR="00816589" w:rsidRPr="007A17AE">
        <w:rPr>
          <w:rFonts w:eastAsia="TimesNewRoman"/>
          <w:szCs w:val="22"/>
          <w:lang w:eastAsia="lt-LT"/>
        </w:rPr>
        <w:t xml:space="preserve"> pateikta 2 lentelėje.</w:t>
      </w:r>
    </w:p>
    <w:p w14:paraId="2C6DF9D1"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p>
    <w:p w14:paraId="1215A44A" w14:textId="77777777" w:rsidR="00816589" w:rsidRPr="007A17AE" w:rsidRDefault="00816589"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2 lentelė</w:t>
      </w:r>
    </w:p>
    <w:p w14:paraId="634C6ACB" w14:textId="77777777" w:rsidR="00816589" w:rsidRPr="007A17AE" w:rsidRDefault="00816589"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Vidutiniškai emetogenišką chemoterapiją gavusių suaugusių pacientų, kuriems nustatytas atsakas,</w:t>
      </w:r>
      <w:r w:rsidR="00C21B83" w:rsidRPr="007A17AE">
        <w:rPr>
          <w:rFonts w:eastAsia="TimesNewRoman"/>
          <w:szCs w:val="22"/>
          <w:lang w:eastAsia="lt-LT"/>
        </w:rPr>
        <w:t xml:space="preserve"> </w:t>
      </w:r>
      <w:r w:rsidRPr="007A17AE">
        <w:rPr>
          <w:rFonts w:eastAsia="TimesNewRoman"/>
          <w:szCs w:val="22"/>
          <w:lang w:eastAsia="lt-LT"/>
        </w:rPr>
        <w:t>procentas pagal gydymo grupę ir fazę – 1-asis ciklas</w:t>
      </w:r>
    </w:p>
    <w:p w14:paraId="05A9EBA1"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2"/>
        <w:gridCol w:w="1151"/>
        <w:gridCol w:w="1150"/>
        <w:gridCol w:w="341"/>
        <w:gridCol w:w="283"/>
        <w:gridCol w:w="284"/>
        <w:gridCol w:w="242"/>
        <w:gridCol w:w="1459"/>
        <w:gridCol w:w="1276"/>
        <w:gridCol w:w="601"/>
        <w:gridCol w:w="1383"/>
      </w:tblGrid>
      <w:tr w:rsidR="00C21B83" w:rsidRPr="007A17AE" w14:paraId="623E7E3D" w14:textId="77777777" w:rsidTr="004153C5">
        <w:tc>
          <w:tcPr>
            <w:tcW w:w="3794" w:type="dxa"/>
            <w:gridSpan w:val="4"/>
            <w:tcBorders>
              <w:top w:val="nil"/>
              <w:left w:val="nil"/>
              <w:bottom w:val="single" w:sz="4" w:space="0" w:color="auto"/>
              <w:right w:val="nil"/>
            </w:tcBorders>
            <w:shd w:val="clear" w:color="auto" w:fill="auto"/>
          </w:tcPr>
          <w:p w14:paraId="62C138F5"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p>
          <w:p w14:paraId="29B2F50F"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p>
          <w:p w14:paraId="5170030F"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JUNGTINIAI RODIKLIAI</w:t>
            </w:r>
          </w:p>
        </w:tc>
        <w:tc>
          <w:tcPr>
            <w:tcW w:w="283" w:type="dxa"/>
            <w:tcBorders>
              <w:top w:val="nil"/>
              <w:left w:val="nil"/>
              <w:bottom w:val="single" w:sz="4" w:space="0" w:color="auto"/>
              <w:right w:val="nil"/>
            </w:tcBorders>
            <w:shd w:val="clear" w:color="auto" w:fill="auto"/>
          </w:tcPr>
          <w:p w14:paraId="513242A5"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p>
        </w:tc>
        <w:tc>
          <w:tcPr>
            <w:tcW w:w="284" w:type="dxa"/>
            <w:tcBorders>
              <w:top w:val="nil"/>
              <w:left w:val="nil"/>
              <w:bottom w:val="single" w:sz="4" w:space="0" w:color="auto"/>
              <w:right w:val="nil"/>
            </w:tcBorders>
            <w:shd w:val="clear" w:color="auto" w:fill="auto"/>
          </w:tcPr>
          <w:p w14:paraId="103398E0"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p>
        </w:tc>
        <w:tc>
          <w:tcPr>
            <w:tcW w:w="242" w:type="dxa"/>
            <w:tcBorders>
              <w:top w:val="nil"/>
              <w:left w:val="nil"/>
              <w:bottom w:val="single" w:sz="4" w:space="0" w:color="auto"/>
              <w:right w:val="nil"/>
            </w:tcBorders>
            <w:shd w:val="clear" w:color="auto" w:fill="auto"/>
          </w:tcPr>
          <w:p w14:paraId="267C7031"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p>
        </w:tc>
        <w:tc>
          <w:tcPr>
            <w:tcW w:w="1459" w:type="dxa"/>
            <w:tcBorders>
              <w:top w:val="nil"/>
              <w:left w:val="nil"/>
              <w:bottom w:val="single" w:sz="4" w:space="0" w:color="auto"/>
              <w:right w:val="nil"/>
            </w:tcBorders>
            <w:shd w:val="clear" w:color="auto" w:fill="auto"/>
          </w:tcPr>
          <w:p w14:paraId="0EE8BEBA" w14:textId="77777777" w:rsidR="00C21B83" w:rsidRPr="007A17AE" w:rsidRDefault="00C21B83"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Aprepitanto</w:t>
            </w:r>
          </w:p>
          <w:p w14:paraId="11E99E85" w14:textId="77777777" w:rsidR="00C21B83" w:rsidRPr="007A17AE" w:rsidRDefault="00C21B83"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schema</w:t>
            </w:r>
          </w:p>
          <w:p w14:paraId="4A730997" w14:textId="77777777" w:rsidR="00C21B83" w:rsidRPr="007A17AE" w:rsidRDefault="00C21B83"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(N=433)</w:t>
            </w:r>
            <w:r w:rsidR="00204A7D" w:rsidRPr="007A17AE">
              <w:rPr>
                <w:rFonts w:eastAsia="TimesNewRoman"/>
                <w:szCs w:val="22"/>
                <w:lang w:eastAsia="lt-LT"/>
              </w:rPr>
              <w:t>†</w:t>
            </w:r>
          </w:p>
          <w:p w14:paraId="3A43C551" w14:textId="77777777" w:rsidR="00C21B83" w:rsidRPr="007A17AE" w:rsidRDefault="00C21B83"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w:t>
            </w:r>
          </w:p>
        </w:tc>
        <w:tc>
          <w:tcPr>
            <w:tcW w:w="1276" w:type="dxa"/>
            <w:tcBorders>
              <w:top w:val="nil"/>
              <w:left w:val="nil"/>
              <w:bottom w:val="single" w:sz="4" w:space="0" w:color="auto"/>
              <w:right w:val="nil"/>
            </w:tcBorders>
            <w:shd w:val="clear" w:color="auto" w:fill="auto"/>
          </w:tcPr>
          <w:p w14:paraId="54F577A3" w14:textId="77777777" w:rsidR="00C21B83" w:rsidRPr="007A17AE" w:rsidRDefault="00C21B83"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Standartinis</w:t>
            </w:r>
          </w:p>
          <w:p w14:paraId="67FB7F6E" w14:textId="77777777" w:rsidR="00C21B83" w:rsidRPr="007A17AE" w:rsidRDefault="00C21B83"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gydymas</w:t>
            </w:r>
          </w:p>
          <w:p w14:paraId="36548949" w14:textId="77777777" w:rsidR="00C21B83" w:rsidRPr="007A17AE" w:rsidRDefault="00C21B83"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(N=424)</w:t>
            </w:r>
          </w:p>
          <w:p w14:paraId="642385B1" w14:textId="77777777" w:rsidR="00C21B83" w:rsidRPr="007A17AE" w:rsidRDefault="00C21B83"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w:t>
            </w:r>
          </w:p>
        </w:tc>
        <w:tc>
          <w:tcPr>
            <w:tcW w:w="601" w:type="dxa"/>
            <w:tcBorders>
              <w:top w:val="nil"/>
              <w:left w:val="nil"/>
              <w:bottom w:val="single" w:sz="4" w:space="0" w:color="auto"/>
              <w:right w:val="nil"/>
            </w:tcBorders>
            <w:shd w:val="clear" w:color="auto" w:fill="auto"/>
          </w:tcPr>
          <w:p w14:paraId="41CCBEC7"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p>
        </w:tc>
        <w:tc>
          <w:tcPr>
            <w:tcW w:w="1383" w:type="dxa"/>
            <w:tcBorders>
              <w:top w:val="nil"/>
              <w:left w:val="nil"/>
              <w:bottom w:val="single" w:sz="4" w:space="0" w:color="auto"/>
              <w:right w:val="nil"/>
            </w:tcBorders>
            <w:shd w:val="clear" w:color="auto" w:fill="auto"/>
          </w:tcPr>
          <w:p w14:paraId="66BFAC36"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Skirtumas*</w:t>
            </w:r>
          </w:p>
        </w:tc>
      </w:tr>
      <w:tr w:rsidR="00C21B83" w:rsidRPr="007A17AE" w14:paraId="6A20DCA6" w14:textId="77777777" w:rsidTr="004153C5">
        <w:tc>
          <w:tcPr>
            <w:tcW w:w="1152" w:type="dxa"/>
            <w:tcBorders>
              <w:top w:val="single" w:sz="4" w:space="0" w:color="auto"/>
              <w:left w:val="nil"/>
              <w:bottom w:val="single" w:sz="4" w:space="0" w:color="auto"/>
              <w:right w:val="nil"/>
            </w:tcBorders>
            <w:shd w:val="clear" w:color="auto" w:fill="auto"/>
          </w:tcPr>
          <w:p w14:paraId="127DD636"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p>
        </w:tc>
        <w:tc>
          <w:tcPr>
            <w:tcW w:w="1151" w:type="dxa"/>
            <w:tcBorders>
              <w:top w:val="single" w:sz="4" w:space="0" w:color="auto"/>
              <w:left w:val="nil"/>
              <w:bottom w:val="single" w:sz="4" w:space="0" w:color="auto"/>
              <w:right w:val="nil"/>
            </w:tcBorders>
            <w:shd w:val="clear" w:color="auto" w:fill="auto"/>
          </w:tcPr>
          <w:p w14:paraId="008F8640"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p>
        </w:tc>
        <w:tc>
          <w:tcPr>
            <w:tcW w:w="1150" w:type="dxa"/>
            <w:tcBorders>
              <w:top w:val="single" w:sz="4" w:space="0" w:color="auto"/>
              <w:left w:val="nil"/>
              <w:bottom w:val="single" w:sz="4" w:space="0" w:color="auto"/>
              <w:right w:val="nil"/>
            </w:tcBorders>
            <w:shd w:val="clear" w:color="auto" w:fill="auto"/>
          </w:tcPr>
          <w:p w14:paraId="1D1DF44F"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p>
        </w:tc>
        <w:tc>
          <w:tcPr>
            <w:tcW w:w="1150" w:type="dxa"/>
            <w:gridSpan w:val="4"/>
            <w:tcBorders>
              <w:top w:val="single" w:sz="4" w:space="0" w:color="auto"/>
              <w:left w:val="nil"/>
              <w:bottom w:val="single" w:sz="4" w:space="0" w:color="auto"/>
              <w:right w:val="nil"/>
            </w:tcBorders>
            <w:shd w:val="clear" w:color="auto" w:fill="auto"/>
          </w:tcPr>
          <w:p w14:paraId="213230E0"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p>
        </w:tc>
        <w:tc>
          <w:tcPr>
            <w:tcW w:w="1459" w:type="dxa"/>
            <w:tcBorders>
              <w:top w:val="single" w:sz="4" w:space="0" w:color="auto"/>
              <w:left w:val="nil"/>
              <w:bottom w:val="single" w:sz="4" w:space="0" w:color="auto"/>
              <w:right w:val="nil"/>
            </w:tcBorders>
            <w:shd w:val="clear" w:color="auto" w:fill="auto"/>
          </w:tcPr>
          <w:p w14:paraId="1D89CCDE"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p>
        </w:tc>
        <w:tc>
          <w:tcPr>
            <w:tcW w:w="1276" w:type="dxa"/>
            <w:tcBorders>
              <w:top w:val="single" w:sz="4" w:space="0" w:color="auto"/>
              <w:left w:val="nil"/>
              <w:bottom w:val="single" w:sz="4" w:space="0" w:color="auto"/>
              <w:right w:val="nil"/>
            </w:tcBorders>
            <w:shd w:val="clear" w:color="auto" w:fill="auto"/>
          </w:tcPr>
          <w:p w14:paraId="4A85276B"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p>
        </w:tc>
        <w:tc>
          <w:tcPr>
            <w:tcW w:w="601" w:type="dxa"/>
            <w:tcBorders>
              <w:top w:val="single" w:sz="4" w:space="0" w:color="auto"/>
              <w:left w:val="nil"/>
              <w:bottom w:val="single" w:sz="4" w:space="0" w:color="auto"/>
              <w:right w:val="nil"/>
            </w:tcBorders>
            <w:shd w:val="clear" w:color="auto" w:fill="auto"/>
          </w:tcPr>
          <w:p w14:paraId="71460FFE"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w:t>
            </w:r>
          </w:p>
        </w:tc>
        <w:tc>
          <w:tcPr>
            <w:tcW w:w="1383" w:type="dxa"/>
            <w:tcBorders>
              <w:top w:val="single" w:sz="4" w:space="0" w:color="auto"/>
              <w:left w:val="nil"/>
              <w:bottom w:val="single" w:sz="4" w:space="0" w:color="auto"/>
              <w:right w:val="nil"/>
            </w:tcBorders>
            <w:shd w:val="clear" w:color="auto" w:fill="auto"/>
          </w:tcPr>
          <w:p w14:paraId="27E07CCF" w14:textId="77777777" w:rsidR="00C21B83" w:rsidRPr="007A17AE" w:rsidRDefault="00C21B83"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(95</w:t>
            </w:r>
            <w:r w:rsidR="00C1636F">
              <w:rPr>
                <w:rFonts w:eastAsia="TimesNewRoman"/>
                <w:szCs w:val="22"/>
                <w:lang w:eastAsia="lt-LT"/>
              </w:rPr>
              <w:t> </w:t>
            </w:r>
            <w:r w:rsidRPr="007A17AE">
              <w:rPr>
                <w:rFonts w:eastAsia="TimesNewRoman"/>
                <w:szCs w:val="22"/>
                <w:lang w:eastAsia="lt-LT"/>
              </w:rPr>
              <w:t>%PI)</w:t>
            </w:r>
          </w:p>
        </w:tc>
      </w:tr>
      <w:tr w:rsidR="00C21B83" w:rsidRPr="007A17AE" w14:paraId="50DA0EB8" w14:textId="77777777" w:rsidTr="004153C5">
        <w:tc>
          <w:tcPr>
            <w:tcW w:w="9322" w:type="dxa"/>
            <w:gridSpan w:val="11"/>
            <w:tcBorders>
              <w:top w:val="single" w:sz="4" w:space="0" w:color="auto"/>
              <w:left w:val="nil"/>
              <w:bottom w:val="single" w:sz="4" w:space="0" w:color="auto"/>
              <w:right w:val="nil"/>
            </w:tcBorders>
            <w:shd w:val="clear" w:color="auto" w:fill="auto"/>
          </w:tcPr>
          <w:p w14:paraId="09BDC924"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Bold"/>
                <w:b/>
                <w:bCs/>
                <w:szCs w:val="22"/>
                <w:lang w:eastAsia="lt-LT"/>
              </w:rPr>
              <w:t>Visiškas atsakas (be vėmimo ir be gelbėjamojo gydymo)</w:t>
            </w:r>
          </w:p>
        </w:tc>
      </w:tr>
      <w:tr w:rsidR="00C21B83" w:rsidRPr="007A17AE" w14:paraId="7BC4ECE1" w14:textId="77777777" w:rsidTr="004153C5">
        <w:tc>
          <w:tcPr>
            <w:tcW w:w="3794" w:type="dxa"/>
            <w:gridSpan w:val="4"/>
            <w:tcBorders>
              <w:top w:val="single" w:sz="4" w:space="0" w:color="auto"/>
              <w:left w:val="nil"/>
              <w:bottom w:val="nil"/>
              <w:right w:val="nil"/>
            </w:tcBorders>
            <w:shd w:val="clear" w:color="auto" w:fill="auto"/>
          </w:tcPr>
          <w:p w14:paraId="58737BDD" w14:textId="77777777" w:rsidR="00C21B83" w:rsidRPr="007A17AE" w:rsidRDefault="00C21B83" w:rsidP="00C1636F">
            <w:pPr>
              <w:tabs>
                <w:tab w:val="clear" w:pos="567"/>
              </w:tabs>
              <w:autoSpaceDE w:val="0"/>
              <w:autoSpaceDN w:val="0"/>
              <w:adjustRightInd w:val="0"/>
              <w:spacing w:line="240" w:lineRule="auto"/>
              <w:ind w:left="567"/>
              <w:contextualSpacing/>
              <w:rPr>
                <w:rFonts w:eastAsia="TimesNewRoman"/>
                <w:szCs w:val="22"/>
                <w:lang w:eastAsia="lt-LT"/>
              </w:rPr>
            </w:pPr>
            <w:r w:rsidRPr="007A17AE">
              <w:rPr>
                <w:rFonts w:eastAsia="TimesNewRoman"/>
                <w:szCs w:val="22"/>
                <w:lang w:eastAsia="lt-LT"/>
              </w:rPr>
              <w:t>Bendras (0–120</w:t>
            </w:r>
            <w:r w:rsidR="00C1636F">
              <w:rPr>
                <w:rFonts w:eastAsia="TimesNewRoman"/>
                <w:szCs w:val="22"/>
                <w:lang w:eastAsia="lt-LT"/>
              </w:rPr>
              <w:t> </w:t>
            </w:r>
            <w:r w:rsidRPr="007A17AE">
              <w:rPr>
                <w:rFonts w:eastAsia="TimesNewRoman"/>
                <w:szCs w:val="22"/>
                <w:lang w:eastAsia="lt-LT"/>
              </w:rPr>
              <w:t>valandų)</w:t>
            </w:r>
          </w:p>
        </w:tc>
        <w:tc>
          <w:tcPr>
            <w:tcW w:w="283" w:type="dxa"/>
            <w:tcBorders>
              <w:top w:val="single" w:sz="4" w:space="0" w:color="auto"/>
              <w:left w:val="nil"/>
              <w:bottom w:val="nil"/>
              <w:right w:val="nil"/>
            </w:tcBorders>
            <w:shd w:val="clear" w:color="auto" w:fill="auto"/>
          </w:tcPr>
          <w:p w14:paraId="6163B103"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p>
        </w:tc>
        <w:tc>
          <w:tcPr>
            <w:tcW w:w="284" w:type="dxa"/>
            <w:tcBorders>
              <w:top w:val="single" w:sz="4" w:space="0" w:color="auto"/>
              <w:left w:val="nil"/>
              <w:bottom w:val="nil"/>
              <w:right w:val="nil"/>
            </w:tcBorders>
            <w:shd w:val="clear" w:color="auto" w:fill="auto"/>
          </w:tcPr>
          <w:p w14:paraId="488AB73A"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p>
        </w:tc>
        <w:tc>
          <w:tcPr>
            <w:tcW w:w="242" w:type="dxa"/>
            <w:tcBorders>
              <w:top w:val="single" w:sz="4" w:space="0" w:color="auto"/>
              <w:left w:val="nil"/>
              <w:bottom w:val="nil"/>
              <w:right w:val="nil"/>
            </w:tcBorders>
            <w:shd w:val="clear" w:color="auto" w:fill="auto"/>
          </w:tcPr>
          <w:p w14:paraId="0CA3FE92"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p>
        </w:tc>
        <w:tc>
          <w:tcPr>
            <w:tcW w:w="1459" w:type="dxa"/>
            <w:tcBorders>
              <w:top w:val="single" w:sz="4" w:space="0" w:color="auto"/>
              <w:left w:val="nil"/>
              <w:bottom w:val="nil"/>
              <w:right w:val="nil"/>
            </w:tcBorders>
            <w:shd w:val="clear" w:color="auto" w:fill="auto"/>
          </w:tcPr>
          <w:p w14:paraId="0A69D9FE" w14:textId="77777777" w:rsidR="00C21B83" w:rsidRPr="007A17AE" w:rsidRDefault="00C21B83"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50,8</w:t>
            </w:r>
          </w:p>
        </w:tc>
        <w:tc>
          <w:tcPr>
            <w:tcW w:w="1276" w:type="dxa"/>
            <w:tcBorders>
              <w:top w:val="single" w:sz="4" w:space="0" w:color="auto"/>
              <w:left w:val="nil"/>
              <w:bottom w:val="nil"/>
              <w:right w:val="nil"/>
            </w:tcBorders>
            <w:shd w:val="clear" w:color="auto" w:fill="auto"/>
          </w:tcPr>
          <w:p w14:paraId="19DCAC88" w14:textId="77777777" w:rsidR="00C21B83" w:rsidRPr="007A17AE" w:rsidRDefault="00C21B83"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42,5</w:t>
            </w:r>
          </w:p>
        </w:tc>
        <w:tc>
          <w:tcPr>
            <w:tcW w:w="601" w:type="dxa"/>
            <w:tcBorders>
              <w:top w:val="single" w:sz="4" w:space="0" w:color="auto"/>
              <w:left w:val="nil"/>
              <w:bottom w:val="nil"/>
              <w:right w:val="nil"/>
            </w:tcBorders>
            <w:shd w:val="clear" w:color="auto" w:fill="auto"/>
          </w:tcPr>
          <w:p w14:paraId="41D3AD48"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8,3</w:t>
            </w:r>
          </w:p>
        </w:tc>
        <w:tc>
          <w:tcPr>
            <w:tcW w:w="1383" w:type="dxa"/>
            <w:tcBorders>
              <w:top w:val="single" w:sz="4" w:space="0" w:color="auto"/>
              <w:left w:val="nil"/>
              <w:bottom w:val="nil"/>
              <w:right w:val="nil"/>
            </w:tcBorders>
            <w:shd w:val="clear" w:color="auto" w:fill="auto"/>
          </w:tcPr>
          <w:p w14:paraId="70AB6EC2"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(1,6; 15,0)</w:t>
            </w:r>
          </w:p>
        </w:tc>
      </w:tr>
      <w:tr w:rsidR="00C21B83" w:rsidRPr="007A17AE" w14:paraId="4C6C369E" w14:textId="77777777" w:rsidTr="004153C5">
        <w:tc>
          <w:tcPr>
            <w:tcW w:w="3794" w:type="dxa"/>
            <w:gridSpan w:val="4"/>
            <w:tcBorders>
              <w:top w:val="nil"/>
              <w:left w:val="nil"/>
              <w:bottom w:val="nil"/>
              <w:right w:val="nil"/>
            </w:tcBorders>
            <w:shd w:val="clear" w:color="auto" w:fill="auto"/>
          </w:tcPr>
          <w:p w14:paraId="4CC05CDD" w14:textId="77777777" w:rsidR="00C21B83" w:rsidRPr="007A17AE" w:rsidRDefault="00C21B83" w:rsidP="00C1636F">
            <w:pPr>
              <w:tabs>
                <w:tab w:val="clear" w:pos="567"/>
              </w:tabs>
              <w:autoSpaceDE w:val="0"/>
              <w:autoSpaceDN w:val="0"/>
              <w:adjustRightInd w:val="0"/>
              <w:spacing w:line="240" w:lineRule="auto"/>
              <w:ind w:left="567"/>
              <w:contextualSpacing/>
              <w:rPr>
                <w:rFonts w:eastAsia="TimesNewRoman"/>
                <w:szCs w:val="22"/>
                <w:lang w:eastAsia="lt-LT"/>
              </w:rPr>
            </w:pPr>
            <w:r w:rsidRPr="007A17AE">
              <w:rPr>
                <w:rFonts w:eastAsia="TimesNewRoman"/>
                <w:szCs w:val="22"/>
                <w:lang w:eastAsia="lt-LT"/>
              </w:rPr>
              <w:t>0–24</w:t>
            </w:r>
            <w:r w:rsidR="00C1636F">
              <w:rPr>
                <w:rFonts w:eastAsia="TimesNewRoman"/>
                <w:szCs w:val="22"/>
                <w:lang w:eastAsia="lt-LT"/>
              </w:rPr>
              <w:t> </w:t>
            </w:r>
            <w:r w:rsidRPr="007A17AE">
              <w:rPr>
                <w:rFonts w:eastAsia="TimesNewRoman"/>
                <w:szCs w:val="22"/>
                <w:lang w:eastAsia="lt-LT"/>
              </w:rPr>
              <w:t>valandų</w:t>
            </w:r>
          </w:p>
        </w:tc>
        <w:tc>
          <w:tcPr>
            <w:tcW w:w="283" w:type="dxa"/>
            <w:tcBorders>
              <w:top w:val="nil"/>
              <w:left w:val="nil"/>
              <w:bottom w:val="nil"/>
              <w:right w:val="nil"/>
            </w:tcBorders>
            <w:shd w:val="clear" w:color="auto" w:fill="auto"/>
          </w:tcPr>
          <w:p w14:paraId="0AB75E22"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p>
        </w:tc>
        <w:tc>
          <w:tcPr>
            <w:tcW w:w="284" w:type="dxa"/>
            <w:tcBorders>
              <w:top w:val="nil"/>
              <w:left w:val="nil"/>
              <w:bottom w:val="nil"/>
              <w:right w:val="nil"/>
            </w:tcBorders>
            <w:shd w:val="clear" w:color="auto" w:fill="auto"/>
          </w:tcPr>
          <w:p w14:paraId="37A2FBA5"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p>
        </w:tc>
        <w:tc>
          <w:tcPr>
            <w:tcW w:w="242" w:type="dxa"/>
            <w:tcBorders>
              <w:top w:val="nil"/>
              <w:left w:val="nil"/>
              <w:bottom w:val="nil"/>
              <w:right w:val="nil"/>
            </w:tcBorders>
            <w:shd w:val="clear" w:color="auto" w:fill="auto"/>
          </w:tcPr>
          <w:p w14:paraId="029CB2C0"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p>
        </w:tc>
        <w:tc>
          <w:tcPr>
            <w:tcW w:w="1459" w:type="dxa"/>
            <w:tcBorders>
              <w:top w:val="nil"/>
              <w:left w:val="nil"/>
              <w:bottom w:val="nil"/>
              <w:right w:val="nil"/>
            </w:tcBorders>
            <w:shd w:val="clear" w:color="auto" w:fill="auto"/>
          </w:tcPr>
          <w:p w14:paraId="50822001" w14:textId="77777777" w:rsidR="00C21B83" w:rsidRPr="007A17AE" w:rsidRDefault="00C21B83"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75,7</w:t>
            </w:r>
          </w:p>
        </w:tc>
        <w:tc>
          <w:tcPr>
            <w:tcW w:w="1276" w:type="dxa"/>
            <w:tcBorders>
              <w:top w:val="nil"/>
              <w:left w:val="nil"/>
              <w:bottom w:val="nil"/>
              <w:right w:val="nil"/>
            </w:tcBorders>
            <w:shd w:val="clear" w:color="auto" w:fill="auto"/>
          </w:tcPr>
          <w:p w14:paraId="2B129F4F" w14:textId="77777777" w:rsidR="00C21B83" w:rsidRPr="007A17AE" w:rsidRDefault="00C21B83"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69,0</w:t>
            </w:r>
          </w:p>
        </w:tc>
        <w:tc>
          <w:tcPr>
            <w:tcW w:w="601" w:type="dxa"/>
            <w:tcBorders>
              <w:top w:val="nil"/>
              <w:left w:val="nil"/>
              <w:bottom w:val="nil"/>
              <w:right w:val="nil"/>
            </w:tcBorders>
            <w:shd w:val="clear" w:color="auto" w:fill="auto"/>
          </w:tcPr>
          <w:p w14:paraId="0476551F"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6,7</w:t>
            </w:r>
          </w:p>
        </w:tc>
        <w:tc>
          <w:tcPr>
            <w:tcW w:w="1383" w:type="dxa"/>
            <w:tcBorders>
              <w:top w:val="nil"/>
              <w:left w:val="nil"/>
              <w:bottom w:val="nil"/>
              <w:right w:val="nil"/>
            </w:tcBorders>
            <w:shd w:val="clear" w:color="auto" w:fill="auto"/>
          </w:tcPr>
          <w:p w14:paraId="4AAC3B50"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(0,7; 12,7)</w:t>
            </w:r>
          </w:p>
        </w:tc>
      </w:tr>
      <w:tr w:rsidR="00C21B83" w:rsidRPr="007A17AE" w14:paraId="0D9B4D83" w14:textId="77777777" w:rsidTr="004153C5">
        <w:tc>
          <w:tcPr>
            <w:tcW w:w="3794" w:type="dxa"/>
            <w:gridSpan w:val="4"/>
            <w:tcBorders>
              <w:top w:val="nil"/>
              <w:left w:val="nil"/>
              <w:bottom w:val="single" w:sz="4" w:space="0" w:color="auto"/>
              <w:right w:val="nil"/>
            </w:tcBorders>
            <w:shd w:val="clear" w:color="auto" w:fill="auto"/>
          </w:tcPr>
          <w:p w14:paraId="6E781AF8" w14:textId="77777777" w:rsidR="00C21B83" w:rsidRPr="007A17AE" w:rsidRDefault="00C21B83" w:rsidP="00C1636F">
            <w:pPr>
              <w:tabs>
                <w:tab w:val="clear" w:pos="567"/>
              </w:tabs>
              <w:autoSpaceDE w:val="0"/>
              <w:autoSpaceDN w:val="0"/>
              <w:adjustRightInd w:val="0"/>
              <w:spacing w:line="240" w:lineRule="auto"/>
              <w:ind w:left="567"/>
              <w:contextualSpacing/>
              <w:rPr>
                <w:rFonts w:eastAsia="TimesNewRoman"/>
                <w:szCs w:val="22"/>
                <w:lang w:eastAsia="lt-LT"/>
              </w:rPr>
            </w:pPr>
            <w:r w:rsidRPr="007A17AE">
              <w:rPr>
                <w:rFonts w:eastAsia="TimesNewRoman"/>
                <w:szCs w:val="22"/>
                <w:lang w:eastAsia="lt-LT"/>
              </w:rPr>
              <w:t>25–120</w:t>
            </w:r>
            <w:r w:rsidR="00C1636F">
              <w:rPr>
                <w:rFonts w:eastAsia="TimesNewRoman"/>
                <w:szCs w:val="22"/>
                <w:lang w:eastAsia="lt-LT"/>
              </w:rPr>
              <w:t> </w:t>
            </w:r>
            <w:r w:rsidRPr="007A17AE">
              <w:rPr>
                <w:rFonts w:eastAsia="TimesNewRoman"/>
                <w:szCs w:val="22"/>
                <w:lang w:eastAsia="lt-LT"/>
              </w:rPr>
              <w:t>valandų</w:t>
            </w:r>
          </w:p>
        </w:tc>
        <w:tc>
          <w:tcPr>
            <w:tcW w:w="283" w:type="dxa"/>
            <w:tcBorders>
              <w:top w:val="nil"/>
              <w:left w:val="nil"/>
              <w:bottom w:val="single" w:sz="4" w:space="0" w:color="auto"/>
              <w:right w:val="nil"/>
            </w:tcBorders>
            <w:shd w:val="clear" w:color="auto" w:fill="auto"/>
          </w:tcPr>
          <w:p w14:paraId="10AF988E"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p>
        </w:tc>
        <w:tc>
          <w:tcPr>
            <w:tcW w:w="284" w:type="dxa"/>
            <w:tcBorders>
              <w:top w:val="nil"/>
              <w:left w:val="nil"/>
              <w:bottom w:val="single" w:sz="4" w:space="0" w:color="auto"/>
              <w:right w:val="nil"/>
            </w:tcBorders>
            <w:shd w:val="clear" w:color="auto" w:fill="auto"/>
          </w:tcPr>
          <w:p w14:paraId="3B7C27D3"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p>
        </w:tc>
        <w:tc>
          <w:tcPr>
            <w:tcW w:w="242" w:type="dxa"/>
            <w:tcBorders>
              <w:top w:val="nil"/>
              <w:left w:val="nil"/>
              <w:bottom w:val="single" w:sz="4" w:space="0" w:color="auto"/>
              <w:right w:val="nil"/>
            </w:tcBorders>
            <w:shd w:val="clear" w:color="auto" w:fill="auto"/>
          </w:tcPr>
          <w:p w14:paraId="251091E3"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p>
        </w:tc>
        <w:tc>
          <w:tcPr>
            <w:tcW w:w="1459" w:type="dxa"/>
            <w:tcBorders>
              <w:top w:val="nil"/>
              <w:left w:val="nil"/>
              <w:bottom w:val="single" w:sz="4" w:space="0" w:color="auto"/>
              <w:right w:val="nil"/>
            </w:tcBorders>
            <w:shd w:val="clear" w:color="auto" w:fill="auto"/>
          </w:tcPr>
          <w:p w14:paraId="07B968D7" w14:textId="77777777" w:rsidR="00C21B83" w:rsidRPr="007A17AE" w:rsidRDefault="00C21B83"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55,4</w:t>
            </w:r>
          </w:p>
        </w:tc>
        <w:tc>
          <w:tcPr>
            <w:tcW w:w="1276" w:type="dxa"/>
            <w:tcBorders>
              <w:top w:val="nil"/>
              <w:left w:val="nil"/>
              <w:bottom w:val="single" w:sz="4" w:space="0" w:color="auto"/>
              <w:right w:val="nil"/>
            </w:tcBorders>
            <w:shd w:val="clear" w:color="auto" w:fill="auto"/>
          </w:tcPr>
          <w:p w14:paraId="6EF7BC7F" w14:textId="77777777" w:rsidR="00C21B83" w:rsidRPr="007A17AE" w:rsidRDefault="00C21B83"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49,1</w:t>
            </w:r>
          </w:p>
        </w:tc>
        <w:tc>
          <w:tcPr>
            <w:tcW w:w="601" w:type="dxa"/>
            <w:tcBorders>
              <w:top w:val="nil"/>
              <w:left w:val="nil"/>
              <w:bottom w:val="single" w:sz="4" w:space="0" w:color="auto"/>
              <w:right w:val="nil"/>
            </w:tcBorders>
            <w:shd w:val="clear" w:color="auto" w:fill="auto"/>
          </w:tcPr>
          <w:p w14:paraId="31073D6A"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6,3</w:t>
            </w:r>
          </w:p>
        </w:tc>
        <w:tc>
          <w:tcPr>
            <w:tcW w:w="1383" w:type="dxa"/>
            <w:tcBorders>
              <w:top w:val="nil"/>
              <w:left w:val="nil"/>
              <w:bottom w:val="single" w:sz="4" w:space="0" w:color="auto"/>
              <w:right w:val="nil"/>
            </w:tcBorders>
            <w:shd w:val="clear" w:color="auto" w:fill="auto"/>
          </w:tcPr>
          <w:p w14:paraId="7DCBC6EC"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(-0,4; 13,0)</w:t>
            </w:r>
          </w:p>
        </w:tc>
      </w:tr>
    </w:tbl>
    <w:p w14:paraId="19F96525"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p>
    <w:p w14:paraId="0FAA0C05"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ATSKIRI RODIKLIAI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83"/>
        <w:gridCol w:w="284"/>
        <w:gridCol w:w="242"/>
        <w:gridCol w:w="1459"/>
        <w:gridCol w:w="1276"/>
        <w:gridCol w:w="601"/>
        <w:gridCol w:w="1383"/>
      </w:tblGrid>
      <w:tr w:rsidR="00C21B83" w:rsidRPr="007A17AE" w14:paraId="38DC8863" w14:textId="77777777" w:rsidTr="004153C5">
        <w:tc>
          <w:tcPr>
            <w:tcW w:w="9322" w:type="dxa"/>
            <w:gridSpan w:val="8"/>
            <w:tcBorders>
              <w:top w:val="single" w:sz="4" w:space="0" w:color="auto"/>
              <w:left w:val="nil"/>
              <w:bottom w:val="single" w:sz="4" w:space="0" w:color="auto"/>
              <w:right w:val="nil"/>
            </w:tcBorders>
            <w:shd w:val="clear" w:color="auto" w:fill="auto"/>
          </w:tcPr>
          <w:p w14:paraId="099BCB8D"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Bold"/>
                <w:b/>
                <w:bCs/>
                <w:szCs w:val="22"/>
                <w:lang w:eastAsia="lt-LT"/>
              </w:rPr>
              <w:t>Be vėmimo (be vėmimo epizodų neatsižvelgiant į gelbėjamąjį gydymą)</w:t>
            </w:r>
          </w:p>
        </w:tc>
      </w:tr>
      <w:tr w:rsidR="00C21B83" w:rsidRPr="007A17AE" w14:paraId="739373F7" w14:textId="77777777" w:rsidTr="004153C5">
        <w:tc>
          <w:tcPr>
            <w:tcW w:w="3794" w:type="dxa"/>
            <w:tcBorders>
              <w:top w:val="single" w:sz="4" w:space="0" w:color="auto"/>
              <w:left w:val="nil"/>
              <w:bottom w:val="nil"/>
              <w:right w:val="nil"/>
            </w:tcBorders>
            <w:shd w:val="clear" w:color="auto" w:fill="auto"/>
          </w:tcPr>
          <w:p w14:paraId="7F68FF39" w14:textId="77777777" w:rsidR="00C21B83" w:rsidRPr="007A17AE" w:rsidRDefault="00C21B83" w:rsidP="00C1636F">
            <w:pPr>
              <w:tabs>
                <w:tab w:val="clear" w:pos="567"/>
              </w:tabs>
              <w:autoSpaceDE w:val="0"/>
              <w:autoSpaceDN w:val="0"/>
              <w:adjustRightInd w:val="0"/>
              <w:spacing w:line="240" w:lineRule="auto"/>
              <w:ind w:left="567"/>
              <w:contextualSpacing/>
              <w:rPr>
                <w:rFonts w:eastAsia="TimesNewRoman"/>
                <w:szCs w:val="22"/>
                <w:lang w:eastAsia="lt-LT"/>
              </w:rPr>
            </w:pPr>
            <w:r w:rsidRPr="007A17AE">
              <w:rPr>
                <w:rFonts w:eastAsia="TimesNewRoman"/>
                <w:szCs w:val="22"/>
                <w:lang w:eastAsia="lt-LT"/>
              </w:rPr>
              <w:t>Bendras (0–120</w:t>
            </w:r>
            <w:r w:rsidR="00C1636F">
              <w:rPr>
                <w:rFonts w:eastAsia="TimesNewRoman"/>
                <w:szCs w:val="22"/>
                <w:lang w:eastAsia="lt-LT"/>
              </w:rPr>
              <w:t> </w:t>
            </w:r>
            <w:r w:rsidRPr="007A17AE">
              <w:rPr>
                <w:rFonts w:eastAsia="TimesNewRoman"/>
                <w:szCs w:val="22"/>
                <w:lang w:eastAsia="lt-LT"/>
              </w:rPr>
              <w:t>valandų)</w:t>
            </w:r>
          </w:p>
        </w:tc>
        <w:tc>
          <w:tcPr>
            <w:tcW w:w="283" w:type="dxa"/>
            <w:tcBorders>
              <w:top w:val="single" w:sz="4" w:space="0" w:color="auto"/>
              <w:left w:val="nil"/>
              <w:bottom w:val="nil"/>
              <w:right w:val="nil"/>
            </w:tcBorders>
            <w:shd w:val="clear" w:color="auto" w:fill="auto"/>
          </w:tcPr>
          <w:p w14:paraId="7A1435EC"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p>
        </w:tc>
        <w:tc>
          <w:tcPr>
            <w:tcW w:w="284" w:type="dxa"/>
            <w:tcBorders>
              <w:top w:val="single" w:sz="4" w:space="0" w:color="auto"/>
              <w:left w:val="nil"/>
              <w:bottom w:val="nil"/>
              <w:right w:val="nil"/>
            </w:tcBorders>
            <w:shd w:val="clear" w:color="auto" w:fill="auto"/>
          </w:tcPr>
          <w:p w14:paraId="7465A7A0"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p>
        </w:tc>
        <w:tc>
          <w:tcPr>
            <w:tcW w:w="242" w:type="dxa"/>
            <w:tcBorders>
              <w:top w:val="single" w:sz="4" w:space="0" w:color="auto"/>
              <w:left w:val="nil"/>
              <w:bottom w:val="nil"/>
              <w:right w:val="nil"/>
            </w:tcBorders>
            <w:shd w:val="clear" w:color="auto" w:fill="auto"/>
          </w:tcPr>
          <w:p w14:paraId="7ADC9FEE"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p>
        </w:tc>
        <w:tc>
          <w:tcPr>
            <w:tcW w:w="1459" w:type="dxa"/>
            <w:tcBorders>
              <w:top w:val="single" w:sz="4" w:space="0" w:color="auto"/>
              <w:left w:val="nil"/>
              <w:bottom w:val="nil"/>
              <w:right w:val="nil"/>
            </w:tcBorders>
            <w:shd w:val="clear" w:color="auto" w:fill="auto"/>
          </w:tcPr>
          <w:p w14:paraId="7CF06292" w14:textId="77777777" w:rsidR="00C21B83" w:rsidRPr="007A17AE" w:rsidRDefault="00C21B83"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75,7</w:t>
            </w:r>
          </w:p>
        </w:tc>
        <w:tc>
          <w:tcPr>
            <w:tcW w:w="1276" w:type="dxa"/>
            <w:tcBorders>
              <w:top w:val="single" w:sz="4" w:space="0" w:color="auto"/>
              <w:left w:val="nil"/>
              <w:bottom w:val="nil"/>
              <w:right w:val="nil"/>
            </w:tcBorders>
            <w:shd w:val="clear" w:color="auto" w:fill="auto"/>
          </w:tcPr>
          <w:p w14:paraId="2D0277A5" w14:textId="77777777" w:rsidR="00C21B83" w:rsidRPr="007A17AE" w:rsidRDefault="00C21B83"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58,7</w:t>
            </w:r>
          </w:p>
        </w:tc>
        <w:tc>
          <w:tcPr>
            <w:tcW w:w="601" w:type="dxa"/>
            <w:tcBorders>
              <w:top w:val="single" w:sz="4" w:space="0" w:color="auto"/>
              <w:left w:val="nil"/>
              <w:bottom w:val="nil"/>
              <w:right w:val="nil"/>
            </w:tcBorders>
            <w:shd w:val="clear" w:color="auto" w:fill="auto"/>
          </w:tcPr>
          <w:p w14:paraId="52B4D17A"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17,0</w:t>
            </w:r>
          </w:p>
        </w:tc>
        <w:tc>
          <w:tcPr>
            <w:tcW w:w="1383" w:type="dxa"/>
            <w:tcBorders>
              <w:top w:val="single" w:sz="4" w:space="0" w:color="auto"/>
              <w:left w:val="nil"/>
              <w:bottom w:val="nil"/>
              <w:right w:val="nil"/>
            </w:tcBorders>
            <w:shd w:val="clear" w:color="auto" w:fill="auto"/>
          </w:tcPr>
          <w:p w14:paraId="7DD51BAB"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(10,8; 23,2)</w:t>
            </w:r>
          </w:p>
        </w:tc>
      </w:tr>
      <w:tr w:rsidR="00C21B83" w:rsidRPr="007A17AE" w14:paraId="76C2D08D" w14:textId="77777777" w:rsidTr="004153C5">
        <w:tc>
          <w:tcPr>
            <w:tcW w:w="3794" w:type="dxa"/>
            <w:tcBorders>
              <w:top w:val="nil"/>
              <w:left w:val="nil"/>
              <w:bottom w:val="nil"/>
              <w:right w:val="nil"/>
            </w:tcBorders>
            <w:shd w:val="clear" w:color="auto" w:fill="auto"/>
          </w:tcPr>
          <w:p w14:paraId="7AD4CCE1" w14:textId="77777777" w:rsidR="00C21B83" w:rsidRPr="007A17AE" w:rsidRDefault="00C21B83" w:rsidP="00C1636F">
            <w:pPr>
              <w:tabs>
                <w:tab w:val="clear" w:pos="567"/>
              </w:tabs>
              <w:autoSpaceDE w:val="0"/>
              <w:autoSpaceDN w:val="0"/>
              <w:adjustRightInd w:val="0"/>
              <w:spacing w:line="240" w:lineRule="auto"/>
              <w:ind w:left="567"/>
              <w:contextualSpacing/>
              <w:rPr>
                <w:rFonts w:eastAsia="TimesNewRoman"/>
                <w:szCs w:val="22"/>
                <w:lang w:eastAsia="lt-LT"/>
              </w:rPr>
            </w:pPr>
            <w:r w:rsidRPr="007A17AE">
              <w:rPr>
                <w:rFonts w:eastAsia="TimesNewRoman"/>
                <w:szCs w:val="22"/>
                <w:lang w:eastAsia="lt-LT"/>
              </w:rPr>
              <w:t>0–24</w:t>
            </w:r>
            <w:r w:rsidR="00C1636F">
              <w:rPr>
                <w:rFonts w:eastAsia="TimesNewRoman"/>
                <w:szCs w:val="22"/>
                <w:lang w:eastAsia="lt-LT"/>
              </w:rPr>
              <w:t> </w:t>
            </w:r>
            <w:r w:rsidRPr="007A17AE">
              <w:rPr>
                <w:rFonts w:eastAsia="TimesNewRoman"/>
                <w:szCs w:val="22"/>
                <w:lang w:eastAsia="lt-LT"/>
              </w:rPr>
              <w:t>valandų</w:t>
            </w:r>
          </w:p>
        </w:tc>
        <w:tc>
          <w:tcPr>
            <w:tcW w:w="283" w:type="dxa"/>
            <w:tcBorders>
              <w:top w:val="nil"/>
              <w:left w:val="nil"/>
              <w:bottom w:val="nil"/>
              <w:right w:val="nil"/>
            </w:tcBorders>
            <w:shd w:val="clear" w:color="auto" w:fill="auto"/>
          </w:tcPr>
          <w:p w14:paraId="50C4C135"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p>
        </w:tc>
        <w:tc>
          <w:tcPr>
            <w:tcW w:w="284" w:type="dxa"/>
            <w:tcBorders>
              <w:top w:val="nil"/>
              <w:left w:val="nil"/>
              <w:bottom w:val="nil"/>
              <w:right w:val="nil"/>
            </w:tcBorders>
            <w:shd w:val="clear" w:color="auto" w:fill="auto"/>
          </w:tcPr>
          <w:p w14:paraId="2734F6A1"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p>
        </w:tc>
        <w:tc>
          <w:tcPr>
            <w:tcW w:w="242" w:type="dxa"/>
            <w:tcBorders>
              <w:top w:val="nil"/>
              <w:left w:val="nil"/>
              <w:bottom w:val="nil"/>
              <w:right w:val="nil"/>
            </w:tcBorders>
            <w:shd w:val="clear" w:color="auto" w:fill="auto"/>
          </w:tcPr>
          <w:p w14:paraId="35E6594D"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p>
        </w:tc>
        <w:tc>
          <w:tcPr>
            <w:tcW w:w="1459" w:type="dxa"/>
            <w:tcBorders>
              <w:top w:val="nil"/>
              <w:left w:val="nil"/>
              <w:bottom w:val="nil"/>
              <w:right w:val="nil"/>
            </w:tcBorders>
            <w:shd w:val="clear" w:color="auto" w:fill="auto"/>
          </w:tcPr>
          <w:p w14:paraId="60FCBE81" w14:textId="77777777" w:rsidR="00C21B83" w:rsidRPr="007A17AE" w:rsidRDefault="00C21B83"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87,5</w:t>
            </w:r>
          </w:p>
        </w:tc>
        <w:tc>
          <w:tcPr>
            <w:tcW w:w="1276" w:type="dxa"/>
            <w:tcBorders>
              <w:top w:val="nil"/>
              <w:left w:val="nil"/>
              <w:bottom w:val="nil"/>
              <w:right w:val="nil"/>
            </w:tcBorders>
            <w:shd w:val="clear" w:color="auto" w:fill="auto"/>
          </w:tcPr>
          <w:p w14:paraId="5B254B67" w14:textId="77777777" w:rsidR="00C21B83" w:rsidRPr="007A17AE" w:rsidRDefault="00C21B83"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77,3</w:t>
            </w:r>
          </w:p>
        </w:tc>
        <w:tc>
          <w:tcPr>
            <w:tcW w:w="601" w:type="dxa"/>
            <w:tcBorders>
              <w:top w:val="nil"/>
              <w:left w:val="nil"/>
              <w:bottom w:val="nil"/>
              <w:right w:val="nil"/>
            </w:tcBorders>
            <w:shd w:val="clear" w:color="auto" w:fill="auto"/>
          </w:tcPr>
          <w:p w14:paraId="40CAA7E1"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10,2</w:t>
            </w:r>
          </w:p>
        </w:tc>
        <w:tc>
          <w:tcPr>
            <w:tcW w:w="1383" w:type="dxa"/>
            <w:tcBorders>
              <w:top w:val="nil"/>
              <w:left w:val="nil"/>
              <w:bottom w:val="nil"/>
              <w:right w:val="nil"/>
            </w:tcBorders>
            <w:shd w:val="clear" w:color="auto" w:fill="auto"/>
          </w:tcPr>
          <w:p w14:paraId="39972713"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(5,1; 15,3)</w:t>
            </w:r>
          </w:p>
        </w:tc>
      </w:tr>
      <w:tr w:rsidR="00C21B83" w:rsidRPr="007A17AE" w14:paraId="719A30B2" w14:textId="77777777" w:rsidTr="004153C5">
        <w:tc>
          <w:tcPr>
            <w:tcW w:w="3794" w:type="dxa"/>
            <w:tcBorders>
              <w:top w:val="nil"/>
              <w:left w:val="nil"/>
              <w:bottom w:val="single" w:sz="4" w:space="0" w:color="auto"/>
              <w:right w:val="nil"/>
            </w:tcBorders>
            <w:shd w:val="clear" w:color="auto" w:fill="auto"/>
          </w:tcPr>
          <w:p w14:paraId="2AC7AA75" w14:textId="77777777" w:rsidR="00C21B83" w:rsidRPr="007A17AE" w:rsidRDefault="00C21B83" w:rsidP="00C1636F">
            <w:pPr>
              <w:tabs>
                <w:tab w:val="clear" w:pos="567"/>
              </w:tabs>
              <w:autoSpaceDE w:val="0"/>
              <w:autoSpaceDN w:val="0"/>
              <w:adjustRightInd w:val="0"/>
              <w:spacing w:line="240" w:lineRule="auto"/>
              <w:ind w:left="567"/>
              <w:contextualSpacing/>
              <w:rPr>
                <w:rFonts w:eastAsia="TimesNewRoman"/>
                <w:szCs w:val="22"/>
                <w:lang w:eastAsia="lt-LT"/>
              </w:rPr>
            </w:pPr>
            <w:r w:rsidRPr="007A17AE">
              <w:rPr>
                <w:rFonts w:eastAsia="TimesNewRoman"/>
                <w:szCs w:val="22"/>
                <w:lang w:eastAsia="lt-LT"/>
              </w:rPr>
              <w:t>25–120</w:t>
            </w:r>
            <w:r w:rsidR="00C1636F">
              <w:rPr>
                <w:rFonts w:eastAsia="TimesNewRoman"/>
                <w:szCs w:val="22"/>
                <w:lang w:eastAsia="lt-LT"/>
              </w:rPr>
              <w:t> </w:t>
            </w:r>
            <w:r w:rsidRPr="007A17AE">
              <w:rPr>
                <w:rFonts w:eastAsia="TimesNewRoman"/>
                <w:szCs w:val="22"/>
                <w:lang w:eastAsia="lt-LT"/>
              </w:rPr>
              <w:t>valandų</w:t>
            </w:r>
          </w:p>
        </w:tc>
        <w:tc>
          <w:tcPr>
            <w:tcW w:w="283" w:type="dxa"/>
            <w:tcBorders>
              <w:top w:val="nil"/>
              <w:left w:val="nil"/>
              <w:bottom w:val="single" w:sz="4" w:space="0" w:color="auto"/>
              <w:right w:val="nil"/>
            </w:tcBorders>
            <w:shd w:val="clear" w:color="auto" w:fill="auto"/>
          </w:tcPr>
          <w:p w14:paraId="48E32072"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p>
        </w:tc>
        <w:tc>
          <w:tcPr>
            <w:tcW w:w="284" w:type="dxa"/>
            <w:tcBorders>
              <w:top w:val="nil"/>
              <w:left w:val="nil"/>
              <w:bottom w:val="single" w:sz="4" w:space="0" w:color="auto"/>
              <w:right w:val="nil"/>
            </w:tcBorders>
            <w:shd w:val="clear" w:color="auto" w:fill="auto"/>
          </w:tcPr>
          <w:p w14:paraId="4C609C5D"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p>
        </w:tc>
        <w:tc>
          <w:tcPr>
            <w:tcW w:w="242" w:type="dxa"/>
            <w:tcBorders>
              <w:top w:val="nil"/>
              <w:left w:val="nil"/>
              <w:bottom w:val="single" w:sz="4" w:space="0" w:color="auto"/>
              <w:right w:val="nil"/>
            </w:tcBorders>
            <w:shd w:val="clear" w:color="auto" w:fill="auto"/>
          </w:tcPr>
          <w:p w14:paraId="315B8BA8"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p>
        </w:tc>
        <w:tc>
          <w:tcPr>
            <w:tcW w:w="1459" w:type="dxa"/>
            <w:tcBorders>
              <w:top w:val="nil"/>
              <w:left w:val="nil"/>
              <w:bottom w:val="single" w:sz="4" w:space="0" w:color="auto"/>
              <w:right w:val="nil"/>
            </w:tcBorders>
            <w:shd w:val="clear" w:color="auto" w:fill="auto"/>
          </w:tcPr>
          <w:p w14:paraId="200966C7" w14:textId="77777777" w:rsidR="00C21B83" w:rsidRPr="007A17AE" w:rsidRDefault="00C21B83"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80,8</w:t>
            </w:r>
          </w:p>
        </w:tc>
        <w:tc>
          <w:tcPr>
            <w:tcW w:w="1276" w:type="dxa"/>
            <w:tcBorders>
              <w:top w:val="nil"/>
              <w:left w:val="nil"/>
              <w:bottom w:val="single" w:sz="4" w:space="0" w:color="auto"/>
              <w:right w:val="nil"/>
            </w:tcBorders>
            <w:shd w:val="clear" w:color="auto" w:fill="auto"/>
          </w:tcPr>
          <w:p w14:paraId="23B8A35B" w14:textId="77777777" w:rsidR="00C21B83" w:rsidRPr="007A17AE" w:rsidRDefault="00C21B83"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69,1</w:t>
            </w:r>
          </w:p>
        </w:tc>
        <w:tc>
          <w:tcPr>
            <w:tcW w:w="601" w:type="dxa"/>
            <w:tcBorders>
              <w:top w:val="nil"/>
              <w:left w:val="nil"/>
              <w:bottom w:val="single" w:sz="4" w:space="0" w:color="auto"/>
              <w:right w:val="nil"/>
            </w:tcBorders>
            <w:shd w:val="clear" w:color="auto" w:fill="auto"/>
          </w:tcPr>
          <w:p w14:paraId="7D5FA356"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11,7</w:t>
            </w:r>
          </w:p>
        </w:tc>
        <w:tc>
          <w:tcPr>
            <w:tcW w:w="1383" w:type="dxa"/>
            <w:tcBorders>
              <w:top w:val="nil"/>
              <w:left w:val="nil"/>
              <w:bottom w:val="single" w:sz="4" w:space="0" w:color="auto"/>
              <w:right w:val="nil"/>
            </w:tcBorders>
            <w:shd w:val="clear" w:color="auto" w:fill="auto"/>
          </w:tcPr>
          <w:p w14:paraId="590A0CCE"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(5,9; 17,5)</w:t>
            </w:r>
          </w:p>
        </w:tc>
      </w:tr>
      <w:tr w:rsidR="00C21B83" w:rsidRPr="007A17AE" w14:paraId="320434D1" w14:textId="77777777" w:rsidTr="004153C5">
        <w:tc>
          <w:tcPr>
            <w:tcW w:w="9322" w:type="dxa"/>
            <w:gridSpan w:val="8"/>
            <w:tcBorders>
              <w:top w:val="single" w:sz="4" w:space="0" w:color="auto"/>
              <w:left w:val="nil"/>
              <w:bottom w:val="single" w:sz="4" w:space="0" w:color="auto"/>
              <w:right w:val="nil"/>
            </w:tcBorders>
            <w:shd w:val="clear" w:color="auto" w:fill="auto"/>
          </w:tcPr>
          <w:p w14:paraId="434B1227" w14:textId="77777777" w:rsidR="00C21B83" w:rsidRPr="007A17AE" w:rsidRDefault="00C21B83" w:rsidP="00C1636F">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Bold"/>
                <w:b/>
                <w:bCs/>
                <w:szCs w:val="22"/>
                <w:lang w:eastAsia="lt-LT"/>
              </w:rPr>
              <w:t>Be reikšmingo pykinimo (didžiausias VAS &lt;</w:t>
            </w:r>
            <w:r w:rsidR="00C1636F">
              <w:rPr>
                <w:rFonts w:eastAsia="TimesNewRoman,Bold"/>
                <w:b/>
                <w:bCs/>
                <w:szCs w:val="22"/>
                <w:lang w:eastAsia="lt-LT"/>
              </w:rPr>
              <w:t> </w:t>
            </w:r>
            <w:r w:rsidRPr="007A17AE">
              <w:rPr>
                <w:rFonts w:eastAsia="TimesNewRoman,Bold"/>
                <w:b/>
                <w:bCs/>
                <w:szCs w:val="22"/>
                <w:lang w:eastAsia="lt-LT"/>
              </w:rPr>
              <w:t>25</w:t>
            </w:r>
            <w:r w:rsidR="00C1636F">
              <w:rPr>
                <w:rFonts w:eastAsia="TimesNewRoman,Bold"/>
                <w:b/>
                <w:bCs/>
                <w:szCs w:val="22"/>
                <w:lang w:eastAsia="lt-LT"/>
              </w:rPr>
              <w:t> </w:t>
            </w:r>
            <w:r w:rsidRPr="007A17AE">
              <w:rPr>
                <w:rFonts w:eastAsia="TimesNewRoman,Bold"/>
                <w:b/>
                <w:bCs/>
                <w:szCs w:val="22"/>
                <w:lang w:eastAsia="lt-LT"/>
              </w:rPr>
              <w:t>mm 0</w:t>
            </w:r>
            <w:r w:rsidR="00C1636F">
              <w:rPr>
                <w:rFonts w:eastAsia="TimesNewRoman,Bold"/>
                <w:b/>
                <w:bCs/>
                <w:szCs w:val="22"/>
                <w:lang w:eastAsia="lt-LT"/>
              </w:rPr>
              <w:noBreakHyphen/>
            </w:r>
            <w:r w:rsidRPr="007A17AE">
              <w:rPr>
                <w:rFonts w:eastAsia="TimesNewRoman,Bold"/>
                <w:b/>
                <w:bCs/>
                <w:szCs w:val="22"/>
                <w:lang w:eastAsia="lt-LT"/>
              </w:rPr>
              <w:t>100</w:t>
            </w:r>
            <w:r w:rsidR="00C1636F">
              <w:rPr>
                <w:rFonts w:eastAsia="TimesNewRoman,Bold"/>
                <w:b/>
                <w:bCs/>
                <w:szCs w:val="22"/>
                <w:lang w:eastAsia="lt-LT"/>
              </w:rPr>
              <w:t> </w:t>
            </w:r>
            <w:r w:rsidRPr="007A17AE">
              <w:rPr>
                <w:rFonts w:eastAsia="TimesNewRoman,Bold"/>
                <w:b/>
                <w:bCs/>
                <w:szCs w:val="22"/>
                <w:lang w:eastAsia="lt-LT"/>
              </w:rPr>
              <w:t>mm skalėje)</w:t>
            </w:r>
          </w:p>
        </w:tc>
      </w:tr>
      <w:tr w:rsidR="00204A7D" w:rsidRPr="007A17AE" w14:paraId="1627CF2B" w14:textId="77777777" w:rsidTr="004153C5">
        <w:tc>
          <w:tcPr>
            <w:tcW w:w="3794" w:type="dxa"/>
            <w:tcBorders>
              <w:top w:val="single" w:sz="4" w:space="0" w:color="auto"/>
              <w:left w:val="nil"/>
              <w:bottom w:val="nil"/>
              <w:right w:val="nil"/>
            </w:tcBorders>
            <w:shd w:val="clear" w:color="auto" w:fill="auto"/>
          </w:tcPr>
          <w:p w14:paraId="666AF6D0" w14:textId="77777777" w:rsidR="00204A7D" w:rsidRPr="007A17AE" w:rsidRDefault="00204A7D" w:rsidP="00C1636F">
            <w:pPr>
              <w:tabs>
                <w:tab w:val="clear" w:pos="567"/>
              </w:tabs>
              <w:autoSpaceDE w:val="0"/>
              <w:autoSpaceDN w:val="0"/>
              <w:adjustRightInd w:val="0"/>
              <w:spacing w:line="240" w:lineRule="auto"/>
              <w:ind w:left="567"/>
              <w:contextualSpacing/>
              <w:rPr>
                <w:rFonts w:eastAsia="TimesNewRoman"/>
                <w:szCs w:val="22"/>
                <w:lang w:eastAsia="lt-LT"/>
              </w:rPr>
            </w:pPr>
            <w:r w:rsidRPr="007A17AE">
              <w:rPr>
                <w:rFonts w:eastAsia="TimesNewRoman"/>
                <w:szCs w:val="22"/>
                <w:lang w:eastAsia="lt-LT"/>
              </w:rPr>
              <w:t>Bendras (0–120</w:t>
            </w:r>
            <w:r w:rsidR="00C1636F">
              <w:rPr>
                <w:rFonts w:eastAsia="TimesNewRoman"/>
                <w:szCs w:val="22"/>
                <w:lang w:eastAsia="lt-LT"/>
              </w:rPr>
              <w:t> </w:t>
            </w:r>
            <w:r w:rsidRPr="007A17AE">
              <w:rPr>
                <w:rFonts w:eastAsia="TimesNewRoman"/>
                <w:szCs w:val="22"/>
                <w:lang w:eastAsia="lt-LT"/>
              </w:rPr>
              <w:t>valandų)</w:t>
            </w:r>
          </w:p>
        </w:tc>
        <w:tc>
          <w:tcPr>
            <w:tcW w:w="283" w:type="dxa"/>
            <w:tcBorders>
              <w:top w:val="single" w:sz="4" w:space="0" w:color="auto"/>
              <w:left w:val="nil"/>
              <w:bottom w:val="nil"/>
              <w:right w:val="nil"/>
            </w:tcBorders>
            <w:shd w:val="clear" w:color="auto" w:fill="auto"/>
          </w:tcPr>
          <w:p w14:paraId="308B6EF1" w14:textId="77777777" w:rsidR="00204A7D" w:rsidRPr="007A17AE" w:rsidRDefault="00204A7D" w:rsidP="007A17AE">
            <w:pPr>
              <w:tabs>
                <w:tab w:val="clear" w:pos="567"/>
              </w:tabs>
              <w:autoSpaceDE w:val="0"/>
              <w:autoSpaceDN w:val="0"/>
              <w:adjustRightInd w:val="0"/>
              <w:spacing w:line="240" w:lineRule="auto"/>
              <w:contextualSpacing/>
              <w:rPr>
                <w:rFonts w:eastAsia="TimesNewRoman"/>
                <w:szCs w:val="22"/>
                <w:lang w:eastAsia="lt-LT"/>
              </w:rPr>
            </w:pPr>
          </w:p>
        </w:tc>
        <w:tc>
          <w:tcPr>
            <w:tcW w:w="284" w:type="dxa"/>
            <w:tcBorders>
              <w:top w:val="single" w:sz="4" w:space="0" w:color="auto"/>
              <w:left w:val="nil"/>
              <w:bottom w:val="nil"/>
              <w:right w:val="nil"/>
            </w:tcBorders>
            <w:shd w:val="clear" w:color="auto" w:fill="auto"/>
          </w:tcPr>
          <w:p w14:paraId="702BE42C" w14:textId="77777777" w:rsidR="00204A7D" w:rsidRPr="007A17AE" w:rsidRDefault="00204A7D" w:rsidP="007A17AE">
            <w:pPr>
              <w:tabs>
                <w:tab w:val="clear" w:pos="567"/>
              </w:tabs>
              <w:autoSpaceDE w:val="0"/>
              <w:autoSpaceDN w:val="0"/>
              <w:adjustRightInd w:val="0"/>
              <w:spacing w:line="240" w:lineRule="auto"/>
              <w:contextualSpacing/>
              <w:rPr>
                <w:rFonts w:eastAsia="TimesNewRoman"/>
                <w:szCs w:val="22"/>
                <w:lang w:eastAsia="lt-LT"/>
              </w:rPr>
            </w:pPr>
          </w:p>
        </w:tc>
        <w:tc>
          <w:tcPr>
            <w:tcW w:w="242" w:type="dxa"/>
            <w:tcBorders>
              <w:top w:val="single" w:sz="4" w:space="0" w:color="auto"/>
              <w:left w:val="nil"/>
              <w:bottom w:val="nil"/>
              <w:right w:val="nil"/>
            </w:tcBorders>
            <w:shd w:val="clear" w:color="auto" w:fill="auto"/>
          </w:tcPr>
          <w:p w14:paraId="5EDD56E8" w14:textId="77777777" w:rsidR="00204A7D" w:rsidRPr="007A17AE" w:rsidRDefault="00204A7D" w:rsidP="007A17AE">
            <w:pPr>
              <w:tabs>
                <w:tab w:val="clear" w:pos="567"/>
              </w:tabs>
              <w:autoSpaceDE w:val="0"/>
              <w:autoSpaceDN w:val="0"/>
              <w:adjustRightInd w:val="0"/>
              <w:spacing w:line="240" w:lineRule="auto"/>
              <w:contextualSpacing/>
              <w:rPr>
                <w:rFonts w:eastAsia="TimesNewRoman"/>
                <w:szCs w:val="22"/>
                <w:lang w:eastAsia="lt-LT"/>
              </w:rPr>
            </w:pPr>
          </w:p>
        </w:tc>
        <w:tc>
          <w:tcPr>
            <w:tcW w:w="1459" w:type="dxa"/>
            <w:tcBorders>
              <w:top w:val="single" w:sz="4" w:space="0" w:color="auto"/>
              <w:left w:val="nil"/>
              <w:bottom w:val="nil"/>
              <w:right w:val="nil"/>
            </w:tcBorders>
            <w:shd w:val="clear" w:color="auto" w:fill="auto"/>
          </w:tcPr>
          <w:p w14:paraId="6C5BE3E9" w14:textId="77777777" w:rsidR="00204A7D" w:rsidRPr="007A17AE" w:rsidRDefault="00204A7D"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60,9</w:t>
            </w:r>
          </w:p>
        </w:tc>
        <w:tc>
          <w:tcPr>
            <w:tcW w:w="1276" w:type="dxa"/>
            <w:tcBorders>
              <w:top w:val="single" w:sz="4" w:space="0" w:color="auto"/>
              <w:left w:val="nil"/>
              <w:bottom w:val="nil"/>
              <w:right w:val="nil"/>
            </w:tcBorders>
            <w:shd w:val="clear" w:color="auto" w:fill="auto"/>
          </w:tcPr>
          <w:p w14:paraId="1C43557C" w14:textId="77777777" w:rsidR="00204A7D" w:rsidRPr="007A17AE" w:rsidRDefault="00204A7D"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55,7</w:t>
            </w:r>
          </w:p>
        </w:tc>
        <w:tc>
          <w:tcPr>
            <w:tcW w:w="601" w:type="dxa"/>
            <w:tcBorders>
              <w:top w:val="single" w:sz="4" w:space="0" w:color="auto"/>
              <w:left w:val="nil"/>
              <w:bottom w:val="nil"/>
              <w:right w:val="nil"/>
            </w:tcBorders>
            <w:shd w:val="clear" w:color="auto" w:fill="auto"/>
          </w:tcPr>
          <w:p w14:paraId="5E3348FE" w14:textId="77777777" w:rsidR="00204A7D" w:rsidRPr="007A17AE" w:rsidRDefault="00204A7D"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5,3</w:t>
            </w:r>
          </w:p>
        </w:tc>
        <w:tc>
          <w:tcPr>
            <w:tcW w:w="1383" w:type="dxa"/>
            <w:tcBorders>
              <w:top w:val="single" w:sz="4" w:space="0" w:color="auto"/>
              <w:left w:val="nil"/>
              <w:bottom w:val="nil"/>
              <w:right w:val="nil"/>
            </w:tcBorders>
            <w:shd w:val="clear" w:color="auto" w:fill="auto"/>
          </w:tcPr>
          <w:p w14:paraId="70841508" w14:textId="77777777" w:rsidR="00204A7D" w:rsidRPr="007A17AE" w:rsidRDefault="00204A7D"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(-1,3; 11,9)</w:t>
            </w:r>
          </w:p>
        </w:tc>
      </w:tr>
      <w:tr w:rsidR="00204A7D" w:rsidRPr="007A17AE" w14:paraId="287F0003" w14:textId="77777777" w:rsidTr="004153C5">
        <w:tc>
          <w:tcPr>
            <w:tcW w:w="3794" w:type="dxa"/>
            <w:tcBorders>
              <w:top w:val="nil"/>
              <w:left w:val="nil"/>
              <w:bottom w:val="nil"/>
              <w:right w:val="nil"/>
            </w:tcBorders>
            <w:shd w:val="clear" w:color="auto" w:fill="auto"/>
          </w:tcPr>
          <w:p w14:paraId="10435075" w14:textId="77777777" w:rsidR="00204A7D" w:rsidRPr="007A17AE" w:rsidRDefault="00204A7D" w:rsidP="00C1636F">
            <w:pPr>
              <w:tabs>
                <w:tab w:val="clear" w:pos="567"/>
              </w:tabs>
              <w:autoSpaceDE w:val="0"/>
              <w:autoSpaceDN w:val="0"/>
              <w:adjustRightInd w:val="0"/>
              <w:spacing w:line="240" w:lineRule="auto"/>
              <w:ind w:left="567"/>
              <w:contextualSpacing/>
              <w:rPr>
                <w:rFonts w:eastAsia="TimesNewRoman"/>
                <w:szCs w:val="22"/>
                <w:lang w:eastAsia="lt-LT"/>
              </w:rPr>
            </w:pPr>
            <w:r w:rsidRPr="007A17AE">
              <w:rPr>
                <w:rFonts w:eastAsia="TimesNewRoman"/>
                <w:szCs w:val="22"/>
                <w:lang w:eastAsia="lt-LT"/>
              </w:rPr>
              <w:t>0–24</w:t>
            </w:r>
            <w:r w:rsidR="00C1636F">
              <w:rPr>
                <w:rFonts w:eastAsia="TimesNewRoman"/>
                <w:szCs w:val="22"/>
                <w:lang w:eastAsia="lt-LT"/>
              </w:rPr>
              <w:t> </w:t>
            </w:r>
            <w:r w:rsidRPr="007A17AE">
              <w:rPr>
                <w:rFonts w:eastAsia="TimesNewRoman"/>
                <w:szCs w:val="22"/>
                <w:lang w:eastAsia="lt-LT"/>
              </w:rPr>
              <w:t>valandų</w:t>
            </w:r>
          </w:p>
        </w:tc>
        <w:tc>
          <w:tcPr>
            <w:tcW w:w="283" w:type="dxa"/>
            <w:tcBorders>
              <w:top w:val="nil"/>
              <w:left w:val="nil"/>
              <w:bottom w:val="nil"/>
              <w:right w:val="nil"/>
            </w:tcBorders>
            <w:shd w:val="clear" w:color="auto" w:fill="auto"/>
          </w:tcPr>
          <w:p w14:paraId="017255F3" w14:textId="77777777" w:rsidR="00204A7D" w:rsidRPr="007A17AE" w:rsidRDefault="00204A7D" w:rsidP="007A17AE">
            <w:pPr>
              <w:tabs>
                <w:tab w:val="clear" w:pos="567"/>
              </w:tabs>
              <w:autoSpaceDE w:val="0"/>
              <w:autoSpaceDN w:val="0"/>
              <w:adjustRightInd w:val="0"/>
              <w:spacing w:line="240" w:lineRule="auto"/>
              <w:contextualSpacing/>
              <w:rPr>
                <w:rFonts w:eastAsia="TimesNewRoman"/>
                <w:szCs w:val="22"/>
                <w:lang w:eastAsia="lt-LT"/>
              </w:rPr>
            </w:pPr>
          </w:p>
        </w:tc>
        <w:tc>
          <w:tcPr>
            <w:tcW w:w="284" w:type="dxa"/>
            <w:tcBorders>
              <w:top w:val="nil"/>
              <w:left w:val="nil"/>
              <w:bottom w:val="nil"/>
              <w:right w:val="nil"/>
            </w:tcBorders>
            <w:shd w:val="clear" w:color="auto" w:fill="auto"/>
          </w:tcPr>
          <w:p w14:paraId="1A57FCA8" w14:textId="77777777" w:rsidR="00204A7D" w:rsidRPr="007A17AE" w:rsidRDefault="00204A7D" w:rsidP="007A17AE">
            <w:pPr>
              <w:tabs>
                <w:tab w:val="clear" w:pos="567"/>
              </w:tabs>
              <w:autoSpaceDE w:val="0"/>
              <w:autoSpaceDN w:val="0"/>
              <w:adjustRightInd w:val="0"/>
              <w:spacing w:line="240" w:lineRule="auto"/>
              <w:contextualSpacing/>
              <w:rPr>
                <w:rFonts w:eastAsia="TimesNewRoman"/>
                <w:szCs w:val="22"/>
                <w:lang w:eastAsia="lt-LT"/>
              </w:rPr>
            </w:pPr>
          </w:p>
        </w:tc>
        <w:tc>
          <w:tcPr>
            <w:tcW w:w="242" w:type="dxa"/>
            <w:tcBorders>
              <w:top w:val="nil"/>
              <w:left w:val="nil"/>
              <w:bottom w:val="nil"/>
              <w:right w:val="nil"/>
            </w:tcBorders>
            <w:shd w:val="clear" w:color="auto" w:fill="auto"/>
          </w:tcPr>
          <w:p w14:paraId="3C848768" w14:textId="77777777" w:rsidR="00204A7D" w:rsidRPr="007A17AE" w:rsidRDefault="00204A7D" w:rsidP="007A17AE">
            <w:pPr>
              <w:tabs>
                <w:tab w:val="clear" w:pos="567"/>
              </w:tabs>
              <w:autoSpaceDE w:val="0"/>
              <w:autoSpaceDN w:val="0"/>
              <w:adjustRightInd w:val="0"/>
              <w:spacing w:line="240" w:lineRule="auto"/>
              <w:contextualSpacing/>
              <w:rPr>
                <w:rFonts w:eastAsia="TimesNewRoman"/>
                <w:szCs w:val="22"/>
                <w:lang w:eastAsia="lt-LT"/>
              </w:rPr>
            </w:pPr>
          </w:p>
        </w:tc>
        <w:tc>
          <w:tcPr>
            <w:tcW w:w="1459" w:type="dxa"/>
            <w:tcBorders>
              <w:top w:val="nil"/>
              <w:left w:val="nil"/>
              <w:bottom w:val="nil"/>
              <w:right w:val="nil"/>
            </w:tcBorders>
            <w:shd w:val="clear" w:color="auto" w:fill="auto"/>
          </w:tcPr>
          <w:p w14:paraId="434B85F9" w14:textId="77777777" w:rsidR="00204A7D" w:rsidRPr="007A17AE" w:rsidRDefault="00204A7D"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79,5</w:t>
            </w:r>
          </w:p>
        </w:tc>
        <w:tc>
          <w:tcPr>
            <w:tcW w:w="1276" w:type="dxa"/>
            <w:tcBorders>
              <w:top w:val="nil"/>
              <w:left w:val="nil"/>
              <w:bottom w:val="nil"/>
              <w:right w:val="nil"/>
            </w:tcBorders>
            <w:shd w:val="clear" w:color="auto" w:fill="auto"/>
          </w:tcPr>
          <w:p w14:paraId="435F73E1" w14:textId="77777777" w:rsidR="00204A7D" w:rsidRPr="007A17AE" w:rsidRDefault="00204A7D"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78,3</w:t>
            </w:r>
          </w:p>
        </w:tc>
        <w:tc>
          <w:tcPr>
            <w:tcW w:w="601" w:type="dxa"/>
            <w:tcBorders>
              <w:top w:val="nil"/>
              <w:left w:val="nil"/>
              <w:bottom w:val="nil"/>
              <w:right w:val="nil"/>
            </w:tcBorders>
            <w:shd w:val="clear" w:color="auto" w:fill="auto"/>
          </w:tcPr>
          <w:p w14:paraId="3FED5116" w14:textId="77777777" w:rsidR="00204A7D" w:rsidRPr="007A17AE" w:rsidRDefault="00204A7D"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1,3</w:t>
            </w:r>
          </w:p>
        </w:tc>
        <w:tc>
          <w:tcPr>
            <w:tcW w:w="1383" w:type="dxa"/>
            <w:tcBorders>
              <w:top w:val="nil"/>
              <w:left w:val="nil"/>
              <w:bottom w:val="nil"/>
              <w:right w:val="nil"/>
            </w:tcBorders>
            <w:shd w:val="clear" w:color="auto" w:fill="auto"/>
          </w:tcPr>
          <w:p w14:paraId="0E4C8460" w14:textId="77777777" w:rsidR="00204A7D" w:rsidRPr="007A17AE" w:rsidRDefault="00204A7D"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(-4,2; 6,8)</w:t>
            </w:r>
          </w:p>
        </w:tc>
      </w:tr>
      <w:tr w:rsidR="00204A7D" w:rsidRPr="007A17AE" w14:paraId="616F76FE" w14:textId="77777777" w:rsidTr="004153C5">
        <w:tc>
          <w:tcPr>
            <w:tcW w:w="3794" w:type="dxa"/>
            <w:tcBorders>
              <w:top w:val="nil"/>
              <w:left w:val="nil"/>
              <w:bottom w:val="single" w:sz="4" w:space="0" w:color="auto"/>
              <w:right w:val="nil"/>
            </w:tcBorders>
            <w:shd w:val="clear" w:color="auto" w:fill="auto"/>
          </w:tcPr>
          <w:p w14:paraId="2B304237" w14:textId="77777777" w:rsidR="00204A7D" w:rsidRPr="007A17AE" w:rsidRDefault="00204A7D" w:rsidP="00C1636F">
            <w:pPr>
              <w:tabs>
                <w:tab w:val="clear" w:pos="567"/>
              </w:tabs>
              <w:autoSpaceDE w:val="0"/>
              <w:autoSpaceDN w:val="0"/>
              <w:adjustRightInd w:val="0"/>
              <w:spacing w:line="240" w:lineRule="auto"/>
              <w:ind w:left="567"/>
              <w:contextualSpacing/>
              <w:rPr>
                <w:rFonts w:eastAsia="TimesNewRoman"/>
                <w:szCs w:val="22"/>
                <w:lang w:eastAsia="lt-LT"/>
              </w:rPr>
            </w:pPr>
            <w:r w:rsidRPr="007A17AE">
              <w:rPr>
                <w:rFonts w:eastAsia="TimesNewRoman"/>
                <w:szCs w:val="22"/>
                <w:lang w:eastAsia="lt-LT"/>
              </w:rPr>
              <w:t>25–120</w:t>
            </w:r>
            <w:r w:rsidR="00C1636F">
              <w:rPr>
                <w:rFonts w:eastAsia="TimesNewRoman"/>
                <w:szCs w:val="22"/>
                <w:lang w:eastAsia="lt-LT"/>
              </w:rPr>
              <w:t> </w:t>
            </w:r>
            <w:r w:rsidRPr="007A17AE">
              <w:rPr>
                <w:rFonts w:eastAsia="TimesNewRoman"/>
                <w:szCs w:val="22"/>
                <w:lang w:eastAsia="lt-LT"/>
              </w:rPr>
              <w:t>valandų</w:t>
            </w:r>
          </w:p>
        </w:tc>
        <w:tc>
          <w:tcPr>
            <w:tcW w:w="283" w:type="dxa"/>
            <w:tcBorders>
              <w:top w:val="nil"/>
              <w:left w:val="nil"/>
              <w:bottom w:val="single" w:sz="4" w:space="0" w:color="auto"/>
              <w:right w:val="nil"/>
            </w:tcBorders>
            <w:shd w:val="clear" w:color="auto" w:fill="auto"/>
          </w:tcPr>
          <w:p w14:paraId="75690AA0" w14:textId="77777777" w:rsidR="00204A7D" w:rsidRPr="007A17AE" w:rsidRDefault="00204A7D" w:rsidP="007A17AE">
            <w:pPr>
              <w:tabs>
                <w:tab w:val="clear" w:pos="567"/>
              </w:tabs>
              <w:autoSpaceDE w:val="0"/>
              <w:autoSpaceDN w:val="0"/>
              <w:adjustRightInd w:val="0"/>
              <w:spacing w:line="240" w:lineRule="auto"/>
              <w:contextualSpacing/>
              <w:rPr>
                <w:rFonts w:eastAsia="TimesNewRoman"/>
                <w:szCs w:val="22"/>
                <w:lang w:eastAsia="lt-LT"/>
              </w:rPr>
            </w:pPr>
          </w:p>
        </w:tc>
        <w:tc>
          <w:tcPr>
            <w:tcW w:w="284" w:type="dxa"/>
            <w:tcBorders>
              <w:top w:val="nil"/>
              <w:left w:val="nil"/>
              <w:bottom w:val="single" w:sz="4" w:space="0" w:color="auto"/>
              <w:right w:val="nil"/>
            </w:tcBorders>
            <w:shd w:val="clear" w:color="auto" w:fill="auto"/>
          </w:tcPr>
          <w:p w14:paraId="59C98360" w14:textId="77777777" w:rsidR="00204A7D" w:rsidRPr="007A17AE" w:rsidRDefault="00204A7D" w:rsidP="007A17AE">
            <w:pPr>
              <w:tabs>
                <w:tab w:val="clear" w:pos="567"/>
              </w:tabs>
              <w:autoSpaceDE w:val="0"/>
              <w:autoSpaceDN w:val="0"/>
              <w:adjustRightInd w:val="0"/>
              <w:spacing w:line="240" w:lineRule="auto"/>
              <w:contextualSpacing/>
              <w:rPr>
                <w:rFonts w:eastAsia="TimesNewRoman"/>
                <w:szCs w:val="22"/>
                <w:lang w:eastAsia="lt-LT"/>
              </w:rPr>
            </w:pPr>
          </w:p>
        </w:tc>
        <w:tc>
          <w:tcPr>
            <w:tcW w:w="242" w:type="dxa"/>
            <w:tcBorders>
              <w:top w:val="nil"/>
              <w:left w:val="nil"/>
              <w:bottom w:val="single" w:sz="4" w:space="0" w:color="auto"/>
              <w:right w:val="nil"/>
            </w:tcBorders>
            <w:shd w:val="clear" w:color="auto" w:fill="auto"/>
          </w:tcPr>
          <w:p w14:paraId="22C1DF68" w14:textId="77777777" w:rsidR="00204A7D" w:rsidRPr="007A17AE" w:rsidRDefault="00204A7D" w:rsidP="007A17AE">
            <w:pPr>
              <w:tabs>
                <w:tab w:val="clear" w:pos="567"/>
              </w:tabs>
              <w:autoSpaceDE w:val="0"/>
              <w:autoSpaceDN w:val="0"/>
              <w:adjustRightInd w:val="0"/>
              <w:spacing w:line="240" w:lineRule="auto"/>
              <w:contextualSpacing/>
              <w:rPr>
                <w:rFonts w:eastAsia="TimesNewRoman"/>
                <w:szCs w:val="22"/>
                <w:lang w:eastAsia="lt-LT"/>
              </w:rPr>
            </w:pPr>
          </w:p>
        </w:tc>
        <w:tc>
          <w:tcPr>
            <w:tcW w:w="1459" w:type="dxa"/>
            <w:tcBorders>
              <w:top w:val="nil"/>
              <w:left w:val="nil"/>
              <w:bottom w:val="single" w:sz="4" w:space="0" w:color="auto"/>
              <w:right w:val="nil"/>
            </w:tcBorders>
            <w:shd w:val="clear" w:color="auto" w:fill="auto"/>
          </w:tcPr>
          <w:p w14:paraId="02A450FB" w14:textId="77777777" w:rsidR="00204A7D" w:rsidRPr="007A17AE" w:rsidRDefault="00204A7D"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65,3</w:t>
            </w:r>
          </w:p>
        </w:tc>
        <w:tc>
          <w:tcPr>
            <w:tcW w:w="1276" w:type="dxa"/>
            <w:tcBorders>
              <w:top w:val="nil"/>
              <w:left w:val="nil"/>
              <w:bottom w:val="single" w:sz="4" w:space="0" w:color="auto"/>
              <w:right w:val="nil"/>
            </w:tcBorders>
            <w:shd w:val="clear" w:color="auto" w:fill="auto"/>
          </w:tcPr>
          <w:p w14:paraId="74C3697F" w14:textId="77777777" w:rsidR="00204A7D" w:rsidRPr="007A17AE" w:rsidRDefault="00204A7D"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61,5</w:t>
            </w:r>
          </w:p>
        </w:tc>
        <w:tc>
          <w:tcPr>
            <w:tcW w:w="601" w:type="dxa"/>
            <w:tcBorders>
              <w:top w:val="nil"/>
              <w:left w:val="nil"/>
              <w:bottom w:val="single" w:sz="4" w:space="0" w:color="auto"/>
              <w:right w:val="nil"/>
            </w:tcBorders>
            <w:shd w:val="clear" w:color="auto" w:fill="auto"/>
          </w:tcPr>
          <w:p w14:paraId="07B335D0" w14:textId="77777777" w:rsidR="00204A7D" w:rsidRPr="007A17AE" w:rsidRDefault="00204A7D"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3,9</w:t>
            </w:r>
          </w:p>
        </w:tc>
        <w:tc>
          <w:tcPr>
            <w:tcW w:w="1383" w:type="dxa"/>
            <w:tcBorders>
              <w:top w:val="nil"/>
              <w:left w:val="nil"/>
              <w:bottom w:val="single" w:sz="4" w:space="0" w:color="auto"/>
              <w:right w:val="nil"/>
            </w:tcBorders>
            <w:shd w:val="clear" w:color="auto" w:fill="auto"/>
          </w:tcPr>
          <w:p w14:paraId="01241CBF" w14:textId="77777777" w:rsidR="00204A7D" w:rsidRPr="007A17AE" w:rsidRDefault="00204A7D"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(-2,6; 10,3)</w:t>
            </w:r>
          </w:p>
        </w:tc>
      </w:tr>
    </w:tbl>
    <w:p w14:paraId="0C34E38A" w14:textId="77777777" w:rsidR="00204A7D" w:rsidRPr="007A17AE" w:rsidRDefault="00204A7D" w:rsidP="007A17AE">
      <w:pPr>
        <w:tabs>
          <w:tab w:val="clear" w:pos="567"/>
        </w:tabs>
        <w:autoSpaceDE w:val="0"/>
        <w:autoSpaceDN w:val="0"/>
        <w:adjustRightInd w:val="0"/>
        <w:spacing w:line="240" w:lineRule="auto"/>
        <w:ind w:left="142" w:hanging="142"/>
        <w:contextualSpacing/>
        <w:rPr>
          <w:rFonts w:eastAsia="TimesNewRoman"/>
          <w:szCs w:val="22"/>
          <w:lang w:eastAsia="lt-LT"/>
        </w:rPr>
      </w:pPr>
      <w:r w:rsidRPr="007A17AE">
        <w:rPr>
          <w:rFonts w:eastAsia="TimesNewRoman"/>
          <w:szCs w:val="22"/>
          <w:lang w:eastAsia="lt-LT"/>
        </w:rPr>
        <w:t xml:space="preserve">*Patikimumo intervalas apskaičiuotas neatsižvelgiant </w:t>
      </w:r>
      <w:r w:rsidRPr="007A17AE">
        <w:rPr>
          <w:rFonts w:ascii="TimesNewRoman" w:eastAsia="TimesNewRoman" w:cs="TimesNewRoman"/>
          <w:sz w:val="20"/>
          <w:lang w:eastAsia="lt-LT"/>
        </w:rPr>
        <w:t>į</w:t>
      </w:r>
      <w:r w:rsidRPr="007A17AE">
        <w:rPr>
          <w:rFonts w:ascii="TimesNewRoman" w:eastAsia="TimesNewRoman" w:cs="TimesNewRoman"/>
          <w:sz w:val="20"/>
          <w:lang w:eastAsia="lt-LT"/>
        </w:rPr>
        <w:t xml:space="preserve"> </w:t>
      </w:r>
      <w:r w:rsidRPr="007A17AE">
        <w:rPr>
          <w:rFonts w:eastAsia="TimesNewRoman"/>
          <w:szCs w:val="22"/>
          <w:lang w:eastAsia="lt-LT"/>
        </w:rPr>
        <w:t>amžiaus kategoriją (&lt;</w:t>
      </w:r>
      <w:r w:rsidR="00C1636F">
        <w:rPr>
          <w:rFonts w:eastAsia="TimesNewRoman"/>
          <w:szCs w:val="22"/>
          <w:lang w:eastAsia="lt-LT"/>
        </w:rPr>
        <w:t> </w:t>
      </w:r>
      <w:r w:rsidRPr="007A17AE">
        <w:rPr>
          <w:rFonts w:eastAsia="TimesNewRoman"/>
          <w:szCs w:val="22"/>
          <w:lang w:eastAsia="lt-LT"/>
        </w:rPr>
        <w:t>55</w:t>
      </w:r>
      <w:r w:rsidR="00C1636F">
        <w:rPr>
          <w:rFonts w:eastAsia="TimesNewRoman"/>
          <w:szCs w:val="22"/>
          <w:lang w:eastAsia="lt-LT"/>
        </w:rPr>
        <w:t> </w:t>
      </w:r>
      <w:r w:rsidRPr="007A17AE">
        <w:rPr>
          <w:rFonts w:eastAsia="TimesNewRoman"/>
          <w:szCs w:val="22"/>
          <w:lang w:eastAsia="lt-LT"/>
        </w:rPr>
        <w:t>metai, ≥</w:t>
      </w:r>
      <w:r w:rsidR="00C1636F">
        <w:rPr>
          <w:rFonts w:eastAsia="TimesNewRoman"/>
          <w:szCs w:val="22"/>
          <w:lang w:eastAsia="lt-LT"/>
        </w:rPr>
        <w:t> </w:t>
      </w:r>
      <w:r w:rsidRPr="007A17AE">
        <w:rPr>
          <w:rFonts w:eastAsia="TimesNewRoman"/>
          <w:szCs w:val="22"/>
          <w:lang w:eastAsia="lt-LT"/>
        </w:rPr>
        <w:t>55</w:t>
      </w:r>
      <w:r w:rsidR="00C1636F">
        <w:rPr>
          <w:rFonts w:eastAsia="TimesNewRoman"/>
          <w:szCs w:val="22"/>
          <w:lang w:eastAsia="lt-LT"/>
        </w:rPr>
        <w:t> </w:t>
      </w:r>
      <w:r w:rsidRPr="007A17AE">
        <w:rPr>
          <w:rFonts w:eastAsia="TimesNewRoman"/>
          <w:szCs w:val="22"/>
          <w:lang w:eastAsia="lt-LT"/>
        </w:rPr>
        <w:t>metai) ir tyrėjų grupę, kurie buvo įtraukti į pagrindinę šansų santykio ir logistinio modelio analizę.</w:t>
      </w:r>
    </w:p>
    <w:p w14:paraId="6409EE56" w14:textId="77777777" w:rsidR="00204A7D" w:rsidRPr="007A17AE" w:rsidRDefault="00204A7D" w:rsidP="007A17AE">
      <w:pPr>
        <w:tabs>
          <w:tab w:val="clear" w:pos="567"/>
        </w:tabs>
        <w:autoSpaceDE w:val="0"/>
        <w:autoSpaceDN w:val="0"/>
        <w:adjustRightInd w:val="0"/>
        <w:spacing w:line="240" w:lineRule="auto"/>
        <w:ind w:left="142" w:hanging="142"/>
        <w:contextualSpacing/>
        <w:rPr>
          <w:rFonts w:eastAsia="TimesNewRoman"/>
          <w:szCs w:val="22"/>
          <w:lang w:eastAsia="lt-LT"/>
        </w:rPr>
      </w:pPr>
      <w:r w:rsidRPr="007A17AE">
        <w:rPr>
          <w:rFonts w:eastAsia="TimesNewRoman"/>
          <w:szCs w:val="22"/>
          <w:lang w:eastAsia="lt-LT"/>
        </w:rPr>
        <w:t>†Vieno aprepitanto grupės paciento duomenys buvo gauti tik ūminės fazės metu, todėl buvo pašalinti iš bendros ir vėlyvos fazės analizių.</w:t>
      </w:r>
    </w:p>
    <w:p w14:paraId="6C0944D6" w14:textId="77777777" w:rsidR="00204A7D" w:rsidRPr="007A17AE" w:rsidRDefault="00204A7D" w:rsidP="007A17AE">
      <w:pPr>
        <w:tabs>
          <w:tab w:val="clear" w:pos="567"/>
        </w:tabs>
        <w:autoSpaceDE w:val="0"/>
        <w:autoSpaceDN w:val="0"/>
        <w:adjustRightInd w:val="0"/>
        <w:spacing w:line="240" w:lineRule="auto"/>
        <w:contextualSpacing/>
        <w:rPr>
          <w:rFonts w:eastAsia="TimesNewRoman"/>
          <w:szCs w:val="22"/>
          <w:lang w:eastAsia="lt-LT"/>
        </w:rPr>
      </w:pPr>
    </w:p>
    <w:p w14:paraId="3AA2BFA7" w14:textId="77777777" w:rsidR="00204A7D" w:rsidRPr="007A17AE" w:rsidRDefault="00204A7D"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Iš to pa</w:t>
      </w:r>
      <w:r w:rsidR="00D33EB4" w:rsidRPr="007A17AE">
        <w:rPr>
          <w:rFonts w:eastAsia="TimesNewRoman"/>
          <w:szCs w:val="22"/>
          <w:lang w:eastAsia="lt-LT"/>
        </w:rPr>
        <w:t>ties</w:t>
      </w:r>
      <w:r w:rsidRPr="007A17AE">
        <w:rPr>
          <w:rFonts w:eastAsia="TimesNewRoman"/>
          <w:szCs w:val="22"/>
          <w:lang w:eastAsia="lt-LT"/>
        </w:rPr>
        <w:t xml:space="preserve"> </w:t>
      </w:r>
      <w:r w:rsidR="006B5287" w:rsidRPr="007A17AE">
        <w:rPr>
          <w:rFonts w:eastAsia="TimesNewRoman"/>
          <w:szCs w:val="22"/>
          <w:lang w:eastAsia="lt-LT"/>
        </w:rPr>
        <w:t>klinikinio tyrimo</w:t>
      </w:r>
      <w:r w:rsidRPr="007A17AE">
        <w:rPr>
          <w:rFonts w:eastAsia="TimesNewRoman"/>
          <w:szCs w:val="22"/>
          <w:lang w:eastAsia="lt-LT"/>
        </w:rPr>
        <w:t xml:space="preserve"> </w:t>
      </w:r>
      <w:r w:rsidR="006B5287" w:rsidRPr="007A17AE">
        <w:rPr>
          <w:rFonts w:eastAsia="TimesNewRoman"/>
          <w:szCs w:val="22"/>
          <w:lang w:eastAsia="lt-LT"/>
        </w:rPr>
        <w:t>74</w:t>
      </w:r>
      <w:r w:rsidRPr="007A17AE">
        <w:rPr>
          <w:rFonts w:eastAsia="TimesNewRoman"/>
          <w:szCs w:val="22"/>
          <w:lang w:eastAsia="lt-LT"/>
        </w:rPr>
        <w:t xml:space="preserve">1 suaugęs pacientas įtrauktas į kartotinių ciklų (iki </w:t>
      </w:r>
      <w:r w:rsidR="006B5287" w:rsidRPr="007A17AE">
        <w:rPr>
          <w:rFonts w:eastAsia="TimesNewRoman"/>
          <w:szCs w:val="22"/>
          <w:lang w:eastAsia="lt-LT"/>
        </w:rPr>
        <w:t>3</w:t>
      </w:r>
      <w:r w:rsidRPr="007A17AE">
        <w:rPr>
          <w:rFonts w:eastAsia="TimesNewRoman"/>
          <w:szCs w:val="22"/>
          <w:lang w:eastAsia="lt-LT"/>
        </w:rPr>
        <w:t xml:space="preserve"> papildomų chemoterapijos ciklų) pratęsimą. Aprepitantas buvo veiksmingas per visus gydymo ciklus.</w:t>
      </w:r>
    </w:p>
    <w:p w14:paraId="109F3187" w14:textId="77777777" w:rsidR="00C21B83" w:rsidRPr="007A17AE" w:rsidRDefault="00C21B83" w:rsidP="007A17AE">
      <w:pPr>
        <w:tabs>
          <w:tab w:val="clear" w:pos="567"/>
        </w:tabs>
        <w:autoSpaceDE w:val="0"/>
        <w:autoSpaceDN w:val="0"/>
        <w:adjustRightInd w:val="0"/>
        <w:spacing w:line="240" w:lineRule="auto"/>
        <w:contextualSpacing/>
        <w:rPr>
          <w:rFonts w:eastAsia="TimesNewRoman"/>
          <w:szCs w:val="22"/>
          <w:lang w:eastAsia="lt-LT"/>
        </w:rPr>
      </w:pPr>
    </w:p>
    <w:p w14:paraId="463BC2F0" w14:textId="0F8EC34B" w:rsidR="00C21B83" w:rsidRPr="007A17AE" w:rsidRDefault="007C5FF7"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Antro</w:t>
      </w:r>
      <w:r w:rsidR="006B5287" w:rsidRPr="007A17AE">
        <w:rPr>
          <w:rFonts w:eastAsia="TimesNewRoman"/>
          <w:szCs w:val="22"/>
          <w:lang w:eastAsia="lt-LT"/>
        </w:rPr>
        <w:t xml:space="preserve"> daugiacentri</w:t>
      </w:r>
      <w:r w:rsidRPr="007A17AE">
        <w:rPr>
          <w:rFonts w:eastAsia="TimesNewRoman"/>
          <w:szCs w:val="22"/>
          <w:lang w:eastAsia="lt-LT"/>
        </w:rPr>
        <w:t>o</w:t>
      </w:r>
      <w:r w:rsidR="006B5287" w:rsidRPr="007A17AE">
        <w:rPr>
          <w:rFonts w:eastAsia="TimesNewRoman"/>
          <w:szCs w:val="22"/>
          <w:lang w:eastAsia="lt-LT"/>
        </w:rPr>
        <w:t>, atsitiktinių imčių, dvigubai akl</w:t>
      </w:r>
      <w:r w:rsidRPr="007A17AE">
        <w:rPr>
          <w:rFonts w:eastAsia="TimesNewRoman"/>
          <w:szCs w:val="22"/>
          <w:lang w:eastAsia="lt-LT"/>
        </w:rPr>
        <w:t>o</w:t>
      </w:r>
      <w:r w:rsidR="006B5287" w:rsidRPr="007A17AE">
        <w:rPr>
          <w:rFonts w:eastAsia="TimesNewRoman"/>
          <w:szCs w:val="22"/>
          <w:lang w:eastAsia="lt-LT"/>
        </w:rPr>
        <w:t xml:space="preserve">, paralelinių grupių </w:t>
      </w:r>
      <w:r w:rsidRPr="007A17AE">
        <w:rPr>
          <w:rFonts w:eastAsia="TimesNewRoman"/>
          <w:szCs w:val="22"/>
          <w:lang w:eastAsia="lt-LT"/>
        </w:rPr>
        <w:t>klinikinio tyrimo</w:t>
      </w:r>
      <w:r w:rsidR="006B5287" w:rsidRPr="007A17AE">
        <w:rPr>
          <w:rFonts w:eastAsia="TimesNewRoman"/>
          <w:szCs w:val="22"/>
          <w:lang w:eastAsia="lt-LT"/>
        </w:rPr>
        <w:t xml:space="preserve">, kuriame dalyvavo 848 suaugę pacientai (652 moterys ir 196 vyrai), gydyti chemoterapija pagal schemą, pagal kurią į veną buvo </w:t>
      </w:r>
      <w:r w:rsidRPr="007A17AE">
        <w:rPr>
          <w:rFonts w:eastAsia="TimesNewRoman"/>
          <w:szCs w:val="22"/>
          <w:lang w:eastAsia="lt-LT"/>
        </w:rPr>
        <w:t>leidžiama</w:t>
      </w:r>
      <w:r w:rsidR="006B5287" w:rsidRPr="007A17AE">
        <w:rPr>
          <w:rFonts w:eastAsia="TimesNewRoman"/>
          <w:szCs w:val="22"/>
          <w:lang w:eastAsia="lt-LT"/>
        </w:rPr>
        <w:t xml:space="preserve"> bet kokia oksaliplatinos, karboplatinos, epirubicino, idarubicino, ifosfamido, irinotekano, daunorubicino, doksorubicino dozė; ciklofosfamido &lt;</w:t>
      </w:r>
      <w:r w:rsidR="00C1636F">
        <w:rPr>
          <w:rFonts w:eastAsia="TimesNewRoman"/>
          <w:szCs w:val="22"/>
          <w:lang w:eastAsia="lt-LT"/>
        </w:rPr>
        <w:t> </w:t>
      </w:r>
      <w:r w:rsidR="006B5287" w:rsidRPr="007A17AE">
        <w:rPr>
          <w:rFonts w:eastAsia="TimesNewRoman"/>
          <w:szCs w:val="22"/>
          <w:lang w:eastAsia="lt-LT"/>
        </w:rPr>
        <w:t>1500</w:t>
      </w:r>
      <w:r w:rsidR="00C1636F">
        <w:rPr>
          <w:rFonts w:eastAsia="TimesNewRoman"/>
          <w:szCs w:val="22"/>
          <w:lang w:eastAsia="lt-LT"/>
        </w:rPr>
        <w:t> </w:t>
      </w:r>
      <w:r w:rsidR="006B5287" w:rsidRPr="007A17AE">
        <w:rPr>
          <w:rFonts w:eastAsia="TimesNewRoman"/>
          <w:szCs w:val="22"/>
          <w:lang w:eastAsia="lt-LT"/>
        </w:rPr>
        <w:t>mg/m</w:t>
      </w:r>
      <w:r w:rsidR="006B5287" w:rsidRPr="007A17AE">
        <w:rPr>
          <w:rFonts w:eastAsia="TimesNewRoman"/>
          <w:szCs w:val="22"/>
          <w:vertAlign w:val="superscript"/>
          <w:lang w:eastAsia="lt-LT"/>
        </w:rPr>
        <w:t>2</w:t>
      </w:r>
      <w:r w:rsidRPr="007A17AE">
        <w:rPr>
          <w:rFonts w:eastAsia="TimesNewRoman"/>
          <w:szCs w:val="22"/>
          <w:lang w:eastAsia="lt-LT"/>
        </w:rPr>
        <w:t xml:space="preserve"> dozė</w:t>
      </w:r>
      <w:r w:rsidR="006B5287" w:rsidRPr="007A17AE">
        <w:rPr>
          <w:rFonts w:eastAsia="TimesNewRoman"/>
          <w:szCs w:val="22"/>
          <w:lang w:eastAsia="lt-LT"/>
        </w:rPr>
        <w:t xml:space="preserve"> arba citarabino (&gt;</w:t>
      </w:r>
      <w:r w:rsidR="00C1636F">
        <w:rPr>
          <w:rFonts w:eastAsia="TimesNewRoman"/>
          <w:szCs w:val="22"/>
          <w:lang w:eastAsia="lt-LT"/>
        </w:rPr>
        <w:t> </w:t>
      </w:r>
      <w:r w:rsidR="006B5287" w:rsidRPr="007A17AE">
        <w:rPr>
          <w:rFonts w:eastAsia="TimesNewRoman"/>
          <w:szCs w:val="22"/>
          <w:lang w:eastAsia="lt-LT"/>
        </w:rPr>
        <w:t>1</w:t>
      </w:r>
      <w:r w:rsidR="00C1636F">
        <w:rPr>
          <w:rFonts w:eastAsia="TimesNewRoman"/>
          <w:szCs w:val="22"/>
          <w:lang w:eastAsia="lt-LT"/>
        </w:rPr>
        <w:t> </w:t>
      </w:r>
      <w:r w:rsidR="006B5287" w:rsidRPr="007A17AE">
        <w:rPr>
          <w:rFonts w:eastAsia="TimesNewRoman"/>
          <w:szCs w:val="22"/>
          <w:lang w:eastAsia="lt-LT"/>
        </w:rPr>
        <w:t>g/m</w:t>
      </w:r>
      <w:r w:rsidR="006B5287" w:rsidRPr="007A17AE">
        <w:rPr>
          <w:rFonts w:eastAsia="TimesNewRoman"/>
          <w:szCs w:val="22"/>
          <w:vertAlign w:val="superscript"/>
          <w:lang w:eastAsia="lt-LT"/>
        </w:rPr>
        <w:t>2</w:t>
      </w:r>
      <w:r w:rsidR="006B5287" w:rsidRPr="007A17AE">
        <w:rPr>
          <w:rFonts w:eastAsia="TimesNewRoman"/>
          <w:szCs w:val="22"/>
          <w:lang w:eastAsia="lt-LT"/>
        </w:rPr>
        <w:t>) dozė</w:t>
      </w:r>
      <w:r w:rsidRPr="007A17AE">
        <w:rPr>
          <w:rFonts w:eastAsia="TimesNewRoman"/>
          <w:szCs w:val="22"/>
          <w:lang w:eastAsia="lt-LT"/>
        </w:rPr>
        <w:t xml:space="preserve">, metu gydymo schema su aprepitantu buvo palyginta su standartiniu gydymu. </w:t>
      </w:r>
      <w:r w:rsidR="006B5287" w:rsidRPr="007A17AE">
        <w:rPr>
          <w:rFonts w:eastAsia="TimesNewRoman"/>
          <w:szCs w:val="22"/>
          <w:lang w:eastAsia="lt-LT"/>
        </w:rPr>
        <w:t xml:space="preserve">Pacientams, kurie buvo gydyti pagal schemą su aprepitantu, chemoterapija buvo taikyta </w:t>
      </w:r>
      <w:r w:rsidRPr="007A17AE">
        <w:rPr>
          <w:rFonts w:eastAsia="TimesNewRoman"/>
          <w:szCs w:val="22"/>
          <w:lang w:eastAsia="lt-LT"/>
        </w:rPr>
        <w:t>dėl įvairių</w:t>
      </w:r>
      <w:r w:rsidR="006B5287" w:rsidRPr="007A17AE">
        <w:rPr>
          <w:rFonts w:eastAsia="TimesNewRoman"/>
          <w:szCs w:val="22"/>
          <w:lang w:eastAsia="lt-LT"/>
        </w:rPr>
        <w:t xml:space="preserve"> navik</w:t>
      </w:r>
      <w:r w:rsidRPr="007A17AE">
        <w:rPr>
          <w:rFonts w:eastAsia="TimesNewRoman"/>
          <w:szCs w:val="22"/>
          <w:lang w:eastAsia="lt-LT"/>
        </w:rPr>
        <w:t>ų</w:t>
      </w:r>
      <w:r w:rsidR="006B5287" w:rsidRPr="007A17AE">
        <w:rPr>
          <w:rFonts w:eastAsia="TimesNewRoman"/>
          <w:szCs w:val="22"/>
          <w:lang w:eastAsia="lt-LT"/>
        </w:rPr>
        <w:t>, įskaitant 52</w:t>
      </w:r>
      <w:r w:rsidR="00C1636F">
        <w:rPr>
          <w:rFonts w:eastAsia="TimesNewRoman"/>
          <w:szCs w:val="22"/>
          <w:lang w:eastAsia="lt-LT"/>
        </w:rPr>
        <w:t> </w:t>
      </w:r>
      <w:r w:rsidR="006B5287" w:rsidRPr="007A17AE">
        <w:rPr>
          <w:rFonts w:eastAsia="TimesNewRoman"/>
          <w:szCs w:val="22"/>
          <w:lang w:eastAsia="lt-LT"/>
        </w:rPr>
        <w:t>% krūties vėži</w:t>
      </w:r>
      <w:r w:rsidRPr="007A17AE">
        <w:rPr>
          <w:rFonts w:eastAsia="TimesNewRoman"/>
          <w:szCs w:val="22"/>
          <w:lang w:eastAsia="lt-LT"/>
        </w:rPr>
        <w:t>o</w:t>
      </w:r>
      <w:r w:rsidR="006B5287" w:rsidRPr="007A17AE">
        <w:rPr>
          <w:rFonts w:eastAsia="TimesNewRoman"/>
          <w:szCs w:val="22"/>
          <w:lang w:eastAsia="lt-LT"/>
        </w:rPr>
        <w:t>, 21</w:t>
      </w:r>
      <w:r w:rsidR="00C1636F">
        <w:rPr>
          <w:rFonts w:eastAsia="TimesNewRoman"/>
          <w:szCs w:val="22"/>
          <w:lang w:eastAsia="lt-LT"/>
        </w:rPr>
        <w:t> </w:t>
      </w:r>
      <w:r w:rsidR="006B5287" w:rsidRPr="007A17AE">
        <w:rPr>
          <w:rFonts w:eastAsia="TimesNewRoman"/>
          <w:szCs w:val="22"/>
          <w:lang w:eastAsia="lt-LT"/>
        </w:rPr>
        <w:t>% virškinimo trakto vėži</w:t>
      </w:r>
      <w:r w:rsidRPr="007A17AE">
        <w:rPr>
          <w:rFonts w:eastAsia="TimesNewRoman"/>
          <w:szCs w:val="22"/>
          <w:lang w:eastAsia="lt-LT"/>
        </w:rPr>
        <w:t>o</w:t>
      </w:r>
      <w:r w:rsidR="006B5287" w:rsidRPr="007A17AE">
        <w:rPr>
          <w:rFonts w:eastAsia="TimesNewRoman"/>
          <w:szCs w:val="22"/>
          <w:lang w:eastAsia="lt-LT"/>
        </w:rPr>
        <w:t>, įskaitant storosios ir tiesiosios žarnos vėžį, 13</w:t>
      </w:r>
      <w:r w:rsidR="00C1636F">
        <w:rPr>
          <w:rFonts w:eastAsia="TimesNewRoman"/>
          <w:szCs w:val="22"/>
          <w:lang w:eastAsia="lt-LT"/>
        </w:rPr>
        <w:t> </w:t>
      </w:r>
      <w:r w:rsidR="006B5287" w:rsidRPr="007A17AE">
        <w:rPr>
          <w:rFonts w:eastAsia="TimesNewRoman"/>
          <w:szCs w:val="22"/>
          <w:lang w:eastAsia="lt-LT"/>
        </w:rPr>
        <w:t>% plaučių vėž</w:t>
      </w:r>
      <w:r w:rsidRPr="007A17AE">
        <w:rPr>
          <w:rFonts w:eastAsia="TimesNewRoman"/>
          <w:szCs w:val="22"/>
          <w:lang w:eastAsia="lt-LT"/>
        </w:rPr>
        <w:t>io</w:t>
      </w:r>
      <w:r w:rsidR="006B5287" w:rsidRPr="007A17AE">
        <w:rPr>
          <w:rFonts w:eastAsia="TimesNewRoman"/>
          <w:szCs w:val="22"/>
          <w:lang w:eastAsia="lt-LT"/>
        </w:rPr>
        <w:t xml:space="preserve"> ir 6</w:t>
      </w:r>
      <w:r w:rsidR="00C1636F">
        <w:rPr>
          <w:rFonts w:eastAsia="TimesNewRoman"/>
          <w:szCs w:val="22"/>
          <w:lang w:eastAsia="lt-LT"/>
        </w:rPr>
        <w:t> </w:t>
      </w:r>
      <w:r w:rsidR="006B5287" w:rsidRPr="007A17AE">
        <w:rPr>
          <w:rFonts w:eastAsia="TimesNewRoman"/>
          <w:szCs w:val="22"/>
          <w:lang w:eastAsia="lt-LT"/>
        </w:rPr>
        <w:t>% ginekologin</w:t>
      </w:r>
      <w:r w:rsidR="007A17AE">
        <w:rPr>
          <w:rFonts w:eastAsia="TimesNewRoman"/>
          <w:szCs w:val="22"/>
          <w:lang w:eastAsia="lt-LT"/>
        </w:rPr>
        <w:t>i</w:t>
      </w:r>
      <w:r w:rsidRPr="007A17AE">
        <w:rPr>
          <w:rFonts w:eastAsia="TimesNewRoman"/>
          <w:szCs w:val="22"/>
          <w:lang w:eastAsia="lt-LT"/>
        </w:rPr>
        <w:t>o</w:t>
      </w:r>
      <w:r w:rsidR="006B5287" w:rsidRPr="007A17AE">
        <w:rPr>
          <w:rFonts w:eastAsia="TimesNewRoman"/>
          <w:szCs w:val="22"/>
          <w:lang w:eastAsia="lt-LT"/>
        </w:rPr>
        <w:t xml:space="preserve"> vėži</w:t>
      </w:r>
      <w:r w:rsidRPr="007A17AE">
        <w:rPr>
          <w:rFonts w:eastAsia="TimesNewRoman"/>
          <w:szCs w:val="22"/>
          <w:lang w:eastAsia="lt-LT"/>
        </w:rPr>
        <w:t>o atvejus</w:t>
      </w:r>
      <w:r w:rsidR="006B5287" w:rsidRPr="007A17AE">
        <w:rPr>
          <w:rFonts w:eastAsia="TimesNewRoman"/>
          <w:szCs w:val="22"/>
          <w:lang w:eastAsia="lt-LT"/>
        </w:rPr>
        <w:t>. Gydymo schema su</w:t>
      </w:r>
      <w:r w:rsidR="00332B14" w:rsidRPr="007A17AE">
        <w:rPr>
          <w:rFonts w:eastAsia="TimesNewRoman"/>
          <w:szCs w:val="22"/>
          <w:lang w:eastAsia="lt-LT"/>
        </w:rPr>
        <w:t xml:space="preserve"> </w:t>
      </w:r>
      <w:r w:rsidR="006B5287" w:rsidRPr="007A17AE">
        <w:rPr>
          <w:rFonts w:eastAsia="TimesNewRoman"/>
          <w:szCs w:val="22"/>
          <w:lang w:eastAsia="lt-LT"/>
        </w:rPr>
        <w:t>aprepitanto</w:t>
      </w:r>
      <w:r w:rsidR="00332B14" w:rsidRPr="007A17AE">
        <w:rPr>
          <w:rFonts w:eastAsia="TimesNewRoman"/>
          <w:szCs w:val="22"/>
          <w:lang w:eastAsia="lt-LT"/>
        </w:rPr>
        <w:t>,</w:t>
      </w:r>
      <w:r w:rsidR="006B5287" w:rsidRPr="007A17AE">
        <w:rPr>
          <w:rFonts w:eastAsia="TimesNewRoman"/>
          <w:szCs w:val="22"/>
          <w:lang w:eastAsia="lt-LT"/>
        </w:rPr>
        <w:t xml:space="preserve"> ondansetron</w:t>
      </w:r>
      <w:r w:rsidR="00332B14" w:rsidRPr="007A17AE">
        <w:rPr>
          <w:rFonts w:eastAsia="TimesNewRoman"/>
          <w:szCs w:val="22"/>
          <w:lang w:eastAsia="lt-LT"/>
        </w:rPr>
        <w:t>o</w:t>
      </w:r>
      <w:r w:rsidR="006B5287" w:rsidRPr="007A17AE">
        <w:rPr>
          <w:rFonts w:eastAsia="TimesNewRoman"/>
          <w:szCs w:val="22"/>
          <w:lang w:eastAsia="lt-LT"/>
        </w:rPr>
        <w:t xml:space="preserve"> ir deksametazon</w:t>
      </w:r>
      <w:r w:rsidR="00332B14" w:rsidRPr="007A17AE">
        <w:rPr>
          <w:rFonts w:eastAsia="TimesNewRoman"/>
          <w:szCs w:val="22"/>
          <w:lang w:eastAsia="lt-LT"/>
        </w:rPr>
        <w:t>o</w:t>
      </w:r>
      <w:r w:rsidR="006B5287" w:rsidRPr="007A17AE">
        <w:rPr>
          <w:rFonts w:eastAsia="TimesNewRoman"/>
          <w:szCs w:val="22"/>
          <w:lang w:eastAsia="lt-LT"/>
        </w:rPr>
        <w:t xml:space="preserve"> </w:t>
      </w:r>
      <w:r w:rsidR="00332B14" w:rsidRPr="007A17AE">
        <w:rPr>
          <w:rFonts w:eastAsia="TimesNewRoman"/>
          <w:szCs w:val="22"/>
          <w:lang w:eastAsia="lt-LT"/>
        </w:rPr>
        <w:t xml:space="preserve">deriniu </w:t>
      </w:r>
      <w:r w:rsidR="006B5287" w:rsidRPr="007A17AE">
        <w:rPr>
          <w:rFonts w:eastAsia="TimesNewRoman"/>
          <w:szCs w:val="22"/>
          <w:lang w:eastAsia="lt-LT"/>
        </w:rPr>
        <w:t>(žr. 4.2 skyrių) buvo palyginta su standartin</w:t>
      </w:r>
      <w:r w:rsidRPr="007A17AE">
        <w:rPr>
          <w:rFonts w:eastAsia="TimesNewRoman"/>
          <w:szCs w:val="22"/>
          <w:lang w:eastAsia="lt-LT"/>
        </w:rPr>
        <w:t>iu gydymu</w:t>
      </w:r>
      <w:r w:rsidR="006B5287" w:rsidRPr="007A17AE">
        <w:rPr>
          <w:rFonts w:eastAsia="TimesNewRoman"/>
          <w:szCs w:val="22"/>
          <w:lang w:eastAsia="lt-LT"/>
        </w:rPr>
        <w:t xml:space="preserve"> (placebo derinys su geriamąja 8</w:t>
      </w:r>
      <w:r w:rsidR="00C1636F">
        <w:rPr>
          <w:rFonts w:eastAsia="TimesNewRoman"/>
          <w:szCs w:val="22"/>
          <w:lang w:eastAsia="lt-LT"/>
        </w:rPr>
        <w:t> </w:t>
      </w:r>
      <w:r w:rsidR="006B5287" w:rsidRPr="007A17AE">
        <w:rPr>
          <w:rFonts w:eastAsia="TimesNewRoman"/>
          <w:szCs w:val="22"/>
          <w:lang w:eastAsia="lt-LT"/>
        </w:rPr>
        <w:t xml:space="preserve">mg ondansetrono doze </w:t>
      </w:r>
      <w:r w:rsidR="00332B14" w:rsidRPr="007A17AE">
        <w:rPr>
          <w:rFonts w:eastAsia="TimesNewRoman"/>
          <w:szCs w:val="22"/>
          <w:lang w:eastAsia="lt-LT"/>
        </w:rPr>
        <w:t>[</w:t>
      </w:r>
      <w:r w:rsidR="006B5287" w:rsidRPr="007A17AE">
        <w:rPr>
          <w:rFonts w:eastAsia="TimesNewRoman"/>
          <w:szCs w:val="22"/>
          <w:lang w:eastAsia="lt-LT"/>
        </w:rPr>
        <w:t>1-ąją dieną du kartus, 2-ąją ir 3-ąją</w:t>
      </w:r>
      <w:r w:rsidR="00AA5FE0">
        <w:rPr>
          <w:rFonts w:eastAsia="TimesNewRoman"/>
          <w:szCs w:val="22"/>
          <w:lang w:eastAsia="lt-LT"/>
        </w:rPr>
        <w:t xml:space="preserve"> </w:t>
      </w:r>
      <w:r w:rsidR="006B5287" w:rsidRPr="007A17AE">
        <w:rPr>
          <w:rFonts w:eastAsia="TimesNewRoman"/>
          <w:szCs w:val="22"/>
          <w:lang w:eastAsia="lt-LT"/>
        </w:rPr>
        <w:t>dienomis kas 12</w:t>
      </w:r>
      <w:r w:rsidR="00C1636F">
        <w:rPr>
          <w:rFonts w:eastAsia="TimesNewRoman"/>
          <w:szCs w:val="22"/>
          <w:lang w:eastAsia="lt-LT"/>
        </w:rPr>
        <w:t> </w:t>
      </w:r>
      <w:r w:rsidR="006B5287" w:rsidRPr="007A17AE">
        <w:rPr>
          <w:rFonts w:eastAsia="TimesNewRoman"/>
          <w:szCs w:val="22"/>
          <w:lang w:eastAsia="lt-LT"/>
        </w:rPr>
        <w:t>valandų</w:t>
      </w:r>
      <w:r w:rsidR="00332B14" w:rsidRPr="007A17AE">
        <w:rPr>
          <w:rFonts w:eastAsia="TimesNewRoman"/>
          <w:szCs w:val="22"/>
          <w:lang w:eastAsia="lt-LT"/>
        </w:rPr>
        <w:t>]</w:t>
      </w:r>
      <w:r w:rsidR="006B5287" w:rsidRPr="007A17AE">
        <w:rPr>
          <w:rFonts w:eastAsia="TimesNewRoman"/>
          <w:szCs w:val="22"/>
          <w:lang w:eastAsia="lt-LT"/>
        </w:rPr>
        <w:t xml:space="preserve"> ir geriamąja 20</w:t>
      </w:r>
      <w:r w:rsidR="00C1636F">
        <w:rPr>
          <w:rFonts w:eastAsia="TimesNewRoman"/>
          <w:szCs w:val="22"/>
          <w:lang w:eastAsia="lt-LT"/>
        </w:rPr>
        <w:t> </w:t>
      </w:r>
      <w:r w:rsidR="006B5287" w:rsidRPr="007A17AE">
        <w:rPr>
          <w:rFonts w:eastAsia="TimesNewRoman"/>
          <w:szCs w:val="22"/>
          <w:lang w:eastAsia="lt-LT"/>
        </w:rPr>
        <w:t>mg deksametazono doze 1-ąją dieną).</w:t>
      </w:r>
    </w:p>
    <w:p w14:paraId="7DB2422E" w14:textId="77777777" w:rsidR="006B5287" w:rsidRPr="007A17AE" w:rsidRDefault="006B5287" w:rsidP="007A17AE">
      <w:pPr>
        <w:tabs>
          <w:tab w:val="clear" w:pos="567"/>
        </w:tabs>
        <w:autoSpaceDE w:val="0"/>
        <w:autoSpaceDN w:val="0"/>
        <w:adjustRightInd w:val="0"/>
        <w:spacing w:line="240" w:lineRule="auto"/>
        <w:contextualSpacing/>
        <w:rPr>
          <w:rFonts w:eastAsia="TimesNewRoman"/>
          <w:szCs w:val="22"/>
          <w:lang w:eastAsia="lt-LT"/>
        </w:rPr>
      </w:pPr>
    </w:p>
    <w:p w14:paraId="3AA1EC7A" w14:textId="77777777" w:rsidR="007C5FF7" w:rsidRPr="007A17AE" w:rsidRDefault="007C5FF7"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Veiksmingumas buvo pagrįstas šių pagrindinių ir svarbiausių antrinių vertinamųjų baigčių įvertinimu:</w:t>
      </w:r>
      <w:r w:rsidR="00C1636F">
        <w:rPr>
          <w:rFonts w:eastAsia="TimesNewRoman"/>
          <w:szCs w:val="22"/>
          <w:lang w:eastAsia="lt-LT"/>
        </w:rPr>
        <w:t xml:space="preserve"> </w:t>
      </w:r>
      <w:r w:rsidRPr="007A17AE">
        <w:rPr>
          <w:rFonts w:eastAsia="TimesNewRoman"/>
          <w:szCs w:val="22"/>
          <w:lang w:eastAsia="lt-LT"/>
        </w:rPr>
        <w:t xml:space="preserve">vėmimo nebuvimu visą laikotarpį (nuo 0 iki 120-osios valandos po chemoterapijos), gydymo schemos su aprepitantu saugumo ir toleravimo gydant chemoterapijos sukeltą pykinimą ir vėmimą (ChSPV) vertinimu ir visiško atsako (apibrėžiamas kaip vėmimo nebuvimas ir gelbėjamojo gydymo netaikymas) per visą laikotarpį (nuo 0 iki 120-osios valandos po chemoterapijos) pasireiškimu. Be to, </w:t>
      </w:r>
      <w:r w:rsidRPr="007A17AE">
        <w:rPr>
          <w:rFonts w:eastAsia="TimesNewRoman"/>
          <w:szCs w:val="22"/>
          <w:lang w:eastAsia="lt-LT"/>
        </w:rPr>
        <w:lastRenderedPageBreak/>
        <w:t>kaip tyrimo vertinamoji baigtis ir taikant post-hoc analizę ūminėje ir vėlyvojoje fazėje, buvo įvertintas reikšmingo pykinimo nebuvimas visą laikotarpį (nuo 0 iki 120-osios valandos po chemoterapijos).</w:t>
      </w:r>
    </w:p>
    <w:p w14:paraId="70F9D145" w14:textId="77777777" w:rsidR="007C5FF7" w:rsidRPr="007A17AE" w:rsidRDefault="007C5FF7" w:rsidP="007A17AE">
      <w:pPr>
        <w:tabs>
          <w:tab w:val="clear" w:pos="567"/>
        </w:tabs>
        <w:autoSpaceDE w:val="0"/>
        <w:autoSpaceDN w:val="0"/>
        <w:adjustRightInd w:val="0"/>
        <w:spacing w:line="240" w:lineRule="auto"/>
        <w:contextualSpacing/>
        <w:rPr>
          <w:rFonts w:eastAsia="TimesNewRoman"/>
          <w:szCs w:val="22"/>
          <w:lang w:eastAsia="lt-LT"/>
        </w:rPr>
      </w:pPr>
    </w:p>
    <w:p w14:paraId="3ADE32D0" w14:textId="77777777" w:rsidR="006B5287" w:rsidRPr="007A17AE" w:rsidRDefault="007C5FF7"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Svarbiausių tyrimo rezultatų santrauka pateikta 3 lentelėje.</w:t>
      </w:r>
    </w:p>
    <w:p w14:paraId="79501B05" w14:textId="77777777" w:rsidR="006B5287" w:rsidRPr="007A17AE" w:rsidRDefault="006B5287" w:rsidP="007A17AE">
      <w:pPr>
        <w:tabs>
          <w:tab w:val="clear" w:pos="567"/>
        </w:tabs>
        <w:autoSpaceDE w:val="0"/>
        <w:autoSpaceDN w:val="0"/>
        <w:adjustRightInd w:val="0"/>
        <w:spacing w:line="240" w:lineRule="auto"/>
        <w:contextualSpacing/>
        <w:rPr>
          <w:rFonts w:eastAsia="TimesNewRoman"/>
          <w:szCs w:val="22"/>
          <w:lang w:eastAsia="lt-LT"/>
        </w:rPr>
      </w:pPr>
    </w:p>
    <w:p w14:paraId="11297745" w14:textId="77777777" w:rsidR="008B4F1F" w:rsidRPr="007A17AE" w:rsidRDefault="008B4F1F"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3 lentelė</w:t>
      </w:r>
    </w:p>
    <w:p w14:paraId="7ED14DA2" w14:textId="77777777" w:rsidR="008B4F1F" w:rsidRPr="007A17AE" w:rsidRDefault="008B4F1F"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Vidutiniškai emetogenišką chemoterapiją gavusių suaugusių pacientų, kuriems nustatytas atsakas, dalis procentais antrajame klinikiniame tyrime pagal gydymo grupę ir fazę – 1-asis ciklas</w:t>
      </w:r>
    </w:p>
    <w:p w14:paraId="3E9C2933" w14:textId="77777777" w:rsidR="008B4F1F" w:rsidRPr="007A17AE" w:rsidRDefault="008B4F1F" w:rsidP="007A17AE">
      <w:pPr>
        <w:tabs>
          <w:tab w:val="clear" w:pos="567"/>
        </w:tabs>
        <w:autoSpaceDE w:val="0"/>
        <w:autoSpaceDN w:val="0"/>
        <w:adjustRightInd w:val="0"/>
        <w:spacing w:line="240" w:lineRule="auto"/>
        <w:contextualSpacing/>
        <w:jc w:val="center"/>
        <w:rPr>
          <w:rFonts w:eastAsia="TimesNewRoman"/>
          <w:szCs w:val="22"/>
          <w:lang w:eastAsia="lt-L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2"/>
        <w:gridCol w:w="1151"/>
        <w:gridCol w:w="1150"/>
        <w:gridCol w:w="341"/>
        <w:gridCol w:w="283"/>
        <w:gridCol w:w="284"/>
        <w:gridCol w:w="242"/>
        <w:gridCol w:w="1459"/>
        <w:gridCol w:w="1276"/>
        <w:gridCol w:w="601"/>
        <w:gridCol w:w="1383"/>
      </w:tblGrid>
      <w:tr w:rsidR="008B4F1F" w:rsidRPr="007A17AE" w14:paraId="2E4DFDBA" w14:textId="77777777" w:rsidTr="004153C5">
        <w:tc>
          <w:tcPr>
            <w:tcW w:w="3794" w:type="dxa"/>
            <w:gridSpan w:val="4"/>
            <w:tcBorders>
              <w:top w:val="nil"/>
              <w:left w:val="nil"/>
              <w:bottom w:val="single" w:sz="4" w:space="0" w:color="auto"/>
              <w:right w:val="nil"/>
            </w:tcBorders>
            <w:shd w:val="clear" w:color="auto" w:fill="auto"/>
          </w:tcPr>
          <w:p w14:paraId="07E5725B"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283" w:type="dxa"/>
            <w:tcBorders>
              <w:top w:val="nil"/>
              <w:left w:val="nil"/>
              <w:bottom w:val="single" w:sz="4" w:space="0" w:color="auto"/>
              <w:right w:val="nil"/>
            </w:tcBorders>
            <w:shd w:val="clear" w:color="auto" w:fill="auto"/>
          </w:tcPr>
          <w:p w14:paraId="0860C4F5"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284" w:type="dxa"/>
            <w:tcBorders>
              <w:top w:val="nil"/>
              <w:left w:val="nil"/>
              <w:bottom w:val="single" w:sz="4" w:space="0" w:color="auto"/>
              <w:right w:val="nil"/>
            </w:tcBorders>
            <w:shd w:val="clear" w:color="auto" w:fill="auto"/>
          </w:tcPr>
          <w:p w14:paraId="0370B1D1"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242" w:type="dxa"/>
            <w:tcBorders>
              <w:top w:val="nil"/>
              <w:left w:val="nil"/>
              <w:bottom w:val="single" w:sz="4" w:space="0" w:color="auto"/>
              <w:right w:val="nil"/>
            </w:tcBorders>
            <w:shd w:val="clear" w:color="auto" w:fill="auto"/>
          </w:tcPr>
          <w:p w14:paraId="156244FE"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1459" w:type="dxa"/>
            <w:tcBorders>
              <w:top w:val="nil"/>
              <w:left w:val="nil"/>
              <w:bottom w:val="single" w:sz="4" w:space="0" w:color="auto"/>
              <w:right w:val="nil"/>
            </w:tcBorders>
            <w:shd w:val="clear" w:color="auto" w:fill="auto"/>
          </w:tcPr>
          <w:p w14:paraId="75FD823C" w14:textId="77777777" w:rsidR="008B4F1F" w:rsidRPr="007A17AE" w:rsidRDefault="008B4F1F"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Aprepitanto</w:t>
            </w:r>
          </w:p>
          <w:p w14:paraId="197A4052" w14:textId="77777777" w:rsidR="008B4F1F" w:rsidRPr="007A17AE" w:rsidRDefault="008B4F1F"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schema</w:t>
            </w:r>
          </w:p>
          <w:p w14:paraId="02023B78" w14:textId="77777777" w:rsidR="008B4F1F" w:rsidRPr="007A17AE" w:rsidRDefault="008B4F1F"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(N=425)</w:t>
            </w:r>
          </w:p>
          <w:p w14:paraId="2AB02E7B" w14:textId="77777777" w:rsidR="008B4F1F" w:rsidRPr="007A17AE" w:rsidRDefault="008B4F1F"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w:t>
            </w:r>
          </w:p>
        </w:tc>
        <w:tc>
          <w:tcPr>
            <w:tcW w:w="1276" w:type="dxa"/>
            <w:tcBorders>
              <w:top w:val="nil"/>
              <w:left w:val="nil"/>
              <w:bottom w:val="single" w:sz="4" w:space="0" w:color="auto"/>
              <w:right w:val="nil"/>
            </w:tcBorders>
            <w:shd w:val="clear" w:color="auto" w:fill="auto"/>
          </w:tcPr>
          <w:p w14:paraId="43F3EDE4" w14:textId="77777777" w:rsidR="008B4F1F" w:rsidRPr="007A17AE" w:rsidRDefault="008B4F1F"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Standartinis</w:t>
            </w:r>
          </w:p>
          <w:p w14:paraId="7FFA2010" w14:textId="77777777" w:rsidR="008B4F1F" w:rsidRPr="007A17AE" w:rsidRDefault="008B4F1F"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gydymas</w:t>
            </w:r>
          </w:p>
          <w:p w14:paraId="39ACF6A8" w14:textId="77777777" w:rsidR="008B4F1F" w:rsidRPr="007A17AE" w:rsidRDefault="008B4F1F"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(N=406)</w:t>
            </w:r>
          </w:p>
          <w:p w14:paraId="3B7F53CA" w14:textId="77777777" w:rsidR="008B4F1F" w:rsidRPr="007A17AE" w:rsidRDefault="008B4F1F"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w:t>
            </w:r>
          </w:p>
        </w:tc>
        <w:tc>
          <w:tcPr>
            <w:tcW w:w="601" w:type="dxa"/>
            <w:tcBorders>
              <w:top w:val="nil"/>
              <w:left w:val="nil"/>
              <w:bottom w:val="single" w:sz="4" w:space="0" w:color="auto"/>
              <w:right w:val="nil"/>
            </w:tcBorders>
            <w:shd w:val="clear" w:color="auto" w:fill="auto"/>
          </w:tcPr>
          <w:p w14:paraId="1EBE2E2C"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1383" w:type="dxa"/>
            <w:tcBorders>
              <w:top w:val="nil"/>
              <w:left w:val="nil"/>
              <w:bottom w:val="single" w:sz="4" w:space="0" w:color="auto"/>
              <w:right w:val="nil"/>
            </w:tcBorders>
            <w:shd w:val="clear" w:color="auto" w:fill="auto"/>
          </w:tcPr>
          <w:p w14:paraId="00FE13E6"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Skirtumas*</w:t>
            </w:r>
          </w:p>
        </w:tc>
      </w:tr>
      <w:tr w:rsidR="008B4F1F" w:rsidRPr="007A17AE" w14:paraId="67074D0B" w14:textId="77777777" w:rsidTr="004153C5">
        <w:tc>
          <w:tcPr>
            <w:tcW w:w="1152" w:type="dxa"/>
            <w:tcBorders>
              <w:top w:val="single" w:sz="4" w:space="0" w:color="auto"/>
              <w:left w:val="nil"/>
              <w:bottom w:val="single" w:sz="4" w:space="0" w:color="auto"/>
              <w:right w:val="nil"/>
            </w:tcBorders>
            <w:shd w:val="clear" w:color="auto" w:fill="auto"/>
          </w:tcPr>
          <w:p w14:paraId="010B91A1"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1151" w:type="dxa"/>
            <w:tcBorders>
              <w:top w:val="single" w:sz="4" w:space="0" w:color="auto"/>
              <w:left w:val="nil"/>
              <w:bottom w:val="single" w:sz="4" w:space="0" w:color="auto"/>
              <w:right w:val="nil"/>
            </w:tcBorders>
            <w:shd w:val="clear" w:color="auto" w:fill="auto"/>
          </w:tcPr>
          <w:p w14:paraId="33DE904A"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1150" w:type="dxa"/>
            <w:tcBorders>
              <w:top w:val="single" w:sz="4" w:space="0" w:color="auto"/>
              <w:left w:val="nil"/>
              <w:bottom w:val="single" w:sz="4" w:space="0" w:color="auto"/>
              <w:right w:val="nil"/>
            </w:tcBorders>
            <w:shd w:val="clear" w:color="auto" w:fill="auto"/>
          </w:tcPr>
          <w:p w14:paraId="7C522AF4"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1150" w:type="dxa"/>
            <w:gridSpan w:val="4"/>
            <w:tcBorders>
              <w:top w:val="single" w:sz="4" w:space="0" w:color="auto"/>
              <w:left w:val="nil"/>
              <w:bottom w:val="single" w:sz="4" w:space="0" w:color="auto"/>
              <w:right w:val="nil"/>
            </w:tcBorders>
            <w:shd w:val="clear" w:color="auto" w:fill="auto"/>
          </w:tcPr>
          <w:p w14:paraId="7746CBF2"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1459" w:type="dxa"/>
            <w:tcBorders>
              <w:top w:val="single" w:sz="4" w:space="0" w:color="auto"/>
              <w:left w:val="nil"/>
              <w:bottom w:val="single" w:sz="4" w:space="0" w:color="auto"/>
              <w:right w:val="nil"/>
            </w:tcBorders>
            <w:shd w:val="clear" w:color="auto" w:fill="auto"/>
          </w:tcPr>
          <w:p w14:paraId="720B061C"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1276" w:type="dxa"/>
            <w:tcBorders>
              <w:top w:val="single" w:sz="4" w:space="0" w:color="auto"/>
              <w:left w:val="nil"/>
              <w:bottom w:val="single" w:sz="4" w:space="0" w:color="auto"/>
              <w:right w:val="nil"/>
            </w:tcBorders>
            <w:shd w:val="clear" w:color="auto" w:fill="auto"/>
          </w:tcPr>
          <w:p w14:paraId="2BF66279"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601" w:type="dxa"/>
            <w:tcBorders>
              <w:top w:val="single" w:sz="4" w:space="0" w:color="auto"/>
              <w:left w:val="nil"/>
              <w:bottom w:val="single" w:sz="4" w:space="0" w:color="auto"/>
              <w:right w:val="nil"/>
            </w:tcBorders>
            <w:shd w:val="clear" w:color="auto" w:fill="auto"/>
          </w:tcPr>
          <w:p w14:paraId="262C9101"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w:t>
            </w:r>
          </w:p>
        </w:tc>
        <w:tc>
          <w:tcPr>
            <w:tcW w:w="1383" w:type="dxa"/>
            <w:tcBorders>
              <w:top w:val="single" w:sz="4" w:space="0" w:color="auto"/>
              <w:left w:val="nil"/>
              <w:bottom w:val="single" w:sz="4" w:space="0" w:color="auto"/>
              <w:right w:val="nil"/>
            </w:tcBorders>
            <w:shd w:val="clear" w:color="auto" w:fill="auto"/>
          </w:tcPr>
          <w:p w14:paraId="16C38D10" w14:textId="001A7826" w:rsidR="008B4F1F" w:rsidRPr="007A17AE" w:rsidRDefault="008B4F1F"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(95</w:t>
            </w:r>
            <w:r w:rsidR="00AA5FE0">
              <w:rPr>
                <w:rFonts w:eastAsia="TimesNewRoman"/>
                <w:szCs w:val="22"/>
                <w:lang w:eastAsia="lt-LT"/>
              </w:rPr>
              <w:t xml:space="preserve"> </w:t>
            </w:r>
            <w:r w:rsidRPr="007A17AE">
              <w:rPr>
                <w:rFonts w:eastAsia="TimesNewRoman"/>
                <w:szCs w:val="22"/>
                <w:lang w:eastAsia="lt-LT"/>
              </w:rPr>
              <w:t>%PI)</w:t>
            </w:r>
          </w:p>
        </w:tc>
      </w:tr>
      <w:tr w:rsidR="008B4F1F" w:rsidRPr="007A17AE" w14:paraId="5249D6A1" w14:textId="77777777" w:rsidTr="004153C5">
        <w:tc>
          <w:tcPr>
            <w:tcW w:w="9322" w:type="dxa"/>
            <w:gridSpan w:val="11"/>
            <w:tcBorders>
              <w:top w:val="single" w:sz="4" w:space="0" w:color="auto"/>
              <w:left w:val="nil"/>
              <w:bottom w:val="single" w:sz="4" w:space="0" w:color="auto"/>
              <w:right w:val="nil"/>
            </w:tcBorders>
            <w:shd w:val="clear" w:color="auto" w:fill="auto"/>
          </w:tcPr>
          <w:p w14:paraId="1E237B9C"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Bold"/>
                <w:b/>
                <w:bCs/>
                <w:szCs w:val="22"/>
                <w:lang w:eastAsia="lt-LT"/>
              </w:rPr>
              <w:t>Visiškas atsakas (be vėmimo ir be gelbėjamojo gydymo)</w:t>
            </w:r>
          </w:p>
        </w:tc>
      </w:tr>
      <w:tr w:rsidR="008B4F1F" w:rsidRPr="007A17AE" w14:paraId="20006DC6" w14:textId="77777777" w:rsidTr="004153C5">
        <w:tc>
          <w:tcPr>
            <w:tcW w:w="3794" w:type="dxa"/>
            <w:gridSpan w:val="4"/>
            <w:tcBorders>
              <w:top w:val="single" w:sz="4" w:space="0" w:color="auto"/>
              <w:left w:val="nil"/>
              <w:bottom w:val="nil"/>
              <w:right w:val="nil"/>
            </w:tcBorders>
            <w:shd w:val="clear" w:color="auto" w:fill="auto"/>
          </w:tcPr>
          <w:p w14:paraId="75BBB8D9" w14:textId="77777777" w:rsidR="008B4F1F" w:rsidRPr="007A17AE" w:rsidRDefault="008B4F1F" w:rsidP="00C1636F">
            <w:pPr>
              <w:tabs>
                <w:tab w:val="clear" w:pos="567"/>
              </w:tabs>
              <w:autoSpaceDE w:val="0"/>
              <w:autoSpaceDN w:val="0"/>
              <w:adjustRightInd w:val="0"/>
              <w:spacing w:line="240" w:lineRule="auto"/>
              <w:ind w:left="567"/>
              <w:contextualSpacing/>
              <w:rPr>
                <w:rFonts w:eastAsia="TimesNewRoman"/>
                <w:szCs w:val="22"/>
                <w:lang w:eastAsia="lt-LT"/>
              </w:rPr>
            </w:pPr>
            <w:r w:rsidRPr="007A17AE">
              <w:rPr>
                <w:rFonts w:eastAsia="TimesNewRoman"/>
                <w:szCs w:val="22"/>
                <w:lang w:eastAsia="lt-LT"/>
              </w:rPr>
              <w:t>Bendras (0–120</w:t>
            </w:r>
            <w:r w:rsidR="00C1636F">
              <w:rPr>
                <w:rFonts w:eastAsia="TimesNewRoman"/>
                <w:szCs w:val="22"/>
                <w:lang w:eastAsia="lt-LT"/>
              </w:rPr>
              <w:t> </w:t>
            </w:r>
            <w:r w:rsidRPr="007A17AE">
              <w:rPr>
                <w:rFonts w:eastAsia="TimesNewRoman"/>
                <w:szCs w:val="22"/>
                <w:lang w:eastAsia="lt-LT"/>
              </w:rPr>
              <w:t>valandų)</w:t>
            </w:r>
          </w:p>
        </w:tc>
        <w:tc>
          <w:tcPr>
            <w:tcW w:w="283" w:type="dxa"/>
            <w:tcBorders>
              <w:top w:val="single" w:sz="4" w:space="0" w:color="auto"/>
              <w:left w:val="nil"/>
              <w:bottom w:val="nil"/>
              <w:right w:val="nil"/>
            </w:tcBorders>
            <w:shd w:val="clear" w:color="auto" w:fill="auto"/>
          </w:tcPr>
          <w:p w14:paraId="3DAF5F48"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284" w:type="dxa"/>
            <w:tcBorders>
              <w:top w:val="single" w:sz="4" w:space="0" w:color="auto"/>
              <w:left w:val="nil"/>
              <w:bottom w:val="nil"/>
              <w:right w:val="nil"/>
            </w:tcBorders>
            <w:shd w:val="clear" w:color="auto" w:fill="auto"/>
          </w:tcPr>
          <w:p w14:paraId="0BE73024"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242" w:type="dxa"/>
            <w:tcBorders>
              <w:top w:val="single" w:sz="4" w:space="0" w:color="auto"/>
              <w:left w:val="nil"/>
              <w:bottom w:val="nil"/>
              <w:right w:val="nil"/>
            </w:tcBorders>
            <w:shd w:val="clear" w:color="auto" w:fill="auto"/>
          </w:tcPr>
          <w:p w14:paraId="3F2E8688"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1459" w:type="dxa"/>
            <w:tcBorders>
              <w:top w:val="single" w:sz="4" w:space="0" w:color="auto"/>
              <w:left w:val="nil"/>
              <w:bottom w:val="nil"/>
              <w:right w:val="nil"/>
            </w:tcBorders>
            <w:shd w:val="clear" w:color="auto" w:fill="auto"/>
          </w:tcPr>
          <w:p w14:paraId="76EBE4BF" w14:textId="77777777" w:rsidR="008B4F1F" w:rsidRPr="007A17AE" w:rsidRDefault="008B4F1F"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68,7</w:t>
            </w:r>
          </w:p>
        </w:tc>
        <w:tc>
          <w:tcPr>
            <w:tcW w:w="1276" w:type="dxa"/>
            <w:tcBorders>
              <w:top w:val="single" w:sz="4" w:space="0" w:color="auto"/>
              <w:left w:val="nil"/>
              <w:bottom w:val="nil"/>
              <w:right w:val="nil"/>
            </w:tcBorders>
            <w:shd w:val="clear" w:color="auto" w:fill="auto"/>
          </w:tcPr>
          <w:p w14:paraId="52B36F51" w14:textId="77777777" w:rsidR="008B4F1F" w:rsidRPr="007A17AE" w:rsidRDefault="008B4F1F"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56,3</w:t>
            </w:r>
          </w:p>
        </w:tc>
        <w:tc>
          <w:tcPr>
            <w:tcW w:w="601" w:type="dxa"/>
            <w:tcBorders>
              <w:top w:val="single" w:sz="4" w:space="0" w:color="auto"/>
              <w:left w:val="nil"/>
              <w:bottom w:val="nil"/>
              <w:right w:val="nil"/>
            </w:tcBorders>
            <w:shd w:val="clear" w:color="auto" w:fill="auto"/>
          </w:tcPr>
          <w:p w14:paraId="48C2610C"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12,4</w:t>
            </w:r>
          </w:p>
        </w:tc>
        <w:tc>
          <w:tcPr>
            <w:tcW w:w="1383" w:type="dxa"/>
            <w:tcBorders>
              <w:top w:val="single" w:sz="4" w:space="0" w:color="auto"/>
              <w:left w:val="nil"/>
              <w:bottom w:val="nil"/>
              <w:right w:val="nil"/>
            </w:tcBorders>
            <w:shd w:val="clear" w:color="auto" w:fill="auto"/>
          </w:tcPr>
          <w:p w14:paraId="6411F567"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(5,9; 18,9)</w:t>
            </w:r>
          </w:p>
        </w:tc>
      </w:tr>
      <w:tr w:rsidR="008B4F1F" w:rsidRPr="007A17AE" w14:paraId="61EECA23" w14:textId="77777777" w:rsidTr="004153C5">
        <w:tc>
          <w:tcPr>
            <w:tcW w:w="3794" w:type="dxa"/>
            <w:gridSpan w:val="4"/>
            <w:tcBorders>
              <w:top w:val="nil"/>
              <w:left w:val="nil"/>
              <w:bottom w:val="nil"/>
              <w:right w:val="nil"/>
            </w:tcBorders>
            <w:shd w:val="clear" w:color="auto" w:fill="auto"/>
          </w:tcPr>
          <w:p w14:paraId="4B801A59" w14:textId="77777777" w:rsidR="008B4F1F" w:rsidRPr="007A17AE" w:rsidRDefault="008B4F1F" w:rsidP="00C1636F">
            <w:pPr>
              <w:tabs>
                <w:tab w:val="clear" w:pos="567"/>
              </w:tabs>
              <w:autoSpaceDE w:val="0"/>
              <w:autoSpaceDN w:val="0"/>
              <w:adjustRightInd w:val="0"/>
              <w:spacing w:line="240" w:lineRule="auto"/>
              <w:ind w:left="567"/>
              <w:contextualSpacing/>
              <w:rPr>
                <w:rFonts w:eastAsia="TimesNewRoman"/>
                <w:szCs w:val="22"/>
                <w:lang w:eastAsia="lt-LT"/>
              </w:rPr>
            </w:pPr>
            <w:r w:rsidRPr="007A17AE">
              <w:rPr>
                <w:rFonts w:eastAsia="TimesNewRoman"/>
                <w:szCs w:val="22"/>
                <w:lang w:eastAsia="lt-LT"/>
              </w:rPr>
              <w:t>0–24</w:t>
            </w:r>
            <w:r w:rsidR="00C1636F">
              <w:rPr>
                <w:rFonts w:eastAsia="TimesNewRoman"/>
                <w:szCs w:val="22"/>
                <w:lang w:eastAsia="lt-LT"/>
              </w:rPr>
              <w:t> </w:t>
            </w:r>
            <w:r w:rsidRPr="007A17AE">
              <w:rPr>
                <w:rFonts w:eastAsia="TimesNewRoman"/>
                <w:szCs w:val="22"/>
                <w:lang w:eastAsia="lt-LT"/>
              </w:rPr>
              <w:t>valandų</w:t>
            </w:r>
          </w:p>
        </w:tc>
        <w:tc>
          <w:tcPr>
            <w:tcW w:w="283" w:type="dxa"/>
            <w:tcBorders>
              <w:top w:val="nil"/>
              <w:left w:val="nil"/>
              <w:bottom w:val="nil"/>
              <w:right w:val="nil"/>
            </w:tcBorders>
            <w:shd w:val="clear" w:color="auto" w:fill="auto"/>
          </w:tcPr>
          <w:p w14:paraId="0C7FA4DF"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284" w:type="dxa"/>
            <w:tcBorders>
              <w:top w:val="nil"/>
              <w:left w:val="nil"/>
              <w:bottom w:val="nil"/>
              <w:right w:val="nil"/>
            </w:tcBorders>
            <w:shd w:val="clear" w:color="auto" w:fill="auto"/>
          </w:tcPr>
          <w:p w14:paraId="17E4BF01"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242" w:type="dxa"/>
            <w:tcBorders>
              <w:top w:val="nil"/>
              <w:left w:val="nil"/>
              <w:bottom w:val="nil"/>
              <w:right w:val="nil"/>
            </w:tcBorders>
            <w:shd w:val="clear" w:color="auto" w:fill="auto"/>
          </w:tcPr>
          <w:p w14:paraId="3D80417C"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1459" w:type="dxa"/>
            <w:tcBorders>
              <w:top w:val="nil"/>
              <w:left w:val="nil"/>
              <w:bottom w:val="nil"/>
              <w:right w:val="nil"/>
            </w:tcBorders>
            <w:shd w:val="clear" w:color="auto" w:fill="auto"/>
          </w:tcPr>
          <w:p w14:paraId="7C5D0DC1" w14:textId="77777777" w:rsidR="008B4F1F" w:rsidRPr="007A17AE" w:rsidRDefault="008B4F1F"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89,2</w:t>
            </w:r>
          </w:p>
        </w:tc>
        <w:tc>
          <w:tcPr>
            <w:tcW w:w="1276" w:type="dxa"/>
            <w:tcBorders>
              <w:top w:val="nil"/>
              <w:left w:val="nil"/>
              <w:bottom w:val="nil"/>
              <w:right w:val="nil"/>
            </w:tcBorders>
            <w:shd w:val="clear" w:color="auto" w:fill="auto"/>
          </w:tcPr>
          <w:p w14:paraId="18E5B1E8" w14:textId="77777777" w:rsidR="008B4F1F" w:rsidRPr="007A17AE" w:rsidRDefault="008B4F1F"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80,3</w:t>
            </w:r>
          </w:p>
        </w:tc>
        <w:tc>
          <w:tcPr>
            <w:tcW w:w="601" w:type="dxa"/>
            <w:tcBorders>
              <w:top w:val="nil"/>
              <w:left w:val="nil"/>
              <w:bottom w:val="nil"/>
              <w:right w:val="nil"/>
            </w:tcBorders>
            <w:shd w:val="clear" w:color="auto" w:fill="auto"/>
          </w:tcPr>
          <w:p w14:paraId="3EE6D072"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8,9</w:t>
            </w:r>
          </w:p>
        </w:tc>
        <w:tc>
          <w:tcPr>
            <w:tcW w:w="1383" w:type="dxa"/>
            <w:tcBorders>
              <w:top w:val="nil"/>
              <w:left w:val="nil"/>
              <w:bottom w:val="nil"/>
              <w:right w:val="nil"/>
            </w:tcBorders>
            <w:shd w:val="clear" w:color="auto" w:fill="auto"/>
          </w:tcPr>
          <w:p w14:paraId="37D783F9"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(4,0; 13,8)</w:t>
            </w:r>
          </w:p>
        </w:tc>
      </w:tr>
      <w:tr w:rsidR="008B4F1F" w:rsidRPr="007A17AE" w14:paraId="7D11D6B2" w14:textId="77777777" w:rsidTr="004153C5">
        <w:tc>
          <w:tcPr>
            <w:tcW w:w="3794" w:type="dxa"/>
            <w:gridSpan w:val="4"/>
            <w:tcBorders>
              <w:top w:val="nil"/>
              <w:left w:val="nil"/>
              <w:bottom w:val="single" w:sz="4" w:space="0" w:color="auto"/>
              <w:right w:val="nil"/>
            </w:tcBorders>
            <w:shd w:val="clear" w:color="auto" w:fill="auto"/>
          </w:tcPr>
          <w:p w14:paraId="20CD8306" w14:textId="77777777" w:rsidR="008B4F1F" w:rsidRPr="007A17AE" w:rsidRDefault="008B4F1F" w:rsidP="00C1636F">
            <w:pPr>
              <w:tabs>
                <w:tab w:val="clear" w:pos="567"/>
              </w:tabs>
              <w:autoSpaceDE w:val="0"/>
              <w:autoSpaceDN w:val="0"/>
              <w:adjustRightInd w:val="0"/>
              <w:spacing w:line="240" w:lineRule="auto"/>
              <w:ind w:left="567"/>
              <w:contextualSpacing/>
              <w:rPr>
                <w:rFonts w:eastAsia="TimesNewRoman"/>
                <w:szCs w:val="22"/>
                <w:lang w:eastAsia="lt-LT"/>
              </w:rPr>
            </w:pPr>
            <w:r w:rsidRPr="007A17AE">
              <w:rPr>
                <w:rFonts w:eastAsia="TimesNewRoman"/>
                <w:szCs w:val="22"/>
                <w:lang w:eastAsia="lt-LT"/>
              </w:rPr>
              <w:t>25–120</w:t>
            </w:r>
            <w:r w:rsidR="00C1636F">
              <w:rPr>
                <w:rFonts w:eastAsia="TimesNewRoman"/>
                <w:szCs w:val="22"/>
                <w:lang w:eastAsia="lt-LT"/>
              </w:rPr>
              <w:t> </w:t>
            </w:r>
            <w:r w:rsidRPr="007A17AE">
              <w:rPr>
                <w:rFonts w:eastAsia="TimesNewRoman"/>
                <w:szCs w:val="22"/>
                <w:lang w:eastAsia="lt-LT"/>
              </w:rPr>
              <w:t>valandų</w:t>
            </w:r>
          </w:p>
        </w:tc>
        <w:tc>
          <w:tcPr>
            <w:tcW w:w="283" w:type="dxa"/>
            <w:tcBorders>
              <w:top w:val="nil"/>
              <w:left w:val="nil"/>
              <w:bottom w:val="single" w:sz="4" w:space="0" w:color="auto"/>
              <w:right w:val="nil"/>
            </w:tcBorders>
            <w:shd w:val="clear" w:color="auto" w:fill="auto"/>
          </w:tcPr>
          <w:p w14:paraId="07283CA6"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284" w:type="dxa"/>
            <w:tcBorders>
              <w:top w:val="nil"/>
              <w:left w:val="nil"/>
              <w:bottom w:val="single" w:sz="4" w:space="0" w:color="auto"/>
              <w:right w:val="nil"/>
            </w:tcBorders>
            <w:shd w:val="clear" w:color="auto" w:fill="auto"/>
          </w:tcPr>
          <w:p w14:paraId="2DAB5A03"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242" w:type="dxa"/>
            <w:tcBorders>
              <w:top w:val="nil"/>
              <w:left w:val="nil"/>
              <w:bottom w:val="single" w:sz="4" w:space="0" w:color="auto"/>
              <w:right w:val="nil"/>
            </w:tcBorders>
            <w:shd w:val="clear" w:color="auto" w:fill="auto"/>
          </w:tcPr>
          <w:p w14:paraId="21A8F74A"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1459" w:type="dxa"/>
            <w:tcBorders>
              <w:top w:val="nil"/>
              <w:left w:val="nil"/>
              <w:bottom w:val="single" w:sz="4" w:space="0" w:color="auto"/>
              <w:right w:val="nil"/>
            </w:tcBorders>
            <w:shd w:val="clear" w:color="auto" w:fill="auto"/>
          </w:tcPr>
          <w:p w14:paraId="6A238F52" w14:textId="77777777" w:rsidR="008B4F1F" w:rsidRPr="007A17AE" w:rsidRDefault="008B4F1F"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70,8</w:t>
            </w:r>
          </w:p>
        </w:tc>
        <w:tc>
          <w:tcPr>
            <w:tcW w:w="1276" w:type="dxa"/>
            <w:tcBorders>
              <w:top w:val="nil"/>
              <w:left w:val="nil"/>
              <w:bottom w:val="single" w:sz="4" w:space="0" w:color="auto"/>
              <w:right w:val="nil"/>
            </w:tcBorders>
            <w:shd w:val="clear" w:color="auto" w:fill="auto"/>
          </w:tcPr>
          <w:p w14:paraId="713E3AE4" w14:textId="77777777" w:rsidR="008B4F1F" w:rsidRPr="007A17AE" w:rsidRDefault="008B4F1F"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60,9</w:t>
            </w:r>
          </w:p>
        </w:tc>
        <w:tc>
          <w:tcPr>
            <w:tcW w:w="601" w:type="dxa"/>
            <w:tcBorders>
              <w:top w:val="nil"/>
              <w:left w:val="nil"/>
              <w:bottom w:val="single" w:sz="4" w:space="0" w:color="auto"/>
              <w:right w:val="nil"/>
            </w:tcBorders>
            <w:shd w:val="clear" w:color="auto" w:fill="auto"/>
          </w:tcPr>
          <w:p w14:paraId="7B663190"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9,9</w:t>
            </w:r>
          </w:p>
        </w:tc>
        <w:tc>
          <w:tcPr>
            <w:tcW w:w="1383" w:type="dxa"/>
            <w:tcBorders>
              <w:top w:val="nil"/>
              <w:left w:val="nil"/>
              <w:bottom w:val="single" w:sz="4" w:space="0" w:color="auto"/>
              <w:right w:val="nil"/>
            </w:tcBorders>
            <w:shd w:val="clear" w:color="auto" w:fill="auto"/>
          </w:tcPr>
          <w:p w14:paraId="1A886184"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(3,5; 16,3)</w:t>
            </w:r>
          </w:p>
        </w:tc>
      </w:tr>
    </w:tbl>
    <w:p w14:paraId="30667163"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p w14:paraId="6518AD38"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ATSKIRI RODIKLIAI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83"/>
        <w:gridCol w:w="284"/>
        <w:gridCol w:w="242"/>
        <w:gridCol w:w="1459"/>
        <w:gridCol w:w="1276"/>
        <w:gridCol w:w="601"/>
        <w:gridCol w:w="1383"/>
      </w:tblGrid>
      <w:tr w:rsidR="008B4F1F" w:rsidRPr="007A17AE" w14:paraId="4420D75C" w14:textId="77777777" w:rsidTr="004153C5">
        <w:tc>
          <w:tcPr>
            <w:tcW w:w="9322" w:type="dxa"/>
            <w:gridSpan w:val="8"/>
            <w:tcBorders>
              <w:top w:val="single" w:sz="4" w:space="0" w:color="auto"/>
              <w:left w:val="nil"/>
              <w:bottom w:val="single" w:sz="4" w:space="0" w:color="auto"/>
              <w:right w:val="nil"/>
            </w:tcBorders>
            <w:shd w:val="clear" w:color="auto" w:fill="auto"/>
          </w:tcPr>
          <w:p w14:paraId="7EBA1767"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Bold"/>
                <w:b/>
                <w:bCs/>
                <w:szCs w:val="22"/>
                <w:lang w:eastAsia="lt-LT"/>
              </w:rPr>
              <w:t>Be vėmimo (be vėmimo epizodų neatsižvelgiant į gelbėjamąjį gydymą)</w:t>
            </w:r>
          </w:p>
        </w:tc>
      </w:tr>
      <w:tr w:rsidR="008B4F1F" w:rsidRPr="007A17AE" w14:paraId="65DA3ACC" w14:textId="77777777" w:rsidTr="004153C5">
        <w:tc>
          <w:tcPr>
            <w:tcW w:w="3794" w:type="dxa"/>
            <w:tcBorders>
              <w:top w:val="single" w:sz="4" w:space="0" w:color="auto"/>
              <w:left w:val="nil"/>
              <w:bottom w:val="nil"/>
              <w:right w:val="nil"/>
            </w:tcBorders>
            <w:shd w:val="clear" w:color="auto" w:fill="auto"/>
          </w:tcPr>
          <w:p w14:paraId="3AF2B186" w14:textId="77777777" w:rsidR="008B4F1F" w:rsidRPr="007A17AE" w:rsidRDefault="008B4F1F" w:rsidP="00C1636F">
            <w:pPr>
              <w:tabs>
                <w:tab w:val="clear" w:pos="567"/>
              </w:tabs>
              <w:autoSpaceDE w:val="0"/>
              <w:autoSpaceDN w:val="0"/>
              <w:adjustRightInd w:val="0"/>
              <w:spacing w:line="240" w:lineRule="auto"/>
              <w:ind w:left="567"/>
              <w:contextualSpacing/>
              <w:rPr>
                <w:rFonts w:eastAsia="TimesNewRoman"/>
                <w:szCs w:val="22"/>
                <w:lang w:eastAsia="lt-LT"/>
              </w:rPr>
            </w:pPr>
            <w:r w:rsidRPr="007A17AE">
              <w:rPr>
                <w:rFonts w:eastAsia="TimesNewRoman"/>
                <w:szCs w:val="22"/>
                <w:lang w:eastAsia="lt-LT"/>
              </w:rPr>
              <w:t>Bendras (0–120</w:t>
            </w:r>
            <w:r w:rsidR="00C1636F">
              <w:rPr>
                <w:rFonts w:eastAsia="TimesNewRoman"/>
                <w:szCs w:val="22"/>
                <w:lang w:eastAsia="lt-LT"/>
              </w:rPr>
              <w:t> </w:t>
            </w:r>
            <w:r w:rsidRPr="007A17AE">
              <w:rPr>
                <w:rFonts w:eastAsia="TimesNewRoman"/>
                <w:szCs w:val="22"/>
                <w:lang w:eastAsia="lt-LT"/>
              </w:rPr>
              <w:t>valandų)</w:t>
            </w:r>
          </w:p>
        </w:tc>
        <w:tc>
          <w:tcPr>
            <w:tcW w:w="283" w:type="dxa"/>
            <w:tcBorders>
              <w:top w:val="single" w:sz="4" w:space="0" w:color="auto"/>
              <w:left w:val="nil"/>
              <w:bottom w:val="nil"/>
              <w:right w:val="nil"/>
            </w:tcBorders>
            <w:shd w:val="clear" w:color="auto" w:fill="auto"/>
          </w:tcPr>
          <w:p w14:paraId="0B913800"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284" w:type="dxa"/>
            <w:tcBorders>
              <w:top w:val="single" w:sz="4" w:space="0" w:color="auto"/>
              <w:left w:val="nil"/>
              <w:bottom w:val="nil"/>
              <w:right w:val="nil"/>
            </w:tcBorders>
            <w:shd w:val="clear" w:color="auto" w:fill="auto"/>
          </w:tcPr>
          <w:p w14:paraId="5D1E1511"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242" w:type="dxa"/>
            <w:tcBorders>
              <w:top w:val="single" w:sz="4" w:space="0" w:color="auto"/>
              <w:left w:val="nil"/>
              <w:bottom w:val="nil"/>
              <w:right w:val="nil"/>
            </w:tcBorders>
            <w:shd w:val="clear" w:color="auto" w:fill="auto"/>
          </w:tcPr>
          <w:p w14:paraId="661B0870"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1459" w:type="dxa"/>
            <w:tcBorders>
              <w:top w:val="single" w:sz="4" w:space="0" w:color="auto"/>
              <w:left w:val="nil"/>
              <w:bottom w:val="nil"/>
              <w:right w:val="nil"/>
            </w:tcBorders>
            <w:shd w:val="clear" w:color="auto" w:fill="auto"/>
          </w:tcPr>
          <w:p w14:paraId="361F93AB" w14:textId="77777777" w:rsidR="008B4F1F" w:rsidRPr="007A17AE" w:rsidRDefault="008B4F1F" w:rsidP="007A17AE">
            <w:pPr>
              <w:spacing w:line="240" w:lineRule="auto"/>
              <w:contextualSpacing/>
              <w:jc w:val="center"/>
              <w:rPr>
                <w:szCs w:val="22"/>
              </w:rPr>
            </w:pPr>
            <w:r w:rsidRPr="007A17AE">
              <w:rPr>
                <w:spacing w:val="1"/>
                <w:szCs w:val="22"/>
              </w:rPr>
              <w:t>76,2</w:t>
            </w:r>
          </w:p>
        </w:tc>
        <w:tc>
          <w:tcPr>
            <w:tcW w:w="1276" w:type="dxa"/>
            <w:tcBorders>
              <w:top w:val="single" w:sz="4" w:space="0" w:color="auto"/>
              <w:left w:val="nil"/>
              <w:bottom w:val="nil"/>
              <w:right w:val="nil"/>
            </w:tcBorders>
            <w:shd w:val="clear" w:color="auto" w:fill="auto"/>
          </w:tcPr>
          <w:p w14:paraId="7470DEEF" w14:textId="77777777" w:rsidR="008B4F1F" w:rsidRPr="00F122CC" w:rsidRDefault="008B4F1F" w:rsidP="007A17AE">
            <w:pPr>
              <w:spacing w:line="240" w:lineRule="auto"/>
              <w:contextualSpacing/>
              <w:jc w:val="center"/>
              <w:rPr>
                <w:spacing w:val="1"/>
                <w:szCs w:val="22"/>
              </w:rPr>
            </w:pPr>
            <w:r w:rsidRPr="00F122CC">
              <w:rPr>
                <w:spacing w:val="1"/>
                <w:szCs w:val="22"/>
              </w:rPr>
              <w:t>62,1</w:t>
            </w:r>
          </w:p>
        </w:tc>
        <w:tc>
          <w:tcPr>
            <w:tcW w:w="601" w:type="dxa"/>
            <w:tcBorders>
              <w:top w:val="single" w:sz="4" w:space="0" w:color="auto"/>
              <w:left w:val="nil"/>
              <w:bottom w:val="nil"/>
              <w:right w:val="nil"/>
            </w:tcBorders>
            <w:shd w:val="clear" w:color="auto" w:fill="auto"/>
          </w:tcPr>
          <w:p w14:paraId="29257288" w14:textId="77777777" w:rsidR="008B4F1F" w:rsidRPr="007A17AE" w:rsidRDefault="008B4F1F" w:rsidP="007A17AE">
            <w:pPr>
              <w:spacing w:line="240" w:lineRule="auto"/>
              <w:contextualSpacing/>
              <w:jc w:val="center"/>
              <w:rPr>
                <w:szCs w:val="22"/>
              </w:rPr>
            </w:pPr>
            <w:r w:rsidRPr="007A17AE">
              <w:rPr>
                <w:szCs w:val="22"/>
              </w:rPr>
              <w:t>14,1</w:t>
            </w:r>
          </w:p>
        </w:tc>
        <w:tc>
          <w:tcPr>
            <w:tcW w:w="1383" w:type="dxa"/>
            <w:tcBorders>
              <w:top w:val="single" w:sz="4" w:space="0" w:color="auto"/>
              <w:left w:val="nil"/>
              <w:bottom w:val="nil"/>
              <w:right w:val="nil"/>
            </w:tcBorders>
            <w:shd w:val="clear" w:color="auto" w:fill="auto"/>
          </w:tcPr>
          <w:p w14:paraId="1CA7A10D" w14:textId="77777777" w:rsidR="008B4F1F" w:rsidRPr="007A17AE" w:rsidRDefault="008B4F1F" w:rsidP="007A17AE">
            <w:pPr>
              <w:spacing w:line="240" w:lineRule="auto"/>
              <w:contextualSpacing/>
              <w:jc w:val="center"/>
              <w:rPr>
                <w:szCs w:val="22"/>
              </w:rPr>
            </w:pPr>
            <w:r w:rsidRPr="007A17AE">
              <w:rPr>
                <w:szCs w:val="22"/>
              </w:rPr>
              <w:t>(7,9; 20,3)</w:t>
            </w:r>
          </w:p>
        </w:tc>
      </w:tr>
      <w:tr w:rsidR="008B4F1F" w:rsidRPr="007A17AE" w14:paraId="4E6D4795" w14:textId="77777777" w:rsidTr="004153C5">
        <w:tc>
          <w:tcPr>
            <w:tcW w:w="3794" w:type="dxa"/>
            <w:tcBorders>
              <w:top w:val="nil"/>
              <w:left w:val="nil"/>
              <w:bottom w:val="nil"/>
              <w:right w:val="nil"/>
            </w:tcBorders>
            <w:shd w:val="clear" w:color="auto" w:fill="auto"/>
          </w:tcPr>
          <w:p w14:paraId="000EA477" w14:textId="77777777" w:rsidR="008B4F1F" w:rsidRPr="007A17AE" w:rsidRDefault="008B4F1F" w:rsidP="00C1636F">
            <w:pPr>
              <w:tabs>
                <w:tab w:val="clear" w:pos="567"/>
              </w:tabs>
              <w:autoSpaceDE w:val="0"/>
              <w:autoSpaceDN w:val="0"/>
              <w:adjustRightInd w:val="0"/>
              <w:spacing w:line="240" w:lineRule="auto"/>
              <w:ind w:left="567"/>
              <w:contextualSpacing/>
              <w:rPr>
                <w:rFonts w:eastAsia="TimesNewRoman"/>
                <w:szCs w:val="22"/>
                <w:lang w:eastAsia="lt-LT"/>
              </w:rPr>
            </w:pPr>
            <w:r w:rsidRPr="007A17AE">
              <w:rPr>
                <w:rFonts w:eastAsia="TimesNewRoman"/>
                <w:szCs w:val="22"/>
                <w:lang w:eastAsia="lt-LT"/>
              </w:rPr>
              <w:t>0–24</w:t>
            </w:r>
            <w:r w:rsidR="00C1636F">
              <w:rPr>
                <w:rFonts w:eastAsia="TimesNewRoman"/>
                <w:szCs w:val="22"/>
                <w:lang w:eastAsia="lt-LT"/>
              </w:rPr>
              <w:t> </w:t>
            </w:r>
            <w:r w:rsidRPr="007A17AE">
              <w:rPr>
                <w:rFonts w:eastAsia="TimesNewRoman"/>
                <w:szCs w:val="22"/>
                <w:lang w:eastAsia="lt-LT"/>
              </w:rPr>
              <w:t>valandų</w:t>
            </w:r>
          </w:p>
        </w:tc>
        <w:tc>
          <w:tcPr>
            <w:tcW w:w="283" w:type="dxa"/>
            <w:tcBorders>
              <w:top w:val="nil"/>
              <w:left w:val="nil"/>
              <w:bottom w:val="nil"/>
              <w:right w:val="nil"/>
            </w:tcBorders>
            <w:shd w:val="clear" w:color="auto" w:fill="auto"/>
          </w:tcPr>
          <w:p w14:paraId="4CC8227A"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284" w:type="dxa"/>
            <w:tcBorders>
              <w:top w:val="nil"/>
              <w:left w:val="nil"/>
              <w:bottom w:val="nil"/>
              <w:right w:val="nil"/>
            </w:tcBorders>
            <w:shd w:val="clear" w:color="auto" w:fill="auto"/>
          </w:tcPr>
          <w:p w14:paraId="34DF7378"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242" w:type="dxa"/>
            <w:tcBorders>
              <w:top w:val="nil"/>
              <w:left w:val="nil"/>
              <w:bottom w:val="nil"/>
              <w:right w:val="nil"/>
            </w:tcBorders>
            <w:shd w:val="clear" w:color="auto" w:fill="auto"/>
          </w:tcPr>
          <w:p w14:paraId="7B5D9F34"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1459" w:type="dxa"/>
            <w:tcBorders>
              <w:top w:val="nil"/>
              <w:left w:val="nil"/>
              <w:bottom w:val="nil"/>
              <w:right w:val="nil"/>
            </w:tcBorders>
            <w:shd w:val="clear" w:color="auto" w:fill="auto"/>
          </w:tcPr>
          <w:p w14:paraId="51B17B36" w14:textId="77777777" w:rsidR="008B4F1F" w:rsidRPr="007A17AE" w:rsidRDefault="008B4F1F" w:rsidP="007A17AE">
            <w:pPr>
              <w:spacing w:line="240" w:lineRule="auto"/>
              <w:contextualSpacing/>
              <w:jc w:val="center"/>
              <w:rPr>
                <w:szCs w:val="22"/>
              </w:rPr>
            </w:pPr>
            <w:r w:rsidRPr="007A17AE">
              <w:rPr>
                <w:spacing w:val="1"/>
                <w:szCs w:val="22"/>
              </w:rPr>
              <w:t>92,0</w:t>
            </w:r>
          </w:p>
        </w:tc>
        <w:tc>
          <w:tcPr>
            <w:tcW w:w="1276" w:type="dxa"/>
            <w:tcBorders>
              <w:top w:val="nil"/>
              <w:left w:val="nil"/>
              <w:bottom w:val="nil"/>
              <w:right w:val="nil"/>
            </w:tcBorders>
            <w:shd w:val="clear" w:color="auto" w:fill="auto"/>
          </w:tcPr>
          <w:p w14:paraId="20D0A10F" w14:textId="77777777" w:rsidR="008B4F1F" w:rsidRPr="00F122CC" w:rsidRDefault="008B4F1F" w:rsidP="007A17AE">
            <w:pPr>
              <w:spacing w:line="240" w:lineRule="auto"/>
              <w:contextualSpacing/>
              <w:jc w:val="center"/>
              <w:rPr>
                <w:spacing w:val="1"/>
                <w:szCs w:val="22"/>
              </w:rPr>
            </w:pPr>
            <w:r w:rsidRPr="00F122CC">
              <w:rPr>
                <w:spacing w:val="1"/>
                <w:szCs w:val="22"/>
              </w:rPr>
              <w:t>83,7</w:t>
            </w:r>
          </w:p>
        </w:tc>
        <w:tc>
          <w:tcPr>
            <w:tcW w:w="601" w:type="dxa"/>
            <w:tcBorders>
              <w:top w:val="nil"/>
              <w:left w:val="nil"/>
              <w:bottom w:val="nil"/>
              <w:right w:val="nil"/>
            </w:tcBorders>
            <w:shd w:val="clear" w:color="auto" w:fill="auto"/>
          </w:tcPr>
          <w:p w14:paraId="7EBF7923" w14:textId="77777777" w:rsidR="008B4F1F" w:rsidRPr="007A17AE" w:rsidRDefault="008B4F1F" w:rsidP="007A17AE">
            <w:pPr>
              <w:spacing w:line="240" w:lineRule="auto"/>
              <w:contextualSpacing/>
              <w:jc w:val="center"/>
              <w:rPr>
                <w:szCs w:val="22"/>
              </w:rPr>
            </w:pPr>
            <w:r w:rsidRPr="007A17AE">
              <w:rPr>
                <w:position w:val="-1"/>
                <w:szCs w:val="22"/>
              </w:rPr>
              <w:t>8,3</w:t>
            </w:r>
          </w:p>
        </w:tc>
        <w:tc>
          <w:tcPr>
            <w:tcW w:w="1383" w:type="dxa"/>
            <w:tcBorders>
              <w:top w:val="nil"/>
              <w:left w:val="nil"/>
              <w:bottom w:val="nil"/>
              <w:right w:val="nil"/>
            </w:tcBorders>
            <w:shd w:val="clear" w:color="auto" w:fill="auto"/>
          </w:tcPr>
          <w:p w14:paraId="129738DE" w14:textId="77777777" w:rsidR="008B4F1F" w:rsidRPr="007A17AE" w:rsidRDefault="008B4F1F" w:rsidP="007A17AE">
            <w:pPr>
              <w:spacing w:line="240" w:lineRule="auto"/>
              <w:contextualSpacing/>
              <w:jc w:val="center"/>
              <w:rPr>
                <w:szCs w:val="22"/>
              </w:rPr>
            </w:pPr>
            <w:r w:rsidRPr="007A17AE">
              <w:rPr>
                <w:position w:val="-1"/>
                <w:szCs w:val="22"/>
              </w:rPr>
              <w:t>(3,9; 12,7)</w:t>
            </w:r>
          </w:p>
        </w:tc>
      </w:tr>
      <w:tr w:rsidR="008B4F1F" w:rsidRPr="007A17AE" w14:paraId="129625D9" w14:textId="77777777" w:rsidTr="004153C5">
        <w:tc>
          <w:tcPr>
            <w:tcW w:w="3794" w:type="dxa"/>
            <w:tcBorders>
              <w:top w:val="nil"/>
              <w:left w:val="nil"/>
              <w:bottom w:val="single" w:sz="4" w:space="0" w:color="auto"/>
              <w:right w:val="nil"/>
            </w:tcBorders>
            <w:shd w:val="clear" w:color="auto" w:fill="auto"/>
          </w:tcPr>
          <w:p w14:paraId="515FFC0A" w14:textId="77777777" w:rsidR="008B4F1F" w:rsidRPr="007A17AE" w:rsidRDefault="008B4F1F" w:rsidP="00C1636F">
            <w:pPr>
              <w:tabs>
                <w:tab w:val="clear" w:pos="567"/>
              </w:tabs>
              <w:autoSpaceDE w:val="0"/>
              <w:autoSpaceDN w:val="0"/>
              <w:adjustRightInd w:val="0"/>
              <w:spacing w:line="240" w:lineRule="auto"/>
              <w:ind w:left="567"/>
              <w:contextualSpacing/>
              <w:rPr>
                <w:rFonts w:eastAsia="TimesNewRoman"/>
                <w:szCs w:val="22"/>
                <w:lang w:eastAsia="lt-LT"/>
              </w:rPr>
            </w:pPr>
            <w:r w:rsidRPr="007A17AE">
              <w:rPr>
                <w:rFonts w:eastAsia="TimesNewRoman"/>
                <w:szCs w:val="22"/>
                <w:lang w:eastAsia="lt-LT"/>
              </w:rPr>
              <w:t>25–120</w:t>
            </w:r>
            <w:r w:rsidR="00C1636F">
              <w:rPr>
                <w:rFonts w:eastAsia="TimesNewRoman"/>
                <w:szCs w:val="22"/>
                <w:lang w:eastAsia="lt-LT"/>
              </w:rPr>
              <w:t> </w:t>
            </w:r>
            <w:r w:rsidRPr="007A17AE">
              <w:rPr>
                <w:rFonts w:eastAsia="TimesNewRoman"/>
                <w:szCs w:val="22"/>
                <w:lang w:eastAsia="lt-LT"/>
              </w:rPr>
              <w:t>valandų</w:t>
            </w:r>
          </w:p>
        </w:tc>
        <w:tc>
          <w:tcPr>
            <w:tcW w:w="283" w:type="dxa"/>
            <w:tcBorders>
              <w:top w:val="nil"/>
              <w:left w:val="nil"/>
              <w:bottom w:val="single" w:sz="4" w:space="0" w:color="auto"/>
              <w:right w:val="nil"/>
            </w:tcBorders>
            <w:shd w:val="clear" w:color="auto" w:fill="auto"/>
          </w:tcPr>
          <w:p w14:paraId="6A54EE76"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284" w:type="dxa"/>
            <w:tcBorders>
              <w:top w:val="nil"/>
              <w:left w:val="nil"/>
              <w:bottom w:val="single" w:sz="4" w:space="0" w:color="auto"/>
              <w:right w:val="nil"/>
            </w:tcBorders>
            <w:shd w:val="clear" w:color="auto" w:fill="auto"/>
          </w:tcPr>
          <w:p w14:paraId="574D151C"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242" w:type="dxa"/>
            <w:tcBorders>
              <w:top w:val="nil"/>
              <w:left w:val="nil"/>
              <w:bottom w:val="single" w:sz="4" w:space="0" w:color="auto"/>
              <w:right w:val="nil"/>
            </w:tcBorders>
            <w:shd w:val="clear" w:color="auto" w:fill="auto"/>
          </w:tcPr>
          <w:p w14:paraId="432FB0C2"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1459" w:type="dxa"/>
            <w:tcBorders>
              <w:top w:val="nil"/>
              <w:left w:val="nil"/>
              <w:bottom w:val="single" w:sz="4" w:space="0" w:color="auto"/>
              <w:right w:val="nil"/>
            </w:tcBorders>
            <w:shd w:val="clear" w:color="auto" w:fill="auto"/>
          </w:tcPr>
          <w:p w14:paraId="179CD74C" w14:textId="77777777" w:rsidR="008B4F1F" w:rsidRPr="007A17AE" w:rsidRDefault="008B4F1F" w:rsidP="007A17AE">
            <w:pPr>
              <w:spacing w:line="240" w:lineRule="auto"/>
              <w:contextualSpacing/>
              <w:jc w:val="center"/>
              <w:rPr>
                <w:spacing w:val="1"/>
                <w:szCs w:val="22"/>
              </w:rPr>
            </w:pPr>
            <w:r w:rsidRPr="007A17AE">
              <w:rPr>
                <w:spacing w:val="1"/>
                <w:szCs w:val="22"/>
              </w:rPr>
              <w:t>77,9</w:t>
            </w:r>
          </w:p>
        </w:tc>
        <w:tc>
          <w:tcPr>
            <w:tcW w:w="1276" w:type="dxa"/>
            <w:tcBorders>
              <w:top w:val="nil"/>
              <w:left w:val="nil"/>
              <w:bottom w:val="single" w:sz="4" w:space="0" w:color="auto"/>
              <w:right w:val="nil"/>
            </w:tcBorders>
            <w:shd w:val="clear" w:color="auto" w:fill="auto"/>
          </w:tcPr>
          <w:p w14:paraId="76FC49C2" w14:textId="77777777" w:rsidR="008B4F1F" w:rsidRPr="00F122CC" w:rsidRDefault="008B4F1F" w:rsidP="007A17AE">
            <w:pPr>
              <w:spacing w:line="240" w:lineRule="auto"/>
              <w:contextualSpacing/>
              <w:jc w:val="center"/>
              <w:rPr>
                <w:spacing w:val="1"/>
                <w:szCs w:val="22"/>
              </w:rPr>
            </w:pPr>
            <w:r w:rsidRPr="00F122CC">
              <w:rPr>
                <w:spacing w:val="1"/>
                <w:szCs w:val="22"/>
              </w:rPr>
              <w:t>66,8</w:t>
            </w:r>
          </w:p>
        </w:tc>
        <w:tc>
          <w:tcPr>
            <w:tcW w:w="601" w:type="dxa"/>
            <w:tcBorders>
              <w:top w:val="nil"/>
              <w:left w:val="nil"/>
              <w:bottom w:val="single" w:sz="4" w:space="0" w:color="auto"/>
              <w:right w:val="nil"/>
            </w:tcBorders>
            <w:shd w:val="clear" w:color="auto" w:fill="auto"/>
          </w:tcPr>
          <w:p w14:paraId="47A69ECC" w14:textId="77777777" w:rsidR="008B4F1F" w:rsidRPr="007A17AE" w:rsidRDefault="008B4F1F" w:rsidP="007A17AE">
            <w:pPr>
              <w:spacing w:line="240" w:lineRule="auto"/>
              <w:contextualSpacing/>
              <w:jc w:val="center"/>
              <w:rPr>
                <w:position w:val="-1"/>
                <w:szCs w:val="22"/>
              </w:rPr>
            </w:pPr>
            <w:r w:rsidRPr="007A17AE">
              <w:rPr>
                <w:position w:val="-1"/>
                <w:szCs w:val="22"/>
              </w:rPr>
              <w:t>11,1</w:t>
            </w:r>
          </w:p>
        </w:tc>
        <w:tc>
          <w:tcPr>
            <w:tcW w:w="1383" w:type="dxa"/>
            <w:tcBorders>
              <w:top w:val="nil"/>
              <w:left w:val="nil"/>
              <w:bottom w:val="single" w:sz="4" w:space="0" w:color="auto"/>
              <w:right w:val="nil"/>
            </w:tcBorders>
            <w:shd w:val="clear" w:color="auto" w:fill="auto"/>
          </w:tcPr>
          <w:p w14:paraId="5E26D3BF" w14:textId="77777777" w:rsidR="008B4F1F" w:rsidRPr="007A17AE" w:rsidRDefault="008B4F1F" w:rsidP="007A17AE">
            <w:pPr>
              <w:spacing w:line="240" w:lineRule="auto"/>
              <w:contextualSpacing/>
              <w:jc w:val="center"/>
              <w:rPr>
                <w:position w:val="-1"/>
                <w:szCs w:val="22"/>
              </w:rPr>
            </w:pPr>
            <w:r w:rsidRPr="007A17AE">
              <w:rPr>
                <w:position w:val="-1"/>
                <w:szCs w:val="22"/>
              </w:rPr>
              <w:t>(5,1; 17,1)</w:t>
            </w:r>
          </w:p>
        </w:tc>
      </w:tr>
      <w:tr w:rsidR="008B4F1F" w:rsidRPr="007A17AE" w14:paraId="3F65B237" w14:textId="77777777" w:rsidTr="004153C5">
        <w:tc>
          <w:tcPr>
            <w:tcW w:w="9322" w:type="dxa"/>
            <w:gridSpan w:val="8"/>
            <w:tcBorders>
              <w:top w:val="single" w:sz="4" w:space="0" w:color="auto"/>
              <w:left w:val="nil"/>
              <w:bottom w:val="single" w:sz="4" w:space="0" w:color="auto"/>
              <w:right w:val="nil"/>
            </w:tcBorders>
            <w:shd w:val="clear" w:color="auto" w:fill="auto"/>
          </w:tcPr>
          <w:p w14:paraId="2536B90B" w14:textId="77777777" w:rsidR="008B4F1F" w:rsidRPr="007A17AE" w:rsidRDefault="008B4F1F" w:rsidP="00C1636F">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Bold"/>
                <w:b/>
                <w:bCs/>
                <w:szCs w:val="22"/>
                <w:lang w:eastAsia="lt-LT"/>
              </w:rPr>
              <w:t>Be reikšmingo pykinimo (didžiausias VAS &lt;</w:t>
            </w:r>
            <w:r w:rsidR="00C1636F">
              <w:rPr>
                <w:rFonts w:eastAsia="TimesNewRoman,Bold"/>
                <w:b/>
                <w:bCs/>
                <w:szCs w:val="22"/>
                <w:lang w:eastAsia="lt-LT"/>
              </w:rPr>
              <w:t> </w:t>
            </w:r>
            <w:r w:rsidRPr="007A17AE">
              <w:rPr>
                <w:rFonts w:eastAsia="TimesNewRoman,Bold"/>
                <w:b/>
                <w:bCs/>
                <w:szCs w:val="22"/>
                <w:lang w:eastAsia="lt-LT"/>
              </w:rPr>
              <w:t>25</w:t>
            </w:r>
            <w:r w:rsidR="00C1636F">
              <w:rPr>
                <w:rFonts w:eastAsia="TimesNewRoman,Bold"/>
                <w:b/>
                <w:bCs/>
                <w:szCs w:val="22"/>
                <w:lang w:eastAsia="lt-LT"/>
              </w:rPr>
              <w:t> </w:t>
            </w:r>
            <w:r w:rsidRPr="007A17AE">
              <w:rPr>
                <w:rFonts w:eastAsia="TimesNewRoman,Bold"/>
                <w:b/>
                <w:bCs/>
                <w:szCs w:val="22"/>
                <w:lang w:eastAsia="lt-LT"/>
              </w:rPr>
              <w:t>mm 0</w:t>
            </w:r>
            <w:r w:rsidR="00C1636F">
              <w:rPr>
                <w:rFonts w:eastAsia="TimesNewRoman,Bold"/>
                <w:b/>
                <w:bCs/>
                <w:szCs w:val="22"/>
                <w:lang w:eastAsia="lt-LT"/>
              </w:rPr>
              <w:noBreakHyphen/>
            </w:r>
            <w:r w:rsidRPr="007A17AE">
              <w:rPr>
                <w:rFonts w:eastAsia="TimesNewRoman,Bold"/>
                <w:b/>
                <w:bCs/>
                <w:szCs w:val="22"/>
                <w:lang w:eastAsia="lt-LT"/>
              </w:rPr>
              <w:t>100</w:t>
            </w:r>
            <w:r w:rsidR="00C1636F">
              <w:rPr>
                <w:rFonts w:eastAsia="TimesNewRoman,Bold"/>
                <w:b/>
                <w:bCs/>
                <w:szCs w:val="22"/>
                <w:lang w:eastAsia="lt-LT"/>
              </w:rPr>
              <w:t> </w:t>
            </w:r>
            <w:r w:rsidRPr="007A17AE">
              <w:rPr>
                <w:rFonts w:eastAsia="TimesNewRoman,Bold"/>
                <w:b/>
                <w:bCs/>
                <w:szCs w:val="22"/>
                <w:lang w:eastAsia="lt-LT"/>
              </w:rPr>
              <w:t>mm skalėje)</w:t>
            </w:r>
          </w:p>
        </w:tc>
      </w:tr>
      <w:tr w:rsidR="008B4F1F" w:rsidRPr="007A17AE" w14:paraId="2E180CBC" w14:textId="77777777" w:rsidTr="004153C5">
        <w:tc>
          <w:tcPr>
            <w:tcW w:w="3794" w:type="dxa"/>
            <w:tcBorders>
              <w:top w:val="single" w:sz="4" w:space="0" w:color="auto"/>
              <w:left w:val="nil"/>
              <w:bottom w:val="nil"/>
              <w:right w:val="nil"/>
            </w:tcBorders>
            <w:shd w:val="clear" w:color="auto" w:fill="auto"/>
          </w:tcPr>
          <w:p w14:paraId="3B72ABF1" w14:textId="77777777" w:rsidR="008B4F1F" w:rsidRPr="007A17AE" w:rsidRDefault="008B4F1F" w:rsidP="00C1636F">
            <w:pPr>
              <w:tabs>
                <w:tab w:val="clear" w:pos="567"/>
              </w:tabs>
              <w:autoSpaceDE w:val="0"/>
              <w:autoSpaceDN w:val="0"/>
              <w:adjustRightInd w:val="0"/>
              <w:spacing w:line="240" w:lineRule="auto"/>
              <w:ind w:left="567"/>
              <w:contextualSpacing/>
              <w:rPr>
                <w:rFonts w:eastAsia="TimesNewRoman"/>
                <w:szCs w:val="22"/>
                <w:lang w:eastAsia="lt-LT"/>
              </w:rPr>
            </w:pPr>
            <w:r w:rsidRPr="007A17AE">
              <w:rPr>
                <w:rFonts w:eastAsia="TimesNewRoman"/>
                <w:szCs w:val="22"/>
                <w:lang w:eastAsia="lt-LT"/>
              </w:rPr>
              <w:t>Bendras (0–120</w:t>
            </w:r>
            <w:r w:rsidR="00C1636F">
              <w:rPr>
                <w:rFonts w:eastAsia="TimesNewRoman"/>
                <w:szCs w:val="22"/>
                <w:lang w:eastAsia="lt-LT"/>
              </w:rPr>
              <w:t> </w:t>
            </w:r>
            <w:r w:rsidRPr="007A17AE">
              <w:rPr>
                <w:rFonts w:eastAsia="TimesNewRoman"/>
                <w:szCs w:val="22"/>
                <w:lang w:eastAsia="lt-LT"/>
              </w:rPr>
              <w:t>valandų)</w:t>
            </w:r>
          </w:p>
        </w:tc>
        <w:tc>
          <w:tcPr>
            <w:tcW w:w="283" w:type="dxa"/>
            <w:tcBorders>
              <w:top w:val="single" w:sz="4" w:space="0" w:color="auto"/>
              <w:left w:val="nil"/>
              <w:bottom w:val="nil"/>
              <w:right w:val="nil"/>
            </w:tcBorders>
            <w:shd w:val="clear" w:color="auto" w:fill="auto"/>
          </w:tcPr>
          <w:p w14:paraId="393B0CBA"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284" w:type="dxa"/>
            <w:tcBorders>
              <w:top w:val="single" w:sz="4" w:space="0" w:color="auto"/>
              <w:left w:val="nil"/>
              <w:bottom w:val="nil"/>
              <w:right w:val="nil"/>
            </w:tcBorders>
            <w:shd w:val="clear" w:color="auto" w:fill="auto"/>
          </w:tcPr>
          <w:p w14:paraId="2963FCAF"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242" w:type="dxa"/>
            <w:tcBorders>
              <w:top w:val="single" w:sz="4" w:space="0" w:color="auto"/>
              <w:left w:val="nil"/>
              <w:bottom w:val="nil"/>
              <w:right w:val="nil"/>
            </w:tcBorders>
            <w:shd w:val="clear" w:color="auto" w:fill="auto"/>
          </w:tcPr>
          <w:p w14:paraId="7BE1997E"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1459" w:type="dxa"/>
            <w:tcBorders>
              <w:top w:val="single" w:sz="4" w:space="0" w:color="auto"/>
              <w:left w:val="nil"/>
              <w:bottom w:val="nil"/>
              <w:right w:val="nil"/>
            </w:tcBorders>
            <w:shd w:val="clear" w:color="auto" w:fill="auto"/>
          </w:tcPr>
          <w:p w14:paraId="18CA6166" w14:textId="77777777" w:rsidR="008B4F1F" w:rsidRPr="007A17AE" w:rsidRDefault="008B4F1F" w:rsidP="007A17AE">
            <w:pPr>
              <w:spacing w:line="240" w:lineRule="auto"/>
              <w:contextualSpacing/>
              <w:jc w:val="center"/>
              <w:rPr>
                <w:szCs w:val="22"/>
              </w:rPr>
            </w:pPr>
            <w:r w:rsidRPr="007A17AE">
              <w:rPr>
                <w:spacing w:val="1"/>
                <w:szCs w:val="22"/>
              </w:rPr>
              <w:t>73,6</w:t>
            </w:r>
          </w:p>
        </w:tc>
        <w:tc>
          <w:tcPr>
            <w:tcW w:w="1276" w:type="dxa"/>
            <w:tcBorders>
              <w:top w:val="single" w:sz="4" w:space="0" w:color="auto"/>
              <w:left w:val="nil"/>
              <w:bottom w:val="nil"/>
              <w:right w:val="nil"/>
            </w:tcBorders>
            <w:shd w:val="clear" w:color="auto" w:fill="auto"/>
          </w:tcPr>
          <w:p w14:paraId="27074BD1" w14:textId="77777777" w:rsidR="008B4F1F" w:rsidRPr="00F122CC" w:rsidRDefault="008B4F1F" w:rsidP="007A17AE">
            <w:pPr>
              <w:spacing w:line="240" w:lineRule="auto"/>
              <w:contextualSpacing/>
              <w:jc w:val="center"/>
              <w:rPr>
                <w:spacing w:val="1"/>
                <w:szCs w:val="22"/>
              </w:rPr>
            </w:pPr>
            <w:r w:rsidRPr="00F122CC">
              <w:rPr>
                <w:spacing w:val="1"/>
                <w:szCs w:val="22"/>
              </w:rPr>
              <w:t>66,4</w:t>
            </w:r>
          </w:p>
        </w:tc>
        <w:tc>
          <w:tcPr>
            <w:tcW w:w="601" w:type="dxa"/>
            <w:tcBorders>
              <w:top w:val="single" w:sz="4" w:space="0" w:color="auto"/>
              <w:left w:val="nil"/>
              <w:bottom w:val="nil"/>
              <w:right w:val="nil"/>
            </w:tcBorders>
            <w:shd w:val="clear" w:color="auto" w:fill="auto"/>
          </w:tcPr>
          <w:p w14:paraId="5DF44885" w14:textId="77777777" w:rsidR="008B4F1F" w:rsidRPr="007A17AE" w:rsidRDefault="008B4F1F" w:rsidP="007A17AE">
            <w:pPr>
              <w:spacing w:line="240" w:lineRule="auto"/>
              <w:contextualSpacing/>
              <w:jc w:val="center"/>
              <w:rPr>
                <w:szCs w:val="22"/>
              </w:rPr>
            </w:pPr>
            <w:r w:rsidRPr="007A17AE">
              <w:rPr>
                <w:szCs w:val="22"/>
              </w:rPr>
              <w:t>7,2</w:t>
            </w:r>
          </w:p>
        </w:tc>
        <w:tc>
          <w:tcPr>
            <w:tcW w:w="1383" w:type="dxa"/>
            <w:tcBorders>
              <w:top w:val="single" w:sz="4" w:space="0" w:color="auto"/>
              <w:left w:val="nil"/>
              <w:bottom w:val="nil"/>
              <w:right w:val="nil"/>
            </w:tcBorders>
            <w:shd w:val="clear" w:color="auto" w:fill="auto"/>
          </w:tcPr>
          <w:p w14:paraId="7F8F0DF9" w14:textId="77777777" w:rsidR="008B4F1F" w:rsidRPr="007A17AE" w:rsidRDefault="008B4F1F" w:rsidP="007A17AE">
            <w:pPr>
              <w:spacing w:line="240" w:lineRule="auto"/>
              <w:contextualSpacing/>
              <w:jc w:val="center"/>
              <w:rPr>
                <w:szCs w:val="22"/>
              </w:rPr>
            </w:pPr>
            <w:r w:rsidRPr="007A17AE">
              <w:rPr>
                <w:szCs w:val="22"/>
              </w:rPr>
              <w:t>(1,0; 13,4)</w:t>
            </w:r>
          </w:p>
        </w:tc>
      </w:tr>
      <w:tr w:rsidR="008B4F1F" w:rsidRPr="007A17AE" w14:paraId="42FEBE46" w14:textId="77777777" w:rsidTr="004153C5">
        <w:tc>
          <w:tcPr>
            <w:tcW w:w="3794" w:type="dxa"/>
            <w:tcBorders>
              <w:top w:val="nil"/>
              <w:left w:val="nil"/>
              <w:bottom w:val="nil"/>
              <w:right w:val="nil"/>
            </w:tcBorders>
            <w:shd w:val="clear" w:color="auto" w:fill="auto"/>
          </w:tcPr>
          <w:p w14:paraId="6BAD44C3" w14:textId="77777777" w:rsidR="008B4F1F" w:rsidRPr="007A17AE" w:rsidRDefault="008B4F1F" w:rsidP="00C1636F">
            <w:pPr>
              <w:tabs>
                <w:tab w:val="clear" w:pos="567"/>
              </w:tabs>
              <w:autoSpaceDE w:val="0"/>
              <w:autoSpaceDN w:val="0"/>
              <w:adjustRightInd w:val="0"/>
              <w:spacing w:line="240" w:lineRule="auto"/>
              <w:ind w:left="567"/>
              <w:contextualSpacing/>
              <w:rPr>
                <w:rFonts w:eastAsia="TimesNewRoman"/>
                <w:szCs w:val="22"/>
                <w:lang w:eastAsia="lt-LT"/>
              </w:rPr>
            </w:pPr>
            <w:r w:rsidRPr="007A17AE">
              <w:rPr>
                <w:rFonts w:eastAsia="TimesNewRoman"/>
                <w:szCs w:val="22"/>
                <w:lang w:eastAsia="lt-LT"/>
              </w:rPr>
              <w:t>0–24</w:t>
            </w:r>
            <w:r w:rsidR="00C1636F">
              <w:rPr>
                <w:rFonts w:eastAsia="TimesNewRoman"/>
                <w:szCs w:val="22"/>
                <w:lang w:eastAsia="lt-LT"/>
              </w:rPr>
              <w:t> </w:t>
            </w:r>
            <w:r w:rsidRPr="007A17AE">
              <w:rPr>
                <w:rFonts w:eastAsia="TimesNewRoman"/>
                <w:szCs w:val="22"/>
                <w:lang w:eastAsia="lt-LT"/>
              </w:rPr>
              <w:t>valandų</w:t>
            </w:r>
          </w:p>
        </w:tc>
        <w:tc>
          <w:tcPr>
            <w:tcW w:w="283" w:type="dxa"/>
            <w:tcBorders>
              <w:top w:val="nil"/>
              <w:left w:val="nil"/>
              <w:bottom w:val="nil"/>
              <w:right w:val="nil"/>
            </w:tcBorders>
            <w:shd w:val="clear" w:color="auto" w:fill="auto"/>
          </w:tcPr>
          <w:p w14:paraId="7133DD14"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284" w:type="dxa"/>
            <w:tcBorders>
              <w:top w:val="nil"/>
              <w:left w:val="nil"/>
              <w:bottom w:val="nil"/>
              <w:right w:val="nil"/>
            </w:tcBorders>
            <w:shd w:val="clear" w:color="auto" w:fill="auto"/>
          </w:tcPr>
          <w:p w14:paraId="6DB54C5D"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242" w:type="dxa"/>
            <w:tcBorders>
              <w:top w:val="nil"/>
              <w:left w:val="nil"/>
              <w:bottom w:val="nil"/>
              <w:right w:val="nil"/>
            </w:tcBorders>
            <w:shd w:val="clear" w:color="auto" w:fill="auto"/>
          </w:tcPr>
          <w:p w14:paraId="5F3F6E9D"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1459" w:type="dxa"/>
            <w:tcBorders>
              <w:top w:val="nil"/>
              <w:left w:val="nil"/>
              <w:bottom w:val="nil"/>
              <w:right w:val="nil"/>
            </w:tcBorders>
            <w:shd w:val="clear" w:color="auto" w:fill="auto"/>
          </w:tcPr>
          <w:p w14:paraId="1F836D5B" w14:textId="77777777" w:rsidR="008B4F1F" w:rsidRPr="007A17AE" w:rsidRDefault="008B4F1F" w:rsidP="007A17AE">
            <w:pPr>
              <w:spacing w:line="240" w:lineRule="auto"/>
              <w:contextualSpacing/>
              <w:jc w:val="center"/>
              <w:rPr>
                <w:szCs w:val="22"/>
              </w:rPr>
            </w:pPr>
            <w:r w:rsidRPr="007A17AE">
              <w:rPr>
                <w:szCs w:val="22"/>
              </w:rPr>
              <w:t>90,9</w:t>
            </w:r>
          </w:p>
        </w:tc>
        <w:tc>
          <w:tcPr>
            <w:tcW w:w="1276" w:type="dxa"/>
            <w:tcBorders>
              <w:top w:val="nil"/>
              <w:left w:val="nil"/>
              <w:bottom w:val="nil"/>
              <w:right w:val="nil"/>
            </w:tcBorders>
            <w:shd w:val="clear" w:color="auto" w:fill="auto"/>
          </w:tcPr>
          <w:p w14:paraId="1006FA41" w14:textId="77777777" w:rsidR="008B4F1F" w:rsidRPr="007A17AE" w:rsidRDefault="008B4F1F" w:rsidP="007A17AE">
            <w:pPr>
              <w:spacing w:line="240" w:lineRule="auto"/>
              <w:contextualSpacing/>
              <w:jc w:val="center"/>
              <w:rPr>
                <w:szCs w:val="22"/>
              </w:rPr>
            </w:pPr>
            <w:r w:rsidRPr="007A17AE">
              <w:rPr>
                <w:szCs w:val="22"/>
              </w:rPr>
              <w:t>86,3</w:t>
            </w:r>
          </w:p>
        </w:tc>
        <w:tc>
          <w:tcPr>
            <w:tcW w:w="601" w:type="dxa"/>
            <w:tcBorders>
              <w:top w:val="nil"/>
              <w:left w:val="nil"/>
              <w:bottom w:val="nil"/>
              <w:right w:val="nil"/>
            </w:tcBorders>
            <w:shd w:val="clear" w:color="auto" w:fill="auto"/>
          </w:tcPr>
          <w:p w14:paraId="76BB39F2" w14:textId="77777777" w:rsidR="008B4F1F" w:rsidRPr="007A17AE" w:rsidRDefault="008B4F1F" w:rsidP="007A17AE">
            <w:pPr>
              <w:spacing w:line="240" w:lineRule="auto"/>
              <w:contextualSpacing/>
              <w:jc w:val="center"/>
              <w:rPr>
                <w:szCs w:val="22"/>
              </w:rPr>
            </w:pPr>
            <w:r w:rsidRPr="007A17AE">
              <w:rPr>
                <w:szCs w:val="22"/>
              </w:rPr>
              <w:t>4,6</w:t>
            </w:r>
          </w:p>
        </w:tc>
        <w:tc>
          <w:tcPr>
            <w:tcW w:w="1383" w:type="dxa"/>
            <w:tcBorders>
              <w:top w:val="nil"/>
              <w:left w:val="nil"/>
              <w:bottom w:val="nil"/>
              <w:right w:val="nil"/>
            </w:tcBorders>
            <w:shd w:val="clear" w:color="auto" w:fill="auto"/>
          </w:tcPr>
          <w:p w14:paraId="07AAEACF" w14:textId="77777777" w:rsidR="008B4F1F" w:rsidRPr="007A17AE" w:rsidRDefault="008B4F1F" w:rsidP="007A17AE">
            <w:pPr>
              <w:spacing w:line="240" w:lineRule="auto"/>
              <w:contextualSpacing/>
              <w:jc w:val="center"/>
              <w:rPr>
                <w:szCs w:val="22"/>
              </w:rPr>
            </w:pPr>
            <w:r w:rsidRPr="007A17AE">
              <w:rPr>
                <w:szCs w:val="22"/>
              </w:rPr>
              <w:t>(0,2; 9,0)</w:t>
            </w:r>
          </w:p>
        </w:tc>
      </w:tr>
      <w:tr w:rsidR="008B4F1F" w:rsidRPr="007A17AE" w14:paraId="6F542A5F" w14:textId="77777777" w:rsidTr="004153C5">
        <w:tc>
          <w:tcPr>
            <w:tcW w:w="3794" w:type="dxa"/>
            <w:tcBorders>
              <w:top w:val="nil"/>
              <w:left w:val="nil"/>
              <w:bottom w:val="single" w:sz="4" w:space="0" w:color="auto"/>
              <w:right w:val="nil"/>
            </w:tcBorders>
            <w:shd w:val="clear" w:color="auto" w:fill="auto"/>
          </w:tcPr>
          <w:p w14:paraId="41D64A50" w14:textId="77777777" w:rsidR="008B4F1F" w:rsidRPr="007A17AE" w:rsidRDefault="008B4F1F" w:rsidP="00C1636F">
            <w:pPr>
              <w:tabs>
                <w:tab w:val="clear" w:pos="567"/>
              </w:tabs>
              <w:autoSpaceDE w:val="0"/>
              <w:autoSpaceDN w:val="0"/>
              <w:adjustRightInd w:val="0"/>
              <w:spacing w:line="240" w:lineRule="auto"/>
              <w:ind w:left="567"/>
              <w:contextualSpacing/>
              <w:rPr>
                <w:rFonts w:eastAsia="TimesNewRoman"/>
                <w:szCs w:val="22"/>
                <w:lang w:eastAsia="lt-LT"/>
              </w:rPr>
            </w:pPr>
            <w:r w:rsidRPr="007A17AE">
              <w:rPr>
                <w:rFonts w:eastAsia="TimesNewRoman"/>
                <w:szCs w:val="22"/>
                <w:lang w:eastAsia="lt-LT"/>
              </w:rPr>
              <w:t>25–120</w:t>
            </w:r>
            <w:r w:rsidR="00C1636F">
              <w:rPr>
                <w:rFonts w:eastAsia="TimesNewRoman"/>
                <w:szCs w:val="22"/>
                <w:lang w:eastAsia="lt-LT"/>
              </w:rPr>
              <w:t> </w:t>
            </w:r>
            <w:r w:rsidRPr="007A17AE">
              <w:rPr>
                <w:rFonts w:eastAsia="TimesNewRoman"/>
                <w:szCs w:val="22"/>
                <w:lang w:eastAsia="lt-LT"/>
              </w:rPr>
              <w:t>valandų</w:t>
            </w:r>
          </w:p>
        </w:tc>
        <w:tc>
          <w:tcPr>
            <w:tcW w:w="283" w:type="dxa"/>
            <w:tcBorders>
              <w:top w:val="nil"/>
              <w:left w:val="nil"/>
              <w:bottom w:val="single" w:sz="4" w:space="0" w:color="auto"/>
              <w:right w:val="nil"/>
            </w:tcBorders>
            <w:shd w:val="clear" w:color="auto" w:fill="auto"/>
          </w:tcPr>
          <w:p w14:paraId="54EDB275"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284" w:type="dxa"/>
            <w:tcBorders>
              <w:top w:val="nil"/>
              <w:left w:val="nil"/>
              <w:bottom w:val="single" w:sz="4" w:space="0" w:color="auto"/>
              <w:right w:val="nil"/>
            </w:tcBorders>
            <w:shd w:val="clear" w:color="auto" w:fill="auto"/>
          </w:tcPr>
          <w:p w14:paraId="3DE412B6"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242" w:type="dxa"/>
            <w:tcBorders>
              <w:top w:val="nil"/>
              <w:left w:val="nil"/>
              <w:bottom w:val="single" w:sz="4" w:space="0" w:color="auto"/>
              <w:right w:val="nil"/>
            </w:tcBorders>
            <w:shd w:val="clear" w:color="auto" w:fill="auto"/>
          </w:tcPr>
          <w:p w14:paraId="71AEB2A5"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tc>
        <w:tc>
          <w:tcPr>
            <w:tcW w:w="1459" w:type="dxa"/>
            <w:tcBorders>
              <w:top w:val="nil"/>
              <w:left w:val="nil"/>
              <w:bottom w:val="single" w:sz="4" w:space="0" w:color="auto"/>
              <w:right w:val="nil"/>
            </w:tcBorders>
            <w:shd w:val="clear" w:color="auto" w:fill="auto"/>
          </w:tcPr>
          <w:p w14:paraId="56085EAC" w14:textId="77777777" w:rsidR="008B4F1F" w:rsidRPr="007A17AE" w:rsidRDefault="008B4F1F" w:rsidP="007A17AE">
            <w:pPr>
              <w:spacing w:line="240" w:lineRule="auto"/>
              <w:contextualSpacing/>
              <w:jc w:val="center"/>
              <w:rPr>
                <w:szCs w:val="22"/>
              </w:rPr>
            </w:pPr>
            <w:r w:rsidRPr="007A17AE">
              <w:rPr>
                <w:szCs w:val="22"/>
              </w:rPr>
              <w:t>74,9</w:t>
            </w:r>
          </w:p>
        </w:tc>
        <w:tc>
          <w:tcPr>
            <w:tcW w:w="1276" w:type="dxa"/>
            <w:tcBorders>
              <w:top w:val="nil"/>
              <w:left w:val="nil"/>
              <w:bottom w:val="single" w:sz="4" w:space="0" w:color="auto"/>
              <w:right w:val="nil"/>
            </w:tcBorders>
            <w:shd w:val="clear" w:color="auto" w:fill="auto"/>
          </w:tcPr>
          <w:p w14:paraId="1A24DAB5" w14:textId="77777777" w:rsidR="008B4F1F" w:rsidRPr="007A17AE" w:rsidRDefault="008B4F1F" w:rsidP="007A17AE">
            <w:pPr>
              <w:spacing w:line="240" w:lineRule="auto"/>
              <w:contextualSpacing/>
              <w:jc w:val="center"/>
              <w:rPr>
                <w:szCs w:val="22"/>
              </w:rPr>
            </w:pPr>
            <w:r w:rsidRPr="007A17AE">
              <w:rPr>
                <w:szCs w:val="22"/>
              </w:rPr>
              <w:t>69,5</w:t>
            </w:r>
          </w:p>
        </w:tc>
        <w:tc>
          <w:tcPr>
            <w:tcW w:w="601" w:type="dxa"/>
            <w:tcBorders>
              <w:top w:val="nil"/>
              <w:left w:val="nil"/>
              <w:bottom w:val="single" w:sz="4" w:space="0" w:color="auto"/>
              <w:right w:val="nil"/>
            </w:tcBorders>
            <w:shd w:val="clear" w:color="auto" w:fill="auto"/>
          </w:tcPr>
          <w:p w14:paraId="12E70CA7" w14:textId="77777777" w:rsidR="008B4F1F" w:rsidRPr="007A17AE" w:rsidRDefault="008B4F1F" w:rsidP="007A17AE">
            <w:pPr>
              <w:spacing w:line="240" w:lineRule="auto"/>
              <w:contextualSpacing/>
              <w:jc w:val="center"/>
              <w:rPr>
                <w:szCs w:val="22"/>
              </w:rPr>
            </w:pPr>
            <w:r w:rsidRPr="007A17AE">
              <w:rPr>
                <w:szCs w:val="22"/>
              </w:rPr>
              <w:t>5,4</w:t>
            </w:r>
          </w:p>
        </w:tc>
        <w:tc>
          <w:tcPr>
            <w:tcW w:w="1383" w:type="dxa"/>
            <w:tcBorders>
              <w:top w:val="nil"/>
              <w:left w:val="nil"/>
              <w:bottom w:val="single" w:sz="4" w:space="0" w:color="auto"/>
              <w:right w:val="nil"/>
            </w:tcBorders>
            <w:shd w:val="clear" w:color="auto" w:fill="auto"/>
          </w:tcPr>
          <w:p w14:paraId="44DD0D4D" w14:textId="77777777" w:rsidR="008B4F1F" w:rsidRPr="007A17AE" w:rsidRDefault="008B4F1F" w:rsidP="007A17AE">
            <w:pPr>
              <w:spacing w:line="240" w:lineRule="auto"/>
              <w:contextualSpacing/>
              <w:jc w:val="center"/>
              <w:rPr>
                <w:szCs w:val="22"/>
              </w:rPr>
            </w:pPr>
            <w:r w:rsidRPr="007A17AE">
              <w:rPr>
                <w:szCs w:val="22"/>
              </w:rPr>
              <w:t>(-0,7; 11,5)</w:t>
            </w:r>
          </w:p>
        </w:tc>
      </w:tr>
    </w:tbl>
    <w:p w14:paraId="0AEA71D4" w14:textId="77777777" w:rsidR="008B4F1F" w:rsidRPr="007A17AE" w:rsidRDefault="008B4F1F" w:rsidP="007A17AE">
      <w:pPr>
        <w:tabs>
          <w:tab w:val="clear" w:pos="567"/>
        </w:tabs>
        <w:autoSpaceDE w:val="0"/>
        <w:autoSpaceDN w:val="0"/>
        <w:adjustRightInd w:val="0"/>
        <w:spacing w:line="240" w:lineRule="auto"/>
        <w:ind w:left="142" w:hanging="142"/>
        <w:contextualSpacing/>
        <w:rPr>
          <w:rFonts w:eastAsia="TimesNewRoman"/>
          <w:szCs w:val="22"/>
          <w:lang w:eastAsia="lt-LT"/>
        </w:rPr>
      </w:pPr>
      <w:r w:rsidRPr="007A17AE">
        <w:rPr>
          <w:rFonts w:eastAsia="TimesNewRoman"/>
          <w:szCs w:val="22"/>
          <w:lang w:eastAsia="lt-LT"/>
        </w:rPr>
        <w:t xml:space="preserve">*Patikimumo intervalas apskaičiuotas neatsižvelgiant </w:t>
      </w:r>
      <w:r w:rsidRPr="00F122CC">
        <w:rPr>
          <w:rFonts w:eastAsia="TimesNewRoman"/>
          <w:szCs w:val="22"/>
          <w:lang w:eastAsia="lt-LT"/>
        </w:rPr>
        <w:t>į</w:t>
      </w:r>
      <w:r w:rsidR="00612B9A" w:rsidRPr="00F122CC">
        <w:rPr>
          <w:rFonts w:eastAsia="TimesNewRoman"/>
          <w:szCs w:val="22"/>
          <w:lang w:eastAsia="lt-LT"/>
        </w:rPr>
        <w:t xml:space="preserve"> lytį ir regioną</w:t>
      </w:r>
      <w:r w:rsidRPr="007A17AE">
        <w:rPr>
          <w:rFonts w:eastAsia="TimesNewRoman"/>
          <w:szCs w:val="22"/>
          <w:lang w:eastAsia="lt-LT"/>
        </w:rPr>
        <w:t>, kurie buvo įtraukti į pagrindinę logistinio modelio analizę.</w:t>
      </w:r>
    </w:p>
    <w:p w14:paraId="5F1D9A78" w14:textId="77777777" w:rsidR="008B4F1F" w:rsidRPr="007A17AE" w:rsidRDefault="008B4F1F" w:rsidP="007A17AE">
      <w:pPr>
        <w:tabs>
          <w:tab w:val="clear" w:pos="567"/>
        </w:tabs>
        <w:autoSpaceDE w:val="0"/>
        <w:autoSpaceDN w:val="0"/>
        <w:adjustRightInd w:val="0"/>
        <w:spacing w:line="240" w:lineRule="auto"/>
        <w:contextualSpacing/>
        <w:rPr>
          <w:rFonts w:eastAsia="TimesNewRoman"/>
          <w:szCs w:val="22"/>
          <w:lang w:eastAsia="lt-LT"/>
        </w:rPr>
      </w:pPr>
    </w:p>
    <w:p w14:paraId="0DBBE03D" w14:textId="77777777" w:rsidR="00DB0F72" w:rsidRPr="007A17AE" w:rsidRDefault="00DB0F72"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Sudėtinio gydymo su aprepitantu nauda visai tyrime dalyvavusiai populiacijai iš esmės buvo pagrįsta pacientų, kuriems standartinis gydymas padėjo nepakankamai, pvz., moterims, stebėjimo rezultatais, net jeigu jie buvo reikšmingai geresni nepriklausomai nuo amžiaus, naviko tipo ar lyties. Visiškas atsakas į gydymą aprepitantu ir į įprastą gydymą buvo pasiektas, atitinkamai, 209 iš 324 (65</w:t>
      </w:r>
      <w:r w:rsidR="00C1636F">
        <w:rPr>
          <w:rFonts w:eastAsia="TimesNewRoman"/>
          <w:szCs w:val="22"/>
          <w:lang w:eastAsia="lt-LT"/>
        </w:rPr>
        <w:t> </w:t>
      </w:r>
      <w:r w:rsidRPr="007A17AE">
        <w:rPr>
          <w:rFonts w:eastAsia="TimesNewRoman"/>
          <w:szCs w:val="22"/>
          <w:lang w:eastAsia="lt-LT"/>
        </w:rPr>
        <w:t>%) ir 161 iš 320 (50</w:t>
      </w:r>
      <w:r w:rsidR="00C1636F">
        <w:rPr>
          <w:rFonts w:eastAsia="TimesNewRoman"/>
          <w:szCs w:val="22"/>
          <w:lang w:eastAsia="lt-LT"/>
        </w:rPr>
        <w:t> </w:t>
      </w:r>
      <w:r w:rsidRPr="007A17AE">
        <w:rPr>
          <w:rFonts w:eastAsia="TimesNewRoman"/>
          <w:szCs w:val="22"/>
          <w:lang w:eastAsia="lt-LT"/>
        </w:rPr>
        <w:t>%) moterų bei 83 iš 101 (82</w:t>
      </w:r>
      <w:r w:rsidR="00C1636F">
        <w:rPr>
          <w:rFonts w:eastAsia="TimesNewRoman"/>
          <w:szCs w:val="22"/>
          <w:lang w:eastAsia="lt-LT"/>
        </w:rPr>
        <w:t> </w:t>
      </w:r>
      <w:r w:rsidRPr="007A17AE">
        <w:rPr>
          <w:rFonts w:eastAsia="TimesNewRoman"/>
          <w:szCs w:val="22"/>
          <w:lang w:eastAsia="lt-LT"/>
        </w:rPr>
        <w:t>%) ir 68 iš 87 (78</w:t>
      </w:r>
      <w:r w:rsidR="00C1636F">
        <w:rPr>
          <w:rFonts w:eastAsia="TimesNewRoman"/>
          <w:szCs w:val="22"/>
          <w:lang w:eastAsia="lt-LT"/>
        </w:rPr>
        <w:t> </w:t>
      </w:r>
      <w:r w:rsidRPr="007A17AE">
        <w:rPr>
          <w:rFonts w:eastAsia="TimesNewRoman"/>
          <w:szCs w:val="22"/>
          <w:lang w:eastAsia="lt-LT"/>
        </w:rPr>
        <w:t>%) vyrų.</w:t>
      </w:r>
    </w:p>
    <w:p w14:paraId="7B963430" w14:textId="77777777" w:rsidR="00DB0F72" w:rsidRPr="007A17AE" w:rsidRDefault="00DB0F72" w:rsidP="007A17AE">
      <w:pPr>
        <w:tabs>
          <w:tab w:val="clear" w:pos="567"/>
        </w:tabs>
        <w:autoSpaceDE w:val="0"/>
        <w:autoSpaceDN w:val="0"/>
        <w:adjustRightInd w:val="0"/>
        <w:spacing w:line="240" w:lineRule="auto"/>
        <w:contextualSpacing/>
        <w:rPr>
          <w:rFonts w:eastAsia="TimesNewRoman"/>
          <w:szCs w:val="22"/>
          <w:lang w:eastAsia="lt-LT"/>
        </w:rPr>
      </w:pPr>
    </w:p>
    <w:p w14:paraId="4C5CFFD6" w14:textId="77777777" w:rsidR="00DB0F72" w:rsidRPr="007A17AE" w:rsidRDefault="00DB0F72" w:rsidP="007A17AE">
      <w:pPr>
        <w:tabs>
          <w:tab w:val="clear" w:pos="567"/>
        </w:tabs>
        <w:autoSpaceDE w:val="0"/>
        <w:autoSpaceDN w:val="0"/>
        <w:adjustRightInd w:val="0"/>
        <w:spacing w:line="240" w:lineRule="auto"/>
        <w:contextualSpacing/>
        <w:rPr>
          <w:rFonts w:eastAsia="TimesNewRoman"/>
          <w:szCs w:val="22"/>
          <w:u w:val="single"/>
          <w:lang w:eastAsia="lt-LT"/>
        </w:rPr>
      </w:pPr>
      <w:r w:rsidRPr="007A17AE">
        <w:rPr>
          <w:rFonts w:eastAsia="TimesNewRoman"/>
          <w:szCs w:val="22"/>
          <w:u w:val="single"/>
          <w:lang w:eastAsia="lt-LT"/>
        </w:rPr>
        <w:t>Vaikų populiacija</w:t>
      </w:r>
    </w:p>
    <w:p w14:paraId="26CF8BE3" w14:textId="77777777" w:rsidR="00DB0F72" w:rsidRPr="007A17AE" w:rsidRDefault="00DB0F72"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Randomizuoto dvigubai aklo, aktyviu lyginamuoju vaistiniu preparatu kontroliuoto klinikinio tyrimo, kuriame dalyvavusiems 302 vaikams ir paaugliams nuo 6</w:t>
      </w:r>
      <w:r w:rsidR="00C1636F">
        <w:rPr>
          <w:rFonts w:eastAsia="TimesNewRoman"/>
          <w:szCs w:val="22"/>
          <w:lang w:eastAsia="lt-LT"/>
        </w:rPr>
        <w:t> </w:t>
      </w:r>
      <w:r w:rsidRPr="007A17AE">
        <w:rPr>
          <w:rFonts w:eastAsia="TimesNewRoman"/>
          <w:szCs w:val="22"/>
          <w:lang w:eastAsia="lt-LT"/>
        </w:rPr>
        <w:t>mėn. iki 17</w:t>
      </w:r>
      <w:r w:rsidR="00C1636F">
        <w:rPr>
          <w:rFonts w:eastAsia="TimesNewRoman"/>
          <w:szCs w:val="22"/>
          <w:lang w:eastAsia="lt-LT"/>
        </w:rPr>
        <w:t> </w:t>
      </w:r>
      <w:r w:rsidRPr="007A17AE">
        <w:rPr>
          <w:rFonts w:eastAsia="TimesNewRoman"/>
          <w:szCs w:val="22"/>
          <w:lang w:eastAsia="lt-LT"/>
        </w:rPr>
        <w:t>metų amžiaus taikyta vidutiniškai arba labai emetogeninė chemoterapija, ChSPV profilaktika schemomis su aprepitantu lyginta su kontroline schema. Schema su aprepitantu tirta vieno (1-ojo) ciklo metu. Vėlesnių ciklų (nuo 2-ojo ir 6-ojo) metu pacientai turėjo galimybę pasirinktinai vartoti aprepitanto atviru būdu, tačiau šių pasirinktinių ciklų metu veiksmingumas nevertintas. Schemą su aprepitantu paaugliams nuo 12 iki 17</w:t>
      </w:r>
      <w:r w:rsidR="00C1636F">
        <w:rPr>
          <w:rFonts w:eastAsia="TimesNewRoman"/>
          <w:szCs w:val="22"/>
          <w:lang w:eastAsia="lt-LT"/>
        </w:rPr>
        <w:t> </w:t>
      </w:r>
      <w:r w:rsidRPr="007A17AE">
        <w:rPr>
          <w:rFonts w:eastAsia="TimesNewRoman"/>
          <w:szCs w:val="22"/>
          <w:lang w:eastAsia="lt-LT"/>
        </w:rPr>
        <w:t>metų (n=47) sudarė aprepitanto kapsulės (125</w:t>
      </w:r>
      <w:r w:rsidR="00C1636F">
        <w:rPr>
          <w:rFonts w:eastAsia="TimesNewRoman"/>
          <w:szCs w:val="22"/>
          <w:lang w:eastAsia="lt-LT"/>
        </w:rPr>
        <w:t> </w:t>
      </w:r>
      <w:r w:rsidRPr="007A17AE">
        <w:rPr>
          <w:rFonts w:eastAsia="TimesNewRoman"/>
          <w:szCs w:val="22"/>
          <w:lang w:eastAsia="lt-LT"/>
        </w:rPr>
        <w:t>mg per burną 1-ą dieną bei po 80</w:t>
      </w:r>
      <w:r w:rsidR="00C1636F">
        <w:rPr>
          <w:rFonts w:eastAsia="TimesNewRoman"/>
          <w:szCs w:val="22"/>
          <w:lang w:eastAsia="lt-LT"/>
        </w:rPr>
        <w:t> </w:t>
      </w:r>
      <w:r w:rsidRPr="007A17AE">
        <w:rPr>
          <w:rFonts w:eastAsia="TimesNewRoman"/>
          <w:szCs w:val="22"/>
          <w:lang w:eastAsia="lt-LT"/>
        </w:rPr>
        <w:t>mg 2-ą ir 3-ią dienomis) ir ondansetronas, vartotas 1-ą dieną. Schemą su aprepitantu vaikams nuo 6</w:t>
      </w:r>
      <w:r w:rsidR="00C1636F">
        <w:rPr>
          <w:rFonts w:eastAsia="TimesNewRoman"/>
          <w:szCs w:val="22"/>
          <w:lang w:eastAsia="lt-LT"/>
        </w:rPr>
        <w:t> </w:t>
      </w:r>
      <w:r w:rsidRPr="007A17AE">
        <w:rPr>
          <w:rFonts w:eastAsia="TimesNewRoman"/>
          <w:szCs w:val="22"/>
          <w:lang w:eastAsia="lt-LT"/>
        </w:rPr>
        <w:t>mėn. iki 12</w:t>
      </w:r>
      <w:r w:rsidR="00C1636F">
        <w:rPr>
          <w:rFonts w:eastAsia="TimesNewRoman"/>
          <w:szCs w:val="22"/>
          <w:lang w:eastAsia="lt-LT"/>
        </w:rPr>
        <w:t> </w:t>
      </w:r>
      <w:r w:rsidRPr="007A17AE">
        <w:rPr>
          <w:rFonts w:eastAsia="TimesNewRoman"/>
          <w:szCs w:val="22"/>
          <w:lang w:eastAsia="lt-LT"/>
        </w:rPr>
        <w:t>metų amžiaus (n=105) sudarė aprepitanto milteliai geriamajai suspensijai (3</w:t>
      </w:r>
      <w:r w:rsidR="00C1636F">
        <w:rPr>
          <w:rFonts w:eastAsia="TimesNewRoman"/>
          <w:szCs w:val="22"/>
          <w:lang w:eastAsia="lt-LT"/>
        </w:rPr>
        <w:t> </w:t>
      </w:r>
      <w:r w:rsidRPr="007A17AE">
        <w:rPr>
          <w:rFonts w:eastAsia="TimesNewRoman"/>
          <w:szCs w:val="22"/>
          <w:lang w:eastAsia="lt-LT"/>
        </w:rPr>
        <w:t>mg/kg neviršijant 125</w:t>
      </w:r>
      <w:r w:rsidR="00C1636F">
        <w:rPr>
          <w:rFonts w:eastAsia="TimesNewRoman"/>
          <w:szCs w:val="22"/>
          <w:lang w:eastAsia="lt-LT"/>
        </w:rPr>
        <w:t> </w:t>
      </w:r>
      <w:r w:rsidRPr="007A17AE">
        <w:rPr>
          <w:rFonts w:eastAsia="TimesNewRoman"/>
          <w:szCs w:val="22"/>
          <w:lang w:eastAsia="lt-LT"/>
        </w:rPr>
        <w:t>mg per burną 1-ą dieną bei po 2</w:t>
      </w:r>
      <w:r w:rsidR="00C1636F">
        <w:rPr>
          <w:rFonts w:eastAsia="TimesNewRoman"/>
          <w:szCs w:val="22"/>
          <w:lang w:eastAsia="lt-LT"/>
        </w:rPr>
        <w:t> </w:t>
      </w:r>
      <w:r w:rsidRPr="007A17AE">
        <w:rPr>
          <w:rFonts w:eastAsia="TimesNewRoman"/>
          <w:szCs w:val="22"/>
          <w:lang w:eastAsia="lt-LT"/>
        </w:rPr>
        <w:t>mg/kg neviršijant 80</w:t>
      </w:r>
      <w:r w:rsidR="00C1636F">
        <w:rPr>
          <w:rFonts w:eastAsia="TimesNewRoman"/>
          <w:szCs w:val="22"/>
          <w:lang w:eastAsia="lt-LT"/>
        </w:rPr>
        <w:t> </w:t>
      </w:r>
      <w:r w:rsidRPr="007A17AE">
        <w:rPr>
          <w:rFonts w:eastAsia="TimesNewRoman"/>
          <w:szCs w:val="22"/>
          <w:lang w:eastAsia="lt-LT"/>
        </w:rPr>
        <w:t>mg per burną 2-ą ir 3-ią dienomis) ir ondansetronas, vartotas 1-ą dieną. Kontrolinėje schemoje paaugliams nuo 12 iki 17</w:t>
      </w:r>
      <w:r w:rsidR="00C1636F">
        <w:rPr>
          <w:rFonts w:eastAsia="TimesNewRoman"/>
          <w:szCs w:val="22"/>
          <w:lang w:eastAsia="lt-LT"/>
        </w:rPr>
        <w:t> </w:t>
      </w:r>
      <w:r w:rsidRPr="007A17AE">
        <w:rPr>
          <w:rFonts w:eastAsia="TimesNewRoman"/>
          <w:szCs w:val="22"/>
          <w:lang w:eastAsia="lt-LT"/>
        </w:rPr>
        <w:t>metų amžiaus (n=48) ir vaikams nuo 6</w:t>
      </w:r>
      <w:r w:rsidR="00C1636F">
        <w:rPr>
          <w:rFonts w:eastAsia="TimesNewRoman"/>
          <w:szCs w:val="22"/>
          <w:lang w:eastAsia="lt-LT"/>
        </w:rPr>
        <w:t> </w:t>
      </w:r>
      <w:r w:rsidRPr="007A17AE">
        <w:rPr>
          <w:rFonts w:eastAsia="TimesNewRoman"/>
          <w:szCs w:val="22"/>
          <w:lang w:eastAsia="lt-LT"/>
        </w:rPr>
        <w:t>mėn. iki 12</w:t>
      </w:r>
      <w:r w:rsidR="00C1636F">
        <w:rPr>
          <w:rFonts w:eastAsia="TimesNewRoman"/>
          <w:szCs w:val="22"/>
          <w:lang w:eastAsia="lt-LT"/>
        </w:rPr>
        <w:t> </w:t>
      </w:r>
      <w:r w:rsidRPr="007A17AE">
        <w:rPr>
          <w:rFonts w:eastAsia="TimesNewRoman"/>
          <w:szCs w:val="22"/>
          <w:lang w:eastAsia="lt-LT"/>
        </w:rPr>
        <w:t>metų amžiaus (n=102) vietoje aprepitanto buvo vartotas placebas 1-ą, 2-ą ir 3-ią dienomis (1-ą dieną kartu vartotas ondansetronas). Aprepitantas arba placebas ir ondansetronas buvo vartojami likus atitinkamai 1</w:t>
      </w:r>
      <w:r w:rsidR="00C1636F">
        <w:rPr>
          <w:rFonts w:eastAsia="TimesNewRoman"/>
          <w:szCs w:val="22"/>
          <w:lang w:eastAsia="lt-LT"/>
        </w:rPr>
        <w:t> </w:t>
      </w:r>
      <w:r w:rsidRPr="007A17AE">
        <w:rPr>
          <w:rFonts w:eastAsia="TimesNewRoman"/>
          <w:szCs w:val="22"/>
          <w:lang w:eastAsia="lt-LT"/>
        </w:rPr>
        <w:t>val. ir 30</w:t>
      </w:r>
      <w:r w:rsidR="00C1636F">
        <w:rPr>
          <w:rFonts w:eastAsia="TimesNewRoman"/>
          <w:szCs w:val="22"/>
          <w:lang w:eastAsia="lt-LT"/>
        </w:rPr>
        <w:t> </w:t>
      </w:r>
      <w:r w:rsidRPr="007A17AE">
        <w:rPr>
          <w:rFonts w:eastAsia="TimesNewRoman"/>
          <w:szCs w:val="22"/>
          <w:lang w:eastAsia="lt-LT"/>
        </w:rPr>
        <w:t>min. iki chemoterapijos pradžios. Be to, abiejų grupių vaikams buvo galima gydytojo nuožiūra leisti į veną deksametazono, kuris buvo pykinimo ir vėmimo slopinimo schemos dalis. dalis. Aprepitanto vartojusiems vaikams taikytas reikalavimas sumažinti deksametazono dozę 50</w:t>
      </w:r>
      <w:r w:rsidR="00C1636F">
        <w:rPr>
          <w:rFonts w:eastAsia="TimesNewRoman"/>
          <w:szCs w:val="22"/>
          <w:lang w:eastAsia="lt-LT"/>
        </w:rPr>
        <w:t> </w:t>
      </w:r>
      <w:r w:rsidRPr="007A17AE">
        <w:rPr>
          <w:rFonts w:eastAsia="TimesNewRoman"/>
          <w:szCs w:val="22"/>
          <w:lang w:eastAsia="lt-LT"/>
        </w:rPr>
        <w:t>% (kontrolinę schemą gavusiems vaikams jis netaikytas). 1-o ciklo metu deksametazono vartojo 29</w:t>
      </w:r>
      <w:r w:rsidR="00C1636F">
        <w:rPr>
          <w:rFonts w:eastAsia="TimesNewRoman"/>
          <w:szCs w:val="22"/>
          <w:lang w:eastAsia="lt-LT"/>
        </w:rPr>
        <w:t> </w:t>
      </w:r>
      <w:r w:rsidRPr="007A17AE">
        <w:rPr>
          <w:rFonts w:eastAsia="TimesNewRoman"/>
          <w:szCs w:val="22"/>
          <w:lang w:eastAsia="lt-LT"/>
        </w:rPr>
        <w:t>% gydytų pagal schemą su aprepitantu ir 28</w:t>
      </w:r>
      <w:r w:rsidR="00C1636F">
        <w:rPr>
          <w:rFonts w:eastAsia="TimesNewRoman"/>
          <w:szCs w:val="22"/>
          <w:lang w:eastAsia="lt-LT"/>
        </w:rPr>
        <w:t> </w:t>
      </w:r>
      <w:r w:rsidRPr="007A17AE">
        <w:rPr>
          <w:rFonts w:eastAsia="TimesNewRoman"/>
          <w:szCs w:val="22"/>
          <w:lang w:eastAsia="lt-LT"/>
        </w:rPr>
        <w:t>% gydytų pagal kontrolinę schemą vaikų. Pykinimą ir vėmimą slopinantis aprepitanto veiksmingumas vertintas 5</w:t>
      </w:r>
      <w:r w:rsidR="00C1636F">
        <w:rPr>
          <w:rFonts w:eastAsia="TimesNewRoman"/>
          <w:szCs w:val="22"/>
          <w:lang w:eastAsia="lt-LT"/>
        </w:rPr>
        <w:t> </w:t>
      </w:r>
      <w:r w:rsidRPr="007A17AE">
        <w:rPr>
          <w:rFonts w:eastAsia="TimesNewRoman"/>
          <w:szCs w:val="22"/>
          <w:lang w:eastAsia="lt-LT"/>
        </w:rPr>
        <w:t xml:space="preserve">dienas </w:t>
      </w:r>
      <w:r w:rsidRPr="007A17AE">
        <w:rPr>
          <w:rFonts w:eastAsia="TimesNewRoman"/>
          <w:szCs w:val="22"/>
          <w:lang w:eastAsia="lt-LT"/>
        </w:rPr>
        <w:lastRenderedPageBreak/>
        <w:t>(120</w:t>
      </w:r>
      <w:r w:rsidR="00C1636F">
        <w:rPr>
          <w:rFonts w:eastAsia="TimesNewRoman"/>
          <w:szCs w:val="22"/>
          <w:lang w:eastAsia="lt-LT"/>
        </w:rPr>
        <w:t> </w:t>
      </w:r>
      <w:r w:rsidRPr="007A17AE">
        <w:rPr>
          <w:rFonts w:eastAsia="TimesNewRoman"/>
          <w:szCs w:val="22"/>
          <w:lang w:eastAsia="lt-LT"/>
        </w:rPr>
        <w:t>val.) nuo chemoterapijos pradžios 1-ą dieną. Pagrindinė vertinamoji baigtis buvo visiškas atsakas vėlyvojoje fazėje (t.y. praėjus 25</w:t>
      </w:r>
      <w:r w:rsidR="00C1636F">
        <w:rPr>
          <w:rFonts w:eastAsia="TimesNewRoman"/>
          <w:szCs w:val="22"/>
          <w:lang w:eastAsia="lt-LT"/>
        </w:rPr>
        <w:noBreakHyphen/>
      </w:r>
      <w:r w:rsidRPr="007A17AE">
        <w:rPr>
          <w:rFonts w:eastAsia="TimesNewRoman"/>
          <w:szCs w:val="22"/>
          <w:lang w:eastAsia="lt-LT"/>
        </w:rPr>
        <w:t>120</w:t>
      </w:r>
      <w:r w:rsidR="00C1636F">
        <w:rPr>
          <w:rFonts w:eastAsia="TimesNewRoman"/>
          <w:szCs w:val="22"/>
          <w:lang w:eastAsia="lt-LT"/>
        </w:rPr>
        <w:t> </w:t>
      </w:r>
      <w:r w:rsidRPr="007A17AE">
        <w:rPr>
          <w:rFonts w:eastAsia="TimesNewRoman"/>
          <w:szCs w:val="22"/>
          <w:lang w:eastAsia="lt-LT"/>
        </w:rPr>
        <w:t xml:space="preserve">val. po chemoterapijos pradžios) 1-o ciklo metu. </w:t>
      </w:r>
    </w:p>
    <w:p w14:paraId="03364076" w14:textId="77777777" w:rsidR="00DB0F72" w:rsidRPr="007A17AE" w:rsidRDefault="00DB0F72" w:rsidP="007A17AE">
      <w:pPr>
        <w:tabs>
          <w:tab w:val="clear" w:pos="567"/>
        </w:tabs>
        <w:autoSpaceDE w:val="0"/>
        <w:autoSpaceDN w:val="0"/>
        <w:adjustRightInd w:val="0"/>
        <w:spacing w:line="240" w:lineRule="auto"/>
        <w:contextualSpacing/>
        <w:rPr>
          <w:rFonts w:eastAsia="TimesNewRoman"/>
          <w:szCs w:val="22"/>
          <w:lang w:eastAsia="lt-LT"/>
        </w:rPr>
      </w:pPr>
    </w:p>
    <w:p w14:paraId="53539CCC" w14:textId="77777777" w:rsidR="00DB0F72" w:rsidRPr="007A17AE" w:rsidRDefault="00FF2DF9"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Svarbiausių</w:t>
      </w:r>
      <w:r w:rsidR="00DB0F72" w:rsidRPr="007A17AE">
        <w:rPr>
          <w:rFonts w:eastAsia="TimesNewRoman"/>
          <w:szCs w:val="22"/>
          <w:lang w:eastAsia="lt-LT"/>
        </w:rPr>
        <w:t xml:space="preserve"> tyrimo </w:t>
      </w:r>
      <w:r w:rsidRPr="007A17AE">
        <w:rPr>
          <w:rFonts w:eastAsia="TimesNewRoman"/>
          <w:szCs w:val="22"/>
          <w:lang w:eastAsia="lt-LT"/>
        </w:rPr>
        <w:t>rezultatų</w:t>
      </w:r>
      <w:r w:rsidR="00DB0F72" w:rsidRPr="007A17AE">
        <w:rPr>
          <w:rFonts w:eastAsia="TimesNewRoman"/>
          <w:szCs w:val="22"/>
          <w:lang w:eastAsia="lt-LT"/>
        </w:rPr>
        <w:t xml:space="preserve"> santrauka pateikta 4 lentelėje.</w:t>
      </w:r>
    </w:p>
    <w:p w14:paraId="49B32536" w14:textId="77777777" w:rsidR="00FF2DF9" w:rsidRPr="007A17AE" w:rsidRDefault="00FF2DF9" w:rsidP="007A17AE">
      <w:pPr>
        <w:tabs>
          <w:tab w:val="clear" w:pos="567"/>
        </w:tabs>
        <w:autoSpaceDE w:val="0"/>
        <w:autoSpaceDN w:val="0"/>
        <w:adjustRightInd w:val="0"/>
        <w:spacing w:line="240" w:lineRule="auto"/>
        <w:contextualSpacing/>
        <w:rPr>
          <w:rFonts w:eastAsia="TimesNewRoman"/>
          <w:szCs w:val="22"/>
          <w:lang w:eastAsia="lt-LT"/>
        </w:rPr>
      </w:pPr>
    </w:p>
    <w:p w14:paraId="78A7770F" w14:textId="77777777" w:rsidR="00DB0F72" w:rsidRPr="007A17AE" w:rsidRDefault="00DB0F72"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4 lentelė</w:t>
      </w:r>
    </w:p>
    <w:p w14:paraId="4B8F709C" w14:textId="77777777" w:rsidR="00DB0F72" w:rsidRPr="007A17AE" w:rsidRDefault="00DB0F72"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 xml:space="preserve">Vaikų, kuriems pasireiškė </w:t>
      </w:r>
      <w:r w:rsidR="00FF2DF9" w:rsidRPr="007A17AE">
        <w:rPr>
          <w:rFonts w:eastAsia="TimesNewRoman"/>
          <w:szCs w:val="22"/>
          <w:lang w:eastAsia="lt-LT"/>
        </w:rPr>
        <w:t>visiškas</w:t>
      </w:r>
      <w:r w:rsidRPr="007A17AE">
        <w:rPr>
          <w:rFonts w:eastAsia="TimesNewRoman"/>
          <w:szCs w:val="22"/>
          <w:lang w:eastAsia="lt-LT"/>
        </w:rPr>
        <w:t xml:space="preserve"> atsakas ir nebuvo vėmimo, skaičius (%) pagal gydymo grupes ir</w:t>
      </w:r>
      <w:r w:rsidR="00FF2DF9" w:rsidRPr="007A17AE">
        <w:rPr>
          <w:rFonts w:eastAsia="TimesNewRoman"/>
          <w:szCs w:val="22"/>
          <w:lang w:eastAsia="lt-LT"/>
        </w:rPr>
        <w:t xml:space="preserve"> </w:t>
      </w:r>
      <w:r w:rsidRPr="007A17AE">
        <w:rPr>
          <w:rFonts w:eastAsia="TimesNewRoman"/>
          <w:szCs w:val="22"/>
          <w:lang w:eastAsia="lt-LT"/>
        </w:rPr>
        <w:t>fazes 1-o ciklo metu numatytoje gydyti populiacijoje</w:t>
      </w:r>
    </w:p>
    <w:p w14:paraId="58DFFBBE" w14:textId="77777777" w:rsidR="00DB0F72" w:rsidRPr="007A17AE" w:rsidRDefault="00DB0F72" w:rsidP="007A17AE">
      <w:pPr>
        <w:tabs>
          <w:tab w:val="clear" w:pos="567"/>
        </w:tabs>
        <w:autoSpaceDE w:val="0"/>
        <w:autoSpaceDN w:val="0"/>
        <w:adjustRightInd w:val="0"/>
        <w:spacing w:line="240" w:lineRule="auto"/>
        <w:contextualSpacing/>
        <w:rPr>
          <w:rFonts w:eastAsia="TimesNewRoman"/>
          <w:szCs w:val="22"/>
          <w:lang w:eastAsia="lt-LT"/>
        </w:rPr>
      </w:pPr>
    </w:p>
    <w:tbl>
      <w:tblPr>
        <w:tblW w:w="9678" w:type="dxa"/>
        <w:tblInd w:w="99" w:type="dxa"/>
        <w:tblLayout w:type="fixed"/>
        <w:tblCellMar>
          <w:left w:w="0" w:type="dxa"/>
          <w:right w:w="0" w:type="dxa"/>
        </w:tblCellMar>
        <w:tblLook w:val="01E0" w:firstRow="1" w:lastRow="1" w:firstColumn="1" w:lastColumn="1" w:noHBand="0" w:noVBand="0"/>
      </w:tblPr>
      <w:tblGrid>
        <w:gridCol w:w="4775"/>
        <w:gridCol w:w="2895"/>
        <w:gridCol w:w="2008"/>
      </w:tblGrid>
      <w:tr w:rsidR="00FF2DF9" w:rsidRPr="007A17AE" w14:paraId="16EF0291" w14:textId="77777777" w:rsidTr="00E040B0">
        <w:trPr>
          <w:trHeight w:hRule="exact" w:val="658"/>
        </w:trPr>
        <w:tc>
          <w:tcPr>
            <w:tcW w:w="4775" w:type="dxa"/>
            <w:tcBorders>
              <w:top w:val="single" w:sz="4" w:space="0" w:color="000000"/>
              <w:left w:val="single" w:sz="4" w:space="0" w:color="000000"/>
              <w:bottom w:val="single" w:sz="4" w:space="0" w:color="000000"/>
              <w:right w:val="single" w:sz="4" w:space="0" w:color="000000"/>
            </w:tcBorders>
          </w:tcPr>
          <w:p w14:paraId="23C99785" w14:textId="77777777" w:rsidR="00FF2DF9" w:rsidRPr="007A17AE" w:rsidRDefault="00FF2DF9" w:rsidP="007A17AE">
            <w:pPr>
              <w:spacing w:line="240" w:lineRule="auto"/>
              <w:contextualSpacing/>
              <w:rPr>
                <w:szCs w:val="22"/>
              </w:rPr>
            </w:pPr>
          </w:p>
        </w:tc>
        <w:tc>
          <w:tcPr>
            <w:tcW w:w="2895" w:type="dxa"/>
            <w:tcBorders>
              <w:top w:val="single" w:sz="4" w:space="0" w:color="000000"/>
              <w:left w:val="single" w:sz="4" w:space="0" w:color="000000"/>
              <w:bottom w:val="single" w:sz="4" w:space="0" w:color="000000"/>
              <w:right w:val="single" w:sz="4" w:space="0" w:color="000000"/>
            </w:tcBorders>
          </w:tcPr>
          <w:p w14:paraId="07C68796" w14:textId="77777777" w:rsidR="00FF2DF9" w:rsidRPr="007A17AE" w:rsidRDefault="00FF2DF9"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Schema su aprepitantu</w:t>
            </w:r>
          </w:p>
          <w:p w14:paraId="664C36CB" w14:textId="77777777" w:rsidR="00FF2DF9" w:rsidRPr="007A17AE" w:rsidRDefault="00FB3E00" w:rsidP="007A17AE">
            <w:pPr>
              <w:spacing w:line="240" w:lineRule="auto"/>
              <w:contextualSpacing/>
              <w:jc w:val="center"/>
              <w:rPr>
                <w:szCs w:val="22"/>
              </w:rPr>
            </w:pPr>
            <w:r w:rsidRPr="007A17AE">
              <w:rPr>
                <w:rFonts w:eastAsia="TimesNewRoman"/>
                <w:szCs w:val="22"/>
                <w:lang w:eastAsia="lt-LT"/>
              </w:rPr>
              <w:t>n/m</w:t>
            </w:r>
            <w:r w:rsidR="00FF2DF9" w:rsidRPr="007A17AE">
              <w:rPr>
                <w:rFonts w:eastAsia="TimesNewRoman"/>
                <w:szCs w:val="22"/>
                <w:lang w:eastAsia="lt-LT"/>
              </w:rPr>
              <w:t xml:space="preserve"> (%)</w:t>
            </w:r>
          </w:p>
        </w:tc>
        <w:tc>
          <w:tcPr>
            <w:tcW w:w="2006" w:type="dxa"/>
            <w:tcBorders>
              <w:top w:val="single" w:sz="4" w:space="0" w:color="000000"/>
              <w:left w:val="single" w:sz="4" w:space="0" w:color="000000"/>
              <w:bottom w:val="single" w:sz="4" w:space="0" w:color="000000"/>
              <w:right w:val="single" w:sz="4" w:space="0" w:color="000000"/>
            </w:tcBorders>
          </w:tcPr>
          <w:p w14:paraId="14DEF785" w14:textId="77777777" w:rsidR="00FF2DF9" w:rsidRPr="007A17AE" w:rsidRDefault="00FF2DF9" w:rsidP="007A17AE">
            <w:pPr>
              <w:tabs>
                <w:tab w:val="clear" w:pos="567"/>
              </w:tabs>
              <w:autoSpaceDE w:val="0"/>
              <w:autoSpaceDN w:val="0"/>
              <w:adjustRightInd w:val="0"/>
              <w:spacing w:line="240" w:lineRule="auto"/>
              <w:contextualSpacing/>
              <w:jc w:val="center"/>
              <w:rPr>
                <w:rFonts w:eastAsia="TimesNewRoman"/>
                <w:szCs w:val="22"/>
                <w:lang w:eastAsia="lt-LT"/>
              </w:rPr>
            </w:pPr>
            <w:r w:rsidRPr="007A17AE">
              <w:rPr>
                <w:rFonts w:eastAsia="TimesNewRoman"/>
                <w:szCs w:val="22"/>
                <w:lang w:eastAsia="lt-LT"/>
              </w:rPr>
              <w:t>Kontrolinė schema</w:t>
            </w:r>
          </w:p>
          <w:p w14:paraId="48CA60C3" w14:textId="77777777" w:rsidR="00FF2DF9" w:rsidRPr="007A17AE" w:rsidRDefault="00FB3E00" w:rsidP="007A17AE">
            <w:pPr>
              <w:spacing w:line="240" w:lineRule="auto"/>
              <w:contextualSpacing/>
              <w:jc w:val="center"/>
              <w:rPr>
                <w:szCs w:val="22"/>
              </w:rPr>
            </w:pPr>
            <w:r w:rsidRPr="007A17AE">
              <w:rPr>
                <w:rFonts w:eastAsia="TimesNewRoman"/>
                <w:szCs w:val="22"/>
                <w:lang w:eastAsia="lt-LT"/>
              </w:rPr>
              <w:t>n/m</w:t>
            </w:r>
            <w:r w:rsidR="00FF2DF9" w:rsidRPr="007A17AE">
              <w:rPr>
                <w:rFonts w:eastAsia="TimesNewRoman"/>
                <w:szCs w:val="22"/>
                <w:lang w:eastAsia="lt-LT"/>
              </w:rPr>
              <w:t xml:space="preserve"> (%)</w:t>
            </w:r>
          </w:p>
        </w:tc>
      </w:tr>
      <w:tr w:rsidR="00FF2DF9" w:rsidRPr="007A17AE" w14:paraId="08BD3E51" w14:textId="77777777" w:rsidTr="00E040B0">
        <w:trPr>
          <w:trHeight w:hRule="exact" w:val="337"/>
        </w:trPr>
        <w:tc>
          <w:tcPr>
            <w:tcW w:w="9678" w:type="dxa"/>
            <w:gridSpan w:val="3"/>
            <w:tcBorders>
              <w:top w:val="single" w:sz="4" w:space="0" w:color="000000"/>
              <w:left w:val="single" w:sz="4" w:space="0" w:color="000000"/>
              <w:bottom w:val="single" w:sz="4" w:space="0" w:color="000000"/>
              <w:right w:val="single" w:sz="4" w:space="0" w:color="000000"/>
            </w:tcBorders>
          </w:tcPr>
          <w:p w14:paraId="6A423377" w14:textId="77777777" w:rsidR="00FF2DF9" w:rsidRPr="007A17AE" w:rsidRDefault="00FF2DF9" w:rsidP="007A17AE">
            <w:pPr>
              <w:spacing w:line="240" w:lineRule="auto"/>
              <w:contextualSpacing/>
              <w:rPr>
                <w:szCs w:val="22"/>
              </w:rPr>
            </w:pPr>
            <w:r w:rsidRPr="007A17AE">
              <w:rPr>
                <w:rFonts w:eastAsia="TimesNewRoman"/>
                <w:szCs w:val="22"/>
                <w:lang w:eastAsia="lt-LT"/>
              </w:rPr>
              <w:t>PAGRINDINĖ VERTINAMOJI BAIGTIS</w:t>
            </w:r>
          </w:p>
        </w:tc>
      </w:tr>
      <w:tr w:rsidR="00FF2DF9" w:rsidRPr="007A17AE" w14:paraId="37EB3C22" w14:textId="77777777" w:rsidTr="00FF2DF9">
        <w:trPr>
          <w:trHeight w:val="454"/>
        </w:trPr>
        <w:tc>
          <w:tcPr>
            <w:tcW w:w="4775" w:type="dxa"/>
            <w:tcBorders>
              <w:top w:val="single" w:sz="4" w:space="0" w:color="000000"/>
              <w:left w:val="single" w:sz="4" w:space="0" w:color="000000"/>
              <w:bottom w:val="single" w:sz="4" w:space="0" w:color="000000"/>
              <w:right w:val="single" w:sz="4" w:space="0" w:color="000000"/>
            </w:tcBorders>
          </w:tcPr>
          <w:p w14:paraId="5F0C53FC" w14:textId="77777777" w:rsidR="00FF2DF9" w:rsidRPr="007A17AE" w:rsidRDefault="00FF2DF9" w:rsidP="007A17AE">
            <w:pPr>
              <w:spacing w:line="240" w:lineRule="auto"/>
              <w:contextualSpacing/>
              <w:rPr>
                <w:szCs w:val="22"/>
              </w:rPr>
            </w:pPr>
            <w:r w:rsidRPr="007A17AE">
              <w:rPr>
                <w:szCs w:val="22"/>
              </w:rPr>
              <w:t>Visiškas atsakas – vėlyvoji fazė</w:t>
            </w:r>
          </w:p>
        </w:tc>
        <w:tc>
          <w:tcPr>
            <w:tcW w:w="2895" w:type="dxa"/>
            <w:tcBorders>
              <w:top w:val="single" w:sz="4" w:space="0" w:color="000000"/>
              <w:left w:val="single" w:sz="4" w:space="0" w:color="000000"/>
              <w:bottom w:val="single" w:sz="4" w:space="0" w:color="000000"/>
              <w:right w:val="single" w:sz="4" w:space="0" w:color="000000"/>
            </w:tcBorders>
          </w:tcPr>
          <w:p w14:paraId="76FECAFA" w14:textId="77777777" w:rsidR="00FF2DF9" w:rsidRPr="007A17AE" w:rsidRDefault="00FF2DF9" w:rsidP="007A17AE">
            <w:pPr>
              <w:spacing w:line="240" w:lineRule="auto"/>
              <w:contextualSpacing/>
              <w:jc w:val="center"/>
              <w:rPr>
                <w:szCs w:val="22"/>
              </w:rPr>
            </w:pPr>
            <w:r w:rsidRPr="007A17AE">
              <w:rPr>
                <w:szCs w:val="22"/>
              </w:rPr>
              <w:t>77/152 (50</w:t>
            </w:r>
            <w:r w:rsidR="007644C8" w:rsidRPr="007A17AE">
              <w:rPr>
                <w:szCs w:val="22"/>
              </w:rPr>
              <w:t>,</w:t>
            </w:r>
            <w:r w:rsidRPr="007A17AE">
              <w:rPr>
                <w:szCs w:val="22"/>
              </w:rPr>
              <w:t>7</w:t>
            </w:r>
            <w:r w:rsidRPr="007A17AE">
              <w:rPr>
                <w:spacing w:val="-2"/>
                <w:szCs w:val="22"/>
              </w:rPr>
              <w:t>)</w:t>
            </w:r>
            <w:r w:rsidRPr="007A17AE">
              <w:rPr>
                <w:position w:val="10"/>
                <w:szCs w:val="22"/>
              </w:rPr>
              <w:t>†</w:t>
            </w:r>
          </w:p>
        </w:tc>
        <w:tc>
          <w:tcPr>
            <w:tcW w:w="2006" w:type="dxa"/>
            <w:tcBorders>
              <w:top w:val="single" w:sz="4" w:space="0" w:color="000000"/>
              <w:left w:val="single" w:sz="4" w:space="0" w:color="000000"/>
              <w:bottom w:val="single" w:sz="4" w:space="0" w:color="000000"/>
              <w:right w:val="single" w:sz="4" w:space="0" w:color="000000"/>
            </w:tcBorders>
          </w:tcPr>
          <w:p w14:paraId="27BDD042" w14:textId="77777777" w:rsidR="00FF2DF9" w:rsidRPr="007A17AE" w:rsidRDefault="00FF2DF9" w:rsidP="007A17AE">
            <w:pPr>
              <w:spacing w:line="240" w:lineRule="auto"/>
              <w:contextualSpacing/>
              <w:jc w:val="center"/>
              <w:rPr>
                <w:szCs w:val="22"/>
              </w:rPr>
            </w:pPr>
            <w:r w:rsidRPr="007A17AE">
              <w:rPr>
                <w:szCs w:val="22"/>
              </w:rPr>
              <w:t>39/150 (26</w:t>
            </w:r>
            <w:r w:rsidR="007644C8" w:rsidRPr="007A17AE">
              <w:rPr>
                <w:szCs w:val="22"/>
              </w:rPr>
              <w:t>,</w:t>
            </w:r>
            <w:r w:rsidRPr="007A17AE">
              <w:rPr>
                <w:szCs w:val="22"/>
              </w:rPr>
              <w:t>0)</w:t>
            </w:r>
          </w:p>
        </w:tc>
      </w:tr>
      <w:tr w:rsidR="00FF2DF9" w:rsidRPr="007A17AE" w14:paraId="710D54C6" w14:textId="77777777" w:rsidTr="00E040B0">
        <w:trPr>
          <w:trHeight w:hRule="exact" w:val="337"/>
        </w:trPr>
        <w:tc>
          <w:tcPr>
            <w:tcW w:w="9678" w:type="dxa"/>
            <w:gridSpan w:val="3"/>
            <w:tcBorders>
              <w:top w:val="single" w:sz="4" w:space="0" w:color="000000"/>
              <w:left w:val="single" w:sz="4" w:space="0" w:color="000000"/>
              <w:bottom w:val="single" w:sz="4" w:space="0" w:color="000000"/>
              <w:right w:val="single" w:sz="4" w:space="0" w:color="000000"/>
            </w:tcBorders>
          </w:tcPr>
          <w:p w14:paraId="566EBB1E" w14:textId="77777777" w:rsidR="00FF2DF9" w:rsidRPr="007A17AE" w:rsidRDefault="00FF2DF9" w:rsidP="007A17AE">
            <w:pPr>
              <w:spacing w:line="240" w:lineRule="auto"/>
              <w:contextualSpacing/>
              <w:rPr>
                <w:szCs w:val="22"/>
              </w:rPr>
            </w:pPr>
            <w:r w:rsidRPr="007A17AE">
              <w:rPr>
                <w:szCs w:val="22"/>
              </w:rPr>
              <w:t>KITOS IŠ ANKSTO NUMATYTOS VERTINAMOSIOS BAIGTYS</w:t>
            </w:r>
          </w:p>
        </w:tc>
      </w:tr>
      <w:tr w:rsidR="00FF2DF9" w:rsidRPr="007A17AE" w14:paraId="537B4D34" w14:textId="77777777" w:rsidTr="00E040B0">
        <w:trPr>
          <w:trHeight w:hRule="exact" w:val="333"/>
        </w:trPr>
        <w:tc>
          <w:tcPr>
            <w:tcW w:w="4775" w:type="dxa"/>
            <w:tcBorders>
              <w:top w:val="single" w:sz="4" w:space="0" w:color="000000"/>
              <w:left w:val="single" w:sz="4" w:space="0" w:color="000000"/>
              <w:bottom w:val="single" w:sz="4" w:space="0" w:color="000000"/>
              <w:right w:val="single" w:sz="4" w:space="0" w:color="000000"/>
            </w:tcBorders>
          </w:tcPr>
          <w:p w14:paraId="277A18D5" w14:textId="77777777" w:rsidR="00FF2DF9" w:rsidRPr="007A17AE" w:rsidRDefault="00FF2DF9" w:rsidP="007A17AE">
            <w:pPr>
              <w:spacing w:line="240" w:lineRule="auto"/>
              <w:contextualSpacing/>
              <w:rPr>
                <w:szCs w:val="22"/>
              </w:rPr>
            </w:pPr>
            <w:r w:rsidRPr="007A17AE">
              <w:rPr>
                <w:szCs w:val="22"/>
              </w:rPr>
              <w:t>Visiškas atsakas* – ūminė fazė</w:t>
            </w:r>
          </w:p>
        </w:tc>
        <w:tc>
          <w:tcPr>
            <w:tcW w:w="2895" w:type="dxa"/>
            <w:tcBorders>
              <w:top w:val="single" w:sz="4" w:space="0" w:color="000000"/>
              <w:left w:val="single" w:sz="4" w:space="0" w:color="000000"/>
              <w:bottom w:val="single" w:sz="4" w:space="0" w:color="000000"/>
              <w:right w:val="single" w:sz="4" w:space="0" w:color="000000"/>
            </w:tcBorders>
          </w:tcPr>
          <w:p w14:paraId="1217623F" w14:textId="77777777" w:rsidR="00FF2DF9" w:rsidRPr="007A17AE" w:rsidRDefault="00FF2DF9" w:rsidP="007A17AE">
            <w:pPr>
              <w:spacing w:line="240" w:lineRule="auto"/>
              <w:contextualSpacing/>
              <w:jc w:val="center"/>
              <w:rPr>
                <w:szCs w:val="22"/>
              </w:rPr>
            </w:pPr>
            <w:r w:rsidRPr="007A17AE">
              <w:rPr>
                <w:szCs w:val="22"/>
              </w:rPr>
              <w:t>101/152 (66</w:t>
            </w:r>
            <w:r w:rsidR="007644C8" w:rsidRPr="007A17AE">
              <w:rPr>
                <w:szCs w:val="22"/>
              </w:rPr>
              <w:t>,</w:t>
            </w:r>
            <w:r w:rsidRPr="007A17AE">
              <w:rPr>
                <w:szCs w:val="22"/>
              </w:rPr>
              <w:t>4</w:t>
            </w:r>
            <w:r w:rsidRPr="007A17AE">
              <w:rPr>
                <w:spacing w:val="1"/>
                <w:szCs w:val="22"/>
              </w:rPr>
              <w:t>)</w:t>
            </w:r>
            <w:r w:rsidRPr="007A17AE">
              <w:rPr>
                <w:position w:val="10"/>
                <w:szCs w:val="22"/>
              </w:rPr>
              <w:t>‡</w:t>
            </w:r>
          </w:p>
        </w:tc>
        <w:tc>
          <w:tcPr>
            <w:tcW w:w="2006" w:type="dxa"/>
            <w:tcBorders>
              <w:top w:val="single" w:sz="4" w:space="0" w:color="000000"/>
              <w:left w:val="single" w:sz="4" w:space="0" w:color="000000"/>
              <w:bottom w:val="single" w:sz="4" w:space="0" w:color="000000"/>
              <w:right w:val="single" w:sz="4" w:space="0" w:color="000000"/>
            </w:tcBorders>
          </w:tcPr>
          <w:p w14:paraId="2620CD93" w14:textId="77777777" w:rsidR="00FF2DF9" w:rsidRPr="007A17AE" w:rsidRDefault="00FF2DF9" w:rsidP="007A17AE">
            <w:pPr>
              <w:spacing w:line="240" w:lineRule="auto"/>
              <w:contextualSpacing/>
              <w:jc w:val="center"/>
              <w:rPr>
                <w:szCs w:val="22"/>
              </w:rPr>
            </w:pPr>
            <w:r w:rsidRPr="007A17AE">
              <w:rPr>
                <w:szCs w:val="22"/>
              </w:rPr>
              <w:t>78/150 (52</w:t>
            </w:r>
            <w:r w:rsidR="007644C8" w:rsidRPr="007A17AE">
              <w:rPr>
                <w:szCs w:val="22"/>
              </w:rPr>
              <w:t>,</w:t>
            </w:r>
            <w:r w:rsidRPr="007A17AE">
              <w:rPr>
                <w:szCs w:val="22"/>
              </w:rPr>
              <w:t>0)</w:t>
            </w:r>
          </w:p>
        </w:tc>
      </w:tr>
      <w:tr w:rsidR="00FF2DF9" w:rsidRPr="007A17AE" w14:paraId="1EC58B1D" w14:textId="77777777" w:rsidTr="00E040B0">
        <w:trPr>
          <w:trHeight w:hRule="exact" w:val="337"/>
        </w:trPr>
        <w:tc>
          <w:tcPr>
            <w:tcW w:w="4775" w:type="dxa"/>
            <w:tcBorders>
              <w:top w:val="single" w:sz="4" w:space="0" w:color="000000"/>
              <w:left w:val="single" w:sz="4" w:space="0" w:color="000000"/>
              <w:bottom w:val="single" w:sz="4" w:space="0" w:color="000000"/>
              <w:right w:val="single" w:sz="4" w:space="0" w:color="000000"/>
            </w:tcBorders>
          </w:tcPr>
          <w:p w14:paraId="3C4DA4B3" w14:textId="77777777" w:rsidR="00FF2DF9" w:rsidRPr="007A17AE" w:rsidRDefault="00FF2DF9" w:rsidP="007A17AE">
            <w:pPr>
              <w:spacing w:line="240" w:lineRule="auto"/>
              <w:contextualSpacing/>
              <w:rPr>
                <w:szCs w:val="22"/>
              </w:rPr>
            </w:pPr>
            <w:r w:rsidRPr="007A17AE">
              <w:rPr>
                <w:szCs w:val="22"/>
              </w:rPr>
              <w:t>Visiškas atsakas* – abi fazės</w:t>
            </w:r>
          </w:p>
        </w:tc>
        <w:tc>
          <w:tcPr>
            <w:tcW w:w="2895" w:type="dxa"/>
            <w:tcBorders>
              <w:top w:val="single" w:sz="4" w:space="0" w:color="000000"/>
              <w:left w:val="single" w:sz="4" w:space="0" w:color="000000"/>
              <w:bottom w:val="single" w:sz="4" w:space="0" w:color="000000"/>
              <w:right w:val="single" w:sz="4" w:space="0" w:color="000000"/>
            </w:tcBorders>
          </w:tcPr>
          <w:p w14:paraId="09B43495" w14:textId="77777777" w:rsidR="00FF2DF9" w:rsidRPr="007A17AE" w:rsidRDefault="00FF2DF9" w:rsidP="007A17AE">
            <w:pPr>
              <w:spacing w:line="240" w:lineRule="auto"/>
              <w:contextualSpacing/>
              <w:jc w:val="center"/>
              <w:rPr>
                <w:szCs w:val="22"/>
              </w:rPr>
            </w:pPr>
            <w:r w:rsidRPr="007A17AE">
              <w:rPr>
                <w:szCs w:val="22"/>
              </w:rPr>
              <w:t>61/152 (40</w:t>
            </w:r>
            <w:r w:rsidR="007644C8" w:rsidRPr="007A17AE">
              <w:rPr>
                <w:szCs w:val="22"/>
              </w:rPr>
              <w:t>,</w:t>
            </w:r>
            <w:r w:rsidRPr="007A17AE">
              <w:rPr>
                <w:szCs w:val="22"/>
              </w:rPr>
              <w:t>1</w:t>
            </w:r>
            <w:r w:rsidRPr="007A17AE">
              <w:rPr>
                <w:spacing w:val="-2"/>
                <w:szCs w:val="22"/>
              </w:rPr>
              <w:t>)</w:t>
            </w:r>
            <w:r w:rsidRPr="007A17AE">
              <w:rPr>
                <w:position w:val="10"/>
                <w:szCs w:val="22"/>
              </w:rPr>
              <w:t>†</w:t>
            </w:r>
          </w:p>
        </w:tc>
        <w:tc>
          <w:tcPr>
            <w:tcW w:w="2006" w:type="dxa"/>
            <w:tcBorders>
              <w:top w:val="single" w:sz="4" w:space="0" w:color="000000"/>
              <w:left w:val="single" w:sz="4" w:space="0" w:color="000000"/>
              <w:bottom w:val="single" w:sz="4" w:space="0" w:color="000000"/>
              <w:right w:val="single" w:sz="4" w:space="0" w:color="000000"/>
            </w:tcBorders>
          </w:tcPr>
          <w:p w14:paraId="6151EB87" w14:textId="77777777" w:rsidR="00FF2DF9" w:rsidRPr="007A17AE" w:rsidRDefault="00FF2DF9" w:rsidP="007A17AE">
            <w:pPr>
              <w:spacing w:line="240" w:lineRule="auto"/>
              <w:contextualSpacing/>
              <w:jc w:val="center"/>
              <w:rPr>
                <w:szCs w:val="22"/>
              </w:rPr>
            </w:pPr>
            <w:r w:rsidRPr="007A17AE">
              <w:rPr>
                <w:szCs w:val="22"/>
              </w:rPr>
              <w:t>30/150 (20</w:t>
            </w:r>
            <w:r w:rsidR="007644C8" w:rsidRPr="007A17AE">
              <w:rPr>
                <w:szCs w:val="22"/>
              </w:rPr>
              <w:t>,</w:t>
            </w:r>
            <w:r w:rsidRPr="007A17AE">
              <w:rPr>
                <w:szCs w:val="22"/>
              </w:rPr>
              <w:t>0)</w:t>
            </w:r>
          </w:p>
        </w:tc>
      </w:tr>
      <w:tr w:rsidR="00FF2DF9" w:rsidRPr="007A17AE" w14:paraId="552CA498" w14:textId="77777777" w:rsidTr="00E040B0">
        <w:trPr>
          <w:trHeight w:hRule="exact" w:val="337"/>
        </w:trPr>
        <w:tc>
          <w:tcPr>
            <w:tcW w:w="4775" w:type="dxa"/>
            <w:tcBorders>
              <w:top w:val="single" w:sz="4" w:space="0" w:color="000000"/>
              <w:left w:val="single" w:sz="4" w:space="0" w:color="000000"/>
              <w:bottom w:val="single" w:sz="4" w:space="0" w:color="000000"/>
              <w:right w:val="single" w:sz="4" w:space="0" w:color="000000"/>
            </w:tcBorders>
          </w:tcPr>
          <w:p w14:paraId="1B768EAF" w14:textId="77777777" w:rsidR="00FF2DF9" w:rsidRPr="007A17AE" w:rsidRDefault="00FF2DF9" w:rsidP="007A17AE">
            <w:pPr>
              <w:spacing w:line="240" w:lineRule="auto"/>
              <w:contextualSpacing/>
              <w:rPr>
                <w:szCs w:val="22"/>
              </w:rPr>
            </w:pPr>
            <w:r w:rsidRPr="007A17AE">
              <w:rPr>
                <w:szCs w:val="22"/>
              </w:rPr>
              <w:t>Vėmimo nebuvimas</w:t>
            </w:r>
            <w:r w:rsidRPr="007A17AE">
              <w:rPr>
                <w:position w:val="10"/>
                <w:szCs w:val="22"/>
              </w:rPr>
              <w:t>§</w:t>
            </w:r>
            <w:r w:rsidRPr="007A17AE">
              <w:rPr>
                <w:spacing w:val="19"/>
                <w:position w:val="10"/>
                <w:szCs w:val="22"/>
              </w:rPr>
              <w:t xml:space="preserve"> </w:t>
            </w:r>
            <w:r w:rsidRPr="007A17AE">
              <w:rPr>
                <w:szCs w:val="22"/>
              </w:rPr>
              <w:t>– abi fazės</w:t>
            </w:r>
          </w:p>
        </w:tc>
        <w:tc>
          <w:tcPr>
            <w:tcW w:w="2895" w:type="dxa"/>
            <w:tcBorders>
              <w:top w:val="single" w:sz="4" w:space="0" w:color="000000"/>
              <w:left w:val="single" w:sz="4" w:space="0" w:color="000000"/>
              <w:bottom w:val="single" w:sz="4" w:space="0" w:color="000000"/>
              <w:right w:val="single" w:sz="4" w:space="0" w:color="000000"/>
            </w:tcBorders>
          </w:tcPr>
          <w:p w14:paraId="2E4C9D6D" w14:textId="77777777" w:rsidR="00FF2DF9" w:rsidRPr="007A17AE" w:rsidRDefault="00FF2DF9" w:rsidP="007A17AE">
            <w:pPr>
              <w:spacing w:line="240" w:lineRule="auto"/>
              <w:contextualSpacing/>
              <w:jc w:val="center"/>
              <w:rPr>
                <w:szCs w:val="22"/>
              </w:rPr>
            </w:pPr>
            <w:r w:rsidRPr="007A17AE">
              <w:rPr>
                <w:szCs w:val="22"/>
              </w:rPr>
              <w:t>71/152 (46</w:t>
            </w:r>
            <w:r w:rsidR="007644C8" w:rsidRPr="007A17AE">
              <w:rPr>
                <w:szCs w:val="22"/>
              </w:rPr>
              <w:t>,</w:t>
            </w:r>
            <w:r w:rsidRPr="007A17AE">
              <w:rPr>
                <w:szCs w:val="22"/>
              </w:rPr>
              <w:t>7</w:t>
            </w:r>
            <w:r w:rsidRPr="007A17AE">
              <w:rPr>
                <w:spacing w:val="-2"/>
                <w:szCs w:val="22"/>
              </w:rPr>
              <w:t>)</w:t>
            </w:r>
            <w:r w:rsidRPr="007A17AE">
              <w:rPr>
                <w:position w:val="10"/>
                <w:szCs w:val="22"/>
              </w:rPr>
              <w:t>†</w:t>
            </w:r>
          </w:p>
        </w:tc>
        <w:tc>
          <w:tcPr>
            <w:tcW w:w="2006" w:type="dxa"/>
            <w:tcBorders>
              <w:top w:val="single" w:sz="4" w:space="0" w:color="000000"/>
              <w:left w:val="single" w:sz="4" w:space="0" w:color="000000"/>
              <w:bottom w:val="single" w:sz="4" w:space="0" w:color="000000"/>
              <w:right w:val="single" w:sz="4" w:space="0" w:color="000000"/>
            </w:tcBorders>
          </w:tcPr>
          <w:p w14:paraId="4C402DDF" w14:textId="77777777" w:rsidR="00FF2DF9" w:rsidRPr="007A17AE" w:rsidRDefault="00FF2DF9" w:rsidP="007A17AE">
            <w:pPr>
              <w:spacing w:line="240" w:lineRule="auto"/>
              <w:contextualSpacing/>
              <w:jc w:val="center"/>
              <w:rPr>
                <w:szCs w:val="22"/>
              </w:rPr>
            </w:pPr>
            <w:r w:rsidRPr="007A17AE">
              <w:rPr>
                <w:szCs w:val="22"/>
              </w:rPr>
              <w:t>32/150 (21</w:t>
            </w:r>
            <w:r w:rsidR="007644C8" w:rsidRPr="007A17AE">
              <w:rPr>
                <w:szCs w:val="22"/>
              </w:rPr>
              <w:t>,</w:t>
            </w:r>
            <w:r w:rsidRPr="007A17AE">
              <w:rPr>
                <w:szCs w:val="22"/>
              </w:rPr>
              <w:t>3)</w:t>
            </w:r>
          </w:p>
        </w:tc>
      </w:tr>
      <w:tr w:rsidR="00FF2DF9" w:rsidRPr="007A17AE" w14:paraId="249140B9" w14:textId="77777777" w:rsidTr="006B71CC">
        <w:trPr>
          <w:trHeight w:val="2268"/>
        </w:trPr>
        <w:tc>
          <w:tcPr>
            <w:tcW w:w="7938" w:type="dxa"/>
            <w:gridSpan w:val="3"/>
            <w:tcBorders>
              <w:top w:val="single" w:sz="4" w:space="0" w:color="000000"/>
              <w:left w:val="single" w:sz="4" w:space="0" w:color="000000"/>
              <w:bottom w:val="single" w:sz="4" w:space="0" w:color="000000"/>
              <w:right w:val="single" w:sz="4" w:space="0" w:color="000000"/>
            </w:tcBorders>
          </w:tcPr>
          <w:p w14:paraId="2CB33A3B" w14:textId="77777777" w:rsidR="00FB3E00" w:rsidRPr="007A17AE" w:rsidRDefault="00FB3E00" w:rsidP="007A17AE">
            <w:pPr>
              <w:tabs>
                <w:tab w:val="clear" w:pos="567"/>
              </w:tabs>
              <w:autoSpaceDE w:val="0"/>
              <w:autoSpaceDN w:val="0"/>
              <w:adjustRightInd w:val="0"/>
              <w:spacing w:line="240" w:lineRule="auto"/>
              <w:ind w:left="170" w:hanging="170"/>
              <w:contextualSpacing/>
              <w:rPr>
                <w:rFonts w:eastAsia="TimesNewRoman"/>
                <w:szCs w:val="22"/>
                <w:lang w:eastAsia="lt-LT"/>
              </w:rPr>
            </w:pPr>
            <w:r w:rsidRPr="007A17AE">
              <w:rPr>
                <w:rFonts w:eastAsia="TimesNewRoman"/>
                <w:szCs w:val="22"/>
                <w:lang w:eastAsia="lt-LT"/>
              </w:rPr>
              <w:t>* Visiškas atsakas – vėmimo, žiaukčiojimo ir sauso raugčiojimo nebuvimas nevartojus gelbėjamųjų vaistinių preparatų.</w:t>
            </w:r>
          </w:p>
          <w:p w14:paraId="72CDA932" w14:textId="77777777" w:rsidR="00FB3E00" w:rsidRPr="007A17AE" w:rsidRDefault="00FB3E00" w:rsidP="007A17AE">
            <w:pPr>
              <w:tabs>
                <w:tab w:val="clear" w:pos="567"/>
              </w:tabs>
              <w:autoSpaceDE w:val="0"/>
              <w:autoSpaceDN w:val="0"/>
              <w:adjustRightInd w:val="0"/>
              <w:spacing w:line="240" w:lineRule="auto"/>
              <w:ind w:left="332" w:hanging="332"/>
              <w:contextualSpacing/>
              <w:rPr>
                <w:rFonts w:eastAsia="TimesNewRoman"/>
                <w:szCs w:val="22"/>
                <w:lang w:eastAsia="lt-LT"/>
              </w:rPr>
            </w:pPr>
            <w:r w:rsidRPr="007A17AE">
              <w:rPr>
                <w:rFonts w:eastAsia="TimesNewRoman"/>
                <w:szCs w:val="22"/>
                <w:lang w:eastAsia="lt-LT"/>
              </w:rPr>
              <w:t>† p</w:t>
            </w:r>
            <w:r w:rsidR="00C1636F">
              <w:rPr>
                <w:rFonts w:eastAsia="TimesNewRoman"/>
                <w:szCs w:val="22"/>
                <w:lang w:eastAsia="lt-LT"/>
              </w:rPr>
              <w:t> </w:t>
            </w:r>
            <w:r w:rsidRPr="007A17AE">
              <w:rPr>
                <w:rFonts w:eastAsia="TimesNewRoman"/>
                <w:szCs w:val="22"/>
                <w:lang w:eastAsia="lt-LT"/>
              </w:rPr>
              <w:t>&lt;</w:t>
            </w:r>
            <w:r w:rsidR="00C1636F">
              <w:rPr>
                <w:rFonts w:eastAsia="TimesNewRoman"/>
                <w:szCs w:val="22"/>
                <w:lang w:eastAsia="lt-LT"/>
              </w:rPr>
              <w:t> </w:t>
            </w:r>
            <w:r w:rsidRPr="007A17AE">
              <w:rPr>
                <w:rFonts w:eastAsia="TimesNewRoman"/>
                <w:szCs w:val="22"/>
                <w:lang w:eastAsia="lt-LT"/>
              </w:rPr>
              <w:t>0,01, palyginus su kontroline schema.</w:t>
            </w:r>
          </w:p>
          <w:p w14:paraId="56E0D31B" w14:textId="77777777" w:rsidR="00FB3E00" w:rsidRPr="007A17AE" w:rsidRDefault="00FB3E00" w:rsidP="007A17AE">
            <w:pPr>
              <w:tabs>
                <w:tab w:val="clear" w:pos="567"/>
              </w:tabs>
              <w:autoSpaceDE w:val="0"/>
              <w:autoSpaceDN w:val="0"/>
              <w:adjustRightInd w:val="0"/>
              <w:spacing w:line="240" w:lineRule="auto"/>
              <w:ind w:left="332" w:hanging="332"/>
              <w:contextualSpacing/>
              <w:rPr>
                <w:rFonts w:eastAsia="TimesNewRoman"/>
                <w:szCs w:val="22"/>
                <w:lang w:eastAsia="lt-LT"/>
              </w:rPr>
            </w:pPr>
            <w:r w:rsidRPr="007A17AE">
              <w:rPr>
                <w:rFonts w:eastAsia="TimesNewRoman"/>
                <w:szCs w:val="22"/>
                <w:lang w:eastAsia="lt-LT"/>
              </w:rPr>
              <w:t>‡ p</w:t>
            </w:r>
            <w:r w:rsidR="00C1636F">
              <w:rPr>
                <w:rFonts w:eastAsia="TimesNewRoman"/>
                <w:szCs w:val="22"/>
                <w:lang w:eastAsia="lt-LT"/>
              </w:rPr>
              <w:t> </w:t>
            </w:r>
            <w:r w:rsidRPr="007A17AE">
              <w:rPr>
                <w:rFonts w:eastAsia="TimesNewRoman"/>
                <w:szCs w:val="22"/>
                <w:lang w:eastAsia="lt-LT"/>
              </w:rPr>
              <w:t>&lt;</w:t>
            </w:r>
            <w:r w:rsidR="00C1636F">
              <w:rPr>
                <w:rFonts w:eastAsia="TimesNewRoman"/>
                <w:szCs w:val="22"/>
                <w:lang w:eastAsia="lt-LT"/>
              </w:rPr>
              <w:t> </w:t>
            </w:r>
            <w:r w:rsidRPr="007A17AE">
              <w:rPr>
                <w:rFonts w:eastAsia="TimesNewRoman"/>
                <w:szCs w:val="22"/>
                <w:lang w:eastAsia="lt-LT"/>
              </w:rPr>
              <w:t>0,05, palyginus su kontroline schema.</w:t>
            </w:r>
          </w:p>
          <w:p w14:paraId="0A0F9B0A" w14:textId="77777777" w:rsidR="00FB3E00" w:rsidRPr="007A17AE" w:rsidRDefault="00FB3E00" w:rsidP="007A17AE">
            <w:pPr>
              <w:tabs>
                <w:tab w:val="clear" w:pos="567"/>
              </w:tabs>
              <w:autoSpaceDE w:val="0"/>
              <w:autoSpaceDN w:val="0"/>
              <w:adjustRightInd w:val="0"/>
              <w:spacing w:line="240" w:lineRule="auto"/>
              <w:ind w:left="332" w:hanging="332"/>
              <w:contextualSpacing/>
              <w:rPr>
                <w:rFonts w:eastAsia="TimesNewRoman"/>
                <w:szCs w:val="22"/>
                <w:lang w:eastAsia="lt-LT"/>
              </w:rPr>
            </w:pPr>
            <w:r w:rsidRPr="007A17AE">
              <w:rPr>
                <w:rFonts w:eastAsia="TimesNewRoman"/>
                <w:szCs w:val="22"/>
                <w:lang w:eastAsia="lt-LT"/>
              </w:rPr>
              <w:t>§ Nebuvo vėmimo – nebuvo vėmimo, žiaukčiojimo ir sauso raugčiojimo.</w:t>
            </w:r>
          </w:p>
          <w:p w14:paraId="13BB7526" w14:textId="77777777" w:rsidR="00FB3E00" w:rsidRPr="007A17AE" w:rsidRDefault="00FB3E00" w:rsidP="007A17AE">
            <w:pPr>
              <w:tabs>
                <w:tab w:val="clear" w:pos="567"/>
              </w:tabs>
              <w:autoSpaceDE w:val="0"/>
              <w:autoSpaceDN w:val="0"/>
              <w:adjustRightInd w:val="0"/>
              <w:spacing w:line="240" w:lineRule="auto"/>
              <w:ind w:left="332" w:hanging="332"/>
              <w:contextualSpacing/>
              <w:rPr>
                <w:rFonts w:eastAsia="TimesNewRoman"/>
                <w:szCs w:val="22"/>
                <w:lang w:eastAsia="lt-LT"/>
              </w:rPr>
            </w:pPr>
            <w:r w:rsidRPr="007A17AE">
              <w:rPr>
                <w:rFonts w:eastAsia="TimesNewRoman"/>
                <w:szCs w:val="22"/>
                <w:lang w:eastAsia="lt-LT"/>
              </w:rPr>
              <w:t>n/m = pacientų, kuriems pasireiškė pageidaujamas atsakas, skaičiaus santykis su įtrauktų pacientų skaičiumi.</w:t>
            </w:r>
          </w:p>
          <w:p w14:paraId="1989F438" w14:textId="77777777" w:rsidR="00FB3E00" w:rsidRPr="007A17AE" w:rsidRDefault="00FB3E00"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Ūminė fazė – pirmos 24</w:t>
            </w:r>
            <w:r w:rsidR="00C1636F">
              <w:rPr>
                <w:rFonts w:eastAsia="TimesNewRoman"/>
                <w:szCs w:val="22"/>
                <w:lang w:eastAsia="lt-LT"/>
              </w:rPr>
              <w:t> </w:t>
            </w:r>
            <w:r w:rsidRPr="007A17AE">
              <w:rPr>
                <w:rFonts w:eastAsia="TimesNewRoman"/>
                <w:szCs w:val="22"/>
                <w:lang w:eastAsia="lt-LT"/>
              </w:rPr>
              <w:t>val. po chemoterapijos pradžios.</w:t>
            </w:r>
          </w:p>
          <w:p w14:paraId="5C6AD1C6" w14:textId="77777777" w:rsidR="00FB3E00" w:rsidRPr="007A17AE" w:rsidRDefault="00FB3E00"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Vėlyvoji fazė – nuo 25-os iki 120-os</w:t>
            </w:r>
            <w:r w:rsidR="00C1636F">
              <w:rPr>
                <w:rFonts w:eastAsia="TimesNewRoman"/>
                <w:szCs w:val="22"/>
                <w:lang w:eastAsia="lt-LT"/>
              </w:rPr>
              <w:t> </w:t>
            </w:r>
            <w:r w:rsidRPr="007A17AE">
              <w:rPr>
                <w:rFonts w:eastAsia="TimesNewRoman"/>
                <w:szCs w:val="22"/>
                <w:lang w:eastAsia="lt-LT"/>
              </w:rPr>
              <w:t>valandos nuo chemoterapijos pradžios.</w:t>
            </w:r>
          </w:p>
          <w:p w14:paraId="08FE7312" w14:textId="77777777" w:rsidR="00FF2DF9" w:rsidRPr="007A17AE" w:rsidRDefault="00FB3E00" w:rsidP="00C1636F">
            <w:pPr>
              <w:spacing w:line="240" w:lineRule="auto"/>
              <w:contextualSpacing/>
              <w:rPr>
                <w:szCs w:val="22"/>
              </w:rPr>
            </w:pPr>
            <w:r w:rsidRPr="007A17AE">
              <w:rPr>
                <w:rFonts w:eastAsia="TimesNewRoman"/>
                <w:szCs w:val="22"/>
                <w:lang w:eastAsia="lt-LT"/>
              </w:rPr>
              <w:t>Abi fazės – pirmos 120</w:t>
            </w:r>
            <w:r w:rsidR="00C1636F">
              <w:rPr>
                <w:rFonts w:eastAsia="TimesNewRoman"/>
                <w:szCs w:val="22"/>
                <w:lang w:eastAsia="lt-LT"/>
              </w:rPr>
              <w:t> </w:t>
            </w:r>
            <w:r w:rsidRPr="007A17AE">
              <w:rPr>
                <w:rFonts w:eastAsia="TimesNewRoman"/>
                <w:szCs w:val="22"/>
                <w:lang w:eastAsia="lt-LT"/>
              </w:rPr>
              <w:t>val. po chemoterapijos pradžios.</w:t>
            </w:r>
          </w:p>
        </w:tc>
      </w:tr>
    </w:tbl>
    <w:p w14:paraId="736CC21C" w14:textId="77777777" w:rsidR="00DB0F72" w:rsidRPr="007A17AE" w:rsidRDefault="00DB0F72" w:rsidP="007A17AE">
      <w:pPr>
        <w:tabs>
          <w:tab w:val="clear" w:pos="567"/>
        </w:tabs>
        <w:autoSpaceDE w:val="0"/>
        <w:autoSpaceDN w:val="0"/>
        <w:adjustRightInd w:val="0"/>
        <w:spacing w:line="240" w:lineRule="auto"/>
        <w:contextualSpacing/>
        <w:rPr>
          <w:rFonts w:eastAsia="TimesNewRoman"/>
          <w:szCs w:val="22"/>
          <w:lang w:eastAsia="lt-LT"/>
        </w:rPr>
      </w:pPr>
    </w:p>
    <w:p w14:paraId="2E5FA243" w14:textId="77777777" w:rsidR="008B4F1F" w:rsidRPr="007A17AE" w:rsidRDefault="006B71CC"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 xml:space="preserve">Kaip pavaizduota </w:t>
      </w:r>
      <w:r w:rsidRPr="00B12DD0">
        <w:rPr>
          <w:rFonts w:eastAsia="TimesNewRoman"/>
          <w:i/>
          <w:szCs w:val="22"/>
          <w:lang w:eastAsia="lt-LT"/>
        </w:rPr>
        <w:t>Kaplan-Meier</w:t>
      </w:r>
      <w:r w:rsidRPr="007A17AE">
        <w:rPr>
          <w:rFonts w:eastAsia="TimesNewRoman"/>
          <w:szCs w:val="22"/>
          <w:lang w:eastAsia="lt-LT"/>
        </w:rPr>
        <w:t xml:space="preserve"> kreivėse 2 paveikslėlyje, apskaičiuotas laikas iki pirmo vėmimo po chemoterapijos pradžios taikant schemą su aprepitantu buvo ilgesnis negu kontrolinėje grupėje (mediana – atitinkamai 94,5 ir 26</w:t>
      </w:r>
      <w:r w:rsidR="00C1636F">
        <w:rPr>
          <w:rFonts w:eastAsia="TimesNewRoman"/>
          <w:szCs w:val="22"/>
          <w:lang w:eastAsia="lt-LT"/>
        </w:rPr>
        <w:t> </w:t>
      </w:r>
      <w:r w:rsidRPr="007A17AE">
        <w:rPr>
          <w:rFonts w:eastAsia="TimesNewRoman"/>
          <w:szCs w:val="22"/>
          <w:lang w:eastAsia="lt-LT"/>
        </w:rPr>
        <w:t>val.)</w:t>
      </w:r>
    </w:p>
    <w:p w14:paraId="25E0A202" w14:textId="77777777" w:rsidR="006B5287" w:rsidRPr="007A17AE" w:rsidRDefault="006B5287" w:rsidP="007A17AE">
      <w:pPr>
        <w:tabs>
          <w:tab w:val="clear" w:pos="567"/>
        </w:tabs>
        <w:autoSpaceDE w:val="0"/>
        <w:autoSpaceDN w:val="0"/>
        <w:adjustRightInd w:val="0"/>
        <w:spacing w:line="240" w:lineRule="auto"/>
        <w:contextualSpacing/>
        <w:rPr>
          <w:rFonts w:eastAsia="TimesNewRoman"/>
          <w:szCs w:val="22"/>
          <w:lang w:eastAsia="lt-LT"/>
        </w:rPr>
      </w:pPr>
    </w:p>
    <w:p w14:paraId="35B3ED03" w14:textId="7E7B8CFE" w:rsidR="00C21B83" w:rsidRPr="007A17AE" w:rsidRDefault="00B12DD0"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noProof/>
          <w:szCs w:val="22"/>
          <w:lang w:eastAsia="lt-LT"/>
        </w:rPr>
        <w:drawing>
          <wp:inline distT="0" distB="0" distL="0" distR="0" wp14:anchorId="4CB6428F" wp14:editId="6F71DEC1">
            <wp:extent cx="5629275" cy="34385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9275" cy="3438525"/>
                    </a:xfrm>
                    <a:prstGeom prst="rect">
                      <a:avLst/>
                    </a:prstGeom>
                    <a:noFill/>
                    <a:ln>
                      <a:noFill/>
                    </a:ln>
                  </pic:spPr>
                </pic:pic>
              </a:graphicData>
            </a:graphic>
          </wp:inline>
        </w:drawing>
      </w:r>
    </w:p>
    <w:p w14:paraId="52984E1A" w14:textId="77777777" w:rsidR="00816589" w:rsidRPr="007A17AE" w:rsidRDefault="00816589" w:rsidP="007A17AE">
      <w:pPr>
        <w:tabs>
          <w:tab w:val="clear" w:pos="567"/>
        </w:tabs>
        <w:autoSpaceDE w:val="0"/>
        <w:autoSpaceDN w:val="0"/>
        <w:adjustRightInd w:val="0"/>
        <w:spacing w:line="240" w:lineRule="auto"/>
        <w:contextualSpacing/>
        <w:rPr>
          <w:rFonts w:eastAsia="TimesNewRoman"/>
          <w:szCs w:val="22"/>
          <w:lang w:eastAsia="lt-LT"/>
        </w:rPr>
      </w:pPr>
    </w:p>
    <w:p w14:paraId="37F91642" w14:textId="77777777" w:rsidR="00D562C1" w:rsidRPr="007A17AE" w:rsidRDefault="006B71CC"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lastRenderedPageBreak/>
        <w:t>Veiksmingumo 1-o ciklo metu pagal subpopuliacijas analizė parodė geresnį schemų su aprepitantu</w:t>
      </w:r>
      <w:r w:rsidR="00E040B0" w:rsidRPr="007A17AE">
        <w:rPr>
          <w:rFonts w:eastAsia="TimesNewRoman"/>
          <w:szCs w:val="22"/>
          <w:lang w:eastAsia="lt-LT"/>
        </w:rPr>
        <w:t xml:space="preserve"> </w:t>
      </w:r>
      <w:r w:rsidRPr="007A17AE">
        <w:rPr>
          <w:rFonts w:eastAsia="TimesNewRoman"/>
          <w:szCs w:val="22"/>
          <w:lang w:eastAsia="lt-LT"/>
        </w:rPr>
        <w:t xml:space="preserve">poveikį pagal </w:t>
      </w:r>
      <w:r w:rsidR="00E040B0" w:rsidRPr="007A17AE">
        <w:rPr>
          <w:rFonts w:eastAsia="TimesNewRoman"/>
          <w:szCs w:val="22"/>
          <w:lang w:eastAsia="lt-LT"/>
        </w:rPr>
        <w:t>visiško</w:t>
      </w:r>
      <w:r w:rsidRPr="007A17AE">
        <w:rPr>
          <w:rFonts w:eastAsia="TimesNewRoman"/>
          <w:szCs w:val="22"/>
          <w:lang w:eastAsia="lt-LT"/>
        </w:rPr>
        <w:t xml:space="preserve"> atsako vertinamąsias baigtis nepriklausomai nuo amžiaus grupės, lyties,</w:t>
      </w:r>
      <w:r w:rsidR="00E040B0" w:rsidRPr="007A17AE">
        <w:rPr>
          <w:rFonts w:eastAsia="TimesNewRoman"/>
          <w:szCs w:val="22"/>
          <w:lang w:eastAsia="lt-LT"/>
        </w:rPr>
        <w:t xml:space="preserve"> </w:t>
      </w:r>
      <w:r w:rsidRPr="007A17AE">
        <w:rPr>
          <w:rFonts w:eastAsia="TimesNewRoman"/>
          <w:szCs w:val="22"/>
          <w:lang w:eastAsia="lt-LT"/>
        </w:rPr>
        <w:t>deksametazono vartojimo pykinimo ir vėmimo profilaktikai bei chemoterapijos emetogeniškumo.</w:t>
      </w:r>
    </w:p>
    <w:p w14:paraId="69D7C182" w14:textId="77777777" w:rsidR="00B35181" w:rsidRPr="007A17AE" w:rsidRDefault="00B35181" w:rsidP="007A17AE">
      <w:pPr>
        <w:numPr>
          <w:ilvl w:val="12"/>
          <w:numId w:val="0"/>
        </w:numPr>
        <w:spacing w:line="240" w:lineRule="auto"/>
        <w:ind w:right="-2"/>
        <w:contextualSpacing/>
        <w:rPr>
          <w:iCs/>
          <w:szCs w:val="22"/>
        </w:rPr>
      </w:pPr>
    </w:p>
    <w:p w14:paraId="152788C6" w14:textId="77777777" w:rsidR="00FA04BA" w:rsidRPr="007A17AE" w:rsidRDefault="00FA04BA" w:rsidP="007A17AE">
      <w:pPr>
        <w:spacing w:line="240" w:lineRule="auto"/>
        <w:ind w:left="567" w:hanging="567"/>
        <w:contextualSpacing/>
        <w:outlineLvl w:val="0"/>
        <w:rPr>
          <w:b/>
          <w:szCs w:val="22"/>
        </w:rPr>
      </w:pPr>
      <w:r w:rsidRPr="007A17AE">
        <w:rPr>
          <w:b/>
          <w:szCs w:val="22"/>
        </w:rPr>
        <w:t>5.2</w:t>
      </w:r>
      <w:r w:rsidRPr="007A17AE">
        <w:rPr>
          <w:b/>
          <w:szCs w:val="22"/>
        </w:rPr>
        <w:tab/>
        <w:t>Farmakokinetinės savybės</w:t>
      </w:r>
    </w:p>
    <w:p w14:paraId="28B6C0AA" w14:textId="77777777" w:rsidR="00B35181" w:rsidRPr="007A17AE" w:rsidRDefault="00B35181" w:rsidP="007A17AE">
      <w:pPr>
        <w:spacing w:line="240" w:lineRule="auto"/>
        <w:ind w:left="567" w:hanging="567"/>
        <w:contextualSpacing/>
        <w:outlineLvl w:val="0"/>
        <w:rPr>
          <w:szCs w:val="22"/>
        </w:rPr>
      </w:pPr>
    </w:p>
    <w:p w14:paraId="0609FE19" w14:textId="77777777" w:rsidR="00E040B0" w:rsidRPr="007A17AE" w:rsidRDefault="00E040B0"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Aprepitantui būdinga netiesinė farmakokinetika. Didinant dozę mažėja tiek klirensas, tiek absoliutus biologinis prieinamumas.</w:t>
      </w:r>
    </w:p>
    <w:p w14:paraId="4865AB5F" w14:textId="77777777" w:rsidR="00E040B0" w:rsidRPr="007A17AE" w:rsidRDefault="00E040B0" w:rsidP="007A17AE">
      <w:pPr>
        <w:tabs>
          <w:tab w:val="clear" w:pos="567"/>
        </w:tabs>
        <w:autoSpaceDE w:val="0"/>
        <w:autoSpaceDN w:val="0"/>
        <w:adjustRightInd w:val="0"/>
        <w:spacing w:line="240" w:lineRule="auto"/>
        <w:contextualSpacing/>
        <w:rPr>
          <w:rFonts w:eastAsia="TimesNewRoman"/>
          <w:szCs w:val="22"/>
          <w:lang w:eastAsia="lt-LT"/>
        </w:rPr>
      </w:pPr>
    </w:p>
    <w:p w14:paraId="7F6C2E61" w14:textId="77777777" w:rsidR="00E040B0" w:rsidRPr="007A17AE" w:rsidRDefault="00E040B0" w:rsidP="007A17AE">
      <w:pPr>
        <w:tabs>
          <w:tab w:val="clear" w:pos="567"/>
        </w:tabs>
        <w:autoSpaceDE w:val="0"/>
        <w:autoSpaceDN w:val="0"/>
        <w:adjustRightInd w:val="0"/>
        <w:spacing w:line="240" w:lineRule="auto"/>
        <w:contextualSpacing/>
        <w:rPr>
          <w:rFonts w:eastAsia="TimesNewRoman"/>
          <w:szCs w:val="22"/>
          <w:u w:val="single"/>
          <w:lang w:eastAsia="lt-LT"/>
        </w:rPr>
      </w:pPr>
      <w:r w:rsidRPr="007A17AE">
        <w:rPr>
          <w:rFonts w:eastAsia="TimesNewRoman"/>
          <w:szCs w:val="22"/>
          <w:u w:val="single"/>
          <w:lang w:eastAsia="lt-LT"/>
        </w:rPr>
        <w:t>Absorbcija</w:t>
      </w:r>
    </w:p>
    <w:p w14:paraId="743C3B64" w14:textId="77777777" w:rsidR="00E040B0" w:rsidRPr="007A17AE" w:rsidRDefault="00E040B0"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Aprepitanto absoliutaus biologinio prieinamumo vidurkis yra 67</w:t>
      </w:r>
      <w:r w:rsidR="00C1636F">
        <w:rPr>
          <w:rFonts w:eastAsia="TimesNewRoman"/>
          <w:szCs w:val="22"/>
          <w:lang w:eastAsia="lt-LT"/>
        </w:rPr>
        <w:t> </w:t>
      </w:r>
      <w:r w:rsidRPr="007A17AE">
        <w:rPr>
          <w:rFonts w:eastAsia="TimesNewRoman"/>
          <w:szCs w:val="22"/>
          <w:lang w:eastAsia="lt-LT"/>
        </w:rPr>
        <w:t>%, kai vartojama 80</w:t>
      </w:r>
      <w:r w:rsidR="00C1636F">
        <w:rPr>
          <w:rFonts w:eastAsia="TimesNewRoman"/>
          <w:szCs w:val="22"/>
          <w:lang w:eastAsia="lt-LT"/>
        </w:rPr>
        <w:t> </w:t>
      </w:r>
      <w:r w:rsidRPr="007A17AE">
        <w:rPr>
          <w:rFonts w:eastAsia="TimesNewRoman"/>
          <w:szCs w:val="22"/>
          <w:lang w:eastAsia="lt-LT"/>
        </w:rPr>
        <w:t>mg kapsulė, ir 59</w:t>
      </w:r>
      <w:r w:rsidR="00C1636F">
        <w:rPr>
          <w:rFonts w:eastAsia="TimesNewRoman"/>
          <w:szCs w:val="22"/>
          <w:lang w:eastAsia="lt-LT"/>
        </w:rPr>
        <w:t> </w:t>
      </w:r>
      <w:r w:rsidRPr="007A17AE">
        <w:rPr>
          <w:rFonts w:eastAsia="TimesNewRoman"/>
          <w:szCs w:val="22"/>
          <w:lang w:eastAsia="lt-LT"/>
        </w:rPr>
        <w:t>% – jeigu vartojama 125</w:t>
      </w:r>
      <w:r w:rsidR="00C1636F">
        <w:rPr>
          <w:rFonts w:eastAsia="TimesNewRoman"/>
          <w:szCs w:val="22"/>
          <w:lang w:eastAsia="lt-LT"/>
        </w:rPr>
        <w:t> </w:t>
      </w:r>
      <w:r w:rsidRPr="007A17AE">
        <w:rPr>
          <w:rFonts w:eastAsia="TimesNewRoman"/>
          <w:szCs w:val="22"/>
          <w:lang w:eastAsia="lt-LT"/>
        </w:rPr>
        <w:t xml:space="preserve">mg kapsulė. Vidutinė didžiausia aprepitanto koncentracija </w:t>
      </w:r>
      <w:r w:rsidR="003751E8">
        <w:rPr>
          <w:rFonts w:eastAsia="TimesNewRoman"/>
          <w:szCs w:val="22"/>
          <w:lang w:eastAsia="lt-LT"/>
        </w:rPr>
        <w:t xml:space="preserve">kraujo </w:t>
      </w:r>
      <w:r w:rsidRPr="007A17AE">
        <w:rPr>
          <w:rFonts w:eastAsia="TimesNewRoman"/>
          <w:szCs w:val="22"/>
          <w:lang w:eastAsia="lt-LT"/>
        </w:rPr>
        <w:t>plazmoje (C</w:t>
      </w:r>
      <w:r w:rsidRPr="00F122CC">
        <w:rPr>
          <w:rFonts w:eastAsia="TimesNewRoman"/>
          <w:szCs w:val="22"/>
          <w:vertAlign w:val="subscript"/>
          <w:lang w:eastAsia="lt-LT"/>
        </w:rPr>
        <w:t>max</w:t>
      </w:r>
      <w:r w:rsidRPr="007A17AE">
        <w:rPr>
          <w:rFonts w:eastAsia="TimesNewRoman"/>
          <w:szCs w:val="22"/>
          <w:lang w:eastAsia="lt-LT"/>
        </w:rPr>
        <w:t>) atsiranda maždaug po 4</w:t>
      </w:r>
      <w:r w:rsidR="00091B4C">
        <w:rPr>
          <w:rFonts w:eastAsia="TimesNewRoman"/>
          <w:szCs w:val="22"/>
          <w:lang w:eastAsia="lt-LT"/>
        </w:rPr>
        <w:t> </w:t>
      </w:r>
      <w:r w:rsidRPr="007A17AE">
        <w:rPr>
          <w:rFonts w:eastAsia="TimesNewRoman"/>
          <w:szCs w:val="22"/>
          <w:lang w:eastAsia="lt-LT"/>
        </w:rPr>
        <w:t>valandų (t</w:t>
      </w:r>
      <w:r w:rsidRPr="00F122CC">
        <w:rPr>
          <w:rFonts w:eastAsia="TimesNewRoman"/>
          <w:szCs w:val="22"/>
          <w:vertAlign w:val="subscript"/>
          <w:lang w:eastAsia="lt-LT"/>
        </w:rPr>
        <w:t>max</w:t>
      </w:r>
      <w:r w:rsidRPr="007A17AE">
        <w:rPr>
          <w:rFonts w:eastAsia="TimesNewRoman"/>
          <w:szCs w:val="22"/>
          <w:lang w:eastAsia="lt-LT"/>
        </w:rPr>
        <w:t>). Kapsulę išgėrus maždaug 800</w:t>
      </w:r>
      <w:r w:rsidR="00091B4C">
        <w:rPr>
          <w:rFonts w:eastAsia="TimesNewRoman"/>
          <w:szCs w:val="22"/>
          <w:lang w:eastAsia="lt-LT"/>
        </w:rPr>
        <w:t> </w:t>
      </w:r>
      <w:r w:rsidRPr="007A17AE">
        <w:rPr>
          <w:rFonts w:eastAsia="TimesNewRoman"/>
          <w:szCs w:val="22"/>
          <w:lang w:eastAsia="lt-LT"/>
        </w:rPr>
        <w:t>kcal standartinių pusryčių metu, aprepitanto AUC padidėja iki 40</w:t>
      </w:r>
      <w:r w:rsidR="00091B4C">
        <w:rPr>
          <w:rFonts w:eastAsia="TimesNewRoman"/>
          <w:szCs w:val="22"/>
          <w:lang w:eastAsia="lt-LT"/>
        </w:rPr>
        <w:t> </w:t>
      </w:r>
      <w:r w:rsidRPr="007A17AE">
        <w:rPr>
          <w:rFonts w:eastAsia="TimesNewRoman"/>
          <w:szCs w:val="22"/>
          <w:lang w:eastAsia="lt-LT"/>
        </w:rPr>
        <w:t>%. Manoma, kad šis padidėjimas yra kliniškai nereikšmingas.</w:t>
      </w:r>
    </w:p>
    <w:p w14:paraId="45BF6AC8" w14:textId="77777777" w:rsidR="00E040B0" w:rsidRPr="007A17AE" w:rsidRDefault="00E040B0" w:rsidP="007A17AE">
      <w:pPr>
        <w:tabs>
          <w:tab w:val="clear" w:pos="567"/>
        </w:tabs>
        <w:autoSpaceDE w:val="0"/>
        <w:autoSpaceDN w:val="0"/>
        <w:adjustRightInd w:val="0"/>
        <w:spacing w:line="240" w:lineRule="auto"/>
        <w:contextualSpacing/>
        <w:rPr>
          <w:rFonts w:eastAsia="TimesNewRoman"/>
          <w:szCs w:val="22"/>
          <w:lang w:eastAsia="lt-LT"/>
        </w:rPr>
      </w:pPr>
    </w:p>
    <w:p w14:paraId="5B705372" w14:textId="77777777" w:rsidR="00E040B0" w:rsidRPr="007A17AE" w:rsidRDefault="00E040B0"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 xml:space="preserve">Klinikinių dozių diapazone aprepitanto farmakokinetika yra netiesinė. Sveikų jaunų žmonių, pavalgius </w:t>
      </w:r>
      <w:r w:rsidR="00335DDE" w:rsidRPr="007A17AE">
        <w:rPr>
          <w:rFonts w:eastAsia="TimesNewRoman"/>
          <w:szCs w:val="22"/>
          <w:lang w:eastAsia="lt-LT"/>
        </w:rPr>
        <w:t xml:space="preserve">išgėrusių </w:t>
      </w:r>
      <w:r w:rsidRPr="007A17AE">
        <w:rPr>
          <w:rFonts w:eastAsia="TimesNewRoman"/>
          <w:szCs w:val="22"/>
          <w:lang w:eastAsia="lt-LT"/>
        </w:rPr>
        <w:t>nuo 80</w:t>
      </w:r>
      <w:r w:rsidR="00091B4C">
        <w:rPr>
          <w:rFonts w:eastAsia="TimesNewRoman"/>
          <w:szCs w:val="22"/>
          <w:lang w:eastAsia="lt-LT"/>
        </w:rPr>
        <w:t> </w:t>
      </w:r>
      <w:r w:rsidRPr="007A17AE">
        <w:rPr>
          <w:rFonts w:eastAsia="TimesNewRoman"/>
          <w:szCs w:val="22"/>
          <w:lang w:eastAsia="lt-LT"/>
        </w:rPr>
        <w:t>mg iki 125</w:t>
      </w:r>
      <w:r w:rsidR="00091B4C">
        <w:rPr>
          <w:rFonts w:eastAsia="TimesNewRoman"/>
          <w:szCs w:val="22"/>
          <w:lang w:eastAsia="lt-LT"/>
        </w:rPr>
        <w:t> </w:t>
      </w:r>
      <w:r w:rsidRPr="007A17AE">
        <w:rPr>
          <w:rFonts w:eastAsia="TimesNewRoman"/>
          <w:szCs w:val="22"/>
          <w:lang w:eastAsia="lt-LT"/>
        </w:rPr>
        <w:t xml:space="preserve">mg vienkartinę dozę, </w:t>
      </w:r>
      <w:r w:rsidRPr="007A17AE">
        <w:rPr>
          <w:szCs w:val="22"/>
        </w:rPr>
        <w:t>AU</w:t>
      </w:r>
      <w:r w:rsidRPr="007A17AE">
        <w:rPr>
          <w:spacing w:val="-1"/>
          <w:szCs w:val="22"/>
        </w:rPr>
        <w:t>C</w:t>
      </w:r>
      <w:r w:rsidRPr="00F122CC">
        <w:rPr>
          <w:rFonts w:eastAsia="TimesNewRoman"/>
          <w:szCs w:val="22"/>
          <w:vertAlign w:val="subscript"/>
          <w:lang w:eastAsia="lt-LT"/>
        </w:rPr>
        <w:t>0-∞</w:t>
      </w:r>
      <w:r w:rsidRPr="007A17AE">
        <w:rPr>
          <w:position w:val="-3"/>
          <w:szCs w:val="22"/>
        </w:rPr>
        <w:t xml:space="preserve"> </w:t>
      </w:r>
      <w:r w:rsidRPr="007A17AE">
        <w:rPr>
          <w:rFonts w:eastAsia="TimesNewRoman"/>
          <w:szCs w:val="22"/>
          <w:lang w:eastAsia="lt-LT"/>
        </w:rPr>
        <w:t>padidėjo 26</w:t>
      </w:r>
      <w:r w:rsidR="00091B4C">
        <w:rPr>
          <w:rFonts w:eastAsia="TimesNewRoman"/>
          <w:szCs w:val="22"/>
          <w:lang w:eastAsia="lt-LT"/>
        </w:rPr>
        <w:t> </w:t>
      </w:r>
      <w:r w:rsidRPr="007A17AE">
        <w:rPr>
          <w:rFonts w:eastAsia="TimesNewRoman"/>
          <w:szCs w:val="22"/>
          <w:lang w:eastAsia="lt-LT"/>
        </w:rPr>
        <w:t>% daugiau, negu turėtų didėti proporcingai suvartotai dozei.</w:t>
      </w:r>
    </w:p>
    <w:p w14:paraId="7F3E1F9E" w14:textId="77777777" w:rsidR="00335DDE" w:rsidRPr="007A17AE" w:rsidRDefault="00335DDE" w:rsidP="007A17AE">
      <w:pPr>
        <w:tabs>
          <w:tab w:val="clear" w:pos="567"/>
        </w:tabs>
        <w:autoSpaceDE w:val="0"/>
        <w:autoSpaceDN w:val="0"/>
        <w:adjustRightInd w:val="0"/>
        <w:spacing w:line="240" w:lineRule="auto"/>
        <w:contextualSpacing/>
        <w:rPr>
          <w:rFonts w:eastAsia="TimesNewRoman"/>
          <w:szCs w:val="22"/>
          <w:lang w:eastAsia="lt-LT"/>
        </w:rPr>
      </w:pPr>
    </w:p>
    <w:p w14:paraId="0D4FDD1F" w14:textId="77777777" w:rsidR="00E040B0" w:rsidRPr="007A17AE" w:rsidRDefault="00E040B0"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Išgėrus vienkartinę 125</w:t>
      </w:r>
      <w:r w:rsidR="00091B4C">
        <w:rPr>
          <w:rFonts w:eastAsia="TimesNewRoman"/>
          <w:szCs w:val="22"/>
          <w:lang w:eastAsia="lt-LT"/>
        </w:rPr>
        <w:t> </w:t>
      </w:r>
      <w:r w:rsidRPr="007A17AE">
        <w:rPr>
          <w:rFonts w:eastAsia="TimesNewRoman"/>
          <w:szCs w:val="22"/>
          <w:lang w:eastAsia="lt-LT"/>
        </w:rPr>
        <w:t xml:space="preserve">mg </w:t>
      </w:r>
      <w:r w:rsidR="00335DDE" w:rsidRPr="007A17AE">
        <w:rPr>
          <w:rFonts w:eastAsia="TimesNewRoman"/>
          <w:szCs w:val="22"/>
          <w:lang w:eastAsia="lt-LT"/>
        </w:rPr>
        <w:t>aprepitanto</w:t>
      </w:r>
      <w:r w:rsidRPr="007A17AE">
        <w:rPr>
          <w:rFonts w:eastAsia="TimesNewRoman"/>
          <w:szCs w:val="22"/>
          <w:lang w:eastAsia="lt-LT"/>
        </w:rPr>
        <w:t xml:space="preserve"> dozę 1-ąją dieną ir po 80</w:t>
      </w:r>
      <w:r w:rsidR="00091B4C">
        <w:rPr>
          <w:rFonts w:eastAsia="TimesNewRoman"/>
          <w:szCs w:val="22"/>
          <w:lang w:eastAsia="lt-LT"/>
        </w:rPr>
        <w:t> </w:t>
      </w:r>
      <w:r w:rsidRPr="007A17AE">
        <w:rPr>
          <w:rFonts w:eastAsia="TimesNewRoman"/>
          <w:szCs w:val="22"/>
          <w:lang w:eastAsia="lt-LT"/>
        </w:rPr>
        <w:t>mg vieną kartą per parą 2-ąją ir 3-iąją</w:t>
      </w:r>
      <w:r w:rsidR="00335DDE" w:rsidRPr="007A17AE">
        <w:rPr>
          <w:rFonts w:eastAsia="TimesNewRoman"/>
          <w:szCs w:val="22"/>
          <w:lang w:eastAsia="lt-LT"/>
        </w:rPr>
        <w:t xml:space="preserve"> </w:t>
      </w:r>
      <w:r w:rsidRPr="007A17AE">
        <w:rPr>
          <w:rFonts w:eastAsia="TimesNewRoman"/>
          <w:szCs w:val="22"/>
          <w:lang w:eastAsia="lt-LT"/>
        </w:rPr>
        <w:t>dienomis, AUC</w:t>
      </w:r>
      <w:r w:rsidRPr="00F122CC">
        <w:rPr>
          <w:rFonts w:eastAsia="TimesNewRoman"/>
          <w:szCs w:val="22"/>
          <w:vertAlign w:val="subscript"/>
          <w:lang w:eastAsia="lt-LT"/>
        </w:rPr>
        <w:t>0-24</w:t>
      </w:r>
      <w:r w:rsidR="00335DDE" w:rsidRPr="00F122CC">
        <w:rPr>
          <w:rFonts w:eastAsia="TimesNewRoman"/>
          <w:szCs w:val="22"/>
          <w:vertAlign w:val="subscript"/>
          <w:lang w:eastAsia="lt-LT"/>
        </w:rPr>
        <w:t>val</w:t>
      </w:r>
      <w:r w:rsidRPr="007A17AE">
        <w:rPr>
          <w:rFonts w:eastAsia="TimesNewRoman"/>
          <w:sz w:val="14"/>
          <w:szCs w:val="14"/>
          <w:lang w:eastAsia="lt-LT"/>
        </w:rPr>
        <w:t xml:space="preserve"> </w:t>
      </w:r>
      <w:r w:rsidRPr="007A17AE">
        <w:rPr>
          <w:rFonts w:eastAsia="TimesNewRoman"/>
          <w:szCs w:val="22"/>
          <w:lang w:eastAsia="lt-LT"/>
        </w:rPr>
        <w:t>(vidurkis ± SN) buvo 19,6</w:t>
      </w:r>
      <w:r w:rsidR="00091B4C">
        <w:rPr>
          <w:rFonts w:eastAsia="TimesNewRoman"/>
          <w:szCs w:val="22"/>
          <w:lang w:eastAsia="lt-LT"/>
        </w:rPr>
        <w:t> </w:t>
      </w:r>
      <w:r w:rsidR="00335DDE" w:rsidRPr="007A17AE">
        <w:rPr>
          <w:rFonts w:eastAsia="TimesNewRoman"/>
          <w:szCs w:val="22"/>
          <w:lang w:eastAsia="lt-LT"/>
        </w:rPr>
        <w:t>±</w:t>
      </w:r>
      <w:r w:rsidR="00091B4C">
        <w:rPr>
          <w:rFonts w:eastAsia="TimesNewRoman"/>
          <w:szCs w:val="22"/>
          <w:lang w:eastAsia="lt-LT"/>
        </w:rPr>
        <w:t> </w:t>
      </w:r>
      <w:r w:rsidRPr="007A17AE">
        <w:rPr>
          <w:rFonts w:eastAsia="TimesNewRoman"/>
          <w:szCs w:val="22"/>
          <w:lang w:eastAsia="lt-LT"/>
        </w:rPr>
        <w:t>2,5</w:t>
      </w:r>
      <w:r w:rsidR="00091B4C">
        <w:rPr>
          <w:rFonts w:eastAsia="TimesNewRoman"/>
          <w:szCs w:val="22"/>
          <w:lang w:eastAsia="lt-LT"/>
        </w:rPr>
        <w:t> </w:t>
      </w:r>
      <w:r w:rsidRPr="007A17AE">
        <w:rPr>
          <w:rFonts w:eastAsia="TimesNewRoman"/>
          <w:szCs w:val="22"/>
          <w:lang w:eastAsia="lt-LT"/>
        </w:rPr>
        <w:t>μg</w:t>
      </w:r>
      <w:r w:rsidR="00091B4C">
        <w:rPr>
          <w:rFonts w:eastAsia="TimesNewRoman"/>
          <w:szCs w:val="22"/>
          <w:lang w:eastAsia="lt-LT"/>
        </w:rPr>
        <w:t> </w:t>
      </w:r>
      <w:r w:rsidRPr="007A17AE">
        <w:rPr>
          <w:rFonts w:eastAsia="TimesNewRoman"/>
          <w:szCs w:val="22"/>
          <w:lang w:eastAsia="lt-LT"/>
        </w:rPr>
        <w:t>×</w:t>
      </w:r>
      <w:r w:rsidR="00091B4C">
        <w:rPr>
          <w:rFonts w:eastAsia="TimesNewRoman"/>
          <w:szCs w:val="22"/>
          <w:lang w:eastAsia="lt-LT"/>
        </w:rPr>
        <w:t> </w:t>
      </w:r>
      <w:r w:rsidRPr="007A17AE">
        <w:rPr>
          <w:rFonts w:eastAsia="TimesNewRoman"/>
          <w:szCs w:val="22"/>
          <w:lang w:eastAsia="lt-LT"/>
        </w:rPr>
        <w:t>val./ml ir 21,2</w:t>
      </w:r>
      <w:r w:rsidR="00091B4C">
        <w:rPr>
          <w:rFonts w:eastAsia="TimesNewRoman"/>
          <w:szCs w:val="22"/>
          <w:lang w:eastAsia="lt-LT"/>
        </w:rPr>
        <w:t> </w:t>
      </w:r>
      <w:r w:rsidR="00335DDE" w:rsidRPr="007A17AE">
        <w:rPr>
          <w:rFonts w:eastAsia="TimesNewRoman"/>
          <w:szCs w:val="22"/>
          <w:lang w:eastAsia="lt-LT"/>
        </w:rPr>
        <w:t>±</w:t>
      </w:r>
      <w:r w:rsidR="00091B4C">
        <w:rPr>
          <w:rFonts w:eastAsia="TimesNewRoman"/>
          <w:szCs w:val="22"/>
          <w:lang w:eastAsia="lt-LT"/>
        </w:rPr>
        <w:t> </w:t>
      </w:r>
      <w:r w:rsidRPr="007A17AE">
        <w:rPr>
          <w:rFonts w:eastAsia="TimesNewRoman"/>
          <w:szCs w:val="22"/>
          <w:lang w:eastAsia="lt-LT"/>
        </w:rPr>
        <w:t>6,3</w:t>
      </w:r>
      <w:r w:rsidR="00091B4C">
        <w:rPr>
          <w:rFonts w:eastAsia="TimesNewRoman"/>
          <w:szCs w:val="22"/>
          <w:lang w:eastAsia="lt-LT"/>
        </w:rPr>
        <w:t> </w:t>
      </w:r>
      <w:r w:rsidRPr="007A17AE">
        <w:rPr>
          <w:rFonts w:eastAsia="TimesNewRoman"/>
          <w:szCs w:val="22"/>
          <w:lang w:eastAsia="lt-LT"/>
        </w:rPr>
        <w:t>μg</w:t>
      </w:r>
      <w:r w:rsidR="00091B4C">
        <w:rPr>
          <w:rFonts w:eastAsia="TimesNewRoman"/>
          <w:szCs w:val="22"/>
          <w:lang w:eastAsia="lt-LT"/>
        </w:rPr>
        <w:t> </w:t>
      </w:r>
      <w:r w:rsidRPr="007A17AE">
        <w:rPr>
          <w:rFonts w:eastAsia="TimesNewRoman"/>
          <w:szCs w:val="22"/>
          <w:lang w:eastAsia="lt-LT"/>
        </w:rPr>
        <w:t>×</w:t>
      </w:r>
      <w:r w:rsidR="00091B4C">
        <w:rPr>
          <w:rFonts w:eastAsia="TimesNewRoman"/>
          <w:szCs w:val="22"/>
          <w:lang w:eastAsia="lt-LT"/>
        </w:rPr>
        <w:t> </w:t>
      </w:r>
      <w:r w:rsidRPr="007A17AE">
        <w:rPr>
          <w:rFonts w:eastAsia="TimesNewRoman"/>
          <w:szCs w:val="22"/>
          <w:lang w:eastAsia="lt-LT"/>
        </w:rPr>
        <w:t>val./ml atitinkamai</w:t>
      </w:r>
      <w:r w:rsidR="00335DDE" w:rsidRPr="007A17AE">
        <w:rPr>
          <w:rFonts w:eastAsia="TimesNewRoman"/>
          <w:szCs w:val="22"/>
          <w:lang w:eastAsia="lt-LT"/>
        </w:rPr>
        <w:t xml:space="preserve"> </w:t>
      </w:r>
      <w:r w:rsidRPr="007A17AE">
        <w:rPr>
          <w:rFonts w:eastAsia="TimesNewRoman"/>
          <w:szCs w:val="22"/>
          <w:lang w:eastAsia="lt-LT"/>
        </w:rPr>
        <w:t>1-ąją ir 3-iąją dienomis. C</w:t>
      </w:r>
      <w:r w:rsidRPr="00F122CC">
        <w:rPr>
          <w:rFonts w:eastAsia="TimesNewRoman"/>
          <w:szCs w:val="22"/>
          <w:vertAlign w:val="subscript"/>
          <w:lang w:eastAsia="lt-LT"/>
        </w:rPr>
        <w:t>max</w:t>
      </w:r>
      <w:r w:rsidRPr="007A17AE">
        <w:rPr>
          <w:rFonts w:eastAsia="TimesNewRoman"/>
          <w:sz w:val="14"/>
          <w:szCs w:val="14"/>
          <w:lang w:eastAsia="lt-LT"/>
        </w:rPr>
        <w:t xml:space="preserve"> </w:t>
      </w:r>
      <w:r w:rsidRPr="007A17AE">
        <w:rPr>
          <w:rFonts w:eastAsia="TimesNewRoman"/>
          <w:szCs w:val="22"/>
          <w:lang w:eastAsia="lt-LT"/>
        </w:rPr>
        <w:t>buvo 1,6</w:t>
      </w:r>
      <w:r w:rsidR="00091B4C">
        <w:rPr>
          <w:rFonts w:eastAsia="TimesNewRoman"/>
          <w:szCs w:val="22"/>
          <w:lang w:eastAsia="lt-LT"/>
        </w:rPr>
        <w:t> </w:t>
      </w:r>
      <w:r w:rsidRPr="007A17AE">
        <w:rPr>
          <w:rFonts w:eastAsia="TimesNewRoman"/>
          <w:szCs w:val="22"/>
          <w:lang w:eastAsia="lt-LT"/>
        </w:rPr>
        <w:t>±</w:t>
      </w:r>
      <w:r w:rsidR="00091B4C">
        <w:rPr>
          <w:rFonts w:eastAsia="TimesNewRoman"/>
          <w:szCs w:val="22"/>
          <w:lang w:eastAsia="lt-LT"/>
        </w:rPr>
        <w:t> </w:t>
      </w:r>
      <w:r w:rsidRPr="007A17AE">
        <w:rPr>
          <w:rFonts w:eastAsia="TimesNewRoman"/>
          <w:szCs w:val="22"/>
          <w:lang w:eastAsia="lt-LT"/>
        </w:rPr>
        <w:t>0,36</w:t>
      </w:r>
      <w:r w:rsidR="00091B4C">
        <w:rPr>
          <w:rFonts w:eastAsia="TimesNewRoman"/>
          <w:szCs w:val="22"/>
          <w:lang w:eastAsia="lt-LT"/>
        </w:rPr>
        <w:t> </w:t>
      </w:r>
      <w:r w:rsidRPr="007A17AE">
        <w:rPr>
          <w:rFonts w:eastAsia="TimesNewRoman"/>
          <w:szCs w:val="22"/>
          <w:lang w:eastAsia="lt-LT"/>
        </w:rPr>
        <w:t>μg/ml ir 1,4</w:t>
      </w:r>
      <w:r w:rsidR="00091B4C">
        <w:rPr>
          <w:rFonts w:eastAsia="TimesNewRoman"/>
          <w:szCs w:val="22"/>
          <w:lang w:eastAsia="lt-LT"/>
        </w:rPr>
        <w:t> </w:t>
      </w:r>
      <w:r w:rsidRPr="007A17AE">
        <w:rPr>
          <w:rFonts w:eastAsia="TimesNewRoman"/>
          <w:szCs w:val="22"/>
          <w:lang w:eastAsia="lt-LT"/>
        </w:rPr>
        <w:t>±</w:t>
      </w:r>
      <w:r w:rsidR="00091B4C">
        <w:rPr>
          <w:rFonts w:eastAsia="TimesNewRoman"/>
          <w:szCs w:val="22"/>
          <w:lang w:eastAsia="lt-LT"/>
        </w:rPr>
        <w:t> </w:t>
      </w:r>
      <w:r w:rsidRPr="007A17AE">
        <w:rPr>
          <w:rFonts w:eastAsia="TimesNewRoman"/>
          <w:szCs w:val="22"/>
          <w:lang w:eastAsia="lt-LT"/>
        </w:rPr>
        <w:t>0,22</w:t>
      </w:r>
      <w:r w:rsidR="00091B4C">
        <w:rPr>
          <w:rFonts w:eastAsia="TimesNewRoman"/>
          <w:szCs w:val="22"/>
          <w:lang w:eastAsia="lt-LT"/>
        </w:rPr>
        <w:t> </w:t>
      </w:r>
      <w:r w:rsidRPr="007A17AE">
        <w:rPr>
          <w:rFonts w:eastAsia="TimesNewRoman"/>
          <w:szCs w:val="22"/>
          <w:lang w:eastAsia="lt-LT"/>
        </w:rPr>
        <w:t>μg/ml atitinkamai 1-ąją ir 3-iąją</w:t>
      </w:r>
      <w:r w:rsidR="00335DDE" w:rsidRPr="007A17AE">
        <w:rPr>
          <w:rFonts w:eastAsia="TimesNewRoman"/>
          <w:szCs w:val="22"/>
          <w:lang w:eastAsia="lt-LT"/>
        </w:rPr>
        <w:t xml:space="preserve"> </w:t>
      </w:r>
      <w:r w:rsidRPr="007A17AE">
        <w:rPr>
          <w:rFonts w:eastAsia="TimesNewRoman"/>
          <w:szCs w:val="22"/>
          <w:lang w:eastAsia="lt-LT"/>
        </w:rPr>
        <w:t>dienomis.</w:t>
      </w:r>
    </w:p>
    <w:p w14:paraId="4BE2B751" w14:textId="77777777" w:rsidR="00335DDE" w:rsidRPr="007A17AE" w:rsidRDefault="00335DDE" w:rsidP="007A17AE">
      <w:pPr>
        <w:tabs>
          <w:tab w:val="clear" w:pos="567"/>
        </w:tabs>
        <w:autoSpaceDE w:val="0"/>
        <w:autoSpaceDN w:val="0"/>
        <w:adjustRightInd w:val="0"/>
        <w:spacing w:line="240" w:lineRule="auto"/>
        <w:contextualSpacing/>
        <w:rPr>
          <w:rFonts w:eastAsia="TimesNewRoman"/>
          <w:szCs w:val="22"/>
          <w:lang w:eastAsia="lt-LT"/>
        </w:rPr>
      </w:pPr>
    </w:p>
    <w:p w14:paraId="539F7C16" w14:textId="77777777" w:rsidR="00E040B0" w:rsidRPr="007A17AE" w:rsidRDefault="00E040B0" w:rsidP="007A17AE">
      <w:pPr>
        <w:tabs>
          <w:tab w:val="clear" w:pos="567"/>
        </w:tabs>
        <w:autoSpaceDE w:val="0"/>
        <w:autoSpaceDN w:val="0"/>
        <w:adjustRightInd w:val="0"/>
        <w:spacing w:line="240" w:lineRule="auto"/>
        <w:contextualSpacing/>
        <w:rPr>
          <w:rFonts w:eastAsia="TimesNewRoman"/>
          <w:szCs w:val="22"/>
          <w:u w:val="single"/>
          <w:lang w:eastAsia="lt-LT"/>
        </w:rPr>
      </w:pPr>
      <w:r w:rsidRPr="007A17AE">
        <w:rPr>
          <w:rFonts w:eastAsia="TimesNewRoman"/>
          <w:szCs w:val="22"/>
          <w:u w:val="single"/>
          <w:lang w:eastAsia="lt-LT"/>
        </w:rPr>
        <w:t>Pasiskirstymas</w:t>
      </w:r>
    </w:p>
    <w:p w14:paraId="286833C8" w14:textId="77777777" w:rsidR="00E040B0" w:rsidRPr="007A17AE" w:rsidRDefault="00E040B0"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Aprepitant</w:t>
      </w:r>
      <w:r w:rsidR="00335DDE" w:rsidRPr="007A17AE">
        <w:rPr>
          <w:rFonts w:eastAsia="TimesNewRoman"/>
          <w:szCs w:val="22"/>
          <w:lang w:eastAsia="lt-LT"/>
        </w:rPr>
        <w:t>ą</w:t>
      </w:r>
      <w:r w:rsidRPr="007A17AE">
        <w:rPr>
          <w:rFonts w:eastAsia="TimesNewRoman"/>
          <w:szCs w:val="22"/>
          <w:lang w:eastAsia="lt-LT"/>
        </w:rPr>
        <w:t xml:space="preserve"> labai gerai, t. y. vidutiniškai 97</w:t>
      </w:r>
      <w:r w:rsidR="00091B4C">
        <w:rPr>
          <w:rFonts w:eastAsia="TimesNewRoman"/>
          <w:szCs w:val="22"/>
          <w:lang w:eastAsia="lt-LT"/>
        </w:rPr>
        <w:t> </w:t>
      </w:r>
      <w:r w:rsidRPr="007A17AE">
        <w:rPr>
          <w:rFonts w:eastAsia="TimesNewRoman"/>
          <w:szCs w:val="22"/>
          <w:lang w:eastAsia="lt-LT"/>
        </w:rPr>
        <w:t xml:space="preserve">%, </w:t>
      </w:r>
      <w:r w:rsidR="00335DDE" w:rsidRPr="007A17AE">
        <w:rPr>
          <w:rFonts w:eastAsia="TimesNewRoman"/>
          <w:szCs w:val="22"/>
          <w:lang w:eastAsia="lt-LT"/>
        </w:rPr>
        <w:t>suriša baltymas</w:t>
      </w:r>
      <w:r w:rsidRPr="007A17AE">
        <w:rPr>
          <w:rFonts w:eastAsia="TimesNewRoman"/>
          <w:szCs w:val="22"/>
          <w:lang w:eastAsia="lt-LT"/>
        </w:rPr>
        <w:t>. Žmogaus organizme</w:t>
      </w:r>
      <w:r w:rsidR="00335DDE" w:rsidRPr="007A17AE">
        <w:rPr>
          <w:rFonts w:eastAsia="TimesNewRoman"/>
          <w:szCs w:val="22"/>
          <w:lang w:eastAsia="lt-LT"/>
        </w:rPr>
        <w:t xml:space="preserve"> </w:t>
      </w:r>
      <w:r w:rsidRPr="007A17AE">
        <w:rPr>
          <w:rFonts w:eastAsia="TimesNewRoman"/>
          <w:szCs w:val="22"/>
          <w:lang w:eastAsia="lt-LT"/>
        </w:rPr>
        <w:t>geometrinis tariamojo pasiskirstymo tūrio vidurkis (V</w:t>
      </w:r>
      <w:r w:rsidRPr="00F122CC">
        <w:rPr>
          <w:rFonts w:eastAsia="TimesNewRoman"/>
          <w:szCs w:val="22"/>
          <w:vertAlign w:val="subscript"/>
          <w:lang w:eastAsia="lt-LT"/>
        </w:rPr>
        <w:t>dss</w:t>
      </w:r>
      <w:r w:rsidRPr="007A17AE">
        <w:rPr>
          <w:rFonts w:eastAsia="TimesNewRoman"/>
          <w:szCs w:val="22"/>
          <w:lang w:eastAsia="lt-LT"/>
        </w:rPr>
        <w:t xml:space="preserve">), kai nusistovi </w:t>
      </w:r>
      <w:r w:rsidR="00335DDE" w:rsidRPr="007A17AE">
        <w:rPr>
          <w:rFonts w:eastAsia="TimesNewRoman"/>
          <w:szCs w:val="22"/>
          <w:lang w:eastAsia="lt-LT"/>
        </w:rPr>
        <w:t xml:space="preserve">pusiausvyrinės apykaita </w:t>
      </w:r>
      <w:r w:rsidR="003751E8">
        <w:rPr>
          <w:rFonts w:eastAsia="TimesNewRoman"/>
          <w:szCs w:val="22"/>
          <w:lang w:eastAsia="lt-LT"/>
        </w:rPr>
        <w:t xml:space="preserve">kraujo </w:t>
      </w:r>
      <w:r w:rsidRPr="007A17AE">
        <w:rPr>
          <w:rFonts w:eastAsia="TimesNewRoman"/>
          <w:szCs w:val="22"/>
          <w:lang w:eastAsia="lt-LT"/>
        </w:rPr>
        <w:t>plazmoje, yra maždaug 66</w:t>
      </w:r>
      <w:r w:rsidR="00091B4C">
        <w:rPr>
          <w:rFonts w:eastAsia="TimesNewRoman"/>
          <w:szCs w:val="22"/>
          <w:lang w:eastAsia="lt-LT"/>
        </w:rPr>
        <w:t> </w:t>
      </w:r>
      <w:r w:rsidRPr="007A17AE">
        <w:rPr>
          <w:rFonts w:eastAsia="TimesNewRoman"/>
          <w:szCs w:val="22"/>
          <w:lang w:eastAsia="lt-LT"/>
        </w:rPr>
        <w:t>l.</w:t>
      </w:r>
    </w:p>
    <w:p w14:paraId="409746B0" w14:textId="77777777" w:rsidR="00335DDE" w:rsidRPr="007A17AE" w:rsidRDefault="00335DDE" w:rsidP="007A17AE">
      <w:pPr>
        <w:tabs>
          <w:tab w:val="clear" w:pos="567"/>
        </w:tabs>
        <w:autoSpaceDE w:val="0"/>
        <w:autoSpaceDN w:val="0"/>
        <w:adjustRightInd w:val="0"/>
        <w:spacing w:line="240" w:lineRule="auto"/>
        <w:contextualSpacing/>
        <w:rPr>
          <w:rFonts w:eastAsia="TimesNewRoman"/>
          <w:szCs w:val="22"/>
          <w:lang w:eastAsia="lt-LT"/>
        </w:rPr>
      </w:pPr>
    </w:p>
    <w:p w14:paraId="067FAF46" w14:textId="77777777" w:rsidR="00E040B0" w:rsidRPr="007A17AE" w:rsidRDefault="00E040B0" w:rsidP="007A17AE">
      <w:pPr>
        <w:tabs>
          <w:tab w:val="clear" w:pos="567"/>
        </w:tabs>
        <w:autoSpaceDE w:val="0"/>
        <w:autoSpaceDN w:val="0"/>
        <w:adjustRightInd w:val="0"/>
        <w:spacing w:line="240" w:lineRule="auto"/>
        <w:contextualSpacing/>
        <w:rPr>
          <w:rFonts w:eastAsia="TimesNewRoman"/>
          <w:szCs w:val="22"/>
          <w:u w:val="single"/>
          <w:lang w:eastAsia="lt-LT"/>
        </w:rPr>
      </w:pPr>
      <w:r w:rsidRPr="007A17AE">
        <w:rPr>
          <w:rFonts w:eastAsia="TimesNewRoman"/>
          <w:szCs w:val="22"/>
          <w:u w:val="single"/>
          <w:lang w:eastAsia="lt-LT"/>
        </w:rPr>
        <w:t>Biotransformacija</w:t>
      </w:r>
    </w:p>
    <w:p w14:paraId="6B73C208" w14:textId="72E6DAD3" w:rsidR="00335DDE" w:rsidRPr="007A17AE" w:rsidRDefault="00E040B0"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 xml:space="preserve">Aprepitantas yra ekstensyviai metabolizuojamas. Sveikiems jauniems žmonėms </w:t>
      </w:r>
      <w:r w:rsidR="003751E8">
        <w:rPr>
          <w:rFonts w:eastAsia="TimesNewRoman"/>
          <w:szCs w:val="22"/>
          <w:lang w:eastAsia="lt-LT"/>
        </w:rPr>
        <w:t xml:space="preserve">kraujo </w:t>
      </w:r>
      <w:r w:rsidRPr="007A17AE">
        <w:rPr>
          <w:rFonts w:eastAsia="TimesNewRoman"/>
          <w:szCs w:val="22"/>
          <w:lang w:eastAsia="lt-LT"/>
        </w:rPr>
        <w:t xml:space="preserve">plazmoje </w:t>
      </w:r>
      <w:r w:rsidR="00335DDE" w:rsidRPr="007A17AE">
        <w:rPr>
          <w:rFonts w:eastAsia="TimesNewRoman"/>
          <w:szCs w:val="22"/>
          <w:lang w:eastAsia="lt-LT"/>
        </w:rPr>
        <w:t xml:space="preserve">aptinkama </w:t>
      </w:r>
      <w:r w:rsidRPr="007A17AE">
        <w:rPr>
          <w:rFonts w:eastAsia="TimesNewRoman"/>
          <w:szCs w:val="22"/>
          <w:lang w:eastAsia="lt-LT"/>
        </w:rPr>
        <w:t>apie</w:t>
      </w:r>
      <w:r w:rsidR="00335DDE" w:rsidRPr="007A17AE">
        <w:rPr>
          <w:rFonts w:eastAsia="TimesNewRoman"/>
          <w:szCs w:val="22"/>
          <w:lang w:eastAsia="lt-LT"/>
        </w:rPr>
        <w:t xml:space="preserve"> </w:t>
      </w:r>
      <w:r w:rsidRPr="007A17AE">
        <w:rPr>
          <w:rFonts w:eastAsia="TimesNewRoman"/>
          <w:szCs w:val="22"/>
          <w:lang w:eastAsia="lt-LT"/>
        </w:rPr>
        <w:t>19</w:t>
      </w:r>
      <w:r w:rsidR="00091B4C">
        <w:rPr>
          <w:rFonts w:eastAsia="TimesNewRoman"/>
          <w:szCs w:val="22"/>
          <w:lang w:eastAsia="lt-LT"/>
        </w:rPr>
        <w:t> </w:t>
      </w:r>
      <w:r w:rsidRPr="007A17AE">
        <w:rPr>
          <w:rFonts w:eastAsia="TimesNewRoman"/>
          <w:szCs w:val="22"/>
          <w:lang w:eastAsia="lt-LT"/>
        </w:rPr>
        <w:t>% radioaktyvumo, praėjus daugiau kaip 72</w:t>
      </w:r>
      <w:r w:rsidR="00091B4C">
        <w:rPr>
          <w:rFonts w:eastAsia="TimesNewRoman"/>
          <w:szCs w:val="22"/>
          <w:lang w:eastAsia="lt-LT"/>
        </w:rPr>
        <w:t> </w:t>
      </w:r>
      <w:r w:rsidRPr="007A17AE">
        <w:rPr>
          <w:rFonts w:eastAsia="TimesNewRoman"/>
          <w:szCs w:val="22"/>
          <w:lang w:eastAsia="lt-LT"/>
        </w:rPr>
        <w:t>valandoms po vienkartinės intraveninės 100</w:t>
      </w:r>
      <w:r w:rsidR="00091B4C">
        <w:rPr>
          <w:rFonts w:eastAsia="TimesNewRoman"/>
          <w:szCs w:val="22"/>
          <w:lang w:eastAsia="lt-LT"/>
        </w:rPr>
        <w:t> </w:t>
      </w:r>
      <w:r w:rsidRPr="007A17AE">
        <w:rPr>
          <w:rFonts w:eastAsia="TimesNewRoman"/>
          <w:szCs w:val="22"/>
          <w:lang w:eastAsia="lt-LT"/>
        </w:rPr>
        <w:t xml:space="preserve">mg </w:t>
      </w:r>
      <w:r w:rsidR="00335DDE" w:rsidRPr="007A17AE">
        <w:rPr>
          <w:rFonts w:eastAsia="TimesNewRoman"/>
          <w:szCs w:val="22"/>
          <w:lang w:eastAsia="lt-LT"/>
        </w:rPr>
        <w:t>aprepitanto pirmtako [</w:t>
      </w:r>
      <w:r w:rsidR="00335DDE" w:rsidRPr="007A17AE">
        <w:rPr>
          <w:rFonts w:eastAsia="TimesNewRoman"/>
          <w:szCs w:val="22"/>
          <w:vertAlign w:val="superscript"/>
          <w:lang w:eastAsia="lt-LT"/>
        </w:rPr>
        <w:t>14</w:t>
      </w:r>
      <w:r w:rsidR="00335DDE" w:rsidRPr="007A17AE">
        <w:rPr>
          <w:rFonts w:eastAsia="TimesNewRoman"/>
          <w:szCs w:val="22"/>
          <w:lang w:eastAsia="lt-LT"/>
        </w:rPr>
        <w:t xml:space="preserve">C]-fosaprepitanto dozės </w:t>
      </w:r>
      <w:r w:rsidR="00AA5FE0">
        <w:rPr>
          <w:rFonts w:eastAsia="TimesNewRoman"/>
          <w:szCs w:val="22"/>
          <w:lang w:eastAsia="lt-LT"/>
        </w:rPr>
        <w:t>su</w:t>
      </w:r>
      <w:r w:rsidR="000F576E">
        <w:rPr>
          <w:rFonts w:eastAsia="TimesNewRoman"/>
          <w:szCs w:val="22"/>
          <w:lang w:eastAsia="lt-LT"/>
        </w:rPr>
        <w:t>leidimo</w:t>
      </w:r>
      <w:r w:rsidR="00335DDE" w:rsidRPr="007A17AE">
        <w:rPr>
          <w:rFonts w:eastAsia="TimesNewRoman"/>
          <w:szCs w:val="22"/>
          <w:lang w:eastAsia="lt-LT"/>
        </w:rPr>
        <w:t xml:space="preserve">. Tai rodo, kad </w:t>
      </w:r>
      <w:r w:rsidR="003751E8">
        <w:rPr>
          <w:rFonts w:eastAsia="TimesNewRoman"/>
          <w:szCs w:val="22"/>
          <w:lang w:eastAsia="lt-LT"/>
        </w:rPr>
        <w:t xml:space="preserve">kraujo </w:t>
      </w:r>
      <w:r w:rsidR="00335DDE" w:rsidRPr="007A17AE">
        <w:rPr>
          <w:rFonts w:eastAsia="TimesNewRoman"/>
          <w:szCs w:val="22"/>
          <w:lang w:eastAsia="lt-LT"/>
        </w:rPr>
        <w:t xml:space="preserve">plazmoje yra daug metabolitų. Žmogaus kraujo plazmoje nustatyta dvylika aprepitanto metabolitų. Daugiausia aprepitanto metabolizmas vyksta morfolino žiedo ir jo šoninių grandinių oksidacijos būdu, o suformuoti metabolitai yra mažai aktyvūs. Tyrimai </w:t>
      </w:r>
      <w:r w:rsidR="00335DDE" w:rsidRPr="007A17AE">
        <w:rPr>
          <w:rFonts w:eastAsia="TimesNewRoman"/>
          <w:i/>
          <w:iCs/>
          <w:szCs w:val="22"/>
          <w:lang w:eastAsia="lt-LT"/>
        </w:rPr>
        <w:t>in vitro</w:t>
      </w:r>
      <w:r w:rsidR="00335DDE" w:rsidRPr="007A17AE">
        <w:rPr>
          <w:rFonts w:eastAsia="TimesNewRoman"/>
          <w:szCs w:val="22"/>
          <w:lang w:eastAsia="lt-LT"/>
        </w:rPr>
        <w:t>, naudojant žmogaus kepenų mikrosomas, parodė, kad daugiausia aprepitanto metabolizuoja CYP3A4, mažiau – CYP1A2 ir CYP2C19.</w:t>
      </w:r>
    </w:p>
    <w:p w14:paraId="52E7902F" w14:textId="77777777" w:rsidR="00335DDE" w:rsidRPr="007A17AE" w:rsidRDefault="00335DDE" w:rsidP="007A17AE">
      <w:pPr>
        <w:tabs>
          <w:tab w:val="clear" w:pos="567"/>
        </w:tabs>
        <w:autoSpaceDE w:val="0"/>
        <w:autoSpaceDN w:val="0"/>
        <w:adjustRightInd w:val="0"/>
        <w:spacing w:line="240" w:lineRule="auto"/>
        <w:contextualSpacing/>
        <w:rPr>
          <w:rFonts w:eastAsia="TimesNewRoman"/>
          <w:szCs w:val="22"/>
          <w:lang w:eastAsia="lt-LT"/>
        </w:rPr>
      </w:pPr>
    </w:p>
    <w:p w14:paraId="18934ED7" w14:textId="77777777" w:rsidR="00335DDE" w:rsidRPr="007A17AE" w:rsidRDefault="00335DDE" w:rsidP="007A17AE">
      <w:pPr>
        <w:tabs>
          <w:tab w:val="clear" w:pos="567"/>
        </w:tabs>
        <w:autoSpaceDE w:val="0"/>
        <w:autoSpaceDN w:val="0"/>
        <w:adjustRightInd w:val="0"/>
        <w:spacing w:line="240" w:lineRule="auto"/>
        <w:contextualSpacing/>
        <w:rPr>
          <w:rFonts w:eastAsia="TimesNewRoman"/>
          <w:szCs w:val="22"/>
          <w:u w:val="single"/>
          <w:lang w:eastAsia="lt-LT"/>
        </w:rPr>
      </w:pPr>
      <w:r w:rsidRPr="007A17AE">
        <w:rPr>
          <w:rFonts w:eastAsia="TimesNewRoman"/>
          <w:szCs w:val="22"/>
          <w:u w:val="single"/>
          <w:lang w:eastAsia="lt-LT"/>
        </w:rPr>
        <w:t>Eliminacija</w:t>
      </w:r>
    </w:p>
    <w:p w14:paraId="664459EE" w14:textId="1D65D4E7" w:rsidR="00335DDE" w:rsidRPr="007A17AE" w:rsidRDefault="00335DDE"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Aprepitanto nepakitusiu pavidalu su šlapimu neišsiskiriama. Metabolitai šalinami su šlapimu ir per tulžį su išmatomis. Po vienkartinės intraveninės 100</w:t>
      </w:r>
      <w:r w:rsidR="00091B4C">
        <w:rPr>
          <w:rFonts w:eastAsia="TimesNewRoman"/>
          <w:szCs w:val="22"/>
          <w:lang w:eastAsia="lt-LT"/>
        </w:rPr>
        <w:t> </w:t>
      </w:r>
      <w:r w:rsidRPr="007A17AE">
        <w:rPr>
          <w:rFonts w:eastAsia="TimesNewRoman"/>
          <w:szCs w:val="22"/>
          <w:lang w:eastAsia="lt-LT"/>
        </w:rPr>
        <w:t>mg aprepitanto pirmtako [</w:t>
      </w:r>
      <w:r w:rsidRPr="007A17AE">
        <w:rPr>
          <w:rFonts w:eastAsia="TimesNewRoman"/>
          <w:szCs w:val="22"/>
          <w:vertAlign w:val="superscript"/>
          <w:lang w:eastAsia="lt-LT"/>
        </w:rPr>
        <w:t>14</w:t>
      </w:r>
      <w:r w:rsidRPr="007A17AE">
        <w:rPr>
          <w:rFonts w:eastAsia="TimesNewRoman"/>
          <w:szCs w:val="22"/>
          <w:lang w:eastAsia="lt-LT"/>
        </w:rPr>
        <w:t xml:space="preserve">C]-fozaprepitanto dozės </w:t>
      </w:r>
      <w:r w:rsidR="00AA5FE0">
        <w:rPr>
          <w:rFonts w:eastAsia="TimesNewRoman"/>
          <w:szCs w:val="22"/>
          <w:lang w:eastAsia="lt-LT"/>
        </w:rPr>
        <w:t>su</w:t>
      </w:r>
      <w:r w:rsidR="000F576E">
        <w:rPr>
          <w:rFonts w:eastAsia="TimesNewRoman"/>
          <w:szCs w:val="22"/>
          <w:lang w:eastAsia="lt-LT"/>
        </w:rPr>
        <w:t>leidimo</w:t>
      </w:r>
      <w:r w:rsidRPr="007A17AE">
        <w:rPr>
          <w:rFonts w:eastAsia="TimesNewRoman"/>
          <w:szCs w:val="22"/>
          <w:lang w:eastAsia="lt-LT"/>
        </w:rPr>
        <w:t xml:space="preserve"> sveikiems asmenims 57</w:t>
      </w:r>
      <w:r w:rsidR="00091B4C">
        <w:rPr>
          <w:rFonts w:eastAsia="TimesNewRoman"/>
          <w:szCs w:val="22"/>
          <w:lang w:eastAsia="lt-LT"/>
        </w:rPr>
        <w:t> </w:t>
      </w:r>
      <w:r w:rsidRPr="007A17AE">
        <w:rPr>
          <w:rFonts w:eastAsia="TimesNewRoman"/>
          <w:szCs w:val="22"/>
          <w:lang w:eastAsia="lt-LT"/>
        </w:rPr>
        <w:t>% radioaktyvumo nustatyta šlapime ir 45</w:t>
      </w:r>
      <w:r w:rsidR="00091B4C">
        <w:rPr>
          <w:rFonts w:eastAsia="TimesNewRoman"/>
          <w:szCs w:val="22"/>
          <w:lang w:eastAsia="lt-LT"/>
        </w:rPr>
        <w:t> </w:t>
      </w:r>
      <w:r w:rsidRPr="007A17AE">
        <w:rPr>
          <w:rFonts w:eastAsia="TimesNewRoman"/>
          <w:szCs w:val="22"/>
          <w:lang w:eastAsia="lt-LT"/>
        </w:rPr>
        <w:t xml:space="preserve">% </w:t>
      </w:r>
      <w:r w:rsidR="007644C8" w:rsidRPr="007A17AE">
        <w:rPr>
          <w:rFonts w:eastAsia="TimesNewRoman"/>
          <w:szCs w:val="22"/>
          <w:lang w:eastAsia="lt-LT"/>
        </w:rPr>
        <w:t>-</w:t>
      </w:r>
      <w:r w:rsidRPr="007A17AE">
        <w:rPr>
          <w:rFonts w:eastAsia="TimesNewRoman"/>
          <w:szCs w:val="22"/>
          <w:lang w:eastAsia="lt-LT"/>
        </w:rPr>
        <w:t xml:space="preserve"> išmatose.</w:t>
      </w:r>
    </w:p>
    <w:p w14:paraId="673AF8C5" w14:textId="77777777" w:rsidR="00335DDE" w:rsidRPr="007A17AE" w:rsidRDefault="00335DDE"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 xml:space="preserve">Aprepitanto plazmos klirensas priklauso nuo dozės, jis mažėja didėjant dozei ir </w:t>
      </w:r>
      <w:r w:rsidR="003C05B1" w:rsidRPr="007A17AE">
        <w:rPr>
          <w:rFonts w:eastAsia="TimesNewRoman"/>
          <w:szCs w:val="22"/>
          <w:lang w:eastAsia="lt-LT"/>
        </w:rPr>
        <w:t xml:space="preserve">gydomųjų dozių diapazone </w:t>
      </w:r>
      <w:r w:rsidRPr="007A17AE">
        <w:rPr>
          <w:rFonts w:eastAsia="TimesNewRoman"/>
          <w:szCs w:val="22"/>
          <w:lang w:eastAsia="lt-LT"/>
        </w:rPr>
        <w:t>yra maždaug 60</w:t>
      </w:r>
      <w:r w:rsidR="00091B4C">
        <w:rPr>
          <w:rFonts w:eastAsia="TimesNewRoman"/>
          <w:szCs w:val="22"/>
          <w:lang w:eastAsia="lt-LT"/>
        </w:rPr>
        <w:noBreakHyphen/>
      </w:r>
      <w:r w:rsidRPr="007A17AE">
        <w:rPr>
          <w:rFonts w:eastAsia="TimesNewRoman"/>
          <w:szCs w:val="22"/>
          <w:lang w:eastAsia="lt-LT"/>
        </w:rPr>
        <w:t>72</w:t>
      </w:r>
      <w:r w:rsidR="00091B4C">
        <w:rPr>
          <w:rFonts w:eastAsia="TimesNewRoman"/>
          <w:szCs w:val="22"/>
          <w:lang w:eastAsia="lt-LT"/>
        </w:rPr>
        <w:t> </w:t>
      </w:r>
      <w:r w:rsidRPr="007A17AE">
        <w:rPr>
          <w:rFonts w:eastAsia="TimesNewRoman"/>
          <w:szCs w:val="22"/>
          <w:lang w:eastAsia="lt-LT"/>
        </w:rPr>
        <w:t>ml/min. Galutinis pusinės eliminacijos periodas yra maždaug</w:t>
      </w:r>
      <w:r w:rsidR="003C05B1" w:rsidRPr="007A17AE">
        <w:rPr>
          <w:rFonts w:eastAsia="TimesNewRoman"/>
          <w:szCs w:val="22"/>
          <w:lang w:eastAsia="lt-LT"/>
        </w:rPr>
        <w:t xml:space="preserve"> </w:t>
      </w:r>
      <w:r w:rsidRPr="007A17AE">
        <w:rPr>
          <w:rFonts w:eastAsia="TimesNewRoman"/>
          <w:szCs w:val="22"/>
          <w:lang w:eastAsia="lt-LT"/>
        </w:rPr>
        <w:t>9</w:t>
      </w:r>
      <w:r w:rsidR="00091B4C">
        <w:rPr>
          <w:rFonts w:eastAsia="TimesNewRoman"/>
          <w:szCs w:val="22"/>
          <w:lang w:eastAsia="lt-LT"/>
        </w:rPr>
        <w:noBreakHyphen/>
      </w:r>
      <w:r w:rsidRPr="007A17AE">
        <w:rPr>
          <w:rFonts w:eastAsia="TimesNewRoman"/>
          <w:szCs w:val="22"/>
          <w:lang w:eastAsia="lt-LT"/>
        </w:rPr>
        <w:t>13</w:t>
      </w:r>
      <w:r w:rsidR="00091B4C">
        <w:rPr>
          <w:rFonts w:eastAsia="TimesNewRoman"/>
          <w:szCs w:val="22"/>
          <w:lang w:eastAsia="lt-LT"/>
        </w:rPr>
        <w:t> </w:t>
      </w:r>
      <w:r w:rsidRPr="007A17AE">
        <w:rPr>
          <w:rFonts w:eastAsia="TimesNewRoman"/>
          <w:szCs w:val="22"/>
          <w:lang w:eastAsia="lt-LT"/>
        </w:rPr>
        <w:t>valandų.</w:t>
      </w:r>
    </w:p>
    <w:p w14:paraId="5C667A54" w14:textId="77777777" w:rsidR="003C05B1" w:rsidRPr="007A17AE" w:rsidRDefault="003C05B1" w:rsidP="007A17AE">
      <w:pPr>
        <w:tabs>
          <w:tab w:val="clear" w:pos="567"/>
        </w:tabs>
        <w:autoSpaceDE w:val="0"/>
        <w:autoSpaceDN w:val="0"/>
        <w:adjustRightInd w:val="0"/>
        <w:spacing w:line="240" w:lineRule="auto"/>
        <w:contextualSpacing/>
        <w:rPr>
          <w:rFonts w:eastAsia="TimesNewRoman"/>
          <w:szCs w:val="22"/>
          <w:lang w:eastAsia="lt-LT"/>
        </w:rPr>
      </w:pPr>
    </w:p>
    <w:p w14:paraId="626FBD68" w14:textId="77777777" w:rsidR="00335DDE" w:rsidRPr="007A17AE" w:rsidRDefault="003C05B1" w:rsidP="007A17AE">
      <w:pPr>
        <w:tabs>
          <w:tab w:val="clear" w:pos="567"/>
        </w:tabs>
        <w:autoSpaceDE w:val="0"/>
        <w:autoSpaceDN w:val="0"/>
        <w:adjustRightInd w:val="0"/>
        <w:spacing w:line="240" w:lineRule="auto"/>
        <w:contextualSpacing/>
        <w:rPr>
          <w:rFonts w:eastAsia="TimesNewRoman"/>
          <w:szCs w:val="22"/>
          <w:u w:val="single"/>
          <w:lang w:eastAsia="lt-LT"/>
        </w:rPr>
      </w:pPr>
      <w:r w:rsidRPr="007A17AE">
        <w:rPr>
          <w:rFonts w:eastAsia="TimesNewRoman"/>
          <w:szCs w:val="22"/>
          <w:u w:val="single"/>
          <w:lang w:eastAsia="lt-LT"/>
        </w:rPr>
        <w:t>Ypatingos populiacijos</w:t>
      </w:r>
    </w:p>
    <w:p w14:paraId="73C23743" w14:textId="77777777" w:rsidR="003C05B1" w:rsidRPr="007A17AE" w:rsidRDefault="00335DDE" w:rsidP="007A17AE">
      <w:pPr>
        <w:tabs>
          <w:tab w:val="clear" w:pos="567"/>
        </w:tabs>
        <w:autoSpaceDE w:val="0"/>
        <w:autoSpaceDN w:val="0"/>
        <w:adjustRightInd w:val="0"/>
        <w:spacing w:line="240" w:lineRule="auto"/>
        <w:contextualSpacing/>
        <w:rPr>
          <w:rFonts w:eastAsia="TimesNewRoman"/>
          <w:i/>
          <w:iCs/>
          <w:szCs w:val="22"/>
          <w:lang w:eastAsia="lt-LT"/>
        </w:rPr>
      </w:pPr>
      <w:r w:rsidRPr="007A17AE">
        <w:rPr>
          <w:rFonts w:eastAsia="TimesNewRoman"/>
          <w:i/>
          <w:iCs/>
          <w:szCs w:val="22"/>
          <w:lang w:eastAsia="lt-LT"/>
        </w:rPr>
        <w:t>Senyvi žmonės</w:t>
      </w:r>
    </w:p>
    <w:p w14:paraId="7CCF0889" w14:textId="77777777" w:rsidR="00335DDE" w:rsidRPr="007A17AE" w:rsidRDefault="00335DDE"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Išgėrusių vienkartinę 125</w:t>
      </w:r>
      <w:r w:rsidR="00091B4C">
        <w:rPr>
          <w:rFonts w:eastAsia="TimesNewRoman"/>
          <w:szCs w:val="22"/>
          <w:lang w:eastAsia="lt-LT"/>
        </w:rPr>
        <w:t> </w:t>
      </w:r>
      <w:r w:rsidRPr="007A17AE">
        <w:rPr>
          <w:rFonts w:eastAsia="TimesNewRoman"/>
          <w:szCs w:val="22"/>
          <w:lang w:eastAsia="lt-LT"/>
        </w:rPr>
        <w:t>mg aprepitanto dozę 1-ąją dieną ir po 80</w:t>
      </w:r>
      <w:r w:rsidR="00091B4C">
        <w:rPr>
          <w:rFonts w:eastAsia="TimesNewRoman"/>
          <w:szCs w:val="22"/>
          <w:lang w:eastAsia="lt-LT"/>
        </w:rPr>
        <w:t> </w:t>
      </w:r>
      <w:r w:rsidRPr="007A17AE">
        <w:rPr>
          <w:rFonts w:eastAsia="TimesNewRoman"/>
          <w:szCs w:val="22"/>
          <w:lang w:eastAsia="lt-LT"/>
        </w:rPr>
        <w:t>mg vieną kartą per</w:t>
      </w:r>
      <w:r w:rsidR="003C05B1" w:rsidRPr="007A17AE">
        <w:rPr>
          <w:rFonts w:eastAsia="TimesNewRoman"/>
          <w:szCs w:val="22"/>
          <w:lang w:eastAsia="lt-LT"/>
        </w:rPr>
        <w:t xml:space="preserve"> </w:t>
      </w:r>
      <w:r w:rsidRPr="007A17AE">
        <w:rPr>
          <w:rFonts w:eastAsia="TimesNewRoman"/>
          <w:szCs w:val="22"/>
          <w:lang w:eastAsia="lt-LT"/>
        </w:rPr>
        <w:t>parą 2–5-ąją dienomis senyvų asmenų (</w:t>
      </w:r>
      <w:r w:rsidR="003C05B1" w:rsidRPr="007A17AE">
        <w:rPr>
          <w:rFonts w:eastAsia="TimesNewRoman"/>
          <w:szCs w:val="22"/>
          <w:lang w:eastAsia="lt-LT"/>
        </w:rPr>
        <w:t>≥</w:t>
      </w:r>
      <w:r w:rsidR="00091B4C">
        <w:rPr>
          <w:rFonts w:eastAsia="TimesNewRoman"/>
          <w:szCs w:val="22"/>
          <w:lang w:eastAsia="lt-LT"/>
        </w:rPr>
        <w:t> </w:t>
      </w:r>
      <w:r w:rsidRPr="007A17AE">
        <w:rPr>
          <w:rFonts w:eastAsia="TimesNewRoman"/>
          <w:szCs w:val="22"/>
          <w:lang w:eastAsia="lt-LT"/>
        </w:rPr>
        <w:t>65</w:t>
      </w:r>
      <w:r w:rsidR="00091B4C">
        <w:rPr>
          <w:rFonts w:eastAsia="TimesNewRoman"/>
          <w:szCs w:val="22"/>
          <w:lang w:eastAsia="lt-LT"/>
        </w:rPr>
        <w:t> </w:t>
      </w:r>
      <w:r w:rsidRPr="007A17AE">
        <w:rPr>
          <w:rFonts w:eastAsia="TimesNewRoman"/>
          <w:szCs w:val="22"/>
          <w:lang w:eastAsia="lt-LT"/>
        </w:rPr>
        <w:t>metų) aprepitanto AUC</w:t>
      </w:r>
      <w:r w:rsidRPr="007A17AE">
        <w:rPr>
          <w:rFonts w:eastAsia="TimesNewRoman"/>
          <w:szCs w:val="22"/>
          <w:vertAlign w:val="subscript"/>
          <w:lang w:eastAsia="lt-LT"/>
        </w:rPr>
        <w:t>0-24</w:t>
      </w:r>
      <w:r w:rsidR="003C05B1" w:rsidRPr="007A17AE">
        <w:rPr>
          <w:rFonts w:eastAsia="TimesNewRoman"/>
          <w:szCs w:val="22"/>
          <w:vertAlign w:val="subscript"/>
          <w:lang w:eastAsia="lt-LT"/>
        </w:rPr>
        <w:t>val.</w:t>
      </w:r>
      <w:r w:rsidRPr="007A17AE">
        <w:rPr>
          <w:rFonts w:eastAsia="TimesNewRoman"/>
          <w:szCs w:val="22"/>
          <w:vertAlign w:val="subscript"/>
          <w:lang w:eastAsia="lt-LT"/>
        </w:rPr>
        <w:t xml:space="preserve"> </w:t>
      </w:r>
      <w:r w:rsidRPr="007A17AE">
        <w:rPr>
          <w:rFonts w:eastAsia="TimesNewRoman"/>
          <w:szCs w:val="22"/>
          <w:lang w:eastAsia="lt-LT"/>
        </w:rPr>
        <w:t>1-ąją dieną buvo 21</w:t>
      </w:r>
      <w:r w:rsidR="00091B4C">
        <w:rPr>
          <w:rFonts w:eastAsia="TimesNewRoman"/>
          <w:szCs w:val="22"/>
          <w:lang w:eastAsia="lt-LT"/>
        </w:rPr>
        <w:t> </w:t>
      </w:r>
      <w:r w:rsidRPr="007A17AE">
        <w:rPr>
          <w:rFonts w:eastAsia="TimesNewRoman"/>
          <w:szCs w:val="22"/>
          <w:lang w:eastAsia="lt-LT"/>
        </w:rPr>
        <w:t>%</w:t>
      </w:r>
      <w:r w:rsidR="003C05B1" w:rsidRPr="007A17AE">
        <w:rPr>
          <w:rFonts w:eastAsia="TimesNewRoman"/>
          <w:szCs w:val="22"/>
          <w:lang w:eastAsia="lt-LT"/>
        </w:rPr>
        <w:t xml:space="preserve"> </w:t>
      </w:r>
      <w:r w:rsidRPr="007A17AE">
        <w:rPr>
          <w:rFonts w:eastAsia="TimesNewRoman"/>
          <w:szCs w:val="22"/>
          <w:lang w:eastAsia="lt-LT"/>
        </w:rPr>
        <w:t xml:space="preserve">didesnis, o 5-ąją dieną </w:t>
      </w:r>
      <w:r w:rsidR="007644C8" w:rsidRPr="007A17AE">
        <w:rPr>
          <w:rFonts w:eastAsia="TimesNewRoman"/>
          <w:szCs w:val="22"/>
          <w:lang w:eastAsia="lt-LT"/>
        </w:rPr>
        <w:t xml:space="preserve">- </w:t>
      </w:r>
      <w:r w:rsidRPr="007A17AE">
        <w:rPr>
          <w:rFonts w:eastAsia="TimesNewRoman"/>
          <w:szCs w:val="22"/>
          <w:lang w:eastAsia="lt-LT"/>
        </w:rPr>
        <w:t>36</w:t>
      </w:r>
      <w:r w:rsidR="00091B4C">
        <w:rPr>
          <w:rFonts w:eastAsia="TimesNewRoman"/>
          <w:szCs w:val="22"/>
          <w:lang w:eastAsia="lt-LT"/>
        </w:rPr>
        <w:t> </w:t>
      </w:r>
      <w:r w:rsidRPr="007A17AE">
        <w:rPr>
          <w:rFonts w:eastAsia="TimesNewRoman"/>
          <w:szCs w:val="22"/>
          <w:lang w:eastAsia="lt-LT"/>
        </w:rPr>
        <w:t>% didesnis</w:t>
      </w:r>
      <w:r w:rsidR="003C05B1" w:rsidRPr="007A17AE">
        <w:rPr>
          <w:rFonts w:eastAsia="TimesNewRoman"/>
          <w:szCs w:val="22"/>
          <w:lang w:eastAsia="lt-LT"/>
        </w:rPr>
        <w:t>,</w:t>
      </w:r>
      <w:r w:rsidRPr="007A17AE">
        <w:rPr>
          <w:rFonts w:eastAsia="TimesNewRoman"/>
          <w:szCs w:val="22"/>
          <w:lang w:eastAsia="lt-LT"/>
        </w:rPr>
        <w:t xml:space="preserve"> lyginant su jaunesni</w:t>
      </w:r>
      <w:r w:rsidR="003C05B1" w:rsidRPr="007A17AE">
        <w:rPr>
          <w:rFonts w:eastAsia="TimesNewRoman"/>
          <w:szCs w:val="22"/>
          <w:lang w:eastAsia="lt-LT"/>
        </w:rPr>
        <w:t>o amžiaus asmenimis</w:t>
      </w:r>
      <w:r w:rsidRPr="007A17AE">
        <w:rPr>
          <w:rFonts w:eastAsia="TimesNewRoman"/>
          <w:szCs w:val="22"/>
          <w:lang w:eastAsia="lt-LT"/>
        </w:rPr>
        <w:t>. Senyvų asmenų C</w:t>
      </w:r>
      <w:r w:rsidRPr="007A17AE">
        <w:rPr>
          <w:rFonts w:eastAsia="TimesNewRoman"/>
          <w:szCs w:val="22"/>
          <w:vertAlign w:val="subscript"/>
          <w:lang w:eastAsia="lt-LT"/>
        </w:rPr>
        <w:t>max</w:t>
      </w:r>
      <w:r w:rsidRPr="007A17AE">
        <w:rPr>
          <w:rFonts w:eastAsia="TimesNewRoman"/>
          <w:szCs w:val="22"/>
          <w:lang w:eastAsia="lt-LT"/>
        </w:rPr>
        <w:t xml:space="preserve"> 1-ąją dieną</w:t>
      </w:r>
      <w:r w:rsidR="003C05B1" w:rsidRPr="007A17AE">
        <w:rPr>
          <w:rFonts w:eastAsia="TimesNewRoman"/>
          <w:szCs w:val="22"/>
          <w:lang w:eastAsia="lt-LT"/>
        </w:rPr>
        <w:t xml:space="preserve"> </w:t>
      </w:r>
      <w:r w:rsidRPr="007A17AE">
        <w:rPr>
          <w:rFonts w:eastAsia="TimesNewRoman"/>
          <w:szCs w:val="22"/>
          <w:lang w:eastAsia="lt-LT"/>
        </w:rPr>
        <w:t>buvo 10</w:t>
      </w:r>
      <w:r w:rsidR="00091B4C">
        <w:rPr>
          <w:rFonts w:eastAsia="TimesNewRoman"/>
          <w:szCs w:val="22"/>
          <w:lang w:eastAsia="lt-LT"/>
        </w:rPr>
        <w:t> </w:t>
      </w:r>
      <w:r w:rsidRPr="007A17AE">
        <w:rPr>
          <w:rFonts w:eastAsia="TimesNewRoman"/>
          <w:szCs w:val="22"/>
          <w:lang w:eastAsia="lt-LT"/>
        </w:rPr>
        <w:t>% didesnė ir 5-ąją dieną – 24</w:t>
      </w:r>
      <w:r w:rsidR="00091B4C">
        <w:rPr>
          <w:rFonts w:eastAsia="TimesNewRoman"/>
          <w:szCs w:val="22"/>
          <w:lang w:eastAsia="lt-LT"/>
        </w:rPr>
        <w:t> </w:t>
      </w:r>
      <w:r w:rsidRPr="007A17AE">
        <w:rPr>
          <w:rFonts w:eastAsia="TimesNewRoman"/>
          <w:szCs w:val="22"/>
          <w:lang w:eastAsia="lt-LT"/>
        </w:rPr>
        <w:t xml:space="preserve">% didesnė lyginant su </w:t>
      </w:r>
      <w:r w:rsidR="003C05B1" w:rsidRPr="007A17AE">
        <w:rPr>
          <w:rFonts w:eastAsia="TimesNewRoman"/>
          <w:szCs w:val="22"/>
          <w:lang w:eastAsia="lt-LT"/>
        </w:rPr>
        <w:t>jaunesnio amžiaus asmenimis</w:t>
      </w:r>
      <w:r w:rsidRPr="007A17AE">
        <w:rPr>
          <w:rFonts w:eastAsia="TimesNewRoman"/>
          <w:szCs w:val="22"/>
          <w:lang w:eastAsia="lt-LT"/>
        </w:rPr>
        <w:t>. Manoma, kad šie skirtumai</w:t>
      </w:r>
      <w:r w:rsidR="003C05B1" w:rsidRPr="007A17AE">
        <w:rPr>
          <w:rFonts w:eastAsia="TimesNewRoman"/>
          <w:szCs w:val="22"/>
          <w:lang w:eastAsia="lt-LT"/>
        </w:rPr>
        <w:t xml:space="preserve"> yra </w:t>
      </w:r>
      <w:r w:rsidRPr="007A17AE">
        <w:rPr>
          <w:rFonts w:eastAsia="TimesNewRoman"/>
          <w:szCs w:val="22"/>
          <w:lang w:eastAsia="lt-LT"/>
        </w:rPr>
        <w:t xml:space="preserve">kliniškai nereikšmingi. Senyviems asmenims </w:t>
      </w:r>
      <w:r w:rsidR="003C05B1" w:rsidRPr="007A17AE">
        <w:rPr>
          <w:rFonts w:eastAsia="TimesNewRoman"/>
          <w:szCs w:val="22"/>
          <w:lang w:eastAsia="lt-LT"/>
        </w:rPr>
        <w:t>aprepitanto</w:t>
      </w:r>
      <w:r w:rsidRPr="007A17AE">
        <w:rPr>
          <w:rFonts w:eastAsia="TimesNewRoman"/>
          <w:szCs w:val="22"/>
          <w:lang w:eastAsia="lt-LT"/>
        </w:rPr>
        <w:t xml:space="preserve"> dozės koreguoti nereikia.</w:t>
      </w:r>
    </w:p>
    <w:p w14:paraId="2D877212" w14:textId="77777777" w:rsidR="003C05B1" w:rsidRPr="007A17AE" w:rsidRDefault="003C05B1" w:rsidP="007A17AE">
      <w:pPr>
        <w:tabs>
          <w:tab w:val="clear" w:pos="567"/>
        </w:tabs>
        <w:autoSpaceDE w:val="0"/>
        <w:autoSpaceDN w:val="0"/>
        <w:adjustRightInd w:val="0"/>
        <w:spacing w:line="240" w:lineRule="auto"/>
        <w:contextualSpacing/>
        <w:rPr>
          <w:rFonts w:eastAsia="TimesNewRoman"/>
          <w:i/>
          <w:iCs/>
          <w:szCs w:val="22"/>
          <w:lang w:eastAsia="lt-LT"/>
        </w:rPr>
      </w:pPr>
    </w:p>
    <w:p w14:paraId="402FF195" w14:textId="77777777" w:rsidR="003C05B1" w:rsidRPr="007A17AE" w:rsidRDefault="00335DDE" w:rsidP="007A17AE">
      <w:pPr>
        <w:tabs>
          <w:tab w:val="clear" w:pos="567"/>
        </w:tabs>
        <w:autoSpaceDE w:val="0"/>
        <w:autoSpaceDN w:val="0"/>
        <w:adjustRightInd w:val="0"/>
        <w:spacing w:line="240" w:lineRule="auto"/>
        <w:contextualSpacing/>
        <w:rPr>
          <w:rFonts w:eastAsia="TimesNewRoman"/>
          <w:i/>
          <w:iCs/>
          <w:szCs w:val="22"/>
          <w:lang w:eastAsia="lt-LT"/>
        </w:rPr>
      </w:pPr>
      <w:r w:rsidRPr="007A17AE">
        <w:rPr>
          <w:rFonts w:eastAsia="TimesNewRoman"/>
          <w:i/>
          <w:iCs/>
          <w:szCs w:val="22"/>
          <w:lang w:eastAsia="lt-LT"/>
        </w:rPr>
        <w:t>Lytis</w:t>
      </w:r>
    </w:p>
    <w:p w14:paraId="0A53C131" w14:textId="77777777" w:rsidR="00335DDE" w:rsidRPr="007A17AE" w:rsidRDefault="003C05B1"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lastRenderedPageBreak/>
        <w:t>Išgėrus vienkartinę</w:t>
      </w:r>
      <w:r w:rsidR="00335DDE" w:rsidRPr="007A17AE">
        <w:rPr>
          <w:rFonts w:eastAsia="TimesNewRoman"/>
          <w:szCs w:val="22"/>
          <w:lang w:eastAsia="lt-LT"/>
        </w:rPr>
        <w:t xml:space="preserve"> 125</w:t>
      </w:r>
      <w:r w:rsidR="00091B4C">
        <w:rPr>
          <w:rFonts w:eastAsia="TimesNewRoman"/>
          <w:szCs w:val="22"/>
          <w:lang w:eastAsia="lt-LT"/>
        </w:rPr>
        <w:t> </w:t>
      </w:r>
      <w:r w:rsidR="00335DDE" w:rsidRPr="007A17AE">
        <w:rPr>
          <w:rFonts w:eastAsia="TimesNewRoman"/>
          <w:szCs w:val="22"/>
          <w:lang w:eastAsia="lt-LT"/>
        </w:rPr>
        <w:t>mg aprepitanto doz</w:t>
      </w:r>
      <w:r w:rsidRPr="007A17AE">
        <w:rPr>
          <w:rFonts w:eastAsia="TimesNewRoman"/>
          <w:szCs w:val="22"/>
          <w:lang w:eastAsia="lt-LT"/>
        </w:rPr>
        <w:t>ę moterims</w:t>
      </w:r>
      <w:r w:rsidR="00335DDE" w:rsidRPr="007A17AE">
        <w:rPr>
          <w:rFonts w:eastAsia="TimesNewRoman"/>
          <w:szCs w:val="22"/>
          <w:lang w:eastAsia="lt-LT"/>
        </w:rPr>
        <w:t xml:space="preserve"> aprepitanto C</w:t>
      </w:r>
      <w:r w:rsidR="00335DDE" w:rsidRPr="007A17AE">
        <w:rPr>
          <w:rFonts w:eastAsia="TimesNewRoman"/>
          <w:szCs w:val="22"/>
          <w:vertAlign w:val="subscript"/>
          <w:lang w:eastAsia="lt-LT"/>
        </w:rPr>
        <w:t>max</w:t>
      </w:r>
      <w:r w:rsidR="00335DDE" w:rsidRPr="007A17AE">
        <w:rPr>
          <w:rFonts w:eastAsia="TimesNewRoman"/>
          <w:szCs w:val="22"/>
          <w:lang w:eastAsia="lt-LT"/>
        </w:rPr>
        <w:t xml:space="preserve"> buvo 16</w:t>
      </w:r>
      <w:r w:rsidR="00091B4C">
        <w:rPr>
          <w:rFonts w:eastAsia="TimesNewRoman"/>
          <w:szCs w:val="22"/>
          <w:lang w:eastAsia="lt-LT"/>
        </w:rPr>
        <w:t> </w:t>
      </w:r>
      <w:r w:rsidR="00335DDE" w:rsidRPr="007A17AE">
        <w:rPr>
          <w:rFonts w:eastAsia="TimesNewRoman"/>
          <w:szCs w:val="22"/>
          <w:lang w:eastAsia="lt-LT"/>
        </w:rPr>
        <w:t>%</w:t>
      </w:r>
      <w:r w:rsidRPr="007A17AE">
        <w:rPr>
          <w:rFonts w:eastAsia="TimesNewRoman"/>
          <w:szCs w:val="22"/>
          <w:lang w:eastAsia="lt-LT"/>
        </w:rPr>
        <w:t xml:space="preserve"> </w:t>
      </w:r>
      <w:r w:rsidR="00335DDE" w:rsidRPr="007A17AE">
        <w:rPr>
          <w:rFonts w:eastAsia="TimesNewRoman"/>
          <w:szCs w:val="22"/>
          <w:lang w:eastAsia="lt-LT"/>
        </w:rPr>
        <w:t>didesnė</w:t>
      </w:r>
      <w:r w:rsidRPr="007A17AE">
        <w:rPr>
          <w:rFonts w:eastAsia="TimesNewRoman"/>
          <w:szCs w:val="22"/>
          <w:lang w:eastAsia="lt-LT"/>
        </w:rPr>
        <w:t>,</w:t>
      </w:r>
      <w:r w:rsidR="00335DDE" w:rsidRPr="007A17AE">
        <w:rPr>
          <w:rFonts w:eastAsia="TimesNewRoman"/>
          <w:szCs w:val="22"/>
          <w:lang w:eastAsia="lt-LT"/>
        </w:rPr>
        <w:t xml:space="preserve"> negu vyr</w:t>
      </w:r>
      <w:r w:rsidRPr="007A17AE">
        <w:rPr>
          <w:rFonts w:eastAsia="TimesNewRoman"/>
          <w:szCs w:val="22"/>
          <w:lang w:eastAsia="lt-LT"/>
        </w:rPr>
        <w:t>ams</w:t>
      </w:r>
      <w:r w:rsidR="00335DDE" w:rsidRPr="007A17AE">
        <w:rPr>
          <w:rFonts w:eastAsia="TimesNewRoman"/>
          <w:szCs w:val="22"/>
          <w:lang w:eastAsia="lt-LT"/>
        </w:rPr>
        <w:t>. Moter</w:t>
      </w:r>
      <w:r w:rsidRPr="007A17AE">
        <w:rPr>
          <w:rFonts w:eastAsia="TimesNewRoman"/>
          <w:szCs w:val="22"/>
          <w:lang w:eastAsia="lt-LT"/>
        </w:rPr>
        <w:t>ims</w:t>
      </w:r>
      <w:r w:rsidR="00335DDE" w:rsidRPr="007A17AE">
        <w:rPr>
          <w:rFonts w:eastAsia="TimesNewRoman"/>
          <w:szCs w:val="22"/>
          <w:lang w:eastAsia="lt-LT"/>
        </w:rPr>
        <w:t xml:space="preserve"> aprepitanto pusin</w:t>
      </w:r>
      <w:r w:rsidRPr="007A17AE">
        <w:rPr>
          <w:rFonts w:eastAsia="TimesNewRoman"/>
          <w:szCs w:val="22"/>
          <w:lang w:eastAsia="lt-LT"/>
        </w:rPr>
        <w:t>is gyvavimo</w:t>
      </w:r>
      <w:r w:rsidR="00335DDE" w:rsidRPr="007A17AE">
        <w:rPr>
          <w:rFonts w:eastAsia="TimesNewRoman"/>
          <w:szCs w:val="22"/>
          <w:lang w:eastAsia="lt-LT"/>
        </w:rPr>
        <w:t xml:space="preserve"> periodas yra 25</w:t>
      </w:r>
      <w:r w:rsidR="00091B4C">
        <w:rPr>
          <w:rFonts w:eastAsia="TimesNewRoman"/>
          <w:szCs w:val="22"/>
          <w:lang w:eastAsia="lt-LT"/>
        </w:rPr>
        <w:t> </w:t>
      </w:r>
      <w:r w:rsidR="00335DDE" w:rsidRPr="007A17AE">
        <w:rPr>
          <w:rFonts w:eastAsia="TimesNewRoman"/>
          <w:szCs w:val="22"/>
          <w:lang w:eastAsia="lt-LT"/>
        </w:rPr>
        <w:t>% mažesnis negu vyr</w:t>
      </w:r>
      <w:r w:rsidRPr="007A17AE">
        <w:rPr>
          <w:rFonts w:eastAsia="TimesNewRoman"/>
          <w:szCs w:val="22"/>
          <w:lang w:eastAsia="lt-LT"/>
        </w:rPr>
        <w:t>ams</w:t>
      </w:r>
      <w:r w:rsidR="00335DDE" w:rsidRPr="007A17AE">
        <w:rPr>
          <w:rFonts w:eastAsia="TimesNewRoman"/>
          <w:szCs w:val="22"/>
          <w:lang w:eastAsia="lt-LT"/>
        </w:rPr>
        <w:t>, o</w:t>
      </w:r>
      <w:r w:rsidR="00091B4C">
        <w:rPr>
          <w:rFonts w:eastAsia="TimesNewRoman"/>
          <w:szCs w:val="22"/>
          <w:lang w:eastAsia="lt-LT"/>
        </w:rPr>
        <w:t xml:space="preserve"> </w:t>
      </w:r>
      <w:r w:rsidR="00335DDE" w:rsidRPr="007A17AE">
        <w:rPr>
          <w:rFonts w:eastAsia="TimesNewRoman"/>
          <w:szCs w:val="22"/>
          <w:lang w:eastAsia="lt-LT"/>
        </w:rPr>
        <w:t>t</w:t>
      </w:r>
      <w:r w:rsidR="00335DDE" w:rsidRPr="007A17AE">
        <w:rPr>
          <w:rFonts w:eastAsia="TimesNewRoman"/>
          <w:szCs w:val="22"/>
          <w:vertAlign w:val="subscript"/>
          <w:lang w:eastAsia="lt-LT"/>
        </w:rPr>
        <w:t>max</w:t>
      </w:r>
      <w:r w:rsidR="00335DDE" w:rsidRPr="007A17AE">
        <w:rPr>
          <w:rFonts w:eastAsia="TimesNewRoman"/>
          <w:szCs w:val="22"/>
          <w:lang w:eastAsia="lt-LT"/>
        </w:rPr>
        <w:t xml:space="preserve"> </w:t>
      </w:r>
      <w:r w:rsidR="007644C8" w:rsidRPr="007A17AE">
        <w:rPr>
          <w:rFonts w:eastAsia="TimesNewRoman"/>
          <w:szCs w:val="22"/>
          <w:lang w:eastAsia="lt-LT"/>
        </w:rPr>
        <w:t xml:space="preserve">- </w:t>
      </w:r>
      <w:r w:rsidR="00335DDE" w:rsidRPr="007A17AE">
        <w:rPr>
          <w:rFonts w:eastAsia="TimesNewRoman"/>
          <w:szCs w:val="22"/>
          <w:lang w:eastAsia="lt-LT"/>
        </w:rPr>
        <w:t>maždaug vienodas. Manoma, kad šie skirtumai</w:t>
      </w:r>
      <w:r w:rsidRPr="007A17AE">
        <w:rPr>
          <w:rFonts w:eastAsia="TimesNewRoman"/>
          <w:szCs w:val="22"/>
          <w:lang w:eastAsia="lt-LT"/>
        </w:rPr>
        <w:t xml:space="preserve"> yra </w:t>
      </w:r>
      <w:r w:rsidR="00335DDE" w:rsidRPr="007A17AE">
        <w:rPr>
          <w:rFonts w:eastAsia="TimesNewRoman"/>
          <w:szCs w:val="22"/>
          <w:lang w:eastAsia="lt-LT"/>
        </w:rPr>
        <w:t xml:space="preserve">kliniškai nereikšmingi. </w:t>
      </w:r>
      <w:r w:rsidRPr="007A17AE">
        <w:rPr>
          <w:rFonts w:eastAsia="TimesNewRoman"/>
          <w:szCs w:val="22"/>
          <w:lang w:eastAsia="lt-LT"/>
        </w:rPr>
        <w:t>Lyties pagrindu aprepitanto</w:t>
      </w:r>
      <w:r w:rsidR="00335DDE" w:rsidRPr="007A17AE">
        <w:rPr>
          <w:rFonts w:eastAsia="TimesNewRoman"/>
          <w:szCs w:val="22"/>
          <w:lang w:eastAsia="lt-LT"/>
        </w:rPr>
        <w:t xml:space="preserve"> dozės</w:t>
      </w:r>
      <w:r w:rsidRPr="007A17AE">
        <w:rPr>
          <w:rFonts w:eastAsia="TimesNewRoman"/>
          <w:szCs w:val="22"/>
          <w:lang w:eastAsia="lt-LT"/>
        </w:rPr>
        <w:t xml:space="preserve"> </w:t>
      </w:r>
      <w:r w:rsidR="00335DDE" w:rsidRPr="007A17AE">
        <w:rPr>
          <w:rFonts w:eastAsia="TimesNewRoman"/>
          <w:szCs w:val="22"/>
          <w:lang w:eastAsia="lt-LT"/>
        </w:rPr>
        <w:t>koreguoti nereikia.</w:t>
      </w:r>
    </w:p>
    <w:p w14:paraId="4A272308" w14:textId="77777777" w:rsidR="003C05B1" w:rsidRPr="007A17AE" w:rsidRDefault="003C05B1" w:rsidP="007A17AE">
      <w:pPr>
        <w:tabs>
          <w:tab w:val="clear" w:pos="567"/>
        </w:tabs>
        <w:autoSpaceDE w:val="0"/>
        <w:autoSpaceDN w:val="0"/>
        <w:adjustRightInd w:val="0"/>
        <w:spacing w:line="240" w:lineRule="auto"/>
        <w:contextualSpacing/>
        <w:rPr>
          <w:rFonts w:eastAsia="TimesNewRoman"/>
          <w:i/>
          <w:iCs/>
          <w:szCs w:val="22"/>
          <w:lang w:eastAsia="lt-LT"/>
        </w:rPr>
      </w:pPr>
    </w:p>
    <w:p w14:paraId="5A77C684" w14:textId="77777777" w:rsidR="003C05B1" w:rsidRPr="00710C2F" w:rsidRDefault="00335DDE" w:rsidP="007A17AE">
      <w:pPr>
        <w:tabs>
          <w:tab w:val="clear" w:pos="567"/>
        </w:tabs>
        <w:autoSpaceDE w:val="0"/>
        <w:autoSpaceDN w:val="0"/>
        <w:adjustRightInd w:val="0"/>
        <w:spacing w:line="240" w:lineRule="auto"/>
        <w:contextualSpacing/>
        <w:rPr>
          <w:rFonts w:eastAsia="TimesNewRoman"/>
          <w:u w:val="single"/>
        </w:rPr>
      </w:pPr>
      <w:r w:rsidRPr="00710C2F">
        <w:rPr>
          <w:rFonts w:eastAsia="TimesNewRoman"/>
          <w:u w:val="single"/>
        </w:rPr>
        <w:t>Sutrikusi kepenų funkcija</w:t>
      </w:r>
    </w:p>
    <w:p w14:paraId="4007A346" w14:textId="77777777" w:rsidR="00335DDE" w:rsidRPr="007A17AE" w:rsidRDefault="00335DDE"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Lengvas kepenų funkcijos sutrikimas (</w:t>
      </w:r>
      <w:r w:rsidRPr="00B12DD0">
        <w:rPr>
          <w:rFonts w:eastAsia="TimesNewRoman"/>
          <w:i/>
          <w:szCs w:val="22"/>
          <w:lang w:eastAsia="lt-LT"/>
        </w:rPr>
        <w:t>Child-Pugh</w:t>
      </w:r>
      <w:r w:rsidRPr="007A17AE">
        <w:rPr>
          <w:rFonts w:eastAsia="TimesNewRoman"/>
          <w:szCs w:val="22"/>
          <w:lang w:eastAsia="lt-LT"/>
        </w:rPr>
        <w:t xml:space="preserve"> klasė A) kliniškai</w:t>
      </w:r>
      <w:r w:rsidR="003C05B1" w:rsidRPr="007A17AE">
        <w:rPr>
          <w:rFonts w:eastAsia="TimesNewRoman"/>
          <w:szCs w:val="22"/>
          <w:lang w:eastAsia="lt-LT"/>
        </w:rPr>
        <w:t xml:space="preserve"> </w:t>
      </w:r>
      <w:r w:rsidRPr="007A17AE">
        <w:rPr>
          <w:rFonts w:eastAsia="TimesNewRoman"/>
          <w:szCs w:val="22"/>
          <w:lang w:eastAsia="lt-LT"/>
        </w:rPr>
        <w:t>reikšming</w:t>
      </w:r>
      <w:r w:rsidR="003C05B1" w:rsidRPr="007A17AE">
        <w:rPr>
          <w:rFonts w:eastAsia="TimesNewRoman"/>
          <w:szCs w:val="22"/>
          <w:lang w:eastAsia="lt-LT"/>
        </w:rPr>
        <w:t>os įtakos</w:t>
      </w:r>
      <w:r w:rsidRPr="007A17AE">
        <w:rPr>
          <w:rFonts w:eastAsia="TimesNewRoman"/>
          <w:szCs w:val="22"/>
          <w:lang w:eastAsia="lt-LT"/>
        </w:rPr>
        <w:t xml:space="preserve"> aprepitanto farmakokinetik</w:t>
      </w:r>
      <w:r w:rsidR="003C05B1" w:rsidRPr="007A17AE">
        <w:rPr>
          <w:rFonts w:eastAsia="TimesNewRoman"/>
          <w:szCs w:val="22"/>
          <w:lang w:eastAsia="lt-LT"/>
        </w:rPr>
        <w:t>ai nedaro</w:t>
      </w:r>
      <w:r w:rsidRPr="007A17AE">
        <w:rPr>
          <w:rFonts w:eastAsia="TimesNewRoman"/>
          <w:szCs w:val="22"/>
          <w:lang w:eastAsia="lt-LT"/>
        </w:rPr>
        <w:t>. Pacientams, kuriems yra lengvas kepenų funkcijos</w:t>
      </w:r>
      <w:r w:rsidR="003C05B1" w:rsidRPr="007A17AE">
        <w:rPr>
          <w:rFonts w:eastAsia="TimesNewRoman"/>
          <w:szCs w:val="22"/>
          <w:lang w:eastAsia="lt-LT"/>
        </w:rPr>
        <w:t xml:space="preserve"> </w:t>
      </w:r>
      <w:r w:rsidRPr="007A17AE">
        <w:rPr>
          <w:rFonts w:eastAsia="TimesNewRoman"/>
          <w:szCs w:val="22"/>
          <w:lang w:eastAsia="lt-LT"/>
        </w:rPr>
        <w:t>sutrikimas, dozės koreguoti nereikia. Nepakanka turimų duomenų, kad būtų galima įvertinti vidutinio</w:t>
      </w:r>
      <w:r w:rsidR="003C05B1" w:rsidRPr="007A17AE">
        <w:rPr>
          <w:rFonts w:eastAsia="TimesNewRoman"/>
          <w:szCs w:val="22"/>
          <w:lang w:eastAsia="lt-LT"/>
        </w:rPr>
        <w:t xml:space="preserve"> </w:t>
      </w:r>
      <w:r w:rsidRPr="007A17AE">
        <w:rPr>
          <w:rFonts w:eastAsia="TimesNewRoman"/>
          <w:szCs w:val="22"/>
          <w:lang w:eastAsia="lt-LT"/>
        </w:rPr>
        <w:t>sunkumo kepenų funkcijos sutrikimo (</w:t>
      </w:r>
      <w:r w:rsidRPr="00B12DD0">
        <w:rPr>
          <w:rFonts w:eastAsia="TimesNewRoman"/>
          <w:i/>
          <w:szCs w:val="22"/>
          <w:lang w:eastAsia="lt-LT"/>
        </w:rPr>
        <w:t>Child-Pugh</w:t>
      </w:r>
      <w:r w:rsidRPr="007A17AE">
        <w:rPr>
          <w:rFonts w:eastAsia="TimesNewRoman"/>
          <w:szCs w:val="22"/>
          <w:lang w:eastAsia="lt-LT"/>
        </w:rPr>
        <w:t xml:space="preserve"> klasė B) įtaką aprepitanto farmakokinetikai.</w:t>
      </w:r>
      <w:r w:rsidR="003C05B1" w:rsidRPr="007A17AE">
        <w:rPr>
          <w:rFonts w:eastAsia="TimesNewRoman"/>
          <w:szCs w:val="22"/>
          <w:lang w:eastAsia="lt-LT"/>
        </w:rPr>
        <w:t xml:space="preserve"> </w:t>
      </w:r>
      <w:r w:rsidRPr="007A17AE">
        <w:rPr>
          <w:rFonts w:eastAsia="TimesNewRoman"/>
          <w:szCs w:val="22"/>
          <w:lang w:eastAsia="lt-LT"/>
        </w:rPr>
        <w:t>Pacientų, kuriems yra sunkus kepenų funkcijos sutrikimas (</w:t>
      </w:r>
      <w:r w:rsidRPr="00B12DD0">
        <w:rPr>
          <w:rFonts w:eastAsia="TimesNewRoman"/>
          <w:i/>
          <w:szCs w:val="22"/>
          <w:lang w:eastAsia="lt-LT"/>
        </w:rPr>
        <w:t>Child-Pugh</w:t>
      </w:r>
      <w:r w:rsidRPr="007A17AE">
        <w:rPr>
          <w:rFonts w:eastAsia="TimesNewRoman"/>
          <w:szCs w:val="22"/>
          <w:lang w:eastAsia="lt-LT"/>
        </w:rPr>
        <w:t xml:space="preserve"> klasė C), klinikinių farmakokinetikos duomenų nėra.</w:t>
      </w:r>
    </w:p>
    <w:p w14:paraId="000F8ECC" w14:textId="77777777" w:rsidR="003C05B1" w:rsidRPr="007A17AE" w:rsidRDefault="003C05B1" w:rsidP="007A17AE">
      <w:pPr>
        <w:tabs>
          <w:tab w:val="clear" w:pos="567"/>
        </w:tabs>
        <w:autoSpaceDE w:val="0"/>
        <w:autoSpaceDN w:val="0"/>
        <w:adjustRightInd w:val="0"/>
        <w:spacing w:line="240" w:lineRule="auto"/>
        <w:contextualSpacing/>
        <w:rPr>
          <w:rFonts w:eastAsia="TimesNewRoman"/>
          <w:i/>
          <w:iCs/>
          <w:szCs w:val="22"/>
          <w:lang w:eastAsia="lt-LT"/>
        </w:rPr>
      </w:pPr>
    </w:p>
    <w:p w14:paraId="6FE5DDD5" w14:textId="77777777" w:rsidR="003C05B1" w:rsidRPr="00710C2F" w:rsidRDefault="00335DDE" w:rsidP="007A17AE">
      <w:pPr>
        <w:tabs>
          <w:tab w:val="clear" w:pos="567"/>
        </w:tabs>
        <w:autoSpaceDE w:val="0"/>
        <w:autoSpaceDN w:val="0"/>
        <w:adjustRightInd w:val="0"/>
        <w:spacing w:line="240" w:lineRule="auto"/>
        <w:contextualSpacing/>
        <w:rPr>
          <w:rFonts w:eastAsia="TimesNewRoman"/>
          <w:u w:val="single"/>
        </w:rPr>
      </w:pPr>
      <w:r w:rsidRPr="00710C2F">
        <w:rPr>
          <w:rFonts w:eastAsia="TimesNewRoman"/>
          <w:u w:val="single"/>
        </w:rPr>
        <w:t>Sutrikusi inkstų funkcija</w:t>
      </w:r>
    </w:p>
    <w:p w14:paraId="607C1749" w14:textId="3C489C68" w:rsidR="00E040B0" w:rsidRPr="007A17AE" w:rsidRDefault="00335DDE" w:rsidP="007A17AE">
      <w:pPr>
        <w:tabs>
          <w:tab w:val="clear" w:pos="567"/>
        </w:tabs>
        <w:autoSpaceDE w:val="0"/>
        <w:autoSpaceDN w:val="0"/>
        <w:adjustRightInd w:val="0"/>
        <w:spacing w:line="240" w:lineRule="auto"/>
        <w:contextualSpacing/>
        <w:rPr>
          <w:szCs w:val="22"/>
        </w:rPr>
      </w:pPr>
      <w:r w:rsidRPr="007A17AE">
        <w:rPr>
          <w:rFonts w:eastAsia="TimesNewRoman"/>
          <w:szCs w:val="22"/>
          <w:lang w:eastAsia="lt-LT"/>
        </w:rPr>
        <w:t>Vienkartinė 240</w:t>
      </w:r>
      <w:r w:rsidR="00091B4C">
        <w:rPr>
          <w:rFonts w:eastAsia="TimesNewRoman"/>
          <w:szCs w:val="22"/>
          <w:lang w:eastAsia="lt-LT"/>
        </w:rPr>
        <w:t> </w:t>
      </w:r>
      <w:r w:rsidRPr="007A17AE">
        <w:rPr>
          <w:rFonts w:eastAsia="TimesNewRoman"/>
          <w:szCs w:val="22"/>
          <w:lang w:eastAsia="lt-LT"/>
        </w:rPr>
        <w:t>mg aprepitanto dozė buvo skirta pacientams, kuri</w:t>
      </w:r>
      <w:r w:rsidR="003C05B1" w:rsidRPr="007A17AE">
        <w:rPr>
          <w:rFonts w:eastAsia="TimesNewRoman"/>
          <w:szCs w:val="22"/>
          <w:lang w:eastAsia="lt-LT"/>
        </w:rPr>
        <w:t xml:space="preserve">ems yra sunkus </w:t>
      </w:r>
      <w:r w:rsidRPr="007A17AE">
        <w:rPr>
          <w:rFonts w:eastAsia="TimesNewRoman"/>
          <w:szCs w:val="22"/>
          <w:lang w:eastAsia="lt-LT"/>
        </w:rPr>
        <w:t>inkstų</w:t>
      </w:r>
      <w:r w:rsidR="003C05B1" w:rsidRPr="007A17AE">
        <w:rPr>
          <w:rFonts w:eastAsia="TimesNewRoman"/>
          <w:szCs w:val="22"/>
          <w:lang w:eastAsia="lt-LT"/>
        </w:rPr>
        <w:t xml:space="preserve"> </w:t>
      </w:r>
      <w:r w:rsidRPr="007A17AE">
        <w:rPr>
          <w:rFonts w:eastAsia="TimesNewRoman"/>
          <w:szCs w:val="22"/>
          <w:lang w:eastAsia="lt-LT"/>
        </w:rPr>
        <w:t>funkcij</w:t>
      </w:r>
      <w:r w:rsidR="003C05B1" w:rsidRPr="007A17AE">
        <w:rPr>
          <w:rFonts w:eastAsia="TimesNewRoman"/>
          <w:szCs w:val="22"/>
          <w:lang w:eastAsia="lt-LT"/>
        </w:rPr>
        <w:t>os sutrikimas</w:t>
      </w:r>
      <w:r w:rsidRPr="007A17AE">
        <w:rPr>
          <w:rFonts w:eastAsia="TimesNewRoman"/>
          <w:szCs w:val="22"/>
          <w:lang w:eastAsia="lt-LT"/>
        </w:rPr>
        <w:t xml:space="preserve"> (kreatinino klirensas &lt;</w:t>
      </w:r>
      <w:r w:rsidR="00091B4C">
        <w:rPr>
          <w:rFonts w:eastAsia="TimesNewRoman"/>
          <w:szCs w:val="22"/>
          <w:lang w:eastAsia="lt-LT"/>
        </w:rPr>
        <w:t> </w:t>
      </w:r>
      <w:r w:rsidRPr="007A17AE">
        <w:rPr>
          <w:rFonts w:eastAsia="TimesNewRoman"/>
          <w:szCs w:val="22"/>
          <w:lang w:eastAsia="lt-LT"/>
        </w:rPr>
        <w:t>30</w:t>
      </w:r>
      <w:r w:rsidR="00091B4C">
        <w:rPr>
          <w:rFonts w:eastAsia="TimesNewRoman"/>
          <w:szCs w:val="22"/>
          <w:lang w:eastAsia="lt-LT"/>
        </w:rPr>
        <w:t> </w:t>
      </w:r>
      <w:r w:rsidRPr="007A17AE">
        <w:rPr>
          <w:rFonts w:eastAsia="TimesNewRoman"/>
          <w:szCs w:val="22"/>
          <w:lang w:eastAsia="lt-LT"/>
        </w:rPr>
        <w:t xml:space="preserve">ml/min), taip pat tiems, kuriems buvo </w:t>
      </w:r>
      <w:r w:rsidR="003C05B1" w:rsidRPr="007A17AE">
        <w:rPr>
          <w:rFonts w:eastAsia="TimesNewRoman"/>
          <w:szCs w:val="22"/>
          <w:lang w:eastAsia="lt-LT"/>
        </w:rPr>
        <w:t>galutinė</w:t>
      </w:r>
      <w:r w:rsidR="003751E8">
        <w:rPr>
          <w:rFonts w:eastAsia="TimesNewRoman"/>
          <w:szCs w:val="22"/>
          <w:lang w:eastAsia="lt-LT"/>
        </w:rPr>
        <w:t>s stadijos</w:t>
      </w:r>
      <w:r w:rsidR="003C05B1" w:rsidRPr="007A17AE">
        <w:rPr>
          <w:rFonts w:eastAsia="TimesNewRoman"/>
          <w:szCs w:val="22"/>
          <w:lang w:eastAsia="lt-LT"/>
        </w:rPr>
        <w:t xml:space="preserve"> </w:t>
      </w:r>
      <w:r w:rsidRPr="007A17AE">
        <w:rPr>
          <w:rFonts w:eastAsia="TimesNewRoman"/>
          <w:szCs w:val="22"/>
          <w:lang w:eastAsia="lt-LT"/>
        </w:rPr>
        <w:t>inkstų lig</w:t>
      </w:r>
      <w:r w:rsidR="003751E8">
        <w:rPr>
          <w:rFonts w:eastAsia="TimesNewRoman"/>
          <w:szCs w:val="22"/>
          <w:lang w:eastAsia="lt-LT"/>
        </w:rPr>
        <w:t>a</w:t>
      </w:r>
      <w:r w:rsidRPr="007A17AE">
        <w:rPr>
          <w:rFonts w:eastAsia="TimesNewRoman"/>
          <w:szCs w:val="22"/>
          <w:lang w:eastAsia="lt-LT"/>
        </w:rPr>
        <w:t>(</w:t>
      </w:r>
      <w:r w:rsidR="003C05B1" w:rsidRPr="007A17AE">
        <w:rPr>
          <w:rFonts w:eastAsia="TimesNewRoman"/>
          <w:szCs w:val="22"/>
          <w:lang w:eastAsia="lt-LT"/>
        </w:rPr>
        <w:t>G</w:t>
      </w:r>
      <w:r w:rsidR="003751E8">
        <w:rPr>
          <w:rFonts w:eastAsia="TimesNewRoman"/>
          <w:szCs w:val="22"/>
          <w:lang w:eastAsia="lt-LT"/>
        </w:rPr>
        <w:t>S</w:t>
      </w:r>
      <w:r w:rsidRPr="007A17AE">
        <w:rPr>
          <w:rFonts w:eastAsia="TimesNewRoman"/>
          <w:szCs w:val="22"/>
          <w:lang w:eastAsia="lt-LT"/>
        </w:rPr>
        <w:t>IL) ir juos reikėjo hemodializuoti.</w:t>
      </w:r>
    </w:p>
    <w:p w14:paraId="13962A28" w14:textId="77777777" w:rsidR="00E040B0" w:rsidRPr="007A17AE" w:rsidRDefault="00E040B0" w:rsidP="007A17AE">
      <w:pPr>
        <w:spacing w:line="240" w:lineRule="auto"/>
        <w:ind w:left="567" w:hanging="567"/>
        <w:contextualSpacing/>
        <w:outlineLvl w:val="0"/>
        <w:rPr>
          <w:szCs w:val="22"/>
        </w:rPr>
      </w:pPr>
    </w:p>
    <w:p w14:paraId="02DC03D2" w14:textId="48A504D8" w:rsidR="003C05B1" w:rsidRPr="007A17AE" w:rsidRDefault="003C05B1"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Pacientams, kuri</w:t>
      </w:r>
      <w:r w:rsidR="00106F14" w:rsidRPr="007A17AE">
        <w:rPr>
          <w:rFonts w:eastAsia="TimesNewRoman"/>
          <w:szCs w:val="22"/>
          <w:lang w:eastAsia="lt-LT"/>
        </w:rPr>
        <w:t>ems yra sunkus inkstų</w:t>
      </w:r>
      <w:r w:rsidRPr="007A17AE">
        <w:rPr>
          <w:rFonts w:eastAsia="TimesNewRoman"/>
          <w:szCs w:val="22"/>
          <w:lang w:eastAsia="lt-LT"/>
        </w:rPr>
        <w:t xml:space="preserve"> funkcij</w:t>
      </w:r>
      <w:r w:rsidR="00106F14" w:rsidRPr="007A17AE">
        <w:rPr>
          <w:rFonts w:eastAsia="TimesNewRoman"/>
          <w:szCs w:val="22"/>
          <w:lang w:eastAsia="lt-LT"/>
        </w:rPr>
        <w:t>os sutrikimas</w:t>
      </w:r>
      <w:r w:rsidRPr="007A17AE">
        <w:rPr>
          <w:rFonts w:eastAsia="TimesNewRoman"/>
          <w:szCs w:val="22"/>
          <w:lang w:eastAsia="lt-LT"/>
        </w:rPr>
        <w:t>, viso (</w:t>
      </w:r>
      <w:r w:rsidR="00106F14" w:rsidRPr="007A17AE">
        <w:rPr>
          <w:rFonts w:eastAsia="TimesNewRoman"/>
          <w:szCs w:val="22"/>
          <w:lang w:eastAsia="lt-LT"/>
        </w:rPr>
        <w:t>surišto ir nesurišto su baltymu) a</w:t>
      </w:r>
      <w:r w:rsidRPr="007A17AE">
        <w:rPr>
          <w:rFonts w:eastAsia="TimesNewRoman"/>
          <w:szCs w:val="22"/>
          <w:lang w:eastAsia="lt-LT"/>
        </w:rPr>
        <w:t xml:space="preserve">prepitanto </w:t>
      </w:r>
      <w:r w:rsidR="00106F14" w:rsidRPr="007A17AE">
        <w:rPr>
          <w:szCs w:val="22"/>
        </w:rPr>
        <w:t>AU</w:t>
      </w:r>
      <w:r w:rsidR="00106F14" w:rsidRPr="007A17AE">
        <w:rPr>
          <w:spacing w:val="-1"/>
          <w:szCs w:val="22"/>
        </w:rPr>
        <w:t>C</w:t>
      </w:r>
      <w:r w:rsidR="00106F14" w:rsidRPr="00F122CC">
        <w:rPr>
          <w:szCs w:val="22"/>
          <w:vertAlign w:val="subscript"/>
        </w:rPr>
        <w:t>0-∞</w:t>
      </w:r>
      <w:r w:rsidR="00106F14" w:rsidRPr="007A17AE">
        <w:rPr>
          <w:position w:val="-3"/>
          <w:szCs w:val="22"/>
        </w:rPr>
        <w:t xml:space="preserve"> </w:t>
      </w:r>
      <w:r w:rsidRPr="007A17AE">
        <w:rPr>
          <w:rFonts w:eastAsia="TimesNewRoman"/>
          <w:szCs w:val="22"/>
          <w:lang w:eastAsia="lt-LT"/>
        </w:rPr>
        <w:t>sumažėjo 21</w:t>
      </w:r>
      <w:r w:rsidR="00091B4C">
        <w:rPr>
          <w:rFonts w:eastAsia="TimesNewRoman"/>
          <w:szCs w:val="22"/>
          <w:lang w:eastAsia="lt-LT"/>
        </w:rPr>
        <w:t> </w:t>
      </w:r>
      <w:r w:rsidRPr="007A17AE">
        <w:rPr>
          <w:rFonts w:eastAsia="TimesNewRoman"/>
          <w:szCs w:val="22"/>
          <w:lang w:eastAsia="lt-LT"/>
        </w:rPr>
        <w:t>%, o C</w:t>
      </w:r>
      <w:r w:rsidRPr="007A17AE">
        <w:rPr>
          <w:rFonts w:eastAsia="TimesNewRoman"/>
          <w:szCs w:val="22"/>
          <w:vertAlign w:val="subscript"/>
          <w:lang w:eastAsia="lt-LT"/>
        </w:rPr>
        <w:t>max</w:t>
      </w:r>
      <w:r w:rsidRPr="007A17AE">
        <w:rPr>
          <w:rFonts w:eastAsia="TimesNewRoman"/>
          <w:szCs w:val="22"/>
          <w:lang w:eastAsia="lt-LT"/>
        </w:rPr>
        <w:t xml:space="preserve"> sumažėjo 32</w:t>
      </w:r>
      <w:r w:rsidR="00091B4C">
        <w:rPr>
          <w:rFonts w:eastAsia="TimesNewRoman"/>
          <w:szCs w:val="22"/>
          <w:lang w:eastAsia="lt-LT"/>
        </w:rPr>
        <w:t> </w:t>
      </w:r>
      <w:r w:rsidRPr="007A17AE">
        <w:rPr>
          <w:rFonts w:eastAsia="TimesNewRoman"/>
          <w:szCs w:val="22"/>
          <w:lang w:eastAsia="lt-LT"/>
        </w:rPr>
        <w:t xml:space="preserve">% lyginant su </w:t>
      </w:r>
      <w:r w:rsidR="00106F14" w:rsidRPr="007A17AE">
        <w:rPr>
          <w:rFonts w:eastAsia="TimesNewRoman"/>
          <w:szCs w:val="22"/>
          <w:lang w:eastAsia="lt-LT"/>
        </w:rPr>
        <w:t>sveikais asmenimis</w:t>
      </w:r>
      <w:r w:rsidRPr="007A17AE">
        <w:rPr>
          <w:rFonts w:eastAsia="TimesNewRoman"/>
          <w:szCs w:val="22"/>
          <w:lang w:eastAsia="lt-LT"/>
        </w:rPr>
        <w:t>. Pacient</w:t>
      </w:r>
      <w:r w:rsidR="00106F14" w:rsidRPr="007A17AE">
        <w:rPr>
          <w:rFonts w:eastAsia="TimesNewRoman"/>
          <w:szCs w:val="22"/>
          <w:lang w:eastAsia="lt-LT"/>
        </w:rPr>
        <w:t>ams</w:t>
      </w:r>
      <w:r w:rsidRPr="007A17AE">
        <w:rPr>
          <w:rFonts w:eastAsia="TimesNewRoman"/>
          <w:szCs w:val="22"/>
          <w:lang w:eastAsia="lt-LT"/>
        </w:rPr>
        <w:t>,</w:t>
      </w:r>
      <w:r w:rsidR="00106F14" w:rsidRPr="007A17AE">
        <w:rPr>
          <w:rFonts w:eastAsia="TimesNewRoman"/>
          <w:szCs w:val="22"/>
          <w:lang w:eastAsia="lt-LT"/>
        </w:rPr>
        <w:t xml:space="preserve"> </w:t>
      </w:r>
      <w:r w:rsidRPr="007A17AE">
        <w:rPr>
          <w:rFonts w:eastAsia="TimesNewRoman"/>
          <w:szCs w:val="22"/>
          <w:lang w:eastAsia="lt-LT"/>
        </w:rPr>
        <w:t>hemodializuojam</w:t>
      </w:r>
      <w:r w:rsidR="00106F14" w:rsidRPr="007A17AE">
        <w:rPr>
          <w:rFonts w:eastAsia="TimesNewRoman"/>
          <w:szCs w:val="22"/>
          <w:lang w:eastAsia="lt-LT"/>
        </w:rPr>
        <w:t>iems</w:t>
      </w:r>
      <w:r w:rsidRPr="007A17AE">
        <w:rPr>
          <w:rFonts w:eastAsia="TimesNewRoman"/>
          <w:szCs w:val="22"/>
          <w:lang w:eastAsia="lt-LT"/>
        </w:rPr>
        <w:t xml:space="preserve"> dėl </w:t>
      </w:r>
      <w:r w:rsidR="00106F14" w:rsidRPr="007A17AE">
        <w:rPr>
          <w:rFonts w:eastAsia="TimesNewRoman"/>
          <w:szCs w:val="22"/>
          <w:lang w:eastAsia="lt-LT"/>
        </w:rPr>
        <w:t>G</w:t>
      </w:r>
      <w:r w:rsidR="003751E8">
        <w:rPr>
          <w:rFonts w:eastAsia="TimesNewRoman"/>
          <w:szCs w:val="22"/>
          <w:lang w:eastAsia="lt-LT"/>
        </w:rPr>
        <w:t>S</w:t>
      </w:r>
      <w:r w:rsidRPr="007A17AE">
        <w:rPr>
          <w:rFonts w:eastAsia="TimesNewRoman"/>
          <w:szCs w:val="22"/>
          <w:lang w:eastAsia="lt-LT"/>
        </w:rPr>
        <w:t xml:space="preserve">IL, viso aprepitanto </w:t>
      </w:r>
      <w:r w:rsidR="00106F14" w:rsidRPr="007A17AE">
        <w:rPr>
          <w:szCs w:val="22"/>
        </w:rPr>
        <w:t>AU</w:t>
      </w:r>
      <w:r w:rsidR="00106F14" w:rsidRPr="007A17AE">
        <w:rPr>
          <w:spacing w:val="-1"/>
          <w:szCs w:val="22"/>
        </w:rPr>
        <w:t>C</w:t>
      </w:r>
      <w:r w:rsidR="00106F14" w:rsidRPr="00F122CC">
        <w:rPr>
          <w:rFonts w:eastAsia="TimesNewRoman"/>
          <w:szCs w:val="22"/>
          <w:vertAlign w:val="subscript"/>
          <w:lang w:eastAsia="lt-LT"/>
        </w:rPr>
        <w:t>0-∞</w:t>
      </w:r>
      <w:r w:rsidR="00106F14" w:rsidRPr="007A17AE">
        <w:rPr>
          <w:position w:val="-3"/>
          <w:szCs w:val="22"/>
        </w:rPr>
        <w:t xml:space="preserve"> </w:t>
      </w:r>
      <w:r w:rsidRPr="007A17AE">
        <w:rPr>
          <w:rFonts w:eastAsia="TimesNewRoman"/>
          <w:szCs w:val="22"/>
          <w:lang w:eastAsia="lt-LT"/>
        </w:rPr>
        <w:t>sumažėjo 42</w:t>
      </w:r>
      <w:r w:rsidR="00091B4C">
        <w:rPr>
          <w:rFonts w:eastAsia="TimesNewRoman"/>
          <w:szCs w:val="22"/>
          <w:lang w:eastAsia="lt-LT"/>
        </w:rPr>
        <w:t> </w:t>
      </w:r>
      <w:r w:rsidRPr="007A17AE">
        <w:rPr>
          <w:rFonts w:eastAsia="TimesNewRoman"/>
          <w:szCs w:val="22"/>
          <w:lang w:eastAsia="lt-LT"/>
        </w:rPr>
        <w:t>%, o C</w:t>
      </w:r>
      <w:r w:rsidRPr="007A17AE">
        <w:rPr>
          <w:rFonts w:eastAsia="TimesNewRoman"/>
          <w:szCs w:val="22"/>
          <w:vertAlign w:val="subscript"/>
          <w:lang w:eastAsia="lt-LT"/>
        </w:rPr>
        <w:t>max</w:t>
      </w:r>
      <w:r w:rsidRPr="007A17AE">
        <w:rPr>
          <w:rFonts w:eastAsia="TimesNewRoman"/>
          <w:szCs w:val="22"/>
          <w:lang w:eastAsia="lt-LT"/>
        </w:rPr>
        <w:t xml:space="preserve"> </w:t>
      </w:r>
      <w:r w:rsidR="00091B4C">
        <w:rPr>
          <w:rFonts w:eastAsia="TimesNewRoman"/>
          <w:szCs w:val="22"/>
          <w:lang w:eastAsia="lt-LT"/>
        </w:rPr>
        <w:t>–</w:t>
      </w:r>
      <w:r w:rsidR="00106F14" w:rsidRPr="007A17AE">
        <w:rPr>
          <w:rFonts w:eastAsia="TimesNewRoman"/>
          <w:szCs w:val="22"/>
          <w:lang w:eastAsia="lt-LT"/>
        </w:rPr>
        <w:t xml:space="preserve"> </w:t>
      </w:r>
      <w:r w:rsidRPr="007A17AE">
        <w:rPr>
          <w:rFonts w:eastAsia="TimesNewRoman"/>
          <w:szCs w:val="22"/>
          <w:lang w:eastAsia="lt-LT"/>
        </w:rPr>
        <w:t>32</w:t>
      </w:r>
      <w:r w:rsidR="00091B4C">
        <w:rPr>
          <w:rFonts w:eastAsia="TimesNewRoman"/>
          <w:szCs w:val="22"/>
          <w:lang w:eastAsia="lt-LT"/>
        </w:rPr>
        <w:t> </w:t>
      </w:r>
      <w:r w:rsidRPr="007A17AE">
        <w:rPr>
          <w:rFonts w:eastAsia="TimesNewRoman"/>
          <w:szCs w:val="22"/>
          <w:lang w:eastAsia="lt-LT"/>
        </w:rPr>
        <w:t>%. Kadangi</w:t>
      </w:r>
      <w:r w:rsidR="00106F14" w:rsidRPr="007A17AE">
        <w:rPr>
          <w:rFonts w:eastAsia="TimesNewRoman"/>
          <w:szCs w:val="22"/>
          <w:lang w:eastAsia="lt-LT"/>
        </w:rPr>
        <w:t xml:space="preserve"> </w:t>
      </w:r>
      <w:r w:rsidRPr="007A17AE">
        <w:rPr>
          <w:rFonts w:eastAsia="TimesNewRoman"/>
          <w:szCs w:val="22"/>
          <w:lang w:eastAsia="lt-LT"/>
        </w:rPr>
        <w:t xml:space="preserve">sergant inkstų liga vidutiniškai sumažėja aprepitanto </w:t>
      </w:r>
      <w:r w:rsidR="00106F14" w:rsidRPr="007A17AE">
        <w:rPr>
          <w:rFonts w:eastAsia="TimesNewRoman"/>
          <w:szCs w:val="22"/>
          <w:lang w:eastAsia="lt-LT"/>
        </w:rPr>
        <w:t>surišimas baltymu</w:t>
      </w:r>
      <w:r w:rsidRPr="007A17AE">
        <w:rPr>
          <w:rFonts w:eastAsia="TimesNewRoman"/>
          <w:szCs w:val="22"/>
          <w:lang w:eastAsia="lt-LT"/>
        </w:rPr>
        <w:t>, pacient</w:t>
      </w:r>
      <w:r w:rsidR="00106F14" w:rsidRPr="007A17AE">
        <w:rPr>
          <w:rFonts w:eastAsia="TimesNewRoman"/>
          <w:szCs w:val="22"/>
          <w:lang w:eastAsia="lt-LT"/>
        </w:rPr>
        <w:t>ams</w:t>
      </w:r>
      <w:r w:rsidRPr="007A17AE">
        <w:rPr>
          <w:rFonts w:eastAsia="TimesNewRoman"/>
          <w:szCs w:val="22"/>
          <w:lang w:eastAsia="lt-LT"/>
        </w:rPr>
        <w:t>, kurių inkstų</w:t>
      </w:r>
      <w:r w:rsidR="00106F14" w:rsidRPr="007A17AE">
        <w:rPr>
          <w:rFonts w:eastAsia="TimesNewRoman"/>
          <w:szCs w:val="22"/>
          <w:lang w:eastAsia="lt-LT"/>
        </w:rPr>
        <w:t xml:space="preserve"> </w:t>
      </w:r>
      <w:r w:rsidRPr="007A17AE">
        <w:rPr>
          <w:rFonts w:eastAsia="TimesNewRoman"/>
          <w:szCs w:val="22"/>
          <w:lang w:eastAsia="lt-LT"/>
        </w:rPr>
        <w:t>funkcija buvo sutrikusi, farmakologiškai aktyvaus laisvojo aprepitanto AUC reikšmingai nepakito</w:t>
      </w:r>
      <w:r w:rsidR="00106F14" w:rsidRPr="007A17AE">
        <w:rPr>
          <w:rFonts w:eastAsia="TimesNewRoman"/>
          <w:szCs w:val="22"/>
          <w:lang w:eastAsia="lt-LT"/>
        </w:rPr>
        <w:t xml:space="preserve">, </w:t>
      </w:r>
      <w:r w:rsidRPr="007A17AE">
        <w:rPr>
          <w:rFonts w:eastAsia="TimesNewRoman"/>
          <w:szCs w:val="22"/>
          <w:lang w:eastAsia="lt-LT"/>
        </w:rPr>
        <w:t>lyginant su sveik</w:t>
      </w:r>
      <w:r w:rsidR="00106F14" w:rsidRPr="007A17AE">
        <w:rPr>
          <w:rFonts w:eastAsia="TimesNewRoman"/>
          <w:szCs w:val="22"/>
          <w:lang w:eastAsia="lt-LT"/>
        </w:rPr>
        <w:t>ais asmenimis</w:t>
      </w:r>
      <w:r w:rsidRPr="007A17AE">
        <w:rPr>
          <w:rFonts w:eastAsia="TimesNewRoman"/>
          <w:szCs w:val="22"/>
          <w:lang w:eastAsia="lt-LT"/>
        </w:rPr>
        <w:t>. Hemodializė, atlikta praėjus 4</w:t>
      </w:r>
      <w:r w:rsidR="00091B4C">
        <w:rPr>
          <w:rFonts w:eastAsia="TimesNewRoman"/>
          <w:szCs w:val="22"/>
          <w:lang w:eastAsia="lt-LT"/>
        </w:rPr>
        <w:t> </w:t>
      </w:r>
      <w:r w:rsidRPr="007A17AE">
        <w:rPr>
          <w:rFonts w:eastAsia="TimesNewRoman"/>
          <w:szCs w:val="22"/>
          <w:lang w:eastAsia="lt-LT"/>
        </w:rPr>
        <w:t>valandoms ar 48</w:t>
      </w:r>
      <w:r w:rsidR="00091B4C">
        <w:rPr>
          <w:rFonts w:eastAsia="TimesNewRoman"/>
          <w:szCs w:val="22"/>
          <w:lang w:eastAsia="lt-LT"/>
        </w:rPr>
        <w:t> </w:t>
      </w:r>
      <w:r w:rsidRPr="007A17AE">
        <w:rPr>
          <w:rFonts w:eastAsia="TimesNewRoman"/>
          <w:szCs w:val="22"/>
          <w:lang w:eastAsia="lt-LT"/>
        </w:rPr>
        <w:t>valandoms po dozės</w:t>
      </w:r>
      <w:r w:rsidR="00106F14" w:rsidRPr="007A17AE">
        <w:rPr>
          <w:rFonts w:eastAsia="TimesNewRoman"/>
          <w:szCs w:val="22"/>
          <w:lang w:eastAsia="lt-LT"/>
        </w:rPr>
        <w:t xml:space="preserve"> </w:t>
      </w:r>
      <w:r w:rsidRPr="007A17AE">
        <w:rPr>
          <w:rFonts w:eastAsia="TimesNewRoman"/>
          <w:szCs w:val="22"/>
          <w:lang w:eastAsia="lt-LT"/>
        </w:rPr>
        <w:t xml:space="preserve">vartojimo, reikšmingai aprepitanto farmakokinetikos neveikė; </w:t>
      </w:r>
      <w:r w:rsidR="00106F14" w:rsidRPr="007A17AE">
        <w:rPr>
          <w:rFonts w:eastAsia="TimesNewRoman"/>
          <w:szCs w:val="22"/>
          <w:lang w:eastAsia="lt-LT"/>
        </w:rPr>
        <w:t xml:space="preserve">dializate aptikta </w:t>
      </w:r>
      <w:r w:rsidRPr="007A17AE">
        <w:rPr>
          <w:rFonts w:eastAsia="TimesNewRoman"/>
          <w:szCs w:val="22"/>
          <w:lang w:eastAsia="lt-LT"/>
        </w:rPr>
        <w:t>mažiau kaip 0,2</w:t>
      </w:r>
      <w:r w:rsidR="00091B4C">
        <w:rPr>
          <w:rFonts w:eastAsia="TimesNewRoman"/>
          <w:szCs w:val="22"/>
          <w:lang w:eastAsia="lt-LT"/>
        </w:rPr>
        <w:t> </w:t>
      </w:r>
      <w:r w:rsidRPr="007A17AE">
        <w:rPr>
          <w:rFonts w:eastAsia="TimesNewRoman"/>
          <w:szCs w:val="22"/>
          <w:lang w:eastAsia="lt-LT"/>
        </w:rPr>
        <w:t>% dozės.</w:t>
      </w:r>
    </w:p>
    <w:p w14:paraId="4D8B471C" w14:textId="77777777" w:rsidR="00106F14" w:rsidRPr="007A17AE" w:rsidRDefault="00106F14" w:rsidP="007A17AE">
      <w:pPr>
        <w:tabs>
          <w:tab w:val="clear" w:pos="567"/>
        </w:tabs>
        <w:autoSpaceDE w:val="0"/>
        <w:autoSpaceDN w:val="0"/>
        <w:adjustRightInd w:val="0"/>
        <w:spacing w:line="240" w:lineRule="auto"/>
        <w:contextualSpacing/>
        <w:rPr>
          <w:rFonts w:eastAsia="TimesNewRoman"/>
          <w:szCs w:val="22"/>
          <w:lang w:eastAsia="lt-LT"/>
        </w:rPr>
      </w:pPr>
    </w:p>
    <w:p w14:paraId="7333E360" w14:textId="7DB79BBF" w:rsidR="003C05B1" w:rsidRPr="007A17AE" w:rsidRDefault="00106F14"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P</w:t>
      </w:r>
      <w:r w:rsidR="003C05B1" w:rsidRPr="007A17AE">
        <w:rPr>
          <w:rFonts w:eastAsia="TimesNewRoman"/>
          <w:szCs w:val="22"/>
          <w:lang w:eastAsia="lt-LT"/>
        </w:rPr>
        <w:t>acientams, kurių inkstų funkcija sutrikusi, ir dializuojamiems</w:t>
      </w:r>
      <w:r w:rsidRPr="007A17AE">
        <w:rPr>
          <w:rFonts w:eastAsia="TimesNewRoman"/>
          <w:szCs w:val="22"/>
          <w:lang w:eastAsia="lt-LT"/>
        </w:rPr>
        <w:t xml:space="preserve"> </w:t>
      </w:r>
      <w:r w:rsidR="003C05B1" w:rsidRPr="007A17AE">
        <w:rPr>
          <w:rFonts w:eastAsia="TimesNewRoman"/>
          <w:szCs w:val="22"/>
          <w:lang w:eastAsia="lt-LT"/>
        </w:rPr>
        <w:t xml:space="preserve">asmenims, kuriems yra </w:t>
      </w:r>
      <w:r w:rsidRPr="007A17AE">
        <w:rPr>
          <w:rFonts w:eastAsia="TimesNewRoman"/>
          <w:szCs w:val="22"/>
          <w:lang w:eastAsia="lt-LT"/>
        </w:rPr>
        <w:t>G</w:t>
      </w:r>
      <w:r w:rsidR="00B60D16">
        <w:rPr>
          <w:rFonts w:eastAsia="TimesNewRoman"/>
          <w:szCs w:val="22"/>
          <w:lang w:eastAsia="lt-LT"/>
        </w:rPr>
        <w:t>S</w:t>
      </w:r>
      <w:r w:rsidR="003C05B1" w:rsidRPr="007A17AE">
        <w:rPr>
          <w:rFonts w:eastAsia="TimesNewRoman"/>
          <w:szCs w:val="22"/>
          <w:lang w:eastAsia="lt-LT"/>
        </w:rPr>
        <w:t>IL</w:t>
      </w:r>
      <w:r w:rsidRPr="007A17AE">
        <w:rPr>
          <w:rFonts w:eastAsia="TimesNewRoman"/>
          <w:szCs w:val="22"/>
          <w:lang w:eastAsia="lt-LT"/>
        </w:rPr>
        <w:t>, aprepitanto dozę koreguoti nebūtina.</w:t>
      </w:r>
    </w:p>
    <w:p w14:paraId="28A6C16D" w14:textId="77777777" w:rsidR="00106F14" w:rsidRPr="007A17AE" w:rsidRDefault="00106F14" w:rsidP="007A17AE">
      <w:pPr>
        <w:tabs>
          <w:tab w:val="clear" w:pos="567"/>
        </w:tabs>
        <w:autoSpaceDE w:val="0"/>
        <w:autoSpaceDN w:val="0"/>
        <w:adjustRightInd w:val="0"/>
        <w:spacing w:line="240" w:lineRule="auto"/>
        <w:contextualSpacing/>
        <w:rPr>
          <w:rFonts w:eastAsia="TimesNewRoman"/>
          <w:i/>
          <w:iCs/>
          <w:szCs w:val="22"/>
          <w:lang w:eastAsia="lt-LT"/>
        </w:rPr>
      </w:pPr>
    </w:p>
    <w:p w14:paraId="20574DA3" w14:textId="77777777" w:rsidR="00106F14" w:rsidRPr="007A17AE" w:rsidRDefault="003C05B1" w:rsidP="007A17AE">
      <w:pPr>
        <w:tabs>
          <w:tab w:val="clear" w:pos="567"/>
        </w:tabs>
        <w:autoSpaceDE w:val="0"/>
        <w:autoSpaceDN w:val="0"/>
        <w:adjustRightInd w:val="0"/>
        <w:spacing w:line="240" w:lineRule="auto"/>
        <w:contextualSpacing/>
        <w:rPr>
          <w:rFonts w:eastAsia="TimesNewRoman"/>
          <w:i/>
          <w:iCs/>
          <w:szCs w:val="22"/>
          <w:lang w:eastAsia="lt-LT"/>
        </w:rPr>
      </w:pPr>
      <w:r w:rsidRPr="007A17AE">
        <w:rPr>
          <w:rFonts w:eastAsia="TimesNewRoman"/>
          <w:i/>
          <w:iCs/>
          <w:szCs w:val="22"/>
          <w:lang w:eastAsia="lt-LT"/>
        </w:rPr>
        <w:t>Vaikų populiacija</w:t>
      </w:r>
    </w:p>
    <w:p w14:paraId="504A344A" w14:textId="77777777" w:rsidR="003C05B1" w:rsidRPr="007A17AE" w:rsidRDefault="003C05B1"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12</w:t>
      </w:r>
      <w:r w:rsidR="00091B4C">
        <w:rPr>
          <w:rFonts w:eastAsia="TimesNewRoman"/>
          <w:szCs w:val="22"/>
          <w:lang w:eastAsia="lt-LT"/>
        </w:rPr>
        <w:noBreakHyphen/>
      </w:r>
      <w:r w:rsidRPr="007A17AE">
        <w:rPr>
          <w:rFonts w:eastAsia="TimesNewRoman"/>
          <w:szCs w:val="22"/>
          <w:lang w:eastAsia="lt-LT"/>
        </w:rPr>
        <w:t>17</w:t>
      </w:r>
      <w:r w:rsidR="00091B4C">
        <w:rPr>
          <w:rFonts w:eastAsia="TimesNewRoman"/>
          <w:szCs w:val="22"/>
          <w:lang w:eastAsia="lt-LT"/>
        </w:rPr>
        <w:t> </w:t>
      </w:r>
      <w:r w:rsidRPr="007A17AE">
        <w:rPr>
          <w:rFonts w:eastAsia="TimesNewRoman"/>
          <w:szCs w:val="22"/>
          <w:lang w:eastAsia="lt-LT"/>
        </w:rPr>
        <w:t xml:space="preserve">metų </w:t>
      </w:r>
      <w:r w:rsidR="00106F14" w:rsidRPr="007A17AE">
        <w:rPr>
          <w:rFonts w:eastAsia="TimesNewRoman"/>
          <w:szCs w:val="22"/>
          <w:lang w:eastAsia="lt-LT"/>
        </w:rPr>
        <w:t xml:space="preserve">amžiaus </w:t>
      </w:r>
      <w:r w:rsidRPr="007A17AE">
        <w:rPr>
          <w:rFonts w:eastAsia="TimesNewRoman"/>
          <w:szCs w:val="22"/>
          <w:lang w:eastAsia="lt-LT"/>
        </w:rPr>
        <w:t>paaugliams 3 dienas vartojus aprepitanto kapsul</w:t>
      </w:r>
      <w:r w:rsidR="00106F14" w:rsidRPr="007A17AE">
        <w:rPr>
          <w:rFonts w:eastAsia="TimesNewRoman"/>
          <w:szCs w:val="22"/>
          <w:lang w:eastAsia="lt-LT"/>
        </w:rPr>
        <w:t>ių</w:t>
      </w:r>
      <w:r w:rsidRPr="007A17AE">
        <w:rPr>
          <w:rFonts w:eastAsia="TimesNewRoman"/>
          <w:szCs w:val="22"/>
          <w:lang w:eastAsia="lt-LT"/>
        </w:rPr>
        <w:t xml:space="preserve"> (125, 80 ir 80</w:t>
      </w:r>
      <w:r w:rsidR="00091B4C">
        <w:rPr>
          <w:rFonts w:eastAsia="TimesNewRoman"/>
          <w:szCs w:val="22"/>
          <w:lang w:eastAsia="lt-LT"/>
        </w:rPr>
        <w:t> </w:t>
      </w:r>
      <w:r w:rsidRPr="007A17AE">
        <w:rPr>
          <w:rFonts w:eastAsia="TimesNewRoman"/>
          <w:szCs w:val="22"/>
          <w:lang w:eastAsia="lt-LT"/>
        </w:rPr>
        <w:t>mg),</w:t>
      </w:r>
      <w:r w:rsidR="00106F14" w:rsidRPr="007A17AE">
        <w:rPr>
          <w:rFonts w:eastAsia="TimesNewRoman"/>
          <w:szCs w:val="22"/>
          <w:lang w:eastAsia="lt-LT"/>
        </w:rPr>
        <w:t xml:space="preserve"> </w:t>
      </w:r>
      <w:r w:rsidRPr="007A17AE">
        <w:rPr>
          <w:rFonts w:eastAsia="TimesNewRoman"/>
          <w:szCs w:val="22"/>
          <w:lang w:eastAsia="lt-LT"/>
        </w:rPr>
        <w:t>kurios buvo gydymo schemos dalis, daugumai jų pirmą parą AUC</w:t>
      </w:r>
      <w:r w:rsidRPr="007A17AE">
        <w:rPr>
          <w:rFonts w:eastAsia="TimesNewRoman"/>
          <w:szCs w:val="22"/>
          <w:vertAlign w:val="subscript"/>
          <w:lang w:eastAsia="lt-LT"/>
        </w:rPr>
        <w:t xml:space="preserve">0-24 val. </w:t>
      </w:r>
      <w:r w:rsidRPr="007A17AE">
        <w:rPr>
          <w:rFonts w:eastAsia="TimesNewRoman"/>
          <w:szCs w:val="22"/>
          <w:lang w:eastAsia="lt-LT"/>
        </w:rPr>
        <w:t>buvo &gt;</w:t>
      </w:r>
      <w:r w:rsidR="00091B4C">
        <w:rPr>
          <w:rFonts w:eastAsia="TimesNewRoman"/>
          <w:szCs w:val="22"/>
          <w:lang w:eastAsia="lt-LT"/>
        </w:rPr>
        <w:t> </w:t>
      </w:r>
      <w:r w:rsidRPr="007A17AE">
        <w:rPr>
          <w:rFonts w:eastAsia="TimesNewRoman"/>
          <w:szCs w:val="22"/>
          <w:lang w:eastAsia="lt-LT"/>
        </w:rPr>
        <w:t>17</w:t>
      </w:r>
      <w:r w:rsidR="00091B4C">
        <w:rPr>
          <w:rFonts w:eastAsia="TimesNewRoman"/>
          <w:szCs w:val="22"/>
          <w:lang w:eastAsia="lt-LT"/>
        </w:rPr>
        <w:t> </w:t>
      </w:r>
      <w:r w:rsidRPr="007A17AE">
        <w:rPr>
          <w:rFonts w:eastAsia="TimesNewRoman"/>
          <w:szCs w:val="22"/>
          <w:lang w:eastAsia="lt-LT"/>
        </w:rPr>
        <w:t>μg×val./ml, o</w:t>
      </w:r>
      <w:r w:rsidR="00106F14" w:rsidRPr="007A17AE">
        <w:rPr>
          <w:rFonts w:eastAsia="TimesNewRoman"/>
          <w:szCs w:val="22"/>
          <w:lang w:eastAsia="lt-LT"/>
        </w:rPr>
        <w:t xml:space="preserve"> mažiausia</w:t>
      </w:r>
      <w:r w:rsidRPr="007A17AE">
        <w:rPr>
          <w:rFonts w:eastAsia="TimesNewRoman"/>
          <w:szCs w:val="22"/>
          <w:lang w:eastAsia="lt-LT"/>
        </w:rPr>
        <w:t xml:space="preserve"> koncentracija </w:t>
      </w:r>
      <w:r w:rsidR="00502863">
        <w:rPr>
          <w:rFonts w:eastAsia="TimesNewRoman"/>
          <w:szCs w:val="22"/>
          <w:lang w:eastAsia="lt-LT"/>
        </w:rPr>
        <w:t xml:space="preserve">kraujo </w:t>
      </w:r>
      <w:r w:rsidRPr="007A17AE">
        <w:rPr>
          <w:rFonts w:eastAsia="TimesNewRoman"/>
          <w:szCs w:val="22"/>
          <w:lang w:eastAsia="lt-LT"/>
        </w:rPr>
        <w:t>plazmoje (C</w:t>
      </w:r>
      <w:r w:rsidRPr="007A17AE">
        <w:rPr>
          <w:rFonts w:eastAsia="TimesNewRoman"/>
          <w:szCs w:val="22"/>
          <w:vertAlign w:val="subscript"/>
          <w:lang w:eastAsia="lt-LT"/>
        </w:rPr>
        <w:t>min</w:t>
      </w:r>
      <w:r w:rsidRPr="007A17AE">
        <w:rPr>
          <w:rFonts w:eastAsia="TimesNewRoman"/>
          <w:szCs w:val="22"/>
          <w:lang w:eastAsia="lt-LT"/>
        </w:rPr>
        <w:t>) 2-os ir 3-ios paros pabaigoje &gt;</w:t>
      </w:r>
      <w:r w:rsidR="00091B4C">
        <w:rPr>
          <w:rFonts w:eastAsia="TimesNewRoman"/>
          <w:szCs w:val="22"/>
          <w:lang w:eastAsia="lt-LT"/>
        </w:rPr>
        <w:t> </w:t>
      </w:r>
      <w:r w:rsidRPr="007A17AE">
        <w:rPr>
          <w:rFonts w:eastAsia="TimesNewRoman"/>
          <w:szCs w:val="22"/>
          <w:lang w:eastAsia="lt-LT"/>
        </w:rPr>
        <w:t>0,4</w:t>
      </w:r>
      <w:r w:rsidR="00091B4C">
        <w:rPr>
          <w:rFonts w:eastAsia="TimesNewRoman"/>
          <w:szCs w:val="22"/>
          <w:lang w:eastAsia="lt-LT"/>
        </w:rPr>
        <w:t> </w:t>
      </w:r>
      <w:r w:rsidRPr="007A17AE">
        <w:rPr>
          <w:rFonts w:eastAsia="TimesNewRoman"/>
          <w:szCs w:val="22"/>
          <w:lang w:eastAsia="lt-LT"/>
        </w:rPr>
        <w:t>μg/ml. Didžiausios</w:t>
      </w:r>
      <w:r w:rsidR="00106F14" w:rsidRPr="007A17AE">
        <w:rPr>
          <w:rFonts w:eastAsia="TimesNewRoman"/>
          <w:szCs w:val="22"/>
          <w:lang w:eastAsia="lt-LT"/>
        </w:rPr>
        <w:t xml:space="preserve"> </w:t>
      </w:r>
      <w:r w:rsidRPr="007A17AE">
        <w:rPr>
          <w:rFonts w:eastAsia="TimesNewRoman"/>
          <w:szCs w:val="22"/>
          <w:lang w:eastAsia="lt-LT"/>
        </w:rPr>
        <w:t>koncentracijos</w:t>
      </w:r>
      <w:r w:rsidR="00C617CB">
        <w:rPr>
          <w:rFonts w:eastAsia="TimesNewRoman"/>
          <w:szCs w:val="22"/>
          <w:lang w:eastAsia="lt-LT"/>
        </w:rPr>
        <w:t xml:space="preserve"> </w:t>
      </w:r>
      <w:r w:rsidR="00502863">
        <w:rPr>
          <w:rFonts w:eastAsia="TimesNewRoman"/>
          <w:szCs w:val="22"/>
          <w:lang w:eastAsia="lt-LT"/>
        </w:rPr>
        <w:t xml:space="preserve">kraujo </w:t>
      </w:r>
      <w:r w:rsidRPr="007A17AE">
        <w:rPr>
          <w:rFonts w:eastAsia="TimesNewRoman"/>
          <w:szCs w:val="22"/>
          <w:lang w:eastAsia="lt-LT"/>
        </w:rPr>
        <w:t xml:space="preserve"> plazmoje (C</w:t>
      </w:r>
      <w:r w:rsidRPr="007A17AE">
        <w:rPr>
          <w:rFonts w:eastAsia="TimesNewRoman"/>
          <w:szCs w:val="22"/>
          <w:vertAlign w:val="subscript"/>
          <w:lang w:eastAsia="lt-LT"/>
        </w:rPr>
        <w:t>max</w:t>
      </w:r>
      <w:r w:rsidRPr="007A17AE">
        <w:rPr>
          <w:rFonts w:eastAsia="TimesNewRoman"/>
          <w:szCs w:val="22"/>
          <w:lang w:eastAsia="lt-LT"/>
        </w:rPr>
        <w:t>) mediana 1-ą parą buvo maždaug 1,3</w:t>
      </w:r>
      <w:r w:rsidR="00091B4C">
        <w:rPr>
          <w:rFonts w:eastAsia="TimesNewRoman"/>
          <w:szCs w:val="22"/>
          <w:lang w:eastAsia="lt-LT"/>
        </w:rPr>
        <w:t> </w:t>
      </w:r>
      <w:r w:rsidRPr="007A17AE">
        <w:rPr>
          <w:rFonts w:eastAsia="TimesNewRoman"/>
          <w:szCs w:val="22"/>
          <w:lang w:eastAsia="lt-LT"/>
        </w:rPr>
        <w:t>μg/ml, C</w:t>
      </w:r>
      <w:r w:rsidRPr="007A17AE">
        <w:rPr>
          <w:rFonts w:eastAsia="TimesNewRoman"/>
          <w:szCs w:val="22"/>
          <w:vertAlign w:val="subscript"/>
          <w:lang w:eastAsia="lt-LT"/>
        </w:rPr>
        <w:t>max</w:t>
      </w:r>
      <w:r w:rsidRPr="007A17AE">
        <w:rPr>
          <w:rFonts w:eastAsia="TimesNewRoman"/>
          <w:szCs w:val="22"/>
          <w:lang w:eastAsia="lt-LT"/>
        </w:rPr>
        <w:t xml:space="preserve"> </w:t>
      </w:r>
      <w:r w:rsidR="00106F14" w:rsidRPr="007A17AE">
        <w:rPr>
          <w:rFonts w:eastAsia="TimesNewRoman"/>
          <w:szCs w:val="22"/>
          <w:lang w:eastAsia="lt-LT"/>
        </w:rPr>
        <w:t xml:space="preserve">atsirasdavo </w:t>
      </w:r>
      <w:r w:rsidRPr="007A17AE">
        <w:rPr>
          <w:rFonts w:eastAsia="TimesNewRoman"/>
          <w:szCs w:val="22"/>
          <w:lang w:eastAsia="lt-LT"/>
        </w:rPr>
        <w:t>maždaug po 4</w:t>
      </w:r>
      <w:r w:rsidR="00091B4C">
        <w:rPr>
          <w:rFonts w:eastAsia="TimesNewRoman"/>
          <w:szCs w:val="22"/>
          <w:lang w:eastAsia="lt-LT"/>
        </w:rPr>
        <w:t> </w:t>
      </w:r>
      <w:r w:rsidRPr="007A17AE">
        <w:rPr>
          <w:rFonts w:eastAsia="TimesNewRoman"/>
          <w:szCs w:val="22"/>
          <w:lang w:eastAsia="lt-LT"/>
        </w:rPr>
        <w:t>val. Vaikams nuo 6</w:t>
      </w:r>
      <w:r w:rsidR="00091B4C">
        <w:rPr>
          <w:rFonts w:eastAsia="TimesNewRoman"/>
          <w:szCs w:val="22"/>
          <w:lang w:eastAsia="lt-LT"/>
        </w:rPr>
        <w:t> </w:t>
      </w:r>
      <w:r w:rsidRPr="007A17AE">
        <w:rPr>
          <w:rFonts w:eastAsia="TimesNewRoman"/>
          <w:szCs w:val="22"/>
          <w:lang w:eastAsia="lt-LT"/>
        </w:rPr>
        <w:t>mėn. iki 12</w:t>
      </w:r>
      <w:r w:rsidR="00091B4C">
        <w:rPr>
          <w:rFonts w:eastAsia="TimesNewRoman"/>
          <w:szCs w:val="22"/>
          <w:lang w:eastAsia="lt-LT"/>
        </w:rPr>
        <w:t> </w:t>
      </w:r>
      <w:r w:rsidRPr="007A17AE">
        <w:rPr>
          <w:rFonts w:eastAsia="TimesNewRoman"/>
          <w:szCs w:val="22"/>
          <w:lang w:eastAsia="lt-LT"/>
        </w:rPr>
        <w:t xml:space="preserve">metų </w:t>
      </w:r>
      <w:r w:rsidR="002A432F" w:rsidRPr="007A17AE">
        <w:rPr>
          <w:rFonts w:eastAsia="TimesNewRoman"/>
          <w:szCs w:val="22"/>
          <w:lang w:eastAsia="lt-LT"/>
        </w:rPr>
        <w:t xml:space="preserve">amžiaus </w:t>
      </w:r>
      <w:r w:rsidRPr="007A17AE">
        <w:rPr>
          <w:rFonts w:eastAsia="TimesNewRoman"/>
          <w:szCs w:val="22"/>
          <w:lang w:eastAsia="lt-LT"/>
        </w:rPr>
        <w:t>3</w:t>
      </w:r>
      <w:r w:rsidR="00091B4C">
        <w:rPr>
          <w:rFonts w:eastAsia="TimesNewRoman"/>
          <w:szCs w:val="22"/>
          <w:lang w:eastAsia="lt-LT"/>
        </w:rPr>
        <w:t> </w:t>
      </w:r>
      <w:r w:rsidRPr="007A17AE">
        <w:rPr>
          <w:rFonts w:eastAsia="TimesNewRoman"/>
          <w:szCs w:val="22"/>
          <w:lang w:eastAsia="lt-LT"/>
        </w:rPr>
        <w:t>dienas vartojus aprepitanto milteli</w:t>
      </w:r>
      <w:r w:rsidR="00106F14" w:rsidRPr="007A17AE">
        <w:rPr>
          <w:rFonts w:eastAsia="TimesNewRoman"/>
          <w:szCs w:val="22"/>
          <w:lang w:eastAsia="lt-LT"/>
        </w:rPr>
        <w:t xml:space="preserve">ų </w:t>
      </w:r>
      <w:r w:rsidRPr="007A17AE">
        <w:rPr>
          <w:rFonts w:eastAsia="TimesNewRoman"/>
          <w:szCs w:val="22"/>
          <w:lang w:eastAsia="lt-LT"/>
        </w:rPr>
        <w:t>geriamajai</w:t>
      </w:r>
      <w:r w:rsidR="00106F14" w:rsidRPr="007A17AE">
        <w:rPr>
          <w:rFonts w:eastAsia="TimesNewRoman"/>
          <w:szCs w:val="22"/>
          <w:lang w:eastAsia="lt-LT"/>
        </w:rPr>
        <w:t xml:space="preserve"> </w:t>
      </w:r>
      <w:r w:rsidRPr="007A17AE">
        <w:rPr>
          <w:rFonts w:eastAsia="TimesNewRoman"/>
          <w:szCs w:val="22"/>
          <w:lang w:eastAsia="lt-LT"/>
        </w:rPr>
        <w:t>suspensijai (3, 2 ir 2</w:t>
      </w:r>
      <w:r w:rsidR="00091B4C">
        <w:rPr>
          <w:rFonts w:eastAsia="TimesNewRoman"/>
          <w:szCs w:val="22"/>
          <w:lang w:eastAsia="lt-LT"/>
        </w:rPr>
        <w:t> </w:t>
      </w:r>
      <w:r w:rsidRPr="007A17AE">
        <w:rPr>
          <w:rFonts w:eastAsia="TimesNewRoman"/>
          <w:szCs w:val="22"/>
          <w:lang w:eastAsia="lt-LT"/>
        </w:rPr>
        <w:t>mg/kg), kurie buvo gydymo schemos dalis, daugumai jų pirmą parą AUC</w:t>
      </w:r>
      <w:r w:rsidRPr="007A17AE">
        <w:rPr>
          <w:rFonts w:eastAsia="TimesNewRoman"/>
          <w:szCs w:val="22"/>
          <w:vertAlign w:val="subscript"/>
          <w:lang w:eastAsia="lt-LT"/>
        </w:rPr>
        <w:t>0-24</w:t>
      </w:r>
      <w:r w:rsidRPr="00F122CC">
        <w:rPr>
          <w:rFonts w:eastAsia="TimesNewRoman"/>
          <w:szCs w:val="22"/>
          <w:vertAlign w:val="subscript"/>
          <w:lang w:eastAsia="lt-LT"/>
        </w:rPr>
        <w:t xml:space="preserve"> val.</w:t>
      </w:r>
      <w:r w:rsidR="00106F14" w:rsidRPr="007A17AE">
        <w:rPr>
          <w:rFonts w:eastAsia="TimesNewRoman"/>
          <w:szCs w:val="22"/>
          <w:lang w:eastAsia="lt-LT"/>
        </w:rPr>
        <w:t xml:space="preserve"> </w:t>
      </w:r>
      <w:r w:rsidRPr="007A17AE">
        <w:rPr>
          <w:rFonts w:eastAsia="TimesNewRoman"/>
          <w:szCs w:val="22"/>
          <w:lang w:eastAsia="lt-LT"/>
        </w:rPr>
        <w:t>buvo &gt;</w:t>
      </w:r>
      <w:r w:rsidR="00091B4C">
        <w:rPr>
          <w:rFonts w:eastAsia="TimesNewRoman"/>
          <w:szCs w:val="22"/>
          <w:lang w:eastAsia="lt-LT"/>
        </w:rPr>
        <w:t> </w:t>
      </w:r>
      <w:r w:rsidRPr="007A17AE">
        <w:rPr>
          <w:rFonts w:eastAsia="TimesNewRoman"/>
          <w:szCs w:val="22"/>
          <w:lang w:eastAsia="lt-LT"/>
        </w:rPr>
        <w:t>17</w:t>
      </w:r>
      <w:r w:rsidR="00091B4C">
        <w:rPr>
          <w:rFonts w:eastAsia="TimesNewRoman"/>
          <w:szCs w:val="22"/>
          <w:lang w:eastAsia="lt-LT"/>
        </w:rPr>
        <w:t> </w:t>
      </w:r>
      <w:r w:rsidRPr="007A17AE">
        <w:rPr>
          <w:rFonts w:eastAsia="TimesNewRoman"/>
          <w:szCs w:val="22"/>
          <w:lang w:eastAsia="lt-LT"/>
        </w:rPr>
        <w:t>μg×val./ml, o C</w:t>
      </w:r>
      <w:r w:rsidRPr="007A17AE">
        <w:rPr>
          <w:rFonts w:eastAsia="TimesNewRoman"/>
          <w:szCs w:val="22"/>
          <w:vertAlign w:val="subscript"/>
          <w:lang w:eastAsia="lt-LT"/>
        </w:rPr>
        <w:t>min</w:t>
      </w:r>
      <w:r w:rsidRPr="007A17AE">
        <w:rPr>
          <w:rFonts w:eastAsia="TimesNewRoman"/>
          <w:szCs w:val="22"/>
          <w:lang w:eastAsia="lt-LT"/>
        </w:rPr>
        <w:t xml:space="preserve"> 2-os ir 3-ios paros pabaigoje &gt;</w:t>
      </w:r>
      <w:r w:rsidR="00091B4C">
        <w:rPr>
          <w:rFonts w:eastAsia="TimesNewRoman"/>
          <w:szCs w:val="22"/>
          <w:lang w:eastAsia="lt-LT"/>
        </w:rPr>
        <w:t> </w:t>
      </w:r>
      <w:r w:rsidRPr="007A17AE">
        <w:rPr>
          <w:rFonts w:eastAsia="TimesNewRoman"/>
          <w:szCs w:val="22"/>
          <w:lang w:eastAsia="lt-LT"/>
        </w:rPr>
        <w:t>0,1</w:t>
      </w:r>
      <w:r w:rsidR="00091B4C">
        <w:rPr>
          <w:rFonts w:eastAsia="TimesNewRoman"/>
          <w:szCs w:val="22"/>
          <w:lang w:eastAsia="lt-LT"/>
        </w:rPr>
        <w:t> </w:t>
      </w:r>
      <w:r w:rsidRPr="007A17AE">
        <w:rPr>
          <w:rFonts w:eastAsia="TimesNewRoman"/>
          <w:szCs w:val="22"/>
          <w:lang w:eastAsia="lt-LT"/>
        </w:rPr>
        <w:t>μg/ml. Didžiausios koncentracijos</w:t>
      </w:r>
      <w:r w:rsidR="00502863">
        <w:rPr>
          <w:rFonts w:eastAsia="TimesNewRoman"/>
          <w:szCs w:val="22"/>
          <w:lang w:eastAsia="lt-LT"/>
        </w:rPr>
        <w:t xml:space="preserve"> kraujo</w:t>
      </w:r>
      <w:r w:rsidR="002A432F" w:rsidRPr="007A17AE">
        <w:rPr>
          <w:rFonts w:eastAsia="TimesNewRoman"/>
          <w:szCs w:val="22"/>
          <w:lang w:eastAsia="lt-LT"/>
        </w:rPr>
        <w:t xml:space="preserve"> </w:t>
      </w:r>
      <w:r w:rsidRPr="007A17AE">
        <w:rPr>
          <w:rFonts w:eastAsia="TimesNewRoman"/>
          <w:szCs w:val="22"/>
          <w:lang w:eastAsia="lt-LT"/>
        </w:rPr>
        <w:t>plazmoje (C</w:t>
      </w:r>
      <w:r w:rsidRPr="007A17AE">
        <w:rPr>
          <w:rFonts w:eastAsia="TimesNewRoman"/>
          <w:szCs w:val="22"/>
          <w:vertAlign w:val="subscript"/>
          <w:lang w:eastAsia="lt-LT"/>
        </w:rPr>
        <w:t>max</w:t>
      </w:r>
      <w:r w:rsidRPr="007A17AE">
        <w:rPr>
          <w:rFonts w:eastAsia="TimesNewRoman"/>
          <w:szCs w:val="22"/>
          <w:lang w:eastAsia="lt-LT"/>
        </w:rPr>
        <w:t>) mediana 1-ą parą buvo maždaug 1,2</w:t>
      </w:r>
      <w:r w:rsidR="00091B4C">
        <w:rPr>
          <w:rFonts w:eastAsia="TimesNewRoman"/>
          <w:szCs w:val="22"/>
          <w:lang w:eastAsia="lt-LT"/>
        </w:rPr>
        <w:t> </w:t>
      </w:r>
      <w:r w:rsidRPr="007A17AE">
        <w:rPr>
          <w:rFonts w:eastAsia="TimesNewRoman"/>
          <w:szCs w:val="22"/>
          <w:lang w:eastAsia="lt-LT"/>
        </w:rPr>
        <w:t>μg/ml, C</w:t>
      </w:r>
      <w:r w:rsidRPr="007A17AE">
        <w:rPr>
          <w:rFonts w:eastAsia="TimesNewRoman"/>
          <w:szCs w:val="22"/>
          <w:vertAlign w:val="subscript"/>
          <w:lang w:eastAsia="lt-LT"/>
        </w:rPr>
        <w:t>max</w:t>
      </w:r>
      <w:r w:rsidRPr="007A17AE">
        <w:rPr>
          <w:rFonts w:eastAsia="TimesNewRoman"/>
          <w:szCs w:val="22"/>
          <w:lang w:eastAsia="lt-LT"/>
        </w:rPr>
        <w:t xml:space="preserve"> </w:t>
      </w:r>
      <w:r w:rsidR="002A432F" w:rsidRPr="007A17AE">
        <w:rPr>
          <w:rFonts w:eastAsia="TimesNewRoman"/>
          <w:szCs w:val="22"/>
          <w:lang w:eastAsia="lt-LT"/>
        </w:rPr>
        <w:t>ats</w:t>
      </w:r>
      <w:r w:rsidR="00D33EB4" w:rsidRPr="007A17AE">
        <w:rPr>
          <w:rFonts w:eastAsia="TimesNewRoman"/>
          <w:szCs w:val="22"/>
          <w:lang w:eastAsia="lt-LT"/>
        </w:rPr>
        <w:t>i</w:t>
      </w:r>
      <w:r w:rsidR="002A432F" w:rsidRPr="007A17AE">
        <w:rPr>
          <w:rFonts w:eastAsia="TimesNewRoman"/>
          <w:szCs w:val="22"/>
          <w:lang w:eastAsia="lt-LT"/>
        </w:rPr>
        <w:t>rasdavo</w:t>
      </w:r>
      <w:r w:rsidRPr="007A17AE">
        <w:rPr>
          <w:rFonts w:eastAsia="TimesNewRoman"/>
          <w:szCs w:val="22"/>
          <w:lang w:eastAsia="lt-LT"/>
        </w:rPr>
        <w:t xml:space="preserve"> po 5</w:t>
      </w:r>
      <w:r w:rsidR="00091B4C">
        <w:rPr>
          <w:rFonts w:eastAsia="TimesNewRoman"/>
          <w:szCs w:val="22"/>
          <w:lang w:eastAsia="lt-LT"/>
        </w:rPr>
        <w:noBreakHyphen/>
      </w:r>
      <w:r w:rsidRPr="007A17AE">
        <w:rPr>
          <w:rFonts w:eastAsia="TimesNewRoman"/>
          <w:szCs w:val="22"/>
          <w:lang w:eastAsia="lt-LT"/>
        </w:rPr>
        <w:t>7</w:t>
      </w:r>
      <w:r w:rsidR="00091B4C">
        <w:rPr>
          <w:rFonts w:eastAsia="TimesNewRoman"/>
          <w:szCs w:val="22"/>
          <w:lang w:eastAsia="lt-LT"/>
        </w:rPr>
        <w:t> </w:t>
      </w:r>
      <w:r w:rsidRPr="007A17AE">
        <w:rPr>
          <w:rFonts w:eastAsia="TimesNewRoman"/>
          <w:szCs w:val="22"/>
          <w:lang w:eastAsia="lt-LT"/>
        </w:rPr>
        <w:t>val.</w:t>
      </w:r>
    </w:p>
    <w:p w14:paraId="49C4DF10" w14:textId="77777777" w:rsidR="002A432F" w:rsidRPr="007A17AE" w:rsidRDefault="002A432F" w:rsidP="007A17AE">
      <w:pPr>
        <w:tabs>
          <w:tab w:val="clear" w:pos="567"/>
        </w:tabs>
        <w:autoSpaceDE w:val="0"/>
        <w:autoSpaceDN w:val="0"/>
        <w:adjustRightInd w:val="0"/>
        <w:spacing w:line="240" w:lineRule="auto"/>
        <w:contextualSpacing/>
        <w:rPr>
          <w:rFonts w:eastAsia="TimesNewRoman"/>
          <w:szCs w:val="22"/>
          <w:lang w:eastAsia="lt-LT"/>
        </w:rPr>
      </w:pPr>
    </w:p>
    <w:p w14:paraId="20AE3D09" w14:textId="77777777" w:rsidR="00E040B0" w:rsidRPr="007A17AE" w:rsidRDefault="003C05B1" w:rsidP="007A17AE">
      <w:pPr>
        <w:tabs>
          <w:tab w:val="clear" w:pos="567"/>
        </w:tabs>
        <w:autoSpaceDE w:val="0"/>
        <w:autoSpaceDN w:val="0"/>
        <w:adjustRightInd w:val="0"/>
        <w:spacing w:line="240" w:lineRule="auto"/>
        <w:contextualSpacing/>
        <w:rPr>
          <w:szCs w:val="22"/>
        </w:rPr>
      </w:pPr>
      <w:r w:rsidRPr="007A17AE">
        <w:rPr>
          <w:rFonts w:eastAsia="TimesNewRoman"/>
          <w:szCs w:val="22"/>
          <w:lang w:eastAsia="lt-LT"/>
        </w:rPr>
        <w:t xml:space="preserve">Aprepitanto populiacinės farmakokinetikos analizės duomenimis, lytis ir rasė </w:t>
      </w:r>
      <w:r w:rsidR="002A432F" w:rsidRPr="007A17AE">
        <w:rPr>
          <w:rFonts w:eastAsia="TimesNewRoman"/>
          <w:szCs w:val="22"/>
          <w:lang w:eastAsia="lt-LT"/>
        </w:rPr>
        <w:t>nedaro</w:t>
      </w:r>
      <w:r w:rsidRPr="007A17AE">
        <w:rPr>
          <w:rFonts w:eastAsia="TimesNewRoman"/>
          <w:szCs w:val="22"/>
          <w:lang w:eastAsia="lt-LT"/>
        </w:rPr>
        <w:t xml:space="preserve"> kliniškai</w:t>
      </w:r>
      <w:r w:rsidR="002A432F" w:rsidRPr="007A17AE">
        <w:rPr>
          <w:rFonts w:eastAsia="TimesNewRoman"/>
          <w:szCs w:val="22"/>
          <w:lang w:eastAsia="lt-LT"/>
        </w:rPr>
        <w:t xml:space="preserve"> </w:t>
      </w:r>
      <w:r w:rsidRPr="007A17AE">
        <w:rPr>
          <w:rFonts w:eastAsia="TimesNewRoman"/>
          <w:szCs w:val="22"/>
          <w:lang w:eastAsia="lt-LT"/>
        </w:rPr>
        <w:t>reikšmingos įtakos jo farmakokinetikai 6</w:t>
      </w:r>
      <w:r w:rsidR="00091B4C">
        <w:rPr>
          <w:rFonts w:eastAsia="TimesNewRoman"/>
          <w:szCs w:val="22"/>
          <w:lang w:eastAsia="lt-LT"/>
        </w:rPr>
        <w:t> </w:t>
      </w:r>
      <w:r w:rsidRPr="007A17AE">
        <w:rPr>
          <w:rFonts w:eastAsia="TimesNewRoman"/>
          <w:szCs w:val="22"/>
          <w:lang w:eastAsia="lt-LT"/>
        </w:rPr>
        <w:t>mėn. - 17</w:t>
      </w:r>
      <w:r w:rsidR="00091B4C">
        <w:rPr>
          <w:rFonts w:eastAsia="TimesNewRoman"/>
          <w:szCs w:val="22"/>
          <w:lang w:eastAsia="lt-LT"/>
        </w:rPr>
        <w:t> </w:t>
      </w:r>
      <w:r w:rsidRPr="007A17AE">
        <w:rPr>
          <w:rFonts w:eastAsia="TimesNewRoman"/>
          <w:szCs w:val="22"/>
          <w:lang w:eastAsia="lt-LT"/>
        </w:rPr>
        <w:t xml:space="preserve">metų </w:t>
      </w:r>
      <w:r w:rsidR="002A432F" w:rsidRPr="007A17AE">
        <w:rPr>
          <w:rFonts w:eastAsia="TimesNewRoman"/>
          <w:szCs w:val="22"/>
          <w:lang w:eastAsia="lt-LT"/>
        </w:rPr>
        <w:t xml:space="preserve">amžiaus </w:t>
      </w:r>
      <w:r w:rsidRPr="007A17AE">
        <w:rPr>
          <w:rFonts w:eastAsia="TimesNewRoman"/>
          <w:szCs w:val="22"/>
          <w:lang w:eastAsia="lt-LT"/>
        </w:rPr>
        <w:t>vaikų organizme.</w:t>
      </w:r>
    </w:p>
    <w:p w14:paraId="57683C0A" w14:textId="77777777" w:rsidR="00E040B0" w:rsidRPr="007A17AE" w:rsidRDefault="00E040B0" w:rsidP="007A17AE">
      <w:pPr>
        <w:spacing w:line="240" w:lineRule="auto"/>
        <w:ind w:left="567" w:hanging="567"/>
        <w:contextualSpacing/>
        <w:outlineLvl w:val="0"/>
        <w:rPr>
          <w:szCs w:val="22"/>
        </w:rPr>
      </w:pPr>
    </w:p>
    <w:p w14:paraId="54D42732" w14:textId="77777777" w:rsidR="002A432F" w:rsidRPr="007A17AE" w:rsidRDefault="002A432F" w:rsidP="007A17AE">
      <w:pPr>
        <w:tabs>
          <w:tab w:val="clear" w:pos="567"/>
        </w:tabs>
        <w:autoSpaceDE w:val="0"/>
        <w:autoSpaceDN w:val="0"/>
        <w:adjustRightInd w:val="0"/>
        <w:spacing w:line="240" w:lineRule="auto"/>
        <w:contextualSpacing/>
        <w:rPr>
          <w:rFonts w:eastAsia="TimesNewRoman"/>
          <w:szCs w:val="22"/>
          <w:u w:val="single"/>
          <w:lang w:eastAsia="lt-LT"/>
        </w:rPr>
      </w:pPr>
      <w:r w:rsidRPr="007A17AE">
        <w:rPr>
          <w:rFonts w:eastAsia="TimesNewRoman"/>
          <w:szCs w:val="22"/>
          <w:u w:val="single"/>
          <w:lang w:eastAsia="lt-LT"/>
        </w:rPr>
        <w:t>Sąryš</w:t>
      </w:r>
      <w:r w:rsidR="00D33EB4" w:rsidRPr="007A17AE">
        <w:rPr>
          <w:rFonts w:eastAsia="TimesNewRoman"/>
          <w:szCs w:val="22"/>
          <w:u w:val="single"/>
          <w:lang w:eastAsia="lt-LT"/>
        </w:rPr>
        <w:t>i</w:t>
      </w:r>
      <w:r w:rsidRPr="007A17AE">
        <w:rPr>
          <w:rFonts w:eastAsia="TimesNewRoman"/>
          <w:szCs w:val="22"/>
          <w:u w:val="single"/>
          <w:lang w:eastAsia="lt-LT"/>
        </w:rPr>
        <w:t>s tarp koncentracijos ir efekto</w:t>
      </w:r>
    </w:p>
    <w:p w14:paraId="69F081A7" w14:textId="77777777" w:rsidR="002A432F" w:rsidRPr="007A17AE" w:rsidRDefault="002A432F"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Vartojant labai specifinį NK</w:t>
      </w:r>
      <w:r w:rsidRPr="007A17AE">
        <w:rPr>
          <w:rFonts w:eastAsia="TimesNewRoman"/>
          <w:szCs w:val="22"/>
          <w:vertAlign w:val="subscript"/>
          <w:lang w:eastAsia="lt-LT"/>
        </w:rPr>
        <w:t>1</w:t>
      </w:r>
      <w:r w:rsidRPr="007A17AE">
        <w:rPr>
          <w:rFonts w:eastAsia="TimesNewRoman"/>
          <w:szCs w:val="22"/>
          <w:lang w:eastAsia="lt-LT"/>
        </w:rPr>
        <w:t xml:space="preserve"> receptoriaus žymenį sveikų, jaunų vyrų pozitronų emisijos tomografijos (PET) tyrimai parodė, kad aprepitantas prasiskverbia į smegenis ir jungiasi su NK</w:t>
      </w:r>
      <w:r w:rsidRPr="007A17AE">
        <w:rPr>
          <w:rFonts w:eastAsia="TimesNewRoman"/>
          <w:szCs w:val="22"/>
          <w:vertAlign w:val="subscript"/>
          <w:lang w:eastAsia="lt-LT"/>
        </w:rPr>
        <w:t>1</w:t>
      </w:r>
      <w:r w:rsidRPr="007A17AE">
        <w:rPr>
          <w:rFonts w:eastAsia="TimesNewRoman"/>
          <w:szCs w:val="22"/>
          <w:lang w:eastAsia="lt-LT"/>
        </w:rPr>
        <w:t xml:space="preserve"> receptoriais. Tai priklauso nuo dozės ir koncentracijos </w:t>
      </w:r>
      <w:r w:rsidR="00502863">
        <w:rPr>
          <w:rFonts w:eastAsia="TimesNewRoman"/>
          <w:szCs w:val="22"/>
          <w:lang w:eastAsia="lt-LT"/>
        </w:rPr>
        <w:t xml:space="preserve">kraujo </w:t>
      </w:r>
      <w:r w:rsidRPr="007A17AE">
        <w:rPr>
          <w:rFonts w:eastAsia="TimesNewRoman"/>
          <w:szCs w:val="22"/>
          <w:lang w:eastAsia="lt-LT"/>
        </w:rPr>
        <w:t xml:space="preserve">plazmoje. Prognozuojama, kad aprepitanto koncentracija suaugusiųjų </w:t>
      </w:r>
      <w:r w:rsidR="00502863">
        <w:rPr>
          <w:rFonts w:eastAsia="TimesNewRoman"/>
          <w:szCs w:val="22"/>
          <w:lang w:eastAsia="lt-LT"/>
        </w:rPr>
        <w:t xml:space="preserve">kraujo </w:t>
      </w:r>
      <w:r w:rsidRPr="007A17AE">
        <w:rPr>
          <w:rFonts w:eastAsia="TimesNewRoman"/>
          <w:szCs w:val="22"/>
          <w:lang w:eastAsia="lt-LT"/>
        </w:rPr>
        <w:t>plazmoje, atsiradusi vartojant aprepitanto pagal trijų dozių schemą, užtikrins, kad būtų užimta daugiau kaip 95</w:t>
      </w:r>
      <w:r w:rsidR="00091B4C">
        <w:rPr>
          <w:rFonts w:eastAsia="TimesNewRoman"/>
          <w:szCs w:val="22"/>
          <w:lang w:eastAsia="lt-LT"/>
        </w:rPr>
        <w:t> </w:t>
      </w:r>
      <w:r w:rsidRPr="007A17AE">
        <w:rPr>
          <w:rFonts w:eastAsia="TimesNewRoman"/>
          <w:szCs w:val="22"/>
          <w:lang w:eastAsia="lt-LT"/>
        </w:rPr>
        <w:t>% smegenų NK</w:t>
      </w:r>
      <w:r w:rsidRPr="007A17AE">
        <w:rPr>
          <w:rFonts w:eastAsia="TimesNewRoman"/>
          <w:szCs w:val="22"/>
          <w:vertAlign w:val="subscript"/>
          <w:lang w:eastAsia="lt-LT"/>
        </w:rPr>
        <w:t>1</w:t>
      </w:r>
      <w:r w:rsidRPr="007A17AE">
        <w:rPr>
          <w:rFonts w:eastAsia="TimesNewRoman"/>
          <w:szCs w:val="22"/>
          <w:lang w:eastAsia="lt-LT"/>
        </w:rPr>
        <w:t xml:space="preserve"> receptorių.</w:t>
      </w:r>
    </w:p>
    <w:p w14:paraId="4AAAD15D" w14:textId="77777777" w:rsidR="002A432F" w:rsidRPr="007A17AE" w:rsidRDefault="002A432F" w:rsidP="007A17AE">
      <w:pPr>
        <w:tabs>
          <w:tab w:val="clear" w:pos="567"/>
        </w:tabs>
        <w:autoSpaceDE w:val="0"/>
        <w:autoSpaceDN w:val="0"/>
        <w:adjustRightInd w:val="0"/>
        <w:spacing w:line="240" w:lineRule="auto"/>
        <w:contextualSpacing/>
        <w:rPr>
          <w:rFonts w:eastAsia="TimesNewRoman,Bold"/>
          <w:b/>
          <w:bCs/>
          <w:szCs w:val="22"/>
          <w:lang w:eastAsia="lt-LT"/>
        </w:rPr>
      </w:pPr>
    </w:p>
    <w:p w14:paraId="162EB3A1" w14:textId="77777777" w:rsidR="002A432F" w:rsidRPr="007A17AE" w:rsidRDefault="002A432F" w:rsidP="007A17AE">
      <w:pPr>
        <w:tabs>
          <w:tab w:val="clear" w:pos="567"/>
        </w:tabs>
        <w:autoSpaceDE w:val="0"/>
        <w:autoSpaceDN w:val="0"/>
        <w:adjustRightInd w:val="0"/>
        <w:spacing w:line="240" w:lineRule="auto"/>
        <w:contextualSpacing/>
        <w:rPr>
          <w:rFonts w:eastAsia="TimesNewRoman,Bold"/>
          <w:b/>
          <w:bCs/>
          <w:szCs w:val="22"/>
          <w:lang w:eastAsia="lt-LT"/>
        </w:rPr>
      </w:pPr>
      <w:r w:rsidRPr="007A17AE">
        <w:rPr>
          <w:rFonts w:eastAsia="TimesNewRoman,Bold"/>
          <w:b/>
          <w:bCs/>
          <w:szCs w:val="22"/>
          <w:lang w:eastAsia="lt-LT"/>
        </w:rPr>
        <w:t>5.3</w:t>
      </w:r>
      <w:r w:rsidRPr="007A17AE">
        <w:rPr>
          <w:rFonts w:eastAsia="TimesNewRoman,Bold"/>
          <w:b/>
          <w:bCs/>
          <w:szCs w:val="22"/>
          <w:lang w:eastAsia="lt-LT"/>
        </w:rPr>
        <w:tab/>
        <w:t>Ikiklinikinių saugumo tyrimų duomenys</w:t>
      </w:r>
    </w:p>
    <w:p w14:paraId="18ADEEF9" w14:textId="77777777" w:rsidR="002A432F" w:rsidRPr="007A17AE" w:rsidRDefault="002A432F" w:rsidP="007A17AE">
      <w:pPr>
        <w:tabs>
          <w:tab w:val="clear" w:pos="567"/>
        </w:tabs>
        <w:autoSpaceDE w:val="0"/>
        <w:autoSpaceDN w:val="0"/>
        <w:adjustRightInd w:val="0"/>
        <w:spacing w:line="240" w:lineRule="auto"/>
        <w:contextualSpacing/>
        <w:rPr>
          <w:rFonts w:eastAsia="TimesNewRoman"/>
          <w:szCs w:val="22"/>
          <w:lang w:eastAsia="lt-LT"/>
        </w:rPr>
      </w:pPr>
    </w:p>
    <w:p w14:paraId="63B584DF" w14:textId="77777777" w:rsidR="002A432F" w:rsidRPr="007A17AE" w:rsidRDefault="002A432F"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Įprastų vienkartinės dozės ir kartotinių dozių toksiškumo, genotoksiškumo, galimo kancerogeniškumo, toksinio poveikio reprodukcijai ir vystymuisi ikiklinikinių tyrimų duomenys specifinio pavojaus žmogui nerodo. Tačiau reikia pažymėti, kad sisteminė ekspozicija graužikams buvo panaši ar net mažesnė, negu gydomoji ekspozicija žmogui, vartojančiam 125</w:t>
      </w:r>
      <w:r w:rsidR="00091B4C">
        <w:rPr>
          <w:rFonts w:eastAsia="TimesNewRoman"/>
          <w:szCs w:val="22"/>
          <w:lang w:eastAsia="lt-LT"/>
        </w:rPr>
        <w:t> </w:t>
      </w:r>
      <w:r w:rsidRPr="007A17AE">
        <w:rPr>
          <w:rFonts w:eastAsia="TimesNewRoman"/>
          <w:szCs w:val="22"/>
          <w:lang w:eastAsia="lt-LT"/>
        </w:rPr>
        <w:t>mg/80</w:t>
      </w:r>
      <w:r w:rsidR="00091B4C">
        <w:rPr>
          <w:rFonts w:eastAsia="TimesNewRoman"/>
          <w:szCs w:val="22"/>
          <w:lang w:eastAsia="lt-LT"/>
        </w:rPr>
        <w:t> </w:t>
      </w:r>
      <w:r w:rsidRPr="007A17AE">
        <w:rPr>
          <w:rFonts w:eastAsia="TimesNewRoman"/>
          <w:szCs w:val="22"/>
          <w:lang w:eastAsia="lt-LT"/>
        </w:rPr>
        <w:t xml:space="preserve">mg dozę. Nors </w:t>
      </w:r>
      <w:r w:rsidR="000707BD" w:rsidRPr="007A17AE">
        <w:rPr>
          <w:rFonts w:eastAsia="TimesNewRoman"/>
          <w:szCs w:val="22"/>
          <w:lang w:eastAsia="lt-LT"/>
        </w:rPr>
        <w:t xml:space="preserve">reprodukcijos </w:t>
      </w:r>
      <w:r w:rsidRPr="007A17AE">
        <w:rPr>
          <w:rFonts w:eastAsia="TimesNewRoman"/>
          <w:szCs w:val="22"/>
          <w:lang w:eastAsia="lt-LT"/>
        </w:rPr>
        <w:t xml:space="preserve">tyrimų metu </w:t>
      </w:r>
      <w:r w:rsidR="000707BD" w:rsidRPr="007A17AE">
        <w:rPr>
          <w:rFonts w:eastAsia="TimesNewRoman"/>
          <w:szCs w:val="22"/>
          <w:lang w:eastAsia="lt-LT"/>
        </w:rPr>
        <w:t>nepageidaujamo</w:t>
      </w:r>
      <w:r w:rsidRPr="007A17AE">
        <w:rPr>
          <w:rFonts w:eastAsia="TimesNewRoman"/>
          <w:szCs w:val="22"/>
          <w:lang w:eastAsia="lt-LT"/>
        </w:rPr>
        <w:t xml:space="preserve"> poveikio </w:t>
      </w:r>
      <w:r w:rsidR="000707BD" w:rsidRPr="007A17AE">
        <w:rPr>
          <w:rFonts w:eastAsia="TimesNewRoman"/>
          <w:szCs w:val="22"/>
          <w:lang w:eastAsia="lt-LT"/>
        </w:rPr>
        <w:t>nenustatyta</w:t>
      </w:r>
      <w:r w:rsidRPr="007A17AE">
        <w:rPr>
          <w:rFonts w:eastAsia="TimesNewRoman"/>
          <w:szCs w:val="22"/>
          <w:lang w:eastAsia="lt-LT"/>
        </w:rPr>
        <w:t>, kai ekspozicija vaist</w:t>
      </w:r>
      <w:r w:rsidR="00337B92">
        <w:rPr>
          <w:rFonts w:eastAsia="TimesNewRoman"/>
          <w:szCs w:val="22"/>
          <w:lang w:eastAsia="lt-LT"/>
        </w:rPr>
        <w:t>iniam preparat</w:t>
      </w:r>
      <w:r w:rsidRPr="007A17AE">
        <w:rPr>
          <w:rFonts w:eastAsia="TimesNewRoman"/>
          <w:szCs w:val="22"/>
          <w:lang w:eastAsia="lt-LT"/>
        </w:rPr>
        <w:t xml:space="preserve">ui buvo tokia </w:t>
      </w:r>
      <w:r w:rsidRPr="007A17AE">
        <w:rPr>
          <w:rFonts w:eastAsia="TimesNewRoman"/>
          <w:szCs w:val="22"/>
          <w:lang w:eastAsia="lt-LT"/>
        </w:rPr>
        <w:lastRenderedPageBreak/>
        <w:t>pat kaip žmonių ekspozicija, tačiau gyvūnų</w:t>
      </w:r>
      <w:r w:rsidR="000707BD" w:rsidRPr="007A17AE">
        <w:rPr>
          <w:rFonts w:eastAsia="TimesNewRoman"/>
          <w:szCs w:val="22"/>
          <w:lang w:eastAsia="lt-LT"/>
        </w:rPr>
        <w:t xml:space="preserve"> </w:t>
      </w:r>
      <w:r w:rsidRPr="007A17AE">
        <w:rPr>
          <w:rFonts w:eastAsia="TimesNewRoman"/>
          <w:szCs w:val="22"/>
          <w:lang w:eastAsia="lt-LT"/>
        </w:rPr>
        <w:t>ekspozicijos nepakanka, kad būtų galima įvertinti riziką žmogui.</w:t>
      </w:r>
    </w:p>
    <w:p w14:paraId="45B7449D" w14:textId="77777777" w:rsidR="000707BD" w:rsidRPr="007A17AE" w:rsidRDefault="000707BD" w:rsidP="007A17AE">
      <w:pPr>
        <w:tabs>
          <w:tab w:val="clear" w:pos="567"/>
        </w:tabs>
        <w:autoSpaceDE w:val="0"/>
        <w:autoSpaceDN w:val="0"/>
        <w:adjustRightInd w:val="0"/>
        <w:spacing w:line="240" w:lineRule="auto"/>
        <w:contextualSpacing/>
        <w:rPr>
          <w:rFonts w:eastAsia="TimesNewRoman"/>
          <w:szCs w:val="22"/>
          <w:lang w:eastAsia="lt-LT"/>
        </w:rPr>
      </w:pPr>
    </w:p>
    <w:p w14:paraId="22D02091" w14:textId="77777777" w:rsidR="002A432F" w:rsidRPr="007A17AE" w:rsidRDefault="002A432F" w:rsidP="007A17AE">
      <w:pPr>
        <w:tabs>
          <w:tab w:val="clear" w:pos="567"/>
        </w:tabs>
        <w:autoSpaceDE w:val="0"/>
        <w:autoSpaceDN w:val="0"/>
        <w:adjustRightInd w:val="0"/>
        <w:spacing w:line="240" w:lineRule="auto"/>
        <w:contextualSpacing/>
        <w:rPr>
          <w:szCs w:val="22"/>
        </w:rPr>
      </w:pPr>
      <w:r w:rsidRPr="007A17AE">
        <w:rPr>
          <w:rFonts w:eastAsia="TimesNewRoman"/>
          <w:szCs w:val="22"/>
          <w:lang w:eastAsia="lt-LT"/>
        </w:rPr>
        <w:t>Tiriant toksinį poveikį žiurkių jaunikliams, nuo 10-os iki 63-ios dienos po atsivedimo jiems buvo</w:t>
      </w:r>
      <w:r w:rsidR="000707BD" w:rsidRPr="007A17AE">
        <w:rPr>
          <w:rFonts w:eastAsia="TimesNewRoman"/>
          <w:szCs w:val="22"/>
          <w:lang w:eastAsia="lt-LT"/>
        </w:rPr>
        <w:t xml:space="preserve"> </w:t>
      </w:r>
      <w:r w:rsidRPr="007A17AE">
        <w:rPr>
          <w:rFonts w:eastAsia="TimesNewRoman"/>
          <w:szCs w:val="22"/>
          <w:lang w:eastAsia="lt-LT"/>
        </w:rPr>
        <w:t>duodama aprepitanto. 250</w:t>
      </w:r>
      <w:r w:rsidR="00091B4C">
        <w:rPr>
          <w:rFonts w:eastAsia="TimesNewRoman"/>
          <w:szCs w:val="22"/>
          <w:lang w:eastAsia="lt-LT"/>
        </w:rPr>
        <w:t> </w:t>
      </w:r>
      <w:r w:rsidRPr="007A17AE">
        <w:rPr>
          <w:rFonts w:eastAsia="TimesNewRoman"/>
          <w:szCs w:val="22"/>
          <w:lang w:eastAsia="lt-LT"/>
        </w:rPr>
        <w:t>mg/kg 2</w:t>
      </w:r>
      <w:r w:rsidR="00091B4C">
        <w:rPr>
          <w:rFonts w:eastAsia="TimesNewRoman"/>
          <w:szCs w:val="22"/>
          <w:lang w:eastAsia="lt-LT"/>
        </w:rPr>
        <w:t> </w:t>
      </w:r>
      <w:r w:rsidRPr="007A17AE">
        <w:rPr>
          <w:rFonts w:eastAsia="TimesNewRoman"/>
          <w:szCs w:val="22"/>
          <w:lang w:eastAsia="lt-LT"/>
        </w:rPr>
        <w:t>kartus per parą ir didesnės dozės sukėlė ankstesnį makšties</w:t>
      </w:r>
      <w:r w:rsidR="000707BD" w:rsidRPr="007A17AE">
        <w:rPr>
          <w:rFonts w:eastAsia="TimesNewRoman"/>
          <w:szCs w:val="22"/>
          <w:lang w:eastAsia="lt-LT"/>
        </w:rPr>
        <w:t xml:space="preserve"> </w:t>
      </w:r>
      <w:r w:rsidRPr="007A17AE">
        <w:rPr>
          <w:rFonts w:eastAsia="TimesNewRoman"/>
          <w:szCs w:val="22"/>
          <w:lang w:eastAsia="lt-LT"/>
        </w:rPr>
        <w:t>atsivėrimą patelėms, o 10</w:t>
      </w:r>
      <w:r w:rsidR="00091B4C">
        <w:rPr>
          <w:rFonts w:eastAsia="TimesNewRoman"/>
          <w:szCs w:val="22"/>
          <w:lang w:eastAsia="lt-LT"/>
        </w:rPr>
        <w:t> </w:t>
      </w:r>
      <w:r w:rsidRPr="007A17AE">
        <w:rPr>
          <w:rFonts w:eastAsia="TimesNewRoman"/>
          <w:szCs w:val="22"/>
          <w:lang w:eastAsia="lt-LT"/>
        </w:rPr>
        <w:t>mg/kg 2</w:t>
      </w:r>
      <w:r w:rsidR="00091B4C">
        <w:rPr>
          <w:rFonts w:eastAsia="TimesNewRoman"/>
          <w:szCs w:val="22"/>
          <w:lang w:eastAsia="lt-LT"/>
        </w:rPr>
        <w:t> </w:t>
      </w:r>
      <w:r w:rsidRPr="007A17AE">
        <w:rPr>
          <w:rFonts w:eastAsia="TimesNewRoman"/>
          <w:szCs w:val="22"/>
          <w:lang w:eastAsia="lt-LT"/>
        </w:rPr>
        <w:t xml:space="preserve">kartus per parą ir didesnės – </w:t>
      </w:r>
      <w:r w:rsidR="000707BD" w:rsidRPr="007A17AE">
        <w:rPr>
          <w:rFonts w:eastAsia="TimesNewRoman"/>
          <w:szCs w:val="22"/>
          <w:lang w:eastAsia="lt-LT"/>
        </w:rPr>
        <w:t>uždelsė</w:t>
      </w:r>
      <w:r w:rsidRPr="007A17AE">
        <w:rPr>
          <w:rFonts w:eastAsia="TimesNewRoman"/>
          <w:szCs w:val="22"/>
          <w:lang w:eastAsia="lt-LT"/>
        </w:rPr>
        <w:t xml:space="preserve"> apyvarpės atsiskyrimą</w:t>
      </w:r>
      <w:r w:rsidR="000707BD" w:rsidRPr="007A17AE">
        <w:rPr>
          <w:rFonts w:eastAsia="TimesNewRoman"/>
          <w:szCs w:val="22"/>
          <w:lang w:eastAsia="lt-LT"/>
        </w:rPr>
        <w:t xml:space="preserve"> </w:t>
      </w:r>
      <w:r w:rsidRPr="007A17AE">
        <w:rPr>
          <w:rFonts w:eastAsia="TimesNewRoman"/>
          <w:szCs w:val="22"/>
          <w:lang w:eastAsia="lt-LT"/>
        </w:rPr>
        <w:t>patinams. Ribų su kliniškai reikšminga ekspozicija nebuvo. Su vaistiniu preparatu susijusio poveikio</w:t>
      </w:r>
      <w:r w:rsidR="000707BD" w:rsidRPr="007A17AE">
        <w:rPr>
          <w:rFonts w:eastAsia="TimesNewRoman"/>
          <w:szCs w:val="22"/>
          <w:lang w:eastAsia="lt-LT"/>
        </w:rPr>
        <w:t xml:space="preserve"> </w:t>
      </w:r>
      <w:r w:rsidRPr="007A17AE">
        <w:rPr>
          <w:rFonts w:eastAsia="TimesNewRoman"/>
          <w:szCs w:val="22"/>
          <w:lang w:eastAsia="lt-LT"/>
        </w:rPr>
        <w:t>poravimuisi, vaisingumui arba embriono ir vaisiaus išgyvenamumui nenustatyta, patologinių lytinių</w:t>
      </w:r>
      <w:r w:rsidR="000707BD" w:rsidRPr="007A17AE">
        <w:rPr>
          <w:rFonts w:eastAsia="TimesNewRoman"/>
          <w:szCs w:val="22"/>
          <w:lang w:eastAsia="lt-LT"/>
        </w:rPr>
        <w:t xml:space="preserve"> </w:t>
      </w:r>
      <w:r w:rsidRPr="007A17AE">
        <w:rPr>
          <w:rFonts w:eastAsia="TimesNewRoman"/>
          <w:szCs w:val="22"/>
          <w:lang w:eastAsia="lt-LT"/>
        </w:rPr>
        <w:t>organų pokyčių ne</w:t>
      </w:r>
      <w:r w:rsidR="000707BD" w:rsidRPr="007A17AE">
        <w:rPr>
          <w:rFonts w:eastAsia="TimesNewRoman"/>
          <w:szCs w:val="22"/>
          <w:lang w:eastAsia="lt-LT"/>
        </w:rPr>
        <w:t>aptikta</w:t>
      </w:r>
      <w:r w:rsidRPr="007A17AE">
        <w:rPr>
          <w:rFonts w:eastAsia="TimesNewRoman"/>
          <w:szCs w:val="22"/>
          <w:lang w:eastAsia="lt-LT"/>
        </w:rPr>
        <w:t>. Tiriant toksinį poveikį šunų jaunikliams, kuriems aprepitanto buvo duodama</w:t>
      </w:r>
      <w:r w:rsidR="000707BD" w:rsidRPr="007A17AE">
        <w:rPr>
          <w:rFonts w:eastAsia="TimesNewRoman"/>
          <w:szCs w:val="22"/>
          <w:lang w:eastAsia="lt-LT"/>
        </w:rPr>
        <w:t xml:space="preserve"> </w:t>
      </w:r>
      <w:r w:rsidRPr="007A17AE">
        <w:rPr>
          <w:rFonts w:eastAsia="TimesNewRoman"/>
          <w:szCs w:val="22"/>
          <w:lang w:eastAsia="lt-LT"/>
        </w:rPr>
        <w:t>nuo 14-os iki 42-os dienos po atsivedimo, 6</w:t>
      </w:r>
      <w:r w:rsidR="00091B4C">
        <w:rPr>
          <w:rFonts w:eastAsia="TimesNewRoman"/>
          <w:szCs w:val="22"/>
          <w:lang w:eastAsia="lt-LT"/>
        </w:rPr>
        <w:t> </w:t>
      </w:r>
      <w:r w:rsidRPr="007A17AE">
        <w:rPr>
          <w:rFonts w:eastAsia="TimesNewRoman"/>
          <w:szCs w:val="22"/>
          <w:lang w:eastAsia="lt-LT"/>
        </w:rPr>
        <w:t>mg/kg paros dozes gavusių patinų sėklidės buvo</w:t>
      </w:r>
      <w:r w:rsidR="000707BD" w:rsidRPr="007A17AE">
        <w:rPr>
          <w:rFonts w:eastAsia="TimesNewRoman"/>
          <w:szCs w:val="22"/>
          <w:lang w:eastAsia="lt-LT"/>
        </w:rPr>
        <w:t xml:space="preserve"> </w:t>
      </w:r>
      <w:r w:rsidRPr="007A17AE">
        <w:rPr>
          <w:rFonts w:eastAsia="TimesNewRoman"/>
          <w:szCs w:val="22"/>
          <w:lang w:eastAsia="lt-LT"/>
        </w:rPr>
        <w:t xml:space="preserve">lengvesnės ir </w:t>
      </w:r>
      <w:r w:rsidRPr="00B12DD0">
        <w:rPr>
          <w:rFonts w:eastAsia="TimesNewRoman"/>
          <w:i/>
          <w:szCs w:val="22"/>
          <w:lang w:eastAsia="lt-LT"/>
        </w:rPr>
        <w:t>L</w:t>
      </w:r>
      <w:r w:rsidR="005F700D" w:rsidRPr="00B12DD0">
        <w:rPr>
          <w:rFonts w:eastAsia="TimesNewRoman"/>
          <w:i/>
          <w:szCs w:val="22"/>
          <w:lang w:eastAsia="lt-LT"/>
        </w:rPr>
        <w:t>eidigo</w:t>
      </w:r>
      <w:r w:rsidRPr="007A17AE">
        <w:rPr>
          <w:rFonts w:eastAsia="TimesNewRoman"/>
          <w:szCs w:val="22"/>
          <w:lang w:eastAsia="lt-LT"/>
        </w:rPr>
        <w:t xml:space="preserve"> ląstelės – mažesnės; 4</w:t>
      </w:r>
      <w:r w:rsidR="00091B4C">
        <w:rPr>
          <w:rFonts w:eastAsia="TimesNewRoman"/>
          <w:szCs w:val="22"/>
          <w:lang w:eastAsia="lt-LT"/>
        </w:rPr>
        <w:t> </w:t>
      </w:r>
      <w:r w:rsidRPr="007A17AE">
        <w:rPr>
          <w:rFonts w:eastAsia="TimesNewRoman"/>
          <w:szCs w:val="22"/>
          <w:lang w:eastAsia="lt-LT"/>
        </w:rPr>
        <w:t>mg/kg ir didesnes paros dozes gavusių patelių gimdos</w:t>
      </w:r>
      <w:r w:rsidR="000707BD" w:rsidRPr="007A17AE">
        <w:rPr>
          <w:rFonts w:eastAsia="TimesNewRoman"/>
          <w:szCs w:val="22"/>
          <w:lang w:eastAsia="lt-LT"/>
        </w:rPr>
        <w:t xml:space="preserve"> </w:t>
      </w:r>
      <w:r w:rsidRPr="007A17AE">
        <w:rPr>
          <w:rFonts w:eastAsia="TimesNewRoman"/>
          <w:szCs w:val="22"/>
          <w:lang w:eastAsia="lt-LT"/>
        </w:rPr>
        <w:t>svoris buvo didesnis, joms rasta gimdos ir jos kaklelio hipertrofija bei makšties audinių edema. Ribų</w:t>
      </w:r>
      <w:r w:rsidR="000707BD" w:rsidRPr="007A17AE">
        <w:rPr>
          <w:rFonts w:eastAsia="TimesNewRoman"/>
          <w:szCs w:val="22"/>
          <w:lang w:eastAsia="lt-LT"/>
        </w:rPr>
        <w:t xml:space="preserve"> </w:t>
      </w:r>
      <w:r w:rsidRPr="007A17AE">
        <w:rPr>
          <w:rFonts w:eastAsia="TimesNewRoman"/>
          <w:szCs w:val="22"/>
          <w:lang w:eastAsia="lt-LT"/>
        </w:rPr>
        <w:t xml:space="preserve">su kliniškai reikšminga aprepitanto ekspozicija nebuvo. Manoma, kad </w:t>
      </w:r>
      <w:r w:rsidR="000707BD" w:rsidRPr="007A17AE">
        <w:rPr>
          <w:rFonts w:eastAsia="TimesNewRoman"/>
          <w:szCs w:val="22"/>
          <w:lang w:eastAsia="lt-LT"/>
        </w:rPr>
        <w:t xml:space="preserve">gydant </w:t>
      </w:r>
      <w:r w:rsidRPr="007A17AE">
        <w:rPr>
          <w:rFonts w:eastAsia="TimesNewRoman"/>
          <w:szCs w:val="22"/>
          <w:lang w:eastAsia="lt-LT"/>
        </w:rPr>
        <w:t xml:space="preserve">trumpai ir rekomenduojamomis dozėmis, </w:t>
      </w:r>
      <w:r w:rsidR="005F700D" w:rsidRPr="007A17AE">
        <w:rPr>
          <w:rFonts w:eastAsia="TimesNewRoman"/>
          <w:szCs w:val="22"/>
          <w:lang w:eastAsia="lt-LT"/>
        </w:rPr>
        <w:t xml:space="preserve">nepanašu, kad </w:t>
      </w:r>
      <w:r w:rsidRPr="007A17AE">
        <w:rPr>
          <w:rFonts w:eastAsia="TimesNewRoman"/>
          <w:szCs w:val="22"/>
          <w:lang w:eastAsia="lt-LT"/>
        </w:rPr>
        <w:t xml:space="preserve">šie duomenys </w:t>
      </w:r>
      <w:r w:rsidR="005F700D" w:rsidRPr="007A17AE">
        <w:rPr>
          <w:rFonts w:eastAsia="TimesNewRoman"/>
          <w:szCs w:val="22"/>
          <w:lang w:eastAsia="lt-LT"/>
        </w:rPr>
        <w:t>yra</w:t>
      </w:r>
      <w:r w:rsidRPr="007A17AE">
        <w:rPr>
          <w:rFonts w:eastAsia="TimesNewRoman"/>
          <w:szCs w:val="22"/>
          <w:lang w:eastAsia="lt-LT"/>
        </w:rPr>
        <w:t xml:space="preserve"> kliniškai reikšmingi</w:t>
      </w:r>
      <w:r w:rsidR="000707BD" w:rsidRPr="007A17AE">
        <w:rPr>
          <w:rFonts w:eastAsia="TimesNewRoman"/>
          <w:szCs w:val="22"/>
          <w:lang w:eastAsia="lt-LT"/>
        </w:rPr>
        <w:t>.</w:t>
      </w:r>
    </w:p>
    <w:p w14:paraId="257E12E0" w14:textId="77777777" w:rsidR="002A432F" w:rsidRPr="007A17AE" w:rsidRDefault="002A432F" w:rsidP="007A17AE">
      <w:pPr>
        <w:spacing w:line="240" w:lineRule="auto"/>
        <w:ind w:left="567" w:hanging="567"/>
        <w:contextualSpacing/>
        <w:outlineLvl w:val="0"/>
        <w:rPr>
          <w:szCs w:val="22"/>
        </w:rPr>
      </w:pPr>
    </w:p>
    <w:p w14:paraId="70A6D7B1" w14:textId="77777777" w:rsidR="00B35181" w:rsidRPr="007A17AE" w:rsidRDefault="00B35181" w:rsidP="007A17AE">
      <w:pPr>
        <w:spacing w:line="240" w:lineRule="auto"/>
        <w:contextualSpacing/>
        <w:rPr>
          <w:szCs w:val="22"/>
        </w:rPr>
      </w:pPr>
    </w:p>
    <w:p w14:paraId="4BAD839B" w14:textId="77777777" w:rsidR="007C40F9" w:rsidRPr="007A17AE" w:rsidRDefault="007C40F9" w:rsidP="007A17AE">
      <w:pPr>
        <w:suppressAutoHyphens/>
        <w:spacing w:line="240" w:lineRule="auto"/>
        <w:ind w:left="567" w:hanging="567"/>
        <w:contextualSpacing/>
        <w:rPr>
          <w:b/>
          <w:szCs w:val="22"/>
        </w:rPr>
      </w:pPr>
      <w:r w:rsidRPr="007A17AE">
        <w:rPr>
          <w:b/>
          <w:szCs w:val="22"/>
        </w:rPr>
        <w:t>6.</w:t>
      </w:r>
      <w:r w:rsidRPr="007A17AE">
        <w:rPr>
          <w:b/>
          <w:szCs w:val="22"/>
        </w:rPr>
        <w:tab/>
        <w:t>FARMACINĖ INFORMACIJA</w:t>
      </w:r>
    </w:p>
    <w:p w14:paraId="5A9EB723" w14:textId="77777777" w:rsidR="00B35181" w:rsidRPr="007A17AE" w:rsidRDefault="00B35181" w:rsidP="007A17AE">
      <w:pPr>
        <w:spacing w:line="240" w:lineRule="auto"/>
        <w:contextualSpacing/>
        <w:rPr>
          <w:szCs w:val="22"/>
        </w:rPr>
      </w:pPr>
    </w:p>
    <w:p w14:paraId="15E48DCA" w14:textId="77777777" w:rsidR="007C40F9" w:rsidRPr="007A17AE" w:rsidRDefault="007C40F9" w:rsidP="007A17AE">
      <w:pPr>
        <w:spacing w:line="240" w:lineRule="auto"/>
        <w:ind w:left="567" w:hanging="567"/>
        <w:contextualSpacing/>
        <w:outlineLvl w:val="0"/>
        <w:rPr>
          <w:szCs w:val="22"/>
        </w:rPr>
      </w:pPr>
      <w:r w:rsidRPr="007A17AE">
        <w:rPr>
          <w:b/>
          <w:szCs w:val="22"/>
        </w:rPr>
        <w:t>6.1</w:t>
      </w:r>
      <w:r w:rsidRPr="007A17AE">
        <w:rPr>
          <w:b/>
          <w:szCs w:val="22"/>
        </w:rPr>
        <w:tab/>
        <w:t>Pagalbinių medžiagų sąrašas</w:t>
      </w:r>
    </w:p>
    <w:p w14:paraId="7C202A36" w14:textId="77777777" w:rsidR="00B35181" w:rsidRPr="007A17AE" w:rsidRDefault="00B35181" w:rsidP="007A17AE">
      <w:pPr>
        <w:spacing w:line="240" w:lineRule="auto"/>
        <w:contextualSpacing/>
        <w:rPr>
          <w:i/>
          <w:szCs w:val="22"/>
        </w:rPr>
      </w:pPr>
    </w:p>
    <w:p w14:paraId="790063C8" w14:textId="77777777" w:rsidR="005F700D" w:rsidRPr="007A17AE" w:rsidRDefault="005F700D" w:rsidP="007A17AE">
      <w:pPr>
        <w:tabs>
          <w:tab w:val="clear" w:pos="567"/>
        </w:tabs>
        <w:autoSpaceDE w:val="0"/>
        <w:autoSpaceDN w:val="0"/>
        <w:adjustRightInd w:val="0"/>
        <w:spacing w:line="240" w:lineRule="auto"/>
        <w:contextualSpacing/>
        <w:rPr>
          <w:rFonts w:eastAsia="TimesNewRoman"/>
          <w:i/>
          <w:szCs w:val="22"/>
          <w:u w:val="single"/>
          <w:lang w:eastAsia="lt-LT"/>
        </w:rPr>
      </w:pPr>
      <w:r w:rsidRPr="007A17AE">
        <w:rPr>
          <w:rFonts w:eastAsia="TimesNewRoman"/>
          <w:i/>
          <w:szCs w:val="22"/>
          <w:u w:val="single"/>
          <w:lang w:eastAsia="lt-LT"/>
        </w:rPr>
        <w:t>Kapsulės turinys</w:t>
      </w:r>
    </w:p>
    <w:p w14:paraId="1F00EDC3" w14:textId="77777777" w:rsidR="005F700D" w:rsidRPr="007A17AE" w:rsidRDefault="005F700D"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Sacharozė</w:t>
      </w:r>
    </w:p>
    <w:p w14:paraId="01AE204B" w14:textId="07DEE0F5" w:rsidR="005F700D" w:rsidRPr="007A17AE" w:rsidRDefault="005F700D"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Mikrokristalinė</w:t>
      </w:r>
      <w:r w:rsidR="00F31431">
        <w:rPr>
          <w:rFonts w:eastAsia="TimesNewRoman"/>
          <w:szCs w:val="22"/>
          <w:lang w:eastAsia="lt-LT"/>
        </w:rPr>
        <w:t>s</w:t>
      </w:r>
      <w:r w:rsidRPr="007A17AE">
        <w:rPr>
          <w:rFonts w:eastAsia="TimesNewRoman"/>
          <w:szCs w:val="22"/>
          <w:lang w:eastAsia="lt-LT"/>
        </w:rPr>
        <w:t xml:space="preserve"> celiuliozė</w:t>
      </w:r>
      <w:r w:rsidR="00F31431">
        <w:rPr>
          <w:rFonts w:eastAsia="TimesNewRoman"/>
          <w:szCs w:val="22"/>
          <w:lang w:eastAsia="lt-LT"/>
        </w:rPr>
        <w:t>s</w:t>
      </w:r>
      <w:r w:rsidR="002D4770" w:rsidRPr="007A17AE">
        <w:rPr>
          <w:rFonts w:eastAsia="TimesNewRoman"/>
          <w:szCs w:val="22"/>
          <w:lang w:eastAsia="lt-LT"/>
        </w:rPr>
        <w:t xml:space="preserve"> sferos 500</w:t>
      </w:r>
      <w:r w:rsidRPr="007A17AE">
        <w:rPr>
          <w:rFonts w:eastAsia="TimesNewRoman"/>
          <w:szCs w:val="22"/>
          <w:lang w:eastAsia="lt-LT"/>
        </w:rPr>
        <w:t xml:space="preserve"> (E460)</w:t>
      </w:r>
    </w:p>
    <w:p w14:paraId="1019978B" w14:textId="77777777" w:rsidR="005F700D" w:rsidRPr="007A17AE" w:rsidRDefault="005F700D"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 xml:space="preserve">Hidroksipropilceliuliozė </w:t>
      </w:r>
      <w:r w:rsidR="002D4770" w:rsidRPr="007A17AE">
        <w:rPr>
          <w:rFonts w:eastAsia="TimesNewRoman"/>
          <w:szCs w:val="22"/>
          <w:lang w:eastAsia="lt-LT"/>
        </w:rPr>
        <w:t xml:space="preserve">(HPC-SL) </w:t>
      </w:r>
      <w:r w:rsidRPr="007A17AE">
        <w:rPr>
          <w:rFonts w:eastAsia="TimesNewRoman"/>
          <w:szCs w:val="22"/>
          <w:lang w:eastAsia="lt-LT"/>
        </w:rPr>
        <w:t>(E463)</w:t>
      </w:r>
    </w:p>
    <w:p w14:paraId="40D76F1D" w14:textId="77777777" w:rsidR="005F700D" w:rsidRPr="007A17AE" w:rsidRDefault="005F700D"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Natrio laurilsulfatas</w:t>
      </w:r>
    </w:p>
    <w:p w14:paraId="23CE7E2F" w14:textId="77777777" w:rsidR="002D4770" w:rsidRPr="007A17AE" w:rsidRDefault="002D4770" w:rsidP="007A17AE">
      <w:pPr>
        <w:tabs>
          <w:tab w:val="clear" w:pos="567"/>
        </w:tabs>
        <w:autoSpaceDE w:val="0"/>
        <w:autoSpaceDN w:val="0"/>
        <w:adjustRightInd w:val="0"/>
        <w:spacing w:line="240" w:lineRule="auto"/>
        <w:contextualSpacing/>
        <w:rPr>
          <w:rFonts w:eastAsia="TimesNewRoman"/>
          <w:szCs w:val="22"/>
          <w:lang w:eastAsia="lt-LT"/>
        </w:rPr>
      </w:pPr>
    </w:p>
    <w:p w14:paraId="43CB91F6" w14:textId="77777777" w:rsidR="005F700D" w:rsidRPr="007A17AE" w:rsidRDefault="005F700D" w:rsidP="007A17AE">
      <w:pPr>
        <w:tabs>
          <w:tab w:val="clear" w:pos="567"/>
        </w:tabs>
        <w:autoSpaceDE w:val="0"/>
        <w:autoSpaceDN w:val="0"/>
        <w:adjustRightInd w:val="0"/>
        <w:spacing w:line="240" w:lineRule="auto"/>
        <w:contextualSpacing/>
        <w:rPr>
          <w:rFonts w:eastAsia="TimesNewRoman"/>
          <w:i/>
          <w:szCs w:val="22"/>
          <w:u w:val="single"/>
          <w:lang w:eastAsia="lt-LT"/>
        </w:rPr>
      </w:pPr>
      <w:r w:rsidRPr="007A17AE">
        <w:rPr>
          <w:rFonts w:eastAsia="TimesNewRoman"/>
          <w:i/>
          <w:szCs w:val="22"/>
          <w:u w:val="single"/>
          <w:lang w:eastAsia="lt-LT"/>
        </w:rPr>
        <w:t>125</w:t>
      </w:r>
      <w:r w:rsidR="00091B4C">
        <w:rPr>
          <w:rFonts w:eastAsia="TimesNewRoman"/>
          <w:i/>
          <w:szCs w:val="22"/>
          <w:u w:val="single"/>
          <w:lang w:eastAsia="lt-LT"/>
        </w:rPr>
        <w:t> </w:t>
      </w:r>
      <w:r w:rsidRPr="007A17AE">
        <w:rPr>
          <w:rFonts w:eastAsia="TimesNewRoman"/>
          <w:i/>
          <w:szCs w:val="22"/>
          <w:u w:val="single"/>
          <w:lang w:eastAsia="lt-LT"/>
        </w:rPr>
        <w:t>mg kapsulės apvalkalas</w:t>
      </w:r>
    </w:p>
    <w:p w14:paraId="73AB6FBE" w14:textId="77777777" w:rsidR="005F700D" w:rsidRPr="007A17AE" w:rsidRDefault="005F700D"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Želatina</w:t>
      </w:r>
    </w:p>
    <w:p w14:paraId="12EAC303" w14:textId="77777777" w:rsidR="005F700D" w:rsidRPr="007A17AE" w:rsidRDefault="005F700D"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Titano dioksidas (E171)</w:t>
      </w:r>
    </w:p>
    <w:p w14:paraId="53480EA6" w14:textId="77777777" w:rsidR="005F700D" w:rsidRPr="007A17AE" w:rsidRDefault="005F700D"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Raudonasis geležies oksidas (E172)</w:t>
      </w:r>
    </w:p>
    <w:p w14:paraId="0E66D7DD" w14:textId="77777777" w:rsidR="002D4770" w:rsidRPr="007A17AE" w:rsidRDefault="002D4770" w:rsidP="007A17AE">
      <w:pPr>
        <w:tabs>
          <w:tab w:val="clear" w:pos="567"/>
        </w:tabs>
        <w:autoSpaceDE w:val="0"/>
        <w:autoSpaceDN w:val="0"/>
        <w:adjustRightInd w:val="0"/>
        <w:spacing w:line="240" w:lineRule="auto"/>
        <w:contextualSpacing/>
        <w:rPr>
          <w:rFonts w:eastAsia="TimesNewRoman"/>
          <w:szCs w:val="22"/>
          <w:lang w:eastAsia="lt-LT"/>
        </w:rPr>
      </w:pPr>
    </w:p>
    <w:p w14:paraId="1A73FFCC" w14:textId="77777777" w:rsidR="005F700D" w:rsidRPr="007A17AE" w:rsidRDefault="005F700D" w:rsidP="007A17AE">
      <w:pPr>
        <w:tabs>
          <w:tab w:val="clear" w:pos="567"/>
        </w:tabs>
        <w:autoSpaceDE w:val="0"/>
        <w:autoSpaceDN w:val="0"/>
        <w:adjustRightInd w:val="0"/>
        <w:spacing w:line="240" w:lineRule="auto"/>
        <w:contextualSpacing/>
        <w:rPr>
          <w:rFonts w:eastAsia="TimesNewRoman"/>
          <w:i/>
          <w:szCs w:val="22"/>
          <w:u w:val="single"/>
          <w:lang w:eastAsia="lt-LT"/>
        </w:rPr>
      </w:pPr>
      <w:r w:rsidRPr="007A17AE">
        <w:rPr>
          <w:rFonts w:eastAsia="TimesNewRoman"/>
          <w:i/>
          <w:szCs w:val="22"/>
          <w:u w:val="single"/>
          <w:lang w:eastAsia="lt-LT"/>
        </w:rPr>
        <w:t>80</w:t>
      </w:r>
      <w:r w:rsidR="00091B4C">
        <w:rPr>
          <w:rFonts w:eastAsia="TimesNewRoman"/>
          <w:i/>
          <w:szCs w:val="22"/>
          <w:u w:val="single"/>
          <w:lang w:eastAsia="lt-LT"/>
        </w:rPr>
        <w:t> </w:t>
      </w:r>
      <w:r w:rsidRPr="007A17AE">
        <w:rPr>
          <w:rFonts w:eastAsia="TimesNewRoman"/>
          <w:i/>
          <w:szCs w:val="22"/>
          <w:u w:val="single"/>
          <w:lang w:eastAsia="lt-LT"/>
        </w:rPr>
        <w:t>mg kapsulės apvalkalas</w:t>
      </w:r>
    </w:p>
    <w:p w14:paraId="6F28E5A9" w14:textId="77777777" w:rsidR="005F700D" w:rsidRPr="007A17AE" w:rsidRDefault="005F700D"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Želatina</w:t>
      </w:r>
    </w:p>
    <w:p w14:paraId="0EFF7936" w14:textId="77777777" w:rsidR="005F700D" w:rsidRPr="007A17AE" w:rsidRDefault="005F700D" w:rsidP="007A17AE">
      <w:pPr>
        <w:pStyle w:val="Default"/>
        <w:contextualSpacing/>
        <w:rPr>
          <w:sz w:val="22"/>
          <w:szCs w:val="22"/>
          <w:u w:val="single"/>
        </w:rPr>
      </w:pPr>
      <w:r w:rsidRPr="007A17AE">
        <w:rPr>
          <w:rFonts w:eastAsia="TimesNewRoman"/>
          <w:sz w:val="22"/>
          <w:szCs w:val="22"/>
        </w:rPr>
        <w:t>Titano dioksidas (E171)</w:t>
      </w:r>
    </w:p>
    <w:p w14:paraId="79D9C6FC" w14:textId="77777777" w:rsidR="00B35181" w:rsidRPr="007A17AE" w:rsidRDefault="00B35181" w:rsidP="007A17AE">
      <w:pPr>
        <w:spacing w:line="240" w:lineRule="auto"/>
        <w:contextualSpacing/>
        <w:rPr>
          <w:szCs w:val="22"/>
        </w:rPr>
      </w:pPr>
    </w:p>
    <w:p w14:paraId="32B39E7E" w14:textId="77777777" w:rsidR="00CD3A36" w:rsidRPr="007A17AE" w:rsidRDefault="00CD3A36" w:rsidP="007A17AE">
      <w:pPr>
        <w:spacing w:line="240" w:lineRule="auto"/>
        <w:ind w:left="567" w:hanging="567"/>
        <w:contextualSpacing/>
        <w:outlineLvl w:val="0"/>
        <w:rPr>
          <w:szCs w:val="22"/>
        </w:rPr>
      </w:pPr>
      <w:r w:rsidRPr="007A17AE">
        <w:rPr>
          <w:b/>
          <w:szCs w:val="22"/>
        </w:rPr>
        <w:t>6.2</w:t>
      </w:r>
      <w:r w:rsidRPr="007A17AE">
        <w:rPr>
          <w:b/>
          <w:szCs w:val="22"/>
        </w:rPr>
        <w:tab/>
        <w:t>Nesuderinamumas</w:t>
      </w:r>
    </w:p>
    <w:p w14:paraId="2FD425CF" w14:textId="77777777" w:rsidR="00B35181" w:rsidRPr="007A17AE" w:rsidRDefault="00B35181" w:rsidP="007A17AE">
      <w:pPr>
        <w:spacing w:line="240" w:lineRule="auto"/>
        <w:contextualSpacing/>
        <w:rPr>
          <w:szCs w:val="22"/>
        </w:rPr>
      </w:pPr>
    </w:p>
    <w:p w14:paraId="78BB4E76" w14:textId="77777777" w:rsidR="00CD3A36" w:rsidRPr="007A17AE" w:rsidRDefault="00CD3A36" w:rsidP="007A17AE">
      <w:pPr>
        <w:spacing w:line="240" w:lineRule="auto"/>
        <w:contextualSpacing/>
        <w:rPr>
          <w:szCs w:val="22"/>
        </w:rPr>
      </w:pPr>
      <w:r w:rsidRPr="007A17AE">
        <w:rPr>
          <w:szCs w:val="22"/>
        </w:rPr>
        <w:t xml:space="preserve">Duomenys nebūtini. </w:t>
      </w:r>
    </w:p>
    <w:p w14:paraId="44BE0405" w14:textId="77777777" w:rsidR="00B35181" w:rsidRPr="007A17AE" w:rsidRDefault="00B35181" w:rsidP="007A17AE">
      <w:pPr>
        <w:spacing w:line="240" w:lineRule="auto"/>
        <w:contextualSpacing/>
        <w:rPr>
          <w:szCs w:val="22"/>
        </w:rPr>
      </w:pPr>
    </w:p>
    <w:p w14:paraId="48AD1719" w14:textId="77777777" w:rsidR="00CD3A36" w:rsidRPr="007A17AE" w:rsidRDefault="00CD3A36" w:rsidP="007A17AE">
      <w:pPr>
        <w:spacing w:line="240" w:lineRule="auto"/>
        <w:ind w:left="567" w:hanging="567"/>
        <w:contextualSpacing/>
        <w:outlineLvl w:val="0"/>
        <w:rPr>
          <w:szCs w:val="22"/>
        </w:rPr>
      </w:pPr>
      <w:r w:rsidRPr="007A17AE">
        <w:rPr>
          <w:b/>
          <w:szCs w:val="22"/>
        </w:rPr>
        <w:t>6.3</w:t>
      </w:r>
      <w:r w:rsidRPr="007A17AE">
        <w:rPr>
          <w:b/>
          <w:szCs w:val="22"/>
        </w:rPr>
        <w:tab/>
        <w:t>Tinkamumo laikas</w:t>
      </w:r>
    </w:p>
    <w:p w14:paraId="335BE769" w14:textId="77777777" w:rsidR="00B35181" w:rsidRPr="007A17AE" w:rsidRDefault="00B35181" w:rsidP="007A17AE">
      <w:pPr>
        <w:spacing w:line="240" w:lineRule="auto"/>
        <w:contextualSpacing/>
        <w:rPr>
          <w:szCs w:val="22"/>
        </w:rPr>
      </w:pPr>
    </w:p>
    <w:p w14:paraId="67C96C00" w14:textId="66A56C52" w:rsidR="00CD3A36" w:rsidRPr="007A17AE" w:rsidRDefault="00C176DE" w:rsidP="007A17AE">
      <w:pPr>
        <w:spacing w:line="240" w:lineRule="auto"/>
        <w:contextualSpacing/>
        <w:rPr>
          <w:szCs w:val="22"/>
        </w:rPr>
      </w:pPr>
      <w:r>
        <w:rPr>
          <w:szCs w:val="22"/>
        </w:rPr>
        <w:t>3</w:t>
      </w:r>
      <w:r w:rsidR="00091B4C">
        <w:rPr>
          <w:szCs w:val="22"/>
        </w:rPr>
        <w:t> </w:t>
      </w:r>
      <w:r w:rsidR="00CD3A36" w:rsidRPr="007A17AE">
        <w:rPr>
          <w:szCs w:val="22"/>
        </w:rPr>
        <w:t>metai</w:t>
      </w:r>
    </w:p>
    <w:p w14:paraId="3541396E" w14:textId="77777777" w:rsidR="00B35181" w:rsidRPr="007A17AE" w:rsidRDefault="00B35181" w:rsidP="007A17AE">
      <w:pPr>
        <w:spacing w:line="240" w:lineRule="auto"/>
        <w:contextualSpacing/>
        <w:rPr>
          <w:szCs w:val="22"/>
        </w:rPr>
      </w:pPr>
    </w:p>
    <w:p w14:paraId="22450D5A" w14:textId="77777777" w:rsidR="00CD3A36" w:rsidRPr="007A17AE" w:rsidRDefault="00CD3A36" w:rsidP="007A17AE">
      <w:pPr>
        <w:spacing w:line="240" w:lineRule="auto"/>
        <w:ind w:left="567" w:hanging="567"/>
        <w:contextualSpacing/>
        <w:outlineLvl w:val="0"/>
        <w:rPr>
          <w:b/>
          <w:szCs w:val="22"/>
        </w:rPr>
      </w:pPr>
      <w:r w:rsidRPr="007A17AE">
        <w:rPr>
          <w:b/>
          <w:szCs w:val="22"/>
        </w:rPr>
        <w:t>6.4</w:t>
      </w:r>
      <w:r w:rsidRPr="007A17AE">
        <w:rPr>
          <w:b/>
          <w:szCs w:val="22"/>
        </w:rPr>
        <w:tab/>
        <w:t>Specialios laikymo sąlygos</w:t>
      </w:r>
    </w:p>
    <w:p w14:paraId="4E1DE7BF" w14:textId="77777777" w:rsidR="00B35181" w:rsidRPr="007A17AE" w:rsidRDefault="00B35181" w:rsidP="007A17AE">
      <w:pPr>
        <w:spacing w:line="240" w:lineRule="auto"/>
        <w:ind w:left="567" w:hanging="567"/>
        <w:contextualSpacing/>
        <w:outlineLvl w:val="0"/>
        <w:rPr>
          <w:szCs w:val="22"/>
        </w:rPr>
      </w:pPr>
    </w:p>
    <w:p w14:paraId="6C50711C" w14:textId="77777777" w:rsidR="005E10FB" w:rsidRPr="007A17AE" w:rsidRDefault="005E10FB" w:rsidP="007A17AE">
      <w:pPr>
        <w:spacing w:line="240" w:lineRule="auto"/>
        <w:contextualSpacing/>
        <w:rPr>
          <w:i/>
          <w:szCs w:val="22"/>
        </w:rPr>
      </w:pPr>
      <w:r w:rsidRPr="007A17AE">
        <w:rPr>
          <w:szCs w:val="22"/>
        </w:rPr>
        <w:t>Šiam</w:t>
      </w:r>
      <w:r w:rsidR="001C476C" w:rsidRPr="007A17AE">
        <w:rPr>
          <w:szCs w:val="22"/>
        </w:rPr>
        <w:t xml:space="preserve"> </w:t>
      </w:r>
      <w:r w:rsidRPr="007A17AE">
        <w:rPr>
          <w:szCs w:val="22"/>
        </w:rPr>
        <w:t>vaistiniam preparatui specialių laikymo sąlygų nereikia.</w:t>
      </w:r>
    </w:p>
    <w:p w14:paraId="6510407F" w14:textId="77777777" w:rsidR="00B35181" w:rsidRPr="007A17AE" w:rsidRDefault="00B35181" w:rsidP="007A17AE">
      <w:pPr>
        <w:spacing w:line="240" w:lineRule="auto"/>
        <w:contextualSpacing/>
        <w:rPr>
          <w:szCs w:val="22"/>
        </w:rPr>
      </w:pPr>
    </w:p>
    <w:p w14:paraId="3B8735C2" w14:textId="77777777" w:rsidR="005E10FB" w:rsidRPr="007A17AE" w:rsidRDefault="005E10FB" w:rsidP="007A17AE">
      <w:pPr>
        <w:spacing w:line="240" w:lineRule="auto"/>
        <w:contextualSpacing/>
        <w:outlineLvl w:val="0"/>
        <w:rPr>
          <w:b/>
          <w:szCs w:val="22"/>
        </w:rPr>
      </w:pPr>
      <w:r w:rsidRPr="007A17AE">
        <w:rPr>
          <w:b/>
          <w:szCs w:val="22"/>
        </w:rPr>
        <w:t>6.5</w:t>
      </w:r>
      <w:r w:rsidRPr="007A17AE">
        <w:rPr>
          <w:b/>
          <w:szCs w:val="22"/>
        </w:rPr>
        <w:tab/>
        <w:t>Talpyklės pobūdis ir jos turinys</w:t>
      </w:r>
    </w:p>
    <w:p w14:paraId="4D26235A" w14:textId="77777777" w:rsidR="00B35181" w:rsidRPr="007A17AE" w:rsidRDefault="00B35181" w:rsidP="007A17AE">
      <w:pPr>
        <w:spacing w:line="240" w:lineRule="auto"/>
        <w:contextualSpacing/>
        <w:outlineLvl w:val="0"/>
        <w:rPr>
          <w:b/>
          <w:szCs w:val="22"/>
        </w:rPr>
      </w:pPr>
    </w:p>
    <w:p w14:paraId="3BBA1CCF" w14:textId="4165FA25" w:rsidR="005D58C1" w:rsidRPr="00B12DD0" w:rsidRDefault="005D58C1" w:rsidP="007A17AE">
      <w:pPr>
        <w:spacing w:line="240" w:lineRule="auto"/>
        <w:contextualSpacing/>
        <w:rPr>
          <w:szCs w:val="22"/>
        </w:rPr>
      </w:pPr>
      <w:r w:rsidRPr="00B12DD0">
        <w:rPr>
          <w:szCs w:val="22"/>
        </w:rPr>
        <w:t>Aliuminio-OPA/Al/PVC lizdinė plokštelė, kurioje yra viena 125 mg kapsulė.</w:t>
      </w:r>
    </w:p>
    <w:p w14:paraId="6DEFF408" w14:textId="5683FE84" w:rsidR="005D58C1" w:rsidRPr="007A17AE" w:rsidRDefault="005D58C1" w:rsidP="007A17AE">
      <w:pPr>
        <w:spacing w:line="240" w:lineRule="auto"/>
        <w:contextualSpacing/>
        <w:rPr>
          <w:szCs w:val="22"/>
        </w:rPr>
      </w:pPr>
      <w:r w:rsidRPr="00B12DD0">
        <w:rPr>
          <w:szCs w:val="22"/>
        </w:rPr>
        <w:t>Aliuminio-OPA/Al/PVC lizdinė plokštelė, kurioje yra dvi 80</w:t>
      </w:r>
      <w:r w:rsidR="00F31431">
        <w:rPr>
          <w:szCs w:val="22"/>
        </w:rPr>
        <w:t> </w:t>
      </w:r>
      <w:r w:rsidRPr="00B12DD0">
        <w:rPr>
          <w:szCs w:val="22"/>
        </w:rPr>
        <w:t>mg kapsulės.</w:t>
      </w:r>
    </w:p>
    <w:p w14:paraId="2971D802" w14:textId="77777777" w:rsidR="001C476C" w:rsidRPr="007A17AE" w:rsidRDefault="001C476C" w:rsidP="007A17AE">
      <w:pPr>
        <w:spacing w:line="240" w:lineRule="auto"/>
        <w:contextualSpacing/>
        <w:rPr>
          <w:szCs w:val="22"/>
        </w:rPr>
      </w:pPr>
    </w:p>
    <w:p w14:paraId="47627B79" w14:textId="77777777" w:rsidR="005E10FB" w:rsidRPr="007A17AE" w:rsidRDefault="005E10FB" w:rsidP="007A17AE">
      <w:pPr>
        <w:spacing w:line="240" w:lineRule="auto"/>
        <w:ind w:left="567" w:hanging="567"/>
        <w:contextualSpacing/>
        <w:outlineLvl w:val="0"/>
        <w:rPr>
          <w:szCs w:val="22"/>
        </w:rPr>
      </w:pPr>
      <w:bookmarkStart w:id="1" w:name="OLE_LINK1"/>
      <w:r w:rsidRPr="007A17AE">
        <w:rPr>
          <w:b/>
          <w:szCs w:val="22"/>
        </w:rPr>
        <w:t>6.6</w:t>
      </w:r>
      <w:r w:rsidRPr="007A17AE">
        <w:rPr>
          <w:b/>
          <w:szCs w:val="22"/>
        </w:rPr>
        <w:tab/>
        <w:t xml:space="preserve">Specialūs reikalavimai atliekoms tvarkyti </w:t>
      </w:r>
    </w:p>
    <w:bookmarkEnd w:id="1"/>
    <w:p w14:paraId="28279931" w14:textId="77777777" w:rsidR="00B35181" w:rsidRPr="007A17AE" w:rsidRDefault="00B35181" w:rsidP="007A17AE">
      <w:pPr>
        <w:spacing w:line="240" w:lineRule="auto"/>
        <w:contextualSpacing/>
        <w:rPr>
          <w:szCs w:val="22"/>
        </w:rPr>
      </w:pPr>
    </w:p>
    <w:p w14:paraId="122CA42D" w14:textId="77777777" w:rsidR="005D58C1" w:rsidRPr="007A17AE" w:rsidRDefault="005D58C1" w:rsidP="007A17AE">
      <w:pPr>
        <w:spacing w:line="240" w:lineRule="auto"/>
        <w:contextualSpacing/>
        <w:rPr>
          <w:szCs w:val="22"/>
        </w:rPr>
      </w:pPr>
      <w:r w:rsidRPr="007A17AE">
        <w:rPr>
          <w:szCs w:val="22"/>
        </w:rPr>
        <w:t>Nesuvartotą vaistinį preparatą ar atliekas reikia tvarkyti laikantis vietinių reikalavimų.</w:t>
      </w:r>
    </w:p>
    <w:p w14:paraId="55A30EBD" w14:textId="77777777" w:rsidR="00B35181" w:rsidRPr="007A17AE" w:rsidRDefault="00B35181" w:rsidP="007A17AE">
      <w:pPr>
        <w:spacing w:line="240" w:lineRule="auto"/>
        <w:contextualSpacing/>
        <w:rPr>
          <w:szCs w:val="22"/>
        </w:rPr>
      </w:pPr>
    </w:p>
    <w:p w14:paraId="6B7951EF" w14:textId="77777777" w:rsidR="00B912C4" w:rsidRPr="007A17AE" w:rsidRDefault="00B912C4" w:rsidP="007A17AE">
      <w:pPr>
        <w:spacing w:line="240" w:lineRule="auto"/>
        <w:contextualSpacing/>
        <w:rPr>
          <w:szCs w:val="22"/>
        </w:rPr>
      </w:pPr>
    </w:p>
    <w:p w14:paraId="28491F88" w14:textId="77777777" w:rsidR="006B1618" w:rsidRPr="007A17AE" w:rsidRDefault="006B1618" w:rsidP="007A17AE">
      <w:pPr>
        <w:spacing w:line="240" w:lineRule="auto"/>
        <w:ind w:left="567" w:hanging="567"/>
        <w:contextualSpacing/>
        <w:rPr>
          <w:szCs w:val="22"/>
        </w:rPr>
      </w:pPr>
      <w:r w:rsidRPr="007A17AE">
        <w:rPr>
          <w:b/>
          <w:szCs w:val="22"/>
        </w:rPr>
        <w:lastRenderedPageBreak/>
        <w:t>7.</w:t>
      </w:r>
      <w:r w:rsidRPr="007A17AE">
        <w:rPr>
          <w:b/>
          <w:szCs w:val="22"/>
        </w:rPr>
        <w:tab/>
        <w:t>REGISTRUOTOJAS</w:t>
      </w:r>
    </w:p>
    <w:p w14:paraId="184B78DA" w14:textId="77777777" w:rsidR="00F910E8" w:rsidRPr="007A17AE" w:rsidRDefault="00F910E8" w:rsidP="007A17AE">
      <w:pPr>
        <w:spacing w:line="240" w:lineRule="auto"/>
        <w:contextualSpacing/>
        <w:rPr>
          <w:szCs w:val="22"/>
        </w:rPr>
      </w:pPr>
    </w:p>
    <w:p w14:paraId="226811DF" w14:textId="77777777" w:rsidR="00F910E8" w:rsidRPr="007A17AE" w:rsidRDefault="00F910E8" w:rsidP="007A17AE">
      <w:pPr>
        <w:tabs>
          <w:tab w:val="clear" w:pos="567"/>
        </w:tabs>
        <w:spacing w:line="240" w:lineRule="auto"/>
        <w:contextualSpacing/>
        <w:rPr>
          <w:lang w:eastAsia="lt-LT"/>
        </w:rPr>
      </w:pPr>
      <w:r w:rsidRPr="007A17AE">
        <w:rPr>
          <w:lang w:eastAsia="lt-LT"/>
        </w:rPr>
        <w:t>Sandoz d.d.</w:t>
      </w:r>
    </w:p>
    <w:p w14:paraId="0D826737" w14:textId="77777777" w:rsidR="00F910E8" w:rsidRPr="007A17AE" w:rsidRDefault="00F910E8" w:rsidP="007A17AE">
      <w:pPr>
        <w:tabs>
          <w:tab w:val="clear" w:pos="567"/>
        </w:tabs>
        <w:spacing w:line="240" w:lineRule="auto"/>
        <w:contextualSpacing/>
        <w:rPr>
          <w:lang w:eastAsia="lt-LT"/>
        </w:rPr>
      </w:pPr>
      <w:r w:rsidRPr="007A17AE">
        <w:rPr>
          <w:lang w:eastAsia="lt-LT"/>
        </w:rPr>
        <w:t>Verovškova 57</w:t>
      </w:r>
    </w:p>
    <w:p w14:paraId="5EBE5C3B" w14:textId="77777777" w:rsidR="00F910E8" w:rsidRPr="007A17AE" w:rsidRDefault="00F910E8" w:rsidP="007A17AE">
      <w:pPr>
        <w:tabs>
          <w:tab w:val="clear" w:pos="567"/>
        </w:tabs>
        <w:spacing w:line="240" w:lineRule="auto"/>
        <w:contextualSpacing/>
        <w:rPr>
          <w:lang w:eastAsia="lt-LT"/>
        </w:rPr>
      </w:pPr>
      <w:r w:rsidRPr="007A17AE">
        <w:rPr>
          <w:lang w:eastAsia="lt-LT"/>
        </w:rPr>
        <w:t>SI-1000 Ljubljana</w:t>
      </w:r>
    </w:p>
    <w:p w14:paraId="47E52690" w14:textId="77777777" w:rsidR="00F910E8" w:rsidRPr="007A17AE" w:rsidRDefault="00F910E8" w:rsidP="007A17AE">
      <w:pPr>
        <w:tabs>
          <w:tab w:val="clear" w:pos="567"/>
        </w:tabs>
        <w:spacing w:line="240" w:lineRule="auto"/>
        <w:contextualSpacing/>
        <w:rPr>
          <w:lang w:eastAsia="lt-LT"/>
        </w:rPr>
      </w:pPr>
      <w:r w:rsidRPr="007A17AE">
        <w:rPr>
          <w:lang w:eastAsia="lt-LT"/>
        </w:rPr>
        <w:t>Slovėnija</w:t>
      </w:r>
    </w:p>
    <w:p w14:paraId="3D054811" w14:textId="77777777" w:rsidR="00F910E8" w:rsidRPr="007A17AE" w:rsidRDefault="00F910E8" w:rsidP="007A17AE">
      <w:pPr>
        <w:spacing w:line="240" w:lineRule="auto"/>
        <w:contextualSpacing/>
        <w:rPr>
          <w:szCs w:val="22"/>
        </w:rPr>
      </w:pPr>
    </w:p>
    <w:p w14:paraId="0EAA8148" w14:textId="77777777" w:rsidR="00B35181" w:rsidRPr="007A17AE" w:rsidRDefault="00B35181" w:rsidP="007A17AE">
      <w:pPr>
        <w:spacing w:line="240" w:lineRule="auto"/>
        <w:contextualSpacing/>
        <w:rPr>
          <w:szCs w:val="22"/>
        </w:rPr>
      </w:pPr>
    </w:p>
    <w:p w14:paraId="3E2E571C" w14:textId="77777777" w:rsidR="006B1618" w:rsidRPr="007A17AE" w:rsidRDefault="006B1618" w:rsidP="007A17AE">
      <w:pPr>
        <w:spacing w:line="240" w:lineRule="auto"/>
        <w:ind w:left="567" w:hanging="567"/>
        <w:contextualSpacing/>
        <w:rPr>
          <w:b/>
          <w:szCs w:val="22"/>
        </w:rPr>
      </w:pPr>
      <w:r w:rsidRPr="007A17AE">
        <w:rPr>
          <w:b/>
          <w:szCs w:val="22"/>
        </w:rPr>
        <w:t>8.</w:t>
      </w:r>
      <w:r w:rsidRPr="007A17AE">
        <w:rPr>
          <w:b/>
          <w:szCs w:val="22"/>
        </w:rPr>
        <w:tab/>
        <w:t xml:space="preserve">REGISTRACIJOS PAŽYMĖJIMO NUMERIS (-IAI) </w:t>
      </w:r>
    </w:p>
    <w:p w14:paraId="12D0B09B" w14:textId="77777777" w:rsidR="00B35181" w:rsidRPr="007A17AE" w:rsidRDefault="00B35181" w:rsidP="007A17AE">
      <w:pPr>
        <w:spacing w:line="240" w:lineRule="auto"/>
        <w:contextualSpacing/>
        <w:rPr>
          <w:szCs w:val="22"/>
        </w:rPr>
      </w:pPr>
    </w:p>
    <w:p w14:paraId="6B13DF35" w14:textId="000FEDF5" w:rsidR="00B35181" w:rsidRPr="00B04F24" w:rsidRDefault="00FB7170" w:rsidP="007A17AE">
      <w:pPr>
        <w:spacing w:line="240" w:lineRule="auto"/>
        <w:contextualSpacing/>
        <w:rPr>
          <w:szCs w:val="22"/>
        </w:rPr>
      </w:pPr>
      <w:r w:rsidRPr="00B04F24">
        <w:rPr>
          <w:szCs w:val="22"/>
        </w:rPr>
        <w:t>LT/1/18/4191/001</w:t>
      </w:r>
    </w:p>
    <w:p w14:paraId="7E287DB5" w14:textId="77777777" w:rsidR="00FB7170" w:rsidRDefault="00FB7170" w:rsidP="007A17AE">
      <w:pPr>
        <w:spacing w:line="240" w:lineRule="auto"/>
        <w:contextualSpacing/>
        <w:rPr>
          <w:sz w:val="24"/>
        </w:rPr>
      </w:pPr>
    </w:p>
    <w:p w14:paraId="726B8150" w14:textId="77777777" w:rsidR="00FB7170" w:rsidRPr="007A17AE" w:rsidRDefault="00FB7170" w:rsidP="007A17AE">
      <w:pPr>
        <w:spacing w:line="240" w:lineRule="auto"/>
        <w:contextualSpacing/>
        <w:rPr>
          <w:szCs w:val="22"/>
        </w:rPr>
      </w:pPr>
    </w:p>
    <w:p w14:paraId="7466D73B" w14:textId="77777777" w:rsidR="006B1618" w:rsidRPr="007A17AE" w:rsidRDefault="006B1618" w:rsidP="007A17AE">
      <w:pPr>
        <w:spacing w:line="240" w:lineRule="auto"/>
        <w:ind w:left="567" w:hanging="567"/>
        <w:contextualSpacing/>
        <w:rPr>
          <w:szCs w:val="22"/>
        </w:rPr>
      </w:pPr>
      <w:r w:rsidRPr="007A17AE">
        <w:rPr>
          <w:b/>
          <w:szCs w:val="22"/>
        </w:rPr>
        <w:t>9.</w:t>
      </w:r>
      <w:r w:rsidRPr="007A17AE">
        <w:rPr>
          <w:b/>
          <w:szCs w:val="22"/>
        </w:rPr>
        <w:tab/>
        <w:t>REGISTRAVIMO / PERREGISTRAVIMO DATA</w:t>
      </w:r>
    </w:p>
    <w:p w14:paraId="285BF0B1" w14:textId="77777777" w:rsidR="00B35181" w:rsidRPr="007A17AE" w:rsidRDefault="00B35181" w:rsidP="007A17AE">
      <w:pPr>
        <w:spacing w:line="240" w:lineRule="auto"/>
        <w:contextualSpacing/>
        <w:rPr>
          <w:i/>
          <w:szCs w:val="22"/>
        </w:rPr>
      </w:pPr>
    </w:p>
    <w:p w14:paraId="6A2D6C52" w14:textId="585C7389" w:rsidR="006B1618" w:rsidRPr="007A17AE" w:rsidRDefault="006B1618" w:rsidP="007A17AE">
      <w:pPr>
        <w:spacing w:line="240" w:lineRule="auto"/>
        <w:contextualSpacing/>
        <w:rPr>
          <w:i/>
          <w:szCs w:val="22"/>
        </w:rPr>
      </w:pPr>
      <w:r w:rsidRPr="007A17AE">
        <w:rPr>
          <w:szCs w:val="22"/>
        </w:rPr>
        <w:t xml:space="preserve">Registravimo data </w:t>
      </w:r>
      <w:r w:rsidR="00FB7170">
        <w:rPr>
          <w:szCs w:val="22"/>
        </w:rPr>
        <w:t>2018 m. vasario 7 d.</w:t>
      </w:r>
    </w:p>
    <w:p w14:paraId="6BA18491" w14:textId="34B30E30" w:rsidR="00B35181" w:rsidRPr="007A17AE" w:rsidRDefault="00BB5D3C" w:rsidP="007A17AE">
      <w:pPr>
        <w:spacing w:line="240" w:lineRule="auto"/>
        <w:contextualSpacing/>
        <w:rPr>
          <w:szCs w:val="22"/>
        </w:rPr>
      </w:pPr>
      <w:r>
        <w:rPr>
          <w:szCs w:val="22"/>
        </w:rPr>
        <w:t>P</w:t>
      </w:r>
      <w:r w:rsidR="00DD551C">
        <w:rPr>
          <w:szCs w:val="22"/>
        </w:rPr>
        <w:t>askutinio p</w:t>
      </w:r>
      <w:r>
        <w:rPr>
          <w:szCs w:val="22"/>
        </w:rPr>
        <w:t xml:space="preserve">erregistravimo data </w:t>
      </w:r>
      <w:r w:rsidR="00B04F24">
        <w:rPr>
          <w:szCs w:val="22"/>
        </w:rPr>
        <w:t>2023 m. birželio 21 d.</w:t>
      </w:r>
    </w:p>
    <w:p w14:paraId="2E679567" w14:textId="617024D1" w:rsidR="00B35181" w:rsidRDefault="00B35181" w:rsidP="007A17AE">
      <w:pPr>
        <w:spacing w:line="240" w:lineRule="auto"/>
        <w:contextualSpacing/>
        <w:rPr>
          <w:szCs w:val="22"/>
        </w:rPr>
      </w:pPr>
    </w:p>
    <w:p w14:paraId="26414EC1" w14:textId="77777777" w:rsidR="00DD551C" w:rsidRPr="007A17AE" w:rsidRDefault="00DD551C" w:rsidP="007A17AE">
      <w:pPr>
        <w:spacing w:line="240" w:lineRule="auto"/>
        <w:contextualSpacing/>
        <w:rPr>
          <w:szCs w:val="22"/>
        </w:rPr>
      </w:pPr>
    </w:p>
    <w:p w14:paraId="56DB6B74" w14:textId="77777777" w:rsidR="006B1618" w:rsidRPr="007A17AE" w:rsidRDefault="006B1618" w:rsidP="007A17AE">
      <w:pPr>
        <w:spacing w:line="240" w:lineRule="auto"/>
        <w:ind w:left="567" w:hanging="567"/>
        <w:contextualSpacing/>
        <w:rPr>
          <w:b/>
          <w:szCs w:val="22"/>
        </w:rPr>
      </w:pPr>
      <w:r w:rsidRPr="007A17AE">
        <w:rPr>
          <w:b/>
          <w:szCs w:val="22"/>
        </w:rPr>
        <w:t>10.</w:t>
      </w:r>
      <w:r w:rsidRPr="007A17AE">
        <w:rPr>
          <w:b/>
          <w:szCs w:val="22"/>
        </w:rPr>
        <w:tab/>
        <w:t>TEKSTO PERŽIŪROS DATA</w:t>
      </w:r>
    </w:p>
    <w:p w14:paraId="3AB63594" w14:textId="77777777" w:rsidR="00B35181" w:rsidRDefault="00B35181" w:rsidP="007A17AE">
      <w:pPr>
        <w:spacing w:line="240" w:lineRule="auto"/>
        <w:contextualSpacing/>
        <w:rPr>
          <w:szCs w:val="22"/>
        </w:rPr>
      </w:pPr>
    </w:p>
    <w:p w14:paraId="5484127C" w14:textId="3403BC71" w:rsidR="00B912C4" w:rsidRDefault="00B04F24" w:rsidP="007A17AE">
      <w:pPr>
        <w:tabs>
          <w:tab w:val="clear" w:pos="567"/>
        </w:tabs>
        <w:spacing w:line="240" w:lineRule="auto"/>
        <w:contextualSpacing/>
        <w:rPr>
          <w:snapToGrid w:val="0"/>
          <w:szCs w:val="24"/>
        </w:rPr>
      </w:pPr>
      <w:r>
        <w:rPr>
          <w:szCs w:val="22"/>
        </w:rPr>
        <w:t>2023 m. birželio 21 d.</w:t>
      </w:r>
    </w:p>
    <w:p w14:paraId="0D6AAECF" w14:textId="77777777" w:rsidR="00FB7170" w:rsidRPr="007A17AE" w:rsidRDefault="00FB7170" w:rsidP="007A17AE">
      <w:pPr>
        <w:tabs>
          <w:tab w:val="clear" w:pos="567"/>
        </w:tabs>
        <w:spacing w:line="240" w:lineRule="auto"/>
        <w:contextualSpacing/>
        <w:rPr>
          <w:snapToGrid w:val="0"/>
          <w:szCs w:val="24"/>
        </w:rPr>
      </w:pPr>
    </w:p>
    <w:p w14:paraId="69C5FA9B" w14:textId="77777777" w:rsidR="00B912C4" w:rsidRPr="007A17AE" w:rsidRDefault="00B912C4" w:rsidP="007A17AE">
      <w:pPr>
        <w:tabs>
          <w:tab w:val="clear" w:pos="567"/>
          <w:tab w:val="left" w:pos="5954"/>
          <w:tab w:val="left" w:pos="6237"/>
          <w:tab w:val="left" w:pos="6663"/>
          <w:tab w:val="left" w:pos="6946"/>
        </w:tabs>
        <w:spacing w:line="240" w:lineRule="auto"/>
        <w:contextualSpacing/>
        <w:rPr>
          <w:rFonts w:eastAsia="SimSun"/>
          <w:szCs w:val="22"/>
        </w:rPr>
      </w:pPr>
      <w:r w:rsidRPr="007A17AE">
        <w:rPr>
          <w:rFonts w:eastAsia="SimSun"/>
          <w:szCs w:val="22"/>
        </w:rPr>
        <w:t>Išsami informacija apie šį vaistinį preparatą pateikiama Valstybinės vaistų kontrolės tarnybos prie Lietuvos Respublikos sveikatos apsaugos ministerijos tinklalapyje</w:t>
      </w:r>
      <w:r w:rsidRPr="007A17AE">
        <w:rPr>
          <w:rFonts w:eastAsia="SimSun"/>
          <w:i/>
          <w:szCs w:val="22"/>
        </w:rPr>
        <w:t xml:space="preserve"> </w:t>
      </w:r>
      <w:hyperlink r:id="rId10" w:history="1">
        <w:r w:rsidRPr="007A17AE">
          <w:rPr>
            <w:rFonts w:eastAsia="SimSun"/>
            <w:color w:val="0000FF"/>
            <w:szCs w:val="22"/>
            <w:u w:val="single"/>
          </w:rPr>
          <w:t>http://www.vvkt.lt</w:t>
        </w:r>
      </w:hyperlink>
    </w:p>
    <w:p w14:paraId="6B2C0B29" w14:textId="77777777" w:rsidR="00053C8A" w:rsidRPr="007A17AE" w:rsidRDefault="00507A12" w:rsidP="007A17AE">
      <w:pPr>
        <w:spacing w:line="240" w:lineRule="auto"/>
        <w:contextualSpacing/>
        <w:rPr>
          <w:szCs w:val="22"/>
        </w:rPr>
      </w:pPr>
      <w:r w:rsidRPr="007A17AE">
        <w:rPr>
          <w:szCs w:val="22"/>
        </w:rPr>
        <w:br w:type="page"/>
      </w:r>
    </w:p>
    <w:p w14:paraId="13B51198" w14:textId="77777777" w:rsidR="00053C8A" w:rsidRPr="007A17AE" w:rsidRDefault="00053C8A" w:rsidP="007A17AE">
      <w:pPr>
        <w:spacing w:line="240" w:lineRule="auto"/>
        <w:contextualSpacing/>
        <w:rPr>
          <w:szCs w:val="22"/>
        </w:rPr>
      </w:pPr>
    </w:p>
    <w:p w14:paraId="2470A4B3" w14:textId="77777777" w:rsidR="00053C8A" w:rsidRPr="007A17AE" w:rsidRDefault="00053C8A" w:rsidP="007A17AE">
      <w:pPr>
        <w:spacing w:line="240" w:lineRule="auto"/>
        <w:contextualSpacing/>
        <w:rPr>
          <w:szCs w:val="22"/>
        </w:rPr>
      </w:pPr>
    </w:p>
    <w:p w14:paraId="106B2E83" w14:textId="77777777" w:rsidR="00053C8A" w:rsidRPr="007A17AE" w:rsidRDefault="00053C8A" w:rsidP="007A17AE">
      <w:pPr>
        <w:spacing w:line="240" w:lineRule="auto"/>
        <w:contextualSpacing/>
        <w:rPr>
          <w:szCs w:val="22"/>
        </w:rPr>
      </w:pPr>
    </w:p>
    <w:p w14:paraId="7AE41600" w14:textId="77777777" w:rsidR="00053C8A" w:rsidRPr="007A17AE" w:rsidRDefault="00053C8A" w:rsidP="007A17AE">
      <w:pPr>
        <w:spacing w:line="240" w:lineRule="auto"/>
        <w:contextualSpacing/>
        <w:rPr>
          <w:szCs w:val="22"/>
        </w:rPr>
      </w:pPr>
    </w:p>
    <w:p w14:paraId="1B2D09F8" w14:textId="77777777" w:rsidR="00053C8A" w:rsidRPr="007A17AE" w:rsidRDefault="00053C8A" w:rsidP="007A17AE">
      <w:pPr>
        <w:spacing w:line="240" w:lineRule="auto"/>
        <w:contextualSpacing/>
        <w:rPr>
          <w:szCs w:val="22"/>
        </w:rPr>
      </w:pPr>
    </w:p>
    <w:p w14:paraId="29E42E43" w14:textId="77777777" w:rsidR="00053C8A" w:rsidRPr="007A17AE" w:rsidRDefault="00053C8A" w:rsidP="007A17AE">
      <w:pPr>
        <w:spacing w:line="240" w:lineRule="auto"/>
        <w:contextualSpacing/>
        <w:rPr>
          <w:szCs w:val="22"/>
        </w:rPr>
      </w:pPr>
    </w:p>
    <w:p w14:paraId="31CF788A" w14:textId="77777777" w:rsidR="00053C8A" w:rsidRPr="007A17AE" w:rsidRDefault="00053C8A" w:rsidP="007A17AE">
      <w:pPr>
        <w:spacing w:line="240" w:lineRule="auto"/>
        <w:contextualSpacing/>
        <w:rPr>
          <w:szCs w:val="22"/>
        </w:rPr>
      </w:pPr>
    </w:p>
    <w:p w14:paraId="7F500272" w14:textId="77777777" w:rsidR="00053C8A" w:rsidRPr="007A17AE" w:rsidRDefault="00053C8A" w:rsidP="007A17AE">
      <w:pPr>
        <w:spacing w:line="240" w:lineRule="auto"/>
        <w:contextualSpacing/>
        <w:rPr>
          <w:szCs w:val="22"/>
        </w:rPr>
      </w:pPr>
    </w:p>
    <w:p w14:paraId="3B7AD815" w14:textId="77777777" w:rsidR="00053C8A" w:rsidRPr="007A17AE" w:rsidRDefault="00053C8A" w:rsidP="007A17AE">
      <w:pPr>
        <w:spacing w:line="240" w:lineRule="auto"/>
        <w:contextualSpacing/>
        <w:rPr>
          <w:szCs w:val="22"/>
        </w:rPr>
      </w:pPr>
    </w:p>
    <w:p w14:paraId="72C08374" w14:textId="77777777" w:rsidR="00053C8A" w:rsidRPr="007A17AE" w:rsidRDefault="00053C8A" w:rsidP="007A17AE">
      <w:pPr>
        <w:spacing w:line="240" w:lineRule="auto"/>
        <w:contextualSpacing/>
        <w:rPr>
          <w:szCs w:val="22"/>
        </w:rPr>
      </w:pPr>
    </w:p>
    <w:p w14:paraId="5E7FF392" w14:textId="77777777" w:rsidR="00053C8A" w:rsidRPr="007A17AE" w:rsidRDefault="00053C8A" w:rsidP="007A17AE">
      <w:pPr>
        <w:spacing w:line="240" w:lineRule="auto"/>
        <w:contextualSpacing/>
        <w:rPr>
          <w:szCs w:val="22"/>
        </w:rPr>
      </w:pPr>
    </w:p>
    <w:p w14:paraId="6DB020BF" w14:textId="77777777" w:rsidR="00053C8A" w:rsidRPr="007A17AE" w:rsidRDefault="00053C8A" w:rsidP="007A17AE">
      <w:pPr>
        <w:spacing w:line="240" w:lineRule="auto"/>
        <w:contextualSpacing/>
        <w:rPr>
          <w:szCs w:val="22"/>
        </w:rPr>
      </w:pPr>
    </w:p>
    <w:p w14:paraId="18E53121" w14:textId="77777777" w:rsidR="00053C8A" w:rsidRPr="007A17AE" w:rsidRDefault="00053C8A" w:rsidP="007A17AE">
      <w:pPr>
        <w:spacing w:line="240" w:lineRule="auto"/>
        <w:contextualSpacing/>
        <w:rPr>
          <w:szCs w:val="22"/>
        </w:rPr>
      </w:pPr>
    </w:p>
    <w:p w14:paraId="2B9A8EA3" w14:textId="77777777" w:rsidR="00053C8A" w:rsidRPr="007A17AE" w:rsidRDefault="00053C8A" w:rsidP="007A17AE">
      <w:pPr>
        <w:spacing w:line="240" w:lineRule="auto"/>
        <w:contextualSpacing/>
        <w:rPr>
          <w:szCs w:val="22"/>
        </w:rPr>
      </w:pPr>
    </w:p>
    <w:p w14:paraId="635EE046" w14:textId="77777777" w:rsidR="00053C8A" w:rsidRPr="007A17AE" w:rsidRDefault="00053C8A" w:rsidP="007A17AE">
      <w:pPr>
        <w:spacing w:line="240" w:lineRule="auto"/>
        <w:contextualSpacing/>
        <w:rPr>
          <w:szCs w:val="22"/>
        </w:rPr>
      </w:pPr>
    </w:p>
    <w:p w14:paraId="49CECE32" w14:textId="77777777" w:rsidR="00053C8A" w:rsidRPr="007A17AE" w:rsidRDefault="00053C8A" w:rsidP="007A17AE">
      <w:pPr>
        <w:spacing w:line="240" w:lineRule="auto"/>
        <w:contextualSpacing/>
        <w:rPr>
          <w:szCs w:val="22"/>
        </w:rPr>
      </w:pPr>
    </w:p>
    <w:p w14:paraId="1DC93C2B" w14:textId="77777777" w:rsidR="00053C8A" w:rsidRPr="007A17AE" w:rsidRDefault="00053C8A" w:rsidP="007A17AE">
      <w:pPr>
        <w:spacing w:line="240" w:lineRule="auto"/>
        <w:contextualSpacing/>
        <w:rPr>
          <w:szCs w:val="22"/>
        </w:rPr>
      </w:pPr>
    </w:p>
    <w:p w14:paraId="4C15F598" w14:textId="77777777" w:rsidR="00053C8A" w:rsidRPr="007A17AE" w:rsidRDefault="00053C8A" w:rsidP="007A17AE">
      <w:pPr>
        <w:spacing w:line="240" w:lineRule="auto"/>
        <w:contextualSpacing/>
        <w:rPr>
          <w:szCs w:val="22"/>
        </w:rPr>
      </w:pPr>
    </w:p>
    <w:p w14:paraId="017B9600" w14:textId="77777777" w:rsidR="00053C8A" w:rsidRPr="007A17AE" w:rsidRDefault="00053C8A" w:rsidP="007A17AE">
      <w:pPr>
        <w:spacing w:line="240" w:lineRule="auto"/>
        <w:contextualSpacing/>
        <w:rPr>
          <w:szCs w:val="22"/>
        </w:rPr>
      </w:pPr>
    </w:p>
    <w:p w14:paraId="7D361FF0" w14:textId="77777777" w:rsidR="00053C8A" w:rsidRPr="007A17AE" w:rsidRDefault="00053C8A" w:rsidP="007A17AE">
      <w:pPr>
        <w:spacing w:line="240" w:lineRule="auto"/>
        <w:contextualSpacing/>
        <w:rPr>
          <w:szCs w:val="22"/>
        </w:rPr>
      </w:pPr>
    </w:p>
    <w:p w14:paraId="20744542" w14:textId="77777777" w:rsidR="00053C8A" w:rsidRPr="007A17AE" w:rsidRDefault="00053C8A" w:rsidP="007A17AE">
      <w:pPr>
        <w:spacing w:line="240" w:lineRule="auto"/>
        <w:contextualSpacing/>
        <w:rPr>
          <w:szCs w:val="22"/>
        </w:rPr>
      </w:pPr>
    </w:p>
    <w:p w14:paraId="2791B8CA" w14:textId="77777777" w:rsidR="00053C8A" w:rsidRPr="007A17AE" w:rsidRDefault="00053C8A" w:rsidP="007A17AE">
      <w:pPr>
        <w:spacing w:line="240" w:lineRule="auto"/>
        <w:contextualSpacing/>
        <w:rPr>
          <w:szCs w:val="22"/>
        </w:rPr>
      </w:pPr>
    </w:p>
    <w:p w14:paraId="1C6ADF9F" w14:textId="77777777" w:rsidR="00053C8A" w:rsidRPr="007A17AE" w:rsidRDefault="00053C8A" w:rsidP="007A17AE">
      <w:pPr>
        <w:spacing w:line="240" w:lineRule="auto"/>
        <w:contextualSpacing/>
        <w:jc w:val="center"/>
        <w:rPr>
          <w:b/>
        </w:rPr>
      </w:pPr>
      <w:r w:rsidRPr="007A17AE">
        <w:rPr>
          <w:b/>
        </w:rPr>
        <w:t>II PRIEDAS</w:t>
      </w:r>
    </w:p>
    <w:p w14:paraId="4B11A01E" w14:textId="77777777" w:rsidR="004072CC" w:rsidRPr="007A17AE" w:rsidRDefault="004072CC" w:rsidP="007A17AE">
      <w:pPr>
        <w:spacing w:line="240" w:lineRule="auto"/>
        <w:contextualSpacing/>
        <w:jc w:val="center"/>
        <w:rPr>
          <w:b/>
        </w:rPr>
      </w:pPr>
    </w:p>
    <w:p w14:paraId="7E387211" w14:textId="77777777" w:rsidR="004072CC" w:rsidRPr="007A17AE" w:rsidRDefault="004072CC" w:rsidP="007A17AE">
      <w:pPr>
        <w:spacing w:line="240" w:lineRule="auto"/>
        <w:contextualSpacing/>
        <w:jc w:val="center"/>
        <w:rPr>
          <w:szCs w:val="22"/>
        </w:rPr>
      </w:pPr>
      <w:r w:rsidRPr="007A17AE">
        <w:rPr>
          <w:b/>
        </w:rPr>
        <w:t>REGISTRACIJOS SĄLYGOS</w:t>
      </w:r>
    </w:p>
    <w:p w14:paraId="567CE7D7" w14:textId="77777777" w:rsidR="00053C8A" w:rsidRPr="007A17AE" w:rsidRDefault="00053C8A" w:rsidP="007A17AE">
      <w:pPr>
        <w:spacing w:line="240" w:lineRule="auto"/>
        <w:ind w:right="1416"/>
        <w:contextualSpacing/>
        <w:rPr>
          <w:szCs w:val="22"/>
        </w:rPr>
      </w:pPr>
    </w:p>
    <w:p w14:paraId="10D71214" w14:textId="77777777" w:rsidR="00053C8A" w:rsidRPr="007A17AE" w:rsidRDefault="00053C8A" w:rsidP="007A17AE">
      <w:pPr>
        <w:numPr>
          <w:ilvl w:val="0"/>
          <w:numId w:val="2"/>
        </w:numPr>
        <w:tabs>
          <w:tab w:val="left" w:pos="1701"/>
        </w:tabs>
        <w:spacing w:line="240" w:lineRule="auto"/>
        <w:ind w:right="1418"/>
        <w:contextualSpacing/>
        <w:rPr>
          <w:b/>
          <w:szCs w:val="22"/>
        </w:rPr>
      </w:pPr>
      <w:r w:rsidRPr="007A17AE">
        <w:rPr>
          <w:b/>
        </w:rPr>
        <w:t>GAMINTOJAS</w:t>
      </w:r>
      <w:r w:rsidR="004072CC" w:rsidRPr="007A17AE">
        <w:rPr>
          <w:b/>
        </w:rPr>
        <w:t xml:space="preserve"> (-AI)</w:t>
      </w:r>
      <w:r w:rsidRPr="007A17AE">
        <w:rPr>
          <w:b/>
        </w:rPr>
        <w:t>, ATSAKINGAS</w:t>
      </w:r>
      <w:r w:rsidR="004072CC" w:rsidRPr="007A17AE">
        <w:rPr>
          <w:b/>
        </w:rPr>
        <w:t xml:space="preserve"> (-I)</w:t>
      </w:r>
      <w:r w:rsidRPr="007A17AE">
        <w:rPr>
          <w:b/>
        </w:rPr>
        <w:t xml:space="preserve"> UŽ SERIJŲ IŠLEIDIMĄ</w:t>
      </w:r>
    </w:p>
    <w:p w14:paraId="25DD3D1E" w14:textId="77777777" w:rsidR="00053C8A" w:rsidRPr="007A17AE" w:rsidRDefault="00053C8A" w:rsidP="007A17AE">
      <w:pPr>
        <w:spacing w:line="240" w:lineRule="auto"/>
        <w:ind w:left="567" w:hanging="1701"/>
        <w:contextualSpacing/>
        <w:rPr>
          <w:szCs w:val="22"/>
        </w:rPr>
      </w:pPr>
    </w:p>
    <w:p w14:paraId="337E760D" w14:textId="77777777" w:rsidR="00053C8A" w:rsidRPr="007A17AE" w:rsidRDefault="00053C8A" w:rsidP="007A17AE">
      <w:pPr>
        <w:numPr>
          <w:ilvl w:val="0"/>
          <w:numId w:val="2"/>
        </w:numPr>
        <w:tabs>
          <w:tab w:val="left" w:pos="1701"/>
        </w:tabs>
        <w:spacing w:line="240" w:lineRule="auto"/>
        <w:ind w:right="1418"/>
        <w:contextualSpacing/>
        <w:rPr>
          <w:b/>
          <w:szCs w:val="22"/>
        </w:rPr>
      </w:pPr>
      <w:r w:rsidRPr="007A17AE">
        <w:rPr>
          <w:b/>
        </w:rPr>
        <w:t>TIEKIMO IR VARTOJIMO SĄLYGOS AR APRIBOJIMAI</w:t>
      </w:r>
    </w:p>
    <w:p w14:paraId="15839582" w14:textId="77777777" w:rsidR="00053C8A" w:rsidRPr="007A17AE" w:rsidRDefault="00053C8A" w:rsidP="007A17AE">
      <w:pPr>
        <w:spacing w:line="240" w:lineRule="auto"/>
        <w:ind w:left="567" w:hanging="567"/>
        <w:contextualSpacing/>
        <w:rPr>
          <w:szCs w:val="22"/>
        </w:rPr>
      </w:pPr>
    </w:p>
    <w:p w14:paraId="740B6C52" w14:textId="77777777" w:rsidR="00053C8A" w:rsidRPr="007A17AE" w:rsidRDefault="00053C8A" w:rsidP="007A17AE">
      <w:pPr>
        <w:spacing w:line="240" w:lineRule="auto"/>
        <w:ind w:right="1416"/>
        <w:contextualSpacing/>
        <w:rPr>
          <w:b/>
        </w:rPr>
      </w:pPr>
    </w:p>
    <w:p w14:paraId="75478CA8" w14:textId="77777777" w:rsidR="00053C8A" w:rsidRPr="007A17AE" w:rsidRDefault="00053C8A" w:rsidP="007A17AE">
      <w:pPr>
        <w:tabs>
          <w:tab w:val="left" w:pos="1701"/>
        </w:tabs>
        <w:spacing w:line="240" w:lineRule="auto"/>
        <w:ind w:left="1701" w:right="1418" w:hanging="708"/>
        <w:contextualSpacing/>
        <w:rPr>
          <w:b/>
        </w:rPr>
      </w:pPr>
    </w:p>
    <w:p w14:paraId="54EC076F" w14:textId="77777777" w:rsidR="00053C8A" w:rsidRPr="007A17AE" w:rsidRDefault="00053C8A" w:rsidP="007A17AE">
      <w:pPr>
        <w:keepNext/>
        <w:numPr>
          <w:ilvl w:val="0"/>
          <w:numId w:val="3"/>
        </w:numPr>
        <w:spacing w:line="240" w:lineRule="auto"/>
        <w:ind w:left="567" w:hanging="567"/>
        <w:contextualSpacing/>
        <w:rPr>
          <w:szCs w:val="22"/>
        </w:rPr>
      </w:pPr>
      <w:r w:rsidRPr="007A17AE">
        <w:br w:type="page"/>
      </w:r>
      <w:r w:rsidRPr="007A17AE">
        <w:rPr>
          <w:b/>
        </w:rPr>
        <w:lastRenderedPageBreak/>
        <w:t>GAMINTOJAS</w:t>
      </w:r>
      <w:r w:rsidR="004072CC" w:rsidRPr="007A17AE">
        <w:rPr>
          <w:b/>
        </w:rPr>
        <w:t xml:space="preserve"> (-AI)</w:t>
      </w:r>
      <w:r w:rsidRPr="007A17AE">
        <w:rPr>
          <w:b/>
        </w:rPr>
        <w:t>, ATSAKINGAS</w:t>
      </w:r>
      <w:r w:rsidR="004072CC" w:rsidRPr="007A17AE">
        <w:rPr>
          <w:b/>
        </w:rPr>
        <w:t xml:space="preserve"> (-I)</w:t>
      </w:r>
      <w:r w:rsidRPr="007A17AE">
        <w:rPr>
          <w:b/>
        </w:rPr>
        <w:t xml:space="preserve"> UŽ SERIJŲ IŠLEIDIMĄ</w:t>
      </w:r>
    </w:p>
    <w:p w14:paraId="7DE617A5" w14:textId="77777777" w:rsidR="00053C8A" w:rsidRPr="007A17AE" w:rsidRDefault="00053C8A" w:rsidP="007A17AE">
      <w:pPr>
        <w:keepNext/>
        <w:spacing w:line="240" w:lineRule="auto"/>
        <w:ind w:right="1416"/>
        <w:contextualSpacing/>
        <w:rPr>
          <w:szCs w:val="22"/>
        </w:rPr>
      </w:pPr>
    </w:p>
    <w:p w14:paraId="7F260B79" w14:textId="77777777" w:rsidR="00053C8A" w:rsidRPr="007A17AE" w:rsidRDefault="00053C8A" w:rsidP="007A17AE">
      <w:pPr>
        <w:spacing w:line="240" w:lineRule="auto"/>
        <w:contextualSpacing/>
        <w:outlineLvl w:val="0"/>
        <w:rPr>
          <w:szCs w:val="22"/>
        </w:rPr>
      </w:pPr>
      <w:r w:rsidRPr="007A17AE">
        <w:rPr>
          <w:u w:val="single"/>
        </w:rPr>
        <w:t>Gamintoj</w:t>
      </w:r>
      <w:r w:rsidR="004072CC" w:rsidRPr="007A17AE">
        <w:rPr>
          <w:u w:val="single"/>
        </w:rPr>
        <w:t>o (-</w:t>
      </w:r>
      <w:r w:rsidR="00DB7B40" w:rsidRPr="007A17AE">
        <w:rPr>
          <w:u w:val="single"/>
        </w:rPr>
        <w:t>ų</w:t>
      </w:r>
      <w:r w:rsidR="004072CC" w:rsidRPr="007A17AE">
        <w:rPr>
          <w:u w:val="single"/>
        </w:rPr>
        <w:t>)</w:t>
      </w:r>
      <w:r w:rsidRPr="007A17AE">
        <w:rPr>
          <w:u w:val="single"/>
        </w:rPr>
        <w:t>, atsaking</w:t>
      </w:r>
      <w:r w:rsidR="004072CC" w:rsidRPr="007A17AE">
        <w:rPr>
          <w:u w:val="single"/>
        </w:rPr>
        <w:t>o (-</w:t>
      </w:r>
      <w:r w:rsidR="00DB7B40" w:rsidRPr="007A17AE">
        <w:rPr>
          <w:u w:val="single"/>
        </w:rPr>
        <w:t>ų</w:t>
      </w:r>
      <w:r w:rsidR="004072CC" w:rsidRPr="007A17AE">
        <w:rPr>
          <w:u w:val="single"/>
        </w:rPr>
        <w:t>)</w:t>
      </w:r>
      <w:r w:rsidRPr="007A17AE">
        <w:rPr>
          <w:u w:val="single"/>
        </w:rPr>
        <w:t xml:space="preserve"> už serijų išleidimą, pavadinim</w:t>
      </w:r>
      <w:r w:rsidR="004072CC" w:rsidRPr="007A17AE">
        <w:rPr>
          <w:u w:val="single"/>
        </w:rPr>
        <w:t>as (-</w:t>
      </w:r>
      <w:r w:rsidRPr="007A17AE">
        <w:rPr>
          <w:u w:val="single"/>
        </w:rPr>
        <w:t>a</w:t>
      </w:r>
      <w:r w:rsidR="00DB7B40" w:rsidRPr="007A17AE">
        <w:rPr>
          <w:u w:val="single"/>
        </w:rPr>
        <w:t>i</w:t>
      </w:r>
      <w:r w:rsidR="004072CC" w:rsidRPr="007A17AE">
        <w:rPr>
          <w:u w:val="single"/>
        </w:rPr>
        <w:t>)</w:t>
      </w:r>
      <w:r w:rsidRPr="007A17AE">
        <w:rPr>
          <w:u w:val="single"/>
        </w:rPr>
        <w:t xml:space="preserve"> ir adres</w:t>
      </w:r>
      <w:r w:rsidR="004072CC" w:rsidRPr="007A17AE">
        <w:rPr>
          <w:u w:val="single"/>
        </w:rPr>
        <w:t>as (-</w:t>
      </w:r>
      <w:r w:rsidRPr="007A17AE">
        <w:rPr>
          <w:u w:val="single"/>
        </w:rPr>
        <w:t>a</w:t>
      </w:r>
      <w:r w:rsidR="00DB7B40" w:rsidRPr="007A17AE">
        <w:rPr>
          <w:u w:val="single"/>
        </w:rPr>
        <w:t>i</w:t>
      </w:r>
      <w:r w:rsidR="004072CC" w:rsidRPr="007A17AE">
        <w:rPr>
          <w:u w:val="single"/>
        </w:rPr>
        <w:t>)</w:t>
      </w:r>
    </w:p>
    <w:p w14:paraId="71932EF2" w14:textId="77777777" w:rsidR="00DB7B40" w:rsidRPr="007A17AE" w:rsidRDefault="00DB7B40" w:rsidP="007A17AE">
      <w:pPr>
        <w:spacing w:line="240" w:lineRule="auto"/>
        <w:contextualSpacing/>
        <w:rPr>
          <w:szCs w:val="22"/>
        </w:rPr>
      </w:pPr>
    </w:p>
    <w:p w14:paraId="367CDBD9" w14:textId="77777777" w:rsidR="00E1562D" w:rsidRPr="007A17AE" w:rsidRDefault="00DB7B40" w:rsidP="00AB59F2">
      <w:pPr>
        <w:spacing w:line="240" w:lineRule="auto"/>
        <w:contextualSpacing/>
        <w:rPr>
          <w:szCs w:val="22"/>
        </w:rPr>
      </w:pPr>
      <w:r w:rsidRPr="007A17AE">
        <w:rPr>
          <w:szCs w:val="22"/>
        </w:rPr>
        <w:t>Rontis Hellas Medical and Pharmaceutical Products S.A.</w:t>
      </w:r>
    </w:p>
    <w:p w14:paraId="0DE2D87A" w14:textId="77777777" w:rsidR="00E1562D" w:rsidRPr="00F122CC" w:rsidRDefault="00E1562D" w:rsidP="00B12DD0">
      <w:pPr>
        <w:autoSpaceDE w:val="0"/>
        <w:autoSpaceDN w:val="0"/>
        <w:spacing w:line="240" w:lineRule="auto"/>
        <w:rPr>
          <w:szCs w:val="22"/>
        </w:rPr>
      </w:pPr>
      <w:r w:rsidRPr="00F122CC">
        <w:rPr>
          <w:szCs w:val="22"/>
        </w:rPr>
        <w:t>P.O. Box 3012</w:t>
      </w:r>
    </w:p>
    <w:p w14:paraId="5297664F" w14:textId="77250FB5" w:rsidR="00E1562D" w:rsidRPr="00F122CC" w:rsidRDefault="00E1562D" w:rsidP="00B12DD0">
      <w:pPr>
        <w:autoSpaceDE w:val="0"/>
        <w:autoSpaceDN w:val="0"/>
        <w:spacing w:line="240" w:lineRule="auto"/>
        <w:rPr>
          <w:szCs w:val="22"/>
        </w:rPr>
      </w:pPr>
      <w:r w:rsidRPr="00F122CC">
        <w:rPr>
          <w:szCs w:val="22"/>
        </w:rPr>
        <w:t>Laris</w:t>
      </w:r>
      <w:r w:rsidR="00D57B95">
        <w:rPr>
          <w:szCs w:val="22"/>
        </w:rPr>
        <w:t>s</w:t>
      </w:r>
      <w:r w:rsidRPr="00F122CC">
        <w:rPr>
          <w:szCs w:val="22"/>
        </w:rPr>
        <w:t xml:space="preserve">a Industrial Area </w:t>
      </w:r>
    </w:p>
    <w:p w14:paraId="153CC210" w14:textId="12CA2049" w:rsidR="00E1562D" w:rsidRPr="00F122CC" w:rsidRDefault="00E1562D" w:rsidP="00B12DD0">
      <w:pPr>
        <w:autoSpaceDE w:val="0"/>
        <w:autoSpaceDN w:val="0"/>
        <w:spacing w:line="240" w:lineRule="auto"/>
        <w:rPr>
          <w:szCs w:val="22"/>
        </w:rPr>
      </w:pPr>
      <w:r w:rsidRPr="00F122CC">
        <w:rPr>
          <w:szCs w:val="22"/>
        </w:rPr>
        <w:t>Lari</w:t>
      </w:r>
      <w:r w:rsidR="00D57B95">
        <w:rPr>
          <w:szCs w:val="22"/>
        </w:rPr>
        <w:t>s</w:t>
      </w:r>
      <w:r w:rsidRPr="00F122CC">
        <w:rPr>
          <w:szCs w:val="22"/>
        </w:rPr>
        <w:t xml:space="preserve">sa, </w:t>
      </w:r>
      <w:r w:rsidR="0008702C" w:rsidRPr="00F122CC">
        <w:rPr>
          <w:szCs w:val="22"/>
        </w:rPr>
        <w:t>41</w:t>
      </w:r>
      <w:r w:rsidR="0008702C">
        <w:rPr>
          <w:szCs w:val="22"/>
        </w:rPr>
        <w:t>500</w:t>
      </w:r>
    </w:p>
    <w:p w14:paraId="56ED9FBA" w14:textId="77777777" w:rsidR="00DB7B40" w:rsidRPr="007A17AE" w:rsidRDefault="00DB7B40" w:rsidP="00AB59F2">
      <w:pPr>
        <w:spacing w:line="240" w:lineRule="auto"/>
        <w:contextualSpacing/>
        <w:rPr>
          <w:szCs w:val="22"/>
        </w:rPr>
      </w:pPr>
      <w:r w:rsidRPr="007A17AE">
        <w:rPr>
          <w:szCs w:val="22"/>
        </w:rPr>
        <w:t>Graikija</w:t>
      </w:r>
    </w:p>
    <w:p w14:paraId="75157A15" w14:textId="77777777" w:rsidR="00DB7B40" w:rsidRPr="007A17AE" w:rsidRDefault="00DB7B40" w:rsidP="007A17AE">
      <w:pPr>
        <w:tabs>
          <w:tab w:val="clear" w:pos="567"/>
        </w:tabs>
        <w:spacing w:line="240" w:lineRule="auto"/>
        <w:contextualSpacing/>
        <w:rPr>
          <w:szCs w:val="22"/>
          <w:lang w:eastAsia="lt-LT"/>
        </w:rPr>
      </w:pPr>
    </w:p>
    <w:p w14:paraId="53F97DD3" w14:textId="77777777" w:rsidR="00DB7B40" w:rsidRPr="007A17AE" w:rsidRDefault="00DB7B40" w:rsidP="007A17AE">
      <w:pPr>
        <w:tabs>
          <w:tab w:val="clear" w:pos="567"/>
        </w:tabs>
        <w:spacing w:line="240" w:lineRule="auto"/>
        <w:contextualSpacing/>
        <w:rPr>
          <w:szCs w:val="22"/>
          <w:lang w:eastAsia="lt-LT"/>
        </w:rPr>
      </w:pPr>
      <w:r w:rsidRPr="007A17AE">
        <w:rPr>
          <w:szCs w:val="22"/>
          <w:lang w:eastAsia="lt-LT"/>
        </w:rPr>
        <w:t>arba</w:t>
      </w:r>
    </w:p>
    <w:p w14:paraId="255CEDC8" w14:textId="77777777" w:rsidR="00DB7B40" w:rsidRPr="007A17AE" w:rsidRDefault="00DB7B40" w:rsidP="007A17AE">
      <w:pPr>
        <w:tabs>
          <w:tab w:val="clear" w:pos="567"/>
        </w:tabs>
        <w:spacing w:line="240" w:lineRule="auto"/>
        <w:contextualSpacing/>
        <w:rPr>
          <w:szCs w:val="22"/>
          <w:lang w:eastAsia="lt-LT"/>
        </w:rPr>
      </w:pPr>
    </w:p>
    <w:p w14:paraId="791ADB3C" w14:textId="77777777" w:rsidR="00252D3D" w:rsidRDefault="00252D3D" w:rsidP="00252D3D">
      <w:pPr>
        <w:rPr>
          <w:snapToGrid w:val="0"/>
          <w:szCs w:val="22"/>
          <w:lang w:val="nl-NL"/>
        </w:rPr>
      </w:pPr>
      <w:r>
        <w:rPr>
          <w:snapToGrid w:val="0"/>
          <w:szCs w:val="22"/>
        </w:rPr>
        <w:t>Lek Pharmaceuticals d.d.</w:t>
      </w:r>
    </w:p>
    <w:p w14:paraId="165974E0" w14:textId="77777777" w:rsidR="00252D3D" w:rsidRDefault="00252D3D" w:rsidP="00252D3D">
      <w:pPr>
        <w:rPr>
          <w:snapToGrid w:val="0"/>
          <w:szCs w:val="22"/>
        </w:rPr>
      </w:pPr>
      <w:r>
        <w:rPr>
          <w:snapToGrid w:val="0"/>
          <w:szCs w:val="22"/>
        </w:rPr>
        <w:t xml:space="preserve">Verovškova ulica 57 </w:t>
      </w:r>
    </w:p>
    <w:p w14:paraId="00E57465" w14:textId="77777777" w:rsidR="00252D3D" w:rsidRDefault="00252D3D" w:rsidP="00252D3D">
      <w:pPr>
        <w:rPr>
          <w:snapToGrid w:val="0"/>
          <w:szCs w:val="22"/>
        </w:rPr>
      </w:pPr>
      <w:r>
        <w:rPr>
          <w:snapToGrid w:val="0"/>
          <w:szCs w:val="22"/>
        </w:rPr>
        <w:t>1526, Ljubljana</w:t>
      </w:r>
    </w:p>
    <w:p w14:paraId="7DAEF0F3" w14:textId="695F7904" w:rsidR="00252D3D" w:rsidRDefault="00252D3D" w:rsidP="00252D3D">
      <w:pPr>
        <w:rPr>
          <w:snapToGrid w:val="0"/>
          <w:szCs w:val="22"/>
        </w:rPr>
      </w:pPr>
      <w:r>
        <w:rPr>
          <w:snapToGrid w:val="0"/>
          <w:szCs w:val="22"/>
        </w:rPr>
        <w:t>Slovėnija</w:t>
      </w:r>
    </w:p>
    <w:p w14:paraId="3B5E8534" w14:textId="77777777" w:rsidR="00DB7B40" w:rsidRPr="007A17AE" w:rsidRDefault="00DB7B40" w:rsidP="007A17AE">
      <w:pPr>
        <w:tabs>
          <w:tab w:val="clear" w:pos="567"/>
        </w:tabs>
        <w:spacing w:line="240" w:lineRule="auto"/>
        <w:contextualSpacing/>
        <w:rPr>
          <w:szCs w:val="22"/>
          <w:lang w:eastAsia="lt-LT"/>
        </w:rPr>
      </w:pPr>
    </w:p>
    <w:p w14:paraId="3428E2B3" w14:textId="77777777" w:rsidR="00053C8A" w:rsidRPr="007A17AE" w:rsidRDefault="00DB7B40" w:rsidP="007A17AE">
      <w:pPr>
        <w:spacing w:line="240" w:lineRule="auto"/>
        <w:contextualSpacing/>
        <w:rPr>
          <w:szCs w:val="22"/>
        </w:rPr>
      </w:pPr>
      <w:r w:rsidRPr="007A17AE">
        <w:rPr>
          <w:szCs w:val="22"/>
        </w:rPr>
        <w:t>Su pakuote pateikiamame lapelyje nurodomas gamintojo, atsakingo už konkrečios serijos išleidimą, pavadinimas ir adresas.</w:t>
      </w:r>
    </w:p>
    <w:p w14:paraId="1F8DB975" w14:textId="77777777" w:rsidR="00DB7B40" w:rsidRPr="007A17AE" w:rsidRDefault="00DB7B40" w:rsidP="007A17AE">
      <w:pPr>
        <w:spacing w:line="240" w:lineRule="auto"/>
        <w:contextualSpacing/>
        <w:rPr>
          <w:szCs w:val="22"/>
        </w:rPr>
      </w:pPr>
    </w:p>
    <w:p w14:paraId="1B107B79" w14:textId="77777777" w:rsidR="00DB7B40" w:rsidRPr="007A17AE" w:rsidRDefault="00DB7B40" w:rsidP="007A17AE">
      <w:pPr>
        <w:spacing w:line="240" w:lineRule="auto"/>
        <w:contextualSpacing/>
      </w:pPr>
    </w:p>
    <w:p w14:paraId="625D8CBF" w14:textId="77777777" w:rsidR="00053C8A" w:rsidRPr="007A17AE" w:rsidRDefault="00DB7B40" w:rsidP="007A17AE">
      <w:pPr>
        <w:spacing w:line="240" w:lineRule="auto"/>
        <w:contextualSpacing/>
        <w:rPr>
          <w:b/>
        </w:rPr>
      </w:pPr>
      <w:r w:rsidRPr="007A17AE">
        <w:rPr>
          <w:b/>
        </w:rPr>
        <w:t>B</w:t>
      </w:r>
      <w:r w:rsidRPr="007A17AE">
        <w:rPr>
          <w:b/>
        </w:rPr>
        <w:tab/>
      </w:r>
      <w:r w:rsidR="00053C8A" w:rsidRPr="007A17AE">
        <w:rPr>
          <w:b/>
        </w:rPr>
        <w:t xml:space="preserve">TIEKIMO IR VARTOJIMO SĄLYGOS AR APRIBOJIMAI </w:t>
      </w:r>
    </w:p>
    <w:p w14:paraId="39ED79A4" w14:textId="77777777" w:rsidR="00DB7B40" w:rsidRPr="007A17AE" w:rsidRDefault="00DB7B40" w:rsidP="007A17AE">
      <w:pPr>
        <w:spacing w:line="240" w:lineRule="auto"/>
        <w:contextualSpacing/>
      </w:pPr>
    </w:p>
    <w:p w14:paraId="666064E3" w14:textId="77777777" w:rsidR="00053C8A" w:rsidRPr="007A17AE" w:rsidRDefault="00053C8A" w:rsidP="007A17AE">
      <w:pPr>
        <w:spacing w:line="240" w:lineRule="auto"/>
        <w:contextualSpacing/>
      </w:pPr>
      <w:r w:rsidRPr="007A17AE">
        <w:t>Receptinis vaistinis preparatas.</w:t>
      </w:r>
    </w:p>
    <w:p w14:paraId="1B0B5047" w14:textId="77777777" w:rsidR="00053C8A" w:rsidRPr="007A17AE" w:rsidRDefault="00053C8A" w:rsidP="007A17AE">
      <w:pPr>
        <w:spacing w:line="240" w:lineRule="auto"/>
        <w:contextualSpacing/>
      </w:pPr>
    </w:p>
    <w:p w14:paraId="1C137848" w14:textId="77777777" w:rsidR="003619FC" w:rsidRPr="007A17AE" w:rsidRDefault="00053C8A" w:rsidP="007A17AE">
      <w:pPr>
        <w:numPr>
          <w:ilvl w:val="12"/>
          <w:numId w:val="0"/>
        </w:numPr>
        <w:spacing w:line="240" w:lineRule="auto"/>
        <w:ind w:right="-2"/>
        <w:contextualSpacing/>
        <w:rPr>
          <w:szCs w:val="22"/>
        </w:rPr>
      </w:pPr>
      <w:r w:rsidRPr="007A17AE">
        <w:rPr>
          <w:szCs w:val="22"/>
        </w:rPr>
        <w:br w:type="page"/>
      </w:r>
    </w:p>
    <w:p w14:paraId="31FA1662" w14:textId="77777777" w:rsidR="003619FC" w:rsidRPr="007A17AE" w:rsidRDefault="003619FC" w:rsidP="007A17AE">
      <w:pPr>
        <w:numPr>
          <w:ilvl w:val="12"/>
          <w:numId w:val="0"/>
        </w:numPr>
        <w:spacing w:line="240" w:lineRule="auto"/>
        <w:ind w:right="-2"/>
        <w:contextualSpacing/>
        <w:rPr>
          <w:szCs w:val="22"/>
        </w:rPr>
      </w:pPr>
    </w:p>
    <w:p w14:paraId="6239783A" w14:textId="77777777" w:rsidR="003619FC" w:rsidRPr="007A17AE" w:rsidRDefault="003619FC" w:rsidP="007A17AE">
      <w:pPr>
        <w:numPr>
          <w:ilvl w:val="12"/>
          <w:numId w:val="0"/>
        </w:numPr>
        <w:spacing w:line="240" w:lineRule="auto"/>
        <w:ind w:right="-2"/>
        <w:contextualSpacing/>
        <w:rPr>
          <w:szCs w:val="22"/>
        </w:rPr>
      </w:pPr>
    </w:p>
    <w:p w14:paraId="51C645FA" w14:textId="77777777" w:rsidR="003619FC" w:rsidRPr="007A17AE" w:rsidRDefault="003619FC" w:rsidP="007A17AE">
      <w:pPr>
        <w:numPr>
          <w:ilvl w:val="12"/>
          <w:numId w:val="0"/>
        </w:numPr>
        <w:spacing w:line="240" w:lineRule="auto"/>
        <w:ind w:right="-2"/>
        <w:contextualSpacing/>
        <w:rPr>
          <w:szCs w:val="22"/>
        </w:rPr>
      </w:pPr>
    </w:p>
    <w:p w14:paraId="3E7759CB" w14:textId="77777777" w:rsidR="003619FC" w:rsidRPr="007A17AE" w:rsidRDefault="003619FC" w:rsidP="007A17AE">
      <w:pPr>
        <w:numPr>
          <w:ilvl w:val="12"/>
          <w:numId w:val="0"/>
        </w:numPr>
        <w:spacing w:line="240" w:lineRule="auto"/>
        <w:ind w:right="-2"/>
        <w:contextualSpacing/>
        <w:rPr>
          <w:szCs w:val="22"/>
        </w:rPr>
      </w:pPr>
    </w:p>
    <w:p w14:paraId="03BC8FA6" w14:textId="77777777" w:rsidR="003619FC" w:rsidRPr="007A17AE" w:rsidRDefault="003619FC" w:rsidP="007A17AE">
      <w:pPr>
        <w:numPr>
          <w:ilvl w:val="12"/>
          <w:numId w:val="0"/>
        </w:numPr>
        <w:spacing w:line="240" w:lineRule="auto"/>
        <w:ind w:right="-2"/>
        <w:contextualSpacing/>
        <w:rPr>
          <w:szCs w:val="22"/>
        </w:rPr>
      </w:pPr>
    </w:p>
    <w:p w14:paraId="73DF910B" w14:textId="77777777" w:rsidR="003619FC" w:rsidRPr="007A17AE" w:rsidRDefault="003619FC" w:rsidP="007A17AE">
      <w:pPr>
        <w:numPr>
          <w:ilvl w:val="12"/>
          <w:numId w:val="0"/>
        </w:numPr>
        <w:spacing w:line="240" w:lineRule="auto"/>
        <w:ind w:right="-2"/>
        <w:contextualSpacing/>
        <w:rPr>
          <w:szCs w:val="22"/>
        </w:rPr>
      </w:pPr>
    </w:p>
    <w:p w14:paraId="62CC469C" w14:textId="77777777" w:rsidR="003619FC" w:rsidRPr="007A17AE" w:rsidRDefault="003619FC" w:rsidP="007A17AE">
      <w:pPr>
        <w:numPr>
          <w:ilvl w:val="12"/>
          <w:numId w:val="0"/>
        </w:numPr>
        <w:spacing w:line="240" w:lineRule="auto"/>
        <w:ind w:right="-2"/>
        <w:contextualSpacing/>
        <w:rPr>
          <w:szCs w:val="22"/>
        </w:rPr>
      </w:pPr>
    </w:p>
    <w:p w14:paraId="51BDB300" w14:textId="77777777" w:rsidR="003619FC" w:rsidRPr="007A17AE" w:rsidRDefault="003619FC" w:rsidP="007A17AE">
      <w:pPr>
        <w:numPr>
          <w:ilvl w:val="12"/>
          <w:numId w:val="0"/>
        </w:numPr>
        <w:spacing w:line="240" w:lineRule="auto"/>
        <w:ind w:right="-2"/>
        <w:contextualSpacing/>
        <w:rPr>
          <w:szCs w:val="22"/>
        </w:rPr>
      </w:pPr>
    </w:p>
    <w:p w14:paraId="7588E927" w14:textId="77777777" w:rsidR="003619FC" w:rsidRPr="007A17AE" w:rsidRDefault="003619FC" w:rsidP="007A17AE">
      <w:pPr>
        <w:numPr>
          <w:ilvl w:val="12"/>
          <w:numId w:val="0"/>
        </w:numPr>
        <w:spacing w:line="240" w:lineRule="auto"/>
        <w:ind w:right="-2"/>
        <w:contextualSpacing/>
        <w:rPr>
          <w:szCs w:val="22"/>
        </w:rPr>
      </w:pPr>
    </w:p>
    <w:p w14:paraId="20657B6D" w14:textId="77777777" w:rsidR="003619FC" w:rsidRPr="007A17AE" w:rsidRDefault="003619FC" w:rsidP="007A17AE">
      <w:pPr>
        <w:numPr>
          <w:ilvl w:val="12"/>
          <w:numId w:val="0"/>
        </w:numPr>
        <w:spacing w:line="240" w:lineRule="auto"/>
        <w:ind w:right="-2"/>
        <w:contextualSpacing/>
        <w:rPr>
          <w:szCs w:val="22"/>
        </w:rPr>
      </w:pPr>
    </w:p>
    <w:p w14:paraId="703CBA9E" w14:textId="77777777" w:rsidR="003619FC" w:rsidRPr="007A17AE" w:rsidRDefault="003619FC" w:rsidP="007A17AE">
      <w:pPr>
        <w:numPr>
          <w:ilvl w:val="12"/>
          <w:numId w:val="0"/>
        </w:numPr>
        <w:spacing w:line="240" w:lineRule="auto"/>
        <w:ind w:right="-2"/>
        <w:contextualSpacing/>
        <w:rPr>
          <w:b/>
          <w:szCs w:val="22"/>
        </w:rPr>
      </w:pPr>
    </w:p>
    <w:p w14:paraId="64D03E2D" w14:textId="77777777" w:rsidR="003619FC" w:rsidRPr="007A17AE" w:rsidRDefault="003619FC" w:rsidP="007A17AE">
      <w:pPr>
        <w:spacing w:line="240" w:lineRule="auto"/>
        <w:contextualSpacing/>
        <w:outlineLvl w:val="0"/>
        <w:rPr>
          <w:b/>
          <w:szCs w:val="22"/>
        </w:rPr>
      </w:pPr>
    </w:p>
    <w:p w14:paraId="23EE2B14" w14:textId="77777777" w:rsidR="003619FC" w:rsidRPr="007A17AE" w:rsidRDefault="003619FC" w:rsidP="007A17AE">
      <w:pPr>
        <w:spacing w:line="240" w:lineRule="auto"/>
        <w:contextualSpacing/>
        <w:outlineLvl w:val="0"/>
        <w:rPr>
          <w:b/>
          <w:szCs w:val="22"/>
        </w:rPr>
      </w:pPr>
    </w:p>
    <w:p w14:paraId="02F752DF" w14:textId="77777777" w:rsidR="003619FC" w:rsidRPr="007A17AE" w:rsidRDefault="003619FC" w:rsidP="007A17AE">
      <w:pPr>
        <w:spacing w:line="240" w:lineRule="auto"/>
        <w:contextualSpacing/>
        <w:outlineLvl w:val="0"/>
        <w:rPr>
          <w:b/>
          <w:szCs w:val="22"/>
        </w:rPr>
      </w:pPr>
    </w:p>
    <w:p w14:paraId="6532D5C1" w14:textId="77777777" w:rsidR="003619FC" w:rsidRPr="007A17AE" w:rsidRDefault="003619FC" w:rsidP="007A17AE">
      <w:pPr>
        <w:spacing w:line="240" w:lineRule="auto"/>
        <w:contextualSpacing/>
        <w:outlineLvl w:val="0"/>
        <w:rPr>
          <w:b/>
          <w:szCs w:val="22"/>
        </w:rPr>
      </w:pPr>
    </w:p>
    <w:p w14:paraId="6A3F356A" w14:textId="77777777" w:rsidR="003619FC" w:rsidRPr="007A17AE" w:rsidRDefault="003619FC" w:rsidP="007A17AE">
      <w:pPr>
        <w:spacing w:line="240" w:lineRule="auto"/>
        <w:contextualSpacing/>
        <w:outlineLvl w:val="0"/>
        <w:rPr>
          <w:b/>
          <w:szCs w:val="22"/>
        </w:rPr>
      </w:pPr>
    </w:p>
    <w:p w14:paraId="15F10E5C" w14:textId="77777777" w:rsidR="003619FC" w:rsidRPr="007A17AE" w:rsidRDefault="003619FC" w:rsidP="007A17AE">
      <w:pPr>
        <w:spacing w:line="240" w:lineRule="auto"/>
        <w:contextualSpacing/>
        <w:outlineLvl w:val="0"/>
        <w:rPr>
          <w:b/>
          <w:szCs w:val="22"/>
        </w:rPr>
      </w:pPr>
    </w:p>
    <w:p w14:paraId="5BC093A5" w14:textId="77777777" w:rsidR="00F31431" w:rsidRDefault="00F31431" w:rsidP="007A17AE">
      <w:pPr>
        <w:spacing w:line="240" w:lineRule="auto"/>
        <w:contextualSpacing/>
        <w:jc w:val="center"/>
        <w:outlineLvl w:val="0"/>
        <w:rPr>
          <w:b/>
          <w:szCs w:val="22"/>
        </w:rPr>
      </w:pPr>
    </w:p>
    <w:p w14:paraId="05ED11F0" w14:textId="77777777" w:rsidR="00F31431" w:rsidRDefault="00F31431" w:rsidP="007A17AE">
      <w:pPr>
        <w:spacing w:line="240" w:lineRule="auto"/>
        <w:contextualSpacing/>
        <w:jc w:val="center"/>
        <w:outlineLvl w:val="0"/>
        <w:rPr>
          <w:b/>
          <w:szCs w:val="22"/>
        </w:rPr>
      </w:pPr>
    </w:p>
    <w:p w14:paraId="72D5D45D" w14:textId="77777777" w:rsidR="00F31431" w:rsidRDefault="00F31431" w:rsidP="007A17AE">
      <w:pPr>
        <w:spacing w:line="240" w:lineRule="auto"/>
        <w:contextualSpacing/>
        <w:jc w:val="center"/>
        <w:outlineLvl w:val="0"/>
        <w:rPr>
          <w:b/>
          <w:szCs w:val="22"/>
        </w:rPr>
      </w:pPr>
    </w:p>
    <w:p w14:paraId="1040EC20" w14:textId="77777777" w:rsidR="00F31431" w:rsidRDefault="00F31431" w:rsidP="007A17AE">
      <w:pPr>
        <w:spacing w:line="240" w:lineRule="auto"/>
        <w:contextualSpacing/>
        <w:jc w:val="center"/>
        <w:outlineLvl w:val="0"/>
        <w:rPr>
          <w:b/>
          <w:szCs w:val="22"/>
        </w:rPr>
      </w:pPr>
    </w:p>
    <w:p w14:paraId="25AF3050" w14:textId="77777777" w:rsidR="00F31431" w:rsidRDefault="00F31431" w:rsidP="007A17AE">
      <w:pPr>
        <w:spacing w:line="240" w:lineRule="auto"/>
        <w:contextualSpacing/>
        <w:jc w:val="center"/>
        <w:outlineLvl w:val="0"/>
        <w:rPr>
          <w:b/>
          <w:szCs w:val="22"/>
        </w:rPr>
      </w:pPr>
    </w:p>
    <w:p w14:paraId="4CDD38BD" w14:textId="77777777" w:rsidR="005470C3" w:rsidRPr="007A17AE" w:rsidRDefault="005470C3" w:rsidP="007A17AE">
      <w:pPr>
        <w:spacing w:line="240" w:lineRule="auto"/>
        <w:contextualSpacing/>
        <w:jc w:val="center"/>
        <w:outlineLvl w:val="0"/>
        <w:rPr>
          <w:b/>
          <w:szCs w:val="22"/>
        </w:rPr>
      </w:pPr>
      <w:r w:rsidRPr="007A17AE">
        <w:rPr>
          <w:b/>
          <w:szCs w:val="22"/>
        </w:rPr>
        <w:t>III PRIEDAS</w:t>
      </w:r>
    </w:p>
    <w:p w14:paraId="5DD69608" w14:textId="77777777" w:rsidR="003619FC" w:rsidRPr="007A17AE" w:rsidRDefault="003619FC" w:rsidP="007A17AE">
      <w:pPr>
        <w:spacing w:line="240" w:lineRule="auto"/>
        <w:contextualSpacing/>
        <w:jc w:val="center"/>
        <w:rPr>
          <w:b/>
          <w:szCs w:val="22"/>
        </w:rPr>
      </w:pPr>
    </w:p>
    <w:p w14:paraId="0C4695EA" w14:textId="77777777" w:rsidR="005470C3" w:rsidRPr="007A17AE" w:rsidRDefault="005470C3" w:rsidP="007A17AE">
      <w:pPr>
        <w:spacing w:line="240" w:lineRule="auto"/>
        <w:contextualSpacing/>
        <w:jc w:val="center"/>
        <w:outlineLvl w:val="0"/>
        <w:rPr>
          <w:b/>
          <w:szCs w:val="22"/>
        </w:rPr>
      </w:pPr>
      <w:r w:rsidRPr="007A17AE">
        <w:rPr>
          <w:b/>
          <w:szCs w:val="22"/>
        </w:rPr>
        <w:t>ŽENKLINIMAS IR PAKUOTĖS LAPELIS</w:t>
      </w:r>
    </w:p>
    <w:p w14:paraId="0AF1DFCB" w14:textId="77777777" w:rsidR="003619FC" w:rsidRPr="007A17AE" w:rsidRDefault="003619FC" w:rsidP="007A17AE">
      <w:pPr>
        <w:spacing w:line="240" w:lineRule="auto"/>
        <w:contextualSpacing/>
        <w:rPr>
          <w:b/>
          <w:szCs w:val="22"/>
        </w:rPr>
      </w:pPr>
      <w:r w:rsidRPr="007A17AE">
        <w:rPr>
          <w:b/>
          <w:szCs w:val="22"/>
        </w:rPr>
        <w:br w:type="page"/>
      </w:r>
    </w:p>
    <w:p w14:paraId="7C23218B" w14:textId="77777777" w:rsidR="003619FC" w:rsidRPr="007A17AE" w:rsidRDefault="003619FC" w:rsidP="007A17AE">
      <w:pPr>
        <w:spacing w:line="240" w:lineRule="auto"/>
        <w:contextualSpacing/>
        <w:outlineLvl w:val="0"/>
        <w:rPr>
          <w:b/>
          <w:szCs w:val="22"/>
        </w:rPr>
      </w:pPr>
    </w:p>
    <w:p w14:paraId="6ACAD78A" w14:textId="77777777" w:rsidR="003619FC" w:rsidRPr="007A17AE" w:rsidRDefault="003619FC" w:rsidP="007A17AE">
      <w:pPr>
        <w:spacing w:line="240" w:lineRule="auto"/>
        <w:contextualSpacing/>
        <w:outlineLvl w:val="0"/>
        <w:rPr>
          <w:b/>
          <w:szCs w:val="22"/>
        </w:rPr>
      </w:pPr>
    </w:p>
    <w:p w14:paraId="02BBC7B1" w14:textId="77777777" w:rsidR="003619FC" w:rsidRPr="007A17AE" w:rsidRDefault="003619FC" w:rsidP="007A17AE">
      <w:pPr>
        <w:spacing w:line="240" w:lineRule="auto"/>
        <w:contextualSpacing/>
        <w:outlineLvl w:val="0"/>
        <w:rPr>
          <w:b/>
          <w:szCs w:val="22"/>
        </w:rPr>
      </w:pPr>
    </w:p>
    <w:p w14:paraId="78E87CD5" w14:textId="77777777" w:rsidR="003619FC" w:rsidRPr="007A17AE" w:rsidRDefault="003619FC" w:rsidP="007A17AE">
      <w:pPr>
        <w:spacing w:line="240" w:lineRule="auto"/>
        <w:contextualSpacing/>
        <w:outlineLvl w:val="0"/>
        <w:rPr>
          <w:b/>
          <w:szCs w:val="22"/>
        </w:rPr>
      </w:pPr>
    </w:p>
    <w:p w14:paraId="0A09E5AE" w14:textId="77777777" w:rsidR="003619FC" w:rsidRPr="007A17AE" w:rsidRDefault="003619FC" w:rsidP="007A17AE">
      <w:pPr>
        <w:spacing w:line="240" w:lineRule="auto"/>
        <w:contextualSpacing/>
        <w:outlineLvl w:val="0"/>
        <w:rPr>
          <w:b/>
          <w:szCs w:val="22"/>
        </w:rPr>
      </w:pPr>
    </w:p>
    <w:p w14:paraId="38BCF6CA" w14:textId="77777777" w:rsidR="003619FC" w:rsidRPr="007A17AE" w:rsidRDefault="003619FC" w:rsidP="007A17AE">
      <w:pPr>
        <w:spacing w:line="240" w:lineRule="auto"/>
        <w:contextualSpacing/>
        <w:outlineLvl w:val="0"/>
        <w:rPr>
          <w:b/>
          <w:szCs w:val="22"/>
        </w:rPr>
      </w:pPr>
    </w:p>
    <w:p w14:paraId="44546E29" w14:textId="77777777" w:rsidR="003619FC" w:rsidRPr="007A17AE" w:rsidRDefault="003619FC" w:rsidP="007A17AE">
      <w:pPr>
        <w:spacing w:line="240" w:lineRule="auto"/>
        <w:contextualSpacing/>
        <w:outlineLvl w:val="0"/>
        <w:rPr>
          <w:b/>
          <w:szCs w:val="22"/>
        </w:rPr>
      </w:pPr>
    </w:p>
    <w:p w14:paraId="7612FF5F" w14:textId="77777777" w:rsidR="003619FC" w:rsidRPr="007A17AE" w:rsidRDefault="003619FC" w:rsidP="007A17AE">
      <w:pPr>
        <w:spacing w:line="240" w:lineRule="auto"/>
        <w:contextualSpacing/>
        <w:outlineLvl w:val="0"/>
        <w:rPr>
          <w:b/>
          <w:szCs w:val="22"/>
        </w:rPr>
      </w:pPr>
    </w:p>
    <w:p w14:paraId="51DBCF9B" w14:textId="77777777" w:rsidR="003619FC" w:rsidRPr="007A17AE" w:rsidRDefault="003619FC" w:rsidP="007A17AE">
      <w:pPr>
        <w:spacing w:line="240" w:lineRule="auto"/>
        <w:contextualSpacing/>
        <w:outlineLvl w:val="0"/>
        <w:rPr>
          <w:b/>
          <w:szCs w:val="22"/>
        </w:rPr>
      </w:pPr>
    </w:p>
    <w:p w14:paraId="78B83CF4" w14:textId="77777777" w:rsidR="003619FC" w:rsidRPr="007A17AE" w:rsidRDefault="003619FC" w:rsidP="007A17AE">
      <w:pPr>
        <w:spacing w:line="240" w:lineRule="auto"/>
        <w:contextualSpacing/>
        <w:outlineLvl w:val="0"/>
        <w:rPr>
          <w:b/>
          <w:szCs w:val="22"/>
        </w:rPr>
      </w:pPr>
    </w:p>
    <w:p w14:paraId="4F076010" w14:textId="77777777" w:rsidR="003619FC" w:rsidRPr="007A17AE" w:rsidRDefault="003619FC" w:rsidP="007A17AE">
      <w:pPr>
        <w:spacing w:line="240" w:lineRule="auto"/>
        <w:contextualSpacing/>
        <w:outlineLvl w:val="0"/>
        <w:rPr>
          <w:b/>
          <w:szCs w:val="22"/>
        </w:rPr>
      </w:pPr>
    </w:p>
    <w:p w14:paraId="68FD36BA" w14:textId="77777777" w:rsidR="003619FC" w:rsidRPr="007A17AE" w:rsidRDefault="003619FC" w:rsidP="007A17AE">
      <w:pPr>
        <w:spacing w:line="240" w:lineRule="auto"/>
        <w:contextualSpacing/>
        <w:outlineLvl w:val="0"/>
        <w:rPr>
          <w:b/>
          <w:szCs w:val="22"/>
        </w:rPr>
      </w:pPr>
    </w:p>
    <w:p w14:paraId="55297382" w14:textId="77777777" w:rsidR="003619FC" w:rsidRPr="007A17AE" w:rsidRDefault="003619FC" w:rsidP="007A17AE">
      <w:pPr>
        <w:spacing w:line="240" w:lineRule="auto"/>
        <w:contextualSpacing/>
        <w:outlineLvl w:val="0"/>
        <w:rPr>
          <w:b/>
          <w:szCs w:val="22"/>
        </w:rPr>
      </w:pPr>
    </w:p>
    <w:p w14:paraId="32411852" w14:textId="77777777" w:rsidR="003619FC" w:rsidRPr="007A17AE" w:rsidRDefault="003619FC" w:rsidP="007A17AE">
      <w:pPr>
        <w:spacing w:line="240" w:lineRule="auto"/>
        <w:contextualSpacing/>
        <w:outlineLvl w:val="0"/>
        <w:rPr>
          <w:b/>
          <w:szCs w:val="22"/>
        </w:rPr>
      </w:pPr>
    </w:p>
    <w:p w14:paraId="064ED051" w14:textId="77777777" w:rsidR="003619FC" w:rsidRPr="007A17AE" w:rsidRDefault="003619FC" w:rsidP="007A17AE">
      <w:pPr>
        <w:spacing w:line="240" w:lineRule="auto"/>
        <w:contextualSpacing/>
        <w:outlineLvl w:val="0"/>
        <w:rPr>
          <w:b/>
          <w:szCs w:val="22"/>
        </w:rPr>
      </w:pPr>
    </w:p>
    <w:p w14:paraId="189A74B1" w14:textId="77777777" w:rsidR="003619FC" w:rsidRPr="007A17AE" w:rsidRDefault="003619FC" w:rsidP="007A17AE">
      <w:pPr>
        <w:spacing w:line="240" w:lineRule="auto"/>
        <w:contextualSpacing/>
        <w:outlineLvl w:val="0"/>
        <w:rPr>
          <w:b/>
          <w:szCs w:val="22"/>
        </w:rPr>
      </w:pPr>
    </w:p>
    <w:p w14:paraId="787B65CA" w14:textId="77777777" w:rsidR="003619FC" w:rsidRPr="007A17AE" w:rsidRDefault="003619FC" w:rsidP="007A17AE">
      <w:pPr>
        <w:spacing w:line="240" w:lineRule="auto"/>
        <w:contextualSpacing/>
        <w:outlineLvl w:val="0"/>
        <w:rPr>
          <w:b/>
          <w:szCs w:val="22"/>
        </w:rPr>
      </w:pPr>
    </w:p>
    <w:p w14:paraId="30FCFF21" w14:textId="77777777" w:rsidR="003619FC" w:rsidRPr="007A17AE" w:rsidRDefault="003619FC" w:rsidP="007A17AE">
      <w:pPr>
        <w:spacing w:line="240" w:lineRule="auto"/>
        <w:contextualSpacing/>
        <w:outlineLvl w:val="0"/>
        <w:rPr>
          <w:b/>
          <w:szCs w:val="22"/>
        </w:rPr>
      </w:pPr>
    </w:p>
    <w:p w14:paraId="74D45B7E" w14:textId="77777777" w:rsidR="003619FC" w:rsidRPr="007A17AE" w:rsidRDefault="003619FC" w:rsidP="007A17AE">
      <w:pPr>
        <w:spacing w:line="240" w:lineRule="auto"/>
        <w:contextualSpacing/>
        <w:outlineLvl w:val="0"/>
        <w:rPr>
          <w:b/>
          <w:szCs w:val="22"/>
        </w:rPr>
      </w:pPr>
    </w:p>
    <w:p w14:paraId="11C6EE0F" w14:textId="77777777" w:rsidR="003619FC" w:rsidRPr="007A17AE" w:rsidRDefault="003619FC" w:rsidP="007A17AE">
      <w:pPr>
        <w:spacing w:line="240" w:lineRule="auto"/>
        <w:contextualSpacing/>
        <w:outlineLvl w:val="0"/>
        <w:rPr>
          <w:b/>
          <w:szCs w:val="22"/>
        </w:rPr>
      </w:pPr>
    </w:p>
    <w:p w14:paraId="17A75D8A" w14:textId="77777777" w:rsidR="003619FC" w:rsidRPr="007A17AE" w:rsidRDefault="003619FC" w:rsidP="007A17AE">
      <w:pPr>
        <w:spacing w:line="240" w:lineRule="auto"/>
        <w:contextualSpacing/>
        <w:outlineLvl w:val="0"/>
        <w:rPr>
          <w:b/>
          <w:szCs w:val="22"/>
        </w:rPr>
      </w:pPr>
    </w:p>
    <w:p w14:paraId="0ABC316E" w14:textId="77777777" w:rsidR="003619FC" w:rsidRPr="007A17AE" w:rsidRDefault="003619FC" w:rsidP="007A17AE">
      <w:pPr>
        <w:spacing w:line="240" w:lineRule="auto"/>
        <w:contextualSpacing/>
        <w:outlineLvl w:val="0"/>
        <w:rPr>
          <w:b/>
          <w:szCs w:val="22"/>
        </w:rPr>
      </w:pPr>
    </w:p>
    <w:p w14:paraId="70C10893" w14:textId="77777777" w:rsidR="005470C3" w:rsidRPr="007A17AE" w:rsidRDefault="005470C3" w:rsidP="007A17AE">
      <w:pPr>
        <w:spacing w:line="240" w:lineRule="auto"/>
        <w:contextualSpacing/>
        <w:jc w:val="center"/>
        <w:outlineLvl w:val="0"/>
        <w:rPr>
          <w:szCs w:val="22"/>
        </w:rPr>
      </w:pPr>
      <w:r w:rsidRPr="007A17AE">
        <w:rPr>
          <w:rStyle w:val="DoNotTranslateExternal1"/>
          <w:noProof w:val="0"/>
        </w:rPr>
        <w:t>A.</w:t>
      </w:r>
      <w:r w:rsidRPr="007A17AE">
        <w:rPr>
          <w:b/>
          <w:szCs w:val="22"/>
        </w:rPr>
        <w:t xml:space="preserve"> ŽENKLINIMAS</w:t>
      </w:r>
    </w:p>
    <w:p w14:paraId="0DDDD1F4" w14:textId="152DCAB6" w:rsidR="00D56DD7" w:rsidRPr="007A17AE" w:rsidRDefault="003619FC" w:rsidP="00F31431">
      <w:pPr>
        <w:shd w:val="clear" w:color="auto" w:fill="FFFFFF"/>
        <w:spacing w:line="240" w:lineRule="auto"/>
        <w:contextualSpacing/>
        <w:rPr>
          <w:szCs w:val="22"/>
        </w:rPr>
      </w:pPr>
      <w:r w:rsidRPr="007A17AE">
        <w:rPr>
          <w:szCs w:val="22"/>
        </w:rPr>
        <w:br w:type="page"/>
      </w:r>
    </w:p>
    <w:p w14:paraId="11CC3BFC" w14:textId="77777777" w:rsidR="00D56DD7" w:rsidRPr="007A17AE" w:rsidRDefault="00D56DD7" w:rsidP="007A17AE">
      <w:pPr>
        <w:pBdr>
          <w:top w:val="single" w:sz="4" w:space="1" w:color="auto"/>
          <w:left w:val="single" w:sz="4" w:space="4" w:color="auto"/>
          <w:bottom w:val="single" w:sz="4" w:space="1" w:color="auto"/>
          <w:right w:val="single" w:sz="4" w:space="4" w:color="auto"/>
        </w:pBdr>
        <w:spacing w:line="240" w:lineRule="auto"/>
        <w:contextualSpacing/>
        <w:rPr>
          <w:b/>
          <w:szCs w:val="22"/>
        </w:rPr>
      </w:pPr>
      <w:r w:rsidRPr="007A17AE">
        <w:rPr>
          <w:b/>
          <w:szCs w:val="22"/>
        </w:rPr>
        <w:lastRenderedPageBreak/>
        <w:t>INFORMACIJA ANT IŠORINĖS PAKUOTĖS</w:t>
      </w:r>
    </w:p>
    <w:p w14:paraId="6325EAD1" w14:textId="77777777" w:rsidR="00D56DD7" w:rsidRPr="007A17AE" w:rsidRDefault="00D56DD7" w:rsidP="007A17AE">
      <w:pPr>
        <w:pBdr>
          <w:top w:val="single" w:sz="4" w:space="1" w:color="auto"/>
          <w:left w:val="single" w:sz="4" w:space="4" w:color="auto"/>
          <w:bottom w:val="single" w:sz="4" w:space="1" w:color="auto"/>
          <w:right w:val="single" w:sz="4" w:space="4" w:color="auto"/>
        </w:pBdr>
        <w:spacing w:line="240" w:lineRule="auto"/>
        <w:ind w:left="567" w:hanging="567"/>
        <w:contextualSpacing/>
        <w:rPr>
          <w:bCs/>
          <w:szCs w:val="22"/>
        </w:rPr>
      </w:pPr>
    </w:p>
    <w:p w14:paraId="40AE3D93" w14:textId="77777777" w:rsidR="00D56DD7" w:rsidRPr="007A17AE" w:rsidRDefault="00D56DD7" w:rsidP="007A17AE">
      <w:pPr>
        <w:pBdr>
          <w:top w:val="single" w:sz="4" w:space="1" w:color="auto"/>
          <w:left w:val="single" w:sz="4" w:space="4" w:color="auto"/>
          <w:bottom w:val="single" w:sz="4" w:space="1" w:color="auto"/>
          <w:right w:val="single" w:sz="4" w:space="4" w:color="auto"/>
        </w:pBdr>
        <w:spacing w:line="240" w:lineRule="auto"/>
        <w:contextualSpacing/>
        <w:rPr>
          <w:b/>
          <w:szCs w:val="22"/>
        </w:rPr>
      </w:pPr>
      <w:r w:rsidRPr="007A17AE">
        <w:rPr>
          <w:b/>
          <w:szCs w:val="22"/>
        </w:rPr>
        <w:t xml:space="preserve">IŠORINĖ PAKUOTĖ </w:t>
      </w:r>
      <w:r w:rsidRPr="007A17AE">
        <w:rPr>
          <w:b/>
          <w:szCs w:val="22"/>
        </w:rPr>
        <w:sym w:font="Symbol" w:char="F02D"/>
      </w:r>
      <w:r w:rsidRPr="007A17AE">
        <w:rPr>
          <w:b/>
          <w:szCs w:val="22"/>
        </w:rPr>
        <w:t xml:space="preserve"> 3 dienų gydymo pakuotė</w:t>
      </w:r>
    </w:p>
    <w:p w14:paraId="777D0E96" w14:textId="77777777" w:rsidR="00D56DD7" w:rsidRPr="007A17AE" w:rsidRDefault="00D56DD7" w:rsidP="007A17AE">
      <w:pPr>
        <w:spacing w:line="240" w:lineRule="auto"/>
        <w:contextualSpacing/>
        <w:rPr>
          <w:szCs w:val="22"/>
        </w:rPr>
      </w:pPr>
    </w:p>
    <w:p w14:paraId="13A576B3" w14:textId="77777777" w:rsidR="00D56DD7" w:rsidRPr="007A17AE" w:rsidRDefault="00D56DD7" w:rsidP="007A17AE">
      <w:pPr>
        <w:spacing w:line="240" w:lineRule="auto"/>
        <w:contextualSpacing/>
        <w:rPr>
          <w:szCs w:val="22"/>
        </w:rPr>
      </w:pPr>
    </w:p>
    <w:p w14:paraId="4DC75B36" w14:textId="77777777" w:rsidR="00D56DD7" w:rsidRPr="007A17AE" w:rsidRDefault="00D56DD7" w:rsidP="007A17AE">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2"/>
        </w:rPr>
      </w:pPr>
      <w:r w:rsidRPr="007A17AE">
        <w:rPr>
          <w:b/>
          <w:szCs w:val="22"/>
        </w:rPr>
        <w:t>1.</w:t>
      </w:r>
      <w:r w:rsidRPr="007A17AE">
        <w:rPr>
          <w:b/>
          <w:szCs w:val="22"/>
        </w:rPr>
        <w:tab/>
        <w:t>VAISTINIO PREPARATO PAVADINIMAS</w:t>
      </w:r>
    </w:p>
    <w:p w14:paraId="74030A92" w14:textId="77777777" w:rsidR="00D56DD7" w:rsidRPr="007A17AE" w:rsidRDefault="00D56DD7" w:rsidP="007A17AE">
      <w:pPr>
        <w:spacing w:line="240" w:lineRule="auto"/>
        <w:contextualSpacing/>
        <w:rPr>
          <w:szCs w:val="22"/>
        </w:rPr>
      </w:pPr>
    </w:p>
    <w:p w14:paraId="6CEF949F" w14:textId="77777777" w:rsidR="00B12DD0" w:rsidRPr="00B12DD0" w:rsidRDefault="00B12DD0" w:rsidP="00252D3D">
      <w:pPr>
        <w:tabs>
          <w:tab w:val="clear" w:pos="567"/>
        </w:tabs>
        <w:autoSpaceDE w:val="0"/>
        <w:autoSpaceDN w:val="0"/>
        <w:adjustRightInd w:val="0"/>
        <w:spacing w:line="240" w:lineRule="auto"/>
        <w:contextualSpacing/>
        <w:rPr>
          <w:rFonts w:eastAsia="TimesNewRoman"/>
          <w:szCs w:val="22"/>
          <w:lang w:eastAsia="lt-LT"/>
        </w:rPr>
      </w:pPr>
      <w:r w:rsidRPr="00B12DD0">
        <w:rPr>
          <w:rFonts w:eastAsia="TimesNewRoman"/>
          <w:szCs w:val="22"/>
          <w:lang w:eastAsia="lt-LT"/>
        </w:rPr>
        <w:t>Aprepitant Sandoz 125 mg kietosios kapsulės</w:t>
      </w:r>
    </w:p>
    <w:p w14:paraId="33B968B8" w14:textId="20A2178C" w:rsidR="00252D3D" w:rsidRPr="007A17AE" w:rsidRDefault="00D56DD7" w:rsidP="00252D3D">
      <w:pPr>
        <w:tabs>
          <w:tab w:val="clear" w:pos="567"/>
        </w:tabs>
        <w:autoSpaceDE w:val="0"/>
        <w:autoSpaceDN w:val="0"/>
        <w:adjustRightInd w:val="0"/>
        <w:spacing w:line="240" w:lineRule="auto"/>
        <w:contextualSpacing/>
        <w:rPr>
          <w:rFonts w:eastAsia="TimesNewRoman"/>
          <w:szCs w:val="22"/>
          <w:lang w:eastAsia="lt-LT"/>
        </w:rPr>
      </w:pPr>
      <w:r w:rsidRPr="00B12DD0">
        <w:rPr>
          <w:rFonts w:eastAsia="TimesNewRoman"/>
          <w:szCs w:val="22"/>
          <w:lang w:eastAsia="lt-LT"/>
        </w:rPr>
        <w:t>Aprepitant Sandoz 80 mg kietosios kapsulės</w:t>
      </w:r>
    </w:p>
    <w:p w14:paraId="6AF3210D" w14:textId="77777777" w:rsidR="00D56DD7" w:rsidRPr="00F122CC" w:rsidRDefault="00D56DD7" w:rsidP="007A17AE">
      <w:pPr>
        <w:tabs>
          <w:tab w:val="clear" w:pos="567"/>
        </w:tabs>
        <w:autoSpaceDE w:val="0"/>
        <w:autoSpaceDN w:val="0"/>
        <w:adjustRightInd w:val="0"/>
        <w:spacing w:line="240" w:lineRule="auto"/>
        <w:contextualSpacing/>
        <w:rPr>
          <w:rFonts w:eastAsia="TimesNewRoman"/>
          <w:szCs w:val="22"/>
          <w:lang w:eastAsia="lt-LT"/>
        </w:rPr>
      </w:pPr>
    </w:p>
    <w:p w14:paraId="0C47D122" w14:textId="0706DE19" w:rsidR="00D56DD7" w:rsidRPr="007A17AE" w:rsidRDefault="00F37F9D" w:rsidP="007A17AE">
      <w:pPr>
        <w:spacing w:line="240" w:lineRule="auto"/>
        <w:contextualSpacing/>
        <w:rPr>
          <w:szCs w:val="22"/>
        </w:rPr>
      </w:pPr>
      <w:r>
        <w:rPr>
          <w:rFonts w:eastAsia="TimesNewRoman"/>
          <w:szCs w:val="22"/>
          <w:lang w:eastAsia="lt-LT"/>
        </w:rPr>
        <w:t>a</w:t>
      </w:r>
      <w:r w:rsidR="00D56DD7" w:rsidRPr="007A17AE">
        <w:rPr>
          <w:rFonts w:eastAsia="TimesNewRoman"/>
          <w:szCs w:val="22"/>
          <w:lang w:eastAsia="lt-LT"/>
        </w:rPr>
        <w:t>prepitantum</w:t>
      </w:r>
    </w:p>
    <w:p w14:paraId="3A2EBDEC" w14:textId="77777777" w:rsidR="00D56DD7" w:rsidRPr="007A17AE" w:rsidRDefault="00D56DD7" w:rsidP="007A17AE">
      <w:pPr>
        <w:spacing w:line="240" w:lineRule="auto"/>
        <w:contextualSpacing/>
        <w:rPr>
          <w:szCs w:val="22"/>
        </w:rPr>
      </w:pPr>
    </w:p>
    <w:p w14:paraId="2E38E5E5" w14:textId="77777777" w:rsidR="00D56DD7" w:rsidRPr="007A17AE" w:rsidRDefault="00D56DD7" w:rsidP="007A17AE">
      <w:pPr>
        <w:spacing w:line="240" w:lineRule="auto"/>
        <w:contextualSpacing/>
        <w:rPr>
          <w:szCs w:val="22"/>
        </w:rPr>
      </w:pPr>
    </w:p>
    <w:p w14:paraId="57D84FE4" w14:textId="77777777" w:rsidR="00D56DD7" w:rsidRPr="007A17AE" w:rsidRDefault="00D56DD7" w:rsidP="007A17AE">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b/>
          <w:szCs w:val="22"/>
        </w:rPr>
      </w:pPr>
      <w:r w:rsidRPr="007A17AE">
        <w:rPr>
          <w:b/>
          <w:szCs w:val="22"/>
        </w:rPr>
        <w:t>2.</w:t>
      </w:r>
      <w:r w:rsidRPr="007A17AE">
        <w:rPr>
          <w:b/>
          <w:szCs w:val="22"/>
        </w:rPr>
        <w:tab/>
        <w:t>VEIKLIOJI (-IOS) MEDŽIAGA (-OS) IR JOS (-Ų) KIEKIS (-IAI)</w:t>
      </w:r>
    </w:p>
    <w:p w14:paraId="207DC588" w14:textId="77777777" w:rsidR="00D56DD7" w:rsidRPr="007A17AE" w:rsidRDefault="00D56DD7" w:rsidP="007A17AE">
      <w:pPr>
        <w:spacing w:line="240" w:lineRule="auto"/>
        <w:contextualSpacing/>
        <w:rPr>
          <w:szCs w:val="22"/>
        </w:rPr>
      </w:pPr>
    </w:p>
    <w:p w14:paraId="53C5B31D" w14:textId="77777777" w:rsidR="00A9096F" w:rsidRPr="007A17AE" w:rsidRDefault="00A9096F" w:rsidP="00A9096F">
      <w:pPr>
        <w:spacing w:line="240" w:lineRule="auto"/>
        <w:contextualSpacing/>
        <w:rPr>
          <w:szCs w:val="22"/>
        </w:rPr>
      </w:pPr>
      <w:r w:rsidRPr="007A17AE">
        <w:rPr>
          <w:rFonts w:eastAsia="TimesNewRoman"/>
          <w:szCs w:val="22"/>
          <w:highlight w:val="lightGray"/>
          <w:lang w:eastAsia="lt-LT"/>
        </w:rPr>
        <w:t>Aprepitant Sandoz 125 mg kietosios kapsulės</w:t>
      </w:r>
    </w:p>
    <w:p w14:paraId="6275395F" w14:textId="77777777" w:rsidR="00A9096F" w:rsidRDefault="00A9096F" w:rsidP="00A9096F">
      <w:pPr>
        <w:spacing w:line="240" w:lineRule="auto"/>
        <w:contextualSpacing/>
        <w:rPr>
          <w:szCs w:val="22"/>
        </w:rPr>
      </w:pPr>
      <w:r w:rsidRPr="007A17AE">
        <w:rPr>
          <w:szCs w:val="22"/>
        </w:rPr>
        <w:t>Kiekvienoje kietojoje kapsulėje yra 125 mg aprepitanto.</w:t>
      </w:r>
    </w:p>
    <w:p w14:paraId="4626E98C" w14:textId="77777777" w:rsidR="00A9096F" w:rsidRPr="007A17AE" w:rsidRDefault="00A9096F" w:rsidP="00A9096F">
      <w:pPr>
        <w:spacing w:line="240" w:lineRule="auto"/>
        <w:contextualSpacing/>
        <w:rPr>
          <w:szCs w:val="22"/>
        </w:rPr>
      </w:pPr>
    </w:p>
    <w:p w14:paraId="140FB4DF" w14:textId="77777777" w:rsidR="00D56DD7" w:rsidRPr="007A17AE" w:rsidRDefault="00D56DD7"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highlight w:val="lightGray"/>
          <w:lang w:eastAsia="lt-LT"/>
        </w:rPr>
        <w:t>Aprepitant Sandoz 80 mg kietosios kapsulės</w:t>
      </w:r>
    </w:p>
    <w:p w14:paraId="399A86E9" w14:textId="77777777" w:rsidR="00D56DD7" w:rsidRPr="007A17AE" w:rsidRDefault="00D56DD7" w:rsidP="007A17AE">
      <w:pPr>
        <w:spacing w:line="240" w:lineRule="auto"/>
        <w:contextualSpacing/>
        <w:rPr>
          <w:szCs w:val="22"/>
        </w:rPr>
      </w:pPr>
      <w:r w:rsidRPr="007A17AE">
        <w:rPr>
          <w:szCs w:val="22"/>
        </w:rPr>
        <w:t>Kiekvienoje kietojoje kapsulėje yra 80 mg aprepitanto.</w:t>
      </w:r>
    </w:p>
    <w:p w14:paraId="78365F73" w14:textId="77777777" w:rsidR="00D56DD7" w:rsidRPr="007A17AE" w:rsidRDefault="00D56DD7" w:rsidP="007A17AE">
      <w:pPr>
        <w:spacing w:line="240" w:lineRule="auto"/>
        <w:contextualSpacing/>
        <w:rPr>
          <w:rFonts w:eastAsia="TimesNewRoman"/>
          <w:szCs w:val="22"/>
          <w:lang w:eastAsia="lt-LT"/>
        </w:rPr>
      </w:pPr>
    </w:p>
    <w:p w14:paraId="1F2AC486" w14:textId="77777777" w:rsidR="00D56DD7" w:rsidRDefault="00D56DD7" w:rsidP="007A17AE">
      <w:pPr>
        <w:spacing w:line="240" w:lineRule="auto"/>
        <w:contextualSpacing/>
        <w:rPr>
          <w:szCs w:val="22"/>
        </w:rPr>
      </w:pPr>
    </w:p>
    <w:p w14:paraId="46C1FA35" w14:textId="77777777" w:rsidR="00496A41" w:rsidRPr="007A17AE" w:rsidRDefault="00496A41" w:rsidP="007A17AE">
      <w:pPr>
        <w:spacing w:line="240" w:lineRule="auto"/>
        <w:contextualSpacing/>
        <w:rPr>
          <w:szCs w:val="22"/>
        </w:rPr>
      </w:pPr>
    </w:p>
    <w:p w14:paraId="1AA89F91" w14:textId="77777777" w:rsidR="00D56DD7" w:rsidRPr="007A17AE" w:rsidRDefault="00D56DD7" w:rsidP="007A17AE">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2"/>
        </w:rPr>
      </w:pPr>
      <w:r w:rsidRPr="007A17AE">
        <w:rPr>
          <w:b/>
          <w:szCs w:val="22"/>
        </w:rPr>
        <w:t>3.</w:t>
      </w:r>
      <w:r w:rsidRPr="007A17AE">
        <w:rPr>
          <w:b/>
          <w:szCs w:val="22"/>
        </w:rPr>
        <w:tab/>
        <w:t>PAGALBINIŲ MEDŽIAGŲ SĄRAŠAS</w:t>
      </w:r>
    </w:p>
    <w:p w14:paraId="51FE4F1F" w14:textId="77777777" w:rsidR="00D56DD7" w:rsidRPr="007A17AE" w:rsidRDefault="00D56DD7" w:rsidP="007A17AE">
      <w:pPr>
        <w:spacing w:line="240" w:lineRule="auto"/>
        <w:contextualSpacing/>
        <w:rPr>
          <w:szCs w:val="22"/>
        </w:rPr>
      </w:pPr>
    </w:p>
    <w:p w14:paraId="242E431D" w14:textId="77777777" w:rsidR="00D56DD7" w:rsidRPr="007A17AE" w:rsidRDefault="00D56DD7" w:rsidP="007A17AE">
      <w:pPr>
        <w:spacing w:line="240" w:lineRule="auto"/>
        <w:contextualSpacing/>
        <w:rPr>
          <w:szCs w:val="22"/>
        </w:rPr>
      </w:pPr>
      <w:r w:rsidRPr="007A17AE">
        <w:rPr>
          <w:szCs w:val="22"/>
        </w:rPr>
        <w:t xml:space="preserve">Sudėtyje yra sacharozės. </w:t>
      </w:r>
    </w:p>
    <w:p w14:paraId="1DD163C3" w14:textId="77777777" w:rsidR="00D56DD7" w:rsidRPr="007A17AE" w:rsidRDefault="00D56DD7" w:rsidP="007A17AE">
      <w:pPr>
        <w:spacing w:line="240" w:lineRule="auto"/>
        <w:contextualSpacing/>
        <w:rPr>
          <w:szCs w:val="22"/>
        </w:rPr>
      </w:pPr>
      <w:r w:rsidRPr="007A17AE">
        <w:rPr>
          <w:szCs w:val="22"/>
          <w:highlight w:val="lightGray"/>
        </w:rPr>
        <w:t>Daugiau informacijos žr. pakuotės lapelyje.</w:t>
      </w:r>
    </w:p>
    <w:p w14:paraId="04ECFA79" w14:textId="77777777" w:rsidR="00D56DD7" w:rsidRPr="007A17AE" w:rsidRDefault="00D56DD7" w:rsidP="007A17AE">
      <w:pPr>
        <w:spacing w:line="240" w:lineRule="auto"/>
        <w:contextualSpacing/>
        <w:rPr>
          <w:szCs w:val="22"/>
        </w:rPr>
      </w:pPr>
    </w:p>
    <w:p w14:paraId="1251A424" w14:textId="77777777" w:rsidR="00D56DD7" w:rsidRPr="007A17AE" w:rsidRDefault="00D56DD7" w:rsidP="007A17AE">
      <w:pPr>
        <w:spacing w:line="240" w:lineRule="auto"/>
        <w:contextualSpacing/>
        <w:rPr>
          <w:szCs w:val="22"/>
        </w:rPr>
      </w:pPr>
    </w:p>
    <w:p w14:paraId="6112A4AF" w14:textId="77777777" w:rsidR="00D56DD7" w:rsidRPr="007A17AE" w:rsidRDefault="00D56DD7" w:rsidP="007A17AE">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2"/>
        </w:rPr>
      </w:pPr>
      <w:r w:rsidRPr="007A17AE">
        <w:rPr>
          <w:b/>
          <w:szCs w:val="22"/>
        </w:rPr>
        <w:t>4.</w:t>
      </w:r>
      <w:r w:rsidRPr="007A17AE">
        <w:rPr>
          <w:b/>
          <w:szCs w:val="22"/>
        </w:rPr>
        <w:tab/>
        <w:t>FARMACINĖ FORMA IR KIEKIS PAKUOTĖJE</w:t>
      </w:r>
    </w:p>
    <w:p w14:paraId="2344C2D7" w14:textId="77777777" w:rsidR="00D56DD7" w:rsidRPr="007A17AE" w:rsidRDefault="00D56DD7" w:rsidP="007A17AE">
      <w:pPr>
        <w:spacing w:line="240" w:lineRule="auto"/>
        <w:contextualSpacing/>
        <w:rPr>
          <w:szCs w:val="22"/>
        </w:rPr>
      </w:pPr>
    </w:p>
    <w:p w14:paraId="1FF36FD9" w14:textId="77777777" w:rsidR="00D56DD7" w:rsidRPr="007A17AE" w:rsidRDefault="00D56DD7"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highlight w:val="lightGray"/>
          <w:lang w:eastAsia="lt-LT"/>
        </w:rPr>
        <w:t>3 dienų gydymo pakuotėje yra:</w:t>
      </w:r>
    </w:p>
    <w:p w14:paraId="5916A515" w14:textId="77777777" w:rsidR="00D56DD7" w:rsidRPr="007A17AE" w:rsidRDefault="00D56DD7"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1 x 1 (125 mg) kietoji kapsulė ir</w:t>
      </w:r>
    </w:p>
    <w:p w14:paraId="54C7FAE2" w14:textId="77777777" w:rsidR="00D56DD7" w:rsidRPr="007A17AE" w:rsidRDefault="00D56DD7" w:rsidP="007A17AE">
      <w:pPr>
        <w:spacing w:line="240" w:lineRule="auto"/>
        <w:contextualSpacing/>
        <w:rPr>
          <w:szCs w:val="22"/>
          <w:highlight w:val="lightGray"/>
        </w:rPr>
      </w:pPr>
      <w:r w:rsidRPr="007A17AE">
        <w:rPr>
          <w:rFonts w:eastAsia="TimesNewRoman"/>
          <w:szCs w:val="22"/>
          <w:lang w:eastAsia="lt-LT"/>
        </w:rPr>
        <w:t xml:space="preserve">1 </w:t>
      </w:r>
      <w:r w:rsidR="005934D0" w:rsidRPr="007A17AE">
        <w:rPr>
          <w:rFonts w:eastAsia="TimesNewRoman"/>
          <w:szCs w:val="22"/>
          <w:lang w:eastAsia="lt-LT"/>
        </w:rPr>
        <w:t>x</w:t>
      </w:r>
      <w:r w:rsidRPr="007A17AE">
        <w:rPr>
          <w:rFonts w:eastAsia="TimesNewRoman"/>
          <w:szCs w:val="22"/>
          <w:lang w:eastAsia="lt-LT"/>
        </w:rPr>
        <w:t xml:space="preserve"> 2 (80 mg) kietosios kapsulės</w:t>
      </w:r>
    </w:p>
    <w:p w14:paraId="16F08B4B" w14:textId="77777777" w:rsidR="00D56DD7" w:rsidRPr="007A17AE" w:rsidRDefault="00D56DD7" w:rsidP="007A17AE">
      <w:pPr>
        <w:spacing w:line="240" w:lineRule="auto"/>
        <w:contextualSpacing/>
        <w:rPr>
          <w:szCs w:val="22"/>
        </w:rPr>
      </w:pPr>
    </w:p>
    <w:p w14:paraId="251C71E6" w14:textId="77777777" w:rsidR="00D56DD7" w:rsidRPr="007A17AE" w:rsidRDefault="00D56DD7" w:rsidP="007A17AE">
      <w:pPr>
        <w:spacing w:line="240" w:lineRule="auto"/>
        <w:contextualSpacing/>
        <w:rPr>
          <w:szCs w:val="22"/>
        </w:rPr>
      </w:pPr>
    </w:p>
    <w:p w14:paraId="4F4A3A21" w14:textId="77777777" w:rsidR="00D56DD7" w:rsidRPr="007A17AE" w:rsidRDefault="00D56DD7" w:rsidP="007A17AE">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2"/>
        </w:rPr>
      </w:pPr>
      <w:r w:rsidRPr="007A17AE">
        <w:rPr>
          <w:b/>
          <w:szCs w:val="22"/>
        </w:rPr>
        <w:t>5.</w:t>
      </w:r>
      <w:r w:rsidRPr="007A17AE">
        <w:rPr>
          <w:b/>
          <w:szCs w:val="22"/>
        </w:rPr>
        <w:tab/>
        <w:t>VARTOJIMO METODAS IR BŪDAS (-AI)</w:t>
      </w:r>
    </w:p>
    <w:p w14:paraId="6DA4D8F4" w14:textId="77777777" w:rsidR="00D56DD7" w:rsidRPr="007A17AE" w:rsidRDefault="00D56DD7" w:rsidP="007A17AE">
      <w:pPr>
        <w:spacing w:line="240" w:lineRule="auto"/>
        <w:contextualSpacing/>
        <w:rPr>
          <w:szCs w:val="22"/>
        </w:rPr>
      </w:pPr>
    </w:p>
    <w:p w14:paraId="68240817" w14:textId="77777777" w:rsidR="00D56DD7" w:rsidRPr="007A17AE" w:rsidRDefault="00D56DD7" w:rsidP="007A17AE">
      <w:pPr>
        <w:spacing w:line="240" w:lineRule="auto"/>
        <w:contextualSpacing/>
        <w:rPr>
          <w:szCs w:val="22"/>
        </w:rPr>
      </w:pPr>
      <w:r w:rsidRPr="007A17AE">
        <w:rPr>
          <w:szCs w:val="22"/>
        </w:rPr>
        <w:t>Prieš vartojimą perskaitykite pakuotės lapelį.</w:t>
      </w:r>
    </w:p>
    <w:p w14:paraId="49575982" w14:textId="77777777" w:rsidR="00D56DD7" w:rsidRPr="007A17AE" w:rsidRDefault="00D56DD7" w:rsidP="007A17AE">
      <w:pPr>
        <w:spacing w:line="240" w:lineRule="auto"/>
        <w:contextualSpacing/>
        <w:rPr>
          <w:szCs w:val="22"/>
        </w:rPr>
      </w:pPr>
      <w:r w:rsidRPr="007A17AE">
        <w:rPr>
          <w:szCs w:val="22"/>
        </w:rPr>
        <w:t>Vartoti per burną.</w:t>
      </w:r>
    </w:p>
    <w:p w14:paraId="3711B36F" w14:textId="77777777" w:rsidR="00D56DD7" w:rsidRPr="007A17AE" w:rsidRDefault="00D56DD7" w:rsidP="007A17AE">
      <w:pPr>
        <w:spacing w:line="240" w:lineRule="auto"/>
        <w:contextualSpacing/>
        <w:rPr>
          <w:szCs w:val="22"/>
        </w:rPr>
      </w:pPr>
    </w:p>
    <w:p w14:paraId="3D1D6FAF" w14:textId="77777777" w:rsidR="00D56DD7" w:rsidRPr="007A17AE" w:rsidRDefault="00D56DD7" w:rsidP="007A17AE">
      <w:pPr>
        <w:spacing w:line="240" w:lineRule="auto"/>
        <w:contextualSpacing/>
        <w:rPr>
          <w:szCs w:val="22"/>
        </w:rPr>
      </w:pPr>
    </w:p>
    <w:p w14:paraId="2D52558E" w14:textId="77777777" w:rsidR="00D56DD7" w:rsidRPr="007A17AE" w:rsidRDefault="00D56DD7" w:rsidP="007A17AE">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2"/>
        </w:rPr>
      </w:pPr>
      <w:r w:rsidRPr="007A17AE">
        <w:rPr>
          <w:b/>
          <w:szCs w:val="22"/>
        </w:rPr>
        <w:t>6.</w:t>
      </w:r>
      <w:r w:rsidRPr="007A17AE">
        <w:rPr>
          <w:b/>
          <w:szCs w:val="22"/>
        </w:rPr>
        <w:tab/>
        <w:t>SPECIALUS ĮSPĖJIMAS, KAD VAISTINĮ PREPARATĄ BŪTINA LAIKYTI VAIKAMS NEPASTEBIMOJE IR NEPASIEKIAMOJE VIETOJE</w:t>
      </w:r>
    </w:p>
    <w:p w14:paraId="4AA8FF47" w14:textId="77777777" w:rsidR="00D56DD7" w:rsidRPr="007A17AE" w:rsidRDefault="00D56DD7" w:rsidP="007A17AE">
      <w:pPr>
        <w:spacing w:line="240" w:lineRule="auto"/>
        <w:contextualSpacing/>
        <w:rPr>
          <w:szCs w:val="22"/>
        </w:rPr>
      </w:pPr>
    </w:p>
    <w:p w14:paraId="505626B3" w14:textId="77777777" w:rsidR="00D56DD7" w:rsidRPr="007A17AE" w:rsidRDefault="00D56DD7" w:rsidP="007A17AE">
      <w:pPr>
        <w:spacing w:line="240" w:lineRule="auto"/>
        <w:contextualSpacing/>
        <w:outlineLvl w:val="0"/>
        <w:rPr>
          <w:szCs w:val="22"/>
        </w:rPr>
      </w:pPr>
      <w:r w:rsidRPr="007A17AE">
        <w:rPr>
          <w:szCs w:val="22"/>
        </w:rPr>
        <w:t>Laikyti vaikams nepastebimoje ir nepasiekiamoje vietoje.</w:t>
      </w:r>
    </w:p>
    <w:p w14:paraId="14178E0D" w14:textId="77777777" w:rsidR="00D56DD7" w:rsidRPr="007A17AE" w:rsidRDefault="00D56DD7" w:rsidP="007A17AE">
      <w:pPr>
        <w:spacing w:line="240" w:lineRule="auto"/>
        <w:contextualSpacing/>
        <w:rPr>
          <w:szCs w:val="22"/>
        </w:rPr>
      </w:pPr>
    </w:p>
    <w:p w14:paraId="66B14736" w14:textId="77777777" w:rsidR="00D56DD7" w:rsidRPr="007A17AE" w:rsidRDefault="00D56DD7" w:rsidP="007A17AE">
      <w:pPr>
        <w:spacing w:line="240" w:lineRule="auto"/>
        <w:contextualSpacing/>
        <w:rPr>
          <w:szCs w:val="22"/>
        </w:rPr>
      </w:pPr>
    </w:p>
    <w:p w14:paraId="3A05CF30" w14:textId="77777777" w:rsidR="00D56DD7" w:rsidRPr="007A17AE" w:rsidRDefault="00D56DD7" w:rsidP="007A17AE">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2"/>
        </w:rPr>
      </w:pPr>
      <w:r w:rsidRPr="007A17AE">
        <w:rPr>
          <w:b/>
          <w:szCs w:val="22"/>
        </w:rPr>
        <w:t>7.</w:t>
      </w:r>
      <w:r w:rsidRPr="007A17AE">
        <w:rPr>
          <w:b/>
          <w:szCs w:val="22"/>
        </w:rPr>
        <w:tab/>
        <w:t>KITAS (-I) SPECIALUS (-ŪS) ĮSPĖJIMAS (-AI) (JEI REIKIA)</w:t>
      </w:r>
    </w:p>
    <w:p w14:paraId="0BEA45D9" w14:textId="77777777" w:rsidR="00D56DD7" w:rsidRPr="007A17AE" w:rsidRDefault="00D56DD7" w:rsidP="007A17AE">
      <w:pPr>
        <w:spacing w:line="240" w:lineRule="auto"/>
        <w:contextualSpacing/>
        <w:rPr>
          <w:szCs w:val="22"/>
        </w:rPr>
      </w:pPr>
    </w:p>
    <w:p w14:paraId="35864E67" w14:textId="77777777" w:rsidR="00D56DD7" w:rsidRPr="007A17AE" w:rsidRDefault="00D56DD7" w:rsidP="007A17AE">
      <w:pPr>
        <w:tabs>
          <w:tab w:val="left" w:pos="749"/>
        </w:tabs>
        <w:spacing w:line="240" w:lineRule="auto"/>
        <w:contextualSpacing/>
        <w:rPr>
          <w:szCs w:val="22"/>
        </w:rPr>
      </w:pPr>
    </w:p>
    <w:p w14:paraId="7C7AA493" w14:textId="77777777" w:rsidR="00D56DD7" w:rsidRPr="007A17AE" w:rsidRDefault="00D56DD7" w:rsidP="007A17AE">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2"/>
        </w:rPr>
      </w:pPr>
      <w:r w:rsidRPr="007A17AE">
        <w:rPr>
          <w:b/>
          <w:szCs w:val="22"/>
        </w:rPr>
        <w:t>8.</w:t>
      </w:r>
      <w:r w:rsidRPr="007A17AE">
        <w:rPr>
          <w:b/>
          <w:szCs w:val="22"/>
        </w:rPr>
        <w:tab/>
        <w:t>TINKAMUMO LAIKAS</w:t>
      </w:r>
    </w:p>
    <w:p w14:paraId="08088F78" w14:textId="77777777" w:rsidR="00D56DD7" w:rsidRPr="007A17AE" w:rsidRDefault="00D56DD7" w:rsidP="007A17AE">
      <w:pPr>
        <w:spacing w:line="240" w:lineRule="auto"/>
        <w:ind w:left="567" w:hanging="567"/>
        <w:contextualSpacing/>
        <w:rPr>
          <w:szCs w:val="22"/>
        </w:rPr>
      </w:pPr>
    </w:p>
    <w:p w14:paraId="4B74B001" w14:textId="77777777" w:rsidR="00D56DD7" w:rsidRPr="007A17AE" w:rsidRDefault="00762A7B" w:rsidP="007A17AE">
      <w:pPr>
        <w:tabs>
          <w:tab w:val="clear" w:pos="567"/>
        </w:tabs>
        <w:spacing w:line="240" w:lineRule="auto"/>
        <w:contextualSpacing/>
        <w:rPr>
          <w:b/>
          <w:szCs w:val="22"/>
        </w:rPr>
      </w:pPr>
      <w:r w:rsidRPr="007A17AE">
        <w:rPr>
          <w:szCs w:val="22"/>
          <w:lang w:eastAsia="lt-LT"/>
        </w:rPr>
        <w:t>EXP</w:t>
      </w:r>
      <w:r w:rsidR="005934D0" w:rsidRPr="007A17AE">
        <w:rPr>
          <w:szCs w:val="22"/>
          <w:lang w:eastAsia="lt-LT"/>
        </w:rPr>
        <w:t xml:space="preserve"> </w:t>
      </w:r>
      <w:r w:rsidR="00D56DD7" w:rsidRPr="007A17AE">
        <w:rPr>
          <w:szCs w:val="22"/>
          <w:lang w:eastAsia="lt-LT"/>
        </w:rPr>
        <w:t xml:space="preserve">{mm MMMM} </w:t>
      </w:r>
    </w:p>
    <w:p w14:paraId="56910628" w14:textId="77777777" w:rsidR="00D56DD7" w:rsidRPr="007A17AE" w:rsidRDefault="00D56DD7" w:rsidP="007A17AE">
      <w:pPr>
        <w:spacing w:line="240" w:lineRule="auto"/>
        <w:contextualSpacing/>
        <w:rPr>
          <w:szCs w:val="22"/>
        </w:rPr>
      </w:pPr>
    </w:p>
    <w:p w14:paraId="14A606AC" w14:textId="77777777" w:rsidR="00D56DD7" w:rsidRPr="007A17AE" w:rsidRDefault="00D56DD7" w:rsidP="007A17AE">
      <w:pPr>
        <w:spacing w:line="240" w:lineRule="auto"/>
        <w:contextualSpacing/>
        <w:rPr>
          <w:szCs w:val="22"/>
        </w:rPr>
      </w:pPr>
    </w:p>
    <w:p w14:paraId="405ABBAB" w14:textId="77777777" w:rsidR="00D56DD7" w:rsidRPr="007A17AE" w:rsidRDefault="00D56DD7" w:rsidP="007A17AE">
      <w:pPr>
        <w:keepNext/>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2"/>
        </w:rPr>
      </w:pPr>
      <w:r w:rsidRPr="007A17AE">
        <w:rPr>
          <w:b/>
          <w:szCs w:val="22"/>
        </w:rPr>
        <w:t>9.</w:t>
      </w:r>
      <w:r w:rsidRPr="007A17AE">
        <w:rPr>
          <w:b/>
          <w:szCs w:val="22"/>
        </w:rPr>
        <w:tab/>
        <w:t>SPECIALIOS LAIKYMO SĄLYGOS</w:t>
      </w:r>
    </w:p>
    <w:p w14:paraId="73DE5806" w14:textId="77777777" w:rsidR="00D56DD7" w:rsidRPr="007A17AE" w:rsidRDefault="00D56DD7" w:rsidP="007A17AE">
      <w:pPr>
        <w:spacing w:line="240" w:lineRule="auto"/>
        <w:contextualSpacing/>
        <w:rPr>
          <w:szCs w:val="22"/>
        </w:rPr>
      </w:pPr>
    </w:p>
    <w:p w14:paraId="33E3D445" w14:textId="77777777" w:rsidR="00D56DD7" w:rsidRPr="007A17AE" w:rsidRDefault="00D56DD7" w:rsidP="007A17AE">
      <w:pPr>
        <w:spacing w:line="240" w:lineRule="auto"/>
        <w:ind w:left="567" w:hanging="567"/>
        <w:contextualSpacing/>
        <w:rPr>
          <w:szCs w:val="22"/>
        </w:rPr>
      </w:pPr>
    </w:p>
    <w:p w14:paraId="465318BB" w14:textId="77777777" w:rsidR="00D56DD7" w:rsidRPr="007A17AE" w:rsidRDefault="00D56DD7" w:rsidP="00F122CC">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b/>
          <w:szCs w:val="22"/>
        </w:rPr>
      </w:pPr>
      <w:r w:rsidRPr="007A17AE">
        <w:rPr>
          <w:b/>
          <w:szCs w:val="22"/>
        </w:rPr>
        <w:t>10.</w:t>
      </w:r>
      <w:r w:rsidRPr="007A17AE">
        <w:rPr>
          <w:b/>
          <w:szCs w:val="22"/>
        </w:rPr>
        <w:tab/>
        <w:t>SPECIALIOS ATSARGUMO PRIEMONĖS DĖL NESUVARTOTO VAISTINIO PREPARATO AR JO ATLIEKŲ TVARKYMO (JEI REIKIA)</w:t>
      </w:r>
    </w:p>
    <w:p w14:paraId="7CE8AA94" w14:textId="77777777" w:rsidR="00D56DD7" w:rsidRPr="007A17AE" w:rsidRDefault="00D56DD7" w:rsidP="007A17AE">
      <w:pPr>
        <w:spacing w:line="240" w:lineRule="auto"/>
        <w:contextualSpacing/>
        <w:rPr>
          <w:szCs w:val="22"/>
        </w:rPr>
      </w:pPr>
    </w:p>
    <w:p w14:paraId="04E4D825" w14:textId="77777777" w:rsidR="00D56DD7" w:rsidRPr="007A17AE" w:rsidRDefault="00D56DD7" w:rsidP="007A17AE">
      <w:pPr>
        <w:spacing w:line="240" w:lineRule="auto"/>
        <w:contextualSpacing/>
        <w:rPr>
          <w:szCs w:val="22"/>
        </w:rPr>
      </w:pPr>
    </w:p>
    <w:p w14:paraId="5A44B7F7" w14:textId="77777777" w:rsidR="00D56DD7" w:rsidRPr="007A17AE" w:rsidRDefault="00D56DD7" w:rsidP="007A17AE">
      <w:pPr>
        <w:pBdr>
          <w:top w:val="single" w:sz="4" w:space="1" w:color="auto"/>
          <w:left w:val="single" w:sz="4" w:space="4" w:color="auto"/>
          <w:bottom w:val="single" w:sz="4" w:space="1" w:color="auto"/>
          <w:right w:val="single" w:sz="4" w:space="4" w:color="auto"/>
        </w:pBdr>
        <w:spacing w:line="240" w:lineRule="auto"/>
        <w:contextualSpacing/>
        <w:outlineLvl w:val="0"/>
        <w:rPr>
          <w:b/>
          <w:szCs w:val="22"/>
        </w:rPr>
      </w:pPr>
      <w:r w:rsidRPr="007A17AE">
        <w:rPr>
          <w:b/>
          <w:szCs w:val="22"/>
        </w:rPr>
        <w:t>11.</w:t>
      </w:r>
      <w:r w:rsidRPr="007A17AE">
        <w:rPr>
          <w:b/>
          <w:szCs w:val="22"/>
        </w:rPr>
        <w:tab/>
        <w:t>REGISTRUOTOJO PAVADINIMAS IR ADRESAS</w:t>
      </w:r>
    </w:p>
    <w:p w14:paraId="1952653C" w14:textId="77777777" w:rsidR="00D56DD7" w:rsidRPr="007A17AE" w:rsidRDefault="00D56DD7" w:rsidP="007A17AE">
      <w:pPr>
        <w:spacing w:line="240" w:lineRule="auto"/>
        <w:contextualSpacing/>
        <w:rPr>
          <w:szCs w:val="22"/>
        </w:rPr>
      </w:pPr>
    </w:p>
    <w:p w14:paraId="090274DC" w14:textId="77777777" w:rsidR="00D56DD7" w:rsidRPr="007A17AE" w:rsidRDefault="00D56DD7" w:rsidP="007A17AE">
      <w:pPr>
        <w:tabs>
          <w:tab w:val="clear" w:pos="567"/>
        </w:tabs>
        <w:spacing w:line="240" w:lineRule="auto"/>
        <w:contextualSpacing/>
        <w:rPr>
          <w:lang w:eastAsia="lt-LT"/>
        </w:rPr>
      </w:pPr>
      <w:r w:rsidRPr="007A17AE">
        <w:rPr>
          <w:lang w:eastAsia="lt-LT"/>
        </w:rPr>
        <w:t>Sandoz d.d.</w:t>
      </w:r>
    </w:p>
    <w:p w14:paraId="3E49C907" w14:textId="77777777" w:rsidR="00D56DD7" w:rsidRPr="007A17AE" w:rsidRDefault="00D56DD7" w:rsidP="007A17AE">
      <w:pPr>
        <w:tabs>
          <w:tab w:val="clear" w:pos="567"/>
        </w:tabs>
        <w:spacing w:line="240" w:lineRule="auto"/>
        <w:contextualSpacing/>
        <w:rPr>
          <w:lang w:eastAsia="lt-LT"/>
        </w:rPr>
      </w:pPr>
      <w:r w:rsidRPr="007A17AE">
        <w:rPr>
          <w:lang w:eastAsia="lt-LT"/>
        </w:rPr>
        <w:t>Verovškova 57</w:t>
      </w:r>
    </w:p>
    <w:p w14:paraId="2FB1F8B8" w14:textId="77777777" w:rsidR="00D56DD7" w:rsidRPr="007A17AE" w:rsidRDefault="00D56DD7" w:rsidP="007A17AE">
      <w:pPr>
        <w:tabs>
          <w:tab w:val="clear" w:pos="567"/>
        </w:tabs>
        <w:spacing w:line="240" w:lineRule="auto"/>
        <w:contextualSpacing/>
        <w:rPr>
          <w:lang w:eastAsia="lt-LT"/>
        </w:rPr>
      </w:pPr>
      <w:r w:rsidRPr="007A17AE">
        <w:rPr>
          <w:lang w:eastAsia="lt-LT"/>
        </w:rPr>
        <w:t>SI-1000 Ljubljana</w:t>
      </w:r>
    </w:p>
    <w:p w14:paraId="599F8941" w14:textId="77777777" w:rsidR="00D56DD7" w:rsidRPr="007A17AE" w:rsidRDefault="00D56DD7" w:rsidP="007A17AE">
      <w:pPr>
        <w:tabs>
          <w:tab w:val="clear" w:pos="567"/>
        </w:tabs>
        <w:spacing w:line="240" w:lineRule="auto"/>
        <w:contextualSpacing/>
        <w:rPr>
          <w:lang w:eastAsia="lt-LT"/>
        </w:rPr>
      </w:pPr>
      <w:r w:rsidRPr="007A17AE">
        <w:rPr>
          <w:lang w:eastAsia="lt-LT"/>
        </w:rPr>
        <w:t>Slovėnija</w:t>
      </w:r>
    </w:p>
    <w:p w14:paraId="5861575B" w14:textId="77777777" w:rsidR="00D56DD7" w:rsidRPr="007A17AE" w:rsidRDefault="00D56DD7" w:rsidP="007A17AE">
      <w:pPr>
        <w:spacing w:line="240" w:lineRule="auto"/>
        <w:contextualSpacing/>
        <w:rPr>
          <w:szCs w:val="22"/>
        </w:rPr>
      </w:pPr>
    </w:p>
    <w:p w14:paraId="2961289C" w14:textId="77777777" w:rsidR="00D56DD7" w:rsidRPr="007A17AE" w:rsidRDefault="00D56DD7" w:rsidP="007A17AE">
      <w:pPr>
        <w:spacing w:line="240" w:lineRule="auto"/>
        <w:contextualSpacing/>
        <w:rPr>
          <w:szCs w:val="22"/>
        </w:rPr>
      </w:pPr>
    </w:p>
    <w:p w14:paraId="0F5FA764" w14:textId="77777777" w:rsidR="00D56DD7" w:rsidRPr="007A17AE" w:rsidRDefault="00D56DD7" w:rsidP="007A17AE">
      <w:pPr>
        <w:pBdr>
          <w:top w:val="single" w:sz="4" w:space="1" w:color="auto"/>
          <w:left w:val="single" w:sz="4" w:space="4" w:color="auto"/>
          <w:bottom w:val="single" w:sz="4" w:space="1" w:color="auto"/>
          <w:right w:val="single" w:sz="4" w:space="4" w:color="auto"/>
        </w:pBdr>
        <w:spacing w:line="240" w:lineRule="auto"/>
        <w:contextualSpacing/>
        <w:outlineLvl w:val="0"/>
        <w:rPr>
          <w:szCs w:val="22"/>
        </w:rPr>
      </w:pPr>
      <w:r w:rsidRPr="007A17AE">
        <w:rPr>
          <w:b/>
          <w:szCs w:val="22"/>
        </w:rPr>
        <w:t>12.</w:t>
      </w:r>
      <w:r w:rsidRPr="007A17AE">
        <w:rPr>
          <w:b/>
          <w:szCs w:val="22"/>
        </w:rPr>
        <w:tab/>
        <w:t xml:space="preserve">REGISTRACIJOS PAŽYMĖJIMO NUMERIS (-IAI) </w:t>
      </w:r>
    </w:p>
    <w:p w14:paraId="63A55C13" w14:textId="77777777" w:rsidR="00D56DD7" w:rsidRPr="00FB7170" w:rsidRDefault="00D56DD7" w:rsidP="007A17AE">
      <w:pPr>
        <w:spacing w:line="240" w:lineRule="auto"/>
        <w:contextualSpacing/>
        <w:rPr>
          <w:szCs w:val="22"/>
        </w:rPr>
      </w:pPr>
    </w:p>
    <w:p w14:paraId="40D5E411" w14:textId="29EFF811" w:rsidR="00FB7170" w:rsidRPr="004802DE" w:rsidRDefault="004802DE" w:rsidP="007A17AE">
      <w:pPr>
        <w:spacing w:line="240" w:lineRule="auto"/>
        <w:contextualSpacing/>
        <w:rPr>
          <w:szCs w:val="22"/>
        </w:rPr>
      </w:pPr>
      <w:r w:rsidRPr="004802DE">
        <w:rPr>
          <w:szCs w:val="22"/>
        </w:rPr>
        <w:t>LT/1/18/4191/001</w:t>
      </w:r>
    </w:p>
    <w:p w14:paraId="760C7E16" w14:textId="77777777" w:rsidR="004802DE" w:rsidRDefault="004802DE" w:rsidP="007A17AE">
      <w:pPr>
        <w:spacing w:line="240" w:lineRule="auto"/>
        <w:contextualSpacing/>
        <w:rPr>
          <w:bCs/>
          <w:szCs w:val="22"/>
        </w:rPr>
      </w:pPr>
    </w:p>
    <w:p w14:paraId="6BD8F14F" w14:textId="77777777" w:rsidR="00FB7170" w:rsidRPr="007A17AE" w:rsidRDefault="00FB7170" w:rsidP="007A17AE">
      <w:pPr>
        <w:spacing w:line="240" w:lineRule="auto"/>
        <w:contextualSpacing/>
        <w:rPr>
          <w:szCs w:val="22"/>
        </w:rPr>
      </w:pPr>
    </w:p>
    <w:p w14:paraId="3F11F6C2" w14:textId="77777777" w:rsidR="00D56DD7" w:rsidRPr="007A17AE" w:rsidRDefault="00D56DD7" w:rsidP="007A17AE">
      <w:pPr>
        <w:pBdr>
          <w:top w:val="single" w:sz="4" w:space="1" w:color="auto"/>
          <w:left w:val="single" w:sz="4" w:space="4" w:color="auto"/>
          <w:bottom w:val="single" w:sz="4" w:space="1" w:color="auto"/>
          <w:right w:val="single" w:sz="4" w:space="4" w:color="auto"/>
        </w:pBdr>
        <w:spacing w:line="240" w:lineRule="auto"/>
        <w:contextualSpacing/>
        <w:outlineLvl w:val="0"/>
        <w:rPr>
          <w:szCs w:val="22"/>
        </w:rPr>
      </w:pPr>
      <w:r w:rsidRPr="007A17AE">
        <w:rPr>
          <w:b/>
          <w:szCs w:val="22"/>
        </w:rPr>
        <w:t>13.</w:t>
      </w:r>
      <w:r w:rsidRPr="007A17AE">
        <w:rPr>
          <w:b/>
          <w:szCs w:val="22"/>
        </w:rPr>
        <w:tab/>
        <w:t>SERIJOS NUMERIS</w:t>
      </w:r>
    </w:p>
    <w:p w14:paraId="2F344512" w14:textId="77777777" w:rsidR="00D56DD7" w:rsidRPr="007A17AE" w:rsidRDefault="00D56DD7" w:rsidP="007A17AE">
      <w:pPr>
        <w:spacing w:line="240" w:lineRule="auto"/>
        <w:contextualSpacing/>
        <w:rPr>
          <w:i/>
          <w:szCs w:val="22"/>
        </w:rPr>
      </w:pPr>
    </w:p>
    <w:p w14:paraId="034AA028" w14:textId="18C66184" w:rsidR="00D56DD7" w:rsidRPr="007A17AE" w:rsidRDefault="00496A41" w:rsidP="007A17AE">
      <w:pPr>
        <w:spacing w:line="240" w:lineRule="auto"/>
        <w:contextualSpacing/>
        <w:rPr>
          <w:szCs w:val="22"/>
        </w:rPr>
      </w:pPr>
      <w:r>
        <w:rPr>
          <w:szCs w:val="22"/>
        </w:rPr>
        <w:t>Lot</w:t>
      </w:r>
      <w:r w:rsidR="005934D0" w:rsidRPr="007A17AE">
        <w:rPr>
          <w:szCs w:val="22"/>
        </w:rPr>
        <w:t xml:space="preserve"> </w:t>
      </w:r>
      <w:r w:rsidR="00D56DD7" w:rsidRPr="007A17AE">
        <w:rPr>
          <w:szCs w:val="22"/>
        </w:rPr>
        <w:t>{numeris}</w:t>
      </w:r>
    </w:p>
    <w:p w14:paraId="60EEBF20" w14:textId="77777777" w:rsidR="00D56DD7" w:rsidRPr="007A17AE" w:rsidRDefault="00D56DD7" w:rsidP="007A17AE">
      <w:pPr>
        <w:spacing w:line="240" w:lineRule="auto"/>
        <w:contextualSpacing/>
        <w:rPr>
          <w:szCs w:val="22"/>
        </w:rPr>
      </w:pPr>
    </w:p>
    <w:p w14:paraId="422708FE" w14:textId="77777777" w:rsidR="00D56DD7" w:rsidRPr="007A17AE" w:rsidRDefault="00D56DD7" w:rsidP="007A17AE">
      <w:pPr>
        <w:spacing w:line="240" w:lineRule="auto"/>
        <w:contextualSpacing/>
        <w:rPr>
          <w:szCs w:val="22"/>
        </w:rPr>
      </w:pPr>
    </w:p>
    <w:p w14:paraId="6E90C4FF" w14:textId="77777777" w:rsidR="00D56DD7" w:rsidRPr="007A17AE" w:rsidRDefault="00D56DD7" w:rsidP="007A17AE">
      <w:pPr>
        <w:pBdr>
          <w:top w:val="single" w:sz="4" w:space="1" w:color="auto"/>
          <w:left w:val="single" w:sz="4" w:space="4" w:color="auto"/>
          <w:bottom w:val="single" w:sz="4" w:space="1" w:color="auto"/>
          <w:right w:val="single" w:sz="4" w:space="4" w:color="auto"/>
        </w:pBdr>
        <w:spacing w:line="240" w:lineRule="auto"/>
        <w:contextualSpacing/>
        <w:outlineLvl w:val="0"/>
        <w:rPr>
          <w:szCs w:val="22"/>
        </w:rPr>
      </w:pPr>
      <w:r w:rsidRPr="007A17AE">
        <w:rPr>
          <w:b/>
          <w:szCs w:val="22"/>
        </w:rPr>
        <w:t>14.</w:t>
      </w:r>
      <w:r w:rsidRPr="007A17AE">
        <w:rPr>
          <w:b/>
          <w:szCs w:val="22"/>
        </w:rPr>
        <w:tab/>
        <w:t>PARDAVIMO (IŠDAVIMO) TVARKA</w:t>
      </w:r>
    </w:p>
    <w:p w14:paraId="42E26AD7" w14:textId="77777777" w:rsidR="001D3B23" w:rsidRPr="007A17AE" w:rsidRDefault="001D3B23" w:rsidP="007A17AE">
      <w:pPr>
        <w:spacing w:line="240" w:lineRule="auto"/>
        <w:contextualSpacing/>
        <w:rPr>
          <w:szCs w:val="22"/>
        </w:rPr>
      </w:pPr>
    </w:p>
    <w:p w14:paraId="03298BDB" w14:textId="77777777" w:rsidR="001D3B23" w:rsidRPr="007A17AE" w:rsidRDefault="001D3B23" w:rsidP="007A17AE">
      <w:pPr>
        <w:spacing w:line="240" w:lineRule="auto"/>
        <w:contextualSpacing/>
        <w:rPr>
          <w:szCs w:val="22"/>
        </w:rPr>
      </w:pPr>
      <w:r w:rsidRPr="007A17AE">
        <w:rPr>
          <w:szCs w:val="22"/>
        </w:rPr>
        <w:t>Receptinis vaistas</w:t>
      </w:r>
      <w:r w:rsidR="005934D0" w:rsidRPr="007A17AE">
        <w:rPr>
          <w:szCs w:val="22"/>
        </w:rPr>
        <w:t>.</w:t>
      </w:r>
    </w:p>
    <w:p w14:paraId="6BE70A8D" w14:textId="77777777" w:rsidR="001D3B23" w:rsidRPr="007A17AE" w:rsidRDefault="001D3B23" w:rsidP="007A17AE">
      <w:pPr>
        <w:spacing w:line="240" w:lineRule="auto"/>
        <w:contextualSpacing/>
        <w:rPr>
          <w:szCs w:val="22"/>
        </w:rPr>
      </w:pPr>
    </w:p>
    <w:p w14:paraId="198CB3B2" w14:textId="77777777" w:rsidR="00D56DD7" w:rsidRPr="007A17AE" w:rsidRDefault="00D56DD7" w:rsidP="007A17AE">
      <w:pPr>
        <w:spacing w:line="240" w:lineRule="auto"/>
        <w:contextualSpacing/>
        <w:rPr>
          <w:szCs w:val="22"/>
        </w:rPr>
      </w:pPr>
    </w:p>
    <w:p w14:paraId="45D6706E" w14:textId="77777777" w:rsidR="00D56DD7" w:rsidRPr="007A17AE" w:rsidRDefault="00D56DD7" w:rsidP="007A17AE">
      <w:pPr>
        <w:pBdr>
          <w:top w:val="single" w:sz="4" w:space="2" w:color="auto"/>
          <w:left w:val="single" w:sz="4" w:space="4" w:color="auto"/>
          <w:bottom w:val="single" w:sz="4" w:space="1" w:color="auto"/>
          <w:right w:val="single" w:sz="4" w:space="4" w:color="auto"/>
        </w:pBdr>
        <w:spacing w:line="240" w:lineRule="auto"/>
        <w:contextualSpacing/>
        <w:outlineLvl w:val="0"/>
        <w:rPr>
          <w:szCs w:val="22"/>
        </w:rPr>
      </w:pPr>
      <w:r w:rsidRPr="007A17AE">
        <w:rPr>
          <w:b/>
          <w:szCs w:val="22"/>
        </w:rPr>
        <w:t>15.</w:t>
      </w:r>
      <w:r w:rsidRPr="007A17AE">
        <w:rPr>
          <w:b/>
          <w:szCs w:val="22"/>
        </w:rPr>
        <w:tab/>
        <w:t>VARTOJIMO INSTRUKCIJA</w:t>
      </w:r>
    </w:p>
    <w:p w14:paraId="4EA411B7" w14:textId="77777777" w:rsidR="00D56DD7" w:rsidRPr="007A17AE" w:rsidRDefault="00D56DD7" w:rsidP="007A17AE">
      <w:pPr>
        <w:spacing w:line="240" w:lineRule="auto"/>
        <w:contextualSpacing/>
        <w:rPr>
          <w:szCs w:val="22"/>
        </w:rPr>
      </w:pPr>
    </w:p>
    <w:p w14:paraId="07486696" w14:textId="77777777" w:rsidR="00D56DD7" w:rsidRPr="007A17AE" w:rsidRDefault="00D56DD7" w:rsidP="007A17AE">
      <w:pPr>
        <w:spacing w:line="240" w:lineRule="auto"/>
        <w:contextualSpacing/>
        <w:rPr>
          <w:szCs w:val="22"/>
        </w:rPr>
      </w:pPr>
    </w:p>
    <w:p w14:paraId="7F943871" w14:textId="77777777" w:rsidR="00D56DD7" w:rsidRPr="007A17AE" w:rsidRDefault="00D56DD7" w:rsidP="007A17AE">
      <w:pPr>
        <w:pBdr>
          <w:top w:val="single" w:sz="4" w:space="1" w:color="auto"/>
          <w:left w:val="single" w:sz="4" w:space="4" w:color="auto"/>
          <w:bottom w:val="single" w:sz="4" w:space="0" w:color="auto"/>
          <w:right w:val="single" w:sz="4" w:space="4" w:color="auto"/>
        </w:pBdr>
        <w:spacing w:line="240" w:lineRule="auto"/>
        <w:contextualSpacing/>
        <w:rPr>
          <w:szCs w:val="22"/>
        </w:rPr>
      </w:pPr>
      <w:r w:rsidRPr="007A17AE">
        <w:rPr>
          <w:b/>
          <w:szCs w:val="22"/>
        </w:rPr>
        <w:t>16.</w:t>
      </w:r>
      <w:r w:rsidRPr="007A17AE">
        <w:rPr>
          <w:b/>
          <w:szCs w:val="22"/>
        </w:rPr>
        <w:tab/>
        <w:t>INFORMACIJA BRAILIO RAŠTU</w:t>
      </w:r>
    </w:p>
    <w:p w14:paraId="744650D7" w14:textId="77777777" w:rsidR="00D56DD7" w:rsidRPr="007A17AE" w:rsidRDefault="00D56DD7" w:rsidP="007A17AE">
      <w:pPr>
        <w:spacing w:line="240" w:lineRule="auto"/>
        <w:contextualSpacing/>
        <w:rPr>
          <w:szCs w:val="22"/>
          <w:highlight w:val="lightGray"/>
        </w:rPr>
      </w:pPr>
    </w:p>
    <w:p w14:paraId="489849CE" w14:textId="77777777" w:rsidR="00D56DD7" w:rsidRPr="007A17AE" w:rsidRDefault="00D56DD7" w:rsidP="007A17AE">
      <w:pPr>
        <w:tabs>
          <w:tab w:val="clear" w:pos="567"/>
        </w:tabs>
        <w:autoSpaceDE w:val="0"/>
        <w:autoSpaceDN w:val="0"/>
        <w:adjustRightInd w:val="0"/>
        <w:spacing w:line="240" w:lineRule="auto"/>
        <w:contextualSpacing/>
        <w:rPr>
          <w:rFonts w:eastAsia="TimesNewRoman"/>
          <w:szCs w:val="22"/>
          <w:lang w:eastAsia="lt-LT"/>
        </w:rPr>
      </w:pPr>
      <w:r w:rsidRPr="00B12DD0">
        <w:rPr>
          <w:rFonts w:eastAsia="TimesNewRoman"/>
          <w:szCs w:val="22"/>
          <w:lang w:eastAsia="lt-LT"/>
        </w:rPr>
        <w:t>Aprepitant Sandoz</w:t>
      </w:r>
      <w:r w:rsidRPr="007A17AE">
        <w:rPr>
          <w:rFonts w:eastAsia="TimesNewRoman"/>
          <w:szCs w:val="22"/>
          <w:lang w:eastAsia="lt-LT"/>
        </w:rPr>
        <w:t xml:space="preserve"> </w:t>
      </w:r>
    </w:p>
    <w:p w14:paraId="15544DDD" w14:textId="77777777" w:rsidR="00D56DD7" w:rsidRPr="007A17AE" w:rsidRDefault="00D56DD7" w:rsidP="007A17AE">
      <w:pPr>
        <w:spacing w:line="240" w:lineRule="auto"/>
        <w:contextualSpacing/>
        <w:rPr>
          <w:szCs w:val="22"/>
        </w:rPr>
      </w:pPr>
    </w:p>
    <w:p w14:paraId="5E3BCB95" w14:textId="77777777" w:rsidR="00D56DD7" w:rsidRPr="007A17AE" w:rsidRDefault="00D56DD7" w:rsidP="007A17AE">
      <w:pPr>
        <w:spacing w:line="240" w:lineRule="auto"/>
        <w:contextualSpacing/>
        <w:rPr>
          <w:szCs w:val="22"/>
          <w:shd w:val="clear" w:color="auto" w:fill="CCCCCC"/>
        </w:rPr>
      </w:pPr>
    </w:p>
    <w:p w14:paraId="36FE0B17" w14:textId="77777777" w:rsidR="00D56DD7" w:rsidRPr="007A17AE" w:rsidRDefault="00D56DD7" w:rsidP="007A17AE">
      <w:pPr>
        <w:pBdr>
          <w:top w:val="single" w:sz="4" w:space="1" w:color="auto"/>
          <w:left w:val="single" w:sz="4" w:space="4" w:color="auto"/>
          <w:bottom w:val="single" w:sz="4" w:space="0" w:color="auto"/>
          <w:right w:val="single" w:sz="4" w:space="4" w:color="auto"/>
        </w:pBdr>
        <w:tabs>
          <w:tab w:val="clear" w:pos="567"/>
        </w:tabs>
        <w:spacing w:line="240" w:lineRule="auto"/>
        <w:contextualSpacing/>
        <w:rPr>
          <w:i/>
        </w:rPr>
      </w:pPr>
      <w:r w:rsidRPr="007A17AE">
        <w:rPr>
          <w:b/>
        </w:rPr>
        <w:t>17.</w:t>
      </w:r>
      <w:r w:rsidRPr="007A17AE">
        <w:rPr>
          <w:b/>
        </w:rPr>
        <w:tab/>
        <w:t>UNIKALUS IDENTIFIKATORIUS – 2D BRŪKŠNINIS KODAS</w:t>
      </w:r>
    </w:p>
    <w:p w14:paraId="4AFC43C7" w14:textId="77777777" w:rsidR="00D56DD7" w:rsidRPr="007A17AE" w:rsidRDefault="00D56DD7" w:rsidP="007A17AE">
      <w:pPr>
        <w:tabs>
          <w:tab w:val="clear" w:pos="567"/>
        </w:tabs>
        <w:spacing w:line="240" w:lineRule="auto"/>
        <w:contextualSpacing/>
      </w:pPr>
    </w:p>
    <w:p w14:paraId="4AC0FBA4" w14:textId="77777777" w:rsidR="00D56DD7" w:rsidRPr="007A17AE" w:rsidRDefault="00D56DD7" w:rsidP="007A17AE">
      <w:pPr>
        <w:spacing w:line="240" w:lineRule="auto"/>
        <w:contextualSpacing/>
        <w:rPr>
          <w:szCs w:val="22"/>
          <w:shd w:val="clear" w:color="auto" w:fill="CCCCCC"/>
        </w:rPr>
      </w:pPr>
      <w:r w:rsidRPr="00B12DD0">
        <w:rPr>
          <w:highlight w:val="lightGray"/>
        </w:rPr>
        <w:t>2D brūkšninis kodas su nurodytu unikaliu identifikatoriumi.</w:t>
      </w:r>
    </w:p>
    <w:p w14:paraId="68828DF4" w14:textId="77777777" w:rsidR="00D56DD7" w:rsidRPr="007A17AE" w:rsidRDefault="00D56DD7" w:rsidP="007A17AE">
      <w:pPr>
        <w:tabs>
          <w:tab w:val="clear" w:pos="567"/>
        </w:tabs>
        <w:spacing w:line="240" w:lineRule="auto"/>
        <w:contextualSpacing/>
      </w:pPr>
    </w:p>
    <w:p w14:paraId="738CBF80" w14:textId="77777777" w:rsidR="00D56DD7" w:rsidRPr="007A17AE" w:rsidRDefault="00D56DD7" w:rsidP="007A17AE">
      <w:pPr>
        <w:tabs>
          <w:tab w:val="clear" w:pos="567"/>
        </w:tabs>
        <w:spacing w:line="240" w:lineRule="auto"/>
        <w:contextualSpacing/>
      </w:pPr>
    </w:p>
    <w:p w14:paraId="799B86FC" w14:textId="77777777" w:rsidR="00D56DD7" w:rsidRPr="007A17AE" w:rsidRDefault="00D56DD7" w:rsidP="007A17AE">
      <w:pPr>
        <w:pBdr>
          <w:top w:val="single" w:sz="4" w:space="1" w:color="auto"/>
          <w:left w:val="single" w:sz="4" w:space="4" w:color="auto"/>
          <w:bottom w:val="single" w:sz="4" w:space="0" w:color="auto"/>
          <w:right w:val="single" w:sz="4" w:space="4" w:color="auto"/>
        </w:pBdr>
        <w:tabs>
          <w:tab w:val="clear" w:pos="567"/>
        </w:tabs>
        <w:spacing w:line="240" w:lineRule="auto"/>
        <w:contextualSpacing/>
        <w:rPr>
          <w:i/>
        </w:rPr>
      </w:pPr>
      <w:r w:rsidRPr="007A17AE">
        <w:rPr>
          <w:b/>
        </w:rPr>
        <w:t>18.</w:t>
      </w:r>
      <w:r w:rsidRPr="007A17AE">
        <w:rPr>
          <w:b/>
        </w:rPr>
        <w:tab/>
        <w:t>UNIKALUS IDENTIFIKATORIUS – ŽMONĖMS SUPRANTAMI DUOMENYS</w:t>
      </w:r>
    </w:p>
    <w:p w14:paraId="5E966A8E" w14:textId="77777777" w:rsidR="00D56DD7" w:rsidRPr="007A17AE" w:rsidRDefault="00D56DD7" w:rsidP="007A17AE">
      <w:pPr>
        <w:tabs>
          <w:tab w:val="clear" w:pos="567"/>
        </w:tabs>
        <w:spacing w:line="240" w:lineRule="auto"/>
        <w:contextualSpacing/>
      </w:pPr>
    </w:p>
    <w:p w14:paraId="4B82B0E9" w14:textId="77777777" w:rsidR="00D56DD7" w:rsidRPr="00B12DD0" w:rsidRDefault="00D56DD7" w:rsidP="007A17AE">
      <w:pPr>
        <w:spacing w:line="240" w:lineRule="auto"/>
        <w:contextualSpacing/>
        <w:rPr>
          <w:szCs w:val="22"/>
        </w:rPr>
      </w:pPr>
      <w:r w:rsidRPr="00496A41">
        <w:rPr>
          <w:szCs w:val="22"/>
        </w:rPr>
        <w:t xml:space="preserve">PC: {numeris} </w:t>
      </w:r>
    </w:p>
    <w:p w14:paraId="6FC9C6FD" w14:textId="77777777" w:rsidR="00D56DD7" w:rsidRPr="007A17AE" w:rsidRDefault="00D56DD7" w:rsidP="007A17AE">
      <w:pPr>
        <w:spacing w:line="240" w:lineRule="auto"/>
        <w:contextualSpacing/>
        <w:rPr>
          <w:szCs w:val="22"/>
        </w:rPr>
      </w:pPr>
      <w:r w:rsidRPr="007A17AE">
        <w:rPr>
          <w:szCs w:val="22"/>
        </w:rPr>
        <w:t>SN: {numeris}</w:t>
      </w:r>
    </w:p>
    <w:p w14:paraId="2AE3CAC7" w14:textId="77777777" w:rsidR="00D56DD7" w:rsidRPr="007A17AE" w:rsidRDefault="00D56DD7" w:rsidP="007A17AE">
      <w:pPr>
        <w:spacing w:line="240" w:lineRule="auto"/>
        <w:contextualSpacing/>
        <w:rPr>
          <w:szCs w:val="22"/>
        </w:rPr>
      </w:pPr>
      <w:r w:rsidRPr="00F122CC">
        <w:rPr>
          <w:szCs w:val="22"/>
          <w:highlight w:val="lightGray"/>
        </w:rPr>
        <w:t>NN: {numeris}</w:t>
      </w:r>
      <w:r w:rsidRPr="007A17AE">
        <w:rPr>
          <w:szCs w:val="22"/>
        </w:rPr>
        <w:t xml:space="preserve"> </w:t>
      </w:r>
    </w:p>
    <w:p w14:paraId="7FE6F94C" w14:textId="77777777" w:rsidR="00D56DD7" w:rsidRPr="007A17AE" w:rsidRDefault="00D56DD7" w:rsidP="007A17AE">
      <w:pPr>
        <w:spacing w:line="240" w:lineRule="auto"/>
        <w:contextualSpacing/>
        <w:rPr>
          <w:szCs w:val="22"/>
        </w:rPr>
      </w:pPr>
    </w:p>
    <w:p w14:paraId="5AF6E3FA" w14:textId="77777777" w:rsidR="00D56DD7" w:rsidRPr="007A17AE" w:rsidRDefault="00D56DD7" w:rsidP="007A17AE">
      <w:pPr>
        <w:shd w:val="clear" w:color="auto" w:fill="FFFFFF"/>
        <w:spacing w:line="240" w:lineRule="auto"/>
        <w:contextualSpacing/>
        <w:rPr>
          <w:szCs w:val="22"/>
          <w:shd w:val="clear" w:color="auto" w:fill="CCCCCC"/>
        </w:rPr>
      </w:pPr>
      <w:r w:rsidRPr="007A17AE">
        <w:rPr>
          <w:szCs w:val="22"/>
          <w:shd w:val="clear" w:color="auto" w:fill="CCCCCC"/>
        </w:rPr>
        <w:br w:type="page"/>
      </w:r>
    </w:p>
    <w:p w14:paraId="4C94C1F7" w14:textId="77777777" w:rsidR="00D56DD7" w:rsidRPr="007A17AE" w:rsidRDefault="00D56DD7" w:rsidP="007A17AE">
      <w:pPr>
        <w:pBdr>
          <w:top w:val="single" w:sz="4" w:space="1" w:color="auto"/>
          <w:left w:val="single" w:sz="4" w:space="4" w:color="auto"/>
          <w:bottom w:val="single" w:sz="4" w:space="1" w:color="auto"/>
          <w:right w:val="single" w:sz="4" w:space="4" w:color="auto"/>
        </w:pBdr>
        <w:spacing w:line="240" w:lineRule="auto"/>
        <w:contextualSpacing/>
        <w:rPr>
          <w:b/>
          <w:szCs w:val="22"/>
        </w:rPr>
      </w:pPr>
      <w:r w:rsidRPr="007A17AE">
        <w:rPr>
          <w:b/>
          <w:szCs w:val="22"/>
        </w:rPr>
        <w:lastRenderedPageBreak/>
        <w:t>MINIMALI INFORMACIJA ANT LIZDINIŲ PLOKŠTELIŲ ARBA DVISLUOKSNIŲ JUOSTELIŲ</w:t>
      </w:r>
    </w:p>
    <w:p w14:paraId="01E1F9E6" w14:textId="77777777" w:rsidR="00D56DD7" w:rsidRPr="007A17AE" w:rsidRDefault="00D56DD7" w:rsidP="007A17AE">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rPr>
      </w:pPr>
    </w:p>
    <w:p w14:paraId="553CA5E0" w14:textId="0D97BDAD" w:rsidR="00D56DD7" w:rsidRPr="007A17AE" w:rsidRDefault="00D56DD7" w:rsidP="007A17AE">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rPr>
      </w:pPr>
      <w:r w:rsidRPr="007A17AE">
        <w:rPr>
          <w:b/>
          <w:szCs w:val="22"/>
        </w:rPr>
        <w:t>LIZDINĖ</w:t>
      </w:r>
      <w:r w:rsidR="00DA7AB6">
        <w:rPr>
          <w:b/>
          <w:szCs w:val="22"/>
        </w:rPr>
        <w:t>S</w:t>
      </w:r>
      <w:r w:rsidRPr="007A17AE">
        <w:rPr>
          <w:b/>
          <w:szCs w:val="22"/>
        </w:rPr>
        <w:t xml:space="preserve"> PLOKŠTELĖ</w:t>
      </w:r>
      <w:r w:rsidR="00DA7AB6">
        <w:rPr>
          <w:b/>
          <w:szCs w:val="22"/>
        </w:rPr>
        <w:t>S</w:t>
      </w:r>
    </w:p>
    <w:p w14:paraId="12B45A7F" w14:textId="77777777" w:rsidR="00D56DD7" w:rsidRPr="007A17AE" w:rsidRDefault="00D56DD7" w:rsidP="007A17AE">
      <w:pPr>
        <w:spacing w:line="240" w:lineRule="auto"/>
        <w:contextualSpacing/>
        <w:rPr>
          <w:szCs w:val="22"/>
        </w:rPr>
      </w:pPr>
    </w:p>
    <w:p w14:paraId="2C0075A2" w14:textId="77777777" w:rsidR="00D56DD7" w:rsidRPr="007A17AE" w:rsidRDefault="00D56DD7" w:rsidP="007A17AE">
      <w:pPr>
        <w:spacing w:line="240" w:lineRule="auto"/>
        <w:contextualSpacing/>
        <w:rPr>
          <w:szCs w:val="22"/>
        </w:rPr>
      </w:pPr>
    </w:p>
    <w:p w14:paraId="28AD83DF" w14:textId="77777777" w:rsidR="00D56DD7" w:rsidRPr="007A17AE" w:rsidRDefault="00D56DD7" w:rsidP="007A17AE">
      <w:pPr>
        <w:pBdr>
          <w:top w:val="single" w:sz="4" w:space="1" w:color="auto"/>
          <w:left w:val="single" w:sz="4" w:space="4" w:color="auto"/>
          <w:bottom w:val="single" w:sz="4" w:space="1" w:color="auto"/>
          <w:right w:val="single" w:sz="4" w:space="4" w:color="auto"/>
        </w:pBdr>
        <w:spacing w:line="240" w:lineRule="auto"/>
        <w:contextualSpacing/>
        <w:outlineLvl w:val="0"/>
        <w:rPr>
          <w:b/>
          <w:szCs w:val="22"/>
        </w:rPr>
      </w:pPr>
      <w:r w:rsidRPr="007A17AE">
        <w:rPr>
          <w:b/>
          <w:szCs w:val="22"/>
        </w:rPr>
        <w:t>1.</w:t>
      </w:r>
      <w:r w:rsidRPr="007A17AE">
        <w:rPr>
          <w:b/>
          <w:szCs w:val="22"/>
        </w:rPr>
        <w:tab/>
        <w:t>VAISTINIO PREPARATO PAVADINIMAS</w:t>
      </w:r>
    </w:p>
    <w:p w14:paraId="23A8C872" w14:textId="77777777" w:rsidR="00D56DD7" w:rsidRPr="007A17AE" w:rsidRDefault="00D56DD7" w:rsidP="007A17AE">
      <w:pPr>
        <w:spacing w:line="240" w:lineRule="auto"/>
        <w:contextualSpacing/>
        <w:rPr>
          <w:szCs w:val="22"/>
        </w:rPr>
      </w:pPr>
    </w:p>
    <w:p w14:paraId="7155B279" w14:textId="5F8254A2" w:rsidR="00B12DD0" w:rsidRPr="007A17AE" w:rsidRDefault="00B12DD0" w:rsidP="00B12DD0">
      <w:pPr>
        <w:tabs>
          <w:tab w:val="clear" w:pos="567"/>
        </w:tabs>
        <w:autoSpaceDE w:val="0"/>
        <w:autoSpaceDN w:val="0"/>
        <w:adjustRightInd w:val="0"/>
        <w:spacing w:line="240" w:lineRule="auto"/>
        <w:contextualSpacing/>
        <w:rPr>
          <w:rFonts w:eastAsia="TimesNewRoman"/>
          <w:szCs w:val="22"/>
          <w:lang w:eastAsia="lt-LT"/>
        </w:rPr>
      </w:pPr>
      <w:r w:rsidRPr="00B12DD0">
        <w:rPr>
          <w:rFonts w:eastAsia="TimesNewRoman"/>
          <w:szCs w:val="22"/>
          <w:lang w:eastAsia="lt-LT"/>
        </w:rPr>
        <w:t>Aprepitant Sandoz 125 mg kieto</w:t>
      </w:r>
      <w:r>
        <w:rPr>
          <w:rFonts w:eastAsia="TimesNewRoman"/>
          <w:szCs w:val="22"/>
          <w:lang w:eastAsia="lt-LT"/>
        </w:rPr>
        <w:t>ji</w:t>
      </w:r>
      <w:r w:rsidRPr="00B12DD0">
        <w:rPr>
          <w:rFonts w:eastAsia="TimesNewRoman"/>
          <w:szCs w:val="22"/>
          <w:lang w:eastAsia="lt-LT"/>
        </w:rPr>
        <w:t xml:space="preserve"> kapsulė</w:t>
      </w:r>
    </w:p>
    <w:p w14:paraId="1D1E8D5D" w14:textId="77777777" w:rsidR="00D56DD7" w:rsidRPr="00B12DD0" w:rsidRDefault="00D56DD7" w:rsidP="007A17AE">
      <w:pPr>
        <w:tabs>
          <w:tab w:val="clear" w:pos="567"/>
        </w:tabs>
        <w:autoSpaceDE w:val="0"/>
        <w:autoSpaceDN w:val="0"/>
        <w:adjustRightInd w:val="0"/>
        <w:spacing w:line="240" w:lineRule="auto"/>
        <w:contextualSpacing/>
        <w:rPr>
          <w:rFonts w:eastAsia="TimesNewRoman"/>
          <w:szCs w:val="22"/>
          <w:lang w:eastAsia="lt-LT"/>
        </w:rPr>
      </w:pPr>
      <w:r w:rsidRPr="00B12DD0">
        <w:rPr>
          <w:rFonts w:eastAsia="TimesNewRoman"/>
          <w:szCs w:val="22"/>
          <w:highlight w:val="lightGray"/>
          <w:lang w:eastAsia="lt-LT"/>
        </w:rPr>
        <w:t>Aprepitant Sandoz 80  mg kietosios kapsulės</w:t>
      </w:r>
    </w:p>
    <w:p w14:paraId="0AB4B258" w14:textId="2D8321ED" w:rsidR="00D56DD7" w:rsidRPr="007A17AE" w:rsidRDefault="00F37F9D" w:rsidP="007A17AE">
      <w:pPr>
        <w:spacing w:line="240" w:lineRule="auto"/>
        <w:contextualSpacing/>
        <w:rPr>
          <w:szCs w:val="22"/>
        </w:rPr>
      </w:pPr>
      <w:r>
        <w:rPr>
          <w:szCs w:val="22"/>
        </w:rPr>
        <w:t>a</w:t>
      </w:r>
      <w:r w:rsidR="00D56DD7" w:rsidRPr="007A17AE">
        <w:rPr>
          <w:szCs w:val="22"/>
        </w:rPr>
        <w:t>prepitantum</w:t>
      </w:r>
    </w:p>
    <w:p w14:paraId="512A9D1B" w14:textId="77777777" w:rsidR="00D56DD7" w:rsidRPr="007A17AE" w:rsidRDefault="00D56DD7" w:rsidP="007A17AE">
      <w:pPr>
        <w:spacing w:line="240" w:lineRule="auto"/>
        <w:contextualSpacing/>
        <w:rPr>
          <w:szCs w:val="22"/>
        </w:rPr>
      </w:pPr>
    </w:p>
    <w:p w14:paraId="6AD9E50E" w14:textId="77777777" w:rsidR="00D56DD7" w:rsidRPr="007A17AE" w:rsidRDefault="00D56DD7" w:rsidP="007A17AE">
      <w:pPr>
        <w:spacing w:line="240" w:lineRule="auto"/>
        <w:contextualSpacing/>
        <w:rPr>
          <w:szCs w:val="22"/>
        </w:rPr>
      </w:pPr>
    </w:p>
    <w:p w14:paraId="44353888" w14:textId="77777777" w:rsidR="00D56DD7" w:rsidRPr="007A17AE" w:rsidRDefault="00D56DD7" w:rsidP="007A17AE">
      <w:pPr>
        <w:pBdr>
          <w:top w:val="single" w:sz="4" w:space="1" w:color="auto"/>
          <w:left w:val="single" w:sz="4" w:space="4" w:color="auto"/>
          <w:bottom w:val="single" w:sz="4" w:space="1" w:color="auto"/>
          <w:right w:val="single" w:sz="4" w:space="4" w:color="auto"/>
        </w:pBdr>
        <w:spacing w:line="240" w:lineRule="auto"/>
        <w:contextualSpacing/>
        <w:outlineLvl w:val="0"/>
        <w:rPr>
          <w:b/>
          <w:szCs w:val="22"/>
        </w:rPr>
      </w:pPr>
      <w:r w:rsidRPr="007A17AE">
        <w:rPr>
          <w:b/>
          <w:szCs w:val="22"/>
        </w:rPr>
        <w:t>2.</w:t>
      </w:r>
      <w:r w:rsidRPr="007A17AE">
        <w:rPr>
          <w:b/>
          <w:szCs w:val="22"/>
        </w:rPr>
        <w:tab/>
        <w:t>REGISTRUOTOJO PAVADINIMAS</w:t>
      </w:r>
    </w:p>
    <w:p w14:paraId="48C6895B" w14:textId="77777777" w:rsidR="00D56DD7" w:rsidRPr="007A17AE" w:rsidRDefault="00D56DD7" w:rsidP="007A17AE">
      <w:pPr>
        <w:spacing w:line="240" w:lineRule="auto"/>
        <w:contextualSpacing/>
        <w:rPr>
          <w:szCs w:val="22"/>
        </w:rPr>
      </w:pPr>
    </w:p>
    <w:p w14:paraId="03903AA2" w14:textId="77777777" w:rsidR="00D56DD7" w:rsidRPr="007A17AE" w:rsidRDefault="00D56DD7" w:rsidP="007A17AE">
      <w:pPr>
        <w:spacing w:line="240" w:lineRule="auto"/>
        <w:contextualSpacing/>
        <w:rPr>
          <w:szCs w:val="22"/>
        </w:rPr>
      </w:pPr>
      <w:r w:rsidRPr="007A17AE">
        <w:rPr>
          <w:szCs w:val="22"/>
        </w:rPr>
        <w:t>SANDOZ</w:t>
      </w:r>
    </w:p>
    <w:p w14:paraId="4F2612C5" w14:textId="77777777" w:rsidR="00D56DD7" w:rsidRPr="007A17AE" w:rsidRDefault="00D56DD7" w:rsidP="007A17AE">
      <w:pPr>
        <w:spacing w:line="240" w:lineRule="auto"/>
        <w:contextualSpacing/>
        <w:rPr>
          <w:szCs w:val="22"/>
        </w:rPr>
      </w:pPr>
    </w:p>
    <w:p w14:paraId="02AAF912" w14:textId="77777777" w:rsidR="00D56DD7" w:rsidRPr="007A17AE" w:rsidRDefault="00D56DD7" w:rsidP="007A17AE">
      <w:pPr>
        <w:spacing w:line="240" w:lineRule="auto"/>
        <w:contextualSpacing/>
        <w:rPr>
          <w:szCs w:val="22"/>
        </w:rPr>
      </w:pPr>
    </w:p>
    <w:p w14:paraId="7421D16C" w14:textId="77777777" w:rsidR="00D56DD7" w:rsidRPr="007A17AE" w:rsidRDefault="00D56DD7" w:rsidP="007A17AE">
      <w:pPr>
        <w:pBdr>
          <w:top w:val="single" w:sz="4" w:space="1" w:color="auto"/>
          <w:left w:val="single" w:sz="4" w:space="4" w:color="auto"/>
          <w:bottom w:val="single" w:sz="4" w:space="2" w:color="auto"/>
          <w:right w:val="single" w:sz="4" w:space="4" w:color="auto"/>
        </w:pBdr>
        <w:spacing w:line="240" w:lineRule="auto"/>
        <w:contextualSpacing/>
        <w:outlineLvl w:val="0"/>
        <w:rPr>
          <w:b/>
          <w:szCs w:val="22"/>
        </w:rPr>
      </w:pPr>
      <w:r w:rsidRPr="007A17AE">
        <w:rPr>
          <w:b/>
          <w:szCs w:val="22"/>
        </w:rPr>
        <w:t>3.</w:t>
      </w:r>
      <w:r w:rsidRPr="007A17AE">
        <w:rPr>
          <w:b/>
          <w:szCs w:val="22"/>
        </w:rPr>
        <w:tab/>
        <w:t>TINKAMUMO LAIKAS</w:t>
      </w:r>
    </w:p>
    <w:p w14:paraId="506C0AAE" w14:textId="77777777" w:rsidR="00D56DD7" w:rsidRPr="007A17AE" w:rsidRDefault="00D56DD7" w:rsidP="007A17AE">
      <w:pPr>
        <w:spacing w:line="240" w:lineRule="auto"/>
        <w:contextualSpacing/>
        <w:rPr>
          <w:szCs w:val="22"/>
        </w:rPr>
      </w:pPr>
    </w:p>
    <w:p w14:paraId="5BE29C16" w14:textId="77777777" w:rsidR="00D56DD7" w:rsidRPr="007A17AE" w:rsidRDefault="00D56DD7" w:rsidP="007A17AE">
      <w:pPr>
        <w:spacing w:line="240" w:lineRule="auto"/>
        <w:contextualSpacing/>
        <w:rPr>
          <w:szCs w:val="22"/>
        </w:rPr>
      </w:pPr>
      <w:r w:rsidRPr="007A17AE">
        <w:rPr>
          <w:szCs w:val="22"/>
          <w:highlight w:val="lightGray"/>
        </w:rPr>
        <w:t>EXP</w:t>
      </w:r>
      <w:r w:rsidR="005934D0" w:rsidRPr="007A17AE">
        <w:rPr>
          <w:szCs w:val="22"/>
          <w:highlight w:val="lightGray"/>
        </w:rPr>
        <w:t xml:space="preserve"> </w:t>
      </w:r>
      <w:r w:rsidRPr="00F122CC">
        <w:t>{</w:t>
      </w:r>
      <w:r w:rsidRPr="007A17AE">
        <w:t>mm</w:t>
      </w:r>
      <w:r w:rsidR="005934D0" w:rsidRPr="007A17AE">
        <w:t xml:space="preserve"> </w:t>
      </w:r>
      <w:r w:rsidRPr="007A17AE">
        <w:t>MMMM}</w:t>
      </w:r>
    </w:p>
    <w:p w14:paraId="1F8AE0E5" w14:textId="77777777" w:rsidR="00D56DD7" w:rsidRPr="007A17AE" w:rsidRDefault="00D56DD7" w:rsidP="007A17AE">
      <w:pPr>
        <w:spacing w:line="240" w:lineRule="auto"/>
        <w:contextualSpacing/>
        <w:rPr>
          <w:szCs w:val="22"/>
        </w:rPr>
      </w:pPr>
    </w:p>
    <w:p w14:paraId="2DE2700F" w14:textId="77777777" w:rsidR="00D56DD7" w:rsidRPr="007A17AE" w:rsidRDefault="00D56DD7" w:rsidP="007A17AE">
      <w:pPr>
        <w:spacing w:line="240" w:lineRule="auto"/>
        <w:contextualSpacing/>
        <w:rPr>
          <w:szCs w:val="22"/>
        </w:rPr>
      </w:pPr>
    </w:p>
    <w:p w14:paraId="62F1B222" w14:textId="77777777" w:rsidR="00D56DD7" w:rsidRPr="007A17AE" w:rsidRDefault="00D56DD7" w:rsidP="007A17AE">
      <w:pPr>
        <w:pBdr>
          <w:top w:val="single" w:sz="4" w:space="1" w:color="auto"/>
          <w:left w:val="single" w:sz="4" w:space="4" w:color="auto"/>
          <w:bottom w:val="single" w:sz="4" w:space="1" w:color="auto"/>
          <w:right w:val="single" w:sz="4" w:space="4" w:color="auto"/>
        </w:pBdr>
        <w:spacing w:line="240" w:lineRule="auto"/>
        <w:contextualSpacing/>
        <w:outlineLvl w:val="0"/>
        <w:rPr>
          <w:b/>
          <w:szCs w:val="22"/>
        </w:rPr>
      </w:pPr>
      <w:r w:rsidRPr="007A17AE">
        <w:rPr>
          <w:b/>
          <w:szCs w:val="22"/>
        </w:rPr>
        <w:t>4.</w:t>
      </w:r>
      <w:r w:rsidRPr="007A17AE">
        <w:rPr>
          <w:b/>
          <w:szCs w:val="22"/>
        </w:rPr>
        <w:tab/>
        <w:t>SERIJOS NUMERIS</w:t>
      </w:r>
    </w:p>
    <w:p w14:paraId="6D4BB584" w14:textId="77777777" w:rsidR="00D56DD7" w:rsidRPr="007A17AE" w:rsidRDefault="00D56DD7" w:rsidP="007A17AE">
      <w:pPr>
        <w:spacing w:line="240" w:lineRule="auto"/>
        <w:contextualSpacing/>
        <w:rPr>
          <w:szCs w:val="22"/>
        </w:rPr>
      </w:pPr>
    </w:p>
    <w:p w14:paraId="0C7F69C4" w14:textId="77777777" w:rsidR="00D56DD7" w:rsidRPr="007A17AE" w:rsidRDefault="00D56DD7" w:rsidP="007A17AE">
      <w:pPr>
        <w:spacing w:line="240" w:lineRule="auto"/>
        <w:contextualSpacing/>
        <w:rPr>
          <w:szCs w:val="22"/>
        </w:rPr>
      </w:pPr>
      <w:r w:rsidRPr="007A17AE">
        <w:rPr>
          <w:szCs w:val="22"/>
          <w:highlight w:val="lightGray"/>
        </w:rPr>
        <w:t>Lot</w:t>
      </w:r>
    </w:p>
    <w:p w14:paraId="0F092B65" w14:textId="77777777" w:rsidR="00D56DD7" w:rsidRPr="007A17AE" w:rsidRDefault="00D56DD7" w:rsidP="007A17AE">
      <w:pPr>
        <w:spacing w:line="240" w:lineRule="auto"/>
        <w:contextualSpacing/>
        <w:rPr>
          <w:szCs w:val="22"/>
        </w:rPr>
      </w:pPr>
    </w:p>
    <w:p w14:paraId="6DD27517" w14:textId="77777777" w:rsidR="00D56DD7" w:rsidRPr="007A17AE" w:rsidRDefault="00D56DD7" w:rsidP="007A17AE">
      <w:pPr>
        <w:spacing w:line="240" w:lineRule="auto"/>
        <w:contextualSpacing/>
        <w:rPr>
          <w:szCs w:val="22"/>
        </w:rPr>
      </w:pPr>
    </w:p>
    <w:p w14:paraId="3DE2E46C" w14:textId="77777777" w:rsidR="00D56DD7" w:rsidRPr="007A17AE" w:rsidRDefault="00D56DD7" w:rsidP="007A17AE">
      <w:pPr>
        <w:pBdr>
          <w:top w:val="single" w:sz="4" w:space="1" w:color="auto"/>
          <w:left w:val="single" w:sz="4" w:space="4" w:color="auto"/>
          <w:bottom w:val="single" w:sz="4" w:space="1" w:color="auto"/>
          <w:right w:val="single" w:sz="4" w:space="4" w:color="auto"/>
        </w:pBdr>
        <w:spacing w:line="240" w:lineRule="auto"/>
        <w:contextualSpacing/>
        <w:outlineLvl w:val="0"/>
        <w:rPr>
          <w:b/>
          <w:szCs w:val="22"/>
        </w:rPr>
      </w:pPr>
      <w:r w:rsidRPr="007A17AE">
        <w:rPr>
          <w:b/>
          <w:szCs w:val="22"/>
        </w:rPr>
        <w:t>5.</w:t>
      </w:r>
      <w:r w:rsidRPr="007A17AE">
        <w:rPr>
          <w:b/>
          <w:szCs w:val="22"/>
        </w:rPr>
        <w:tab/>
        <w:t>KITA</w:t>
      </w:r>
    </w:p>
    <w:p w14:paraId="4461E0D2" w14:textId="77777777" w:rsidR="00D56DD7" w:rsidRPr="007A17AE" w:rsidRDefault="00D56DD7" w:rsidP="007A17AE">
      <w:pPr>
        <w:spacing w:line="240" w:lineRule="auto"/>
        <w:contextualSpacing/>
        <w:rPr>
          <w:szCs w:val="22"/>
        </w:rPr>
      </w:pPr>
    </w:p>
    <w:p w14:paraId="79FAAD1B" w14:textId="11545C95" w:rsidR="00D56DD7" w:rsidRPr="007A17AE" w:rsidRDefault="00D56DD7" w:rsidP="007A17AE">
      <w:pPr>
        <w:spacing w:line="240" w:lineRule="auto"/>
        <w:contextualSpacing/>
        <w:rPr>
          <w:szCs w:val="22"/>
        </w:rPr>
      </w:pPr>
      <w:r w:rsidRPr="007A17AE">
        <w:rPr>
          <w:szCs w:val="22"/>
          <w:highlight w:val="lightGray"/>
        </w:rPr>
        <w:t>125 mg kapsulių li</w:t>
      </w:r>
      <w:r w:rsidR="00496A41">
        <w:rPr>
          <w:szCs w:val="22"/>
          <w:highlight w:val="lightGray"/>
        </w:rPr>
        <w:t>z</w:t>
      </w:r>
      <w:r w:rsidRPr="007A17AE">
        <w:rPr>
          <w:szCs w:val="22"/>
          <w:highlight w:val="lightGray"/>
        </w:rPr>
        <w:t>dinei plokštelei</w:t>
      </w:r>
    </w:p>
    <w:p w14:paraId="20CFD654" w14:textId="77777777" w:rsidR="00D56DD7" w:rsidRPr="007A17AE" w:rsidRDefault="00D56DD7" w:rsidP="007A17AE">
      <w:pPr>
        <w:spacing w:line="240" w:lineRule="auto"/>
        <w:contextualSpacing/>
        <w:rPr>
          <w:szCs w:val="22"/>
        </w:rPr>
      </w:pPr>
      <w:r w:rsidRPr="007A17AE">
        <w:rPr>
          <w:szCs w:val="22"/>
        </w:rPr>
        <w:t>1 DIENA</w:t>
      </w:r>
    </w:p>
    <w:p w14:paraId="605E0F2F" w14:textId="6C708596" w:rsidR="001D3B23" w:rsidRPr="007A17AE" w:rsidRDefault="001D3B23" w:rsidP="007A17AE">
      <w:pPr>
        <w:spacing w:line="240" w:lineRule="auto"/>
        <w:contextualSpacing/>
        <w:rPr>
          <w:szCs w:val="22"/>
        </w:rPr>
      </w:pPr>
      <w:r w:rsidRPr="007A17AE">
        <w:rPr>
          <w:szCs w:val="22"/>
          <w:highlight w:val="lightGray"/>
        </w:rPr>
        <w:t>80 mg kapsulių li</w:t>
      </w:r>
      <w:r w:rsidR="00496A41">
        <w:rPr>
          <w:szCs w:val="22"/>
          <w:highlight w:val="lightGray"/>
        </w:rPr>
        <w:t>z</w:t>
      </w:r>
      <w:r w:rsidRPr="007A17AE">
        <w:rPr>
          <w:szCs w:val="22"/>
          <w:highlight w:val="lightGray"/>
        </w:rPr>
        <w:t>dinei plokštelei</w:t>
      </w:r>
    </w:p>
    <w:p w14:paraId="13796088" w14:textId="77777777" w:rsidR="001D3B23" w:rsidRPr="007A17AE" w:rsidRDefault="001D3B23" w:rsidP="007A17AE">
      <w:pPr>
        <w:spacing w:line="240" w:lineRule="auto"/>
        <w:contextualSpacing/>
        <w:rPr>
          <w:szCs w:val="22"/>
        </w:rPr>
      </w:pPr>
      <w:r w:rsidRPr="007A17AE">
        <w:rPr>
          <w:szCs w:val="22"/>
        </w:rPr>
        <w:t>2 DIENA</w:t>
      </w:r>
    </w:p>
    <w:p w14:paraId="32790ECF" w14:textId="77777777" w:rsidR="00D56DD7" w:rsidRPr="007A17AE" w:rsidRDefault="001D3B23" w:rsidP="007A17AE">
      <w:pPr>
        <w:spacing w:line="240" w:lineRule="auto"/>
        <w:contextualSpacing/>
        <w:rPr>
          <w:szCs w:val="22"/>
        </w:rPr>
      </w:pPr>
      <w:r w:rsidRPr="007A17AE">
        <w:rPr>
          <w:szCs w:val="22"/>
        </w:rPr>
        <w:t>3 DIENA</w:t>
      </w:r>
    </w:p>
    <w:p w14:paraId="6939E706" w14:textId="77777777" w:rsidR="006455D2" w:rsidRPr="007A17AE" w:rsidRDefault="00D56DD7" w:rsidP="007A17AE">
      <w:pPr>
        <w:spacing w:line="240" w:lineRule="auto"/>
        <w:contextualSpacing/>
        <w:rPr>
          <w:b/>
          <w:szCs w:val="22"/>
        </w:rPr>
      </w:pPr>
      <w:r w:rsidRPr="007A17AE">
        <w:rPr>
          <w:szCs w:val="22"/>
          <w:shd w:val="clear" w:color="auto" w:fill="CCCCCC"/>
        </w:rPr>
        <w:br w:type="page"/>
      </w:r>
    </w:p>
    <w:p w14:paraId="6D60CA7C" w14:textId="77777777" w:rsidR="006455D2" w:rsidRPr="007A17AE" w:rsidRDefault="006455D2" w:rsidP="007A17AE">
      <w:pPr>
        <w:spacing w:line="240" w:lineRule="auto"/>
        <w:contextualSpacing/>
        <w:outlineLvl w:val="0"/>
        <w:rPr>
          <w:b/>
          <w:szCs w:val="22"/>
        </w:rPr>
      </w:pPr>
    </w:p>
    <w:p w14:paraId="3544FA2C" w14:textId="77777777" w:rsidR="006455D2" w:rsidRPr="007A17AE" w:rsidRDefault="006455D2" w:rsidP="007A17AE">
      <w:pPr>
        <w:spacing w:line="240" w:lineRule="auto"/>
        <w:contextualSpacing/>
        <w:outlineLvl w:val="0"/>
        <w:rPr>
          <w:b/>
          <w:szCs w:val="22"/>
        </w:rPr>
      </w:pPr>
    </w:p>
    <w:p w14:paraId="323E3F07" w14:textId="77777777" w:rsidR="006455D2" w:rsidRPr="007A17AE" w:rsidRDefault="006455D2" w:rsidP="007A17AE">
      <w:pPr>
        <w:spacing w:line="240" w:lineRule="auto"/>
        <w:contextualSpacing/>
        <w:outlineLvl w:val="0"/>
        <w:rPr>
          <w:b/>
          <w:szCs w:val="22"/>
        </w:rPr>
      </w:pPr>
    </w:p>
    <w:p w14:paraId="1904CF9B" w14:textId="77777777" w:rsidR="006455D2" w:rsidRPr="007A17AE" w:rsidRDefault="006455D2" w:rsidP="007A17AE">
      <w:pPr>
        <w:spacing w:line="240" w:lineRule="auto"/>
        <w:contextualSpacing/>
        <w:outlineLvl w:val="0"/>
        <w:rPr>
          <w:b/>
          <w:szCs w:val="22"/>
        </w:rPr>
      </w:pPr>
    </w:p>
    <w:p w14:paraId="689D1B8A" w14:textId="77777777" w:rsidR="006455D2" w:rsidRPr="007A17AE" w:rsidRDefault="006455D2" w:rsidP="007A17AE">
      <w:pPr>
        <w:spacing w:line="240" w:lineRule="auto"/>
        <w:contextualSpacing/>
        <w:outlineLvl w:val="0"/>
        <w:rPr>
          <w:b/>
          <w:szCs w:val="22"/>
        </w:rPr>
      </w:pPr>
    </w:p>
    <w:p w14:paraId="6E3659BE" w14:textId="77777777" w:rsidR="006455D2" w:rsidRPr="007A17AE" w:rsidRDefault="006455D2" w:rsidP="007A17AE">
      <w:pPr>
        <w:spacing w:line="240" w:lineRule="auto"/>
        <w:contextualSpacing/>
        <w:outlineLvl w:val="0"/>
        <w:rPr>
          <w:b/>
          <w:szCs w:val="22"/>
        </w:rPr>
      </w:pPr>
    </w:p>
    <w:p w14:paraId="361DBB58" w14:textId="77777777" w:rsidR="006455D2" w:rsidRPr="007A17AE" w:rsidRDefault="006455D2" w:rsidP="007A17AE">
      <w:pPr>
        <w:spacing w:line="240" w:lineRule="auto"/>
        <w:contextualSpacing/>
        <w:outlineLvl w:val="0"/>
        <w:rPr>
          <w:b/>
          <w:szCs w:val="22"/>
        </w:rPr>
      </w:pPr>
    </w:p>
    <w:p w14:paraId="2DA8F969" w14:textId="77777777" w:rsidR="006455D2" w:rsidRPr="007A17AE" w:rsidRDefault="006455D2" w:rsidP="007A17AE">
      <w:pPr>
        <w:spacing w:line="240" w:lineRule="auto"/>
        <w:contextualSpacing/>
        <w:outlineLvl w:val="0"/>
        <w:rPr>
          <w:b/>
          <w:szCs w:val="22"/>
        </w:rPr>
      </w:pPr>
    </w:p>
    <w:p w14:paraId="4674EDD6" w14:textId="77777777" w:rsidR="006455D2" w:rsidRPr="007A17AE" w:rsidRDefault="006455D2" w:rsidP="007A17AE">
      <w:pPr>
        <w:spacing w:line="240" w:lineRule="auto"/>
        <w:contextualSpacing/>
        <w:outlineLvl w:val="0"/>
        <w:rPr>
          <w:b/>
          <w:szCs w:val="22"/>
        </w:rPr>
      </w:pPr>
    </w:p>
    <w:p w14:paraId="0ED50988" w14:textId="77777777" w:rsidR="006455D2" w:rsidRPr="007A17AE" w:rsidRDefault="006455D2" w:rsidP="007A17AE">
      <w:pPr>
        <w:spacing w:line="240" w:lineRule="auto"/>
        <w:contextualSpacing/>
        <w:outlineLvl w:val="0"/>
        <w:rPr>
          <w:b/>
          <w:szCs w:val="22"/>
        </w:rPr>
      </w:pPr>
    </w:p>
    <w:p w14:paraId="1DDB5145" w14:textId="77777777" w:rsidR="006455D2" w:rsidRPr="007A17AE" w:rsidRDefault="006455D2" w:rsidP="007A17AE">
      <w:pPr>
        <w:spacing w:line="240" w:lineRule="auto"/>
        <w:contextualSpacing/>
        <w:outlineLvl w:val="0"/>
        <w:rPr>
          <w:b/>
          <w:szCs w:val="22"/>
        </w:rPr>
      </w:pPr>
    </w:p>
    <w:p w14:paraId="01C973A6" w14:textId="77777777" w:rsidR="006455D2" w:rsidRPr="007A17AE" w:rsidRDefault="006455D2" w:rsidP="007A17AE">
      <w:pPr>
        <w:spacing w:line="240" w:lineRule="auto"/>
        <w:contextualSpacing/>
        <w:outlineLvl w:val="0"/>
        <w:rPr>
          <w:b/>
          <w:szCs w:val="22"/>
        </w:rPr>
      </w:pPr>
    </w:p>
    <w:p w14:paraId="286667E5" w14:textId="77777777" w:rsidR="006455D2" w:rsidRPr="007A17AE" w:rsidRDefault="006455D2" w:rsidP="007A17AE">
      <w:pPr>
        <w:spacing w:line="240" w:lineRule="auto"/>
        <w:contextualSpacing/>
        <w:outlineLvl w:val="0"/>
        <w:rPr>
          <w:b/>
          <w:szCs w:val="22"/>
        </w:rPr>
      </w:pPr>
    </w:p>
    <w:p w14:paraId="7BAC85B2" w14:textId="77777777" w:rsidR="006455D2" w:rsidRPr="007A17AE" w:rsidRDefault="006455D2" w:rsidP="007A17AE">
      <w:pPr>
        <w:spacing w:line="240" w:lineRule="auto"/>
        <w:contextualSpacing/>
        <w:outlineLvl w:val="0"/>
        <w:rPr>
          <w:b/>
          <w:szCs w:val="22"/>
        </w:rPr>
      </w:pPr>
    </w:p>
    <w:p w14:paraId="2491F5C7" w14:textId="77777777" w:rsidR="006455D2" w:rsidRPr="007A17AE" w:rsidRDefault="006455D2" w:rsidP="007A17AE">
      <w:pPr>
        <w:spacing w:line="240" w:lineRule="auto"/>
        <w:contextualSpacing/>
        <w:outlineLvl w:val="0"/>
        <w:rPr>
          <w:b/>
          <w:szCs w:val="22"/>
        </w:rPr>
      </w:pPr>
    </w:p>
    <w:p w14:paraId="0E8E8D5E" w14:textId="77777777" w:rsidR="006455D2" w:rsidRPr="007A17AE" w:rsidRDefault="006455D2" w:rsidP="007A17AE">
      <w:pPr>
        <w:spacing w:line="240" w:lineRule="auto"/>
        <w:contextualSpacing/>
        <w:outlineLvl w:val="0"/>
        <w:rPr>
          <w:b/>
          <w:szCs w:val="22"/>
        </w:rPr>
      </w:pPr>
    </w:p>
    <w:p w14:paraId="0DD1F9DC" w14:textId="77777777" w:rsidR="006455D2" w:rsidRPr="007A17AE" w:rsidRDefault="006455D2" w:rsidP="007A17AE">
      <w:pPr>
        <w:spacing w:line="240" w:lineRule="auto"/>
        <w:contextualSpacing/>
        <w:outlineLvl w:val="0"/>
        <w:rPr>
          <w:b/>
          <w:szCs w:val="22"/>
        </w:rPr>
      </w:pPr>
    </w:p>
    <w:p w14:paraId="4B6B34ED" w14:textId="77777777" w:rsidR="006455D2" w:rsidRPr="007A17AE" w:rsidRDefault="006455D2" w:rsidP="007A17AE">
      <w:pPr>
        <w:spacing w:line="240" w:lineRule="auto"/>
        <w:contextualSpacing/>
        <w:outlineLvl w:val="0"/>
        <w:rPr>
          <w:b/>
          <w:szCs w:val="22"/>
        </w:rPr>
      </w:pPr>
    </w:p>
    <w:p w14:paraId="6ADA574A" w14:textId="77777777" w:rsidR="006455D2" w:rsidRPr="007A17AE" w:rsidRDefault="006455D2" w:rsidP="007A17AE">
      <w:pPr>
        <w:spacing w:line="240" w:lineRule="auto"/>
        <w:contextualSpacing/>
        <w:outlineLvl w:val="0"/>
        <w:rPr>
          <w:b/>
          <w:szCs w:val="22"/>
        </w:rPr>
      </w:pPr>
    </w:p>
    <w:p w14:paraId="5553A100" w14:textId="77777777" w:rsidR="006455D2" w:rsidRPr="007A17AE" w:rsidRDefault="006455D2" w:rsidP="007A17AE">
      <w:pPr>
        <w:spacing w:line="240" w:lineRule="auto"/>
        <w:contextualSpacing/>
        <w:outlineLvl w:val="0"/>
        <w:rPr>
          <w:b/>
          <w:szCs w:val="22"/>
        </w:rPr>
      </w:pPr>
    </w:p>
    <w:p w14:paraId="0454653B" w14:textId="77777777" w:rsidR="006455D2" w:rsidRPr="007A17AE" w:rsidRDefault="006455D2" w:rsidP="007A17AE">
      <w:pPr>
        <w:spacing w:line="240" w:lineRule="auto"/>
        <w:contextualSpacing/>
        <w:outlineLvl w:val="0"/>
        <w:rPr>
          <w:b/>
          <w:szCs w:val="22"/>
        </w:rPr>
      </w:pPr>
    </w:p>
    <w:p w14:paraId="34BC2EF3" w14:textId="77777777" w:rsidR="006455D2" w:rsidRPr="007A17AE" w:rsidRDefault="006455D2" w:rsidP="007A17AE">
      <w:pPr>
        <w:spacing w:line="240" w:lineRule="auto"/>
        <w:contextualSpacing/>
        <w:outlineLvl w:val="0"/>
        <w:rPr>
          <w:b/>
          <w:szCs w:val="22"/>
        </w:rPr>
      </w:pPr>
    </w:p>
    <w:p w14:paraId="3261E1B1" w14:textId="77777777" w:rsidR="00A9140A" w:rsidRPr="007A17AE" w:rsidRDefault="00A9140A" w:rsidP="007A17AE">
      <w:pPr>
        <w:spacing w:line="240" w:lineRule="auto"/>
        <w:contextualSpacing/>
        <w:jc w:val="center"/>
        <w:outlineLvl w:val="0"/>
        <w:rPr>
          <w:b/>
          <w:szCs w:val="22"/>
        </w:rPr>
      </w:pPr>
      <w:r w:rsidRPr="007A17AE">
        <w:rPr>
          <w:b/>
          <w:szCs w:val="22"/>
        </w:rPr>
        <w:t>B. PAKUOTĖS LAPELIS</w:t>
      </w:r>
    </w:p>
    <w:p w14:paraId="701C0CBA" w14:textId="33C1B3F1" w:rsidR="00A9140A" w:rsidRPr="007A17AE" w:rsidRDefault="00A9140A" w:rsidP="007A17AE">
      <w:pPr>
        <w:tabs>
          <w:tab w:val="clear" w:pos="567"/>
        </w:tabs>
        <w:spacing w:line="240" w:lineRule="auto"/>
        <w:contextualSpacing/>
        <w:jc w:val="center"/>
        <w:outlineLvl w:val="0"/>
        <w:rPr>
          <w:szCs w:val="22"/>
        </w:rPr>
      </w:pPr>
      <w:r w:rsidRPr="007A17AE">
        <w:rPr>
          <w:szCs w:val="22"/>
        </w:rPr>
        <w:br w:type="page"/>
      </w:r>
      <w:r w:rsidRPr="007A17AE">
        <w:rPr>
          <w:b/>
          <w:szCs w:val="22"/>
        </w:rPr>
        <w:lastRenderedPageBreak/>
        <w:t xml:space="preserve">Pakuotės lapelis: informacija </w:t>
      </w:r>
      <w:r w:rsidR="00817D4D">
        <w:rPr>
          <w:b/>
          <w:szCs w:val="22"/>
        </w:rPr>
        <w:t>vartotojui</w:t>
      </w:r>
    </w:p>
    <w:p w14:paraId="7F213C12" w14:textId="77777777" w:rsidR="006455D2" w:rsidRPr="007A17AE" w:rsidRDefault="006455D2" w:rsidP="007A17AE">
      <w:pPr>
        <w:numPr>
          <w:ilvl w:val="12"/>
          <w:numId w:val="0"/>
        </w:numPr>
        <w:shd w:val="clear" w:color="auto" w:fill="FFFFFF"/>
        <w:tabs>
          <w:tab w:val="clear" w:pos="567"/>
        </w:tabs>
        <w:spacing w:line="240" w:lineRule="auto"/>
        <w:contextualSpacing/>
        <w:jc w:val="center"/>
        <w:rPr>
          <w:szCs w:val="22"/>
        </w:rPr>
      </w:pPr>
    </w:p>
    <w:p w14:paraId="5FE430D7" w14:textId="4A1608DA" w:rsidR="00297BDB" w:rsidRPr="00B12DD0" w:rsidRDefault="00297BDB" w:rsidP="007A17AE">
      <w:pPr>
        <w:widowControl w:val="0"/>
        <w:spacing w:line="240" w:lineRule="auto"/>
        <w:contextualSpacing/>
        <w:jc w:val="center"/>
        <w:rPr>
          <w:b/>
          <w:szCs w:val="22"/>
        </w:rPr>
      </w:pPr>
    </w:p>
    <w:p w14:paraId="1107E682" w14:textId="7931BA5A" w:rsidR="00B12DD0" w:rsidRDefault="005934D0" w:rsidP="007A17AE">
      <w:pPr>
        <w:numPr>
          <w:ilvl w:val="12"/>
          <w:numId w:val="0"/>
        </w:numPr>
        <w:tabs>
          <w:tab w:val="clear" w:pos="567"/>
        </w:tabs>
        <w:spacing w:line="240" w:lineRule="auto"/>
        <w:contextualSpacing/>
        <w:jc w:val="center"/>
        <w:rPr>
          <w:b/>
          <w:szCs w:val="22"/>
        </w:rPr>
      </w:pPr>
      <w:r w:rsidRPr="00B12DD0">
        <w:rPr>
          <w:b/>
          <w:szCs w:val="22"/>
        </w:rPr>
        <w:t>Aprepitant Sandoz 125</w:t>
      </w:r>
      <w:r w:rsidR="00091B4C" w:rsidRPr="00B12DD0">
        <w:rPr>
          <w:b/>
          <w:szCs w:val="22"/>
        </w:rPr>
        <w:t> </w:t>
      </w:r>
      <w:r w:rsidRPr="00B12DD0">
        <w:rPr>
          <w:b/>
          <w:szCs w:val="22"/>
        </w:rPr>
        <w:t>mg kieto</w:t>
      </w:r>
      <w:r w:rsidR="00B12DD0">
        <w:rPr>
          <w:b/>
          <w:szCs w:val="22"/>
        </w:rPr>
        <w:t>ji</w:t>
      </w:r>
      <w:r w:rsidRPr="00B12DD0">
        <w:rPr>
          <w:b/>
          <w:szCs w:val="22"/>
        </w:rPr>
        <w:t xml:space="preserve"> kapsulė</w:t>
      </w:r>
    </w:p>
    <w:p w14:paraId="5032A10A" w14:textId="1ECD199C" w:rsidR="00297BDB" w:rsidRPr="00F122CC" w:rsidRDefault="005934D0" w:rsidP="007A17AE">
      <w:pPr>
        <w:numPr>
          <w:ilvl w:val="12"/>
          <w:numId w:val="0"/>
        </w:numPr>
        <w:tabs>
          <w:tab w:val="clear" w:pos="567"/>
        </w:tabs>
        <w:spacing w:line="240" w:lineRule="auto"/>
        <w:contextualSpacing/>
        <w:jc w:val="center"/>
        <w:rPr>
          <w:b/>
          <w:szCs w:val="22"/>
        </w:rPr>
      </w:pPr>
      <w:r w:rsidRPr="00B12DD0">
        <w:rPr>
          <w:b/>
          <w:szCs w:val="22"/>
        </w:rPr>
        <w:t>Aprepitant Sandoz 80</w:t>
      </w:r>
      <w:r w:rsidR="00091B4C" w:rsidRPr="00B12DD0">
        <w:rPr>
          <w:b/>
          <w:szCs w:val="22"/>
        </w:rPr>
        <w:t> </w:t>
      </w:r>
      <w:r w:rsidRPr="00B12DD0">
        <w:rPr>
          <w:b/>
          <w:szCs w:val="22"/>
        </w:rPr>
        <w:t>mg kietosios kapsulės</w:t>
      </w:r>
    </w:p>
    <w:p w14:paraId="4158DCEA" w14:textId="1AB94775" w:rsidR="00A9140A" w:rsidRPr="007A17AE" w:rsidRDefault="006E75E3" w:rsidP="007A17AE">
      <w:pPr>
        <w:numPr>
          <w:ilvl w:val="12"/>
          <w:numId w:val="0"/>
        </w:numPr>
        <w:tabs>
          <w:tab w:val="clear" w:pos="567"/>
        </w:tabs>
        <w:spacing w:line="240" w:lineRule="auto"/>
        <w:contextualSpacing/>
        <w:jc w:val="center"/>
        <w:rPr>
          <w:szCs w:val="22"/>
        </w:rPr>
      </w:pPr>
      <w:r>
        <w:rPr>
          <w:szCs w:val="22"/>
        </w:rPr>
        <w:t>a</w:t>
      </w:r>
      <w:r w:rsidR="00297BDB" w:rsidRPr="007A17AE">
        <w:rPr>
          <w:szCs w:val="22"/>
        </w:rPr>
        <w:t>prepitantas</w:t>
      </w:r>
    </w:p>
    <w:p w14:paraId="091FE683" w14:textId="77777777" w:rsidR="006455D2" w:rsidRPr="007A17AE" w:rsidRDefault="006455D2" w:rsidP="007A17AE">
      <w:pPr>
        <w:tabs>
          <w:tab w:val="clear" w:pos="567"/>
        </w:tabs>
        <w:suppressAutoHyphens/>
        <w:spacing w:line="240" w:lineRule="auto"/>
        <w:ind w:left="142" w:hanging="142"/>
        <w:contextualSpacing/>
        <w:rPr>
          <w:b/>
          <w:szCs w:val="22"/>
        </w:rPr>
      </w:pPr>
    </w:p>
    <w:p w14:paraId="27DAD97A" w14:textId="77777777" w:rsidR="00A9140A" w:rsidRPr="007A17AE" w:rsidRDefault="00A9140A" w:rsidP="007A17AE">
      <w:pPr>
        <w:tabs>
          <w:tab w:val="clear" w:pos="567"/>
        </w:tabs>
        <w:suppressAutoHyphens/>
        <w:spacing w:line="240" w:lineRule="auto"/>
        <w:contextualSpacing/>
        <w:rPr>
          <w:szCs w:val="22"/>
        </w:rPr>
      </w:pPr>
      <w:r w:rsidRPr="007A17AE">
        <w:rPr>
          <w:b/>
          <w:szCs w:val="22"/>
        </w:rPr>
        <w:t>Atidžiai perskaitykite visą šį lapelį, prieš pradėdami vartoti vaistą, nes jame pateikiama Jums svarbi informacija.</w:t>
      </w:r>
    </w:p>
    <w:p w14:paraId="11D5E568" w14:textId="77777777" w:rsidR="00A9140A" w:rsidRPr="007A17AE" w:rsidRDefault="00A9140A" w:rsidP="007A17AE">
      <w:pPr>
        <w:numPr>
          <w:ilvl w:val="0"/>
          <w:numId w:val="1"/>
        </w:numPr>
        <w:tabs>
          <w:tab w:val="clear" w:pos="567"/>
        </w:tabs>
        <w:spacing w:line="240" w:lineRule="auto"/>
        <w:ind w:left="567" w:right="-2" w:hanging="567"/>
        <w:contextualSpacing/>
        <w:rPr>
          <w:szCs w:val="22"/>
        </w:rPr>
      </w:pPr>
      <w:r w:rsidRPr="007A17AE">
        <w:rPr>
          <w:szCs w:val="22"/>
        </w:rPr>
        <w:t xml:space="preserve">Neišmeskite šio lapelio, nes vėl gali prireikti jį perskaityti. </w:t>
      </w:r>
    </w:p>
    <w:p w14:paraId="55CE7037" w14:textId="77777777" w:rsidR="00A9140A" w:rsidRPr="007A17AE" w:rsidRDefault="00A9140A" w:rsidP="007A17AE">
      <w:pPr>
        <w:numPr>
          <w:ilvl w:val="0"/>
          <w:numId w:val="1"/>
        </w:numPr>
        <w:tabs>
          <w:tab w:val="clear" w:pos="567"/>
        </w:tabs>
        <w:spacing w:line="240" w:lineRule="auto"/>
        <w:ind w:left="567" w:right="-2" w:hanging="567"/>
        <w:contextualSpacing/>
        <w:rPr>
          <w:szCs w:val="22"/>
        </w:rPr>
      </w:pPr>
      <w:r w:rsidRPr="007A17AE">
        <w:rPr>
          <w:szCs w:val="22"/>
        </w:rPr>
        <w:t>Jeigu kiltų daugiau klausimų, kreipkitės į gydytoją arba vaistininką.</w:t>
      </w:r>
    </w:p>
    <w:p w14:paraId="6BB3D8FA" w14:textId="77777777" w:rsidR="00A9140A" w:rsidRPr="007A17AE" w:rsidRDefault="00A9140A" w:rsidP="007A17AE">
      <w:pPr>
        <w:spacing w:line="240" w:lineRule="auto"/>
        <w:ind w:left="567" w:right="-2" w:hanging="567"/>
        <w:contextualSpacing/>
        <w:rPr>
          <w:szCs w:val="22"/>
        </w:rPr>
      </w:pPr>
      <w:r w:rsidRPr="007A17AE">
        <w:rPr>
          <w:szCs w:val="22"/>
        </w:rPr>
        <w:t>-</w:t>
      </w:r>
      <w:r w:rsidRPr="007A17AE">
        <w:rPr>
          <w:szCs w:val="22"/>
        </w:rPr>
        <w:tab/>
        <w:t>Šis vaistas skirtas tik Jums, todėl kitiems žmonėms jo duoti negalima. Vaistas gali jiems pakenkti (net tiems, kurių ligos požymiai yra tokie patys kaip Jūsų).</w:t>
      </w:r>
      <w:r w:rsidRPr="007A17AE">
        <w:rPr>
          <w:color w:val="008000"/>
          <w:szCs w:val="22"/>
        </w:rPr>
        <w:t xml:space="preserve"> </w:t>
      </w:r>
    </w:p>
    <w:p w14:paraId="6D97D758" w14:textId="42DCC995" w:rsidR="00A9140A" w:rsidRPr="007A17AE" w:rsidRDefault="00A9140A" w:rsidP="007A17AE">
      <w:pPr>
        <w:numPr>
          <w:ilvl w:val="0"/>
          <w:numId w:val="1"/>
        </w:numPr>
        <w:spacing w:line="240" w:lineRule="auto"/>
        <w:ind w:left="567" w:hanging="567"/>
        <w:contextualSpacing/>
        <w:rPr>
          <w:szCs w:val="22"/>
        </w:rPr>
      </w:pPr>
      <w:r w:rsidRPr="007A17AE">
        <w:rPr>
          <w:szCs w:val="22"/>
        </w:rPr>
        <w:t>Jeigu pasireiškė šalutinis poveikis (net jeigu jis šiame lapelyje nenurodytas),</w:t>
      </w:r>
      <w:r w:rsidRPr="007A17AE">
        <w:rPr>
          <w:color w:val="FF0000"/>
          <w:szCs w:val="22"/>
        </w:rPr>
        <w:t xml:space="preserve"> </w:t>
      </w:r>
      <w:r w:rsidRPr="007A17AE">
        <w:rPr>
          <w:szCs w:val="22"/>
        </w:rPr>
        <w:t>kreipkitės į gydytoją</w:t>
      </w:r>
      <w:r w:rsidR="00817D4D">
        <w:rPr>
          <w:szCs w:val="22"/>
        </w:rPr>
        <w:t>,</w:t>
      </w:r>
      <w:r w:rsidRPr="007A17AE">
        <w:rPr>
          <w:szCs w:val="22"/>
        </w:rPr>
        <w:t xml:space="preserve"> vaistininką</w:t>
      </w:r>
      <w:r w:rsidR="00817D4D">
        <w:rPr>
          <w:szCs w:val="22"/>
        </w:rPr>
        <w:t xml:space="preserve"> arba slaugytoją</w:t>
      </w:r>
      <w:r w:rsidRPr="007A17AE">
        <w:rPr>
          <w:szCs w:val="22"/>
        </w:rPr>
        <w:t>. Žr. 4 skyrių.</w:t>
      </w:r>
    </w:p>
    <w:p w14:paraId="752D33CA" w14:textId="77777777" w:rsidR="006455D2" w:rsidRPr="007A17AE" w:rsidRDefault="006455D2" w:rsidP="007A17AE">
      <w:pPr>
        <w:tabs>
          <w:tab w:val="clear" w:pos="567"/>
        </w:tabs>
        <w:spacing w:line="240" w:lineRule="auto"/>
        <w:ind w:right="-2"/>
        <w:contextualSpacing/>
        <w:rPr>
          <w:szCs w:val="22"/>
        </w:rPr>
      </w:pPr>
    </w:p>
    <w:p w14:paraId="6228D114" w14:textId="77777777" w:rsidR="00A9140A" w:rsidRPr="007A17AE" w:rsidRDefault="00A9140A" w:rsidP="007A17AE">
      <w:pPr>
        <w:keepNext/>
        <w:numPr>
          <w:ilvl w:val="12"/>
          <w:numId w:val="0"/>
        </w:numPr>
        <w:tabs>
          <w:tab w:val="clear" w:pos="567"/>
        </w:tabs>
        <w:spacing w:line="240" w:lineRule="auto"/>
        <w:ind w:right="-2"/>
        <w:contextualSpacing/>
        <w:outlineLvl w:val="0"/>
        <w:rPr>
          <w:szCs w:val="22"/>
        </w:rPr>
      </w:pPr>
      <w:r w:rsidRPr="007A17AE">
        <w:rPr>
          <w:b/>
          <w:szCs w:val="22"/>
        </w:rPr>
        <w:t>Apie ką rašoma šiame lapelyje?</w:t>
      </w:r>
    </w:p>
    <w:p w14:paraId="52E9E07B" w14:textId="77777777" w:rsidR="006455D2" w:rsidRPr="007A17AE" w:rsidRDefault="006455D2" w:rsidP="007A17AE">
      <w:pPr>
        <w:numPr>
          <w:ilvl w:val="12"/>
          <w:numId w:val="0"/>
        </w:numPr>
        <w:tabs>
          <w:tab w:val="clear" w:pos="567"/>
        </w:tabs>
        <w:spacing w:line="240" w:lineRule="auto"/>
        <w:ind w:right="-2"/>
        <w:contextualSpacing/>
        <w:outlineLvl w:val="0"/>
        <w:rPr>
          <w:szCs w:val="22"/>
        </w:rPr>
      </w:pPr>
    </w:p>
    <w:p w14:paraId="71559DF4" w14:textId="77777777" w:rsidR="00A9140A" w:rsidRPr="007A17AE" w:rsidRDefault="00A9140A" w:rsidP="007A17AE">
      <w:pPr>
        <w:numPr>
          <w:ilvl w:val="12"/>
          <w:numId w:val="0"/>
        </w:numPr>
        <w:tabs>
          <w:tab w:val="clear" w:pos="567"/>
          <w:tab w:val="left" w:pos="426"/>
        </w:tabs>
        <w:spacing w:line="240" w:lineRule="auto"/>
        <w:ind w:right="-29"/>
        <w:contextualSpacing/>
        <w:rPr>
          <w:szCs w:val="22"/>
        </w:rPr>
      </w:pPr>
      <w:r w:rsidRPr="007A17AE">
        <w:rPr>
          <w:szCs w:val="22"/>
        </w:rPr>
        <w:t>1.</w:t>
      </w:r>
      <w:r w:rsidRPr="007A17AE">
        <w:rPr>
          <w:szCs w:val="22"/>
        </w:rPr>
        <w:tab/>
        <w:t xml:space="preserve">Kas yra </w:t>
      </w:r>
      <w:r w:rsidR="00297BDB" w:rsidRPr="007A17AE">
        <w:rPr>
          <w:szCs w:val="22"/>
        </w:rPr>
        <w:t>Aprepitant Sandoz</w:t>
      </w:r>
      <w:r w:rsidRPr="007A17AE">
        <w:rPr>
          <w:szCs w:val="22"/>
        </w:rPr>
        <w:t xml:space="preserve"> ir kam jis vartojamas </w:t>
      </w:r>
    </w:p>
    <w:p w14:paraId="7C99A095" w14:textId="77777777" w:rsidR="00A9140A" w:rsidRPr="007A17AE" w:rsidRDefault="00A9140A" w:rsidP="007A17AE">
      <w:pPr>
        <w:numPr>
          <w:ilvl w:val="12"/>
          <w:numId w:val="0"/>
        </w:numPr>
        <w:tabs>
          <w:tab w:val="clear" w:pos="567"/>
          <w:tab w:val="left" w:pos="426"/>
        </w:tabs>
        <w:spacing w:line="240" w:lineRule="auto"/>
        <w:ind w:right="-29"/>
        <w:contextualSpacing/>
        <w:rPr>
          <w:szCs w:val="22"/>
        </w:rPr>
      </w:pPr>
      <w:r w:rsidRPr="007A17AE">
        <w:rPr>
          <w:szCs w:val="22"/>
        </w:rPr>
        <w:t>2.</w:t>
      </w:r>
      <w:r w:rsidRPr="007A17AE">
        <w:rPr>
          <w:szCs w:val="22"/>
        </w:rPr>
        <w:tab/>
        <w:t xml:space="preserve">Kas žinotina prieš vartojant </w:t>
      </w:r>
      <w:r w:rsidR="00297BDB" w:rsidRPr="007A17AE">
        <w:rPr>
          <w:szCs w:val="22"/>
        </w:rPr>
        <w:t>Aprepitant Sandoz</w:t>
      </w:r>
      <w:r w:rsidRPr="007A17AE">
        <w:rPr>
          <w:szCs w:val="22"/>
        </w:rPr>
        <w:t xml:space="preserve"> </w:t>
      </w:r>
    </w:p>
    <w:p w14:paraId="2CB27994" w14:textId="77777777" w:rsidR="00A9140A" w:rsidRPr="007A17AE" w:rsidRDefault="00A9140A" w:rsidP="007A17AE">
      <w:pPr>
        <w:numPr>
          <w:ilvl w:val="12"/>
          <w:numId w:val="0"/>
        </w:numPr>
        <w:tabs>
          <w:tab w:val="clear" w:pos="567"/>
          <w:tab w:val="left" w:pos="426"/>
        </w:tabs>
        <w:spacing w:line="240" w:lineRule="auto"/>
        <w:ind w:right="-29"/>
        <w:contextualSpacing/>
        <w:rPr>
          <w:szCs w:val="22"/>
        </w:rPr>
      </w:pPr>
      <w:r w:rsidRPr="007A17AE">
        <w:rPr>
          <w:szCs w:val="22"/>
        </w:rPr>
        <w:t>3.</w:t>
      </w:r>
      <w:r w:rsidRPr="007A17AE">
        <w:rPr>
          <w:szCs w:val="22"/>
        </w:rPr>
        <w:tab/>
        <w:t xml:space="preserve">Kaip vartoti </w:t>
      </w:r>
      <w:r w:rsidR="00297BDB" w:rsidRPr="007A17AE">
        <w:rPr>
          <w:szCs w:val="22"/>
        </w:rPr>
        <w:t>Aprepitant Sandoz</w:t>
      </w:r>
      <w:r w:rsidRPr="007A17AE">
        <w:rPr>
          <w:szCs w:val="22"/>
        </w:rPr>
        <w:t xml:space="preserve"> </w:t>
      </w:r>
    </w:p>
    <w:p w14:paraId="55EEE992" w14:textId="77777777" w:rsidR="00A9140A" w:rsidRPr="007A17AE" w:rsidRDefault="00A9140A" w:rsidP="007A17AE">
      <w:pPr>
        <w:numPr>
          <w:ilvl w:val="12"/>
          <w:numId w:val="0"/>
        </w:numPr>
        <w:tabs>
          <w:tab w:val="clear" w:pos="567"/>
          <w:tab w:val="left" w:pos="426"/>
        </w:tabs>
        <w:spacing w:line="240" w:lineRule="auto"/>
        <w:ind w:right="-29"/>
        <w:contextualSpacing/>
        <w:rPr>
          <w:szCs w:val="22"/>
        </w:rPr>
      </w:pPr>
      <w:r w:rsidRPr="007A17AE">
        <w:rPr>
          <w:szCs w:val="22"/>
        </w:rPr>
        <w:t>4.</w:t>
      </w:r>
      <w:r w:rsidRPr="007A17AE">
        <w:rPr>
          <w:szCs w:val="22"/>
        </w:rPr>
        <w:tab/>
        <w:t xml:space="preserve">Galimas šalutinis poveikis </w:t>
      </w:r>
    </w:p>
    <w:p w14:paraId="498378D4" w14:textId="77777777" w:rsidR="00A9140A" w:rsidRPr="007A17AE" w:rsidRDefault="00A9140A" w:rsidP="007A17AE">
      <w:pPr>
        <w:tabs>
          <w:tab w:val="clear" w:pos="567"/>
          <w:tab w:val="left" w:pos="426"/>
        </w:tabs>
        <w:spacing w:line="240" w:lineRule="auto"/>
        <w:ind w:right="-29"/>
        <w:contextualSpacing/>
        <w:rPr>
          <w:szCs w:val="22"/>
        </w:rPr>
      </w:pPr>
      <w:r w:rsidRPr="007A17AE">
        <w:rPr>
          <w:szCs w:val="22"/>
        </w:rPr>
        <w:t>5.</w:t>
      </w:r>
      <w:r w:rsidRPr="007A17AE">
        <w:rPr>
          <w:szCs w:val="22"/>
        </w:rPr>
        <w:tab/>
        <w:t xml:space="preserve">Kaip laikyti </w:t>
      </w:r>
      <w:r w:rsidR="00297BDB" w:rsidRPr="007A17AE">
        <w:rPr>
          <w:szCs w:val="22"/>
        </w:rPr>
        <w:t>Aprepitant Sandoz</w:t>
      </w:r>
    </w:p>
    <w:p w14:paraId="53BF4158" w14:textId="77777777" w:rsidR="00A9140A" w:rsidRPr="007A17AE" w:rsidRDefault="00A9140A" w:rsidP="007A17AE">
      <w:pPr>
        <w:tabs>
          <w:tab w:val="clear" w:pos="567"/>
          <w:tab w:val="left" w:pos="426"/>
        </w:tabs>
        <w:spacing w:line="240" w:lineRule="auto"/>
        <w:ind w:right="-29"/>
        <w:contextualSpacing/>
        <w:rPr>
          <w:szCs w:val="22"/>
        </w:rPr>
      </w:pPr>
      <w:r w:rsidRPr="007A17AE">
        <w:rPr>
          <w:szCs w:val="22"/>
        </w:rPr>
        <w:t>6.</w:t>
      </w:r>
      <w:r w:rsidRPr="007A17AE">
        <w:rPr>
          <w:szCs w:val="22"/>
        </w:rPr>
        <w:tab/>
        <w:t>Pakuotės turinys ir kita informacija</w:t>
      </w:r>
    </w:p>
    <w:p w14:paraId="6B3AAF1F" w14:textId="77777777" w:rsidR="006455D2" w:rsidRPr="007A17AE" w:rsidRDefault="006455D2" w:rsidP="007A17AE">
      <w:pPr>
        <w:numPr>
          <w:ilvl w:val="12"/>
          <w:numId w:val="0"/>
        </w:numPr>
        <w:tabs>
          <w:tab w:val="clear" w:pos="567"/>
        </w:tabs>
        <w:spacing w:line="240" w:lineRule="auto"/>
        <w:ind w:right="-2"/>
        <w:contextualSpacing/>
        <w:rPr>
          <w:szCs w:val="22"/>
        </w:rPr>
      </w:pPr>
    </w:p>
    <w:p w14:paraId="455D3684" w14:textId="77777777" w:rsidR="006455D2" w:rsidRPr="007A17AE" w:rsidRDefault="006455D2" w:rsidP="007A17AE">
      <w:pPr>
        <w:numPr>
          <w:ilvl w:val="12"/>
          <w:numId w:val="0"/>
        </w:numPr>
        <w:tabs>
          <w:tab w:val="clear" w:pos="567"/>
        </w:tabs>
        <w:spacing w:line="240" w:lineRule="auto"/>
        <w:contextualSpacing/>
        <w:rPr>
          <w:szCs w:val="22"/>
        </w:rPr>
      </w:pPr>
    </w:p>
    <w:p w14:paraId="24014257" w14:textId="77777777" w:rsidR="00A9140A" w:rsidRPr="007A17AE" w:rsidRDefault="00A9140A" w:rsidP="007A17AE">
      <w:pPr>
        <w:spacing w:line="240" w:lineRule="auto"/>
        <w:ind w:right="-2"/>
        <w:contextualSpacing/>
        <w:rPr>
          <w:b/>
          <w:szCs w:val="22"/>
        </w:rPr>
      </w:pPr>
      <w:r w:rsidRPr="007A17AE">
        <w:rPr>
          <w:b/>
          <w:szCs w:val="22"/>
        </w:rPr>
        <w:t>1.</w:t>
      </w:r>
      <w:r w:rsidRPr="007A17AE">
        <w:rPr>
          <w:b/>
          <w:szCs w:val="22"/>
        </w:rPr>
        <w:tab/>
        <w:t xml:space="preserve">Kas yra </w:t>
      </w:r>
      <w:r w:rsidR="00297BDB" w:rsidRPr="007A17AE">
        <w:rPr>
          <w:b/>
          <w:szCs w:val="22"/>
        </w:rPr>
        <w:t>Aprepitant Sandoz</w:t>
      </w:r>
      <w:r w:rsidRPr="007A17AE">
        <w:rPr>
          <w:b/>
          <w:szCs w:val="22"/>
        </w:rPr>
        <w:t xml:space="preserve"> ir kam jis vartojamas</w:t>
      </w:r>
    </w:p>
    <w:p w14:paraId="5F5ADC05" w14:textId="77777777" w:rsidR="006455D2" w:rsidRPr="007A17AE" w:rsidRDefault="006455D2" w:rsidP="007A17AE">
      <w:pPr>
        <w:numPr>
          <w:ilvl w:val="12"/>
          <w:numId w:val="0"/>
        </w:numPr>
        <w:tabs>
          <w:tab w:val="clear" w:pos="567"/>
        </w:tabs>
        <w:spacing w:line="240" w:lineRule="auto"/>
        <w:contextualSpacing/>
        <w:rPr>
          <w:szCs w:val="22"/>
        </w:rPr>
      </w:pPr>
    </w:p>
    <w:p w14:paraId="3BB7928B" w14:textId="77777777" w:rsidR="00FC1A21" w:rsidRPr="007A17AE" w:rsidRDefault="00297BDB" w:rsidP="007A17AE">
      <w:pPr>
        <w:pStyle w:val="Default"/>
        <w:contextualSpacing/>
        <w:rPr>
          <w:szCs w:val="22"/>
        </w:rPr>
      </w:pPr>
      <w:r w:rsidRPr="007A17AE">
        <w:rPr>
          <w:sz w:val="22"/>
          <w:szCs w:val="22"/>
        </w:rPr>
        <w:t>Aprepitant Sandoz</w:t>
      </w:r>
      <w:r w:rsidR="00946059" w:rsidRPr="007A17AE">
        <w:rPr>
          <w:sz w:val="22"/>
          <w:szCs w:val="22"/>
        </w:rPr>
        <w:t xml:space="preserve"> sudėtyje </w:t>
      </w:r>
      <w:r w:rsidRPr="007A17AE">
        <w:rPr>
          <w:sz w:val="22"/>
          <w:szCs w:val="22"/>
        </w:rPr>
        <w:t>yra veikliosios medžiagos aprepitanto, kuris priklauso vaistų grupei, vadinamai "neurokinino 1 (NK</w:t>
      </w:r>
      <w:r w:rsidRPr="00F122CC">
        <w:rPr>
          <w:sz w:val="22"/>
          <w:szCs w:val="22"/>
          <w:vertAlign w:val="subscript"/>
        </w:rPr>
        <w:t>1</w:t>
      </w:r>
      <w:r w:rsidRPr="007A17AE">
        <w:rPr>
          <w:sz w:val="22"/>
          <w:szCs w:val="22"/>
        </w:rPr>
        <w:t>) receptoriaus antagonistais". Pykinimą ir vėmimą kontroliuoja tam tikra galvos smegenų sritis. Aprepitant Sandoz veikia blokuodamas signalų patekimą į šią sritį, tokiu būdu sumažindamas pykinimą ir vėmimą. Aprepitant Sandoz kapsulės yra skirtos suaugusiesiems ir vaikams nuo 12</w:t>
      </w:r>
      <w:r w:rsidR="00091B4C">
        <w:rPr>
          <w:sz w:val="22"/>
          <w:szCs w:val="22"/>
        </w:rPr>
        <w:t> </w:t>
      </w:r>
      <w:r w:rsidRPr="007A17AE">
        <w:rPr>
          <w:sz w:val="22"/>
          <w:szCs w:val="22"/>
        </w:rPr>
        <w:t xml:space="preserve">metų vartoti </w:t>
      </w:r>
      <w:r w:rsidRPr="007A17AE">
        <w:rPr>
          <w:b/>
          <w:sz w:val="22"/>
          <w:szCs w:val="22"/>
          <w:u w:val="single"/>
        </w:rPr>
        <w:t xml:space="preserve">derinyje su kitais vaistais, </w:t>
      </w:r>
      <w:r w:rsidRPr="007A17AE">
        <w:rPr>
          <w:sz w:val="22"/>
          <w:szCs w:val="22"/>
        </w:rPr>
        <w:t>kad sukliudyti atsirasti</w:t>
      </w:r>
      <w:r w:rsidR="0050509C" w:rsidRPr="007A17AE">
        <w:rPr>
          <w:sz w:val="22"/>
          <w:szCs w:val="22"/>
        </w:rPr>
        <w:t xml:space="preserve"> </w:t>
      </w:r>
      <w:r w:rsidRPr="007A17AE">
        <w:rPr>
          <w:sz w:val="22"/>
          <w:szCs w:val="22"/>
        </w:rPr>
        <w:t>pykinim</w:t>
      </w:r>
      <w:r w:rsidR="0050509C" w:rsidRPr="007A17AE">
        <w:rPr>
          <w:sz w:val="22"/>
          <w:szCs w:val="22"/>
        </w:rPr>
        <w:t>ui</w:t>
      </w:r>
      <w:r w:rsidRPr="007A17AE">
        <w:rPr>
          <w:sz w:val="22"/>
          <w:szCs w:val="22"/>
        </w:rPr>
        <w:t xml:space="preserve"> ir vėmim</w:t>
      </w:r>
      <w:r w:rsidR="0050509C" w:rsidRPr="007A17AE">
        <w:rPr>
          <w:sz w:val="22"/>
          <w:szCs w:val="22"/>
        </w:rPr>
        <w:t>ui</w:t>
      </w:r>
      <w:r w:rsidRPr="007A17AE">
        <w:rPr>
          <w:sz w:val="22"/>
          <w:szCs w:val="22"/>
        </w:rPr>
        <w:t xml:space="preserve"> taikant chemoterapiją, t.y. vartojant</w:t>
      </w:r>
      <w:r w:rsidR="0050509C" w:rsidRPr="007A17AE">
        <w:rPr>
          <w:sz w:val="22"/>
          <w:szCs w:val="22"/>
        </w:rPr>
        <w:t xml:space="preserve"> </w:t>
      </w:r>
      <w:r w:rsidRPr="007A17AE">
        <w:rPr>
          <w:sz w:val="22"/>
          <w:szCs w:val="22"/>
        </w:rPr>
        <w:t>vaist</w:t>
      </w:r>
      <w:r w:rsidR="0050509C" w:rsidRPr="007A17AE">
        <w:rPr>
          <w:sz w:val="22"/>
          <w:szCs w:val="22"/>
        </w:rPr>
        <w:t>ų</w:t>
      </w:r>
      <w:r w:rsidRPr="007A17AE">
        <w:rPr>
          <w:sz w:val="22"/>
          <w:szCs w:val="22"/>
        </w:rPr>
        <w:t xml:space="preserve"> nuo vėžio, </w:t>
      </w:r>
      <w:r w:rsidR="0050509C" w:rsidRPr="007A17AE">
        <w:rPr>
          <w:sz w:val="22"/>
          <w:szCs w:val="22"/>
        </w:rPr>
        <w:t>sukeliančių</w:t>
      </w:r>
      <w:r w:rsidRPr="007A17AE">
        <w:rPr>
          <w:sz w:val="22"/>
          <w:szCs w:val="22"/>
        </w:rPr>
        <w:t xml:space="preserve"> </w:t>
      </w:r>
      <w:r w:rsidR="0050509C" w:rsidRPr="007A17AE">
        <w:rPr>
          <w:sz w:val="22"/>
          <w:szCs w:val="22"/>
        </w:rPr>
        <w:t>minėtus stiprius</w:t>
      </w:r>
      <w:r w:rsidRPr="007A17AE">
        <w:rPr>
          <w:sz w:val="22"/>
          <w:szCs w:val="22"/>
        </w:rPr>
        <w:t xml:space="preserve"> arba vidutini</w:t>
      </w:r>
      <w:r w:rsidR="0050509C" w:rsidRPr="007A17AE">
        <w:rPr>
          <w:sz w:val="22"/>
          <w:szCs w:val="22"/>
        </w:rPr>
        <w:t>o stiprumo sutrikimus</w:t>
      </w:r>
      <w:r w:rsidRPr="007A17AE">
        <w:rPr>
          <w:sz w:val="22"/>
          <w:szCs w:val="22"/>
        </w:rPr>
        <w:t>, pvz., cisplatin</w:t>
      </w:r>
      <w:r w:rsidR="0050509C" w:rsidRPr="007A17AE">
        <w:rPr>
          <w:sz w:val="22"/>
          <w:szCs w:val="22"/>
        </w:rPr>
        <w:t>os</w:t>
      </w:r>
      <w:r w:rsidRPr="007A17AE">
        <w:rPr>
          <w:sz w:val="22"/>
          <w:szCs w:val="22"/>
        </w:rPr>
        <w:t>,</w:t>
      </w:r>
      <w:r w:rsidR="0050509C" w:rsidRPr="007A17AE">
        <w:rPr>
          <w:sz w:val="22"/>
          <w:szCs w:val="22"/>
        </w:rPr>
        <w:t xml:space="preserve"> </w:t>
      </w:r>
      <w:r w:rsidRPr="007A17AE">
        <w:rPr>
          <w:sz w:val="22"/>
          <w:szCs w:val="22"/>
        </w:rPr>
        <w:t>ciklofosfamid</w:t>
      </w:r>
      <w:r w:rsidR="0050509C" w:rsidRPr="007A17AE">
        <w:rPr>
          <w:sz w:val="22"/>
          <w:szCs w:val="22"/>
        </w:rPr>
        <w:t>o</w:t>
      </w:r>
      <w:r w:rsidRPr="007A17AE">
        <w:rPr>
          <w:sz w:val="22"/>
          <w:szCs w:val="22"/>
        </w:rPr>
        <w:t>, doksorubicin</w:t>
      </w:r>
      <w:r w:rsidR="0050509C" w:rsidRPr="007A17AE">
        <w:rPr>
          <w:sz w:val="22"/>
          <w:szCs w:val="22"/>
        </w:rPr>
        <w:t>o</w:t>
      </w:r>
      <w:r w:rsidRPr="007A17AE">
        <w:rPr>
          <w:sz w:val="22"/>
          <w:szCs w:val="22"/>
        </w:rPr>
        <w:t xml:space="preserve"> arba epirubicin</w:t>
      </w:r>
      <w:r w:rsidR="0050509C" w:rsidRPr="007A17AE">
        <w:rPr>
          <w:sz w:val="22"/>
          <w:szCs w:val="22"/>
        </w:rPr>
        <w:t>o</w:t>
      </w:r>
      <w:r w:rsidRPr="007A17AE">
        <w:rPr>
          <w:sz w:val="22"/>
          <w:szCs w:val="22"/>
        </w:rPr>
        <w:t>.</w:t>
      </w:r>
    </w:p>
    <w:p w14:paraId="0C7DB976" w14:textId="77777777" w:rsidR="00E21064" w:rsidRPr="007A17AE" w:rsidRDefault="00E21064" w:rsidP="007A17AE">
      <w:pPr>
        <w:spacing w:line="240" w:lineRule="auto"/>
        <w:ind w:right="-2"/>
        <w:contextualSpacing/>
        <w:rPr>
          <w:szCs w:val="22"/>
        </w:rPr>
      </w:pPr>
    </w:p>
    <w:p w14:paraId="4E40AAF9" w14:textId="77777777" w:rsidR="0050509C" w:rsidRPr="007A17AE" w:rsidRDefault="0050509C" w:rsidP="007A17AE">
      <w:pPr>
        <w:spacing w:line="240" w:lineRule="auto"/>
        <w:ind w:right="-2"/>
        <w:contextualSpacing/>
        <w:rPr>
          <w:szCs w:val="22"/>
        </w:rPr>
      </w:pPr>
    </w:p>
    <w:p w14:paraId="21EBFAC2" w14:textId="77777777" w:rsidR="00A9140A" w:rsidRPr="007A17AE" w:rsidRDefault="00A9140A" w:rsidP="007A17AE">
      <w:pPr>
        <w:spacing w:line="240" w:lineRule="auto"/>
        <w:ind w:right="-2"/>
        <w:contextualSpacing/>
        <w:rPr>
          <w:b/>
          <w:szCs w:val="22"/>
        </w:rPr>
      </w:pPr>
      <w:r w:rsidRPr="007A17AE">
        <w:rPr>
          <w:b/>
          <w:szCs w:val="22"/>
        </w:rPr>
        <w:t>2.</w:t>
      </w:r>
      <w:r w:rsidRPr="007A17AE">
        <w:rPr>
          <w:b/>
          <w:szCs w:val="22"/>
        </w:rPr>
        <w:tab/>
        <w:t xml:space="preserve">Kas žinotina prieš vartojant </w:t>
      </w:r>
      <w:r w:rsidR="00297BDB" w:rsidRPr="007A17AE">
        <w:rPr>
          <w:b/>
          <w:szCs w:val="22"/>
        </w:rPr>
        <w:t>Aprepitant Sandoz</w:t>
      </w:r>
    </w:p>
    <w:p w14:paraId="74FFB852" w14:textId="77777777" w:rsidR="006455D2" w:rsidRPr="007A17AE" w:rsidRDefault="006455D2" w:rsidP="007A17AE">
      <w:pPr>
        <w:numPr>
          <w:ilvl w:val="12"/>
          <w:numId w:val="0"/>
        </w:numPr>
        <w:tabs>
          <w:tab w:val="clear" w:pos="567"/>
        </w:tabs>
        <w:spacing w:line="240" w:lineRule="auto"/>
        <w:contextualSpacing/>
        <w:outlineLvl w:val="0"/>
        <w:rPr>
          <w:i/>
          <w:szCs w:val="22"/>
        </w:rPr>
      </w:pPr>
    </w:p>
    <w:p w14:paraId="114F0572" w14:textId="7918447D" w:rsidR="00A9140A" w:rsidRPr="007A17AE" w:rsidRDefault="00297BDB" w:rsidP="007A17AE">
      <w:pPr>
        <w:numPr>
          <w:ilvl w:val="12"/>
          <w:numId w:val="0"/>
        </w:numPr>
        <w:tabs>
          <w:tab w:val="clear" w:pos="567"/>
        </w:tabs>
        <w:spacing w:line="240" w:lineRule="auto"/>
        <w:contextualSpacing/>
        <w:outlineLvl w:val="0"/>
        <w:rPr>
          <w:szCs w:val="22"/>
        </w:rPr>
      </w:pPr>
      <w:r w:rsidRPr="007A17AE">
        <w:rPr>
          <w:b/>
          <w:szCs w:val="22"/>
        </w:rPr>
        <w:t>Aprepitant Sandoz</w:t>
      </w:r>
      <w:r w:rsidR="00A9140A" w:rsidRPr="007A17AE">
        <w:rPr>
          <w:b/>
          <w:szCs w:val="22"/>
        </w:rPr>
        <w:t xml:space="preserve"> vartoti </w:t>
      </w:r>
      <w:r w:rsidR="00BB5D3C">
        <w:rPr>
          <w:b/>
          <w:szCs w:val="22"/>
        </w:rPr>
        <w:t>draudžiama</w:t>
      </w:r>
      <w:r w:rsidR="00A9140A" w:rsidRPr="007A17AE">
        <w:rPr>
          <w:b/>
          <w:szCs w:val="22"/>
        </w:rPr>
        <w:t>:</w:t>
      </w:r>
    </w:p>
    <w:p w14:paraId="1F90B05F" w14:textId="77777777" w:rsidR="0050509C" w:rsidRPr="007A17AE" w:rsidRDefault="0050509C" w:rsidP="007A17AE">
      <w:pPr>
        <w:numPr>
          <w:ilvl w:val="0"/>
          <w:numId w:val="19"/>
        </w:numPr>
        <w:tabs>
          <w:tab w:val="clear" w:pos="567"/>
        </w:tabs>
        <w:spacing w:line="240" w:lineRule="auto"/>
        <w:ind w:left="567" w:hanging="567"/>
        <w:contextualSpacing/>
        <w:rPr>
          <w:szCs w:val="22"/>
        </w:rPr>
      </w:pPr>
      <w:r w:rsidRPr="007A17AE">
        <w:rPr>
          <w:szCs w:val="22"/>
        </w:rPr>
        <w:t>jeigu Jums arba Jūsų vaikui yra alergija aprepitantui arba bet kuriai pagalbinei šio vaisto medžiagai (jos išvardytos 6 skyriuje);</w:t>
      </w:r>
    </w:p>
    <w:p w14:paraId="0CCAEAB5" w14:textId="77777777" w:rsidR="005B2EE3" w:rsidRPr="007A17AE" w:rsidRDefault="0050509C" w:rsidP="007A17AE">
      <w:pPr>
        <w:numPr>
          <w:ilvl w:val="0"/>
          <w:numId w:val="19"/>
        </w:numPr>
        <w:tabs>
          <w:tab w:val="clear" w:pos="567"/>
        </w:tabs>
        <w:spacing w:line="240" w:lineRule="auto"/>
        <w:ind w:left="567" w:hanging="567"/>
        <w:contextualSpacing/>
        <w:rPr>
          <w:szCs w:val="22"/>
        </w:rPr>
      </w:pPr>
      <w:r w:rsidRPr="007A17AE">
        <w:rPr>
          <w:szCs w:val="22"/>
        </w:rPr>
        <w:t>kartu su vaistais, kurių sudėtyje yra pimozido (vartojamo psichikos sutrikimams gydyti), terfenadino ir astemizolo (vartojamų šienligei ir kitoms alerginėms būklėms gydyti), cisaprido (vartojamo virškinimo sutrikimams gydyti). Pasakykite gydytojui, jeigu Jūs vartojate arba Jūsų vaikas vartoja šių vaistų, nes kartais reikia keisti gydymą prieš pradedant vartoti Aprepitant Sandoz.</w:t>
      </w:r>
    </w:p>
    <w:p w14:paraId="5F9ACC16" w14:textId="77777777" w:rsidR="006455D2" w:rsidRPr="007A17AE" w:rsidRDefault="006455D2" w:rsidP="007A17AE">
      <w:pPr>
        <w:numPr>
          <w:ilvl w:val="12"/>
          <w:numId w:val="0"/>
        </w:numPr>
        <w:tabs>
          <w:tab w:val="clear" w:pos="567"/>
        </w:tabs>
        <w:spacing w:line="240" w:lineRule="auto"/>
        <w:contextualSpacing/>
        <w:rPr>
          <w:szCs w:val="22"/>
          <w:highlight w:val="yellow"/>
        </w:rPr>
      </w:pPr>
    </w:p>
    <w:p w14:paraId="509459E2" w14:textId="77777777" w:rsidR="00A9140A" w:rsidRPr="007A17AE" w:rsidRDefault="00A9140A" w:rsidP="007A17AE">
      <w:pPr>
        <w:numPr>
          <w:ilvl w:val="12"/>
          <w:numId w:val="0"/>
        </w:numPr>
        <w:tabs>
          <w:tab w:val="clear" w:pos="567"/>
        </w:tabs>
        <w:spacing w:line="240" w:lineRule="auto"/>
        <w:contextualSpacing/>
        <w:outlineLvl w:val="0"/>
        <w:rPr>
          <w:szCs w:val="22"/>
        </w:rPr>
      </w:pPr>
      <w:r w:rsidRPr="007A17AE">
        <w:rPr>
          <w:b/>
          <w:szCs w:val="22"/>
        </w:rPr>
        <w:t xml:space="preserve">Įspėjimai ir atsargumo priemonės </w:t>
      </w:r>
    </w:p>
    <w:p w14:paraId="66491089" w14:textId="77777777" w:rsidR="003A3B23" w:rsidRPr="007A17AE" w:rsidRDefault="003A3B23" w:rsidP="007A17AE">
      <w:pPr>
        <w:pStyle w:val="Default"/>
        <w:contextualSpacing/>
        <w:rPr>
          <w:sz w:val="22"/>
          <w:szCs w:val="22"/>
        </w:rPr>
      </w:pPr>
      <w:r w:rsidRPr="007A17AE">
        <w:rPr>
          <w:sz w:val="22"/>
          <w:szCs w:val="22"/>
        </w:rPr>
        <w:t>Pasitarkite su gydytoju, vaistininku arba slaugytoju, prieš pradėdami vartoti Aprepitant Sandoz arba prieš duodami šio vaisto vaikui.</w:t>
      </w:r>
    </w:p>
    <w:p w14:paraId="1C0C4504" w14:textId="77777777" w:rsidR="003A3B23" w:rsidRPr="007A17AE" w:rsidRDefault="003A3B23" w:rsidP="007A17AE">
      <w:pPr>
        <w:pStyle w:val="Default"/>
        <w:contextualSpacing/>
        <w:rPr>
          <w:sz w:val="22"/>
          <w:szCs w:val="22"/>
        </w:rPr>
      </w:pPr>
    </w:p>
    <w:p w14:paraId="1DC07DDA" w14:textId="77777777" w:rsidR="003A3B23" w:rsidRPr="007A17AE" w:rsidRDefault="003A3B23" w:rsidP="007A17AE">
      <w:pPr>
        <w:pStyle w:val="Default"/>
        <w:contextualSpacing/>
        <w:rPr>
          <w:sz w:val="22"/>
          <w:szCs w:val="22"/>
        </w:rPr>
      </w:pPr>
      <w:r w:rsidRPr="007A17AE">
        <w:rPr>
          <w:sz w:val="22"/>
          <w:szCs w:val="22"/>
        </w:rPr>
        <w:t>Prieš pradedant gydyti šiuo vaistu pasakykite gydytojui, jeigu pacientas serga kepenų liga, nes kepenys yra svarbios vaisto ardymui organizme. Dėl to gydytojas gali stebėti paciento kepenų būklę.</w:t>
      </w:r>
    </w:p>
    <w:p w14:paraId="7CA8CE09" w14:textId="77777777" w:rsidR="003A3B23" w:rsidRPr="007A17AE" w:rsidRDefault="003A3B23" w:rsidP="007A17AE">
      <w:pPr>
        <w:pStyle w:val="Default"/>
        <w:contextualSpacing/>
        <w:rPr>
          <w:sz w:val="22"/>
          <w:szCs w:val="22"/>
        </w:rPr>
      </w:pPr>
    </w:p>
    <w:p w14:paraId="72F53829" w14:textId="77777777" w:rsidR="003A3B23" w:rsidRPr="007A17AE" w:rsidRDefault="003A3B23" w:rsidP="007A17AE">
      <w:pPr>
        <w:pStyle w:val="Default"/>
        <w:contextualSpacing/>
        <w:rPr>
          <w:b/>
          <w:sz w:val="22"/>
          <w:szCs w:val="22"/>
        </w:rPr>
      </w:pPr>
      <w:r w:rsidRPr="007A17AE">
        <w:rPr>
          <w:b/>
          <w:sz w:val="22"/>
          <w:szCs w:val="22"/>
        </w:rPr>
        <w:t>Vaikams ir paaugliams</w:t>
      </w:r>
    </w:p>
    <w:p w14:paraId="447877B4" w14:textId="7133D877" w:rsidR="003A3B23" w:rsidRPr="007A17AE" w:rsidRDefault="003A3B23" w:rsidP="007A17AE">
      <w:pPr>
        <w:pStyle w:val="Default"/>
        <w:contextualSpacing/>
        <w:rPr>
          <w:sz w:val="22"/>
          <w:szCs w:val="22"/>
        </w:rPr>
      </w:pPr>
      <w:r w:rsidRPr="007A17AE">
        <w:rPr>
          <w:sz w:val="22"/>
          <w:szCs w:val="22"/>
        </w:rPr>
        <w:lastRenderedPageBreak/>
        <w:t>Neduokite Aprepitant Sandoz 80 mg kapsulių ir Aprepitant Sandoz 125 mg kapsulių jaunesniems kaip 12</w:t>
      </w:r>
      <w:r w:rsidR="00091B4C">
        <w:rPr>
          <w:sz w:val="22"/>
          <w:szCs w:val="22"/>
        </w:rPr>
        <w:t> </w:t>
      </w:r>
      <w:r w:rsidRPr="007A17AE">
        <w:rPr>
          <w:sz w:val="22"/>
          <w:szCs w:val="22"/>
        </w:rPr>
        <w:t xml:space="preserve">metų amžiaus vaikams, kadangi Aprepitant Sandoz 80 mg kapsulės ir Aprepitant Sandoz 125 mg kapsulės šioje populiacijoje netirtos. </w:t>
      </w:r>
    </w:p>
    <w:p w14:paraId="5C950324" w14:textId="77777777" w:rsidR="002B1678" w:rsidRPr="007A17AE" w:rsidRDefault="002B1678" w:rsidP="007A17AE">
      <w:pPr>
        <w:pStyle w:val="Default"/>
        <w:contextualSpacing/>
        <w:rPr>
          <w:b/>
          <w:bCs/>
          <w:sz w:val="22"/>
          <w:szCs w:val="22"/>
        </w:rPr>
      </w:pPr>
    </w:p>
    <w:p w14:paraId="5BA6523F" w14:textId="77777777" w:rsidR="002B1678" w:rsidRPr="007A17AE" w:rsidRDefault="002B1678" w:rsidP="007A17AE">
      <w:pPr>
        <w:pStyle w:val="Default"/>
        <w:contextualSpacing/>
        <w:rPr>
          <w:sz w:val="22"/>
          <w:szCs w:val="22"/>
        </w:rPr>
      </w:pPr>
      <w:r w:rsidRPr="007A17AE">
        <w:rPr>
          <w:b/>
          <w:bCs/>
          <w:sz w:val="22"/>
          <w:szCs w:val="22"/>
        </w:rPr>
        <w:t xml:space="preserve">Kiti vaistai ir </w:t>
      </w:r>
      <w:r w:rsidR="00297BDB" w:rsidRPr="007A17AE">
        <w:rPr>
          <w:b/>
          <w:bCs/>
          <w:sz w:val="22"/>
          <w:szCs w:val="22"/>
        </w:rPr>
        <w:t>Aprepitant Sandoz</w:t>
      </w:r>
      <w:r w:rsidRPr="007A17AE">
        <w:rPr>
          <w:b/>
          <w:bCs/>
          <w:sz w:val="22"/>
          <w:szCs w:val="22"/>
        </w:rPr>
        <w:t xml:space="preserve"> </w:t>
      </w:r>
    </w:p>
    <w:p w14:paraId="16AE1062" w14:textId="77777777" w:rsidR="002B1678" w:rsidRPr="007A17AE" w:rsidRDefault="002B1678" w:rsidP="007A17AE">
      <w:pPr>
        <w:pStyle w:val="Default"/>
        <w:contextualSpacing/>
        <w:rPr>
          <w:sz w:val="22"/>
          <w:szCs w:val="22"/>
        </w:rPr>
      </w:pPr>
      <w:r w:rsidRPr="007A17AE">
        <w:rPr>
          <w:sz w:val="22"/>
          <w:szCs w:val="22"/>
        </w:rPr>
        <w:t xml:space="preserve">Jeigu vartojate ar neseniai vartojote kitų vaistų, įskaitant įsigytus be recepto, arba dėl to nesate tikri, apie tai pasakykite gydytojui arba vaistininkui. </w:t>
      </w:r>
    </w:p>
    <w:p w14:paraId="2EB73CBF" w14:textId="77777777" w:rsidR="002B1678" w:rsidRPr="007A17AE" w:rsidRDefault="002B1678" w:rsidP="007A17AE">
      <w:pPr>
        <w:pStyle w:val="Default"/>
        <w:contextualSpacing/>
        <w:rPr>
          <w:sz w:val="22"/>
          <w:szCs w:val="22"/>
        </w:rPr>
      </w:pPr>
    </w:p>
    <w:p w14:paraId="46A22741" w14:textId="77777777" w:rsidR="008C7C23" w:rsidRPr="007A17AE" w:rsidRDefault="008C7C23"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Aprepitant Sandoz gali įtakoti kitų vaistų, vartojamų kartu su Aprepitant Sandoz ar po gydymo juo, poveikį. Yra vaistų, kurių negalima vartoti kartu su Aprepitant Sandoz (tokių kaip pimozidas, terfenadinas, astemizolas ir cisapridas) arba reikia keisti jų dozę (taip pat žr. „Aprepitant Sandoz vartoti negalima“).</w:t>
      </w:r>
    </w:p>
    <w:p w14:paraId="55C8C779" w14:textId="77777777" w:rsidR="008C7C23" w:rsidRPr="007A17AE" w:rsidRDefault="008C7C23" w:rsidP="007A17AE">
      <w:pPr>
        <w:tabs>
          <w:tab w:val="clear" w:pos="567"/>
        </w:tabs>
        <w:autoSpaceDE w:val="0"/>
        <w:autoSpaceDN w:val="0"/>
        <w:adjustRightInd w:val="0"/>
        <w:spacing w:line="240" w:lineRule="auto"/>
        <w:contextualSpacing/>
        <w:rPr>
          <w:rFonts w:eastAsia="TimesNewRoman"/>
          <w:szCs w:val="22"/>
          <w:lang w:eastAsia="lt-LT"/>
        </w:rPr>
      </w:pPr>
    </w:p>
    <w:p w14:paraId="12994527" w14:textId="77777777" w:rsidR="008C7C23" w:rsidRPr="007A17AE" w:rsidRDefault="008C7C23"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Jeigu Jūs vartojate arba Jūsų vaikas vartoja Aprepitant Sandoz kartu su kitais vaistais, įskaitant išvard</w:t>
      </w:r>
      <w:r w:rsidR="009D2727" w:rsidRPr="007A17AE">
        <w:rPr>
          <w:rFonts w:eastAsia="TimesNewRoman"/>
          <w:szCs w:val="22"/>
          <w:lang w:eastAsia="lt-LT"/>
        </w:rPr>
        <w:t>y</w:t>
      </w:r>
      <w:r w:rsidRPr="007A17AE">
        <w:rPr>
          <w:rFonts w:eastAsia="TimesNewRoman"/>
          <w:szCs w:val="22"/>
          <w:lang w:eastAsia="lt-LT"/>
        </w:rPr>
        <w:t>tus žemiau, tai gali daryti įtaką Aprepitant Sandoz ar kitų vaistų poveikiui. Pasitarkite su gydytoju arba vaistininku, jeigu Jūs vartojate arba Jūsų vaikas vartoja bet kurio iš šių vaistų:</w:t>
      </w:r>
    </w:p>
    <w:p w14:paraId="1CFE94A1" w14:textId="77777777" w:rsidR="008C7C23" w:rsidRPr="007A17AE" w:rsidRDefault="008C7C23" w:rsidP="007A17AE">
      <w:pPr>
        <w:numPr>
          <w:ilvl w:val="0"/>
          <w:numId w:val="20"/>
        </w:numPr>
        <w:tabs>
          <w:tab w:val="clear" w:pos="567"/>
        </w:tabs>
        <w:autoSpaceDE w:val="0"/>
        <w:autoSpaceDN w:val="0"/>
        <w:adjustRightInd w:val="0"/>
        <w:spacing w:line="240" w:lineRule="auto"/>
        <w:ind w:left="567" w:hanging="567"/>
        <w:contextualSpacing/>
        <w:rPr>
          <w:rFonts w:eastAsia="TimesNewRoman"/>
          <w:szCs w:val="22"/>
          <w:lang w:eastAsia="lt-LT"/>
        </w:rPr>
      </w:pPr>
      <w:r w:rsidRPr="007A17AE">
        <w:rPr>
          <w:rFonts w:eastAsia="TimesNewRoman"/>
          <w:szCs w:val="22"/>
          <w:lang w:eastAsia="lt-LT"/>
        </w:rPr>
        <w:t xml:space="preserve">apsaugančių nuo nėštumo vaistų, įskaitant kontraceptines tabletes, odos pleistrus, implantus ir tam tikras hormonus atpalaiduojančias vartojimo į gimdą sistemas (angl. </w:t>
      </w:r>
      <w:r w:rsidRPr="007A17AE">
        <w:rPr>
          <w:rFonts w:eastAsia="TimesNewRoman"/>
          <w:i/>
          <w:iCs/>
          <w:szCs w:val="22"/>
          <w:lang w:eastAsia="lt-LT"/>
        </w:rPr>
        <w:t>IUD</w:t>
      </w:r>
      <w:r w:rsidRPr="007A17AE">
        <w:rPr>
          <w:rFonts w:eastAsia="TimesNewRoman"/>
          <w:szCs w:val="22"/>
          <w:lang w:eastAsia="lt-LT"/>
        </w:rPr>
        <w:t>), kurie gali būti nepakankamai veiksmingi Aprepitant Sandoz vartojimo metu. Gydymo Aprepitant Sandoz metu ir dar du mėnesius po jo būtina taikyti kitus nehormoninius papildomus kontracepcijos metodus</w:t>
      </w:r>
      <w:r w:rsidR="009D2727" w:rsidRPr="007A17AE">
        <w:rPr>
          <w:rFonts w:eastAsia="TimesNewRoman"/>
          <w:szCs w:val="22"/>
          <w:lang w:eastAsia="lt-LT"/>
        </w:rPr>
        <w:t>,</w:t>
      </w:r>
    </w:p>
    <w:p w14:paraId="6D98A573" w14:textId="77777777" w:rsidR="008C7C23" w:rsidRPr="007A17AE" w:rsidRDefault="008C7C23" w:rsidP="007A17AE">
      <w:pPr>
        <w:numPr>
          <w:ilvl w:val="0"/>
          <w:numId w:val="20"/>
        </w:numPr>
        <w:tabs>
          <w:tab w:val="clear" w:pos="567"/>
        </w:tabs>
        <w:autoSpaceDE w:val="0"/>
        <w:autoSpaceDN w:val="0"/>
        <w:adjustRightInd w:val="0"/>
        <w:spacing w:line="240" w:lineRule="auto"/>
        <w:ind w:left="567" w:hanging="567"/>
        <w:contextualSpacing/>
        <w:rPr>
          <w:rFonts w:eastAsia="TimesNewRoman"/>
          <w:szCs w:val="22"/>
          <w:lang w:eastAsia="lt-LT"/>
        </w:rPr>
      </w:pPr>
      <w:r w:rsidRPr="007A17AE">
        <w:rPr>
          <w:rFonts w:eastAsia="TimesNewRoman"/>
          <w:szCs w:val="22"/>
          <w:lang w:eastAsia="lt-LT"/>
        </w:rPr>
        <w:t>ciklosporino, takrolimuzo, sirolimuzo, everolimuzo (imunosupresantų),</w:t>
      </w:r>
    </w:p>
    <w:p w14:paraId="14101920" w14:textId="77777777" w:rsidR="008C7C23" w:rsidRPr="007A17AE" w:rsidRDefault="008C7C23" w:rsidP="007A17AE">
      <w:pPr>
        <w:numPr>
          <w:ilvl w:val="0"/>
          <w:numId w:val="20"/>
        </w:numPr>
        <w:tabs>
          <w:tab w:val="clear" w:pos="567"/>
        </w:tabs>
        <w:autoSpaceDE w:val="0"/>
        <w:autoSpaceDN w:val="0"/>
        <w:adjustRightInd w:val="0"/>
        <w:spacing w:line="240" w:lineRule="auto"/>
        <w:ind w:left="567" w:hanging="567"/>
        <w:contextualSpacing/>
        <w:rPr>
          <w:rFonts w:eastAsia="TimesNewRoman"/>
          <w:szCs w:val="22"/>
          <w:lang w:eastAsia="lt-LT"/>
        </w:rPr>
      </w:pPr>
      <w:r w:rsidRPr="007A17AE">
        <w:rPr>
          <w:rFonts w:eastAsia="TimesNewRoman"/>
          <w:szCs w:val="22"/>
          <w:lang w:eastAsia="lt-LT"/>
        </w:rPr>
        <w:t>alfentanilio, fentanilio (skausmui malšinti),</w:t>
      </w:r>
    </w:p>
    <w:p w14:paraId="48A0AD47" w14:textId="77777777" w:rsidR="008C7C23" w:rsidRPr="007A17AE" w:rsidRDefault="008C7C23" w:rsidP="007A17AE">
      <w:pPr>
        <w:numPr>
          <w:ilvl w:val="0"/>
          <w:numId w:val="20"/>
        </w:numPr>
        <w:tabs>
          <w:tab w:val="clear" w:pos="567"/>
        </w:tabs>
        <w:autoSpaceDE w:val="0"/>
        <w:autoSpaceDN w:val="0"/>
        <w:adjustRightInd w:val="0"/>
        <w:spacing w:line="240" w:lineRule="auto"/>
        <w:ind w:left="567" w:hanging="567"/>
        <w:contextualSpacing/>
        <w:rPr>
          <w:rFonts w:eastAsia="TimesNewRoman"/>
          <w:szCs w:val="22"/>
          <w:lang w:eastAsia="lt-LT"/>
        </w:rPr>
      </w:pPr>
      <w:r w:rsidRPr="007A17AE">
        <w:rPr>
          <w:rFonts w:eastAsia="TimesNewRoman"/>
          <w:szCs w:val="22"/>
          <w:lang w:eastAsia="lt-LT"/>
        </w:rPr>
        <w:t>chinidino (nereguliariam širdies ritmui sunormalinti),</w:t>
      </w:r>
    </w:p>
    <w:p w14:paraId="57244FAA" w14:textId="77777777" w:rsidR="008C7C23" w:rsidRPr="007A17AE" w:rsidRDefault="008C7C23" w:rsidP="007A17AE">
      <w:pPr>
        <w:numPr>
          <w:ilvl w:val="0"/>
          <w:numId w:val="20"/>
        </w:numPr>
        <w:tabs>
          <w:tab w:val="clear" w:pos="567"/>
        </w:tabs>
        <w:autoSpaceDE w:val="0"/>
        <w:autoSpaceDN w:val="0"/>
        <w:adjustRightInd w:val="0"/>
        <w:spacing w:line="240" w:lineRule="auto"/>
        <w:ind w:left="567" w:hanging="567"/>
        <w:contextualSpacing/>
        <w:rPr>
          <w:rFonts w:eastAsia="TimesNewRoman"/>
          <w:szCs w:val="22"/>
          <w:lang w:eastAsia="lt-LT"/>
        </w:rPr>
      </w:pPr>
      <w:r w:rsidRPr="007A17AE">
        <w:rPr>
          <w:rFonts w:eastAsia="TimesNewRoman"/>
          <w:szCs w:val="22"/>
          <w:lang w:eastAsia="lt-LT"/>
        </w:rPr>
        <w:t>irinotekano, etopozido, vinorelbino, ifosfamido (vaistų nuo vėžio),</w:t>
      </w:r>
    </w:p>
    <w:p w14:paraId="2711028D" w14:textId="77777777" w:rsidR="008C7C23" w:rsidRPr="007A17AE" w:rsidRDefault="008C7C23" w:rsidP="007A17AE">
      <w:pPr>
        <w:numPr>
          <w:ilvl w:val="0"/>
          <w:numId w:val="20"/>
        </w:numPr>
        <w:tabs>
          <w:tab w:val="clear" w:pos="567"/>
        </w:tabs>
        <w:autoSpaceDE w:val="0"/>
        <w:autoSpaceDN w:val="0"/>
        <w:adjustRightInd w:val="0"/>
        <w:spacing w:line="240" w:lineRule="auto"/>
        <w:ind w:left="567" w:hanging="567"/>
        <w:contextualSpacing/>
        <w:rPr>
          <w:rFonts w:eastAsia="TimesNewRoman"/>
          <w:szCs w:val="22"/>
          <w:lang w:eastAsia="lt-LT"/>
        </w:rPr>
      </w:pPr>
      <w:r w:rsidRPr="007A17AE">
        <w:rPr>
          <w:rFonts w:eastAsia="TimesNewRoman"/>
          <w:szCs w:val="22"/>
          <w:lang w:eastAsia="lt-LT"/>
        </w:rPr>
        <w:t>vaistų, kurių sudėtyje yra skalsių alkaloidų darinių, tokių kaip ergotaminas ir diergotaminas (migrenai gydyti),</w:t>
      </w:r>
    </w:p>
    <w:p w14:paraId="529BB43D" w14:textId="77777777" w:rsidR="008C7C23" w:rsidRPr="007A17AE" w:rsidRDefault="008C7C23" w:rsidP="007A17AE">
      <w:pPr>
        <w:numPr>
          <w:ilvl w:val="0"/>
          <w:numId w:val="20"/>
        </w:numPr>
        <w:tabs>
          <w:tab w:val="clear" w:pos="567"/>
        </w:tabs>
        <w:autoSpaceDE w:val="0"/>
        <w:autoSpaceDN w:val="0"/>
        <w:adjustRightInd w:val="0"/>
        <w:spacing w:line="240" w:lineRule="auto"/>
        <w:ind w:left="567" w:hanging="567"/>
        <w:contextualSpacing/>
        <w:rPr>
          <w:rFonts w:eastAsia="TimesNewRoman"/>
          <w:szCs w:val="22"/>
          <w:lang w:eastAsia="lt-LT"/>
        </w:rPr>
      </w:pPr>
      <w:r w:rsidRPr="007A17AE">
        <w:rPr>
          <w:rFonts w:eastAsia="TimesNewRoman"/>
          <w:szCs w:val="22"/>
          <w:lang w:eastAsia="lt-LT"/>
        </w:rPr>
        <w:t>varfarino ir acenokumarolio (kraują skystinančių vaistų; gali reikėti atlikti kraujo tyrimus),</w:t>
      </w:r>
    </w:p>
    <w:p w14:paraId="3A5E59E8" w14:textId="77777777" w:rsidR="008C7C23" w:rsidRPr="007A17AE" w:rsidRDefault="008C7C23" w:rsidP="007A17AE">
      <w:pPr>
        <w:numPr>
          <w:ilvl w:val="0"/>
          <w:numId w:val="20"/>
        </w:numPr>
        <w:tabs>
          <w:tab w:val="clear" w:pos="567"/>
        </w:tabs>
        <w:autoSpaceDE w:val="0"/>
        <w:autoSpaceDN w:val="0"/>
        <w:adjustRightInd w:val="0"/>
        <w:spacing w:line="240" w:lineRule="auto"/>
        <w:ind w:left="567" w:hanging="567"/>
        <w:contextualSpacing/>
        <w:rPr>
          <w:rFonts w:eastAsia="TimesNewRoman"/>
          <w:szCs w:val="22"/>
          <w:lang w:eastAsia="lt-LT"/>
        </w:rPr>
      </w:pPr>
      <w:r w:rsidRPr="007A17AE">
        <w:rPr>
          <w:rFonts w:eastAsia="TimesNewRoman"/>
          <w:szCs w:val="22"/>
          <w:lang w:eastAsia="lt-LT"/>
        </w:rPr>
        <w:t>rifampicino, klaritromicino, telitromicino (antibiotikų infekcijoms gydyti),</w:t>
      </w:r>
    </w:p>
    <w:p w14:paraId="50ABF9A3" w14:textId="77777777" w:rsidR="008C7C23" w:rsidRPr="007A17AE" w:rsidRDefault="008C7C23" w:rsidP="007A17AE">
      <w:pPr>
        <w:numPr>
          <w:ilvl w:val="0"/>
          <w:numId w:val="20"/>
        </w:numPr>
        <w:tabs>
          <w:tab w:val="clear" w:pos="567"/>
        </w:tabs>
        <w:autoSpaceDE w:val="0"/>
        <w:autoSpaceDN w:val="0"/>
        <w:adjustRightInd w:val="0"/>
        <w:spacing w:line="240" w:lineRule="auto"/>
        <w:ind w:left="567" w:hanging="567"/>
        <w:contextualSpacing/>
        <w:rPr>
          <w:rFonts w:eastAsia="TimesNewRoman"/>
          <w:szCs w:val="22"/>
          <w:lang w:eastAsia="lt-LT"/>
        </w:rPr>
      </w:pPr>
      <w:r w:rsidRPr="007A17AE">
        <w:rPr>
          <w:rFonts w:eastAsia="TimesNewRoman"/>
          <w:szCs w:val="22"/>
          <w:lang w:eastAsia="lt-LT"/>
        </w:rPr>
        <w:t>fenitoino (vaisto nuo traukulių),</w:t>
      </w:r>
    </w:p>
    <w:p w14:paraId="7094D2AE" w14:textId="77777777" w:rsidR="008C7C23" w:rsidRPr="007A17AE" w:rsidRDefault="008C7C23" w:rsidP="007A17AE">
      <w:pPr>
        <w:numPr>
          <w:ilvl w:val="0"/>
          <w:numId w:val="20"/>
        </w:numPr>
        <w:tabs>
          <w:tab w:val="clear" w:pos="567"/>
        </w:tabs>
        <w:autoSpaceDE w:val="0"/>
        <w:autoSpaceDN w:val="0"/>
        <w:adjustRightInd w:val="0"/>
        <w:spacing w:line="240" w:lineRule="auto"/>
        <w:ind w:left="567" w:hanging="567"/>
        <w:contextualSpacing/>
        <w:rPr>
          <w:rFonts w:eastAsia="TimesNewRoman"/>
          <w:szCs w:val="22"/>
          <w:lang w:eastAsia="lt-LT"/>
        </w:rPr>
      </w:pPr>
      <w:r w:rsidRPr="007A17AE">
        <w:rPr>
          <w:rFonts w:eastAsia="TimesNewRoman"/>
          <w:szCs w:val="22"/>
          <w:lang w:eastAsia="lt-LT"/>
        </w:rPr>
        <w:t>karbamazepino (</w:t>
      </w:r>
      <w:r w:rsidR="00DA42B5" w:rsidRPr="007A17AE">
        <w:rPr>
          <w:rFonts w:eastAsia="TimesNewRoman"/>
          <w:szCs w:val="22"/>
          <w:lang w:eastAsia="lt-LT"/>
        </w:rPr>
        <w:t xml:space="preserve">vaisto nuo </w:t>
      </w:r>
      <w:r w:rsidRPr="007A17AE">
        <w:rPr>
          <w:rFonts w:eastAsia="TimesNewRoman"/>
          <w:szCs w:val="22"/>
          <w:lang w:eastAsia="lt-LT"/>
        </w:rPr>
        <w:t>depresij</w:t>
      </w:r>
      <w:r w:rsidR="00DA42B5" w:rsidRPr="007A17AE">
        <w:rPr>
          <w:rFonts w:eastAsia="TimesNewRoman"/>
          <w:szCs w:val="22"/>
          <w:lang w:eastAsia="lt-LT"/>
        </w:rPr>
        <w:t>os</w:t>
      </w:r>
      <w:r w:rsidRPr="007A17AE">
        <w:rPr>
          <w:rFonts w:eastAsia="TimesNewRoman"/>
          <w:szCs w:val="22"/>
          <w:lang w:eastAsia="lt-LT"/>
        </w:rPr>
        <w:t xml:space="preserve"> ir epilepsij</w:t>
      </w:r>
      <w:r w:rsidR="00DA42B5" w:rsidRPr="007A17AE">
        <w:rPr>
          <w:rFonts w:eastAsia="TimesNewRoman"/>
          <w:szCs w:val="22"/>
          <w:lang w:eastAsia="lt-LT"/>
        </w:rPr>
        <w:t>os</w:t>
      </w:r>
      <w:r w:rsidRPr="007A17AE">
        <w:rPr>
          <w:rFonts w:eastAsia="TimesNewRoman"/>
          <w:szCs w:val="22"/>
          <w:lang w:eastAsia="lt-LT"/>
        </w:rPr>
        <w:t>),</w:t>
      </w:r>
    </w:p>
    <w:p w14:paraId="18634FB4" w14:textId="77777777" w:rsidR="008C7C23" w:rsidRPr="007A17AE" w:rsidRDefault="008C7C23" w:rsidP="007A17AE">
      <w:pPr>
        <w:numPr>
          <w:ilvl w:val="0"/>
          <w:numId w:val="20"/>
        </w:numPr>
        <w:tabs>
          <w:tab w:val="clear" w:pos="567"/>
        </w:tabs>
        <w:autoSpaceDE w:val="0"/>
        <w:autoSpaceDN w:val="0"/>
        <w:adjustRightInd w:val="0"/>
        <w:spacing w:line="240" w:lineRule="auto"/>
        <w:ind w:left="567" w:hanging="567"/>
        <w:contextualSpacing/>
        <w:rPr>
          <w:rFonts w:eastAsia="TimesNewRoman"/>
          <w:szCs w:val="22"/>
          <w:lang w:eastAsia="lt-LT"/>
        </w:rPr>
      </w:pPr>
      <w:r w:rsidRPr="007A17AE">
        <w:rPr>
          <w:rFonts w:eastAsia="TimesNewRoman"/>
          <w:szCs w:val="22"/>
          <w:lang w:eastAsia="lt-LT"/>
        </w:rPr>
        <w:t>midazolamo, triazolamo, fenobarbitalio (raminamųjų arba padedančių miegoti vaistų),</w:t>
      </w:r>
    </w:p>
    <w:p w14:paraId="34F574D9" w14:textId="77777777" w:rsidR="008C7C23" w:rsidRPr="007A17AE" w:rsidRDefault="008C7C23" w:rsidP="007A17AE">
      <w:pPr>
        <w:numPr>
          <w:ilvl w:val="0"/>
          <w:numId w:val="20"/>
        </w:numPr>
        <w:tabs>
          <w:tab w:val="clear" w:pos="567"/>
        </w:tabs>
        <w:autoSpaceDE w:val="0"/>
        <w:autoSpaceDN w:val="0"/>
        <w:adjustRightInd w:val="0"/>
        <w:spacing w:line="240" w:lineRule="auto"/>
        <w:ind w:left="567" w:hanging="567"/>
        <w:contextualSpacing/>
        <w:rPr>
          <w:rFonts w:eastAsia="TimesNewRoman"/>
          <w:szCs w:val="22"/>
          <w:lang w:eastAsia="lt-LT"/>
        </w:rPr>
      </w:pPr>
      <w:r w:rsidRPr="007A17AE">
        <w:rPr>
          <w:rFonts w:eastAsia="TimesNewRoman"/>
          <w:szCs w:val="22"/>
          <w:lang w:eastAsia="lt-LT"/>
        </w:rPr>
        <w:t>jonažolės (</w:t>
      </w:r>
      <w:r w:rsidR="00DA42B5" w:rsidRPr="007A17AE">
        <w:rPr>
          <w:rFonts w:eastAsia="TimesNewRoman"/>
          <w:szCs w:val="22"/>
          <w:lang w:eastAsia="lt-LT"/>
        </w:rPr>
        <w:t>vaistažolinio vaisto</w:t>
      </w:r>
      <w:r w:rsidRPr="007A17AE">
        <w:rPr>
          <w:rFonts w:eastAsia="TimesNewRoman"/>
          <w:szCs w:val="22"/>
          <w:lang w:eastAsia="lt-LT"/>
        </w:rPr>
        <w:t xml:space="preserve"> depresijai gydyti),</w:t>
      </w:r>
    </w:p>
    <w:p w14:paraId="4790751C" w14:textId="77777777" w:rsidR="008C7C23" w:rsidRPr="007A17AE" w:rsidRDefault="008C7C23" w:rsidP="007A17AE">
      <w:pPr>
        <w:numPr>
          <w:ilvl w:val="0"/>
          <w:numId w:val="20"/>
        </w:numPr>
        <w:tabs>
          <w:tab w:val="clear" w:pos="567"/>
        </w:tabs>
        <w:autoSpaceDE w:val="0"/>
        <w:autoSpaceDN w:val="0"/>
        <w:adjustRightInd w:val="0"/>
        <w:spacing w:line="240" w:lineRule="auto"/>
        <w:ind w:left="567" w:hanging="567"/>
        <w:contextualSpacing/>
        <w:rPr>
          <w:rFonts w:eastAsia="TimesNewRoman"/>
          <w:szCs w:val="22"/>
          <w:lang w:eastAsia="lt-LT"/>
        </w:rPr>
      </w:pPr>
      <w:r w:rsidRPr="007A17AE">
        <w:rPr>
          <w:rFonts w:eastAsia="TimesNewRoman"/>
          <w:szCs w:val="22"/>
          <w:lang w:eastAsia="lt-LT"/>
        </w:rPr>
        <w:t>proteaz</w:t>
      </w:r>
      <w:r w:rsidR="00DA42B5" w:rsidRPr="007A17AE">
        <w:rPr>
          <w:rFonts w:eastAsia="TimesNewRoman"/>
          <w:szCs w:val="22"/>
          <w:lang w:eastAsia="lt-LT"/>
        </w:rPr>
        <w:t>ės</w:t>
      </w:r>
      <w:r w:rsidRPr="007A17AE">
        <w:rPr>
          <w:rFonts w:eastAsia="TimesNewRoman"/>
          <w:szCs w:val="22"/>
          <w:lang w:eastAsia="lt-LT"/>
        </w:rPr>
        <w:t xml:space="preserve"> inhibitorių (ŽIV infekcijoms gydyti),</w:t>
      </w:r>
    </w:p>
    <w:p w14:paraId="0BE98991" w14:textId="77777777" w:rsidR="008C7C23" w:rsidRPr="007A17AE" w:rsidRDefault="008C7C23" w:rsidP="007A17AE">
      <w:pPr>
        <w:numPr>
          <w:ilvl w:val="0"/>
          <w:numId w:val="20"/>
        </w:numPr>
        <w:tabs>
          <w:tab w:val="clear" w:pos="567"/>
        </w:tabs>
        <w:autoSpaceDE w:val="0"/>
        <w:autoSpaceDN w:val="0"/>
        <w:adjustRightInd w:val="0"/>
        <w:spacing w:line="240" w:lineRule="auto"/>
        <w:ind w:left="567" w:hanging="567"/>
        <w:contextualSpacing/>
        <w:rPr>
          <w:rFonts w:eastAsia="TimesNewRoman"/>
          <w:szCs w:val="22"/>
          <w:lang w:eastAsia="lt-LT"/>
        </w:rPr>
      </w:pPr>
      <w:r w:rsidRPr="007A17AE">
        <w:rPr>
          <w:rFonts w:eastAsia="TimesNewRoman"/>
          <w:szCs w:val="22"/>
          <w:lang w:eastAsia="lt-LT"/>
        </w:rPr>
        <w:t>ketokonazolo, išskyrus šampūną (Kušingo</w:t>
      </w:r>
      <w:r w:rsidR="00247091">
        <w:rPr>
          <w:rFonts w:eastAsia="TimesNewRoman"/>
          <w:szCs w:val="22"/>
          <w:lang w:eastAsia="lt-LT"/>
        </w:rPr>
        <w:t xml:space="preserve"> (</w:t>
      </w:r>
      <w:r w:rsidR="00247091">
        <w:rPr>
          <w:rFonts w:eastAsia="TimesNewRoman"/>
          <w:i/>
          <w:szCs w:val="22"/>
          <w:lang w:eastAsia="lt-LT"/>
        </w:rPr>
        <w:t>Cushing</w:t>
      </w:r>
      <w:r w:rsidR="00247091">
        <w:rPr>
          <w:rFonts w:eastAsia="TimesNewRoman"/>
          <w:szCs w:val="22"/>
          <w:lang w:eastAsia="lt-LT"/>
        </w:rPr>
        <w:t>)</w:t>
      </w:r>
      <w:r w:rsidRPr="007A17AE">
        <w:rPr>
          <w:rFonts w:eastAsia="TimesNewRoman"/>
          <w:szCs w:val="22"/>
          <w:lang w:eastAsia="lt-LT"/>
        </w:rPr>
        <w:t xml:space="preserve"> sindromui, pasireiškiančiam kai organizmas gamina</w:t>
      </w:r>
      <w:r w:rsidR="00DA42B5" w:rsidRPr="007A17AE">
        <w:rPr>
          <w:rFonts w:eastAsia="TimesNewRoman"/>
          <w:szCs w:val="22"/>
          <w:lang w:eastAsia="lt-LT"/>
        </w:rPr>
        <w:t xml:space="preserve"> </w:t>
      </w:r>
      <w:r w:rsidRPr="007A17AE">
        <w:rPr>
          <w:rFonts w:eastAsia="TimesNewRoman"/>
          <w:szCs w:val="22"/>
          <w:lang w:eastAsia="lt-LT"/>
        </w:rPr>
        <w:t>per daug kortizolio, gydyti),</w:t>
      </w:r>
    </w:p>
    <w:p w14:paraId="194F43B7" w14:textId="77777777" w:rsidR="008C7C23" w:rsidRPr="007A17AE" w:rsidRDefault="008C7C23" w:rsidP="007A17AE">
      <w:pPr>
        <w:numPr>
          <w:ilvl w:val="0"/>
          <w:numId w:val="20"/>
        </w:numPr>
        <w:tabs>
          <w:tab w:val="clear" w:pos="567"/>
        </w:tabs>
        <w:autoSpaceDE w:val="0"/>
        <w:autoSpaceDN w:val="0"/>
        <w:adjustRightInd w:val="0"/>
        <w:spacing w:line="240" w:lineRule="auto"/>
        <w:ind w:left="567" w:hanging="567"/>
        <w:contextualSpacing/>
        <w:rPr>
          <w:rFonts w:eastAsia="TimesNewRoman"/>
          <w:szCs w:val="22"/>
          <w:lang w:eastAsia="lt-LT"/>
        </w:rPr>
      </w:pPr>
      <w:r w:rsidRPr="007A17AE">
        <w:rPr>
          <w:rFonts w:eastAsia="TimesNewRoman"/>
          <w:szCs w:val="22"/>
          <w:lang w:eastAsia="lt-LT"/>
        </w:rPr>
        <w:t>itrakonazolo, vorikonazolo ir pozakonazolo (</w:t>
      </w:r>
      <w:r w:rsidR="00DA42B5" w:rsidRPr="007A17AE">
        <w:rPr>
          <w:rFonts w:eastAsia="TimesNewRoman"/>
          <w:szCs w:val="22"/>
          <w:lang w:eastAsia="lt-LT"/>
        </w:rPr>
        <w:t>vaistų nuo grybelio</w:t>
      </w:r>
      <w:r w:rsidRPr="007A17AE">
        <w:rPr>
          <w:rFonts w:eastAsia="TimesNewRoman"/>
          <w:szCs w:val="22"/>
          <w:lang w:eastAsia="lt-LT"/>
        </w:rPr>
        <w:t>),</w:t>
      </w:r>
    </w:p>
    <w:p w14:paraId="10E57443" w14:textId="77777777" w:rsidR="008C7C23" w:rsidRPr="007A17AE" w:rsidRDefault="008C7C23" w:rsidP="007A17AE">
      <w:pPr>
        <w:numPr>
          <w:ilvl w:val="0"/>
          <w:numId w:val="20"/>
        </w:numPr>
        <w:tabs>
          <w:tab w:val="clear" w:pos="567"/>
        </w:tabs>
        <w:autoSpaceDE w:val="0"/>
        <w:autoSpaceDN w:val="0"/>
        <w:adjustRightInd w:val="0"/>
        <w:spacing w:line="240" w:lineRule="auto"/>
        <w:ind w:left="567" w:hanging="567"/>
        <w:contextualSpacing/>
        <w:rPr>
          <w:rFonts w:eastAsia="TimesNewRoman"/>
          <w:szCs w:val="22"/>
          <w:lang w:eastAsia="lt-LT"/>
        </w:rPr>
      </w:pPr>
      <w:r w:rsidRPr="007A17AE">
        <w:rPr>
          <w:rFonts w:eastAsia="TimesNewRoman"/>
          <w:szCs w:val="22"/>
          <w:lang w:eastAsia="lt-LT"/>
        </w:rPr>
        <w:t>nefazodono (</w:t>
      </w:r>
      <w:r w:rsidR="00DA42B5" w:rsidRPr="007A17AE">
        <w:rPr>
          <w:rFonts w:eastAsia="TimesNewRoman"/>
          <w:szCs w:val="22"/>
          <w:lang w:eastAsia="lt-LT"/>
        </w:rPr>
        <w:t>vaisto nuo depresijos</w:t>
      </w:r>
      <w:r w:rsidRPr="007A17AE">
        <w:rPr>
          <w:rFonts w:eastAsia="TimesNewRoman"/>
          <w:szCs w:val="22"/>
          <w:lang w:eastAsia="lt-LT"/>
        </w:rPr>
        <w:t>),</w:t>
      </w:r>
    </w:p>
    <w:p w14:paraId="4DA9EB55" w14:textId="77777777" w:rsidR="008C7C23" w:rsidRPr="007A17AE" w:rsidRDefault="008C7C23" w:rsidP="007A17AE">
      <w:pPr>
        <w:numPr>
          <w:ilvl w:val="0"/>
          <w:numId w:val="20"/>
        </w:numPr>
        <w:tabs>
          <w:tab w:val="clear" w:pos="567"/>
        </w:tabs>
        <w:autoSpaceDE w:val="0"/>
        <w:autoSpaceDN w:val="0"/>
        <w:adjustRightInd w:val="0"/>
        <w:spacing w:line="240" w:lineRule="auto"/>
        <w:ind w:left="567" w:hanging="567"/>
        <w:contextualSpacing/>
        <w:rPr>
          <w:rFonts w:eastAsia="TimesNewRoman"/>
          <w:szCs w:val="22"/>
          <w:lang w:eastAsia="lt-LT"/>
        </w:rPr>
      </w:pPr>
      <w:r w:rsidRPr="007A17AE">
        <w:rPr>
          <w:rFonts w:eastAsia="TimesNewRoman"/>
          <w:szCs w:val="22"/>
          <w:lang w:eastAsia="lt-LT"/>
        </w:rPr>
        <w:t>kortikosteroidų (pavyzdžiui, deksametazono ir metilprednizolono),</w:t>
      </w:r>
    </w:p>
    <w:p w14:paraId="0AB5F02D" w14:textId="77777777" w:rsidR="008C7C23" w:rsidRPr="007A17AE" w:rsidRDefault="008C7C23" w:rsidP="007A17AE">
      <w:pPr>
        <w:numPr>
          <w:ilvl w:val="0"/>
          <w:numId w:val="20"/>
        </w:numPr>
        <w:tabs>
          <w:tab w:val="clear" w:pos="567"/>
        </w:tabs>
        <w:autoSpaceDE w:val="0"/>
        <w:autoSpaceDN w:val="0"/>
        <w:adjustRightInd w:val="0"/>
        <w:spacing w:line="240" w:lineRule="auto"/>
        <w:ind w:left="567" w:hanging="567"/>
        <w:contextualSpacing/>
        <w:rPr>
          <w:rFonts w:eastAsia="TimesNewRoman"/>
          <w:szCs w:val="22"/>
          <w:lang w:eastAsia="lt-LT"/>
        </w:rPr>
      </w:pPr>
      <w:r w:rsidRPr="007A17AE">
        <w:rPr>
          <w:rFonts w:eastAsia="TimesNewRoman"/>
          <w:szCs w:val="22"/>
          <w:lang w:eastAsia="lt-LT"/>
        </w:rPr>
        <w:t>vaistų nerimui slopinti (pavyzdžiui, alprazolamo),</w:t>
      </w:r>
    </w:p>
    <w:p w14:paraId="00CBAF17" w14:textId="77777777" w:rsidR="008C7C23" w:rsidRPr="007A17AE" w:rsidRDefault="008C7C23" w:rsidP="007A17AE">
      <w:pPr>
        <w:numPr>
          <w:ilvl w:val="0"/>
          <w:numId w:val="20"/>
        </w:numPr>
        <w:tabs>
          <w:tab w:val="clear" w:pos="567"/>
        </w:tabs>
        <w:autoSpaceDE w:val="0"/>
        <w:autoSpaceDN w:val="0"/>
        <w:adjustRightInd w:val="0"/>
        <w:spacing w:line="240" w:lineRule="auto"/>
        <w:ind w:left="567" w:hanging="567"/>
        <w:contextualSpacing/>
        <w:rPr>
          <w:rFonts w:eastAsia="TimesNewRoman"/>
          <w:szCs w:val="22"/>
          <w:lang w:eastAsia="lt-LT"/>
        </w:rPr>
      </w:pPr>
      <w:r w:rsidRPr="007A17AE">
        <w:rPr>
          <w:rFonts w:eastAsia="TimesNewRoman"/>
          <w:szCs w:val="22"/>
          <w:lang w:eastAsia="lt-LT"/>
        </w:rPr>
        <w:t>tolbutamido (vaist</w:t>
      </w:r>
      <w:r w:rsidR="00DA42B5" w:rsidRPr="007A17AE">
        <w:rPr>
          <w:rFonts w:eastAsia="TimesNewRoman"/>
          <w:szCs w:val="22"/>
          <w:lang w:eastAsia="lt-LT"/>
        </w:rPr>
        <w:t>o</w:t>
      </w:r>
      <w:r w:rsidRPr="007A17AE">
        <w:rPr>
          <w:rFonts w:eastAsia="TimesNewRoman"/>
          <w:szCs w:val="22"/>
          <w:lang w:eastAsia="lt-LT"/>
        </w:rPr>
        <w:t>, vartojam</w:t>
      </w:r>
      <w:r w:rsidR="00DA42B5" w:rsidRPr="007A17AE">
        <w:rPr>
          <w:rFonts w:eastAsia="TimesNewRoman"/>
          <w:szCs w:val="22"/>
          <w:lang w:eastAsia="lt-LT"/>
        </w:rPr>
        <w:t>o gydyti nuo</w:t>
      </w:r>
      <w:r w:rsidRPr="007A17AE">
        <w:rPr>
          <w:rFonts w:eastAsia="TimesNewRoman"/>
          <w:szCs w:val="22"/>
          <w:lang w:eastAsia="lt-LT"/>
        </w:rPr>
        <w:t xml:space="preserve"> cukrini</w:t>
      </w:r>
      <w:r w:rsidR="00DA42B5" w:rsidRPr="007A17AE">
        <w:rPr>
          <w:rFonts w:eastAsia="TimesNewRoman"/>
          <w:szCs w:val="22"/>
          <w:lang w:eastAsia="lt-LT"/>
        </w:rPr>
        <w:t>o</w:t>
      </w:r>
      <w:r w:rsidRPr="007A17AE">
        <w:rPr>
          <w:rFonts w:eastAsia="TimesNewRoman"/>
          <w:szCs w:val="22"/>
          <w:lang w:eastAsia="lt-LT"/>
        </w:rPr>
        <w:t xml:space="preserve"> diabet</w:t>
      </w:r>
      <w:r w:rsidR="00DA42B5" w:rsidRPr="007A17AE">
        <w:rPr>
          <w:rFonts w:eastAsia="TimesNewRoman"/>
          <w:szCs w:val="22"/>
          <w:lang w:eastAsia="lt-LT"/>
        </w:rPr>
        <w:t>o</w:t>
      </w:r>
      <w:r w:rsidRPr="007A17AE">
        <w:rPr>
          <w:rFonts w:eastAsia="TimesNewRoman"/>
          <w:szCs w:val="22"/>
          <w:lang w:eastAsia="lt-LT"/>
        </w:rPr>
        <w:t>).</w:t>
      </w:r>
    </w:p>
    <w:p w14:paraId="2108B670" w14:textId="77777777" w:rsidR="00DA42B5" w:rsidRPr="007A17AE" w:rsidRDefault="00DA42B5" w:rsidP="007A17AE">
      <w:pPr>
        <w:tabs>
          <w:tab w:val="clear" w:pos="567"/>
        </w:tabs>
        <w:autoSpaceDE w:val="0"/>
        <w:autoSpaceDN w:val="0"/>
        <w:adjustRightInd w:val="0"/>
        <w:spacing w:line="240" w:lineRule="auto"/>
        <w:contextualSpacing/>
        <w:rPr>
          <w:rFonts w:eastAsia="TimesNewRoman"/>
          <w:szCs w:val="22"/>
          <w:lang w:eastAsia="lt-LT"/>
        </w:rPr>
      </w:pPr>
    </w:p>
    <w:p w14:paraId="664B9930" w14:textId="77777777" w:rsidR="008C7C23" w:rsidRPr="007A17AE" w:rsidRDefault="008C7C23"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Jeigu Jūs vartojate ar neseniai vartojote arba Jūsų vaikas vartoja ar neseniai vartojo kitų vaistų arba dėl</w:t>
      </w:r>
      <w:r w:rsidR="00DA42B5" w:rsidRPr="007A17AE">
        <w:rPr>
          <w:rFonts w:eastAsia="TimesNewRoman"/>
          <w:szCs w:val="22"/>
          <w:lang w:eastAsia="lt-LT"/>
        </w:rPr>
        <w:t xml:space="preserve"> </w:t>
      </w:r>
      <w:r w:rsidRPr="007A17AE">
        <w:rPr>
          <w:rFonts w:eastAsia="TimesNewRoman"/>
          <w:szCs w:val="22"/>
          <w:lang w:eastAsia="lt-LT"/>
        </w:rPr>
        <w:t>to nesate tikri, apie tai pasakykite gydytojui arba vaistininkui.</w:t>
      </w:r>
    </w:p>
    <w:p w14:paraId="7D40BC1C" w14:textId="77777777" w:rsidR="00DA42B5" w:rsidRPr="007A17AE" w:rsidRDefault="00DA42B5" w:rsidP="007A17AE">
      <w:pPr>
        <w:tabs>
          <w:tab w:val="clear" w:pos="567"/>
        </w:tabs>
        <w:autoSpaceDE w:val="0"/>
        <w:autoSpaceDN w:val="0"/>
        <w:adjustRightInd w:val="0"/>
        <w:spacing w:line="240" w:lineRule="auto"/>
        <w:contextualSpacing/>
        <w:rPr>
          <w:rFonts w:eastAsia="TimesNewRoman,Bold"/>
          <w:b/>
          <w:bCs/>
          <w:szCs w:val="22"/>
          <w:lang w:eastAsia="lt-LT"/>
        </w:rPr>
      </w:pPr>
    </w:p>
    <w:p w14:paraId="377D7575" w14:textId="77777777" w:rsidR="008C7C23" w:rsidRPr="007A17AE" w:rsidRDefault="008C7C23" w:rsidP="007A17AE">
      <w:pPr>
        <w:tabs>
          <w:tab w:val="clear" w:pos="567"/>
        </w:tabs>
        <w:autoSpaceDE w:val="0"/>
        <w:autoSpaceDN w:val="0"/>
        <w:adjustRightInd w:val="0"/>
        <w:spacing w:line="240" w:lineRule="auto"/>
        <w:contextualSpacing/>
        <w:rPr>
          <w:rFonts w:eastAsia="TimesNewRoman,Bold"/>
          <w:b/>
          <w:bCs/>
          <w:szCs w:val="22"/>
          <w:lang w:eastAsia="lt-LT"/>
        </w:rPr>
      </w:pPr>
      <w:r w:rsidRPr="007A17AE">
        <w:rPr>
          <w:rFonts w:eastAsia="TimesNewRoman,Bold"/>
          <w:b/>
          <w:bCs/>
          <w:szCs w:val="22"/>
          <w:lang w:eastAsia="lt-LT"/>
        </w:rPr>
        <w:t>Nėštumas ir žindymo laikotarpis</w:t>
      </w:r>
    </w:p>
    <w:p w14:paraId="630FE9EF" w14:textId="77777777" w:rsidR="008C7C23" w:rsidRPr="007A17AE" w:rsidRDefault="00DA42B5"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Šio vaisto n</w:t>
      </w:r>
      <w:r w:rsidR="008C7C23" w:rsidRPr="007A17AE">
        <w:rPr>
          <w:rFonts w:eastAsia="TimesNewRoman"/>
          <w:szCs w:val="22"/>
          <w:lang w:eastAsia="lt-LT"/>
        </w:rPr>
        <w:t xml:space="preserve">ėštumo metu </w:t>
      </w:r>
      <w:r w:rsidRPr="007A17AE">
        <w:rPr>
          <w:rFonts w:eastAsia="TimesNewRoman"/>
          <w:szCs w:val="22"/>
          <w:lang w:eastAsia="lt-LT"/>
        </w:rPr>
        <w:t>turi būti nevartojama</w:t>
      </w:r>
      <w:r w:rsidR="008C7C23" w:rsidRPr="007A17AE">
        <w:rPr>
          <w:rFonts w:eastAsia="TimesNewRoman"/>
          <w:szCs w:val="22"/>
          <w:lang w:eastAsia="lt-LT"/>
        </w:rPr>
        <w:t xml:space="preserve">, išskyrus atvejus, kai neabejotinai būtina. Jeigu </w:t>
      </w:r>
      <w:r w:rsidRPr="007A17AE">
        <w:rPr>
          <w:rFonts w:eastAsia="TimesNewRoman"/>
          <w:szCs w:val="22"/>
          <w:lang w:eastAsia="lt-LT"/>
        </w:rPr>
        <w:t>esate</w:t>
      </w:r>
      <w:r w:rsidR="008C7C23" w:rsidRPr="007A17AE">
        <w:rPr>
          <w:rFonts w:eastAsia="TimesNewRoman"/>
          <w:szCs w:val="22"/>
          <w:lang w:eastAsia="lt-LT"/>
        </w:rPr>
        <w:t xml:space="preserve"> nėščia, žindo</w:t>
      </w:r>
      <w:r w:rsidRPr="007A17AE">
        <w:rPr>
          <w:rFonts w:eastAsia="TimesNewRoman"/>
          <w:szCs w:val="22"/>
          <w:lang w:eastAsia="lt-LT"/>
        </w:rPr>
        <w:t>te</w:t>
      </w:r>
      <w:r w:rsidR="008C7C23" w:rsidRPr="007A17AE">
        <w:rPr>
          <w:rFonts w:eastAsia="TimesNewRoman"/>
          <w:szCs w:val="22"/>
          <w:lang w:eastAsia="lt-LT"/>
        </w:rPr>
        <w:t xml:space="preserve"> kūdikį, </w:t>
      </w:r>
      <w:r w:rsidR="00A57816">
        <w:rPr>
          <w:rFonts w:eastAsia="TimesNewRoman"/>
          <w:szCs w:val="22"/>
          <w:lang w:eastAsia="lt-LT"/>
        </w:rPr>
        <w:t xml:space="preserve">manote, kad </w:t>
      </w:r>
      <w:r w:rsidR="008C7C23" w:rsidRPr="007A17AE">
        <w:rPr>
          <w:rFonts w:eastAsia="TimesNewRoman"/>
          <w:szCs w:val="22"/>
          <w:lang w:eastAsia="lt-LT"/>
        </w:rPr>
        <w:t xml:space="preserve">galbūt </w:t>
      </w:r>
      <w:r w:rsidRPr="007A17AE">
        <w:rPr>
          <w:rFonts w:eastAsia="TimesNewRoman"/>
          <w:szCs w:val="22"/>
          <w:lang w:eastAsia="lt-LT"/>
        </w:rPr>
        <w:t>esate</w:t>
      </w:r>
      <w:r w:rsidR="008C7C23" w:rsidRPr="007A17AE">
        <w:rPr>
          <w:rFonts w:eastAsia="TimesNewRoman"/>
          <w:szCs w:val="22"/>
          <w:lang w:eastAsia="lt-LT"/>
        </w:rPr>
        <w:t xml:space="preserve"> nėščia</w:t>
      </w:r>
      <w:r w:rsidR="00A57816">
        <w:rPr>
          <w:rFonts w:eastAsia="TimesNewRoman"/>
          <w:szCs w:val="22"/>
          <w:lang w:eastAsia="lt-LT"/>
        </w:rPr>
        <w:t>,</w:t>
      </w:r>
      <w:r w:rsidR="008C7C23" w:rsidRPr="007A17AE">
        <w:rPr>
          <w:rFonts w:eastAsia="TimesNewRoman"/>
          <w:szCs w:val="22"/>
          <w:lang w:eastAsia="lt-LT"/>
        </w:rPr>
        <w:t xml:space="preserve"> arba planuoja</w:t>
      </w:r>
      <w:r w:rsidRPr="007A17AE">
        <w:rPr>
          <w:rFonts w:eastAsia="TimesNewRoman"/>
          <w:szCs w:val="22"/>
          <w:lang w:eastAsia="lt-LT"/>
        </w:rPr>
        <w:t>te</w:t>
      </w:r>
      <w:r w:rsidR="008C7C23" w:rsidRPr="007A17AE">
        <w:rPr>
          <w:rFonts w:eastAsia="TimesNewRoman"/>
          <w:szCs w:val="22"/>
          <w:lang w:eastAsia="lt-LT"/>
        </w:rPr>
        <w:t xml:space="preserve"> pastoti, tai prieš vartodama š</w:t>
      </w:r>
      <w:r w:rsidR="00A57816">
        <w:rPr>
          <w:rFonts w:eastAsia="TimesNewRoman"/>
          <w:szCs w:val="22"/>
          <w:lang w:eastAsia="lt-LT"/>
        </w:rPr>
        <w:t>į</w:t>
      </w:r>
      <w:r w:rsidRPr="007A17AE">
        <w:rPr>
          <w:rFonts w:eastAsia="TimesNewRoman"/>
          <w:szCs w:val="22"/>
          <w:lang w:eastAsia="lt-LT"/>
        </w:rPr>
        <w:t xml:space="preserve"> </w:t>
      </w:r>
      <w:r w:rsidR="008C7C23" w:rsidRPr="007A17AE">
        <w:rPr>
          <w:rFonts w:eastAsia="TimesNewRoman"/>
          <w:szCs w:val="22"/>
          <w:lang w:eastAsia="lt-LT"/>
        </w:rPr>
        <w:t>vaist</w:t>
      </w:r>
      <w:r w:rsidR="00A57816">
        <w:rPr>
          <w:rFonts w:eastAsia="TimesNewRoman"/>
          <w:szCs w:val="22"/>
          <w:lang w:eastAsia="lt-LT"/>
        </w:rPr>
        <w:t>ą,</w:t>
      </w:r>
      <w:r w:rsidR="008C7C23" w:rsidRPr="007A17AE">
        <w:rPr>
          <w:rFonts w:eastAsia="TimesNewRoman"/>
          <w:szCs w:val="22"/>
          <w:lang w:eastAsia="lt-LT"/>
        </w:rPr>
        <w:t xml:space="preserve"> pasitarkite su gydytoju.</w:t>
      </w:r>
    </w:p>
    <w:p w14:paraId="748E6D42" w14:textId="77777777" w:rsidR="009531FC" w:rsidRPr="007A17AE" w:rsidRDefault="009531FC" w:rsidP="007A17AE">
      <w:pPr>
        <w:tabs>
          <w:tab w:val="clear" w:pos="567"/>
        </w:tabs>
        <w:autoSpaceDE w:val="0"/>
        <w:autoSpaceDN w:val="0"/>
        <w:adjustRightInd w:val="0"/>
        <w:spacing w:line="240" w:lineRule="auto"/>
        <w:contextualSpacing/>
        <w:rPr>
          <w:rFonts w:eastAsia="TimesNewRoman"/>
          <w:szCs w:val="22"/>
          <w:lang w:eastAsia="lt-LT"/>
        </w:rPr>
      </w:pPr>
    </w:p>
    <w:p w14:paraId="17026B59" w14:textId="77777777" w:rsidR="008C7C23" w:rsidRPr="007A17AE" w:rsidRDefault="008C7C23" w:rsidP="007A17AE">
      <w:pPr>
        <w:tabs>
          <w:tab w:val="clear" w:pos="567"/>
        </w:tabs>
        <w:autoSpaceDE w:val="0"/>
        <w:autoSpaceDN w:val="0"/>
        <w:adjustRightInd w:val="0"/>
        <w:spacing w:line="240" w:lineRule="auto"/>
        <w:contextualSpacing/>
        <w:rPr>
          <w:rFonts w:eastAsia="TimesNewRoman"/>
          <w:szCs w:val="22"/>
          <w:lang w:eastAsia="lt-LT"/>
        </w:rPr>
      </w:pPr>
      <w:r w:rsidRPr="007A17AE">
        <w:rPr>
          <w:rFonts w:eastAsia="TimesNewRoman"/>
          <w:szCs w:val="22"/>
          <w:lang w:eastAsia="lt-LT"/>
        </w:rPr>
        <w:t>Informacij</w:t>
      </w:r>
      <w:r w:rsidR="00DA42B5" w:rsidRPr="007A17AE">
        <w:rPr>
          <w:rFonts w:eastAsia="TimesNewRoman"/>
          <w:szCs w:val="22"/>
          <w:lang w:eastAsia="lt-LT"/>
        </w:rPr>
        <w:t>os</w:t>
      </w:r>
      <w:r w:rsidRPr="007A17AE">
        <w:rPr>
          <w:rFonts w:eastAsia="TimesNewRoman"/>
          <w:szCs w:val="22"/>
          <w:lang w:eastAsia="lt-LT"/>
        </w:rPr>
        <w:t xml:space="preserve"> apie </w:t>
      </w:r>
      <w:r w:rsidR="00DA42B5" w:rsidRPr="007A17AE">
        <w:rPr>
          <w:rFonts w:eastAsia="TimesNewRoman"/>
          <w:szCs w:val="22"/>
          <w:lang w:eastAsia="lt-LT"/>
        </w:rPr>
        <w:t>apsisaugojimą nuo nėštumo žr.</w:t>
      </w:r>
      <w:r w:rsidRPr="007A17AE">
        <w:rPr>
          <w:rFonts w:eastAsia="TimesNewRoman"/>
          <w:szCs w:val="22"/>
          <w:lang w:eastAsia="lt-LT"/>
        </w:rPr>
        <w:t xml:space="preserve"> poskyryje „Kiti vaistai ir </w:t>
      </w:r>
      <w:r w:rsidR="00DA42B5" w:rsidRPr="007A17AE">
        <w:rPr>
          <w:rFonts w:eastAsia="TimesNewRoman"/>
          <w:szCs w:val="22"/>
          <w:lang w:eastAsia="lt-LT"/>
        </w:rPr>
        <w:t>Aprepitant Sandoz</w:t>
      </w:r>
      <w:r w:rsidRPr="007A17AE">
        <w:rPr>
          <w:rFonts w:eastAsia="TimesNewRoman"/>
          <w:szCs w:val="22"/>
          <w:lang w:eastAsia="lt-LT"/>
        </w:rPr>
        <w:t>“.</w:t>
      </w:r>
    </w:p>
    <w:p w14:paraId="52DCFE3D" w14:textId="77777777" w:rsidR="009531FC" w:rsidRPr="007A17AE" w:rsidRDefault="009531FC" w:rsidP="007A17AE">
      <w:pPr>
        <w:pStyle w:val="Default"/>
        <w:contextualSpacing/>
        <w:rPr>
          <w:rFonts w:eastAsia="TimesNewRoman"/>
          <w:sz w:val="22"/>
          <w:szCs w:val="22"/>
        </w:rPr>
      </w:pPr>
    </w:p>
    <w:p w14:paraId="031239E3" w14:textId="77777777" w:rsidR="008C7C23" w:rsidRPr="007A17AE" w:rsidRDefault="008C7C23" w:rsidP="007A17AE">
      <w:pPr>
        <w:pStyle w:val="Default"/>
        <w:contextualSpacing/>
        <w:rPr>
          <w:sz w:val="22"/>
          <w:szCs w:val="22"/>
        </w:rPr>
      </w:pPr>
      <w:r w:rsidRPr="007A17AE">
        <w:rPr>
          <w:rFonts w:eastAsia="TimesNewRoman"/>
          <w:sz w:val="22"/>
          <w:szCs w:val="22"/>
        </w:rPr>
        <w:t xml:space="preserve">Nežinoma, ar </w:t>
      </w:r>
      <w:r w:rsidR="00DA42B5" w:rsidRPr="007A17AE">
        <w:rPr>
          <w:rFonts w:eastAsia="TimesNewRoman"/>
          <w:sz w:val="22"/>
          <w:szCs w:val="22"/>
        </w:rPr>
        <w:t>Aprepitant Sandoz</w:t>
      </w:r>
      <w:r w:rsidRPr="007A17AE">
        <w:rPr>
          <w:rFonts w:eastAsia="TimesNewRoman"/>
          <w:sz w:val="22"/>
          <w:szCs w:val="22"/>
        </w:rPr>
        <w:t xml:space="preserve"> išs</w:t>
      </w:r>
      <w:r w:rsidR="00DA42B5" w:rsidRPr="007A17AE">
        <w:rPr>
          <w:rFonts w:eastAsia="TimesNewRoman"/>
          <w:sz w:val="22"/>
          <w:szCs w:val="22"/>
        </w:rPr>
        <w:t>kiriamas</w:t>
      </w:r>
      <w:r w:rsidRPr="007A17AE">
        <w:rPr>
          <w:rFonts w:eastAsia="TimesNewRoman"/>
          <w:sz w:val="22"/>
          <w:szCs w:val="22"/>
        </w:rPr>
        <w:t xml:space="preserve"> su motinos pienu, todėl šio vaisto vartojimo metu </w:t>
      </w:r>
      <w:r w:rsidR="00DA42B5" w:rsidRPr="007A17AE">
        <w:rPr>
          <w:rFonts w:eastAsia="TimesNewRoman"/>
          <w:sz w:val="22"/>
          <w:szCs w:val="22"/>
        </w:rPr>
        <w:t xml:space="preserve">kūdikio </w:t>
      </w:r>
      <w:r w:rsidRPr="007A17AE">
        <w:rPr>
          <w:rFonts w:eastAsia="TimesNewRoman"/>
          <w:sz w:val="22"/>
          <w:szCs w:val="22"/>
        </w:rPr>
        <w:t xml:space="preserve">žindyti </w:t>
      </w:r>
      <w:r w:rsidR="00DA42B5" w:rsidRPr="007A17AE">
        <w:rPr>
          <w:rFonts w:eastAsia="TimesNewRoman"/>
          <w:sz w:val="22"/>
          <w:szCs w:val="22"/>
        </w:rPr>
        <w:t xml:space="preserve">nerekomenduojama. Prieš pradedant vartoti šio vaisto, svarbu pasakyti gydytojui, jeigu </w:t>
      </w:r>
      <w:r w:rsidR="00672318" w:rsidRPr="007A17AE">
        <w:rPr>
          <w:rFonts w:eastAsia="TimesNewRoman"/>
          <w:sz w:val="22"/>
          <w:szCs w:val="22"/>
        </w:rPr>
        <w:t>esate žindyvė</w:t>
      </w:r>
      <w:r w:rsidR="00DA42B5" w:rsidRPr="007A17AE">
        <w:rPr>
          <w:rFonts w:eastAsia="TimesNewRoman"/>
          <w:sz w:val="22"/>
          <w:szCs w:val="22"/>
        </w:rPr>
        <w:t xml:space="preserve"> ar </w:t>
      </w:r>
      <w:r w:rsidR="00672318" w:rsidRPr="007A17AE">
        <w:rPr>
          <w:rFonts w:eastAsia="TimesNewRoman"/>
          <w:sz w:val="22"/>
          <w:szCs w:val="22"/>
        </w:rPr>
        <w:t>planuojate</w:t>
      </w:r>
      <w:r w:rsidR="00DA42B5" w:rsidRPr="007A17AE">
        <w:rPr>
          <w:rFonts w:eastAsia="TimesNewRoman"/>
          <w:sz w:val="22"/>
          <w:szCs w:val="22"/>
        </w:rPr>
        <w:t xml:space="preserve"> žindyti kūdikį.</w:t>
      </w:r>
    </w:p>
    <w:p w14:paraId="6D437721" w14:textId="77777777" w:rsidR="00D245CD" w:rsidRPr="007A17AE" w:rsidRDefault="00D245CD" w:rsidP="007A17AE">
      <w:pPr>
        <w:pStyle w:val="Default"/>
        <w:contextualSpacing/>
        <w:rPr>
          <w:b/>
          <w:bCs/>
          <w:sz w:val="22"/>
          <w:szCs w:val="22"/>
        </w:rPr>
      </w:pPr>
    </w:p>
    <w:p w14:paraId="503E19A3" w14:textId="77777777" w:rsidR="00840854" w:rsidRPr="007A17AE" w:rsidRDefault="00840854" w:rsidP="007A17AE">
      <w:pPr>
        <w:pStyle w:val="Default"/>
        <w:contextualSpacing/>
        <w:rPr>
          <w:sz w:val="22"/>
          <w:szCs w:val="22"/>
        </w:rPr>
      </w:pPr>
      <w:r w:rsidRPr="007A17AE">
        <w:rPr>
          <w:b/>
          <w:bCs/>
          <w:sz w:val="22"/>
          <w:szCs w:val="22"/>
        </w:rPr>
        <w:t xml:space="preserve">Vairavimas ir mechanizmų valdymas </w:t>
      </w:r>
    </w:p>
    <w:p w14:paraId="796A5B4D" w14:textId="77777777" w:rsidR="00D245CD" w:rsidRPr="007A17AE" w:rsidRDefault="000A46E0" w:rsidP="007A17AE">
      <w:pPr>
        <w:pStyle w:val="Default"/>
        <w:contextualSpacing/>
        <w:rPr>
          <w:b/>
          <w:bCs/>
          <w:sz w:val="22"/>
          <w:szCs w:val="22"/>
        </w:rPr>
      </w:pPr>
      <w:r w:rsidRPr="007A17AE">
        <w:rPr>
          <w:sz w:val="22"/>
          <w:szCs w:val="22"/>
        </w:rPr>
        <w:lastRenderedPageBreak/>
        <w:t>Turi būti atsižvelgta į tai, kad kai kuriems žmonėms pavartojus Aprepitant Sandoz, pasireiškė galvos svaigimas ir mieguistumas. Jeigu Jūs arba Jūsų vaikas jaučiatės apsvaigęs arba mieguistas, venkite vairuoti automobilį, važiuoti dviračiu ir dirbti su mechanizmais ar įrengimais po Aprepitant Sandoz pavartojimo (žr. „Galimas šalutinis poveikis“).</w:t>
      </w:r>
    </w:p>
    <w:p w14:paraId="003D980E" w14:textId="77777777" w:rsidR="000A46E0" w:rsidRPr="007A17AE" w:rsidRDefault="000A46E0" w:rsidP="007A17AE">
      <w:pPr>
        <w:pStyle w:val="Default"/>
        <w:contextualSpacing/>
        <w:rPr>
          <w:b/>
          <w:bCs/>
          <w:sz w:val="22"/>
          <w:szCs w:val="22"/>
        </w:rPr>
      </w:pPr>
    </w:p>
    <w:p w14:paraId="55FF06F5" w14:textId="77777777" w:rsidR="00840854" w:rsidRPr="007A17AE" w:rsidRDefault="00297BDB" w:rsidP="007A17AE">
      <w:pPr>
        <w:pStyle w:val="Default"/>
        <w:contextualSpacing/>
        <w:rPr>
          <w:sz w:val="22"/>
          <w:szCs w:val="22"/>
        </w:rPr>
      </w:pPr>
      <w:r w:rsidRPr="007A17AE">
        <w:rPr>
          <w:b/>
          <w:bCs/>
          <w:sz w:val="22"/>
          <w:szCs w:val="22"/>
        </w:rPr>
        <w:t>Aprepitant Sandoz</w:t>
      </w:r>
      <w:r w:rsidR="00840854" w:rsidRPr="007A17AE">
        <w:rPr>
          <w:b/>
          <w:bCs/>
          <w:sz w:val="22"/>
          <w:szCs w:val="22"/>
        </w:rPr>
        <w:t xml:space="preserve"> sudėtyje yra </w:t>
      </w:r>
      <w:r w:rsidR="000A46E0" w:rsidRPr="007A17AE">
        <w:rPr>
          <w:b/>
          <w:bCs/>
          <w:sz w:val="22"/>
          <w:szCs w:val="22"/>
        </w:rPr>
        <w:t>sacharozės</w:t>
      </w:r>
      <w:r w:rsidR="00840854" w:rsidRPr="007A17AE">
        <w:rPr>
          <w:b/>
          <w:bCs/>
          <w:sz w:val="22"/>
          <w:szCs w:val="22"/>
        </w:rPr>
        <w:t xml:space="preserve">. </w:t>
      </w:r>
    </w:p>
    <w:p w14:paraId="33BAD5D9" w14:textId="77777777" w:rsidR="00840854" w:rsidRPr="007A17AE" w:rsidRDefault="000A46E0" w:rsidP="007A17AE">
      <w:pPr>
        <w:numPr>
          <w:ilvl w:val="12"/>
          <w:numId w:val="0"/>
        </w:numPr>
        <w:tabs>
          <w:tab w:val="clear" w:pos="567"/>
        </w:tabs>
        <w:spacing w:line="240" w:lineRule="auto"/>
        <w:ind w:right="-2"/>
        <w:contextualSpacing/>
        <w:rPr>
          <w:bCs/>
          <w:szCs w:val="22"/>
        </w:rPr>
      </w:pPr>
      <w:r w:rsidRPr="007A17AE">
        <w:rPr>
          <w:szCs w:val="22"/>
        </w:rPr>
        <w:t xml:space="preserve">Aprepitant Sandoz kapsulių sudėtyje yra sacharozės. </w:t>
      </w:r>
      <w:r w:rsidR="00840854" w:rsidRPr="007A17AE">
        <w:rPr>
          <w:szCs w:val="22"/>
        </w:rPr>
        <w:t xml:space="preserve">Jeigu gydytojas Jums </w:t>
      </w:r>
      <w:r w:rsidRPr="007A17AE">
        <w:rPr>
          <w:szCs w:val="22"/>
        </w:rPr>
        <w:t xml:space="preserve">arba Jūsų vaikui </w:t>
      </w:r>
      <w:r w:rsidR="00840854" w:rsidRPr="007A17AE">
        <w:rPr>
          <w:szCs w:val="22"/>
        </w:rPr>
        <w:t>yra sakęs, kad netoleruojate kokių nors angliavandenių, kreipkitės į jį prieš pradėdami vartoti šį vaistą.</w:t>
      </w:r>
    </w:p>
    <w:p w14:paraId="21AABCD3" w14:textId="77777777" w:rsidR="00997135" w:rsidRPr="007A17AE" w:rsidRDefault="00997135" w:rsidP="007A17AE">
      <w:pPr>
        <w:numPr>
          <w:ilvl w:val="12"/>
          <w:numId w:val="0"/>
        </w:numPr>
        <w:tabs>
          <w:tab w:val="clear" w:pos="567"/>
        </w:tabs>
        <w:spacing w:line="240" w:lineRule="auto"/>
        <w:ind w:right="-2"/>
        <w:contextualSpacing/>
        <w:outlineLvl w:val="0"/>
        <w:rPr>
          <w:szCs w:val="22"/>
        </w:rPr>
      </w:pPr>
    </w:p>
    <w:p w14:paraId="2E1AC012" w14:textId="77777777" w:rsidR="006455D2" w:rsidRPr="007A17AE" w:rsidRDefault="006455D2" w:rsidP="007A17AE">
      <w:pPr>
        <w:numPr>
          <w:ilvl w:val="12"/>
          <w:numId w:val="0"/>
        </w:numPr>
        <w:tabs>
          <w:tab w:val="clear" w:pos="567"/>
        </w:tabs>
        <w:spacing w:line="240" w:lineRule="auto"/>
        <w:ind w:right="-2"/>
        <w:contextualSpacing/>
        <w:rPr>
          <w:szCs w:val="22"/>
        </w:rPr>
      </w:pPr>
    </w:p>
    <w:p w14:paraId="53474F13" w14:textId="77777777" w:rsidR="005C3D29" w:rsidRPr="007A17AE" w:rsidRDefault="005C3D29" w:rsidP="007A17AE">
      <w:pPr>
        <w:spacing w:line="240" w:lineRule="auto"/>
        <w:ind w:right="-2"/>
        <w:contextualSpacing/>
        <w:rPr>
          <w:b/>
          <w:szCs w:val="22"/>
        </w:rPr>
      </w:pPr>
      <w:r w:rsidRPr="007A17AE">
        <w:rPr>
          <w:b/>
          <w:szCs w:val="22"/>
        </w:rPr>
        <w:t>3.</w:t>
      </w:r>
      <w:r w:rsidRPr="007A17AE">
        <w:rPr>
          <w:b/>
          <w:szCs w:val="22"/>
        </w:rPr>
        <w:tab/>
        <w:t xml:space="preserve">Kaip vartoti </w:t>
      </w:r>
      <w:r w:rsidR="00297BDB" w:rsidRPr="007A17AE">
        <w:rPr>
          <w:b/>
          <w:szCs w:val="22"/>
        </w:rPr>
        <w:t>Aprepitant Sandoz</w:t>
      </w:r>
    </w:p>
    <w:p w14:paraId="71B17240" w14:textId="77777777" w:rsidR="006455D2" w:rsidRPr="007A17AE" w:rsidRDefault="006455D2" w:rsidP="007A17AE">
      <w:pPr>
        <w:numPr>
          <w:ilvl w:val="12"/>
          <w:numId w:val="0"/>
        </w:numPr>
        <w:tabs>
          <w:tab w:val="clear" w:pos="567"/>
        </w:tabs>
        <w:spacing w:line="240" w:lineRule="auto"/>
        <w:ind w:right="-2"/>
        <w:contextualSpacing/>
        <w:rPr>
          <w:szCs w:val="22"/>
        </w:rPr>
      </w:pPr>
    </w:p>
    <w:p w14:paraId="3F790619" w14:textId="77777777" w:rsidR="000A46E0" w:rsidRPr="007A17AE" w:rsidRDefault="000A46E0" w:rsidP="007A17AE">
      <w:pPr>
        <w:numPr>
          <w:ilvl w:val="12"/>
          <w:numId w:val="0"/>
        </w:numPr>
        <w:tabs>
          <w:tab w:val="clear" w:pos="567"/>
        </w:tabs>
        <w:spacing w:line="240" w:lineRule="auto"/>
        <w:ind w:right="-2"/>
        <w:contextualSpacing/>
        <w:rPr>
          <w:szCs w:val="22"/>
        </w:rPr>
      </w:pPr>
      <w:r w:rsidRPr="007A17AE">
        <w:rPr>
          <w:szCs w:val="22"/>
        </w:rPr>
        <w:t>Visada vartokite šį vaistą arba duokite jo vaikui tiksliai kaip nurodė gydytojas, vaistininkas arba</w:t>
      </w:r>
      <w:r w:rsidR="009325B6" w:rsidRPr="007A17AE">
        <w:rPr>
          <w:szCs w:val="22"/>
        </w:rPr>
        <w:t xml:space="preserve"> </w:t>
      </w:r>
      <w:r w:rsidRPr="007A17AE">
        <w:rPr>
          <w:szCs w:val="22"/>
        </w:rPr>
        <w:t>slaugytoja</w:t>
      </w:r>
      <w:r w:rsidR="00A57816">
        <w:rPr>
          <w:szCs w:val="22"/>
        </w:rPr>
        <w:t>s</w:t>
      </w:r>
      <w:r w:rsidRPr="007A17AE">
        <w:rPr>
          <w:szCs w:val="22"/>
        </w:rPr>
        <w:t>. Jeigu abejojate, kreipkitės į gydytoją, vaistininką arba slaugytoją. Norėdami apsisaugoti</w:t>
      </w:r>
      <w:r w:rsidR="009325B6" w:rsidRPr="007A17AE">
        <w:rPr>
          <w:szCs w:val="22"/>
        </w:rPr>
        <w:t xml:space="preserve"> </w:t>
      </w:r>
      <w:r w:rsidRPr="007A17AE">
        <w:rPr>
          <w:szCs w:val="22"/>
        </w:rPr>
        <w:t xml:space="preserve">nuo pykinimo ir vėmimo, visada vartokite </w:t>
      </w:r>
      <w:r w:rsidR="009325B6" w:rsidRPr="007A17AE">
        <w:rPr>
          <w:szCs w:val="22"/>
        </w:rPr>
        <w:t>Aprepitant Sandoz</w:t>
      </w:r>
      <w:r w:rsidRPr="007A17AE">
        <w:rPr>
          <w:szCs w:val="22"/>
        </w:rPr>
        <w:t xml:space="preserve"> kartu su kitais vaistais. Baigus gydymą </w:t>
      </w:r>
      <w:r w:rsidR="009325B6" w:rsidRPr="007A17AE">
        <w:rPr>
          <w:szCs w:val="22"/>
        </w:rPr>
        <w:t>Aprepitant Sandoz</w:t>
      </w:r>
      <w:r w:rsidRPr="007A17AE">
        <w:rPr>
          <w:szCs w:val="22"/>
        </w:rPr>
        <w:t>,</w:t>
      </w:r>
      <w:r w:rsidR="009325B6" w:rsidRPr="007A17AE">
        <w:rPr>
          <w:szCs w:val="22"/>
        </w:rPr>
        <w:t xml:space="preserve"> </w:t>
      </w:r>
      <w:r w:rsidRPr="007A17AE">
        <w:rPr>
          <w:szCs w:val="22"/>
        </w:rPr>
        <w:t xml:space="preserve">pykinimo ir vėmimo </w:t>
      </w:r>
      <w:r w:rsidR="009325B6" w:rsidRPr="007A17AE">
        <w:rPr>
          <w:szCs w:val="22"/>
        </w:rPr>
        <w:t xml:space="preserve">prevencijai </w:t>
      </w:r>
      <w:r w:rsidRPr="007A17AE">
        <w:rPr>
          <w:szCs w:val="22"/>
        </w:rPr>
        <w:t>gydytojas gali nurodyti Jums arba Jūsų vaikui toliau vartoti kitų</w:t>
      </w:r>
      <w:r w:rsidR="009325B6" w:rsidRPr="007A17AE">
        <w:rPr>
          <w:szCs w:val="22"/>
        </w:rPr>
        <w:t xml:space="preserve"> </w:t>
      </w:r>
      <w:r w:rsidRPr="007A17AE">
        <w:rPr>
          <w:szCs w:val="22"/>
        </w:rPr>
        <w:t xml:space="preserve">vaistų, </w:t>
      </w:r>
      <w:r w:rsidR="009325B6" w:rsidRPr="007A17AE">
        <w:rPr>
          <w:szCs w:val="22"/>
        </w:rPr>
        <w:t>įskaitant</w:t>
      </w:r>
      <w:r w:rsidRPr="007A17AE">
        <w:rPr>
          <w:szCs w:val="22"/>
        </w:rPr>
        <w:t xml:space="preserve"> kortikosteroid</w:t>
      </w:r>
      <w:r w:rsidR="009325B6" w:rsidRPr="007A17AE">
        <w:rPr>
          <w:szCs w:val="22"/>
        </w:rPr>
        <w:t>us</w:t>
      </w:r>
      <w:r w:rsidRPr="007A17AE">
        <w:rPr>
          <w:szCs w:val="22"/>
        </w:rPr>
        <w:t xml:space="preserve"> (</w:t>
      </w:r>
      <w:r w:rsidR="009325B6" w:rsidRPr="007A17AE">
        <w:rPr>
          <w:szCs w:val="22"/>
        </w:rPr>
        <w:t>tokius, kaip</w:t>
      </w:r>
      <w:r w:rsidRPr="007A17AE">
        <w:rPr>
          <w:szCs w:val="22"/>
        </w:rPr>
        <w:t xml:space="preserve"> deksametazon</w:t>
      </w:r>
      <w:r w:rsidR="009325B6" w:rsidRPr="007A17AE">
        <w:rPr>
          <w:szCs w:val="22"/>
        </w:rPr>
        <w:t>as</w:t>
      </w:r>
      <w:r w:rsidRPr="007A17AE">
        <w:rPr>
          <w:szCs w:val="22"/>
        </w:rPr>
        <w:t xml:space="preserve">) </w:t>
      </w:r>
      <w:r w:rsidR="009325B6" w:rsidRPr="007A17AE">
        <w:rPr>
          <w:szCs w:val="22"/>
        </w:rPr>
        <w:t>ir</w:t>
      </w:r>
      <w:r w:rsidRPr="007A17AE">
        <w:rPr>
          <w:szCs w:val="22"/>
        </w:rPr>
        <w:t xml:space="preserve"> 5-HT</w:t>
      </w:r>
      <w:r w:rsidRPr="00F122CC">
        <w:rPr>
          <w:szCs w:val="22"/>
          <w:vertAlign w:val="subscript"/>
        </w:rPr>
        <w:t>3</w:t>
      </w:r>
      <w:r w:rsidRPr="007A17AE">
        <w:rPr>
          <w:szCs w:val="22"/>
        </w:rPr>
        <w:t xml:space="preserve"> antagonist</w:t>
      </w:r>
      <w:r w:rsidR="009325B6" w:rsidRPr="007A17AE">
        <w:rPr>
          <w:szCs w:val="22"/>
        </w:rPr>
        <w:t>ą</w:t>
      </w:r>
      <w:r w:rsidRPr="007A17AE">
        <w:rPr>
          <w:szCs w:val="22"/>
        </w:rPr>
        <w:t xml:space="preserve"> (</w:t>
      </w:r>
      <w:r w:rsidR="009325B6" w:rsidRPr="007A17AE">
        <w:rPr>
          <w:szCs w:val="22"/>
        </w:rPr>
        <w:t>tokį, kaip</w:t>
      </w:r>
      <w:r w:rsidRPr="007A17AE">
        <w:rPr>
          <w:szCs w:val="22"/>
        </w:rPr>
        <w:t xml:space="preserve"> ondansetron</w:t>
      </w:r>
      <w:r w:rsidR="009325B6" w:rsidRPr="007A17AE">
        <w:rPr>
          <w:szCs w:val="22"/>
        </w:rPr>
        <w:t>as</w:t>
      </w:r>
      <w:r w:rsidRPr="007A17AE">
        <w:rPr>
          <w:szCs w:val="22"/>
        </w:rPr>
        <w:t>). Jeigu</w:t>
      </w:r>
      <w:r w:rsidR="009325B6" w:rsidRPr="007A17AE">
        <w:rPr>
          <w:szCs w:val="22"/>
        </w:rPr>
        <w:t xml:space="preserve"> </w:t>
      </w:r>
      <w:r w:rsidRPr="007A17AE">
        <w:rPr>
          <w:szCs w:val="22"/>
        </w:rPr>
        <w:t>abejojate, kreipkitės į gydytoją, vaistininką arba slaugytoją.</w:t>
      </w:r>
    </w:p>
    <w:p w14:paraId="20EBC8DF" w14:textId="77777777" w:rsidR="009325B6" w:rsidRPr="007A17AE" w:rsidRDefault="009325B6" w:rsidP="007A17AE">
      <w:pPr>
        <w:numPr>
          <w:ilvl w:val="12"/>
          <w:numId w:val="0"/>
        </w:numPr>
        <w:tabs>
          <w:tab w:val="clear" w:pos="567"/>
        </w:tabs>
        <w:spacing w:line="240" w:lineRule="auto"/>
        <w:ind w:right="-2"/>
        <w:contextualSpacing/>
        <w:rPr>
          <w:szCs w:val="22"/>
        </w:rPr>
      </w:pPr>
    </w:p>
    <w:p w14:paraId="1085DA0C" w14:textId="77777777" w:rsidR="000A46E0" w:rsidRPr="007A17AE" w:rsidRDefault="000A46E0" w:rsidP="007A17AE">
      <w:pPr>
        <w:numPr>
          <w:ilvl w:val="12"/>
          <w:numId w:val="0"/>
        </w:numPr>
        <w:tabs>
          <w:tab w:val="clear" w:pos="567"/>
        </w:tabs>
        <w:spacing w:line="240" w:lineRule="auto"/>
        <w:ind w:right="-2"/>
        <w:contextualSpacing/>
        <w:rPr>
          <w:szCs w:val="22"/>
        </w:rPr>
      </w:pPr>
      <w:r w:rsidRPr="007A17AE">
        <w:rPr>
          <w:szCs w:val="22"/>
        </w:rPr>
        <w:t xml:space="preserve">Rekomenduojama geriamoji </w:t>
      </w:r>
      <w:r w:rsidR="009325B6" w:rsidRPr="007A17AE">
        <w:rPr>
          <w:szCs w:val="22"/>
        </w:rPr>
        <w:t>Aprepitant Sandoz</w:t>
      </w:r>
      <w:r w:rsidRPr="007A17AE">
        <w:rPr>
          <w:szCs w:val="22"/>
        </w:rPr>
        <w:t xml:space="preserve"> dozė yra</w:t>
      </w:r>
    </w:p>
    <w:p w14:paraId="7A0AB953" w14:textId="77777777" w:rsidR="000A46E0" w:rsidRPr="007A17AE" w:rsidRDefault="000A46E0" w:rsidP="007A17AE">
      <w:pPr>
        <w:numPr>
          <w:ilvl w:val="12"/>
          <w:numId w:val="0"/>
        </w:numPr>
        <w:tabs>
          <w:tab w:val="clear" w:pos="567"/>
        </w:tabs>
        <w:spacing w:line="240" w:lineRule="auto"/>
        <w:ind w:right="-2"/>
        <w:contextualSpacing/>
        <w:rPr>
          <w:szCs w:val="22"/>
        </w:rPr>
      </w:pPr>
      <w:r w:rsidRPr="007A17AE">
        <w:rPr>
          <w:szCs w:val="22"/>
        </w:rPr>
        <w:t>1-ąją dieną:</w:t>
      </w:r>
    </w:p>
    <w:p w14:paraId="0874A37C" w14:textId="77777777" w:rsidR="000A46E0" w:rsidRPr="007A17AE" w:rsidRDefault="000A46E0" w:rsidP="007A17AE">
      <w:pPr>
        <w:numPr>
          <w:ilvl w:val="0"/>
          <w:numId w:val="21"/>
        </w:numPr>
        <w:tabs>
          <w:tab w:val="clear" w:pos="567"/>
        </w:tabs>
        <w:spacing w:line="240" w:lineRule="auto"/>
        <w:ind w:left="567" w:right="-2" w:hanging="567"/>
        <w:contextualSpacing/>
        <w:rPr>
          <w:szCs w:val="22"/>
        </w:rPr>
      </w:pPr>
      <w:r w:rsidRPr="007A17AE">
        <w:rPr>
          <w:szCs w:val="22"/>
        </w:rPr>
        <w:t xml:space="preserve">viena </w:t>
      </w:r>
      <w:r w:rsidR="009325B6" w:rsidRPr="007A17AE">
        <w:rPr>
          <w:szCs w:val="22"/>
        </w:rPr>
        <w:t xml:space="preserve">Aprepitant Sandoz </w:t>
      </w:r>
      <w:r w:rsidRPr="007A17AE">
        <w:rPr>
          <w:szCs w:val="22"/>
        </w:rPr>
        <w:t>125</w:t>
      </w:r>
      <w:r w:rsidR="00337B92">
        <w:rPr>
          <w:szCs w:val="22"/>
        </w:rPr>
        <w:t> </w:t>
      </w:r>
      <w:r w:rsidRPr="007A17AE">
        <w:rPr>
          <w:szCs w:val="22"/>
        </w:rPr>
        <w:t>mg kapsulė likus 1</w:t>
      </w:r>
      <w:r w:rsidR="00337B92">
        <w:rPr>
          <w:szCs w:val="22"/>
        </w:rPr>
        <w:t> </w:t>
      </w:r>
      <w:r w:rsidRPr="007A17AE">
        <w:rPr>
          <w:szCs w:val="22"/>
        </w:rPr>
        <w:t xml:space="preserve">valandai iki </w:t>
      </w:r>
      <w:r w:rsidR="009325B6" w:rsidRPr="007A17AE">
        <w:rPr>
          <w:szCs w:val="22"/>
        </w:rPr>
        <w:t xml:space="preserve">Jūsų </w:t>
      </w:r>
      <w:r w:rsidRPr="007A17AE">
        <w:rPr>
          <w:szCs w:val="22"/>
        </w:rPr>
        <w:t>chemoterapijos</w:t>
      </w:r>
      <w:r w:rsidR="009325B6" w:rsidRPr="007A17AE">
        <w:rPr>
          <w:szCs w:val="22"/>
        </w:rPr>
        <w:t xml:space="preserve"> kurso pradžios;</w:t>
      </w:r>
    </w:p>
    <w:p w14:paraId="7DB0891C" w14:textId="77777777" w:rsidR="009325B6" w:rsidRPr="007A17AE" w:rsidRDefault="009325B6" w:rsidP="00F122CC">
      <w:pPr>
        <w:tabs>
          <w:tab w:val="clear" w:pos="567"/>
        </w:tabs>
        <w:spacing w:line="240" w:lineRule="auto"/>
        <w:ind w:right="-2"/>
        <w:contextualSpacing/>
        <w:rPr>
          <w:szCs w:val="22"/>
        </w:rPr>
      </w:pPr>
    </w:p>
    <w:p w14:paraId="7888F8CB" w14:textId="77777777" w:rsidR="000A46E0" w:rsidRPr="007A17AE" w:rsidRDefault="000A46E0" w:rsidP="007A17AE">
      <w:pPr>
        <w:numPr>
          <w:ilvl w:val="12"/>
          <w:numId w:val="0"/>
        </w:numPr>
        <w:tabs>
          <w:tab w:val="clear" w:pos="567"/>
        </w:tabs>
        <w:spacing w:line="240" w:lineRule="auto"/>
        <w:ind w:right="-2"/>
        <w:contextualSpacing/>
        <w:rPr>
          <w:b/>
          <w:szCs w:val="22"/>
        </w:rPr>
      </w:pPr>
      <w:r w:rsidRPr="007A17AE">
        <w:rPr>
          <w:b/>
          <w:szCs w:val="22"/>
        </w:rPr>
        <w:t>ir</w:t>
      </w:r>
    </w:p>
    <w:p w14:paraId="39BD8D3D" w14:textId="77777777" w:rsidR="009325B6" w:rsidRPr="007A17AE" w:rsidRDefault="009325B6" w:rsidP="007A17AE">
      <w:pPr>
        <w:numPr>
          <w:ilvl w:val="12"/>
          <w:numId w:val="0"/>
        </w:numPr>
        <w:tabs>
          <w:tab w:val="clear" w:pos="567"/>
        </w:tabs>
        <w:spacing w:line="240" w:lineRule="auto"/>
        <w:ind w:right="-2"/>
        <w:contextualSpacing/>
        <w:rPr>
          <w:b/>
          <w:szCs w:val="22"/>
        </w:rPr>
      </w:pPr>
    </w:p>
    <w:p w14:paraId="37E042FD" w14:textId="77777777" w:rsidR="000A46E0" w:rsidRPr="007A17AE" w:rsidRDefault="000A46E0" w:rsidP="007A17AE">
      <w:pPr>
        <w:numPr>
          <w:ilvl w:val="12"/>
          <w:numId w:val="0"/>
        </w:numPr>
        <w:tabs>
          <w:tab w:val="clear" w:pos="567"/>
        </w:tabs>
        <w:spacing w:line="240" w:lineRule="auto"/>
        <w:ind w:right="-2"/>
        <w:contextualSpacing/>
        <w:rPr>
          <w:szCs w:val="22"/>
        </w:rPr>
      </w:pPr>
      <w:r w:rsidRPr="007A17AE">
        <w:rPr>
          <w:szCs w:val="22"/>
        </w:rPr>
        <w:t xml:space="preserve">2-ąją dieną </w:t>
      </w:r>
      <w:r w:rsidR="009325B6" w:rsidRPr="007A17AE">
        <w:rPr>
          <w:szCs w:val="22"/>
        </w:rPr>
        <w:t>bei</w:t>
      </w:r>
      <w:r w:rsidRPr="007A17AE">
        <w:rPr>
          <w:szCs w:val="22"/>
        </w:rPr>
        <w:t xml:space="preserve"> 3-ąją dieną:</w:t>
      </w:r>
    </w:p>
    <w:p w14:paraId="3176B7FB" w14:textId="77777777" w:rsidR="000A46E0" w:rsidRPr="007A17AE" w:rsidRDefault="000A46E0" w:rsidP="007A17AE">
      <w:pPr>
        <w:numPr>
          <w:ilvl w:val="0"/>
          <w:numId w:val="22"/>
        </w:numPr>
        <w:tabs>
          <w:tab w:val="clear" w:pos="567"/>
        </w:tabs>
        <w:spacing w:line="240" w:lineRule="auto"/>
        <w:ind w:left="567" w:right="-2" w:hanging="567"/>
        <w:contextualSpacing/>
        <w:rPr>
          <w:szCs w:val="22"/>
        </w:rPr>
      </w:pPr>
      <w:r w:rsidRPr="007A17AE">
        <w:rPr>
          <w:szCs w:val="22"/>
        </w:rPr>
        <w:t>viena 80</w:t>
      </w:r>
      <w:r w:rsidR="00337B92">
        <w:rPr>
          <w:szCs w:val="22"/>
        </w:rPr>
        <w:t> </w:t>
      </w:r>
      <w:r w:rsidRPr="007A17AE">
        <w:rPr>
          <w:szCs w:val="22"/>
        </w:rPr>
        <w:t>mg kapsulė per parą,</w:t>
      </w:r>
    </w:p>
    <w:p w14:paraId="327CEA62" w14:textId="77777777" w:rsidR="000A46E0" w:rsidRPr="007A17AE" w:rsidRDefault="000A46E0" w:rsidP="007A17AE">
      <w:pPr>
        <w:numPr>
          <w:ilvl w:val="0"/>
          <w:numId w:val="22"/>
        </w:numPr>
        <w:tabs>
          <w:tab w:val="clear" w:pos="567"/>
        </w:tabs>
        <w:spacing w:line="240" w:lineRule="auto"/>
        <w:ind w:left="567" w:right="-2" w:hanging="567"/>
        <w:contextualSpacing/>
        <w:rPr>
          <w:szCs w:val="22"/>
        </w:rPr>
      </w:pPr>
      <w:r w:rsidRPr="007A17AE">
        <w:rPr>
          <w:szCs w:val="22"/>
        </w:rPr>
        <w:t xml:space="preserve">jeigu chemoterapija netaikoma, tai </w:t>
      </w:r>
      <w:r w:rsidR="009325B6" w:rsidRPr="007A17AE">
        <w:rPr>
          <w:szCs w:val="22"/>
        </w:rPr>
        <w:t>Aprepitant Sandoz</w:t>
      </w:r>
      <w:r w:rsidRPr="007A17AE">
        <w:rPr>
          <w:szCs w:val="22"/>
        </w:rPr>
        <w:t xml:space="preserve"> geriamas ryte,</w:t>
      </w:r>
    </w:p>
    <w:p w14:paraId="7D386F0A" w14:textId="77777777" w:rsidR="009325B6" w:rsidRPr="007A17AE" w:rsidRDefault="000A46E0" w:rsidP="007A17AE">
      <w:pPr>
        <w:numPr>
          <w:ilvl w:val="0"/>
          <w:numId w:val="22"/>
        </w:numPr>
        <w:spacing w:line="240" w:lineRule="auto"/>
        <w:ind w:left="567" w:hanging="567"/>
        <w:contextualSpacing/>
        <w:rPr>
          <w:szCs w:val="22"/>
        </w:rPr>
      </w:pPr>
      <w:r w:rsidRPr="007A17AE">
        <w:rPr>
          <w:szCs w:val="22"/>
        </w:rPr>
        <w:t xml:space="preserve">jeigu taikoma chemoterapija, tai </w:t>
      </w:r>
      <w:r w:rsidR="009325B6" w:rsidRPr="007A17AE">
        <w:rPr>
          <w:szCs w:val="22"/>
        </w:rPr>
        <w:t>Aprepitant Sandoz</w:t>
      </w:r>
      <w:r w:rsidRPr="007A17AE">
        <w:rPr>
          <w:szCs w:val="22"/>
        </w:rPr>
        <w:t xml:space="preserve"> geriamas likus </w:t>
      </w:r>
      <w:r w:rsidR="009325B6" w:rsidRPr="007A17AE">
        <w:rPr>
          <w:szCs w:val="22"/>
        </w:rPr>
        <w:t>1</w:t>
      </w:r>
      <w:r w:rsidR="00337B92">
        <w:rPr>
          <w:szCs w:val="22"/>
        </w:rPr>
        <w:t> </w:t>
      </w:r>
      <w:r w:rsidR="009325B6" w:rsidRPr="007A17AE">
        <w:rPr>
          <w:szCs w:val="22"/>
        </w:rPr>
        <w:t>valandai iki Jūsų chemoterapijos kurso pradžios;</w:t>
      </w:r>
    </w:p>
    <w:p w14:paraId="7908D0BC" w14:textId="77777777" w:rsidR="009325B6" w:rsidRPr="007A17AE" w:rsidRDefault="009325B6" w:rsidP="007A17AE">
      <w:pPr>
        <w:numPr>
          <w:ilvl w:val="12"/>
          <w:numId w:val="0"/>
        </w:numPr>
        <w:tabs>
          <w:tab w:val="clear" w:pos="567"/>
        </w:tabs>
        <w:spacing w:line="240" w:lineRule="auto"/>
        <w:ind w:right="-2"/>
        <w:contextualSpacing/>
        <w:rPr>
          <w:szCs w:val="22"/>
        </w:rPr>
      </w:pPr>
    </w:p>
    <w:p w14:paraId="623CB11C" w14:textId="77777777" w:rsidR="005C3D29" w:rsidRPr="007A17AE" w:rsidRDefault="009325B6" w:rsidP="007A17AE">
      <w:pPr>
        <w:numPr>
          <w:ilvl w:val="12"/>
          <w:numId w:val="0"/>
        </w:numPr>
        <w:tabs>
          <w:tab w:val="clear" w:pos="567"/>
        </w:tabs>
        <w:spacing w:line="240" w:lineRule="auto"/>
        <w:ind w:right="-2"/>
        <w:contextualSpacing/>
        <w:rPr>
          <w:szCs w:val="22"/>
        </w:rPr>
      </w:pPr>
      <w:r w:rsidRPr="007A17AE">
        <w:rPr>
          <w:szCs w:val="22"/>
        </w:rPr>
        <w:t>Aprepitant Sandoz</w:t>
      </w:r>
      <w:r w:rsidR="000A46E0" w:rsidRPr="007A17AE">
        <w:rPr>
          <w:szCs w:val="22"/>
        </w:rPr>
        <w:t xml:space="preserve"> galima vartoti valgio metu arba nevalgius.</w:t>
      </w:r>
      <w:r w:rsidR="00F3260D" w:rsidRPr="007A17AE">
        <w:rPr>
          <w:szCs w:val="22"/>
        </w:rPr>
        <w:t xml:space="preserve"> </w:t>
      </w:r>
      <w:r w:rsidR="000A46E0" w:rsidRPr="007A17AE">
        <w:rPr>
          <w:szCs w:val="22"/>
        </w:rPr>
        <w:t xml:space="preserve">Kapsulę nurykite visą, užgerdami </w:t>
      </w:r>
      <w:r w:rsidR="00F3260D" w:rsidRPr="007A17AE">
        <w:rPr>
          <w:szCs w:val="22"/>
        </w:rPr>
        <w:t xml:space="preserve">trupučiu </w:t>
      </w:r>
      <w:r w:rsidR="000A46E0" w:rsidRPr="007A17AE">
        <w:rPr>
          <w:szCs w:val="22"/>
        </w:rPr>
        <w:t>skysči</w:t>
      </w:r>
      <w:r w:rsidR="00F3260D" w:rsidRPr="007A17AE">
        <w:rPr>
          <w:szCs w:val="22"/>
        </w:rPr>
        <w:t>o</w:t>
      </w:r>
      <w:r w:rsidR="000A46E0" w:rsidRPr="007A17AE">
        <w:rPr>
          <w:szCs w:val="22"/>
        </w:rPr>
        <w:t>.</w:t>
      </w:r>
    </w:p>
    <w:p w14:paraId="4D635FE7" w14:textId="77777777" w:rsidR="006455D2" w:rsidRPr="007A17AE" w:rsidRDefault="006455D2" w:rsidP="007A17AE">
      <w:pPr>
        <w:numPr>
          <w:ilvl w:val="12"/>
          <w:numId w:val="0"/>
        </w:numPr>
        <w:tabs>
          <w:tab w:val="clear" w:pos="567"/>
        </w:tabs>
        <w:spacing w:line="240" w:lineRule="auto"/>
        <w:ind w:right="-2"/>
        <w:contextualSpacing/>
        <w:rPr>
          <w:szCs w:val="22"/>
        </w:rPr>
      </w:pPr>
    </w:p>
    <w:p w14:paraId="78630DDC" w14:textId="77777777" w:rsidR="00F3260D" w:rsidRPr="007A17AE" w:rsidRDefault="00F3260D" w:rsidP="007A17AE">
      <w:pPr>
        <w:numPr>
          <w:ilvl w:val="12"/>
          <w:numId w:val="0"/>
        </w:numPr>
        <w:tabs>
          <w:tab w:val="clear" w:pos="567"/>
        </w:tabs>
        <w:spacing w:line="240" w:lineRule="auto"/>
        <w:ind w:right="-2"/>
        <w:contextualSpacing/>
        <w:rPr>
          <w:b/>
          <w:szCs w:val="22"/>
        </w:rPr>
      </w:pPr>
      <w:r w:rsidRPr="007A17AE">
        <w:rPr>
          <w:b/>
          <w:szCs w:val="22"/>
        </w:rPr>
        <w:t>Ką daryti pavartojus per didelę Aprepitant Sandoz dozę?</w:t>
      </w:r>
    </w:p>
    <w:p w14:paraId="0B17B52D" w14:textId="77777777" w:rsidR="00F3260D" w:rsidRPr="007A17AE" w:rsidRDefault="00F3260D" w:rsidP="007A17AE">
      <w:pPr>
        <w:numPr>
          <w:ilvl w:val="12"/>
          <w:numId w:val="0"/>
        </w:numPr>
        <w:tabs>
          <w:tab w:val="clear" w:pos="567"/>
        </w:tabs>
        <w:spacing w:line="240" w:lineRule="auto"/>
        <w:ind w:right="-2"/>
        <w:contextualSpacing/>
        <w:rPr>
          <w:szCs w:val="22"/>
        </w:rPr>
      </w:pPr>
      <w:r w:rsidRPr="007A17AE">
        <w:rPr>
          <w:szCs w:val="22"/>
        </w:rPr>
        <w:t>Nevartokite</w:t>
      </w:r>
      <w:r w:rsidR="00337B92">
        <w:rPr>
          <w:szCs w:val="22"/>
        </w:rPr>
        <w:t xml:space="preserve"> </w:t>
      </w:r>
      <w:r w:rsidRPr="007A17AE">
        <w:rPr>
          <w:szCs w:val="22"/>
        </w:rPr>
        <w:t>daugiau Aprepitant Sandoz negu rekomendavo gydytojas. Jei Jūs išgėrėte arba Jūsų vaikas išgėrė per daug kapsulių, nedelsdami kreipkitės į savo gydytoją.</w:t>
      </w:r>
    </w:p>
    <w:p w14:paraId="278E2364" w14:textId="77777777" w:rsidR="00F3260D" w:rsidRPr="007A17AE" w:rsidRDefault="00F3260D" w:rsidP="007A17AE">
      <w:pPr>
        <w:numPr>
          <w:ilvl w:val="12"/>
          <w:numId w:val="0"/>
        </w:numPr>
        <w:tabs>
          <w:tab w:val="clear" w:pos="567"/>
        </w:tabs>
        <w:spacing w:line="240" w:lineRule="auto"/>
        <w:ind w:right="-2"/>
        <w:contextualSpacing/>
        <w:rPr>
          <w:szCs w:val="22"/>
        </w:rPr>
      </w:pPr>
    </w:p>
    <w:p w14:paraId="12F074F8" w14:textId="77777777" w:rsidR="00F3260D" w:rsidRPr="007A17AE" w:rsidRDefault="00F3260D" w:rsidP="007A17AE">
      <w:pPr>
        <w:numPr>
          <w:ilvl w:val="12"/>
          <w:numId w:val="0"/>
        </w:numPr>
        <w:tabs>
          <w:tab w:val="clear" w:pos="567"/>
        </w:tabs>
        <w:spacing w:line="240" w:lineRule="auto"/>
        <w:ind w:right="-2"/>
        <w:contextualSpacing/>
        <w:rPr>
          <w:b/>
          <w:szCs w:val="22"/>
        </w:rPr>
      </w:pPr>
      <w:r w:rsidRPr="007A17AE">
        <w:rPr>
          <w:b/>
          <w:szCs w:val="22"/>
        </w:rPr>
        <w:t>Pamiršus pavartoti Aprepitant Sandoz</w:t>
      </w:r>
    </w:p>
    <w:p w14:paraId="2DC40611" w14:textId="77777777" w:rsidR="00F3260D" w:rsidRPr="007A17AE" w:rsidRDefault="00F3260D" w:rsidP="007A17AE">
      <w:pPr>
        <w:numPr>
          <w:ilvl w:val="12"/>
          <w:numId w:val="0"/>
        </w:numPr>
        <w:tabs>
          <w:tab w:val="clear" w:pos="567"/>
        </w:tabs>
        <w:spacing w:line="240" w:lineRule="auto"/>
        <w:ind w:right="-2"/>
        <w:contextualSpacing/>
        <w:rPr>
          <w:szCs w:val="22"/>
        </w:rPr>
      </w:pPr>
      <w:r w:rsidRPr="007A17AE">
        <w:rPr>
          <w:szCs w:val="22"/>
        </w:rPr>
        <w:t xml:space="preserve">Jei Jūs praleidote arba Jūsų vaikas praleido dozę, kreipkitės patarimo į </w:t>
      </w:r>
      <w:r w:rsidR="00FA7928" w:rsidRPr="007A17AE">
        <w:rPr>
          <w:szCs w:val="22"/>
        </w:rPr>
        <w:t xml:space="preserve">savo </w:t>
      </w:r>
      <w:r w:rsidRPr="007A17AE">
        <w:rPr>
          <w:szCs w:val="22"/>
        </w:rPr>
        <w:t>gydytoją.</w:t>
      </w:r>
    </w:p>
    <w:p w14:paraId="542987F3" w14:textId="77777777" w:rsidR="00FA7928" w:rsidRPr="007A17AE" w:rsidRDefault="00FA7928" w:rsidP="007A17AE">
      <w:pPr>
        <w:numPr>
          <w:ilvl w:val="12"/>
          <w:numId w:val="0"/>
        </w:numPr>
        <w:tabs>
          <w:tab w:val="clear" w:pos="567"/>
        </w:tabs>
        <w:spacing w:line="240" w:lineRule="auto"/>
        <w:ind w:right="-2"/>
        <w:contextualSpacing/>
        <w:rPr>
          <w:szCs w:val="22"/>
        </w:rPr>
      </w:pPr>
    </w:p>
    <w:p w14:paraId="585163F2" w14:textId="77777777" w:rsidR="00F3260D" w:rsidRPr="007A17AE" w:rsidRDefault="00F3260D" w:rsidP="007A17AE">
      <w:pPr>
        <w:numPr>
          <w:ilvl w:val="12"/>
          <w:numId w:val="0"/>
        </w:numPr>
        <w:tabs>
          <w:tab w:val="clear" w:pos="567"/>
        </w:tabs>
        <w:spacing w:line="240" w:lineRule="auto"/>
        <w:ind w:right="-2"/>
        <w:contextualSpacing/>
        <w:rPr>
          <w:szCs w:val="22"/>
        </w:rPr>
      </w:pPr>
      <w:r w:rsidRPr="007A17AE">
        <w:rPr>
          <w:szCs w:val="22"/>
        </w:rPr>
        <w:t>Jeigu kiltų daugiau klausimų dėl šio vaisto vartojimo, kreipkitės į gydytoją arba vaistininką.</w:t>
      </w:r>
    </w:p>
    <w:p w14:paraId="45741F9E" w14:textId="77777777" w:rsidR="00FA7928" w:rsidRPr="007A17AE" w:rsidRDefault="00FA7928" w:rsidP="007A17AE">
      <w:pPr>
        <w:numPr>
          <w:ilvl w:val="12"/>
          <w:numId w:val="0"/>
        </w:numPr>
        <w:tabs>
          <w:tab w:val="clear" w:pos="567"/>
        </w:tabs>
        <w:spacing w:line="240" w:lineRule="auto"/>
        <w:ind w:right="-2"/>
        <w:contextualSpacing/>
        <w:rPr>
          <w:szCs w:val="22"/>
        </w:rPr>
      </w:pPr>
    </w:p>
    <w:p w14:paraId="12EDCF09" w14:textId="77777777" w:rsidR="00FA7928" w:rsidRPr="007A17AE" w:rsidRDefault="00FA7928" w:rsidP="007A17AE">
      <w:pPr>
        <w:numPr>
          <w:ilvl w:val="12"/>
          <w:numId w:val="0"/>
        </w:numPr>
        <w:tabs>
          <w:tab w:val="clear" w:pos="567"/>
        </w:tabs>
        <w:spacing w:line="240" w:lineRule="auto"/>
        <w:ind w:right="-2"/>
        <w:contextualSpacing/>
        <w:rPr>
          <w:szCs w:val="22"/>
        </w:rPr>
      </w:pPr>
    </w:p>
    <w:p w14:paraId="482C4F8E" w14:textId="77777777" w:rsidR="00F3260D" w:rsidRPr="007A17AE" w:rsidRDefault="00F3260D" w:rsidP="007A17AE">
      <w:pPr>
        <w:numPr>
          <w:ilvl w:val="12"/>
          <w:numId w:val="0"/>
        </w:numPr>
        <w:tabs>
          <w:tab w:val="clear" w:pos="567"/>
        </w:tabs>
        <w:spacing w:line="240" w:lineRule="auto"/>
        <w:ind w:right="-2"/>
        <w:contextualSpacing/>
        <w:rPr>
          <w:b/>
          <w:szCs w:val="22"/>
        </w:rPr>
      </w:pPr>
      <w:r w:rsidRPr="007A17AE">
        <w:rPr>
          <w:b/>
          <w:szCs w:val="22"/>
        </w:rPr>
        <w:t>4.</w:t>
      </w:r>
      <w:r w:rsidR="00FA7928" w:rsidRPr="007A17AE">
        <w:rPr>
          <w:b/>
          <w:szCs w:val="22"/>
        </w:rPr>
        <w:tab/>
      </w:r>
      <w:r w:rsidRPr="007A17AE">
        <w:rPr>
          <w:b/>
          <w:szCs w:val="22"/>
        </w:rPr>
        <w:t>Galimas šalutinis poveikis</w:t>
      </w:r>
    </w:p>
    <w:p w14:paraId="66F4D8C5" w14:textId="77777777" w:rsidR="00FA7928" w:rsidRPr="007A17AE" w:rsidRDefault="00FA7928" w:rsidP="007A17AE">
      <w:pPr>
        <w:numPr>
          <w:ilvl w:val="12"/>
          <w:numId w:val="0"/>
        </w:numPr>
        <w:tabs>
          <w:tab w:val="clear" w:pos="567"/>
        </w:tabs>
        <w:spacing w:line="240" w:lineRule="auto"/>
        <w:ind w:right="-2"/>
        <w:contextualSpacing/>
        <w:rPr>
          <w:szCs w:val="22"/>
        </w:rPr>
      </w:pPr>
    </w:p>
    <w:p w14:paraId="5A2CE3C4" w14:textId="77777777" w:rsidR="00F3260D" w:rsidRPr="007A17AE" w:rsidRDefault="00F3260D" w:rsidP="007A17AE">
      <w:pPr>
        <w:numPr>
          <w:ilvl w:val="12"/>
          <w:numId w:val="0"/>
        </w:numPr>
        <w:tabs>
          <w:tab w:val="clear" w:pos="567"/>
        </w:tabs>
        <w:spacing w:line="240" w:lineRule="auto"/>
        <w:ind w:right="-2"/>
        <w:contextualSpacing/>
        <w:rPr>
          <w:szCs w:val="22"/>
        </w:rPr>
      </w:pPr>
      <w:r w:rsidRPr="007A17AE">
        <w:rPr>
          <w:szCs w:val="22"/>
        </w:rPr>
        <w:t>Šis vaistas, kaip ir visi kiti, gali sukelti šalutinį poveikį, nors jis pasireiškia ne visiems žmonėms.</w:t>
      </w:r>
    </w:p>
    <w:p w14:paraId="072ACD1E" w14:textId="77777777" w:rsidR="00FA7928" w:rsidRPr="007A17AE" w:rsidRDefault="00FA7928" w:rsidP="007A17AE">
      <w:pPr>
        <w:numPr>
          <w:ilvl w:val="12"/>
          <w:numId w:val="0"/>
        </w:numPr>
        <w:tabs>
          <w:tab w:val="clear" w:pos="567"/>
        </w:tabs>
        <w:spacing w:line="240" w:lineRule="auto"/>
        <w:ind w:right="-2"/>
        <w:contextualSpacing/>
        <w:rPr>
          <w:b/>
          <w:szCs w:val="22"/>
        </w:rPr>
      </w:pPr>
    </w:p>
    <w:p w14:paraId="100BB57E" w14:textId="77777777" w:rsidR="00F3260D" w:rsidRPr="007A17AE" w:rsidRDefault="00F3260D" w:rsidP="007A17AE">
      <w:pPr>
        <w:numPr>
          <w:ilvl w:val="12"/>
          <w:numId w:val="0"/>
        </w:numPr>
        <w:tabs>
          <w:tab w:val="clear" w:pos="567"/>
        </w:tabs>
        <w:spacing w:line="240" w:lineRule="auto"/>
        <w:ind w:right="-2"/>
        <w:contextualSpacing/>
        <w:rPr>
          <w:b/>
          <w:szCs w:val="22"/>
        </w:rPr>
      </w:pPr>
      <w:r w:rsidRPr="007A17AE">
        <w:rPr>
          <w:b/>
          <w:szCs w:val="22"/>
        </w:rPr>
        <w:t xml:space="preserve">Pastebėję </w:t>
      </w:r>
      <w:r w:rsidR="00FA7928" w:rsidRPr="007A17AE">
        <w:rPr>
          <w:b/>
          <w:szCs w:val="22"/>
        </w:rPr>
        <w:t>sau</w:t>
      </w:r>
      <w:r w:rsidRPr="007A17AE">
        <w:rPr>
          <w:b/>
          <w:szCs w:val="22"/>
        </w:rPr>
        <w:t xml:space="preserve"> arba </w:t>
      </w:r>
      <w:r w:rsidR="00FA7928" w:rsidRPr="007A17AE">
        <w:rPr>
          <w:b/>
          <w:szCs w:val="22"/>
        </w:rPr>
        <w:t>savo</w:t>
      </w:r>
      <w:r w:rsidRPr="007A17AE">
        <w:rPr>
          <w:b/>
          <w:szCs w:val="22"/>
        </w:rPr>
        <w:t xml:space="preserve"> vaikui pasireiškusį bet kurį iš </w:t>
      </w:r>
      <w:r w:rsidR="00FA7928" w:rsidRPr="007A17AE">
        <w:rPr>
          <w:b/>
          <w:szCs w:val="22"/>
        </w:rPr>
        <w:t>toliau išvardyto šalutinio poveikio atvejų</w:t>
      </w:r>
      <w:r w:rsidRPr="007A17AE">
        <w:rPr>
          <w:b/>
          <w:szCs w:val="22"/>
        </w:rPr>
        <w:t>, kurie</w:t>
      </w:r>
      <w:r w:rsidR="00FA7928" w:rsidRPr="007A17AE">
        <w:rPr>
          <w:b/>
          <w:szCs w:val="22"/>
        </w:rPr>
        <w:t xml:space="preserve"> </w:t>
      </w:r>
      <w:r w:rsidRPr="007A17AE">
        <w:rPr>
          <w:b/>
          <w:szCs w:val="22"/>
        </w:rPr>
        <w:t xml:space="preserve">gali būti sunkūs, </w:t>
      </w:r>
      <w:r w:rsidR="00FA7928" w:rsidRPr="007A17AE">
        <w:rPr>
          <w:b/>
          <w:szCs w:val="22"/>
        </w:rPr>
        <w:t>Aprepitant Sandoz</w:t>
      </w:r>
      <w:r w:rsidRPr="007A17AE">
        <w:rPr>
          <w:b/>
          <w:szCs w:val="22"/>
        </w:rPr>
        <w:t xml:space="preserve"> nevartokite ir nedelsdami </w:t>
      </w:r>
      <w:r w:rsidR="00FA7928" w:rsidRPr="007A17AE">
        <w:rPr>
          <w:b/>
          <w:szCs w:val="22"/>
        </w:rPr>
        <w:t>kreipkitės į</w:t>
      </w:r>
      <w:r w:rsidRPr="007A17AE">
        <w:rPr>
          <w:b/>
          <w:szCs w:val="22"/>
        </w:rPr>
        <w:t xml:space="preserve"> gydytoj</w:t>
      </w:r>
      <w:r w:rsidR="00FA7928" w:rsidRPr="007A17AE">
        <w:rPr>
          <w:b/>
          <w:szCs w:val="22"/>
        </w:rPr>
        <w:t>ą</w:t>
      </w:r>
      <w:r w:rsidRPr="007A17AE">
        <w:rPr>
          <w:b/>
          <w:szCs w:val="22"/>
        </w:rPr>
        <w:t>, nes Jums arba</w:t>
      </w:r>
      <w:r w:rsidR="00FA7928" w:rsidRPr="007A17AE">
        <w:rPr>
          <w:b/>
          <w:szCs w:val="22"/>
        </w:rPr>
        <w:t xml:space="preserve"> </w:t>
      </w:r>
      <w:r w:rsidRPr="007A17AE">
        <w:rPr>
          <w:b/>
          <w:szCs w:val="22"/>
        </w:rPr>
        <w:t>Jūsų vaikui gali prireikti skubaus gydymo:</w:t>
      </w:r>
    </w:p>
    <w:p w14:paraId="2C3E6217" w14:textId="77777777" w:rsidR="00FA7928" w:rsidRPr="007A17AE" w:rsidRDefault="00FA7928" w:rsidP="007A17AE">
      <w:pPr>
        <w:numPr>
          <w:ilvl w:val="12"/>
          <w:numId w:val="0"/>
        </w:numPr>
        <w:tabs>
          <w:tab w:val="clear" w:pos="567"/>
        </w:tabs>
        <w:spacing w:line="240" w:lineRule="auto"/>
        <w:ind w:right="-2"/>
        <w:contextualSpacing/>
        <w:rPr>
          <w:szCs w:val="22"/>
        </w:rPr>
      </w:pPr>
    </w:p>
    <w:p w14:paraId="7045D27C" w14:textId="77777777" w:rsidR="00F3260D" w:rsidRPr="007A17AE" w:rsidRDefault="00F3260D" w:rsidP="007A17AE">
      <w:pPr>
        <w:numPr>
          <w:ilvl w:val="12"/>
          <w:numId w:val="0"/>
        </w:numPr>
        <w:tabs>
          <w:tab w:val="clear" w:pos="567"/>
        </w:tabs>
        <w:spacing w:line="240" w:lineRule="auto"/>
        <w:ind w:right="-2"/>
        <w:contextualSpacing/>
        <w:rPr>
          <w:szCs w:val="22"/>
        </w:rPr>
      </w:pPr>
      <w:r w:rsidRPr="007A17AE">
        <w:rPr>
          <w:szCs w:val="22"/>
        </w:rPr>
        <w:t xml:space="preserve">Dilgėlinė, išbėrimas, niežėjimas, pasunkėjęs kvėpavimas ar rijimas (dažnis nežinomas </w:t>
      </w:r>
      <w:r w:rsidR="00FA7928" w:rsidRPr="007A17AE">
        <w:rPr>
          <w:szCs w:val="22"/>
        </w:rPr>
        <w:t>[</w:t>
      </w:r>
      <w:r w:rsidRPr="007A17AE">
        <w:rPr>
          <w:szCs w:val="22"/>
        </w:rPr>
        <w:t>negali</w:t>
      </w:r>
      <w:r w:rsidR="00FA7928" w:rsidRPr="007A17AE">
        <w:rPr>
          <w:szCs w:val="22"/>
        </w:rPr>
        <w:t xml:space="preserve"> </w:t>
      </w:r>
      <w:r w:rsidRPr="007A17AE">
        <w:rPr>
          <w:szCs w:val="22"/>
        </w:rPr>
        <w:t xml:space="preserve">būti </w:t>
      </w:r>
      <w:r w:rsidR="00FA7928" w:rsidRPr="007A17AE">
        <w:rPr>
          <w:szCs w:val="22"/>
        </w:rPr>
        <w:t>apskaičiuotas</w:t>
      </w:r>
      <w:r w:rsidRPr="007A17AE">
        <w:rPr>
          <w:szCs w:val="22"/>
        </w:rPr>
        <w:t xml:space="preserve"> pagal turimus duomenis</w:t>
      </w:r>
      <w:r w:rsidR="004604F2" w:rsidRPr="007A17AE">
        <w:rPr>
          <w:szCs w:val="22"/>
        </w:rPr>
        <w:t>]</w:t>
      </w:r>
      <w:r w:rsidRPr="007A17AE">
        <w:rPr>
          <w:szCs w:val="22"/>
        </w:rPr>
        <w:t>); tai yra alerginės reakcijos požymiai.</w:t>
      </w:r>
    </w:p>
    <w:p w14:paraId="41A8DFD9" w14:textId="77777777" w:rsidR="00F3260D" w:rsidRPr="007A17AE" w:rsidRDefault="00F3260D" w:rsidP="007A17AE">
      <w:pPr>
        <w:numPr>
          <w:ilvl w:val="12"/>
          <w:numId w:val="0"/>
        </w:numPr>
        <w:tabs>
          <w:tab w:val="clear" w:pos="567"/>
        </w:tabs>
        <w:spacing w:line="240" w:lineRule="auto"/>
        <w:ind w:right="-2"/>
        <w:contextualSpacing/>
        <w:rPr>
          <w:szCs w:val="22"/>
        </w:rPr>
      </w:pPr>
    </w:p>
    <w:p w14:paraId="06A06AF7" w14:textId="77777777" w:rsidR="00FA7928" w:rsidRPr="007A17AE" w:rsidRDefault="00510A8E" w:rsidP="007A17AE">
      <w:pPr>
        <w:tabs>
          <w:tab w:val="clear" w:pos="567"/>
        </w:tabs>
        <w:spacing w:line="240" w:lineRule="auto"/>
        <w:ind w:right="-2"/>
        <w:contextualSpacing/>
        <w:rPr>
          <w:szCs w:val="22"/>
        </w:rPr>
      </w:pPr>
      <w:r w:rsidRPr="007A17AE">
        <w:rPr>
          <w:szCs w:val="22"/>
        </w:rPr>
        <w:t>Kitas šalutinis poveikis, apie kurį gauta pranešimų,</w:t>
      </w:r>
      <w:r w:rsidR="00FA7928" w:rsidRPr="007A17AE">
        <w:rPr>
          <w:szCs w:val="22"/>
        </w:rPr>
        <w:t xml:space="preserve"> yra išvardyt</w:t>
      </w:r>
      <w:r w:rsidRPr="007A17AE">
        <w:rPr>
          <w:szCs w:val="22"/>
        </w:rPr>
        <w:t>as</w:t>
      </w:r>
      <w:r w:rsidR="00FA7928" w:rsidRPr="007A17AE">
        <w:rPr>
          <w:szCs w:val="22"/>
        </w:rPr>
        <w:t xml:space="preserve"> žemiau.</w:t>
      </w:r>
    </w:p>
    <w:p w14:paraId="5334451E" w14:textId="5D693B95" w:rsidR="00FA7928" w:rsidRPr="007A17AE" w:rsidRDefault="00FA7928" w:rsidP="007A17AE">
      <w:pPr>
        <w:tabs>
          <w:tab w:val="clear" w:pos="567"/>
        </w:tabs>
        <w:spacing w:line="240" w:lineRule="auto"/>
        <w:ind w:right="-2"/>
        <w:contextualSpacing/>
        <w:rPr>
          <w:b/>
          <w:szCs w:val="22"/>
        </w:rPr>
      </w:pPr>
      <w:r w:rsidRPr="007A17AE">
        <w:rPr>
          <w:b/>
          <w:szCs w:val="22"/>
        </w:rPr>
        <w:lastRenderedPageBreak/>
        <w:t>Dažn</w:t>
      </w:r>
      <w:r w:rsidR="00BB5D3C">
        <w:rPr>
          <w:b/>
          <w:szCs w:val="22"/>
        </w:rPr>
        <w:t>i</w:t>
      </w:r>
      <w:r w:rsidRPr="007A17AE">
        <w:rPr>
          <w:b/>
          <w:szCs w:val="22"/>
        </w:rPr>
        <w:t xml:space="preserve"> šalutini</w:t>
      </w:r>
      <w:r w:rsidR="00BB5D3C">
        <w:rPr>
          <w:b/>
          <w:szCs w:val="22"/>
        </w:rPr>
        <w:t>o</w:t>
      </w:r>
      <w:r w:rsidR="00510A8E" w:rsidRPr="007A17AE">
        <w:rPr>
          <w:b/>
          <w:szCs w:val="22"/>
        </w:rPr>
        <w:t xml:space="preserve"> poveiki</w:t>
      </w:r>
      <w:r w:rsidR="00BB5D3C">
        <w:rPr>
          <w:b/>
          <w:szCs w:val="22"/>
        </w:rPr>
        <w:t xml:space="preserve">o </w:t>
      </w:r>
      <w:r w:rsidR="00BB5D3C" w:rsidRPr="004665D6">
        <w:rPr>
          <w:b/>
          <w:bCs/>
        </w:rPr>
        <w:t>reiškiniai</w:t>
      </w:r>
      <w:r w:rsidRPr="007A17AE">
        <w:rPr>
          <w:b/>
          <w:szCs w:val="22"/>
        </w:rPr>
        <w:t xml:space="preserve"> (gali pasireikšti </w:t>
      </w:r>
      <w:r w:rsidR="00D72B61">
        <w:rPr>
          <w:b/>
          <w:szCs w:val="22"/>
        </w:rPr>
        <w:t>reč</w:t>
      </w:r>
      <w:r w:rsidRPr="007A17AE">
        <w:rPr>
          <w:b/>
          <w:szCs w:val="22"/>
        </w:rPr>
        <w:t xml:space="preserve">iau kaip 1 iš 10 </w:t>
      </w:r>
      <w:r w:rsidR="00BB5D3C">
        <w:rPr>
          <w:b/>
          <w:szCs w:val="22"/>
        </w:rPr>
        <w:t>asmen</w:t>
      </w:r>
      <w:r w:rsidRPr="007A17AE">
        <w:rPr>
          <w:b/>
          <w:szCs w:val="22"/>
        </w:rPr>
        <w:t>ų):</w:t>
      </w:r>
    </w:p>
    <w:p w14:paraId="174C835E" w14:textId="77777777" w:rsidR="00FA7928" w:rsidRPr="007A17AE" w:rsidRDefault="00FA7928" w:rsidP="007A17AE">
      <w:pPr>
        <w:numPr>
          <w:ilvl w:val="0"/>
          <w:numId w:val="24"/>
        </w:numPr>
        <w:tabs>
          <w:tab w:val="clear" w:pos="567"/>
        </w:tabs>
        <w:spacing w:line="240" w:lineRule="auto"/>
        <w:ind w:left="567" w:right="-2" w:hanging="567"/>
        <w:contextualSpacing/>
        <w:rPr>
          <w:szCs w:val="22"/>
        </w:rPr>
      </w:pPr>
      <w:r w:rsidRPr="007A17AE">
        <w:rPr>
          <w:szCs w:val="22"/>
        </w:rPr>
        <w:t>vidurių užkietėjimas, nevirškinimas;</w:t>
      </w:r>
    </w:p>
    <w:p w14:paraId="6D585D1A" w14:textId="77777777" w:rsidR="00FA7928" w:rsidRPr="007A17AE" w:rsidRDefault="00FA7928" w:rsidP="007A17AE">
      <w:pPr>
        <w:numPr>
          <w:ilvl w:val="0"/>
          <w:numId w:val="24"/>
        </w:numPr>
        <w:tabs>
          <w:tab w:val="clear" w:pos="567"/>
        </w:tabs>
        <w:spacing w:line="240" w:lineRule="auto"/>
        <w:ind w:left="567" w:right="-2" w:hanging="567"/>
        <w:contextualSpacing/>
        <w:rPr>
          <w:szCs w:val="22"/>
        </w:rPr>
      </w:pPr>
      <w:r w:rsidRPr="007A17AE">
        <w:rPr>
          <w:szCs w:val="22"/>
        </w:rPr>
        <w:t>galvos skausmas;</w:t>
      </w:r>
    </w:p>
    <w:p w14:paraId="71F891DF" w14:textId="77777777" w:rsidR="00FA7928" w:rsidRPr="007A17AE" w:rsidRDefault="00FA7928" w:rsidP="007A17AE">
      <w:pPr>
        <w:numPr>
          <w:ilvl w:val="0"/>
          <w:numId w:val="24"/>
        </w:numPr>
        <w:tabs>
          <w:tab w:val="clear" w:pos="567"/>
        </w:tabs>
        <w:spacing w:line="240" w:lineRule="auto"/>
        <w:ind w:left="567" w:right="-2" w:hanging="567"/>
        <w:contextualSpacing/>
        <w:rPr>
          <w:szCs w:val="22"/>
        </w:rPr>
      </w:pPr>
      <w:r w:rsidRPr="007A17AE">
        <w:rPr>
          <w:szCs w:val="22"/>
        </w:rPr>
        <w:t>nuovargis;</w:t>
      </w:r>
    </w:p>
    <w:p w14:paraId="680119B6" w14:textId="77777777" w:rsidR="00FA7928" w:rsidRPr="007A17AE" w:rsidRDefault="00FA7928" w:rsidP="007A17AE">
      <w:pPr>
        <w:numPr>
          <w:ilvl w:val="0"/>
          <w:numId w:val="24"/>
        </w:numPr>
        <w:tabs>
          <w:tab w:val="clear" w:pos="567"/>
          <w:tab w:val="left" w:pos="0"/>
        </w:tabs>
        <w:spacing w:line="240" w:lineRule="auto"/>
        <w:ind w:left="567" w:right="-2" w:hanging="567"/>
        <w:contextualSpacing/>
        <w:rPr>
          <w:szCs w:val="22"/>
        </w:rPr>
      </w:pPr>
      <w:r w:rsidRPr="007A17AE">
        <w:rPr>
          <w:szCs w:val="22"/>
        </w:rPr>
        <w:t>apetito praradimas;</w:t>
      </w:r>
    </w:p>
    <w:p w14:paraId="0D444525" w14:textId="77777777" w:rsidR="00FA7928" w:rsidRPr="007A17AE" w:rsidRDefault="00FA7928" w:rsidP="007A17AE">
      <w:pPr>
        <w:numPr>
          <w:ilvl w:val="0"/>
          <w:numId w:val="24"/>
        </w:numPr>
        <w:tabs>
          <w:tab w:val="clear" w:pos="567"/>
        </w:tabs>
        <w:spacing w:line="240" w:lineRule="auto"/>
        <w:ind w:left="567" w:right="-2" w:hanging="567"/>
        <w:contextualSpacing/>
        <w:rPr>
          <w:szCs w:val="22"/>
        </w:rPr>
      </w:pPr>
      <w:r w:rsidRPr="007A17AE">
        <w:rPr>
          <w:szCs w:val="22"/>
        </w:rPr>
        <w:t>žags</w:t>
      </w:r>
      <w:r w:rsidR="00510A8E" w:rsidRPr="007A17AE">
        <w:rPr>
          <w:szCs w:val="22"/>
        </w:rPr>
        <w:t>ulys</w:t>
      </w:r>
      <w:r w:rsidRPr="007A17AE">
        <w:rPr>
          <w:szCs w:val="22"/>
        </w:rPr>
        <w:t>;</w:t>
      </w:r>
    </w:p>
    <w:p w14:paraId="0F1D50BF" w14:textId="77777777" w:rsidR="00FA7928" w:rsidRPr="007A17AE" w:rsidRDefault="00FA7928" w:rsidP="007A17AE">
      <w:pPr>
        <w:numPr>
          <w:ilvl w:val="0"/>
          <w:numId w:val="24"/>
        </w:numPr>
        <w:tabs>
          <w:tab w:val="clear" w:pos="567"/>
        </w:tabs>
        <w:spacing w:line="240" w:lineRule="auto"/>
        <w:ind w:left="567" w:right="-2" w:hanging="567"/>
        <w:contextualSpacing/>
        <w:rPr>
          <w:szCs w:val="22"/>
        </w:rPr>
      </w:pPr>
      <w:r w:rsidRPr="007A17AE">
        <w:rPr>
          <w:szCs w:val="22"/>
        </w:rPr>
        <w:t xml:space="preserve">padidėjęs kepenų fermentų </w:t>
      </w:r>
      <w:r w:rsidR="00510A8E" w:rsidRPr="007A17AE">
        <w:rPr>
          <w:szCs w:val="22"/>
        </w:rPr>
        <w:t>aktyvumas</w:t>
      </w:r>
      <w:r w:rsidRPr="007A17AE">
        <w:rPr>
          <w:szCs w:val="22"/>
        </w:rPr>
        <w:t xml:space="preserve"> kraujyje.</w:t>
      </w:r>
    </w:p>
    <w:p w14:paraId="72AF5A9E" w14:textId="77777777" w:rsidR="00510A8E" w:rsidRPr="007A17AE" w:rsidRDefault="00510A8E" w:rsidP="007A17AE">
      <w:pPr>
        <w:tabs>
          <w:tab w:val="clear" w:pos="567"/>
        </w:tabs>
        <w:spacing w:line="240" w:lineRule="auto"/>
        <w:ind w:right="-2"/>
        <w:contextualSpacing/>
        <w:rPr>
          <w:szCs w:val="22"/>
        </w:rPr>
      </w:pPr>
    </w:p>
    <w:p w14:paraId="4C34582F" w14:textId="770BBAB7" w:rsidR="00FA7928" w:rsidRPr="007A17AE" w:rsidRDefault="00FA7928" w:rsidP="007A17AE">
      <w:pPr>
        <w:tabs>
          <w:tab w:val="clear" w:pos="567"/>
        </w:tabs>
        <w:spacing w:line="240" w:lineRule="auto"/>
        <w:ind w:right="-2"/>
        <w:contextualSpacing/>
        <w:rPr>
          <w:b/>
          <w:szCs w:val="22"/>
        </w:rPr>
      </w:pPr>
      <w:r w:rsidRPr="007A17AE">
        <w:rPr>
          <w:b/>
          <w:szCs w:val="22"/>
        </w:rPr>
        <w:t>Nedažn</w:t>
      </w:r>
      <w:r w:rsidR="00BB5D3C">
        <w:rPr>
          <w:b/>
          <w:szCs w:val="22"/>
        </w:rPr>
        <w:t>i</w:t>
      </w:r>
      <w:r w:rsidRPr="007A17AE">
        <w:rPr>
          <w:b/>
          <w:szCs w:val="22"/>
        </w:rPr>
        <w:t xml:space="preserve"> šalutini</w:t>
      </w:r>
      <w:r w:rsidR="00BB5D3C">
        <w:rPr>
          <w:b/>
          <w:szCs w:val="22"/>
        </w:rPr>
        <w:t>o</w:t>
      </w:r>
      <w:r w:rsidRPr="007A17AE">
        <w:rPr>
          <w:b/>
          <w:szCs w:val="22"/>
        </w:rPr>
        <w:t xml:space="preserve"> poveiki</w:t>
      </w:r>
      <w:r w:rsidR="00BB5D3C">
        <w:rPr>
          <w:b/>
          <w:szCs w:val="22"/>
        </w:rPr>
        <w:t>o</w:t>
      </w:r>
      <w:r w:rsidRPr="007A17AE">
        <w:rPr>
          <w:b/>
          <w:szCs w:val="22"/>
        </w:rPr>
        <w:t xml:space="preserve"> </w:t>
      </w:r>
      <w:r w:rsidR="00BB5D3C" w:rsidRPr="004665D6">
        <w:rPr>
          <w:b/>
          <w:bCs/>
        </w:rPr>
        <w:t xml:space="preserve">reiškiniai </w:t>
      </w:r>
      <w:r w:rsidRPr="007A17AE">
        <w:rPr>
          <w:b/>
          <w:szCs w:val="22"/>
        </w:rPr>
        <w:t xml:space="preserve">(gali pasireikšti </w:t>
      </w:r>
      <w:r w:rsidR="00D72B61">
        <w:rPr>
          <w:b/>
          <w:szCs w:val="22"/>
        </w:rPr>
        <w:t>reč</w:t>
      </w:r>
      <w:r w:rsidRPr="007A17AE">
        <w:rPr>
          <w:b/>
          <w:szCs w:val="22"/>
        </w:rPr>
        <w:t xml:space="preserve">iau kaip 1 iš 100 </w:t>
      </w:r>
      <w:r w:rsidR="00BB5D3C">
        <w:rPr>
          <w:b/>
          <w:szCs w:val="22"/>
        </w:rPr>
        <w:t>asmen</w:t>
      </w:r>
      <w:r w:rsidRPr="007A17AE">
        <w:rPr>
          <w:b/>
          <w:szCs w:val="22"/>
        </w:rPr>
        <w:t>ų):</w:t>
      </w:r>
    </w:p>
    <w:p w14:paraId="0F27D56C" w14:textId="77777777" w:rsidR="00FA7928" w:rsidRPr="007A17AE" w:rsidRDefault="00FA7928" w:rsidP="007A17AE">
      <w:pPr>
        <w:numPr>
          <w:ilvl w:val="0"/>
          <w:numId w:val="24"/>
        </w:numPr>
        <w:tabs>
          <w:tab w:val="clear" w:pos="567"/>
        </w:tabs>
        <w:spacing w:line="240" w:lineRule="auto"/>
        <w:ind w:left="567" w:right="-2" w:hanging="567"/>
        <w:contextualSpacing/>
        <w:rPr>
          <w:szCs w:val="22"/>
        </w:rPr>
      </w:pPr>
      <w:r w:rsidRPr="007A17AE">
        <w:rPr>
          <w:szCs w:val="22"/>
        </w:rPr>
        <w:t>svaigulys, mieguistumas;</w:t>
      </w:r>
    </w:p>
    <w:p w14:paraId="06335B9E" w14:textId="77777777" w:rsidR="00FA7928" w:rsidRPr="007A17AE" w:rsidRDefault="00FA7928" w:rsidP="007A17AE">
      <w:pPr>
        <w:numPr>
          <w:ilvl w:val="0"/>
          <w:numId w:val="24"/>
        </w:numPr>
        <w:tabs>
          <w:tab w:val="clear" w:pos="567"/>
        </w:tabs>
        <w:spacing w:line="240" w:lineRule="auto"/>
        <w:ind w:left="567" w:right="-2" w:hanging="567"/>
        <w:contextualSpacing/>
        <w:rPr>
          <w:szCs w:val="22"/>
        </w:rPr>
      </w:pPr>
      <w:r w:rsidRPr="007A17AE">
        <w:rPr>
          <w:szCs w:val="22"/>
        </w:rPr>
        <w:t>spuogai, išbėrimas;</w:t>
      </w:r>
    </w:p>
    <w:p w14:paraId="7B4E6588" w14:textId="77777777" w:rsidR="00FA7928" w:rsidRPr="007A17AE" w:rsidRDefault="00FA7928" w:rsidP="007A17AE">
      <w:pPr>
        <w:numPr>
          <w:ilvl w:val="0"/>
          <w:numId w:val="24"/>
        </w:numPr>
        <w:tabs>
          <w:tab w:val="clear" w:pos="567"/>
        </w:tabs>
        <w:spacing w:line="240" w:lineRule="auto"/>
        <w:ind w:left="567" w:right="-2" w:hanging="567"/>
        <w:contextualSpacing/>
        <w:rPr>
          <w:szCs w:val="22"/>
        </w:rPr>
      </w:pPr>
      <w:r w:rsidRPr="007A17AE">
        <w:rPr>
          <w:szCs w:val="22"/>
        </w:rPr>
        <w:t>nerimastingumas;</w:t>
      </w:r>
    </w:p>
    <w:p w14:paraId="099A07E6" w14:textId="77777777" w:rsidR="00FA7928" w:rsidRPr="007A17AE" w:rsidRDefault="00FA7928" w:rsidP="007A17AE">
      <w:pPr>
        <w:numPr>
          <w:ilvl w:val="0"/>
          <w:numId w:val="24"/>
        </w:numPr>
        <w:tabs>
          <w:tab w:val="clear" w:pos="567"/>
        </w:tabs>
        <w:spacing w:line="240" w:lineRule="auto"/>
        <w:ind w:left="567" w:right="-2" w:hanging="567"/>
        <w:contextualSpacing/>
        <w:rPr>
          <w:szCs w:val="22"/>
        </w:rPr>
      </w:pPr>
      <w:r w:rsidRPr="007A17AE">
        <w:rPr>
          <w:szCs w:val="22"/>
        </w:rPr>
        <w:t xml:space="preserve">raugėjimas, pykinimas, vėmimas, rėmuo, skrandžio skausmas, burnos sausmė, </w:t>
      </w:r>
      <w:r w:rsidR="00EF5E02" w:rsidRPr="007A17AE">
        <w:rPr>
          <w:szCs w:val="22"/>
        </w:rPr>
        <w:t>gausus dujų išėjimas</w:t>
      </w:r>
      <w:r w:rsidRPr="007A17AE">
        <w:rPr>
          <w:szCs w:val="22"/>
        </w:rPr>
        <w:t>;</w:t>
      </w:r>
    </w:p>
    <w:p w14:paraId="752DAED6" w14:textId="77777777" w:rsidR="00FA7928" w:rsidRPr="007A17AE" w:rsidRDefault="00FA7928" w:rsidP="007A17AE">
      <w:pPr>
        <w:numPr>
          <w:ilvl w:val="0"/>
          <w:numId w:val="24"/>
        </w:numPr>
        <w:tabs>
          <w:tab w:val="clear" w:pos="567"/>
        </w:tabs>
        <w:spacing w:line="240" w:lineRule="auto"/>
        <w:ind w:left="567" w:right="-2" w:hanging="567"/>
        <w:contextualSpacing/>
        <w:rPr>
          <w:szCs w:val="22"/>
        </w:rPr>
      </w:pPr>
      <w:r w:rsidRPr="007A17AE">
        <w:rPr>
          <w:szCs w:val="22"/>
        </w:rPr>
        <w:t>padažnėjęs skausmingas arba deginantis šlapinimasis;</w:t>
      </w:r>
    </w:p>
    <w:p w14:paraId="74992EFE" w14:textId="77777777" w:rsidR="00FA7928" w:rsidRPr="007A17AE" w:rsidRDefault="00FA7928" w:rsidP="007A17AE">
      <w:pPr>
        <w:numPr>
          <w:ilvl w:val="0"/>
          <w:numId w:val="24"/>
        </w:numPr>
        <w:tabs>
          <w:tab w:val="clear" w:pos="567"/>
        </w:tabs>
        <w:spacing w:line="240" w:lineRule="auto"/>
        <w:ind w:left="567" w:right="-2" w:hanging="567"/>
        <w:contextualSpacing/>
        <w:rPr>
          <w:szCs w:val="22"/>
        </w:rPr>
      </w:pPr>
      <w:r w:rsidRPr="007A17AE">
        <w:rPr>
          <w:szCs w:val="22"/>
        </w:rPr>
        <w:t>silpnumas, bloga savijauta;</w:t>
      </w:r>
    </w:p>
    <w:p w14:paraId="33ACABCD" w14:textId="77777777" w:rsidR="00FA7928" w:rsidRPr="007A17AE" w:rsidRDefault="00FA7928" w:rsidP="007A17AE">
      <w:pPr>
        <w:numPr>
          <w:ilvl w:val="0"/>
          <w:numId w:val="24"/>
        </w:numPr>
        <w:tabs>
          <w:tab w:val="clear" w:pos="567"/>
        </w:tabs>
        <w:spacing w:line="240" w:lineRule="auto"/>
        <w:ind w:left="567" w:right="-2" w:hanging="567"/>
        <w:contextualSpacing/>
        <w:rPr>
          <w:szCs w:val="22"/>
        </w:rPr>
      </w:pPr>
      <w:r w:rsidRPr="007A17AE">
        <w:rPr>
          <w:szCs w:val="22"/>
        </w:rPr>
        <w:t>karščio pylimas arba veido ar odos raudonis;</w:t>
      </w:r>
    </w:p>
    <w:p w14:paraId="0247B61C" w14:textId="77777777" w:rsidR="00FA7928" w:rsidRPr="007A17AE" w:rsidRDefault="00FA7928" w:rsidP="007A17AE">
      <w:pPr>
        <w:numPr>
          <w:ilvl w:val="0"/>
          <w:numId w:val="24"/>
        </w:numPr>
        <w:tabs>
          <w:tab w:val="clear" w:pos="567"/>
        </w:tabs>
        <w:spacing w:line="240" w:lineRule="auto"/>
        <w:ind w:left="567" w:right="-2" w:hanging="567"/>
        <w:contextualSpacing/>
        <w:rPr>
          <w:szCs w:val="22"/>
        </w:rPr>
      </w:pPr>
      <w:r w:rsidRPr="007A17AE">
        <w:rPr>
          <w:szCs w:val="22"/>
        </w:rPr>
        <w:t>greitas ar nereguliarus širdies plakimas;</w:t>
      </w:r>
    </w:p>
    <w:p w14:paraId="14221376" w14:textId="77777777" w:rsidR="00FA7928" w:rsidRPr="007A17AE" w:rsidRDefault="00FA7928" w:rsidP="007A17AE">
      <w:pPr>
        <w:numPr>
          <w:ilvl w:val="0"/>
          <w:numId w:val="24"/>
        </w:numPr>
        <w:tabs>
          <w:tab w:val="clear" w:pos="567"/>
        </w:tabs>
        <w:spacing w:line="240" w:lineRule="auto"/>
        <w:ind w:left="567" w:right="-2" w:hanging="567"/>
        <w:contextualSpacing/>
        <w:rPr>
          <w:szCs w:val="22"/>
        </w:rPr>
      </w:pPr>
      <w:r w:rsidRPr="007A17AE">
        <w:rPr>
          <w:szCs w:val="22"/>
        </w:rPr>
        <w:t>karščiavimas su padidėjusiu infekcijos pavojumi, sumažėjęs raudonųjų kraujo kūnelių skaičius</w:t>
      </w:r>
      <w:r w:rsidR="00510A8E" w:rsidRPr="007A17AE">
        <w:rPr>
          <w:szCs w:val="22"/>
        </w:rPr>
        <w:t xml:space="preserve"> </w:t>
      </w:r>
      <w:r w:rsidRPr="007A17AE">
        <w:rPr>
          <w:szCs w:val="22"/>
        </w:rPr>
        <w:t>kraujyje.</w:t>
      </w:r>
    </w:p>
    <w:p w14:paraId="7A514DB0" w14:textId="77777777" w:rsidR="00510A8E" w:rsidRPr="007A17AE" w:rsidRDefault="00510A8E" w:rsidP="007A17AE">
      <w:pPr>
        <w:tabs>
          <w:tab w:val="clear" w:pos="567"/>
        </w:tabs>
        <w:spacing w:line="240" w:lineRule="auto"/>
        <w:ind w:right="-2"/>
        <w:contextualSpacing/>
        <w:rPr>
          <w:szCs w:val="22"/>
        </w:rPr>
      </w:pPr>
    </w:p>
    <w:p w14:paraId="1C1E5625" w14:textId="152FC87F" w:rsidR="00FA7928" w:rsidRPr="007A17AE" w:rsidRDefault="00FA7928" w:rsidP="007A17AE">
      <w:pPr>
        <w:tabs>
          <w:tab w:val="clear" w:pos="567"/>
        </w:tabs>
        <w:spacing w:line="240" w:lineRule="auto"/>
        <w:ind w:right="-2"/>
        <w:contextualSpacing/>
        <w:rPr>
          <w:b/>
          <w:szCs w:val="22"/>
        </w:rPr>
      </w:pPr>
      <w:r w:rsidRPr="007A17AE">
        <w:rPr>
          <w:b/>
          <w:szCs w:val="22"/>
        </w:rPr>
        <w:t>Ret</w:t>
      </w:r>
      <w:r w:rsidR="00BB5D3C">
        <w:rPr>
          <w:b/>
          <w:szCs w:val="22"/>
        </w:rPr>
        <w:t>i</w:t>
      </w:r>
      <w:r w:rsidRPr="007A17AE">
        <w:rPr>
          <w:b/>
          <w:szCs w:val="22"/>
        </w:rPr>
        <w:t xml:space="preserve"> šalutin</w:t>
      </w:r>
      <w:r w:rsidR="00EF5E02" w:rsidRPr="007A17AE">
        <w:rPr>
          <w:b/>
          <w:szCs w:val="22"/>
        </w:rPr>
        <w:t>i</w:t>
      </w:r>
      <w:r w:rsidR="00BB5D3C">
        <w:rPr>
          <w:b/>
          <w:szCs w:val="22"/>
        </w:rPr>
        <w:t>o</w:t>
      </w:r>
      <w:r w:rsidRPr="007A17AE">
        <w:rPr>
          <w:b/>
          <w:szCs w:val="22"/>
        </w:rPr>
        <w:t xml:space="preserve"> poveiki</w:t>
      </w:r>
      <w:r w:rsidR="00BB5D3C">
        <w:rPr>
          <w:b/>
          <w:szCs w:val="22"/>
        </w:rPr>
        <w:t>o</w:t>
      </w:r>
      <w:r w:rsidR="00510A8E" w:rsidRPr="007A17AE">
        <w:rPr>
          <w:b/>
          <w:szCs w:val="22"/>
        </w:rPr>
        <w:t xml:space="preserve"> </w:t>
      </w:r>
      <w:r w:rsidR="00BB5D3C" w:rsidRPr="004665D6">
        <w:rPr>
          <w:b/>
          <w:bCs/>
        </w:rPr>
        <w:t xml:space="preserve">reiškiniai </w:t>
      </w:r>
      <w:r w:rsidRPr="007A17AE">
        <w:rPr>
          <w:b/>
          <w:szCs w:val="22"/>
        </w:rPr>
        <w:t>(gali pasireikšti</w:t>
      </w:r>
      <w:r w:rsidR="00D72B61">
        <w:rPr>
          <w:b/>
          <w:szCs w:val="22"/>
        </w:rPr>
        <w:t xml:space="preserve"> rečiau </w:t>
      </w:r>
      <w:r w:rsidRPr="007A17AE">
        <w:rPr>
          <w:b/>
          <w:szCs w:val="22"/>
        </w:rPr>
        <w:t xml:space="preserve"> kaip 1 iš 1</w:t>
      </w:r>
      <w:r w:rsidR="00BB5D3C">
        <w:rPr>
          <w:b/>
          <w:szCs w:val="22"/>
        </w:rPr>
        <w:t xml:space="preserve"> </w:t>
      </w:r>
      <w:r w:rsidRPr="007A17AE">
        <w:rPr>
          <w:b/>
          <w:szCs w:val="22"/>
        </w:rPr>
        <w:t xml:space="preserve">000 </w:t>
      </w:r>
      <w:r w:rsidR="00BB5D3C">
        <w:rPr>
          <w:b/>
          <w:szCs w:val="22"/>
        </w:rPr>
        <w:t>asmen</w:t>
      </w:r>
      <w:r w:rsidRPr="007A17AE">
        <w:rPr>
          <w:b/>
          <w:szCs w:val="22"/>
        </w:rPr>
        <w:t>ų):</w:t>
      </w:r>
    </w:p>
    <w:p w14:paraId="52DB90FF" w14:textId="77777777" w:rsidR="00FA7928" w:rsidRPr="007A17AE" w:rsidRDefault="00FA7928" w:rsidP="007A17AE">
      <w:pPr>
        <w:numPr>
          <w:ilvl w:val="0"/>
          <w:numId w:val="24"/>
        </w:numPr>
        <w:tabs>
          <w:tab w:val="clear" w:pos="567"/>
        </w:tabs>
        <w:spacing w:line="240" w:lineRule="auto"/>
        <w:ind w:left="567" w:right="-2" w:hanging="567"/>
        <w:contextualSpacing/>
        <w:rPr>
          <w:szCs w:val="22"/>
        </w:rPr>
      </w:pPr>
      <w:r w:rsidRPr="007A17AE">
        <w:rPr>
          <w:szCs w:val="22"/>
        </w:rPr>
        <w:t>sunkumas mąstyti, energijos stoka, skonio jutimo pakitimas;</w:t>
      </w:r>
    </w:p>
    <w:p w14:paraId="4C567262" w14:textId="77777777" w:rsidR="00FA7928" w:rsidRPr="007A17AE" w:rsidRDefault="00FA7928" w:rsidP="007A17AE">
      <w:pPr>
        <w:numPr>
          <w:ilvl w:val="0"/>
          <w:numId w:val="24"/>
        </w:numPr>
        <w:tabs>
          <w:tab w:val="clear" w:pos="567"/>
        </w:tabs>
        <w:spacing w:line="240" w:lineRule="auto"/>
        <w:ind w:left="567" w:right="-2" w:hanging="567"/>
        <w:contextualSpacing/>
        <w:rPr>
          <w:szCs w:val="22"/>
        </w:rPr>
      </w:pPr>
      <w:r w:rsidRPr="007A17AE">
        <w:rPr>
          <w:szCs w:val="22"/>
        </w:rPr>
        <w:t>odos jautrumas saulei, padidėjęs prakaitavimas, riebaluota oda, odos žaizdos, niežtintis</w:t>
      </w:r>
      <w:r w:rsidR="00510A8E" w:rsidRPr="007A17AE">
        <w:rPr>
          <w:szCs w:val="22"/>
        </w:rPr>
        <w:t xml:space="preserve"> </w:t>
      </w:r>
      <w:r w:rsidRPr="007A17AE">
        <w:rPr>
          <w:szCs w:val="22"/>
        </w:rPr>
        <w:t xml:space="preserve">išbėrimas, </w:t>
      </w:r>
      <w:r w:rsidR="00510A8E" w:rsidRPr="007A17AE">
        <w:rPr>
          <w:szCs w:val="22"/>
        </w:rPr>
        <w:t>Stivenso</w:t>
      </w:r>
      <w:r w:rsidR="006A7807" w:rsidRPr="007A17AE">
        <w:rPr>
          <w:szCs w:val="22"/>
        </w:rPr>
        <w:t>-</w:t>
      </w:r>
      <w:r w:rsidR="00510A8E" w:rsidRPr="007A17AE">
        <w:rPr>
          <w:szCs w:val="22"/>
        </w:rPr>
        <w:t>Džonsono (</w:t>
      </w:r>
      <w:r w:rsidRPr="00F122CC">
        <w:rPr>
          <w:i/>
          <w:szCs w:val="22"/>
        </w:rPr>
        <w:t>Stevens-Johnson</w:t>
      </w:r>
      <w:r w:rsidR="00510A8E" w:rsidRPr="007A17AE">
        <w:rPr>
          <w:szCs w:val="22"/>
        </w:rPr>
        <w:t>)</w:t>
      </w:r>
      <w:r w:rsidRPr="007A17AE">
        <w:rPr>
          <w:szCs w:val="22"/>
        </w:rPr>
        <w:t xml:space="preserve"> sindromas ar toksinė epidermio nekrolizė (reta ir sunki odos</w:t>
      </w:r>
      <w:r w:rsidR="00510A8E" w:rsidRPr="007A17AE">
        <w:rPr>
          <w:szCs w:val="22"/>
        </w:rPr>
        <w:t xml:space="preserve"> </w:t>
      </w:r>
      <w:r w:rsidRPr="007A17AE">
        <w:rPr>
          <w:szCs w:val="22"/>
        </w:rPr>
        <w:t>reakcija);</w:t>
      </w:r>
    </w:p>
    <w:p w14:paraId="2B6EFB16" w14:textId="77777777" w:rsidR="00FA7928" w:rsidRPr="007A17AE" w:rsidRDefault="00FA7928" w:rsidP="007A17AE">
      <w:pPr>
        <w:numPr>
          <w:ilvl w:val="0"/>
          <w:numId w:val="24"/>
        </w:numPr>
        <w:tabs>
          <w:tab w:val="clear" w:pos="567"/>
        </w:tabs>
        <w:spacing w:line="240" w:lineRule="auto"/>
        <w:ind w:left="567" w:right="-2" w:hanging="567"/>
        <w:contextualSpacing/>
        <w:rPr>
          <w:szCs w:val="22"/>
        </w:rPr>
      </w:pPr>
      <w:r w:rsidRPr="007A17AE">
        <w:rPr>
          <w:szCs w:val="22"/>
        </w:rPr>
        <w:t>euforija (</w:t>
      </w:r>
      <w:r w:rsidR="00510A8E" w:rsidRPr="007A17AE">
        <w:rPr>
          <w:szCs w:val="22"/>
        </w:rPr>
        <w:t>labai didelis laimės</w:t>
      </w:r>
      <w:r w:rsidRPr="007A17AE">
        <w:rPr>
          <w:szCs w:val="22"/>
        </w:rPr>
        <w:t xml:space="preserve"> pojūtis), orientacijos sutrikimas;</w:t>
      </w:r>
    </w:p>
    <w:p w14:paraId="5BA33A88" w14:textId="77777777" w:rsidR="00FA7928" w:rsidRPr="007A17AE" w:rsidRDefault="00FA7928" w:rsidP="007A17AE">
      <w:pPr>
        <w:numPr>
          <w:ilvl w:val="0"/>
          <w:numId w:val="24"/>
        </w:numPr>
        <w:tabs>
          <w:tab w:val="clear" w:pos="567"/>
        </w:tabs>
        <w:spacing w:line="240" w:lineRule="auto"/>
        <w:ind w:left="567" w:right="-2" w:hanging="567"/>
        <w:contextualSpacing/>
        <w:rPr>
          <w:szCs w:val="22"/>
        </w:rPr>
      </w:pPr>
      <w:r w:rsidRPr="007A17AE">
        <w:rPr>
          <w:szCs w:val="22"/>
        </w:rPr>
        <w:t>bakterinė infekcija, grybelinė infekcija;</w:t>
      </w:r>
    </w:p>
    <w:p w14:paraId="20094E72" w14:textId="77777777" w:rsidR="00FA7928" w:rsidRPr="007A17AE" w:rsidRDefault="00FA7928" w:rsidP="007A17AE">
      <w:pPr>
        <w:numPr>
          <w:ilvl w:val="0"/>
          <w:numId w:val="24"/>
        </w:numPr>
        <w:tabs>
          <w:tab w:val="clear" w:pos="567"/>
        </w:tabs>
        <w:spacing w:line="240" w:lineRule="auto"/>
        <w:ind w:left="567" w:right="-2" w:hanging="567"/>
        <w:contextualSpacing/>
        <w:rPr>
          <w:szCs w:val="22"/>
        </w:rPr>
      </w:pPr>
      <w:r w:rsidRPr="007A17AE">
        <w:rPr>
          <w:szCs w:val="22"/>
        </w:rPr>
        <w:t>sunkus vidurių užkietėjimas, skrandžio opa, plonųjų žarnų ir storosios žar</w:t>
      </w:r>
      <w:r w:rsidR="00510A8E" w:rsidRPr="007A17AE">
        <w:rPr>
          <w:szCs w:val="22"/>
        </w:rPr>
        <w:t>nos</w:t>
      </w:r>
      <w:r w:rsidRPr="007A17AE">
        <w:rPr>
          <w:szCs w:val="22"/>
        </w:rPr>
        <w:t xml:space="preserve"> uždegimas,</w:t>
      </w:r>
      <w:r w:rsidR="00510A8E" w:rsidRPr="007A17AE">
        <w:rPr>
          <w:szCs w:val="22"/>
        </w:rPr>
        <w:t xml:space="preserve"> </w:t>
      </w:r>
      <w:r w:rsidRPr="007A17AE">
        <w:rPr>
          <w:szCs w:val="22"/>
        </w:rPr>
        <w:t>opelės burnoje, pilvo pūtimas;</w:t>
      </w:r>
    </w:p>
    <w:p w14:paraId="2013397E" w14:textId="77777777" w:rsidR="00FA7928" w:rsidRPr="007A17AE" w:rsidRDefault="00FA7928" w:rsidP="007A17AE">
      <w:pPr>
        <w:numPr>
          <w:ilvl w:val="0"/>
          <w:numId w:val="24"/>
        </w:numPr>
        <w:tabs>
          <w:tab w:val="clear" w:pos="567"/>
        </w:tabs>
        <w:spacing w:line="240" w:lineRule="auto"/>
        <w:ind w:left="567" w:right="-2" w:hanging="567"/>
        <w:contextualSpacing/>
        <w:rPr>
          <w:szCs w:val="22"/>
        </w:rPr>
      </w:pPr>
      <w:r w:rsidRPr="007A17AE">
        <w:rPr>
          <w:szCs w:val="22"/>
        </w:rPr>
        <w:t>dažnas šlapinimasis, didesnis nei įprastai šlapimo kiekis, cukraus buvimas šlapime;</w:t>
      </w:r>
    </w:p>
    <w:p w14:paraId="1C915497" w14:textId="77777777" w:rsidR="00FA7928" w:rsidRPr="007A17AE" w:rsidRDefault="00FA7928" w:rsidP="007A17AE">
      <w:pPr>
        <w:numPr>
          <w:ilvl w:val="0"/>
          <w:numId w:val="24"/>
        </w:numPr>
        <w:tabs>
          <w:tab w:val="clear" w:pos="567"/>
        </w:tabs>
        <w:spacing w:line="240" w:lineRule="auto"/>
        <w:ind w:left="567" w:right="-2" w:hanging="567"/>
        <w:contextualSpacing/>
        <w:rPr>
          <w:szCs w:val="22"/>
        </w:rPr>
      </w:pPr>
      <w:r w:rsidRPr="007A17AE">
        <w:rPr>
          <w:szCs w:val="22"/>
        </w:rPr>
        <w:t>diskomfortas krūtinėje, patinimas, eisenos pakitimas;</w:t>
      </w:r>
    </w:p>
    <w:p w14:paraId="0E66F914" w14:textId="77777777" w:rsidR="006A7807" w:rsidRPr="007A17AE" w:rsidRDefault="00FA7928" w:rsidP="007A17AE">
      <w:pPr>
        <w:numPr>
          <w:ilvl w:val="0"/>
          <w:numId w:val="24"/>
        </w:numPr>
        <w:tabs>
          <w:tab w:val="clear" w:pos="567"/>
        </w:tabs>
        <w:spacing w:line="240" w:lineRule="auto"/>
        <w:ind w:left="567" w:right="-2" w:hanging="567"/>
        <w:contextualSpacing/>
        <w:rPr>
          <w:szCs w:val="22"/>
        </w:rPr>
      </w:pPr>
      <w:r w:rsidRPr="007A17AE">
        <w:rPr>
          <w:szCs w:val="22"/>
        </w:rPr>
        <w:t>kosulys, gleivės užpakalinėje ryklės sienelėje, ryklės perštėjimas, čiaudulys, gerklės skausmas;</w:t>
      </w:r>
    </w:p>
    <w:p w14:paraId="1F6E2E0A" w14:textId="77777777" w:rsidR="00FA7928" w:rsidRPr="007A17AE" w:rsidRDefault="00FA7928" w:rsidP="007A17AE">
      <w:pPr>
        <w:numPr>
          <w:ilvl w:val="0"/>
          <w:numId w:val="24"/>
        </w:numPr>
        <w:tabs>
          <w:tab w:val="clear" w:pos="567"/>
        </w:tabs>
        <w:spacing w:line="240" w:lineRule="auto"/>
        <w:ind w:left="567" w:right="-2" w:hanging="567"/>
        <w:contextualSpacing/>
        <w:rPr>
          <w:szCs w:val="22"/>
        </w:rPr>
      </w:pPr>
      <w:r w:rsidRPr="007A17AE">
        <w:rPr>
          <w:szCs w:val="22"/>
        </w:rPr>
        <w:t>išskyros iš akių ir akių niežėjimas;</w:t>
      </w:r>
    </w:p>
    <w:p w14:paraId="60E8EAD5" w14:textId="77777777" w:rsidR="00FA7928" w:rsidRPr="007A17AE" w:rsidRDefault="00FA7928" w:rsidP="007A17AE">
      <w:pPr>
        <w:numPr>
          <w:ilvl w:val="0"/>
          <w:numId w:val="24"/>
        </w:numPr>
        <w:tabs>
          <w:tab w:val="clear" w:pos="567"/>
        </w:tabs>
        <w:spacing w:line="240" w:lineRule="auto"/>
        <w:ind w:left="567" w:right="-2" w:hanging="567"/>
        <w:contextualSpacing/>
        <w:rPr>
          <w:szCs w:val="22"/>
        </w:rPr>
      </w:pPr>
      <w:r w:rsidRPr="007A17AE">
        <w:rPr>
          <w:szCs w:val="22"/>
        </w:rPr>
        <w:t>spengimas ausyse;</w:t>
      </w:r>
    </w:p>
    <w:p w14:paraId="6285C5DE" w14:textId="77777777" w:rsidR="00FA7928" w:rsidRPr="007A17AE" w:rsidRDefault="00FA7928" w:rsidP="007A17AE">
      <w:pPr>
        <w:numPr>
          <w:ilvl w:val="0"/>
          <w:numId w:val="24"/>
        </w:numPr>
        <w:tabs>
          <w:tab w:val="clear" w:pos="567"/>
        </w:tabs>
        <w:spacing w:line="240" w:lineRule="auto"/>
        <w:ind w:left="567" w:right="-2" w:hanging="567"/>
        <w:contextualSpacing/>
        <w:rPr>
          <w:szCs w:val="22"/>
        </w:rPr>
      </w:pPr>
      <w:r w:rsidRPr="007A17AE">
        <w:rPr>
          <w:szCs w:val="22"/>
        </w:rPr>
        <w:t>raumenų spazmai, raumenų silpnumas;</w:t>
      </w:r>
    </w:p>
    <w:p w14:paraId="4104C358" w14:textId="77777777" w:rsidR="00FA7928" w:rsidRPr="007A17AE" w:rsidRDefault="00FA7928" w:rsidP="007A17AE">
      <w:pPr>
        <w:numPr>
          <w:ilvl w:val="0"/>
          <w:numId w:val="24"/>
        </w:numPr>
        <w:tabs>
          <w:tab w:val="clear" w:pos="567"/>
        </w:tabs>
        <w:spacing w:line="240" w:lineRule="auto"/>
        <w:ind w:left="567" w:right="-2" w:hanging="567"/>
        <w:contextualSpacing/>
        <w:rPr>
          <w:szCs w:val="22"/>
        </w:rPr>
      </w:pPr>
      <w:r w:rsidRPr="007A17AE">
        <w:rPr>
          <w:szCs w:val="22"/>
        </w:rPr>
        <w:t>padidėjęs troškulys;</w:t>
      </w:r>
    </w:p>
    <w:p w14:paraId="6EC6DDCF" w14:textId="77777777" w:rsidR="00FA7928" w:rsidRPr="007A17AE" w:rsidRDefault="00FA7928" w:rsidP="007A17AE">
      <w:pPr>
        <w:numPr>
          <w:ilvl w:val="0"/>
          <w:numId w:val="24"/>
        </w:numPr>
        <w:tabs>
          <w:tab w:val="clear" w:pos="567"/>
        </w:tabs>
        <w:spacing w:line="240" w:lineRule="auto"/>
        <w:ind w:left="567" w:right="-2" w:hanging="567"/>
        <w:contextualSpacing/>
        <w:rPr>
          <w:szCs w:val="22"/>
        </w:rPr>
      </w:pPr>
      <w:r w:rsidRPr="007A17AE">
        <w:rPr>
          <w:szCs w:val="22"/>
        </w:rPr>
        <w:t>sulėtėjęs širdies plakimas, širdies ir kraujagyslių liga;</w:t>
      </w:r>
    </w:p>
    <w:p w14:paraId="5E383C0B" w14:textId="77777777" w:rsidR="00F3260D" w:rsidRPr="007A17AE" w:rsidRDefault="00FA7928" w:rsidP="007A17AE">
      <w:pPr>
        <w:numPr>
          <w:ilvl w:val="0"/>
          <w:numId w:val="24"/>
        </w:numPr>
        <w:tabs>
          <w:tab w:val="clear" w:pos="567"/>
        </w:tabs>
        <w:spacing w:line="240" w:lineRule="auto"/>
        <w:ind w:left="567" w:right="-2" w:hanging="567"/>
        <w:contextualSpacing/>
        <w:rPr>
          <w:szCs w:val="22"/>
        </w:rPr>
      </w:pPr>
      <w:r w:rsidRPr="007A17AE">
        <w:rPr>
          <w:szCs w:val="22"/>
        </w:rPr>
        <w:t>sumažėjęs baltųjų kraujo kūnelių skaičius, sumažėjęs natrio kiekis kraujyje, kūno svori</w:t>
      </w:r>
      <w:r w:rsidR="00EF5E02" w:rsidRPr="007A17AE">
        <w:rPr>
          <w:szCs w:val="22"/>
        </w:rPr>
        <w:t>o netekimas</w:t>
      </w:r>
      <w:r w:rsidRPr="007A17AE">
        <w:rPr>
          <w:szCs w:val="22"/>
        </w:rPr>
        <w:t>.</w:t>
      </w:r>
    </w:p>
    <w:p w14:paraId="2E6456ED" w14:textId="77777777" w:rsidR="007D2484" w:rsidRPr="007A17AE" w:rsidRDefault="007D2484" w:rsidP="007A17AE">
      <w:pPr>
        <w:numPr>
          <w:ilvl w:val="12"/>
          <w:numId w:val="0"/>
        </w:numPr>
        <w:spacing w:line="240" w:lineRule="auto"/>
        <w:ind w:right="-29"/>
        <w:contextualSpacing/>
        <w:rPr>
          <w:szCs w:val="22"/>
        </w:rPr>
      </w:pPr>
    </w:p>
    <w:p w14:paraId="5A678F46" w14:textId="77777777" w:rsidR="005C3D29" w:rsidRPr="007A17AE" w:rsidRDefault="005C3D29" w:rsidP="007A17AE">
      <w:pPr>
        <w:numPr>
          <w:ilvl w:val="12"/>
          <w:numId w:val="0"/>
        </w:numPr>
        <w:spacing w:line="240" w:lineRule="auto"/>
        <w:contextualSpacing/>
        <w:outlineLvl w:val="0"/>
        <w:rPr>
          <w:b/>
          <w:szCs w:val="22"/>
        </w:rPr>
      </w:pPr>
      <w:r w:rsidRPr="007A17AE">
        <w:rPr>
          <w:b/>
          <w:szCs w:val="22"/>
        </w:rPr>
        <w:t>Pranešimas apie šalutinį poveikį</w:t>
      </w:r>
    </w:p>
    <w:p w14:paraId="51F04DB7" w14:textId="20FB2E49" w:rsidR="00DA41A5" w:rsidRPr="007A17AE" w:rsidRDefault="00DA41A5" w:rsidP="007A17AE">
      <w:pPr>
        <w:pStyle w:val="BodytextAgency"/>
        <w:spacing w:after="0" w:line="240" w:lineRule="auto"/>
        <w:contextualSpacing/>
        <w:rPr>
          <w:rFonts w:ascii="Times New Roman" w:eastAsia="SimSun" w:hAnsi="Times New Roman" w:cs="Times New Roman"/>
          <w:sz w:val="22"/>
          <w:szCs w:val="22"/>
        </w:rPr>
      </w:pPr>
      <w:r w:rsidRPr="007A17AE">
        <w:rPr>
          <w:rFonts w:ascii="Times New Roman" w:eastAsia="SimSun" w:hAnsi="Times New Roman" w:cs="Times New Roman"/>
          <w:sz w:val="22"/>
          <w:szCs w:val="22"/>
        </w:rPr>
        <w:t xml:space="preserve">Jeigu pasireiškė šalutinis poveikis, įskaitant šiame lapelyje nenurodytą, pasakykite gydytojui arba vaistininkui. </w:t>
      </w:r>
      <w:r w:rsidR="00BB5D3C" w:rsidRPr="00DD551C">
        <w:rPr>
          <w:rFonts w:ascii="Times New Roman" w:eastAsia="Times New Roman" w:hAnsi="Times New Roman" w:cs="Times New Roman"/>
          <w:sz w:val="22"/>
          <w:szCs w:val="22"/>
          <w:lang w:eastAsia="en-US"/>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w:t>
      </w:r>
    </w:p>
    <w:p w14:paraId="0AE244CB" w14:textId="77777777" w:rsidR="006455D2" w:rsidRPr="007A17AE" w:rsidRDefault="006455D2" w:rsidP="007A17AE">
      <w:pPr>
        <w:autoSpaceDE w:val="0"/>
        <w:autoSpaceDN w:val="0"/>
        <w:adjustRightInd w:val="0"/>
        <w:spacing w:line="240" w:lineRule="auto"/>
        <w:contextualSpacing/>
        <w:rPr>
          <w:szCs w:val="22"/>
        </w:rPr>
      </w:pPr>
    </w:p>
    <w:p w14:paraId="2575D506" w14:textId="77777777" w:rsidR="006455D2" w:rsidRPr="007A17AE" w:rsidRDefault="006455D2" w:rsidP="007A17AE">
      <w:pPr>
        <w:autoSpaceDE w:val="0"/>
        <w:autoSpaceDN w:val="0"/>
        <w:adjustRightInd w:val="0"/>
        <w:spacing w:line="240" w:lineRule="auto"/>
        <w:contextualSpacing/>
        <w:rPr>
          <w:szCs w:val="22"/>
        </w:rPr>
      </w:pPr>
    </w:p>
    <w:p w14:paraId="347A0047" w14:textId="77777777" w:rsidR="005C3D29" w:rsidRPr="007A17AE" w:rsidRDefault="005C3D29" w:rsidP="007A17AE">
      <w:pPr>
        <w:numPr>
          <w:ilvl w:val="12"/>
          <w:numId w:val="0"/>
        </w:numPr>
        <w:tabs>
          <w:tab w:val="clear" w:pos="567"/>
        </w:tabs>
        <w:spacing w:line="240" w:lineRule="auto"/>
        <w:ind w:left="567" w:right="-2" w:hanging="567"/>
        <w:contextualSpacing/>
        <w:rPr>
          <w:b/>
          <w:szCs w:val="22"/>
        </w:rPr>
      </w:pPr>
      <w:r w:rsidRPr="007A17AE">
        <w:rPr>
          <w:b/>
          <w:szCs w:val="22"/>
        </w:rPr>
        <w:t>5.</w:t>
      </w:r>
      <w:r w:rsidRPr="007A17AE">
        <w:rPr>
          <w:b/>
          <w:szCs w:val="22"/>
        </w:rPr>
        <w:tab/>
        <w:t xml:space="preserve">Kaip laikyti </w:t>
      </w:r>
      <w:r w:rsidR="00297BDB" w:rsidRPr="007A17AE">
        <w:rPr>
          <w:b/>
          <w:szCs w:val="22"/>
        </w:rPr>
        <w:t>Aprepitant Sandoz</w:t>
      </w:r>
    </w:p>
    <w:p w14:paraId="47696701" w14:textId="77777777" w:rsidR="006455D2" w:rsidRPr="007A17AE" w:rsidRDefault="006455D2" w:rsidP="007A17AE">
      <w:pPr>
        <w:numPr>
          <w:ilvl w:val="12"/>
          <w:numId w:val="0"/>
        </w:numPr>
        <w:tabs>
          <w:tab w:val="clear" w:pos="567"/>
        </w:tabs>
        <w:spacing w:line="240" w:lineRule="auto"/>
        <w:ind w:right="-2"/>
        <w:contextualSpacing/>
        <w:rPr>
          <w:szCs w:val="22"/>
        </w:rPr>
      </w:pPr>
    </w:p>
    <w:p w14:paraId="31A16895" w14:textId="77777777" w:rsidR="005C3D29" w:rsidRPr="007A17AE" w:rsidRDefault="005C3D29" w:rsidP="007A17AE">
      <w:pPr>
        <w:numPr>
          <w:ilvl w:val="12"/>
          <w:numId w:val="0"/>
        </w:numPr>
        <w:tabs>
          <w:tab w:val="clear" w:pos="567"/>
        </w:tabs>
        <w:spacing w:line="240" w:lineRule="auto"/>
        <w:ind w:right="-2"/>
        <w:contextualSpacing/>
        <w:rPr>
          <w:szCs w:val="22"/>
        </w:rPr>
      </w:pPr>
      <w:r w:rsidRPr="007A17AE">
        <w:rPr>
          <w:szCs w:val="22"/>
        </w:rPr>
        <w:t>Šį vaistą laikykite vaikams nepastebimoje ir nepasiekiamoje vietoje.</w:t>
      </w:r>
    </w:p>
    <w:p w14:paraId="1835E017" w14:textId="77777777" w:rsidR="006455D2" w:rsidRPr="007A17AE" w:rsidRDefault="006455D2" w:rsidP="007A17AE">
      <w:pPr>
        <w:numPr>
          <w:ilvl w:val="12"/>
          <w:numId w:val="0"/>
        </w:numPr>
        <w:tabs>
          <w:tab w:val="clear" w:pos="567"/>
        </w:tabs>
        <w:spacing w:line="240" w:lineRule="auto"/>
        <w:ind w:right="-2"/>
        <w:contextualSpacing/>
        <w:rPr>
          <w:szCs w:val="22"/>
        </w:rPr>
      </w:pPr>
    </w:p>
    <w:p w14:paraId="65E2A287" w14:textId="711B8B5E" w:rsidR="005C3D29" w:rsidRPr="007A17AE" w:rsidRDefault="005C3D29" w:rsidP="007A17AE">
      <w:pPr>
        <w:numPr>
          <w:ilvl w:val="12"/>
          <w:numId w:val="0"/>
        </w:numPr>
        <w:tabs>
          <w:tab w:val="clear" w:pos="567"/>
        </w:tabs>
        <w:spacing w:line="240" w:lineRule="auto"/>
        <w:ind w:right="-2"/>
        <w:contextualSpacing/>
        <w:rPr>
          <w:szCs w:val="22"/>
        </w:rPr>
      </w:pPr>
      <w:r w:rsidRPr="007A17AE">
        <w:rPr>
          <w:szCs w:val="22"/>
        </w:rPr>
        <w:t xml:space="preserve">Ant </w:t>
      </w:r>
      <w:r w:rsidR="00A67728" w:rsidRPr="007A17AE">
        <w:rPr>
          <w:szCs w:val="22"/>
        </w:rPr>
        <w:t xml:space="preserve">dėžutės </w:t>
      </w:r>
      <w:r w:rsidRPr="007A17AE">
        <w:rPr>
          <w:szCs w:val="22"/>
        </w:rPr>
        <w:t xml:space="preserve">po </w:t>
      </w:r>
      <w:r w:rsidR="00A67728" w:rsidRPr="007A17AE">
        <w:rPr>
          <w:szCs w:val="22"/>
        </w:rPr>
        <w:t>„</w:t>
      </w:r>
      <w:r w:rsidR="002A6A91" w:rsidRPr="007A17AE">
        <w:rPr>
          <w:szCs w:val="22"/>
        </w:rPr>
        <w:t>EXP</w:t>
      </w:r>
      <w:r w:rsidR="00A67728" w:rsidRPr="007A17AE">
        <w:rPr>
          <w:szCs w:val="22"/>
        </w:rPr>
        <w:t>“</w:t>
      </w:r>
      <w:r w:rsidRPr="007A17AE">
        <w:rPr>
          <w:szCs w:val="22"/>
        </w:rPr>
        <w:t xml:space="preserve"> nurodytam tinkamumo laikui pasibaigus, šio vaisto vartoti negalima. Vaistas tinkamas vartoti iki paskutinės nurodyto mėnesio dienos.</w:t>
      </w:r>
    </w:p>
    <w:p w14:paraId="4281FC85" w14:textId="77777777" w:rsidR="006455D2" w:rsidRPr="007A17AE" w:rsidRDefault="006455D2" w:rsidP="007A17AE">
      <w:pPr>
        <w:numPr>
          <w:ilvl w:val="12"/>
          <w:numId w:val="0"/>
        </w:numPr>
        <w:tabs>
          <w:tab w:val="clear" w:pos="567"/>
        </w:tabs>
        <w:spacing w:line="240" w:lineRule="auto"/>
        <w:ind w:right="-2"/>
        <w:contextualSpacing/>
        <w:rPr>
          <w:szCs w:val="22"/>
        </w:rPr>
      </w:pPr>
    </w:p>
    <w:p w14:paraId="0FC14E3D" w14:textId="77777777" w:rsidR="005C3D29" w:rsidRPr="007A17AE" w:rsidRDefault="005C3D29" w:rsidP="007A17AE">
      <w:pPr>
        <w:numPr>
          <w:ilvl w:val="12"/>
          <w:numId w:val="0"/>
        </w:numPr>
        <w:tabs>
          <w:tab w:val="clear" w:pos="567"/>
        </w:tabs>
        <w:spacing w:line="240" w:lineRule="auto"/>
        <w:ind w:right="-2"/>
        <w:contextualSpacing/>
        <w:rPr>
          <w:szCs w:val="22"/>
        </w:rPr>
      </w:pPr>
      <w:r w:rsidRPr="007A17AE">
        <w:rPr>
          <w:szCs w:val="22"/>
        </w:rPr>
        <w:t>Šiam</w:t>
      </w:r>
      <w:r w:rsidR="00A67728" w:rsidRPr="007A17AE">
        <w:rPr>
          <w:szCs w:val="22"/>
        </w:rPr>
        <w:t xml:space="preserve"> </w:t>
      </w:r>
      <w:r w:rsidRPr="007A17AE">
        <w:rPr>
          <w:szCs w:val="22"/>
        </w:rPr>
        <w:t>vaist</w:t>
      </w:r>
      <w:r w:rsidR="00A67728" w:rsidRPr="007A17AE">
        <w:rPr>
          <w:szCs w:val="22"/>
        </w:rPr>
        <w:t>ui</w:t>
      </w:r>
      <w:r w:rsidRPr="007A17AE">
        <w:rPr>
          <w:szCs w:val="22"/>
        </w:rPr>
        <w:t xml:space="preserve"> specialių laikymo sąlygų nereikia.</w:t>
      </w:r>
    </w:p>
    <w:p w14:paraId="05E33E6C" w14:textId="77777777" w:rsidR="00EF5E02" w:rsidRPr="007A17AE" w:rsidRDefault="00EF5E02" w:rsidP="007A17AE">
      <w:pPr>
        <w:numPr>
          <w:ilvl w:val="12"/>
          <w:numId w:val="0"/>
        </w:numPr>
        <w:tabs>
          <w:tab w:val="clear" w:pos="567"/>
        </w:tabs>
        <w:spacing w:line="240" w:lineRule="auto"/>
        <w:ind w:right="-2"/>
        <w:contextualSpacing/>
        <w:rPr>
          <w:szCs w:val="22"/>
        </w:rPr>
      </w:pPr>
    </w:p>
    <w:p w14:paraId="79DE7AEA" w14:textId="77777777" w:rsidR="00EF5E02" w:rsidRPr="007A17AE" w:rsidRDefault="00EF5E02" w:rsidP="007A17AE">
      <w:pPr>
        <w:numPr>
          <w:ilvl w:val="12"/>
          <w:numId w:val="0"/>
        </w:numPr>
        <w:tabs>
          <w:tab w:val="clear" w:pos="567"/>
        </w:tabs>
        <w:spacing w:line="240" w:lineRule="auto"/>
        <w:ind w:right="-2"/>
        <w:contextualSpacing/>
        <w:rPr>
          <w:szCs w:val="22"/>
        </w:rPr>
      </w:pPr>
      <w:r w:rsidRPr="007A17AE">
        <w:rPr>
          <w:szCs w:val="22"/>
        </w:rPr>
        <w:t>Neišimkite kapsulės iš jos lizdinės plokštelės, kol nesate pasiruošę jos vartoti.</w:t>
      </w:r>
    </w:p>
    <w:p w14:paraId="671E605C" w14:textId="77777777" w:rsidR="006455D2" w:rsidRPr="007A17AE" w:rsidRDefault="006455D2" w:rsidP="007A17AE">
      <w:pPr>
        <w:numPr>
          <w:ilvl w:val="12"/>
          <w:numId w:val="0"/>
        </w:numPr>
        <w:tabs>
          <w:tab w:val="clear" w:pos="567"/>
        </w:tabs>
        <w:spacing w:line="240" w:lineRule="auto"/>
        <w:ind w:right="-2"/>
        <w:contextualSpacing/>
        <w:rPr>
          <w:szCs w:val="22"/>
        </w:rPr>
      </w:pPr>
    </w:p>
    <w:p w14:paraId="1363A548" w14:textId="77777777" w:rsidR="005C3D29" w:rsidRPr="007A17AE" w:rsidRDefault="005C3D29" w:rsidP="007A17AE">
      <w:pPr>
        <w:numPr>
          <w:ilvl w:val="12"/>
          <w:numId w:val="0"/>
        </w:numPr>
        <w:tabs>
          <w:tab w:val="clear" w:pos="567"/>
        </w:tabs>
        <w:spacing w:line="240" w:lineRule="auto"/>
        <w:ind w:right="-2"/>
        <w:contextualSpacing/>
        <w:rPr>
          <w:i/>
          <w:szCs w:val="22"/>
        </w:rPr>
      </w:pPr>
      <w:r w:rsidRPr="007A17AE">
        <w:rPr>
          <w:szCs w:val="22"/>
        </w:rPr>
        <w:t>Vaistų negalima išmesti į kanalizaciją arba su buitinėmis atliekomis. Kaip išmesti nereikalingus vaistus, klauskite vaistininko. Šios priemonės padės apsaugoti aplinką.</w:t>
      </w:r>
    </w:p>
    <w:p w14:paraId="70C8784C" w14:textId="77777777" w:rsidR="006455D2" w:rsidRPr="007A17AE" w:rsidRDefault="006455D2" w:rsidP="007A17AE">
      <w:pPr>
        <w:numPr>
          <w:ilvl w:val="12"/>
          <w:numId w:val="0"/>
        </w:numPr>
        <w:tabs>
          <w:tab w:val="clear" w:pos="567"/>
        </w:tabs>
        <w:spacing w:line="240" w:lineRule="auto"/>
        <w:ind w:right="-2"/>
        <w:contextualSpacing/>
        <w:rPr>
          <w:szCs w:val="22"/>
        </w:rPr>
      </w:pPr>
    </w:p>
    <w:p w14:paraId="55BBDDD7" w14:textId="77777777" w:rsidR="006455D2" w:rsidRPr="007A17AE" w:rsidRDefault="006455D2" w:rsidP="007A17AE">
      <w:pPr>
        <w:numPr>
          <w:ilvl w:val="12"/>
          <w:numId w:val="0"/>
        </w:numPr>
        <w:tabs>
          <w:tab w:val="clear" w:pos="567"/>
        </w:tabs>
        <w:spacing w:line="240" w:lineRule="auto"/>
        <w:ind w:right="-2"/>
        <w:contextualSpacing/>
        <w:rPr>
          <w:szCs w:val="22"/>
        </w:rPr>
      </w:pPr>
    </w:p>
    <w:p w14:paraId="233A600B" w14:textId="77777777" w:rsidR="005C3D29" w:rsidRPr="007A17AE" w:rsidRDefault="005C3D29" w:rsidP="007A17AE">
      <w:pPr>
        <w:numPr>
          <w:ilvl w:val="12"/>
          <w:numId w:val="0"/>
        </w:numPr>
        <w:spacing w:line="240" w:lineRule="auto"/>
        <w:ind w:right="-2"/>
        <w:contextualSpacing/>
        <w:rPr>
          <w:b/>
          <w:szCs w:val="22"/>
        </w:rPr>
      </w:pPr>
      <w:r w:rsidRPr="007A17AE">
        <w:rPr>
          <w:b/>
          <w:szCs w:val="22"/>
        </w:rPr>
        <w:t>6.</w:t>
      </w:r>
      <w:r w:rsidRPr="007A17AE">
        <w:rPr>
          <w:b/>
          <w:szCs w:val="22"/>
        </w:rPr>
        <w:tab/>
        <w:t>Pakuotės turinys ir kita informacija</w:t>
      </w:r>
    </w:p>
    <w:p w14:paraId="11833ECB" w14:textId="77777777" w:rsidR="006455D2" w:rsidRPr="007A17AE" w:rsidRDefault="006455D2" w:rsidP="007A17AE">
      <w:pPr>
        <w:numPr>
          <w:ilvl w:val="12"/>
          <w:numId w:val="0"/>
        </w:numPr>
        <w:tabs>
          <w:tab w:val="clear" w:pos="567"/>
        </w:tabs>
        <w:spacing w:line="240" w:lineRule="auto"/>
        <w:contextualSpacing/>
        <w:rPr>
          <w:szCs w:val="22"/>
        </w:rPr>
      </w:pPr>
    </w:p>
    <w:p w14:paraId="730CBF72" w14:textId="77777777" w:rsidR="005C3D29" w:rsidRPr="007A17AE" w:rsidRDefault="00297BDB" w:rsidP="007A17AE">
      <w:pPr>
        <w:numPr>
          <w:ilvl w:val="12"/>
          <w:numId w:val="0"/>
        </w:numPr>
        <w:tabs>
          <w:tab w:val="clear" w:pos="567"/>
        </w:tabs>
        <w:spacing w:line="240" w:lineRule="auto"/>
        <w:ind w:right="-2"/>
        <w:contextualSpacing/>
        <w:rPr>
          <w:szCs w:val="22"/>
        </w:rPr>
      </w:pPr>
      <w:r w:rsidRPr="007A17AE">
        <w:rPr>
          <w:b/>
          <w:szCs w:val="22"/>
        </w:rPr>
        <w:t>Aprepitant Sandoz</w:t>
      </w:r>
      <w:r w:rsidR="005C3D29" w:rsidRPr="007A17AE">
        <w:rPr>
          <w:b/>
          <w:szCs w:val="22"/>
        </w:rPr>
        <w:t xml:space="preserve"> sudėtis </w:t>
      </w:r>
    </w:p>
    <w:p w14:paraId="4B19601D" w14:textId="77777777" w:rsidR="005C3D29" w:rsidRPr="007A17AE" w:rsidRDefault="005C3D29" w:rsidP="007A17AE">
      <w:pPr>
        <w:numPr>
          <w:ilvl w:val="0"/>
          <w:numId w:val="25"/>
        </w:numPr>
        <w:spacing w:line="240" w:lineRule="auto"/>
        <w:ind w:left="567" w:hanging="567"/>
        <w:contextualSpacing/>
        <w:rPr>
          <w:i/>
        </w:rPr>
      </w:pPr>
      <w:r w:rsidRPr="007A17AE">
        <w:t xml:space="preserve">Veiklioji medžiaga yra </w:t>
      </w:r>
      <w:r w:rsidR="00EF5E02" w:rsidRPr="007A17AE">
        <w:t>aprepitantas</w:t>
      </w:r>
      <w:r w:rsidRPr="007A17AE">
        <w:t>.</w:t>
      </w:r>
    </w:p>
    <w:p w14:paraId="2789215D" w14:textId="77777777" w:rsidR="00AC5846" w:rsidRPr="007A17AE" w:rsidRDefault="00AC5846" w:rsidP="007A17AE">
      <w:pPr>
        <w:spacing w:line="240" w:lineRule="auto"/>
        <w:contextualSpacing/>
      </w:pPr>
    </w:p>
    <w:p w14:paraId="3341BE4B" w14:textId="77777777" w:rsidR="00A9096F" w:rsidRPr="007A17AE" w:rsidRDefault="00A9096F" w:rsidP="00A9096F">
      <w:pPr>
        <w:spacing w:line="240" w:lineRule="auto"/>
        <w:contextualSpacing/>
        <w:rPr>
          <w:i/>
        </w:rPr>
      </w:pPr>
      <w:r w:rsidRPr="007A17AE">
        <w:rPr>
          <w:i/>
        </w:rPr>
        <w:t>Aprepitant Sandoz 125 mg kieto</w:t>
      </w:r>
      <w:r>
        <w:rPr>
          <w:i/>
        </w:rPr>
        <w:t>ji</w:t>
      </w:r>
      <w:r w:rsidRPr="007A17AE">
        <w:rPr>
          <w:i/>
        </w:rPr>
        <w:t xml:space="preserve"> kapsulė</w:t>
      </w:r>
    </w:p>
    <w:p w14:paraId="7C2E1A4F" w14:textId="77777777" w:rsidR="00A9096F" w:rsidRDefault="00A9096F" w:rsidP="00A9096F">
      <w:pPr>
        <w:spacing w:line="240" w:lineRule="auto"/>
        <w:contextualSpacing/>
      </w:pPr>
      <w:r w:rsidRPr="007A17AE">
        <w:t xml:space="preserve">Kiekvienoje </w:t>
      </w:r>
      <w:r>
        <w:t xml:space="preserve">kietojoje </w:t>
      </w:r>
      <w:r w:rsidRPr="007A17AE">
        <w:t>kapsulėje yra 125 mg aprepitanto.</w:t>
      </w:r>
    </w:p>
    <w:p w14:paraId="0FB44B74" w14:textId="77777777" w:rsidR="00A9096F" w:rsidRPr="007A17AE" w:rsidRDefault="00A9096F" w:rsidP="00A9096F">
      <w:pPr>
        <w:spacing w:line="240" w:lineRule="auto"/>
        <w:contextualSpacing/>
      </w:pPr>
    </w:p>
    <w:p w14:paraId="52D1A4AE" w14:textId="77777777" w:rsidR="00EF5E02" w:rsidRPr="007A17AE" w:rsidRDefault="00EF5E02" w:rsidP="007A17AE">
      <w:pPr>
        <w:spacing w:line="240" w:lineRule="auto"/>
        <w:contextualSpacing/>
        <w:rPr>
          <w:i/>
        </w:rPr>
      </w:pPr>
      <w:r w:rsidRPr="007A17AE">
        <w:rPr>
          <w:i/>
        </w:rPr>
        <w:t>Aprepitant Sandoz 80</w:t>
      </w:r>
      <w:r w:rsidR="00AC5846" w:rsidRPr="007A17AE">
        <w:rPr>
          <w:i/>
        </w:rPr>
        <w:t> </w:t>
      </w:r>
      <w:r w:rsidRPr="007A17AE">
        <w:rPr>
          <w:i/>
        </w:rPr>
        <w:t>mg kietosios kapsulės</w:t>
      </w:r>
    </w:p>
    <w:p w14:paraId="4FA79461" w14:textId="77777777" w:rsidR="00AC5846" w:rsidRPr="007A17AE" w:rsidRDefault="00AC5846" w:rsidP="007A17AE">
      <w:pPr>
        <w:spacing w:line="240" w:lineRule="auto"/>
        <w:contextualSpacing/>
      </w:pPr>
      <w:r w:rsidRPr="007A17AE">
        <w:t xml:space="preserve">Kiekvienoje </w:t>
      </w:r>
      <w:r w:rsidR="00180A94">
        <w:t xml:space="preserve">kietojoje </w:t>
      </w:r>
      <w:r w:rsidRPr="007A17AE">
        <w:t>kapsulėje yra 80 mg aprepitanto</w:t>
      </w:r>
      <w:r w:rsidR="006A7807" w:rsidRPr="007A17AE">
        <w:t>.</w:t>
      </w:r>
    </w:p>
    <w:p w14:paraId="1B3CD263" w14:textId="77777777" w:rsidR="00EF5E02" w:rsidRPr="007A17AE" w:rsidRDefault="00EF5E02" w:rsidP="007A17AE">
      <w:pPr>
        <w:spacing w:line="240" w:lineRule="auto"/>
        <w:contextualSpacing/>
      </w:pPr>
    </w:p>
    <w:p w14:paraId="075FD1CC" w14:textId="014F43FD" w:rsidR="00AC5846" w:rsidRPr="00DD551C" w:rsidRDefault="005C3D29" w:rsidP="00DD551C">
      <w:pPr>
        <w:pStyle w:val="Sraopastraipa"/>
        <w:numPr>
          <w:ilvl w:val="0"/>
          <w:numId w:val="25"/>
        </w:numPr>
        <w:spacing w:line="240" w:lineRule="auto"/>
        <w:ind w:left="567" w:hanging="567"/>
        <w:jc w:val="left"/>
        <w:rPr>
          <w:lang w:val="lt-LT"/>
        </w:rPr>
      </w:pPr>
      <w:r w:rsidRPr="00710C2F">
        <w:rPr>
          <w:sz w:val="22"/>
          <w:lang w:val="lt-LT"/>
        </w:rPr>
        <w:t>Pagalbinės medžiagos yra</w:t>
      </w:r>
      <w:r w:rsidRPr="00901B3F">
        <w:rPr>
          <w:sz w:val="22"/>
          <w:lang w:val="lt-LT"/>
        </w:rPr>
        <w:t>:</w:t>
      </w:r>
      <w:r w:rsidR="00AC5846" w:rsidRPr="00901B3F">
        <w:rPr>
          <w:sz w:val="22"/>
          <w:lang w:val="lt-LT"/>
        </w:rPr>
        <w:t xml:space="preserve"> sacharozė, mikrokristalinė</w:t>
      </w:r>
      <w:r w:rsidR="00817D4D" w:rsidRPr="00901B3F">
        <w:rPr>
          <w:sz w:val="22"/>
          <w:lang w:val="lt-LT"/>
        </w:rPr>
        <w:t>s</w:t>
      </w:r>
      <w:r w:rsidR="00AC5846" w:rsidRPr="00901B3F">
        <w:rPr>
          <w:sz w:val="22"/>
          <w:lang w:val="lt-LT"/>
        </w:rPr>
        <w:t xml:space="preserve"> celiuliozė</w:t>
      </w:r>
      <w:r w:rsidR="00817D4D" w:rsidRPr="00901B3F">
        <w:rPr>
          <w:sz w:val="22"/>
          <w:lang w:val="lt-LT"/>
        </w:rPr>
        <w:t>s</w:t>
      </w:r>
      <w:r w:rsidR="00AC5846" w:rsidRPr="00901B3F">
        <w:rPr>
          <w:sz w:val="22"/>
          <w:lang w:val="lt-LT"/>
        </w:rPr>
        <w:t xml:space="preserve"> sferos 500 (E460), hidroksipropilceliuliozė (HPC-SL) (E463), natrio laurilsulfatas, želatina, titano dioksidas (E171); 125 mg kietųjų kapsulių sudėtyje taip pat yra raudonojo geležies oksido (E172).</w:t>
      </w:r>
    </w:p>
    <w:p w14:paraId="02002A92" w14:textId="77777777" w:rsidR="006455D2" w:rsidRPr="007A17AE" w:rsidRDefault="006455D2" w:rsidP="007A17AE">
      <w:pPr>
        <w:numPr>
          <w:ilvl w:val="12"/>
          <w:numId w:val="0"/>
        </w:numPr>
        <w:tabs>
          <w:tab w:val="clear" w:pos="567"/>
        </w:tabs>
        <w:spacing w:line="240" w:lineRule="auto"/>
        <w:ind w:right="-2"/>
        <w:contextualSpacing/>
        <w:rPr>
          <w:szCs w:val="22"/>
        </w:rPr>
      </w:pPr>
    </w:p>
    <w:p w14:paraId="5B6DE400" w14:textId="77777777" w:rsidR="005C3D29" w:rsidRPr="007A17AE" w:rsidRDefault="00297BDB" w:rsidP="007A17AE">
      <w:pPr>
        <w:numPr>
          <w:ilvl w:val="12"/>
          <w:numId w:val="0"/>
        </w:numPr>
        <w:tabs>
          <w:tab w:val="clear" w:pos="567"/>
        </w:tabs>
        <w:spacing w:line="240" w:lineRule="auto"/>
        <w:ind w:right="-2"/>
        <w:contextualSpacing/>
        <w:rPr>
          <w:b/>
          <w:szCs w:val="22"/>
        </w:rPr>
      </w:pPr>
      <w:r w:rsidRPr="007A17AE">
        <w:rPr>
          <w:b/>
          <w:szCs w:val="22"/>
        </w:rPr>
        <w:t>Aprepitant Sandoz</w:t>
      </w:r>
      <w:r w:rsidR="005C3D29" w:rsidRPr="007A17AE">
        <w:rPr>
          <w:b/>
          <w:szCs w:val="22"/>
        </w:rPr>
        <w:t xml:space="preserve"> išvaizda ir kiekis pakuotėje</w:t>
      </w:r>
    </w:p>
    <w:p w14:paraId="21D0C05A" w14:textId="77777777" w:rsidR="00AC5846" w:rsidRPr="007A17AE" w:rsidRDefault="00AC5846" w:rsidP="007A17AE">
      <w:pPr>
        <w:pStyle w:val="Default"/>
        <w:contextualSpacing/>
        <w:rPr>
          <w:sz w:val="22"/>
          <w:szCs w:val="22"/>
        </w:rPr>
      </w:pPr>
    </w:p>
    <w:p w14:paraId="2A211235" w14:textId="77777777" w:rsidR="00A9096F" w:rsidRPr="007A17AE" w:rsidRDefault="00A9096F" w:rsidP="00A9096F">
      <w:pPr>
        <w:pStyle w:val="Default"/>
        <w:contextualSpacing/>
        <w:rPr>
          <w:i/>
          <w:sz w:val="22"/>
          <w:szCs w:val="22"/>
        </w:rPr>
      </w:pPr>
      <w:r w:rsidRPr="007A17AE">
        <w:rPr>
          <w:i/>
          <w:sz w:val="22"/>
          <w:szCs w:val="22"/>
        </w:rPr>
        <w:t>Aprepitant Sandoz 125 mg kieto</w:t>
      </w:r>
      <w:r>
        <w:rPr>
          <w:i/>
          <w:sz w:val="22"/>
          <w:szCs w:val="22"/>
        </w:rPr>
        <w:t>ji</w:t>
      </w:r>
      <w:r w:rsidRPr="007A17AE">
        <w:rPr>
          <w:i/>
          <w:sz w:val="22"/>
          <w:szCs w:val="22"/>
        </w:rPr>
        <w:t xml:space="preserve"> kapsulė</w:t>
      </w:r>
    </w:p>
    <w:p w14:paraId="51C43207" w14:textId="77777777" w:rsidR="00A9096F" w:rsidRDefault="00A9096F" w:rsidP="00A9096F">
      <w:pPr>
        <w:pStyle w:val="Default"/>
        <w:contextualSpacing/>
        <w:rPr>
          <w:sz w:val="22"/>
          <w:szCs w:val="22"/>
        </w:rPr>
      </w:pPr>
      <w:r w:rsidRPr="007A17AE">
        <w:rPr>
          <w:sz w:val="22"/>
          <w:szCs w:val="22"/>
        </w:rPr>
        <w:t>Nepermatoma kapsulė, kurios korpusas baltas, o dangtelis rausvas, pripildyta baltų arba beveik baltų granulių.</w:t>
      </w:r>
    </w:p>
    <w:p w14:paraId="6EC007EA" w14:textId="77777777" w:rsidR="00A9096F" w:rsidRPr="007A17AE" w:rsidRDefault="00A9096F" w:rsidP="00A9096F">
      <w:pPr>
        <w:pStyle w:val="Default"/>
        <w:contextualSpacing/>
        <w:rPr>
          <w:sz w:val="22"/>
          <w:szCs w:val="22"/>
        </w:rPr>
      </w:pPr>
    </w:p>
    <w:p w14:paraId="606FF9D6" w14:textId="77777777" w:rsidR="00AC5846" w:rsidRPr="007A17AE" w:rsidRDefault="00AC5846" w:rsidP="007A17AE">
      <w:pPr>
        <w:spacing w:line="240" w:lineRule="auto"/>
        <w:contextualSpacing/>
        <w:rPr>
          <w:i/>
        </w:rPr>
      </w:pPr>
      <w:r w:rsidRPr="007A17AE">
        <w:rPr>
          <w:i/>
        </w:rPr>
        <w:t>Aprepitant Sandoz 80 mg kietosios kapsulės</w:t>
      </w:r>
    </w:p>
    <w:p w14:paraId="42D068F9" w14:textId="77777777" w:rsidR="00AC5846" w:rsidRPr="007A17AE" w:rsidRDefault="00AC5846" w:rsidP="007A17AE">
      <w:pPr>
        <w:pStyle w:val="Default"/>
        <w:contextualSpacing/>
        <w:rPr>
          <w:sz w:val="22"/>
          <w:szCs w:val="22"/>
        </w:rPr>
      </w:pPr>
      <w:r w:rsidRPr="007A17AE">
        <w:rPr>
          <w:sz w:val="22"/>
          <w:szCs w:val="22"/>
        </w:rPr>
        <w:t xml:space="preserve">Nepermatoma kapsulė, kurios korpusas ir dangtelis balti, pripildyta baltų arba beveik baltų granulių. </w:t>
      </w:r>
    </w:p>
    <w:p w14:paraId="5A1D8A8B" w14:textId="77777777" w:rsidR="00AC5846" w:rsidRPr="007A17AE" w:rsidRDefault="00AC5846" w:rsidP="007A17AE">
      <w:pPr>
        <w:pStyle w:val="Default"/>
        <w:contextualSpacing/>
        <w:rPr>
          <w:sz w:val="22"/>
          <w:szCs w:val="22"/>
        </w:rPr>
      </w:pPr>
    </w:p>
    <w:p w14:paraId="1E031E43" w14:textId="40123137" w:rsidR="00CE6D86" w:rsidRPr="007A17AE" w:rsidRDefault="006A7807" w:rsidP="007A17AE">
      <w:pPr>
        <w:pStyle w:val="Default"/>
        <w:contextualSpacing/>
        <w:rPr>
          <w:sz w:val="22"/>
          <w:szCs w:val="22"/>
        </w:rPr>
      </w:pPr>
      <w:r w:rsidRPr="007A17AE">
        <w:rPr>
          <w:sz w:val="22"/>
          <w:szCs w:val="22"/>
        </w:rPr>
        <w:t xml:space="preserve">Aprepitant </w:t>
      </w:r>
      <w:r w:rsidRPr="00B12DD0">
        <w:rPr>
          <w:sz w:val="22"/>
          <w:szCs w:val="22"/>
        </w:rPr>
        <w:t>Sandoz 125</w:t>
      </w:r>
      <w:r w:rsidR="00337B92" w:rsidRPr="00B12DD0">
        <w:rPr>
          <w:sz w:val="22"/>
          <w:szCs w:val="22"/>
        </w:rPr>
        <w:t> </w:t>
      </w:r>
      <w:r w:rsidRPr="00B12DD0">
        <w:rPr>
          <w:sz w:val="22"/>
          <w:szCs w:val="22"/>
        </w:rPr>
        <w:t>mg kieto</w:t>
      </w:r>
      <w:r w:rsidR="00B12DD0" w:rsidRPr="00B12DD0">
        <w:rPr>
          <w:sz w:val="22"/>
          <w:szCs w:val="22"/>
        </w:rPr>
        <w:t>ji</w:t>
      </w:r>
      <w:r w:rsidRPr="00B12DD0">
        <w:rPr>
          <w:sz w:val="22"/>
          <w:szCs w:val="22"/>
        </w:rPr>
        <w:t xml:space="preserve"> kapsulė</w:t>
      </w:r>
      <w:r w:rsidR="00B12DD0" w:rsidRPr="00B12DD0">
        <w:rPr>
          <w:sz w:val="22"/>
          <w:szCs w:val="22"/>
        </w:rPr>
        <w:t xml:space="preserve"> ir</w:t>
      </w:r>
      <w:r w:rsidR="00BF57E0">
        <w:rPr>
          <w:sz w:val="22"/>
          <w:szCs w:val="22"/>
        </w:rPr>
        <w:t xml:space="preserve"> </w:t>
      </w:r>
      <w:r w:rsidRPr="00B12DD0">
        <w:rPr>
          <w:sz w:val="22"/>
          <w:szCs w:val="22"/>
        </w:rPr>
        <w:t>Aprepitant Sandoz 80</w:t>
      </w:r>
      <w:r w:rsidR="00337B92" w:rsidRPr="00B12DD0">
        <w:rPr>
          <w:sz w:val="22"/>
          <w:szCs w:val="22"/>
        </w:rPr>
        <w:t> </w:t>
      </w:r>
      <w:r w:rsidRPr="00B12DD0">
        <w:rPr>
          <w:sz w:val="22"/>
          <w:szCs w:val="22"/>
        </w:rPr>
        <w:t>mg kietosios</w:t>
      </w:r>
      <w:r w:rsidRPr="007A17AE">
        <w:rPr>
          <w:sz w:val="22"/>
          <w:szCs w:val="22"/>
        </w:rPr>
        <w:t xml:space="preserve"> kapsulės</w:t>
      </w:r>
      <w:r w:rsidR="00CE6D86" w:rsidRPr="007A17AE">
        <w:rPr>
          <w:sz w:val="22"/>
          <w:szCs w:val="22"/>
        </w:rPr>
        <w:t xml:space="preserve"> yra tiekiamos </w:t>
      </w:r>
      <w:r w:rsidR="006E480A">
        <w:rPr>
          <w:sz w:val="22"/>
          <w:szCs w:val="22"/>
        </w:rPr>
        <w:t>tokioje</w:t>
      </w:r>
      <w:r w:rsidR="00CE6D86" w:rsidRPr="007A17AE">
        <w:rPr>
          <w:sz w:val="22"/>
          <w:szCs w:val="22"/>
        </w:rPr>
        <w:t xml:space="preserve"> pakuotė</w:t>
      </w:r>
      <w:r w:rsidR="006E480A">
        <w:rPr>
          <w:sz w:val="22"/>
          <w:szCs w:val="22"/>
        </w:rPr>
        <w:t>je</w:t>
      </w:r>
      <w:r w:rsidR="00CE6D86" w:rsidRPr="007A17AE">
        <w:rPr>
          <w:sz w:val="22"/>
          <w:szCs w:val="22"/>
        </w:rPr>
        <w:t>:</w:t>
      </w:r>
    </w:p>
    <w:p w14:paraId="78ACB2CC" w14:textId="7ACBDCE5" w:rsidR="00CE6D86" w:rsidRPr="007A17AE" w:rsidRDefault="006E480A" w:rsidP="007A17AE">
      <w:pPr>
        <w:pStyle w:val="Default"/>
        <w:numPr>
          <w:ilvl w:val="0"/>
          <w:numId w:val="27"/>
        </w:numPr>
        <w:ind w:left="567" w:hanging="567"/>
        <w:contextualSpacing/>
        <w:rPr>
          <w:sz w:val="22"/>
          <w:szCs w:val="22"/>
        </w:rPr>
      </w:pPr>
      <w:r>
        <w:rPr>
          <w:sz w:val="22"/>
          <w:szCs w:val="22"/>
        </w:rPr>
        <w:t>t</w:t>
      </w:r>
      <w:r w:rsidR="00CE6D86" w:rsidRPr="007A17AE">
        <w:rPr>
          <w:sz w:val="22"/>
          <w:szCs w:val="22"/>
        </w:rPr>
        <w:t>rijų dienų gydymo ciklo pakuotė, kurioje yra viena 125 mg kapsulės lizdinė plokštelė ir viena 80 mg kapsulių lizdinė plokštelė.</w:t>
      </w:r>
    </w:p>
    <w:p w14:paraId="145440BC" w14:textId="77777777" w:rsidR="00AC5846" w:rsidRPr="007A17AE" w:rsidRDefault="00AC5846" w:rsidP="007A17AE">
      <w:pPr>
        <w:pStyle w:val="Default"/>
        <w:contextualSpacing/>
        <w:rPr>
          <w:sz w:val="22"/>
          <w:szCs w:val="22"/>
        </w:rPr>
      </w:pPr>
    </w:p>
    <w:p w14:paraId="2004390F" w14:textId="77777777" w:rsidR="00A94CE3" w:rsidRPr="007A17AE" w:rsidRDefault="00A94CE3" w:rsidP="007A17AE">
      <w:pPr>
        <w:numPr>
          <w:ilvl w:val="12"/>
          <w:numId w:val="0"/>
        </w:numPr>
        <w:tabs>
          <w:tab w:val="clear" w:pos="567"/>
        </w:tabs>
        <w:spacing w:line="240" w:lineRule="auto"/>
        <w:ind w:right="-2"/>
        <w:contextualSpacing/>
        <w:rPr>
          <w:szCs w:val="22"/>
        </w:rPr>
      </w:pPr>
      <w:r w:rsidRPr="007A17AE">
        <w:rPr>
          <w:b/>
          <w:szCs w:val="22"/>
        </w:rPr>
        <w:t>Registruotojas</w:t>
      </w:r>
      <w:r w:rsidR="006E480A">
        <w:rPr>
          <w:b/>
          <w:szCs w:val="22"/>
        </w:rPr>
        <w:t xml:space="preserve"> ir gamintojas</w:t>
      </w:r>
    </w:p>
    <w:p w14:paraId="5D0DBF00" w14:textId="77777777" w:rsidR="006E480A" w:rsidRDefault="006E480A" w:rsidP="007A17AE">
      <w:pPr>
        <w:tabs>
          <w:tab w:val="clear" w:pos="567"/>
        </w:tabs>
        <w:spacing w:line="240" w:lineRule="auto"/>
        <w:contextualSpacing/>
        <w:rPr>
          <w:lang w:eastAsia="lt-LT"/>
        </w:rPr>
      </w:pPr>
    </w:p>
    <w:p w14:paraId="736558EF" w14:textId="77777777" w:rsidR="006E480A" w:rsidRPr="00B12DD0" w:rsidRDefault="006E480A" w:rsidP="007A17AE">
      <w:pPr>
        <w:tabs>
          <w:tab w:val="clear" w:pos="567"/>
        </w:tabs>
        <w:spacing w:line="240" w:lineRule="auto"/>
        <w:contextualSpacing/>
        <w:rPr>
          <w:i/>
          <w:lang w:eastAsia="lt-LT"/>
        </w:rPr>
      </w:pPr>
      <w:r w:rsidRPr="00B12DD0">
        <w:rPr>
          <w:i/>
          <w:lang w:eastAsia="lt-LT"/>
        </w:rPr>
        <w:t>Registruotojas</w:t>
      </w:r>
    </w:p>
    <w:p w14:paraId="1211C549" w14:textId="77777777" w:rsidR="00D170AC" w:rsidRPr="007A17AE" w:rsidRDefault="00D170AC" w:rsidP="007A17AE">
      <w:pPr>
        <w:tabs>
          <w:tab w:val="clear" w:pos="567"/>
        </w:tabs>
        <w:spacing w:line="240" w:lineRule="auto"/>
        <w:contextualSpacing/>
        <w:rPr>
          <w:lang w:eastAsia="lt-LT"/>
        </w:rPr>
      </w:pPr>
      <w:r w:rsidRPr="007A17AE">
        <w:rPr>
          <w:lang w:eastAsia="lt-LT"/>
        </w:rPr>
        <w:t>Sandoz d.d.</w:t>
      </w:r>
    </w:p>
    <w:p w14:paraId="4ECA29C1" w14:textId="77777777" w:rsidR="00D170AC" w:rsidRPr="007A17AE" w:rsidRDefault="00D170AC" w:rsidP="007A17AE">
      <w:pPr>
        <w:tabs>
          <w:tab w:val="clear" w:pos="567"/>
        </w:tabs>
        <w:spacing w:line="240" w:lineRule="auto"/>
        <w:contextualSpacing/>
        <w:rPr>
          <w:lang w:eastAsia="lt-LT"/>
        </w:rPr>
      </w:pPr>
      <w:r w:rsidRPr="007A17AE">
        <w:rPr>
          <w:lang w:eastAsia="lt-LT"/>
        </w:rPr>
        <w:t>Verovškova 57</w:t>
      </w:r>
    </w:p>
    <w:p w14:paraId="3CB0BFB5" w14:textId="77777777" w:rsidR="00D170AC" w:rsidRPr="007A17AE" w:rsidRDefault="00D170AC" w:rsidP="007A17AE">
      <w:pPr>
        <w:tabs>
          <w:tab w:val="clear" w:pos="567"/>
        </w:tabs>
        <w:spacing w:line="240" w:lineRule="auto"/>
        <w:contextualSpacing/>
        <w:rPr>
          <w:lang w:eastAsia="lt-LT"/>
        </w:rPr>
      </w:pPr>
      <w:r w:rsidRPr="007A17AE">
        <w:rPr>
          <w:lang w:eastAsia="lt-LT"/>
        </w:rPr>
        <w:t>SI-1000 Ljubljana</w:t>
      </w:r>
    </w:p>
    <w:p w14:paraId="63B7607D" w14:textId="77777777" w:rsidR="00D170AC" w:rsidRPr="007A17AE" w:rsidRDefault="00D170AC" w:rsidP="007A17AE">
      <w:pPr>
        <w:tabs>
          <w:tab w:val="clear" w:pos="567"/>
        </w:tabs>
        <w:spacing w:line="240" w:lineRule="auto"/>
        <w:contextualSpacing/>
        <w:rPr>
          <w:lang w:eastAsia="lt-LT"/>
        </w:rPr>
      </w:pPr>
      <w:r w:rsidRPr="007A17AE">
        <w:rPr>
          <w:lang w:eastAsia="lt-LT"/>
        </w:rPr>
        <w:t>Slovėnija</w:t>
      </w:r>
    </w:p>
    <w:p w14:paraId="0CFD7E2B" w14:textId="77777777" w:rsidR="006455D2" w:rsidRPr="007A17AE" w:rsidRDefault="006455D2" w:rsidP="007A17AE">
      <w:pPr>
        <w:numPr>
          <w:ilvl w:val="12"/>
          <w:numId w:val="0"/>
        </w:numPr>
        <w:tabs>
          <w:tab w:val="clear" w:pos="567"/>
        </w:tabs>
        <w:spacing w:line="240" w:lineRule="auto"/>
        <w:ind w:right="-2"/>
        <w:contextualSpacing/>
        <w:rPr>
          <w:szCs w:val="22"/>
        </w:rPr>
      </w:pPr>
    </w:p>
    <w:p w14:paraId="73DDFA87" w14:textId="77777777" w:rsidR="00252D3D" w:rsidRPr="00B12DD0" w:rsidRDefault="00A94CE3" w:rsidP="007A17AE">
      <w:pPr>
        <w:spacing w:line="240" w:lineRule="auto"/>
        <w:contextualSpacing/>
        <w:rPr>
          <w:i/>
        </w:rPr>
      </w:pPr>
      <w:r w:rsidRPr="00B12DD0">
        <w:rPr>
          <w:i/>
        </w:rPr>
        <w:t>Gamintoja</w:t>
      </w:r>
      <w:r w:rsidR="006A7807" w:rsidRPr="00B12DD0">
        <w:rPr>
          <w:i/>
        </w:rPr>
        <w:t>s</w:t>
      </w:r>
    </w:p>
    <w:p w14:paraId="46F3CDFB" w14:textId="77777777" w:rsidR="00252D3D" w:rsidRPr="007A17AE" w:rsidRDefault="00252D3D" w:rsidP="00AB59F2">
      <w:pPr>
        <w:spacing w:line="240" w:lineRule="auto"/>
        <w:contextualSpacing/>
        <w:rPr>
          <w:szCs w:val="22"/>
        </w:rPr>
      </w:pPr>
      <w:r w:rsidRPr="007A17AE">
        <w:rPr>
          <w:szCs w:val="22"/>
        </w:rPr>
        <w:t>Rontis Hellas Medical and Pharmaceutical Products S.A.</w:t>
      </w:r>
    </w:p>
    <w:p w14:paraId="1F259B20" w14:textId="77777777" w:rsidR="00252D3D" w:rsidRPr="002B568A" w:rsidRDefault="00252D3D" w:rsidP="00B12DD0">
      <w:pPr>
        <w:autoSpaceDE w:val="0"/>
        <w:autoSpaceDN w:val="0"/>
        <w:spacing w:line="240" w:lineRule="auto"/>
        <w:rPr>
          <w:szCs w:val="22"/>
        </w:rPr>
      </w:pPr>
      <w:r w:rsidRPr="002B568A">
        <w:rPr>
          <w:szCs w:val="22"/>
        </w:rPr>
        <w:t>P.O. Box 3012</w:t>
      </w:r>
    </w:p>
    <w:p w14:paraId="00BCCDE1" w14:textId="559CED11" w:rsidR="00252D3D" w:rsidRPr="002B568A" w:rsidRDefault="00252D3D" w:rsidP="00B12DD0">
      <w:pPr>
        <w:autoSpaceDE w:val="0"/>
        <w:autoSpaceDN w:val="0"/>
        <w:spacing w:line="240" w:lineRule="auto"/>
        <w:rPr>
          <w:szCs w:val="22"/>
        </w:rPr>
      </w:pPr>
      <w:r w:rsidRPr="002B568A">
        <w:rPr>
          <w:szCs w:val="22"/>
        </w:rPr>
        <w:t>Lari</w:t>
      </w:r>
      <w:r w:rsidR="00D57B95">
        <w:rPr>
          <w:szCs w:val="22"/>
        </w:rPr>
        <w:t>s</w:t>
      </w:r>
      <w:r w:rsidRPr="002B568A">
        <w:rPr>
          <w:szCs w:val="22"/>
        </w:rPr>
        <w:t xml:space="preserve">sa Industrial Area </w:t>
      </w:r>
    </w:p>
    <w:p w14:paraId="6632ED81" w14:textId="6F455719" w:rsidR="00252D3D" w:rsidRPr="002B568A" w:rsidRDefault="00252D3D" w:rsidP="00B12DD0">
      <w:pPr>
        <w:autoSpaceDE w:val="0"/>
        <w:autoSpaceDN w:val="0"/>
        <w:spacing w:line="240" w:lineRule="auto"/>
        <w:rPr>
          <w:szCs w:val="22"/>
        </w:rPr>
      </w:pPr>
      <w:r w:rsidRPr="002B568A">
        <w:rPr>
          <w:szCs w:val="22"/>
        </w:rPr>
        <w:t>Laris</w:t>
      </w:r>
      <w:r w:rsidR="00D57B95">
        <w:rPr>
          <w:szCs w:val="22"/>
        </w:rPr>
        <w:t>s</w:t>
      </w:r>
      <w:r w:rsidRPr="002B568A">
        <w:rPr>
          <w:szCs w:val="22"/>
        </w:rPr>
        <w:t xml:space="preserve">a, </w:t>
      </w:r>
      <w:r w:rsidR="0008702C" w:rsidRPr="002B568A">
        <w:rPr>
          <w:szCs w:val="22"/>
        </w:rPr>
        <w:t>41</w:t>
      </w:r>
      <w:r w:rsidR="0008702C">
        <w:rPr>
          <w:szCs w:val="22"/>
        </w:rPr>
        <w:t>500</w:t>
      </w:r>
    </w:p>
    <w:p w14:paraId="4ACE539E" w14:textId="77777777" w:rsidR="00252D3D" w:rsidRPr="007A17AE" w:rsidRDefault="00252D3D" w:rsidP="00AB59F2">
      <w:pPr>
        <w:spacing w:line="240" w:lineRule="auto"/>
        <w:contextualSpacing/>
        <w:rPr>
          <w:szCs w:val="22"/>
        </w:rPr>
      </w:pPr>
      <w:r w:rsidRPr="007A17AE">
        <w:rPr>
          <w:szCs w:val="22"/>
        </w:rPr>
        <w:t>Graikija</w:t>
      </w:r>
    </w:p>
    <w:p w14:paraId="686AACF6" w14:textId="77777777" w:rsidR="00252D3D" w:rsidRPr="007A17AE" w:rsidRDefault="00252D3D" w:rsidP="00252D3D">
      <w:pPr>
        <w:tabs>
          <w:tab w:val="clear" w:pos="567"/>
        </w:tabs>
        <w:spacing w:line="240" w:lineRule="auto"/>
        <w:contextualSpacing/>
        <w:rPr>
          <w:szCs w:val="22"/>
          <w:lang w:eastAsia="lt-LT"/>
        </w:rPr>
      </w:pPr>
    </w:p>
    <w:p w14:paraId="5F7A4E07" w14:textId="77777777" w:rsidR="00252D3D" w:rsidRPr="007A17AE" w:rsidRDefault="00252D3D" w:rsidP="00252D3D">
      <w:pPr>
        <w:tabs>
          <w:tab w:val="clear" w:pos="567"/>
        </w:tabs>
        <w:spacing w:line="240" w:lineRule="auto"/>
        <w:contextualSpacing/>
        <w:rPr>
          <w:szCs w:val="22"/>
          <w:lang w:eastAsia="lt-LT"/>
        </w:rPr>
      </w:pPr>
      <w:r w:rsidRPr="007A17AE">
        <w:rPr>
          <w:szCs w:val="22"/>
          <w:lang w:eastAsia="lt-LT"/>
        </w:rPr>
        <w:t>arba</w:t>
      </w:r>
    </w:p>
    <w:p w14:paraId="72105BA0" w14:textId="77777777" w:rsidR="00252D3D" w:rsidRPr="007A17AE" w:rsidRDefault="00252D3D" w:rsidP="00252D3D">
      <w:pPr>
        <w:tabs>
          <w:tab w:val="clear" w:pos="567"/>
        </w:tabs>
        <w:spacing w:line="240" w:lineRule="auto"/>
        <w:contextualSpacing/>
        <w:rPr>
          <w:szCs w:val="22"/>
          <w:lang w:eastAsia="lt-LT"/>
        </w:rPr>
      </w:pPr>
    </w:p>
    <w:p w14:paraId="7897F757" w14:textId="77777777" w:rsidR="00252D3D" w:rsidRDefault="00252D3D" w:rsidP="00252D3D">
      <w:pPr>
        <w:rPr>
          <w:snapToGrid w:val="0"/>
          <w:szCs w:val="22"/>
          <w:lang w:val="nl-NL"/>
        </w:rPr>
      </w:pPr>
      <w:r>
        <w:rPr>
          <w:snapToGrid w:val="0"/>
          <w:szCs w:val="22"/>
        </w:rPr>
        <w:t>Lek Pharmaceuticals d.d.</w:t>
      </w:r>
    </w:p>
    <w:p w14:paraId="78F8CC4C" w14:textId="77777777" w:rsidR="00252D3D" w:rsidRDefault="00252D3D" w:rsidP="00252D3D">
      <w:pPr>
        <w:rPr>
          <w:snapToGrid w:val="0"/>
          <w:szCs w:val="22"/>
        </w:rPr>
      </w:pPr>
      <w:r>
        <w:rPr>
          <w:snapToGrid w:val="0"/>
          <w:szCs w:val="22"/>
        </w:rPr>
        <w:lastRenderedPageBreak/>
        <w:t xml:space="preserve">Verovškova ulica 57 </w:t>
      </w:r>
    </w:p>
    <w:p w14:paraId="7BC27E03" w14:textId="77777777" w:rsidR="00252D3D" w:rsidRDefault="00252D3D" w:rsidP="00252D3D">
      <w:pPr>
        <w:rPr>
          <w:snapToGrid w:val="0"/>
          <w:szCs w:val="22"/>
        </w:rPr>
      </w:pPr>
      <w:r>
        <w:rPr>
          <w:snapToGrid w:val="0"/>
          <w:szCs w:val="22"/>
        </w:rPr>
        <w:t>1526, Ljubljana</w:t>
      </w:r>
    </w:p>
    <w:p w14:paraId="6F692369" w14:textId="128BA978" w:rsidR="00252D3D" w:rsidRDefault="00252D3D" w:rsidP="00252D3D">
      <w:pPr>
        <w:rPr>
          <w:snapToGrid w:val="0"/>
          <w:szCs w:val="22"/>
        </w:rPr>
      </w:pPr>
      <w:r>
        <w:rPr>
          <w:snapToGrid w:val="0"/>
          <w:szCs w:val="22"/>
        </w:rPr>
        <w:t>Slovėnija</w:t>
      </w:r>
    </w:p>
    <w:p w14:paraId="6C65FFA1" w14:textId="77777777" w:rsidR="00C27A4E" w:rsidRPr="007A17AE" w:rsidRDefault="00C27A4E" w:rsidP="007A17AE">
      <w:pPr>
        <w:tabs>
          <w:tab w:val="clear" w:pos="567"/>
        </w:tabs>
        <w:spacing w:line="240" w:lineRule="auto"/>
        <w:contextualSpacing/>
        <w:rPr>
          <w:szCs w:val="22"/>
          <w:lang w:eastAsia="lt-LT"/>
        </w:rPr>
      </w:pPr>
    </w:p>
    <w:p w14:paraId="200CC09F" w14:textId="77777777" w:rsidR="00114BFB" w:rsidRPr="007A17AE" w:rsidRDefault="00114BFB" w:rsidP="007A17AE">
      <w:pPr>
        <w:tabs>
          <w:tab w:val="clear" w:pos="567"/>
        </w:tabs>
        <w:spacing w:line="240" w:lineRule="auto"/>
        <w:contextualSpacing/>
        <w:rPr>
          <w:szCs w:val="22"/>
          <w:lang w:eastAsia="lt-LT"/>
        </w:rPr>
      </w:pPr>
      <w:r w:rsidRPr="007A17AE">
        <w:rPr>
          <w:szCs w:val="22"/>
          <w:lang w:eastAsia="lt-LT"/>
        </w:rPr>
        <w:t>Jeigu apie šį vaistą norite sužinoti daugiau, kreipkitės į vietinį registruotojo atstovą.</w:t>
      </w:r>
    </w:p>
    <w:p w14:paraId="2446546D" w14:textId="77777777" w:rsidR="00114BFB" w:rsidRPr="007A17AE" w:rsidRDefault="00114BFB" w:rsidP="007A17AE">
      <w:pPr>
        <w:tabs>
          <w:tab w:val="clear" w:pos="567"/>
        </w:tabs>
        <w:spacing w:line="240" w:lineRule="auto"/>
        <w:contextualSpacing/>
        <w:rPr>
          <w:szCs w:val="22"/>
          <w:lang w:eastAsia="lt-LT"/>
        </w:rPr>
      </w:pPr>
    </w:p>
    <w:p w14:paraId="3921AA12" w14:textId="77777777" w:rsidR="00114BFB" w:rsidRPr="007A17AE" w:rsidRDefault="00114BFB" w:rsidP="007A17AE">
      <w:pPr>
        <w:tabs>
          <w:tab w:val="clear" w:pos="567"/>
        </w:tabs>
        <w:spacing w:line="240" w:lineRule="auto"/>
        <w:contextualSpacing/>
        <w:rPr>
          <w:szCs w:val="22"/>
          <w:lang w:eastAsia="lt-LT"/>
        </w:rPr>
      </w:pPr>
      <w:r w:rsidRPr="007A17AE">
        <w:rPr>
          <w:bCs/>
          <w:szCs w:val="22"/>
          <w:lang w:eastAsia="lt-LT"/>
        </w:rPr>
        <w:t>Sandoz Pharmaceuticals d.d. filialas</w:t>
      </w:r>
    </w:p>
    <w:p w14:paraId="51121371" w14:textId="14F6EE57" w:rsidR="00114BFB" w:rsidRPr="007A17AE" w:rsidRDefault="00114BFB" w:rsidP="007A17AE">
      <w:pPr>
        <w:tabs>
          <w:tab w:val="clear" w:pos="567"/>
        </w:tabs>
        <w:spacing w:line="240" w:lineRule="auto"/>
        <w:contextualSpacing/>
        <w:rPr>
          <w:szCs w:val="22"/>
          <w:lang w:eastAsia="lt-LT"/>
        </w:rPr>
      </w:pPr>
      <w:r w:rsidRPr="007A17AE">
        <w:rPr>
          <w:bCs/>
          <w:szCs w:val="22"/>
          <w:lang w:eastAsia="lt-LT"/>
        </w:rPr>
        <w:t>Tel. +370 5 2636037</w:t>
      </w:r>
    </w:p>
    <w:p w14:paraId="716C0634" w14:textId="77777777" w:rsidR="00114BFB" w:rsidRPr="007A17AE" w:rsidRDefault="00114BFB" w:rsidP="007A17AE">
      <w:pPr>
        <w:numPr>
          <w:ilvl w:val="12"/>
          <w:numId w:val="0"/>
        </w:numPr>
        <w:spacing w:line="240" w:lineRule="auto"/>
        <w:ind w:right="-2"/>
        <w:contextualSpacing/>
        <w:rPr>
          <w:snapToGrid w:val="0"/>
        </w:rPr>
      </w:pPr>
    </w:p>
    <w:p w14:paraId="4D9AB204" w14:textId="7CAB0749" w:rsidR="00D33EB4" w:rsidRDefault="00D33EB4" w:rsidP="007A17AE">
      <w:pPr>
        <w:numPr>
          <w:ilvl w:val="12"/>
          <w:numId w:val="0"/>
        </w:numPr>
        <w:spacing w:line="240" w:lineRule="auto"/>
        <w:ind w:right="-2"/>
        <w:contextualSpacing/>
        <w:rPr>
          <w:snapToGrid w:val="0"/>
        </w:rPr>
      </w:pPr>
      <w:r w:rsidRPr="007A17AE">
        <w:rPr>
          <w:b/>
          <w:snapToGrid w:val="0"/>
        </w:rPr>
        <w:t xml:space="preserve">Šis vaistas </w:t>
      </w:r>
      <w:r w:rsidR="00BB5D3C" w:rsidRPr="00B07EFC">
        <w:rPr>
          <w:b/>
        </w:rPr>
        <w:t xml:space="preserve">Europos ekonominės erdvės </w:t>
      </w:r>
      <w:r w:rsidRPr="007A17AE">
        <w:rPr>
          <w:b/>
          <w:snapToGrid w:val="0"/>
        </w:rPr>
        <w:t xml:space="preserve">valstybėse narėse </w:t>
      </w:r>
      <w:r w:rsidR="00BB5D3C">
        <w:rPr>
          <w:b/>
          <w:snapToGrid w:val="0"/>
        </w:rPr>
        <w:t xml:space="preserve">ir </w:t>
      </w:r>
      <w:r w:rsidR="00BB5D3C" w:rsidRPr="007F2E2A">
        <w:rPr>
          <w:b/>
        </w:rPr>
        <w:t xml:space="preserve">Jungtinėje Karalystėje (Šiaurės Airijoje) </w:t>
      </w:r>
      <w:r w:rsidRPr="007A17AE">
        <w:rPr>
          <w:b/>
          <w:snapToGrid w:val="0"/>
        </w:rPr>
        <w:t>registruotas tokiais pavadinimais</w:t>
      </w:r>
      <w:r w:rsidRPr="007A17AE">
        <w:rPr>
          <w:snapToGrid w:val="0"/>
        </w:rPr>
        <w:t>:</w:t>
      </w:r>
    </w:p>
    <w:tbl>
      <w:tblPr>
        <w:tblStyle w:val="Lentelstinklelis"/>
        <w:tblW w:w="0" w:type="auto"/>
        <w:tblLook w:val="04A0" w:firstRow="1" w:lastRow="0" w:firstColumn="1" w:lastColumn="0" w:noHBand="0" w:noVBand="1"/>
      </w:tblPr>
      <w:tblGrid>
        <w:gridCol w:w="4530"/>
        <w:gridCol w:w="4531"/>
      </w:tblGrid>
      <w:tr w:rsidR="00C176DE" w14:paraId="68C8BA04" w14:textId="77777777" w:rsidTr="00710C2F">
        <w:tc>
          <w:tcPr>
            <w:tcW w:w="4530" w:type="dxa"/>
          </w:tcPr>
          <w:p w14:paraId="2A4838F5" w14:textId="1A39C7E0" w:rsidR="00C176DE" w:rsidRDefault="00C176DE" w:rsidP="007A17AE">
            <w:pPr>
              <w:numPr>
                <w:ilvl w:val="12"/>
                <w:numId w:val="0"/>
              </w:numPr>
              <w:spacing w:line="240" w:lineRule="auto"/>
              <w:ind w:right="-2"/>
              <w:contextualSpacing/>
              <w:rPr>
                <w:snapToGrid w:val="0"/>
              </w:rPr>
            </w:pPr>
            <w:r>
              <w:rPr>
                <w:snapToGrid w:val="0"/>
              </w:rPr>
              <w:t>Austrija, Vengrija, Belgija, Bulgarija, Čekija, Danija, Estija, Italija, Kroatija, Lenkija, Latvija, Lietuva, Nyderlandai, Prancūzija, Rumunija, Slovakija, Slovėnija, Švedija</w:t>
            </w:r>
          </w:p>
          <w:p w14:paraId="0665D758" w14:textId="18EF2AC3" w:rsidR="00C176DE" w:rsidRDefault="00C176DE" w:rsidP="00710C2F">
            <w:pPr>
              <w:numPr>
                <w:ilvl w:val="12"/>
                <w:numId w:val="0"/>
              </w:numPr>
              <w:spacing w:line="240" w:lineRule="auto"/>
              <w:ind w:right="-2"/>
              <w:contextualSpacing/>
              <w:rPr>
                <w:snapToGrid w:val="0"/>
              </w:rPr>
            </w:pPr>
          </w:p>
        </w:tc>
        <w:tc>
          <w:tcPr>
            <w:tcW w:w="4531" w:type="dxa"/>
          </w:tcPr>
          <w:p w14:paraId="0C02F6F5" w14:textId="3E43A2D3" w:rsidR="00C176DE" w:rsidRDefault="00C176DE" w:rsidP="00710C2F">
            <w:pPr>
              <w:numPr>
                <w:ilvl w:val="12"/>
                <w:numId w:val="0"/>
              </w:numPr>
              <w:spacing w:line="240" w:lineRule="auto"/>
              <w:ind w:right="-2"/>
              <w:contextualSpacing/>
              <w:rPr>
                <w:snapToGrid w:val="0"/>
              </w:rPr>
            </w:pPr>
            <w:r w:rsidRPr="007A17AE">
              <w:rPr>
                <w:szCs w:val="22"/>
                <w:lang w:eastAsia="lt-LT"/>
              </w:rPr>
              <w:t>Aprepitant Sandoz</w:t>
            </w:r>
          </w:p>
        </w:tc>
      </w:tr>
      <w:tr w:rsidR="00C176DE" w14:paraId="4391C6DE" w14:textId="77777777" w:rsidTr="00710C2F">
        <w:tc>
          <w:tcPr>
            <w:tcW w:w="4530" w:type="dxa"/>
          </w:tcPr>
          <w:p w14:paraId="77952150" w14:textId="049DCE04" w:rsidR="00C176DE" w:rsidRDefault="00C176DE" w:rsidP="00710C2F">
            <w:pPr>
              <w:numPr>
                <w:ilvl w:val="12"/>
                <w:numId w:val="0"/>
              </w:numPr>
              <w:spacing w:line="240" w:lineRule="auto"/>
              <w:ind w:right="-2"/>
              <w:contextualSpacing/>
              <w:rPr>
                <w:snapToGrid w:val="0"/>
              </w:rPr>
            </w:pPr>
            <w:r>
              <w:rPr>
                <w:snapToGrid w:val="0"/>
              </w:rPr>
              <w:t>Vokietija</w:t>
            </w:r>
          </w:p>
        </w:tc>
        <w:tc>
          <w:tcPr>
            <w:tcW w:w="4531" w:type="dxa"/>
          </w:tcPr>
          <w:p w14:paraId="2F2BEF8D" w14:textId="4DC9E328" w:rsidR="00C176DE" w:rsidRDefault="00C176DE" w:rsidP="00710C2F">
            <w:pPr>
              <w:numPr>
                <w:ilvl w:val="12"/>
                <w:numId w:val="0"/>
              </w:numPr>
              <w:spacing w:line="240" w:lineRule="auto"/>
              <w:ind w:right="-2"/>
              <w:contextualSpacing/>
              <w:rPr>
                <w:snapToGrid w:val="0"/>
              </w:rPr>
            </w:pPr>
            <w:r w:rsidRPr="007A17AE">
              <w:rPr>
                <w:szCs w:val="22"/>
                <w:lang w:eastAsia="lt-LT"/>
              </w:rPr>
              <w:t>Aprepitant HEXAL</w:t>
            </w:r>
          </w:p>
        </w:tc>
      </w:tr>
      <w:tr w:rsidR="00C176DE" w14:paraId="6B94AE72" w14:textId="77777777" w:rsidTr="00C176DE">
        <w:tc>
          <w:tcPr>
            <w:tcW w:w="4530" w:type="dxa"/>
          </w:tcPr>
          <w:p w14:paraId="4A8719E6" w14:textId="22AC55F7" w:rsidR="00C176DE" w:rsidRDefault="00C176DE" w:rsidP="00C176DE">
            <w:pPr>
              <w:numPr>
                <w:ilvl w:val="12"/>
                <w:numId w:val="0"/>
              </w:numPr>
              <w:spacing w:line="240" w:lineRule="auto"/>
              <w:ind w:right="-2"/>
              <w:contextualSpacing/>
              <w:rPr>
                <w:snapToGrid w:val="0"/>
              </w:rPr>
            </w:pPr>
            <w:r w:rsidRPr="007A17AE">
              <w:rPr>
                <w:szCs w:val="22"/>
                <w:lang w:eastAsia="lt-LT"/>
              </w:rPr>
              <w:t>Jungtinė Karalystė</w:t>
            </w:r>
          </w:p>
        </w:tc>
        <w:tc>
          <w:tcPr>
            <w:tcW w:w="4531" w:type="dxa"/>
          </w:tcPr>
          <w:p w14:paraId="3BF971EF" w14:textId="56BD76E9" w:rsidR="00C176DE" w:rsidRDefault="00C176DE" w:rsidP="00C176DE">
            <w:pPr>
              <w:numPr>
                <w:ilvl w:val="12"/>
                <w:numId w:val="0"/>
              </w:numPr>
              <w:spacing w:line="240" w:lineRule="auto"/>
              <w:ind w:right="-2"/>
              <w:contextualSpacing/>
              <w:rPr>
                <w:snapToGrid w:val="0"/>
              </w:rPr>
            </w:pPr>
            <w:r w:rsidRPr="007A17AE">
              <w:rPr>
                <w:szCs w:val="22"/>
                <w:lang w:eastAsia="lt-LT"/>
              </w:rPr>
              <w:t>Aprepitant</w:t>
            </w:r>
          </w:p>
        </w:tc>
      </w:tr>
    </w:tbl>
    <w:p w14:paraId="064F9503" w14:textId="77777777" w:rsidR="00C176DE" w:rsidRPr="007A17AE" w:rsidRDefault="00C176DE" w:rsidP="00710C2F">
      <w:pPr>
        <w:numPr>
          <w:ilvl w:val="12"/>
          <w:numId w:val="0"/>
        </w:numPr>
        <w:spacing w:line="240" w:lineRule="auto"/>
        <w:ind w:right="-2"/>
        <w:contextualSpacing/>
        <w:rPr>
          <w:snapToGrid w:val="0"/>
        </w:rPr>
      </w:pPr>
    </w:p>
    <w:p w14:paraId="6693F223" w14:textId="522B5E54" w:rsidR="00D33EB4" w:rsidRPr="007A17AE" w:rsidRDefault="00D33EB4" w:rsidP="007A17AE">
      <w:pPr>
        <w:numPr>
          <w:ilvl w:val="12"/>
          <w:numId w:val="0"/>
        </w:numPr>
        <w:tabs>
          <w:tab w:val="clear" w:pos="567"/>
        </w:tabs>
        <w:spacing w:line="240" w:lineRule="auto"/>
        <w:ind w:right="-2"/>
        <w:contextualSpacing/>
        <w:rPr>
          <w:b/>
          <w:snapToGrid w:val="0"/>
        </w:rPr>
      </w:pPr>
      <w:r w:rsidRPr="007A17AE">
        <w:rPr>
          <w:b/>
          <w:snapToGrid w:val="0"/>
        </w:rPr>
        <w:t xml:space="preserve">Šis pakuotės lapelis paskutinį kartą peržiūrėtas </w:t>
      </w:r>
      <w:r w:rsidR="00B04F24">
        <w:rPr>
          <w:b/>
          <w:snapToGrid w:val="0"/>
        </w:rPr>
        <w:t>202</w:t>
      </w:r>
      <w:r w:rsidR="003C1425">
        <w:rPr>
          <w:b/>
          <w:snapToGrid w:val="0"/>
        </w:rPr>
        <w:t>4-04-25.</w:t>
      </w:r>
    </w:p>
    <w:p w14:paraId="54BD1AAE" w14:textId="77777777" w:rsidR="00D33EB4" w:rsidRPr="007A17AE" w:rsidRDefault="00D33EB4" w:rsidP="007A17AE">
      <w:pPr>
        <w:numPr>
          <w:ilvl w:val="12"/>
          <w:numId w:val="0"/>
        </w:numPr>
        <w:spacing w:line="240" w:lineRule="auto"/>
        <w:ind w:right="-2"/>
        <w:contextualSpacing/>
        <w:rPr>
          <w:i/>
          <w:snapToGrid w:val="0"/>
          <w:szCs w:val="24"/>
        </w:rPr>
      </w:pPr>
    </w:p>
    <w:p w14:paraId="75B5699D" w14:textId="77777777" w:rsidR="00D33EB4" w:rsidRPr="007A17AE" w:rsidRDefault="00D33EB4" w:rsidP="007A17AE">
      <w:pPr>
        <w:numPr>
          <w:ilvl w:val="12"/>
          <w:numId w:val="0"/>
        </w:numPr>
        <w:spacing w:line="240" w:lineRule="auto"/>
        <w:ind w:right="-2"/>
        <w:contextualSpacing/>
        <w:rPr>
          <w:snapToGrid w:val="0"/>
          <w:szCs w:val="24"/>
        </w:rPr>
      </w:pPr>
      <w:r w:rsidRPr="007A17AE">
        <w:rPr>
          <w:snapToGrid w:val="0"/>
        </w:rPr>
        <w:t xml:space="preserve">Išsami informacija apie šį </w:t>
      </w:r>
      <w:r w:rsidRPr="007A17AE">
        <w:rPr>
          <w:snapToGrid w:val="0"/>
          <w:szCs w:val="24"/>
        </w:rPr>
        <w:t>vaistą</w:t>
      </w:r>
      <w:r w:rsidRPr="007A17AE">
        <w:rPr>
          <w:snapToGrid w:val="0"/>
        </w:rPr>
        <w:t xml:space="preserve"> pateikiama Valstybinės vaistų kontrolės tarnybos prie Lietuvos Respublikos sveikatos apsaugos ministerijos tinklalapyje</w:t>
      </w:r>
      <w:r w:rsidRPr="007A17AE">
        <w:rPr>
          <w:i/>
          <w:snapToGrid w:val="0"/>
          <w:szCs w:val="24"/>
        </w:rPr>
        <w:t xml:space="preserve"> </w:t>
      </w:r>
      <w:hyperlink r:id="rId11" w:history="1">
        <w:r w:rsidRPr="007A17AE">
          <w:rPr>
            <w:rFonts w:eastAsia="SimSun"/>
            <w:snapToGrid w:val="0"/>
            <w:color w:val="0000FF"/>
            <w:u w:val="single"/>
          </w:rPr>
          <w:t>http://www.vvkt.lt/</w:t>
        </w:r>
      </w:hyperlink>
      <w:r w:rsidRPr="007A17AE">
        <w:rPr>
          <w:snapToGrid w:val="0"/>
        </w:rPr>
        <w:t>.</w:t>
      </w:r>
    </w:p>
    <w:p w14:paraId="4BA19529" w14:textId="77777777" w:rsidR="00D33EB4" w:rsidRPr="007A17AE" w:rsidRDefault="00D33EB4" w:rsidP="00710C2F">
      <w:pPr>
        <w:numPr>
          <w:ilvl w:val="12"/>
          <w:numId w:val="0"/>
        </w:numPr>
        <w:spacing w:line="240" w:lineRule="auto"/>
        <w:ind w:right="-2"/>
        <w:contextualSpacing/>
        <w:rPr>
          <w:szCs w:val="22"/>
        </w:rPr>
      </w:pPr>
    </w:p>
    <w:sectPr w:rsidR="00D33EB4" w:rsidRPr="007A17AE" w:rsidSect="005B2EE3">
      <w:headerReference w:type="default" r:id="rId12"/>
      <w:footerReference w:type="defaul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13AE1" w14:textId="77777777" w:rsidR="003C1425" w:rsidRDefault="003C1425" w:rsidP="00901B3F">
      <w:r>
        <w:separator/>
      </w:r>
    </w:p>
  </w:endnote>
  <w:endnote w:type="continuationSeparator" w:id="0">
    <w:p w14:paraId="3765E9C4" w14:textId="77777777" w:rsidR="003C1425" w:rsidRDefault="003C1425" w:rsidP="00901B3F">
      <w:r>
        <w:continuationSeparator/>
      </w:r>
    </w:p>
  </w:endnote>
  <w:endnote w:type="continuationNotice" w:id="1">
    <w:p w14:paraId="4DCAC15D" w14:textId="77777777" w:rsidR="003C1425" w:rsidRDefault="003C14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Bold">
    <w:altName w:val="Yu Gothic UI"/>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38DAA" w14:textId="004A65F8" w:rsidR="00BF57E0" w:rsidRDefault="00BF57E0">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C32A0E">
      <w:rPr>
        <w:rStyle w:val="Puslapionumeris"/>
        <w:rFonts w:cs="Arial"/>
      </w:rPr>
      <w:t>19</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2D541" w14:textId="66F0F2BA" w:rsidR="00BF57E0" w:rsidRDefault="00BF57E0">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C32A0E">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274A7" w14:textId="77777777" w:rsidR="003C1425" w:rsidRDefault="003C1425" w:rsidP="00901B3F">
      <w:r>
        <w:separator/>
      </w:r>
    </w:p>
  </w:footnote>
  <w:footnote w:type="continuationSeparator" w:id="0">
    <w:p w14:paraId="557210A6" w14:textId="77777777" w:rsidR="003C1425" w:rsidRDefault="003C1425" w:rsidP="00901B3F">
      <w:r>
        <w:continuationSeparator/>
      </w:r>
    </w:p>
  </w:footnote>
  <w:footnote w:type="continuationNotice" w:id="1">
    <w:p w14:paraId="4CF3F852" w14:textId="77777777" w:rsidR="003C1425" w:rsidRDefault="003C142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D60A8" w14:textId="77777777" w:rsidR="00901B3F" w:rsidRDefault="00901B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B6877"/>
    <w:multiLevelType w:val="hybridMultilevel"/>
    <w:tmpl w:val="F7785AA8"/>
    <w:lvl w:ilvl="0" w:tplc="FE7A5C8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831C73"/>
    <w:multiLevelType w:val="hybridMultilevel"/>
    <w:tmpl w:val="0D4695E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4166DA"/>
    <w:multiLevelType w:val="hybridMultilevel"/>
    <w:tmpl w:val="0EF29A0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5C42F5"/>
    <w:multiLevelType w:val="hybridMultilevel"/>
    <w:tmpl w:val="CB5C1C1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394E8B"/>
    <w:multiLevelType w:val="hybridMultilevel"/>
    <w:tmpl w:val="C3AAC20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B438F4"/>
    <w:multiLevelType w:val="hybridMultilevel"/>
    <w:tmpl w:val="3BB85EEC"/>
    <w:lvl w:ilvl="0" w:tplc="FE7A5C8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60645B"/>
    <w:multiLevelType w:val="hybridMultilevel"/>
    <w:tmpl w:val="EFE255A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743F27"/>
    <w:multiLevelType w:val="hybridMultilevel"/>
    <w:tmpl w:val="D2B4BF92"/>
    <w:lvl w:ilvl="0" w:tplc="CBB44DD6">
      <w:start w:val="20"/>
      <w:numFmt w:val="bullet"/>
      <w:lvlText w:val="-"/>
      <w:lvlJc w:val="left"/>
      <w:pPr>
        <w:ind w:left="720" w:hanging="360"/>
      </w:pPr>
      <w:rPr>
        <w:rFonts w:ascii="Arial" w:eastAsia="SimSu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E01516"/>
    <w:multiLevelType w:val="hybridMultilevel"/>
    <w:tmpl w:val="5B30BAA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3963B3D"/>
    <w:multiLevelType w:val="hybridMultilevel"/>
    <w:tmpl w:val="7F660E3A"/>
    <w:lvl w:ilvl="0" w:tplc="CBB44DD6">
      <w:start w:val="20"/>
      <w:numFmt w:val="bullet"/>
      <w:lvlText w:val="-"/>
      <w:lvlJc w:val="left"/>
      <w:pPr>
        <w:ind w:left="359" w:hanging="360"/>
      </w:pPr>
      <w:rPr>
        <w:rFonts w:ascii="Arial" w:eastAsia="SimSun" w:hAnsi="Arial" w:cs="Arial" w:hint="default"/>
      </w:rPr>
    </w:lvl>
    <w:lvl w:ilvl="1" w:tplc="04270003" w:tentative="1">
      <w:start w:val="1"/>
      <w:numFmt w:val="bullet"/>
      <w:lvlText w:val="o"/>
      <w:lvlJc w:val="left"/>
      <w:pPr>
        <w:ind w:left="1079" w:hanging="360"/>
      </w:pPr>
      <w:rPr>
        <w:rFonts w:ascii="Courier New" w:hAnsi="Courier New" w:cs="Courier New" w:hint="default"/>
      </w:rPr>
    </w:lvl>
    <w:lvl w:ilvl="2" w:tplc="04270005" w:tentative="1">
      <w:start w:val="1"/>
      <w:numFmt w:val="bullet"/>
      <w:lvlText w:val=""/>
      <w:lvlJc w:val="left"/>
      <w:pPr>
        <w:ind w:left="1799" w:hanging="360"/>
      </w:pPr>
      <w:rPr>
        <w:rFonts w:ascii="Wingdings" w:hAnsi="Wingdings" w:hint="default"/>
      </w:rPr>
    </w:lvl>
    <w:lvl w:ilvl="3" w:tplc="04270001" w:tentative="1">
      <w:start w:val="1"/>
      <w:numFmt w:val="bullet"/>
      <w:lvlText w:val=""/>
      <w:lvlJc w:val="left"/>
      <w:pPr>
        <w:ind w:left="2519" w:hanging="360"/>
      </w:pPr>
      <w:rPr>
        <w:rFonts w:ascii="Symbol" w:hAnsi="Symbol" w:hint="default"/>
      </w:rPr>
    </w:lvl>
    <w:lvl w:ilvl="4" w:tplc="04270003" w:tentative="1">
      <w:start w:val="1"/>
      <w:numFmt w:val="bullet"/>
      <w:lvlText w:val="o"/>
      <w:lvlJc w:val="left"/>
      <w:pPr>
        <w:ind w:left="3239" w:hanging="360"/>
      </w:pPr>
      <w:rPr>
        <w:rFonts w:ascii="Courier New" w:hAnsi="Courier New" w:cs="Courier New" w:hint="default"/>
      </w:rPr>
    </w:lvl>
    <w:lvl w:ilvl="5" w:tplc="04270005" w:tentative="1">
      <w:start w:val="1"/>
      <w:numFmt w:val="bullet"/>
      <w:lvlText w:val=""/>
      <w:lvlJc w:val="left"/>
      <w:pPr>
        <w:ind w:left="3959" w:hanging="360"/>
      </w:pPr>
      <w:rPr>
        <w:rFonts w:ascii="Wingdings" w:hAnsi="Wingdings" w:hint="default"/>
      </w:rPr>
    </w:lvl>
    <w:lvl w:ilvl="6" w:tplc="04270001" w:tentative="1">
      <w:start w:val="1"/>
      <w:numFmt w:val="bullet"/>
      <w:lvlText w:val=""/>
      <w:lvlJc w:val="left"/>
      <w:pPr>
        <w:ind w:left="4679" w:hanging="360"/>
      </w:pPr>
      <w:rPr>
        <w:rFonts w:ascii="Symbol" w:hAnsi="Symbol" w:hint="default"/>
      </w:rPr>
    </w:lvl>
    <w:lvl w:ilvl="7" w:tplc="04270003" w:tentative="1">
      <w:start w:val="1"/>
      <w:numFmt w:val="bullet"/>
      <w:lvlText w:val="o"/>
      <w:lvlJc w:val="left"/>
      <w:pPr>
        <w:ind w:left="5399" w:hanging="360"/>
      </w:pPr>
      <w:rPr>
        <w:rFonts w:ascii="Courier New" w:hAnsi="Courier New" w:cs="Courier New" w:hint="default"/>
      </w:rPr>
    </w:lvl>
    <w:lvl w:ilvl="8" w:tplc="04270005" w:tentative="1">
      <w:start w:val="1"/>
      <w:numFmt w:val="bullet"/>
      <w:lvlText w:val=""/>
      <w:lvlJc w:val="left"/>
      <w:pPr>
        <w:ind w:left="6119" w:hanging="360"/>
      </w:pPr>
      <w:rPr>
        <w:rFonts w:ascii="Wingdings" w:hAnsi="Wingdings" w:hint="default"/>
      </w:rPr>
    </w:lvl>
  </w:abstractNum>
  <w:abstractNum w:abstractNumId="11" w15:restartNumberingAfterBreak="0">
    <w:nsid w:val="36D261F7"/>
    <w:multiLevelType w:val="hybridMultilevel"/>
    <w:tmpl w:val="3622489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D3F67F0"/>
    <w:multiLevelType w:val="hybridMultilevel"/>
    <w:tmpl w:val="7B48E83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51734E4"/>
    <w:multiLevelType w:val="hybridMultilevel"/>
    <w:tmpl w:val="F2181D8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943516A"/>
    <w:multiLevelType w:val="hybridMultilevel"/>
    <w:tmpl w:val="B5143560"/>
    <w:lvl w:ilvl="0" w:tplc="CBB44DD6">
      <w:start w:val="20"/>
      <w:numFmt w:val="bullet"/>
      <w:lvlText w:val="-"/>
      <w:lvlJc w:val="left"/>
      <w:pPr>
        <w:ind w:left="720" w:hanging="360"/>
      </w:pPr>
      <w:rPr>
        <w:rFonts w:ascii="Arial" w:eastAsia="SimSu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983755F"/>
    <w:multiLevelType w:val="hybridMultilevel"/>
    <w:tmpl w:val="38F207D6"/>
    <w:lvl w:ilvl="0" w:tplc="CBB44DD6">
      <w:start w:val="20"/>
      <w:numFmt w:val="bullet"/>
      <w:lvlText w:val="-"/>
      <w:lvlJc w:val="left"/>
      <w:pPr>
        <w:ind w:left="359" w:hanging="360"/>
      </w:pPr>
      <w:rPr>
        <w:rFonts w:ascii="Arial" w:eastAsia="SimSu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C522F78"/>
    <w:multiLevelType w:val="hybridMultilevel"/>
    <w:tmpl w:val="A7CAA398"/>
    <w:lvl w:ilvl="0" w:tplc="CBB44DD6">
      <w:start w:val="20"/>
      <w:numFmt w:val="bullet"/>
      <w:lvlText w:val="-"/>
      <w:lvlJc w:val="left"/>
      <w:pPr>
        <w:ind w:left="720" w:hanging="360"/>
      </w:pPr>
      <w:rPr>
        <w:rFonts w:ascii="Arial" w:eastAsia="SimSu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50F60A8"/>
    <w:multiLevelType w:val="hybridMultilevel"/>
    <w:tmpl w:val="C3B81A60"/>
    <w:lvl w:ilvl="0" w:tplc="FE7A5C8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5B600B0"/>
    <w:multiLevelType w:val="hybridMultilevel"/>
    <w:tmpl w:val="1090D0DA"/>
    <w:lvl w:ilvl="0" w:tplc="FE7A5C8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0" w15:restartNumberingAfterBreak="0">
    <w:nsid w:val="60FA17E2"/>
    <w:multiLevelType w:val="hybridMultilevel"/>
    <w:tmpl w:val="F7EC9E56"/>
    <w:lvl w:ilvl="0" w:tplc="0809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21" w15:restartNumberingAfterBreak="0">
    <w:nsid w:val="737E759D"/>
    <w:multiLevelType w:val="hybridMultilevel"/>
    <w:tmpl w:val="8FE24DA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FB42D1"/>
    <w:multiLevelType w:val="hybridMultilevel"/>
    <w:tmpl w:val="BFEEA3D6"/>
    <w:lvl w:ilvl="0" w:tplc="A93E58C4">
      <w:numFmt w:val="bullet"/>
      <w:lvlText w:val=""/>
      <w:lvlJc w:val="left"/>
      <w:pPr>
        <w:ind w:left="359" w:hanging="360"/>
      </w:pPr>
      <w:rPr>
        <w:rFonts w:ascii="Symbol" w:eastAsia="SimSun" w:hAnsi="Symbol" w:cs="Times New Roman" w:hint="default"/>
      </w:rPr>
    </w:lvl>
    <w:lvl w:ilvl="1" w:tplc="04270003" w:tentative="1">
      <w:start w:val="1"/>
      <w:numFmt w:val="bullet"/>
      <w:lvlText w:val="o"/>
      <w:lvlJc w:val="left"/>
      <w:pPr>
        <w:ind w:left="1079" w:hanging="360"/>
      </w:pPr>
      <w:rPr>
        <w:rFonts w:ascii="Courier New" w:hAnsi="Courier New" w:cs="Courier New" w:hint="default"/>
      </w:rPr>
    </w:lvl>
    <w:lvl w:ilvl="2" w:tplc="04270005" w:tentative="1">
      <w:start w:val="1"/>
      <w:numFmt w:val="bullet"/>
      <w:lvlText w:val=""/>
      <w:lvlJc w:val="left"/>
      <w:pPr>
        <w:ind w:left="1799" w:hanging="360"/>
      </w:pPr>
      <w:rPr>
        <w:rFonts w:ascii="Wingdings" w:hAnsi="Wingdings" w:hint="default"/>
      </w:rPr>
    </w:lvl>
    <w:lvl w:ilvl="3" w:tplc="04270001" w:tentative="1">
      <w:start w:val="1"/>
      <w:numFmt w:val="bullet"/>
      <w:lvlText w:val=""/>
      <w:lvlJc w:val="left"/>
      <w:pPr>
        <w:ind w:left="2519" w:hanging="360"/>
      </w:pPr>
      <w:rPr>
        <w:rFonts w:ascii="Symbol" w:hAnsi="Symbol" w:hint="default"/>
      </w:rPr>
    </w:lvl>
    <w:lvl w:ilvl="4" w:tplc="04270003" w:tentative="1">
      <w:start w:val="1"/>
      <w:numFmt w:val="bullet"/>
      <w:lvlText w:val="o"/>
      <w:lvlJc w:val="left"/>
      <w:pPr>
        <w:ind w:left="3239" w:hanging="360"/>
      </w:pPr>
      <w:rPr>
        <w:rFonts w:ascii="Courier New" w:hAnsi="Courier New" w:cs="Courier New" w:hint="default"/>
      </w:rPr>
    </w:lvl>
    <w:lvl w:ilvl="5" w:tplc="04270005" w:tentative="1">
      <w:start w:val="1"/>
      <w:numFmt w:val="bullet"/>
      <w:lvlText w:val=""/>
      <w:lvlJc w:val="left"/>
      <w:pPr>
        <w:ind w:left="3959" w:hanging="360"/>
      </w:pPr>
      <w:rPr>
        <w:rFonts w:ascii="Wingdings" w:hAnsi="Wingdings" w:hint="default"/>
      </w:rPr>
    </w:lvl>
    <w:lvl w:ilvl="6" w:tplc="04270001" w:tentative="1">
      <w:start w:val="1"/>
      <w:numFmt w:val="bullet"/>
      <w:lvlText w:val=""/>
      <w:lvlJc w:val="left"/>
      <w:pPr>
        <w:ind w:left="4679" w:hanging="360"/>
      </w:pPr>
      <w:rPr>
        <w:rFonts w:ascii="Symbol" w:hAnsi="Symbol" w:hint="default"/>
      </w:rPr>
    </w:lvl>
    <w:lvl w:ilvl="7" w:tplc="04270003" w:tentative="1">
      <w:start w:val="1"/>
      <w:numFmt w:val="bullet"/>
      <w:lvlText w:val="o"/>
      <w:lvlJc w:val="left"/>
      <w:pPr>
        <w:ind w:left="5399" w:hanging="360"/>
      </w:pPr>
      <w:rPr>
        <w:rFonts w:ascii="Courier New" w:hAnsi="Courier New" w:cs="Courier New" w:hint="default"/>
      </w:rPr>
    </w:lvl>
    <w:lvl w:ilvl="8" w:tplc="04270005" w:tentative="1">
      <w:start w:val="1"/>
      <w:numFmt w:val="bullet"/>
      <w:lvlText w:val=""/>
      <w:lvlJc w:val="left"/>
      <w:pPr>
        <w:ind w:left="6119" w:hanging="360"/>
      </w:pPr>
      <w:rPr>
        <w:rFonts w:ascii="Wingdings" w:hAnsi="Wingdings" w:hint="default"/>
      </w:rPr>
    </w:lvl>
  </w:abstractNum>
  <w:abstractNum w:abstractNumId="23" w15:restartNumberingAfterBreak="0">
    <w:nsid w:val="76060917"/>
    <w:multiLevelType w:val="hybridMultilevel"/>
    <w:tmpl w:val="AEDA5A26"/>
    <w:lvl w:ilvl="0" w:tplc="03E47A94">
      <w:numFmt w:val="bullet"/>
      <w:lvlText w:val="-"/>
      <w:lvlJc w:val="left"/>
      <w:pPr>
        <w:ind w:left="1636"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80E06CC"/>
    <w:multiLevelType w:val="hybridMultilevel"/>
    <w:tmpl w:val="F488C20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824416B"/>
    <w:multiLevelType w:val="hybridMultilevel"/>
    <w:tmpl w:val="CBCE4B1E"/>
    <w:lvl w:ilvl="0" w:tplc="CBB44DD6">
      <w:start w:val="20"/>
      <w:numFmt w:val="bullet"/>
      <w:lvlText w:val="-"/>
      <w:lvlJc w:val="left"/>
      <w:pPr>
        <w:ind w:left="720" w:hanging="360"/>
      </w:pPr>
      <w:rPr>
        <w:rFonts w:ascii="Arial" w:eastAsia="SimSu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0"/>
    <w:lvlOverride w:ilvl="0">
      <w:lvl w:ilvl="0">
        <w:start w:val="1"/>
        <w:numFmt w:val="bullet"/>
        <w:lvlText w:val="-"/>
        <w:lvlJc w:val="left"/>
        <w:pPr>
          <w:ind w:left="720" w:hanging="360"/>
        </w:pPr>
      </w:lvl>
    </w:lvlOverride>
  </w:num>
  <w:num w:numId="2">
    <w:abstractNumId w:val="19"/>
  </w:num>
  <w:num w:numId="3">
    <w:abstractNumId w:val="26"/>
  </w:num>
  <w:num w:numId="4">
    <w:abstractNumId w:val="22"/>
  </w:num>
  <w:num w:numId="5">
    <w:abstractNumId w:val="20"/>
  </w:num>
  <w:num w:numId="6">
    <w:abstractNumId w:val="7"/>
  </w:num>
  <w:num w:numId="7">
    <w:abstractNumId w:val="17"/>
  </w:num>
  <w:num w:numId="8">
    <w:abstractNumId w:val="6"/>
  </w:num>
  <w:num w:numId="9">
    <w:abstractNumId w:val="18"/>
  </w:num>
  <w:num w:numId="10">
    <w:abstractNumId w:val="1"/>
  </w:num>
  <w:num w:numId="11">
    <w:abstractNumId w:val="11"/>
  </w:num>
  <w:num w:numId="12">
    <w:abstractNumId w:val="24"/>
  </w:num>
  <w:num w:numId="13">
    <w:abstractNumId w:val="10"/>
  </w:num>
  <w:num w:numId="14">
    <w:abstractNumId w:val="15"/>
  </w:num>
  <w:num w:numId="15">
    <w:abstractNumId w:val="16"/>
  </w:num>
  <w:num w:numId="16">
    <w:abstractNumId w:val="25"/>
  </w:num>
  <w:num w:numId="17">
    <w:abstractNumId w:val="8"/>
  </w:num>
  <w:num w:numId="18">
    <w:abstractNumId w:val="14"/>
  </w:num>
  <w:num w:numId="19">
    <w:abstractNumId w:val="12"/>
  </w:num>
  <w:num w:numId="20">
    <w:abstractNumId w:val="5"/>
  </w:num>
  <w:num w:numId="21">
    <w:abstractNumId w:val="9"/>
  </w:num>
  <w:num w:numId="22">
    <w:abstractNumId w:val="23"/>
  </w:num>
  <w:num w:numId="23">
    <w:abstractNumId w:val="4"/>
  </w:num>
  <w:num w:numId="24">
    <w:abstractNumId w:val="13"/>
  </w:num>
  <w:num w:numId="25">
    <w:abstractNumId w:val="2"/>
  </w:num>
  <w:num w:numId="26">
    <w:abstractNumId w:val="21"/>
  </w:num>
  <w:num w:numId="2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396"/>
  <w:displayHorizontalDrawingGridEvery w:val="0"/>
  <w:displayVerticalDrawingGridEvery w:val="0"/>
  <w:doNotUseMarginsForDrawingGridOrigin/>
  <w:noPunctuationKerning/>
  <w:characterSpacingControl w:val="doNotCompress"/>
  <w:savePreviewPicture/>
  <w:hdrShapeDefaults>
    <o:shapedefaults v:ext="edit" spidmax="8193"/>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1C3E"/>
    <w:rsid w:val="000026D2"/>
    <w:rsid w:val="0000362A"/>
    <w:rsid w:val="00003884"/>
    <w:rsid w:val="000050DA"/>
    <w:rsid w:val="00005701"/>
    <w:rsid w:val="00005BFC"/>
    <w:rsid w:val="00005DAC"/>
    <w:rsid w:val="00007528"/>
    <w:rsid w:val="00010905"/>
    <w:rsid w:val="0001164F"/>
    <w:rsid w:val="0001218B"/>
    <w:rsid w:val="00012292"/>
    <w:rsid w:val="00012E67"/>
    <w:rsid w:val="000143D2"/>
    <w:rsid w:val="0001475C"/>
    <w:rsid w:val="00014869"/>
    <w:rsid w:val="000150D3"/>
    <w:rsid w:val="000166C1"/>
    <w:rsid w:val="00016CC0"/>
    <w:rsid w:val="000179EB"/>
    <w:rsid w:val="0002006B"/>
    <w:rsid w:val="00020AE8"/>
    <w:rsid w:val="00021945"/>
    <w:rsid w:val="00021E9C"/>
    <w:rsid w:val="00023A2C"/>
    <w:rsid w:val="00025AB4"/>
    <w:rsid w:val="00025EBE"/>
    <w:rsid w:val="00026BE0"/>
    <w:rsid w:val="00026BF2"/>
    <w:rsid w:val="00027036"/>
    <w:rsid w:val="000271F6"/>
    <w:rsid w:val="00030445"/>
    <w:rsid w:val="00030BF3"/>
    <w:rsid w:val="000318C7"/>
    <w:rsid w:val="00031B2C"/>
    <w:rsid w:val="00033D26"/>
    <w:rsid w:val="00033FDB"/>
    <w:rsid w:val="000344F6"/>
    <w:rsid w:val="00040138"/>
    <w:rsid w:val="0004026D"/>
    <w:rsid w:val="00040554"/>
    <w:rsid w:val="000406FD"/>
    <w:rsid w:val="000417EB"/>
    <w:rsid w:val="00041B98"/>
    <w:rsid w:val="00042263"/>
    <w:rsid w:val="000427FC"/>
    <w:rsid w:val="00043505"/>
    <w:rsid w:val="00043C70"/>
    <w:rsid w:val="00044042"/>
    <w:rsid w:val="00044B85"/>
    <w:rsid w:val="00044F14"/>
    <w:rsid w:val="000474D2"/>
    <w:rsid w:val="000479C5"/>
    <w:rsid w:val="00050DFD"/>
    <w:rsid w:val="00053809"/>
    <w:rsid w:val="0005384B"/>
    <w:rsid w:val="00053914"/>
    <w:rsid w:val="00053C8A"/>
    <w:rsid w:val="00054756"/>
    <w:rsid w:val="000560C5"/>
    <w:rsid w:val="00056C49"/>
    <w:rsid w:val="00056FE0"/>
    <w:rsid w:val="000603C8"/>
    <w:rsid w:val="000608A4"/>
    <w:rsid w:val="000609E5"/>
    <w:rsid w:val="00060AA1"/>
    <w:rsid w:val="000614D3"/>
    <w:rsid w:val="00061C97"/>
    <w:rsid w:val="000631FD"/>
    <w:rsid w:val="0006394F"/>
    <w:rsid w:val="000643D3"/>
    <w:rsid w:val="00064A24"/>
    <w:rsid w:val="00065B05"/>
    <w:rsid w:val="00067B16"/>
    <w:rsid w:val="000707BD"/>
    <w:rsid w:val="00071AAA"/>
    <w:rsid w:val="00071F8A"/>
    <w:rsid w:val="000722A2"/>
    <w:rsid w:val="0007297D"/>
    <w:rsid w:val="00073891"/>
    <w:rsid w:val="00073E04"/>
    <w:rsid w:val="00074514"/>
    <w:rsid w:val="00074A71"/>
    <w:rsid w:val="0007628D"/>
    <w:rsid w:val="0007763B"/>
    <w:rsid w:val="0007772C"/>
    <w:rsid w:val="0007785A"/>
    <w:rsid w:val="00077EF2"/>
    <w:rsid w:val="0008105B"/>
    <w:rsid w:val="00081DAB"/>
    <w:rsid w:val="000827DB"/>
    <w:rsid w:val="00083B75"/>
    <w:rsid w:val="00085442"/>
    <w:rsid w:val="00086547"/>
    <w:rsid w:val="0008702C"/>
    <w:rsid w:val="00087C6E"/>
    <w:rsid w:val="00091B4C"/>
    <w:rsid w:val="00091E4C"/>
    <w:rsid w:val="00092829"/>
    <w:rsid w:val="00092B09"/>
    <w:rsid w:val="00092BF7"/>
    <w:rsid w:val="0009351E"/>
    <w:rsid w:val="00093EFE"/>
    <w:rsid w:val="000944CB"/>
    <w:rsid w:val="0009479A"/>
    <w:rsid w:val="00094AD6"/>
    <w:rsid w:val="00094DEF"/>
    <w:rsid w:val="00095D61"/>
    <w:rsid w:val="00095E44"/>
    <w:rsid w:val="00096D8D"/>
    <w:rsid w:val="0009755A"/>
    <w:rsid w:val="000A04D8"/>
    <w:rsid w:val="000A1232"/>
    <w:rsid w:val="000A40D0"/>
    <w:rsid w:val="000A46E0"/>
    <w:rsid w:val="000A6D70"/>
    <w:rsid w:val="000B0097"/>
    <w:rsid w:val="000B0EE4"/>
    <w:rsid w:val="000B101F"/>
    <w:rsid w:val="000B1EE7"/>
    <w:rsid w:val="000B1F4B"/>
    <w:rsid w:val="000B2F27"/>
    <w:rsid w:val="000B2F58"/>
    <w:rsid w:val="000B2FD6"/>
    <w:rsid w:val="000B35D4"/>
    <w:rsid w:val="000B37A8"/>
    <w:rsid w:val="000B4BB9"/>
    <w:rsid w:val="000B51D9"/>
    <w:rsid w:val="000B5842"/>
    <w:rsid w:val="000C03FB"/>
    <w:rsid w:val="000C308F"/>
    <w:rsid w:val="000C372E"/>
    <w:rsid w:val="000C46F2"/>
    <w:rsid w:val="000C4879"/>
    <w:rsid w:val="000C5A4E"/>
    <w:rsid w:val="000C635D"/>
    <w:rsid w:val="000C6537"/>
    <w:rsid w:val="000C7F49"/>
    <w:rsid w:val="000D1AEE"/>
    <w:rsid w:val="000D1F4F"/>
    <w:rsid w:val="000D2467"/>
    <w:rsid w:val="000D2ACD"/>
    <w:rsid w:val="000D2F48"/>
    <w:rsid w:val="000D34F5"/>
    <w:rsid w:val="000D40F3"/>
    <w:rsid w:val="000D4D07"/>
    <w:rsid w:val="000D5CF2"/>
    <w:rsid w:val="000D7535"/>
    <w:rsid w:val="000D778F"/>
    <w:rsid w:val="000E0A82"/>
    <w:rsid w:val="000E165D"/>
    <w:rsid w:val="000E1BAF"/>
    <w:rsid w:val="000E223E"/>
    <w:rsid w:val="000E2491"/>
    <w:rsid w:val="000E2A67"/>
    <w:rsid w:val="000E2AC9"/>
    <w:rsid w:val="000E2EA9"/>
    <w:rsid w:val="000E4118"/>
    <w:rsid w:val="000E43D2"/>
    <w:rsid w:val="000E46A3"/>
    <w:rsid w:val="000E4E88"/>
    <w:rsid w:val="000E5726"/>
    <w:rsid w:val="000E6C94"/>
    <w:rsid w:val="000E7682"/>
    <w:rsid w:val="000F1BB2"/>
    <w:rsid w:val="000F217A"/>
    <w:rsid w:val="000F300E"/>
    <w:rsid w:val="000F3259"/>
    <w:rsid w:val="000F3F94"/>
    <w:rsid w:val="000F44A0"/>
    <w:rsid w:val="000F576E"/>
    <w:rsid w:val="000F5B21"/>
    <w:rsid w:val="000F78E0"/>
    <w:rsid w:val="001008C8"/>
    <w:rsid w:val="0010165B"/>
    <w:rsid w:val="00103501"/>
    <w:rsid w:val="00103B2D"/>
    <w:rsid w:val="00103CD2"/>
    <w:rsid w:val="00104061"/>
    <w:rsid w:val="00104110"/>
    <w:rsid w:val="0010532D"/>
    <w:rsid w:val="00106909"/>
    <w:rsid w:val="00106939"/>
    <w:rsid w:val="00106F14"/>
    <w:rsid w:val="00107236"/>
    <w:rsid w:val="001101A2"/>
    <w:rsid w:val="001106F7"/>
    <w:rsid w:val="001108A9"/>
    <w:rsid w:val="0011094A"/>
    <w:rsid w:val="00110A75"/>
    <w:rsid w:val="00111A6A"/>
    <w:rsid w:val="00112A47"/>
    <w:rsid w:val="00112EDA"/>
    <w:rsid w:val="00113621"/>
    <w:rsid w:val="00114116"/>
    <w:rsid w:val="00114174"/>
    <w:rsid w:val="00114AAA"/>
    <w:rsid w:val="00114BFB"/>
    <w:rsid w:val="00115743"/>
    <w:rsid w:val="001159EC"/>
    <w:rsid w:val="00116408"/>
    <w:rsid w:val="0011665A"/>
    <w:rsid w:val="00117AFD"/>
    <w:rsid w:val="00117C1D"/>
    <w:rsid w:val="001214C6"/>
    <w:rsid w:val="001226A1"/>
    <w:rsid w:val="00123688"/>
    <w:rsid w:val="00123AB0"/>
    <w:rsid w:val="00123DFA"/>
    <w:rsid w:val="00124851"/>
    <w:rsid w:val="00124BDD"/>
    <w:rsid w:val="00125CE4"/>
    <w:rsid w:val="00125CE8"/>
    <w:rsid w:val="00127F47"/>
    <w:rsid w:val="00130EEC"/>
    <w:rsid w:val="0013209A"/>
    <w:rsid w:val="001321EC"/>
    <w:rsid w:val="00133572"/>
    <w:rsid w:val="00133B68"/>
    <w:rsid w:val="001349C4"/>
    <w:rsid w:val="00134B25"/>
    <w:rsid w:val="00134C42"/>
    <w:rsid w:val="0013600B"/>
    <w:rsid w:val="001364FB"/>
    <w:rsid w:val="001365F2"/>
    <w:rsid w:val="00136D7A"/>
    <w:rsid w:val="0013721B"/>
    <w:rsid w:val="00137C7D"/>
    <w:rsid w:val="00140BC5"/>
    <w:rsid w:val="0014110E"/>
    <w:rsid w:val="0014137D"/>
    <w:rsid w:val="00141470"/>
    <w:rsid w:val="00141540"/>
    <w:rsid w:val="0014392E"/>
    <w:rsid w:val="001449DF"/>
    <w:rsid w:val="00144B25"/>
    <w:rsid w:val="00144B8F"/>
    <w:rsid w:val="00145381"/>
    <w:rsid w:val="0014569B"/>
    <w:rsid w:val="0014590B"/>
    <w:rsid w:val="001470E0"/>
    <w:rsid w:val="00147D83"/>
    <w:rsid w:val="00150060"/>
    <w:rsid w:val="00154C69"/>
    <w:rsid w:val="00155374"/>
    <w:rsid w:val="00156408"/>
    <w:rsid w:val="00156811"/>
    <w:rsid w:val="0015704C"/>
    <w:rsid w:val="00157895"/>
    <w:rsid w:val="00157F9B"/>
    <w:rsid w:val="00161701"/>
    <w:rsid w:val="00161E87"/>
    <w:rsid w:val="00163162"/>
    <w:rsid w:val="00163AC8"/>
    <w:rsid w:val="00163BB1"/>
    <w:rsid w:val="001652F1"/>
    <w:rsid w:val="0016566C"/>
    <w:rsid w:val="00166D2E"/>
    <w:rsid w:val="001727F0"/>
    <w:rsid w:val="00172A6D"/>
    <w:rsid w:val="00172B06"/>
    <w:rsid w:val="0017347E"/>
    <w:rsid w:val="00174005"/>
    <w:rsid w:val="001749E3"/>
    <w:rsid w:val="001752D8"/>
    <w:rsid w:val="00175931"/>
    <w:rsid w:val="00175E7C"/>
    <w:rsid w:val="00176B25"/>
    <w:rsid w:val="00177C27"/>
    <w:rsid w:val="00180A94"/>
    <w:rsid w:val="0018238B"/>
    <w:rsid w:val="00182707"/>
    <w:rsid w:val="00183419"/>
    <w:rsid w:val="0018394A"/>
    <w:rsid w:val="00184DCC"/>
    <w:rsid w:val="00186A9D"/>
    <w:rsid w:val="001874A6"/>
    <w:rsid w:val="00187659"/>
    <w:rsid w:val="0018765B"/>
    <w:rsid w:val="00187DDD"/>
    <w:rsid w:val="00190913"/>
    <w:rsid w:val="001913A2"/>
    <w:rsid w:val="0019209C"/>
    <w:rsid w:val="001929FE"/>
    <w:rsid w:val="001930DF"/>
    <w:rsid w:val="00193BB9"/>
    <w:rsid w:val="00193DD3"/>
    <w:rsid w:val="0019475D"/>
    <w:rsid w:val="001948AA"/>
    <w:rsid w:val="00194FA7"/>
    <w:rsid w:val="00195D52"/>
    <w:rsid w:val="00195F65"/>
    <w:rsid w:val="001A07E2"/>
    <w:rsid w:val="001A2018"/>
    <w:rsid w:val="001A3336"/>
    <w:rsid w:val="001A47A0"/>
    <w:rsid w:val="001A56F1"/>
    <w:rsid w:val="001A5B02"/>
    <w:rsid w:val="001A5D0E"/>
    <w:rsid w:val="001A5FE6"/>
    <w:rsid w:val="001A66C1"/>
    <w:rsid w:val="001A67D7"/>
    <w:rsid w:val="001A69C3"/>
    <w:rsid w:val="001A7A59"/>
    <w:rsid w:val="001A7D45"/>
    <w:rsid w:val="001B01C8"/>
    <w:rsid w:val="001B0B52"/>
    <w:rsid w:val="001B13F6"/>
    <w:rsid w:val="001B1747"/>
    <w:rsid w:val="001B26D2"/>
    <w:rsid w:val="001B2D44"/>
    <w:rsid w:val="001B32F2"/>
    <w:rsid w:val="001B36BF"/>
    <w:rsid w:val="001B3BA8"/>
    <w:rsid w:val="001B5B1C"/>
    <w:rsid w:val="001B752A"/>
    <w:rsid w:val="001C12FB"/>
    <w:rsid w:val="001C174F"/>
    <w:rsid w:val="001C2CDF"/>
    <w:rsid w:val="001C2DB4"/>
    <w:rsid w:val="001C3228"/>
    <w:rsid w:val="001C35E9"/>
    <w:rsid w:val="001C36BD"/>
    <w:rsid w:val="001C3733"/>
    <w:rsid w:val="001C3F06"/>
    <w:rsid w:val="001C476C"/>
    <w:rsid w:val="001C49B3"/>
    <w:rsid w:val="001C4F39"/>
    <w:rsid w:val="001C5B30"/>
    <w:rsid w:val="001C6A56"/>
    <w:rsid w:val="001C76DF"/>
    <w:rsid w:val="001C7B31"/>
    <w:rsid w:val="001D082A"/>
    <w:rsid w:val="001D3B23"/>
    <w:rsid w:val="001D3B89"/>
    <w:rsid w:val="001D3C05"/>
    <w:rsid w:val="001D5629"/>
    <w:rsid w:val="001D5D74"/>
    <w:rsid w:val="001D6AF4"/>
    <w:rsid w:val="001D7A47"/>
    <w:rsid w:val="001E0CC1"/>
    <w:rsid w:val="001E176F"/>
    <w:rsid w:val="001E1C10"/>
    <w:rsid w:val="001E288E"/>
    <w:rsid w:val="001E3CC0"/>
    <w:rsid w:val="001E6760"/>
    <w:rsid w:val="001E6D81"/>
    <w:rsid w:val="001E77C3"/>
    <w:rsid w:val="001E7BDA"/>
    <w:rsid w:val="001F090B"/>
    <w:rsid w:val="001F180A"/>
    <w:rsid w:val="001F1A28"/>
    <w:rsid w:val="001F1AD0"/>
    <w:rsid w:val="001F2DFE"/>
    <w:rsid w:val="001F35E8"/>
    <w:rsid w:val="001F390A"/>
    <w:rsid w:val="001F3D8E"/>
    <w:rsid w:val="001F4014"/>
    <w:rsid w:val="001F445E"/>
    <w:rsid w:val="001F570A"/>
    <w:rsid w:val="001F6423"/>
    <w:rsid w:val="001F655D"/>
    <w:rsid w:val="001F661D"/>
    <w:rsid w:val="001F7804"/>
    <w:rsid w:val="00201213"/>
    <w:rsid w:val="0020165E"/>
    <w:rsid w:val="0020272E"/>
    <w:rsid w:val="00202BAD"/>
    <w:rsid w:val="00202E50"/>
    <w:rsid w:val="00203346"/>
    <w:rsid w:val="00203C97"/>
    <w:rsid w:val="00203F57"/>
    <w:rsid w:val="0020408D"/>
    <w:rsid w:val="00204A7D"/>
    <w:rsid w:val="00204C8C"/>
    <w:rsid w:val="00205180"/>
    <w:rsid w:val="002055CF"/>
    <w:rsid w:val="0020596A"/>
    <w:rsid w:val="00206347"/>
    <w:rsid w:val="00207F81"/>
    <w:rsid w:val="00210747"/>
    <w:rsid w:val="002109F4"/>
    <w:rsid w:val="00211679"/>
    <w:rsid w:val="00211FDA"/>
    <w:rsid w:val="00213478"/>
    <w:rsid w:val="00213BD6"/>
    <w:rsid w:val="00213C8F"/>
    <w:rsid w:val="00215CBB"/>
    <w:rsid w:val="00215FDA"/>
    <w:rsid w:val="002160C2"/>
    <w:rsid w:val="002166EC"/>
    <w:rsid w:val="00220EBB"/>
    <w:rsid w:val="002229AE"/>
    <w:rsid w:val="00222BB9"/>
    <w:rsid w:val="00223055"/>
    <w:rsid w:val="002245BA"/>
    <w:rsid w:val="00224EED"/>
    <w:rsid w:val="002252BB"/>
    <w:rsid w:val="002258D6"/>
    <w:rsid w:val="002274FB"/>
    <w:rsid w:val="002309D2"/>
    <w:rsid w:val="00230B6E"/>
    <w:rsid w:val="00231401"/>
    <w:rsid w:val="00231B61"/>
    <w:rsid w:val="0023315B"/>
    <w:rsid w:val="00233718"/>
    <w:rsid w:val="00234274"/>
    <w:rsid w:val="002347FE"/>
    <w:rsid w:val="00234C02"/>
    <w:rsid w:val="00234E0C"/>
    <w:rsid w:val="002367B4"/>
    <w:rsid w:val="00236EB6"/>
    <w:rsid w:val="00237761"/>
    <w:rsid w:val="0024178D"/>
    <w:rsid w:val="002418E3"/>
    <w:rsid w:val="002426D3"/>
    <w:rsid w:val="00242962"/>
    <w:rsid w:val="0024392B"/>
    <w:rsid w:val="00243EBE"/>
    <w:rsid w:val="002450C6"/>
    <w:rsid w:val="00245DCF"/>
    <w:rsid w:val="00246C17"/>
    <w:rsid w:val="00246C65"/>
    <w:rsid w:val="00247091"/>
    <w:rsid w:val="0024721F"/>
    <w:rsid w:val="00247AF8"/>
    <w:rsid w:val="00250864"/>
    <w:rsid w:val="002515C6"/>
    <w:rsid w:val="002519CE"/>
    <w:rsid w:val="00251A10"/>
    <w:rsid w:val="00251A2F"/>
    <w:rsid w:val="00251ABD"/>
    <w:rsid w:val="00252192"/>
    <w:rsid w:val="00252BFF"/>
    <w:rsid w:val="00252D3D"/>
    <w:rsid w:val="00253732"/>
    <w:rsid w:val="002542A8"/>
    <w:rsid w:val="00254BBF"/>
    <w:rsid w:val="00254DD3"/>
    <w:rsid w:val="00255D31"/>
    <w:rsid w:val="00256914"/>
    <w:rsid w:val="002569A2"/>
    <w:rsid w:val="0025727C"/>
    <w:rsid w:val="00260A11"/>
    <w:rsid w:val="00260F5A"/>
    <w:rsid w:val="002610A8"/>
    <w:rsid w:val="0026169A"/>
    <w:rsid w:val="00262763"/>
    <w:rsid w:val="00264026"/>
    <w:rsid w:val="002643D1"/>
    <w:rsid w:val="00264BEA"/>
    <w:rsid w:val="00265669"/>
    <w:rsid w:val="002662E7"/>
    <w:rsid w:val="002664C7"/>
    <w:rsid w:val="0026688E"/>
    <w:rsid w:val="00267850"/>
    <w:rsid w:val="00270981"/>
    <w:rsid w:val="00271032"/>
    <w:rsid w:val="00271E79"/>
    <w:rsid w:val="002721FA"/>
    <w:rsid w:val="00273E3E"/>
    <w:rsid w:val="00274147"/>
    <w:rsid w:val="00275189"/>
    <w:rsid w:val="002756DC"/>
    <w:rsid w:val="002760A6"/>
    <w:rsid w:val="00276412"/>
    <w:rsid w:val="00276437"/>
    <w:rsid w:val="00280053"/>
    <w:rsid w:val="0028063F"/>
    <w:rsid w:val="00280740"/>
    <w:rsid w:val="00282775"/>
    <w:rsid w:val="00283130"/>
    <w:rsid w:val="00283B02"/>
    <w:rsid w:val="00283C5D"/>
    <w:rsid w:val="00283F4A"/>
    <w:rsid w:val="002844B0"/>
    <w:rsid w:val="00285A4D"/>
    <w:rsid w:val="00286322"/>
    <w:rsid w:val="00286D23"/>
    <w:rsid w:val="00286E3A"/>
    <w:rsid w:val="00287052"/>
    <w:rsid w:val="0028759E"/>
    <w:rsid w:val="00291F02"/>
    <w:rsid w:val="00293471"/>
    <w:rsid w:val="002937E3"/>
    <w:rsid w:val="002947CF"/>
    <w:rsid w:val="002963E7"/>
    <w:rsid w:val="00296920"/>
    <w:rsid w:val="00296B03"/>
    <w:rsid w:val="00296C1F"/>
    <w:rsid w:val="00296E08"/>
    <w:rsid w:val="002974D6"/>
    <w:rsid w:val="00297BBD"/>
    <w:rsid w:val="00297BDB"/>
    <w:rsid w:val="00297D3F"/>
    <w:rsid w:val="002A0B08"/>
    <w:rsid w:val="002A1C9C"/>
    <w:rsid w:val="002A27D3"/>
    <w:rsid w:val="002A41E6"/>
    <w:rsid w:val="002A4305"/>
    <w:rsid w:val="002A432F"/>
    <w:rsid w:val="002A44C8"/>
    <w:rsid w:val="002A47CA"/>
    <w:rsid w:val="002A4CBE"/>
    <w:rsid w:val="002A5E48"/>
    <w:rsid w:val="002A5FF2"/>
    <w:rsid w:val="002A63B2"/>
    <w:rsid w:val="002A6A91"/>
    <w:rsid w:val="002B0059"/>
    <w:rsid w:val="002B0455"/>
    <w:rsid w:val="002B1183"/>
    <w:rsid w:val="002B1678"/>
    <w:rsid w:val="002B256A"/>
    <w:rsid w:val="002B261C"/>
    <w:rsid w:val="002B2870"/>
    <w:rsid w:val="002B29F4"/>
    <w:rsid w:val="002B2BEE"/>
    <w:rsid w:val="002B306C"/>
    <w:rsid w:val="002B35C5"/>
    <w:rsid w:val="002B3935"/>
    <w:rsid w:val="002B406A"/>
    <w:rsid w:val="002B41D4"/>
    <w:rsid w:val="002B4C19"/>
    <w:rsid w:val="002B543F"/>
    <w:rsid w:val="002B5BF9"/>
    <w:rsid w:val="002B74CE"/>
    <w:rsid w:val="002B7C07"/>
    <w:rsid w:val="002B7D73"/>
    <w:rsid w:val="002C06E3"/>
    <w:rsid w:val="002C0801"/>
    <w:rsid w:val="002C13FE"/>
    <w:rsid w:val="002C145F"/>
    <w:rsid w:val="002C33B3"/>
    <w:rsid w:val="002C3F65"/>
    <w:rsid w:val="002C44B0"/>
    <w:rsid w:val="002C4E07"/>
    <w:rsid w:val="002C5D62"/>
    <w:rsid w:val="002C6403"/>
    <w:rsid w:val="002C7379"/>
    <w:rsid w:val="002D0586"/>
    <w:rsid w:val="002D0A23"/>
    <w:rsid w:val="002D1023"/>
    <w:rsid w:val="002D1459"/>
    <w:rsid w:val="002D1470"/>
    <w:rsid w:val="002D1DD8"/>
    <w:rsid w:val="002D21CF"/>
    <w:rsid w:val="002D3A31"/>
    <w:rsid w:val="002D3DB7"/>
    <w:rsid w:val="002D40EC"/>
    <w:rsid w:val="002D42EB"/>
    <w:rsid w:val="002D43D4"/>
    <w:rsid w:val="002D4403"/>
    <w:rsid w:val="002D4564"/>
    <w:rsid w:val="002D4705"/>
    <w:rsid w:val="002D4770"/>
    <w:rsid w:val="002D4C6C"/>
    <w:rsid w:val="002D52A4"/>
    <w:rsid w:val="002D5B65"/>
    <w:rsid w:val="002D6130"/>
    <w:rsid w:val="002D6396"/>
    <w:rsid w:val="002D76B6"/>
    <w:rsid w:val="002D7E5E"/>
    <w:rsid w:val="002E07BA"/>
    <w:rsid w:val="002E07EF"/>
    <w:rsid w:val="002E0D06"/>
    <w:rsid w:val="002E1810"/>
    <w:rsid w:val="002E184E"/>
    <w:rsid w:val="002E1A03"/>
    <w:rsid w:val="002E4E94"/>
    <w:rsid w:val="002F0091"/>
    <w:rsid w:val="002F1F28"/>
    <w:rsid w:val="002F2540"/>
    <w:rsid w:val="002F2708"/>
    <w:rsid w:val="002F27A0"/>
    <w:rsid w:val="002F3DE1"/>
    <w:rsid w:val="002F43CA"/>
    <w:rsid w:val="002F53C2"/>
    <w:rsid w:val="002F57AA"/>
    <w:rsid w:val="002F6EF7"/>
    <w:rsid w:val="002F6F09"/>
    <w:rsid w:val="002F714C"/>
    <w:rsid w:val="002F77BF"/>
    <w:rsid w:val="0030035A"/>
    <w:rsid w:val="003004A2"/>
    <w:rsid w:val="00302050"/>
    <w:rsid w:val="00302849"/>
    <w:rsid w:val="00302964"/>
    <w:rsid w:val="00302ECF"/>
    <w:rsid w:val="00303009"/>
    <w:rsid w:val="00303192"/>
    <w:rsid w:val="003033B4"/>
    <w:rsid w:val="00303767"/>
    <w:rsid w:val="00303CA8"/>
    <w:rsid w:val="00303DD5"/>
    <w:rsid w:val="00304F2A"/>
    <w:rsid w:val="00305ED6"/>
    <w:rsid w:val="00307B07"/>
    <w:rsid w:val="00307B74"/>
    <w:rsid w:val="00310764"/>
    <w:rsid w:val="00311BFD"/>
    <w:rsid w:val="00311DA5"/>
    <w:rsid w:val="00312228"/>
    <w:rsid w:val="003133F9"/>
    <w:rsid w:val="00313A01"/>
    <w:rsid w:val="00313E1F"/>
    <w:rsid w:val="00314653"/>
    <w:rsid w:val="00314718"/>
    <w:rsid w:val="0031488A"/>
    <w:rsid w:val="00315E91"/>
    <w:rsid w:val="00316648"/>
    <w:rsid w:val="00317128"/>
    <w:rsid w:val="003175E1"/>
    <w:rsid w:val="00320203"/>
    <w:rsid w:val="00320BFB"/>
    <w:rsid w:val="003210D8"/>
    <w:rsid w:val="00322002"/>
    <w:rsid w:val="00323C49"/>
    <w:rsid w:val="00323C79"/>
    <w:rsid w:val="00323D0C"/>
    <w:rsid w:val="003247B0"/>
    <w:rsid w:val="00325BF5"/>
    <w:rsid w:val="00325E81"/>
    <w:rsid w:val="0032655D"/>
    <w:rsid w:val="00326948"/>
    <w:rsid w:val="00327052"/>
    <w:rsid w:val="00327B4E"/>
    <w:rsid w:val="00327D6B"/>
    <w:rsid w:val="00327F5E"/>
    <w:rsid w:val="0033074C"/>
    <w:rsid w:val="00330771"/>
    <w:rsid w:val="00330B42"/>
    <w:rsid w:val="00332B14"/>
    <w:rsid w:val="0033486D"/>
    <w:rsid w:val="00335263"/>
    <w:rsid w:val="00335DDE"/>
    <w:rsid w:val="003367C4"/>
    <w:rsid w:val="00336D8E"/>
    <w:rsid w:val="003376B3"/>
    <w:rsid w:val="00337B92"/>
    <w:rsid w:val="00340D00"/>
    <w:rsid w:val="003438C5"/>
    <w:rsid w:val="00345F9C"/>
    <w:rsid w:val="00347776"/>
    <w:rsid w:val="003478EF"/>
    <w:rsid w:val="00347B4F"/>
    <w:rsid w:val="00347C6F"/>
    <w:rsid w:val="00350F62"/>
    <w:rsid w:val="00350F99"/>
    <w:rsid w:val="0035135F"/>
    <w:rsid w:val="00351A91"/>
    <w:rsid w:val="003520C4"/>
    <w:rsid w:val="003533AE"/>
    <w:rsid w:val="00355E14"/>
    <w:rsid w:val="00357C5E"/>
    <w:rsid w:val="00357EF7"/>
    <w:rsid w:val="00360487"/>
    <w:rsid w:val="003608BD"/>
    <w:rsid w:val="00360CFF"/>
    <w:rsid w:val="00360D4A"/>
    <w:rsid w:val="00361280"/>
    <w:rsid w:val="003615F1"/>
    <w:rsid w:val="003619FC"/>
    <w:rsid w:val="00361A6E"/>
    <w:rsid w:val="003624A7"/>
    <w:rsid w:val="00363D7F"/>
    <w:rsid w:val="003651E3"/>
    <w:rsid w:val="00365AC7"/>
    <w:rsid w:val="00365DCB"/>
    <w:rsid w:val="0036655E"/>
    <w:rsid w:val="003667F1"/>
    <w:rsid w:val="00366F15"/>
    <w:rsid w:val="00367145"/>
    <w:rsid w:val="00367352"/>
    <w:rsid w:val="00367948"/>
    <w:rsid w:val="00367C66"/>
    <w:rsid w:val="00367DD0"/>
    <w:rsid w:val="003700B2"/>
    <w:rsid w:val="003704FE"/>
    <w:rsid w:val="0037233D"/>
    <w:rsid w:val="0037249B"/>
    <w:rsid w:val="003736EF"/>
    <w:rsid w:val="003737E3"/>
    <w:rsid w:val="00374C04"/>
    <w:rsid w:val="003751E8"/>
    <w:rsid w:val="0037576E"/>
    <w:rsid w:val="00375F7C"/>
    <w:rsid w:val="00376AB4"/>
    <w:rsid w:val="00376D0E"/>
    <w:rsid w:val="00377432"/>
    <w:rsid w:val="00380268"/>
    <w:rsid w:val="0038052C"/>
    <w:rsid w:val="00380A1A"/>
    <w:rsid w:val="00380D80"/>
    <w:rsid w:val="0038119E"/>
    <w:rsid w:val="0038120E"/>
    <w:rsid w:val="0038195A"/>
    <w:rsid w:val="00381D65"/>
    <w:rsid w:val="00382A63"/>
    <w:rsid w:val="003843FF"/>
    <w:rsid w:val="00384F82"/>
    <w:rsid w:val="0038500E"/>
    <w:rsid w:val="0038754D"/>
    <w:rsid w:val="0038761D"/>
    <w:rsid w:val="00387F71"/>
    <w:rsid w:val="003906F8"/>
    <w:rsid w:val="00390F1F"/>
    <w:rsid w:val="003917B6"/>
    <w:rsid w:val="00391BDD"/>
    <w:rsid w:val="00392DB7"/>
    <w:rsid w:val="003935B2"/>
    <w:rsid w:val="003935EE"/>
    <w:rsid w:val="00393EE9"/>
    <w:rsid w:val="0039408A"/>
    <w:rsid w:val="003945F5"/>
    <w:rsid w:val="0039673D"/>
    <w:rsid w:val="003975DA"/>
    <w:rsid w:val="00397893"/>
    <w:rsid w:val="003A0AD6"/>
    <w:rsid w:val="003A1226"/>
    <w:rsid w:val="003A2407"/>
    <w:rsid w:val="003A2A70"/>
    <w:rsid w:val="003A2CF0"/>
    <w:rsid w:val="003A33D3"/>
    <w:rsid w:val="003A3673"/>
    <w:rsid w:val="003A3880"/>
    <w:rsid w:val="003A3B23"/>
    <w:rsid w:val="003A3C1D"/>
    <w:rsid w:val="003A4B52"/>
    <w:rsid w:val="003A5BC5"/>
    <w:rsid w:val="003A5D55"/>
    <w:rsid w:val="003A5FBC"/>
    <w:rsid w:val="003A66E2"/>
    <w:rsid w:val="003A7232"/>
    <w:rsid w:val="003A75E6"/>
    <w:rsid w:val="003B255B"/>
    <w:rsid w:val="003B3317"/>
    <w:rsid w:val="003B33F0"/>
    <w:rsid w:val="003B3480"/>
    <w:rsid w:val="003B364A"/>
    <w:rsid w:val="003B4B2F"/>
    <w:rsid w:val="003B52D4"/>
    <w:rsid w:val="003B6F43"/>
    <w:rsid w:val="003B7D79"/>
    <w:rsid w:val="003C05B1"/>
    <w:rsid w:val="003C1130"/>
    <w:rsid w:val="003C1425"/>
    <w:rsid w:val="003C1CA5"/>
    <w:rsid w:val="003C1EC7"/>
    <w:rsid w:val="003C3D8E"/>
    <w:rsid w:val="003C64A0"/>
    <w:rsid w:val="003C6F0B"/>
    <w:rsid w:val="003C7BA3"/>
    <w:rsid w:val="003D1CB4"/>
    <w:rsid w:val="003D34A8"/>
    <w:rsid w:val="003D3E6F"/>
    <w:rsid w:val="003D4015"/>
    <w:rsid w:val="003D4E9C"/>
    <w:rsid w:val="003D5FF8"/>
    <w:rsid w:val="003D6098"/>
    <w:rsid w:val="003D736A"/>
    <w:rsid w:val="003E075E"/>
    <w:rsid w:val="003E0D78"/>
    <w:rsid w:val="003E1787"/>
    <w:rsid w:val="003E19A8"/>
    <w:rsid w:val="003E1CB1"/>
    <w:rsid w:val="003E3863"/>
    <w:rsid w:val="003E3A1D"/>
    <w:rsid w:val="003E3EDF"/>
    <w:rsid w:val="003E56AD"/>
    <w:rsid w:val="003E5819"/>
    <w:rsid w:val="003E5BA8"/>
    <w:rsid w:val="003E5F48"/>
    <w:rsid w:val="003E6CA0"/>
    <w:rsid w:val="003F1889"/>
    <w:rsid w:val="003F1F41"/>
    <w:rsid w:val="003F2F33"/>
    <w:rsid w:val="003F2FDE"/>
    <w:rsid w:val="003F330B"/>
    <w:rsid w:val="003F5578"/>
    <w:rsid w:val="003F57C2"/>
    <w:rsid w:val="003F6FDF"/>
    <w:rsid w:val="003F6FE2"/>
    <w:rsid w:val="004001DB"/>
    <w:rsid w:val="0040043D"/>
    <w:rsid w:val="00400F3E"/>
    <w:rsid w:val="004016F5"/>
    <w:rsid w:val="004045AA"/>
    <w:rsid w:val="00404FE5"/>
    <w:rsid w:val="0040549A"/>
    <w:rsid w:val="00405CC9"/>
    <w:rsid w:val="0040606C"/>
    <w:rsid w:val="0040711E"/>
    <w:rsid w:val="004072CC"/>
    <w:rsid w:val="00407D67"/>
    <w:rsid w:val="004103C7"/>
    <w:rsid w:val="00411C9B"/>
    <w:rsid w:val="00411DE1"/>
    <w:rsid w:val="00412450"/>
    <w:rsid w:val="0041291A"/>
    <w:rsid w:val="00413592"/>
    <w:rsid w:val="004138DE"/>
    <w:rsid w:val="00413B39"/>
    <w:rsid w:val="004140B5"/>
    <w:rsid w:val="004148FE"/>
    <w:rsid w:val="00414998"/>
    <w:rsid w:val="00414B2F"/>
    <w:rsid w:val="00415171"/>
    <w:rsid w:val="004153C5"/>
    <w:rsid w:val="00415E58"/>
    <w:rsid w:val="00416231"/>
    <w:rsid w:val="004162F1"/>
    <w:rsid w:val="00416348"/>
    <w:rsid w:val="00417D19"/>
    <w:rsid w:val="004208AB"/>
    <w:rsid w:val="004219EF"/>
    <w:rsid w:val="00421A72"/>
    <w:rsid w:val="004231DA"/>
    <w:rsid w:val="00424348"/>
    <w:rsid w:val="00425F65"/>
    <w:rsid w:val="004268C6"/>
    <w:rsid w:val="00426CD9"/>
    <w:rsid w:val="00427A10"/>
    <w:rsid w:val="00427CBC"/>
    <w:rsid w:val="00427DAF"/>
    <w:rsid w:val="00430FEB"/>
    <w:rsid w:val="004310EE"/>
    <w:rsid w:val="00433677"/>
    <w:rsid w:val="004340D5"/>
    <w:rsid w:val="00434880"/>
    <w:rsid w:val="00434A21"/>
    <w:rsid w:val="0043526D"/>
    <w:rsid w:val="004354D9"/>
    <w:rsid w:val="004378FE"/>
    <w:rsid w:val="00441866"/>
    <w:rsid w:val="00441DA9"/>
    <w:rsid w:val="00441F30"/>
    <w:rsid w:val="00442721"/>
    <w:rsid w:val="00444F5B"/>
    <w:rsid w:val="0044577D"/>
    <w:rsid w:val="004460E9"/>
    <w:rsid w:val="00447760"/>
    <w:rsid w:val="00447B6F"/>
    <w:rsid w:val="0045272B"/>
    <w:rsid w:val="00453623"/>
    <w:rsid w:val="00453C11"/>
    <w:rsid w:val="00454052"/>
    <w:rsid w:val="004542C6"/>
    <w:rsid w:val="004548D8"/>
    <w:rsid w:val="00454D9A"/>
    <w:rsid w:val="004557B0"/>
    <w:rsid w:val="00455A66"/>
    <w:rsid w:val="0045660A"/>
    <w:rsid w:val="004568E1"/>
    <w:rsid w:val="00456C34"/>
    <w:rsid w:val="00457946"/>
    <w:rsid w:val="00457AA0"/>
    <w:rsid w:val="00457D8B"/>
    <w:rsid w:val="004604F2"/>
    <w:rsid w:val="00460A17"/>
    <w:rsid w:val="00462F79"/>
    <w:rsid w:val="00463ECE"/>
    <w:rsid w:val="00470CB5"/>
    <w:rsid w:val="00471EAB"/>
    <w:rsid w:val="00471EBA"/>
    <w:rsid w:val="004723EE"/>
    <w:rsid w:val="00473F5A"/>
    <w:rsid w:val="00475A92"/>
    <w:rsid w:val="004773BA"/>
    <w:rsid w:val="00477BB9"/>
    <w:rsid w:val="004802DE"/>
    <w:rsid w:val="004818ED"/>
    <w:rsid w:val="00482281"/>
    <w:rsid w:val="004831C2"/>
    <w:rsid w:val="0048512B"/>
    <w:rsid w:val="00485324"/>
    <w:rsid w:val="004859EE"/>
    <w:rsid w:val="00487366"/>
    <w:rsid w:val="004873E4"/>
    <w:rsid w:val="0049072C"/>
    <w:rsid w:val="004907B5"/>
    <w:rsid w:val="00490D15"/>
    <w:rsid w:val="00490FD1"/>
    <w:rsid w:val="00491AD2"/>
    <w:rsid w:val="004935C0"/>
    <w:rsid w:val="00493B43"/>
    <w:rsid w:val="00493D1C"/>
    <w:rsid w:val="00494DC2"/>
    <w:rsid w:val="00494EB1"/>
    <w:rsid w:val="00495A4B"/>
    <w:rsid w:val="00496414"/>
    <w:rsid w:val="0049648D"/>
    <w:rsid w:val="00496A41"/>
    <w:rsid w:val="00497524"/>
    <w:rsid w:val="00497A38"/>
    <w:rsid w:val="00497C45"/>
    <w:rsid w:val="004A2D95"/>
    <w:rsid w:val="004A45BD"/>
    <w:rsid w:val="004A4656"/>
    <w:rsid w:val="004A4A3F"/>
    <w:rsid w:val="004A6406"/>
    <w:rsid w:val="004A673D"/>
    <w:rsid w:val="004A7042"/>
    <w:rsid w:val="004A77B0"/>
    <w:rsid w:val="004A7DCD"/>
    <w:rsid w:val="004B08A9"/>
    <w:rsid w:val="004B1CED"/>
    <w:rsid w:val="004B2765"/>
    <w:rsid w:val="004B2D99"/>
    <w:rsid w:val="004B34A7"/>
    <w:rsid w:val="004B3AFE"/>
    <w:rsid w:val="004B3B06"/>
    <w:rsid w:val="004B4643"/>
    <w:rsid w:val="004B6E7D"/>
    <w:rsid w:val="004B7F67"/>
    <w:rsid w:val="004C06BE"/>
    <w:rsid w:val="004C0938"/>
    <w:rsid w:val="004C1994"/>
    <w:rsid w:val="004C2838"/>
    <w:rsid w:val="004C35D3"/>
    <w:rsid w:val="004C4754"/>
    <w:rsid w:val="004C507E"/>
    <w:rsid w:val="004C551A"/>
    <w:rsid w:val="004C70FC"/>
    <w:rsid w:val="004D0DDA"/>
    <w:rsid w:val="004D2675"/>
    <w:rsid w:val="004D29F5"/>
    <w:rsid w:val="004D3884"/>
    <w:rsid w:val="004D3D4F"/>
    <w:rsid w:val="004D4080"/>
    <w:rsid w:val="004D483D"/>
    <w:rsid w:val="004D6C14"/>
    <w:rsid w:val="004D7E82"/>
    <w:rsid w:val="004E05FD"/>
    <w:rsid w:val="004E16FE"/>
    <w:rsid w:val="004E1A0D"/>
    <w:rsid w:val="004E1D4B"/>
    <w:rsid w:val="004E23F5"/>
    <w:rsid w:val="004E5418"/>
    <w:rsid w:val="004E55F2"/>
    <w:rsid w:val="004E63E5"/>
    <w:rsid w:val="004E6B76"/>
    <w:rsid w:val="004F1437"/>
    <w:rsid w:val="004F1FC5"/>
    <w:rsid w:val="004F3540"/>
    <w:rsid w:val="004F52DB"/>
    <w:rsid w:val="004F5624"/>
    <w:rsid w:val="004F5DA4"/>
    <w:rsid w:val="004F62B2"/>
    <w:rsid w:val="004F6424"/>
    <w:rsid w:val="004F6674"/>
    <w:rsid w:val="00500DA6"/>
    <w:rsid w:val="00502764"/>
    <w:rsid w:val="00502863"/>
    <w:rsid w:val="005031F5"/>
    <w:rsid w:val="00503A25"/>
    <w:rsid w:val="00503EB9"/>
    <w:rsid w:val="005040CD"/>
    <w:rsid w:val="0050509C"/>
    <w:rsid w:val="00505229"/>
    <w:rsid w:val="005055AE"/>
    <w:rsid w:val="00506DD3"/>
    <w:rsid w:val="00507A12"/>
    <w:rsid w:val="00507E14"/>
    <w:rsid w:val="00507F98"/>
    <w:rsid w:val="005100A3"/>
    <w:rsid w:val="005108A3"/>
    <w:rsid w:val="00510A8E"/>
    <w:rsid w:val="00510F6E"/>
    <w:rsid w:val="00511422"/>
    <w:rsid w:val="005118AE"/>
    <w:rsid w:val="00511DDC"/>
    <w:rsid w:val="0051316A"/>
    <w:rsid w:val="0051352F"/>
    <w:rsid w:val="005151B7"/>
    <w:rsid w:val="0051587A"/>
    <w:rsid w:val="005158FA"/>
    <w:rsid w:val="005169AD"/>
    <w:rsid w:val="00517F79"/>
    <w:rsid w:val="005205D3"/>
    <w:rsid w:val="005208B9"/>
    <w:rsid w:val="0052169F"/>
    <w:rsid w:val="00521C5B"/>
    <w:rsid w:val="005221F0"/>
    <w:rsid w:val="005223CE"/>
    <w:rsid w:val="00523B06"/>
    <w:rsid w:val="00523DD0"/>
    <w:rsid w:val="00524807"/>
    <w:rsid w:val="005252FE"/>
    <w:rsid w:val="00525B12"/>
    <w:rsid w:val="00525FF9"/>
    <w:rsid w:val="00527F75"/>
    <w:rsid w:val="00532C41"/>
    <w:rsid w:val="00532CA1"/>
    <w:rsid w:val="00532D3F"/>
    <w:rsid w:val="0053386D"/>
    <w:rsid w:val="00534700"/>
    <w:rsid w:val="00534892"/>
    <w:rsid w:val="0053791F"/>
    <w:rsid w:val="0054007B"/>
    <w:rsid w:val="0054063B"/>
    <w:rsid w:val="005437D2"/>
    <w:rsid w:val="00547082"/>
    <w:rsid w:val="005470C3"/>
    <w:rsid w:val="00547396"/>
    <w:rsid w:val="00547538"/>
    <w:rsid w:val="00551089"/>
    <w:rsid w:val="00551F4C"/>
    <w:rsid w:val="005530B4"/>
    <w:rsid w:val="00553BFA"/>
    <w:rsid w:val="00553C36"/>
    <w:rsid w:val="00554731"/>
    <w:rsid w:val="00554D05"/>
    <w:rsid w:val="0055509B"/>
    <w:rsid w:val="00556A10"/>
    <w:rsid w:val="00557401"/>
    <w:rsid w:val="0056066B"/>
    <w:rsid w:val="0056077E"/>
    <w:rsid w:val="00560EDA"/>
    <w:rsid w:val="005629EE"/>
    <w:rsid w:val="005648FA"/>
    <w:rsid w:val="00564D50"/>
    <w:rsid w:val="005653F2"/>
    <w:rsid w:val="00567346"/>
    <w:rsid w:val="0057034E"/>
    <w:rsid w:val="00571D86"/>
    <w:rsid w:val="0057371B"/>
    <w:rsid w:val="0057485E"/>
    <w:rsid w:val="00575317"/>
    <w:rsid w:val="00575EB8"/>
    <w:rsid w:val="00577401"/>
    <w:rsid w:val="005822F0"/>
    <w:rsid w:val="00582A78"/>
    <w:rsid w:val="00582A9B"/>
    <w:rsid w:val="005832AB"/>
    <w:rsid w:val="0058394C"/>
    <w:rsid w:val="0058437C"/>
    <w:rsid w:val="005856C7"/>
    <w:rsid w:val="00586D1C"/>
    <w:rsid w:val="00587EA6"/>
    <w:rsid w:val="00590823"/>
    <w:rsid w:val="005920C3"/>
    <w:rsid w:val="005921FC"/>
    <w:rsid w:val="00592445"/>
    <w:rsid w:val="00593194"/>
    <w:rsid w:val="005934D0"/>
    <w:rsid w:val="005935F4"/>
    <w:rsid w:val="00593C30"/>
    <w:rsid w:val="00593E0A"/>
    <w:rsid w:val="005A167F"/>
    <w:rsid w:val="005A2EE1"/>
    <w:rsid w:val="005A3298"/>
    <w:rsid w:val="005A346E"/>
    <w:rsid w:val="005A350C"/>
    <w:rsid w:val="005A4DD8"/>
    <w:rsid w:val="005A500F"/>
    <w:rsid w:val="005A73CF"/>
    <w:rsid w:val="005B0A89"/>
    <w:rsid w:val="005B12FE"/>
    <w:rsid w:val="005B1576"/>
    <w:rsid w:val="005B271B"/>
    <w:rsid w:val="005B2EE3"/>
    <w:rsid w:val="005B2FC2"/>
    <w:rsid w:val="005B3F6F"/>
    <w:rsid w:val="005B574A"/>
    <w:rsid w:val="005B5A2D"/>
    <w:rsid w:val="005B630D"/>
    <w:rsid w:val="005B735B"/>
    <w:rsid w:val="005B798B"/>
    <w:rsid w:val="005C112B"/>
    <w:rsid w:val="005C133E"/>
    <w:rsid w:val="005C180A"/>
    <w:rsid w:val="005C19F2"/>
    <w:rsid w:val="005C1FAE"/>
    <w:rsid w:val="005C24E1"/>
    <w:rsid w:val="005C39E8"/>
    <w:rsid w:val="005C3D29"/>
    <w:rsid w:val="005C4209"/>
    <w:rsid w:val="005C5660"/>
    <w:rsid w:val="005C5B2B"/>
    <w:rsid w:val="005C72E3"/>
    <w:rsid w:val="005D0E13"/>
    <w:rsid w:val="005D2980"/>
    <w:rsid w:val="005D3A18"/>
    <w:rsid w:val="005D4353"/>
    <w:rsid w:val="005D4B68"/>
    <w:rsid w:val="005D58C1"/>
    <w:rsid w:val="005D6C42"/>
    <w:rsid w:val="005D6DEB"/>
    <w:rsid w:val="005D76F5"/>
    <w:rsid w:val="005D7BDE"/>
    <w:rsid w:val="005E0325"/>
    <w:rsid w:val="005E0715"/>
    <w:rsid w:val="005E09C2"/>
    <w:rsid w:val="005E10FB"/>
    <w:rsid w:val="005E11C1"/>
    <w:rsid w:val="005E2533"/>
    <w:rsid w:val="005E2563"/>
    <w:rsid w:val="005E2F8C"/>
    <w:rsid w:val="005E394C"/>
    <w:rsid w:val="005E42BF"/>
    <w:rsid w:val="005E4B43"/>
    <w:rsid w:val="005E4E70"/>
    <w:rsid w:val="005E6592"/>
    <w:rsid w:val="005E65BB"/>
    <w:rsid w:val="005E689F"/>
    <w:rsid w:val="005F0AEE"/>
    <w:rsid w:val="005F0DA0"/>
    <w:rsid w:val="005F2767"/>
    <w:rsid w:val="005F3992"/>
    <w:rsid w:val="005F39BE"/>
    <w:rsid w:val="005F4914"/>
    <w:rsid w:val="005F51C8"/>
    <w:rsid w:val="005F5668"/>
    <w:rsid w:val="005F5F02"/>
    <w:rsid w:val="005F62B7"/>
    <w:rsid w:val="005F6869"/>
    <w:rsid w:val="005F6BB9"/>
    <w:rsid w:val="005F700D"/>
    <w:rsid w:val="005F7D91"/>
    <w:rsid w:val="00603148"/>
    <w:rsid w:val="006032AA"/>
    <w:rsid w:val="00604793"/>
    <w:rsid w:val="00606FC7"/>
    <w:rsid w:val="00607C4B"/>
    <w:rsid w:val="00610456"/>
    <w:rsid w:val="00611473"/>
    <w:rsid w:val="00611B36"/>
    <w:rsid w:val="006123D0"/>
    <w:rsid w:val="00612B9A"/>
    <w:rsid w:val="00613634"/>
    <w:rsid w:val="00613A34"/>
    <w:rsid w:val="006156D2"/>
    <w:rsid w:val="00615722"/>
    <w:rsid w:val="00615ADA"/>
    <w:rsid w:val="00615D23"/>
    <w:rsid w:val="00616080"/>
    <w:rsid w:val="00616F13"/>
    <w:rsid w:val="006215B5"/>
    <w:rsid w:val="006221CD"/>
    <w:rsid w:val="00625213"/>
    <w:rsid w:val="00625847"/>
    <w:rsid w:val="00625F7C"/>
    <w:rsid w:val="00626138"/>
    <w:rsid w:val="006266A9"/>
    <w:rsid w:val="0062790C"/>
    <w:rsid w:val="00627FEC"/>
    <w:rsid w:val="00630426"/>
    <w:rsid w:val="00630BB0"/>
    <w:rsid w:val="006316C1"/>
    <w:rsid w:val="00631ED4"/>
    <w:rsid w:val="006327A7"/>
    <w:rsid w:val="00633BC7"/>
    <w:rsid w:val="0063400F"/>
    <w:rsid w:val="0063500D"/>
    <w:rsid w:val="00635AC7"/>
    <w:rsid w:val="00635E9C"/>
    <w:rsid w:val="006371FB"/>
    <w:rsid w:val="0063750F"/>
    <w:rsid w:val="00637B41"/>
    <w:rsid w:val="0064037C"/>
    <w:rsid w:val="00640BA2"/>
    <w:rsid w:val="00641134"/>
    <w:rsid w:val="006414EE"/>
    <w:rsid w:val="0064170C"/>
    <w:rsid w:val="00641DFD"/>
    <w:rsid w:val="00642524"/>
    <w:rsid w:val="006425E0"/>
    <w:rsid w:val="0064269C"/>
    <w:rsid w:val="00642D0A"/>
    <w:rsid w:val="00643B5F"/>
    <w:rsid w:val="006455D2"/>
    <w:rsid w:val="0064562B"/>
    <w:rsid w:val="0064630E"/>
    <w:rsid w:val="00646FE1"/>
    <w:rsid w:val="00647075"/>
    <w:rsid w:val="0065136C"/>
    <w:rsid w:val="006520FA"/>
    <w:rsid w:val="0065254F"/>
    <w:rsid w:val="00654DED"/>
    <w:rsid w:val="0065581D"/>
    <w:rsid w:val="00655C2F"/>
    <w:rsid w:val="00657111"/>
    <w:rsid w:val="006601DC"/>
    <w:rsid w:val="00660403"/>
    <w:rsid w:val="00661140"/>
    <w:rsid w:val="00663313"/>
    <w:rsid w:val="006647C7"/>
    <w:rsid w:val="0066694F"/>
    <w:rsid w:val="0067102C"/>
    <w:rsid w:val="006710DD"/>
    <w:rsid w:val="00672318"/>
    <w:rsid w:val="00673200"/>
    <w:rsid w:val="0067501E"/>
    <w:rsid w:val="006773D2"/>
    <w:rsid w:val="00680581"/>
    <w:rsid w:val="006819BA"/>
    <w:rsid w:val="00681A41"/>
    <w:rsid w:val="006821B2"/>
    <w:rsid w:val="0068312C"/>
    <w:rsid w:val="006838C0"/>
    <w:rsid w:val="0068545E"/>
    <w:rsid w:val="00685901"/>
    <w:rsid w:val="00685BB9"/>
    <w:rsid w:val="00690127"/>
    <w:rsid w:val="00690EAC"/>
    <w:rsid w:val="006912E2"/>
    <w:rsid w:val="00691BFF"/>
    <w:rsid w:val="00691DB4"/>
    <w:rsid w:val="0069357D"/>
    <w:rsid w:val="00693D4F"/>
    <w:rsid w:val="00694340"/>
    <w:rsid w:val="00695330"/>
    <w:rsid w:val="006953C1"/>
    <w:rsid w:val="006956DC"/>
    <w:rsid w:val="00696EB2"/>
    <w:rsid w:val="00696FBD"/>
    <w:rsid w:val="0069701C"/>
    <w:rsid w:val="006A1378"/>
    <w:rsid w:val="006A16E9"/>
    <w:rsid w:val="006A1DE1"/>
    <w:rsid w:val="006A33F0"/>
    <w:rsid w:val="006A4180"/>
    <w:rsid w:val="006A5450"/>
    <w:rsid w:val="006A6D72"/>
    <w:rsid w:val="006A6F31"/>
    <w:rsid w:val="006A7807"/>
    <w:rsid w:val="006B0199"/>
    <w:rsid w:val="006B08A1"/>
    <w:rsid w:val="006B0A32"/>
    <w:rsid w:val="006B0BD8"/>
    <w:rsid w:val="006B10BC"/>
    <w:rsid w:val="006B1618"/>
    <w:rsid w:val="006B3079"/>
    <w:rsid w:val="006B3B9F"/>
    <w:rsid w:val="006B4461"/>
    <w:rsid w:val="006B4553"/>
    <w:rsid w:val="006B4557"/>
    <w:rsid w:val="006B462B"/>
    <w:rsid w:val="006B5287"/>
    <w:rsid w:val="006B56A8"/>
    <w:rsid w:val="006B71CC"/>
    <w:rsid w:val="006C0251"/>
    <w:rsid w:val="006C03C3"/>
    <w:rsid w:val="006C2207"/>
    <w:rsid w:val="006C2B9A"/>
    <w:rsid w:val="006C2E13"/>
    <w:rsid w:val="006C33A2"/>
    <w:rsid w:val="006C39BB"/>
    <w:rsid w:val="006C4502"/>
    <w:rsid w:val="006C49AB"/>
    <w:rsid w:val="006C6114"/>
    <w:rsid w:val="006C73D6"/>
    <w:rsid w:val="006C76EF"/>
    <w:rsid w:val="006D076F"/>
    <w:rsid w:val="006D0CBF"/>
    <w:rsid w:val="006D0EE3"/>
    <w:rsid w:val="006D0FA3"/>
    <w:rsid w:val="006D10F2"/>
    <w:rsid w:val="006D16B6"/>
    <w:rsid w:val="006D2288"/>
    <w:rsid w:val="006D240D"/>
    <w:rsid w:val="006D4464"/>
    <w:rsid w:val="006D4BD1"/>
    <w:rsid w:val="006D52C0"/>
    <w:rsid w:val="006D5E91"/>
    <w:rsid w:val="006E0193"/>
    <w:rsid w:val="006E14E6"/>
    <w:rsid w:val="006E1AEE"/>
    <w:rsid w:val="006E2F52"/>
    <w:rsid w:val="006E3162"/>
    <w:rsid w:val="006E32A9"/>
    <w:rsid w:val="006E3803"/>
    <w:rsid w:val="006E3B9C"/>
    <w:rsid w:val="006E3E9F"/>
    <w:rsid w:val="006E45C5"/>
    <w:rsid w:val="006E480A"/>
    <w:rsid w:val="006E51A2"/>
    <w:rsid w:val="006E5D48"/>
    <w:rsid w:val="006E6857"/>
    <w:rsid w:val="006E6EBB"/>
    <w:rsid w:val="006E75E3"/>
    <w:rsid w:val="006F02F3"/>
    <w:rsid w:val="006F0DE2"/>
    <w:rsid w:val="006F0F40"/>
    <w:rsid w:val="006F11BD"/>
    <w:rsid w:val="006F25B4"/>
    <w:rsid w:val="006F28CD"/>
    <w:rsid w:val="006F32C7"/>
    <w:rsid w:val="006F3495"/>
    <w:rsid w:val="006F3629"/>
    <w:rsid w:val="006F37FE"/>
    <w:rsid w:val="006F417D"/>
    <w:rsid w:val="006F4C11"/>
    <w:rsid w:val="006F5520"/>
    <w:rsid w:val="006F5C83"/>
    <w:rsid w:val="006F63BA"/>
    <w:rsid w:val="006F67CC"/>
    <w:rsid w:val="006F6B89"/>
    <w:rsid w:val="00701C2D"/>
    <w:rsid w:val="00701F7F"/>
    <w:rsid w:val="00702162"/>
    <w:rsid w:val="00702A15"/>
    <w:rsid w:val="007035DB"/>
    <w:rsid w:val="00703930"/>
    <w:rsid w:val="00704484"/>
    <w:rsid w:val="00705EDB"/>
    <w:rsid w:val="0070610E"/>
    <w:rsid w:val="007061CA"/>
    <w:rsid w:val="0070674F"/>
    <w:rsid w:val="00707759"/>
    <w:rsid w:val="00710081"/>
    <w:rsid w:val="00710B0D"/>
    <w:rsid w:val="00710C2F"/>
    <w:rsid w:val="00711146"/>
    <w:rsid w:val="00712753"/>
    <w:rsid w:val="00713184"/>
    <w:rsid w:val="00713CB5"/>
    <w:rsid w:val="00714E3F"/>
    <w:rsid w:val="0071558B"/>
    <w:rsid w:val="00715CD1"/>
    <w:rsid w:val="00715DB8"/>
    <w:rsid w:val="007162A7"/>
    <w:rsid w:val="007165B1"/>
    <w:rsid w:val="0071696E"/>
    <w:rsid w:val="0071776A"/>
    <w:rsid w:val="00717B64"/>
    <w:rsid w:val="00721189"/>
    <w:rsid w:val="00721271"/>
    <w:rsid w:val="007221C3"/>
    <w:rsid w:val="00722F2C"/>
    <w:rsid w:val="00723C97"/>
    <w:rsid w:val="00723E4E"/>
    <w:rsid w:val="00724219"/>
    <w:rsid w:val="007254D1"/>
    <w:rsid w:val="00725B32"/>
    <w:rsid w:val="00725B3C"/>
    <w:rsid w:val="00727C16"/>
    <w:rsid w:val="00731189"/>
    <w:rsid w:val="00731B02"/>
    <w:rsid w:val="00732A95"/>
    <w:rsid w:val="00732C25"/>
    <w:rsid w:val="00733D54"/>
    <w:rsid w:val="00735811"/>
    <w:rsid w:val="00736A4F"/>
    <w:rsid w:val="00737753"/>
    <w:rsid w:val="00737768"/>
    <w:rsid w:val="00737E44"/>
    <w:rsid w:val="00740CE9"/>
    <w:rsid w:val="00741605"/>
    <w:rsid w:val="0074252E"/>
    <w:rsid w:val="007425B2"/>
    <w:rsid w:val="007428E3"/>
    <w:rsid w:val="00742DF8"/>
    <w:rsid w:val="0074394E"/>
    <w:rsid w:val="0074422D"/>
    <w:rsid w:val="00745138"/>
    <w:rsid w:val="00745A58"/>
    <w:rsid w:val="00746FB9"/>
    <w:rsid w:val="0075070C"/>
    <w:rsid w:val="00750A3B"/>
    <w:rsid w:val="00750D0A"/>
    <w:rsid w:val="00751D93"/>
    <w:rsid w:val="00751F28"/>
    <w:rsid w:val="00752300"/>
    <w:rsid w:val="00753BF5"/>
    <w:rsid w:val="007546F8"/>
    <w:rsid w:val="0075579B"/>
    <w:rsid w:val="00755BAB"/>
    <w:rsid w:val="007565C5"/>
    <w:rsid w:val="0076080E"/>
    <w:rsid w:val="007612C8"/>
    <w:rsid w:val="0076243B"/>
    <w:rsid w:val="00762A7B"/>
    <w:rsid w:val="00763B25"/>
    <w:rsid w:val="0076411D"/>
    <w:rsid w:val="007644C8"/>
    <w:rsid w:val="00764CCA"/>
    <w:rsid w:val="007670F8"/>
    <w:rsid w:val="007671D4"/>
    <w:rsid w:val="00770A85"/>
    <w:rsid w:val="00773DC9"/>
    <w:rsid w:val="0077572E"/>
    <w:rsid w:val="00777BE4"/>
    <w:rsid w:val="00777D6D"/>
    <w:rsid w:val="00780263"/>
    <w:rsid w:val="00780299"/>
    <w:rsid w:val="0078031B"/>
    <w:rsid w:val="007819EE"/>
    <w:rsid w:val="007824B6"/>
    <w:rsid w:val="00782E39"/>
    <w:rsid w:val="007837DB"/>
    <w:rsid w:val="007841DA"/>
    <w:rsid w:val="00784F44"/>
    <w:rsid w:val="00786672"/>
    <w:rsid w:val="007872CF"/>
    <w:rsid w:val="007873DC"/>
    <w:rsid w:val="007876DC"/>
    <w:rsid w:val="0079201C"/>
    <w:rsid w:val="00793048"/>
    <w:rsid w:val="0079307F"/>
    <w:rsid w:val="007940C5"/>
    <w:rsid w:val="007947C4"/>
    <w:rsid w:val="00794A1D"/>
    <w:rsid w:val="00794E5C"/>
    <w:rsid w:val="007950B1"/>
    <w:rsid w:val="00795CE1"/>
    <w:rsid w:val="0079654B"/>
    <w:rsid w:val="00797A6E"/>
    <w:rsid w:val="007A0646"/>
    <w:rsid w:val="007A06AC"/>
    <w:rsid w:val="007A11F8"/>
    <w:rsid w:val="007A17AE"/>
    <w:rsid w:val="007A1C7D"/>
    <w:rsid w:val="007A25CC"/>
    <w:rsid w:val="007A3283"/>
    <w:rsid w:val="007A32F4"/>
    <w:rsid w:val="007A4636"/>
    <w:rsid w:val="007A4B94"/>
    <w:rsid w:val="007A5122"/>
    <w:rsid w:val="007A57DF"/>
    <w:rsid w:val="007A7FD7"/>
    <w:rsid w:val="007B1014"/>
    <w:rsid w:val="007B103F"/>
    <w:rsid w:val="007B10BC"/>
    <w:rsid w:val="007B1484"/>
    <w:rsid w:val="007B1A10"/>
    <w:rsid w:val="007B31AB"/>
    <w:rsid w:val="007B3268"/>
    <w:rsid w:val="007B42D3"/>
    <w:rsid w:val="007B46D9"/>
    <w:rsid w:val="007B6659"/>
    <w:rsid w:val="007B6C39"/>
    <w:rsid w:val="007B76AB"/>
    <w:rsid w:val="007B7A66"/>
    <w:rsid w:val="007B7DBD"/>
    <w:rsid w:val="007C0E7C"/>
    <w:rsid w:val="007C40F9"/>
    <w:rsid w:val="007C45D3"/>
    <w:rsid w:val="007C48E9"/>
    <w:rsid w:val="007C4CEF"/>
    <w:rsid w:val="007C597B"/>
    <w:rsid w:val="007C5FF7"/>
    <w:rsid w:val="007C6271"/>
    <w:rsid w:val="007C6A24"/>
    <w:rsid w:val="007C760C"/>
    <w:rsid w:val="007D0893"/>
    <w:rsid w:val="007D08FD"/>
    <w:rsid w:val="007D12E9"/>
    <w:rsid w:val="007D1584"/>
    <w:rsid w:val="007D2044"/>
    <w:rsid w:val="007D2484"/>
    <w:rsid w:val="007D4F33"/>
    <w:rsid w:val="007D554B"/>
    <w:rsid w:val="007D5BA5"/>
    <w:rsid w:val="007D5D9A"/>
    <w:rsid w:val="007D65C7"/>
    <w:rsid w:val="007D730B"/>
    <w:rsid w:val="007D73AD"/>
    <w:rsid w:val="007D74D2"/>
    <w:rsid w:val="007D7909"/>
    <w:rsid w:val="007D79B5"/>
    <w:rsid w:val="007E2334"/>
    <w:rsid w:val="007E23CE"/>
    <w:rsid w:val="007E2CE7"/>
    <w:rsid w:val="007E40AF"/>
    <w:rsid w:val="007E419A"/>
    <w:rsid w:val="007E43D0"/>
    <w:rsid w:val="007E4DEF"/>
    <w:rsid w:val="007E4F00"/>
    <w:rsid w:val="007E54F8"/>
    <w:rsid w:val="007E5987"/>
    <w:rsid w:val="007E5BD8"/>
    <w:rsid w:val="007E7BF9"/>
    <w:rsid w:val="007F02BC"/>
    <w:rsid w:val="007F0C7B"/>
    <w:rsid w:val="007F171C"/>
    <w:rsid w:val="007F1A27"/>
    <w:rsid w:val="007F1D17"/>
    <w:rsid w:val="007F20D7"/>
    <w:rsid w:val="007F2204"/>
    <w:rsid w:val="007F2246"/>
    <w:rsid w:val="007F2722"/>
    <w:rsid w:val="007F2E65"/>
    <w:rsid w:val="007F43BA"/>
    <w:rsid w:val="007F45D1"/>
    <w:rsid w:val="007F54A6"/>
    <w:rsid w:val="007F64BE"/>
    <w:rsid w:val="007F6DC3"/>
    <w:rsid w:val="007F74DA"/>
    <w:rsid w:val="008006B4"/>
    <w:rsid w:val="00800AF0"/>
    <w:rsid w:val="00800E24"/>
    <w:rsid w:val="008013FE"/>
    <w:rsid w:val="008015B6"/>
    <w:rsid w:val="008015CF"/>
    <w:rsid w:val="00802C2C"/>
    <w:rsid w:val="00803F6D"/>
    <w:rsid w:val="00803FD4"/>
    <w:rsid w:val="008042F2"/>
    <w:rsid w:val="0080481C"/>
    <w:rsid w:val="00804C54"/>
    <w:rsid w:val="008053FB"/>
    <w:rsid w:val="008056DD"/>
    <w:rsid w:val="00805B41"/>
    <w:rsid w:val="0081104C"/>
    <w:rsid w:val="0081126E"/>
    <w:rsid w:val="008121F2"/>
    <w:rsid w:val="00812D16"/>
    <w:rsid w:val="00814E3C"/>
    <w:rsid w:val="0081547F"/>
    <w:rsid w:val="00816589"/>
    <w:rsid w:val="00816BDA"/>
    <w:rsid w:val="00816C51"/>
    <w:rsid w:val="00817D4D"/>
    <w:rsid w:val="00821865"/>
    <w:rsid w:val="00821F95"/>
    <w:rsid w:val="008225EB"/>
    <w:rsid w:val="00822A02"/>
    <w:rsid w:val="008231B4"/>
    <w:rsid w:val="0082327D"/>
    <w:rsid w:val="00823E8B"/>
    <w:rsid w:val="0082433D"/>
    <w:rsid w:val="00825F84"/>
    <w:rsid w:val="00826509"/>
    <w:rsid w:val="008275E7"/>
    <w:rsid w:val="008302FE"/>
    <w:rsid w:val="00830AFA"/>
    <w:rsid w:val="00830D6C"/>
    <w:rsid w:val="0083128F"/>
    <w:rsid w:val="0083354D"/>
    <w:rsid w:val="0083561B"/>
    <w:rsid w:val="00835978"/>
    <w:rsid w:val="00837498"/>
    <w:rsid w:val="0083761F"/>
    <w:rsid w:val="00837D78"/>
    <w:rsid w:val="00840854"/>
    <w:rsid w:val="00840B18"/>
    <w:rsid w:val="00840D79"/>
    <w:rsid w:val="008410E6"/>
    <w:rsid w:val="00842960"/>
    <w:rsid w:val="00842A21"/>
    <w:rsid w:val="00842DF7"/>
    <w:rsid w:val="00845DAD"/>
    <w:rsid w:val="00847696"/>
    <w:rsid w:val="00851377"/>
    <w:rsid w:val="0085437C"/>
    <w:rsid w:val="00854B2F"/>
    <w:rsid w:val="00855481"/>
    <w:rsid w:val="00855947"/>
    <w:rsid w:val="00856354"/>
    <w:rsid w:val="008568E1"/>
    <w:rsid w:val="00856BE9"/>
    <w:rsid w:val="00856DC7"/>
    <w:rsid w:val="0085728B"/>
    <w:rsid w:val="008578F8"/>
    <w:rsid w:val="00860566"/>
    <w:rsid w:val="00860917"/>
    <w:rsid w:val="0086165C"/>
    <w:rsid w:val="00861B26"/>
    <w:rsid w:val="00861DD8"/>
    <w:rsid w:val="00862EED"/>
    <w:rsid w:val="0086375B"/>
    <w:rsid w:val="008642C5"/>
    <w:rsid w:val="008643FC"/>
    <w:rsid w:val="008649B9"/>
    <w:rsid w:val="00864BAE"/>
    <w:rsid w:val="00865E05"/>
    <w:rsid w:val="00866B19"/>
    <w:rsid w:val="00867698"/>
    <w:rsid w:val="0086784F"/>
    <w:rsid w:val="00870394"/>
    <w:rsid w:val="0087070F"/>
    <w:rsid w:val="0087073B"/>
    <w:rsid w:val="008712ED"/>
    <w:rsid w:val="0087388E"/>
    <w:rsid w:val="00873967"/>
    <w:rsid w:val="00875DFC"/>
    <w:rsid w:val="008770D4"/>
    <w:rsid w:val="008776F7"/>
    <w:rsid w:val="008800E5"/>
    <w:rsid w:val="008807E7"/>
    <w:rsid w:val="00881085"/>
    <w:rsid w:val="0088127F"/>
    <w:rsid w:val="00881342"/>
    <w:rsid w:val="008815EF"/>
    <w:rsid w:val="00883BFC"/>
    <w:rsid w:val="00883E88"/>
    <w:rsid w:val="00885273"/>
    <w:rsid w:val="00885F2C"/>
    <w:rsid w:val="00886288"/>
    <w:rsid w:val="00886386"/>
    <w:rsid w:val="008868BE"/>
    <w:rsid w:val="0088701C"/>
    <w:rsid w:val="0089094C"/>
    <w:rsid w:val="00892459"/>
    <w:rsid w:val="008929AA"/>
    <w:rsid w:val="00892AA5"/>
    <w:rsid w:val="00893897"/>
    <w:rsid w:val="00893F59"/>
    <w:rsid w:val="008947E9"/>
    <w:rsid w:val="0089499B"/>
    <w:rsid w:val="00894ACA"/>
    <w:rsid w:val="00894EC5"/>
    <w:rsid w:val="00895DBE"/>
    <w:rsid w:val="00896109"/>
    <w:rsid w:val="00896658"/>
    <w:rsid w:val="008967B5"/>
    <w:rsid w:val="008A0197"/>
    <w:rsid w:val="008A03AC"/>
    <w:rsid w:val="008A0C91"/>
    <w:rsid w:val="008A1008"/>
    <w:rsid w:val="008A3016"/>
    <w:rsid w:val="008A3114"/>
    <w:rsid w:val="008A345A"/>
    <w:rsid w:val="008A3DB9"/>
    <w:rsid w:val="008A6149"/>
    <w:rsid w:val="008A6A5C"/>
    <w:rsid w:val="008A6F18"/>
    <w:rsid w:val="008A7163"/>
    <w:rsid w:val="008A7316"/>
    <w:rsid w:val="008B01B5"/>
    <w:rsid w:val="008B1990"/>
    <w:rsid w:val="008B3014"/>
    <w:rsid w:val="008B38F8"/>
    <w:rsid w:val="008B4A1C"/>
    <w:rsid w:val="008B4F1F"/>
    <w:rsid w:val="008B500A"/>
    <w:rsid w:val="008B5030"/>
    <w:rsid w:val="008B60BD"/>
    <w:rsid w:val="008B6339"/>
    <w:rsid w:val="008B6D72"/>
    <w:rsid w:val="008C0E86"/>
    <w:rsid w:val="008C11A9"/>
    <w:rsid w:val="008C1610"/>
    <w:rsid w:val="008C2DC1"/>
    <w:rsid w:val="008C2F1E"/>
    <w:rsid w:val="008C30E5"/>
    <w:rsid w:val="008C3331"/>
    <w:rsid w:val="008C3B5B"/>
    <w:rsid w:val="008C4091"/>
    <w:rsid w:val="008C409F"/>
    <w:rsid w:val="008C602D"/>
    <w:rsid w:val="008C6A30"/>
    <w:rsid w:val="008C6BCC"/>
    <w:rsid w:val="008C6D33"/>
    <w:rsid w:val="008C7C23"/>
    <w:rsid w:val="008D00CE"/>
    <w:rsid w:val="008D098D"/>
    <w:rsid w:val="008D135A"/>
    <w:rsid w:val="008D2205"/>
    <w:rsid w:val="008D2331"/>
    <w:rsid w:val="008D32A9"/>
    <w:rsid w:val="008D347F"/>
    <w:rsid w:val="008D35AD"/>
    <w:rsid w:val="008D36CD"/>
    <w:rsid w:val="008D3CFE"/>
    <w:rsid w:val="008D3F5D"/>
    <w:rsid w:val="008D4380"/>
    <w:rsid w:val="008D479B"/>
    <w:rsid w:val="008D48D1"/>
    <w:rsid w:val="008D4AD4"/>
    <w:rsid w:val="008D4B10"/>
    <w:rsid w:val="008D53FF"/>
    <w:rsid w:val="008D6BE8"/>
    <w:rsid w:val="008D6C30"/>
    <w:rsid w:val="008D7E23"/>
    <w:rsid w:val="008E008B"/>
    <w:rsid w:val="008E27E9"/>
    <w:rsid w:val="008E31FE"/>
    <w:rsid w:val="008E42DE"/>
    <w:rsid w:val="008E47CA"/>
    <w:rsid w:val="008F20E4"/>
    <w:rsid w:val="008F25CD"/>
    <w:rsid w:val="008F25DD"/>
    <w:rsid w:val="008F2A96"/>
    <w:rsid w:val="008F2C49"/>
    <w:rsid w:val="008F36F0"/>
    <w:rsid w:val="008F42A1"/>
    <w:rsid w:val="008F66BC"/>
    <w:rsid w:val="008F7CFF"/>
    <w:rsid w:val="008F7ED1"/>
    <w:rsid w:val="00901B3F"/>
    <w:rsid w:val="00901C8D"/>
    <w:rsid w:val="009023B4"/>
    <w:rsid w:val="00903E27"/>
    <w:rsid w:val="009047DB"/>
    <w:rsid w:val="00904A4D"/>
    <w:rsid w:val="00905643"/>
    <w:rsid w:val="00905EE9"/>
    <w:rsid w:val="009065F4"/>
    <w:rsid w:val="00906887"/>
    <w:rsid w:val="00907079"/>
    <w:rsid w:val="009075A7"/>
    <w:rsid w:val="00907DFB"/>
    <w:rsid w:val="00907F49"/>
    <w:rsid w:val="00910624"/>
    <w:rsid w:val="00910FBA"/>
    <w:rsid w:val="00911D39"/>
    <w:rsid w:val="00912B9F"/>
    <w:rsid w:val="009164D5"/>
    <w:rsid w:val="00917C0F"/>
    <w:rsid w:val="00917CAB"/>
    <w:rsid w:val="0092040E"/>
    <w:rsid w:val="00920C6C"/>
    <w:rsid w:val="009212BA"/>
    <w:rsid w:val="00921897"/>
    <w:rsid w:val="00921C6D"/>
    <w:rsid w:val="009227D9"/>
    <w:rsid w:val="0092337B"/>
    <w:rsid w:val="00923B63"/>
    <w:rsid w:val="00923C44"/>
    <w:rsid w:val="00926869"/>
    <w:rsid w:val="009276F2"/>
    <w:rsid w:val="00927791"/>
    <w:rsid w:val="00930607"/>
    <w:rsid w:val="00930D0A"/>
    <w:rsid w:val="009315A1"/>
    <w:rsid w:val="00932574"/>
    <w:rsid w:val="009325B6"/>
    <w:rsid w:val="009329BA"/>
    <w:rsid w:val="00932BD5"/>
    <w:rsid w:val="0093304D"/>
    <w:rsid w:val="00934F35"/>
    <w:rsid w:val="00936939"/>
    <w:rsid w:val="00936C4A"/>
    <w:rsid w:val="00936C92"/>
    <w:rsid w:val="0094053B"/>
    <w:rsid w:val="009415D9"/>
    <w:rsid w:val="00941871"/>
    <w:rsid w:val="00942040"/>
    <w:rsid w:val="009420BD"/>
    <w:rsid w:val="0094266B"/>
    <w:rsid w:val="00942C9F"/>
    <w:rsid w:val="0094304C"/>
    <w:rsid w:val="00945631"/>
    <w:rsid w:val="00946059"/>
    <w:rsid w:val="00947507"/>
    <w:rsid w:val="00947549"/>
    <w:rsid w:val="00947CF3"/>
    <w:rsid w:val="00951522"/>
    <w:rsid w:val="009518B9"/>
    <w:rsid w:val="00951DF7"/>
    <w:rsid w:val="009531FC"/>
    <w:rsid w:val="0095554D"/>
    <w:rsid w:val="00956B46"/>
    <w:rsid w:val="0095793C"/>
    <w:rsid w:val="00960EF3"/>
    <w:rsid w:val="00961038"/>
    <w:rsid w:val="0096111E"/>
    <w:rsid w:val="00961125"/>
    <w:rsid w:val="009612EF"/>
    <w:rsid w:val="009613AA"/>
    <w:rsid w:val="00962050"/>
    <w:rsid w:val="009623D8"/>
    <w:rsid w:val="009625DC"/>
    <w:rsid w:val="00962B88"/>
    <w:rsid w:val="00963362"/>
    <w:rsid w:val="00963AA7"/>
    <w:rsid w:val="00963BD1"/>
    <w:rsid w:val="00964E9C"/>
    <w:rsid w:val="009650C5"/>
    <w:rsid w:val="00966B1F"/>
    <w:rsid w:val="00967D4D"/>
    <w:rsid w:val="00970A7E"/>
    <w:rsid w:val="0097116E"/>
    <w:rsid w:val="00973069"/>
    <w:rsid w:val="00974518"/>
    <w:rsid w:val="00975519"/>
    <w:rsid w:val="009757DC"/>
    <w:rsid w:val="0098011D"/>
    <w:rsid w:val="00980FE0"/>
    <w:rsid w:val="0098105D"/>
    <w:rsid w:val="00982D10"/>
    <w:rsid w:val="00984640"/>
    <w:rsid w:val="00984F82"/>
    <w:rsid w:val="00985295"/>
    <w:rsid w:val="00985969"/>
    <w:rsid w:val="00985F8B"/>
    <w:rsid w:val="00990C3B"/>
    <w:rsid w:val="00991B8C"/>
    <w:rsid w:val="00991CBD"/>
    <w:rsid w:val="009921E6"/>
    <w:rsid w:val="009922AA"/>
    <w:rsid w:val="009928B7"/>
    <w:rsid w:val="0099314B"/>
    <w:rsid w:val="0099321A"/>
    <w:rsid w:val="00993ABE"/>
    <w:rsid w:val="009942F3"/>
    <w:rsid w:val="009947E8"/>
    <w:rsid w:val="009960B7"/>
    <w:rsid w:val="00996693"/>
    <w:rsid w:val="00996F08"/>
    <w:rsid w:val="00997135"/>
    <w:rsid w:val="009972FE"/>
    <w:rsid w:val="009A3324"/>
    <w:rsid w:val="009A418D"/>
    <w:rsid w:val="009B10A9"/>
    <w:rsid w:val="009B536C"/>
    <w:rsid w:val="009B5A0B"/>
    <w:rsid w:val="009B5C19"/>
    <w:rsid w:val="009B636C"/>
    <w:rsid w:val="009B6496"/>
    <w:rsid w:val="009B74CB"/>
    <w:rsid w:val="009C01DA"/>
    <w:rsid w:val="009C046B"/>
    <w:rsid w:val="009C1528"/>
    <w:rsid w:val="009C181D"/>
    <w:rsid w:val="009C20CC"/>
    <w:rsid w:val="009C2BDF"/>
    <w:rsid w:val="009C3558"/>
    <w:rsid w:val="009C37C8"/>
    <w:rsid w:val="009C562E"/>
    <w:rsid w:val="009C5E44"/>
    <w:rsid w:val="009C6F5A"/>
    <w:rsid w:val="009C7531"/>
    <w:rsid w:val="009D1673"/>
    <w:rsid w:val="009D220C"/>
    <w:rsid w:val="009D221F"/>
    <w:rsid w:val="009D2727"/>
    <w:rsid w:val="009D2886"/>
    <w:rsid w:val="009D4BD7"/>
    <w:rsid w:val="009D6A13"/>
    <w:rsid w:val="009D7293"/>
    <w:rsid w:val="009D7320"/>
    <w:rsid w:val="009D7BA0"/>
    <w:rsid w:val="009E09F0"/>
    <w:rsid w:val="009E175B"/>
    <w:rsid w:val="009E19E8"/>
    <w:rsid w:val="009E2C6F"/>
    <w:rsid w:val="009E377C"/>
    <w:rsid w:val="009E3E56"/>
    <w:rsid w:val="009E411C"/>
    <w:rsid w:val="009E458A"/>
    <w:rsid w:val="009E52F0"/>
    <w:rsid w:val="009E5316"/>
    <w:rsid w:val="009E5BD1"/>
    <w:rsid w:val="009E5D7C"/>
    <w:rsid w:val="009E5DFC"/>
    <w:rsid w:val="009F1789"/>
    <w:rsid w:val="009F17D5"/>
    <w:rsid w:val="009F1B90"/>
    <w:rsid w:val="009F1C62"/>
    <w:rsid w:val="009F23C7"/>
    <w:rsid w:val="009F2E3B"/>
    <w:rsid w:val="009F30B1"/>
    <w:rsid w:val="009F36D2"/>
    <w:rsid w:val="009F3B6B"/>
    <w:rsid w:val="009F4504"/>
    <w:rsid w:val="009F502C"/>
    <w:rsid w:val="009F603B"/>
    <w:rsid w:val="009F6987"/>
    <w:rsid w:val="009F720F"/>
    <w:rsid w:val="00A00885"/>
    <w:rsid w:val="00A010E7"/>
    <w:rsid w:val="00A01667"/>
    <w:rsid w:val="00A01A17"/>
    <w:rsid w:val="00A01A60"/>
    <w:rsid w:val="00A02060"/>
    <w:rsid w:val="00A04849"/>
    <w:rsid w:val="00A06E6E"/>
    <w:rsid w:val="00A076F9"/>
    <w:rsid w:val="00A07997"/>
    <w:rsid w:val="00A07F87"/>
    <w:rsid w:val="00A10BD3"/>
    <w:rsid w:val="00A12E05"/>
    <w:rsid w:val="00A13659"/>
    <w:rsid w:val="00A1413F"/>
    <w:rsid w:val="00A1453E"/>
    <w:rsid w:val="00A15162"/>
    <w:rsid w:val="00A15F40"/>
    <w:rsid w:val="00A1637F"/>
    <w:rsid w:val="00A16534"/>
    <w:rsid w:val="00A173F0"/>
    <w:rsid w:val="00A206ED"/>
    <w:rsid w:val="00A207DE"/>
    <w:rsid w:val="00A20806"/>
    <w:rsid w:val="00A20C7F"/>
    <w:rsid w:val="00A21D41"/>
    <w:rsid w:val="00A22DBA"/>
    <w:rsid w:val="00A2329D"/>
    <w:rsid w:val="00A2490E"/>
    <w:rsid w:val="00A252BB"/>
    <w:rsid w:val="00A25442"/>
    <w:rsid w:val="00A25BFF"/>
    <w:rsid w:val="00A26648"/>
    <w:rsid w:val="00A26A4E"/>
    <w:rsid w:val="00A26B4A"/>
    <w:rsid w:val="00A26F79"/>
    <w:rsid w:val="00A272DC"/>
    <w:rsid w:val="00A27522"/>
    <w:rsid w:val="00A27D3E"/>
    <w:rsid w:val="00A27F25"/>
    <w:rsid w:val="00A30D4E"/>
    <w:rsid w:val="00A3136F"/>
    <w:rsid w:val="00A317C6"/>
    <w:rsid w:val="00A32418"/>
    <w:rsid w:val="00A338AA"/>
    <w:rsid w:val="00A34D0C"/>
    <w:rsid w:val="00A34D76"/>
    <w:rsid w:val="00A34D77"/>
    <w:rsid w:val="00A3552B"/>
    <w:rsid w:val="00A35740"/>
    <w:rsid w:val="00A357E6"/>
    <w:rsid w:val="00A365D0"/>
    <w:rsid w:val="00A3661B"/>
    <w:rsid w:val="00A402B8"/>
    <w:rsid w:val="00A4043E"/>
    <w:rsid w:val="00A41A6C"/>
    <w:rsid w:val="00A437D9"/>
    <w:rsid w:val="00A43962"/>
    <w:rsid w:val="00A43C16"/>
    <w:rsid w:val="00A443A6"/>
    <w:rsid w:val="00A45A1A"/>
    <w:rsid w:val="00A45E61"/>
    <w:rsid w:val="00A46FCD"/>
    <w:rsid w:val="00A47473"/>
    <w:rsid w:val="00A47F32"/>
    <w:rsid w:val="00A5004D"/>
    <w:rsid w:val="00A53220"/>
    <w:rsid w:val="00A538E6"/>
    <w:rsid w:val="00A55435"/>
    <w:rsid w:val="00A55879"/>
    <w:rsid w:val="00A56102"/>
    <w:rsid w:val="00A56405"/>
    <w:rsid w:val="00A56800"/>
    <w:rsid w:val="00A56D7E"/>
    <w:rsid w:val="00A57404"/>
    <w:rsid w:val="00A575BD"/>
    <w:rsid w:val="00A57816"/>
    <w:rsid w:val="00A57AA4"/>
    <w:rsid w:val="00A57D99"/>
    <w:rsid w:val="00A60EEC"/>
    <w:rsid w:val="00A61DC8"/>
    <w:rsid w:val="00A623CE"/>
    <w:rsid w:val="00A63518"/>
    <w:rsid w:val="00A63B83"/>
    <w:rsid w:val="00A63FE9"/>
    <w:rsid w:val="00A653DF"/>
    <w:rsid w:val="00A65BD9"/>
    <w:rsid w:val="00A65CCF"/>
    <w:rsid w:val="00A66718"/>
    <w:rsid w:val="00A671EF"/>
    <w:rsid w:val="00A67728"/>
    <w:rsid w:val="00A7023E"/>
    <w:rsid w:val="00A70B31"/>
    <w:rsid w:val="00A726E5"/>
    <w:rsid w:val="00A7304C"/>
    <w:rsid w:val="00A7345A"/>
    <w:rsid w:val="00A73A74"/>
    <w:rsid w:val="00A74EAF"/>
    <w:rsid w:val="00A75355"/>
    <w:rsid w:val="00A759FE"/>
    <w:rsid w:val="00A75FE1"/>
    <w:rsid w:val="00A76BF4"/>
    <w:rsid w:val="00A76D67"/>
    <w:rsid w:val="00A77562"/>
    <w:rsid w:val="00A776B8"/>
    <w:rsid w:val="00A77824"/>
    <w:rsid w:val="00A81EB6"/>
    <w:rsid w:val="00A837FE"/>
    <w:rsid w:val="00A83D38"/>
    <w:rsid w:val="00A847F1"/>
    <w:rsid w:val="00A85357"/>
    <w:rsid w:val="00A86EE3"/>
    <w:rsid w:val="00A902DD"/>
    <w:rsid w:val="00A9096F"/>
    <w:rsid w:val="00A90D89"/>
    <w:rsid w:val="00A9140A"/>
    <w:rsid w:val="00A91617"/>
    <w:rsid w:val="00A93BF8"/>
    <w:rsid w:val="00A94B43"/>
    <w:rsid w:val="00A94CE3"/>
    <w:rsid w:val="00A9613D"/>
    <w:rsid w:val="00A96FA8"/>
    <w:rsid w:val="00A9770A"/>
    <w:rsid w:val="00AA0A43"/>
    <w:rsid w:val="00AA0DD3"/>
    <w:rsid w:val="00AA1934"/>
    <w:rsid w:val="00AA1C07"/>
    <w:rsid w:val="00AA218E"/>
    <w:rsid w:val="00AA3688"/>
    <w:rsid w:val="00AA4466"/>
    <w:rsid w:val="00AA4B5B"/>
    <w:rsid w:val="00AA4D90"/>
    <w:rsid w:val="00AA4E26"/>
    <w:rsid w:val="00AA5869"/>
    <w:rsid w:val="00AA5887"/>
    <w:rsid w:val="00AA58BC"/>
    <w:rsid w:val="00AA5FE0"/>
    <w:rsid w:val="00AA654D"/>
    <w:rsid w:val="00AA689B"/>
    <w:rsid w:val="00AA6EB1"/>
    <w:rsid w:val="00AA7D15"/>
    <w:rsid w:val="00AB005C"/>
    <w:rsid w:val="00AB0982"/>
    <w:rsid w:val="00AB19F8"/>
    <w:rsid w:val="00AB2A61"/>
    <w:rsid w:val="00AB3419"/>
    <w:rsid w:val="00AB3857"/>
    <w:rsid w:val="00AB3A12"/>
    <w:rsid w:val="00AB4527"/>
    <w:rsid w:val="00AB473A"/>
    <w:rsid w:val="00AB5281"/>
    <w:rsid w:val="00AB57F3"/>
    <w:rsid w:val="00AB59F2"/>
    <w:rsid w:val="00AB5A8D"/>
    <w:rsid w:val="00AB6642"/>
    <w:rsid w:val="00AC068A"/>
    <w:rsid w:val="00AC0D9E"/>
    <w:rsid w:val="00AC10B0"/>
    <w:rsid w:val="00AC25B0"/>
    <w:rsid w:val="00AC2EFE"/>
    <w:rsid w:val="00AC385D"/>
    <w:rsid w:val="00AC3930"/>
    <w:rsid w:val="00AC3AB1"/>
    <w:rsid w:val="00AC518A"/>
    <w:rsid w:val="00AC5846"/>
    <w:rsid w:val="00AC68C6"/>
    <w:rsid w:val="00AC79C1"/>
    <w:rsid w:val="00AC7CA4"/>
    <w:rsid w:val="00AC7E6D"/>
    <w:rsid w:val="00AC7E79"/>
    <w:rsid w:val="00AD2BA9"/>
    <w:rsid w:val="00AD3677"/>
    <w:rsid w:val="00AD390A"/>
    <w:rsid w:val="00AD3954"/>
    <w:rsid w:val="00AD3D5C"/>
    <w:rsid w:val="00AD3DD1"/>
    <w:rsid w:val="00AD4483"/>
    <w:rsid w:val="00AD493B"/>
    <w:rsid w:val="00AD4A1A"/>
    <w:rsid w:val="00AD4A64"/>
    <w:rsid w:val="00AD4C02"/>
    <w:rsid w:val="00AD4C32"/>
    <w:rsid w:val="00AD4D4E"/>
    <w:rsid w:val="00AD598F"/>
    <w:rsid w:val="00AD6389"/>
    <w:rsid w:val="00AD6D09"/>
    <w:rsid w:val="00AD70A9"/>
    <w:rsid w:val="00AE07DA"/>
    <w:rsid w:val="00AE098E"/>
    <w:rsid w:val="00AE0BBA"/>
    <w:rsid w:val="00AE1108"/>
    <w:rsid w:val="00AE141A"/>
    <w:rsid w:val="00AE1A45"/>
    <w:rsid w:val="00AE2291"/>
    <w:rsid w:val="00AE25C8"/>
    <w:rsid w:val="00AE2851"/>
    <w:rsid w:val="00AE2F1C"/>
    <w:rsid w:val="00AE3BAE"/>
    <w:rsid w:val="00AE4113"/>
    <w:rsid w:val="00AE4380"/>
    <w:rsid w:val="00AE4FAC"/>
    <w:rsid w:val="00AE5525"/>
    <w:rsid w:val="00AE5A61"/>
    <w:rsid w:val="00AE6381"/>
    <w:rsid w:val="00AE656F"/>
    <w:rsid w:val="00AE6CE4"/>
    <w:rsid w:val="00AE716F"/>
    <w:rsid w:val="00AE7328"/>
    <w:rsid w:val="00AE76FF"/>
    <w:rsid w:val="00AE7D78"/>
    <w:rsid w:val="00AF2824"/>
    <w:rsid w:val="00AF3123"/>
    <w:rsid w:val="00AF41F6"/>
    <w:rsid w:val="00AF438E"/>
    <w:rsid w:val="00AF45CA"/>
    <w:rsid w:val="00AF4749"/>
    <w:rsid w:val="00AF4847"/>
    <w:rsid w:val="00AF5CEE"/>
    <w:rsid w:val="00AF693D"/>
    <w:rsid w:val="00AF7506"/>
    <w:rsid w:val="00B007DD"/>
    <w:rsid w:val="00B0098A"/>
    <w:rsid w:val="00B01016"/>
    <w:rsid w:val="00B0146E"/>
    <w:rsid w:val="00B01496"/>
    <w:rsid w:val="00B02160"/>
    <w:rsid w:val="00B027CB"/>
    <w:rsid w:val="00B0352B"/>
    <w:rsid w:val="00B03D50"/>
    <w:rsid w:val="00B04F24"/>
    <w:rsid w:val="00B04F37"/>
    <w:rsid w:val="00B073E6"/>
    <w:rsid w:val="00B074F8"/>
    <w:rsid w:val="00B07C10"/>
    <w:rsid w:val="00B10459"/>
    <w:rsid w:val="00B11115"/>
    <w:rsid w:val="00B11335"/>
    <w:rsid w:val="00B11A3D"/>
    <w:rsid w:val="00B12171"/>
    <w:rsid w:val="00B121B0"/>
    <w:rsid w:val="00B12DD0"/>
    <w:rsid w:val="00B13622"/>
    <w:rsid w:val="00B13B87"/>
    <w:rsid w:val="00B153C8"/>
    <w:rsid w:val="00B157FE"/>
    <w:rsid w:val="00B15E02"/>
    <w:rsid w:val="00B17CA8"/>
    <w:rsid w:val="00B17FAB"/>
    <w:rsid w:val="00B20EA9"/>
    <w:rsid w:val="00B22C5F"/>
    <w:rsid w:val="00B23687"/>
    <w:rsid w:val="00B2549D"/>
    <w:rsid w:val="00B25710"/>
    <w:rsid w:val="00B26807"/>
    <w:rsid w:val="00B27B03"/>
    <w:rsid w:val="00B31B62"/>
    <w:rsid w:val="00B3208E"/>
    <w:rsid w:val="00B33711"/>
    <w:rsid w:val="00B34889"/>
    <w:rsid w:val="00B3517D"/>
    <w:rsid w:val="00B35181"/>
    <w:rsid w:val="00B357A8"/>
    <w:rsid w:val="00B36523"/>
    <w:rsid w:val="00B37550"/>
    <w:rsid w:val="00B402C6"/>
    <w:rsid w:val="00B4067D"/>
    <w:rsid w:val="00B4148E"/>
    <w:rsid w:val="00B417A8"/>
    <w:rsid w:val="00B41DC1"/>
    <w:rsid w:val="00B426F6"/>
    <w:rsid w:val="00B4274E"/>
    <w:rsid w:val="00B42A4E"/>
    <w:rsid w:val="00B42EBB"/>
    <w:rsid w:val="00B42F69"/>
    <w:rsid w:val="00B45E24"/>
    <w:rsid w:val="00B46097"/>
    <w:rsid w:val="00B46934"/>
    <w:rsid w:val="00B46EC7"/>
    <w:rsid w:val="00B502FF"/>
    <w:rsid w:val="00B5070D"/>
    <w:rsid w:val="00B50A91"/>
    <w:rsid w:val="00B50AEE"/>
    <w:rsid w:val="00B5160B"/>
    <w:rsid w:val="00B51761"/>
    <w:rsid w:val="00B51871"/>
    <w:rsid w:val="00B52015"/>
    <w:rsid w:val="00B52022"/>
    <w:rsid w:val="00B52187"/>
    <w:rsid w:val="00B54691"/>
    <w:rsid w:val="00B55ED6"/>
    <w:rsid w:val="00B600CA"/>
    <w:rsid w:val="00B60CCD"/>
    <w:rsid w:val="00B60D16"/>
    <w:rsid w:val="00B61DF3"/>
    <w:rsid w:val="00B62854"/>
    <w:rsid w:val="00B62EF1"/>
    <w:rsid w:val="00B63875"/>
    <w:rsid w:val="00B63CAC"/>
    <w:rsid w:val="00B640CC"/>
    <w:rsid w:val="00B645B6"/>
    <w:rsid w:val="00B64B2F"/>
    <w:rsid w:val="00B64BA4"/>
    <w:rsid w:val="00B667BF"/>
    <w:rsid w:val="00B674D6"/>
    <w:rsid w:val="00B6797D"/>
    <w:rsid w:val="00B67D53"/>
    <w:rsid w:val="00B70D5C"/>
    <w:rsid w:val="00B70EED"/>
    <w:rsid w:val="00B713D6"/>
    <w:rsid w:val="00B7147E"/>
    <w:rsid w:val="00B721B4"/>
    <w:rsid w:val="00B72FBF"/>
    <w:rsid w:val="00B734CC"/>
    <w:rsid w:val="00B735B8"/>
    <w:rsid w:val="00B7377A"/>
    <w:rsid w:val="00B738DA"/>
    <w:rsid w:val="00B74858"/>
    <w:rsid w:val="00B74BFC"/>
    <w:rsid w:val="00B752EB"/>
    <w:rsid w:val="00B765F7"/>
    <w:rsid w:val="00B76758"/>
    <w:rsid w:val="00B77BE4"/>
    <w:rsid w:val="00B802CC"/>
    <w:rsid w:val="00B812BE"/>
    <w:rsid w:val="00B813D5"/>
    <w:rsid w:val="00B81A04"/>
    <w:rsid w:val="00B81ABF"/>
    <w:rsid w:val="00B81AE9"/>
    <w:rsid w:val="00B81FC4"/>
    <w:rsid w:val="00B8258D"/>
    <w:rsid w:val="00B825B4"/>
    <w:rsid w:val="00B83C7B"/>
    <w:rsid w:val="00B83CCF"/>
    <w:rsid w:val="00B84733"/>
    <w:rsid w:val="00B84E7E"/>
    <w:rsid w:val="00B853FE"/>
    <w:rsid w:val="00B85499"/>
    <w:rsid w:val="00B85585"/>
    <w:rsid w:val="00B8603F"/>
    <w:rsid w:val="00B86608"/>
    <w:rsid w:val="00B86EA9"/>
    <w:rsid w:val="00B87847"/>
    <w:rsid w:val="00B90477"/>
    <w:rsid w:val="00B90C89"/>
    <w:rsid w:val="00B912C4"/>
    <w:rsid w:val="00B92AA5"/>
    <w:rsid w:val="00B93904"/>
    <w:rsid w:val="00B94053"/>
    <w:rsid w:val="00B955FE"/>
    <w:rsid w:val="00B96744"/>
    <w:rsid w:val="00B9725B"/>
    <w:rsid w:val="00BA0B9F"/>
    <w:rsid w:val="00BA15D3"/>
    <w:rsid w:val="00BA249D"/>
    <w:rsid w:val="00BA2853"/>
    <w:rsid w:val="00BA3287"/>
    <w:rsid w:val="00BA3B47"/>
    <w:rsid w:val="00BA6419"/>
    <w:rsid w:val="00BA6550"/>
    <w:rsid w:val="00BB3642"/>
    <w:rsid w:val="00BB4A3B"/>
    <w:rsid w:val="00BB59F6"/>
    <w:rsid w:val="00BB5D3C"/>
    <w:rsid w:val="00BB5EF0"/>
    <w:rsid w:val="00BB66AB"/>
    <w:rsid w:val="00BB681A"/>
    <w:rsid w:val="00BB7E7C"/>
    <w:rsid w:val="00BC0AD6"/>
    <w:rsid w:val="00BC122E"/>
    <w:rsid w:val="00BC3584"/>
    <w:rsid w:val="00BC42DA"/>
    <w:rsid w:val="00BC437E"/>
    <w:rsid w:val="00BC5838"/>
    <w:rsid w:val="00BC6DC2"/>
    <w:rsid w:val="00BD0137"/>
    <w:rsid w:val="00BD2685"/>
    <w:rsid w:val="00BD3283"/>
    <w:rsid w:val="00BD5F8E"/>
    <w:rsid w:val="00BD6F16"/>
    <w:rsid w:val="00BD6FCE"/>
    <w:rsid w:val="00BD7D2B"/>
    <w:rsid w:val="00BE124F"/>
    <w:rsid w:val="00BE1517"/>
    <w:rsid w:val="00BE3839"/>
    <w:rsid w:val="00BE459D"/>
    <w:rsid w:val="00BE4ED6"/>
    <w:rsid w:val="00BE54F3"/>
    <w:rsid w:val="00BE5F67"/>
    <w:rsid w:val="00BE605C"/>
    <w:rsid w:val="00BE6C0E"/>
    <w:rsid w:val="00BE6D7B"/>
    <w:rsid w:val="00BE7633"/>
    <w:rsid w:val="00BE7920"/>
    <w:rsid w:val="00BE79A2"/>
    <w:rsid w:val="00BE7FC8"/>
    <w:rsid w:val="00BF1287"/>
    <w:rsid w:val="00BF1E46"/>
    <w:rsid w:val="00BF2CD1"/>
    <w:rsid w:val="00BF48DE"/>
    <w:rsid w:val="00BF4B6A"/>
    <w:rsid w:val="00BF5135"/>
    <w:rsid w:val="00BF57E0"/>
    <w:rsid w:val="00C00312"/>
    <w:rsid w:val="00C009F5"/>
    <w:rsid w:val="00C01129"/>
    <w:rsid w:val="00C02239"/>
    <w:rsid w:val="00C022E1"/>
    <w:rsid w:val="00C033C7"/>
    <w:rsid w:val="00C0380F"/>
    <w:rsid w:val="00C0398D"/>
    <w:rsid w:val="00C04AB0"/>
    <w:rsid w:val="00C04E4D"/>
    <w:rsid w:val="00C05C3D"/>
    <w:rsid w:val="00C0621E"/>
    <w:rsid w:val="00C06A45"/>
    <w:rsid w:val="00C071AC"/>
    <w:rsid w:val="00C07E79"/>
    <w:rsid w:val="00C103ED"/>
    <w:rsid w:val="00C108D6"/>
    <w:rsid w:val="00C109A2"/>
    <w:rsid w:val="00C10F1B"/>
    <w:rsid w:val="00C10F9E"/>
    <w:rsid w:val="00C11E4C"/>
    <w:rsid w:val="00C14954"/>
    <w:rsid w:val="00C1636F"/>
    <w:rsid w:val="00C176DE"/>
    <w:rsid w:val="00C17893"/>
    <w:rsid w:val="00C179B0"/>
    <w:rsid w:val="00C20245"/>
    <w:rsid w:val="00C20CA6"/>
    <w:rsid w:val="00C212C2"/>
    <w:rsid w:val="00C21ACD"/>
    <w:rsid w:val="00C21B83"/>
    <w:rsid w:val="00C226F9"/>
    <w:rsid w:val="00C23398"/>
    <w:rsid w:val="00C23B23"/>
    <w:rsid w:val="00C2428B"/>
    <w:rsid w:val="00C26C22"/>
    <w:rsid w:val="00C27A4E"/>
    <w:rsid w:val="00C27B03"/>
    <w:rsid w:val="00C30396"/>
    <w:rsid w:val="00C3089B"/>
    <w:rsid w:val="00C30B01"/>
    <w:rsid w:val="00C3105D"/>
    <w:rsid w:val="00C32A0E"/>
    <w:rsid w:val="00C34B40"/>
    <w:rsid w:val="00C34F35"/>
    <w:rsid w:val="00C35345"/>
    <w:rsid w:val="00C35836"/>
    <w:rsid w:val="00C361D6"/>
    <w:rsid w:val="00C37670"/>
    <w:rsid w:val="00C379D3"/>
    <w:rsid w:val="00C37BBA"/>
    <w:rsid w:val="00C40451"/>
    <w:rsid w:val="00C40E27"/>
    <w:rsid w:val="00C413DC"/>
    <w:rsid w:val="00C413DD"/>
    <w:rsid w:val="00C41CD3"/>
    <w:rsid w:val="00C4216E"/>
    <w:rsid w:val="00C43438"/>
    <w:rsid w:val="00C4367D"/>
    <w:rsid w:val="00C43DE2"/>
    <w:rsid w:val="00C44264"/>
    <w:rsid w:val="00C4580A"/>
    <w:rsid w:val="00C45A26"/>
    <w:rsid w:val="00C46251"/>
    <w:rsid w:val="00C475E1"/>
    <w:rsid w:val="00C4790F"/>
    <w:rsid w:val="00C47FC0"/>
    <w:rsid w:val="00C50544"/>
    <w:rsid w:val="00C50BFB"/>
    <w:rsid w:val="00C5189F"/>
    <w:rsid w:val="00C51B64"/>
    <w:rsid w:val="00C528CC"/>
    <w:rsid w:val="00C52C5B"/>
    <w:rsid w:val="00C52F62"/>
    <w:rsid w:val="00C53ABD"/>
    <w:rsid w:val="00C53AD3"/>
    <w:rsid w:val="00C53C94"/>
    <w:rsid w:val="00C5427E"/>
    <w:rsid w:val="00C54289"/>
    <w:rsid w:val="00C550B0"/>
    <w:rsid w:val="00C56B0F"/>
    <w:rsid w:val="00C57741"/>
    <w:rsid w:val="00C60454"/>
    <w:rsid w:val="00C6074F"/>
    <w:rsid w:val="00C60B10"/>
    <w:rsid w:val="00C617CB"/>
    <w:rsid w:val="00C62568"/>
    <w:rsid w:val="00C63EDC"/>
    <w:rsid w:val="00C63FF1"/>
    <w:rsid w:val="00C64143"/>
    <w:rsid w:val="00C6434D"/>
    <w:rsid w:val="00C652E5"/>
    <w:rsid w:val="00C65725"/>
    <w:rsid w:val="00C6686A"/>
    <w:rsid w:val="00C67446"/>
    <w:rsid w:val="00C67C41"/>
    <w:rsid w:val="00C70962"/>
    <w:rsid w:val="00C71674"/>
    <w:rsid w:val="00C739AD"/>
    <w:rsid w:val="00C74C98"/>
    <w:rsid w:val="00C7559B"/>
    <w:rsid w:val="00C76230"/>
    <w:rsid w:val="00C7697F"/>
    <w:rsid w:val="00C77489"/>
    <w:rsid w:val="00C80195"/>
    <w:rsid w:val="00C8075B"/>
    <w:rsid w:val="00C8136C"/>
    <w:rsid w:val="00C81389"/>
    <w:rsid w:val="00C82336"/>
    <w:rsid w:val="00C82FAC"/>
    <w:rsid w:val="00C82FFA"/>
    <w:rsid w:val="00C848D8"/>
    <w:rsid w:val="00C84A1B"/>
    <w:rsid w:val="00C84F83"/>
    <w:rsid w:val="00C85521"/>
    <w:rsid w:val="00C85537"/>
    <w:rsid w:val="00C856C0"/>
    <w:rsid w:val="00C863EE"/>
    <w:rsid w:val="00C9026F"/>
    <w:rsid w:val="00C91762"/>
    <w:rsid w:val="00C91D84"/>
    <w:rsid w:val="00C92406"/>
    <w:rsid w:val="00C92646"/>
    <w:rsid w:val="00C92900"/>
    <w:rsid w:val="00C9316A"/>
    <w:rsid w:val="00C93B5E"/>
    <w:rsid w:val="00C93C2E"/>
    <w:rsid w:val="00C95022"/>
    <w:rsid w:val="00C951DE"/>
    <w:rsid w:val="00C95D8D"/>
    <w:rsid w:val="00C96BE9"/>
    <w:rsid w:val="00C97C7F"/>
    <w:rsid w:val="00CA0DB7"/>
    <w:rsid w:val="00CA2046"/>
    <w:rsid w:val="00CA2283"/>
    <w:rsid w:val="00CA2AEF"/>
    <w:rsid w:val="00CA325F"/>
    <w:rsid w:val="00CA33B8"/>
    <w:rsid w:val="00CA3A97"/>
    <w:rsid w:val="00CA5F7D"/>
    <w:rsid w:val="00CA75E7"/>
    <w:rsid w:val="00CB1582"/>
    <w:rsid w:val="00CB21EC"/>
    <w:rsid w:val="00CB22B7"/>
    <w:rsid w:val="00CB2719"/>
    <w:rsid w:val="00CB2EF1"/>
    <w:rsid w:val="00CB31DA"/>
    <w:rsid w:val="00CB3264"/>
    <w:rsid w:val="00CB4687"/>
    <w:rsid w:val="00CB5032"/>
    <w:rsid w:val="00CB531C"/>
    <w:rsid w:val="00CB5781"/>
    <w:rsid w:val="00CB5A16"/>
    <w:rsid w:val="00CB6152"/>
    <w:rsid w:val="00CB7DF6"/>
    <w:rsid w:val="00CC00DD"/>
    <w:rsid w:val="00CC0DB8"/>
    <w:rsid w:val="00CC24C0"/>
    <w:rsid w:val="00CC303F"/>
    <w:rsid w:val="00CC3C96"/>
    <w:rsid w:val="00CC45BC"/>
    <w:rsid w:val="00CC4C15"/>
    <w:rsid w:val="00CC5103"/>
    <w:rsid w:val="00CC633C"/>
    <w:rsid w:val="00CC6AAE"/>
    <w:rsid w:val="00CC6B91"/>
    <w:rsid w:val="00CC6CB9"/>
    <w:rsid w:val="00CC7CF2"/>
    <w:rsid w:val="00CD077C"/>
    <w:rsid w:val="00CD07E6"/>
    <w:rsid w:val="00CD228D"/>
    <w:rsid w:val="00CD342A"/>
    <w:rsid w:val="00CD3940"/>
    <w:rsid w:val="00CD3A36"/>
    <w:rsid w:val="00CD3E93"/>
    <w:rsid w:val="00CD434F"/>
    <w:rsid w:val="00CD47A3"/>
    <w:rsid w:val="00CD6F6B"/>
    <w:rsid w:val="00CE036C"/>
    <w:rsid w:val="00CE12FD"/>
    <w:rsid w:val="00CE2183"/>
    <w:rsid w:val="00CE47B2"/>
    <w:rsid w:val="00CE4C7B"/>
    <w:rsid w:val="00CE5F82"/>
    <w:rsid w:val="00CE6640"/>
    <w:rsid w:val="00CE6A0B"/>
    <w:rsid w:val="00CE6D86"/>
    <w:rsid w:val="00CE72DD"/>
    <w:rsid w:val="00CE7FF0"/>
    <w:rsid w:val="00CF0950"/>
    <w:rsid w:val="00CF15FE"/>
    <w:rsid w:val="00CF3B07"/>
    <w:rsid w:val="00CF3BCC"/>
    <w:rsid w:val="00CF3DBF"/>
    <w:rsid w:val="00CF4C13"/>
    <w:rsid w:val="00CF5EAA"/>
    <w:rsid w:val="00CF62E0"/>
    <w:rsid w:val="00CF6384"/>
    <w:rsid w:val="00CF6902"/>
    <w:rsid w:val="00D0001A"/>
    <w:rsid w:val="00D0211D"/>
    <w:rsid w:val="00D057FC"/>
    <w:rsid w:val="00D06E88"/>
    <w:rsid w:val="00D11DA5"/>
    <w:rsid w:val="00D11F90"/>
    <w:rsid w:val="00D129E4"/>
    <w:rsid w:val="00D13527"/>
    <w:rsid w:val="00D14731"/>
    <w:rsid w:val="00D15E4E"/>
    <w:rsid w:val="00D170AC"/>
    <w:rsid w:val="00D17601"/>
    <w:rsid w:val="00D20459"/>
    <w:rsid w:val="00D204A0"/>
    <w:rsid w:val="00D20CC0"/>
    <w:rsid w:val="00D20CCB"/>
    <w:rsid w:val="00D20D6E"/>
    <w:rsid w:val="00D21300"/>
    <w:rsid w:val="00D22F7B"/>
    <w:rsid w:val="00D230DC"/>
    <w:rsid w:val="00D245CD"/>
    <w:rsid w:val="00D251A3"/>
    <w:rsid w:val="00D251D9"/>
    <w:rsid w:val="00D25457"/>
    <w:rsid w:val="00D26303"/>
    <w:rsid w:val="00D26C9A"/>
    <w:rsid w:val="00D27B57"/>
    <w:rsid w:val="00D303E8"/>
    <w:rsid w:val="00D3128E"/>
    <w:rsid w:val="00D31BA6"/>
    <w:rsid w:val="00D32A36"/>
    <w:rsid w:val="00D331AF"/>
    <w:rsid w:val="00D335E1"/>
    <w:rsid w:val="00D33EB4"/>
    <w:rsid w:val="00D34078"/>
    <w:rsid w:val="00D3430F"/>
    <w:rsid w:val="00D343AD"/>
    <w:rsid w:val="00D3492F"/>
    <w:rsid w:val="00D3545E"/>
    <w:rsid w:val="00D35733"/>
    <w:rsid w:val="00D35FEA"/>
    <w:rsid w:val="00D366E4"/>
    <w:rsid w:val="00D402F7"/>
    <w:rsid w:val="00D423AC"/>
    <w:rsid w:val="00D44B15"/>
    <w:rsid w:val="00D44C88"/>
    <w:rsid w:val="00D44DC6"/>
    <w:rsid w:val="00D476EA"/>
    <w:rsid w:val="00D51239"/>
    <w:rsid w:val="00D514E5"/>
    <w:rsid w:val="00D52079"/>
    <w:rsid w:val="00D524A7"/>
    <w:rsid w:val="00D53589"/>
    <w:rsid w:val="00D539D5"/>
    <w:rsid w:val="00D544D5"/>
    <w:rsid w:val="00D562C1"/>
    <w:rsid w:val="00D56DD7"/>
    <w:rsid w:val="00D57897"/>
    <w:rsid w:val="00D57B95"/>
    <w:rsid w:val="00D6011A"/>
    <w:rsid w:val="00D60120"/>
    <w:rsid w:val="00D602DE"/>
    <w:rsid w:val="00D60430"/>
    <w:rsid w:val="00D6096A"/>
    <w:rsid w:val="00D60ABE"/>
    <w:rsid w:val="00D60CE5"/>
    <w:rsid w:val="00D61811"/>
    <w:rsid w:val="00D630A3"/>
    <w:rsid w:val="00D63F9F"/>
    <w:rsid w:val="00D646D3"/>
    <w:rsid w:val="00D65D5C"/>
    <w:rsid w:val="00D662F2"/>
    <w:rsid w:val="00D665F1"/>
    <w:rsid w:val="00D66AE4"/>
    <w:rsid w:val="00D6711E"/>
    <w:rsid w:val="00D67448"/>
    <w:rsid w:val="00D6752E"/>
    <w:rsid w:val="00D71CEE"/>
    <w:rsid w:val="00D71FE2"/>
    <w:rsid w:val="00D72B61"/>
    <w:rsid w:val="00D73247"/>
    <w:rsid w:val="00D7335E"/>
    <w:rsid w:val="00D733A8"/>
    <w:rsid w:val="00D73B08"/>
    <w:rsid w:val="00D740F9"/>
    <w:rsid w:val="00D7668E"/>
    <w:rsid w:val="00D7699F"/>
    <w:rsid w:val="00D80127"/>
    <w:rsid w:val="00D80137"/>
    <w:rsid w:val="00D804E2"/>
    <w:rsid w:val="00D805D1"/>
    <w:rsid w:val="00D81E7B"/>
    <w:rsid w:val="00D81FB3"/>
    <w:rsid w:val="00D8286C"/>
    <w:rsid w:val="00D82FD7"/>
    <w:rsid w:val="00D84862"/>
    <w:rsid w:val="00D84FA6"/>
    <w:rsid w:val="00D85C5F"/>
    <w:rsid w:val="00D85ECC"/>
    <w:rsid w:val="00D86055"/>
    <w:rsid w:val="00D864C7"/>
    <w:rsid w:val="00D86EB7"/>
    <w:rsid w:val="00D87BC7"/>
    <w:rsid w:val="00D87C4E"/>
    <w:rsid w:val="00D90305"/>
    <w:rsid w:val="00D9043D"/>
    <w:rsid w:val="00D91E9F"/>
    <w:rsid w:val="00D91F41"/>
    <w:rsid w:val="00D9295C"/>
    <w:rsid w:val="00D92B5E"/>
    <w:rsid w:val="00D93388"/>
    <w:rsid w:val="00D93CFF"/>
    <w:rsid w:val="00D95457"/>
    <w:rsid w:val="00D97A7B"/>
    <w:rsid w:val="00DA0109"/>
    <w:rsid w:val="00DA1259"/>
    <w:rsid w:val="00DA1AAD"/>
    <w:rsid w:val="00DA1B5D"/>
    <w:rsid w:val="00DA1E08"/>
    <w:rsid w:val="00DA41A5"/>
    <w:rsid w:val="00DA42B5"/>
    <w:rsid w:val="00DA4A52"/>
    <w:rsid w:val="00DA4FBC"/>
    <w:rsid w:val="00DA7457"/>
    <w:rsid w:val="00DA7AB6"/>
    <w:rsid w:val="00DB0789"/>
    <w:rsid w:val="00DB0F72"/>
    <w:rsid w:val="00DB1083"/>
    <w:rsid w:val="00DB16EA"/>
    <w:rsid w:val="00DB2995"/>
    <w:rsid w:val="00DB2ED0"/>
    <w:rsid w:val="00DB312E"/>
    <w:rsid w:val="00DB37B7"/>
    <w:rsid w:val="00DB38F0"/>
    <w:rsid w:val="00DB3EE8"/>
    <w:rsid w:val="00DB4701"/>
    <w:rsid w:val="00DB4E76"/>
    <w:rsid w:val="00DB59C0"/>
    <w:rsid w:val="00DB6110"/>
    <w:rsid w:val="00DB7B40"/>
    <w:rsid w:val="00DC0146"/>
    <w:rsid w:val="00DC03EE"/>
    <w:rsid w:val="00DC2D81"/>
    <w:rsid w:val="00DC36B8"/>
    <w:rsid w:val="00DC4581"/>
    <w:rsid w:val="00DC53F2"/>
    <w:rsid w:val="00DC6B01"/>
    <w:rsid w:val="00DC7797"/>
    <w:rsid w:val="00DC7868"/>
    <w:rsid w:val="00DC7E53"/>
    <w:rsid w:val="00DD04AE"/>
    <w:rsid w:val="00DD078A"/>
    <w:rsid w:val="00DD10EB"/>
    <w:rsid w:val="00DD1737"/>
    <w:rsid w:val="00DD311E"/>
    <w:rsid w:val="00DD31F9"/>
    <w:rsid w:val="00DD34E1"/>
    <w:rsid w:val="00DD38BF"/>
    <w:rsid w:val="00DD45C1"/>
    <w:rsid w:val="00DD45E7"/>
    <w:rsid w:val="00DD4B1C"/>
    <w:rsid w:val="00DD551C"/>
    <w:rsid w:val="00DD6AA5"/>
    <w:rsid w:val="00DD71F6"/>
    <w:rsid w:val="00DD7667"/>
    <w:rsid w:val="00DD777C"/>
    <w:rsid w:val="00DE0070"/>
    <w:rsid w:val="00DE0475"/>
    <w:rsid w:val="00DE0D2F"/>
    <w:rsid w:val="00DE0D75"/>
    <w:rsid w:val="00DE19EB"/>
    <w:rsid w:val="00DE1B47"/>
    <w:rsid w:val="00DE5B0F"/>
    <w:rsid w:val="00DE5FF9"/>
    <w:rsid w:val="00DE6BE6"/>
    <w:rsid w:val="00DF001A"/>
    <w:rsid w:val="00DF0FE3"/>
    <w:rsid w:val="00DF2633"/>
    <w:rsid w:val="00DF2CB1"/>
    <w:rsid w:val="00DF3118"/>
    <w:rsid w:val="00DF4C1A"/>
    <w:rsid w:val="00DF5DC2"/>
    <w:rsid w:val="00DF63B3"/>
    <w:rsid w:val="00DF661D"/>
    <w:rsid w:val="00DF69F9"/>
    <w:rsid w:val="00DF71A6"/>
    <w:rsid w:val="00DF79A4"/>
    <w:rsid w:val="00E012D8"/>
    <w:rsid w:val="00E0179B"/>
    <w:rsid w:val="00E02579"/>
    <w:rsid w:val="00E02B50"/>
    <w:rsid w:val="00E040B0"/>
    <w:rsid w:val="00E04A03"/>
    <w:rsid w:val="00E04B3F"/>
    <w:rsid w:val="00E050A6"/>
    <w:rsid w:val="00E060C1"/>
    <w:rsid w:val="00E06B1E"/>
    <w:rsid w:val="00E07638"/>
    <w:rsid w:val="00E07787"/>
    <w:rsid w:val="00E07BEA"/>
    <w:rsid w:val="00E10AAF"/>
    <w:rsid w:val="00E10C74"/>
    <w:rsid w:val="00E11411"/>
    <w:rsid w:val="00E11AD6"/>
    <w:rsid w:val="00E11AF2"/>
    <w:rsid w:val="00E12974"/>
    <w:rsid w:val="00E135DD"/>
    <w:rsid w:val="00E1381A"/>
    <w:rsid w:val="00E147D5"/>
    <w:rsid w:val="00E14C0E"/>
    <w:rsid w:val="00E1525C"/>
    <w:rsid w:val="00E1562D"/>
    <w:rsid w:val="00E15CC0"/>
    <w:rsid w:val="00E16406"/>
    <w:rsid w:val="00E16642"/>
    <w:rsid w:val="00E16CDA"/>
    <w:rsid w:val="00E16F16"/>
    <w:rsid w:val="00E174E3"/>
    <w:rsid w:val="00E1787C"/>
    <w:rsid w:val="00E20436"/>
    <w:rsid w:val="00E20467"/>
    <w:rsid w:val="00E21064"/>
    <w:rsid w:val="00E2249E"/>
    <w:rsid w:val="00E22B76"/>
    <w:rsid w:val="00E22C5D"/>
    <w:rsid w:val="00E22F17"/>
    <w:rsid w:val="00E234F1"/>
    <w:rsid w:val="00E241ED"/>
    <w:rsid w:val="00E24E3A"/>
    <w:rsid w:val="00E25AF8"/>
    <w:rsid w:val="00E261CB"/>
    <w:rsid w:val="00E2688B"/>
    <w:rsid w:val="00E26C55"/>
    <w:rsid w:val="00E26F6C"/>
    <w:rsid w:val="00E2752F"/>
    <w:rsid w:val="00E31BD0"/>
    <w:rsid w:val="00E32A91"/>
    <w:rsid w:val="00E33760"/>
    <w:rsid w:val="00E33BE3"/>
    <w:rsid w:val="00E341A6"/>
    <w:rsid w:val="00E34CA3"/>
    <w:rsid w:val="00E35C4A"/>
    <w:rsid w:val="00E37381"/>
    <w:rsid w:val="00E37A0F"/>
    <w:rsid w:val="00E37DA6"/>
    <w:rsid w:val="00E37EA1"/>
    <w:rsid w:val="00E37FE3"/>
    <w:rsid w:val="00E40A2F"/>
    <w:rsid w:val="00E40AA1"/>
    <w:rsid w:val="00E40EB7"/>
    <w:rsid w:val="00E43AAA"/>
    <w:rsid w:val="00E44C62"/>
    <w:rsid w:val="00E44CAA"/>
    <w:rsid w:val="00E44CEA"/>
    <w:rsid w:val="00E45F56"/>
    <w:rsid w:val="00E460F4"/>
    <w:rsid w:val="00E50DB4"/>
    <w:rsid w:val="00E5387C"/>
    <w:rsid w:val="00E54C49"/>
    <w:rsid w:val="00E54EF2"/>
    <w:rsid w:val="00E55224"/>
    <w:rsid w:val="00E575AC"/>
    <w:rsid w:val="00E605CB"/>
    <w:rsid w:val="00E60DC5"/>
    <w:rsid w:val="00E62CBF"/>
    <w:rsid w:val="00E63559"/>
    <w:rsid w:val="00E64502"/>
    <w:rsid w:val="00E65DAA"/>
    <w:rsid w:val="00E660C3"/>
    <w:rsid w:val="00E6680C"/>
    <w:rsid w:val="00E66C59"/>
    <w:rsid w:val="00E67180"/>
    <w:rsid w:val="00E675DC"/>
    <w:rsid w:val="00E676E2"/>
    <w:rsid w:val="00E67B18"/>
    <w:rsid w:val="00E71A08"/>
    <w:rsid w:val="00E729BF"/>
    <w:rsid w:val="00E72B7F"/>
    <w:rsid w:val="00E74990"/>
    <w:rsid w:val="00E74FA5"/>
    <w:rsid w:val="00E75272"/>
    <w:rsid w:val="00E756A8"/>
    <w:rsid w:val="00E76032"/>
    <w:rsid w:val="00E76441"/>
    <w:rsid w:val="00E768F2"/>
    <w:rsid w:val="00E77E9E"/>
    <w:rsid w:val="00E8003F"/>
    <w:rsid w:val="00E80C38"/>
    <w:rsid w:val="00E81AAB"/>
    <w:rsid w:val="00E81DED"/>
    <w:rsid w:val="00E82316"/>
    <w:rsid w:val="00E825B3"/>
    <w:rsid w:val="00E849DE"/>
    <w:rsid w:val="00E84CFB"/>
    <w:rsid w:val="00E85948"/>
    <w:rsid w:val="00E85D21"/>
    <w:rsid w:val="00E86536"/>
    <w:rsid w:val="00E86EAB"/>
    <w:rsid w:val="00E910DB"/>
    <w:rsid w:val="00E9167E"/>
    <w:rsid w:val="00E920B0"/>
    <w:rsid w:val="00E922A4"/>
    <w:rsid w:val="00E925CE"/>
    <w:rsid w:val="00E929FA"/>
    <w:rsid w:val="00E92C6F"/>
    <w:rsid w:val="00E9320C"/>
    <w:rsid w:val="00E93F3F"/>
    <w:rsid w:val="00E949E6"/>
    <w:rsid w:val="00E94F5D"/>
    <w:rsid w:val="00E9512D"/>
    <w:rsid w:val="00E959AC"/>
    <w:rsid w:val="00E95CFE"/>
    <w:rsid w:val="00E95DD9"/>
    <w:rsid w:val="00E974B5"/>
    <w:rsid w:val="00EA05D9"/>
    <w:rsid w:val="00EA0D86"/>
    <w:rsid w:val="00EA1104"/>
    <w:rsid w:val="00EA45FA"/>
    <w:rsid w:val="00EA5257"/>
    <w:rsid w:val="00EA59B6"/>
    <w:rsid w:val="00EA6401"/>
    <w:rsid w:val="00EA6D5E"/>
    <w:rsid w:val="00EA7415"/>
    <w:rsid w:val="00EB0433"/>
    <w:rsid w:val="00EB1B8B"/>
    <w:rsid w:val="00EB2D7C"/>
    <w:rsid w:val="00EB3C54"/>
    <w:rsid w:val="00EB476B"/>
    <w:rsid w:val="00EB4951"/>
    <w:rsid w:val="00EB516A"/>
    <w:rsid w:val="00EB595B"/>
    <w:rsid w:val="00EB6233"/>
    <w:rsid w:val="00EB63C7"/>
    <w:rsid w:val="00EB7C55"/>
    <w:rsid w:val="00EC098E"/>
    <w:rsid w:val="00EC0AC4"/>
    <w:rsid w:val="00EC0BCB"/>
    <w:rsid w:val="00EC0E71"/>
    <w:rsid w:val="00EC2DDF"/>
    <w:rsid w:val="00EC3F06"/>
    <w:rsid w:val="00EC690E"/>
    <w:rsid w:val="00ED2C5B"/>
    <w:rsid w:val="00ED2C7E"/>
    <w:rsid w:val="00ED3E31"/>
    <w:rsid w:val="00ED4C9A"/>
    <w:rsid w:val="00ED5CBA"/>
    <w:rsid w:val="00ED613A"/>
    <w:rsid w:val="00ED64D7"/>
    <w:rsid w:val="00ED6CFA"/>
    <w:rsid w:val="00ED6D53"/>
    <w:rsid w:val="00ED75B3"/>
    <w:rsid w:val="00ED7A9B"/>
    <w:rsid w:val="00ED7DAC"/>
    <w:rsid w:val="00ED7DB1"/>
    <w:rsid w:val="00EE0212"/>
    <w:rsid w:val="00EE0E92"/>
    <w:rsid w:val="00EE1855"/>
    <w:rsid w:val="00EE2452"/>
    <w:rsid w:val="00EE2A1C"/>
    <w:rsid w:val="00EE2B68"/>
    <w:rsid w:val="00EE3733"/>
    <w:rsid w:val="00EE395E"/>
    <w:rsid w:val="00EE6D70"/>
    <w:rsid w:val="00EF05EA"/>
    <w:rsid w:val="00EF1386"/>
    <w:rsid w:val="00EF20D9"/>
    <w:rsid w:val="00EF2491"/>
    <w:rsid w:val="00EF256B"/>
    <w:rsid w:val="00EF3B05"/>
    <w:rsid w:val="00EF3F9F"/>
    <w:rsid w:val="00EF5277"/>
    <w:rsid w:val="00EF59A3"/>
    <w:rsid w:val="00EF5CAD"/>
    <w:rsid w:val="00EF5E02"/>
    <w:rsid w:val="00EF5E20"/>
    <w:rsid w:val="00EF611F"/>
    <w:rsid w:val="00EF76E1"/>
    <w:rsid w:val="00F0126A"/>
    <w:rsid w:val="00F02647"/>
    <w:rsid w:val="00F029AF"/>
    <w:rsid w:val="00F03B28"/>
    <w:rsid w:val="00F06322"/>
    <w:rsid w:val="00F077DB"/>
    <w:rsid w:val="00F1030E"/>
    <w:rsid w:val="00F1075D"/>
    <w:rsid w:val="00F10925"/>
    <w:rsid w:val="00F10ED0"/>
    <w:rsid w:val="00F1122B"/>
    <w:rsid w:val="00F11286"/>
    <w:rsid w:val="00F122CC"/>
    <w:rsid w:val="00F12F6C"/>
    <w:rsid w:val="00F13DAE"/>
    <w:rsid w:val="00F157D8"/>
    <w:rsid w:val="00F15EE9"/>
    <w:rsid w:val="00F201AD"/>
    <w:rsid w:val="00F20966"/>
    <w:rsid w:val="00F210A7"/>
    <w:rsid w:val="00F21481"/>
    <w:rsid w:val="00F21B21"/>
    <w:rsid w:val="00F21FAA"/>
    <w:rsid w:val="00F222BB"/>
    <w:rsid w:val="00F24034"/>
    <w:rsid w:val="00F2491A"/>
    <w:rsid w:val="00F24EF6"/>
    <w:rsid w:val="00F25335"/>
    <w:rsid w:val="00F254E4"/>
    <w:rsid w:val="00F26C0E"/>
    <w:rsid w:val="00F26F5D"/>
    <w:rsid w:val="00F31431"/>
    <w:rsid w:val="00F3260D"/>
    <w:rsid w:val="00F34C92"/>
    <w:rsid w:val="00F351D9"/>
    <w:rsid w:val="00F35D19"/>
    <w:rsid w:val="00F377AE"/>
    <w:rsid w:val="00F37F9D"/>
    <w:rsid w:val="00F40E3A"/>
    <w:rsid w:val="00F41269"/>
    <w:rsid w:val="00F41319"/>
    <w:rsid w:val="00F44B13"/>
    <w:rsid w:val="00F44CF7"/>
    <w:rsid w:val="00F45BE7"/>
    <w:rsid w:val="00F45E0F"/>
    <w:rsid w:val="00F463D7"/>
    <w:rsid w:val="00F46ED8"/>
    <w:rsid w:val="00F473F2"/>
    <w:rsid w:val="00F47B43"/>
    <w:rsid w:val="00F50163"/>
    <w:rsid w:val="00F50478"/>
    <w:rsid w:val="00F510E2"/>
    <w:rsid w:val="00F515F1"/>
    <w:rsid w:val="00F52516"/>
    <w:rsid w:val="00F5273A"/>
    <w:rsid w:val="00F527D5"/>
    <w:rsid w:val="00F52D6B"/>
    <w:rsid w:val="00F52E18"/>
    <w:rsid w:val="00F54251"/>
    <w:rsid w:val="00F54406"/>
    <w:rsid w:val="00F5468F"/>
    <w:rsid w:val="00F546FB"/>
    <w:rsid w:val="00F54FC1"/>
    <w:rsid w:val="00F5501E"/>
    <w:rsid w:val="00F55335"/>
    <w:rsid w:val="00F557E7"/>
    <w:rsid w:val="00F55CF7"/>
    <w:rsid w:val="00F56604"/>
    <w:rsid w:val="00F57D1C"/>
    <w:rsid w:val="00F6086A"/>
    <w:rsid w:val="00F60AFD"/>
    <w:rsid w:val="00F6161D"/>
    <w:rsid w:val="00F6169B"/>
    <w:rsid w:val="00F61958"/>
    <w:rsid w:val="00F6208C"/>
    <w:rsid w:val="00F62824"/>
    <w:rsid w:val="00F62D7C"/>
    <w:rsid w:val="00F634C8"/>
    <w:rsid w:val="00F63ADD"/>
    <w:rsid w:val="00F640E2"/>
    <w:rsid w:val="00F64D0D"/>
    <w:rsid w:val="00F6634A"/>
    <w:rsid w:val="00F67155"/>
    <w:rsid w:val="00F70499"/>
    <w:rsid w:val="00F7058F"/>
    <w:rsid w:val="00F70D21"/>
    <w:rsid w:val="00F70FEF"/>
    <w:rsid w:val="00F71290"/>
    <w:rsid w:val="00F7287D"/>
    <w:rsid w:val="00F72BC6"/>
    <w:rsid w:val="00F73F06"/>
    <w:rsid w:val="00F747D5"/>
    <w:rsid w:val="00F74F3A"/>
    <w:rsid w:val="00F75C02"/>
    <w:rsid w:val="00F7735E"/>
    <w:rsid w:val="00F77ECB"/>
    <w:rsid w:val="00F81BF8"/>
    <w:rsid w:val="00F81E47"/>
    <w:rsid w:val="00F824EF"/>
    <w:rsid w:val="00F8364B"/>
    <w:rsid w:val="00F8374A"/>
    <w:rsid w:val="00F83CC6"/>
    <w:rsid w:val="00F84408"/>
    <w:rsid w:val="00F8501C"/>
    <w:rsid w:val="00F85DBB"/>
    <w:rsid w:val="00F85F53"/>
    <w:rsid w:val="00F86474"/>
    <w:rsid w:val="00F868B4"/>
    <w:rsid w:val="00F8730A"/>
    <w:rsid w:val="00F9016F"/>
    <w:rsid w:val="00F90601"/>
    <w:rsid w:val="00F90A6D"/>
    <w:rsid w:val="00F910E8"/>
    <w:rsid w:val="00F93703"/>
    <w:rsid w:val="00F93D0D"/>
    <w:rsid w:val="00F945C2"/>
    <w:rsid w:val="00F9484C"/>
    <w:rsid w:val="00F958A7"/>
    <w:rsid w:val="00F96599"/>
    <w:rsid w:val="00F97548"/>
    <w:rsid w:val="00FA04BA"/>
    <w:rsid w:val="00FA149F"/>
    <w:rsid w:val="00FA1736"/>
    <w:rsid w:val="00FA274C"/>
    <w:rsid w:val="00FA3EAD"/>
    <w:rsid w:val="00FA4C37"/>
    <w:rsid w:val="00FA75F5"/>
    <w:rsid w:val="00FA78FD"/>
    <w:rsid w:val="00FA7908"/>
    <w:rsid w:val="00FA7928"/>
    <w:rsid w:val="00FB11BE"/>
    <w:rsid w:val="00FB1357"/>
    <w:rsid w:val="00FB171F"/>
    <w:rsid w:val="00FB1799"/>
    <w:rsid w:val="00FB1807"/>
    <w:rsid w:val="00FB1B56"/>
    <w:rsid w:val="00FB1D43"/>
    <w:rsid w:val="00FB27F1"/>
    <w:rsid w:val="00FB2ABC"/>
    <w:rsid w:val="00FB3E00"/>
    <w:rsid w:val="00FB4C6F"/>
    <w:rsid w:val="00FB5DE1"/>
    <w:rsid w:val="00FB69FC"/>
    <w:rsid w:val="00FB6ED9"/>
    <w:rsid w:val="00FB7170"/>
    <w:rsid w:val="00FB7B53"/>
    <w:rsid w:val="00FC1A21"/>
    <w:rsid w:val="00FC2E03"/>
    <w:rsid w:val="00FC35F1"/>
    <w:rsid w:val="00FC4C67"/>
    <w:rsid w:val="00FC5029"/>
    <w:rsid w:val="00FC5A6B"/>
    <w:rsid w:val="00FC5E76"/>
    <w:rsid w:val="00FC69CF"/>
    <w:rsid w:val="00FC7214"/>
    <w:rsid w:val="00FD058F"/>
    <w:rsid w:val="00FD0B70"/>
    <w:rsid w:val="00FD11B8"/>
    <w:rsid w:val="00FD1440"/>
    <w:rsid w:val="00FD1489"/>
    <w:rsid w:val="00FD1630"/>
    <w:rsid w:val="00FD17D7"/>
    <w:rsid w:val="00FD24FC"/>
    <w:rsid w:val="00FD2DA9"/>
    <w:rsid w:val="00FD35FA"/>
    <w:rsid w:val="00FD3A2A"/>
    <w:rsid w:val="00FD59F1"/>
    <w:rsid w:val="00FD6FE2"/>
    <w:rsid w:val="00FD7192"/>
    <w:rsid w:val="00FD74CB"/>
    <w:rsid w:val="00FD7543"/>
    <w:rsid w:val="00FD7BF5"/>
    <w:rsid w:val="00FD7C94"/>
    <w:rsid w:val="00FE014C"/>
    <w:rsid w:val="00FE185C"/>
    <w:rsid w:val="00FE3C5F"/>
    <w:rsid w:val="00FE401B"/>
    <w:rsid w:val="00FE44F9"/>
    <w:rsid w:val="00FE4705"/>
    <w:rsid w:val="00FE54D7"/>
    <w:rsid w:val="00FE557C"/>
    <w:rsid w:val="00FE60A8"/>
    <w:rsid w:val="00FE631E"/>
    <w:rsid w:val="00FF1765"/>
    <w:rsid w:val="00FF2DF9"/>
    <w:rsid w:val="00FF38B6"/>
    <w:rsid w:val="00FF4C3A"/>
    <w:rsid w:val="00FF62F4"/>
    <w:rsid w:val="00FF6519"/>
    <w:rsid w:val="00FF66F0"/>
    <w:rsid w:val="00FF72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5AC17B7"/>
  <w15:docId w15:val="{7348C0DF-AEB1-4268-BEFC-5A578ECBC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1B3F"/>
    <w:pPr>
      <w:tabs>
        <w:tab w:val="left" w:pos="567"/>
      </w:tabs>
      <w:spacing w:line="260" w:lineRule="exact"/>
    </w:pPr>
    <w:rPr>
      <w:rFonts w:eastAsia="Times New Roman"/>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536"/>
        <w:tab w:val="right" w:pos="8306"/>
      </w:tabs>
    </w:pPr>
    <w:rPr>
      <w:rFonts w:ascii="Arial" w:hAnsi="Arial"/>
      <w:noProof/>
      <w:sz w:val="16"/>
    </w:rPr>
  </w:style>
  <w:style w:type="paragraph" w:styleId="Antrats">
    <w:name w:val="header"/>
    <w:basedOn w:val="prastasis"/>
    <w:link w:val="AntratsDiagrama"/>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link w:val="PagrindinistekstasDiagrama"/>
    <w:rsid w:val="00812D16"/>
    <w:pPr>
      <w:tabs>
        <w:tab w:val="clear" w:pos="567"/>
      </w:tabs>
      <w:spacing w:line="240" w:lineRule="auto"/>
    </w:pPr>
    <w:rPr>
      <w:i/>
      <w:color w:val="008000"/>
    </w:rPr>
  </w:style>
  <w:style w:type="paragraph" w:styleId="Komentarotekstas">
    <w:name w:val="annotation text"/>
    <w:basedOn w:val="prastasis"/>
    <w:link w:val="KomentarotekstasDiagrama"/>
    <w:uiPriority w:val="99"/>
    <w:rsid w:val="00812D16"/>
    <w:rPr>
      <w:sz w:val="20"/>
      <w:lang w:val="x-none"/>
    </w:rPr>
  </w:style>
  <w:style w:type="character" w:styleId="Hipersaitas">
    <w:name w:val="Hyperlink"/>
    <w:uiPriority w:val="99"/>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rPr>
      <w:lang w:val="en-US"/>
    </w:rPr>
  </w:style>
  <w:style w:type="paragraph" w:styleId="Debesliotekstas">
    <w:name w:val="Balloon Text"/>
    <w:basedOn w:val="prastasis"/>
    <w:link w:val="DebesliotekstasDiagrama"/>
    <w:semiHidden/>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901B3F"/>
    <w:rPr>
      <w:rFonts w:ascii="Verdana" w:eastAsia="Verdana" w:hAnsi="Verdana" w:cs="Verdana"/>
      <w:sz w:val="18"/>
      <w:szCs w:val="18"/>
      <w:lang w:val="en-GB" w:eastAsia="en-GB"/>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rPr>
  </w:style>
  <w:style w:type="character" w:styleId="Komentaronuoroda">
    <w:name w:val="annotation reference"/>
    <w:uiPriority w:val="99"/>
    <w:rsid w:val="00BC6DC2"/>
    <w:rPr>
      <w:sz w:val="16"/>
      <w:szCs w:val="16"/>
    </w:rPr>
  </w:style>
  <w:style w:type="paragraph" w:styleId="Komentarotema">
    <w:name w:val="annotation subject"/>
    <w:basedOn w:val="Komentarotekstas"/>
    <w:next w:val="Komentarotekstas"/>
    <w:link w:val="KomentarotemaDiagrama"/>
    <w:rsid w:val="00BC6DC2"/>
    <w:rPr>
      <w:b/>
      <w:bCs/>
    </w:rPr>
  </w:style>
  <w:style w:type="character" w:customStyle="1" w:styleId="KomentarotekstasDiagrama">
    <w:name w:val="Komentaro tekstas Diagrama"/>
    <w:link w:val="Komentarotekstas"/>
    <w:uiPriority w:val="99"/>
    <w:rsid w:val="00BC6DC2"/>
    <w:rPr>
      <w:rFonts w:eastAsia="Times New Roman"/>
      <w:lang w:eastAsia="en-US"/>
    </w:rPr>
  </w:style>
  <w:style w:type="character" w:customStyle="1" w:styleId="KomentarotemaDiagrama">
    <w:name w:val="Komentaro tema Diagrama"/>
    <w:link w:val="Komentarotema"/>
    <w:rsid w:val="00BC6DC2"/>
    <w:rPr>
      <w:rFonts w:eastAsia="Times New Roman"/>
      <w:b/>
      <w:bCs/>
      <w:lang w:eastAsia="en-US"/>
    </w:rPr>
  </w:style>
  <w:style w:type="paragraph" w:styleId="Puslapioinaostekstas">
    <w:name w:val="footnote text"/>
    <w:basedOn w:val="prastasis"/>
    <w:link w:val="PuslapioinaostekstasDiagrama"/>
    <w:uiPriority w:val="99"/>
    <w:unhideWhenUsed/>
    <w:rsid w:val="005E0715"/>
    <w:pPr>
      <w:tabs>
        <w:tab w:val="clear" w:pos="567"/>
      </w:tabs>
      <w:spacing w:after="200" w:line="276" w:lineRule="auto"/>
    </w:pPr>
    <w:rPr>
      <w:rFonts w:ascii="Calibri" w:eastAsia="Calibri" w:hAnsi="Calibri"/>
      <w:sz w:val="20"/>
      <w:lang w:val="en-US"/>
    </w:rPr>
  </w:style>
  <w:style w:type="character" w:customStyle="1" w:styleId="PuslapioinaostekstasDiagrama">
    <w:name w:val="Puslapio išnašos tekstas Diagrama"/>
    <w:link w:val="Puslapioinaostekstas"/>
    <w:uiPriority w:val="99"/>
    <w:rsid w:val="005E0715"/>
    <w:rPr>
      <w:rFonts w:ascii="Calibri" w:eastAsia="Calibri" w:hAnsi="Calibri"/>
      <w:lang w:val="en-US" w:eastAsia="en-US"/>
    </w:rPr>
  </w:style>
  <w:style w:type="character" w:styleId="Puslapioinaosnuoroda">
    <w:name w:val="footnote reference"/>
    <w:uiPriority w:val="99"/>
    <w:unhideWhenUsed/>
    <w:rsid w:val="005E0715"/>
    <w:rPr>
      <w:vertAlign w:val="superscript"/>
    </w:rPr>
  </w:style>
  <w:style w:type="paragraph" w:styleId="Sraopastraipa">
    <w:name w:val="List Paragraph"/>
    <w:basedOn w:val="prastasis"/>
    <w:uiPriority w:val="34"/>
    <w:qFormat/>
    <w:rsid w:val="0011665A"/>
    <w:pPr>
      <w:tabs>
        <w:tab w:val="clear" w:pos="567"/>
      </w:tabs>
      <w:spacing w:after="240" w:line="276" w:lineRule="auto"/>
      <w:ind w:left="720"/>
      <w:contextualSpacing/>
      <w:jc w:val="both"/>
    </w:pPr>
    <w:rPr>
      <w:rFonts w:eastAsia="Calibri"/>
      <w:sz w:val="24"/>
      <w:lang w:val="en-US"/>
    </w:rPr>
  </w:style>
  <w:style w:type="paragraph" w:styleId="Pataisymai">
    <w:name w:val="Revision"/>
    <w:hidden/>
    <w:uiPriority w:val="99"/>
    <w:semiHidden/>
    <w:rsid w:val="00901B3F"/>
    <w:rPr>
      <w:rFonts w:eastAsia="Times New Roman"/>
      <w:sz w:val="22"/>
      <w:lang w:val="en-GB" w:eastAsia="en-US"/>
    </w:rPr>
  </w:style>
  <w:style w:type="character" w:customStyle="1" w:styleId="tw4winMark">
    <w:name w:val="tw4winMark"/>
    <w:uiPriority w:val="99"/>
    <w:rsid w:val="00286E3A"/>
    <w:rPr>
      <w:rFonts w:ascii="Courier New" w:hAnsi="Courier New"/>
      <w:vanish/>
      <w:color w:val="800080"/>
      <w:vertAlign w:val="subscript"/>
    </w:rPr>
  </w:style>
  <w:style w:type="character" w:customStyle="1" w:styleId="DoNotTranslateExternal1">
    <w:name w:val="DoNotTranslateExternal1"/>
    <w:qFormat/>
    <w:rsid w:val="005470C3"/>
    <w:rPr>
      <w:b/>
      <w:noProof/>
      <w:szCs w:val="22"/>
    </w:rPr>
  </w:style>
  <w:style w:type="paragraph" w:customStyle="1" w:styleId="Default">
    <w:name w:val="Default"/>
    <w:rsid w:val="00901B3F"/>
    <w:pPr>
      <w:autoSpaceDE w:val="0"/>
      <w:autoSpaceDN w:val="0"/>
      <w:adjustRightInd w:val="0"/>
    </w:pPr>
    <w:rPr>
      <w:color w:val="000000"/>
      <w:sz w:val="24"/>
      <w:szCs w:val="24"/>
    </w:rPr>
  </w:style>
  <w:style w:type="table" w:styleId="Lentelstinklelis">
    <w:name w:val="Table Grid"/>
    <w:basedOn w:val="prastojilentel"/>
    <w:rsid w:val="00040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locked/>
    <w:rsid w:val="008B4F1F"/>
    <w:rPr>
      <w:rFonts w:ascii="Arial" w:hAnsi="Arial"/>
      <w:lang w:val="lt-LT" w:eastAsia="en-US" w:bidi="ar-SA"/>
    </w:rPr>
  </w:style>
  <w:style w:type="character" w:customStyle="1" w:styleId="PoratDiagrama">
    <w:name w:val="Poraštė Diagrama"/>
    <w:basedOn w:val="Numatytasispastraiposriftas"/>
    <w:link w:val="Porat"/>
    <w:rsid w:val="00901B3F"/>
    <w:rPr>
      <w:rFonts w:ascii="Arial" w:eastAsia="Times New Roman" w:hAnsi="Arial"/>
      <w:noProof/>
      <w:sz w:val="16"/>
      <w:lang w:eastAsia="en-US"/>
    </w:rPr>
  </w:style>
  <w:style w:type="character" w:customStyle="1" w:styleId="PagrindinistekstasDiagrama">
    <w:name w:val="Pagrindinis tekstas Diagrama"/>
    <w:basedOn w:val="Numatytasispastraiposriftas"/>
    <w:link w:val="Pagrindinistekstas"/>
    <w:rsid w:val="00901B3F"/>
    <w:rPr>
      <w:rFonts w:eastAsia="Times New Roman"/>
      <w:i/>
      <w:color w:val="008000"/>
      <w:sz w:val="22"/>
      <w:lang w:eastAsia="en-US"/>
    </w:rPr>
  </w:style>
  <w:style w:type="character" w:customStyle="1" w:styleId="DebesliotekstasDiagrama">
    <w:name w:val="Debesėlio tekstas Diagrama"/>
    <w:basedOn w:val="Numatytasispastraiposriftas"/>
    <w:link w:val="Debesliotekstas"/>
    <w:semiHidden/>
    <w:rsid w:val="00901B3F"/>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1818">
      <w:bodyDiv w:val="1"/>
      <w:marLeft w:val="0"/>
      <w:marRight w:val="0"/>
      <w:marTop w:val="0"/>
      <w:marBottom w:val="0"/>
      <w:divBdr>
        <w:top w:val="none" w:sz="0" w:space="0" w:color="auto"/>
        <w:left w:val="none" w:sz="0" w:space="0" w:color="auto"/>
        <w:bottom w:val="none" w:sz="0" w:space="0" w:color="auto"/>
        <w:right w:val="none" w:sz="0" w:space="0" w:color="auto"/>
      </w:divBdr>
    </w:div>
    <w:div w:id="217593070">
      <w:bodyDiv w:val="1"/>
      <w:marLeft w:val="0"/>
      <w:marRight w:val="0"/>
      <w:marTop w:val="0"/>
      <w:marBottom w:val="0"/>
      <w:divBdr>
        <w:top w:val="none" w:sz="0" w:space="0" w:color="auto"/>
        <w:left w:val="none" w:sz="0" w:space="0" w:color="auto"/>
        <w:bottom w:val="none" w:sz="0" w:space="0" w:color="auto"/>
        <w:right w:val="none" w:sz="0" w:space="0" w:color="auto"/>
      </w:divBdr>
    </w:div>
    <w:div w:id="229461459">
      <w:bodyDiv w:val="1"/>
      <w:marLeft w:val="0"/>
      <w:marRight w:val="0"/>
      <w:marTop w:val="0"/>
      <w:marBottom w:val="0"/>
      <w:divBdr>
        <w:top w:val="none" w:sz="0" w:space="0" w:color="auto"/>
        <w:left w:val="none" w:sz="0" w:space="0" w:color="auto"/>
        <w:bottom w:val="none" w:sz="0" w:space="0" w:color="auto"/>
        <w:right w:val="none" w:sz="0" w:space="0" w:color="auto"/>
      </w:divBdr>
    </w:div>
    <w:div w:id="305817693">
      <w:bodyDiv w:val="1"/>
      <w:marLeft w:val="0"/>
      <w:marRight w:val="0"/>
      <w:marTop w:val="0"/>
      <w:marBottom w:val="0"/>
      <w:divBdr>
        <w:top w:val="none" w:sz="0" w:space="0" w:color="auto"/>
        <w:left w:val="none" w:sz="0" w:space="0" w:color="auto"/>
        <w:bottom w:val="none" w:sz="0" w:space="0" w:color="auto"/>
        <w:right w:val="none" w:sz="0" w:space="0" w:color="auto"/>
      </w:divBdr>
    </w:div>
    <w:div w:id="315886251">
      <w:bodyDiv w:val="1"/>
      <w:marLeft w:val="0"/>
      <w:marRight w:val="0"/>
      <w:marTop w:val="0"/>
      <w:marBottom w:val="0"/>
      <w:divBdr>
        <w:top w:val="none" w:sz="0" w:space="0" w:color="auto"/>
        <w:left w:val="none" w:sz="0" w:space="0" w:color="auto"/>
        <w:bottom w:val="none" w:sz="0" w:space="0" w:color="auto"/>
        <w:right w:val="none" w:sz="0" w:space="0" w:color="auto"/>
      </w:divBdr>
    </w:div>
    <w:div w:id="452015527">
      <w:bodyDiv w:val="1"/>
      <w:marLeft w:val="0"/>
      <w:marRight w:val="0"/>
      <w:marTop w:val="0"/>
      <w:marBottom w:val="0"/>
      <w:divBdr>
        <w:top w:val="none" w:sz="0" w:space="0" w:color="auto"/>
        <w:left w:val="none" w:sz="0" w:space="0" w:color="auto"/>
        <w:bottom w:val="none" w:sz="0" w:space="0" w:color="auto"/>
        <w:right w:val="none" w:sz="0" w:space="0" w:color="auto"/>
      </w:divBdr>
    </w:div>
    <w:div w:id="552929964">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57501394">
      <w:bodyDiv w:val="1"/>
      <w:marLeft w:val="0"/>
      <w:marRight w:val="0"/>
      <w:marTop w:val="0"/>
      <w:marBottom w:val="0"/>
      <w:divBdr>
        <w:top w:val="none" w:sz="0" w:space="0" w:color="auto"/>
        <w:left w:val="none" w:sz="0" w:space="0" w:color="auto"/>
        <w:bottom w:val="none" w:sz="0" w:space="0" w:color="auto"/>
        <w:right w:val="none" w:sz="0" w:space="0" w:color="auto"/>
      </w:divBdr>
    </w:div>
    <w:div w:id="859582582">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574311414">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68189781">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40272951">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F9A67-284C-4709-A713-1AE5E6DB2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8473</Words>
  <Characters>56840</Characters>
  <Application>Microsoft Office Word</Application>
  <DocSecurity>4</DocSecurity>
  <Lines>473</Lines>
  <Paragraphs>130</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Z30825</vt:lpstr>
      <vt:lpstr/>
      <vt:lpstr/>
      <vt:lpstr/>
      <vt:lpstr/>
      <vt:lpstr/>
      <vt:lpstr/>
      <vt:lpstr/>
      <vt:lpstr/>
      <vt:lpstr/>
      <vt:lpstr/>
      <vt:lpstr/>
      <vt:lpstr/>
      <vt:lpstr/>
      <vt:lpstr/>
      <vt:lpstr/>
      <vt:lpstr/>
      <vt:lpstr/>
      <vt:lpstr/>
      <vt:lpstr/>
      <vt:lpstr/>
      <vt:lpstr/>
      <vt:lpstr/>
      <vt:lpstr>I PRIEDAS</vt:lpstr>
      <vt:lpstr/>
      <vt:lpstr>PREPARATO CHARAKTERISTIKŲ SANTRAUKA</vt:lpstr>
      <vt:lpstr>4.1	Terapinės indikacijos</vt:lpstr>
      <vt:lpstr/>
      <vt:lpstr>Pykinimo ir vėmimo, susijusių su labai arba vidutiniškai emetogeniška vėžio chem</vt:lpstr>
      <vt:lpstr/>
      <vt:lpstr>Aprepitant Sandoz 125 mg/80 mg skiriama kaip sudėtinio gydymo dalis (žr. 4.2 sky</vt:lpstr>
      <vt:lpstr/>
      <vt:lpstr>4.2	Dozavimas ir vartojimo metodas</vt:lpstr>
      <vt:lpstr>4.5	Sąveika su kitais vaistiniais preparatais ir kitokia sąveika</vt:lpstr>
      <vt:lpstr>5.1 	Farmakodinaminės savybės</vt:lpstr>
      <vt:lpstr>5.2	Farmakokinetinės savybės</vt:lpstr>
      <vt:lpstr/>
      <vt:lpstr/>
      <vt:lpstr/>
      <vt:lpstr/>
      <vt:lpstr>6.1	Pagalbinių medžiagų sąrašas</vt:lpstr>
      <vt:lpstr>6.2	Nesuderinamumas</vt:lpstr>
      <vt:lpstr>6.3	Tinkamumo laikas</vt:lpstr>
      <vt:lpstr>6.4	Specialios laikymo sąlygos</vt:lpstr>
      <vt:lpstr/>
      <vt:lpstr>6.5	Talpyklės pobūdis ir jos turinys</vt:lpstr>
      <vt:lpstr/>
      <vt:lpstr>6.6	Specialūs reikalavimai atliekoms tvarkyti </vt:lpstr>
      <vt:lpstr>Gamintojo (-ų), atsakingo (-ų) už serijų išleidimą, pavadinimas (-ai) ir adresas</vt:lpstr>
      <vt:lpstr/>
      <vt:lpstr/>
      <vt:lpstr/>
      <vt:lpstr/>
      <vt:lpstr/>
      <vt:lpstr/>
      <vt:lpstr/>
      <vt:lpstr/>
      <vt:lpstr/>
      <vt:lpstr/>
      <vt:lpstr/>
      <vt:lpstr>III PRIEDAS</vt:lpstr>
      <vt:lpstr>ŽENKLINIMAS IR PAKUOTĖS LAPELIS</vt:lpstr>
      <vt:lpstr/>
      <vt:lpstr/>
      <vt:lpstr/>
      <vt:lpstr/>
      <vt:lpstr/>
      <vt:lpstr/>
      <vt:lpstr/>
      <vt:lpstr/>
      <vt:lpstr/>
      <vt:lpstr/>
      <vt:lpstr/>
      <vt:lpstr/>
      <vt:lpstr/>
      <vt:lpstr/>
      <vt:lpstr/>
      <vt:lpstr/>
      <vt:lpstr/>
      <vt:lpstr/>
      <vt:lpstr/>
      <vt:lpstr/>
      <vt:lpstr/>
      <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vt:lpstr>
      <vt:lpstr>14.	PARDAVIMO (IŠDAVIMO) TVARKA</vt:lpstr>
      <vt:lpstr>15.	VARTOJIMO INSTRUKCIJA</vt:lpstr>
      <vt:lpstr>Z30825</vt:lpstr>
      <vt:lpstr/>
      <vt:lpstr/>
      <vt:lpstr/>
      <vt:lpstr/>
      <vt:lpstr/>
      <vt:lpstr/>
      <vt:lpstr/>
      <vt:lpstr/>
      <vt:lpstr/>
      <vt:lpstr/>
      <vt:lpstr/>
      <vt:lpstr/>
      <vt:lpstr/>
      <vt:lpstr/>
      <vt:lpstr/>
      <vt:lpstr/>
      <vt:lpstr/>
      <vt:lpstr/>
      <vt:lpstr/>
      <vt:lpstr/>
      <vt:lpstr/>
      <vt:lpstr/>
      <vt:lpstr>I PRIEDAS</vt:lpstr>
      <vt:lpstr/>
      <vt:lpstr>PREPARATO CHARAKTERISTIKŲ SANTRAUKA</vt:lpstr>
      <vt:lpstr>4.1	Terapinės indikacijos</vt:lpstr>
      <vt:lpstr/>
      <vt:lpstr>Pykinimo ir vėmimo, susijusių su labai arba vidutiniškai emetogeniška vėžio chem</vt:lpstr>
      <vt:lpstr/>
      <vt:lpstr>Aprepitant Sandoz 125 mg/80 mg skiriama kaip sudėtinio gydymo dalis (žr. 4.2 sky</vt:lpstr>
      <vt:lpstr/>
      <vt:lpstr>4.2	Dozavimas ir vartojimo metodas</vt:lpstr>
      <vt:lpstr>4.5	Sąveika su kitais vaistiniais preparatais ir kitokia sąveika</vt:lpstr>
      <vt:lpstr>5.1 	Farmakodinaminės savybės</vt:lpstr>
      <vt:lpstr>5.2	Farmakokinetinės savybės</vt:lpstr>
      <vt:lpstr/>
      <vt:lpstr/>
      <vt:lpstr/>
      <vt:lpstr/>
      <vt:lpstr>6.1	Pagalbinių medžiagų sąrašas</vt:lpstr>
      <vt:lpstr>6.2	Nesuderinamumas</vt:lpstr>
      <vt:lpstr>6.3	Tinkamumo laikas</vt:lpstr>
      <vt:lpstr>6.4	Specialios laikymo sąlygos</vt:lpstr>
      <vt:lpstr/>
      <vt:lpstr>6.5	Talpyklės pobūdis ir jos turinys</vt:lpstr>
      <vt:lpstr/>
      <vt:lpstr>6.6	Specialūs reikalavimai atliekoms tvarkyti </vt:lpstr>
      <vt:lpstr>Gamintojo (-ų), atsakingo (-ų) už serijų išleidimą, pavadinimas (-ai) ir adresas</vt:lpstr>
      <vt:lpstr/>
      <vt:lpstr/>
      <vt:lpstr/>
      <vt:lpstr/>
      <vt:lpstr/>
      <vt:lpstr/>
      <vt:lpstr/>
      <vt:lpstr/>
      <vt:lpstr/>
      <vt:lpstr/>
      <vt:lpstr/>
      <vt:lpstr>III PRIEDAS</vt:lpstr>
      <vt:lpstr>ŽENKLINIMAS IR PAKUOTĖS LAPELIS</vt:lpstr>
      <vt:lpstr/>
      <vt:lpstr/>
      <vt:lpstr/>
      <vt:lpstr/>
      <vt:lpstr/>
      <vt:lpstr/>
      <vt:lpstr/>
      <vt:lpstr/>
      <vt:lpstr/>
      <vt:lpstr/>
      <vt:lpstr/>
      <vt:lpstr/>
      <vt:lpstr/>
      <vt:lpstr/>
      <vt:lpstr/>
      <vt:lpstr/>
      <vt:lpstr/>
      <vt:lpstr/>
      <vt:lpstr/>
      <vt:lpstr/>
      <vt:lpstr/>
      <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vt:lpstr>
      <vt:lpstr>14.	PARDAVIMO (IŠDAVIMO) TVARKA</vt:lpstr>
      <vt:lpstr>15.	VARTOJIMO INSTRUKCIJA</vt:lpstr>
    </vt:vector>
  </TitlesOfParts>
  <Manager>K021 and P022</Manager>
  <Company>Zebra Translations Limited</Company>
  <LinksUpToDate>false</LinksUpToDate>
  <CharactersWithSpaces>65183</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8060954</vt:i4>
      </vt:variant>
      <vt:variant>
        <vt:i4>21</vt:i4>
      </vt:variant>
      <vt:variant>
        <vt:i4>0</vt:i4>
      </vt:variant>
      <vt:variant>
        <vt:i4>5</vt:i4>
      </vt:variant>
      <vt:variant>
        <vt:lpwstr>mailto:info.lithuania@sandoz.com</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Z30825</dc:title>
  <dc:subject>Updates to Truberzi product information - LT</dc:subject>
  <dc:creator>T037 and K021</dc:creator>
  <cp:lastModifiedBy>Albina Burkauskaitė</cp:lastModifiedBy>
  <cp:revision>2</cp:revision>
  <dcterms:created xsi:type="dcterms:W3CDTF">2024-05-13T08:42:00Z</dcterms:created>
  <dcterms:modified xsi:type="dcterms:W3CDTF">2024-05-13T08:42:00Z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2023-06-05T11:16:35Z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f06d0c64-75f8-48e9-8af5-f4e2ef3b4c1f</vt:lpwstr>
  </property>
  <property fmtid="{D5CDD505-2E9C-101B-9397-08002B2CF9AE}" pid="8" name="MSIP_Label_3c9bec58-8084-492e-8360-0e1cfe36408c_ContentBits">
    <vt:lpwstr>0</vt:lpwstr>
  </property>
</Properties>
</file>